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7D" w:rsidRPr="006812E4" w:rsidRDefault="0048247D" w:rsidP="0048247D">
      <w:pPr>
        <w:jc w:val="center"/>
        <w:rPr>
          <w:rFonts w:ascii="Arial" w:hAnsi="Arial" w:cs="Arial"/>
          <w:sz w:val="20"/>
          <w:lang w:val="pl-PL"/>
        </w:rPr>
      </w:pPr>
      <w:r w:rsidRPr="006812E4">
        <w:rPr>
          <w:rFonts w:ascii="Arial" w:hAnsi="Arial" w:cs="Arial"/>
          <w:sz w:val="20"/>
          <w:lang w:val="pl-PL"/>
        </w:rPr>
        <w:t>© Prokurator Generalny – Minister Sprawiedliwości</w:t>
      </w:r>
    </w:p>
    <w:p w:rsidR="0048247D" w:rsidRPr="006812E4" w:rsidRDefault="0048247D" w:rsidP="0048247D">
      <w:pPr>
        <w:ind w:left="-284" w:right="-297"/>
        <w:jc w:val="center"/>
        <w:rPr>
          <w:rStyle w:val="s4f807e54"/>
          <w:rFonts w:ascii="Arial" w:eastAsia="MS Mincho" w:hAnsi="Arial" w:cs="Arial"/>
          <w:sz w:val="20"/>
          <w:szCs w:val="20"/>
          <w:lang w:val="pl-PL" w:eastAsia="pl-PL"/>
        </w:rPr>
      </w:pPr>
      <w:r w:rsidRPr="006812E4">
        <w:rPr>
          <w:rStyle w:val="s4f807e54"/>
          <w:rFonts w:ascii="Arial" w:eastAsia="MS Mincho" w:hAnsi="Arial" w:cs="Arial"/>
          <w:sz w:val="20"/>
          <w:szCs w:val="20"/>
          <w:lang w:val="pl-PL" w:eastAsia="pl-PL"/>
        </w:rPr>
        <w:t xml:space="preserve">© Copyright for the </w:t>
      </w:r>
      <w:proofErr w:type="spellStart"/>
      <w:r w:rsidRPr="006812E4">
        <w:rPr>
          <w:rStyle w:val="s4f807e54"/>
          <w:rFonts w:ascii="Arial" w:eastAsia="MS Mincho" w:hAnsi="Arial" w:cs="Arial"/>
          <w:sz w:val="20"/>
          <w:szCs w:val="20"/>
          <w:lang w:val="pl-PL" w:eastAsia="pl-PL"/>
        </w:rPr>
        <w:t>Polish</w:t>
      </w:r>
      <w:proofErr w:type="spellEnd"/>
      <w:r w:rsidRPr="006812E4">
        <w:rPr>
          <w:rStyle w:val="s4f807e54"/>
          <w:rFonts w:ascii="Arial" w:eastAsia="MS Mincho" w:hAnsi="Arial" w:cs="Arial"/>
          <w:sz w:val="20"/>
          <w:szCs w:val="20"/>
          <w:lang w:val="pl-PL" w:eastAsia="pl-PL"/>
        </w:rPr>
        <w:t xml:space="preserve"> </w:t>
      </w:r>
      <w:proofErr w:type="spellStart"/>
      <w:r w:rsidRPr="006812E4">
        <w:rPr>
          <w:rStyle w:val="s4f807e54"/>
          <w:rFonts w:ascii="Arial" w:eastAsia="MS Mincho" w:hAnsi="Arial" w:cs="Arial"/>
          <w:sz w:val="20"/>
          <w:szCs w:val="20"/>
          <w:lang w:val="pl-PL" w:eastAsia="pl-PL"/>
        </w:rPr>
        <w:t>translation</w:t>
      </w:r>
      <w:proofErr w:type="spellEnd"/>
      <w:r w:rsidRPr="006812E4">
        <w:rPr>
          <w:rStyle w:val="s4f807e54"/>
          <w:rFonts w:ascii="Arial" w:eastAsia="MS Mincho" w:hAnsi="Arial" w:cs="Arial"/>
          <w:sz w:val="20"/>
          <w:szCs w:val="20"/>
          <w:lang w:val="pl-PL" w:eastAsia="pl-PL"/>
        </w:rPr>
        <w:t xml:space="preserve"> by Prokurator Gener</w:t>
      </w:r>
      <w:r>
        <w:rPr>
          <w:rStyle w:val="s4f807e54"/>
          <w:rFonts w:ascii="Arial" w:eastAsia="MS Mincho" w:hAnsi="Arial" w:cs="Arial"/>
          <w:sz w:val="20"/>
          <w:szCs w:val="20"/>
          <w:lang w:val="pl-PL" w:eastAsia="pl-PL"/>
        </w:rPr>
        <w:t>alny – Minister Sprawiedliwości</w:t>
      </w:r>
    </w:p>
    <w:p w:rsidR="0048247D" w:rsidRPr="006812E4" w:rsidRDefault="0048247D" w:rsidP="0048247D">
      <w:pPr>
        <w:jc w:val="center"/>
        <w:rPr>
          <w:rStyle w:val="s4f807e54"/>
          <w:rFonts w:ascii="Arial" w:eastAsia="MS Mincho" w:hAnsi="Arial" w:cs="Arial"/>
          <w:sz w:val="20"/>
          <w:szCs w:val="20"/>
          <w:lang w:val="pl-PL" w:eastAsia="pl-PL"/>
        </w:rPr>
      </w:pPr>
      <w:r w:rsidRPr="006812E4">
        <w:rPr>
          <w:rStyle w:val="s4f807e54"/>
          <w:rFonts w:ascii="Arial" w:eastAsia="MS Mincho" w:hAnsi="Arial" w:cs="Arial"/>
          <w:sz w:val="20"/>
          <w:szCs w:val="20"/>
          <w:lang w:val="pl-PL" w:eastAsia="pl-PL"/>
        </w:rPr>
        <w:t>Warszawa 2016</w:t>
      </w:r>
    </w:p>
    <w:p w:rsidR="0048247D" w:rsidRDefault="0048247D" w:rsidP="00171A6F">
      <w:pPr>
        <w:jc w:val="center"/>
        <w:rPr>
          <w:rFonts w:ascii="Times New Roman" w:hAnsi="Times New Roman" w:cs="Times New Roman"/>
          <w:lang w:val="pl-PL"/>
        </w:rPr>
      </w:pPr>
    </w:p>
    <w:p w:rsidR="00023366" w:rsidRPr="00426280" w:rsidRDefault="007B6BB6" w:rsidP="00171A6F">
      <w:pPr>
        <w:jc w:val="center"/>
        <w:rPr>
          <w:rFonts w:ascii="Times New Roman" w:hAnsi="Times New Roman" w:cs="Times New Roman"/>
          <w:lang w:val="pl-PL"/>
        </w:rPr>
      </w:pPr>
      <w:r w:rsidRPr="00426280">
        <w:rPr>
          <w:rFonts w:ascii="Times New Roman" w:hAnsi="Times New Roman" w:cs="Times New Roman"/>
          <w:lang w:val="pl-PL"/>
        </w:rPr>
        <w:t>EUROPEJSKI TRYBUNAŁ PRAW CZŁOWIEKA</w:t>
      </w:r>
    </w:p>
    <w:p w:rsidR="00D4692B" w:rsidRPr="00426280" w:rsidRDefault="00D4692B" w:rsidP="00171A6F">
      <w:pPr>
        <w:jc w:val="center"/>
        <w:rPr>
          <w:rFonts w:ascii="Times New Roman" w:hAnsi="Times New Roman" w:cs="Times New Roman"/>
          <w:lang w:val="pl-PL"/>
        </w:rPr>
      </w:pPr>
    </w:p>
    <w:p w:rsidR="00D4692B" w:rsidRPr="00B45853" w:rsidRDefault="00907115" w:rsidP="00171A6F">
      <w:pPr>
        <w:jc w:val="center"/>
        <w:rPr>
          <w:rFonts w:ascii="Times New Roman" w:hAnsi="Times New Roman" w:cs="Times New Roman"/>
          <w:lang w:val="pl-PL"/>
        </w:rPr>
      </w:pPr>
      <w:r w:rsidRPr="00B45853">
        <w:rPr>
          <w:rFonts w:ascii="Times New Roman" w:hAnsi="Times New Roman" w:cs="Times New Roman"/>
          <w:lang w:val="pl-PL"/>
        </w:rPr>
        <w:t>WIELKA</w:t>
      </w:r>
      <w:r w:rsidR="00B72335" w:rsidRPr="00B45853">
        <w:rPr>
          <w:rFonts w:ascii="Times New Roman" w:hAnsi="Times New Roman" w:cs="Times New Roman"/>
          <w:lang w:val="pl-PL"/>
        </w:rPr>
        <w:t xml:space="preserve"> </w:t>
      </w:r>
      <w:r w:rsidRPr="00B45853">
        <w:rPr>
          <w:rFonts w:ascii="Times New Roman" w:hAnsi="Times New Roman" w:cs="Times New Roman"/>
          <w:lang w:val="pl-PL"/>
        </w:rPr>
        <w:t>IZBA</w:t>
      </w:r>
    </w:p>
    <w:p w:rsidR="00D4692B" w:rsidRPr="00B45853" w:rsidRDefault="00D4692B" w:rsidP="00171A6F">
      <w:pPr>
        <w:jc w:val="center"/>
        <w:rPr>
          <w:rFonts w:ascii="Times New Roman" w:hAnsi="Times New Roman" w:cs="Times New Roman"/>
          <w:lang w:val="pl-PL"/>
        </w:rPr>
      </w:pPr>
    </w:p>
    <w:p w:rsidR="00D4692B" w:rsidRPr="00B45853" w:rsidRDefault="00D4692B" w:rsidP="00171A6F">
      <w:pPr>
        <w:jc w:val="center"/>
        <w:rPr>
          <w:rFonts w:ascii="Times New Roman" w:hAnsi="Times New Roman" w:cs="Times New Roman"/>
          <w:lang w:val="pl-PL"/>
        </w:rPr>
      </w:pPr>
    </w:p>
    <w:p w:rsidR="00D4692B" w:rsidRPr="00B45853" w:rsidRDefault="00D4692B" w:rsidP="00171A6F">
      <w:pPr>
        <w:jc w:val="center"/>
        <w:rPr>
          <w:rFonts w:ascii="Times New Roman" w:hAnsi="Times New Roman" w:cs="Times New Roman"/>
          <w:lang w:val="pl-PL"/>
        </w:rPr>
      </w:pPr>
    </w:p>
    <w:p w:rsidR="00D4692B" w:rsidRPr="00B45853" w:rsidRDefault="00D4692B" w:rsidP="00171A6F">
      <w:pPr>
        <w:jc w:val="center"/>
        <w:rPr>
          <w:rFonts w:ascii="Times New Roman" w:hAnsi="Times New Roman" w:cs="Times New Roman"/>
          <w:lang w:val="pl-PL"/>
        </w:rPr>
      </w:pPr>
    </w:p>
    <w:p w:rsidR="00D4692B" w:rsidRPr="00B45853" w:rsidRDefault="00D4692B" w:rsidP="00171A6F">
      <w:pPr>
        <w:jc w:val="center"/>
        <w:rPr>
          <w:rFonts w:ascii="Times New Roman" w:hAnsi="Times New Roman" w:cs="Times New Roman"/>
          <w:lang w:val="pl-PL"/>
        </w:rPr>
      </w:pPr>
    </w:p>
    <w:p w:rsidR="00D4692B" w:rsidRPr="00B45853" w:rsidRDefault="00907115" w:rsidP="00171A6F">
      <w:pPr>
        <w:jc w:val="center"/>
        <w:rPr>
          <w:rFonts w:ascii="Times New Roman" w:hAnsi="Times New Roman" w:cs="Times New Roman"/>
          <w:b/>
          <w:lang w:val="pl-PL"/>
        </w:rPr>
      </w:pPr>
      <w:r w:rsidRPr="00B45853">
        <w:rPr>
          <w:rFonts w:ascii="Times New Roman" w:hAnsi="Times New Roman" w:cs="Times New Roman"/>
          <w:b/>
          <w:lang w:val="pl-PL"/>
        </w:rPr>
        <w:t>SPRAWA</w:t>
      </w:r>
      <w:r w:rsidR="00D4692B" w:rsidRPr="00B45853">
        <w:rPr>
          <w:rFonts w:ascii="Times New Roman" w:hAnsi="Times New Roman" w:cs="Times New Roman"/>
          <w:b/>
          <w:lang w:val="pl-PL"/>
        </w:rPr>
        <w:t xml:space="preserve"> </w:t>
      </w:r>
      <w:r w:rsidRPr="00B45853">
        <w:rPr>
          <w:rFonts w:ascii="Times New Roman" w:hAnsi="Times New Roman" w:cs="Times New Roman"/>
          <w:b/>
          <w:lang w:val="pl-PL"/>
        </w:rPr>
        <w:t>DELFI AS PRZECIWKO ESTONII</w:t>
      </w:r>
    </w:p>
    <w:p w:rsidR="00D4692B" w:rsidRPr="00B45853" w:rsidRDefault="00D4692B" w:rsidP="00171A6F">
      <w:pPr>
        <w:jc w:val="center"/>
        <w:rPr>
          <w:rFonts w:ascii="Times New Roman" w:hAnsi="Times New Roman" w:cs="Times New Roman"/>
          <w:lang w:val="pl-PL"/>
        </w:rPr>
      </w:pPr>
    </w:p>
    <w:p w:rsidR="00D4692B" w:rsidRPr="00B45853" w:rsidRDefault="00D4692B" w:rsidP="00171A6F">
      <w:pPr>
        <w:jc w:val="center"/>
        <w:rPr>
          <w:rFonts w:ascii="Times New Roman" w:hAnsi="Times New Roman" w:cs="Times New Roman"/>
          <w:i/>
          <w:lang w:val="pl-PL"/>
        </w:rPr>
      </w:pPr>
      <w:r w:rsidRPr="00B45853">
        <w:rPr>
          <w:rFonts w:ascii="Times New Roman" w:hAnsi="Times New Roman" w:cs="Times New Roman"/>
          <w:i/>
          <w:lang w:val="pl-PL"/>
        </w:rPr>
        <w:t>(</w:t>
      </w:r>
      <w:r w:rsidR="00907115" w:rsidRPr="00B45853">
        <w:rPr>
          <w:rFonts w:ascii="Times New Roman" w:hAnsi="Times New Roman" w:cs="Times New Roman"/>
          <w:i/>
          <w:lang w:val="pl-PL"/>
        </w:rPr>
        <w:t>Skarga nr</w:t>
      </w:r>
      <w:r w:rsidR="00B72335" w:rsidRPr="00B45853">
        <w:rPr>
          <w:rFonts w:ascii="Times New Roman" w:hAnsi="Times New Roman" w:cs="Times New Roman"/>
          <w:i/>
          <w:lang w:val="pl-PL"/>
        </w:rPr>
        <w:t xml:space="preserve"> 64569/09</w:t>
      </w:r>
      <w:r w:rsidRPr="00B45853">
        <w:rPr>
          <w:rFonts w:ascii="Times New Roman" w:hAnsi="Times New Roman" w:cs="Times New Roman"/>
          <w:i/>
          <w:lang w:val="pl-PL"/>
        </w:rPr>
        <w:t>)</w:t>
      </w:r>
    </w:p>
    <w:p w:rsidR="00D4692B" w:rsidRPr="00B45853" w:rsidRDefault="00D4692B" w:rsidP="00171A6F">
      <w:pPr>
        <w:jc w:val="center"/>
        <w:rPr>
          <w:rFonts w:ascii="Times New Roman" w:hAnsi="Times New Roman" w:cs="Times New Roman"/>
          <w:lang w:val="pl-PL"/>
        </w:rPr>
      </w:pPr>
    </w:p>
    <w:p w:rsidR="00D4692B" w:rsidRPr="00B45853" w:rsidRDefault="00D4692B" w:rsidP="00171A6F">
      <w:pPr>
        <w:jc w:val="center"/>
        <w:rPr>
          <w:rFonts w:ascii="Times New Roman" w:hAnsi="Times New Roman" w:cs="Times New Roman"/>
          <w:szCs w:val="24"/>
          <w:lang w:val="pl-PL"/>
        </w:rPr>
      </w:pPr>
    </w:p>
    <w:p w:rsidR="00D4692B" w:rsidRPr="00B45853" w:rsidRDefault="00D4692B" w:rsidP="00171A6F">
      <w:pPr>
        <w:jc w:val="center"/>
        <w:rPr>
          <w:rFonts w:ascii="Times New Roman" w:hAnsi="Times New Roman" w:cs="Times New Roman"/>
          <w:szCs w:val="24"/>
          <w:lang w:val="pl-PL"/>
        </w:rPr>
      </w:pPr>
    </w:p>
    <w:p w:rsidR="00023366" w:rsidRPr="00B45853" w:rsidRDefault="00023366" w:rsidP="00171A6F">
      <w:pPr>
        <w:jc w:val="center"/>
        <w:rPr>
          <w:rFonts w:ascii="Times New Roman" w:hAnsi="Times New Roman" w:cs="Times New Roman"/>
          <w:szCs w:val="24"/>
          <w:u w:val="single"/>
          <w:lang w:val="pl-PL"/>
        </w:rPr>
      </w:pPr>
    </w:p>
    <w:p w:rsidR="00023366" w:rsidRPr="00B45853" w:rsidRDefault="00023366" w:rsidP="00171A6F">
      <w:pPr>
        <w:jc w:val="center"/>
        <w:rPr>
          <w:rFonts w:ascii="Times New Roman" w:hAnsi="Times New Roman" w:cs="Times New Roman"/>
          <w:szCs w:val="24"/>
          <w:u w:val="single"/>
          <w:lang w:val="pl-PL"/>
        </w:rPr>
      </w:pPr>
    </w:p>
    <w:p w:rsidR="00D4692B" w:rsidRPr="00FF7C37" w:rsidRDefault="00907115" w:rsidP="00171A6F">
      <w:pPr>
        <w:jc w:val="center"/>
        <w:rPr>
          <w:rFonts w:ascii="Times New Roman" w:hAnsi="Times New Roman" w:cs="Times New Roman"/>
          <w:szCs w:val="24"/>
          <w:lang w:val="pl-PL"/>
        </w:rPr>
      </w:pPr>
      <w:r w:rsidRPr="00FF7C37">
        <w:rPr>
          <w:rFonts w:ascii="Times New Roman" w:hAnsi="Times New Roman" w:cs="Times New Roman"/>
          <w:szCs w:val="24"/>
          <w:lang w:val="pl-PL"/>
        </w:rPr>
        <w:t>WYROK</w:t>
      </w:r>
    </w:p>
    <w:p w:rsidR="00B72335" w:rsidRPr="00B45853" w:rsidRDefault="00B72335" w:rsidP="00171A6F">
      <w:pPr>
        <w:jc w:val="center"/>
        <w:rPr>
          <w:rFonts w:ascii="Times New Roman" w:hAnsi="Times New Roman" w:cs="Times New Roman"/>
          <w:szCs w:val="24"/>
          <w:lang w:val="pl-PL"/>
        </w:rPr>
      </w:pPr>
    </w:p>
    <w:p w:rsidR="0045005C" w:rsidRPr="00B45853" w:rsidRDefault="0045005C" w:rsidP="00171A6F">
      <w:pPr>
        <w:jc w:val="center"/>
        <w:rPr>
          <w:rFonts w:ascii="Times New Roman" w:hAnsi="Times New Roman" w:cs="Times New Roman"/>
          <w:szCs w:val="24"/>
          <w:lang w:val="pl-PL"/>
        </w:rPr>
      </w:pPr>
    </w:p>
    <w:p w:rsidR="0045005C" w:rsidRPr="00B45853" w:rsidRDefault="0045005C" w:rsidP="00171A6F">
      <w:pPr>
        <w:jc w:val="center"/>
        <w:rPr>
          <w:rFonts w:ascii="Times New Roman" w:hAnsi="Times New Roman" w:cs="Times New Roman"/>
          <w:szCs w:val="24"/>
          <w:lang w:val="pl-PL"/>
        </w:rPr>
      </w:pPr>
    </w:p>
    <w:p w:rsidR="003A58C9" w:rsidRPr="00B45853" w:rsidRDefault="003A58C9" w:rsidP="00171A6F">
      <w:pPr>
        <w:jc w:val="center"/>
        <w:rPr>
          <w:rFonts w:ascii="Times New Roman" w:hAnsi="Times New Roman" w:cs="Times New Roman"/>
          <w:szCs w:val="24"/>
          <w:lang w:val="pl-PL"/>
        </w:rPr>
      </w:pPr>
    </w:p>
    <w:p w:rsidR="003A58C9" w:rsidRPr="00B45853" w:rsidRDefault="00907115" w:rsidP="00171A6F">
      <w:pPr>
        <w:jc w:val="center"/>
        <w:rPr>
          <w:rFonts w:ascii="Times New Roman" w:hAnsi="Times New Roman" w:cs="Times New Roman"/>
          <w:lang w:val="pl-PL"/>
        </w:rPr>
      </w:pPr>
      <w:r w:rsidRPr="00B45853">
        <w:rPr>
          <w:rFonts w:ascii="Times New Roman" w:hAnsi="Times New Roman" w:cs="Times New Roman"/>
          <w:lang w:val="pl-PL"/>
        </w:rPr>
        <w:t>STRASB</w:t>
      </w:r>
      <w:r w:rsidR="003A58C9" w:rsidRPr="00B45853">
        <w:rPr>
          <w:rFonts w:ascii="Times New Roman" w:hAnsi="Times New Roman" w:cs="Times New Roman"/>
          <w:lang w:val="pl-PL"/>
        </w:rPr>
        <w:t>URG</w:t>
      </w:r>
    </w:p>
    <w:p w:rsidR="003A58C9" w:rsidRPr="00B45853" w:rsidRDefault="003A58C9" w:rsidP="00171A6F">
      <w:pPr>
        <w:jc w:val="center"/>
        <w:rPr>
          <w:rFonts w:ascii="Times New Roman" w:hAnsi="Times New Roman" w:cs="Times New Roman"/>
          <w:lang w:val="pl-PL"/>
        </w:rPr>
      </w:pPr>
    </w:p>
    <w:p w:rsidR="0045005C" w:rsidRPr="00B45853" w:rsidRDefault="0045005C" w:rsidP="00171A6F">
      <w:pPr>
        <w:jc w:val="center"/>
        <w:rPr>
          <w:rFonts w:ascii="Times New Roman" w:hAnsi="Times New Roman" w:cs="Times New Roman"/>
          <w:lang w:val="pl-PL"/>
        </w:rPr>
      </w:pPr>
    </w:p>
    <w:p w:rsidR="003A58C9" w:rsidRPr="00B45853" w:rsidRDefault="00300B6D" w:rsidP="00171A6F">
      <w:pPr>
        <w:jc w:val="center"/>
        <w:rPr>
          <w:rFonts w:ascii="Times New Roman" w:hAnsi="Times New Roman" w:cs="Times New Roman"/>
          <w:lang w:val="pl-PL"/>
        </w:rPr>
      </w:pPr>
      <w:r w:rsidRPr="00B45853">
        <w:rPr>
          <w:rFonts w:ascii="Times New Roman" w:hAnsi="Times New Roman" w:cs="Times New Roman"/>
          <w:lang w:val="pl-PL"/>
        </w:rPr>
        <w:t>16 </w:t>
      </w:r>
      <w:r w:rsidR="00FE4D17" w:rsidRPr="00FE4D17">
        <w:rPr>
          <w:rFonts w:ascii="Times New Roman" w:hAnsi="Times New Roman" w:cs="Times New Roman"/>
          <w:lang w:val="pl-PL"/>
        </w:rPr>
        <w:t>c</w:t>
      </w:r>
      <w:r w:rsidR="00F87B03" w:rsidRPr="00FE4D17">
        <w:rPr>
          <w:rFonts w:ascii="Times New Roman" w:hAnsi="Times New Roman" w:cs="Times New Roman"/>
          <w:lang w:val="pl-PL"/>
        </w:rPr>
        <w:t>zerwca</w:t>
      </w:r>
      <w:r w:rsidR="00D04C5E" w:rsidRPr="00B45853">
        <w:rPr>
          <w:rFonts w:ascii="Times New Roman" w:hAnsi="Times New Roman" w:cs="Times New Roman"/>
          <w:lang w:val="pl-PL"/>
        </w:rPr>
        <w:t xml:space="preserve"> </w:t>
      </w:r>
      <w:r w:rsidR="003A58C9" w:rsidRPr="00B45853">
        <w:rPr>
          <w:rFonts w:ascii="Times New Roman" w:hAnsi="Times New Roman" w:cs="Times New Roman"/>
          <w:lang w:val="pl-PL"/>
        </w:rPr>
        <w:t>2015</w:t>
      </w:r>
    </w:p>
    <w:p w:rsidR="003A58C9" w:rsidRPr="00B45853" w:rsidRDefault="003A58C9" w:rsidP="00171A6F">
      <w:pPr>
        <w:jc w:val="center"/>
        <w:rPr>
          <w:rFonts w:ascii="Times New Roman" w:hAnsi="Times New Roman" w:cs="Times New Roman"/>
          <w:lang w:val="pl-PL"/>
        </w:rPr>
      </w:pPr>
    </w:p>
    <w:p w:rsidR="003A58C9" w:rsidRPr="00B45853" w:rsidRDefault="003A58C9" w:rsidP="00171A6F">
      <w:pPr>
        <w:jc w:val="center"/>
        <w:rPr>
          <w:rFonts w:ascii="Times New Roman" w:hAnsi="Times New Roman" w:cs="Times New Roman"/>
          <w:lang w:val="pl-PL"/>
        </w:rPr>
      </w:pPr>
    </w:p>
    <w:p w:rsidR="0045005C" w:rsidRPr="00B45853" w:rsidRDefault="0045005C" w:rsidP="00171A6F">
      <w:pPr>
        <w:jc w:val="center"/>
        <w:rPr>
          <w:rFonts w:ascii="Times New Roman" w:hAnsi="Times New Roman" w:cs="Times New Roman"/>
          <w:lang w:val="pl-PL"/>
        </w:rPr>
      </w:pPr>
      <w:bookmarkStart w:id="0" w:name="_GoBack"/>
      <w:bookmarkEnd w:id="0"/>
    </w:p>
    <w:p w:rsidR="0045005C" w:rsidRPr="00B45853" w:rsidRDefault="0045005C" w:rsidP="00171A6F">
      <w:pPr>
        <w:jc w:val="center"/>
        <w:rPr>
          <w:rFonts w:ascii="Times New Roman" w:hAnsi="Times New Roman" w:cs="Times New Roman"/>
          <w:lang w:val="pl-PL"/>
        </w:rPr>
      </w:pPr>
    </w:p>
    <w:p w:rsidR="0045005C" w:rsidRPr="00B45853" w:rsidRDefault="0045005C" w:rsidP="00171A6F">
      <w:pPr>
        <w:jc w:val="center"/>
        <w:rPr>
          <w:rFonts w:ascii="Times New Roman" w:hAnsi="Times New Roman" w:cs="Times New Roman"/>
          <w:lang w:val="pl-PL"/>
        </w:rPr>
      </w:pPr>
    </w:p>
    <w:p w:rsidR="0045005C" w:rsidRPr="00B45853" w:rsidRDefault="0045005C" w:rsidP="00171A6F">
      <w:pPr>
        <w:jc w:val="center"/>
        <w:rPr>
          <w:rFonts w:ascii="Times New Roman" w:hAnsi="Times New Roman" w:cs="Times New Roman"/>
          <w:lang w:val="pl-PL"/>
        </w:rPr>
      </w:pPr>
    </w:p>
    <w:p w:rsidR="00B5677E" w:rsidRPr="00B45853" w:rsidRDefault="00907115" w:rsidP="00171A6F">
      <w:pPr>
        <w:jc w:val="left"/>
        <w:rPr>
          <w:rFonts w:ascii="Times New Roman" w:hAnsi="Times New Roman" w:cs="Times New Roman"/>
          <w:szCs w:val="24"/>
          <w:lang w:val="pl-PL"/>
        </w:rPr>
        <w:sectPr w:rsidR="00B5677E" w:rsidRPr="00B45853" w:rsidSect="00B5677E">
          <w:headerReference w:type="even" r:id="rId12"/>
          <w:headerReference w:type="default" r:id="rId13"/>
          <w:footerReference w:type="even" r:id="rId14"/>
          <w:footerReference w:type="default" r:id="rId15"/>
          <w:headerReference w:type="first" r:id="rId16"/>
          <w:footerReference w:type="first" r:id="rId17"/>
          <w:pgSz w:w="11906" w:h="16838" w:code="9"/>
          <w:pgMar w:top="2274" w:right="2274" w:bottom="2274" w:left="2274" w:header="1701" w:footer="720" w:gutter="0"/>
          <w:pgNumType w:start="1"/>
          <w:cols w:space="720"/>
          <w:docGrid w:linePitch="326"/>
        </w:sectPr>
      </w:pPr>
      <w:r w:rsidRPr="00B45853">
        <w:rPr>
          <w:rFonts w:ascii="Times New Roman" w:hAnsi="Times New Roman" w:cs="Times New Roman"/>
          <w:i/>
          <w:sz w:val="22"/>
          <w:lang w:val="pl-PL"/>
        </w:rPr>
        <w:t>Ten wyrok jest prawomocny, ale może podlegać korekcie wydawniczej</w:t>
      </w:r>
      <w:r w:rsidR="003A58C9" w:rsidRPr="00B45853">
        <w:rPr>
          <w:rFonts w:ascii="Times New Roman" w:hAnsi="Times New Roman" w:cs="Times New Roman"/>
          <w:i/>
          <w:sz w:val="22"/>
          <w:lang w:val="pl-PL"/>
        </w:rPr>
        <w:t>.</w:t>
      </w:r>
      <w:r w:rsidR="00B5677E" w:rsidRPr="00B45853">
        <w:rPr>
          <w:rFonts w:ascii="Times New Roman" w:hAnsi="Times New Roman" w:cs="Times New Roman"/>
          <w:szCs w:val="24"/>
          <w:lang w:val="pl-PL"/>
        </w:rPr>
        <w:t xml:space="preserve"> </w:t>
      </w:r>
    </w:p>
    <w:p w:rsidR="000327B5" w:rsidRPr="00B45853" w:rsidRDefault="00907115" w:rsidP="00171A6F">
      <w:pPr>
        <w:pStyle w:val="Nagwekspisutreci"/>
        <w:rPr>
          <w:rFonts w:ascii="Times New Roman" w:hAnsi="Times New Roman" w:cs="Times New Roman"/>
          <w:color w:val="auto"/>
          <w:sz w:val="22"/>
          <w:szCs w:val="22"/>
          <w:lang w:val="en-GB"/>
        </w:rPr>
      </w:pPr>
      <w:proofErr w:type="spellStart"/>
      <w:r w:rsidRPr="00B45853">
        <w:rPr>
          <w:rFonts w:ascii="Times New Roman" w:hAnsi="Times New Roman" w:cs="Times New Roman"/>
          <w:color w:val="auto"/>
          <w:lang w:val="en-GB"/>
        </w:rPr>
        <w:lastRenderedPageBreak/>
        <w:t>Spis</w:t>
      </w:r>
      <w:proofErr w:type="spellEnd"/>
      <w:r w:rsidRPr="00B45853">
        <w:rPr>
          <w:rFonts w:ascii="Times New Roman" w:hAnsi="Times New Roman" w:cs="Times New Roman"/>
          <w:color w:val="auto"/>
          <w:lang w:val="en-GB"/>
        </w:rPr>
        <w:t xml:space="preserve"> </w:t>
      </w:r>
      <w:proofErr w:type="spellStart"/>
      <w:r w:rsidRPr="00B45853">
        <w:rPr>
          <w:rFonts w:ascii="Times New Roman" w:hAnsi="Times New Roman" w:cs="Times New Roman"/>
          <w:color w:val="auto"/>
          <w:lang w:val="en-GB"/>
        </w:rPr>
        <w:t>Treści</w:t>
      </w:r>
      <w:proofErr w:type="spellEnd"/>
    </w:p>
    <w:p w:rsidR="00566316" w:rsidRPr="00B45853" w:rsidRDefault="00DD67A4" w:rsidP="00171A6F">
      <w:pPr>
        <w:pStyle w:val="Spistreci1"/>
        <w:tabs>
          <w:tab w:val="right" w:leader="dot" w:pos="7348"/>
        </w:tabs>
        <w:rPr>
          <w:rFonts w:ascii="Times New Roman" w:hAnsi="Times New Roman" w:cs="Times New Roman"/>
          <w:noProof/>
          <w:color w:val="auto"/>
          <w:sz w:val="22"/>
        </w:rPr>
      </w:pPr>
      <w:r w:rsidRPr="00B45853">
        <w:rPr>
          <w:rFonts w:ascii="Times New Roman" w:hAnsi="Times New Roman" w:cs="Times New Roman"/>
          <w:color w:val="auto"/>
          <w:lang w:val="en-GB"/>
        </w:rPr>
        <w:fldChar w:fldCharType="begin"/>
      </w:r>
      <w:r w:rsidR="000327B5" w:rsidRPr="00B45853">
        <w:rPr>
          <w:rFonts w:ascii="Times New Roman" w:hAnsi="Times New Roman" w:cs="Times New Roman"/>
          <w:color w:val="auto"/>
          <w:lang w:val="en-GB"/>
        </w:rPr>
        <w:instrText xml:space="preserve"> TOC \o "1-3" \h \z \u </w:instrText>
      </w:r>
      <w:r w:rsidRPr="00B45853">
        <w:rPr>
          <w:rFonts w:ascii="Times New Roman" w:hAnsi="Times New Roman" w:cs="Times New Roman"/>
          <w:color w:val="auto"/>
          <w:lang w:val="en-GB"/>
        </w:rPr>
        <w:fldChar w:fldCharType="separate"/>
      </w:r>
      <w:hyperlink w:anchor="_Toc420072850" w:history="1">
        <w:r w:rsidR="00F87B03" w:rsidRPr="00FE4D17">
          <w:rPr>
            <w:rStyle w:val="Hipercze"/>
            <w:rFonts w:ascii="Times New Roman" w:hAnsi="Times New Roman" w:cs="Times New Roman"/>
            <w:noProof/>
            <w:color w:val="auto"/>
            <w:lang w:val="en-GB"/>
          </w:rPr>
          <w:t>POSTĘPOWANIE</w:t>
        </w:r>
        <w:r w:rsidR="00566316" w:rsidRPr="00B45853">
          <w:rPr>
            <w:rFonts w:ascii="Times New Roman" w:hAnsi="Times New Roman" w:cs="Times New Roman"/>
            <w:noProof/>
            <w:webHidden/>
            <w:color w:val="auto"/>
          </w:rPr>
          <w:tab/>
        </w:r>
        <w:r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_Toc420072850 \h </w:instrText>
        </w:r>
        <w:r w:rsidRPr="00B45853">
          <w:rPr>
            <w:rFonts w:ascii="Times New Roman" w:hAnsi="Times New Roman" w:cs="Times New Roman"/>
            <w:noProof/>
            <w:webHidden/>
            <w:color w:val="auto"/>
          </w:rPr>
        </w:r>
        <w:r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3</w:t>
        </w:r>
        <w:r w:rsidRPr="00B45853">
          <w:rPr>
            <w:rFonts w:ascii="Times New Roman" w:hAnsi="Times New Roman" w:cs="Times New Roman"/>
            <w:noProof/>
            <w:webHidden/>
            <w:color w:val="auto"/>
          </w:rPr>
          <w:fldChar w:fldCharType="end"/>
        </w:r>
      </w:hyperlink>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51" w:history="1">
        <w:r w:rsidR="00907115" w:rsidRPr="00B45853">
          <w:rPr>
            <w:rStyle w:val="Hipercze"/>
            <w:rFonts w:ascii="Times New Roman" w:hAnsi="Times New Roman" w:cs="Times New Roman"/>
            <w:noProof/>
            <w:color w:val="auto"/>
            <w:lang w:val="en-GB"/>
          </w:rPr>
          <w:t>FAKTY</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_Toc420072851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5</w:t>
        </w:r>
        <w:r w:rsidR="00DD67A4" w:rsidRPr="00B45853">
          <w:rPr>
            <w:rFonts w:ascii="Times New Roman" w:hAnsi="Times New Roman" w:cs="Times New Roman"/>
            <w:noProof/>
            <w:webHidden/>
            <w:color w:val="auto"/>
          </w:rPr>
          <w:fldChar w:fldCharType="end"/>
        </w:r>
      </w:hyperlink>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52" w:history="1">
        <w:r w:rsidR="00566316" w:rsidRPr="00B45853">
          <w:rPr>
            <w:rStyle w:val="Hipercze"/>
            <w:rFonts w:ascii="Times New Roman" w:hAnsi="Times New Roman" w:cs="Times New Roman"/>
            <w:noProof/>
            <w:color w:val="auto"/>
            <w:lang w:val="en-GB"/>
          </w:rPr>
          <w:t>I.  </w:t>
        </w:r>
        <w:r w:rsidR="00907115" w:rsidRPr="00B45853">
          <w:rPr>
            <w:rStyle w:val="Hipercze"/>
            <w:rFonts w:ascii="Times New Roman" w:hAnsi="Times New Roman" w:cs="Times New Roman"/>
            <w:noProof/>
            <w:color w:val="auto"/>
            <w:lang w:val="en-GB"/>
          </w:rPr>
          <w:t>OKOLICZNOŚCI SPRAWY</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_Toc420072852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5</w:t>
        </w:r>
        <w:r w:rsidR="00DD67A4" w:rsidRPr="00B45853">
          <w:rPr>
            <w:rFonts w:ascii="Times New Roman" w:hAnsi="Times New Roman" w:cs="Times New Roman"/>
            <w:noProof/>
            <w:webHidden/>
            <w:color w:val="auto"/>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53" w:history="1">
        <w:r w:rsidR="00907115" w:rsidRPr="00B45853">
          <w:rPr>
            <w:rStyle w:val="Hipercze"/>
            <w:rFonts w:ascii="Times New Roman" w:hAnsi="Times New Roman" w:cs="Times New Roman"/>
            <w:noProof/>
            <w:color w:val="auto"/>
            <w:lang w:val="en-GB"/>
          </w:rPr>
          <w:t>A.  Okoliczności powstania sporu</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_Toc420072853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5</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54" w:history="1">
        <w:r w:rsidR="00566316" w:rsidRPr="00B45853">
          <w:rPr>
            <w:rStyle w:val="Hipercze"/>
            <w:rFonts w:ascii="Times New Roman" w:hAnsi="Times New Roman" w:cs="Times New Roman"/>
            <w:noProof/>
            <w:color w:val="auto"/>
            <w:lang w:val="en-GB"/>
          </w:rPr>
          <w:t>B.  </w:t>
        </w:r>
        <w:r w:rsidR="00907115" w:rsidRPr="00B45853">
          <w:rPr>
            <w:rStyle w:val="Hipercze"/>
            <w:rFonts w:ascii="Times New Roman" w:hAnsi="Times New Roman" w:cs="Times New Roman"/>
            <w:noProof/>
            <w:color w:val="auto"/>
            <w:lang w:val="en-GB"/>
          </w:rPr>
          <w:t>Artykuł i komentarze publikowane na internetowym portalu informacyjnym</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_Toc420072854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6</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55" w:history="1">
        <w:r w:rsidR="00566316" w:rsidRPr="00B45853">
          <w:rPr>
            <w:rStyle w:val="Hipercze"/>
            <w:rFonts w:ascii="Times New Roman" w:hAnsi="Times New Roman" w:cs="Times New Roman"/>
            <w:noProof/>
            <w:color w:val="auto"/>
            <w:lang w:val="en-GB"/>
          </w:rPr>
          <w:t>C.  </w:t>
        </w:r>
        <w:r w:rsidR="00907115" w:rsidRPr="00B45853">
          <w:rPr>
            <w:rStyle w:val="Hipercze"/>
            <w:rFonts w:ascii="Times New Roman" w:hAnsi="Times New Roman" w:cs="Times New Roman"/>
            <w:noProof/>
            <w:color w:val="auto"/>
            <w:lang w:val="en-GB"/>
          </w:rPr>
          <w:t>Postępowanie cywilne przeciwko skarżącej spółce</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_Toc420072855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8</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56" w:history="1">
        <w:r w:rsidR="00566316" w:rsidRPr="00B45853">
          <w:rPr>
            <w:rStyle w:val="Hipercze"/>
            <w:rFonts w:ascii="Times New Roman" w:hAnsi="Times New Roman" w:cs="Times New Roman"/>
            <w:noProof/>
            <w:color w:val="auto"/>
            <w:lang w:val="en-GB"/>
          </w:rPr>
          <w:t>D.  </w:t>
        </w:r>
        <w:r w:rsidR="003A2B7F" w:rsidRPr="00B45853">
          <w:rPr>
            <w:rStyle w:val="Hipercze"/>
            <w:rFonts w:ascii="Times New Roman" w:hAnsi="Times New Roman" w:cs="Times New Roman"/>
            <w:noProof/>
            <w:color w:val="auto"/>
            <w:lang w:val="en-GB"/>
          </w:rPr>
          <w:t>Późniejszy</w:t>
        </w:r>
        <w:r w:rsidR="00907115" w:rsidRPr="00B45853">
          <w:rPr>
            <w:rStyle w:val="Hipercze"/>
            <w:rFonts w:ascii="Times New Roman" w:hAnsi="Times New Roman" w:cs="Times New Roman"/>
            <w:noProof/>
            <w:color w:val="auto"/>
            <w:lang w:val="en-GB"/>
          </w:rPr>
          <w:t xml:space="preserve"> </w:t>
        </w:r>
        <w:r w:rsidR="003A2B7F" w:rsidRPr="00B45853">
          <w:rPr>
            <w:rStyle w:val="Hipercze"/>
            <w:rFonts w:ascii="Times New Roman" w:hAnsi="Times New Roman" w:cs="Times New Roman"/>
            <w:noProof/>
            <w:color w:val="auto"/>
            <w:lang w:val="en-GB"/>
          </w:rPr>
          <w:t>rozwój sytuacji</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_Toc420072856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14</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57" w:history="1">
        <w:r w:rsidR="00566316" w:rsidRPr="00B45853">
          <w:rPr>
            <w:rStyle w:val="Hipercze"/>
            <w:rFonts w:ascii="Times New Roman" w:hAnsi="Times New Roman" w:cs="Times New Roman"/>
            <w:noProof/>
            <w:color w:val="auto"/>
            <w:lang w:val="en-GB"/>
          </w:rPr>
          <w:t>II.  </w:t>
        </w:r>
        <w:r w:rsidR="00C9531E">
          <w:rPr>
            <w:rStyle w:val="Hipercze"/>
            <w:rFonts w:ascii="Times New Roman" w:hAnsi="Times New Roman" w:cs="Times New Roman"/>
            <w:noProof/>
            <w:color w:val="auto"/>
            <w:lang w:val="en-GB"/>
          </w:rPr>
          <w:t>WŁAŚCIWE</w:t>
        </w:r>
        <w:r w:rsidR="00907115" w:rsidRPr="00B45853">
          <w:rPr>
            <w:rStyle w:val="Hipercze"/>
            <w:rFonts w:ascii="Times New Roman" w:hAnsi="Times New Roman" w:cs="Times New Roman"/>
            <w:noProof/>
            <w:color w:val="auto"/>
            <w:lang w:val="en-GB"/>
          </w:rPr>
          <w:t xml:space="preserve"> PRAWO KRAJOWE I PRAKTYKA</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_Toc420072857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14</w:t>
        </w:r>
        <w:r w:rsidR="00DD67A4" w:rsidRPr="00B45853">
          <w:rPr>
            <w:rFonts w:ascii="Times New Roman" w:hAnsi="Times New Roman" w:cs="Times New Roman"/>
            <w:noProof/>
            <w:webHidden/>
            <w:color w:val="auto"/>
          </w:rPr>
          <w:fldChar w:fldCharType="end"/>
        </w:r>
      </w:hyperlink>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58" w:history="1">
        <w:r w:rsidR="00F37B88">
          <w:rPr>
            <w:rStyle w:val="Hipercze"/>
            <w:rFonts w:ascii="Times New Roman" w:hAnsi="Times New Roman" w:cs="Times New Roman"/>
            <w:noProof/>
            <w:color w:val="auto"/>
          </w:rPr>
          <w:t>III. </w:t>
        </w:r>
        <w:r w:rsidR="00C9531E" w:rsidRPr="00C9531E">
          <w:rPr>
            <w:rStyle w:val="Hipercze"/>
            <w:rFonts w:ascii="Times New Roman" w:hAnsi="Times New Roman" w:cs="Times New Roman"/>
            <w:noProof/>
            <w:color w:val="auto"/>
          </w:rPr>
          <w:t xml:space="preserve">WŁAŚCIWE </w:t>
        </w:r>
        <w:r w:rsidR="00907115" w:rsidRPr="00B45853">
          <w:rPr>
            <w:rStyle w:val="Hipercze"/>
            <w:rFonts w:ascii="Times New Roman" w:hAnsi="Times New Roman" w:cs="Times New Roman"/>
            <w:noProof/>
            <w:color w:val="auto"/>
          </w:rPr>
          <w:t>DOKUMENTY MIĘDZYNARODOWE</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_Toc420072858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20</w:t>
        </w:r>
        <w:r w:rsidR="00DD67A4" w:rsidRPr="00B45853">
          <w:rPr>
            <w:rFonts w:ascii="Times New Roman" w:hAnsi="Times New Roman" w:cs="Times New Roman"/>
            <w:noProof/>
            <w:webHidden/>
            <w:color w:val="auto"/>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59" w:history="1">
        <w:r w:rsidR="00566316" w:rsidRPr="00B45853">
          <w:rPr>
            <w:rStyle w:val="Hipercze"/>
            <w:rFonts w:ascii="Times New Roman" w:hAnsi="Times New Roman" w:cs="Times New Roman"/>
            <w:noProof/>
            <w:color w:val="auto"/>
          </w:rPr>
          <w:t>A.  </w:t>
        </w:r>
        <w:r w:rsidR="00907115" w:rsidRPr="00B45853">
          <w:rPr>
            <w:rStyle w:val="Hipercze"/>
            <w:rFonts w:ascii="Times New Roman" w:hAnsi="Times New Roman" w:cs="Times New Roman"/>
            <w:noProof/>
            <w:color w:val="auto"/>
            <w:lang w:val="en-GB"/>
          </w:rPr>
          <w:t>Dokumenty Rady Europy</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_Toc420072859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20</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60" w:history="1">
        <w:r w:rsidR="00566316" w:rsidRPr="00B45853">
          <w:rPr>
            <w:rStyle w:val="Hipercze"/>
            <w:rFonts w:ascii="Times New Roman" w:hAnsi="Times New Roman" w:cs="Times New Roman"/>
            <w:noProof/>
            <w:color w:val="auto"/>
            <w:lang w:val="en-GB"/>
          </w:rPr>
          <w:t>B.  </w:t>
        </w:r>
        <w:r w:rsidR="00907115" w:rsidRPr="00B45853">
          <w:rPr>
            <w:rStyle w:val="Hipercze"/>
            <w:rFonts w:ascii="Times New Roman" w:hAnsi="Times New Roman" w:cs="Times New Roman"/>
            <w:noProof/>
            <w:color w:val="auto"/>
            <w:lang w:val="en-GB"/>
          </w:rPr>
          <w:t>Inne międzynarodowe dokumenty</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_Toc420072860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24</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61" w:history="1">
        <w:r w:rsidR="00566316" w:rsidRPr="00B45853">
          <w:rPr>
            <w:rStyle w:val="Hipercze"/>
            <w:rFonts w:ascii="Times New Roman" w:hAnsi="Times New Roman" w:cs="Times New Roman"/>
            <w:noProof/>
            <w:color w:val="auto"/>
            <w:lang w:val="en-GB"/>
          </w:rPr>
          <w:t>IV.  </w:t>
        </w:r>
        <w:r w:rsidR="00F37B88" w:rsidRPr="00F37B88">
          <w:rPr>
            <w:rStyle w:val="Hipercze"/>
            <w:rFonts w:ascii="Times New Roman" w:hAnsi="Times New Roman" w:cs="Times New Roman"/>
            <w:noProof/>
            <w:color w:val="auto"/>
            <w:lang w:val="en-GB"/>
          </w:rPr>
          <w:t>ODPOWIEDNI</w:t>
        </w:r>
        <w:r w:rsidR="00907115" w:rsidRPr="00B45853">
          <w:rPr>
            <w:rStyle w:val="Hipercze"/>
            <w:rFonts w:ascii="Times New Roman" w:hAnsi="Times New Roman" w:cs="Times New Roman"/>
            <w:noProof/>
            <w:color w:val="auto"/>
            <w:lang w:val="en-GB"/>
          </w:rPr>
          <w:t xml:space="preserve"> MATERIAŁ PRAWA UNII EUROPEJSKIEJ I PRAWA PORÓWNAWCZEGO</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_Toc420072861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25</w:t>
        </w:r>
        <w:r w:rsidR="00DD67A4" w:rsidRPr="00B45853">
          <w:rPr>
            <w:rFonts w:ascii="Times New Roman" w:hAnsi="Times New Roman" w:cs="Times New Roman"/>
            <w:noProof/>
            <w:webHidden/>
            <w:color w:val="auto"/>
          </w:rPr>
          <w:fldChar w:fldCharType="end"/>
        </w:r>
      </w:hyperlink>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62" w:history="1">
        <w:r w:rsidR="00566316" w:rsidRPr="00B45853">
          <w:rPr>
            <w:rStyle w:val="Hipercze"/>
            <w:rFonts w:ascii="Times New Roman" w:hAnsi="Times New Roman" w:cs="Times New Roman"/>
            <w:noProof/>
            <w:color w:val="auto"/>
            <w:lang w:val="en-GB"/>
          </w:rPr>
          <w:t>A.  </w:t>
        </w:r>
        <w:r w:rsidR="00644CFC" w:rsidRPr="00B45853">
          <w:rPr>
            <w:rStyle w:val="Hipercze"/>
            <w:rFonts w:ascii="Times New Roman" w:hAnsi="Times New Roman" w:cs="Times New Roman"/>
            <w:noProof/>
            <w:color w:val="auto"/>
            <w:lang w:val="en-GB"/>
          </w:rPr>
          <w:t>Dokumenty i orzecznictwo Unii Europejskiej</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_Toc420072862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25</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63" w:history="1">
        <w:r w:rsidR="00644CFC" w:rsidRPr="00B45853">
          <w:rPr>
            <w:rStyle w:val="Hipercze"/>
            <w:rFonts w:ascii="Times New Roman" w:hAnsi="Times New Roman" w:cs="Times New Roman"/>
            <w:noProof/>
            <w:color w:val="auto"/>
            <w:lang w:val="en-GB"/>
          </w:rPr>
          <w:t>1.  Dyrektywa</w:t>
        </w:r>
        <w:r w:rsidR="00566316" w:rsidRPr="00B45853">
          <w:rPr>
            <w:rStyle w:val="Hipercze"/>
            <w:rFonts w:ascii="Times New Roman" w:hAnsi="Times New Roman" w:cs="Times New Roman"/>
            <w:noProof/>
            <w:color w:val="auto"/>
            <w:lang w:val="en-GB"/>
          </w:rPr>
          <w:t xml:space="preserve"> 2000/31/EC</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_Toc420072863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2</w:t>
        </w:r>
        <w:r w:rsidR="00DD67A4" w:rsidRPr="00B45853">
          <w:rPr>
            <w:rFonts w:ascii="Times New Roman" w:hAnsi="Times New Roman" w:cs="Times New Roman"/>
            <w:noProof/>
            <w:webHidden/>
          </w:rPr>
          <w:fldChar w:fldCharType="end"/>
        </w:r>
      </w:hyperlink>
      <w:r w:rsidR="00C9531E">
        <w:t>9</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64" w:history="1">
        <w:r w:rsidR="00644CFC" w:rsidRPr="00B45853">
          <w:rPr>
            <w:rStyle w:val="Hipercze"/>
            <w:rFonts w:ascii="Times New Roman" w:hAnsi="Times New Roman" w:cs="Times New Roman"/>
            <w:noProof/>
            <w:color w:val="auto"/>
            <w:lang w:val="en-GB"/>
          </w:rPr>
          <w:t>2.  Dyrektywa</w:t>
        </w:r>
        <w:r w:rsidR="00566316" w:rsidRPr="00B45853">
          <w:rPr>
            <w:rStyle w:val="Hipercze"/>
            <w:rFonts w:ascii="Times New Roman" w:hAnsi="Times New Roman" w:cs="Times New Roman"/>
            <w:noProof/>
            <w:color w:val="auto"/>
            <w:lang w:val="en-GB"/>
          </w:rPr>
          <w:t xml:space="preserve"> 98/34/EC </w:t>
        </w:r>
        <w:r w:rsidR="00644CFC" w:rsidRPr="00B45853">
          <w:rPr>
            <w:rStyle w:val="Hipercze"/>
            <w:rFonts w:ascii="Times New Roman" w:hAnsi="Times New Roman" w:cs="Times New Roman"/>
            <w:noProof/>
            <w:color w:val="auto"/>
            <w:lang w:val="en-GB"/>
          </w:rPr>
          <w:t>zmieniona Dyrektywą</w:t>
        </w:r>
        <w:r w:rsidR="00566316" w:rsidRPr="00B45853">
          <w:rPr>
            <w:rStyle w:val="Hipercze"/>
            <w:rFonts w:ascii="Times New Roman" w:hAnsi="Times New Roman" w:cs="Times New Roman"/>
            <w:noProof/>
            <w:color w:val="auto"/>
            <w:lang w:val="en-GB"/>
          </w:rPr>
          <w:t xml:space="preserve"> 98/48/EC</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_Toc420072864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28</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65" w:history="1">
        <w:r w:rsidR="00566316" w:rsidRPr="00B45853">
          <w:rPr>
            <w:rStyle w:val="Hipercze"/>
            <w:rFonts w:ascii="Times New Roman" w:hAnsi="Times New Roman" w:cs="Times New Roman"/>
            <w:noProof/>
            <w:color w:val="auto"/>
            <w:lang w:val="en-GB"/>
          </w:rPr>
          <w:t>3.  </w:t>
        </w:r>
        <w:r w:rsidR="00644CFC" w:rsidRPr="00B45853">
          <w:rPr>
            <w:rStyle w:val="Hipercze"/>
            <w:rFonts w:ascii="Times New Roman" w:hAnsi="Times New Roman" w:cs="Times New Roman"/>
            <w:noProof/>
            <w:color w:val="auto"/>
            <w:lang w:val="en-GB"/>
          </w:rPr>
          <w:t>Orzecznictwo Trybunału Sprawiedliwości Unii Europejskiej</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_Toc420072865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2</w:t>
        </w:r>
        <w:r w:rsidR="00DD67A4" w:rsidRPr="00B45853">
          <w:rPr>
            <w:rFonts w:ascii="Times New Roman" w:hAnsi="Times New Roman" w:cs="Times New Roman"/>
            <w:noProof/>
            <w:webHidden/>
          </w:rPr>
          <w:fldChar w:fldCharType="end"/>
        </w:r>
      </w:hyperlink>
      <w:r w:rsidR="00C9531E">
        <w:t>9</w:t>
      </w:r>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66" w:history="1">
        <w:r w:rsidR="00566316" w:rsidRPr="00B45853">
          <w:rPr>
            <w:rStyle w:val="Hipercze"/>
            <w:rFonts w:ascii="Times New Roman" w:hAnsi="Times New Roman" w:cs="Times New Roman"/>
            <w:noProof/>
            <w:color w:val="auto"/>
            <w:lang w:val="en-GB"/>
          </w:rPr>
          <w:t>B.  </w:t>
        </w:r>
        <w:r w:rsidR="00644CFC" w:rsidRPr="00B45853">
          <w:rPr>
            <w:rStyle w:val="Hipercze"/>
            <w:rFonts w:ascii="Times New Roman" w:hAnsi="Times New Roman" w:cs="Times New Roman"/>
            <w:noProof/>
            <w:color w:val="auto"/>
            <w:lang w:val="en-GB"/>
          </w:rPr>
          <w:t>Materiał prawa porównawczego</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_Toc420072866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3</w:t>
        </w:r>
        <w:r w:rsidR="00C9531E">
          <w:rPr>
            <w:rFonts w:ascii="Times New Roman" w:hAnsi="Times New Roman" w:cs="Times New Roman"/>
            <w:noProof/>
            <w:webHidden/>
          </w:rPr>
          <w:t>2</w:t>
        </w:r>
        <w:r w:rsidR="00DD67A4" w:rsidRPr="00B45853">
          <w:rPr>
            <w:rFonts w:ascii="Times New Roman" w:hAnsi="Times New Roman" w:cs="Times New Roman"/>
            <w:noProof/>
            <w:webHidden/>
          </w:rPr>
          <w:fldChar w:fldCharType="end"/>
        </w:r>
      </w:hyperlink>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67" w:history="1">
        <w:r w:rsidR="00644CFC" w:rsidRPr="00B45853">
          <w:rPr>
            <w:rStyle w:val="Hipercze"/>
            <w:rFonts w:ascii="Times New Roman" w:hAnsi="Times New Roman" w:cs="Times New Roman"/>
            <w:noProof/>
            <w:color w:val="auto"/>
            <w:lang w:val="en-GB"/>
          </w:rPr>
          <w:t>PRAWO</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_Toc420072867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3</w:t>
        </w:r>
        <w:r w:rsidR="00DD67A4" w:rsidRPr="00B45853">
          <w:rPr>
            <w:rFonts w:ascii="Times New Roman" w:hAnsi="Times New Roman" w:cs="Times New Roman"/>
            <w:noProof/>
            <w:webHidden/>
            <w:color w:val="auto"/>
          </w:rPr>
          <w:fldChar w:fldCharType="end"/>
        </w:r>
      </w:hyperlink>
      <w:r w:rsidR="00C9531E">
        <w:t>2</w:t>
      </w:r>
    </w:p>
    <w:p w:rsidR="00566316" w:rsidRPr="00B45853" w:rsidRDefault="00BB5B76" w:rsidP="00171A6F">
      <w:pPr>
        <w:pStyle w:val="Spistreci1"/>
        <w:tabs>
          <w:tab w:val="right" w:leader="dot" w:pos="7348"/>
        </w:tabs>
        <w:rPr>
          <w:rFonts w:ascii="Times New Roman" w:hAnsi="Times New Roman" w:cs="Times New Roman"/>
          <w:noProof/>
          <w:color w:val="auto"/>
          <w:sz w:val="22"/>
        </w:rPr>
      </w:pPr>
      <w:hyperlink w:anchor="_Toc420072868" w:history="1">
        <w:r w:rsidR="00566316" w:rsidRPr="00B45853">
          <w:rPr>
            <w:rStyle w:val="Hipercze"/>
            <w:rFonts w:ascii="Times New Roman" w:hAnsi="Times New Roman" w:cs="Times New Roman"/>
            <w:noProof/>
            <w:color w:val="auto"/>
            <w:lang w:val="en-GB"/>
          </w:rPr>
          <w:t>I.  </w:t>
        </w:r>
        <w:r w:rsidR="00644CFC" w:rsidRPr="00B45853">
          <w:rPr>
            <w:rStyle w:val="Hipercze"/>
            <w:rFonts w:ascii="Times New Roman" w:hAnsi="Times New Roman" w:cs="Times New Roman"/>
            <w:noProof/>
            <w:color w:val="auto"/>
            <w:lang w:val="en-GB"/>
          </w:rPr>
          <w:t>ZARZUT NARUSZENIA ARTYKUŁU 10 KONWENCJI</w:t>
        </w:r>
        <w:r w:rsidR="00566316" w:rsidRPr="00B45853">
          <w:rPr>
            <w:rFonts w:ascii="Times New Roman" w:hAnsi="Times New Roman" w:cs="Times New Roman"/>
            <w:noProof/>
            <w:webHidden/>
            <w:color w:val="auto"/>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rPr>
          <w:instrText xml:space="preserve"> PAGEREF _Toc420072868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rPr>
          <w:t>3</w:t>
        </w:r>
        <w:r w:rsidR="00DD67A4" w:rsidRPr="00B45853">
          <w:rPr>
            <w:rFonts w:ascii="Times New Roman" w:hAnsi="Times New Roman" w:cs="Times New Roman"/>
            <w:noProof/>
            <w:webHidden/>
            <w:color w:val="auto"/>
          </w:rPr>
          <w:fldChar w:fldCharType="end"/>
        </w:r>
      </w:hyperlink>
      <w:r w:rsidR="00C9531E">
        <w:t>2</w:t>
      </w:r>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69" w:history="1">
        <w:r w:rsidR="00566316" w:rsidRPr="00B45853">
          <w:rPr>
            <w:rStyle w:val="Hipercze"/>
            <w:rFonts w:ascii="Times New Roman" w:hAnsi="Times New Roman" w:cs="Times New Roman"/>
            <w:noProof/>
            <w:color w:val="auto"/>
            <w:lang w:val="en-GB"/>
          </w:rPr>
          <w:t>A.  </w:t>
        </w:r>
        <w:r w:rsidR="00644CFC" w:rsidRPr="00B45853">
          <w:rPr>
            <w:rStyle w:val="Hipercze"/>
            <w:rFonts w:ascii="Times New Roman" w:hAnsi="Times New Roman" w:cs="Times New Roman"/>
            <w:noProof/>
            <w:color w:val="auto"/>
            <w:lang w:val="en-GB"/>
          </w:rPr>
          <w:t>Orzeczenie Izby</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_Toc420072869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3</w:t>
        </w:r>
        <w:r w:rsidR="00DD67A4" w:rsidRPr="00B45853">
          <w:rPr>
            <w:rFonts w:ascii="Times New Roman" w:hAnsi="Times New Roman" w:cs="Times New Roman"/>
            <w:noProof/>
            <w:webHidden/>
          </w:rPr>
          <w:fldChar w:fldCharType="end"/>
        </w:r>
      </w:hyperlink>
      <w:r w:rsidR="00C9531E">
        <w:t>3</w:t>
      </w:r>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70" w:history="1">
        <w:r w:rsidR="00566316" w:rsidRPr="00B45853">
          <w:rPr>
            <w:rStyle w:val="Hipercze"/>
            <w:rFonts w:ascii="Times New Roman" w:hAnsi="Times New Roman" w:cs="Times New Roman"/>
            <w:noProof/>
            <w:color w:val="auto"/>
            <w:lang w:val="en-GB"/>
          </w:rPr>
          <w:t>B.  </w:t>
        </w:r>
        <w:r w:rsidR="00644CFC" w:rsidRPr="00B45853">
          <w:rPr>
            <w:rStyle w:val="Hipercze"/>
            <w:rFonts w:ascii="Times New Roman" w:hAnsi="Times New Roman" w:cs="Times New Roman"/>
            <w:noProof/>
            <w:color w:val="auto"/>
            <w:lang w:val="en-GB"/>
          </w:rPr>
          <w:t>Stanowiska stron do Wielkiej Izby</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_Toc420072870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3</w:t>
        </w:r>
        <w:r w:rsidR="00DD67A4" w:rsidRPr="00B45853">
          <w:rPr>
            <w:rFonts w:ascii="Times New Roman" w:hAnsi="Times New Roman" w:cs="Times New Roman"/>
            <w:noProof/>
            <w:webHidden/>
          </w:rPr>
          <w:fldChar w:fldCharType="end"/>
        </w:r>
      </w:hyperlink>
      <w:r w:rsidR="00C9531E">
        <w:t>5</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1" w:history="1">
        <w:r w:rsidR="00566316" w:rsidRPr="00B45853">
          <w:rPr>
            <w:rStyle w:val="Hipercze"/>
            <w:rFonts w:ascii="Times New Roman" w:hAnsi="Times New Roman" w:cs="Times New Roman"/>
            <w:noProof/>
            <w:color w:val="auto"/>
            <w:lang w:val="en-GB"/>
          </w:rPr>
          <w:t>1.  </w:t>
        </w:r>
        <w:r w:rsidR="00644CFC" w:rsidRPr="00B45853">
          <w:rPr>
            <w:rStyle w:val="Hipercze"/>
            <w:rFonts w:ascii="Times New Roman" w:hAnsi="Times New Roman" w:cs="Times New Roman"/>
            <w:noProof/>
            <w:color w:val="auto"/>
            <w:lang w:val="en-GB"/>
          </w:rPr>
          <w:t>Spółka skarżąca</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_Toc420072871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3</w:t>
        </w:r>
        <w:r w:rsidR="00DD67A4" w:rsidRPr="00B45853">
          <w:rPr>
            <w:rFonts w:ascii="Times New Roman" w:hAnsi="Times New Roman" w:cs="Times New Roman"/>
            <w:noProof/>
            <w:webHidden/>
          </w:rPr>
          <w:fldChar w:fldCharType="end"/>
        </w:r>
      </w:hyperlink>
      <w:r w:rsidR="00C9531E">
        <w:t>5</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2" w:history="1">
        <w:r w:rsidR="00566316" w:rsidRPr="00B45853">
          <w:rPr>
            <w:rStyle w:val="Hipercze"/>
            <w:rFonts w:ascii="Times New Roman" w:hAnsi="Times New Roman" w:cs="Times New Roman"/>
            <w:noProof/>
            <w:color w:val="auto"/>
            <w:lang w:val="en-GB"/>
          </w:rPr>
          <w:t>2.  </w:t>
        </w:r>
        <w:r w:rsidR="00644CFC" w:rsidRPr="00B45853">
          <w:rPr>
            <w:rStyle w:val="Hipercze"/>
            <w:rFonts w:ascii="Times New Roman" w:hAnsi="Times New Roman" w:cs="Times New Roman"/>
            <w:noProof/>
            <w:color w:val="auto"/>
            <w:lang w:val="en-GB"/>
          </w:rPr>
          <w:t>Rząd</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_Toc420072872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3</w:t>
        </w:r>
        <w:r w:rsidR="00DD67A4" w:rsidRPr="00B45853">
          <w:rPr>
            <w:rFonts w:ascii="Times New Roman" w:hAnsi="Times New Roman" w:cs="Times New Roman"/>
            <w:noProof/>
            <w:webHidden/>
          </w:rPr>
          <w:fldChar w:fldCharType="end"/>
        </w:r>
      </w:hyperlink>
      <w:r w:rsidR="00C9531E">
        <w:t>8</w:t>
      </w:r>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73" w:history="1">
        <w:r w:rsidR="00566316" w:rsidRPr="00B45853">
          <w:rPr>
            <w:rStyle w:val="Hipercze"/>
            <w:rFonts w:ascii="Times New Roman" w:hAnsi="Times New Roman" w:cs="Times New Roman"/>
            <w:noProof/>
            <w:color w:val="auto"/>
            <w:lang w:val="en-GB"/>
          </w:rPr>
          <w:t>C.  </w:t>
        </w:r>
        <w:r w:rsidR="0007208F" w:rsidRPr="00B45853">
          <w:rPr>
            <w:rStyle w:val="Hipercze"/>
            <w:rFonts w:ascii="Times New Roman" w:hAnsi="Times New Roman" w:cs="Times New Roman"/>
            <w:noProof/>
            <w:color w:val="auto"/>
            <w:lang w:val="en-GB"/>
          </w:rPr>
          <w:t>Argumenty interwenientów ubocznych</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_Toc420072873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D26100">
        <w:t>2</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4" w:history="1">
        <w:r w:rsidR="00566316" w:rsidRPr="00B45853">
          <w:rPr>
            <w:rStyle w:val="Hipercze"/>
            <w:rFonts w:ascii="Times New Roman" w:hAnsi="Times New Roman" w:cs="Times New Roman"/>
            <w:noProof/>
            <w:color w:val="auto"/>
            <w:lang w:val="en-GB"/>
          </w:rPr>
          <w:t>1.  </w:t>
        </w:r>
        <w:r w:rsidR="0007208F" w:rsidRPr="00B45853">
          <w:rPr>
            <w:rStyle w:val="Hipercze"/>
            <w:rFonts w:ascii="Times New Roman" w:hAnsi="Times New Roman" w:cs="Times New Roman"/>
            <w:noProof/>
            <w:color w:val="auto"/>
            <w:lang w:val="en-GB"/>
          </w:rPr>
          <w:t>Helsińska Fundacja Praw Człowieka</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_Toc420072874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D26100">
        <w:t>2</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5" w:history="1">
        <w:r w:rsidR="0007208F" w:rsidRPr="00B45853">
          <w:rPr>
            <w:rStyle w:val="Hipercze"/>
            <w:rFonts w:ascii="Times New Roman" w:hAnsi="Times New Roman" w:cs="Times New Roman"/>
            <w:noProof/>
            <w:color w:val="auto"/>
            <w:lang w:val="en-GB"/>
          </w:rPr>
          <w:t>2.  </w:t>
        </w:r>
        <w:r w:rsidR="00D26100" w:rsidRPr="00D26100">
          <w:rPr>
            <w:rStyle w:val="Hipercze"/>
            <w:rFonts w:ascii="Times New Roman" w:hAnsi="Times New Roman" w:cs="Times New Roman"/>
            <w:noProof/>
            <w:color w:val="auto"/>
            <w:lang w:val="en-GB"/>
          </w:rPr>
          <w:t>Artykuł</w:t>
        </w:r>
        <w:r w:rsidR="00F37B88" w:rsidRPr="00D26100">
          <w:rPr>
            <w:rStyle w:val="Hipercze"/>
            <w:rFonts w:ascii="Times New Roman" w:hAnsi="Times New Roman" w:cs="Times New Roman"/>
            <w:noProof/>
            <w:color w:val="auto"/>
            <w:lang w:val="en-GB"/>
          </w:rPr>
          <w:t xml:space="preserve"> </w:t>
        </w:r>
        <w:r w:rsidR="00566316" w:rsidRPr="00D26100">
          <w:rPr>
            <w:rStyle w:val="Hipercze"/>
            <w:rFonts w:ascii="Times New Roman" w:hAnsi="Times New Roman" w:cs="Times New Roman"/>
            <w:noProof/>
            <w:color w:val="auto"/>
            <w:lang w:val="en-GB"/>
          </w:rPr>
          <w:t>19</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_Toc420072875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D26100">
        <w:t>2</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6" w:history="1">
        <w:r w:rsidR="0007208F" w:rsidRPr="00B45853">
          <w:rPr>
            <w:rStyle w:val="Hipercze"/>
            <w:rFonts w:ascii="Times New Roman" w:hAnsi="Times New Roman" w:cs="Times New Roman"/>
            <w:noProof/>
            <w:color w:val="auto"/>
            <w:lang w:val="en-GB"/>
          </w:rPr>
          <w:t>3.  </w:t>
        </w:r>
        <w:r w:rsidR="00F37B88" w:rsidRPr="00F37B88">
          <w:rPr>
            <w:rStyle w:val="Hipercze"/>
            <w:rFonts w:ascii="Times New Roman" w:hAnsi="Times New Roman" w:cs="Times New Roman"/>
            <w:noProof/>
            <w:color w:val="auto"/>
            <w:lang w:val="en-GB"/>
          </w:rPr>
          <w:t>Access</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_Toc420072876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D26100">
        <w:t>3</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7" w:history="1">
        <w:r w:rsidR="00566316" w:rsidRPr="00B45853">
          <w:rPr>
            <w:rStyle w:val="Hipercze"/>
            <w:rFonts w:ascii="Times New Roman" w:hAnsi="Times New Roman" w:cs="Times New Roman"/>
            <w:noProof/>
            <w:color w:val="auto"/>
            <w:lang w:val="en-GB"/>
          </w:rPr>
          <w:t>4.  </w:t>
        </w:r>
        <w:r w:rsidR="00334509">
          <w:rPr>
            <w:rStyle w:val="Hipercze"/>
            <w:rFonts w:ascii="Times New Roman" w:hAnsi="Times New Roman" w:cs="Times New Roman"/>
            <w:noProof/>
            <w:color w:val="auto"/>
            <w:lang w:val="en-GB"/>
          </w:rPr>
          <w:t>Media Legal Defence Initiative</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_Toc420072877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334509">
        <w:t>3</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78" w:history="1">
        <w:r w:rsidR="0007208F" w:rsidRPr="00B45853">
          <w:rPr>
            <w:rStyle w:val="Hipercze"/>
            <w:rFonts w:ascii="Times New Roman" w:hAnsi="Times New Roman" w:cs="Times New Roman"/>
            <w:noProof/>
            <w:color w:val="auto"/>
            <w:lang w:val="fr-FR"/>
          </w:rPr>
          <w:t>5.  EDiMA, CCIA Europe i</w:t>
        </w:r>
        <w:r w:rsidR="00566316" w:rsidRPr="00B45853">
          <w:rPr>
            <w:rStyle w:val="Hipercze"/>
            <w:rFonts w:ascii="Times New Roman" w:hAnsi="Times New Roman" w:cs="Times New Roman"/>
            <w:noProof/>
            <w:color w:val="auto"/>
            <w:lang w:val="fr-FR"/>
          </w:rPr>
          <w:t xml:space="preserve"> EuroISPA</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_Toc420072878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C04238">
        <w:t>4</w:t>
      </w:r>
    </w:p>
    <w:p w:rsidR="00566316" w:rsidRPr="00B45853" w:rsidRDefault="00BB5B76" w:rsidP="00171A6F">
      <w:pPr>
        <w:pStyle w:val="Spistreci2"/>
        <w:tabs>
          <w:tab w:val="right" w:leader="dot" w:pos="7348"/>
        </w:tabs>
        <w:rPr>
          <w:rFonts w:ascii="Times New Roman" w:hAnsi="Times New Roman" w:cs="Times New Roman"/>
          <w:noProof/>
          <w:sz w:val="22"/>
        </w:rPr>
      </w:pPr>
      <w:hyperlink w:anchor="_Toc420072879" w:history="1">
        <w:r w:rsidR="00566316" w:rsidRPr="00B45853">
          <w:rPr>
            <w:rStyle w:val="Hipercze"/>
            <w:rFonts w:ascii="Times New Roman" w:hAnsi="Times New Roman" w:cs="Times New Roman"/>
            <w:noProof/>
            <w:color w:val="auto"/>
            <w:lang w:val="en-GB"/>
          </w:rPr>
          <w:t>D.  </w:t>
        </w:r>
        <w:r w:rsidR="0007208F" w:rsidRPr="00B45853">
          <w:rPr>
            <w:rStyle w:val="Hipercze"/>
            <w:rFonts w:ascii="Times New Roman" w:hAnsi="Times New Roman" w:cs="Times New Roman"/>
            <w:noProof/>
            <w:color w:val="auto"/>
            <w:lang w:val="en-GB"/>
          </w:rPr>
          <w:t>Ocena Trybunału</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_Toc420072879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C04238">
        <w:t>5</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80" w:history="1">
        <w:r w:rsidR="00566316" w:rsidRPr="00B45853">
          <w:rPr>
            <w:rStyle w:val="Hipercze"/>
            <w:rFonts w:ascii="Times New Roman" w:hAnsi="Times New Roman" w:cs="Times New Roman"/>
            <w:noProof/>
            <w:color w:val="auto"/>
            <w:lang w:val="en-GB"/>
          </w:rPr>
          <w:t>1.  </w:t>
        </w:r>
        <w:r w:rsidR="0007208F" w:rsidRPr="00B45853">
          <w:rPr>
            <w:rStyle w:val="Hipercze"/>
            <w:rFonts w:ascii="Times New Roman" w:hAnsi="Times New Roman" w:cs="Times New Roman"/>
            <w:noProof/>
            <w:color w:val="auto"/>
            <w:lang w:val="en-GB"/>
          </w:rPr>
          <w:t>Wstępne uwagi i zakres oceny Trybunału</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_Toc420072880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C04238">
        <w:t>5</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81" w:history="1">
        <w:r w:rsidR="00566316" w:rsidRPr="00B45853">
          <w:rPr>
            <w:rStyle w:val="Hipercze"/>
            <w:rFonts w:ascii="Times New Roman" w:hAnsi="Times New Roman" w:cs="Times New Roman"/>
            <w:noProof/>
            <w:color w:val="auto"/>
            <w:lang w:val="en-GB"/>
          </w:rPr>
          <w:t>2.  </w:t>
        </w:r>
        <w:r w:rsidR="0007208F" w:rsidRPr="00B45853">
          <w:rPr>
            <w:rStyle w:val="Hipercze"/>
            <w:rFonts w:ascii="Times New Roman" w:hAnsi="Times New Roman" w:cs="Times New Roman"/>
            <w:noProof/>
            <w:color w:val="auto"/>
            <w:lang w:val="en-GB"/>
          </w:rPr>
          <w:t>Istnienie ingerencji</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_Toc420072881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C04238">
        <w:t>8</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82" w:history="1">
        <w:r w:rsidR="00566316" w:rsidRPr="00B45853">
          <w:rPr>
            <w:rStyle w:val="Hipercze"/>
            <w:rFonts w:ascii="Times New Roman" w:hAnsi="Times New Roman" w:cs="Times New Roman"/>
            <w:noProof/>
            <w:color w:val="auto"/>
            <w:lang w:val="en-GB"/>
          </w:rPr>
          <w:t>3.  </w:t>
        </w:r>
        <w:r w:rsidR="0007208F" w:rsidRPr="00B45853">
          <w:rPr>
            <w:rStyle w:val="Hipercze"/>
            <w:rFonts w:ascii="Times New Roman" w:hAnsi="Times New Roman" w:cs="Times New Roman"/>
            <w:noProof/>
            <w:color w:val="auto"/>
            <w:lang w:val="en-GB"/>
          </w:rPr>
          <w:t>Legalność</w:t>
        </w:r>
        <w:r w:rsidR="00566316" w:rsidRPr="00B45853">
          <w:rPr>
            <w:rFonts w:ascii="Times New Roman" w:hAnsi="Times New Roman" w:cs="Times New Roman"/>
            <w:noProof/>
            <w:webHidden/>
          </w:rPr>
          <w:tab/>
        </w:r>
        <w:r w:rsidR="00DD67A4" w:rsidRPr="00B45853">
          <w:rPr>
            <w:rFonts w:ascii="Times New Roman" w:hAnsi="Times New Roman" w:cs="Times New Roman"/>
            <w:noProof/>
            <w:webHidden/>
          </w:rPr>
          <w:fldChar w:fldCharType="begin"/>
        </w:r>
        <w:r w:rsidR="00566316" w:rsidRPr="00B45853">
          <w:rPr>
            <w:rFonts w:ascii="Times New Roman" w:hAnsi="Times New Roman" w:cs="Times New Roman"/>
            <w:noProof/>
            <w:webHidden/>
          </w:rPr>
          <w:instrText xml:space="preserve"> PAGEREF _Toc420072882 \h </w:instrText>
        </w:r>
        <w:r w:rsidR="00DD67A4" w:rsidRPr="00B45853">
          <w:rPr>
            <w:rFonts w:ascii="Times New Roman" w:hAnsi="Times New Roman" w:cs="Times New Roman"/>
            <w:noProof/>
            <w:webHidden/>
          </w:rPr>
        </w:r>
        <w:r w:rsidR="00DD67A4" w:rsidRPr="00B45853">
          <w:rPr>
            <w:rFonts w:ascii="Times New Roman" w:hAnsi="Times New Roman" w:cs="Times New Roman"/>
            <w:noProof/>
            <w:webHidden/>
          </w:rPr>
          <w:fldChar w:fldCharType="separate"/>
        </w:r>
        <w:r w:rsidR="002F0EE0" w:rsidRPr="00B45853">
          <w:rPr>
            <w:rFonts w:ascii="Times New Roman" w:hAnsi="Times New Roman" w:cs="Times New Roman"/>
            <w:noProof/>
            <w:webHidden/>
          </w:rPr>
          <w:t>4</w:t>
        </w:r>
        <w:r w:rsidR="00DD67A4" w:rsidRPr="00B45853">
          <w:rPr>
            <w:rFonts w:ascii="Times New Roman" w:hAnsi="Times New Roman" w:cs="Times New Roman"/>
            <w:noProof/>
            <w:webHidden/>
          </w:rPr>
          <w:fldChar w:fldCharType="end"/>
        </w:r>
      </w:hyperlink>
      <w:r w:rsidR="00C04238">
        <w:t>8</w:t>
      </w:r>
    </w:p>
    <w:p w:rsidR="00566316" w:rsidRPr="00B45853" w:rsidRDefault="00BB5B76" w:rsidP="00171A6F">
      <w:pPr>
        <w:pStyle w:val="Spistreci3"/>
        <w:tabs>
          <w:tab w:val="right" w:leader="dot" w:pos="7348"/>
        </w:tabs>
        <w:rPr>
          <w:rFonts w:ascii="Times New Roman" w:hAnsi="Times New Roman" w:cs="Times New Roman"/>
          <w:noProof/>
          <w:sz w:val="22"/>
        </w:rPr>
      </w:pPr>
      <w:hyperlink w:anchor="_Toc420072883" w:history="1">
        <w:r w:rsidR="00566316" w:rsidRPr="00B45853">
          <w:rPr>
            <w:rStyle w:val="Hipercze"/>
            <w:rFonts w:ascii="Times New Roman" w:hAnsi="Times New Roman" w:cs="Times New Roman"/>
            <w:noProof/>
            <w:color w:val="auto"/>
            <w:lang w:val="en-GB"/>
          </w:rPr>
          <w:t>4.  </w:t>
        </w:r>
        <w:r w:rsidR="0007208F" w:rsidRPr="00B45853">
          <w:rPr>
            <w:rStyle w:val="Hipercze"/>
            <w:rFonts w:ascii="Times New Roman" w:hAnsi="Times New Roman" w:cs="Times New Roman"/>
            <w:noProof/>
            <w:color w:val="auto"/>
            <w:lang w:val="en-GB"/>
          </w:rPr>
          <w:t>Uzasadniony cel</w:t>
        </w:r>
        <w:r w:rsidR="00566316" w:rsidRPr="00B45853">
          <w:rPr>
            <w:rFonts w:ascii="Times New Roman" w:hAnsi="Times New Roman" w:cs="Times New Roman"/>
            <w:noProof/>
            <w:webHidden/>
          </w:rPr>
          <w:tab/>
        </w:r>
        <w:r w:rsidR="00C04238">
          <w:rPr>
            <w:rFonts w:ascii="Times New Roman" w:hAnsi="Times New Roman" w:cs="Times New Roman"/>
            <w:noProof/>
            <w:webHidden/>
          </w:rPr>
          <w:t>51</w:t>
        </w:r>
      </w:hyperlink>
    </w:p>
    <w:p w:rsidR="00566316" w:rsidRPr="00262588" w:rsidRDefault="00BB5B76" w:rsidP="00171A6F">
      <w:pPr>
        <w:pStyle w:val="Spistreci3"/>
        <w:tabs>
          <w:tab w:val="right" w:leader="dot" w:pos="7348"/>
        </w:tabs>
        <w:rPr>
          <w:rFonts w:ascii="Times New Roman" w:hAnsi="Times New Roman" w:cs="Times New Roman"/>
          <w:noProof/>
          <w:sz w:val="22"/>
          <w:lang w:val="pl-PL"/>
        </w:rPr>
      </w:pPr>
      <w:hyperlink w:anchor="_Toc420072884" w:history="1">
        <w:r w:rsidR="00566316" w:rsidRPr="00262588">
          <w:rPr>
            <w:rStyle w:val="Hipercze"/>
            <w:rFonts w:ascii="Times New Roman" w:hAnsi="Times New Roman" w:cs="Times New Roman"/>
            <w:noProof/>
            <w:color w:val="auto"/>
            <w:lang w:val="pl-PL"/>
          </w:rPr>
          <w:t>5.  </w:t>
        </w:r>
        <w:r w:rsidR="0007208F" w:rsidRPr="00262588">
          <w:rPr>
            <w:rStyle w:val="Hipercze"/>
            <w:rFonts w:ascii="Times New Roman" w:hAnsi="Times New Roman" w:cs="Times New Roman"/>
            <w:noProof/>
            <w:color w:val="auto"/>
            <w:lang w:val="pl-PL"/>
          </w:rPr>
          <w:t>Konieczność w demokratycznym społeczeństwie</w:t>
        </w:r>
        <w:r w:rsidR="00566316" w:rsidRPr="00262588">
          <w:rPr>
            <w:rFonts w:ascii="Times New Roman" w:hAnsi="Times New Roman" w:cs="Times New Roman"/>
            <w:noProof/>
            <w:webHidden/>
            <w:lang w:val="pl-PL"/>
          </w:rPr>
          <w:tab/>
        </w:r>
      </w:hyperlink>
      <w:r w:rsidR="00C04238" w:rsidRPr="00262588">
        <w:rPr>
          <w:lang w:val="pl-PL"/>
        </w:rPr>
        <w:t>51</w:t>
      </w:r>
    </w:p>
    <w:p w:rsidR="00566316" w:rsidRPr="00262588" w:rsidRDefault="00BB5B76" w:rsidP="00171A6F">
      <w:pPr>
        <w:pStyle w:val="Spistreci1"/>
        <w:tabs>
          <w:tab w:val="right" w:leader="dot" w:pos="7348"/>
        </w:tabs>
        <w:rPr>
          <w:rFonts w:ascii="Times New Roman" w:hAnsi="Times New Roman" w:cs="Times New Roman"/>
          <w:noProof/>
          <w:color w:val="auto"/>
          <w:sz w:val="22"/>
          <w:lang w:val="pl-PL"/>
        </w:rPr>
      </w:pPr>
      <w:hyperlink w:anchor="_Toc420072885" w:history="1">
        <w:r w:rsidR="0007208F" w:rsidRPr="00262588">
          <w:rPr>
            <w:rStyle w:val="Hipercze"/>
            <w:rFonts w:ascii="Times New Roman" w:hAnsi="Times New Roman" w:cs="Times New Roman"/>
            <w:noProof/>
            <w:color w:val="auto"/>
            <w:lang w:val="pl-PL"/>
          </w:rPr>
          <w:t>Z TYCH PRZYCZYN, TRYBUNAŁ</w:t>
        </w:r>
        <w:r w:rsidR="00566316" w:rsidRPr="00262588">
          <w:rPr>
            <w:rFonts w:ascii="Times New Roman" w:hAnsi="Times New Roman" w:cs="Times New Roman"/>
            <w:noProof/>
            <w:webHidden/>
            <w:color w:val="auto"/>
            <w:lang w:val="pl-PL"/>
          </w:rPr>
          <w:tab/>
        </w:r>
        <w:r w:rsidR="00DD67A4" w:rsidRPr="00B45853">
          <w:rPr>
            <w:rFonts w:ascii="Times New Roman" w:hAnsi="Times New Roman" w:cs="Times New Roman"/>
            <w:noProof/>
            <w:webHidden/>
            <w:color w:val="auto"/>
          </w:rPr>
          <w:fldChar w:fldCharType="begin"/>
        </w:r>
        <w:r w:rsidR="00566316" w:rsidRPr="00262588">
          <w:rPr>
            <w:rFonts w:ascii="Times New Roman" w:hAnsi="Times New Roman" w:cs="Times New Roman"/>
            <w:noProof/>
            <w:webHidden/>
            <w:color w:val="auto"/>
            <w:lang w:val="pl-PL"/>
          </w:rPr>
          <w:instrText xml:space="preserve"> PAGEREF _Toc420072885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262588">
          <w:rPr>
            <w:rFonts w:ascii="Times New Roman" w:hAnsi="Times New Roman" w:cs="Times New Roman"/>
            <w:noProof/>
            <w:webHidden/>
            <w:color w:val="auto"/>
            <w:lang w:val="pl-PL"/>
          </w:rPr>
          <w:t>6</w:t>
        </w:r>
        <w:r w:rsidR="00DD67A4" w:rsidRPr="00B45853">
          <w:rPr>
            <w:rFonts w:ascii="Times New Roman" w:hAnsi="Times New Roman" w:cs="Times New Roman"/>
            <w:noProof/>
            <w:webHidden/>
            <w:color w:val="auto"/>
          </w:rPr>
          <w:fldChar w:fldCharType="end"/>
        </w:r>
      </w:hyperlink>
      <w:r w:rsidR="00C04238" w:rsidRPr="00262588">
        <w:rPr>
          <w:lang w:val="pl-PL"/>
        </w:rPr>
        <w:t>3</w:t>
      </w:r>
    </w:p>
    <w:p w:rsidR="00566316" w:rsidRPr="00B45853" w:rsidRDefault="0007208F" w:rsidP="00171A6F">
      <w:pPr>
        <w:pStyle w:val="Spistreci1"/>
        <w:tabs>
          <w:tab w:val="right" w:leader="dot" w:pos="7348"/>
        </w:tabs>
        <w:rPr>
          <w:rFonts w:ascii="Times New Roman" w:hAnsi="Times New Roman" w:cs="Times New Roman"/>
          <w:noProof/>
          <w:color w:val="auto"/>
          <w:sz w:val="22"/>
          <w:lang w:val="pl-PL"/>
        </w:rPr>
      </w:pPr>
      <w:r w:rsidRPr="00B45853">
        <w:rPr>
          <w:rFonts w:ascii="Times New Roman" w:hAnsi="Times New Roman" w:cs="Times New Roman"/>
          <w:lang w:val="pl-PL"/>
        </w:rPr>
        <w:t xml:space="preserve">WSPÓLNA, ZGODNA OPINIA SEDZIÓW RAIMONDI, KARAKAS, DE GAETANO I KJØLBRO </w:t>
      </w:r>
      <w:hyperlink w:anchor="_Toc420072886" w:history="1">
        <w:r w:rsidR="00566316" w:rsidRPr="00B45853">
          <w:rPr>
            <w:rFonts w:ascii="Times New Roman" w:hAnsi="Times New Roman" w:cs="Times New Roman"/>
            <w:noProof/>
            <w:webHidden/>
            <w:color w:val="auto"/>
            <w:lang w:val="pl-PL"/>
          </w:rPr>
          <w:tab/>
        </w:r>
        <w:r w:rsidR="00DD67A4" w:rsidRPr="00B45853">
          <w:rPr>
            <w:rFonts w:ascii="Times New Roman" w:hAnsi="Times New Roman" w:cs="Times New Roman"/>
            <w:noProof/>
            <w:webHidden/>
            <w:color w:val="auto"/>
          </w:rPr>
          <w:fldChar w:fldCharType="begin"/>
        </w:r>
        <w:r w:rsidR="00566316" w:rsidRPr="00B45853">
          <w:rPr>
            <w:rFonts w:ascii="Times New Roman" w:hAnsi="Times New Roman" w:cs="Times New Roman"/>
            <w:noProof/>
            <w:webHidden/>
            <w:color w:val="auto"/>
            <w:lang w:val="pl-PL"/>
          </w:rPr>
          <w:instrText xml:space="preserve"> PAGEREF _Toc420072886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B45853">
          <w:rPr>
            <w:rFonts w:ascii="Times New Roman" w:hAnsi="Times New Roman" w:cs="Times New Roman"/>
            <w:noProof/>
            <w:webHidden/>
            <w:color w:val="auto"/>
            <w:lang w:val="pl-PL"/>
          </w:rPr>
          <w:t>6</w:t>
        </w:r>
        <w:r w:rsidR="00DD67A4" w:rsidRPr="00B45853">
          <w:rPr>
            <w:rFonts w:ascii="Times New Roman" w:hAnsi="Times New Roman" w:cs="Times New Roman"/>
            <w:noProof/>
            <w:webHidden/>
            <w:color w:val="auto"/>
          </w:rPr>
          <w:fldChar w:fldCharType="end"/>
        </w:r>
      </w:hyperlink>
      <w:r w:rsidR="00E70BA1" w:rsidRPr="00262588">
        <w:rPr>
          <w:lang w:val="pl-PL"/>
        </w:rPr>
        <w:t>4</w:t>
      </w:r>
    </w:p>
    <w:p w:rsidR="00566316" w:rsidRPr="00262588" w:rsidRDefault="00BB5B76" w:rsidP="00171A6F">
      <w:pPr>
        <w:pStyle w:val="Spistreci1"/>
        <w:tabs>
          <w:tab w:val="right" w:leader="dot" w:pos="7348"/>
        </w:tabs>
        <w:rPr>
          <w:rFonts w:ascii="Times New Roman" w:hAnsi="Times New Roman" w:cs="Times New Roman"/>
          <w:noProof/>
          <w:color w:val="auto"/>
          <w:sz w:val="22"/>
          <w:lang w:val="pl-PL"/>
        </w:rPr>
      </w:pPr>
      <w:hyperlink w:anchor="_Toc420072887" w:history="1">
        <w:r w:rsidR="00A623D1" w:rsidRPr="00262588">
          <w:rPr>
            <w:rStyle w:val="Hipercze"/>
            <w:rFonts w:ascii="Times New Roman" w:hAnsi="Times New Roman" w:cs="Times New Roman"/>
            <w:noProof/>
            <w:color w:val="auto"/>
            <w:lang w:val="pl-PL"/>
          </w:rPr>
          <w:t>ZGODNA OPINIA</w:t>
        </w:r>
        <w:r w:rsidR="00566316" w:rsidRPr="00262588">
          <w:rPr>
            <w:rStyle w:val="Hipercze"/>
            <w:rFonts w:ascii="Times New Roman" w:hAnsi="Times New Roman" w:cs="Times New Roman"/>
            <w:noProof/>
            <w:color w:val="auto"/>
            <w:lang w:val="pl-PL"/>
          </w:rPr>
          <w:t xml:space="preserve"> </w:t>
        </w:r>
        <w:r w:rsidR="00A623D1" w:rsidRPr="00262588">
          <w:rPr>
            <w:rStyle w:val="Hipercze"/>
            <w:rFonts w:ascii="Times New Roman" w:hAnsi="Times New Roman" w:cs="Times New Roman"/>
            <w:noProof/>
            <w:color w:val="auto"/>
            <w:lang w:val="pl-PL"/>
          </w:rPr>
          <w:t>SĘDZIEGO</w:t>
        </w:r>
        <w:r w:rsidR="00566316" w:rsidRPr="00262588">
          <w:rPr>
            <w:rStyle w:val="Hipercze"/>
            <w:rFonts w:ascii="Times New Roman" w:hAnsi="Times New Roman" w:cs="Times New Roman"/>
            <w:noProof/>
            <w:color w:val="auto"/>
            <w:lang w:val="pl-PL"/>
          </w:rPr>
          <w:t xml:space="preserve"> ZUPANČIČ</w:t>
        </w:r>
        <w:r w:rsidR="00566316" w:rsidRPr="00262588">
          <w:rPr>
            <w:rFonts w:ascii="Times New Roman" w:hAnsi="Times New Roman" w:cs="Times New Roman"/>
            <w:noProof/>
            <w:webHidden/>
            <w:color w:val="auto"/>
            <w:lang w:val="pl-PL"/>
          </w:rPr>
          <w:tab/>
        </w:r>
        <w:r w:rsidR="00DD67A4" w:rsidRPr="00B45853">
          <w:rPr>
            <w:rFonts w:ascii="Times New Roman" w:hAnsi="Times New Roman" w:cs="Times New Roman"/>
            <w:noProof/>
            <w:webHidden/>
            <w:color w:val="auto"/>
          </w:rPr>
          <w:fldChar w:fldCharType="begin"/>
        </w:r>
        <w:r w:rsidR="00566316" w:rsidRPr="00262588">
          <w:rPr>
            <w:rFonts w:ascii="Times New Roman" w:hAnsi="Times New Roman" w:cs="Times New Roman"/>
            <w:noProof/>
            <w:webHidden/>
            <w:color w:val="auto"/>
            <w:lang w:val="pl-PL"/>
          </w:rPr>
          <w:instrText xml:space="preserve"> PAGEREF _Toc420072887 \h </w:instrText>
        </w:r>
        <w:r w:rsidR="00DD67A4" w:rsidRPr="00B45853">
          <w:rPr>
            <w:rFonts w:ascii="Times New Roman" w:hAnsi="Times New Roman" w:cs="Times New Roman"/>
            <w:noProof/>
            <w:webHidden/>
            <w:color w:val="auto"/>
          </w:rPr>
        </w:r>
        <w:r w:rsidR="00DD67A4" w:rsidRPr="00B45853">
          <w:rPr>
            <w:rFonts w:ascii="Times New Roman" w:hAnsi="Times New Roman" w:cs="Times New Roman"/>
            <w:noProof/>
            <w:webHidden/>
            <w:color w:val="auto"/>
          </w:rPr>
          <w:fldChar w:fldCharType="separate"/>
        </w:r>
        <w:r w:rsidR="002F0EE0" w:rsidRPr="00262588">
          <w:rPr>
            <w:rFonts w:ascii="Times New Roman" w:hAnsi="Times New Roman" w:cs="Times New Roman"/>
            <w:noProof/>
            <w:webHidden/>
            <w:color w:val="auto"/>
            <w:lang w:val="pl-PL"/>
          </w:rPr>
          <w:t>6</w:t>
        </w:r>
        <w:r w:rsidR="00DD67A4" w:rsidRPr="00B45853">
          <w:rPr>
            <w:rFonts w:ascii="Times New Roman" w:hAnsi="Times New Roman" w:cs="Times New Roman"/>
            <w:noProof/>
            <w:webHidden/>
            <w:color w:val="auto"/>
          </w:rPr>
          <w:fldChar w:fldCharType="end"/>
        </w:r>
      </w:hyperlink>
      <w:r w:rsidR="00E70BA1" w:rsidRPr="00262588">
        <w:rPr>
          <w:lang w:val="pl-PL"/>
        </w:rPr>
        <w:t>7</w:t>
      </w:r>
    </w:p>
    <w:p w:rsidR="00566316" w:rsidRPr="00262588" w:rsidRDefault="00BB5B76" w:rsidP="00171A6F">
      <w:pPr>
        <w:pStyle w:val="Spistreci1"/>
        <w:tabs>
          <w:tab w:val="right" w:leader="dot" w:pos="7348"/>
        </w:tabs>
        <w:rPr>
          <w:rFonts w:ascii="Times New Roman" w:hAnsi="Times New Roman" w:cs="Times New Roman"/>
          <w:noProof/>
          <w:color w:val="auto"/>
          <w:sz w:val="22"/>
          <w:lang w:val="pl-PL"/>
        </w:rPr>
      </w:pPr>
      <w:hyperlink w:anchor="_Toc420072888" w:history="1">
        <w:r w:rsidR="00A623D1" w:rsidRPr="00262588">
          <w:rPr>
            <w:rStyle w:val="Hipercze"/>
            <w:rFonts w:ascii="Times New Roman" w:hAnsi="Times New Roman" w:cs="Times New Roman"/>
            <w:noProof/>
            <w:color w:val="auto"/>
            <w:lang w:val="pl-PL"/>
          </w:rPr>
          <w:t>WSPÓLNA,</w:t>
        </w:r>
        <w:r w:rsidR="00566316" w:rsidRPr="00262588">
          <w:rPr>
            <w:rStyle w:val="Hipercze"/>
            <w:rFonts w:ascii="Times New Roman" w:hAnsi="Times New Roman" w:cs="Times New Roman"/>
            <w:noProof/>
            <w:color w:val="auto"/>
            <w:lang w:val="pl-PL"/>
          </w:rPr>
          <w:t xml:space="preserve"> </w:t>
        </w:r>
        <w:r w:rsidR="00A623D1" w:rsidRPr="00262588">
          <w:rPr>
            <w:rStyle w:val="Hipercze"/>
            <w:rFonts w:ascii="Times New Roman" w:hAnsi="Times New Roman" w:cs="Times New Roman"/>
            <w:noProof/>
            <w:color w:val="auto"/>
            <w:lang w:val="pl-PL"/>
          </w:rPr>
          <w:t>ODRĘBNA OPINIA</w:t>
        </w:r>
        <w:r w:rsidR="00566316" w:rsidRPr="00262588">
          <w:rPr>
            <w:rStyle w:val="Hipercze"/>
            <w:rFonts w:ascii="Times New Roman" w:hAnsi="Times New Roman" w:cs="Times New Roman"/>
            <w:noProof/>
            <w:color w:val="auto"/>
            <w:lang w:val="pl-PL"/>
          </w:rPr>
          <w:t xml:space="preserve"> </w:t>
        </w:r>
        <w:r w:rsidR="00A623D1" w:rsidRPr="00262588">
          <w:rPr>
            <w:rStyle w:val="Hipercze"/>
            <w:rFonts w:ascii="Times New Roman" w:hAnsi="Times New Roman" w:cs="Times New Roman"/>
            <w:noProof/>
            <w:color w:val="auto"/>
            <w:lang w:val="pl-PL"/>
          </w:rPr>
          <w:t>SEDZIÓW SAJÓ I</w:t>
        </w:r>
        <w:r w:rsidR="00566316" w:rsidRPr="00262588">
          <w:rPr>
            <w:rStyle w:val="Hipercze"/>
            <w:rFonts w:ascii="Times New Roman" w:hAnsi="Times New Roman" w:cs="Times New Roman"/>
            <w:noProof/>
            <w:color w:val="auto"/>
            <w:lang w:val="pl-PL"/>
          </w:rPr>
          <w:t xml:space="preserve"> TSOTSORIA</w:t>
        </w:r>
        <w:r w:rsidR="00566316" w:rsidRPr="00262588">
          <w:rPr>
            <w:rFonts w:ascii="Times New Roman" w:hAnsi="Times New Roman" w:cs="Times New Roman"/>
            <w:noProof/>
            <w:webHidden/>
            <w:color w:val="auto"/>
            <w:lang w:val="pl-PL"/>
          </w:rPr>
          <w:tab/>
        </w:r>
      </w:hyperlink>
      <w:r w:rsidR="00C04238" w:rsidRPr="00262588">
        <w:rPr>
          <w:lang w:val="pl-PL"/>
        </w:rPr>
        <w:t>7</w:t>
      </w:r>
      <w:r w:rsidR="00E70BA1" w:rsidRPr="00262588">
        <w:rPr>
          <w:lang w:val="pl-PL"/>
        </w:rPr>
        <w:t>1</w:t>
      </w:r>
    </w:p>
    <w:p w:rsidR="000327B5" w:rsidRPr="00262588" w:rsidRDefault="00DD67A4" w:rsidP="00171A6F">
      <w:pPr>
        <w:ind w:firstLine="284"/>
        <w:jc w:val="left"/>
        <w:rPr>
          <w:rFonts w:ascii="Times New Roman" w:hAnsi="Times New Roman" w:cs="Times New Roman"/>
          <w:lang w:val="pl-PL"/>
        </w:rPr>
      </w:pPr>
      <w:r w:rsidRPr="00B45853">
        <w:rPr>
          <w:rFonts w:ascii="Times New Roman" w:hAnsi="Times New Roman" w:cs="Times New Roman"/>
          <w:lang w:val="en-GB"/>
        </w:rPr>
        <w:fldChar w:fldCharType="end"/>
      </w:r>
      <w:r w:rsidR="000327B5" w:rsidRPr="00262588">
        <w:rPr>
          <w:rFonts w:ascii="Times New Roman" w:hAnsi="Times New Roman" w:cs="Times New Roman"/>
          <w:lang w:val="pl-PL"/>
        </w:rPr>
        <w:br w:type="page"/>
      </w:r>
    </w:p>
    <w:p w:rsidR="00D4692B" w:rsidRPr="00B45853" w:rsidRDefault="00A623D1" w:rsidP="00171A6F">
      <w:pPr>
        <w:pStyle w:val="JuCase"/>
        <w:rPr>
          <w:rFonts w:ascii="Times New Roman" w:hAnsi="Times New Roman" w:cs="Times New Roman"/>
          <w:bCs/>
          <w:lang w:val="pl-PL"/>
        </w:rPr>
      </w:pPr>
      <w:r w:rsidRPr="00B45853">
        <w:rPr>
          <w:rFonts w:ascii="Times New Roman" w:hAnsi="Times New Roman" w:cs="Times New Roman"/>
          <w:lang w:val="pl-PL"/>
        </w:rPr>
        <w:lastRenderedPageBreak/>
        <w:t>W sprawie</w:t>
      </w:r>
      <w:r w:rsidR="00D4692B" w:rsidRPr="00B45853">
        <w:rPr>
          <w:rFonts w:ascii="Times New Roman" w:hAnsi="Times New Roman" w:cs="Times New Roman"/>
          <w:lang w:val="pl-PL"/>
        </w:rPr>
        <w:t xml:space="preserve"> </w:t>
      </w:r>
      <w:proofErr w:type="spellStart"/>
      <w:r w:rsidR="00B72335" w:rsidRPr="00B45853">
        <w:rPr>
          <w:rFonts w:ascii="Times New Roman" w:hAnsi="Times New Roman" w:cs="Times New Roman"/>
          <w:lang w:val="pl-PL"/>
        </w:rPr>
        <w:t>Delfi</w:t>
      </w:r>
      <w:proofErr w:type="spellEnd"/>
      <w:r w:rsidR="00B72335" w:rsidRPr="00B45853">
        <w:rPr>
          <w:rFonts w:ascii="Times New Roman" w:hAnsi="Times New Roman" w:cs="Times New Roman"/>
          <w:lang w:val="pl-PL"/>
        </w:rPr>
        <w:t xml:space="preserve"> A</w:t>
      </w:r>
      <w:r w:rsidR="00A220C6" w:rsidRPr="00B45853">
        <w:rPr>
          <w:rFonts w:ascii="Times New Roman" w:hAnsi="Times New Roman" w:cs="Times New Roman"/>
          <w:lang w:val="pl-PL"/>
        </w:rPr>
        <w:t>S</w:t>
      </w:r>
      <w:r w:rsidRPr="00B45853">
        <w:rPr>
          <w:rFonts w:ascii="Times New Roman" w:hAnsi="Times New Roman" w:cs="Times New Roman"/>
          <w:lang w:val="pl-PL"/>
        </w:rPr>
        <w:t xml:space="preserve"> przeciwko Estonii</w:t>
      </w:r>
      <w:r w:rsidR="00D4692B" w:rsidRPr="00B45853">
        <w:rPr>
          <w:rFonts w:ascii="Times New Roman" w:hAnsi="Times New Roman" w:cs="Times New Roman"/>
          <w:lang w:val="pl-PL"/>
        </w:rPr>
        <w:t>,</w:t>
      </w:r>
    </w:p>
    <w:p w:rsidR="00D4692B" w:rsidRPr="00B45853" w:rsidRDefault="00A623D1" w:rsidP="00171A6F">
      <w:pPr>
        <w:pStyle w:val="ECHRPara"/>
        <w:rPr>
          <w:rFonts w:ascii="Times New Roman" w:hAnsi="Times New Roman" w:cs="Times New Roman"/>
          <w:lang w:val="pl-PL"/>
        </w:rPr>
      </w:pPr>
      <w:r w:rsidRPr="00B45853">
        <w:rPr>
          <w:rFonts w:ascii="Times New Roman" w:hAnsi="Times New Roman" w:cs="Times New Roman"/>
          <w:lang w:val="pl-PL"/>
        </w:rPr>
        <w:t>Europejski Trybunał Praw Człowieka, zasiadając jako Wielka Izba złożona z</w:t>
      </w:r>
      <w:r w:rsidR="00D4692B" w:rsidRPr="00B45853">
        <w:rPr>
          <w:rFonts w:ascii="Times New Roman" w:hAnsi="Times New Roman" w:cs="Times New Roman"/>
          <w:lang w:val="pl-PL"/>
        </w:rPr>
        <w:t>:</w:t>
      </w:r>
    </w:p>
    <w:p w:rsidR="00592E7A" w:rsidRPr="00F87B03" w:rsidRDefault="00257523" w:rsidP="00171A6F">
      <w:pPr>
        <w:pStyle w:val="ECHRDecisionBody"/>
        <w:rPr>
          <w:rFonts w:ascii="Times New Roman" w:hAnsi="Times New Roman" w:cs="Times New Roman"/>
          <w:lang w:val="nb-NO"/>
        </w:rPr>
      </w:pPr>
      <w:r w:rsidRPr="00B45853">
        <w:rPr>
          <w:rFonts w:ascii="Times New Roman" w:hAnsi="Times New Roman" w:cs="Times New Roman"/>
          <w:lang w:val="pl-PL"/>
        </w:rPr>
        <w:tab/>
      </w:r>
      <w:r w:rsidRPr="00F87B03">
        <w:rPr>
          <w:rFonts w:ascii="Times New Roman" w:hAnsi="Times New Roman" w:cs="Times New Roman"/>
          <w:lang w:val="nb-NO"/>
        </w:rPr>
        <w:t xml:space="preserve">Dean </w:t>
      </w:r>
      <w:proofErr w:type="spellStart"/>
      <w:r w:rsidRPr="00F87B03">
        <w:rPr>
          <w:rFonts w:ascii="Times New Roman" w:hAnsi="Times New Roman" w:cs="Times New Roman"/>
          <w:lang w:val="nb-NO"/>
        </w:rPr>
        <w:t>Spielmann</w:t>
      </w:r>
      <w:proofErr w:type="spellEnd"/>
      <w:r w:rsidRPr="00F87B03">
        <w:rPr>
          <w:rFonts w:ascii="Times New Roman" w:hAnsi="Times New Roman" w:cs="Times New Roman"/>
          <w:lang w:val="nb-NO"/>
        </w:rPr>
        <w:t>,</w:t>
      </w:r>
      <w:r w:rsidR="00A623D1" w:rsidRPr="00F87B03">
        <w:rPr>
          <w:rFonts w:ascii="Times New Roman" w:hAnsi="Times New Roman" w:cs="Times New Roman"/>
          <w:i/>
          <w:lang w:val="nb-NO"/>
        </w:rPr>
        <w:t xml:space="preserve"> </w:t>
      </w:r>
      <w:proofErr w:type="spellStart"/>
      <w:r w:rsidR="00A623D1" w:rsidRPr="00F87B03">
        <w:rPr>
          <w:rFonts w:ascii="Times New Roman" w:hAnsi="Times New Roman" w:cs="Times New Roman"/>
          <w:i/>
          <w:lang w:val="nb-NO"/>
        </w:rPr>
        <w:t>Przewodniczący</w:t>
      </w:r>
      <w:proofErr w:type="spellEnd"/>
      <w:r w:rsidRPr="00F87B03">
        <w:rPr>
          <w:rFonts w:ascii="Times New Roman" w:hAnsi="Times New Roman" w:cs="Times New Roman"/>
          <w:i/>
          <w:lang w:val="nb-NO"/>
        </w:rPr>
        <w:t>,</w:t>
      </w:r>
      <w:r w:rsidRPr="00F87B03">
        <w:rPr>
          <w:rFonts w:ascii="Times New Roman" w:hAnsi="Times New Roman" w:cs="Times New Roman"/>
          <w:i/>
          <w:lang w:val="nb-NO"/>
        </w:rPr>
        <w:br/>
      </w:r>
      <w:r w:rsidRPr="00F87B03">
        <w:rPr>
          <w:rFonts w:ascii="Times New Roman" w:hAnsi="Times New Roman" w:cs="Times New Roman"/>
          <w:lang w:val="nb-NO"/>
        </w:rPr>
        <w:tab/>
      </w:r>
      <w:proofErr w:type="spellStart"/>
      <w:r w:rsidRPr="00F87B03">
        <w:rPr>
          <w:rFonts w:ascii="Times New Roman" w:hAnsi="Times New Roman" w:cs="Times New Roman"/>
          <w:lang w:val="nb-NO"/>
        </w:rPr>
        <w:t>Josep</w:t>
      </w:r>
      <w:proofErr w:type="spellEnd"/>
      <w:r w:rsidRPr="00F87B03">
        <w:rPr>
          <w:rFonts w:ascii="Times New Roman" w:hAnsi="Times New Roman" w:cs="Times New Roman"/>
          <w:lang w:val="nb-NO"/>
        </w:rPr>
        <w:t xml:space="preserve"> </w:t>
      </w:r>
      <w:proofErr w:type="spellStart"/>
      <w:r w:rsidRPr="00F87B03">
        <w:rPr>
          <w:rFonts w:ascii="Times New Roman" w:hAnsi="Times New Roman" w:cs="Times New Roman"/>
          <w:lang w:val="nb-NO"/>
        </w:rPr>
        <w:t>Casadevall</w:t>
      </w:r>
      <w:proofErr w:type="spellEnd"/>
      <w:r w:rsidRPr="00F87B03">
        <w:rPr>
          <w:rFonts w:ascii="Times New Roman" w:hAnsi="Times New Roman" w:cs="Times New Roman"/>
          <w:lang w:val="nb-NO"/>
        </w:rPr>
        <w:t>,</w:t>
      </w:r>
      <w:r w:rsidRPr="00F87B03">
        <w:rPr>
          <w:rFonts w:ascii="Times New Roman" w:hAnsi="Times New Roman" w:cs="Times New Roman"/>
          <w:i/>
          <w:lang w:val="nb-NO"/>
        </w:rPr>
        <w:br/>
      </w:r>
      <w:r w:rsidRPr="00F87B03">
        <w:rPr>
          <w:rFonts w:ascii="Times New Roman" w:hAnsi="Times New Roman" w:cs="Times New Roman"/>
          <w:lang w:val="nb-NO"/>
        </w:rPr>
        <w:tab/>
        <w:t xml:space="preserve">Guido </w:t>
      </w:r>
      <w:proofErr w:type="spellStart"/>
      <w:r w:rsidRPr="00F87B03">
        <w:rPr>
          <w:rFonts w:ascii="Times New Roman" w:hAnsi="Times New Roman" w:cs="Times New Roman"/>
          <w:lang w:val="nb-NO"/>
        </w:rPr>
        <w:t>Raimondi</w:t>
      </w:r>
      <w:proofErr w:type="spellEnd"/>
      <w:r w:rsidRPr="00F87B03">
        <w:rPr>
          <w:rFonts w:ascii="Times New Roman" w:hAnsi="Times New Roman" w:cs="Times New Roman"/>
          <w:lang w:val="nb-NO"/>
        </w:rPr>
        <w:t>,</w:t>
      </w:r>
      <w:r w:rsidRPr="00F87B03">
        <w:rPr>
          <w:rFonts w:ascii="Times New Roman" w:hAnsi="Times New Roman" w:cs="Times New Roman"/>
          <w:i/>
          <w:lang w:val="nb-NO"/>
        </w:rPr>
        <w:br/>
      </w:r>
      <w:r w:rsidRPr="00F87B03">
        <w:rPr>
          <w:rFonts w:ascii="Times New Roman" w:hAnsi="Times New Roman" w:cs="Times New Roman"/>
          <w:lang w:val="nb-NO"/>
        </w:rPr>
        <w:tab/>
        <w:t xml:space="preserve">Mark </w:t>
      </w:r>
      <w:proofErr w:type="spellStart"/>
      <w:r w:rsidRPr="00F87B03">
        <w:rPr>
          <w:rFonts w:ascii="Times New Roman" w:hAnsi="Times New Roman" w:cs="Times New Roman"/>
          <w:lang w:val="nb-NO"/>
        </w:rPr>
        <w:t>Villiger</w:t>
      </w:r>
      <w:proofErr w:type="spellEnd"/>
      <w:r w:rsidRPr="00F87B03">
        <w:rPr>
          <w:rFonts w:ascii="Times New Roman" w:hAnsi="Times New Roman" w:cs="Times New Roman"/>
          <w:lang w:val="nb-NO"/>
        </w:rPr>
        <w:t>,</w:t>
      </w:r>
    </w:p>
    <w:p w:rsidR="00D4692B" w:rsidRPr="00F87B03" w:rsidRDefault="00592E7A" w:rsidP="00171A6F">
      <w:pPr>
        <w:pStyle w:val="ECHRDecisionBody"/>
        <w:rPr>
          <w:rFonts w:ascii="Times New Roman" w:hAnsi="Times New Roman" w:cs="Times New Roman"/>
          <w:lang w:val="nb-NO"/>
        </w:rPr>
      </w:pPr>
      <w:r w:rsidRPr="00F87B03">
        <w:rPr>
          <w:rFonts w:ascii="Times New Roman" w:hAnsi="Times New Roman" w:cs="Times New Roman"/>
          <w:lang w:val="nb-NO"/>
        </w:rPr>
        <w:tab/>
      </w:r>
      <w:proofErr w:type="spellStart"/>
      <w:r w:rsidRPr="00F87B03">
        <w:rPr>
          <w:rFonts w:ascii="Times New Roman" w:hAnsi="Times New Roman" w:cs="Times New Roman"/>
          <w:lang w:val="nb-NO"/>
        </w:rPr>
        <w:t>Işıl</w:t>
      </w:r>
      <w:proofErr w:type="spellEnd"/>
      <w:r w:rsidRPr="00F87B03">
        <w:rPr>
          <w:rFonts w:ascii="Times New Roman" w:hAnsi="Times New Roman" w:cs="Times New Roman"/>
          <w:lang w:val="nb-NO"/>
        </w:rPr>
        <w:t xml:space="preserve"> </w:t>
      </w:r>
      <w:proofErr w:type="spellStart"/>
      <w:r w:rsidRPr="00F87B03">
        <w:rPr>
          <w:rFonts w:ascii="Times New Roman" w:hAnsi="Times New Roman" w:cs="Times New Roman"/>
          <w:lang w:val="nb-NO"/>
        </w:rPr>
        <w:t>Karakaş</w:t>
      </w:r>
      <w:proofErr w:type="spellEnd"/>
      <w:r w:rsidRPr="00F87B03">
        <w:rPr>
          <w:rFonts w:ascii="Times New Roman" w:hAnsi="Times New Roman" w:cs="Times New Roman"/>
          <w:lang w:val="nb-NO"/>
        </w:rPr>
        <w:t>,</w:t>
      </w:r>
      <w:r w:rsidRPr="00F87B03">
        <w:rPr>
          <w:rFonts w:ascii="Times New Roman" w:hAnsi="Times New Roman" w:cs="Times New Roman"/>
          <w:i/>
          <w:lang w:val="nb-NO"/>
        </w:rPr>
        <w:br/>
      </w:r>
      <w:r w:rsidR="00257523" w:rsidRPr="00F87B03">
        <w:rPr>
          <w:rFonts w:ascii="Times New Roman" w:hAnsi="Times New Roman" w:cs="Times New Roman"/>
          <w:lang w:val="nb-NO"/>
        </w:rPr>
        <w:tab/>
      </w:r>
      <w:proofErr w:type="spellStart"/>
      <w:r w:rsidR="00257523" w:rsidRPr="00F87B03">
        <w:rPr>
          <w:rFonts w:ascii="Times New Roman" w:hAnsi="Times New Roman" w:cs="Times New Roman"/>
          <w:lang w:val="nb-NO"/>
        </w:rPr>
        <w:t>Ineta</w:t>
      </w:r>
      <w:proofErr w:type="spellEnd"/>
      <w:r w:rsidR="00257523" w:rsidRPr="00F87B03">
        <w:rPr>
          <w:rFonts w:ascii="Times New Roman" w:hAnsi="Times New Roman" w:cs="Times New Roman"/>
          <w:lang w:val="nb-NO"/>
        </w:rPr>
        <w:t xml:space="preserve"> </w:t>
      </w:r>
      <w:proofErr w:type="spellStart"/>
      <w:r w:rsidR="00257523" w:rsidRPr="00F87B03">
        <w:rPr>
          <w:rFonts w:ascii="Times New Roman" w:hAnsi="Times New Roman" w:cs="Times New Roman"/>
          <w:lang w:val="nb-NO"/>
        </w:rPr>
        <w:t>Ziemele</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r>
      <w:proofErr w:type="spellStart"/>
      <w:r w:rsidR="00257523" w:rsidRPr="00F87B03">
        <w:rPr>
          <w:rFonts w:ascii="Times New Roman" w:hAnsi="Times New Roman" w:cs="Times New Roman"/>
          <w:lang w:val="nb-NO"/>
        </w:rPr>
        <w:t>Boštjan</w:t>
      </w:r>
      <w:proofErr w:type="spellEnd"/>
      <w:r w:rsidR="00257523" w:rsidRPr="00F87B03">
        <w:rPr>
          <w:rFonts w:ascii="Times New Roman" w:hAnsi="Times New Roman" w:cs="Times New Roman"/>
          <w:lang w:val="nb-NO"/>
        </w:rPr>
        <w:t xml:space="preserve"> M. </w:t>
      </w:r>
      <w:proofErr w:type="spellStart"/>
      <w:r w:rsidR="00257523" w:rsidRPr="00F87B03">
        <w:rPr>
          <w:rFonts w:ascii="Times New Roman" w:hAnsi="Times New Roman" w:cs="Times New Roman"/>
          <w:lang w:val="nb-NO"/>
        </w:rPr>
        <w:t>Zupančič</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t xml:space="preserve">András </w:t>
      </w:r>
      <w:proofErr w:type="spellStart"/>
      <w:r w:rsidR="00257523" w:rsidRPr="00F87B03">
        <w:rPr>
          <w:rFonts w:ascii="Times New Roman" w:hAnsi="Times New Roman" w:cs="Times New Roman"/>
          <w:lang w:val="nb-NO"/>
        </w:rPr>
        <w:t>Sajó</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r>
      <w:proofErr w:type="spellStart"/>
      <w:r w:rsidR="00257523" w:rsidRPr="00F87B03">
        <w:rPr>
          <w:rFonts w:ascii="Times New Roman" w:hAnsi="Times New Roman" w:cs="Times New Roman"/>
          <w:lang w:val="nb-NO"/>
        </w:rPr>
        <w:t>Ledi</w:t>
      </w:r>
      <w:proofErr w:type="spellEnd"/>
      <w:r w:rsidR="00257523" w:rsidRPr="00F87B03">
        <w:rPr>
          <w:rFonts w:ascii="Times New Roman" w:hAnsi="Times New Roman" w:cs="Times New Roman"/>
          <w:lang w:val="nb-NO"/>
        </w:rPr>
        <w:t xml:space="preserve"> </w:t>
      </w:r>
      <w:proofErr w:type="spellStart"/>
      <w:r w:rsidR="00257523" w:rsidRPr="00F87B03">
        <w:rPr>
          <w:rFonts w:ascii="Times New Roman" w:hAnsi="Times New Roman" w:cs="Times New Roman"/>
          <w:lang w:val="nb-NO"/>
        </w:rPr>
        <w:t>Bianku</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r>
      <w:proofErr w:type="spellStart"/>
      <w:r w:rsidR="00257523" w:rsidRPr="00F87B03">
        <w:rPr>
          <w:rFonts w:ascii="Times New Roman" w:hAnsi="Times New Roman" w:cs="Times New Roman"/>
          <w:lang w:val="nb-NO"/>
        </w:rPr>
        <w:t>Nona</w:t>
      </w:r>
      <w:proofErr w:type="spellEnd"/>
      <w:r w:rsidR="00257523" w:rsidRPr="00F87B03">
        <w:rPr>
          <w:rFonts w:ascii="Times New Roman" w:hAnsi="Times New Roman" w:cs="Times New Roman"/>
          <w:lang w:val="nb-NO"/>
        </w:rPr>
        <w:t xml:space="preserve"> </w:t>
      </w:r>
      <w:proofErr w:type="spellStart"/>
      <w:r w:rsidR="00257523" w:rsidRPr="00F87B03">
        <w:rPr>
          <w:rFonts w:ascii="Times New Roman" w:hAnsi="Times New Roman" w:cs="Times New Roman"/>
          <w:lang w:val="nb-NO"/>
        </w:rPr>
        <w:t>Tsotsoria</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lang w:val="nb-NO"/>
        </w:rPr>
        <w:tab/>
      </w:r>
      <w:r w:rsidR="00DD3245" w:rsidRPr="00F87B03">
        <w:rPr>
          <w:rFonts w:ascii="Times New Roman" w:hAnsi="Times New Roman" w:cs="Times New Roman"/>
          <w:lang w:val="nb-NO"/>
        </w:rPr>
        <w:br/>
      </w:r>
      <w:r w:rsidR="00DD3245" w:rsidRPr="00F87B03">
        <w:rPr>
          <w:rFonts w:ascii="Times New Roman" w:hAnsi="Times New Roman" w:cs="Times New Roman"/>
          <w:lang w:val="nb-NO"/>
        </w:rPr>
        <w:tab/>
      </w:r>
      <w:r w:rsidR="00257523" w:rsidRPr="00F87B03">
        <w:rPr>
          <w:rFonts w:ascii="Times New Roman" w:hAnsi="Times New Roman" w:cs="Times New Roman"/>
          <w:lang w:val="nb-NO"/>
        </w:rPr>
        <w:t xml:space="preserve">Vincent A. </w:t>
      </w:r>
      <w:r w:rsidR="00DD3245" w:rsidRPr="00F87B03">
        <w:rPr>
          <w:rFonts w:ascii="Times New Roman" w:hAnsi="Times New Roman" w:cs="Times New Roman"/>
          <w:lang w:val="nb-NO"/>
        </w:rPr>
        <w:t>D</w:t>
      </w:r>
      <w:r w:rsidR="00257523" w:rsidRPr="00F87B03">
        <w:rPr>
          <w:rFonts w:ascii="Times New Roman" w:hAnsi="Times New Roman" w:cs="Times New Roman"/>
          <w:lang w:val="nb-NO"/>
        </w:rPr>
        <w:t xml:space="preserve">e </w:t>
      </w:r>
      <w:proofErr w:type="spellStart"/>
      <w:r w:rsidR="00257523" w:rsidRPr="00F87B03">
        <w:rPr>
          <w:rFonts w:ascii="Times New Roman" w:hAnsi="Times New Roman" w:cs="Times New Roman"/>
          <w:lang w:val="nb-NO"/>
        </w:rPr>
        <w:t>Gaetano</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t xml:space="preserve">Angelika </w:t>
      </w:r>
      <w:proofErr w:type="spellStart"/>
      <w:r w:rsidR="00257523" w:rsidRPr="00F87B03">
        <w:rPr>
          <w:rFonts w:ascii="Times New Roman" w:hAnsi="Times New Roman" w:cs="Times New Roman"/>
          <w:lang w:val="nb-NO"/>
        </w:rPr>
        <w:t>Nußberger</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t xml:space="preserve">Julia </w:t>
      </w:r>
      <w:proofErr w:type="spellStart"/>
      <w:r w:rsidR="00257523" w:rsidRPr="00F87B03">
        <w:rPr>
          <w:rFonts w:ascii="Times New Roman" w:hAnsi="Times New Roman" w:cs="Times New Roman"/>
          <w:lang w:val="nb-NO"/>
        </w:rPr>
        <w:t>Laffranque</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r>
      <w:proofErr w:type="spellStart"/>
      <w:r w:rsidR="00257523" w:rsidRPr="00F87B03">
        <w:rPr>
          <w:rFonts w:ascii="Times New Roman" w:hAnsi="Times New Roman" w:cs="Times New Roman"/>
          <w:lang w:val="nb-NO"/>
        </w:rPr>
        <w:t>Linos</w:t>
      </w:r>
      <w:proofErr w:type="spellEnd"/>
      <w:r w:rsidR="00257523" w:rsidRPr="00F87B03">
        <w:rPr>
          <w:rFonts w:ascii="Times New Roman" w:hAnsi="Times New Roman" w:cs="Times New Roman"/>
          <w:lang w:val="nb-NO"/>
        </w:rPr>
        <w:t xml:space="preserve">-Alexandre </w:t>
      </w:r>
      <w:proofErr w:type="spellStart"/>
      <w:r w:rsidR="00257523" w:rsidRPr="00F87B03">
        <w:rPr>
          <w:rFonts w:ascii="Times New Roman" w:hAnsi="Times New Roman" w:cs="Times New Roman"/>
          <w:lang w:val="nb-NO"/>
        </w:rPr>
        <w:t>Sicilianos</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t xml:space="preserve">Helena </w:t>
      </w:r>
      <w:proofErr w:type="spellStart"/>
      <w:r w:rsidR="00257523" w:rsidRPr="00F87B03">
        <w:rPr>
          <w:rFonts w:ascii="Times New Roman" w:hAnsi="Times New Roman" w:cs="Times New Roman"/>
          <w:lang w:val="nb-NO"/>
        </w:rPr>
        <w:t>Jäderblom</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t xml:space="preserve">Robert </w:t>
      </w:r>
      <w:proofErr w:type="spellStart"/>
      <w:r w:rsidR="00257523" w:rsidRPr="00F87B03">
        <w:rPr>
          <w:rFonts w:ascii="Times New Roman" w:hAnsi="Times New Roman" w:cs="Times New Roman"/>
          <w:lang w:val="nb-NO"/>
        </w:rPr>
        <w:t>Spano</w:t>
      </w:r>
      <w:proofErr w:type="spellEnd"/>
      <w:r w:rsidR="00257523" w:rsidRPr="00F87B03">
        <w:rPr>
          <w:rFonts w:ascii="Times New Roman" w:hAnsi="Times New Roman" w:cs="Times New Roman"/>
          <w:lang w:val="nb-NO"/>
        </w:rPr>
        <w:t>,</w:t>
      </w:r>
      <w:r w:rsidR="00257523" w:rsidRPr="00F87B03">
        <w:rPr>
          <w:rFonts w:ascii="Times New Roman" w:hAnsi="Times New Roman" w:cs="Times New Roman"/>
          <w:i/>
          <w:lang w:val="nb-NO"/>
        </w:rPr>
        <w:br/>
      </w:r>
      <w:r w:rsidR="00257523" w:rsidRPr="00F87B03">
        <w:rPr>
          <w:rFonts w:ascii="Times New Roman" w:hAnsi="Times New Roman" w:cs="Times New Roman"/>
          <w:lang w:val="nb-NO"/>
        </w:rPr>
        <w:tab/>
        <w:t xml:space="preserve">Jon </w:t>
      </w:r>
      <w:proofErr w:type="spellStart"/>
      <w:r w:rsidR="00257523" w:rsidRPr="00F87B03">
        <w:rPr>
          <w:rFonts w:ascii="Times New Roman" w:hAnsi="Times New Roman" w:cs="Times New Roman"/>
          <w:lang w:val="nb-NO"/>
        </w:rPr>
        <w:t>Fridrik</w:t>
      </w:r>
      <w:proofErr w:type="spellEnd"/>
      <w:r w:rsidR="00257523" w:rsidRPr="00F87B03">
        <w:rPr>
          <w:rFonts w:ascii="Times New Roman" w:hAnsi="Times New Roman" w:cs="Times New Roman"/>
          <w:lang w:val="nb-NO"/>
        </w:rPr>
        <w:t xml:space="preserve"> </w:t>
      </w:r>
      <w:proofErr w:type="spellStart"/>
      <w:r w:rsidR="00257523" w:rsidRPr="00F87B03">
        <w:rPr>
          <w:rFonts w:ascii="Times New Roman" w:hAnsi="Times New Roman" w:cs="Times New Roman"/>
          <w:lang w:val="nb-NO"/>
        </w:rPr>
        <w:t>Kjølbro</w:t>
      </w:r>
      <w:proofErr w:type="spellEnd"/>
      <w:r w:rsidR="00257523" w:rsidRPr="00F87B03">
        <w:rPr>
          <w:rFonts w:ascii="Times New Roman" w:hAnsi="Times New Roman" w:cs="Times New Roman"/>
          <w:lang w:val="nb-NO"/>
        </w:rPr>
        <w:t>,</w:t>
      </w:r>
      <w:r w:rsidR="00A623D1" w:rsidRPr="00F87B03">
        <w:rPr>
          <w:rFonts w:ascii="Times New Roman" w:hAnsi="Times New Roman" w:cs="Times New Roman"/>
          <w:i/>
          <w:lang w:val="nb-NO"/>
        </w:rPr>
        <w:t xml:space="preserve"> </w:t>
      </w:r>
      <w:proofErr w:type="spellStart"/>
      <w:r w:rsidR="00A623D1" w:rsidRPr="00F87B03">
        <w:rPr>
          <w:rFonts w:ascii="Times New Roman" w:hAnsi="Times New Roman" w:cs="Times New Roman"/>
          <w:i/>
          <w:lang w:val="nb-NO"/>
        </w:rPr>
        <w:t>sędziowie</w:t>
      </w:r>
      <w:proofErr w:type="spellEnd"/>
      <w:r w:rsidR="00257523" w:rsidRPr="00F87B03">
        <w:rPr>
          <w:rFonts w:ascii="Times New Roman" w:hAnsi="Times New Roman" w:cs="Times New Roman"/>
          <w:i/>
          <w:lang w:val="nb-NO"/>
        </w:rPr>
        <w:t>,</w:t>
      </w:r>
      <w:r w:rsidR="00257523" w:rsidRPr="00F87B03">
        <w:rPr>
          <w:rFonts w:ascii="Times New Roman" w:hAnsi="Times New Roman" w:cs="Times New Roman"/>
          <w:i/>
          <w:lang w:val="nb-NO"/>
        </w:rPr>
        <w:br/>
      </w:r>
      <w:r w:rsidR="00A220C6" w:rsidRPr="00F87B03">
        <w:rPr>
          <w:rFonts w:ascii="Times New Roman" w:hAnsi="Times New Roman" w:cs="Times New Roman"/>
          <w:lang w:val="nb-NO"/>
        </w:rPr>
        <w:t xml:space="preserve">and </w:t>
      </w:r>
      <w:r w:rsidR="007962B3" w:rsidRPr="00F87B03">
        <w:rPr>
          <w:rFonts w:ascii="Times New Roman" w:hAnsi="Times New Roman" w:cs="Times New Roman"/>
          <w:lang w:val="nb-NO"/>
        </w:rPr>
        <w:t xml:space="preserve">Johan </w:t>
      </w:r>
      <w:proofErr w:type="spellStart"/>
      <w:r w:rsidR="007962B3" w:rsidRPr="00F87B03">
        <w:rPr>
          <w:rFonts w:ascii="Times New Roman" w:hAnsi="Times New Roman" w:cs="Times New Roman"/>
          <w:lang w:val="nb-NO"/>
        </w:rPr>
        <w:t>Callewaert</w:t>
      </w:r>
      <w:proofErr w:type="spellEnd"/>
      <w:r w:rsidR="00A220C6" w:rsidRPr="00F87B03">
        <w:rPr>
          <w:rFonts w:ascii="Times New Roman" w:hAnsi="Times New Roman" w:cs="Times New Roman"/>
          <w:lang w:val="nb-NO" w:eastAsia="fr-FR"/>
        </w:rPr>
        <w:t xml:space="preserve">, </w:t>
      </w:r>
      <w:proofErr w:type="spellStart"/>
      <w:r w:rsidR="00A623D1" w:rsidRPr="00F87B03">
        <w:rPr>
          <w:rFonts w:ascii="Times New Roman" w:hAnsi="Times New Roman" w:cs="Times New Roman"/>
          <w:i/>
          <w:lang w:val="nb-NO" w:eastAsia="fr-FR"/>
        </w:rPr>
        <w:t>Zastępca</w:t>
      </w:r>
      <w:proofErr w:type="spellEnd"/>
      <w:r w:rsidR="00A623D1" w:rsidRPr="00F87B03">
        <w:rPr>
          <w:rFonts w:ascii="Times New Roman" w:hAnsi="Times New Roman" w:cs="Times New Roman"/>
          <w:i/>
          <w:lang w:val="nb-NO" w:eastAsia="fr-FR"/>
        </w:rPr>
        <w:t xml:space="preserve"> </w:t>
      </w:r>
      <w:proofErr w:type="spellStart"/>
      <w:r w:rsidR="00A623D1" w:rsidRPr="00FF7C37">
        <w:rPr>
          <w:rFonts w:ascii="Times New Roman" w:hAnsi="Times New Roman" w:cs="Times New Roman"/>
          <w:i/>
          <w:lang w:val="nb-NO" w:eastAsia="fr-FR"/>
        </w:rPr>
        <w:t>Kanclerza</w:t>
      </w:r>
      <w:proofErr w:type="spellEnd"/>
      <w:r w:rsidR="00A623D1" w:rsidRPr="00F87B03">
        <w:rPr>
          <w:rFonts w:ascii="Times New Roman" w:hAnsi="Times New Roman" w:cs="Times New Roman"/>
          <w:i/>
          <w:lang w:val="nb-NO" w:eastAsia="fr-FR"/>
        </w:rPr>
        <w:t xml:space="preserve"> </w:t>
      </w:r>
      <w:proofErr w:type="spellStart"/>
      <w:r w:rsidR="00A623D1" w:rsidRPr="00F87B03">
        <w:rPr>
          <w:rFonts w:ascii="Times New Roman" w:hAnsi="Times New Roman" w:cs="Times New Roman"/>
          <w:i/>
          <w:lang w:val="nb-NO" w:eastAsia="fr-FR"/>
        </w:rPr>
        <w:t>Wielkiej</w:t>
      </w:r>
      <w:proofErr w:type="spellEnd"/>
      <w:r w:rsidR="00A623D1" w:rsidRPr="00F87B03">
        <w:rPr>
          <w:rFonts w:ascii="Times New Roman" w:hAnsi="Times New Roman" w:cs="Times New Roman"/>
          <w:i/>
          <w:lang w:val="nb-NO" w:eastAsia="fr-FR"/>
        </w:rPr>
        <w:t xml:space="preserve"> </w:t>
      </w:r>
      <w:proofErr w:type="spellStart"/>
      <w:r w:rsidR="00A623D1" w:rsidRPr="00F87B03">
        <w:rPr>
          <w:rFonts w:ascii="Times New Roman" w:hAnsi="Times New Roman" w:cs="Times New Roman"/>
          <w:i/>
          <w:lang w:val="nb-NO" w:eastAsia="fr-FR"/>
        </w:rPr>
        <w:t>Izby</w:t>
      </w:r>
      <w:proofErr w:type="spellEnd"/>
      <w:r w:rsidR="00A220C6" w:rsidRPr="00F87B03">
        <w:rPr>
          <w:rFonts w:ascii="Times New Roman" w:hAnsi="Times New Roman" w:cs="Times New Roman"/>
          <w:i/>
          <w:lang w:val="nb-NO"/>
        </w:rPr>
        <w:t>,</w:t>
      </w:r>
    </w:p>
    <w:p w:rsidR="00D4692B" w:rsidRPr="00B45853" w:rsidRDefault="00A623D1" w:rsidP="00171A6F">
      <w:pPr>
        <w:pStyle w:val="ECHRPara"/>
        <w:rPr>
          <w:rFonts w:ascii="Times New Roman" w:hAnsi="Times New Roman" w:cs="Times New Roman"/>
          <w:lang w:val="pl-PL"/>
        </w:rPr>
      </w:pPr>
      <w:r w:rsidRPr="00B45853">
        <w:rPr>
          <w:rFonts w:ascii="Times New Roman" w:hAnsi="Times New Roman" w:cs="Times New Roman"/>
          <w:lang w:val="pl-PL"/>
        </w:rPr>
        <w:t>Obradując w dniu 9 lipca 2014 roku i 18 marca 2015 roku</w:t>
      </w:r>
      <w:r w:rsidR="00D4692B" w:rsidRPr="00B45853">
        <w:rPr>
          <w:rFonts w:ascii="Times New Roman" w:hAnsi="Times New Roman" w:cs="Times New Roman"/>
          <w:lang w:val="pl-PL"/>
        </w:rPr>
        <w:t>,</w:t>
      </w:r>
    </w:p>
    <w:p w:rsidR="00D4692B" w:rsidRPr="00B45853" w:rsidRDefault="00A623D1" w:rsidP="00171A6F">
      <w:pPr>
        <w:pStyle w:val="ECHRPara"/>
        <w:rPr>
          <w:rFonts w:ascii="Times New Roman" w:hAnsi="Times New Roman" w:cs="Times New Roman"/>
          <w:lang w:val="pl-PL"/>
        </w:rPr>
      </w:pPr>
      <w:r w:rsidRPr="00B45853">
        <w:rPr>
          <w:rFonts w:ascii="Times New Roman" w:hAnsi="Times New Roman" w:cs="Times New Roman"/>
          <w:lang w:val="pl-PL"/>
        </w:rPr>
        <w:t>Wydaje następujący wyrok, który został przyjęty w ostatniej  wymienionej dacie</w:t>
      </w:r>
      <w:r w:rsidR="00D4692B" w:rsidRPr="00B45853">
        <w:rPr>
          <w:rFonts w:ascii="Times New Roman" w:hAnsi="Times New Roman" w:cs="Times New Roman"/>
          <w:lang w:val="pl-PL"/>
        </w:rPr>
        <w:t>:</w:t>
      </w:r>
    </w:p>
    <w:p w:rsidR="00AA694E" w:rsidRPr="00FE4D17" w:rsidRDefault="00F87B03" w:rsidP="00171A6F">
      <w:pPr>
        <w:pStyle w:val="ECHRTitle1"/>
        <w:rPr>
          <w:rFonts w:ascii="Times New Roman" w:hAnsi="Times New Roman" w:cs="Times New Roman"/>
          <w:lang w:val="pl-PL"/>
        </w:rPr>
      </w:pPr>
      <w:r w:rsidRPr="00FE4D17">
        <w:rPr>
          <w:rFonts w:ascii="Times New Roman" w:hAnsi="Times New Roman" w:cs="Times New Roman"/>
          <w:lang w:val="pl-PL"/>
        </w:rPr>
        <w:t>POSTĘPOWANIE</w:t>
      </w:r>
    </w:p>
    <w:p w:rsidR="00A220C6" w:rsidRPr="00B45853" w:rsidRDefault="00A623D1" w:rsidP="00171A6F">
      <w:pPr>
        <w:pStyle w:val="ECHRPara"/>
        <w:rPr>
          <w:rFonts w:ascii="Times New Roman" w:hAnsi="Times New Roman" w:cs="Times New Roman"/>
          <w:lang w:val="pl-PL"/>
        </w:rPr>
      </w:pPr>
      <w:r w:rsidRPr="00B45853">
        <w:rPr>
          <w:rFonts w:ascii="Times New Roman" w:hAnsi="Times New Roman" w:cs="Times New Roman"/>
          <w:lang w:val="pl-PL"/>
        </w:rPr>
        <w:t>1. Sprawa wywodzi się ze skargi (nr 64569/0</w:t>
      </w:r>
      <w:r w:rsidR="0039341A" w:rsidRPr="00B45853">
        <w:rPr>
          <w:rFonts w:ascii="Times New Roman" w:hAnsi="Times New Roman" w:cs="Times New Roman"/>
          <w:lang w:val="pl-PL"/>
        </w:rPr>
        <w:t xml:space="preserve">9) przeciwko Republice Estonii </w:t>
      </w:r>
      <w:r w:rsidRPr="00B45853">
        <w:rPr>
          <w:rFonts w:ascii="Times New Roman" w:hAnsi="Times New Roman" w:cs="Times New Roman"/>
          <w:lang w:val="pl-PL"/>
        </w:rPr>
        <w:t xml:space="preserve">wniesionej do Trybunału na podstawie Artykułu 34 Konwencji o Ochronie Praw Człowieka i Podstawowych Wolności ( "Konwencja") przez </w:t>
      </w: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AS, spółkę akcyjną zarejestrowaną w Estonii ( "</w:t>
      </w:r>
      <w:r w:rsidR="00D367F5" w:rsidRPr="00B45853">
        <w:rPr>
          <w:rFonts w:ascii="Times New Roman" w:hAnsi="Times New Roman" w:cs="Times New Roman"/>
          <w:lang w:val="pl-PL"/>
        </w:rPr>
        <w:t xml:space="preserve"> Skarżąca </w:t>
      </w:r>
      <w:r w:rsidRPr="00B45853">
        <w:rPr>
          <w:rFonts w:ascii="Times New Roman" w:hAnsi="Times New Roman" w:cs="Times New Roman"/>
          <w:lang w:val="pl-PL"/>
        </w:rPr>
        <w:t>spółka "), w dniu 4 grudnia 2009 roku</w:t>
      </w:r>
      <w:r w:rsidR="00A220C6" w:rsidRPr="00B45853">
        <w:rPr>
          <w:rFonts w:ascii="Times New Roman" w:hAnsi="Times New Roman" w:cs="Times New Roman"/>
          <w:lang w:val="pl-PL"/>
        </w:rPr>
        <w:t>.</w:t>
      </w:r>
    </w:p>
    <w:p w:rsidR="0039341A" w:rsidRPr="007056C6" w:rsidRDefault="00692C43" w:rsidP="0039341A">
      <w:pPr>
        <w:pStyle w:val="ECHRPara"/>
        <w:rPr>
          <w:rFonts w:ascii="Times New Roman" w:hAnsi="Times New Roman" w:cs="Times New Roman"/>
          <w:lang w:val="pl-PL"/>
        </w:rPr>
      </w:pPr>
      <w:r w:rsidRPr="00B45853">
        <w:rPr>
          <w:rFonts w:ascii="Times New Roman" w:hAnsi="Times New Roman" w:cs="Times New Roman"/>
          <w:lang w:val="pl-PL"/>
        </w:rPr>
        <w:t xml:space="preserve">2. Spółka skarżąca reprezentowana była przez </w:t>
      </w:r>
      <w:r w:rsidR="0039341A" w:rsidRPr="00B45853">
        <w:rPr>
          <w:rFonts w:ascii="Times New Roman" w:hAnsi="Times New Roman" w:cs="Times New Roman"/>
          <w:lang w:val="pl-PL"/>
        </w:rPr>
        <w:t>P</w:t>
      </w:r>
      <w:r w:rsidRPr="00B45853">
        <w:rPr>
          <w:rFonts w:ascii="Times New Roman" w:hAnsi="Times New Roman" w:cs="Times New Roman"/>
          <w:lang w:val="pl-PL"/>
        </w:rPr>
        <w:t xml:space="preserve">ana V. </w:t>
      </w:r>
      <w:proofErr w:type="spellStart"/>
      <w:r w:rsidRPr="00B45853">
        <w:rPr>
          <w:rFonts w:ascii="Times New Roman" w:hAnsi="Times New Roman" w:cs="Times New Roman"/>
          <w:lang w:val="pl-PL"/>
        </w:rPr>
        <w:t>Otsmann</w:t>
      </w:r>
      <w:proofErr w:type="spellEnd"/>
      <w:r w:rsidRPr="00B45853">
        <w:rPr>
          <w:rFonts w:ascii="Times New Roman" w:hAnsi="Times New Roman" w:cs="Times New Roman"/>
          <w:lang w:val="pl-PL"/>
        </w:rPr>
        <w:t xml:space="preserve"> i </w:t>
      </w:r>
      <w:r w:rsidR="0039341A" w:rsidRPr="00B45853">
        <w:rPr>
          <w:rFonts w:ascii="Times New Roman" w:hAnsi="Times New Roman" w:cs="Times New Roman"/>
          <w:lang w:val="pl-PL"/>
        </w:rPr>
        <w:t>P</w:t>
      </w:r>
      <w:r w:rsidRPr="00B45853">
        <w:rPr>
          <w:rFonts w:ascii="Times New Roman" w:hAnsi="Times New Roman" w:cs="Times New Roman"/>
          <w:lang w:val="pl-PL"/>
        </w:rPr>
        <w:t xml:space="preserve">anią K. </w:t>
      </w:r>
      <w:proofErr w:type="spellStart"/>
      <w:r w:rsidRPr="00B45853">
        <w:rPr>
          <w:rFonts w:ascii="Times New Roman" w:hAnsi="Times New Roman" w:cs="Times New Roman"/>
          <w:lang w:val="pl-PL"/>
        </w:rPr>
        <w:t>Turk</w:t>
      </w:r>
      <w:proofErr w:type="spellEnd"/>
      <w:r w:rsidRPr="00B45853">
        <w:rPr>
          <w:rFonts w:ascii="Times New Roman" w:hAnsi="Times New Roman" w:cs="Times New Roman"/>
          <w:lang w:val="pl-PL"/>
        </w:rPr>
        <w:t xml:space="preserve">, prawników </w:t>
      </w:r>
      <w:r w:rsidRPr="007056C6">
        <w:rPr>
          <w:rFonts w:ascii="Times New Roman" w:hAnsi="Times New Roman" w:cs="Times New Roman"/>
          <w:lang w:val="pl-PL"/>
        </w:rPr>
        <w:t xml:space="preserve">praktykujących w Tallinie. </w:t>
      </w:r>
      <w:r w:rsidR="0039341A" w:rsidRPr="007056C6">
        <w:rPr>
          <w:rFonts w:ascii="Times New Roman" w:hAnsi="Times New Roman" w:cs="Times New Roman"/>
          <w:lang w:val="pl-PL"/>
        </w:rPr>
        <w:t xml:space="preserve">Rząd Estonii </w:t>
      </w:r>
      <w:r w:rsidRPr="007056C6">
        <w:rPr>
          <w:rFonts w:ascii="Times New Roman" w:hAnsi="Times New Roman" w:cs="Times New Roman"/>
          <w:lang w:val="pl-PL"/>
        </w:rPr>
        <w:t xml:space="preserve">( "Rząd") był reprezentowany przez swojego </w:t>
      </w:r>
      <w:r w:rsidR="00652D67" w:rsidRPr="007056C6">
        <w:rPr>
          <w:rFonts w:ascii="Times New Roman" w:hAnsi="Times New Roman" w:cs="Times New Roman"/>
          <w:lang w:val="pl-PL"/>
        </w:rPr>
        <w:t>pełnomocnika</w:t>
      </w:r>
      <w:r w:rsidRPr="007056C6">
        <w:rPr>
          <w:rFonts w:ascii="Times New Roman" w:hAnsi="Times New Roman" w:cs="Times New Roman"/>
          <w:lang w:val="pl-PL"/>
        </w:rPr>
        <w:t xml:space="preserve">, panią M. </w:t>
      </w:r>
      <w:proofErr w:type="spellStart"/>
      <w:r w:rsidRPr="007056C6">
        <w:rPr>
          <w:rFonts w:ascii="Times New Roman" w:hAnsi="Times New Roman" w:cs="Times New Roman"/>
          <w:lang w:val="pl-PL"/>
        </w:rPr>
        <w:t>Kuurberg</w:t>
      </w:r>
      <w:proofErr w:type="spellEnd"/>
      <w:r w:rsidRPr="007056C6">
        <w:rPr>
          <w:rFonts w:ascii="Times New Roman" w:hAnsi="Times New Roman" w:cs="Times New Roman"/>
          <w:lang w:val="pl-PL"/>
        </w:rPr>
        <w:t xml:space="preserve"> z Ministerstwa Spraw Zagranicznych.</w:t>
      </w:r>
    </w:p>
    <w:p w:rsidR="00A220C6" w:rsidRPr="00B45853" w:rsidRDefault="00692C43" w:rsidP="00171A6F">
      <w:pPr>
        <w:pStyle w:val="ECHRPara"/>
        <w:rPr>
          <w:rFonts w:ascii="Times New Roman" w:hAnsi="Times New Roman" w:cs="Times New Roman"/>
          <w:lang w:val="pl-PL"/>
        </w:rPr>
      </w:pPr>
      <w:r w:rsidRPr="00B45853">
        <w:rPr>
          <w:rFonts w:ascii="Times New Roman" w:hAnsi="Times New Roman" w:cs="Times New Roman"/>
          <w:lang w:val="pl-PL"/>
        </w:rPr>
        <w:t xml:space="preserve">3. Spółka skarżąca twierdziła, że jej wolność wypowiedzi została naruszona, </w:t>
      </w:r>
      <w:r w:rsidR="0039341A" w:rsidRPr="00B45853">
        <w:rPr>
          <w:rFonts w:ascii="Times New Roman" w:hAnsi="Times New Roman" w:cs="Times New Roman"/>
          <w:lang w:val="pl-PL"/>
        </w:rPr>
        <w:t xml:space="preserve">na mocy </w:t>
      </w:r>
      <w:r w:rsidRPr="00B45853">
        <w:rPr>
          <w:rFonts w:ascii="Times New Roman" w:hAnsi="Times New Roman" w:cs="Times New Roman"/>
          <w:lang w:val="pl-PL"/>
        </w:rPr>
        <w:t>Artykułu 10 Konwencji, przez fakt, że została ona uznana za odpowiedzialną za komentarze osób trzecich zamieszczonych na swoim Internetowym portalu informacyjnym</w:t>
      </w:r>
      <w:r w:rsidR="00A220C6" w:rsidRPr="00B45853">
        <w:rPr>
          <w:rFonts w:ascii="Times New Roman" w:hAnsi="Times New Roman" w:cs="Times New Roman"/>
          <w:lang w:val="pl-PL"/>
        </w:rPr>
        <w:t>.</w:t>
      </w:r>
    </w:p>
    <w:p w:rsidR="00A220C6" w:rsidRPr="007056C6" w:rsidRDefault="00522A4B" w:rsidP="00171A6F">
      <w:pPr>
        <w:pStyle w:val="ECHRPara"/>
        <w:rPr>
          <w:rFonts w:ascii="Times New Roman" w:hAnsi="Times New Roman" w:cs="Times New Roman"/>
          <w:lang w:val="pl-PL"/>
        </w:rPr>
      </w:pPr>
      <w:r w:rsidRPr="00B45853">
        <w:rPr>
          <w:rFonts w:ascii="Times New Roman" w:hAnsi="Times New Roman" w:cs="Times New Roman"/>
          <w:lang w:val="pl-PL"/>
        </w:rPr>
        <w:t>4. Skarga została przydzielona do Piątej Sekcji Trybunału (</w:t>
      </w:r>
      <w:r w:rsidR="0039341A" w:rsidRPr="00B45853">
        <w:rPr>
          <w:rFonts w:ascii="Times New Roman" w:hAnsi="Times New Roman" w:cs="Times New Roman"/>
          <w:lang w:val="pl-PL"/>
        </w:rPr>
        <w:t>Reguła</w:t>
      </w:r>
      <w:r w:rsidRPr="00B45853">
        <w:rPr>
          <w:rFonts w:ascii="Times New Roman" w:hAnsi="Times New Roman" w:cs="Times New Roman"/>
          <w:lang w:val="pl-PL"/>
        </w:rPr>
        <w:t xml:space="preserve"> 52 § 1 Regulaminu Trybunału). W dniu 1 lutego 2011 roku Trybunał zmienił skład </w:t>
      </w:r>
      <w:r w:rsidRPr="00B45853">
        <w:rPr>
          <w:rFonts w:ascii="Times New Roman" w:hAnsi="Times New Roman" w:cs="Times New Roman"/>
          <w:lang w:val="pl-PL"/>
        </w:rPr>
        <w:lastRenderedPageBreak/>
        <w:t>swoich Sekcji (</w:t>
      </w:r>
      <w:r w:rsidR="0039341A" w:rsidRPr="00B45853">
        <w:rPr>
          <w:rFonts w:ascii="Times New Roman" w:hAnsi="Times New Roman" w:cs="Times New Roman"/>
          <w:lang w:val="pl-PL"/>
        </w:rPr>
        <w:t>Reguła</w:t>
      </w:r>
      <w:r w:rsidRPr="00B45853">
        <w:rPr>
          <w:rFonts w:ascii="Times New Roman" w:hAnsi="Times New Roman" w:cs="Times New Roman"/>
          <w:lang w:val="pl-PL"/>
        </w:rPr>
        <w:t xml:space="preserve"> 25 § 1), a </w:t>
      </w:r>
      <w:r w:rsidR="00652D67" w:rsidRPr="007056C6">
        <w:rPr>
          <w:rFonts w:ascii="Times New Roman" w:hAnsi="Times New Roman" w:cs="Times New Roman"/>
          <w:lang w:val="pl-PL"/>
        </w:rPr>
        <w:t>skarga</w:t>
      </w:r>
      <w:r w:rsidRPr="007056C6">
        <w:rPr>
          <w:rFonts w:ascii="Times New Roman" w:hAnsi="Times New Roman" w:cs="Times New Roman"/>
          <w:lang w:val="pl-PL"/>
        </w:rPr>
        <w:t xml:space="preserve"> została przydzielona do nowo utworzonej Pierwszej Sekcji. W dniu 10 października 2013 roku Izba składająca się z Isabelle </w:t>
      </w:r>
      <w:proofErr w:type="spellStart"/>
      <w:r w:rsidRPr="007056C6">
        <w:rPr>
          <w:rFonts w:ascii="Times New Roman" w:hAnsi="Times New Roman" w:cs="Times New Roman"/>
          <w:lang w:val="pl-PL"/>
        </w:rPr>
        <w:t>Berro-Lefèvre'a</w:t>
      </w:r>
      <w:proofErr w:type="spellEnd"/>
      <w:r w:rsidRPr="007056C6">
        <w:rPr>
          <w:rFonts w:ascii="Times New Roman" w:hAnsi="Times New Roman" w:cs="Times New Roman"/>
          <w:lang w:val="pl-PL"/>
        </w:rPr>
        <w:t xml:space="preserve">, Przewodniczący, </w:t>
      </w:r>
      <w:proofErr w:type="spellStart"/>
      <w:r w:rsidRPr="007056C6">
        <w:rPr>
          <w:rFonts w:ascii="Times New Roman" w:hAnsi="Times New Roman" w:cs="Times New Roman"/>
          <w:lang w:val="pl-PL"/>
        </w:rPr>
        <w:t>Elisabeth</w:t>
      </w:r>
      <w:proofErr w:type="spellEnd"/>
      <w:r w:rsidRPr="007056C6">
        <w:rPr>
          <w:rFonts w:ascii="Times New Roman" w:hAnsi="Times New Roman" w:cs="Times New Roman"/>
          <w:lang w:val="pl-PL"/>
        </w:rPr>
        <w:t xml:space="preserve"> Steiner, </w:t>
      </w:r>
      <w:proofErr w:type="spellStart"/>
      <w:r w:rsidRPr="007056C6">
        <w:rPr>
          <w:rFonts w:ascii="Times New Roman" w:hAnsi="Times New Roman" w:cs="Times New Roman"/>
          <w:lang w:val="pl-PL"/>
        </w:rPr>
        <w:t>Khanlar</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Hajiyev</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Mirjana</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Lazarová</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Trajkovska</w:t>
      </w:r>
      <w:proofErr w:type="spellEnd"/>
      <w:r w:rsidRPr="007056C6">
        <w:rPr>
          <w:rFonts w:ascii="Times New Roman" w:hAnsi="Times New Roman" w:cs="Times New Roman"/>
          <w:lang w:val="pl-PL"/>
        </w:rPr>
        <w:t xml:space="preserve">, Julia </w:t>
      </w:r>
      <w:proofErr w:type="spellStart"/>
      <w:r w:rsidRPr="007056C6">
        <w:rPr>
          <w:rFonts w:ascii="Times New Roman" w:hAnsi="Times New Roman" w:cs="Times New Roman"/>
          <w:lang w:val="pl-PL"/>
        </w:rPr>
        <w:t>Laffranque</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Ksenija</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Turković</w:t>
      </w:r>
      <w:proofErr w:type="spellEnd"/>
      <w:r w:rsidRPr="007056C6">
        <w:rPr>
          <w:rFonts w:ascii="Times New Roman" w:hAnsi="Times New Roman" w:cs="Times New Roman"/>
          <w:lang w:val="pl-PL"/>
        </w:rPr>
        <w:t xml:space="preserve"> Dmitrij </w:t>
      </w:r>
      <w:proofErr w:type="spellStart"/>
      <w:r w:rsidRPr="007056C6">
        <w:rPr>
          <w:rFonts w:ascii="Times New Roman" w:hAnsi="Times New Roman" w:cs="Times New Roman"/>
          <w:lang w:val="pl-PL"/>
        </w:rPr>
        <w:t>Dedov</w:t>
      </w:r>
      <w:proofErr w:type="spellEnd"/>
      <w:r w:rsidRPr="007056C6">
        <w:rPr>
          <w:rFonts w:ascii="Times New Roman" w:hAnsi="Times New Roman" w:cs="Times New Roman"/>
          <w:lang w:val="pl-PL"/>
        </w:rPr>
        <w:t xml:space="preserve">, sędziowie, a także </w:t>
      </w:r>
      <w:proofErr w:type="spellStart"/>
      <w:r w:rsidRPr="007056C6">
        <w:rPr>
          <w:rFonts w:ascii="Times New Roman" w:hAnsi="Times New Roman" w:cs="Times New Roman"/>
          <w:lang w:val="pl-PL"/>
        </w:rPr>
        <w:t>André</w:t>
      </w:r>
      <w:proofErr w:type="spellEnd"/>
      <w:r w:rsidRPr="007056C6">
        <w:rPr>
          <w:rFonts w:ascii="Times New Roman" w:hAnsi="Times New Roman" w:cs="Times New Roman"/>
          <w:lang w:val="pl-PL"/>
        </w:rPr>
        <w:t xml:space="preserve"> Wampach, Zastępca Kanclerza Sekcji, wydała wyrok. To jednogłośnie zdecydowało o uznanie skargi za </w:t>
      </w:r>
      <w:r w:rsidR="00652D67" w:rsidRPr="007056C6">
        <w:rPr>
          <w:rFonts w:ascii="Times New Roman" w:hAnsi="Times New Roman" w:cs="Times New Roman"/>
          <w:lang w:val="pl-PL"/>
        </w:rPr>
        <w:t>dopuszczalną</w:t>
      </w:r>
      <w:r w:rsidRPr="007056C6">
        <w:rPr>
          <w:rFonts w:ascii="Times New Roman" w:hAnsi="Times New Roman" w:cs="Times New Roman"/>
          <w:lang w:val="pl-PL"/>
        </w:rPr>
        <w:t xml:space="preserve"> i uznaniu, że nie doszło do naruszenia artykułu 10 Konwencji.</w:t>
      </w:r>
    </w:p>
    <w:p w:rsidR="00A220C6" w:rsidRPr="00B45853" w:rsidRDefault="00522A4B" w:rsidP="00171A6F">
      <w:pPr>
        <w:pStyle w:val="ECHRPara"/>
        <w:rPr>
          <w:rFonts w:ascii="Times New Roman" w:hAnsi="Times New Roman" w:cs="Times New Roman"/>
          <w:lang w:val="pl-PL"/>
        </w:rPr>
      </w:pPr>
      <w:r w:rsidRPr="00B45853">
        <w:rPr>
          <w:rFonts w:ascii="Times New Roman" w:hAnsi="Times New Roman" w:cs="Times New Roman"/>
          <w:lang w:val="pl-PL"/>
        </w:rPr>
        <w:t xml:space="preserve">5. W dniu 8 stycznia 2014 roku skarżąca spółka wniosła o przekazanie sprawy do Wielkiej Izby, zgodnie z Artykułem 43 Konwencji, a </w:t>
      </w:r>
      <w:r w:rsidR="0039341A" w:rsidRPr="00B45853">
        <w:rPr>
          <w:rFonts w:ascii="Times New Roman" w:hAnsi="Times New Roman" w:cs="Times New Roman"/>
          <w:lang w:val="pl-PL"/>
        </w:rPr>
        <w:t>panel</w:t>
      </w:r>
      <w:r w:rsidRPr="00B45853">
        <w:rPr>
          <w:rFonts w:ascii="Times New Roman" w:hAnsi="Times New Roman" w:cs="Times New Roman"/>
          <w:lang w:val="pl-PL"/>
        </w:rPr>
        <w:t xml:space="preserve"> Wielkiej Izby przyjął wniosek w dniu 17 lutego 2014 roku.</w:t>
      </w:r>
    </w:p>
    <w:p w:rsidR="0039341A" w:rsidRPr="00B45853" w:rsidRDefault="00522A4B" w:rsidP="00171A6F">
      <w:pPr>
        <w:pStyle w:val="ECHRPara"/>
        <w:rPr>
          <w:rFonts w:ascii="Times New Roman" w:hAnsi="Times New Roman" w:cs="Times New Roman"/>
          <w:lang w:val="pl-PL"/>
        </w:rPr>
      </w:pPr>
      <w:r w:rsidRPr="00B45853">
        <w:rPr>
          <w:rFonts w:ascii="Times New Roman" w:hAnsi="Times New Roman" w:cs="Times New Roman"/>
          <w:lang w:val="pl-PL"/>
        </w:rPr>
        <w:t xml:space="preserve">6. </w:t>
      </w:r>
      <w:r w:rsidR="0039341A" w:rsidRPr="00B45853">
        <w:rPr>
          <w:rFonts w:ascii="Times New Roman" w:hAnsi="Times New Roman" w:cs="Times New Roman"/>
          <w:lang w:val="pl-PL"/>
        </w:rPr>
        <w:t>Skład Wielkiej Izby został określony zgodnie z pr</w:t>
      </w:r>
      <w:r w:rsidR="00652D67">
        <w:rPr>
          <w:rFonts w:ascii="Times New Roman" w:hAnsi="Times New Roman" w:cs="Times New Roman"/>
          <w:lang w:val="pl-PL"/>
        </w:rPr>
        <w:t>zepisami artykułu 26  §§ 4 i 5 K</w:t>
      </w:r>
      <w:r w:rsidR="0039341A" w:rsidRPr="00B45853">
        <w:rPr>
          <w:rFonts w:ascii="Times New Roman" w:hAnsi="Times New Roman" w:cs="Times New Roman"/>
          <w:lang w:val="pl-PL"/>
        </w:rPr>
        <w:t>onwencji oraz Regułą 24.</w:t>
      </w:r>
    </w:p>
    <w:p w:rsidR="00A220C6" w:rsidRPr="00B45853" w:rsidRDefault="00522A4B" w:rsidP="00171A6F">
      <w:pPr>
        <w:pStyle w:val="ECHRPara"/>
        <w:rPr>
          <w:rFonts w:ascii="Times New Roman" w:hAnsi="Times New Roman" w:cs="Times New Roman"/>
          <w:lang w:val="pl-PL"/>
        </w:rPr>
      </w:pPr>
      <w:r w:rsidRPr="00B45853">
        <w:rPr>
          <w:rFonts w:ascii="Times New Roman" w:hAnsi="Times New Roman" w:cs="Times New Roman"/>
          <w:lang w:val="pl-PL"/>
        </w:rPr>
        <w:t xml:space="preserve">7. </w:t>
      </w:r>
      <w:r w:rsidR="00CF0D80" w:rsidRPr="00B45853">
        <w:rPr>
          <w:rFonts w:ascii="Times New Roman" w:hAnsi="Times New Roman" w:cs="Times New Roman"/>
          <w:lang w:val="pl-PL"/>
        </w:rPr>
        <w:t>Skarżąca spółka</w:t>
      </w:r>
      <w:r w:rsidRPr="00B45853">
        <w:rPr>
          <w:rFonts w:ascii="Times New Roman" w:hAnsi="Times New Roman" w:cs="Times New Roman"/>
          <w:lang w:val="pl-PL"/>
        </w:rPr>
        <w:t xml:space="preserve"> oraz Rząd przedłożyli dalsze obserwacje na piśmie (</w:t>
      </w:r>
      <w:r w:rsidR="0039341A" w:rsidRPr="00B45853">
        <w:rPr>
          <w:rFonts w:ascii="Times New Roman" w:hAnsi="Times New Roman" w:cs="Times New Roman"/>
          <w:lang w:val="pl-PL"/>
        </w:rPr>
        <w:t>Reguła</w:t>
      </w:r>
      <w:r w:rsidRPr="00B45853">
        <w:rPr>
          <w:rFonts w:ascii="Times New Roman" w:hAnsi="Times New Roman" w:cs="Times New Roman"/>
          <w:lang w:val="pl-PL"/>
        </w:rPr>
        <w:t xml:space="preserve"> 59 § 1) co do meritum.</w:t>
      </w:r>
    </w:p>
    <w:p w:rsidR="00B413BF" w:rsidRPr="00B45853" w:rsidRDefault="00CF0D80" w:rsidP="00171A6F">
      <w:pPr>
        <w:pStyle w:val="ECHRPara"/>
        <w:rPr>
          <w:rFonts w:ascii="Times New Roman" w:hAnsi="Times New Roman" w:cs="Times New Roman"/>
          <w:bCs/>
          <w:iCs/>
          <w:lang w:val="pl-PL"/>
        </w:rPr>
      </w:pPr>
      <w:r w:rsidRPr="00B45853">
        <w:rPr>
          <w:rFonts w:ascii="Times New Roman" w:hAnsi="Times New Roman" w:cs="Times New Roman"/>
          <w:lang w:val="pl-PL"/>
        </w:rPr>
        <w:t xml:space="preserve">8. Ponadto, otrzymano uwagi osób trzecich od następujących organizacji, które uzyskały dopuszczenie przez Przewodniczącego Wielkiej Izby do ingerencji w pisemnej procedurze (Artykuł 36 § 2 Konwencji oraz </w:t>
      </w:r>
      <w:r w:rsidR="0039341A" w:rsidRPr="00B45853">
        <w:rPr>
          <w:rFonts w:ascii="Times New Roman" w:hAnsi="Times New Roman" w:cs="Times New Roman"/>
          <w:lang w:val="pl-PL"/>
        </w:rPr>
        <w:t>Regułą</w:t>
      </w:r>
      <w:r w:rsidRPr="00B45853">
        <w:rPr>
          <w:rFonts w:ascii="Times New Roman" w:hAnsi="Times New Roman" w:cs="Times New Roman"/>
          <w:lang w:val="pl-PL"/>
        </w:rPr>
        <w:t xml:space="preserve"> 44 § 2): Helsińska Fundacja Praw Człowieka; Artykuł 19; Dostęp; Inicjatywa Prawnej Obrony Mediów (MLDI), działając wraz z dwudziestu ośmioma organizacjami stowarzyszonymi; oraz Europejskie Stowarzyszenie Cyfrowych Mediów (</w:t>
      </w:r>
      <w:proofErr w:type="spellStart"/>
      <w:r w:rsidRPr="00B45853">
        <w:rPr>
          <w:rFonts w:ascii="Times New Roman" w:hAnsi="Times New Roman" w:cs="Times New Roman"/>
          <w:lang w:val="pl-PL"/>
        </w:rPr>
        <w:t>EDiMA</w:t>
      </w:r>
      <w:proofErr w:type="spellEnd"/>
      <w:r w:rsidRPr="00B45853">
        <w:rPr>
          <w:rFonts w:ascii="Times New Roman" w:hAnsi="Times New Roman" w:cs="Times New Roman"/>
          <w:lang w:val="pl-PL"/>
        </w:rPr>
        <w:t xml:space="preserve">), </w:t>
      </w:r>
      <w:r w:rsidR="00D367F5" w:rsidRPr="00B45853">
        <w:rPr>
          <w:rFonts w:ascii="Times New Roman" w:hAnsi="Times New Roman" w:cs="Times New Roman"/>
          <w:lang w:val="pl-PL"/>
        </w:rPr>
        <w:t>Stowarzyszenie Przemysłu Komputerowego i Komunikacyjnego (CCIA Europa) oraz O</w:t>
      </w:r>
      <w:r w:rsidRPr="00B45853">
        <w:rPr>
          <w:rFonts w:ascii="Times New Roman" w:hAnsi="Times New Roman" w:cs="Times New Roman"/>
          <w:lang w:val="pl-PL"/>
        </w:rPr>
        <w:t>gólnoeuropejski</w:t>
      </w:r>
      <w:r w:rsidR="00D367F5" w:rsidRPr="00B45853">
        <w:rPr>
          <w:rFonts w:ascii="Times New Roman" w:hAnsi="Times New Roman" w:cs="Times New Roman"/>
          <w:lang w:val="pl-PL"/>
        </w:rPr>
        <w:t>e</w:t>
      </w:r>
      <w:r w:rsidRPr="00B45853">
        <w:rPr>
          <w:rFonts w:ascii="Times New Roman" w:hAnsi="Times New Roman" w:cs="Times New Roman"/>
          <w:lang w:val="pl-PL"/>
        </w:rPr>
        <w:t xml:space="preserve"> Stowarzyszenie Europejskich Stowarzyszeń </w:t>
      </w:r>
      <w:r w:rsidR="00D367F5" w:rsidRPr="00B45853">
        <w:rPr>
          <w:rFonts w:ascii="Times New Roman" w:hAnsi="Times New Roman" w:cs="Times New Roman"/>
          <w:lang w:val="pl-PL"/>
        </w:rPr>
        <w:t>Dostawców Usług</w:t>
      </w:r>
      <w:r w:rsidRPr="00B45853">
        <w:rPr>
          <w:rFonts w:ascii="Times New Roman" w:hAnsi="Times New Roman" w:cs="Times New Roman"/>
          <w:lang w:val="pl-PL"/>
        </w:rPr>
        <w:t xml:space="preserve"> </w:t>
      </w:r>
      <w:r w:rsidR="00D367F5" w:rsidRPr="00B45853">
        <w:rPr>
          <w:rFonts w:ascii="Times New Roman" w:hAnsi="Times New Roman" w:cs="Times New Roman"/>
          <w:lang w:val="pl-PL"/>
        </w:rPr>
        <w:t>Internetowych</w:t>
      </w:r>
      <w:r w:rsidRPr="00B45853">
        <w:rPr>
          <w:rFonts w:ascii="Times New Roman" w:hAnsi="Times New Roman" w:cs="Times New Roman"/>
          <w:lang w:val="pl-PL"/>
        </w:rPr>
        <w:t xml:space="preserve"> (</w:t>
      </w:r>
      <w:proofErr w:type="spellStart"/>
      <w:r w:rsidRPr="00B45853">
        <w:rPr>
          <w:rFonts w:ascii="Times New Roman" w:hAnsi="Times New Roman" w:cs="Times New Roman"/>
          <w:lang w:val="pl-PL"/>
        </w:rPr>
        <w:t>EuroISPA</w:t>
      </w:r>
      <w:proofErr w:type="spellEnd"/>
      <w:r w:rsidRPr="00B45853">
        <w:rPr>
          <w:rFonts w:ascii="Times New Roman" w:hAnsi="Times New Roman" w:cs="Times New Roman"/>
          <w:lang w:val="pl-PL"/>
        </w:rPr>
        <w:t>), działając wspólnie.</w:t>
      </w:r>
    </w:p>
    <w:p w:rsidR="00A220C6" w:rsidRPr="00B45853" w:rsidRDefault="00D367F5" w:rsidP="00171A6F">
      <w:pPr>
        <w:pStyle w:val="ECHRPara"/>
        <w:rPr>
          <w:rFonts w:ascii="Times New Roman" w:hAnsi="Times New Roman" w:cs="Times New Roman"/>
          <w:lang w:val="pl-PL"/>
        </w:rPr>
      </w:pPr>
      <w:r w:rsidRPr="00B45853">
        <w:rPr>
          <w:rFonts w:ascii="Times New Roman" w:hAnsi="Times New Roman" w:cs="Times New Roman"/>
          <w:lang w:val="pl-PL"/>
        </w:rPr>
        <w:t xml:space="preserve">9. Rozprawa odbyła się w miejscu publicznym w </w:t>
      </w:r>
      <w:r w:rsidR="0039341A" w:rsidRPr="00B45853">
        <w:rPr>
          <w:rFonts w:ascii="Times New Roman" w:hAnsi="Times New Roman" w:cs="Times New Roman"/>
          <w:lang w:val="pl-PL"/>
        </w:rPr>
        <w:t>siedzibie Trybunału</w:t>
      </w:r>
      <w:r w:rsidRPr="00B45853">
        <w:rPr>
          <w:rFonts w:ascii="Times New Roman" w:hAnsi="Times New Roman" w:cs="Times New Roman"/>
          <w:lang w:val="pl-PL"/>
        </w:rPr>
        <w:t xml:space="preserve"> Praw Człowieka w Strasburgu w dniu 9 lipca 2014 roku (</w:t>
      </w:r>
      <w:r w:rsidR="0039341A" w:rsidRPr="00B45853">
        <w:rPr>
          <w:rFonts w:ascii="Times New Roman" w:hAnsi="Times New Roman" w:cs="Times New Roman"/>
          <w:lang w:val="pl-PL"/>
        </w:rPr>
        <w:t>Reguła</w:t>
      </w:r>
      <w:r w:rsidRPr="00B45853">
        <w:rPr>
          <w:rFonts w:ascii="Times New Roman" w:hAnsi="Times New Roman" w:cs="Times New Roman"/>
          <w:lang w:val="pl-PL"/>
        </w:rPr>
        <w:t xml:space="preserve"> 59 § 3).</w:t>
      </w:r>
    </w:p>
    <w:p w:rsidR="00A220C6" w:rsidRPr="00B45853" w:rsidRDefault="00D367F5" w:rsidP="00171A6F">
      <w:pPr>
        <w:pStyle w:val="ECHRPara"/>
        <w:rPr>
          <w:rFonts w:ascii="Times New Roman" w:hAnsi="Times New Roman" w:cs="Times New Roman"/>
          <w:lang w:val="pl-PL"/>
        </w:rPr>
      </w:pPr>
      <w:r w:rsidRPr="00B45853">
        <w:rPr>
          <w:rFonts w:ascii="Times New Roman" w:hAnsi="Times New Roman" w:cs="Times New Roman"/>
          <w:lang w:val="pl-PL"/>
        </w:rPr>
        <w:t>Przed Trybunałem stawili się</w:t>
      </w:r>
      <w:r w:rsidR="00A220C6" w:rsidRPr="00B45853">
        <w:rPr>
          <w:rFonts w:ascii="Times New Roman" w:hAnsi="Times New Roman" w:cs="Times New Roman"/>
          <w:lang w:val="pl-PL"/>
        </w:rPr>
        <w:t>:</w:t>
      </w:r>
    </w:p>
    <w:p w:rsidR="00A220C6" w:rsidRPr="00B45853" w:rsidRDefault="00A220C6" w:rsidP="00171A6F">
      <w:pPr>
        <w:pStyle w:val="JuCourt"/>
        <w:rPr>
          <w:rFonts w:ascii="Times New Roman" w:hAnsi="Times New Roman" w:cs="Times New Roman"/>
          <w:lang w:val="pl-PL"/>
        </w:rPr>
      </w:pPr>
      <w:r w:rsidRPr="00B45853">
        <w:rPr>
          <w:rFonts w:ascii="Times New Roman" w:hAnsi="Times New Roman" w:cs="Times New Roman"/>
          <w:lang w:val="pl-PL"/>
        </w:rPr>
        <w:t>(a)  </w:t>
      </w:r>
      <w:r w:rsidR="006D53C3" w:rsidRPr="00B45853">
        <w:rPr>
          <w:rFonts w:ascii="Times New Roman" w:hAnsi="Times New Roman" w:cs="Times New Roman"/>
          <w:i/>
          <w:lang w:val="pl-PL"/>
        </w:rPr>
        <w:t>w imieniu Rządu</w:t>
      </w:r>
      <w:r w:rsidRPr="00B45853">
        <w:rPr>
          <w:rFonts w:ascii="Times New Roman" w:hAnsi="Times New Roman" w:cs="Times New Roman"/>
          <w:lang w:val="pl-PL"/>
        </w:rPr>
        <w:tab/>
      </w:r>
      <w:r w:rsidR="00D14527" w:rsidRPr="007056C6">
        <w:rPr>
          <w:rFonts w:ascii="Times New Roman" w:hAnsi="Times New Roman" w:cs="Times New Roman"/>
          <w:i/>
          <w:lang w:val="pl-PL"/>
        </w:rPr>
        <w:t>Pełnomocnik</w:t>
      </w:r>
      <w:r w:rsidR="00D367F5" w:rsidRPr="00B45853">
        <w:rPr>
          <w:rFonts w:ascii="Times New Roman" w:hAnsi="Times New Roman" w:cs="Times New Roman"/>
          <w:lang w:val="pl-PL"/>
        </w:rPr>
        <w:t>,</w:t>
      </w:r>
      <w:r w:rsidR="00D367F5" w:rsidRPr="00B45853">
        <w:rPr>
          <w:rFonts w:ascii="Times New Roman" w:hAnsi="Times New Roman" w:cs="Times New Roman"/>
          <w:lang w:val="pl-PL"/>
        </w:rPr>
        <w:br/>
        <w:t>Pani</w:t>
      </w:r>
      <w:r w:rsidRPr="00B45853">
        <w:rPr>
          <w:rFonts w:ascii="Times New Roman" w:hAnsi="Times New Roman" w:cs="Times New Roman"/>
          <w:lang w:val="pl-PL"/>
        </w:rPr>
        <w:tab/>
      </w:r>
      <w:r w:rsidRPr="00B45853">
        <w:rPr>
          <w:rStyle w:val="JuNames0"/>
          <w:rFonts w:ascii="Times New Roman" w:hAnsi="Times New Roman" w:cs="Times New Roman"/>
          <w:lang w:val="pl-PL"/>
        </w:rPr>
        <w:t xml:space="preserve">M. </w:t>
      </w:r>
      <w:proofErr w:type="spellStart"/>
      <w:r w:rsidRPr="00B45853">
        <w:rPr>
          <w:rStyle w:val="JuNames0"/>
          <w:rFonts w:ascii="Times New Roman" w:hAnsi="Times New Roman" w:cs="Times New Roman"/>
          <w:lang w:val="pl-PL"/>
        </w:rPr>
        <w:t>Kaur</w:t>
      </w:r>
      <w:proofErr w:type="spellEnd"/>
      <w:r w:rsidR="00D367F5" w:rsidRPr="00B45853">
        <w:rPr>
          <w:rFonts w:ascii="Times New Roman" w:hAnsi="Times New Roman" w:cs="Times New Roman"/>
          <w:lang w:val="pl-PL"/>
        </w:rPr>
        <w:t xml:space="preserve">, </w:t>
      </w:r>
      <w:r w:rsidR="00D367F5" w:rsidRPr="00B45853">
        <w:rPr>
          <w:rFonts w:ascii="Times New Roman" w:hAnsi="Times New Roman" w:cs="Times New Roman"/>
          <w:lang w:val="pl-PL"/>
        </w:rPr>
        <w:br/>
        <w:t>Pani</w:t>
      </w:r>
      <w:r w:rsidRPr="00B45853">
        <w:rPr>
          <w:rFonts w:ascii="Times New Roman" w:hAnsi="Times New Roman" w:cs="Times New Roman"/>
          <w:lang w:val="pl-PL"/>
        </w:rPr>
        <w:tab/>
      </w:r>
      <w:r w:rsidRPr="00B45853">
        <w:rPr>
          <w:rStyle w:val="JuNames0"/>
          <w:rFonts w:ascii="Times New Roman" w:hAnsi="Times New Roman" w:cs="Times New Roman"/>
          <w:lang w:val="pl-PL"/>
        </w:rPr>
        <w:t xml:space="preserve">K. </w:t>
      </w:r>
      <w:proofErr w:type="spellStart"/>
      <w:r w:rsidRPr="00B45853">
        <w:rPr>
          <w:rStyle w:val="JuNames0"/>
          <w:rFonts w:ascii="Times New Roman" w:hAnsi="Times New Roman" w:cs="Times New Roman"/>
          <w:lang w:val="pl-PL"/>
        </w:rPr>
        <w:t>Mägi</w:t>
      </w:r>
      <w:proofErr w:type="spellEnd"/>
      <w:r w:rsidRPr="00B45853">
        <w:rPr>
          <w:rFonts w:ascii="Times New Roman" w:hAnsi="Times New Roman" w:cs="Times New Roman"/>
          <w:lang w:val="pl-PL"/>
        </w:rPr>
        <w:t xml:space="preserve">, </w:t>
      </w:r>
      <w:r w:rsidRPr="00B45853">
        <w:rPr>
          <w:rFonts w:ascii="Times New Roman" w:hAnsi="Times New Roman" w:cs="Times New Roman"/>
          <w:lang w:val="pl-PL"/>
        </w:rPr>
        <w:tab/>
      </w:r>
      <w:r w:rsidR="00D367F5" w:rsidRPr="00B45853">
        <w:rPr>
          <w:rFonts w:ascii="Times New Roman" w:hAnsi="Times New Roman" w:cs="Times New Roman"/>
          <w:i/>
          <w:lang w:val="pl-PL"/>
        </w:rPr>
        <w:t>Doradcy</w:t>
      </w:r>
      <w:r w:rsidRPr="00B45853">
        <w:rPr>
          <w:rFonts w:ascii="Times New Roman" w:hAnsi="Times New Roman" w:cs="Times New Roman"/>
          <w:lang w:val="pl-PL"/>
        </w:rPr>
        <w:t>;</w:t>
      </w:r>
    </w:p>
    <w:p w:rsidR="00A220C6" w:rsidRPr="00B45853" w:rsidRDefault="00A220C6" w:rsidP="00171A6F">
      <w:pPr>
        <w:pStyle w:val="JuCourt"/>
        <w:rPr>
          <w:rFonts w:ascii="Times New Roman" w:hAnsi="Times New Roman" w:cs="Times New Roman"/>
          <w:lang w:val="pl-PL"/>
        </w:rPr>
      </w:pPr>
      <w:r w:rsidRPr="00B45853">
        <w:rPr>
          <w:rFonts w:ascii="Times New Roman" w:hAnsi="Times New Roman" w:cs="Times New Roman"/>
          <w:lang w:val="pl-PL"/>
        </w:rPr>
        <w:t>(b)  </w:t>
      </w:r>
      <w:r w:rsidR="006D53C3" w:rsidRPr="00B45853">
        <w:rPr>
          <w:rFonts w:ascii="Times New Roman" w:hAnsi="Times New Roman" w:cs="Times New Roman"/>
          <w:i/>
          <w:lang w:val="pl-PL"/>
        </w:rPr>
        <w:t>w imieniu skarżącej s</w:t>
      </w:r>
      <w:r w:rsidR="00D367F5" w:rsidRPr="00B45853">
        <w:rPr>
          <w:rFonts w:ascii="Times New Roman" w:hAnsi="Times New Roman" w:cs="Times New Roman"/>
          <w:i/>
          <w:lang w:val="pl-PL"/>
        </w:rPr>
        <w:t>półk</w:t>
      </w:r>
      <w:r w:rsidR="006D53C3" w:rsidRPr="00B45853">
        <w:rPr>
          <w:rFonts w:ascii="Times New Roman" w:hAnsi="Times New Roman" w:cs="Times New Roman"/>
          <w:i/>
          <w:lang w:val="pl-PL"/>
        </w:rPr>
        <w:t>i</w:t>
      </w:r>
      <w:r w:rsidR="00D367F5" w:rsidRPr="00B45853">
        <w:rPr>
          <w:rFonts w:ascii="Times New Roman" w:hAnsi="Times New Roman" w:cs="Times New Roman"/>
          <w:lang w:val="pl-PL"/>
        </w:rPr>
        <w:br/>
        <w:t>Pan</w:t>
      </w:r>
      <w:r w:rsidRPr="00B45853">
        <w:rPr>
          <w:rFonts w:ascii="Times New Roman" w:hAnsi="Times New Roman" w:cs="Times New Roman"/>
          <w:lang w:val="pl-PL"/>
        </w:rPr>
        <w:tab/>
      </w:r>
      <w:r w:rsidRPr="00B45853">
        <w:rPr>
          <w:rStyle w:val="JuNames0"/>
          <w:rFonts w:ascii="Times New Roman" w:hAnsi="Times New Roman" w:cs="Times New Roman"/>
          <w:lang w:val="pl-PL"/>
        </w:rPr>
        <w:t xml:space="preserve">V. </w:t>
      </w:r>
      <w:proofErr w:type="spellStart"/>
      <w:r w:rsidRPr="00B45853">
        <w:rPr>
          <w:rStyle w:val="JuNames0"/>
          <w:rFonts w:ascii="Times New Roman" w:hAnsi="Times New Roman" w:cs="Times New Roman"/>
          <w:lang w:val="pl-PL"/>
        </w:rPr>
        <w:t>Otsmann</w:t>
      </w:r>
      <w:proofErr w:type="spellEnd"/>
      <w:r w:rsidR="00D367F5" w:rsidRPr="00B45853">
        <w:rPr>
          <w:rFonts w:ascii="Times New Roman" w:hAnsi="Times New Roman" w:cs="Times New Roman"/>
          <w:lang w:val="pl-PL"/>
        </w:rPr>
        <w:t>,</w:t>
      </w:r>
      <w:r w:rsidR="00D367F5" w:rsidRPr="00B45853">
        <w:rPr>
          <w:rFonts w:ascii="Times New Roman" w:hAnsi="Times New Roman" w:cs="Times New Roman"/>
          <w:lang w:val="pl-PL"/>
        </w:rPr>
        <w:br/>
        <w:t>Pani</w:t>
      </w:r>
      <w:r w:rsidRPr="00B45853">
        <w:rPr>
          <w:rFonts w:ascii="Times New Roman" w:hAnsi="Times New Roman" w:cs="Times New Roman"/>
          <w:lang w:val="pl-PL"/>
        </w:rPr>
        <w:tab/>
      </w:r>
      <w:r w:rsidRPr="00B45853">
        <w:rPr>
          <w:rStyle w:val="JuNames0"/>
          <w:rFonts w:ascii="Times New Roman" w:hAnsi="Times New Roman" w:cs="Times New Roman"/>
          <w:lang w:val="pl-PL"/>
        </w:rPr>
        <w:t xml:space="preserve">K. </w:t>
      </w:r>
      <w:proofErr w:type="spellStart"/>
      <w:r w:rsidRPr="00B45853">
        <w:rPr>
          <w:rStyle w:val="JuNames0"/>
          <w:rFonts w:ascii="Times New Roman" w:hAnsi="Times New Roman" w:cs="Times New Roman"/>
          <w:lang w:val="pl-PL"/>
        </w:rPr>
        <w:t>Turk</w:t>
      </w:r>
      <w:proofErr w:type="spellEnd"/>
      <w:r w:rsidRPr="00B45853">
        <w:rPr>
          <w:rFonts w:ascii="Times New Roman" w:hAnsi="Times New Roman" w:cs="Times New Roman"/>
          <w:lang w:val="pl-PL"/>
        </w:rPr>
        <w:t>,</w:t>
      </w:r>
      <w:r w:rsidRPr="00B45853">
        <w:rPr>
          <w:rFonts w:ascii="Times New Roman" w:hAnsi="Times New Roman" w:cs="Times New Roman"/>
          <w:lang w:val="pl-PL"/>
        </w:rPr>
        <w:tab/>
      </w:r>
      <w:r w:rsidR="00D367F5" w:rsidRPr="00B45853">
        <w:rPr>
          <w:rFonts w:ascii="Times New Roman" w:hAnsi="Times New Roman" w:cs="Times New Roman"/>
          <w:i/>
          <w:lang w:val="pl-PL"/>
        </w:rPr>
        <w:t>Adwokat</w:t>
      </w:r>
      <w:r w:rsidRPr="00B45853">
        <w:rPr>
          <w:rFonts w:ascii="Times New Roman" w:hAnsi="Times New Roman" w:cs="Times New Roman"/>
          <w:lang w:val="pl-PL"/>
        </w:rPr>
        <w:t>.</w:t>
      </w:r>
      <w:r w:rsidRPr="00B45853">
        <w:rPr>
          <w:rFonts w:ascii="Times New Roman" w:hAnsi="Times New Roman" w:cs="Times New Roman"/>
          <w:lang w:val="pl-PL"/>
        </w:rPr>
        <w:br/>
      </w:r>
    </w:p>
    <w:p w:rsidR="00D4692B" w:rsidRPr="00B45853" w:rsidRDefault="00D367F5" w:rsidP="00171A6F">
      <w:pPr>
        <w:pStyle w:val="ECHRPara"/>
        <w:rPr>
          <w:rFonts w:ascii="Times New Roman" w:hAnsi="Times New Roman" w:cs="Times New Roman"/>
          <w:lang w:val="pl-PL"/>
        </w:rPr>
      </w:pPr>
      <w:r w:rsidRPr="00B45853">
        <w:rPr>
          <w:rFonts w:ascii="Times New Roman" w:hAnsi="Times New Roman" w:cs="Times New Roman"/>
          <w:lang w:val="pl-PL"/>
        </w:rPr>
        <w:t xml:space="preserve">Trybunał wysłuchał wystąpień Pana </w:t>
      </w:r>
      <w:proofErr w:type="spellStart"/>
      <w:r w:rsidRPr="00B45853">
        <w:rPr>
          <w:rFonts w:ascii="Times New Roman" w:hAnsi="Times New Roman" w:cs="Times New Roman"/>
          <w:lang w:val="pl-PL"/>
        </w:rPr>
        <w:t>Otsmann</w:t>
      </w:r>
      <w:proofErr w:type="spellEnd"/>
      <w:r w:rsidRPr="00B45853">
        <w:rPr>
          <w:rFonts w:ascii="Times New Roman" w:hAnsi="Times New Roman" w:cs="Times New Roman"/>
          <w:lang w:val="pl-PL"/>
        </w:rPr>
        <w:t xml:space="preserve">, Pani </w:t>
      </w:r>
      <w:proofErr w:type="spellStart"/>
      <w:r w:rsidRPr="00B45853">
        <w:rPr>
          <w:rFonts w:ascii="Times New Roman" w:hAnsi="Times New Roman" w:cs="Times New Roman"/>
          <w:lang w:val="pl-PL"/>
        </w:rPr>
        <w:t>Turk</w:t>
      </w:r>
      <w:proofErr w:type="spellEnd"/>
      <w:r w:rsidRPr="00B45853">
        <w:rPr>
          <w:rFonts w:ascii="Times New Roman" w:hAnsi="Times New Roman" w:cs="Times New Roman"/>
          <w:lang w:val="pl-PL"/>
        </w:rPr>
        <w:t xml:space="preserve"> i Pani </w:t>
      </w:r>
      <w:proofErr w:type="spellStart"/>
      <w:r w:rsidRPr="00B45853">
        <w:rPr>
          <w:rFonts w:ascii="Times New Roman" w:hAnsi="Times New Roman" w:cs="Times New Roman"/>
          <w:lang w:val="pl-PL"/>
        </w:rPr>
        <w:t>Kuurberg</w:t>
      </w:r>
      <w:proofErr w:type="spellEnd"/>
      <w:r w:rsidRPr="00B45853">
        <w:rPr>
          <w:rFonts w:ascii="Times New Roman" w:hAnsi="Times New Roman" w:cs="Times New Roman"/>
          <w:lang w:val="pl-PL"/>
        </w:rPr>
        <w:t xml:space="preserve"> oraz ich odpowiedzi na pytania </w:t>
      </w:r>
      <w:r w:rsidR="006D53C3" w:rsidRPr="00B45853">
        <w:rPr>
          <w:rFonts w:ascii="Times New Roman" w:hAnsi="Times New Roman" w:cs="Times New Roman"/>
          <w:lang w:val="pl-PL"/>
        </w:rPr>
        <w:t>zadawane</w:t>
      </w:r>
      <w:r w:rsidRPr="00B45853">
        <w:rPr>
          <w:rFonts w:ascii="Times New Roman" w:hAnsi="Times New Roman" w:cs="Times New Roman"/>
          <w:lang w:val="pl-PL"/>
        </w:rPr>
        <w:t xml:space="preserve"> przez sędziów </w:t>
      </w:r>
      <w:proofErr w:type="spellStart"/>
      <w:r w:rsidRPr="00B45853">
        <w:rPr>
          <w:rFonts w:ascii="Times New Roman" w:hAnsi="Times New Roman" w:cs="Times New Roman"/>
          <w:lang w:val="pl-PL"/>
        </w:rPr>
        <w:t>Ziemele</w:t>
      </w:r>
      <w:proofErr w:type="spellEnd"/>
      <w:r w:rsidRPr="00B45853">
        <w:rPr>
          <w:rFonts w:ascii="Times New Roman" w:hAnsi="Times New Roman" w:cs="Times New Roman"/>
          <w:lang w:val="pl-PL"/>
        </w:rPr>
        <w:t xml:space="preserve">, Spano, </w:t>
      </w:r>
      <w:proofErr w:type="spellStart"/>
      <w:r w:rsidRPr="00B45853">
        <w:rPr>
          <w:rFonts w:ascii="Times New Roman" w:hAnsi="Times New Roman" w:cs="Times New Roman"/>
          <w:lang w:val="pl-PL"/>
        </w:rPr>
        <w:t>Raimondi</w:t>
      </w:r>
      <w:proofErr w:type="spellEnd"/>
      <w:r w:rsidRPr="00B45853">
        <w:rPr>
          <w:rFonts w:ascii="Times New Roman" w:hAnsi="Times New Roman" w:cs="Times New Roman"/>
          <w:lang w:val="pl-PL"/>
        </w:rPr>
        <w:t xml:space="preserve">, </w:t>
      </w:r>
      <w:proofErr w:type="spellStart"/>
      <w:r w:rsidRPr="00B45853">
        <w:rPr>
          <w:rFonts w:ascii="Times New Roman" w:hAnsi="Times New Roman" w:cs="Times New Roman"/>
          <w:lang w:val="pl-PL"/>
        </w:rPr>
        <w:t>Villiger</w:t>
      </w:r>
      <w:proofErr w:type="spellEnd"/>
      <w:r w:rsidRPr="00B45853">
        <w:rPr>
          <w:rFonts w:ascii="Times New Roman" w:hAnsi="Times New Roman" w:cs="Times New Roman"/>
          <w:lang w:val="pl-PL"/>
        </w:rPr>
        <w:t xml:space="preserve"> i </w:t>
      </w:r>
      <w:proofErr w:type="spellStart"/>
      <w:r w:rsidRPr="00B45853">
        <w:rPr>
          <w:rFonts w:ascii="Times New Roman" w:hAnsi="Times New Roman" w:cs="Times New Roman"/>
          <w:lang w:val="pl-PL"/>
        </w:rPr>
        <w:t>Bianku</w:t>
      </w:r>
      <w:proofErr w:type="spellEnd"/>
      <w:r w:rsidR="00A220C6" w:rsidRPr="00B45853">
        <w:rPr>
          <w:rFonts w:ascii="Times New Roman" w:hAnsi="Times New Roman" w:cs="Times New Roman"/>
          <w:lang w:val="pl-PL"/>
        </w:rPr>
        <w:t>.</w:t>
      </w:r>
    </w:p>
    <w:p w:rsidR="00D4692B" w:rsidRPr="00B45853" w:rsidRDefault="00D367F5" w:rsidP="00171A6F">
      <w:pPr>
        <w:pStyle w:val="ECHRTitle1"/>
        <w:rPr>
          <w:rFonts w:ascii="Times New Roman" w:hAnsi="Times New Roman" w:cs="Times New Roman"/>
          <w:lang w:val="pl-PL"/>
        </w:rPr>
      </w:pPr>
      <w:r w:rsidRPr="00B45853">
        <w:rPr>
          <w:rFonts w:ascii="Times New Roman" w:hAnsi="Times New Roman" w:cs="Times New Roman"/>
          <w:lang w:val="pl-PL"/>
        </w:rPr>
        <w:lastRenderedPageBreak/>
        <w:t>FAKTY</w:t>
      </w:r>
    </w:p>
    <w:p w:rsidR="00D4692B" w:rsidRPr="00B45853" w:rsidRDefault="00D4692B" w:rsidP="00171A6F">
      <w:pPr>
        <w:pStyle w:val="ECHRHeading1"/>
        <w:rPr>
          <w:rFonts w:ascii="Times New Roman" w:hAnsi="Times New Roman" w:cs="Times New Roman"/>
          <w:lang w:val="pl-PL"/>
        </w:rPr>
      </w:pPr>
      <w:bookmarkStart w:id="1" w:name="_Toc420072852"/>
      <w:r w:rsidRPr="00B45853">
        <w:rPr>
          <w:rFonts w:ascii="Times New Roman" w:hAnsi="Times New Roman" w:cs="Times New Roman"/>
          <w:lang w:val="pl-PL"/>
        </w:rPr>
        <w:t>I.  </w:t>
      </w:r>
      <w:bookmarkEnd w:id="1"/>
      <w:r w:rsidR="00D367F5" w:rsidRPr="00B45853">
        <w:rPr>
          <w:rFonts w:ascii="Times New Roman" w:hAnsi="Times New Roman" w:cs="Times New Roman"/>
          <w:lang w:val="pl-PL"/>
        </w:rPr>
        <w:t>OKOLICZNOŚCI SPRAWY</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D367F5" w:rsidRPr="00B45853">
        <w:rPr>
          <w:rFonts w:ascii="Times New Roman" w:hAnsi="Times New Roman" w:cs="Times New Roman"/>
          <w:lang w:val="pl-PL"/>
        </w:rPr>
        <w:t xml:space="preserve">Skarżąca spółka jest spółką </w:t>
      </w:r>
      <w:r w:rsidR="00D14527" w:rsidRPr="007056C6">
        <w:rPr>
          <w:rFonts w:ascii="Times New Roman" w:hAnsi="Times New Roman" w:cs="Times New Roman"/>
          <w:lang w:val="pl-PL"/>
        </w:rPr>
        <w:t>akcyjną</w:t>
      </w:r>
      <w:r w:rsidR="00D14527">
        <w:rPr>
          <w:rFonts w:ascii="Times New Roman" w:hAnsi="Times New Roman" w:cs="Times New Roman"/>
          <w:color w:val="FF0000"/>
          <w:lang w:val="pl-PL"/>
        </w:rPr>
        <w:t xml:space="preserve"> </w:t>
      </w:r>
      <w:r w:rsidR="00A220C6" w:rsidRPr="00B45853">
        <w:rPr>
          <w:rFonts w:ascii="Times New Roman" w:hAnsi="Times New Roman" w:cs="Times New Roman"/>
          <w:lang w:val="pl-PL"/>
        </w:rPr>
        <w:t>(</w:t>
      </w:r>
      <w:proofErr w:type="spellStart"/>
      <w:r w:rsidR="00A220C6" w:rsidRPr="00B45853">
        <w:rPr>
          <w:rFonts w:ascii="Times New Roman" w:hAnsi="Times New Roman" w:cs="Times New Roman"/>
          <w:i/>
          <w:lang w:val="pl-PL"/>
        </w:rPr>
        <w:t>aktsiaselts</w:t>
      </w:r>
      <w:proofErr w:type="spellEnd"/>
      <w:r w:rsidR="00A220C6" w:rsidRPr="00B45853">
        <w:rPr>
          <w:rFonts w:ascii="Times New Roman" w:hAnsi="Times New Roman" w:cs="Times New Roman"/>
          <w:lang w:val="pl-PL"/>
        </w:rPr>
        <w:t xml:space="preserve">), </w:t>
      </w:r>
      <w:r w:rsidR="00D367F5" w:rsidRPr="00B45853">
        <w:rPr>
          <w:rFonts w:ascii="Times New Roman" w:hAnsi="Times New Roman" w:cs="Times New Roman"/>
          <w:lang w:val="pl-PL"/>
        </w:rPr>
        <w:t>zarejestrowaną w Estonii.</w:t>
      </w:r>
    </w:p>
    <w:p w:rsidR="00A220C6" w:rsidRPr="00B45853" w:rsidRDefault="00A220C6" w:rsidP="00171A6F">
      <w:pPr>
        <w:pStyle w:val="ECHRHeading2"/>
        <w:rPr>
          <w:rFonts w:ascii="Times New Roman" w:hAnsi="Times New Roman" w:cs="Times New Roman"/>
          <w:lang w:val="pl-PL"/>
        </w:rPr>
      </w:pPr>
      <w:bookmarkStart w:id="2" w:name="_Toc420072853"/>
      <w:r w:rsidRPr="00B45853">
        <w:rPr>
          <w:rFonts w:ascii="Times New Roman" w:hAnsi="Times New Roman" w:cs="Times New Roman"/>
          <w:lang w:val="pl-PL"/>
        </w:rPr>
        <w:t>A.  </w:t>
      </w:r>
      <w:bookmarkEnd w:id="2"/>
      <w:r w:rsidR="00D367F5" w:rsidRPr="00B45853">
        <w:rPr>
          <w:rFonts w:ascii="Times New Roman" w:hAnsi="Times New Roman" w:cs="Times New Roman"/>
          <w:lang w:val="pl-PL"/>
        </w:rPr>
        <w:t>Okoliczności powstania sporu</w:t>
      </w:r>
    </w:p>
    <w:p w:rsidR="0075203B" w:rsidRPr="00B45853" w:rsidRDefault="00DD67A4" w:rsidP="0075203B">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D367F5" w:rsidRPr="00B45853">
        <w:rPr>
          <w:rFonts w:ascii="Times New Roman" w:hAnsi="Times New Roman" w:cs="Times New Roman"/>
          <w:lang w:val="pl-PL"/>
        </w:rPr>
        <w:t xml:space="preserve">Skarżąca spółka jest właścicielem </w:t>
      </w:r>
      <w:proofErr w:type="spellStart"/>
      <w:r w:rsidR="00D367F5" w:rsidRPr="00B45853">
        <w:rPr>
          <w:rFonts w:ascii="Times New Roman" w:hAnsi="Times New Roman" w:cs="Times New Roman"/>
          <w:lang w:val="pl-PL"/>
        </w:rPr>
        <w:t>Delfi</w:t>
      </w:r>
      <w:proofErr w:type="spellEnd"/>
      <w:r w:rsidR="00D367F5" w:rsidRPr="00B45853">
        <w:rPr>
          <w:rFonts w:ascii="Times New Roman" w:hAnsi="Times New Roman" w:cs="Times New Roman"/>
          <w:lang w:val="pl-PL"/>
        </w:rPr>
        <w:t xml:space="preserve">, internetowego portalu informacyjnego, który publikował do 330 artykułów dziennie w momencie składania </w:t>
      </w:r>
      <w:r w:rsidR="0075203B" w:rsidRPr="00B45853">
        <w:rPr>
          <w:rFonts w:ascii="Times New Roman" w:hAnsi="Times New Roman" w:cs="Times New Roman"/>
          <w:lang w:val="pl-PL"/>
        </w:rPr>
        <w:t>skargi</w:t>
      </w:r>
      <w:r w:rsidR="00D367F5" w:rsidRPr="00B45853">
        <w:rPr>
          <w:rFonts w:ascii="Times New Roman" w:hAnsi="Times New Roman" w:cs="Times New Roman"/>
          <w:lang w:val="pl-PL"/>
        </w:rPr>
        <w:t xml:space="preserve">. </w:t>
      </w:r>
      <w:proofErr w:type="spellStart"/>
      <w:r w:rsidR="00D367F5" w:rsidRPr="00B45853">
        <w:rPr>
          <w:rFonts w:ascii="Times New Roman" w:hAnsi="Times New Roman" w:cs="Times New Roman"/>
          <w:lang w:val="pl-PL"/>
        </w:rPr>
        <w:t>Delfi</w:t>
      </w:r>
      <w:proofErr w:type="spellEnd"/>
      <w:r w:rsidR="00D367F5" w:rsidRPr="00B45853">
        <w:rPr>
          <w:rFonts w:ascii="Times New Roman" w:hAnsi="Times New Roman" w:cs="Times New Roman"/>
          <w:lang w:val="pl-PL"/>
        </w:rPr>
        <w:t xml:space="preserve"> jest jednym z największych </w:t>
      </w:r>
      <w:r w:rsidR="0075203B" w:rsidRPr="00B45853">
        <w:rPr>
          <w:rFonts w:ascii="Times New Roman" w:hAnsi="Times New Roman" w:cs="Times New Roman"/>
          <w:lang w:val="pl-PL"/>
        </w:rPr>
        <w:t xml:space="preserve">internetowych </w:t>
      </w:r>
      <w:r w:rsidR="00D367F5" w:rsidRPr="00B45853">
        <w:rPr>
          <w:rFonts w:ascii="Times New Roman" w:hAnsi="Times New Roman" w:cs="Times New Roman"/>
          <w:lang w:val="pl-PL"/>
        </w:rPr>
        <w:t>portali informacyjnych w Estonii. Publikuje informacje w języku es</w:t>
      </w:r>
      <w:r w:rsidR="00AC5F8C" w:rsidRPr="00B45853">
        <w:rPr>
          <w:rFonts w:ascii="Times New Roman" w:hAnsi="Times New Roman" w:cs="Times New Roman"/>
          <w:lang w:val="pl-PL"/>
        </w:rPr>
        <w:t xml:space="preserve">tońskim i rosyjskim w Estonii, </w:t>
      </w:r>
      <w:r w:rsidR="0075203B" w:rsidRPr="00B45853">
        <w:rPr>
          <w:rFonts w:ascii="Times New Roman" w:hAnsi="Times New Roman" w:cs="Times New Roman"/>
          <w:lang w:val="pl-PL"/>
        </w:rPr>
        <w:t>a także działa na Łotwie i Litwie.</w:t>
      </w:r>
    </w:p>
    <w:p w:rsidR="00A220C6" w:rsidRPr="00B45853" w:rsidRDefault="00AC5F8C" w:rsidP="00171A6F">
      <w:pPr>
        <w:pStyle w:val="ECHRPara"/>
        <w:rPr>
          <w:rFonts w:ascii="Times New Roman" w:hAnsi="Times New Roman" w:cs="Times New Roman"/>
          <w:lang w:val="pl-PL"/>
        </w:rPr>
      </w:pPr>
      <w:r w:rsidRPr="00B45853">
        <w:rPr>
          <w:rFonts w:ascii="Times New Roman" w:hAnsi="Times New Roman" w:cs="Times New Roman"/>
          <w:lang w:val="pl-PL"/>
        </w:rPr>
        <w:t>12. W tamtym okresie, na końcu artykułów prasowych były słowa "Dodaj komentarz" i pola na komentarze, nazwę jego autora oraz jego adres e-mail (opcjonalnie). Poniżej tych obszarów były przyciski oznaczone "opublikuj komentarz" i "czytaj komentarze". Część do czytania komentarzy pozostawionych przez innych była oddzielnym obszarem, do którego można było uzyskać dostęp poprzez kliknięcie na przycisk "czytaj komentarze". Komentarze</w:t>
      </w:r>
      <w:r w:rsidR="00B92944" w:rsidRPr="00B45853">
        <w:rPr>
          <w:rFonts w:ascii="Times New Roman" w:hAnsi="Times New Roman" w:cs="Times New Roman"/>
          <w:lang w:val="pl-PL"/>
        </w:rPr>
        <w:t xml:space="preserve"> były</w:t>
      </w:r>
      <w:r w:rsidRPr="00B45853">
        <w:rPr>
          <w:rFonts w:ascii="Times New Roman" w:hAnsi="Times New Roman" w:cs="Times New Roman"/>
          <w:lang w:val="pl-PL"/>
        </w:rPr>
        <w:t xml:space="preserve"> przesyłane automa</w:t>
      </w:r>
      <w:r w:rsidR="00D14527">
        <w:rPr>
          <w:rFonts w:ascii="Times New Roman" w:hAnsi="Times New Roman" w:cs="Times New Roman"/>
          <w:lang w:val="pl-PL"/>
        </w:rPr>
        <w:t xml:space="preserve">tycznie i były, jako takie, </w:t>
      </w:r>
      <w:r w:rsidR="00D14527" w:rsidRPr="007056C6">
        <w:rPr>
          <w:rFonts w:ascii="Times New Roman" w:hAnsi="Times New Roman" w:cs="Times New Roman"/>
          <w:lang w:val="pl-PL"/>
        </w:rPr>
        <w:t>nie</w:t>
      </w:r>
      <w:r w:rsidRPr="007056C6">
        <w:rPr>
          <w:rFonts w:ascii="Times New Roman" w:hAnsi="Times New Roman" w:cs="Times New Roman"/>
          <w:lang w:val="pl-PL"/>
        </w:rPr>
        <w:t>edytowane</w:t>
      </w:r>
      <w:r w:rsidRPr="00B45853">
        <w:rPr>
          <w:rFonts w:ascii="Times New Roman" w:hAnsi="Times New Roman" w:cs="Times New Roman"/>
          <w:lang w:val="pl-PL"/>
        </w:rPr>
        <w:t xml:space="preserve"> lub moderowane przez skarżącą spółkę. Artykuły otrzymywały około 10.000 komentarzy czytelników dziennie, z czego większość </w:t>
      </w:r>
      <w:r w:rsidR="00E314CA" w:rsidRPr="00B45853">
        <w:rPr>
          <w:rFonts w:ascii="Times New Roman" w:hAnsi="Times New Roman" w:cs="Times New Roman"/>
          <w:lang w:val="pl-PL"/>
        </w:rPr>
        <w:t>pisana</w:t>
      </w:r>
      <w:r w:rsidRPr="00B45853">
        <w:rPr>
          <w:rFonts w:ascii="Times New Roman" w:hAnsi="Times New Roman" w:cs="Times New Roman"/>
          <w:lang w:val="pl-PL"/>
        </w:rPr>
        <w:t xml:space="preserve"> pod pseudonimami.</w:t>
      </w:r>
    </w:p>
    <w:p w:rsidR="00A220C6" w:rsidRPr="00B45853" w:rsidRDefault="00AC5F8C" w:rsidP="00171A6F">
      <w:pPr>
        <w:pStyle w:val="ECHRPara"/>
        <w:rPr>
          <w:rFonts w:ascii="Times New Roman" w:hAnsi="Times New Roman" w:cs="Times New Roman"/>
          <w:lang w:val="pl-PL"/>
        </w:rPr>
      </w:pPr>
      <w:r w:rsidRPr="00B45853">
        <w:rPr>
          <w:rFonts w:ascii="Times New Roman" w:hAnsi="Times New Roman" w:cs="Times New Roman"/>
          <w:lang w:val="pl-PL"/>
        </w:rPr>
        <w:t xml:space="preserve">13. </w:t>
      </w:r>
      <w:r w:rsidR="00E314CA" w:rsidRPr="00B45853">
        <w:rPr>
          <w:rFonts w:ascii="Times New Roman" w:hAnsi="Times New Roman" w:cs="Times New Roman"/>
          <w:lang w:val="pl-PL"/>
        </w:rPr>
        <w:t>Jednakże</w:t>
      </w:r>
      <w:r w:rsidRPr="00B45853">
        <w:rPr>
          <w:rFonts w:ascii="Times New Roman" w:hAnsi="Times New Roman" w:cs="Times New Roman"/>
          <w:lang w:val="pl-PL"/>
        </w:rPr>
        <w:t>, istniał system zgłaszania oraz usuwania</w:t>
      </w:r>
      <w:r w:rsidR="00E314CA" w:rsidRPr="00B45853">
        <w:rPr>
          <w:rFonts w:ascii="Times New Roman" w:hAnsi="Times New Roman" w:cs="Times New Roman"/>
          <w:lang w:val="pl-PL"/>
        </w:rPr>
        <w:t xml:space="preserve"> komentarzy</w:t>
      </w:r>
      <w:r w:rsidRPr="00B45853">
        <w:rPr>
          <w:rFonts w:ascii="Times New Roman" w:hAnsi="Times New Roman" w:cs="Times New Roman"/>
          <w:lang w:val="pl-PL"/>
        </w:rPr>
        <w:t xml:space="preserve">: każdy czytelnik mógł oznaczyć komentarz jako </w:t>
      </w:r>
      <w:proofErr w:type="spellStart"/>
      <w:r w:rsidRPr="00B45853">
        <w:rPr>
          <w:rFonts w:ascii="Times New Roman" w:hAnsi="Times New Roman" w:cs="Times New Roman"/>
          <w:lang w:val="pl-PL"/>
        </w:rPr>
        <w:t>leim</w:t>
      </w:r>
      <w:proofErr w:type="spellEnd"/>
      <w:r w:rsidRPr="00B45853">
        <w:rPr>
          <w:rFonts w:ascii="Times New Roman" w:hAnsi="Times New Roman" w:cs="Times New Roman"/>
          <w:lang w:val="pl-PL"/>
        </w:rPr>
        <w:t xml:space="preserve"> (estońskie słowo na obelżywe lub kpiące wiadomości lub wiadomości podżegające do nienawiści w Internecie) i komentarz był niezwłocznie usunięty. Ponadto, </w:t>
      </w:r>
      <w:r w:rsidR="00E314CA" w:rsidRPr="00B45853">
        <w:rPr>
          <w:rFonts w:ascii="Times New Roman" w:hAnsi="Times New Roman" w:cs="Times New Roman"/>
          <w:lang w:val="pl-PL"/>
        </w:rPr>
        <w:t>działał też</w:t>
      </w:r>
      <w:r w:rsidRPr="00B45853">
        <w:rPr>
          <w:rFonts w:ascii="Times New Roman" w:hAnsi="Times New Roman" w:cs="Times New Roman"/>
          <w:lang w:val="pl-PL"/>
        </w:rPr>
        <w:t xml:space="preserve"> system automatycznego usuwania komentarzy, które zawierały pewne zbiory nieprzyzwoitych słów. Ponadto ofiara oszczerczych komentarzy mogła bezpośrednio </w:t>
      </w:r>
      <w:r w:rsidR="004A15F7" w:rsidRPr="00B45853">
        <w:rPr>
          <w:rFonts w:ascii="Times New Roman" w:hAnsi="Times New Roman" w:cs="Times New Roman"/>
          <w:lang w:val="pl-PL"/>
        </w:rPr>
        <w:t>powiadomić</w:t>
      </w:r>
      <w:r w:rsidRPr="00B45853">
        <w:rPr>
          <w:rFonts w:ascii="Times New Roman" w:hAnsi="Times New Roman" w:cs="Times New Roman"/>
          <w:lang w:val="pl-PL"/>
        </w:rPr>
        <w:t xml:space="preserve"> </w:t>
      </w:r>
      <w:r w:rsidR="004A15F7" w:rsidRPr="00B45853">
        <w:rPr>
          <w:rFonts w:ascii="Times New Roman" w:hAnsi="Times New Roman" w:cs="Times New Roman"/>
          <w:lang w:val="pl-PL"/>
        </w:rPr>
        <w:t>skarżącą spółkę</w:t>
      </w:r>
      <w:r w:rsidRPr="00B45853">
        <w:rPr>
          <w:rFonts w:ascii="Times New Roman" w:hAnsi="Times New Roman" w:cs="Times New Roman"/>
          <w:lang w:val="pl-PL"/>
        </w:rPr>
        <w:t>, w któr</w:t>
      </w:r>
      <w:r w:rsidR="004A15F7" w:rsidRPr="00B45853">
        <w:rPr>
          <w:rFonts w:ascii="Times New Roman" w:hAnsi="Times New Roman" w:cs="Times New Roman"/>
          <w:lang w:val="pl-PL"/>
        </w:rPr>
        <w:t>ym to przypadku komentarz zostawał</w:t>
      </w:r>
      <w:r w:rsidRPr="00B45853">
        <w:rPr>
          <w:rFonts w:ascii="Times New Roman" w:hAnsi="Times New Roman" w:cs="Times New Roman"/>
          <w:lang w:val="pl-PL"/>
        </w:rPr>
        <w:t xml:space="preserve"> </w:t>
      </w:r>
      <w:r w:rsidR="00B92944" w:rsidRPr="00B45853">
        <w:rPr>
          <w:rFonts w:ascii="Times New Roman" w:hAnsi="Times New Roman" w:cs="Times New Roman"/>
          <w:lang w:val="pl-PL"/>
        </w:rPr>
        <w:t xml:space="preserve">natychmiast </w:t>
      </w:r>
      <w:r w:rsidRPr="00B45853">
        <w:rPr>
          <w:rFonts w:ascii="Times New Roman" w:hAnsi="Times New Roman" w:cs="Times New Roman"/>
          <w:lang w:val="pl-PL"/>
        </w:rPr>
        <w:t>usunięty.</w:t>
      </w:r>
    </w:p>
    <w:p w:rsidR="00A220C6" w:rsidRPr="00B45853" w:rsidRDefault="004A15F7" w:rsidP="00171A6F">
      <w:pPr>
        <w:pStyle w:val="ECHRPara"/>
        <w:rPr>
          <w:rFonts w:ascii="Times New Roman" w:hAnsi="Times New Roman" w:cs="Times New Roman"/>
          <w:lang w:val="pl-PL"/>
        </w:rPr>
      </w:pPr>
      <w:r w:rsidRPr="00B45853">
        <w:rPr>
          <w:rFonts w:ascii="Times New Roman" w:hAnsi="Times New Roman" w:cs="Times New Roman"/>
          <w:lang w:val="pl-PL"/>
        </w:rPr>
        <w:t xml:space="preserve">14. Skarżąca spółka dołożyła starań, aby </w:t>
      </w:r>
      <w:r w:rsidR="00B92944" w:rsidRPr="00B45853">
        <w:rPr>
          <w:rFonts w:ascii="Times New Roman" w:hAnsi="Times New Roman" w:cs="Times New Roman"/>
          <w:lang w:val="pl-PL"/>
        </w:rPr>
        <w:t>poinformować użytkowników</w:t>
      </w:r>
      <w:r w:rsidRPr="00B45853">
        <w:rPr>
          <w:rFonts w:ascii="Times New Roman" w:hAnsi="Times New Roman" w:cs="Times New Roman"/>
          <w:lang w:val="pl-PL"/>
        </w:rPr>
        <w:t xml:space="preserve">, że komentarze nie odzwierciedlają ich własnego zdania oraz, że </w:t>
      </w:r>
      <w:r w:rsidR="00E314CA" w:rsidRPr="00B45853">
        <w:rPr>
          <w:rFonts w:ascii="Times New Roman" w:hAnsi="Times New Roman" w:cs="Times New Roman"/>
          <w:lang w:val="pl-PL"/>
        </w:rPr>
        <w:t xml:space="preserve">autorzy komentarzy </w:t>
      </w:r>
      <w:r w:rsidR="00E314CA" w:rsidRPr="007056C6">
        <w:rPr>
          <w:rFonts w:ascii="Times New Roman" w:hAnsi="Times New Roman" w:cs="Times New Roman"/>
          <w:lang w:val="pl-PL"/>
        </w:rPr>
        <w:t xml:space="preserve">byli </w:t>
      </w:r>
      <w:r w:rsidR="00EF77E4" w:rsidRPr="007056C6">
        <w:rPr>
          <w:rFonts w:ascii="Times New Roman" w:hAnsi="Times New Roman" w:cs="Times New Roman"/>
          <w:lang w:val="pl-PL"/>
        </w:rPr>
        <w:t>odpowiedzialni</w:t>
      </w:r>
      <w:r w:rsidR="00E314CA" w:rsidRPr="007056C6">
        <w:rPr>
          <w:rFonts w:ascii="Times New Roman" w:hAnsi="Times New Roman" w:cs="Times New Roman"/>
          <w:lang w:val="pl-PL"/>
        </w:rPr>
        <w:t xml:space="preserve"> za ich</w:t>
      </w:r>
      <w:r w:rsidR="00E314CA" w:rsidRPr="00B45853">
        <w:rPr>
          <w:rFonts w:ascii="Times New Roman" w:hAnsi="Times New Roman" w:cs="Times New Roman"/>
          <w:lang w:val="pl-PL"/>
        </w:rPr>
        <w:t xml:space="preserve"> treść.</w:t>
      </w:r>
      <w:r w:rsidRPr="00B45853">
        <w:rPr>
          <w:rFonts w:ascii="Times New Roman" w:hAnsi="Times New Roman" w:cs="Times New Roman"/>
          <w:lang w:val="pl-PL"/>
        </w:rPr>
        <w:t xml:space="preserve">. Na stronie internetowej </w:t>
      </w: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znajdowały się "Zasady komentowania", które obejmowały:</w:t>
      </w:r>
    </w:p>
    <w:p w:rsidR="00A220C6" w:rsidRPr="00B45853" w:rsidRDefault="00B92944"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4A15F7" w:rsidRPr="00B45853">
        <w:rPr>
          <w:rFonts w:ascii="Times New Roman" w:hAnsi="Times New Roman" w:cs="Times New Roman"/>
          <w:lang w:val="pl-PL"/>
        </w:rPr>
        <w:t>Forum</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lang w:val="pl-PL"/>
        </w:rPr>
        <w:t>Delfi</w:t>
      </w:r>
      <w:proofErr w:type="spellEnd"/>
      <w:r w:rsidR="00A220C6" w:rsidRPr="00B45853">
        <w:rPr>
          <w:rFonts w:ascii="Times New Roman" w:hAnsi="Times New Roman" w:cs="Times New Roman"/>
          <w:lang w:val="pl-PL"/>
        </w:rPr>
        <w:t xml:space="preserve"> </w:t>
      </w:r>
      <w:r w:rsidR="004A15F7" w:rsidRPr="00B45853">
        <w:rPr>
          <w:rFonts w:ascii="Times New Roman" w:hAnsi="Times New Roman" w:cs="Times New Roman"/>
          <w:lang w:val="pl-PL"/>
        </w:rPr>
        <w:t>jest technicznym</w:t>
      </w:r>
      <w:r w:rsidR="00A220C6" w:rsidRPr="00B45853">
        <w:rPr>
          <w:rFonts w:ascii="Times New Roman" w:hAnsi="Times New Roman" w:cs="Times New Roman"/>
          <w:lang w:val="pl-PL"/>
        </w:rPr>
        <w:t xml:space="preserve"> medium </w:t>
      </w:r>
      <w:r w:rsidR="004A15F7" w:rsidRPr="00B45853">
        <w:rPr>
          <w:rFonts w:ascii="Times New Roman" w:hAnsi="Times New Roman" w:cs="Times New Roman"/>
          <w:lang w:val="pl-PL"/>
        </w:rPr>
        <w:t xml:space="preserve">pozwalającym użytkownikom na publikowanie komentarzy. </w:t>
      </w:r>
      <w:proofErr w:type="spellStart"/>
      <w:r w:rsidR="004A15F7" w:rsidRPr="00B45853">
        <w:rPr>
          <w:rFonts w:ascii="Times New Roman" w:hAnsi="Times New Roman" w:cs="Times New Roman"/>
          <w:lang w:val="pl-PL"/>
        </w:rPr>
        <w:t>Delfi</w:t>
      </w:r>
      <w:proofErr w:type="spellEnd"/>
      <w:r w:rsidR="004A15F7" w:rsidRPr="00B45853">
        <w:rPr>
          <w:rFonts w:ascii="Times New Roman" w:hAnsi="Times New Roman" w:cs="Times New Roman"/>
          <w:lang w:val="pl-PL"/>
        </w:rPr>
        <w:t xml:space="preserve"> nie edytuje komentarzy. Autor komentarza jest odpowiedzialny za swój wpis. Warto zauważyć, że zdarzały się przypadki, w Estońskim sądach, gdzie autorzy zostali ukarani za treść komentarza ...</w:t>
      </w:r>
    </w:p>
    <w:p w:rsidR="00A220C6" w:rsidRPr="00B45853" w:rsidRDefault="004A15F7" w:rsidP="00171A6F">
      <w:pPr>
        <w:pStyle w:val="ECHRParaQuote"/>
        <w:rPr>
          <w:rFonts w:ascii="Times New Roman" w:hAnsi="Times New Roman" w:cs="Times New Roman"/>
          <w:lang w:val="pl-PL"/>
        </w:rPr>
      </w:pP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zakazuje komentarzy, których treść nie jest zgodna z zasadami dobrej praktyki.</w:t>
      </w:r>
    </w:p>
    <w:p w:rsidR="00A220C6" w:rsidRPr="00B45853" w:rsidRDefault="004A15F7" w:rsidP="00171A6F">
      <w:pPr>
        <w:pStyle w:val="ECHRParaQuote"/>
        <w:rPr>
          <w:rFonts w:ascii="Times New Roman" w:hAnsi="Times New Roman" w:cs="Times New Roman"/>
          <w:lang w:val="pl-PL"/>
        </w:rPr>
      </w:pPr>
      <w:r w:rsidRPr="00B45853">
        <w:rPr>
          <w:rFonts w:ascii="Times New Roman" w:hAnsi="Times New Roman" w:cs="Times New Roman"/>
          <w:lang w:val="pl-PL"/>
        </w:rPr>
        <w:t>Są to komentarze, które</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lastRenderedPageBreak/>
        <w:t>–</w:t>
      </w:r>
      <w:r w:rsidR="00A220C6" w:rsidRPr="00B45853">
        <w:rPr>
          <w:rFonts w:ascii="Times New Roman" w:hAnsi="Times New Roman" w:cs="Times New Roman"/>
          <w:lang w:val="pl-PL"/>
        </w:rPr>
        <w:t>  </w:t>
      </w:r>
      <w:r w:rsidR="004A15F7" w:rsidRPr="00B45853">
        <w:rPr>
          <w:rFonts w:ascii="Times New Roman" w:hAnsi="Times New Roman" w:cs="Times New Roman"/>
          <w:lang w:val="pl-PL"/>
        </w:rPr>
        <w:t>zawierają groźby</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A220C6" w:rsidRPr="00B45853">
        <w:rPr>
          <w:rFonts w:ascii="Times New Roman" w:hAnsi="Times New Roman" w:cs="Times New Roman"/>
          <w:lang w:val="pl-PL"/>
        </w:rPr>
        <w:t>  </w:t>
      </w:r>
      <w:r w:rsidR="004A15F7" w:rsidRPr="00B45853">
        <w:rPr>
          <w:rFonts w:ascii="Times New Roman" w:hAnsi="Times New Roman" w:cs="Times New Roman"/>
          <w:lang w:val="pl-PL"/>
        </w:rPr>
        <w:t>zawierają obelgi</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4A15F7" w:rsidRPr="00B45853">
        <w:rPr>
          <w:rFonts w:ascii="Times New Roman" w:hAnsi="Times New Roman" w:cs="Times New Roman"/>
          <w:lang w:val="pl-PL"/>
        </w:rPr>
        <w:t>  nawołują do wrogości i przemocy</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A220C6" w:rsidRPr="00B45853">
        <w:rPr>
          <w:rFonts w:ascii="Times New Roman" w:hAnsi="Times New Roman" w:cs="Times New Roman"/>
          <w:lang w:val="pl-PL"/>
        </w:rPr>
        <w:t>  </w:t>
      </w:r>
      <w:r w:rsidR="004A15F7" w:rsidRPr="00B45853">
        <w:rPr>
          <w:rFonts w:ascii="Times New Roman" w:hAnsi="Times New Roman" w:cs="Times New Roman"/>
          <w:lang w:val="pl-PL"/>
        </w:rPr>
        <w:t>nawołują do</w:t>
      </w:r>
      <w:r w:rsidR="00A220C6" w:rsidRPr="00B45853">
        <w:rPr>
          <w:rFonts w:ascii="Times New Roman" w:hAnsi="Times New Roman" w:cs="Times New Roman"/>
          <w:lang w:val="pl-PL"/>
        </w:rPr>
        <w:t xml:space="preserve"> </w:t>
      </w:r>
      <w:r w:rsidR="004A15F7" w:rsidRPr="00B45853">
        <w:rPr>
          <w:rFonts w:ascii="Times New Roman" w:hAnsi="Times New Roman" w:cs="Times New Roman"/>
          <w:lang w:val="pl-PL"/>
        </w:rPr>
        <w:t>nielegalnej działalności</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A220C6" w:rsidRPr="00B45853">
        <w:rPr>
          <w:rFonts w:ascii="Times New Roman" w:hAnsi="Times New Roman" w:cs="Times New Roman"/>
          <w:lang w:val="pl-PL"/>
        </w:rPr>
        <w:t>  </w:t>
      </w:r>
      <w:r w:rsidR="004A15F7" w:rsidRPr="00B45853">
        <w:rPr>
          <w:rFonts w:ascii="Times New Roman" w:hAnsi="Times New Roman" w:cs="Times New Roman"/>
          <w:lang w:val="pl-PL"/>
        </w:rPr>
        <w:t>zawierają</w:t>
      </w:r>
      <w:r w:rsidR="00A220C6" w:rsidRPr="00B45853">
        <w:rPr>
          <w:rFonts w:ascii="Times New Roman" w:hAnsi="Times New Roman" w:cs="Times New Roman"/>
          <w:lang w:val="pl-PL"/>
        </w:rPr>
        <w:t xml:space="preserve"> </w:t>
      </w:r>
      <w:r w:rsidR="004A15F7" w:rsidRPr="00B45853">
        <w:rPr>
          <w:rFonts w:ascii="Times New Roman" w:hAnsi="Times New Roman" w:cs="Times New Roman"/>
          <w:lang w:val="pl-PL"/>
        </w:rPr>
        <w:t>linki nie na temat, spam lub reklamy</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A220C6" w:rsidRPr="00B45853">
        <w:rPr>
          <w:rFonts w:ascii="Times New Roman" w:hAnsi="Times New Roman" w:cs="Times New Roman"/>
          <w:lang w:val="pl-PL"/>
        </w:rPr>
        <w:t>  </w:t>
      </w:r>
      <w:r w:rsidR="004A15F7" w:rsidRPr="00B45853">
        <w:rPr>
          <w:rFonts w:ascii="Times New Roman" w:hAnsi="Times New Roman" w:cs="Times New Roman"/>
          <w:lang w:val="pl-PL"/>
        </w:rPr>
        <w:t>są pozbawione sensu</w:t>
      </w:r>
      <w:r w:rsidR="00A220C6" w:rsidRPr="00B45853">
        <w:rPr>
          <w:rFonts w:ascii="Times New Roman" w:hAnsi="Times New Roman" w:cs="Times New Roman"/>
          <w:lang w:val="pl-PL"/>
        </w:rPr>
        <w:t xml:space="preserve"> </w:t>
      </w:r>
      <w:r w:rsidR="004A15F7" w:rsidRPr="00B45853">
        <w:rPr>
          <w:rFonts w:ascii="Times New Roman" w:hAnsi="Times New Roman" w:cs="Times New Roman"/>
          <w:lang w:val="pl-PL"/>
        </w:rPr>
        <w:t>i/lub nie na temat</w:t>
      </w:r>
      <w:r w:rsidR="00A220C6" w:rsidRPr="00B45853">
        <w:rPr>
          <w:rFonts w:ascii="Times New Roman" w:hAnsi="Times New Roman" w:cs="Times New Roman"/>
          <w:lang w:val="pl-PL"/>
        </w:rPr>
        <w:t>;</w:t>
      </w:r>
    </w:p>
    <w:p w:rsidR="00A220C6" w:rsidRPr="00B45853" w:rsidRDefault="001C4A3F"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4A15F7" w:rsidRPr="00B45853">
        <w:rPr>
          <w:rFonts w:ascii="Times New Roman" w:hAnsi="Times New Roman" w:cs="Times New Roman"/>
          <w:lang w:val="pl-PL"/>
        </w:rPr>
        <w:t xml:space="preserve">  zawierają </w:t>
      </w:r>
      <w:r w:rsidR="00B92944" w:rsidRPr="00B45853">
        <w:rPr>
          <w:rFonts w:ascii="Times New Roman" w:hAnsi="Times New Roman" w:cs="Times New Roman"/>
          <w:lang w:val="pl-PL"/>
        </w:rPr>
        <w:t>nieprzyzwoite</w:t>
      </w:r>
      <w:r w:rsidR="00A220C6" w:rsidRPr="00B45853">
        <w:rPr>
          <w:rFonts w:ascii="Times New Roman" w:hAnsi="Times New Roman" w:cs="Times New Roman"/>
          <w:lang w:val="pl-PL"/>
        </w:rPr>
        <w:t xml:space="preserve"> </w:t>
      </w:r>
      <w:r w:rsidR="004A15F7" w:rsidRPr="00B45853">
        <w:rPr>
          <w:rFonts w:ascii="Times New Roman" w:hAnsi="Times New Roman" w:cs="Times New Roman"/>
          <w:lang w:val="pl-PL"/>
        </w:rPr>
        <w:t>wyrażenia lub wulgaryzmy</w:t>
      </w:r>
      <w:r w:rsidR="00A220C6" w:rsidRPr="00B45853">
        <w:rPr>
          <w:rFonts w:ascii="Times New Roman" w:hAnsi="Times New Roman" w:cs="Times New Roman"/>
          <w:lang w:val="pl-PL"/>
        </w:rPr>
        <w:t xml:space="preserve"> ...</w:t>
      </w:r>
    </w:p>
    <w:p w:rsidR="00A220C6" w:rsidRPr="00B45853" w:rsidRDefault="004A15F7" w:rsidP="00171A6F">
      <w:pPr>
        <w:pStyle w:val="ECHRParaQuote"/>
        <w:rPr>
          <w:rFonts w:ascii="Times New Roman" w:hAnsi="Times New Roman" w:cs="Times New Roman"/>
          <w:lang w:val="pl-PL"/>
        </w:rPr>
      </w:pP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ma prawo do usuwania takich komentarzy i ograniczenia dostępu ich autorom do pisania komentarzy</w:t>
      </w:r>
      <w:r w:rsidR="00A220C6" w:rsidRPr="00B45853">
        <w:rPr>
          <w:rFonts w:ascii="Times New Roman" w:hAnsi="Times New Roman" w:cs="Times New Roman"/>
          <w:lang w:val="pl-PL"/>
        </w:rPr>
        <w:t>...”</w:t>
      </w:r>
    </w:p>
    <w:p w:rsidR="00A220C6" w:rsidRPr="00B45853" w:rsidRDefault="007A1895" w:rsidP="00171A6F">
      <w:pPr>
        <w:pStyle w:val="ECHRPara"/>
        <w:rPr>
          <w:rFonts w:ascii="Times New Roman" w:hAnsi="Times New Roman" w:cs="Times New Roman"/>
          <w:lang w:val="pl-PL"/>
        </w:rPr>
      </w:pPr>
      <w:r w:rsidRPr="00B45853">
        <w:rPr>
          <w:rFonts w:ascii="Times New Roman" w:hAnsi="Times New Roman" w:cs="Times New Roman"/>
          <w:lang w:val="pl-PL"/>
        </w:rPr>
        <w:t xml:space="preserve">Funkcjonowanie systemu zgłaszania oraz usuwania zostało wyjaśnione w </w:t>
      </w:r>
      <w:r w:rsidR="00F44F08" w:rsidRPr="00B45853">
        <w:rPr>
          <w:rFonts w:ascii="Times New Roman" w:hAnsi="Times New Roman" w:cs="Times New Roman"/>
          <w:lang w:val="pl-PL"/>
        </w:rPr>
        <w:t>“R</w:t>
      </w:r>
      <w:r w:rsidRPr="00B45853">
        <w:rPr>
          <w:rFonts w:ascii="Times New Roman" w:hAnsi="Times New Roman" w:cs="Times New Roman"/>
          <w:lang w:val="pl-PL"/>
        </w:rPr>
        <w:t>egulaminie komentowania</w:t>
      </w:r>
      <w:r w:rsidR="00F44F08" w:rsidRPr="00B45853">
        <w:rPr>
          <w:rFonts w:ascii="Times New Roman" w:hAnsi="Times New Roman" w:cs="Times New Roman"/>
          <w:lang w:val="pl-PL"/>
        </w:rPr>
        <w:t>”</w:t>
      </w:r>
      <w:r w:rsidR="00A220C6" w:rsidRPr="00B45853">
        <w:rPr>
          <w:rFonts w:ascii="Times New Roman" w:hAnsi="Times New Roman" w:cs="Times New Roman"/>
          <w:lang w:val="pl-PL"/>
        </w:rPr>
        <w:t>.</w:t>
      </w:r>
    </w:p>
    <w:p w:rsidR="00A220C6" w:rsidRPr="007056C6" w:rsidRDefault="007A1895" w:rsidP="00171A6F">
      <w:pPr>
        <w:pStyle w:val="ECHRPara"/>
        <w:rPr>
          <w:rFonts w:ascii="Times New Roman" w:hAnsi="Times New Roman" w:cs="Times New Roman"/>
          <w:bCs/>
          <w:lang w:val="pl-PL"/>
        </w:rPr>
      </w:pPr>
      <w:r w:rsidRPr="00B45853">
        <w:rPr>
          <w:rFonts w:ascii="Times New Roman" w:hAnsi="Times New Roman" w:cs="Times New Roman"/>
          <w:lang w:val="pl-PL"/>
        </w:rPr>
        <w:t xml:space="preserve">15. Rząd twierdził, że w Estonii </w:t>
      </w: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miał niesławną historię publikacji zniesławiających i poniżających komentarzy. Tak więc, w dniu 22 września 2005 roku tygodnik </w:t>
      </w:r>
      <w:proofErr w:type="spellStart"/>
      <w:r w:rsidRPr="00B45853">
        <w:rPr>
          <w:rFonts w:ascii="Times New Roman" w:hAnsi="Times New Roman" w:cs="Times New Roman"/>
          <w:lang w:val="pl-PL"/>
        </w:rPr>
        <w:t>Eesti</w:t>
      </w:r>
      <w:proofErr w:type="spellEnd"/>
      <w:r w:rsidRPr="00B45853">
        <w:rPr>
          <w:rFonts w:ascii="Times New Roman" w:hAnsi="Times New Roman" w:cs="Times New Roman"/>
          <w:lang w:val="pl-PL"/>
        </w:rPr>
        <w:t xml:space="preserve"> </w:t>
      </w:r>
      <w:proofErr w:type="spellStart"/>
      <w:r w:rsidRPr="00B45853">
        <w:rPr>
          <w:rFonts w:ascii="Times New Roman" w:hAnsi="Times New Roman" w:cs="Times New Roman"/>
          <w:lang w:val="pl-PL"/>
        </w:rPr>
        <w:t>Ekspress</w:t>
      </w:r>
      <w:proofErr w:type="spellEnd"/>
      <w:r w:rsidRPr="00B45853">
        <w:rPr>
          <w:rFonts w:ascii="Times New Roman" w:hAnsi="Times New Roman" w:cs="Times New Roman"/>
          <w:lang w:val="pl-PL"/>
        </w:rPr>
        <w:t xml:space="preserve"> opublikował list </w:t>
      </w:r>
      <w:r w:rsidRPr="007056C6">
        <w:rPr>
          <w:rFonts w:ascii="Times New Roman" w:hAnsi="Times New Roman" w:cs="Times New Roman"/>
          <w:lang w:val="pl-PL"/>
        </w:rPr>
        <w:t xml:space="preserve">otwarty </w:t>
      </w:r>
      <w:r w:rsidR="00CF0F79" w:rsidRPr="007056C6">
        <w:rPr>
          <w:rFonts w:ascii="Times New Roman" w:hAnsi="Times New Roman" w:cs="Times New Roman"/>
          <w:lang w:val="pl-PL"/>
        </w:rPr>
        <w:t>pochodzący od</w:t>
      </w:r>
      <w:r w:rsidRPr="007056C6">
        <w:rPr>
          <w:rFonts w:ascii="Times New Roman" w:hAnsi="Times New Roman" w:cs="Times New Roman"/>
          <w:lang w:val="pl-PL"/>
        </w:rPr>
        <w:t xml:space="preserve"> redakcji do Ministra Sprawiedliwości, Prokuratora </w:t>
      </w:r>
      <w:r w:rsidR="00CF0F79" w:rsidRPr="007056C6">
        <w:rPr>
          <w:rFonts w:ascii="Times New Roman" w:hAnsi="Times New Roman" w:cs="Times New Roman"/>
          <w:lang w:val="pl-PL"/>
        </w:rPr>
        <w:t>Generalnego</w:t>
      </w:r>
      <w:r w:rsidRPr="007056C6">
        <w:rPr>
          <w:rFonts w:ascii="Times New Roman" w:hAnsi="Times New Roman" w:cs="Times New Roman"/>
          <w:lang w:val="pl-PL"/>
        </w:rPr>
        <w:t xml:space="preserve"> i Kanclerza Sprawiedliwości, w którym wyrażono obawę o nieustanne drwiny ludzi na publicznych s</w:t>
      </w:r>
      <w:r w:rsidR="005C0203" w:rsidRPr="007056C6">
        <w:rPr>
          <w:rFonts w:ascii="Times New Roman" w:hAnsi="Times New Roman" w:cs="Times New Roman"/>
          <w:lang w:val="pl-PL"/>
        </w:rPr>
        <w:t>tronach internetowych w Estonii</w:t>
      </w:r>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Delfi</w:t>
      </w:r>
      <w:proofErr w:type="spellEnd"/>
      <w:r w:rsidRPr="007056C6">
        <w:rPr>
          <w:rFonts w:ascii="Times New Roman" w:hAnsi="Times New Roman" w:cs="Times New Roman"/>
          <w:lang w:val="pl-PL"/>
        </w:rPr>
        <w:t xml:space="preserve"> został </w:t>
      </w:r>
      <w:r w:rsidR="00CF0F79" w:rsidRPr="007056C6">
        <w:rPr>
          <w:rFonts w:ascii="Times New Roman" w:hAnsi="Times New Roman" w:cs="Times New Roman"/>
          <w:lang w:val="pl-PL"/>
        </w:rPr>
        <w:t>określony</w:t>
      </w:r>
      <w:r w:rsidRPr="007056C6">
        <w:rPr>
          <w:rFonts w:ascii="Times New Roman" w:hAnsi="Times New Roman" w:cs="Times New Roman"/>
          <w:lang w:val="pl-PL"/>
        </w:rPr>
        <w:t xml:space="preserve"> jako źródło brutalnej i aroganckiej kpiny. Adresaci listu otwartego odpowiedzieli na niego w Wydaniu </w:t>
      </w:r>
      <w:proofErr w:type="spellStart"/>
      <w:r w:rsidRPr="007056C6">
        <w:rPr>
          <w:rFonts w:ascii="Times New Roman" w:hAnsi="Times New Roman" w:cs="Times New Roman"/>
          <w:lang w:val="pl-PL"/>
        </w:rPr>
        <w:t>Eesti</w:t>
      </w:r>
      <w:proofErr w:type="spellEnd"/>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Ekspress</w:t>
      </w:r>
      <w:proofErr w:type="spellEnd"/>
      <w:r w:rsidRPr="007056C6">
        <w:rPr>
          <w:rFonts w:ascii="Times New Roman" w:hAnsi="Times New Roman" w:cs="Times New Roman"/>
          <w:lang w:val="pl-PL"/>
        </w:rPr>
        <w:t xml:space="preserve"> z dnia 29 września 2005</w:t>
      </w:r>
      <w:r w:rsidR="006712B8">
        <w:rPr>
          <w:rFonts w:ascii="Times New Roman" w:hAnsi="Times New Roman" w:cs="Times New Roman"/>
          <w:lang w:val="pl-PL"/>
        </w:rPr>
        <w:t xml:space="preserve"> roku</w:t>
      </w:r>
      <w:r w:rsidRPr="007056C6">
        <w:rPr>
          <w:rFonts w:ascii="Times New Roman" w:hAnsi="Times New Roman" w:cs="Times New Roman"/>
          <w:lang w:val="pl-PL"/>
        </w:rPr>
        <w:t xml:space="preserve">. Minister Sprawiedliwości podkreślił, że obrażone osoby miały prawo bronić swojego honoru i reputacji w sądzie, wnosząc pozew przeciwko </w:t>
      </w:r>
      <w:proofErr w:type="spellStart"/>
      <w:r w:rsidRPr="007056C6">
        <w:rPr>
          <w:rFonts w:ascii="Times New Roman" w:hAnsi="Times New Roman" w:cs="Times New Roman"/>
          <w:lang w:val="pl-PL"/>
        </w:rPr>
        <w:t>Delfi</w:t>
      </w:r>
      <w:proofErr w:type="spellEnd"/>
      <w:r w:rsidRPr="007056C6">
        <w:rPr>
          <w:rFonts w:ascii="Times New Roman" w:hAnsi="Times New Roman" w:cs="Times New Roman"/>
          <w:lang w:val="pl-PL"/>
        </w:rPr>
        <w:t xml:space="preserve"> oraz dochodzenia odszkodowania. Prokurator generalny odniósł się do p</w:t>
      </w:r>
      <w:r w:rsidR="00CF0F79" w:rsidRPr="007056C6">
        <w:rPr>
          <w:rFonts w:ascii="Times New Roman" w:hAnsi="Times New Roman" w:cs="Times New Roman"/>
          <w:lang w:val="pl-PL"/>
        </w:rPr>
        <w:t>odstaw prawnych, które groziły za podżeganie</w:t>
      </w:r>
      <w:r w:rsidRPr="007056C6">
        <w:rPr>
          <w:rFonts w:ascii="Times New Roman" w:hAnsi="Times New Roman" w:cs="Times New Roman"/>
          <w:lang w:val="pl-PL"/>
        </w:rPr>
        <w:t xml:space="preserve"> do nie</w:t>
      </w:r>
      <w:r w:rsidR="00CF0F79" w:rsidRPr="007056C6">
        <w:rPr>
          <w:rFonts w:ascii="Times New Roman" w:hAnsi="Times New Roman" w:cs="Times New Roman"/>
          <w:lang w:val="pl-PL"/>
        </w:rPr>
        <w:t>nawiści społecznej i seksualne</w:t>
      </w:r>
      <w:r w:rsidR="00AD66A1" w:rsidRPr="007056C6">
        <w:rPr>
          <w:rFonts w:ascii="Times New Roman" w:hAnsi="Times New Roman" w:cs="Times New Roman"/>
          <w:lang w:val="pl-PL"/>
        </w:rPr>
        <w:t xml:space="preserve">go </w:t>
      </w:r>
      <w:r w:rsidRPr="007056C6">
        <w:rPr>
          <w:rFonts w:ascii="Times New Roman" w:hAnsi="Times New Roman" w:cs="Times New Roman"/>
          <w:lang w:val="pl-PL"/>
        </w:rPr>
        <w:t>wykorzystywania nieletnich zagrożonych karą na mocy prawa karnego, i zauważył, że odpowiedzialność za zniesławienie i obelgi została rozpatrzona w ramach postępowania cywilnego. Kanclerz Sprawiedliwości odniósł się do przepisów prawnych, mających zapewnić swobodę wypowiedzi, jak również ochronę czci i dobrego imie</w:t>
      </w:r>
      <w:r w:rsidR="00AF2EB1" w:rsidRPr="007056C6">
        <w:rPr>
          <w:rFonts w:ascii="Times New Roman" w:hAnsi="Times New Roman" w:cs="Times New Roman"/>
          <w:lang w:val="pl-PL"/>
        </w:rPr>
        <w:t>nia każdej osoby, na mocy artykułów</w:t>
      </w:r>
      <w:r w:rsidRPr="007056C6">
        <w:rPr>
          <w:rFonts w:ascii="Times New Roman" w:hAnsi="Times New Roman" w:cs="Times New Roman"/>
          <w:lang w:val="pl-PL"/>
        </w:rPr>
        <w:t xml:space="preserve"> 1043 i 1046 </w:t>
      </w:r>
      <w:r w:rsidR="000F7A97" w:rsidRPr="007056C6">
        <w:rPr>
          <w:rFonts w:ascii="Times New Roman" w:hAnsi="Times New Roman" w:cs="Times New Roman"/>
          <w:lang w:val="pl-PL"/>
        </w:rPr>
        <w:t>Prawa Zobowiązań</w:t>
      </w:r>
      <w:r w:rsidRPr="007056C6">
        <w:rPr>
          <w:rFonts w:ascii="Times New Roman" w:hAnsi="Times New Roman" w:cs="Times New Roman"/>
          <w:lang w:val="pl-PL"/>
        </w:rPr>
        <w:t xml:space="preserve"> (</w:t>
      </w:r>
      <w:proofErr w:type="spellStart"/>
      <w:r w:rsidRPr="007056C6">
        <w:rPr>
          <w:rFonts w:ascii="Times New Roman" w:hAnsi="Times New Roman" w:cs="Times New Roman"/>
          <w:lang w:val="pl-PL"/>
        </w:rPr>
        <w:t>Võlaõigusseadus</w:t>
      </w:r>
      <w:proofErr w:type="spellEnd"/>
      <w:r w:rsidRPr="007056C6">
        <w:rPr>
          <w:rFonts w:ascii="Times New Roman" w:hAnsi="Times New Roman" w:cs="Times New Roman"/>
          <w:lang w:val="pl-PL"/>
        </w:rPr>
        <w:t>).</w:t>
      </w:r>
    </w:p>
    <w:p w:rsidR="00A220C6" w:rsidRPr="00B45853" w:rsidRDefault="00A220C6" w:rsidP="00171A6F">
      <w:pPr>
        <w:pStyle w:val="ECHRHeading2"/>
        <w:rPr>
          <w:rFonts w:ascii="Times New Roman" w:hAnsi="Times New Roman" w:cs="Times New Roman"/>
          <w:lang w:val="pl-PL"/>
        </w:rPr>
      </w:pPr>
      <w:bookmarkStart w:id="3" w:name="_Toc420072854"/>
      <w:r w:rsidRPr="007056C6">
        <w:rPr>
          <w:rFonts w:ascii="Times New Roman" w:hAnsi="Times New Roman" w:cs="Times New Roman"/>
          <w:lang w:val="pl-PL"/>
        </w:rPr>
        <w:t>B.  </w:t>
      </w:r>
      <w:bookmarkEnd w:id="3"/>
      <w:r w:rsidR="007A1895" w:rsidRPr="007056C6">
        <w:rPr>
          <w:rFonts w:ascii="Times New Roman" w:hAnsi="Times New Roman" w:cs="Times New Roman"/>
          <w:lang w:val="pl-PL"/>
        </w:rPr>
        <w:t>Artykuł i komentarze opublikowane na informacyjnym portalu</w:t>
      </w:r>
      <w:r w:rsidR="007A1895" w:rsidRPr="00B45853">
        <w:rPr>
          <w:rFonts w:ascii="Times New Roman" w:hAnsi="Times New Roman" w:cs="Times New Roman"/>
          <w:lang w:val="pl-PL"/>
        </w:rPr>
        <w:t xml:space="preserve"> internetowym</w:t>
      </w:r>
    </w:p>
    <w:p w:rsidR="00A220C6" w:rsidRPr="00B45853" w:rsidRDefault="007A1895" w:rsidP="00171A6F">
      <w:pPr>
        <w:pStyle w:val="ECHRPara"/>
        <w:rPr>
          <w:rFonts w:ascii="Times New Roman" w:hAnsi="Times New Roman" w:cs="Times New Roman"/>
          <w:lang w:val="pl-PL"/>
        </w:rPr>
      </w:pPr>
      <w:r w:rsidRPr="00B45853">
        <w:rPr>
          <w:rFonts w:ascii="Times New Roman" w:hAnsi="Times New Roman" w:cs="Times New Roman"/>
          <w:lang w:val="pl-PL"/>
        </w:rPr>
        <w:t xml:space="preserve">16. W dniu 24 stycznia 2006 roku skarżąca spółka opublikowała artykuł na portalu </w:t>
      </w: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pod nagłówkiem "SLK Zniszcz</w:t>
      </w:r>
      <w:r w:rsidR="0058283A" w:rsidRPr="00B45853">
        <w:rPr>
          <w:rFonts w:ascii="Times New Roman" w:hAnsi="Times New Roman" w:cs="Times New Roman"/>
          <w:lang w:val="pl-PL"/>
        </w:rPr>
        <w:t>yło</w:t>
      </w:r>
      <w:r w:rsidR="00310DB1" w:rsidRPr="00B45853">
        <w:rPr>
          <w:rFonts w:ascii="Times New Roman" w:hAnsi="Times New Roman" w:cs="Times New Roman"/>
          <w:lang w:val="pl-PL"/>
        </w:rPr>
        <w:t xml:space="preserve"> Planowaną Drogę</w:t>
      </w:r>
      <w:r w:rsidR="0058283A" w:rsidRPr="00B45853">
        <w:rPr>
          <w:rFonts w:ascii="Times New Roman" w:hAnsi="Times New Roman" w:cs="Times New Roman"/>
          <w:lang w:val="pl-PL"/>
        </w:rPr>
        <w:t xml:space="preserve"> Lodową</w:t>
      </w:r>
      <w:r w:rsidRPr="00B45853">
        <w:rPr>
          <w:rFonts w:ascii="Times New Roman" w:hAnsi="Times New Roman" w:cs="Times New Roman"/>
          <w:lang w:val="pl-PL"/>
        </w:rPr>
        <w:t xml:space="preserve">". Lodowe drogi są drogami publicznymi </w:t>
      </w:r>
      <w:r w:rsidR="00310DB1" w:rsidRPr="00B45853">
        <w:rPr>
          <w:rFonts w:ascii="Times New Roman" w:hAnsi="Times New Roman" w:cs="Times New Roman"/>
          <w:lang w:val="pl-PL"/>
        </w:rPr>
        <w:t>na</w:t>
      </w:r>
      <w:r w:rsidRPr="00B45853">
        <w:rPr>
          <w:rFonts w:ascii="Times New Roman" w:hAnsi="Times New Roman" w:cs="Times New Roman"/>
          <w:lang w:val="pl-PL"/>
        </w:rPr>
        <w:t xml:space="preserve"> zamarzniętym morzu, które </w:t>
      </w:r>
      <w:r w:rsidR="00310DB1" w:rsidRPr="00B45853">
        <w:rPr>
          <w:rFonts w:ascii="Times New Roman" w:hAnsi="Times New Roman" w:cs="Times New Roman"/>
          <w:lang w:val="pl-PL"/>
        </w:rPr>
        <w:t>są otwarte pomiędzy estońskim lądem i niektórymi wyspami</w:t>
      </w:r>
      <w:r w:rsidRPr="00B45853">
        <w:rPr>
          <w:rFonts w:ascii="Times New Roman" w:hAnsi="Times New Roman" w:cs="Times New Roman"/>
          <w:lang w:val="pl-PL"/>
        </w:rPr>
        <w:t xml:space="preserve"> w zimie. Skrót "SLK" oznacza AS </w:t>
      </w:r>
      <w:proofErr w:type="spellStart"/>
      <w:r w:rsidRPr="00B45853">
        <w:rPr>
          <w:rFonts w:ascii="Times New Roman" w:hAnsi="Times New Roman" w:cs="Times New Roman"/>
          <w:lang w:val="pl-PL"/>
        </w:rPr>
        <w:t>Saaremaa</w:t>
      </w:r>
      <w:proofErr w:type="spellEnd"/>
      <w:r w:rsidRPr="00B45853">
        <w:rPr>
          <w:rFonts w:ascii="Times New Roman" w:hAnsi="Times New Roman" w:cs="Times New Roman"/>
          <w:lang w:val="pl-PL"/>
        </w:rPr>
        <w:t xml:space="preserve"> </w:t>
      </w:r>
      <w:proofErr w:type="spellStart"/>
      <w:r w:rsidRPr="00B45853">
        <w:rPr>
          <w:rFonts w:ascii="Times New Roman" w:hAnsi="Times New Roman" w:cs="Times New Roman"/>
          <w:lang w:val="pl-PL"/>
        </w:rPr>
        <w:t>Laevakompanii</w:t>
      </w:r>
      <w:proofErr w:type="spellEnd"/>
      <w:r w:rsidRPr="00B45853">
        <w:rPr>
          <w:rFonts w:ascii="Times New Roman" w:hAnsi="Times New Roman" w:cs="Times New Roman"/>
          <w:lang w:val="pl-PL"/>
        </w:rPr>
        <w:t xml:space="preserve"> (</w:t>
      </w:r>
      <w:r w:rsidR="00310DB1" w:rsidRPr="00B45853">
        <w:rPr>
          <w:rFonts w:ascii="Times New Roman" w:hAnsi="Times New Roman" w:cs="Times New Roman"/>
          <w:lang w:val="pl-PL"/>
        </w:rPr>
        <w:t xml:space="preserve">Firma Spedycyjna </w:t>
      </w:r>
      <w:proofErr w:type="spellStart"/>
      <w:r w:rsidRPr="00B45853">
        <w:rPr>
          <w:rFonts w:ascii="Times New Roman" w:hAnsi="Times New Roman" w:cs="Times New Roman"/>
          <w:lang w:val="pl-PL"/>
        </w:rPr>
        <w:t>Saaremaa</w:t>
      </w:r>
      <w:proofErr w:type="spellEnd"/>
      <w:r w:rsidR="00310DB1" w:rsidRPr="00B45853">
        <w:rPr>
          <w:rFonts w:ascii="Times New Roman" w:hAnsi="Times New Roman" w:cs="Times New Roman"/>
          <w:lang w:val="pl-PL"/>
        </w:rPr>
        <w:t>, spółka akcyjna</w:t>
      </w:r>
      <w:r w:rsidRPr="00B45853">
        <w:rPr>
          <w:rFonts w:ascii="Times New Roman" w:hAnsi="Times New Roman" w:cs="Times New Roman"/>
          <w:lang w:val="pl-PL"/>
        </w:rPr>
        <w:t xml:space="preserve">). SLK świadczy usługi </w:t>
      </w:r>
      <w:r w:rsidR="0058283A" w:rsidRPr="00B45853">
        <w:rPr>
          <w:rFonts w:ascii="Times New Roman" w:hAnsi="Times New Roman" w:cs="Times New Roman"/>
          <w:lang w:val="pl-PL"/>
        </w:rPr>
        <w:t xml:space="preserve">publicznych </w:t>
      </w:r>
      <w:r w:rsidRPr="00B45853">
        <w:rPr>
          <w:rFonts w:ascii="Times New Roman" w:hAnsi="Times New Roman" w:cs="Times New Roman"/>
          <w:lang w:val="pl-PL"/>
        </w:rPr>
        <w:t>przewozów promowy</w:t>
      </w:r>
      <w:r w:rsidR="00310DB1" w:rsidRPr="00B45853">
        <w:rPr>
          <w:rFonts w:ascii="Times New Roman" w:hAnsi="Times New Roman" w:cs="Times New Roman"/>
          <w:lang w:val="pl-PL"/>
        </w:rPr>
        <w:t xml:space="preserve">ch </w:t>
      </w:r>
      <w:r w:rsidR="0058283A" w:rsidRPr="00B45853">
        <w:rPr>
          <w:rFonts w:ascii="Times New Roman" w:hAnsi="Times New Roman" w:cs="Times New Roman"/>
          <w:lang w:val="pl-PL"/>
        </w:rPr>
        <w:t>po</w:t>
      </w:r>
      <w:r w:rsidR="00310DB1" w:rsidRPr="00B45853">
        <w:rPr>
          <w:rFonts w:ascii="Times New Roman" w:hAnsi="Times New Roman" w:cs="Times New Roman"/>
          <w:lang w:val="pl-PL"/>
        </w:rPr>
        <w:t>między lądem oraz niektórymi</w:t>
      </w:r>
      <w:r w:rsidRPr="00B45853">
        <w:rPr>
          <w:rFonts w:ascii="Times New Roman" w:hAnsi="Times New Roman" w:cs="Times New Roman"/>
          <w:lang w:val="pl-PL"/>
        </w:rPr>
        <w:t xml:space="preserve"> wysp</w:t>
      </w:r>
      <w:r w:rsidR="00310DB1" w:rsidRPr="00B45853">
        <w:rPr>
          <w:rFonts w:ascii="Times New Roman" w:hAnsi="Times New Roman" w:cs="Times New Roman"/>
          <w:lang w:val="pl-PL"/>
        </w:rPr>
        <w:t>ami</w:t>
      </w:r>
      <w:r w:rsidRPr="00B45853">
        <w:rPr>
          <w:rFonts w:ascii="Times New Roman" w:hAnsi="Times New Roman" w:cs="Times New Roman"/>
          <w:lang w:val="pl-PL"/>
        </w:rPr>
        <w:t>. L. był członkiem rady nadzorczej SLK i jedynym lub większościowym udziałowcem spółki w momencie zaistnienia</w:t>
      </w:r>
      <w:r w:rsidR="0058283A" w:rsidRPr="00B45853">
        <w:rPr>
          <w:rFonts w:ascii="Times New Roman" w:hAnsi="Times New Roman" w:cs="Times New Roman"/>
          <w:lang w:val="pl-PL"/>
        </w:rPr>
        <w:t xml:space="preserve"> sprawy</w:t>
      </w:r>
      <w:r w:rsidRPr="00B45853">
        <w:rPr>
          <w:rFonts w:ascii="Times New Roman" w:hAnsi="Times New Roman" w:cs="Times New Roman"/>
          <w:lang w:val="pl-PL"/>
        </w:rPr>
        <w:t>.</w:t>
      </w:r>
    </w:p>
    <w:p w:rsidR="00A220C6" w:rsidRPr="00B45853" w:rsidRDefault="0058283A" w:rsidP="00171A6F">
      <w:pPr>
        <w:pStyle w:val="ECHRPara"/>
        <w:rPr>
          <w:rFonts w:ascii="Times New Roman" w:hAnsi="Times New Roman" w:cs="Times New Roman"/>
          <w:lang w:val="pl-PL"/>
        </w:rPr>
      </w:pPr>
      <w:r w:rsidRPr="00B45853">
        <w:rPr>
          <w:rFonts w:ascii="Times New Roman" w:hAnsi="Times New Roman" w:cs="Times New Roman"/>
          <w:lang w:val="pl-PL"/>
        </w:rPr>
        <w:lastRenderedPageBreak/>
        <w:t>17. W dniach</w:t>
      </w:r>
      <w:r w:rsidR="00D4032A" w:rsidRPr="00B45853">
        <w:rPr>
          <w:rFonts w:ascii="Times New Roman" w:hAnsi="Times New Roman" w:cs="Times New Roman"/>
          <w:lang w:val="pl-PL"/>
        </w:rPr>
        <w:t xml:space="preserve"> 24 i 25 stycznia 2006 </w:t>
      </w:r>
      <w:r w:rsidRPr="00B45853">
        <w:rPr>
          <w:rFonts w:ascii="Times New Roman" w:hAnsi="Times New Roman" w:cs="Times New Roman"/>
          <w:lang w:val="pl-PL"/>
        </w:rPr>
        <w:t xml:space="preserve">pod </w:t>
      </w:r>
      <w:r w:rsidR="00D4032A" w:rsidRPr="00B45853">
        <w:rPr>
          <w:rFonts w:ascii="Times New Roman" w:hAnsi="Times New Roman" w:cs="Times New Roman"/>
          <w:lang w:val="pl-PL"/>
        </w:rPr>
        <w:t>artykuł</w:t>
      </w:r>
      <w:r w:rsidRPr="00B45853">
        <w:rPr>
          <w:rFonts w:ascii="Times New Roman" w:hAnsi="Times New Roman" w:cs="Times New Roman"/>
          <w:lang w:val="pl-PL"/>
        </w:rPr>
        <w:t>em</w:t>
      </w:r>
      <w:r w:rsidR="00D4032A" w:rsidRPr="00B45853">
        <w:rPr>
          <w:rFonts w:ascii="Times New Roman" w:hAnsi="Times New Roman" w:cs="Times New Roman"/>
          <w:lang w:val="pl-PL"/>
        </w:rPr>
        <w:t xml:space="preserve"> </w:t>
      </w:r>
      <w:r w:rsidRPr="00B45853">
        <w:rPr>
          <w:rFonts w:ascii="Times New Roman" w:hAnsi="Times New Roman" w:cs="Times New Roman"/>
          <w:lang w:val="pl-PL"/>
        </w:rPr>
        <w:t>opublikowano</w:t>
      </w:r>
      <w:r w:rsidR="00D4032A" w:rsidRPr="00B45853">
        <w:rPr>
          <w:rFonts w:ascii="Times New Roman" w:hAnsi="Times New Roman" w:cs="Times New Roman"/>
          <w:lang w:val="pl-PL"/>
        </w:rPr>
        <w:t xml:space="preserve"> 185 komentarzy. Około dwudziestu z nich zawierało groźby osobiste i obraźliwe sformułowania skierowane przeciwko L.</w:t>
      </w:r>
    </w:p>
    <w:p w:rsidR="00A220C6" w:rsidRPr="007056C6" w:rsidRDefault="00D4032A" w:rsidP="00171A6F">
      <w:pPr>
        <w:pStyle w:val="ECHRPara"/>
        <w:rPr>
          <w:rFonts w:ascii="Times New Roman" w:hAnsi="Times New Roman" w:cs="Times New Roman"/>
          <w:lang w:val="pl-PL"/>
        </w:rPr>
      </w:pPr>
      <w:r w:rsidRPr="00B45853">
        <w:rPr>
          <w:rFonts w:ascii="Times New Roman" w:hAnsi="Times New Roman" w:cs="Times New Roman"/>
          <w:lang w:val="pl-PL"/>
        </w:rPr>
        <w:t xml:space="preserve">18. W dniu 9 </w:t>
      </w:r>
      <w:r w:rsidR="00920B44" w:rsidRPr="00B45853">
        <w:rPr>
          <w:rFonts w:ascii="Times New Roman" w:hAnsi="Times New Roman" w:cs="Times New Roman"/>
          <w:lang w:val="pl-PL"/>
        </w:rPr>
        <w:t>marca 2006 r</w:t>
      </w:r>
      <w:r w:rsidR="0058283A" w:rsidRPr="00B45853">
        <w:rPr>
          <w:rFonts w:ascii="Times New Roman" w:hAnsi="Times New Roman" w:cs="Times New Roman"/>
          <w:lang w:val="pl-PL"/>
        </w:rPr>
        <w:t>oku</w:t>
      </w:r>
      <w:r w:rsidR="00920B44" w:rsidRPr="00B45853">
        <w:rPr>
          <w:rFonts w:ascii="Times New Roman" w:hAnsi="Times New Roman" w:cs="Times New Roman"/>
          <w:lang w:val="pl-PL"/>
        </w:rPr>
        <w:t xml:space="preserve"> adwokaci L. zażądali od</w:t>
      </w:r>
      <w:r w:rsidRPr="00B45853">
        <w:rPr>
          <w:rFonts w:ascii="Times New Roman" w:hAnsi="Times New Roman" w:cs="Times New Roman"/>
          <w:lang w:val="pl-PL"/>
        </w:rPr>
        <w:t xml:space="preserve"> skarżącej spółki usunięcia obraźliwych komentarzy i </w:t>
      </w:r>
      <w:r w:rsidR="00920B44" w:rsidRPr="00B45853">
        <w:rPr>
          <w:rFonts w:ascii="Times New Roman" w:hAnsi="Times New Roman" w:cs="Times New Roman"/>
          <w:lang w:val="pl-PL"/>
        </w:rPr>
        <w:t>wypłacenia</w:t>
      </w:r>
      <w:r w:rsidRPr="00B45853">
        <w:rPr>
          <w:rFonts w:ascii="Times New Roman" w:hAnsi="Times New Roman" w:cs="Times New Roman"/>
          <w:lang w:val="pl-PL"/>
        </w:rPr>
        <w:t xml:space="preserve"> 500.000 koron estońskich (EEK) (około 32.000 euro (EUR)) </w:t>
      </w:r>
      <w:r w:rsidR="0058283A" w:rsidRPr="007056C6">
        <w:rPr>
          <w:rFonts w:ascii="Times New Roman" w:hAnsi="Times New Roman" w:cs="Times New Roman"/>
          <w:lang w:val="pl-PL"/>
        </w:rPr>
        <w:t xml:space="preserve">tytułem </w:t>
      </w:r>
      <w:r w:rsidR="00986A33" w:rsidRPr="007056C6">
        <w:rPr>
          <w:rFonts w:ascii="Times New Roman" w:hAnsi="Times New Roman" w:cs="Times New Roman"/>
          <w:lang w:val="pl-PL"/>
        </w:rPr>
        <w:t>odszkodowania za szkodę niemajątkową</w:t>
      </w:r>
      <w:r w:rsidRPr="007056C6">
        <w:rPr>
          <w:rFonts w:ascii="Times New Roman" w:hAnsi="Times New Roman" w:cs="Times New Roman"/>
          <w:lang w:val="pl-PL"/>
        </w:rPr>
        <w:t xml:space="preserve">. </w:t>
      </w:r>
      <w:r w:rsidR="00986A33" w:rsidRPr="007056C6">
        <w:rPr>
          <w:rFonts w:ascii="Times New Roman" w:hAnsi="Times New Roman" w:cs="Times New Roman"/>
          <w:lang w:val="pl-PL"/>
        </w:rPr>
        <w:t>Żądanie</w:t>
      </w:r>
      <w:r w:rsidRPr="007056C6">
        <w:rPr>
          <w:rFonts w:ascii="Times New Roman" w:hAnsi="Times New Roman" w:cs="Times New Roman"/>
          <w:lang w:val="pl-PL"/>
        </w:rPr>
        <w:t xml:space="preserve"> do</w:t>
      </w:r>
      <w:r w:rsidR="00920B44" w:rsidRPr="007056C6">
        <w:rPr>
          <w:rFonts w:ascii="Times New Roman" w:hAnsi="Times New Roman" w:cs="Times New Roman"/>
          <w:lang w:val="pl-PL"/>
        </w:rPr>
        <w:t>tyczył</w:t>
      </w:r>
      <w:r w:rsidR="007056C6">
        <w:rPr>
          <w:rFonts w:ascii="Times New Roman" w:hAnsi="Times New Roman" w:cs="Times New Roman"/>
          <w:lang w:val="pl-PL"/>
        </w:rPr>
        <w:t>o</w:t>
      </w:r>
      <w:r w:rsidR="00920B44" w:rsidRPr="007056C6">
        <w:rPr>
          <w:rFonts w:ascii="Times New Roman" w:hAnsi="Times New Roman" w:cs="Times New Roman"/>
          <w:lang w:val="pl-PL"/>
        </w:rPr>
        <w:t xml:space="preserve"> następujących dwudziestu</w:t>
      </w:r>
      <w:r w:rsidRPr="007056C6">
        <w:rPr>
          <w:rFonts w:ascii="Times New Roman" w:hAnsi="Times New Roman" w:cs="Times New Roman"/>
          <w:lang w:val="pl-PL"/>
        </w:rPr>
        <w:t xml:space="preserve"> komentarzy:</w:t>
      </w:r>
    </w:p>
    <w:p w:rsidR="00A220C6" w:rsidRPr="007056C6" w:rsidRDefault="00A220C6" w:rsidP="00171A6F">
      <w:pPr>
        <w:pStyle w:val="ECHRParaQuote"/>
        <w:rPr>
          <w:rFonts w:ascii="Times New Roman" w:hAnsi="Times New Roman" w:cs="Times New Roman"/>
          <w:lang w:val="pl-PL"/>
        </w:rPr>
      </w:pPr>
      <w:r w:rsidRPr="007056C6">
        <w:rPr>
          <w:rFonts w:ascii="Times New Roman" w:hAnsi="Times New Roman" w:cs="Times New Roman"/>
          <w:lang w:val="pl-PL"/>
        </w:rPr>
        <w:t xml:space="preserve">“1.  (1) </w:t>
      </w:r>
      <w:r w:rsidR="00920B44" w:rsidRPr="007056C6">
        <w:rPr>
          <w:rFonts w:ascii="Times New Roman" w:hAnsi="Times New Roman" w:cs="Times New Roman"/>
          <w:lang w:val="pl-PL"/>
        </w:rPr>
        <w:t>tam są prądy w</w:t>
      </w:r>
      <w:r w:rsidRPr="007056C6">
        <w:rPr>
          <w:rFonts w:ascii="Times New Roman" w:hAnsi="Times New Roman" w:cs="Times New Roman"/>
          <w:lang w:val="pl-PL"/>
        </w:rPr>
        <w:t xml:space="preserve"> [V]</w:t>
      </w:r>
      <w:proofErr w:type="spellStart"/>
      <w:r w:rsidRPr="007056C6">
        <w:rPr>
          <w:rFonts w:ascii="Times New Roman" w:hAnsi="Times New Roman" w:cs="Times New Roman"/>
          <w:lang w:val="pl-PL"/>
        </w:rPr>
        <w:t>äinameri</w:t>
      </w:r>
      <w:proofErr w:type="spellEnd"/>
    </w:p>
    <w:p w:rsidR="00A220C6" w:rsidRPr="007056C6" w:rsidRDefault="00920B44" w:rsidP="00171A6F">
      <w:pPr>
        <w:pStyle w:val="ECHRParaQuote"/>
        <w:rPr>
          <w:rFonts w:ascii="Times New Roman" w:hAnsi="Times New Roman" w:cs="Times New Roman"/>
          <w:lang w:val="pl-PL"/>
        </w:rPr>
      </w:pPr>
      <w:r w:rsidRPr="007056C6">
        <w:rPr>
          <w:rFonts w:ascii="Times New Roman" w:hAnsi="Times New Roman" w:cs="Times New Roman"/>
          <w:lang w:val="pl-PL"/>
        </w:rPr>
        <w:t>(2) otwarta woda jest</w:t>
      </w:r>
      <w:r w:rsidR="00A220C6" w:rsidRPr="007056C6">
        <w:rPr>
          <w:rFonts w:ascii="Times New Roman" w:hAnsi="Times New Roman" w:cs="Times New Roman"/>
          <w:lang w:val="pl-PL"/>
        </w:rPr>
        <w:t xml:space="preserve"> </w:t>
      </w:r>
      <w:r w:rsidRPr="007056C6">
        <w:rPr>
          <w:rFonts w:ascii="Times New Roman" w:hAnsi="Times New Roman" w:cs="Times New Roman"/>
          <w:lang w:val="pl-PL"/>
        </w:rPr>
        <w:t>bliżej</w:t>
      </w:r>
      <w:r w:rsidR="00A220C6" w:rsidRPr="007056C6">
        <w:rPr>
          <w:rFonts w:ascii="Times New Roman" w:hAnsi="Times New Roman" w:cs="Times New Roman"/>
          <w:lang w:val="pl-PL"/>
        </w:rPr>
        <w:t xml:space="preserve"> </w:t>
      </w:r>
      <w:r w:rsidRPr="007056C6">
        <w:rPr>
          <w:rFonts w:ascii="Times New Roman" w:hAnsi="Times New Roman" w:cs="Times New Roman"/>
          <w:lang w:val="pl-PL"/>
        </w:rPr>
        <w:t>miejsc, o których mówisz,</w:t>
      </w:r>
      <w:r w:rsidR="00A220C6" w:rsidRPr="007056C6">
        <w:rPr>
          <w:rFonts w:ascii="Times New Roman" w:hAnsi="Times New Roman" w:cs="Times New Roman"/>
          <w:lang w:val="pl-PL"/>
        </w:rPr>
        <w:t xml:space="preserve"> </w:t>
      </w:r>
      <w:r w:rsidRPr="007056C6">
        <w:rPr>
          <w:rFonts w:ascii="Times New Roman" w:hAnsi="Times New Roman" w:cs="Times New Roman"/>
          <w:lang w:val="pl-PL"/>
        </w:rPr>
        <w:t>a lód jest cieńszy.</w:t>
      </w:r>
    </w:p>
    <w:p w:rsidR="00A220C6" w:rsidRPr="00B45853" w:rsidRDefault="00920B44" w:rsidP="00171A6F">
      <w:pPr>
        <w:pStyle w:val="ECHRParaQuote"/>
        <w:rPr>
          <w:rFonts w:ascii="Times New Roman" w:hAnsi="Times New Roman" w:cs="Times New Roman"/>
          <w:lang w:val="pl-PL"/>
        </w:rPr>
      </w:pPr>
      <w:r w:rsidRPr="00B45853">
        <w:rPr>
          <w:rFonts w:ascii="Times New Roman" w:hAnsi="Times New Roman" w:cs="Times New Roman"/>
          <w:lang w:val="pl-PL"/>
        </w:rPr>
        <w:t>Propozycja</w:t>
      </w:r>
      <w:r w:rsidR="00A220C6" w:rsidRPr="00B45853">
        <w:rPr>
          <w:rFonts w:ascii="Times New Roman" w:hAnsi="Times New Roman" w:cs="Times New Roman"/>
          <w:lang w:val="pl-PL"/>
        </w:rPr>
        <w:t xml:space="preserve"> – </w:t>
      </w:r>
      <w:r w:rsidRPr="00B45853">
        <w:rPr>
          <w:rFonts w:ascii="Times New Roman" w:hAnsi="Times New Roman" w:cs="Times New Roman"/>
          <w:lang w:val="pl-PL"/>
        </w:rPr>
        <w:t>zróbmy jak w</w:t>
      </w:r>
      <w:r w:rsidR="00A220C6" w:rsidRPr="00B45853">
        <w:rPr>
          <w:rFonts w:ascii="Times New Roman" w:hAnsi="Times New Roman" w:cs="Times New Roman"/>
          <w:lang w:val="pl-PL"/>
        </w:rPr>
        <w:t xml:space="preserve"> 1905, </w:t>
      </w:r>
      <w:r w:rsidRPr="00B45853">
        <w:rPr>
          <w:rFonts w:ascii="Times New Roman" w:hAnsi="Times New Roman" w:cs="Times New Roman"/>
          <w:lang w:val="pl-PL"/>
        </w:rPr>
        <w:t>chodźmy do</w:t>
      </w:r>
      <w:r w:rsidR="00A220C6" w:rsidRPr="00B45853">
        <w:rPr>
          <w:rFonts w:ascii="Times New Roman" w:hAnsi="Times New Roman" w:cs="Times New Roman"/>
          <w:lang w:val="pl-PL"/>
        </w:rPr>
        <w:t xml:space="preserve"> [K]</w:t>
      </w:r>
      <w:proofErr w:type="spellStart"/>
      <w:r w:rsidR="00A220C6" w:rsidRPr="00B45853">
        <w:rPr>
          <w:rFonts w:ascii="Times New Roman" w:hAnsi="Times New Roman" w:cs="Times New Roman"/>
          <w:lang w:val="pl-PL"/>
        </w:rPr>
        <w:t>uressaare</w:t>
      </w:r>
      <w:proofErr w:type="spellEnd"/>
      <w:r w:rsidR="00A220C6" w:rsidRPr="00B45853">
        <w:rPr>
          <w:rFonts w:ascii="Times New Roman" w:hAnsi="Times New Roman" w:cs="Times New Roman"/>
          <w:lang w:val="pl-PL"/>
        </w:rPr>
        <w:t xml:space="preserve"> </w:t>
      </w:r>
      <w:r w:rsidRPr="00B45853">
        <w:rPr>
          <w:rFonts w:ascii="Times New Roman" w:hAnsi="Times New Roman" w:cs="Times New Roman"/>
          <w:lang w:val="pl-PL"/>
        </w:rPr>
        <w:t>z kijami</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i wsadźmy [L.] i</w:t>
      </w:r>
      <w:r w:rsidR="00A220C6" w:rsidRPr="00B45853">
        <w:rPr>
          <w:rFonts w:ascii="Times New Roman" w:hAnsi="Times New Roman" w:cs="Times New Roman"/>
          <w:lang w:val="pl-PL"/>
        </w:rPr>
        <w:t xml:space="preserve"> [Le.] </w:t>
      </w:r>
      <w:r w:rsidRPr="00B45853">
        <w:rPr>
          <w:rFonts w:ascii="Times New Roman" w:hAnsi="Times New Roman" w:cs="Times New Roman"/>
          <w:lang w:val="pl-PL"/>
        </w:rPr>
        <w:t>do worka</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2.  </w:t>
      </w:r>
      <w:r w:rsidR="00920B44" w:rsidRPr="00B45853">
        <w:rPr>
          <w:rFonts w:ascii="Times New Roman" w:hAnsi="Times New Roman" w:cs="Times New Roman"/>
          <w:lang w:val="pl-PL"/>
        </w:rPr>
        <w:t>cholerne</w:t>
      </w:r>
      <w:r w:rsidRPr="00B45853">
        <w:rPr>
          <w:rFonts w:ascii="Times New Roman" w:hAnsi="Times New Roman" w:cs="Times New Roman"/>
          <w:lang w:val="pl-PL"/>
        </w:rPr>
        <w:t xml:space="preserve"> </w:t>
      </w:r>
      <w:r w:rsidR="00920B44" w:rsidRPr="00B45853">
        <w:rPr>
          <w:rFonts w:ascii="Times New Roman" w:hAnsi="Times New Roman" w:cs="Times New Roman"/>
          <w:lang w:val="pl-PL"/>
        </w:rPr>
        <w:t>pojeby</w:t>
      </w:r>
      <w:r w:rsidRPr="00B45853">
        <w:rPr>
          <w:rFonts w:ascii="Times New Roman" w:hAnsi="Times New Roman" w:cs="Times New Roman"/>
          <w:lang w:val="pl-PL"/>
        </w:rPr>
        <w:t>...</w:t>
      </w:r>
    </w:p>
    <w:p w:rsidR="00A220C6" w:rsidRPr="00B45853" w:rsidRDefault="00920B44" w:rsidP="00171A6F">
      <w:pPr>
        <w:pStyle w:val="ECHRParaQuote"/>
        <w:rPr>
          <w:rFonts w:ascii="Times New Roman" w:hAnsi="Times New Roman" w:cs="Times New Roman"/>
          <w:lang w:val="pl-PL"/>
        </w:rPr>
      </w:pPr>
      <w:r w:rsidRPr="00B45853">
        <w:rPr>
          <w:rFonts w:ascii="Times New Roman" w:hAnsi="Times New Roman" w:cs="Times New Roman"/>
          <w:lang w:val="pl-PL"/>
        </w:rPr>
        <w:t xml:space="preserve">I tak kąpią się w forsie dzięki temu monopolowi i państwowym dotacjom, a teraz </w:t>
      </w:r>
      <w:r w:rsidR="005C0203" w:rsidRPr="00B45853">
        <w:rPr>
          <w:rFonts w:ascii="Times New Roman" w:hAnsi="Times New Roman" w:cs="Times New Roman"/>
          <w:lang w:val="pl-PL"/>
        </w:rPr>
        <w:t>zaczęli</w:t>
      </w:r>
      <w:r w:rsidRPr="00B45853">
        <w:rPr>
          <w:rFonts w:ascii="Times New Roman" w:hAnsi="Times New Roman" w:cs="Times New Roman"/>
          <w:lang w:val="pl-PL"/>
        </w:rPr>
        <w:t xml:space="preserve"> się bać, że samochody mogą jeździć na wyspy przez kilka </w:t>
      </w:r>
      <w:r w:rsidR="00CB6553">
        <w:rPr>
          <w:rFonts w:ascii="Times New Roman" w:hAnsi="Times New Roman" w:cs="Times New Roman"/>
          <w:lang w:val="pl-PL"/>
        </w:rPr>
        <w:t xml:space="preserve">dni bez napełniania ich kiesy. </w:t>
      </w:r>
      <w:r w:rsidR="007011B5">
        <w:rPr>
          <w:rFonts w:ascii="Times New Roman" w:hAnsi="Times New Roman" w:cs="Times New Roman"/>
          <w:lang w:val="pl-PL"/>
        </w:rPr>
        <w:t>sp</w:t>
      </w:r>
      <w:r w:rsidRPr="00B45853">
        <w:rPr>
          <w:rFonts w:ascii="Times New Roman" w:hAnsi="Times New Roman" w:cs="Times New Roman"/>
          <w:lang w:val="pl-PL"/>
        </w:rPr>
        <w:t xml:space="preserve">al się na swoim statku, chory Żydzie! </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3.  </w:t>
      </w:r>
      <w:r w:rsidR="00920B44" w:rsidRPr="00B45853">
        <w:rPr>
          <w:rFonts w:ascii="Times New Roman" w:hAnsi="Times New Roman" w:cs="Times New Roman"/>
          <w:lang w:val="pl-PL"/>
        </w:rPr>
        <w:t>dobrze, że</w:t>
      </w:r>
      <w:r w:rsidRPr="00B45853">
        <w:rPr>
          <w:rFonts w:ascii="Times New Roman" w:hAnsi="Times New Roman" w:cs="Times New Roman"/>
          <w:lang w:val="pl-PL"/>
        </w:rPr>
        <w:t xml:space="preserve"> </w:t>
      </w:r>
      <w:r w:rsidR="00920B44" w:rsidRPr="00B45853">
        <w:rPr>
          <w:rFonts w:ascii="Times New Roman" w:hAnsi="Times New Roman" w:cs="Times New Roman"/>
          <w:lang w:val="pl-PL"/>
        </w:rPr>
        <w:t xml:space="preserve">inicjatywa </w:t>
      </w:r>
      <w:r w:rsidRPr="00B45853">
        <w:rPr>
          <w:rFonts w:ascii="Times New Roman" w:hAnsi="Times New Roman" w:cs="Times New Roman"/>
          <w:lang w:val="pl-PL"/>
        </w:rPr>
        <w:t xml:space="preserve">[La.] </w:t>
      </w:r>
      <w:r w:rsidR="00920B44" w:rsidRPr="00B45853">
        <w:rPr>
          <w:rFonts w:ascii="Times New Roman" w:hAnsi="Times New Roman" w:cs="Times New Roman"/>
          <w:lang w:val="pl-PL"/>
        </w:rPr>
        <w:t>nie zburzyła linii</w:t>
      </w:r>
      <w:r w:rsidRPr="00B45853">
        <w:rPr>
          <w:rFonts w:ascii="Times New Roman" w:hAnsi="Times New Roman" w:cs="Times New Roman"/>
          <w:lang w:val="pl-PL"/>
        </w:rPr>
        <w:t xml:space="preserve"> </w:t>
      </w:r>
      <w:r w:rsidR="00920B44" w:rsidRPr="00B45853">
        <w:rPr>
          <w:rFonts w:ascii="Times New Roman" w:hAnsi="Times New Roman" w:cs="Times New Roman"/>
          <w:lang w:val="pl-PL"/>
        </w:rPr>
        <w:t xml:space="preserve">internetowych </w:t>
      </w:r>
      <w:proofErr w:type="spellStart"/>
      <w:r w:rsidR="00920B44" w:rsidRPr="00B45853">
        <w:rPr>
          <w:rFonts w:ascii="Times New Roman" w:hAnsi="Times New Roman" w:cs="Times New Roman"/>
          <w:lang w:val="pl-PL"/>
        </w:rPr>
        <w:t>flamerów</w:t>
      </w:r>
      <w:proofErr w:type="spellEnd"/>
      <w:r w:rsidRPr="00B45853">
        <w:rPr>
          <w:rFonts w:ascii="Times New Roman" w:hAnsi="Times New Roman" w:cs="Times New Roman"/>
          <w:lang w:val="pl-PL"/>
        </w:rPr>
        <w:t xml:space="preserve">. </w:t>
      </w:r>
      <w:r w:rsidR="00920B44" w:rsidRPr="00B45853">
        <w:rPr>
          <w:rFonts w:ascii="Times New Roman" w:hAnsi="Times New Roman" w:cs="Times New Roman"/>
          <w:lang w:val="pl-PL"/>
        </w:rPr>
        <w:t>dalej, chłopaki</w:t>
      </w:r>
      <w:r w:rsidRPr="00B45853">
        <w:rPr>
          <w:rFonts w:ascii="Times New Roman" w:hAnsi="Times New Roman" w:cs="Times New Roman"/>
          <w:lang w:val="pl-PL"/>
        </w:rPr>
        <w:t xml:space="preserve">, [L.] </w:t>
      </w:r>
      <w:r w:rsidR="00920B44" w:rsidRPr="00B45853">
        <w:rPr>
          <w:rFonts w:ascii="Times New Roman" w:hAnsi="Times New Roman" w:cs="Times New Roman"/>
          <w:lang w:val="pl-PL"/>
        </w:rPr>
        <w:t>do pieca</w:t>
      </w:r>
      <w:r w:rsidRPr="00B45853">
        <w:rPr>
          <w:rFonts w:ascii="Times New Roman" w:hAnsi="Times New Roman" w:cs="Times New Roman"/>
          <w:lang w:val="pl-PL"/>
        </w:rPr>
        <w:t>!</w:t>
      </w:r>
    </w:p>
    <w:p w:rsidR="00A220C6" w:rsidRPr="00B45853" w:rsidRDefault="00920B44" w:rsidP="00171A6F">
      <w:pPr>
        <w:pStyle w:val="ECHRParaQuote"/>
        <w:rPr>
          <w:rFonts w:ascii="Times New Roman" w:hAnsi="Times New Roman" w:cs="Times New Roman"/>
          <w:lang w:val="pl-PL"/>
        </w:rPr>
      </w:pPr>
      <w:r w:rsidRPr="00B45853">
        <w:rPr>
          <w:rFonts w:ascii="Times New Roman" w:hAnsi="Times New Roman" w:cs="Times New Roman"/>
          <w:lang w:val="pl-PL"/>
        </w:rPr>
        <w:t>4.  [mały L.] idź</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i się utop</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 xml:space="preserve">5.  aha... </w:t>
      </w:r>
      <w:r w:rsidR="00C74930" w:rsidRPr="00B45853">
        <w:rPr>
          <w:rFonts w:ascii="Times New Roman" w:hAnsi="Times New Roman" w:cs="Times New Roman"/>
          <w:lang w:val="pl-PL"/>
        </w:rPr>
        <w:t>trudno [mi] uwierzyć, że to był tylko wypadek</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dupki</w:t>
      </w:r>
    </w:p>
    <w:p w:rsidR="00A220C6" w:rsidRPr="00B45853" w:rsidRDefault="00C74930" w:rsidP="00171A6F">
      <w:pPr>
        <w:pStyle w:val="ECHRParaQuote"/>
        <w:rPr>
          <w:rFonts w:ascii="Times New Roman" w:hAnsi="Times New Roman" w:cs="Times New Roman"/>
          <w:lang w:val="pl-PL"/>
        </w:rPr>
      </w:pPr>
      <w:r w:rsidRPr="00B45853">
        <w:rPr>
          <w:rFonts w:ascii="Times New Roman" w:hAnsi="Times New Roman" w:cs="Times New Roman"/>
          <w:lang w:val="pl-PL"/>
        </w:rPr>
        <w:t>6.  łajdak!!! [po</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Rosyjsku</w:t>
      </w:r>
      <w:r w:rsidR="00A220C6"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7.  </w:t>
      </w:r>
      <w:r w:rsidR="00C74930" w:rsidRPr="00B45853">
        <w:rPr>
          <w:rFonts w:ascii="Times New Roman" w:hAnsi="Times New Roman" w:cs="Times New Roman"/>
          <w:lang w:val="pl-PL"/>
        </w:rPr>
        <w:t>Co to za marudzenie</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stuknąć tego</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drania raz a dobrze</w:t>
      </w:r>
      <w:r w:rsidRPr="00B45853">
        <w:rPr>
          <w:rFonts w:ascii="Times New Roman" w:hAnsi="Times New Roman" w:cs="Times New Roman"/>
          <w:lang w:val="pl-PL"/>
        </w:rPr>
        <w:t xml:space="preserve"> [.] </w:t>
      </w:r>
      <w:r w:rsidR="00C74930" w:rsidRPr="00B45853">
        <w:rPr>
          <w:rFonts w:ascii="Times New Roman" w:hAnsi="Times New Roman" w:cs="Times New Roman"/>
          <w:lang w:val="pl-PL"/>
        </w:rPr>
        <w:t>W przyszłości</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inni</w:t>
      </w:r>
      <w:r w:rsidRPr="00B45853">
        <w:rPr>
          <w:rFonts w:ascii="Times New Roman" w:hAnsi="Times New Roman" w:cs="Times New Roman"/>
          <w:lang w:val="pl-PL"/>
        </w:rPr>
        <w:t xml:space="preserve"> ... </w:t>
      </w:r>
      <w:r w:rsidR="00C74930" w:rsidRPr="00B45853">
        <w:rPr>
          <w:rFonts w:ascii="Times New Roman" w:hAnsi="Times New Roman" w:cs="Times New Roman"/>
          <w:lang w:val="pl-PL"/>
        </w:rPr>
        <w:t>będą wiedzieli jak ryzykują</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nawet będą mieli tylko jedno małe życie.</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 xml:space="preserve">8.  ... </w:t>
      </w:r>
      <w:r w:rsidR="00C74930" w:rsidRPr="00B45853">
        <w:rPr>
          <w:rFonts w:ascii="Times New Roman" w:hAnsi="Times New Roman" w:cs="Times New Roman"/>
          <w:lang w:val="pl-PL"/>
        </w:rPr>
        <w:t>ma cholerną rację. Lincz</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aby ostrzec innych</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wyspiarzy</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i prawie facetów</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Wtedy nic takiego nie nastąpi ponownie! W każdym razie, [L.] bardzo na to zasługuje</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co nie</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9.  “</w:t>
      </w:r>
      <w:r w:rsidR="00C74930" w:rsidRPr="00B45853">
        <w:rPr>
          <w:rFonts w:ascii="Times New Roman" w:hAnsi="Times New Roman" w:cs="Times New Roman"/>
          <w:lang w:val="pl-PL"/>
        </w:rPr>
        <w:t>dobry człowiek żyje długo, chujowy człowiek dzień lub dwa</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10.  </w:t>
      </w:r>
      <w:r w:rsidR="00C74930" w:rsidRPr="00B45853">
        <w:rPr>
          <w:rFonts w:ascii="Times New Roman" w:hAnsi="Times New Roman" w:cs="Times New Roman"/>
          <w:lang w:val="pl-PL"/>
        </w:rPr>
        <w:t>Gdyby była lodowa droga</w:t>
      </w:r>
      <w:r w:rsidRPr="00B45853">
        <w:rPr>
          <w:rFonts w:ascii="Times New Roman" w:hAnsi="Times New Roman" w:cs="Times New Roman"/>
          <w:lang w:val="pl-PL"/>
        </w:rPr>
        <w:t>, [</w:t>
      </w:r>
      <w:r w:rsidR="00C74930" w:rsidRPr="00B45853">
        <w:rPr>
          <w:rFonts w:ascii="Times New Roman" w:hAnsi="Times New Roman" w:cs="Times New Roman"/>
          <w:lang w:val="pl-PL"/>
        </w:rPr>
        <w:t>można</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łatwo zaoszczędzić</w:t>
      </w:r>
      <w:r w:rsidRPr="00B45853">
        <w:rPr>
          <w:rFonts w:ascii="Times New Roman" w:hAnsi="Times New Roman" w:cs="Times New Roman"/>
          <w:lang w:val="pl-PL"/>
        </w:rPr>
        <w:t xml:space="preserve"> 500 </w:t>
      </w:r>
      <w:r w:rsidR="00C74930" w:rsidRPr="00B45853">
        <w:rPr>
          <w:rFonts w:ascii="Times New Roman" w:hAnsi="Times New Roman" w:cs="Times New Roman"/>
          <w:lang w:val="pl-PL"/>
        </w:rPr>
        <w:t>za pełny samochód</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cholerny</w:t>
      </w:r>
      <w:r w:rsidRPr="00B45853">
        <w:rPr>
          <w:rFonts w:ascii="Times New Roman" w:hAnsi="Times New Roman" w:cs="Times New Roman"/>
          <w:lang w:val="pl-PL"/>
        </w:rPr>
        <w:t xml:space="preserve"> [L.] </w:t>
      </w:r>
      <w:r w:rsidR="00C74930" w:rsidRPr="00B45853">
        <w:rPr>
          <w:rFonts w:ascii="Times New Roman" w:hAnsi="Times New Roman" w:cs="Times New Roman"/>
          <w:lang w:val="pl-PL"/>
        </w:rPr>
        <w:t>płać za taką gospodarkę</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czemu zajmuje 3 [godziny</w:t>
      </w:r>
      <w:r w:rsidR="00986A33">
        <w:rPr>
          <w:rFonts w:ascii="Times New Roman" w:hAnsi="Times New Roman" w:cs="Times New Roman"/>
          <w:lang w:val="pl-PL"/>
        </w:rPr>
        <w:t xml:space="preserve">] </w:t>
      </w:r>
      <w:r w:rsidR="00C74930" w:rsidRPr="00B45853">
        <w:rPr>
          <w:rFonts w:ascii="Times New Roman" w:hAnsi="Times New Roman" w:cs="Times New Roman"/>
          <w:lang w:val="pl-PL"/>
        </w:rPr>
        <w:t>twoim promom</w:t>
      </w:r>
      <w:r w:rsidRPr="00B45853">
        <w:rPr>
          <w:rFonts w:ascii="Times New Roman" w:hAnsi="Times New Roman" w:cs="Times New Roman"/>
          <w:lang w:val="pl-PL"/>
        </w:rPr>
        <w:t xml:space="preserve"> </w:t>
      </w:r>
      <w:r w:rsidR="00C74930" w:rsidRPr="00B45853">
        <w:rPr>
          <w:rFonts w:ascii="Times New Roman" w:hAnsi="Times New Roman" w:cs="Times New Roman"/>
          <w:lang w:val="pl-PL"/>
        </w:rPr>
        <w:t>jeśli to są takie dobre lodołamacze</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 xml:space="preserve">idź i łam lód przy porcie </w:t>
      </w:r>
      <w:proofErr w:type="spellStart"/>
      <w:r w:rsidR="00B53062" w:rsidRPr="00B45853">
        <w:rPr>
          <w:rFonts w:ascii="Times New Roman" w:hAnsi="Times New Roman" w:cs="Times New Roman"/>
          <w:lang w:val="pl-PL"/>
        </w:rPr>
        <w:t>Pärnu</w:t>
      </w:r>
      <w:proofErr w:type="spellEnd"/>
      <w:r w:rsidR="00B53062" w:rsidRPr="00B45853">
        <w:rPr>
          <w:rFonts w:ascii="Times New Roman" w:hAnsi="Times New Roman" w:cs="Times New Roman"/>
          <w:lang w:val="pl-PL"/>
        </w:rPr>
        <w:t xml:space="preserve"> ...</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pieprzona</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małpo, Przekroczę</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cieśninę</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tak czy siak</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jeśli utonę</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to jest twoja wina</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11.  </w:t>
      </w:r>
      <w:r w:rsidR="00B53062" w:rsidRPr="00B45853">
        <w:rPr>
          <w:rFonts w:ascii="Times New Roman" w:hAnsi="Times New Roman" w:cs="Times New Roman"/>
          <w:lang w:val="pl-PL"/>
        </w:rPr>
        <w:t xml:space="preserve">I czy </w:t>
      </w:r>
      <w:r w:rsidR="00275A8C" w:rsidRPr="00B45853">
        <w:rPr>
          <w:rFonts w:ascii="Times New Roman" w:hAnsi="Times New Roman" w:cs="Times New Roman"/>
          <w:lang w:val="pl-PL"/>
        </w:rPr>
        <w:t>ktoś</w:t>
      </w:r>
      <w:r w:rsidR="00B53062" w:rsidRPr="00B45853">
        <w:rPr>
          <w:rFonts w:ascii="Times New Roman" w:hAnsi="Times New Roman" w:cs="Times New Roman"/>
          <w:lang w:val="pl-PL"/>
        </w:rPr>
        <w:t xml:space="preserve"> może przeciwstawić się </w:t>
      </w:r>
      <w:r w:rsidR="00021F5D">
        <w:rPr>
          <w:rFonts w:ascii="Times New Roman" w:hAnsi="Times New Roman" w:cs="Times New Roman"/>
          <w:lang w:val="pl-PL"/>
        </w:rPr>
        <w:t>tym dupkom</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12.  </w:t>
      </w:r>
      <w:r w:rsidR="00B53062" w:rsidRPr="00B45853">
        <w:rPr>
          <w:rFonts w:ascii="Times New Roman" w:hAnsi="Times New Roman" w:cs="Times New Roman"/>
          <w:lang w:val="pl-PL"/>
        </w:rPr>
        <w:t xml:space="preserve">mieszkańcy wysp </w:t>
      </w:r>
      <w:proofErr w:type="spellStart"/>
      <w:r w:rsidR="00B53062" w:rsidRPr="00B45853">
        <w:rPr>
          <w:rFonts w:ascii="Times New Roman" w:hAnsi="Times New Roman" w:cs="Times New Roman"/>
          <w:lang w:val="pl-PL"/>
        </w:rPr>
        <w:t>Saaremaa</w:t>
      </w:r>
      <w:proofErr w:type="spellEnd"/>
      <w:r w:rsidR="00B53062" w:rsidRPr="00B45853">
        <w:rPr>
          <w:rFonts w:ascii="Times New Roman" w:hAnsi="Times New Roman" w:cs="Times New Roman"/>
          <w:lang w:val="pl-PL"/>
        </w:rPr>
        <w:t xml:space="preserve"> i </w:t>
      </w:r>
      <w:proofErr w:type="spellStart"/>
      <w:r w:rsidR="00B53062" w:rsidRPr="00B45853">
        <w:rPr>
          <w:rFonts w:ascii="Times New Roman" w:hAnsi="Times New Roman" w:cs="Times New Roman"/>
          <w:lang w:val="pl-PL"/>
        </w:rPr>
        <w:t>Hiiumaa</w:t>
      </w:r>
      <w:proofErr w:type="spellEnd"/>
      <w:r w:rsidR="00B53062" w:rsidRPr="00B45853">
        <w:rPr>
          <w:rFonts w:ascii="Times New Roman" w:hAnsi="Times New Roman" w:cs="Times New Roman"/>
          <w:lang w:val="pl-PL"/>
        </w:rPr>
        <w:t>, zróbcie</w:t>
      </w:r>
      <w:r w:rsidRPr="00B45853">
        <w:rPr>
          <w:rFonts w:ascii="Times New Roman" w:hAnsi="Times New Roman" w:cs="Times New Roman"/>
          <w:lang w:val="pl-PL"/>
        </w:rPr>
        <w:t xml:space="preserve"> 1:0 </w:t>
      </w:r>
      <w:r w:rsidR="00B53062" w:rsidRPr="00B45853">
        <w:rPr>
          <w:rFonts w:ascii="Times New Roman" w:hAnsi="Times New Roman" w:cs="Times New Roman"/>
          <w:lang w:val="pl-PL"/>
        </w:rPr>
        <w:t>temu</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głupkowi</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13.  </w:t>
      </w:r>
      <w:r w:rsidR="00262588" w:rsidRPr="00B45853">
        <w:rPr>
          <w:rFonts w:ascii="Times New Roman" w:hAnsi="Times New Roman" w:cs="Times New Roman"/>
          <w:lang w:val="pl-PL"/>
        </w:rPr>
        <w:t>zastanawiam</w:t>
      </w:r>
      <w:r w:rsidR="00B53062" w:rsidRPr="00B45853">
        <w:rPr>
          <w:rFonts w:ascii="Times New Roman" w:hAnsi="Times New Roman" w:cs="Times New Roman"/>
          <w:lang w:val="pl-PL"/>
        </w:rPr>
        <w:t xml:space="preserve"> się, czy</w:t>
      </w:r>
      <w:r w:rsidR="00FA4E16">
        <w:rPr>
          <w:rFonts w:ascii="Times New Roman" w:hAnsi="Times New Roman" w:cs="Times New Roman"/>
          <w:lang w:val="pl-PL"/>
        </w:rPr>
        <w:t xml:space="preserve"> </w:t>
      </w:r>
      <w:r w:rsidRPr="00B45853">
        <w:rPr>
          <w:rFonts w:ascii="Times New Roman" w:hAnsi="Times New Roman" w:cs="Times New Roman"/>
          <w:lang w:val="pl-PL"/>
        </w:rPr>
        <w:t xml:space="preserve">[L.] </w:t>
      </w:r>
      <w:r w:rsidR="00B53062" w:rsidRPr="00B45853">
        <w:rPr>
          <w:rFonts w:ascii="Times New Roman" w:hAnsi="Times New Roman" w:cs="Times New Roman"/>
          <w:lang w:val="pl-PL"/>
        </w:rPr>
        <w:t>nie będzie obity w</w:t>
      </w:r>
      <w:r w:rsidRPr="00B45853">
        <w:rPr>
          <w:rFonts w:ascii="Times New Roman" w:hAnsi="Times New Roman" w:cs="Times New Roman"/>
          <w:lang w:val="pl-PL"/>
        </w:rPr>
        <w:t xml:space="preserve"> </w:t>
      </w:r>
      <w:proofErr w:type="spellStart"/>
      <w:r w:rsidRPr="00B45853">
        <w:rPr>
          <w:rFonts w:ascii="Times New Roman" w:hAnsi="Times New Roman" w:cs="Times New Roman"/>
          <w:lang w:val="pl-PL"/>
        </w:rPr>
        <w:t>Saaremaa</w:t>
      </w:r>
      <w:proofErr w:type="spellEnd"/>
      <w:r w:rsidRPr="00B45853">
        <w:rPr>
          <w:rFonts w:ascii="Times New Roman" w:hAnsi="Times New Roman" w:cs="Times New Roman"/>
          <w:lang w:val="pl-PL"/>
        </w:rPr>
        <w:t xml:space="preserve">? </w:t>
      </w:r>
      <w:r w:rsidR="00B53062" w:rsidRPr="00B45853">
        <w:rPr>
          <w:rFonts w:ascii="Times New Roman" w:hAnsi="Times New Roman" w:cs="Times New Roman"/>
          <w:lang w:val="pl-PL"/>
        </w:rPr>
        <w:t>pieprzyć własny lud w taki sposób</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14.  </w:t>
      </w:r>
      <w:r w:rsidR="00B53062" w:rsidRPr="00B45853">
        <w:rPr>
          <w:rFonts w:ascii="Times New Roman" w:hAnsi="Times New Roman" w:cs="Times New Roman"/>
          <w:lang w:val="pl-PL"/>
        </w:rPr>
        <w:t>Ludzie będą gadać kilka dni w Internecie</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ale kanciarze</w:t>
      </w:r>
      <w:r w:rsidRPr="00B45853">
        <w:rPr>
          <w:rFonts w:ascii="Times New Roman" w:hAnsi="Times New Roman" w:cs="Times New Roman"/>
          <w:lang w:val="pl-PL"/>
        </w:rPr>
        <w:t xml:space="preserve"> (</w:t>
      </w:r>
      <w:r w:rsidR="00B53062" w:rsidRPr="00B45853">
        <w:rPr>
          <w:rFonts w:ascii="Times New Roman" w:hAnsi="Times New Roman" w:cs="Times New Roman"/>
          <w:lang w:val="pl-PL"/>
        </w:rPr>
        <w:t>a także ci którzy mają poparcie i których sami wybraliśmy do reprezentowania nas</w:t>
      </w:r>
      <w:r w:rsidRPr="00B45853">
        <w:rPr>
          <w:rFonts w:ascii="Times New Roman" w:hAnsi="Times New Roman" w:cs="Times New Roman"/>
          <w:lang w:val="pl-PL"/>
        </w:rPr>
        <w:t xml:space="preserve">) </w:t>
      </w:r>
      <w:r w:rsidR="009F2AEF" w:rsidRPr="00B45853">
        <w:rPr>
          <w:rFonts w:ascii="Times New Roman" w:hAnsi="Times New Roman" w:cs="Times New Roman"/>
          <w:lang w:val="pl-PL"/>
        </w:rPr>
        <w:t>są przy kasie</w:t>
      </w:r>
      <w:r w:rsidRPr="00B45853">
        <w:rPr>
          <w:rFonts w:ascii="Times New Roman" w:hAnsi="Times New Roman" w:cs="Times New Roman"/>
          <w:lang w:val="pl-PL"/>
        </w:rPr>
        <w:t xml:space="preserve"> </w:t>
      </w:r>
      <w:r w:rsidR="009F2AEF" w:rsidRPr="00B45853">
        <w:rPr>
          <w:rFonts w:ascii="Times New Roman" w:hAnsi="Times New Roman" w:cs="Times New Roman"/>
          <w:lang w:val="pl-PL"/>
        </w:rPr>
        <w:t>i nie zwracają uwagi na ten flejm</w:t>
      </w:r>
      <w:r w:rsidRPr="00B45853">
        <w:rPr>
          <w:rFonts w:ascii="Times New Roman" w:hAnsi="Times New Roman" w:cs="Times New Roman"/>
          <w:lang w:val="pl-PL"/>
        </w:rPr>
        <w:t xml:space="preserve"> – </w:t>
      </w:r>
      <w:r w:rsidR="009F2AEF" w:rsidRPr="00B45853">
        <w:rPr>
          <w:rFonts w:ascii="Times New Roman" w:hAnsi="Times New Roman" w:cs="Times New Roman"/>
          <w:lang w:val="pl-PL"/>
        </w:rPr>
        <w:t>wszystkich to gówno obchodzi</w:t>
      </w:r>
      <w:r w:rsidRPr="00B45853">
        <w:rPr>
          <w:rFonts w:ascii="Times New Roman" w:hAnsi="Times New Roman" w:cs="Times New Roman"/>
          <w:lang w:val="pl-PL"/>
        </w:rPr>
        <w:t>.</w:t>
      </w:r>
    </w:p>
    <w:p w:rsidR="00A220C6" w:rsidRPr="00B45853" w:rsidRDefault="009F2AEF" w:rsidP="00171A6F">
      <w:pPr>
        <w:pStyle w:val="ECHRParaQuote"/>
        <w:rPr>
          <w:rFonts w:ascii="Times New Roman" w:hAnsi="Times New Roman" w:cs="Times New Roman"/>
          <w:lang w:val="pl-PL"/>
        </w:rPr>
      </w:pPr>
      <w:r w:rsidRPr="00B45853">
        <w:rPr>
          <w:rFonts w:ascii="Times New Roman" w:hAnsi="Times New Roman" w:cs="Times New Roman"/>
          <w:lang w:val="pl-PL"/>
        </w:rPr>
        <w:t>Kiedyś</w:t>
      </w:r>
      <w:r w:rsidR="00A220C6" w:rsidRPr="00B45853">
        <w:rPr>
          <w:rFonts w:ascii="Times New Roman" w:hAnsi="Times New Roman" w:cs="Times New Roman"/>
          <w:lang w:val="pl-PL"/>
        </w:rPr>
        <w:t xml:space="preserve"> [M.] </w:t>
      </w:r>
      <w:r w:rsidRPr="00B45853">
        <w:rPr>
          <w:rFonts w:ascii="Times New Roman" w:hAnsi="Times New Roman" w:cs="Times New Roman"/>
          <w:lang w:val="pl-PL"/>
        </w:rPr>
        <w:t>i inni oszuści</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także się rządzili</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 xml:space="preserve">ale ich chciwość </w:t>
      </w:r>
      <w:r w:rsidR="00602249">
        <w:rPr>
          <w:rFonts w:ascii="Times New Roman" w:hAnsi="Times New Roman" w:cs="Times New Roman"/>
          <w:lang w:val="pl-PL"/>
        </w:rPr>
        <w:t>się nie opłaciła</w:t>
      </w:r>
      <w:r w:rsidR="00A220C6" w:rsidRPr="00B45853">
        <w:rPr>
          <w:rFonts w:ascii="Times New Roman" w:hAnsi="Times New Roman" w:cs="Times New Roman"/>
          <w:lang w:val="pl-PL"/>
        </w:rPr>
        <w:t xml:space="preserve"> (RIP). </w:t>
      </w:r>
      <w:r w:rsidRPr="00B45853">
        <w:rPr>
          <w:rFonts w:ascii="Times New Roman" w:hAnsi="Times New Roman" w:cs="Times New Roman"/>
          <w:lang w:val="pl-PL"/>
        </w:rPr>
        <w:t>Prędzej czy później będzie odwet i na tych oszustach</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Co sieją to zbiorą</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ale tak czy inaczej powinni zostać powstrzymani</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przez lincz</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skoro państwo jest bezsilne</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wobec nich</w:t>
      </w:r>
      <w:r w:rsidR="00A220C6" w:rsidRPr="00B45853">
        <w:rPr>
          <w:rFonts w:ascii="Times New Roman" w:hAnsi="Times New Roman" w:cs="Times New Roman"/>
          <w:lang w:val="pl-PL"/>
        </w:rPr>
        <w:t xml:space="preserve"> – </w:t>
      </w:r>
      <w:r w:rsidRPr="00B45853">
        <w:rPr>
          <w:rFonts w:ascii="Times New Roman" w:hAnsi="Times New Roman" w:cs="Times New Roman"/>
          <w:lang w:val="pl-PL"/>
        </w:rPr>
        <w:t>to oni rządzą krajem</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ponieważ oni żyją do dziś</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Jutro, powódź</w:t>
      </w:r>
      <w:r w:rsidR="00A220C6"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15.  </w:t>
      </w:r>
      <w:r w:rsidR="009F2AEF" w:rsidRPr="00B45853">
        <w:rPr>
          <w:rFonts w:ascii="Times New Roman" w:hAnsi="Times New Roman" w:cs="Times New Roman"/>
          <w:lang w:val="pl-PL"/>
        </w:rPr>
        <w:t>ten</w:t>
      </w:r>
      <w:r w:rsidRPr="00B45853">
        <w:rPr>
          <w:rFonts w:ascii="Times New Roman" w:hAnsi="Times New Roman" w:cs="Times New Roman"/>
          <w:lang w:val="pl-PL"/>
        </w:rPr>
        <w:t xml:space="preserve"> [V.] </w:t>
      </w:r>
      <w:r w:rsidR="009F2AEF" w:rsidRPr="00B45853">
        <w:rPr>
          <w:rFonts w:ascii="Times New Roman" w:hAnsi="Times New Roman" w:cs="Times New Roman"/>
          <w:lang w:val="pl-PL"/>
        </w:rPr>
        <w:t>pewnego dnia dostanie ode mnie</w:t>
      </w:r>
      <w:r w:rsidR="00602249" w:rsidRPr="00602249">
        <w:rPr>
          <w:rFonts w:ascii="Times New Roman" w:hAnsi="Times New Roman" w:cs="Times New Roman"/>
          <w:lang w:val="pl-PL"/>
        </w:rPr>
        <w:t xml:space="preserve"> </w:t>
      </w:r>
      <w:r w:rsidR="00602249" w:rsidRPr="00B45853">
        <w:rPr>
          <w:rFonts w:ascii="Times New Roman" w:hAnsi="Times New Roman" w:cs="Times New Roman"/>
          <w:lang w:val="pl-PL"/>
        </w:rPr>
        <w:t>ciastem</w:t>
      </w:r>
      <w:r w:rsidRPr="00B45853">
        <w:rPr>
          <w:rFonts w:ascii="Times New Roman" w:hAnsi="Times New Roman" w:cs="Times New Roman"/>
          <w:lang w:val="pl-PL"/>
        </w:rPr>
        <w:t>.</w:t>
      </w:r>
    </w:p>
    <w:p w:rsidR="00A220C6" w:rsidRPr="00B45853" w:rsidRDefault="009F2AEF" w:rsidP="00171A6F">
      <w:pPr>
        <w:pStyle w:val="ECHRParaQuote"/>
        <w:rPr>
          <w:rFonts w:ascii="Times New Roman" w:hAnsi="Times New Roman" w:cs="Times New Roman"/>
          <w:lang w:val="pl-PL"/>
        </w:rPr>
      </w:pPr>
      <w:r w:rsidRPr="00B45853">
        <w:rPr>
          <w:rFonts w:ascii="Times New Roman" w:hAnsi="Times New Roman" w:cs="Times New Roman"/>
          <w:lang w:val="pl-PL"/>
        </w:rPr>
        <w:lastRenderedPageBreak/>
        <w:t>kurde</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jak najszybciej umieścić kocioł na ogniu i jest dym unoszący się z komina z sauny</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wrony z</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lang w:val="pl-PL"/>
        </w:rPr>
        <w:t>Saaremaa</w:t>
      </w:r>
      <w:proofErr w:type="spellEnd"/>
      <w:r w:rsidR="00A220C6" w:rsidRPr="00B45853">
        <w:rPr>
          <w:rFonts w:ascii="Times New Roman" w:hAnsi="Times New Roman" w:cs="Times New Roman"/>
          <w:lang w:val="pl-PL"/>
        </w:rPr>
        <w:t xml:space="preserve"> </w:t>
      </w:r>
      <w:r w:rsidRPr="00B45853">
        <w:rPr>
          <w:rFonts w:ascii="Times New Roman" w:hAnsi="Times New Roman" w:cs="Times New Roman"/>
          <w:lang w:val="pl-PL"/>
        </w:rPr>
        <w:t>są tam</w:t>
      </w:r>
      <w:r w:rsidR="00A220C6" w:rsidRPr="00B45853">
        <w:rPr>
          <w:rFonts w:ascii="Times New Roman" w:hAnsi="Times New Roman" w:cs="Times New Roman"/>
          <w:lang w:val="pl-PL"/>
        </w:rPr>
        <w:t xml:space="preserve"> – </w:t>
      </w:r>
      <w:r w:rsidRPr="00B45853">
        <w:rPr>
          <w:rFonts w:ascii="Times New Roman" w:hAnsi="Times New Roman" w:cs="Times New Roman"/>
          <w:lang w:val="pl-PL"/>
        </w:rPr>
        <w:t>myślą, że</w:t>
      </w:r>
      <w:r w:rsidR="00A220C6" w:rsidRPr="00B45853">
        <w:rPr>
          <w:rFonts w:ascii="Times New Roman" w:hAnsi="Times New Roman" w:cs="Times New Roman"/>
          <w:lang w:val="pl-PL"/>
        </w:rPr>
        <w:t xml:space="preserve"> ... </w:t>
      </w:r>
      <w:r w:rsidRPr="00B45853">
        <w:rPr>
          <w:rFonts w:ascii="Times New Roman" w:hAnsi="Times New Roman" w:cs="Times New Roman"/>
          <w:lang w:val="pl-PL"/>
        </w:rPr>
        <w:t>świnia zostanie zarżnięta</w:t>
      </w:r>
      <w:r w:rsidR="00A220C6" w:rsidRPr="00B45853">
        <w:rPr>
          <w:rFonts w:ascii="Times New Roman" w:hAnsi="Times New Roman" w:cs="Times New Roman"/>
          <w:lang w:val="pl-PL"/>
        </w:rPr>
        <w:t xml:space="preserve">. </w:t>
      </w:r>
      <w:r w:rsidRPr="00B45853">
        <w:rPr>
          <w:rFonts w:ascii="Times New Roman" w:hAnsi="Times New Roman" w:cs="Times New Roman"/>
          <w:lang w:val="pl-PL"/>
        </w:rPr>
        <w:t>nie ma mowy</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16.  </w:t>
      </w:r>
      <w:r w:rsidR="009F2AEF" w:rsidRPr="00B45853">
        <w:rPr>
          <w:rFonts w:ascii="Times New Roman" w:hAnsi="Times New Roman" w:cs="Times New Roman"/>
          <w:lang w:val="pl-PL"/>
        </w:rPr>
        <w:t>sukinsyny</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Ofelia też</w:t>
      </w:r>
      <w:r w:rsidR="009F2AEF" w:rsidRPr="00B45853">
        <w:rPr>
          <w:rFonts w:ascii="Times New Roman" w:hAnsi="Times New Roman" w:cs="Times New Roman"/>
          <w:lang w:val="pl-PL"/>
        </w:rPr>
        <w:t xml:space="preserve"> </w:t>
      </w:r>
      <w:r w:rsidR="000F6531" w:rsidRPr="00B45853">
        <w:rPr>
          <w:rFonts w:ascii="Times New Roman" w:hAnsi="Times New Roman" w:cs="Times New Roman"/>
          <w:lang w:val="pl-PL"/>
        </w:rPr>
        <w:t xml:space="preserve">ma </w:t>
      </w:r>
      <w:r w:rsidR="009F2AEF" w:rsidRPr="00B45853">
        <w:rPr>
          <w:rFonts w:ascii="Times New Roman" w:hAnsi="Times New Roman" w:cs="Times New Roman"/>
          <w:lang w:val="pl-PL"/>
        </w:rPr>
        <w:t xml:space="preserve">klasę lodową, więc to nie jest wymówka dlaczego Ola była </w:t>
      </w:r>
      <w:r w:rsidR="000F6531" w:rsidRPr="00B45853">
        <w:rPr>
          <w:rFonts w:ascii="Times New Roman" w:hAnsi="Times New Roman" w:cs="Times New Roman"/>
          <w:lang w:val="pl-PL"/>
        </w:rPr>
        <w:t>potrzebna</w:t>
      </w:r>
      <w:r w:rsidR="009F2AEF" w:rsidRPr="00B45853">
        <w:rPr>
          <w:rFonts w:ascii="Times New Roman" w:hAnsi="Times New Roman" w:cs="Times New Roman"/>
          <w:lang w:val="pl-PL"/>
        </w:rPr>
        <w:t xml:space="preserve"> !!!</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17.  </w:t>
      </w:r>
      <w:r w:rsidR="000F6531" w:rsidRPr="00B45853">
        <w:rPr>
          <w:rFonts w:ascii="Times New Roman" w:hAnsi="Times New Roman" w:cs="Times New Roman"/>
          <w:lang w:val="pl-PL"/>
        </w:rPr>
        <w:t xml:space="preserve">Estońskie </w:t>
      </w:r>
      <w:r w:rsidR="00262588" w:rsidRPr="00B45853">
        <w:rPr>
          <w:rFonts w:ascii="Times New Roman" w:hAnsi="Times New Roman" w:cs="Times New Roman"/>
          <w:lang w:val="pl-PL"/>
        </w:rPr>
        <w:t>państwo</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rządzone przez szumowiny [i</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finansowane przez szumowiny</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oczywiście nie</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zapobiega ani karze antyspołecznych czynów szumowin</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 xml:space="preserve">Ale cóż, każdy [L.] ma swój </w:t>
      </w:r>
      <w:proofErr w:type="spellStart"/>
      <w:r w:rsidR="000F6531" w:rsidRPr="00B45853">
        <w:rPr>
          <w:rFonts w:ascii="Times New Roman" w:hAnsi="Times New Roman" w:cs="Times New Roman"/>
          <w:lang w:val="pl-PL"/>
        </w:rPr>
        <w:t>michaelmas</w:t>
      </w:r>
      <w:proofErr w:type="spellEnd"/>
      <w:r w:rsidR="000F6531" w:rsidRPr="00B45853">
        <w:rPr>
          <w:rFonts w:ascii="Times New Roman" w:hAnsi="Times New Roman" w:cs="Times New Roman"/>
          <w:lang w:val="pl-PL"/>
        </w:rPr>
        <w:t xml:space="preserve"> ... i to nie może w ogóle być porównywane do barana </w:t>
      </w:r>
      <w:proofErr w:type="spellStart"/>
      <w:r w:rsidR="000F6531" w:rsidRPr="00B45853">
        <w:rPr>
          <w:rFonts w:ascii="Times New Roman" w:hAnsi="Times New Roman" w:cs="Times New Roman"/>
          <w:lang w:val="pl-PL"/>
        </w:rPr>
        <w:t>Michaelmas</w:t>
      </w:r>
      <w:proofErr w:type="spellEnd"/>
      <w:r w:rsidR="00831D41" w:rsidRPr="00B45853">
        <w:rPr>
          <w:rFonts w:ascii="Times New Roman" w:hAnsi="Times New Roman" w:cs="Times New Roman"/>
          <w:vertAlign w:val="superscript"/>
          <w:lang w:val="pl-PL"/>
        </w:rPr>
        <w:t xml:space="preserve"> </w:t>
      </w:r>
      <w:r w:rsidR="006B477E" w:rsidRPr="00B45853">
        <w:rPr>
          <w:rStyle w:val="Odwoanieprzypisudolnego"/>
          <w:rFonts w:ascii="Times New Roman" w:hAnsi="Times New Roman" w:cs="Times New Roman"/>
          <w:lang w:val="pl-PL"/>
        </w:rPr>
        <w:footnoteReference w:id="2"/>
      </w:r>
      <w:r w:rsidR="000F6531" w:rsidRPr="00B45853">
        <w:rPr>
          <w:rFonts w:ascii="Times New Roman" w:hAnsi="Times New Roman" w:cs="Times New Roman"/>
          <w:lang w:val="pl-PL"/>
        </w:rPr>
        <w:t>. Faktycznie żal [L.] - człowiek, mimo wszystko ...: D: D: D</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 xml:space="preserve">18.  ... </w:t>
      </w:r>
      <w:r w:rsidR="000F6531" w:rsidRPr="00B45853">
        <w:rPr>
          <w:rFonts w:ascii="Times New Roman" w:hAnsi="Times New Roman" w:cs="Times New Roman"/>
          <w:lang w:val="pl-PL"/>
        </w:rPr>
        <w:t>jeśli po takim akcie</w:t>
      </w:r>
      <w:r w:rsidRPr="00B45853">
        <w:rPr>
          <w:rFonts w:ascii="Times New Roman" w:hAnsi="Times New Roman" w:cs="Times New Roman"/>
          <w:lang w:val="pl-PL"/>
        </w:rPr>
        <w:t xml:space="preserve"> [L.] </w:t>
      </w:r>
      <w:r w:rsidR="000F6531" w:rsidRPr="00B45853">
        <w:rPr>
          <w:rFonts w:ascii="Times New Roman" w:hAnsi="Times New Roman" w:cs="Times New Roman"/>
          <w:lang w:val="pl-PL"/>
        </w:rPr>
        <w:t>nagle okaże się że jest na zwolnieniu lekarskim</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I także następnym razem lodowa droga jest zniszczona</w:t>
      </w:r>
      <w:r w:rsidRPr="00B45853">
        <w:rPr>
          <w:rFonts w:ascii="Times New Roman" w:hAnsi="Times New Roman" w:cs="Times New Roman"/>
          <w:lang w:val="pl-PL"/>
        </w:rPr>
        <w:t xml:space="preserve"> ... </w:t>
      </w:r>
      <w:r w:rsidR="000F6531" w:rsidRPr="00B45853">
        <w:rPr>
          <w:rFonts w:ascii="Times New Roman" w:hAnsi="Times New Roman" w:cs="Times New Roman"/>
          <w:lang w:val="pl-PL"/>
        </w:rPr>
        <w:t>czy [wtedy</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odważy się być świnią trzeci raz</w:t>
      </w:r>
      <w:r w:rsidRPr="00B45853">
        <w:rPr>
          <w:rFonts w:ascii="Times New Roman" w:hAnsi="Times New Roman" w:cs="Times New Roman"/>
          <w:lang w:val="pl-PL"/>
        </w:rPr>
        <w:t>? :)</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19.  </w:t>
      </w:r>
      <w:r w:rsidR="000F6531" w:rsidRPr="00B45853">
        <w:rPr>
          <w:rFonts w:ascii="Times New Roman" w:hAnsi="Times New Roman" w:cs="Times New Roman"/>
          <w:lang w:val="pl-PL"/>
        </w:rPr>
        <w:t>pierdolony sukinsyn, ten</w:t>
      </w:r>
      <w:r w:rsidRPr="00B45853">
        <w:rPr>
          <w:rFonts w:ascii="Times New Roman" w:hAnsi="Times New Roman" w:cs="Times New Roman"/>
          <w:lang w:val="pl-PL"/>
        </w:rPr>
        <w:t xml:space="preserve"> [L.]... </w:t>
      </w:r>
      <w:r w:rsidR="000F6531" w:rsidRPr="00B45853">
        <w:rPr>
          <w:rFonts w:ascii="Times New Roman" w:hAnsi="Times New Roman" w:cs="Times New Roman"/>
          <w:lang w:val="pl-PL"/>
        </w:rPr>
        <w:t>mógł wkrótce pójść do domu z moim dzieckiem</w:t>
      </w:r>
      <w:r w:rsidRPr="00B45853">
        <w:rPr>
          <w:rFonts w:ascii="Times New Roman" w:hAnsi="Times New Roman" w:cs="Times New Roman"/>
          <w:lang w:val="pl-PL"/>
        </w:rPr>
        <w:t xml:space="preserve"> ... </w:t>
      </w:r>
      <w:r w:rsidR="000F6531" w:rsidRPr="00B45853">
        <w:rPr>
          <w:rFonts w:ascii="Times New Roman" w:hAnsi="Times New Roman" w:cs="Times New Roman"/>
          <w:lang w:val="pl-PL"/>
        </w:rPr>
        <w:t>mimo, że jego firma nie może zagwarantować normalnego</w:t>
      </w:r>
      <w:r w:rsidR="00412836">
        <w:rPr>
          <w:rFonts w:ascii="Times New Roman" w:hAnsi="Times New Roman" w:cs="Times New Roman"/>
          <w:lang w:val="pl-PL"/>
        </w:rPr>
        <w:t xml:space="preserve"> poziomu usług</w:t>
      </w:r>
      <w:r w:rsidR="000F6531" w:rsidRPr="00B45853">
        <w:rPr>
          <w:rFonts w:ascii="Times New Roman" w:hAnsi="Times New Roman" w:cs="Times New Roman"/>
          <w:lang w:val="pl-PL"/>
        </w:rPr>
        <w:t xml:space="preserve"> promow</w:t>
      </w:r>
      <w:r w:rsidR="00412836">
        <w:rPr>
          <w:rFonts w:ascii="Times New Roman" w:hAnsi="Times New Roman" w:cs="Times New Roman"/>
          <w:lang w:val="pl-PL"/>
        </w:rPr>
        <w:t xml:space="preserve">ych </w:t>
      </w:r>
      <w:r w:rsidR="000F6531" w:rsidRPr="00B45853">
        <w:rPr>
          <w:rFonts w:ascii="Times New Roman" w:hAnsi="Times New Roman" w:cs="Times New Roman"/>
          <w:lang w:val="pl-PL"/>
        </w:rPr>
        <w:t>i ceny są takie, że</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popapraniec</w:t>
      </w:r>
      <w:r w:rsidRPr="00B45853">
        <w:rPr>
          <w:rFonts w:ascii="Times New Roman" w:hAnsi="Times New Roman" w:cs="Times New Roman"/>
          <w:lang w:val="pl-PL"/>
        </w:rPr>
        <w:t xml:space="preserve"> ... </w:t>
      </w:r>
      <w:r w:rsidR="000F6531" w:rsidRPr="00B45853">
        <w:rPr>
          <w:rFonts w:ascii="Times New Roman" w:hAnsi="Times New Roman" w:cs="Times New Roman"/>
          <w:lang w:val="pl-PL"/>
        </w:rPr>
        <w:t>powstaje pytanie czyje kieszenie i usta napełnił  pieniędzmi, że zachowuje się jak świnia z roku na rok</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20.  </w:t>
      </w:r>
      <w:r w:rsidR="000F6531" w:rsidRPr="00B45853">
        <w:rPr>
          <w:rFonts w:ascii="Times New Roman" w:hAnsi="Times New Roman" w:cs="Times New Roman"/>
          <w:lang w:val="pl-PL"/>
        </w:rPr>
        <w:t>nie zrobisz chleba z gówna</w:t>
      </w:r>
      <w:r w:rsidRPr="00B45853">
        <w:rPr>
          <w:rFonts w:ascii="Times New Roman" w:hAnsi="Times New Roman" w:cs="Times New Roman"/>
          <w:lang w:val="pl-PL"/>
        </w:rPr>
        <w:t xml:space="preserve">; </w:t>
      </w:r>
      <w:r w:rsidR="000F6531" w:rsidRPr="00B45853">
        <w:rPr>
          <w:rFonts w:ascii="Times New Roman" w:hAnsi="Times New Roman" w:cs="Times New Roman"/>
          <w:lang w:val="pl-PL"/>
        </w:rPr>
        <w:t>papier i internet wszytko wytrzyma</w:t>
      </w:r>
      <w:r w:rsidRPr="00B45853">
        <w:rPr>
          <w:rFonts w:ascii="Times New Roman" w:hAnsi="Times New Roman" w:cs="Times New Roman"/>
          <w:lang w:val="pl-PL"/>
        </w:rPr>
        <w:t xml:space="preserve">; </w:t>
      </w:r>
      <w:r w:rsidR="00824D96" w:rsidRPr="00B45853">
        <w:rPr>
          <w:rFonts w:ascii="Times New Roman" w:hAnsi="Times New Roman" w:cs="Times New Roman"/>
          <w:lang w:val="pl-PL"/>
        </w:rPr>
        <w:t>I po prostu dla własnej zabawy</w:t>
      </w:r>
      <w:r w:rsidRPr="00B45853">
        <w:rPr>
          <w:rFonts w:ascii="Times New Roman" w:hAnsi="Times New Roman" w:cs="Times New Roman"/>
          <w:lang w:val="pl-PL"/>
        </w:rPr>
        <w:t xml:space="preserve"> (</w:t>
      </w:r>
      <w:r w:rsidR="00824D96" w:rsidRPr="00B45853">
        <w:rPr>
          <w:rFonts w:ascii="Times New Roman" w:hAnsi="Times New Roman" w:cs="Times New Roman"/>
          <w:lang w:val="pl-PL"/>
        </w:rPr>
        <w:t>naprawdę państwo i</w:t>
      </w:r>
      <w:r w:rsidRPr="00B45853">
        <w:rPr>
          <w:rFonts w:ascii="Times New Roman" w:hAnsi="Times New Roman" w:cs="Times New Roman"/>
          <w:lang w:val="pl-PL"/>
        </w:rPr>
        <w:t xml:space="preserve"> [L.] </w:t>
      </w:r>
      <w:r w:rsidR="00824D96" w:rsidRPr="00B45853">
        <w:rPr>
          <w:rFonts w:ascii="Times New Roman" w:hAnsi="Times New Roman" w:cs="Times New Roman"/>
          <w:lang w:val="pl-PL"/>
        </w:rPr>
        <w:t>nie dbają o opinię ludzi</w:t>
      </w:r>
      <w:r w:rsidRPr="00B45853">
        <w:rPr>
          <w:rFonts w:ascii="Times New Roman" w:hAnsi="Times New Roman" w:cs="Times New Roman"/>
          <w:lang w:val="pl-PL"/>
        </w:rPr>
        <w:t xml:space="preserve">) ... </w:t>
      </w:r>
      <w:r w:rsidR="00824D96" w:rsidRPr="00B45853">
        <w:rPr>
          <w:rFonts w:ascii="Times New Roman" w:hAnsi="Times New Roman" w:cs="Times New Roman"/>
          <w:lang w:val="pl-PL"/>
        </w:rPr>
        <w:t>po prostu dla zabawy</w:t>
      </w:r>
      <w:r w:rsidRPr="00B45853">
        <w:rPr>
          <w:rFonts w:ascii="Times New Roman" w:hAnsi="Times New Roman" w:cs="Times New Roman"/>
          <w:lang w:val="pl-PL"/>
        </w:rPr>
        <w:t xml:space="preserve">, </w:t>
      </w:r>
      <w:r w:rsidR="00824D96" w:rsidRPr="00B45853">
        <w:rPr>
          <w:rFonts w:ascii="Times New Roman" w:hAnsi="Times New Roman" w:cs="Times New Roman"/>
          <w:lang w:val="pl-PL"/>
        </w:rPr>
        <w:t>nie dla forsy</w:t>
      </w:r>
      <w:r w:rsidRPr="00B45853">
        <w:rPr>
          <w:rFonts w:ascii="Times New Roman" w:hAnsi="Times New Roman" w:cs="Times New Roman"/>
          <w:lang w:val="pl-PL"/>
        </w:rPr>
        <w:t xml:space="preserve"> – </w:t>
      </w:r>
      <w:r w:rsidR="00824D96" w:rsidRPr="00B45853">
        <w:rPr>
          <w:rFonts w:ascii="Times New Roman" w:hAnsi="Times New Roman" w:cs="Times New Roman"/>
          <w:lang w:val="pl-PL"/>
        </w:rPr>
        <w:t>szczam w ucho</w:t>
      </w:r>
      <w:r w:rsidRPr="00B45853">
        <w:rPr>
          <w:rFonts w:ascii="Times New Roman" w:hAnsi="Times New Roman" w:cs="Times New Roman"/>
          <w:lang w:val="pl-PL"/>
        </w:rPr>
        <w:t xml:space="preserve"> [L.</w:t>
      </w:r>
      <w:r w:rsidR="00824D96" w:rsidRPr="00B45853">
        <w:rPr>
          <w:rFonts w:ascii="Times New Roman" w:hAnsi="Times New Roman" w:cs="Times New Roman"/>
          <w:lang w:val="pl-PL"/>
        </w:rPr>
        <w:t>] a potem także sram</w:t>
      </w:r>
      <w:r w:rsidRPr="00B45853">
        <w:rPr>
          <w:rFonts w:ascii="Times New Roman" w:hAnsi="Times New Roman" w:cs="Times New Roman"/>
          <w:lang w:val="pl-PL"/>
        </w:rPr>
        <w:t xml:space="preserve"> </w:t>
      </w:r>
      <w:r w:rsidR="00824D96" w:rsidRPr="00B45853">
        <w:rPr>
          <w:rFonts w:ascii="Times New Roman" w:hAnsi="Times New Roman" w:cs="Times New Roman"/>
          <w:lang w:val="pl-PL"/>
        </w:rPr>
        <w:t>na jego głowę. :) "</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19</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824D96" w:rsidRPr="00B45853">
        <w:rPr>
          <w:rFonts w:ascii="Times New Roman" w:hAnsi="Times New Roman" w:cs="Times New Roman"/>
          <w:lang w:val="pl-PL"/>
        </w:rPr>
        <w:t>Tego samego dnia</w:t>
      </w:r>
      <w:r w:rsidR="00F44F08" w:rsidRPr="00B45853">
        <w:rPr>
          <w:rFonts w:ascii="Times New Roman" w:hAnsi="Times New Roman" w:cs="Times New Roman"/>
          <w:lang w:val="pl-PL"/>
        </w:rPr>
        <w:t xml:space="preserve">, </w:t>
      </w:r>
      <w:r w:rsidR="00824D96" w:rsidRPr="00B45853">
        <w:rPr>
          <w:rFonts w:ascii="Times New Roman" w:hAnsi="Times New Roman" w:cs="Times New Roman"/>
          <w:lang w:val="pl-PL"/>
        </w:rPr>
        <w:t xml:space="preserve">to jest sześć </w:t>
      </w:r>
      <w:r w:rsidR="005C0203" w:rsidRPr="00B45853">
        <w:rPr>
          <w:rFonts w:ascii="Times New Roman" w:hAnsi="Times New Roman" w:cs="Times New Roman"/>
          <w:lang w:val="pl-PL"/>
        </w:rPr>
        <w:t>tygodni</w:t>
      </w:r>
      <w:r w:rsidR="00824D96" w:rsidRPr="00B45853">
        <w:rPr>
          <w:rFonts w:ascii="Times New Roman" w:hAnsi="Times New Roman" w:cs="Times New Roman"/>
          <w:lang w:val="pl-PL"/>
        </w:rPr>
        <w:t xml:space="preserve"> po ich publikacji</w:t>
      </w:r>
      <w:r w:rsidR="00F44F08" w:rsidRPr="00B45853">
        <w:rPr>
          <w:rFonts w:ascii="Times New Roman" w:hAnsi="Times New Roman" w:cs="Times New Roman"/>
          <w:lang w:val="pl-PL"/>
        </w:rPr>
        <w:t>,</w:t>
      </w:r>
      <w:r w:rsidR="00A220C6" w:rsidRPr="00B45853">
        <w:rPr>
          <w:rFonts w:ascii="Times New Roman" w:hAnsi="Times New Roman" w:cs="Times New Roman"/>
          <w:lang w:val="pl-PL"/>
        </w:rPr>
        <w:t xml:space="preserve"> </w:t>
      </w:r>
      <w:r w:rsidR="00824D96" w:rsidRPr="00B45853">
        <w:rPr>
          <w:rFonts w:ascii="Times New Roman" w:hAnsi="Times New Roman" w:cs="Times New Roman"/>
          <w:lang w:val="pl-PL"/>
        </w:rPr>
        <w:t>obraźliwe komentarze zostały usunięte przez skarżącą spółkę</w:t>
      </w:r>
      <w:r w:rsidR="00A220C6"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20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824D96" w:rsidRPr="00B45853">
        <w:rPr>
          <w:rFonts w:ascii="Times New Roman" w:hAnsi="Times New Roman" w:cs="Times New Roman"/>
          <w:lang w:val="pl-PL"/>
        </w:rPr>
        <w:t>W dniu 23 Marca</w:t>
      </w:r>
      <w:r w:rsidR="00A220C6" w:rsidRPr="00B45853">
        <w:rPr>
          <w:rFonts w:ascii="Times New Roman" w:hAnsi="Times New Roman" w:cs="Times New Roman"/>
          <w:lang w:val="pl-PL"/>
        </w:rPr>
        <w:t xml:space="preserve"> 2006</w:t>
      </w:r>
      <w:r w:rsidR="0058283A" w:rsidRPr="00B45853">
        <w:rPr>
          <w:rFonts w:ascii="Times New Roman" w:hAnsi="Times New Roman" w:cs="Times New Roman"/>
          <w:lang w:val="pl-PL"/>
        </w:rPr>
        <w:t xml:space="preserve"> roku</w:t>
      </w:r>
      <w:r w:rsidR="00A220C6" w:rsidRPr="00B45853">
        <w:rPr>
          <w:rFonts w:ascii="Times New Roman" w:hAnsi="Times New Roman" w:cs="Times New Roman"/>
          <w:lang w:val="pl-PL"/>
        </w:rPr>
        <w:t xml:space="preserve"> </w:t>
      </w:r>
      <w:r w:rsidR="00824D96" w:rsidRPr="00B45853">
        <w:rPr>
          <w:rFonts w:ascii="Times New Roman" w:hAnsi="Times New Roman" w:cs="Times New Roman"/>
          <w:lang w:val="pl-PL"/>
        </w:rPr>
        <w:t>skarżąca spółka</w:t>
      </w:r>
      <w:r w:rsidR="00A220C6" w:rsidRPr="00B45853">
        <w:rPr>
          <w:rFonts w:ascii="Times New Roman" w:hAnsi="Times New Roman" w:cs="Times New Roman"/>
          <w:lang w:val="pl-PL"/>
        </w:rPr>
        <w:t xml:space="preserve"> </w:t>
      </w:r>
      <w:r w:rsidR="00824D96" w:rsidRPr="00B45853">
        <w:rPr>
          <w:rFonts w:ascii="Times New Roman" w:hAnsi="Times New Roman" w:cs="Times New Roman"/>
          <w:lang w:val="pl-PL"/>
        </w:rPr>
        <w:t>odpowiedziała na prośbę adwokatów L.</w:t>
      </w:r>
      <w:r w:rsidR="00A220C6" w:rsidRPr="00B45853">
        <w:rPr>
          <w:rFonts w:ascii="Times New Roman" w:hAnsi="Times New Roman" w:cs="Times New Roman"/>
          <w:lang w:val="pl-PL"/>
        </w:rPr>
        <w:t xml:space="preserve">. </w:t>
      </w:r>
      <w:r w:rsidR="00824D96" w:rsidRPr="00B45853">
        <w:rPr>
          <w:rFonts w:ascii="Times New Roman" w:hAnsi="Times New Roman" w:cs="Times New Roman"/>
          <w:lang w:val="pl-PL"/>
        </w:rPr>
        <w:t>Poinformowała</w:t>
      </w:r>
      <w:r w:rsidR="00A220C6" w:rsidRPr="00B45853">
        <w:rPr>
          <w:rFonts w:ascii="Times New Roman" w:hAnsi="Times New Roman" w:cs="Times New Roman"/>
          <w:lang w:val="pl-PL"/>
        </w:rPr>
        <w:t xml:space="preserve"> L. </w:t>
      </w:r>
      <w:r w:rsidR="00824D96" w:rsidRPr="00B45853">
        <w:rPr>
          <w:rFonts w:ascii="Times New Roman" w:hAnsi="Times New Roman" w:cs="Times New Roman"/>
          <w:lang w:val="pl-PL"/>
        </w:rPr>
        <w:t>że komentarze zostały usunięte ze względu na zobowiązanie powiadamiania i usuwania</w:t>
      </w:r>
      <w:r w:rsidR="00A220C6" w:rsidRPr="00B45853">
        <w:rPr>
          <w:rFonts w:ascii="Times New Roman" w:hAnsi="Times New Roman" w:cs="Times New Roman"/>
          <w:lang w:val="pl-PL"/>
        </w:rPr>
        <w:t xml:space="preserve">, </w:t>
      </w:r>
      <w:r w:rsidR="00824D96" w:rsidRPr="00B45853">
        <w:rPr>
          <w:rFonts w:ascii="Times New Roman" w:hAnsi="Times New Roman" w:cs="Times New Roman"/>
          <w:lang w:val="pl-PL"/>
        </w:rPr>
        <w:t>i odrzucił roszczenie o odszkodowanie</w:t>
      </w:r>
      <w:r w:rsidR="00A220C6" w:rsidRPr="00B45853">
        <w:rPr>
          <w:rFonts w:ascii="Times New Roman" w:hAnsi="Times New Roman" w:cs="Times New Roman"/>
          <w:lang w:val="pl-PL"/>
        </w:rPr>
        <w:t>.</w:t>
      </w:r>
    </w:p>
    <w:p w:rsidR="00A220C6" w:rsidRPr="00B45853" w:rsidRDefault="00A220C6" w:rsidP="00171A6F">
      <w:pPr>
        <w:pStyle w:val="ECHRHeading2"/>
        <w:rPr>
          <w:rFonts w:ascii="Times New Roman" w:hAnsi="Times New Roman" w:cs="Times New Roman"/>
          <w:lang w:val="pl-PL"/>
        </w:rPr>
      </w:pPr>
      <w:bookmarkStart w:id="4" w:name="_Toc420072855"/>
      <w:r w:rsidRPr="00B45853">
        <w:rPr>
          <w:rFonts w:ascii="Times New Roman" w:hAnsi="Times New Roman" w:cs="Times New Roman"/>
          <w:lang w:val="pl-PL"/>
        </w:rPr>
        <w:t>C.  </w:t>
      </w:r>
      <w:bookmarkEnd w:id="4"/>
      <w:r w:rsidR="00824D96" w:rsidRPr="00B45853">
        <w:rPr>
          <w:rFonts w:ascii="Times New Roman" w:hAnsi="Times New Roman" w:cs="Times New Roman"/>
          <w:lang w:val="pl-PL"/>
        </w:rPr>
        <w:t>Postępowanie cywilne przeciwko skarżącej spółce</w:t>
      </w:r>
    </w:p>
    <w:p w:rsidR="00A220C6" w:rsidRPr="00B45853" w:rsidRDefault="00824D96" w:rsidP="00171A6F">
      <w:pPr>
        <w:pStyle w:val="ECHRPara"/>
        <w:rPr>
          <w:rFonts w:ascii="Times New Roman" w:hAnsi="Times New Roman" w:cs="Times New Roman"/>
          <w:lang w:val="pl-PL"/>
        </w:rPr>
      </w:pPr>
      <w:r w:rsidRPr="00B45853">
        <w:rPr>
          <w:rFonts w:ascii="Times New Roman" w:hAnsi="Times New Roman" w:cs="Times New Roman"/>
          <w:lang w:val="pl-PL"/>
        </w:rPr>
        <w:t xml:space="preserve">21. W dniu 13 kwietnia 2006 </w:t>
      </w:r>
      <w:r w:rsidR="00831D41" w:rsidRPr="00B45853">
        <w:rPr>
          <w:rFonts w:ascii="Times New Roman" w:hAnsi="Times New Roman" w:cs="Times New Roman"/>
          <w:lang w:val="pl-PL"/>
        </w:rPr>
        <w:t xml:space="preserve">roku </w:t>
      </w:r>
      <w:r w:rsidRPr="00B45853">
        <w:rPr>
          <w:rFonts w:ascii="Times New Roman" w:hAnsi="Times New Roman" w:cs="Times New Roman"/>
          <w:lang w:val="pl-PL"/>
        </w:rPr>
        <w:t xml:space="preserve">L. wniósł pozew </w:t>
      </w:r>
      <w:r w:rsidR="00831D41" w:rsidRPr="00B45853">
        <w:rPr>
          <w:rFonts w:ascii="Times New Roman" w:hAnsi="Times New Roman" w:cs="Times New Roman"/>
          <w:lang w:val="pl-PL"/>
        </w:rPr>
        <w:t xml:space="preserve">do Sądu Okręgowego w  </w:t>
      </w:r>
      <w:proofErr w:type="spellStart"/>
      <w:r w:rsidR="00831D41" w:rsidRPr="00B45853">
        <w:rPr>
          <w:rFonts w:ascii="Times New Roman" w:hAnsi="Times New Roman" w:cs="Times New Roman"/>
          <w:lang w:val="pl-PL"/>
        </w:rPr>
        <w:t>Harju</w:t>
      </w:r>
      <w:proofErr w:type="spellEnd"/>
      <w:r w:rsidR="00831D41" w:rsidRPr="00B45853">
        <w:rPr>
          <w:rFonts w:ascii="Times New Roman" w:hAnsi="Times New Roman" w:cs="Times New Roman"/>
          <w:lang w:val="pl-PL"/>
        </w:rPr>
        <w:t xml:space="preserve"> </w:t>
      </w:r>
      <w:r w:rsidRPr="00B45853">
        <w:rPr>
          <w:rFonts w:ascii="Times New Roman" w:hAnsi="Times New Roman" w:cs="Times New Roman"/>
          <w:lang w:val="pl-PL"/>
        </w:rPr>
        <w:t>przeciwko skarżącej spółce</w:t>
      </w:r>
      <w:r w:rsidR="00A220C6" w:rsidRPr="00B45853">
        <w:rPr>
          <w:rFonts w:ascii="Times New Roman" w:hAnsi="Times New Roman" w:cs="Times New Roman"/>
          <w:lang w:val="pl-PL"/>
        </w:rPr>
        <w:t>.</w:t>
      </w:r>
    </w:p>
    <w:p w:rsidR="00A220C6" w:rsidRPr="00B45853" w:rsidRDefault="00824D96" w:rsidP="00171A6F">
      <w:pPr>
        <w:pStyle w:val="ECHRPara"/>
        <w:rPr>
          <w:rFonts w:ascii="Times New Roman" w:hAnsi="Times New Roman" w:cs="Times New Roman"/>
          <w:lang w:val="pl-PL"/>
        </w:rPr>
      </w:pPr>
      <w:r w:rsidRPr="00B45853">
        <w:rPr>
          <w:rFonts w:ascii="Times New Roman" w:hAnsi="Times New Roman" w:cs="Times New Roman"/>
          <w:lang w:val="pl-PL"/>
        </w:rPr>
        <w:t>22. Na rozprawie w dniu 28 maja 2007</w:t>
      </w:r>
      <w:r w:rsidR="00831D41" w:rsidRPr="00B45853">
        <w:rPr>
          <w:rFonts w:ascii="Times New Roman" w:hAnsi="Times New Roman" w:cs="Times New Roman"/>
          <w:lang w:val="pl-PL"/>
        </w:rPr>
        <w:t xml:space="preserve"> roku</w:t>
      </w:r>
      <w:r w:rsidRPr="00B45853">
        <w:rPr>
          <w:rFonts w:ascii="Times New Roman" w:hAnsi="Times New Roman" w:cs="Times New Roman"/>
          <w:lang w:val="pl-PL"/>
        </w:rPr>
        <w:t xml:space="preserve"> przedstawiciele skarżącej spółki </w:t>
      </w:r>
      <w:r w:rsidR="00397938" w:rsidRPr="00B45853">
        <w:rPr>
          <w:rFonts w:ascii="Times New Roman" w:hAnsi="Times New Roman" w:cs="Times New Roman"/>
          <w:lang w:val="pl-PL"/>
        </w:rPr>
        <w:t>przedstawili</w:t>
      </w:r>
      <w:r w:rsidRPr="00B45853">
        <w:rPr>
          <w:rFonts w:ascii="Times New Roman" w:hAnsi="Times New Roman" w:cs="Times New Roman"/>
          <w:lang w:val="pl-PL"/>
        </w:rPr>
        <w:t xml:space="preserve"> </w:t>
      </w:r>
      <w:proofErr w:type="spellStart"/>
      <w:r w:rsidRPr="00B45853">
        <w:rPr>
          <w:rFonts w:ascii="Times New Roman" w:hAnsi="Times New Roman" w:cs="Times New Roman"/>
          <w:i/>
          <w:lang w:val="pl-PL"/>
        </w:rPr>
        <w:t>inter</w:t>
      </w:r>
      <w:proofErr w:type="spellEnd"/>
      <w:r w:rsidRPr="00B45853">
        <w:rPr>
          <w:rFonts w:ascii="Times New Roman" w:hAnsi="Times New Roman" w:cs="Times New Roman"/>
          <w:i/>
          <w:lang w:val="pl-PL"/>
        </w:rPr>
        <w:t xml:space="preserve"> </w:t>
      </w:r>
      <w:proofErr w:type="spellStart"/>
      <w:r w:rsidRPr="00B45853">
        <w:rPr>
          <w:rFonts w:ascii="Times New Roman" w:hAnsi="Times New Roman" w:cs="Times New Roman"/>
          <w:i/>
          <w:lang w:val="pl-PL"/>
        </w:rPr>
        <w:t>alia</w:t>
      </w:r>
      <w:proofErr w:type="spellEnd"/>
      <w:r w:rsidRPr="00B45853">
        <w:rPr>
          <w:rFonts w:ascii="Times New Roman" w:hAnsi="Times New Roman" w:cs="Times New Roman"/>
          <w:lang w:val="pl-PL"/>
        </w:rPr>
        <w:t xml:space="preserve">, że w takich przypadkach, </w:t>
      </w:r>
      <w:r w:rsidR="00831D41" w:rsidRPr="00B45853">
        <w:rPr>
          <w:rFonts w:ascii="Times New Roman" w:hAnsi="Times New Roman" w:cs="Times New Roman"/>
          <w:lang w:val="pl-PL"/>
        </w:rPr>
        <w:t>jak "Brązowa</w:t>
      </w:r>
      <w:r w:rsidRPr="00B45853">
        <w:rPr>
          <w:rFonts w:ascii="Times New Roman" w:hAnsi="Times New Roman" w:cs="Times New Roman"/>
          <w:lang w:val="pl-PL"/>
        </w:rPr>
        <w:t xml:space="preserve"> N</w:t>
      </w:r>
      <w:r w:rsidR="00831D41" w:rsidRPr="00B45853">
        <w:rPr>
          <w:rFonts w:ascii="Times New Roman" w:hAnsi="Times New Roman" w:cs="Times New Roman"/>
          <w:lang w:val="pl-PL"/>
        </w:rPr>
        <w:t>oc</w:t>
      </w:r>
      <w:r w:rsidRPr="00B45853">
        <w:rPr>
          <w:rFonts w:ascii="Times New Roman" w:hAnsi="Times New Roman" w:cs="Times New Roman"/>
          <w:lang w:val="pl-PL"/>
        </w:rPr>
        <w:t xml:space="preserve">" (zaburzenia porządku publicznego związanego z przeniesieniem pomnika Brązowego Żołnierza w kwietniu 2007 roku) </w:t>
      </w:r>
      <w:proofErr w:type="spellStart"/>
      <w:r w:rsidRPr="00B45853">
        <w:rPr>
          <w:rFonts w:ascii="Times New Roman" w:hAnsi="Times New Roman" w:cs="Times New Roman"/>
          <w:lang w:val="pl-PL"/>
        </w:rPr>
        <w:t>Delfi</w:t>
      </w:r>
      <w:proofErr w:type="spellEnd"/>
      <w:r w:rsidRPr="00B45853">
        <w:rPr>
          <w:rFonts w:ascii="Times New Roman" w:hAnsi="Times New Roman" w:cs="Times New Roman"/>
          <w:lang w:val="pl-PL"/>
        </w:rPr>
        <w:t xml:space="preserve"> usu</w:t>
      </w:r>
      <w:r w:rsidR="00397938" w:rsidRPr="00B45853">
        <w:rPr>
          <w:rFonts w:ascii="Times New Roman" w:hAnsi="Times New Roman" w:cs="Times New Roman"/>
          <w:lang w:val="pl-PL"/>
        </w:rPr>
        <w:t>wał</w:t>
      </w:r>
      <w:r w:rsidRPr="00B45853">
        <w:rPr>
          <w:rFonts w:ascii="Times New Roman" w:hAnsi="Times New Roman" w:cs="Times New Roman"/>
          <w:lang w:val="pl-PL"/>
        </w:rPr>
        <w:t xml:space="preserve"> pomiędzy 5000 a 10000 komentarzy dziennie, również z własnej inicjatywy</w:t>
      </w:r>
      <w:r w:rsidR="00A220C6" w:rsidRPr="00B45853">
        <w:rPr>
          <w:rFonts w:ascii="Times New Roman" w:hAnsi="Times New Roman" w:cs="Times New Roman"/>
          <w:lang w:val="pl-PL"/>
        </w:rPr>
        <w:t>.</w:t>
      </w:r>
    </w:p>
    <w:p w:rsidR="00A220C6" w:rsidRPr="007056C6"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23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97938" w:rsidRPr="00B45853">
        <w:rPr>
          <w:rFonts w:ascii="Times New Roman" w:hAnsi="Times New Roman" w:cs="Times New Roman"/>
          <w:lang w:val="pl-PL"/>
        </w:rPr>
        <w:t>Wyrokiem z dnia</w:t>
      </w:r>
      <w:r w:rsidR="00A220C6" w:rsidRPr="00B45853">
        <w:rPr>
          <w:rFonts w:ascii="Times New Roman" w:hAnsi="Times New Roman" w:cs="Times New Roman"/>
          <w:lang w:val="pl-PL"/>
        </w:rPr>
        <w:t xml:space="preserve"> 25 </w:t>
      </w:r>
      <w:r w:rsidR="005C0203" w:rsidRPr="00B45853">
        <w:rPr>
          <w:rFonts w:ascii="Times New Roman" w:hAnsi="Times New Roman" w:cs="Times New Roman"/>
          <w:lang w:val="pl-PL"/>
        </w:rPr>
        <w:t>Czerwca</w:t>
      </w:r>
      <w:r w:rsidR="00A220C6" w:rsidRPr="00B45853">
        <w:rPr>
          <w:rFonts w:ascii="Times New Roman" w:hAnsi="Times New Roman" w:cs="Times New Roman"/>
          <w:lang w:val="pl-PL"/>
        </w:rPr>
        <w:t xml:space="preserve"> 2007</w:t>
      </w:r>
      <w:r w:rsidR="00397938" w:rsidRPr="00B45853">
        <w:rPr>
          <w:rFonts w:ascii="Times New Roman" w:hAnsi="Times New Roman" w:cs="Times New Roman"/>
          <w:lang w:val="pl-PL"/>
        </w:rPr>
        <w:t xml:space="preserve"> </w:t>
      </w:r>
      <w:r w:rsidR="000F7A97" w:rsidRPr="007056C6">
        <w:rPr>
          <w:rFonts w:ascii="Times New Roman" w:hAnsi="Times New Roman" w:cs="Times New Roman"/>
          <w:lang w:val="pl-PL"/>
        </w:rPr>
        <w:t>powództwo</w:t>
      </w:r>
      <w:r w:rsidR="00A220C6" w:rsidRPr="00B45853">
        <w:rPr>
          <w:rFonts w:ascii="Times New Roman" w:hAnsi="Times New Roman" w:cs="Times New Roman"/>
          <w:lang w:val="pl-PL"/>
        </w:rPr>
        <w:t xml:space="preserve"> L. </w:t>
      </w:r>
      <w:r w:rsidR="00D5551B">
        <w:rPr>
          <w:rFonts w:ascii="Times New Roman" w:hAnsi="Times New Roman" w:cs="Times New Roman"/>
          <w:lang w:val="pl-PL"/>
        </w:rPr>
        <w:t>zostało</w:t>
      </w:r>
      <w:r w:rsidR="00397938" w:rsidRPr="00B45853">
        <w:rPr>
          <w:rFonts w:ascii="Times New Roman" w:hAnsi="Times New Roman" w:cs="Times New Roman"/>
          <w:lang w:val="pl-PL"/>
        </w:rPr>
        <w:t xml:space="preserve"> </w:t>
      </w:r>
      <w:r w:rsidR="000F7A97">
        <w:rPr>
          <w:rFonts w:ascii="Times New Roman" w:hAnsi="Times New Roman" w:cs="Times New Roman"/>
          <w:lang w:val="pl-PL"/>
        </w:rPr>
        <w:t>oddalone</w:t>
      </w:r>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Sąd Okręgowy stwierdził, że</w:t>
      </w:r>
      <w:r w:rsidR="00A220C6" w:rsidRPr="00B45853">
        <w:rPr>
          <w:rFonts w:ascii="Times New Roman" w:hAnsi="Times New Roman" w:cs="Times New Roman"/>
          <w:lang w:val="pl-PL"/>
        </w:rPr>
        <w:t xml:space="preserve"> </w:t>
      </w:r>
      <w:r w:rsidR="00B92944" w:rsidRPr="00B45853">
        <w:rPr>
          <w:rFonts w:ascii="Times New Roman" w:hAnsi="Times New Roman" w:cs="Times New Roman"/>
          <w:lang w:val="pl-PL"/>
        </w:rPr>
        <w:t>odpowiedzialność</w:t>
      </w:r>
      <w:r w:rsidR="00397938" w:rsidRPr="00B45853">
        <w:rPr>
          <w:rFonts w:ascii="Times New Roman" w:hAnsi="Times New Roman" w:cs="Times New Roman"/>
          <w:lang w:val="pl-PL"/>
        </w:rPr>
        <w:t xml:space="preserve"> skarżącej spółki</w:t>
      </w:r>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 xml:space="preserve">została wykluczona na mocy Ustawy o Usługach Informacji Społecznej </w:t>
      </w:r>
      <w:r w:rsidR="00A220C6" w:rsidRPr="00B45853">
        <w:rPr>
          <w:rFonts w:ascii="Times New Roman" w:hAnsi="Times New Roman" w:cs="Times New Roman"/>
          <w:lang w:val="pl-PL"/>
        </w:rPr>
        <w:t>(</w:t>
      </w:r>
      <w:proofErr w:type="spellStart"/>
      <w:r w:rsidR="00A220C6" w:rsidRPr="00B45853">
        <w:rPr>
          <w:rFonts w:ascii="Times New Roman" w:hAnsi="Times New Roman" w:cs="Times New Roman"/>
          <w:i/>
          <w:lang w:val="pl-PL"/>
        </w:rPr>
        <w:t>Infoühiskonna</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teenuse</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seadus</w:t>
      </w:r>
      <w:proofErr w:type="spellEnd"/>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która jest oparta na</w:t>
      </w:r>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 xml:space="preserve">Dyrektywie o handlu </w:t>
      </w:r>
      <w:r w:rsidR="00397938" w:rsidRPr="00B45853">
        <w:rPr>
          <w:rFonts w:ascii="Times New Roman" w:hAnsi="Times New Roman" w:cs="Times New Roman"/>
          <w:lang w:val="pl-PL"/>
        </w:rPr>
        <w:lastRenderedPageBreak/>
        <w:t xml:space="preserve">elektronicznym </w:t>
      </w:r>
      <w:r w:rsidR="00A220C6" w:rsidRPr="00B45853">
        <w:rPr>
          <w:rFonts w:ascii="Times New Roman" w:hAnsi="Times New Roman" w:cs="Times New Roman"/>
          <w:lang w:val="pl-PL"/>
        </w:rPr>
        <w:t>(D</w:t>
      </w:r>
      <w:r w:rsidR="00397938" w:rsidRPr="00B45853">
        <w:rPr>
          <w:rFonts w:ascii="Times New Roman" w:hAnsi="Times New Roman" w:cs="Times New Roman"/>
          <w:lang w:val="pl-PL"/>
        </w:rPr>
        <w:t>yrektywa</w:t>
      </w:r>
      <w:r w:rsidR="00A220C6" w:rsidRPr="00B45853">
        <w:rPr>
          <w:rFonts w:ascii="Times New Roman" w:hAnsi="Times New Roman" w:cs="Times New Roman"/>
          <w:lang w:val="pl-PL"/>
        </w:rPr>
        <w:t xml:space="preserve"> 2000/31/EC </w:t>
      </w:r>
      <w:r w:rsidR="00B92944" w:rsidRPr="00B45853">
        <w:rPr>
          <w:rFonts w:ascii="Times New Roman" w:hAnsi="Times New Roman" w:cs="Times New Roman"/>
          <w:lang w:val="pl-PL"/>
        </w:rPr>
        <w:t>Parlamentu</w:t>
      </w:r>
      <w:r w:rsidR="00397938" w:rsidRPr="00B45853">
        <w:rPr>
          <w:rFonts w:ascii="Times New Roman" w:hAnsi="Times New Roman" w:cs="Times New Roman"/>
          <w:lang w:val="pl-PL"/>
        </w:rPr>
        <w:t xml:space="preserve"> Europejskiego</w:t>
      </w:r>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i Rady z dnia</w:t>
      </w:r>
      <w:r w:rsidR="00A220C6" w:rsidRPr="00B45853">
        <w:rPr>
          <w:rFonts w:ascii="Times New Roman" w:hAnsi="Times New Roman" w:cs="Times New Roman"/>
          <w:lang w:val="pl-PL"/>
        </w:rPr>
        <w:t xml:space="preserve"> 8 </w:t>
      </w:r>
      <w:r w:rsidR="00BF3C60">
        <w:rPr>
          <w:rFonts w:ascii="Times New Roman" w:hAnsi="Times New Roman" w:cs="Times New Roman"/>
          <w:lang w:val="pl-PL"/>
        </w:rPr>
        <w:t>c</w:t>
      </w:r>
      <w:r w:rsidR="00397938" w:rsidRPr="00B45853">
        <w:rPr>
          <w:rFonts w:ascii="Times New Roman" w:hAnsi="Times New Roman" w:cs="Times New Roman"/>
          <w:lang w:val="pl-PL"/>
        </w:rPr>
        <w:t>zerwca</w:t>
      </w:r>
      <w:r w:rsidR="00A220C6" w:rsidRPr="00B45853">
        <w:rPr>
          <w:rFonts w:ascii="Times New Roman" w:hAnsi="Times New Roman" w:cs="Times New Roman"/>
          <w:lang w:val="pl-PL"/>
        </w:rPr>
        <w:t xml:space="preserve"> 2000</w:t>
      </w:r>
      <w:r w:rsidR="00BF3C60">
        <w:rPr>
          <w:rFonts w:ascii="Times New Roman" w:hAnsi="Times New Roman" w:cs="Times New Roman"/>
          <w:lang w:val="pl-PL"/>
        </w:rPr>
        <w:t xml:space="preserve"> roku</w:t>
      </w:r>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w sprawie niektórych aspektów prawnych usług społeczeństwa informacyjnego, w szczególności handlu elektronicznego w ramach rynku wewnętrznego</w:t>
      </w:r>
      <w:r w:rsidR="00A220C6" w:rsidRPr="00B45853">
        <w:rPr>
          <w:rFonts w:ascii="Times New Roman" w:hAnsi="Times New Roman" w:cs="Times New Roman"/>
          <w:lang w:val="pl-PL"/>
        </w:rPr>
        <w:t xml:space="preserve">). </w:t>
      </w:r>
      <w:r w:rsidR="00397938" w:rsidRPr="00B45853">
        <w:rPr>
          <w:rFonts w:ascii="Times New Roman" w:hAnsi="Times New Roman" w:cs="Times New Roman"/>
          <w:lang w:val="pl-PL"/>
        </w:rPr>
        <w:t xml:space="preserve">Sąd uznał, że środowisko komentarzy na portalu informacyjnym skarżącej spółki miało być oddzielone od dziennikarskiego obszaru portalu. Zarządzanie pierwszym z dwóch przez </w:t>
      </w:r>
      <w:r w:rsidR="000F7A97" w:rsidRPr="007056C6">
        <w:rPr>
          <w:rFonts w:ascii="Times New Roman" w:hAnsi="Times New Roman" w:cs="Times New Roman"/>
          <w:lang w:val="pl-PL"/>
        </w:rPr>
        <w:t>skarżącego miało</w:t>
      </w:r>
      <w:r w:rsidR="00397938" w:rsidRPr="007056C6">
        <w:rPr>
          <w:rFonts w:ascii="Times New Roman" w:hAnsi="Times New Roman" w:cs="Times New Roman"/>
          <w:lang w:val="pl-PL"/>
        </w:rPr>
        <w:t xml:space="preserve"> </w:t>
      </w:r>
      <w:r w:rsidR="000F7A97" w:rsidRPr="007056C6">
        <w:rPr>
          <w:rFonts w:ascii="Times New Roman" w:hAnsi="Times New Roman" w:cs="Times New Roman"/>
          <w:lang w:val="pl-PL"/>
        </w:rPr>
        <w:t>naturę zasadniczo mechaniczną</w:t>
      </w:r>
      <w:r w:rsidR="00397938" w:rsidRPr="007056C6">
        <w:rPr>
          <w:rFonts w:ascii="Times New Roman" w:hAnsi="Times New Roman" w:cs="Times New Roman"/>
          <w:lang w:val="pl-PL"/>
        </w:rPr>
        <w:t xml:space="preserve"> i </w:t>
      </w:r>
      <w:r w:rsidR="000F7A97" w:rsidRPr="007056C6">
        <w:rPr>
          <w:rFonts w:ascii="Times New Roman" w:hAnsi="Times New Roman" w:cs="Times New Roman"/>
          <w:lang w:val="pl-PL"/>
        </w:rPr>
        <w:t>pasywną</w:t>
      </w:r>
      <w:r w:rsidR="00397938" w:rsidRPr="007056C6">
        <w:rPr>
          <w:rFonts w:ascii="Times New Roman" w:hAnsi="Times New Roman" w:cs="Times New Roman"/>
          <w:lang w:val="pl-PL"/>
        </w:rPr>
        <w:t>. Skarżąca spółka nie mo</w:t>
      </w:r>
      <w:r w:rsidR="00FA0363" w:rsidRPr="007056C6">
        <w:rPr>
          <w:rFonts w:ascii="Times New Roman" w:hAnsi="Times New Roman" w:cs="Times New Roman"/>
          <w:lang w:val="pl-PL"/>
        </w:rPr>
        <w:t>gła</w:t>
      </w:r>
      <w:r w:rsidR="00B92944" w:rsidRPr="007056C6">
        <w:rPr>
          <w:rFonts w:ascii="Times New Roman" w:hAnsi="Times New Roman" w:cs="Times New Roman"/>
          <w:lang w:val="pl-PL"/>
        </w:rPr>
        <w:t xml:space="preserve"> zostać uznana</w:t>
      </w:r>
      <w:r w:rsidR="00FA0363" w:rsidRPr="007056C6">
        <w:rPr>
          <w:rFonts w:ascii="Times New Roman" w:hAnsi="Times New Roman" w:cs="Times New Roman"/>
          <w:lang w:val="pl-PL"/>
        </w:rPr>
        <w:t xml:space="preserve"> za wydawcę komentarzy</w:t>
      </w:r>
      <w:r w:rsidR="00397938" w:rsidRPr="007056C6">
        <w:rPr>
          <w:rFonts w:ascii="Times New Roman" w:hAnsi="Times New Roman" w:cs="Times New Roman"/>
          <w:lang w:val="pl-PL"/>
        </w:rPr>
        <w:t xml:space="preserve"> ani nie m</w:t>
      </w:r>
      <w:r w:rsidR="00B92944" w:rsidRPr="007056C6">
        <w:rPr>
          <w:rFonts w:ascii="Times New Roman" w:hAnsi="Times New Roman" w:cs="Times New Roman"/>
          <w:lang w:val="pl-PL"/>
        </w:rPr>
        <w:t>i</w:t>
      </w:r>
      <w:r w:rsidR="00397938" w:rsidRPr="007056C6">
        <w:rPr>
          <w:rFonts w:ascii="Times New Roman" w:hAnsi="Times New Roman" w:cs="Times New Roman"/>
          <w:lang w:val="pl-PL"/>
        </w:rPr>
        <w:t>a</w:t>
      </w:r>
      <w:r w:rsidR="00B92944" w:rsidRPr="007056C6">
        <w:rPr>
          <w:rFonts w:ascii="Times New Roman" w:hAnsi="Times New Roman" w:cs="Times New Roman"/>
          <w:lang w:val="pl-PL"/>
        </w:rPr>
        <w:t>ła</w:t>
      </w:r>
      <w:r w:rsidR="00397938" w:rsidRPr="007056C6">
        <w:rPr>
          <w:rFonts w:ascii="Times New Roman" w:hAnsi="Times New Roman" w:cs="Times New Roman"/>
          <w:lang w:val="pl-PL"/>
        </w:rPr>
        <w:t xml:space="preserve"> żadnego obowiązku ich monitorowania.</w:t>
      </w:r>
    </w:p>
    <w:p w:rsidR="00A220C6" w:rsidRPr="007056C6" w:rsidRDefault="00FA0AA9" w:rsidP="00171A6F">
      <w:pPr>
        <w:pStyle w:val="ECHRPara"/>
        <w:rPr>
          <w:rFonts w:ascii="Times New Roman" w:hAnsi="Times New Roman" w:cs="Times New Roman"/>
          <w:lang w:val="pl-PL"/>
        </w:rPr>
      </w:pPr>
      <w:r w:rsidRPr="007056C6">
        <w:rPr>
          <w:rFonts w:ascii="Times New Roman" w:hAnsi="Times New Roman" w:cs="Times New Roman"/>
          <w:lang w:val="pl-PL"/>
        </w:rPr>
        <w:t>24. W dniu 22 października 2007 roku Sąd Apelacyjny w Tallinie uwzględnił odwołanie przez L.</w:t>
      </w:r>
      <w:r w:rsidR="005C0203" w:rsidRPr="007056C6">
        <w:rPr>
          <w:rFonts w:ascii="Times New Roman" w:hAnsi="Times New Roman" w:cs="Times New Roman"/>
          <w:lang w:val="pl-PL"/>
        </w:rPr>
        <w:t>,</w:t>
      </w:r>
      <w:r w:rsidRPr="007056C6">
        <w:rPr>
          <w:rFonts w:ascii="Times New Roman" w:hAnsi="Times New Roman" w:cs="Times New Roman"/>
          <w:lang w:val="pl-PL"/>
        </w:rPr>
        <w:t xml:space="preserve"> uznając, że Sąd Okręgowy popełnił błąd, uznając, że odpowiedzialność skarżącej spółki została wykluczona na mocy Ustawy o Usługach Społeczeństwa Informacyjnego. Wyrok Sądu Okręgowego został uchylony, a sprawa została przekazana sądowi pierwszej instancji do ponownego rozpatrzenia.</w:t>
      </w:r>
    </w:p>
    <w:p w:rsidR="00A220C6" w:rsidRPr="007056C6" w:rsidRDefault="00FA0AA9" w:rsidP="00171A6F">
      <w:pPr>
        <w:pStyle w:val="ECHRPara"/>
        <w:rPr>
          <w:rFonts w:ascii="Times New Roman" w:hAnsi="Times New Roman" w:cs="Times New Roman"/>
          <w:lang w:val="pl-PL"/>
        </w:rPr>
      </w:pPr>
      <w:r w:rsidRPr="007056C6">
        <w:rPr>
          <w:rFonts w:ascii="Times New Roman" w:hAnsi="Times New Roman" w:cs="Times New Roman"/>
          <w:lang w:val="pl-PL"/>
        </w:rPr>
        <w:t>25. W dniu 21 stycznia 2008 roku Sąd Najwyższy odmówił wysłuchania apelacji skarżącej spółki.</w:t>
      </w:r>
    </w:p>
    <w:p w:rsidR="00A220C6" w:rsidRPr="00B45853" w:rsidRDefault="0049106A" w:rsidP="00171A6F">
      <w:pPr>
        <w:pStyle w:val="ECHRPara"/>
        <w:rPr>
          <w:rFonts w:ascii="Times New Roman" w:hAnsi="Times New Roman" w:cs="Times New Roman"/>
          <w:lang w:val="pl-PL"/>
        </w:rPr>
      </w:pPr>
      <w:r w:rsidRPr="007056C6">
        <w:rPr>
          <w:rFonts w:ascii="Times New Roman" w:hAnsi="Times New Roman" w:cs="Times New Roman"/>
          <w:lang w:val="pl-PL"/>
        </w:rPr>
        <w:t xml:space="preserve">26. W dniu 27 czerwca 2008 roku Sąd Okręgowy w </w:t>
      </w:r>
      <w:proofErr w:type="spellStart"/>
      <w:r w:rsidRPr="007056C6">
        <w:rPr>
          <w:rFonts w:ascii="Times New Roman" w:hAnsi="Times New Roman" w:cs="Times New Roman"/>
          <w:lang w:val="pl-PL"/>
        </w:rPr>
        <w:t>Harju</w:t>
      </w:r>
      <w:proofErr w:type="spellEnd"/>
      <w:r w:rsidRPr="007056C6">
        <w:rPr>
          <w:rFonts w:ascii="Times New Roman" w:hAnsi="Times New Roman" w:cs="Times New Roman"/>
          <w:lang w:val="pl-PL"/>
        </w:rPr>
        <w:t xml:space="preserve">, ponownie przeanalizował sprawę, dotyczącą L. Zgodnie z zaleceniami </w:t>
      </w:r>
      <w:r w:rsidR="000F7A97" w:rsidRPr="007056C6">
        <w:rPr>
          <w:rFonts w:ascii="Times New Roman" w:hAnsi="Times New Roman" w:cs="Times New Roman"/>
          <w:lang w:val="pl-PL"/>
        </w:rPr>
        <w:t>Sądu Apelacyjnego oparł się na Prawie Zobowiązań</w:t>
      </w:r>
      <w:r w:rsidRPr="007056C6">
        <w:rPr>
          <w:rFonts w:ascii="Times New Roman" w:hAnsi="Times New Roman" w:cs="Times New Roman"/>
          <w:lang w:val="pl-PL"/>
        </w:rPr>
        <w:t xml:space="preserve"> i uznał Ustawę</w:t>
      </w:r>
      <w:r w:rsidRPr="00B45853">
        <w:rPr>
          <w:rFonts w:ascii="Times New Roman" w:hAnsi="Times New Roman" w:cs="Times New Roman"/>
          <w:lang w:val="pl-PL"/>
        </w:rPr>
        <w:t xml:space="preserve"> o Usługach Społeczeństwa Informacyjnego za nie mającą zastosowania. Zauważono, że skarżąca spółka umieścił</w:t>
      </w:r>
      <w:r w:rsidR="00076354" w:rsidRPr="00B45853">
        <w:rPr>
          <w:rFonts w:ascii="Times New Roman" w:hAnsi="Times New Roman" w:cs="Times New Roman"/>
          <w:lang w:val="pl-PL"/>
        </w:rPr>
        <w:t>a</w:t>
      </w:r>
      <w:r w:rsidRPr="00B45853">
        <w:rPr>
          <w:rFonts w:ascii="Times New Roman" w:hAnsi="Times New Roman" w:cs="Times New Roman"/>
          <w:lang w:val="pl-PL"/>
        </w:rPr>
        <w:t xml:space="preserve"> </w:t>
      </w:r>
      <w:r w:rsidR="00CF6DFA">
        <w:rPr>
          <w:rFonts w:ascii="Times New Roman" w:hAnsi="Times New Roman" w:cs="Times New Roman"/>
          <w:lang w:val="pl-PL"/>
        </w:rPr>
        <w:t>informację</w:t>
      </w:r>
      <w:r w:rsidRPr="00B45853">
        <w:rPr>
          <w:rFonts w:ascii="Times New Roman" w:hAnsi="Times New Roman" w:cs="Times New Roman"/>
          <w:lang w:val="pl-PL"/>
        </w:rPr>
        <w:t xml:space="preserve"> na sw</w:t>
      </w:r>
      <w:r w:rsidR="00CF6DFA">
        <w:rPr>
          <w:rFonts w:ascii="Times New Roman" w:hAnsi="Times New Roman" w:cs="Times New Roman"/>
          <w:lang w:val="pl-PL"/>
        </w:rPr>
        <w:t>ojej stronie internetowe</w:t>
      </w:r>
      <w:r w:rsidRPr="00B45853">
        <w:rPr>
          <w:rFonts w:ascii="Times New Roman" w:hAnsi="Times New Roman" w:cs="Times New Roman"/>
          <w:lang w:val="pl-PL"/>
        </w:rPr>
        <w:t>,</w:t>
      </w:r>
      <w:r w:rsidR="00CF6DFA">
        <w:rPr>
          <w:rFonts w:ascii="Times New Roman" w:hAnsi="Times New Roman" w:cs="Times New Roman"/>
          <w:lang w:val="pl-PL"/>
        </w:rPr>
        <w:t xml:space="preserve"> z której wynikało,</w:t>
      </w:r>
      <w:r w:rsidRPr="00B45853">
        <w:rPr>
          <w:rFonts w:ascii="Times New Roman" w:hAnsi="Times New Roman" w:cs="Times New Roman"/>
          <w:lang w:val="pl-PL"/>
        </w:rPr>
        <w:t xml:space="preserve"> że komentarze nie były edytowane, </w:t>
      </w:r>
      <w:r w:rsidR="00CF6DFA">
        <w:rPr>
          <w:rFonts w:ascii="Times New Roman" w:hAnsi="Times New Roman" w:cs="Times New Roman"/>
          <w:lang w:val="pl-PL"/>
        </w:rPr>
        <w:t>ale</w:t>
      </w:r>
      <w:r w:rsidRPr="00B45853">
        <w:rPr>
          <w:rFonts w:ascii="Times New Roman" w:hAnsi="Times New Roman" w:cs="Times New Roman"/>
          <w:lang w:val="pl-PL"/>
        </w:rPr>
        <w:t xml:space="preserve"> </w:t>
      </w:r>
      <w:r w:rsidR="00076354" w:rsidRPr="00B45853">
        <w:rPr>
          <w:rFonts w:ascii="Times New Roman" w:hAnsi="Times New Roman" w:cs="Times New Roman"/>
          <w:lang w:val="pl-PL"/>
        </w:rPr>
        <w:t>komentarze</w:t>
      </w:r>
      <w:r w:rsidRPr="00B45853">
        <w:rPr>
          <w:rFonts w:ascii="Times New Roman" w:hAnsi="Times New Roman" w:cs="Times New Roman"/>
          <w:lang w:val="pl-PL"/>
        </w:rPr>
        <w:t>, które były</w:t>
      </w:r>
      <w:r w:rsidR="00076354" w:rsidRPr="00B45853">
        <w:rPr>
          <w:rFonts w:ascii="Times New Roman" w:hAnsi="Times New Roman" w:cs="Times New Roman"/>
          <w:lang w:val="pl-PL"/>
        </w:rPr>
        <w:t xml:space="preserve"> sprzeczne z dobrą praktyką były</w:t>
      </w:r>
      <w:r w:rsidRPr="00B45853">
        <w:rPr>
          <w:rFonts w:ascii="Times New Roman" w:hAnsi="Times New Roman" w:cs="Times New Roman"/>
          <w:lang w:val="pl-PL"/>
        </w:rPr>
        <w:t xml:space="preserve"> zabronione i że skarżąca spółka zastrzega sobie prawo do usuwania takich komentarzy. System został wprowadzony </w:t>
      </w:r>
      <w:r w:rsidR="00076354" w:rsidRPr="00B45853">
        <w:rPr>
          <w:rFonts w:ascii="Times New Roman" w:hAnsi="Times New Roman" w:cs="Times New Roman"/>
          <w:lang w:val="pl-PL"/>
        </w:rPr>
        <w:t>w miejscu</w:t>
      </w:r>
      <w:r w:rsidR="005C0203" w:rsidRPr="00B45853">
        <w:rPr>
          <w:rFonts w:ascii="Times New Roman" w:hAnsi="Times New Roman" w:cs="Times New Roman"/>
          <w:lang w:val="pl-PL"/>
        </w:rPr>
        <w:t>,</w:t>
      </w:r>
      <w:r w:rsidRPr="00B45853">
        <w:rPr>
          <w:rFonts w:ascii="Times New Roman" w:hAnsi="Times New Roman" w:cs="Times New Roman"/>
          <w:lang w:val="pl-PL"/>
        </w:rPr>
        <w:t xml:space="preserve"> w którym użytkownicy mogą powiadomić </w:t>
      </w:r>
      <w:r w:rsidR="00076354" w:rsidRPr="00B45853">
        <w:rPr>
          <w:rFonts w:ascii="Times New Roman" w:hAnsi="Times New Roman" w:cs="Times New Roman"/>
          <w:lang w:val="pl-PL"/>
        </w:rPr>
        <w:t xml:space="preserve">skarżącą spółkę o </w:t>
      </w:r>
      <w:r w:rsidRPr="00B45853">
        <w:rPr>
          <w:rFonts w:ascii="Times New Roman" w:hAnsi="Times New Roman" w:cs="Times New Roman"/>
          <w:lang w:val="pl-PL"/>
        </w:rPr>
        <w:t>ws</w:t>
      </w:r>
      <w:r w:rsidR="00076354" w:rsidRPr="00B45853">
        <w:rPr>
          <w:rFonts w:ascii="Times New Roman" w:hAnsi="Times New Roman" w:cs="Times New Roman"/>
          <w:lang w:val="pl-PL"/>
        </w:rPr>
        <w:t>zelkich niewłaściwych komentarzach</w:t>
      </w:r>
      <w:r w:rsidRPr="00B45853">
        <w:rPr>
          <w:rFonts w:ascii="Times New Roman" w:hAnsi="Times New Roman" w:cs="Times New Roman"/>
          <w:lang w:val="pl-PL"/>
        </w:rPr>
        <w:t xml:space="preserve">. Jednak Sąd Okręgowy uznał, że było to </w:t>
      </w:r>
      <w:r w:rsidR="00076354" w:rsidRPr="00B45853">
        <w:rPr>
          <w:rFonts w:ascii="Times New Roman" w:hAnsi="Times New Roman" w:cs="Times New Roman"/>
          <w:lang w:val="pl-PL"/>
        </w:rPr>
        <w:t>niewystarczające i nie pozwalało</w:t>
      </w:r>
      <w:r w:rsidRPr="00B45853">
        <w:rPr>
          <w:rFonts w:ascii="Times New Roman" w:hAnsi="Times New Roman" w:cs="Times New Roman"/>
          <w:lang w:val="pl-PL"/>
        </w:rPr>
        <w:t xml:space="preserve"> na odpowiednią ochronę dóbr osobistych innych osób. Sąd uznał, że skarżąca spółka sama m</w:t>
      </w:r>
      <w:r w:rsidR="00076354" w:rsidRPr="00B45853">
        <w:rPr>
          <w:rFonts w:ascii="Times New Roman" w:hAnsi="Times New Roman" w:cs="Times New Roman"/>
          <w:lang w:val="pl-PL"/>
        </w:rPr>
        <w:t>ogła zostać uznana za wydawcę komentarzy,</w:t>
      </w:r>
      <w:r w:rsidRPr="00B45853">
        <w:rPr>
          <w:rFonts w:ascii="Times New Roman" w:hAnsi="Times New Roman" w:cs="Times New Roman"/>
          <w:lang w:val="pl-PL"/>
        </w:rPr>
        <w:t xml:space="preserve"> i nie mo</w:t>
      </w:r>
      <w:r w:rsidR="00076354" w:rsidRPr="00B45853">
        <w:rPr>
          <w:rFonts w:ascii="Times New Roman" w:hAnsi="Times New Roman" w:cs="Times New Roman"/>
          <w:lang w:val="pl-PL"/>
        </w:rPr>
        <w:t>gła</w:t>
      </w:r>
      <w:r w:rsidRPr="00B45853">
        <w:rPr>
          <w:rFonts w:ascii="Times New Roman" w:hAnsi="Times New Roman" w:cs="Times New Roman"/>
          <w:lang w:val="pl-PL"/>
        </w:rPr>
        <w:t xml:space="preserve"> uniknąć odpowiedzialności</w:t>
      </w:r>
      <w:r w:rsidR="00076354" w:rsidRPr="00B45853">
        <w:rPr>
          <w:rFonts w:ascii="Times New Roman" w:hAnsi="Times New Roman" w:cs="Times New Roman"/>
          <w:lang w:val="pl-PL"/>
        </w:rPr>
        <w:t xml:space="preserve"> poprzez publikację zastrzeżenia</w:t>
      </w:r>
      <w:r w:rsidRPr="00B45853">
        <w:rPr>
          <w:rFonts w:ascii="Times New Roman" w:hAnsi="Times New Roman" w:cs="Times New Roman"/>
          <w:lang w:val="pl-PL"/>
        </w:rPr>
        <w:t xml:space="preserve"> stwierdzając</w:t>
      </w:r>
      <w:r w:rsidR="00076354" w:rsidRPr="00B45853">
        <w:rPr>
          <w:rFonts w:ascii="Times New Roman" w:hAnsi="Times New Roman" w:cs="Times New Roman"/>
          <w:lang w:val="pl-PL"/>
        </w:rPr>
        <w:t>ego</w:t>
      </w:r>
      <w:r w:rsidRPr="00B45853">
        <w:rPr>
          <w:rFonts w:ascii="Times New Roman" w:hAnsi="Times New Roman" w:cs="Times New Roman"/>
          <w:lang w:val="pl-PL"/>
        </w:rPr>
        <w:t xml:space="preserve">, że nie </w:t>
      </w:r>
      <w:r w:rsidR="00076354" w:rsidRPr="00B45853">
        <w:rPr>
          <w:rFonts w:ascii="Times New Roman" w:hAnsi="Times New Roman" w:cs="Times New Roman"/>
          <w:lang w:val="pl-PL"/>
        </w:rPr>
        <w:t>ponosi</w:t>
      </w:r>
      <w:r w:rsidRPr="00B45853">
        <w:rPr>
          <w:rFonts w:ascii="Times New Roman" w:hAnsi="Times New Roman" w:cs="Times New Roman"/>
          <w:lang w:val="pl-PL"/>
        </w:rPr>
        <w:t xml:space="preserve"> odpowiedzialności za treść komentarzy.</w:t>
      </w:r>
    </w:p>
    <w:p w:rsidR="00A220C6" w:rsidRPr="007056C6" w:rsidRDefault="00076354" w:rsidP="00171A6F">
      <w:pPr>
        <w:pStyle w:val="ECHRPara"/>
        <w:rPr>
          <w:rFonts w:ascii="Times New Roman" w:hAnsi="Times New Roman" w:cs="Times New Roman"/>
          <w:lang w:val="pl-PL"/>
        </w:rPr>
      </w:pPr>
      <w:r w:rsidRPr="00B45853">
        <w:rPr>
          <w:rFonts w:ascii="Times New Roman" w:hAnsi="Times New Roman" w:cs="Times New Roman"/>
          <w:lang w:val="pl-PL"/>
        </w:rPr>
        <w:t xml:space="preserve">27. </w:t>
      </w:r>
      <w:r w:rsidRPr="007056C6">
        <w:rPr>
          <w:rFonts w:ascii="Times New Roman" w:hAnsi="Times New Roman" w:cs="Times New Roman"/>
          <w:lang w:val="pl-PL"/>
        </w:rPr>
        <w:t xml:space="preserve">Sąd </w:t>
      </w:r>
      <w:r w:rsidR="00997EC0" w:rsidRPr="007056C6">
        <w:rPr>
          <w:rFonts w:ascii="Times New Roman" w:hAnsi="Times New Roman" w:cs="Times New Roman"/>
          <w:lang w:val="pl-PL"/>
        </w:rPr>
        <w:t>Okręgowy</w:t>
      </w:r>
      <w:r w:rsidRPr="007056C6">
        <w:rPr>
          <w:rFonts w:ascii="Times New Roman" w:hAnsi="Times New Roman" w:cs="Times New Roman"/>
          <w:lang w:val="pl-PL"/>
        </w:rPr>
        <w:t xml:space="preserve"> stwi</w:t>
      </w:r>
      <w:r w:rsidR="00997EC0" w:rsidRPr="007056C6">
        <w:rPr>
          <w:rFonts w:ascii="Times New Roman" w:hAnsi="Times New Roman" w:cs="Times New Roman"/>
          <w:lang w:val="pl-PL"/>
        </w:rPr>
        <w:t>erdził, że opublikowany artykuł</w:t>
      </w:r>
      <w:r w:rsidRPr="007056C6">
        <w:rPr>
          <w:rFonts w:ascii="Times New Roman" w:hAnsi="Times New Roman" w:cs="Times New Roman"/>
          <w:lang w:val="pl-PL"/>
        </w:rPr>
        <w:t xml:space="preserve"> na portalu informacyjnym </w:t>
      </w:r>
      <w:proofErr w:type="spellStart"/>
      <w:r w:rsidRPr="007056C6">
        <w:rPr>
          <w:rFonts w:ascii="Times New Roman" w:hAnsi="Times New Roman" w:cs="Times New Roman"/>
          <w:lang w:val="pl-PL"/>
        </w:rPr>
        <w:t>Delfi</w:t>
      </w:r>
      <w:proofErr w:type="spellEnd"/>
      <w:r w:rsidRPr="007056C6">
        <w:rPr>
          <w:rFonts w:ascii="Times New Roman" w:hAnsi="Times New Roman" w:cs="Times New Roman"/>
          <w:lang w:val="pl-PL"/>
        </w:rPr>
        <w:t xml:space="preserve"> </w:t>
      </w:r>
      <w:r w:rsidR="00997EC0" w:rsidRPr="007056C6">
        <w:rPr>
          <w:rFonts w:ascii="Times New Roman" w:hAnsi="Times New Roman" w:cs="Times New Roman"/>
          <w:lang w:val="pl-PL"/>
        </w:rPr>
        <w:t xml:space="preserve">sam w sobie </w:t>
      </w:r>
      <w:r w:rsidRPr="007056C6">
        <w:rPr>
          <w:rFonts w:ascii="Times New Roman" w:hAnsi="Times New Roman" w:cs="Times New Roman"/>
          <w:lang w:val="pl-PL"/>
        </w:rPr>
        <w:t>był</w:t>
      </w:r>
      <w:r w:rsidRPr="00B45853">
        <w:rPr>
          <w:rFonts w:ascii="Times New Roman" w:hAnsi="Times New Roman" w:cs="Times New Roman"/>
          <w:lang w:val="pl-PL"/>
        </w:rPr>
        <w:t xml:space="preserve"> wyważony. Kilka uwag, jednak było wulgarnych; były upokarzające i oszczercze i naruszały honor, godność i reputację L. Uwagi wykraczały poza uzasadnioną krytykę i urosły do rangi prostych obelg. Sąd stwierdził, że swoboda wypowiedzi nie</w:t>
      </w:r>
      <w:r w:rsidR="00997EC0">
        <w:rPr>
          <w:rFonts w:ascii="Times New Roman" w:hAnsi="Times New Roman" w:cs="Times New Roman"/>
          <w:lang w:val="pl-PL"/>
        </w:rPr>
        <w:t xml:space="preserve"> obejmuje ochroną </w:t>
      </w:r>
      <w:r w:rsidR="00030779">
        <w:rPr>
          <w:rFonts w:ascii="Times New Roman" w:hAnsi="Times New Roman" w:cs="Times New Roman"/>
          <w:lang w:val="pl-PL"/>
        </w:rPr>
        <w:t>tego typu</w:t>
      </w:r>
      <w:r w:rsidR="00997EC0">
        <w:rPr>
          <w:rFonts w:ascii="Times New Roman" w:hAnsi="Times New Roman" w:cs="Times New Roman"/>
          <w:lang w:val="pl-PL"/>
        </w:rPr>
        <w:t xml:space="preserve"> uwag</w:t>
      </w:r>
      <w:r w:rsidR="00030779">
        <w:rPr>
          <w:rFonts w:ascii="Times New Roman" w:hAnsi="Times New Roman" w:cs="Times New Roman"/>
          <w:lang w:val="pl-PL"/>
        </w:rPr>
        <w:t>,</w:t>
      </w:r>
      <w:r w:rsidR="00997EC0">
        <w:rPr>
          <w:rFonts w:ascii="Times New Roman" w:hAnsi="Times New Roman" w:cs="Times New Roman"/>
          <w:lang w:val="pl-PL"/>
        </w:rPr>
        <w:t xml:space="preserve"> i</w:t>
      </w:r>
      <w:r w:rsidRPr="00B45853">
        <w:rPr>
          <w:rFonts w:ascii="Times New Roman" w:hAnsi="Times New Roman" w:cs="Times New Roman"/>
          <w:lang w:val="pl-PL"/>
        </w:rPr>
        <w:t xml:space="preserve"> że dobro osobiste L. zostało naruszone. L. otrzymał 5000 EEK (320 EUR</w:t>
      </w:r>
      <w:r w:rsidRPr="007056C6">
        <w:rPr>
          <w:rFonts w:ascii="Times New Roman" w:hAnsi="Times New Roman" w:cs="Times New Roman"/>
          <w:lang w:val="pl-PL"/>
        </w:rPr>
        <w:t xml:space="preserve">) tytułem </w:t>
      </w:r>
      <w:r w:rsidR="00997EC0" w:rsidRPr="007056C6">
        <w:rPr>
          <w:rFonts w:ascii="Times New Roman" w:hAnsi="Times New Roman" w:cs="Times New Roman"/>
          <w:lang w:val="pl-PL"/>
        </w:rPr>
        <w:t>odszkodowania</w:t>
      </w:r>
      <w:r w:rsidRPr="007056C6">
        <w:rPr>
          <w:rFonts w:ascii="Times New Roman" w:hAnsi="Times New Roman" w:cs="Times New Roman"/>
          <w:lang w:val="pl-PL"/>
        </w:rPr>
        <w:t xml:space="preserve"> za szkodę niemajątkową.</w:t>
      </w:r>
    </w:p>
    <w:p w:rsidR="00A220C6" w:rsidRPr="00B45853" w:rsidRDefault="00076354" w:rsidP="00171A6F">
      <w:pPr>
        <w:pStyle w:val="ECHRPara"/>
        <w:rPr>
          <w:rFonts w:ascii="Times New Roman" w:hAnsi="Times New Roman" w:cs="Times New Roman"/>
          <w:lang w:val="pl-PL"/>
        </w:rPr>
      </w:pPr>
      <w:r w:rsidRPr="007056C6">
        <w:rPr>
          <w:rFonts w:ascii="Times New Roman" w:hAnsi="Times New Roman" w:cs="Times New Roman"/>
          <w:lang w:val="pl-PL"/>
        </w:rPr>
        <w:t xml:space="preserve">28. W dniu 16 grudnia 2008 roku Sąd Apelacyjny w Tallinie utrzymał wyrok Sądu Okręgowego. Należy podkreślić, że skarżąca spółka nie była zobowiązana do sprawowania kontroli nad komentarzami zamieszczonymi na swoim portalu informacyjnym. Jednak </w:t>
      </w:r>
      <w:r w:rsidR="00997EC0" w:rsidRPr="007056C6">
        <w:rPr>
          <w:rFonts w:ascii="Times New Roman" w:hAnsi="Times New Roman" w:cs="Times New Roman"/>
          <w:lang w:val="pl-PL"/>
        </w:rPr>
        <w:t>decydując się na to</w:t>
      </w:r>
      <w:r w:rsidRPr="007056C6">
        <w:rPr>
          <w:rFonts w:ascii="Times New Roman" w:hAnsi="Times New Roman" w:cs="Times New Roman"/>
          <w:lang w:val="pl-PL"/>
        </w:rPr>
        <w:t>, powinna</w:t>
      </w:r>
      <w:r w:rsidRPr="00B45853">
        <w:rPr>
          <w:rFonts w:ascii="Times New Roman" w:hAnsi="Times New Roman" w:cs="Times New Roman"/>
          <w:lang w:val="pl-PL"/>
        </w:rPr>
        <w:t xml:space="preserve"> </w:t>
      </w:r>
      <w:r w:rsidRPr="00B45853">
        <w:rPr>
          <w:rFonts w:ascii="Times New Roman" w:hAnsi="Times New Roman" w:cs="Times New Roman"/>
          <w:lang w:val="pl-PL"/>
        </w:rPr>
        <w:lastRenderedPageBreak/>
        <w:t>stworzyć jakiś inny skuteczn</w:t>
      </w:r>
      <w:r w:rsidR="00B92944" w:rsidRPr="00B45853">
        <w:rPr>
          <w:rFonts w:ascii="Times New Roman" w:hAnsi="Times New Roman" w:cs="Times New Roman"/>
          <w:lang w:val="pl-PL"/>
        </w:rPr>
        <w:t>y system, który zapewni</w:t>
      </w:r>
      <w:r w:rsidRPr="00B45853">
        <w:rPr>
          <w:rFonts w:ascii="Times New Roman" w:hAnsi="Times New Roman" w:cs="Times New Roman"/>
          <w:lang w:val="pl-PL"/>
        </w:rPr>
        <w:t>łby szybkie usuwanie bezprawnych komentarzy z portalu. Sąd Apelacyjny uznał, że działania podjęte przez skarżącą spółkę były niewystarczające</w:t>
      </w:r>
      <w:r w:rsidR="00B45206" w:rsidRPr="00030779">
        <w:rPr>
          <w:rFonts w:ascii="Times New Roman" w:hAnsi="Times New Roman" w:cs="Times New Roman"/>
          <w:lang w:val="pl-PL"/>
        </w:rPr>
        <w:t>,</w:t>
      </w:r>
      <w:r w:rsidRPr="00B45853">
        <w:rPr>
          <w:rFonts w:ascii="Times New Roman" w:hAnsi="Times New Roman" w:cs="Times New Roman"/>
          <w:lang w:val="pl-PL"/>
        </w:rPr>
        <w:t xml:space="preserve"> i że to było sprzeczne z zasadą dobrej wiary, </w:t>
      </w:r>
      <w:r w:rsidR="00030779">
        <w:rPr>
          <w:rFonts w:ascii="Times New Roman" w:hAnsi="Times New Roman" w:cs="Times New Roman"/>
          <w:lang w:val="pl-PL"/>
        </w:rPr>
        <w:t>przenosząc</w:t>
      </w:r>
      <w:r w:rsidRPr="00B45853">
        <w:rPr>
          <w:rFonts w:ascii="Times New Roman" w:hAnsi="Times New Roman" w:cs="Times New Roman"/>
          <w:lang w:val="pl-PL"/>
        </w:rPr>
        <w:t xml:space="preserve"> ciężar monitorowania komentarzy na ich potencjaln</w:t>
      </w:r>
      <w:r w:rsidR="00FE0FCD">
        <w:rPr>
          <w:rFonts w:ascii="Times New Roman" w:hAnsi="Times New Roman" w:cs="Times New Roman"/>
          <w:lang w:val="pl-PL"/>
        </w:rPr>
        <w:t>e</w:t>
      </w:r>
      <w:r w:rsidRPr="00B45853">
        <w:rPr>
          <w:rFonts w:ascii="Times New Roman" w:hAnsi="Times New Roman" w:cs="Times New Roman"/>
          <w:lang w:val="pl-PL"/>
        </w:rPr>
        <w:t xml:space="preserve"> ofia</w:t>
      </w:r>
      <w:r w:rsidR="00D55018" w:rsidRPr="00B45853">
        <w:rPr>
          <w:rFonts w:ascii="Times New Roman" w:hAnsi="Times New Roman" w:cs="Times New Roman"/>
          <w:lang w:val="pl-PL"/>
        </w:rPr>
        <w:t>r</w:t>
      </w:r>
      <w:r w:rsidR="00FE0FCD">
        <w:rPr>
          <w:rFonts w:ascii="Times New Roman" w:hAnsi="Times New Roman" w:cs="Times New Roman"/>
          <w:lang w:val="pl-PL"/>
        </w:rPr>
        <w:t>y</w:t>
      </w:r>
      <w:r w:rsidR="00A220C6" w:rsidRPr="00B45853">
        <w:rPr>
          <w:rFonts w:ascii="Times New Roman" w:hAnsi="Times New Roman" w:cs="Times New Roman"/>
          <w:lang w:val="pl-PL"/>
        </w:rPr>
        <w:t>.</w:t>
      </w:r>
    </w:p>
    <w:p w:rsidR="00A220C6" w:rsidRPr="00B45853" w:rsidRDefault="00D55018" w:rsidP="00171A6F">
      <w:pPr>
        <w:pStyle w:val="ECHRPara"/>
        <w:rPr>
          <w:rFonts w:ascii="Times New Roman" w:hAnsi="Times New Roman" w:cs="Times New Roman"/>
          <w:lang w:val="pl-PL"/>
        </w:rPr>
      </w:pPr>
      <w:r w:rsidRPr="00B45853">
        <w:rPr>
          <w:rFonts w:ascii="Times New Roman" w:hAnsi="Times New Roman" w:cs="Times New Roman"/>
          <w:lang w:val="pl-PL"/>
        </w:rPr>
        <w:t>29. Sąd Apelacyjny odrzucił argument skarżącej spółki, że jej odpowiedzialność została wykluczona na mocy Ustawy o Usługach Społeczeństwa Informacyjnego. Należy zauważyć, że skarżąca spółka nie była pośrednikiem technicznym w odniesieniu do uwag oraz, że jej działalność nie miała charakteru wyłącznie technicznego, automatycznego i biernego</w:t>
      </w:r>
      <w:r w:rsidR="00857507" w:rsidRPr="00B45853">
        <w:rPr>
          <w:rFonts w:ascii="Times New Roman" w:hAnsi="Times New Roman" w:cs="Times New Roman"/>
          <w:lang w:val="pl-PL"/>
        </w:rPr>
        <w:t>; z</w:t>
      </w:r>
      <w:r w:rsidRPr="00B45853">
        <w:rPr>
          <w:rFonts w:ascii="Times New Roman" w:hAnsi="Times New Roman" w:cs="Times New Roman"/>
          <w:lang w:val="pl-PL"/>
        </w:rPr>
        <w:t>amiast tego</w:t>
      </w:r>
      <w:r w:rsidR="00857507" w:rsidRPr="00B45853">
        <w:rPr>
          <w:rFonts w:ascii="Times New Roman" w:hAnsi="Times New Roman" w:cs="Times New Roman"/>
          <w:lang w:val="pl-PL"/>
        </w:rPr>
        <w:t>,</w:t>
      </w:r>
      <w:r w:rsidRPr="00B45853">
        <w:rPr>
          <w:rFonts w:ascii="Times New Roman" w:hAnsi="Times New Roman" w:cs="Times New Roman"/>
          <w:lang w:val="pl-PL"/>
        </w:rPr>
        <w:t xml:space="preserve"> zaprosiła użytkowników do dodawania komentarzy. W związku z tym skarżąca spółka była dostawcą usług w zakresie treści, a nie usług technicznych.</w:t>
      </w:r>
    </w:p>
    <w:p w:rsidR="00B413BF" w:rsidRPr="00B45853" w:rsidRDefault="00857507" w:rsidP="00171A6F">
      <w:pPr>
        <w:pStyle w:val="ECHRPara"/>
        <w:rPr>
          <w:rFonts w:ascii="Times New Roman" w:hAnsi="Times New Roman" w:cs="Times New Roman"/>
          <w:lang w:val="pl-PL"/>
        </w:rPr>
      </w:pPr>
      <w:r w:rsidRPr="00B45853">
        <w:rPr>
          <w:rFonts w:ascii="Times New Roman" w:hAnsi="Times New Roman" w:cs="Times New Roman"/>
          <w:lang w:val="pl-PL"/>
        </w:rPr>
        <w:t xml:space="preserve">30. W dniu 10 czerwca 2009 roku Sąd Najwyższy oddalił apelację skarżącej spółki. Podtrzymał </w:t>
      </w:r>
      <w:r w:rsidR="00A90B6A">
        <w:rPr>
          <w:rFonts w:ascii="Times New Roman" w:hAnsi="Times New Roman" w:cs="Times New Roman"/>
          <w:lang w:val="pl-PL"/>
        </w:rPr>
        <w:t>zasadnicze rozstrzygnięcie</w:t>
      </w:r>
      <w:r w:rsidRPr="00B45853">
        <w:rPr>
          <w:rFonts w:ascii="Times New Roman" w:hAnsi="Times New Roman" w:cs="Times New Roman"/>
          <w:lang w:val="pl-PL"/>
        </w:rPr>
        <w:t xml:space="preserve"> Sądu Apelacyjnego, ale częściowo zmodyfikował</w:t>
      </w:r>
      <w:r w:rsidR="00A90B6A">
        <w:rPr>
          <w:rFonts w:ascii="Times New Roman" w:hAnsi="Times New Roman" w:cs="Times New Roman"/>
          <w:lang w:val="pl-PL"/>
        </w:rPr>
        <w:t xml:space="preserve"> jego</w:t>
      </w:r>
      <w:r w:rsidRPr="00B45853">
        <w:rPr>
          <w:rFonts w:ascii="Times New Roman" w:hAnsi="Times New Roman" w:cs="Times New Roman"/>
          <w:lang w:val="pl-PL"/>
        </w:rPr>
        <w:t xml:space="preserve"> </w:t>
      </w:r>
      <w:r w:rsidR="00A90B6A">
        <w:rPr>
          <w:rFonts w:ascii="Times New Roman" w:hAnsi="Times New Roman" w:cs="Times New Roman"/>
          <w:lang w:val="pl-PL"/>
        </w:rPr>
        <w:t>uzasadnienie</w:t>
      </w:r>
      <w:r w:rsidRPr="00B45853">
        <w:rPr>
          <w:rFonts w:ascii="Times New Roman" w:hAnsi="Times New Roman" w:cs="Times New Roman"/>
          <w:lang w:val="pl-PL"/>
        </w:rPr>
        <w:t>.</w:t>
      </w:r>
    </w:p>
    <w:p w:rsidR="00A220C6" w:rsidRPr="00B45853" w:rsidRDefault="00857507" w:rsidP="00171A6F">
      <w:pPr>
        <w:pStyle w:val="ECHRPara"/>
        <w:rPr>
          <w:rFonts w:ascii="Times New Roman" w:hAnsi="Times New Roman" w:cs="Times New Roman"/>
          <w:lang w:val="pl-PL"/>
        </w:rPr>
      </w:pPr>
      <w:r w:rsidRPr="00B45853">
        <w:rPr>
          <w:rFonts w:ascii="Times New Roman" w:hAnsi="Times New Roman" w:cs="Times New Roman"/>
          <w:lang w:val="pl-PL"/>
        </w:rPr>
        <w:t>31. Sąd Najwyższy orzekł, co następuje:</w:t>
      </w:r>
    </w:p>
    <w:p w:rsidR="00A220C6" w:rsidRPr="007056C6" w:rsidRDefault="00857507" w:rsidP="00171A6F">
      <w:pPr>
        <w:pStyle w:val="ECHRParaQuote"/>
        <w:rPr>
          <w:rFonts w:ascii="Times New Roman" w:hAnsi="Times New Roman" w:cs="Times New Roman"/>
          <w:bCs/>
          <w:lang w:val="pl-PL"/>
        </w:rPr>
      </w:pPr>
      <w:r w:rsidRPr="007056C6">
        <w:rPr>
          <w:rFonts w:ascii="Times New Roman" w:hAnsi="Times New Roman" w:cs="Times New Roman"/>
          <w:bCs/>
          <w:lang w:val="pl-PL"/>
        </w:rPr>
        <w:t xml:space="preserve">"10. Izba stwierdza, że zarzuty zawarte w </w:t>
      </w:r>
      <w:r w:rsidR="00B45206" w:rsidRPr="007056C6">
        <w:rPr>
          <w:rFonts w:ascii="Times New Roman" w:hAnsi="Times New Roman" w:cs="Times New Roman"/>
          <w:bCs/>
          <w:lang w:val="pl-PL"/>
        </w:rPr>
        <w:t>apelacji</w:t>
      </w:r>
      <w:r w:rsidRPr="007056C6">
        <w:rPr>
          <w:rFonts w:ascii="Times New Roman" w:hAnsi="Times New Roman" w:cs="Times New Roman"/>
          <w:bCs/>
          <w:lang w:val="pl-PL"/>
        </w:rPr>
        <w:t xml:space="preserve"> nie </w:t>
      </w:r>
      <w:r w:rsidR="00DC1FC2">
        <w:rPr>
          <w:rFonts w:ascii="Times New Roman" w:hAnsi="Times New Roman" w:cs="Times New Roman"/>
          <w:bCs/>
          <w:lang w:val="pl-PL"/>
        </w:rPr>
        <w:t>uzasadniają</w:t>
      </w:r>
      <w:r w:rsidRPr="007056C6">
        <w:rPr>
          <w:rFonts w:ascii="Times New Roman" w:hAnsi="Times New Roman" w:cs="Times New Roman"/>
          <w:bCs/>
          <w:lang w:val="pl-PL"/>
        </w:rPr>
        <w:t xml:space="preserve"> </w:t>
      </w:r>
      <w:r w:rsidR="00B45206" w:rsidRPr="007056C6">
        <w:rPr>
          <w:rFonts w:ascii="Times New Roman" w:hAnsi="Times New Roman" w:cs="Times New Roman"/>
          <w:bCs/>
          <w:lang w:val="pl-PL"/>
        </w:rPr>
        <w:t>uchylenia</w:t>
      </w:r>
      <w:r w:rsidRPr="007056C6">
        <w:rPr>
          <w:rFonts w:ascii="Times New Roman" w:hAnsi="Times New Roman" w:cs="Times New Roman"/>
          <w:bCs/>
          <w:lang w:val="pl-PL"/>
        </w:rPr>
        <w:t xml:space="preserve"> wyroku Sądu Apelacyjnego. </w:t>
      </w:r>
      <w:r w:rsidR="00DC1FC2">
        <w:rPr>
          <w:rFonts w:ascii="Times New Roman" w:hAnsi="Times New Roman" w:cs="Times New Roman"/>
          <w:bCs/>
          <w:lang w:val="pl-PL"/>
        </w:rPr>
        <w:t>Rozstrzygnięcie</w:t>
      </w:r>
      <w:r w:rsidR="00B45206" w:rsidRPr="007056C6">
        <w:rPr>
          <w:rFonts w:ascii="Times New Roman" w:hAnsi="Times New Roman" w:cs="Times New Roman"/>
          <w:bCs/>
          <w:lang w:val="pl-PL"/>
        </w:rPr>
        <w:t xml:space="preserve"> Sądu Apelacyjnego jest </w:t>
      </w:r>
      <w:r w:rsidR="00DC1FC2">
        <w:rPr>
          <w:rFonts w:ascii="Times New Roman" w:hAnsi="Times New Roman" w:cs="Times New Roman"/>
          <w:bCs/>
          <w:lang w:val="pl-PL"/>
        </w:rPr>
        <w:t>prawidłowe</w:t>
      </w:r>
      <w:r w:rsidRPr="007056C6">
        <w:rPr>
          <w:rFonts w:ascii="Times New Roman" w:hAnsi="Times New Roman" w:cs="Times New Roman"/>
          <w:bCs/>
          <w:lang w:val="pl-PL"/>
        </w:rPr>
        <w:t>, ale uzasadnienie prawne wyroku musi być zmienione i uzupełnione na podstawie Artykułu 692 § 2 Kodeksu Postępowania Cywilnego.</w:t>
      </w:r>
    </w:p>
    <w:p w:rsidR="00A220C6" w:rsidRPr="007056C6" w:rsidRDefault="007F3EC8" w:rsidP="00171A6F">
      <w:pPr>
        <w:pStyle w:val="ECHRParaQuote"/>
        <w:rPr>
          <w:rFonts w:ascii="Times New Roman" w:hAnsi="Times New Roman" w:cs="Times New Roman"/>
          <w:bCs/>
          <w:lang w:val="pl-PL"/>
        </w:rPr>
      </w:pPr>
      <w:r w:rsidRPr="007056C6">
        <w:rPr>
          <w:rFonts w:ascii="Times New Roman" w:hAnsi="Times New Roman" w:cs="Times New Roman"/>
          <w:bCs/>
          <w:lang w:val="pl-PL"/>
        </w:rPr>
        <w:t>11. Strony nie spierają się co do</w:t>
      </w:r>
      <w:r w:rsidR="007056C6">
        <w:rPr>
          <w:rFonts w:ascii="Times New Roman" w:hAnsi="Times New Roman" w:cs="Times New Roman"/>
          <w:bCs/>
          <w:lang w:val="pl-PL"/>
        </w:rPr>
        <w:t xml:space="preserve"> </w:t>
      </w:r>
      <w:r w:rsidR="00857507" w:rsidRPr="007056C6">
        <w:rPr>
          <w:rFonts w:ascii="Times New Roman" w:hAnsi="Times New Roman" w:cs="Times New Roman"/>
          <w:bCs/>
          <w:lang w:val="pl-PL"/>
        </w:rPr>
        <w:t>następujących okolicznościach:</w:t>
      </w:r>
    </w:p>
    <w:p w:rsidR="00A220C6" w:rsidRPr="00B45853" w:rsidRDefault="00A220C6" w:rsidP="00171A6F">
      <w:pPr>
        <w:pStyle w:val="ECHRParaQuote"/>
        <w:rPr>
          <w:rFonts w:ascii="Times New Roman" w:hAnsi="Times New Roman" w:cs="Times New Roman"/>
          <w:bCs/>
          <w:lang w:val="pl-PL"/>
        </w:rPr>
      </w:pPr>
      <w:r w:rsidRPr="00B45853">
        <w:rPr>
          <w:rFonts w:ascii="Times New Roman" w:hAnsi="Times New Roman" w:cs="Times New Roman"/>
          <w:bCs/>
          <w:lang w:val="pl-PL"/>
        </w:rPr>
        <w:t>•  </w:t>
      </w:r>
      <w:r w:rsidR="00857507" w:rsidRPr="00B45853">
        <w:rPr>
          <w:rFonts w:ascii="Times New Roman" w:hAnsi="Times New Roman" w:cs="Times New Roman"/>
          <w:bCs/>
          <w:lang w:val="pl-PL"/>
        </w:rPr>
        <w:t>w dniu 24 stycznia 2006 roku portal internetowy pozwanego "</w:t>
      </w:r>
      <w:proofErr w:type="spellStart"/>
      <w:r w:rsidR="00857507" w:rsidRPr="00B45853">
        <w:rPr>
          <w:rFonts w:ascii="Times New Roman" w:hAnsi="Times New Roman" w:cs="Times New Roman"/>
          <w:bCs/>
          <w:lang w:val="pl-PL"/>
        </w:rPr>
        <w:t>Delfi</w:t>
      </w:r>
      <w:proofErr w:type="spellEnd"/>
      <w:r w:rsidR="00857507" w:rsidRPr="00B45853">
        <w:rPr>
          <w:rFonts w:ascii="Times New Roman" w:hAnsi="Times New Roman" w:cs="Times New Roman"/>
          <w:bCs/>
          <w:lang w:val="pl-PL"/>
        </w:rPr>
        <w:t>" opublikował artykuł zatytułowany "SLK Zniszczył Planowaną Drogę Lodową ';</w:t>
      </w:r>
    </w:p>
    <w:p w:rsidR="00A220C6" w:rsidRPr="00B45853" w:rsidRDefault="00A220C6" w:rsidP="00171A6F">
      <w:pPr>
        <w:pStyle w:val="ECHRParaQuote"/>
        <w:rPr>
          <w:rFonts w:ascii="Times New Roman" w:hAnsi="Times New Roman" w:cs="Times New Roman"/>
          <w:bCs/>
          <w:lang w:val="pl-PL"/>
        </w:rPr>
      </w:pPr>
      <w:r w:rsidRPr="00B45853">
        <w:rPr>
          <w:rFonts w:ascii="Times New Roman" w:hAnsi="Times New Roman" w:cs="Times New Roman"/>
          <w:bCs/>
          <w:lang w:val="pl-PL"/>
        </w:rPr>
        <w:t>•  </w:t>
      </w:r>
      <w:r w:rsidR="00857507" w:rsidRPr="00B45853">
        <w:rPr>
          <w:rFonts w:ascii="Times New Roman" w:hAnsi="Times New Roman" w:cs="Times New Roman"/>
          <w:bCs/>
          <w:lang w:val="pl-PL"/>
        </w:rPr>
        <w:t>pozwany dostarczył odwiedzającym portal internetowy możliwość komentowania artykułów;</w:t>
      </w:r>
    </w:p>
    <w:p w:rsidR="00A220C6" w:rsidRPr="00B45853" w:rsidRDefault="00A220C6" w:rsidP="00171A6F">
      <w:pPr>
        <w:pStyle w:val="ECHRParaQuote"/>
        <w:rPr>
          <w:rFonts w:ascii="Times New Roman" w:hAnsi="Times New Roman" w:cs="Times New Roman"/>
          <w:bCs/>
          <w:lang w:val="pl-PL"/>
        </w:rPr>
      </w:pPr>
      <w:r w:rsidRPr="00B45853">
        <w:rPr>
          <w:rFonts w:ascii="Times New Roman" w:hAnsi="Times New Roman" w:cs="Times New Roman"/>
          <w:bCs/>
          <w:lang w:val="pl-PL"/>
        </w:rPr>
        <w:t>•  </w:t>
      </w:r>
      <w:r w:rsidR="00857507" w:rsidRPr="00B45853">
        <w:rPr>
          <w:rFonts w:ascii="Times New Roman" w:hAnsi="Times New Roman" w:cs="Times New Roman"/>
          <w:bCs/>
          <w:lang w:val="pl-PL"/>
        </w:rPr>
        <w:t>z opublikowanych komentarzy</w:t>
      </w:r>
      <w:r w:rsidRPr="00B45853">
        <w:rPr>
          <w:rFonts w:ascii="Times New Roman" w:hAnsi="Times New Roman" w:cs="Times New Roman"/>
          <w:bCs/>
          <w:lang w:val="pl-PL"/>
        </w:rPr>
        <w:t xml:space="preserve"> [</w:t>
      </w:r>
      <w:proofErr w:type="spellStart"/>
      <w:r w:rsidRPr="00B45853">
        <w:rPr>
          <w:rFonts w:ascii="Times New Roman" w:hAnsi="Times New Roman" w:cs="Times New Roman"/>
          <w:bCs/>
          <w:i/>
          <w:lang w:val="pl-PL"/>
        </w:rPr>
        <w:t>avaldatud</w:t>
      </w:r>
      <w:proofErr w:type="spellEnd"/>
      <w:r w:rsidRPr="00B45853">
        <w:rPr>
          <w:rFonts w:ascii="Times New Roman" w:hAnsi="Times New Roman" w:cs="Times New Roman"/>
          <w:bCs/>
          <w:lang w:val="pl-PL"/>
        </w:rPr>
        <w:t>]</w:t>
      </w:r>
      <w:r w:rsidRPr="00B45853">
        <w:rPr>
          <w:rFonts w:ascii="Times New Roman" w:hAnsi="Times New Roman" w:cs="Times New Roman"/>
          <w:bCs/>
          <w:vertAlign w:val="superscript"/>
          <w:lang w:val="en-GB"/>
        </w:rPr>
        <w:footnoteReference w:id="3"/>
      </w:r>
      <w:r w:rsidRPr="00B45853">
        <w:rPr>
          <w:rFonts w:ascii="Times New Roman" w:hAnsi="Times New Roman" w:cs="Times New Roman"/>
          <w:bCs/>
          <w:lang w:val="pl-PL"/>
        </w:rPr>
        <w:t xml:space="preserve"> </w:t>
      </w:r>
      <w:r w:rsidR="00857507" w:rsidRPr="00B45853">
        <w:rPr>
          <w:rFonts w:ascii="Times New Roman" w:hAnsi="Times New Roman" w:cs="Times New Roman"/>
          <w:bCs/>
          <w:lang w:val="pl-PL"/>
        </w:rPr>
        <w:t>na wspomnianym artykule</w:t>
      </w:r>
      <w:r w:rsidRPr="00B45853">
        <w:rPr>
          <w:rFonts w:ascii="Times New Roman" w:hAnsi="Times New Roman" w:cs="Times New Roman"/>
          <w:bCs/>
          <w:lang w:val="pl-PL"/>
        </w:rPr>
        <w:t xml:space="preserve">, </w:t>
      </w:r>
      <w:r w:rsidR="001E1FBC" w:rsidRPr="00B45853">
        <w:rPr>
          <w:rFonts w:ascii="Times New Roman" w:hAnsi="Times New Roman" w:cs="Times New Roman"/>
          <w:bCs/>
          <w:lang w:val="pl-PL"/>
        </w:rPr>
        <w:t>20 zawierało treść obraźliwą wobec powoda</w:t>
      </w:r>
      <w:r w:rsidR="00D2786C" w:rsidRPr="00B45853">
        <w:rPr>
          <w:rFonts w:ascii="Times New Roman" w:hAnsi="Times New Roman" w:cs="Times New Roman"/>
          <w:bCs/>
          <w:lang w:val="pl-PL"/>
        </w:rPr>
        <w:t xml:space="preserve"> [L.]</w:t>
      </w:r>
      <w:r w:rsidRPr="00B45853">
        <w:rPr>
          <w:rFonts w:ascii="Times New Roman" w:hAnsi="Times New Roman" w:cs="Times New Roman"/>
          <w:bCs/>
          <w:lang w:val="pl-PL"/>
        </w:rPr>
        <w:t>;</w:t>
      </w:r>
    </w:p>
    <w:p w:rsidR="00A220C6" w:rsidRPr="00B45853" w:rsidRDefault="00A220C6" w:rsidP="00171A6F">
      <w:pPr>
        <w:pStyle w:val="ECHRParaQuote"/>
        <w:rPr>
          <w:rFonts w:ascii="Times New Roman" w:hAnsi="Times New Roman" w:cs="Times New Roman"/>
          <w:bCs/>
          <w:lang w:val="pl-PL"/>
        </w:rPr>
      </w:pPr>
      <w:r w:rsidRPr="00B45853">
        <w:rPr>
          <w:rFonts w:ascii="Times New Roman" w:hAnsi="Times New Roman" w:cs="Times New Roman"/>
          <w:bCs/>
          <w:lang w:val="pl-PL"/>
        </w:rPr>
        <w:t>•  </w:t>
      </w:r>
      <w:r w:rsidR="001E1FBC" w:rsidRPr="00B45853">
        <w:rPr>
          <w:rFonts w:ascii="Times New Roman" w:hAnsi="Times New Roman" w:cs="Times New Roman"/>
          <w:bCs/>
          <w:lang w:val="pl-PL"/>
        </w:rPr>
        <w:t>pozwany usunął obraźliwe komentarze po piśmie powoda z dnia 9 marca 2006 roku.</w:t>
      </w:r>
    </w:p>
    <w:p w:rsidR="00A220C6" w:rsidRPr="007056C6" w:rsidRDefault="001E1FBC" w:rsidP="00171A6F">
      <w:pPr>
        <w:pStyle w:val="ECHRParaQuote"/>
        <w:rPr>
          <w:rFonts w:ascii="Times New Roman" w:hAnsi="Times New Roman" w:cs="Times New Roman"/>
          <w:bCs/>
          <w:lang w:val="pl-PL"/>
        </w:rPr>
      </w:pPr>
      <w:r w:rsidRPr="00B45853">
        <w:rPr>
          <w:rFonts w:ascii="Times New Roman" w:hAnsi="Times New Roman" w:cs="Times New Roman"/>
          <w:bCs/>
          <w:lang w:val="pl-PL"/>
        </w:rPr>
        <w:t xml:space="preserve">12. Spór prawny między stronami dotyczy tego, czy pozwany jako przedsiębiorca jest wydawcą w </w:t>
      </w:r>
      <w:r w:rsidRPr="007056C6">
        <w:rPr>
          <w:rFonts w:ascii="Times New Roman" w:hAnsi="Times New Roman" w:cs="Times New Roman"/>
          <w:bCs/>
          <w:lang w:val="pl-PL"/>
        </w:rPr>
        <w:t xml:space="preserve">rozumieniu </w:t>
      </w:r>
      <w:r w:rsidR="007F3EC8" w:rsidRPr="007056C6">
        <w:rPr>
          <w:rFonts w:ascii="Times New Roman" w:hAnsi="Times New Roman" w:cs="Times New Roman"/>
          <w:bCs/>
          <w:lang w:val="pl-PL"/>
        </w:rPr>
        <w:t>Prawa Zobowiązań</w:t>
      </w:r>
      <w:r w:rsidRPr="007056C6">
        <w:rPr>
          <w:rFonts w:ascii="Times New Roman" w:hAnsi="Times New Roman" w:cs="Times New Roman"/>
          <w:bCs/>
          <w:lang w:val="pl-PL"/>
        </w:rPr>
        <w:t xml:space="preserve"> czy to</w:t>
      </w:r>
      <w:r w:rsidR="005C0203" w:rsidRPr="007056C6">
        <w:rPr>
          <w:rFonts w:ascii="Times New Roman" w:hAnsi="Times New Roman" w:cs="Times New Roman"/>
          <w:bCs/>
          <w:lang w:val="pl-PL"/>
        </w:rPr>
        <w:t>,</w:t>
      </w:r>
      <w:r w:rsidRPr="007056C6">
        <w:rPr>
          <w:rFonts w:ascii="Times New Roman" w:hAnsi="Times New Roman" w:cs="Times New Roman"/>
          <w:bCs/>
          <w:lang w:val="pl-PL"/>
        </w:rPr>
        <w:t xml:space="preserve"> co zostało opublikowane (treść komentarzy)</w:t>
      </w:r>
      <w:r w:rsidR="007F3EC8" w:rsidRPr="007056C6">
        <w:rPr>
          <w:rFonts w:ascii="Times New Roman" w:hAnsi="Times New Roman" w:cs="Times New Roman"/>
          <w:bCs/>
          <w:lang w:val="pl-PL"/>
        </w:rPr>
        <w:t xml:space="preserve"> </w:t>
      </w:r>
      <w:r w:rsidRPr="007056C6">
        <w:rPr>
          <w:rFonts w:ascii="Times New Roman" w:hAnsi="Times New Roman" w:cs="Times New Roman"/>
          <w:bCs/>
          <w:lang w:val="pl-PL"/>
        </w:rPr>
        <w:t>jest niezgodne z prawem i czy pozwany jest odpowiedzialny za publikację komentarzy z nielegalną treścią</w:t>
      </w:r>
      <w:r w:rsidR="00A220C6" w:rsidRPr="007056C6">
        <w:rPr>
          <w:rFonts w:ascii="Times New Roman" w:hAnsi="Times New Roman" w:cs="Times New Roman"/>
          <w:bCs/>
          <w:lang w:val="pl-PL"/>
        </w:rPr>
        <w:t>.</w:t>
      </w:r>
    </w:p>
    <w:p w:rsidR="00A220C6" w:rsidRPr="007056C6" w:rsidRDefault="00A220C6" w:rsidP="00171A6F">
      <w:pPr>
        <w:pStyle w:val="ECHRParaQuote"/>
        <w:rPr>
          <w:rFonts w:ascii="Times New Roman" w:hAnsi="Times New Roman" w:cs="Times New Roman"/>
          <w:bCs/>
          <w:lang w:val="pl-PL"/>
        </w:rPr>
      </w:pPr>
      <w:r w:rsidRPr="007056C6">
        <w:rPr>
          <w:rFonts w:ascii="Times New Roman" w:hAnsi="Times New Roman" w:cs="Times New Roman"/>
          <w:bCs/>
          <w:lang w:val="pl-PL"/>
        </w:rPr>
        <w:t>13.  </w:t>
      </w:r>
      <w:r w:rsidR="001E1FBC" w:rsidRPr="007056C6">
        <w:rPr>
          <w:rFonts w:ascii="Times New Roman" w:hAnsi="Times New Roman" w:cs="Times New Roman"/>
          <w:bCs/>
          <w:lang w:val="pl-PL"/>
        </w:rPr>
        <w:t>Izba zgadza się z konkluzją Sądu Apelacyjnego, że pozwany nie podlega okolicznościom wyłącz</w:t>
      </w:r>
      <w:r w:rsidR="007F3EC8" w:rsidRPr="007056C6">
        <w:rPr>
          <w:rFonts w:ascii="Times New Roman" w:hAnsi="Times New Roman" w:cs="Times New Roman"/>
          <w:bCs/>
          <w:lang w:val="pl-PL"/>
        </w:rPr>
        <w:t>ającym z odpowiedzialności określonych</w:t>
      </w:r>
      <w:r w:rsidR="001E1FBC" w:rsidRPr="007056C6">
        <w:rPr>
          <w:rFonts w:ascii="Times New Roman" w:hAnsi="Times New Roman" w:cs="Times New Roman"/>
          <w:bCs/>
          <w:lang w:val="pl-PL"/>
        </w:rPr>
        <w:t xml:space="preserve"> w sekcji 10 ISSA [Ustawy o Usługach Społeczeństwa Informacyjnego</w:t>
      </w:r>
      <w:r w:rsidRPr="007056C6">
        <w:rPr>
          <w:rFonts w:ascii="Times New Roman" w:hAnsi="Times New Roman" w:cs="Times New Roman"/>
          <w:bCs/>
          <w:lang w:val="pl-PL"/>
        </w:rPr>
        <w:t>].</w:t>
      </w:r>
    </w:p>
    <w:p w:rsidR="00A220C6" w:rsidRPr="00B45853" w:rsidRDefault="001E1FBC" w:rsidP="00171A6F">
      <w:pPr>
        <w:pStyle w:val="ECHRParaQuote"/>
        <w:rPr>
          <w:rFonts w:ascii="Times New Roman" w:hAnsi="Times New Roman" w:cs="Times New Roman"/>
          <w:bCs/>
          <w:lang w:val="pl-PL"/>
        </w:rPr>
      </w:pPr>
      <w:r w:rsidRPr="00B45853">
        <w:rPr>
          <w:rFonts w:ascii="Times New Roman" w:hAnsi="Times New Roman" w:cs="Times New Roman"/>
          <w:bCs/>
          <w:lang w:val="pl-PL"/>
        </w:rPr>
        <w:t xml:space="preserve">Zgodnie z Sekcją 2 (6) przepisów i norm ustawy o Regulacyjnych Standardach Technicznych, usługi społeczeństwa informacyjnego są usługami określonymi w sekcji 2 (1) ISSA. Zgodnie z przepisem ISSA, o których mowa, "usługi społeczeństwa </w:t>
      </w:r>
      <w:r w:rsidRPr="00B45853">
        <w:rPr>
          <w:rFonts w:ascii="Times New Roman" w:hAnsi="Times New Roman" w:cs="Times New Roman"/>
          <w:bCs/>
          <w:lang w:val="pl-PL"/>
        </w:rPr>
        <w:lastRenderedPageBreak/>
        <w:t>informacyjnego" są usługami świadczonymi w formie działalności gospodarczej lub zawodowej na bezpośrednie żądanie usługobiorcy, bez ró</w:t>
      </w:r>
      <w:r w:rsidR="0041733F" w:rsidRPr="00B45853">
        <w:rPr>
          <w:rFonts w:ascii="Times New Roman" w:hAnsi="Times New Roman" w:cs="Times New Roman"/>
          <w:bCs/>
          <w:lang w:val="pl-PL"/>
        </w:rPr>
        <w:t>wnoczesnej obecności stron w tym samym miejscu</w:t>
      </w:r>
      <w:r w:rsidRPr="00B45853">
        <w:rPr>
          <w:rFonts w:ascii="Times New Roman" w:hAnsi="Times New Roman" w:cs="Times New Roman"/>
          <w:bCs/>
          <w:lang w:val="pl-PL"/>
        </w:rPr>
        <w:t>, a tak</w:t>
      </w:r>
      <w:r w:rsidR="0041733F" w:rsidRPr="00B45853">
        <w:rPr>
          <w:rFonts w:ascii="Times New Roman" w:hAnsi="Times New Roman" w:cs="Times New Roman"/>
          <w:bCs/>
          <w:lang w:val="pl-PL"/>
        </w:rPr>
        <w:t>ie usługi obejmują przetwarzanie, przechowywanie lub przekazywanie</w:t>
      </w:r>
      <w:r w:rsidRPr="00B45853">
        <w:rPr>
          <w:rFonts w:ascii="Times New Roman" w:hAnsi="Times New Roman" w:cs="Times New Roman"/>
          <w:bCs/>
          <w:lang w:val="pl-PL"/>
        </w:rPr>
        <w:t xml:space="preserve"> danych za pomocą środków elektronicznych, przeznaczonych do przetwarzania i przechowywania danych cyfrowych. Stąd istotne warunki świadczenia usług </w:t>
      </w:r>
      <w:r w:rsidR="0041733F" w:rsidRPr="00B45853">
        <w:rPr>
          <w:rFonts w:ascii="Times New Roman" w:hAnsi="Times New Roman" w:cs="Times New Roman"/>
          <w:bCs/>
          <w:lang w:val="pl-PL"/>
        </w:rPr>
        <w:t>społeczeństwa informacyjnego, że</w:t>
      </w:r>
      <w:r w:rsidRPr="00B45853">
        <w:rPr>
          <w:rFonts w:ascii="Times New Roman" w:hAnsi="Times New Roman" w:cs="Times New Roman"/>
          <w:bCs/>
          <w:lang w:val="pl-PL"/>
        </w:rPr>
        <w:t xml:space="preserve"> usługi są świadczone bez fizycznej obecności stron, dane są przesyłane drogą elektroniczną, a usługa jest świadczona za opłatą na podstawie wniosku złożonego przez użytkownika usługi.</w:t>
      </w:r>
    </w:p>
    <w:p w:rsidR="00A220C6" w:rsidRPr="00B45853" w:rsidRDefault="0041733F" w:rsidP="00171A6F">
      <w:pPr>
        <w:pStyle w:val="ECHRParaQuote"/>
        <w:rPr>
          <w:rFonts w:ascii="Times New Roman" w:hAnsi="Times New Roman" w:cs="Times New Roman"/>
          <w:bCs/>
          <w:lang w:val="pl-PL"/>
        </w:rPr>
      </w:pPr>
      <w:r w:rsidRPr="00B45853">
        <w:rPr>
          <w:rFonts w:ascii="Times New Roman" w:hAnsi="Times New Roman" w:cs="Times New Roman"/>
          <w:bCs/>
          <w:lang w:val="pl-PL"/>
        </w:rPr>
        <w:t xml:space="preserve">Sekcje od 8 do 11 ISSA ustalają odpowiedzialność dostawców różnych usług społeczeństwa informacyjnego. Sekcja 10 ISSA stwierdza, że ​​w przypadku gdy </w:t>
      </w:r>
      <w:r w:rsidR="00D86575" w:rsidRPr="00B45853">
        <w:rPr>
          <w:rFonts w:ascii="Times New Roman" w:hAnsi="Times New Roman" w:cs="Times New Roman"/>
          <w:bCs/>
          <w:lang w:val="pl-PL"/>
        </w:rPr>
        <w:t xml:space="preserve">świadczona </w:t>
      </w:r>
      <w:r w:rsidR="00D86575">
        <w:rPr>
          <w:rFonts w:ascii="Times New Roman" w:hAnsi="Times New Roman" w:cs="Times New Roman"/>
          <w:bCs/>
          <w:lang w:val="pl-PL"/>
        </w:rPr>
        <w:t>usługa stanowi</w:t>
      </w:r>
      <w:r w:rsidRPr="00B45853">
        <w:rPr>
          <w:rFonts w:ascii="Times New Roman" w:hAnsi="Times New Roman" w:cs="Times New Roman"/>
          <w:bCs/>
          <w:lang w:val="pl-PL"/>
        </w:rPr>
        <w:t xml:space="preserve"> przechowywanie informacji przekazanych przez usługobiorcę, usługodawca nie ponosi odpowiedzialności za informacje przechowywane na żądanie </w:t>
      </w:r>
      <w:r w:rsidR="005C0203" w:rsidRPr="00B45853">
        <w:rPr>
          <w:rFonts w:ascii="Times New Roman" w:hAnsi="Times New Roman" w:cs="Times New Roman"/>
          <w:bCs/>
          <w:lang w:val="pl-PL"/>
        </w:rPr>
        <w:t>usługobiorcy, pod warunkiem, że</w:t>
      </w:r>
      <w:r w:rsidRPr="00B45853">
        <w:rPr>
          <w:rFonts w:ascii="Times New Roman" w:hAnsi="Times New Roman" w:cs="Times New Roman"/>
          <w:bCs/>
          <w:lang w:val="pl-PL"/>
        </w:rPr>
        <w:t xml:space="preserve">: (1) usługodawca nie ma wiarygodnych wiadomości o treści informacji i, w odniesieniu do roszczeń odszkodowawczych, </w:t>
      </w:r>
      <w:r w:rsidR="00B84B32">
        <w:rPr>
          <w:rFonts w:ascii="Times New Roman" w:hAnsi="Times New Roman" w:cs="Times New Roman"/>
          <w:bCs/>
          <w:lang w:val="pl-PL"/>
        </w:rPr>
        <w:t xml:space="preserve"> </w:t>
      </w:r>
      <w:r w:rsidRPr="00B45853">
        <w:rPr>
          <w:rFonts w:ascii="Times New Roman" w:hAnsi="Times New Roman" w:cs="Times New Roman"/>
          <w:bCs/>
          <w:lang w:val="pl-PL"/>
        </w:rPr>
        <w:t xml:space="preserve">nie jest świadomy istnienia okoliczności wskazujących na </w:t>
      </w:r>
      <w:r w:rsidR="005C0203" w:rsidRPr="00B45853">
        <w:rPr>
          <w:rFonts w:ascii="Times New Roman" w:hAnsi="Times New Roman" w:cs="Times New Roman"/>
          <w:bCs/>
          <w:lang w:val="pl-PL"/>
        </w:rPr>
        <w:t>żadną</w:t>
      </w:r>
      <w:r w:rsidRPr="00B45853">
        <w:rPr>
          <w:rFonts w:ascii="Times New Roman" w:hAnsi="Times New Roman" w:cs="Times New Roman"/>
          <w:bCs/>
          <w:lang w:val="pl-PL"/>
        </w:rPr>
        <w:t xml:space="preserve"> nielegalną działalność lub informacje; (2) dostawca, posiadający wiedzę lub </w:t>
      </w:r>
      <w:r w:rsidR="005C0203" w:rsidRPr="00B45853">
        <w:rPr>
          <w:rFonts w:ascii="Times New Roman" w:hAnsi="Times New Roman" w:cs="Times New Roman"/>
          <w:bCs/>
          <w:lang w:val="pl-PL"/>
        </w:rPr>
        <w:t>będący świadomy</w:t>
      </w:r>
      <w:r w:rsidRPr="00B45853">
        <w:rPr>
          <w:rFonts w:ascii="Times New Roman" w:hAnsi="Times New Roman" w:cs="Times New Roman"/>
          <w:bCs/>
          <w:lang w:val="pl-PL"/>
        </w:rPr>
        <w:t xml:space="preserve"> wyżej wymienionych faktów, działa sprawnie w celu usunięcia lub uniemożliwienia dostępu do tych informacji. W związku z tym przepis ten stosuje się w przypadku, gdy świadczona usługa polega na przechowywanie danych na serwerze [usługodawcy] i umożliwianiu użytkownikom dostępu do tych danych. Z zastrzeżeniem warunków określonych w punkcie 10 ISSA, świadczący taką usługę jest zwolniony z odpowiedzialności za treść informacji przechowywanych przez niego, ponieważ usługodawca jedynie pełni rolę pośrednika w rozumieniu tego określo</w:t>
      </w:r>
      <w:r w:rsidR="00B84B32">
        <w:rPr>
          <w:rFonts w:ascii="Times New Roman" w:hAnsi="Times New Roman" w:cs="Times New Roman"/>
          <w:bCs/>
          <w:lang w:val="pl-PL"/>
        </w:rPr>
        <w:t>nego przepisu i nie inicjuje oraz nie</w:t>
      </w:r>
      <w:r w:rsidRPr="00B45853">
        <w:rPr>
          <w:rFonts w:ascii="Times New Roman" w:hAnsi="Times New Roman" w:cs="Times New Roman"/>
          <w:bCs/>
          <w:lang w:val="pl-PL"/>
        </w:rPr>
        <w:t xml:space="preserve"> modyfikuje informacj</w:t>
      </w:r>
      <w:r w:rsidR="00B84B32">
        <w:rPr>
          <w:rFonts w:ascii="Times New Roman" w:hAnsi="Times New Roman" w:cs="Times New Roman"/>
          <w:bCs/>
          <w:lang w:val="pl-PL"/>
        </w:rPr>
        <w:t>i</w:t>
      </w:r>
      <w:r w:rsidR="00A220C6" w:rsidRPr="00B45853">
        <w:rPr>
          <w:rFonts w:ascii="Times New Roman" w:hAnsi="Times New Roman" w:cs="Times New Roman"/>
          <w:bCs/>
          <w:lang w:val="pl-PL"/>
        </w:rPr>
        <w:t>.</w:t>
      </w:r>
    </w:p>
    <w:p w:rsidR="00A220C6" w:rsidRPr="00B45853" w:rsidRDefault="0041733F" w:rsidP="00171A6F">
      <w:pPr>
        <w:pStyle w:val="ECHRParaQuote"/>
        <w:rPr>
          <w:rFonts w:ascii="Times New Roman" w:hAnsi="Times New Roman" w:cs="Times New Roman"/>
          <w:bCs/>
          <w:lang w:val="pl-PL"/>
        </w:rPr>
      </w:pPr>
      <w:r w:rsidRPr="00B45853">
        <w:rPr>
          <w:rFonts w:ascii="Times New Roman" w:hAnsi="Times New Roman" w:cs="Times New Roman"/>
          <w:bCs/>
          <w:lang w:val="pl-PL"/>
        </w:rPr>
        <w:t>Ponieważ Ustawa o Usługach Społeczeństwa Informacyjnego jest oparta na dyrektywie Parlamentu Europejskiego 2000/31/EC i Rady w sprawie niektórych aspektów prawnych usług społeczeństwa informacyjnego, w szczególności handlu elektronicznego w ramach rynku wewnętrznego (Dyrektywa o Handlu Elektronicznym), zasady i cele tej dyrektywy powinny być również brane pod uwagę przy interpretacji przepisów ustawy</w:t>
      </w:r>
      <w:r w:rsidR="005C0203" w:rsidRPr="00B45853">
        <w:rPr>
          <w:rFonts w:ascii="Times New Roman" w:hAnsi="Times New Roman" w:cs="Times New Roman"/>
          <w:bCs/>
          <w:lang w:val="pl-PL"/>
        </w:rPr>
        <w:t>,</w:t>
      </w:r>
      <w:r w:rsidRPr="00B45853">
        <w:rPr>
          <w:rFonts w:ascii="Times New Roman" w:hAnsi="Times New Roman" w:cs="Times New Roman"/>
          <w:bCs/>
          <w:lang w:val="pl-PL"/>
        </w:rPr>
        <w:t xml:space="preserve"> o której mowa. Artykuły od 12 do 15 tej dyrektywy, które stanowią podstawę do sekcji od 8 do 11 ISSA, są uzupełniane przez motyw 42 preambuły do ​​dyrektywy. Zgodnie z tym motywem, zwolnienia z zobowiązania ustanowione w artykułach od 12 do 15 obejmują jedynie przypadki, w których działalność podmiotu świadczącego usługi społeczeństwa informacyjnego jest ograniczona do technicznego procesu obsługi i udzielania dostępu do sieci komunikacyjnej, w której informacje udostępniane przez osoby trzecie są przekazywane lub przechowywane czasowo, wyłącznie w celu dokonywania </w:t>
      </w:r>
      <w:r w:rsidR="003E02FD" w:rsidRPr="00B45853">
        <w:rPr>
          <w:rFonts w:ascii="Times New Roman" w:hAnsi="Times New Roman" w:cs="Times New Roman"/>
          <w:bCs/>
          <w:lang w:val="pl-PL"/>
        </w:rPr>
        <w:t>bardziej efektywnej transmisji</w:t>
      </w:r>
      <w:r w:rsidRPr="00B45853">
        <w:rPr>
          <w:rFonts w:ascii="Times New Roman" w:hAnsi="Times New Roman" w:cs="Times New Roman"/>
          <w:bCs/>
          <w:lang w:val="pl-PL"/>
        </w:rPr>
        <w:t xml:space="preserve">; działalność ta ma jedynie charakter techniczny, automatyczny i bierny, co oznacza, że ​​podmiot świadczący usługi społeczeństwa informacyjnego nie posiada wiedzy ani kontroli nad informacjami, które są przekazywane lub przechowywane. W związku z tym dostawcy tak zwanych </w:t>
      </w:r>
      <w:r w:rsidR="003E02FD" w:rsidRPr="00B45853">
        <w:rPr>
          <w:rFonts w:ascii="Times New Roman" w:hAnsi="Times New Roman" w:cs="Times New Roman"/>
          <w:bCs/>
          <w:lang w:val="pl-PL"/>
        </w:rPr>
        <w:t>‘</w:t>
      </w:r>
      <w:proofErr w:type="spellStart"/>
      <w:r w:rsidR="003E02FD" w:rsidRPr="00631F4D">
        <w:rPr>
          <w:rFonts w:ascii="Times New Roman" w:hAnsi="Times New Roman" w:cs="Times New Roman"/>
          <w:bCs/>
          <w:i/>
          <w:lang w:val="pl-PL"/>
        </w:rPr>
        <w:t>content</w:t>
      </w:r>
      <w:proofErr w:type="spellEnd"/>
      <w:r w:rsidR="003E02FD" w:rsidRPr="00631F4D">
        <w:rPr>
          <w:rFonts w:ascii="Times New Roman" w:hAnsi="Times New Roman" w:cs="Times New Roman"/>
          <w:bCs/>
          <w:i/>
          <w:lang w:val="pl-PL"/>
        </w:rPr>
        <w:t xml:space="preserve"> service</w:t>
      </w:r>
      <w:r w:rsidRPr="00631F4D">
        <w:rPr>
          <w:rFonts w:ascii="Times New Roman" w:hAnsi="Times New Roman" w:cs="Times New Roman"/>
          <w:bCs/>
          <w:i/>
          <w:lang w:val="pl-PL"/>
        </w:rPr>
        <w:t>'</w:t>
      </w:r>
      <w:r w:rsidRPr="00B45853">
        <w:rPr>
          <w:rFonts w:ascii="Times New Roman" w:hAnsi="Times New Roman" w:cs="Times New Roman"/>
          <w:bCs/>
          <w:lang w:val="pl-PL"/>
        </w:rPr>
        <w:t>, którzy mają kontrolę nad treścią informacji przechowywanych</w:t>
      </w:r>
      <w:r w:rsidR="005C0203" w:rsidRPr="00B45853">
        <w:rPr>
          <w:rFonts w:ascii="Times New Roman" w:hAnsi="Times New Roman" w:cs="Times New Roman"/>
          <w:bCs/>
          <w:lang w:val="pl-PL"/>
        </w:rPr>
        <w:t>,</w:t>
      </w:r>
      <w:r w:rsidRPr="00B45853">
        <w:rPr>
          <w:rFonts w:ascii="Times New Roman" w:hAnsi="Times New Roman" w:cs="Times New Roman"/>
          <w:bCs/>
          <w:lang w:val="pl-PL"/>
        </w:rPr>
        <w:t xml:space="preserve"> nie </w:t>
      </w:r>
      <w:r w:rsidR="003E02FD" w:rsidRPr="00B45853">
        <w:rPr>
          <w:rFonts w:ascii="Times New Roman" w:hAnsi="Times New Roman" w:cs="Times New Roman"/>
          <w:bCs/>
          <w:lang w:val="pl-PL"/>
        </w:rPr>
        <w:t>mogą liczyć</w:t>
      </w:r>
      <w:r w:rsidRPr="00B45853">
        <w:rPr>
          <w:rFonts w:ascii="Times New Roman" w:hAnsi="Times New Roman" w:cs="Times New Roman"/>
          <w:bCs/>
          <w:lang w:val="pl-PL"/>
        </w:rPr>
        <w:t xml:space="preserve"> na </w:t>
      </w:r>
      <w:r w:rsidR="003E02FD" w:rsidRPr="00B45853">
        <w:rPr>
          <w:rFonts w:ascii="Times New Roman" w:hAnsi="Times New Roman" w:cs="Times New Roman"/>
          <w:bCs/>
          <w:lang w:val="pl-PL"/>
        </w:rPr>
        <w:t>odstępstwa określone</w:t>
      </w:r>
      <w:r w:rsidRPr="00B45853">
        <w:rPr>
          <w:rFonts w:ascii="Times New Roman" w:hAnsi="Times New Roman" w:cs="Times New Roman"/>
          <w:bCs/>
          <w:lang w:val="pl-PL"/>
        </w:rPr>
        <w:t xml:space="preserve"> w artykułach od 12 do 15 tej dyrektywy.</w:t>
      </w:r>
    </w:p>
    <w:p w:rsidR="00A220C6" w:rsidRPr="00B45853" w:rsidRDefault="003E02FD" w:rsidP="00171A6F">
      <w:pPr>
        <w:pStyle w:val="ECHRParaQuote"/>
        <w:rPr>
          <w:rFonts w:ascii="Times New Roman" w:hAnsi="Times New Roman" w:cs="Times New Roman"/>
          <w:bCs/>
          <w:lang w:val="pl-PL"/>
        </w:rPr>
      </w:pPr>
      <w:r w:rsidRPr="00B45853">
        <w:rPr>
          <w:rFonts w:ascii="Times New Roman" w:hAnsi="Times New Roman" w:cs="Times New Roman"/>
          <w:bCs/>
          <w:lang w:val="pl-PL"/>
        </w:rPr>
        <w:t xml:space="preserve">Izba podziela opinię Sądu Apelacyjnego, że działania pozwanego związane z publikacją komentarzy mają nie tylko charakter techniczny, automatyczny i bierny. Celem pozwanego nie jest jedynie świadczenie pośredniczących usług. Pozwany posiada zintegrowane środowisko komentarzy pod swoim portalem informacyjnym, </w:t>
      </w:r>
      <w:r w:rsidRPr="007056C6">
        <w:rPr>
          <w:rFonts w:ascii="Times New Roman" w:hAnsi="Times New Roman" w:cs="Times New Roman"/>
          <w:bCs/>
          <w:lang w:val="pl-PL"/>
        </w:rPr>
        <w:t xml:space="preserve">zapraszając gości na stronie internetowej w celu uzupełnienia wiadomości własnymi </w:t>
      </w:r>
      <w:r w:rsidR="00372DF7" w:rsidRPr="007056C6">
        <w:rPr>
          <w:rFonts w:ascii="Times New Roman" w:hAnsi="Times New Roman" w:cs="Times New Roman"/>
          <w:bCs/>
          <w:lang w:val="pl-PL"/>
        </w:rPr>
        <w:t>osądami</w:t>
      </w:r>
      <w:r w:rsidRPr="007056C6">
        <w:rPr>
          <w:rFonts w:ascii="Times New Roman" w:hAnsi="Times New Roman" w:cs="Times New Roman"/>
          <w:bCs/>
          <w:lang w:val="pl-PL"/>
        </w:rPr>
        <w:t xml:space="preserve"> [</w:t>
      </w:r>
      <w:proofErr w:type="spellStart"/>
      <w:r w:rsidRPr="007056C6">
        <w:rPr>
          <w:rFonts w:ascii="Times New Roman" w:hAnsi="Times New Roman" w:cs="Times New Roman"/>
          <w:bCs/>
          <w:i/>
          <w:lang w:val="pl-PL"/>
        </w:rPr>
        <w:t>hinnangud</w:t>
      </w:r>
      <w:proofErr w:type="spellEnd"/>
      <w:r w:rsidRPr="007056C6">
        <w:rPr>
          <w:rFonts w:ascii="Times New Roman" w:hAnsi="Times New Roman" w:cs="Times New Roman"/>
          <w:bCs/>
          <w:lang w:val="pl-PL"/>
        </w:rPr>
        <w:t xml:space="preserve">] i opiniami (komentarze). W środowisku komentarzy pozwany aktywnie wzywa do zgłaszania uwag dotyczących newsów pojawiających się na portalu. Liczba wizyt na portalu pozwanego zależy od liczby komentarzy; dochody </w:t>
      </w:r>
      <w:r w:rsidRPr="007056C6">
        <w:rPr>
          <w:rFonts w:ascii="Times New Roman" w:hAnsi="Times New Roman" w:cs="Times New Roman"/>
          <w:bCs/>
          <w:lang w:val="pl-PL"/>
        </w:rPr>
        <w:lastRenderedPageBreak/>
        <w:t xml:space="preserve">uzyskane z reklam publikowanych na portalu,  z kolei zależą </w:t>
      </w:r>
      <w:r w:rsidR="00372DF7" w:rsidRPr="007056C6">
        <w:rPr>
          <w:rFonts w:ascii="Times New Roman" w:hAnsi="Times New Roman" w:cs="Times New Roman"/>
          <w:bCs/>
          <w:lang w:val="pl-PL"/>
        </w:rPr>
        <w:t xml:space="preserve">od [liczby wizyt]. Tak więc </w:t>
      </w:r>
      <w:r w:rsidRPr="007056C6">
        <w:rPr>
          <w:rFonts w:ascii="Times New Roman" w:hAnsi="Times New Roman" w:cs="Times New Roman"/>
          <w:bCs/>
          <w:lang w:val="pl-PL"/>
        </w:rPr>
        <w:t xml:space="preserve">pozwany </w:t>
      </w:r>
      <w:r w:rsidR="00372DF7" w:rsidRPr="007056C6">
        <w:rPr>
          <w:rFonts w:ascii="Times New Roman" w:hAnsi="Times New Roman" w:cs="Times New Roman"/>
          <w:bCs/>
          <w:lang w:val="pl-PL"/>
        </w:rPr>
        <w:t>ma interes ekonomiczny w</w:t>
      </w:r>
      <w:r w:rsidRPr="007056C6">
        <w:rPr>
          <w:rFonts w:ascii="Times New Roman" w:hAnsi="Times New Roman" w:cs="Times New Roman"/>
          <w:bCs/>
          <w:lang w:val="pl-PL"/>
        </w:rPr>
        <w:t xml:space="preserve"> </w:t>
      </w:r>
      <w:r w:rsidR="00372DF7" w:rsidRPr="007056C6">
        <w:rPr>
          <w:rFonts w:ascii="Times New Roman" w:hAnsi="Times New Roman" w:cs="Times New Roman"/>
          <w:bCs/>
          <w:lang w:val="pl-PL"/>
        </w:rPr>
        <w:t>publikowaniu</w:t>
      </w:r>
      <w:r w:rsidR="0029328A" w:rsidRPr="007056C6">
        <w:rPr>
          <w:rFonts w:ascii="Times New Roman" w:hAnsi="Times New Roman" w:cs="Times New Roman"/>
          <w:bCs/>
          <w:lang w:val="pl-PL"/>
        </w:rPr>
        <w:t xml:space="preserve"> komentarzy</w:t>
      </w:r>
      <w:r w:rsidRPr="007056C6">
        <w:rPr>
          <w:rFonts w:ascii="Times New Roman" w:hAnsi="Times New Roman" w:cs="Times New Roman"/>
          <w:bCs/>
          <w:lang w:val="pl-PL"/>
        </w:rPr>
        <w:t>. Fakt, że pozwan</w:t>
      </w:r>
      <w:r w:rsidR="0029328A" w:rsidRPr="007056C6">
        <w:rPr>
          <w:rFonts w:ascii="Times New Roman" w:hAnsi="Times New Roman" w:cs="Times New Roman"/>
          <w:bCs/>
          <w:lang w:val="pl-PL"/>
        </w:rPr>
        <w:t xml:space="preserve">y nie jest </w:t>
      </w:r>
      <w:r w:rsidR="00074255">
        <w:rPr>
          <w:rFonts w:ascii="Times New Roman" w:hAnsi="Times New Roman" w:cs="Times New Roman"/>
          <w:bCs/>
          <w:lang w:val="pl-PL"/>
        </w:rPr>
        <w:t>autorem</w:t>
      </w:r>
      <w:r w:rsidR="0029328A" w:rsidRPr="007056C6">
        <w:rPr>
          <w:rFonts w:ascii="Times New Roman" w:hAnsi="Times New Roman" w:cs="Times New Roman"/>
          <w:bCs/>
          <w:lang w:val="pl-PL"/>
        </w:rPr>
        <w:t xml:space="preserve"> komentarzy</w:t>
      </w:r>
      <w:r w:rsidR="006E36A1" w:rsidRPr="007056C6">
        <w:rPr>
          <w:rFonts w:ascii="Times New Roman" w:hAnsi="Times New Roman" w:cs="Times New Roman"/>
          <w:bCs/>
          <w:lang w:val="pl-PL"/>
        </w:rPr>
        <w:t>, nie znaczy,</w:t>
      </w:r>
      <w:r w:rsidRPr="007056C6">
        <w:rPr>
          <w:rFonts w:ascii="Times New Roman" w:hAnsi="Times New Roman" w:cs="Times New Roman"/>
          <w:bCs/>
          <w:lang w:val="pl-PL"/>
        </w:rPr>
        <w:t xml:space="preserve"> że pozwany nie ma kont</w:t>
      </w:r>
      <w:r w:rsidR="0029328A" w:rsidRPr="007056C6">
        <w:rPr>
          <w:rFonts w:ascii="Times New Roman" w:hAnsi="Times New Roman" w:cs="Times New Roman"/>
          <w:bCs/>
          <w:lang w:val="pl-PL"/>
        </w:rPr>
        <w:t>roli nad środowiskiem komentarzy</w:t>
      </w:r>
      <w:r w:rsidRPr="007056C6">
        <w:rPr>
          <w:rFonts w:ascii="Times New Roman" w:hAnsi="Times New Roman" w:cs="Times New Roman"/>
          <w:bCs/>
          <w:lang w:val="pl-PL"/>
        </w:rPr>
        <w:t xml:space="preserve">. Pozwany </w:t>
      </w:r>
      <w:r w:rsidR="00372DF7" w:rsidRPr="007056C6">
        <w:rPr>
          <w:rFonts w:ascii="Times New Roman" w:hAnsi="Times New Roman" w:cs="Times New Roman"/>
          <w:bCs/>
          <w:lang w:val="pl-PL"/>
        </w:rPr>
        <w:t>ustanawia reguły</w:t>
      </w:r>
      <w:r w:rsidRPr="007056C6">
        <w:rPr>
          <w:rFonts w:ascii="Times New Roman" w:hAnsi="Times New Roman" w:cs="Times New Roman"/>
          <w:bCs/>
          <w:lang w:val="pl-PL"/>
        </w:rPr>
        <w:t xml:space="preserve"> dotyczące śr</w:t>
      </w:r>
      <w:r w:rsidR="0029328A" w:rsidRPr="007056C6">
        <w:rPr>
          <w:rFonts w:ascii="Times New Roman" w:hAnsi="Times New Roman" w:cs="Times New Roman"/>
          <w:bCs/>
          <w:lang w:val="pl-PL"/>
        </w:rPr>
        <w:t>odowiska komentarzy</w:t>
      </w:r>
      <w:r w:rsidRPr="007056C6">
        <w:rPr>
          <w:rFonts w:ascii="Times New Roman" w:hAnsi="Times New Roman" w:cs="Times New Roman"/>
          <w:bCs/>
          <w:lang w:val="pl-PL"/>
        </w:rPr>
        <w:t xml:space="preserve"> i czyni w nim zmian</w:t>
      </w:r>
      <w:r w:rsidR="0029328A" w:rsidRPr="007056C6">
        <w:rPr>
          <w:rFonts w:ascii="Times New Roman" w:hAnsi="Times New Roman" w:cs="Times New Roman"/>
          <w:bCs/>
          <w:lang w:val="pl-PL"/>
        </w:rPr>
        <w:t>y</w:t>
      </w:r>
      <w:r w:rsidRPr="007056C6">
        <w:rPr>
          <w:rFonts w:ascii="Times New Roman" w:hAnsi="Times New Roman" w:cs="Times New Roman"/>
          <w:bCs/>
          <w:lang w:val="pl-PL"/>
        </w:rPr>
        <w:t xml:space="preserve"> (usuwa komentarz)</w:t>
      </w:r>
      <w:r w:rsidR="006E36A1" w:rsidRPr="007056C6">
        <w:rPr>
          <w:rFonts w:ascii="Times New Roman" w:hAnsi="Times New Roman" w:cs="Times New Roman"/>
          <w:bCs/>
          <w:lang w:val="pl-PL"/>
        </w:rPr>
        <w:t>,</w:t>
      </w:r>
      <w:r w:rsidRPr="007056C6">
        <w:rPr>
          <w:rFonts w:ascii="Times New Roman" w:hAnsi="Times New Roman" w:cs="Times New Roman"/>
          <w:bCs/>
          <w:lang w:val="pl-PL"/>
        </w:rPr>
        <w:t xml:space="preserve"> jeżeli </w:t>
      </w:r>
      <w:r w:rsidR="00372DF7" w:rsidRPr="007056C6">
        <w:rPr>
          <w:rFonts w:ascii="Times New Roman" w:hAnsi="Times New Roman" w:cs="Times New Roman"/>
          <w:bCs/>
          <w:lang w:val="pl-PL"/>
        </w:rPr>
        <w:t>reguły</w:t>
      </w:r>
      <w:r w:rsidRPr="007056C6">
        <w:rPr>
          <w:rFonts w:ascii="Times New Roman" w:hAnsi="Times New Roman" w:cs="Times New Roman"/>
          <w:bCs/>
          <w:lang w:val="pl-PL"/>
        </w:rPr>
        <w:t xml:space="preserve"> te są naruszone</w:t>
      </w:r>
      <w:r w:rsidRPr="00B45853">
        <w:rPr>
          <w:rFonts w:ascii="Times New Roman" w:hAnsi="Times New Roman" w:cs="Times New Roman"/>
          <w:bCs/>
          <w:lang w:val="pl-PL"/>
        </w:rPr>
        <w:t>. Natomiast użytkownik serwisu pozwanego nie może zmienić lub usunąć</w:t>
      </w:r>
      <w:r w:rsidR="00393C2E">
        <w:rPr>
          <w:rFonts w:ascii="Times New Roman" w:hAnsi="Times New Roman" w:cs="Times New Roman"/>
          <w:bCs/>
          <w:lang w:val="pl-PL"/>
        </w:rPr>
        <w:t xml:space="preserve"> własnego</w:t>
      </w:r>
      <w:r w:rsidRPr="00B45853">
        <w:rPr>
          <w:rFonts w:ascii="Times New Roman" w:hAnsi="Times New Roman" w:cs="Times New Roman"/>
          <w:bCs/>
          <w:lang w:val="pl-PL"/>
        </w:rPr>
        <w:t xml:space="preserve"> komentarz</w:t>
      </w:r>
      <w:r w:rsidR="0029328A" w:rsidRPr="00B45853">
        <w:rPr>
          <w:rFonts w:ascii="Times New Roman" w:hAnsi="Times New Roman" w:cs="Times New Roman"/>
          <w:bCs/>
          <w:lang w:val="pl-PL"/>
        </w:rPr>
        <w:t>a</w:t>
      </w:r>
      <w:r w:rsidRPr="00B45853">
        <w:rPr>
          <w:rFonts w:ascii="Times New Roman" w:hAnsi="Times New Roman" w:cs="Times New Roman"/>
          <w:bCs/>
          <w:lang w:val="pl-PL"/>
        </w:rPr>
        <w:t xml:space="preserve">. On lub ona może jedynie zgłosić nieodpowiedni komentarz. Zatem pozwany może określić, które z </w:t>
      </w:r>
      <w:r w:rsidR="0029328A" w:rsidRPr="00B45853">
        <w:rPr>
          <w:rFonts w:ascii="Times New Roman" w:hAnsi="Times New Roman" w:cs="Times New Roman"/>
          <w:bCs/>
          <w:lang w:val="pl-PL"/>
        </w:rPr>
        <w:t xml:space="preserve">dodanych </w:t>
      </w:r>
      <w:r w:rsidRPr="00B45853">
        <w:rPr>
          <w:rFonts w:ascii="Times New Roman" w:hAnsi="Times New Roman" w:cs="Times New Roman"/>
          <w:bCs/>
          <w:lang w:val="pl-PL"/>
        </w:rPr>
        <w:t>uwagi z</w:t>
      </w:r>
      <w:r w:rsidR="0029328A" w:rsidRPr="00B45853">
        <w:rPr>
          <w:rFonts w:ascii="Times New Roman" w:hAnsi="Times New Roman" w:cs="Times New Roman"/>
          <w:bCs/>
          <w:lang w:val="pl-PL"/>
        </w:rPr>
        <w:t>ostaną opublikowane, a które</w:t>
      </w:r>
      <w:r w:rsidR="00393C2E">
        <w:rPr>
          <w:rFonts w:ascii="Times New Roman" w:hAnsi="Times New Roman" w:cs="Times New Roman"/>
          <w:bCs/>
          <w:lang w:val="pl-PL"/>
        </w:rPr>
        <w:t xml:space="preserve"> z</w:t>
      </w:r>
      <w:r w:rsidR="0029328A" w:rsidRPr="00B45853">
        <w:rPr>
          <w:rFonts w:ascii="Times New Roman" w:hAnsi="Times New Roman" w:cs="Times New Roman"/>
          <w:bCs/>
          <w:lang w:val="pl-PL"/>
        </w:rPr>
        <w:t xml:space="preserve"> nich nie zostaną opublikowane</w:t>
      </w:r>
      <w:r w:rsidRPr="00B45853">
        <w:rPr>
          <w:rFonts w:ascii="Times New Roman" w:hAnsi="Times New Roman" w:cs="Times New Roman"/>
          <w:bCs/>
          <w:lang w:val="pl-PL"/>
        </w:rPr>
        <w:t>. Fakt, że pozwany nie skorzys</w:t>
      </w:r>
      <w:r w:rsidR="0029328A" w:rsidRPr="00B45853">
        <w:rPr>
          <w:rFonts w:ascii="Times New Roman" w:hAnsi="Times New Roman" w:cs="Times New Roman"/>
          <w:bCs/>
          <w:lang w:val="pl-PL"/>
        </w:rPr>
        <w:t>ta z tej możliwości, nie skłania</w:t>
      </w:r>
      <w:r w:rsidRPr="00B45853">
        <w:rPr>
          <w:rFonts w:ascii="Times New Roman" w:hAnsi="Times New Roman" w:cs="Times New Roman"/>
          <w:bCs/>
          <w:lang w:val="pl-PL"/>
        </w:rPr>
        <w:t xml:space="preserve"> do wniosku, </w:t>
      </w:r>
      <w:r w:rsidR="0029328A" w:rsidRPr="00B45853">
        <w:rPr>
          <w:rFonts w:ascii="Times New Roman" w:hAnsi="Times New Roman" w:cs="Times New Roman"/>
          <w:bCs/>
          <w:lang w:val="pl-PL"/>
        </w:rPr>
        <w:t>że publikowanie komentarzy nie są</w:t>
      </w:r>
      <w:r w:rsidRPr="00B45853">
        <w:rPr>
          <w:rFonts w:ascii="Times New Roman" w:hAnsi="Times New Roman" w:cs="Times New Roman"/>
          <w:bCs/>
          <w:lang w:val="pl-PL"/>
        </w:rPr>
        <w:t xml:space="preserve"> pod kontrolą pozwanego. Izba zgadza się z opinią Sądu Apelacyjnego, że pozwany, który reguluje informacje przechowywane w środowisku komentarza, świadczy </w:t>
      </w:r>
      <w:proofErr w:type="spellStart"/>
      <w:r w:rsidR="0029328A" w:rsidRPr="00971925">
        <w:rPr>
          <w:rFonts w:ascii="Times New Roman" w:hAnsi="Times New Roman" w:cs="Times New Roman"/>
          <w:bCs/>
          <w:i/>
          <w:lang w:val="pl-PL"/>
        </w:rPr>
        <w:t>content</w:t>
      </w:r>
      <w:proofErr w:type="spellEnd"/>
      <w:r w:rsidR="0029328A" w:rsidRPr="00971925">
        <w:rPr>
          <w:rFonts w:ascii="Times New Roman" w:hAnsi="Times New Roman" w:cs="Times New Roman"/>
          <w:bCs/>
          <w:i/>
          <w:lang w:val="pl-PL"/>
        </w:rPr>
        <w:t xml:space="preserve"> service</w:t>
      </w:r>
      <w:r w:rsidRPr="00B45853">
        <w:rPr>
          <w:rFonts w:ascii="Times New Roman" w:hAnsi="Times New Roman" w:cs="Times New Roman"/>
          <w:bCs/>
          <w:lang w:val="pl-PL"/>
        </w:rPr>
        <w:t xml:space="preserve">, </w:t>
      </w:r>
      <w:r w:rsidR="00971925">
        <w:rPr>
          <w:rFonts w:ascii="Times New Roman" w:hAnsi="Times New Roman" w:cs="Times New Roman"/>
          <w:bCs/>
          <w:lang w:val="pl-PL"/>
        </w:rPr>
        <w:t xml:space="preserve">dlatego też </w:t>
      </w:r>
      <w:r w:rsidR="0029328A" w:rsidRPr="00B45853">
        <w:rPr>
          <w:rFonts w:ascii="Times New Roman" w:hAnsi="Times New Roman" w:cs="Times New Roman"/>
          <w:bCs/>
          <w:lang w:val="pl-PL"/>
        </w:rPr>
        <w:t xml:space="preserve"> </w:t>
      </w:r>
      <w:r w:rsidR="00971925" w:rsidRPr="00B45853">
        <w:rPr>
          <w:rFonts w:ascii="Times New Roman" w:hAnsi="Times New Roman" w:cs="Times New Roman"/>
          <w:bCs/>
          <w:lang w:val="pl-PL"/>
        </w:rPr>
        <w:t>w niniejszej sprawie</w:t>
      </w:r>
      <w:r w:rsidR="00971925">
        <w:rPr>
          <w:rFonts w:ascii="Times New Roman" w:hAnsi="Times New Roman" w:cs="Times New Roman"/>
          <w:bCs/>
          <w:lang w:val="pl-PL"/>
        </w:rPr>
        <w:t xml:space="preserve"> nie ma zastosowania</w:t>
      </w:r>
      <w:r w:rsidR="00971925" w:rsidRPr="00B45853">
        <w:rPr>
          <w:rFonts w:ascii="Times New Roman" w:hAnsi="Times New Roman" w:cs="Times New Roman"/>
          <w:bCs/>
          <w:lang w:val="pl-PL"/>
        </w:rPr>
        <w:t xml:space="preserve"> </w:t>
      </w:r>
      <w:r w:rsidR="00971925">
        <w:rPr>
          <w:rFonts w:ascii="Times New Roman" w:hAnsi="Times New Roman" w:cs="Times New Roman"/>
          <w:bCs/>
          <w:lang w:val="pl-PL"/>
        </w:rPr>
        <w:t>przesłanka wyłączająca</w:t>
      </w:r>
      <w:r w:rsidR="0029328A" w:rsidRPr="00B45853">
        <w:rPr>
          <w:rFonts w:ascii="Times New Roman" w:hAnsi="Times New Roman" w:cs="Times New Roman"/>
          <w:bCs/>
          <w:lang w:val="pl-PL"/>
        </w:rPr>
        <w:t xml:space="preserve"> odpowiedzialnoś</w:t>
      </w:r>
      <w:r w:rsidR="00971925">
        <w:rPr>
          <w:rFonts w:ascii="Times New Roman" w:hAnsi="Times New Roman" w:cs="Times New Roman"/>
          <w:bCs/>
          <w:lang w:val="pl-PL"/>
        </w:rPr>
        <w:t>ć</w:t>
      </w:r>
      <w:r w:rsidR="0029328A" w:rsidRPr="00B45853">
        <w:rPr>
          <w:rFonts w:ascii="Times New Roman" w:hAnsi="Times New Roman" w:cs="Times New Roman"/>
          <w:bCs/>
          <w:lang w:val="pl-PL"/>
        </w:rPr>
        <w:t>, zgodnie z sekcją</w:t>
      </w:r>
      <w:r w:rsidRPr="00B45853">
        <w:rPr>
          <w:rFonts w:ascii="Times New Roman" w:hAnsi="Times New Roman" w:cs="Times New Roman"/>
          <w:bCs/>
          <w:lang w:val="pl-PL"/>
        </w:rPr>
        <w:t xml:space="preserve"> 10 ISSA</w:t>
      </w:r>
      <w:r w:rsidR="00971925">
        <w:rPr>
          <w:rFonts w:ascii="Times New Roman" w:hAnsi="Times New Roman" w:cs="Times New Roman"/>
          <w:bCs/>
          <w:lang w:val="pl-PL"/>
        </w:rPr>
        <w:t>.</w:t>
      </w:r>
    </w:p>
    <w:p w:rsidR="00A220C6" w:rsidRPr="007056C6" w:rsidRDefault="0029328A" w:rsidP="00171A6F">
      <w:pPr>
        <w:pStyle w:val="ECHRParaQuote"/>
        <w:rPr>
          <w:rFonts w:ascii="Times New Roman" w:hAnsi="Times New Roman" w:cs="Times New Roman"/>
          <w:bCs/>
          <w:lang w:val="pl-PL"/>
        </w:rPr>
      </w:pPr>
      <w:r w:rsidRPr="00B45853">
        <w:rPr>
          <w:rFonts w:ascii="Times New Roman" w:hAnsi="Times New Roman" w:cs="Times New Roman"/>
          <w:bCs/>
          <w:lang w:val="pl-PL"/>
        </w:rPr>
        <w:t xml:space="preserve">14. </w:t>
      </w:r>
      <w:r w:rsidR="00971925">
        <w:rPr>
          <w:rFonts w:ascii="Times New Roman" w:hAnsi="Times New Roman" w:cs="Times New Roman"/>
          <w:bCs/>
          <w:lang w:val="pl-PL"/>
        </w:rPr>
        <w:t>Bezsporna jest okoliczność</w:t>
      </w:r>
      <w:r w:rsidRPr="00B45853">
        <w:rPr>
          <w:rFonts w:ascii="Times New Roman" w:hAnsi="Times New Roman" w:cs="Times New Roman"/>
          <w:bCs/>
          <w:lang w:val="pl-PL"/>
        </w:rPr>
        <w:t>, że pozwany jest wydawcą artykułu zatytułowanego "SLK Z</w:t>
      </w:r>
      <w:r w:rsidR="00971925">
        <w:rPr>
          <w:rFonts w:ascii="Times New Roman" w:hAnsi="Times New Roman" w:cs="Times New Roman"/>
          <w:bCs/>
          <w:lang w:val="pl-PL"/>
        </w:rPr>
        <w:t>niszczył Planowaną Lodową Drogę</w:t>
      </w:r>
      <w:r w:rsidRPr="00B45853">
        <w:rPr>
          <w:rFonts w:ascii="Times New Roman" w:hAnsi="Times New Roman" w:cs="Times New Roman"/>
          <w:bCs/>
          <w:lang w:val="pl-PL"/>
        </w:rPr>
        <w:t xml:space="preserve">", opublikowanego na portalu internetowym </w:t>
      </w:r>
      <w:proofErr w:type="spellStart"/>
      <w:r w:rsidRPr="00B45853">
        <w:rPr>
          <w:rFonts w:ascii="Times New Roman" w:hAnsi="Times New Roman" w:cs="Times New Roman"/>
          <w:bCs/>
          <w:lang w:val="pl-PL"/>
        </w:rPr>
        <w:t>Delfi</w:t>
      </w:r>
      <w:proofErr w:type="spellEnd"/>
      <w:r w:rsidRPr="00B45853">
        <w:rPr>
          <w:rFonts w:ascii="Times New Roman" w:hAnsi="Times New Roman" w:cs="Times New Roman"/>
          <w:bCs/>
          <w:lang w:val="pl-PL"/>
        </w:rPr>
        <w:t xml:space="preserve"> w dniu 24 stycznia 2006 roku. Sąd Okręgowy uznał, że też należy uznać pozwanego jako wydawcę komentarzy. Sąd Apelacyjny, zgadzając </w:t>
      </w:r>
      <w:r w:rsidRPr="007056C6">
        <w:rPr>
          <w:rFonts w:ascii="Times New Roman" w:hAnsi="Times New Roman" w:cs="Times New Roman"/>
          <w:bCs/>
          <w:lang w:val="pl-PL"/>
        </w:rPr>
        <w:t xml:space="preserve">się z tą opinią, zauważył, że fakt, iż strona pozwana powołała się na naruszenie </w:t>
      </w:r>
      <w:r w:rsidR="00372DF7" w:rsidRPr="007056C6">
        <w:rPr>
          <w:rFonts w:ascii="Times New Roman" w:hAnsi="Times New Roman" w:cs="Times New Roman"/>
          <w:bCs/>
          <w:lang w:val="pl-PL"/>
        </w:rPr>
        <w:t>swojego</w:t>
      </w:r>
      <w:r w:rsidRPr="007056C6">
        <w:rPr>
          <w:rFonts w:ascii="Times New Roman" w:hAnsi="Times New Roman" w:cs="Times New Roman"/>
          <w:bCs/>
          <w:lang w:val="pl-PL"/>
        </w:rPr>
        <w:t xml:space="preserve"> prawa do woln</w:t>
      </w:r>
      <w:r w:rsidR="006E36A1" w:rsidRPr="007056C6">
        <w:rPr>
          <w:rFonts w:ascii="Times New Roman" w:hAnsi="Times New Roman" w:cs="Times New Roman"/>
          <w:bCs/>
          <w:lang w:val="pl-PL"/>
        </w:rPr>
        <w:t>ości słowa, pokazał,</w:t>
      </w:r>
      <w:r w:rsidRPr="007056C6">
        <w:rPr>
          <w:rFonts w:ascii="Times New Roman" w:hAnsi="Times New Roman" w:cs="Times New Roman"/>
          <w:bCs/>
          <w:lang w:val="pl-PL"/>
        </w:rPr>
        <w:t xml:space="preserve"> że uważa siebie</w:t>
      </w:r>
      <w:r w:rsidR="00EE3577">
        <w:rPr>
          <w:rFonts w:ascii="Times New Roman" w:hAnsi="Times New Roman" w:cs="Times New Roman"/>
          <w:bCs/>
          <w:lang w:val="pl-PL"/>
        </w:rPr>
        <w:t xml:space="preserve"> </w:t>
      </w:r>
      <w:r w:rsidR="006E36A1" w:rsidRPr="007056C6">
        <w:rPr>
          <w:rFonts w:ascii="Times New Roman" w:hAnsi="Times New Roman" w:cs="Times New Roman"/>
          <w:bCs/>
          <w:lang w:val="pl-PL"/>
        </w:rPr>
        <w:t>-</w:t>
      </w:r>
      <w:r w:rsidR="00EE3577">
        <w:rPr>
          <w:rFonts w:ascii="Times New Roman" w:hAnsi="Times New Roman" w:cs="Times New Roman"/>
          <w:bCs/>
          <w:lang w:val="pl-PL"/>
        </w:rPr>
        <w:t xml:space="preserve"> </w:t>
      </w:r>
      <w:r w:rsidR="006E36A1" w:rsidRPr="007056C6">
        <w:rPr>
          <w:rFonts w:ascii="Times New Roman" w:hAnsi="Times New Roman" w:cs="Times New Roman"/>
          <w:bCs/>
          <w:lang w:val="pl-PL"/>
        </w:rPr>
        <w:t>a nie autorów uwag</w:t>
      </w:r>
      <w:r w:rsidR="00EE3577">
        <w:rPr>
          <w:rFonts w:ascii="Times New Roman" w:hAnsi="Times New Roman" w:cs="Times New Roman"/>
          <w:bCs/>
          <w:lang w:val="pl-PL"/>
        </w:rPr>
        <w:t xml:space="preserve"> </w:t>
      </w:r>
      <w:r w:rsidR="006E36A1" w:rsidRPr="007056C6">
        <w:rPr>
          <w:rFonts w:ascii="Times New Roman" w:hAnsi="Times New Roman" w:cs="Times New Roman"/>
          <w:bCs/>
          <w:lang w:val="pl-PL"/>
        </w:rPr>
        <w:t>-</w:t>
      </w:r>
      <w:r w:rsidR="00EE3577">
        <w:rPr>
          <w:rFonts w:ascii="Times New Roman" w:hAnsi="Times New Roman" w:cs="Times New Roman"/>
          <w:bCs/>
          <w:lang w:val="pl-PL"/>
        </w:rPr>
        <w:t xml:space="preserve"> </w:t>
      </w:r>
      <w:r w:rsidRPr="007056C6">
        <w:rPr>
          <w:rFonts w:ascii="Times New Roman" w:hAnsi="Times New Roman" w:cs="Times New Roman"/>
          <w:bCs/>
          <w:lang w:val="pl-PL"/>
        </w:rPr>
        <w:t>za wydawcę komentarzy. W ocenie Izby, w tym przypadku zarówno pozwany</w:t>
      </w:r>
      <w:r w:rsidR="006E36A1" w:rsidRPr="007056C6">
        <w:rPr>
          <w:rFonts w:ascii="Times New Roman" w:hAnsi="Times New Roman" w:cs="Times New Roman"/>
          <w:bCs/>
          <w:lang w:val="pl-PL"/>
        </w:rPr>
        <w:t>,</w:t>
      </w:r>
      <w:r w:rsidRPr="007056C6">
        <w:rPr>
          <w:rFonts w:ascii="Times New Roman" w:hAnsi="Times New Roman" w:cs="Times New Roman"/>
          <w:bCs/>
          <w:lang w:val="pl-PL"/>
        </w:rPr>
        <w:t xml:space="preserve"> jak i autorzy komentarzy są wydawcami komentarzach w rozumieniu </w:t>
      </w:r>
      <w:r w:rsidR="00372DF7" w:rsidRPr="007056C6">
        <w:rPr>
          <w:rFonts w:ascii="Times New Roman" w:hAnsi="Times New Roman" w:cs="Times New Roman"/>
          <w:bCs/>
          <w:lang w:val="pl-PL"/>
        </w:rPr>
        <w:t>Prawa Zobowiązań</w:t>
      </w:r>
      <w:r w:rsidRPr="007056C6">
        <w:rPr>
          <w:rFonts w:ascii="Times New Roman" w:hAnsi="Times New Roman" w:cs="Times New Roman"/>
          <w:bCs/>
          <w:lang w:val="pl-PL"/>
        </w:rPr>
        <w:t>. Powód ma prawo wyboru, przeciwko komu wnieść pozew. Pozew został wniesiony tylko przeciwko pozwanemu.</w:t>
      </w:r>
    </w:p>
    <w:p w:rsidR="00A220C6" w:rsidRPr="00B45853" w:rsidRDefault="0029328A" w:rsidP="00171A6F">
      <w:pPr>
        <w:pStyle w:val="ECHRParaQuote"/>
        <w:rPr>
          <w:rFonts w:ascii="Times New Roman" w:hAnsi="Times New Roman" w:cs="Times New Roman"/>
          <w:bCs/>
          <w:lang w:val="pl-PL"/>
        </w:rPr>
      </w:pPr>
      <w:r w:rsidRPr="007056C6">
        <w:rPr>
          <w:rFonts w:ascii="Times New Roman" w:hAnsi="Times New Roman" w:cs="Times New Roman"/>
          <w:bCs/>
          <w:lang w:val="pl-PL"/>
        </w:rPr>
        <w:t xml:space="preserve">Izba wyjaśniła definicje ujawniania i ujawniającego w paragrafie 24 wyroku z dnia 21 grudnia 2005 roku w sprawie cywilnej nr 3-2-1-95-05, uznając, że dla celów </w:t>
      </w:r>
      <w:r w:rsidR="00AF2EB1" w:rsidRPr="007056C6">
        <w:rPr>
          <w:rFonts w:ascii="Times New Roman" w:hAnsi="Times New Roman" w:cs="Times New Roman"/>
          <w:bCs/>
          <w:lang w:val="pl-PL"/>
        </w:rPr>
        <w:t xml:space="preserve">artykułu </w:t>
      </w:r>
      <w:r w:rsidRPr="007056C6">
        <w:rPr>
          <w:rFonts w:ascii="Times New Roman" w:hAnsi="Times New Roman" w:cs="Times New Roman"/>
          <w:bCs/>
          <w:lang w:val="pl-PL"/>
        </w:rPr>
        <w:t xml:space="preserve">1047 z </w:t>
      </w:r>
      <w:r w:rsidR="00372DF7" w:rsidRPr="007056C6">
        <w:rPr>
          <w:rFonts w:ascii="Times New Roman" w:hAnsi="Times New Roman" w:cs="Times New Roman"/>
          <w:bCs/>
          <w:lang w:val="pl-PL"/>
        </w:rPr>
        <w:t xml:space="preserve">Prawa Zobowiązań </w:t>
      </w:r>
      <w:r w:rsidRPr="007056C6">
        <w:rPr>
          <w:rFonts w:ascii="Times New Roman" w:hAnsi="Times New Roman" w:cs="Times New Roman"/>
          <w:bCs/>
          <w:lang w:val="pl-PL"/>
        </w:rPr>
        <w:t>ujawnienie</w:t>
      </w:r>
      <w:r w:rsidR="00A220C6" w:rsidRPr="007056C6">
        <w:rPr>
          <w:rFonts w:ascii="Times New Roman" w:hAnsi="Times New Roman" w:cs="Times New Roman"/>
          <w:bCs/>
          <w:lang w:val="pl-PL"/>
        </w:rPr>
        <w:t xml:space="preserve"> [</w:t>
      </w:r>
      <w:proofErr w:type="spellStart"/>
      <w:r w:rsidR="00A220C6" w:rsidRPr="007056C6">
        <w:rPr>
          <w:rFonts w:ascii="Times New Roman" w:hAnsi="Times New Roman" w:cs="Times New Roman"/>
          <w:bCs/>
          <w:i/>
          <w:lang w:val="pl-PL"/>
        </w:rPr>
        <w:t>avaldamine</w:t>
      </w:r>
      <w:proofErr w:type="spellEnd"/>
      <w:r w:rsidR="00A220C6" w:rsidRPr="007056C6">
        <w:rPr>
          <w:rFonts w:ascii="Times New Roman" w:hAnsi="Times New Roman" w:cs="Times New Roman"/>
          <w:bCs/>
          <w:lang w:val="pl-PL"/>
        </w:rPr>
        <w:t xml:space="preserve">] </w:t>
      </w:r>
      <w:r w:rsidR="000C68D6" w:rsidRPr="007056C6">
        <w:rPr>
          <w:rFonts w:ascii="Times New Roman" w:hAnsi="Times New Roman" w:cs="Times New Roman"/>
          <w:bCs/>
          <w:lang w:val="pl-PL"/>
        </w:rPr>
        <w:t>oznacza przekazywanie informacji osobom trzecim a ujawniający</w:t>
      </w:r>
      <w:r w:rsidR="006E36A1" w:rsidRPr="007056C6">
        <w:rPr>
          <w:rFonts w:ascii="Times New Roman" w:hAnsi="Times New Roman" w:cs="Times New Roman"/>
          <w:bCs/>
          <w:lang w:val="pl-PL"/>
        </w:rPr>
        <w:t>,</w:t>
      </w:r>
      <w:r w:rsidR="000C68D6" w:rsidRPr="007056C6">
        <w:rPr>
          <w:rFonts w:ascii="Times New Roman" w:hAnsi="Times New Roman" w:cs="Times New Roman"/>
          <w:bCs/>
          <w:lang w:val="pl-PL"/>
        </w:rPr>
        <w:t xml:space="preserve"> jest osobą która przekazuje informacje</w:t>
      </w:r>
      <w:r w:rsidR="000C68D6" w:rsidRPr="00B45853">
        <w:rPr>
          <w:rFonts w:ascii="Times New Roman" w:hAnsi="Times New Roman" w:cs="Times New Roman"/>
          <w:bCs/>
          <w:lang w:val="pl-PL"/>
        </w:rPr>
        <w:t xml:space="preserve"> osobom trzecim. Ponadto Izba wyjaśniła, że ​​w przypadku publikacji </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avaldamine</w:t>
      </w:r>
      <w:proofErr w:type="spellEnd"/>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informacji w mediach, ujawniający / wydawca</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avaldaja</w:t>
      </w:r>
      <w:proofErr w:type="spellEnd"/>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może być spółką medialną, a także osobą, która przekazuje informacje do publikacji w mediach. Publikowanie wiadomości i komentarzy na portalu internetowego jest również działalnością dziennikarską</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ajakirjanduslik</w:t>
      </w:r>
      <w:proofErr w:type="spellEnd"/>
      <w:r w:rsidR="00A220C6" w:rsidRPr="00B45853">
        <w:rPr>
          <w:rFonts w:ascii="Times New Roman" w:hAnsi="Times New Roman" w:cs="Times New Roman"/>
          <w:bCs/>
          <w:i/>
          <w:lang w:val="pl-PL"/>
        </w:rPr>
        <w:t xml:space="preserve"> </w:t>
      </w:r>
      <w:proofErr w:type="spellStart"/>
      <w:r w:rsidR="00A220C6" w:rsidRPr="00B45853">
        <w:rPr>
          <w:rFonts w:ascii="Times New Roman" w:hAnsi="Times New Roman" w:cs="Times New Roman"/>
          <w:bCs/>
          <w:i/>
          <w:lang w:val="pl-PL"/>
        </w:rPr>
        <w:t>tegevus</w:t>
      </w:r>
      <w:proofErr w:type="spellEnd"/>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Jednocześnie, ze względu na charakter mediów internetowych</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internetiajakirjandus</w:t>
      </w:r>
      <w:proofErr w:type="spellEnd"/>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nie może być wymagane od operatora portalu</w:t>
      </w:r>
      <w:r w:rsidR="006E36A1" w:rsidRPr="00B45853">
        <w:rPr>
          <w:rFonts w:ascii="Times New Roman" w:hAnsi="Times New Roman" w:cs="Times New Roman"/>
          <w:bCs/>
          <w:lang w:val="pl-PL"/>
        </w:rPr>
        <w:t>,</w:t>
      </w:r>
      <w:r w:rsidR="000C68D6" w:rsidRPr="00B45853">
        <w:rPr>
          <w:rFonts w:ascii="Times New Roman" w:hAnsi="Times New Roman" w:cs="Times New Roman"/>
          <w:bCs/>
          <w:lang w:val="pl-PL"/>
        </w:rPr>
        <w:t xml:space="preserve"> aby edytował komentarze przed opublikowaniem ich w ten sam sposób, jak odnosi się to do publikacji w mediach drukowanych</w:t>
      </w:r>
      <w:r w:rsidR="00A220C6" w:rsidRPr="00B45853">
        <w:rPr>
          <w:rFonts w:ascii="Times New Roman" w:hAnsi="Times New Roman" w:cs="Times New Roman"/>
          <w:bCs/>
          <w:lang w:val="pl-PL"/>
        </w:rPr>
        <w:t xml:space="preserve"> [</w:t>
      </w:r>
      <w:r w:rsidR="00A220C6" w:rsidRPr="00B45853">
        <w:rPr>
          <w:rFonts w:ascii="Times New Roman" w:hAnsi="Times New Roman" w:cs="Times New Roman"/>
          <w:bCs/>
          <w:i/>
          <w:lang w:val="pl-PL"/>
        </w:rPr>
        <w:t>t</w:t>
      </w:r>
      <w:proofErr w:type="spellStart"/>
      <w:r w:rsidR="00A220C6" w:rsidRPr="00B45853">
        <w:rPr>
          <w:rFonts w:ascii="Times New Roman" w:hAnsi="Times New Roman" w:cs="Times New Roman"/>
          <w:bCs/>
          <w:i/>
          <w:lang w:val="et-EE"/>
        </w:rPr>
        <w:t>rükiajakirjanduse</w:t>
      </w:r>
      <w:proofErr w:type="spellEnd"/>
      <w:r w:rsidR="00A220C6" w:rsidRPr="00B45853">
        <w:rPr>
          <w:rFonts w:ascii="Times New Roman" w:hAnsi="Times New Roman" w:cs="Times New Roman"/>
          <w:bCs/>
          <w:i/>
          <w:lang w:val="et-EE"/>
        </w:rPr>
        <w:t xml:space="preserve"> väljaanne</w:t>
      </w:r>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Choć wydawca</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väljaandja</w:t>
      </w:r>
      <w:proofErr w:type="spellEnd"/>
      <w:r w:rsidR="00A220C6" w:rsidRPr="00B45853">
        <w:rPr>
          <w:rFonts w:ascii="Times New Roman" w:hAnsi="Times New Roman" w:cs="Times New Roman"/>
          <w:bCs/>
          <w:lang w:val="pl-PL"/>
        </w:rPr>
        <w:t>] [</w:t>
      </w:r>
      <w:r w:rsidR="000C68D6" w:rsidRPr="00B45853">
        <w:rPr>
          <w:rFonts w:ascii="Times New Roman" w:hAnsi="Times New Roman" w:cs="Times New Roman"/>
          <w:bCs/>
          <w:lang w:val="pl-PL"/>
        </w:rPr>
        <w:t>z publikacji w mediach drukowanych</w:t>
      </w:r>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jest poprzez edycję, inicjatorem publikacji komentarza, na portalu internetowym inicjatorem publikacji jest autor komentarza, który czyni go dostępnym dla ogółu społeczeństwa za pośrednictwem portalu. W związku z tym operator portalu nie jest osobą, której informacje są ujawniane. Ze względu na</w:t>
      </w:r>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ich</w:t>
      </w:r>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interes gospodarczy w publikacji uwag, zarówno wydawca</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väljaandja</w:t>
      </w:r>
      <w:proofErr w:type="spellEnd"/>
      <w:r w:rsidR="00A220C6" w:rsidRPr="00B45853">
        <w:rPr>
          <w:rFonts w:ascii="Times New Roman" w:hAnsi="Times New Roman" w:cs="Times New Roman"/>
          <w:bCs/>
          <w:lang w:val="pl-PL"/>
        </w:rPr>
        <w:t xml:space="preserve">] </w:t>
      </w:r>
      <w:r w:rsidR="000C68D6" w:rsidRPr="00B45853">
        <w:rPr>
          <w:rFonts w:ascii="Times New Roman" w:hAnsi="Times New Roman" w:cs="Times New Roman"/>
          <w:bCs/>
          <w:lang w:val="pl-PL"/>
        </w:rPr>
        <w:t>mediów drukowanych i operator portalu internetowego są wydawcami / ujawniającymi</w:t>
      </w:r>
      <w:r w:rsidR="00A220C6" w:rsidRPr="00B45853">
        <w:rPr>
          <w:rFonts w:ascii="Times New Roman" w:hAnsi="Times New Roman" w:cs="Times New Roman"/>
          <w:bCs/>
          <w:lang w:val="pl-PL"/>
        </w:rPr>
        <w:t xml:space="preserve"> [</w:t>
      </w:r>
      <w:proofErr w:type="spellStart"/>
      <w:r w:rsidR="00A220C6" w:rsidRPr="00B45853">
        <w:rPr>
          <w:rFonts w:ascii="Times New Roman" w:hAnsi="Times New Roman" w:cs="Times New Roman"/>
          <w:bCs/>
          <w:i/>
          <w:lang w:val="pl-PL"/>
        </w:rPr>
        <w:t>avaldajad</w:t>
      </w:r>
      <w:proofErr w:type="spellEnd"/>
      <w:r w:rsidR="00A220C6" w:rsidRPr="00B45853">
        <w:rPr>
          <w:rFonts w:ascii="Times New Roman" w:hAnsi="Times New Roman" w:cs="Times New Roman"/>
          <w:bCs/>
          <w:lang w:val="pl-PL"/>
        </w:rPr>
        <w:t xml:space="preserve">] </w:t>
      </w:r>
      <w:r w:rsidR="00B92944" w:rsidRPr="00B45853">
        <w:rPr>
          <w:rFonts w:ascii="Times New Roman" w:hAnsi="Times New Roman" w:cs="Times New Roman"/>
          <w:bCs/>
          <w:lang w:val="pl-PL"/>
        </w:rPr>
        <w:t>jak i przedsiębiorcami</w:t>
      </w:r>
      <w:r w:rsidR="00A220C6" w:rsidRPr="00B45853">
        <w:rPr>
          <w:rFonts w:ascii="Times New Roman" w:hAnsi="Times New Roman" w:cs="Times New Roman"/>
          <w:bCs/>
          <w:lang w:val="pl-PL"/>
        </w:rPr>
        <w:t>.</w:t>
      </w:r>
    </w:p>
    <w:p w:rsidR="00A220C6" w:rsidRPr="007056C6" w:rsidRDefault="000C68D6" w:rsidP="00171A6F">
      <w:pPr>
        <w:pStyle w:val="ECHRParaQuote"/>
        <w:rPr>
          <w:rFonts w:ascii="Times New Roman" w:hAnsi="Times New Roman" w:cs="Times New Roman"/>
          <w:bCs/>
          <w:lang w:val="pl-PL"/>
        </w:rPr>
      </w:pPr>
      <w:r w:rsidRPr="00B45853">
        <w:rPr>
          <w:rFonts w:ascii="Times New Roman" w:hAnsi="Times New Roman" w:cs="Times New Roman"/>
          <w:bCs/>
          <w:lang w:val="pl-PL"/>
        </w:rPr>
        <w:t>W sprawach dotyczących oceny wartości</w:t>
      </w:r>
      <w:r w:rsidR="00A220C6" w:rsidRPr="00B45853">
        <w:rPr>
          <w:rFonts w:ascii="Times New Roman" w:hAnsi="Times New Roman" w:cs="Times New Roman"/>
          <w:bCs/>
          <w:lang w:val="pl-PL"/>
        </w:rPr>
        <w:t xml:space="preserve"> [</w:t>
      </w:r>
      <w:r w:rsidR="00A220C6" w:rsidRPr="00B45853">
        <w:rPr>
          <w:rFonts w:ascii="Times New Roman" w:hAnsi="Times New Roman" w:cs="Times New Roman"/>
          <w:bCs/>
          <w:i/>
          <w:lang w:val="et-EE"/>
        </w:rPr>
        <w:t>väärtushinnang</w:t>
      </w:r>
      <w:r w:rsidR="00A220C6" w:rsidRPr="00B45853">
        <w:rPr>
          <w:rFonts w:ascii="Times New Roman" w:hAnsi="Times New Roman" w:cs="Times New Roman"/>
          <w:bCs/>
          <w:lang w:val="pl-PL"/>
        </w:rPr>
        <w:t xml:space="preserve">] </w:t>
      </w:r>
      <w:r w:rsidRPr="00B45853">
        <w:rPr>
          <w:rFonts w:ascii="Times New Roman" w:hAnsi="Times New Roman" w:cs="Times New Roman"/>
          <w:bCs/>
          <w:lang w:val="pl-PL"/>
        </w:rPr>
        <w:t xml:space="preserve">która przesądza i oczernia honor i dobre imię osoby, w celu ustalenia definicji publikacji / ujawnienia i wydawcy / ujawniającego nie ma znaczenia, czy </w:t>
      </w:r>
      <w:r w:rsidR="002A279B" w:rsidRPr="00B45853">
        <w:rPr>
          <w:rFonts w:ascii="Times New Roman" w:hAnsi="Times New Roman" w:cs="Times New Roman"/>
          <w:bCs/>
          <w:lang w:val="pl-PL"/>
        </w:rPr>
        <w:t>osąd</w:t>
      </w:r>
      <w:r w:rsidRPr="00B45853">
        <w:rPr>
          <w:rFonts w:ascii="Times New Roman" w:hAnsi="Times New Roman" w:cs="Times New Roman"/>
          <w:bCs/>
          <w:lang w:val="pl-PL"/>
        </w:rPr>
        <w:t xml:space="preserve"> jest </w:t>
      </w:r>
      <w:r w:rsidR="002A279B" w:rsidRPr="00B45853">
        <w:rPr>
          <w:rFonts w:ascii="Times New Roman" w:hAnsi="Times New Roman" w:cs="Times New Roman"/>
          <w:bCs/>
          <w:lang w:val="pl-PL"/>
        </w:rPr>
        <w:t xml:space="preserve">pochodną opublikowanych / </w:t>
      </w:r>
      <w:r w:rsidR="002A279B" w:rsidRPr="007056C6">
        <w:rPr>
          <w:rFonts w:ascii="Times New Roman" w:hAnsi="Times New Roman" w:cs="Times New Roman"/>
          <w:bCs/>
          <w:lang w:val="pl-PL"/>
        </w:rPr>
        <w:t>ujawnio</w:t>
      </w:r>
      <w:r w:rsidRPr="007056C6">
        <w:rPr>
          <w:rFonts w:ascii="Times New Roman" w:hAnsi="Times New Roman" w:cs="Times New Roman"/>
          <w:bCs/>
          <w:lang w:val="pl-PL"/>
        </w:rPr>
        <w:t xml:space="preserve">nych informacji </w:t>
      </w:r>
      <w:r w:rsidR="002A279B" w:rsidRPr="007056C6">
        <w:rPr>
          <w:rFonts w:ascii="Times New Roman" w:hAnsi="Times New Roman" w:cs="Times New Roman"/>
          <w:bCs/>
          <w:lang w:val="pl-PL"/>
        </w:rPr>
        <w:t>lub</w:t>
      </w:r>
      <w:r w:rsidR="006E36A1" w:rsidRPr="007056C6">
        <w:rPr>
          <w:rFonts w:ascii="Times New Roman" w:hAnsi="Times New Roman" w:cs="Times New Roman"/>
          <w:bCs/>
          <w:lang w:val="pl-PL"/>
        </w:rPr>
        <w:t>,</w:t>
      </w:r>
      <w:r w:rsidRPr="007056C6">
        <w:rPr>
          <w:rFonts w:ascii="Times New Roman" w:hAnsi="Times New Roman" w:cs="Times New Roman"/>
          <w:bCs/>
          <w:lang w:val="pl-PL"/>
        </w:rPr>
        <w:t xml:space="preserve"> czy</w:t>
      </w:r>
      <w:r w:rsidR="002A279B" w:rsidRPr="007056C6">
        <w:rPr>
          <w:rFonts w:ascii="Times New Roman" w:hAnsi="Times New Roman" w:cs="Times New Roman"/>
          <w:bCs/>
          <w:lang w:val="pl-PL"/>
        </w:rPr>
        <w:t xml:space="preserve"> jest uwłaczająca ze względu na jej</w:t>
      </w:r>
      <w:r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 xml:space="preserve">znaczenie </w:t>
      </w:r>
      <w:r w:rsidRPr="007056C6">
        <w:rPr>
          <w:rFonts w:ascii="Times New Roman" w:hAnsi="Times New Roman" w:cs="Times New Roman"/>
          <w:bCs/>
          <w:lang w:val="pl-PL"/>
        </w:rPr>
        <w:t>merytorycznego ... Stąd publikacja / u</w:t>
      </w:r>
      <w:r w:rsidR="002A279B" w:rsidRPr="007056C6">
        <w:rPr>
          <w:rFonts w:ascii="Times New Roman" w:hAnsi="Times New Roman" w:cs="Times New Roman"/>
          <w:bCs/>
          <w:lang w:val="pl-PL"/>
        </w:rPr>
        <w:t>jawnienie jest przekazaniem osądu osób trzecich</w:t>
      </w:r>
      <w:r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wobec osoby</w:t>
      </w:r>
      <w:r w:rsidR="00A220C6" w:rsidRPr="007056C6">
        <w:rPr>
          <w:rFonts w:ascii="Times New Roman" w:hAnsi="Times New Roman" w:cs="Times New Roman"/>
          <w:bCs/>
          <w:lang w:val="pl-PL"/>
        </w:rPr>
        <w:t xml:space="preserve"> (</w:t>
      </w:r>
      <w:r w:rsidR="003D106D" w:rsidRPr="007056C6">
        <w:rPr>
          <w:rFonts w:ascii="Times New Roman" w:hAnsi="Times New Roman" w:cs="Times New Roman"/>
          <w:bCs/>
          <w:lang w:val="pl-PL"/>
        </w:rPr>
        <w:t>artykuł</w:t>
      </w:r>
      <w:r w:rsidR="00A220C6" w:rsidRPr="007056C6">
        <w:rPr>
          <w:rFonts w:ascii="Times New Roman" w:hAnsi="Times New Roman" w:cs="Times New Roman"/>
          <w:bCs/>
          <w:lang w:val="pl-PL"/>
        </w:rPr>
        <w:t xml:space="preserve"> 1046(1) </w:t>
      </w:r>
      <w:r w:rsidR="003D106D" w:rsidRPr="007056C6">
        <w:rPr>
          <w:rFonts w:ascii="Times New Roman" w:hAnsi="Times New Roman" w:cs="Times New Roman"/>
          <w:bCs/>
          <w:lang w:val="pl-PL"/>
        </w:rPr>
        <w:t>Prawa Zobowiązań</w:t>
      </w:r>
      <w:r w:rsidR="00A220C6"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 xml:space="preserve">i / lub informacji, która pozwala na wykonanie osądu, a wydawca / ujawniający jest osobą, która przekazuje </w:t>
      </w:r>
      <w:r w:rsidR="002A279B" w:rsidRPr="007056C6">
        <w:rPr>
          <w:rFonts w:ascii="Times New Roman" w:hAnsi="Times New Roman" w:cs="Times New Roman"/>
          <w:bCs/>
          <w:lang w:val="pl-PL"/>
        </w:rPr>
        <w:lastRenderedPageBreak/>
        <w:t>takie osądy</w:t>
      </w:r>
      <w:r w:rsidR="00A220C6" w:rsidRPr="007056C6">
        <w:rPr>
          <w:rFonts w:ascii="Times New Roman" w:hAnsi="Times New Roman" w:cs="Times New Roman"/>
          <w:bCs/>
          <w:lang w:val="pl-PL"/>
        </w:rPr>
        <w:t xml:space="preserve"> [</w:t>
      </w:r>
      <w:proofErr w:type="spellStart"/>
      <w:r w:rsidR="00A220C6" w:rsidRPr="007056C6">
        <w:rPr>
          <w:rFonts w:ascii="Times New Roman" w:hAnsi="Times New Roman" w:cs="Times New Roman"/>
          <w:bCs/>
          <w:i/>
          <w:lang w:val="pl-PL"/>
        </w:rPr>
        <w:t>hinnangud</w:t>
      </w:r>
      <w:proofErr w:type="spellEnd"/>
      <w:r w:rsidR="00A220C6"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i informacje</w:t>
      </w:r>
      <w:r w:rsidR="00A220C6"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osobom trzecim</w:t>
      </w:r>
      <w:r w:rsidR="00A220C6"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W niniejszej sprawie uwagi zostały udostępnione nieograniczonej liczbie osób</w:t>
      </w:r>
      <w:r w:rsidR="00A220C6" w:rsidRPr="007056C6">
        <w:rPr>
          <w:rFonts w:ascii="Times New Roman" w:hAnsi="Times New Roman" w:cs="Times New Roman"/>
          <w:bCs/>
          <w:lang w:val="pl-PL"/>
        </w:rPr>
        <w:t xml:space="preserve"> (</w:t>
      </w:r>
      <w:r w:rsidR="002A279B" w:rsidRPr="007056C6">
        <w:rPr>
          <w:rFonts w:ascii="Times New Roman" w:hAnsi="Times New Roman" w:cs="Times New Roman"/>
          <w:bCs/>
          <w:lang w:val="pl-PL"/>
        </w:rPr>
        <w:t>opinii publicznej</w:t>
      </w:r>
      <w:r w:rsidR="00A220C6" w:rsidRPr="007056C6">
        <w:rPr>
          <w:rFonts w:ascii="Times New Roman" w:hAnsi="Times New Roman" w:cs="Times New Roman"/>
          <w:bCs/>
          <w:lang w:val="pl-PL"/>
        </w:rPr>
        <w:t>).</w:t>
      </w:r>
    </w:p>
    <w:p w:rsidR="00A220C6" w:rsidRPr="00B45853" w:rsidRDefault="00A220C6" w:rsidP="00171A6F">
      <w:pPr>
        <w:pStyle w:val="ECHRParaQuote"/>
        <w:rPr>
          <w:rFonts w:ascii="Times New Roman" w:hAnsi="Times New Roman" w:cs="Times New Roman"/>
          <w:bCs/>
          <w:lang w:val="pl-PL"/>
        </w:rPr>
      </w:pPr>
      <w:r w:rsidRPr="007056C6">
        <w:rPr>
          <w:rFonts w:ascii="Times New Roman" w:hAnsi="Times New Roman" w:cs="Times New Roman"/>
          <w:bCs/>
          <w:lang w:val="pl-PL"/>
        </w:rPr>
        <w:t>15.  </w:t>
      </w:r>
      <w:r w:rsidR="002A279B" w:rsidRPr="007056C6">
        <w:rPr>
          <w:rFonts w:ascii="Times New Roman" w:hAnsi="Times New Roman" w:cs="Times New Roman"/>
          <w:bCs/>
          <w:lang w:val="pl-PL"/>
        </w:rPr>
        <w:t xml:space="preserve">W odpowiedzi </w:t>
      </w:r>
      <w:r w:rsidR="006E36A1" w:rsidRPr="007056C6">
        <w:rPr>
          <w:rFonts w:ascii="Times New Roman" w:hAnsi="Times New Roman" w:cs="Times New Roman"/>
          <w:bCs/>
          <w:lang w:val="pl-PL"/>
        </w:rPr>
        <w:t>na zarzuty w apelacji pozwanego</w:t>
      </w:r>
      <w:r w:rsidR="002A279B" w:rsidRPr="007056C6">
        <w:rPr>
          <w:rFonts w:ascii="Times New Roman" w:hAnsi="Times New Roman" w:cs="Times New Roman"/>
          <w:bCs/>
          <w:lang w:val="pl-PL"/>
        </w:rPr>
        <w:t xml:space="preserve"> zgodnie z którym</w:t>
      </w:r>
      <w:r w:rsidR="003D106D" w:rsidRPr="007056C6">
        <w:rPr>
          <w:rFonts w:ascii="Times New Roman" w:hAnsi="Times New Roman" w:cs="Times New Roman"/>
          <w:bCs/>
          <w:lang w:val="pl-PL"/>
        </w:rPr>
        <w:t>i</w:t>
      </w:r>
      <w:r w:rsidR="002A279B" w:rsidRPr="007056C6">
        <w:rPr>
          <w:rFonts w:ascii="Times New Roman" w:hAnsi="Times New Roman" w:cs="Times New Roman"/>
          <w:bCs/>
          <w:lang w:val="pl-PL"/>
        </w:rPr>
        <w:t xml:space="preserve"> Sąd Apelacyjny błędnie zastosował się do Artykułu 45 Konstytucji, ponieważ w uzasadnieniu ingerencji w wolność wypowiedzi, opierając się na zasadzie dobrej </w:t>
      </w:r>
      <w:r w:rsidR="003D106D" w:rsidRPr="007056C6">
        <w:rPr>
          <w:rFonts w:ascii="Times New Roman" w:hAnsi="Times New Roman" w:cs="Times New Roman"/>
          <w:bCs/>
          <w:lang w:val="pl-PL"/>
        </w:rPr>
        <w:t>wiary, a nie na prawie</w:t>
      </w:r>
      <w:r w:rsidR="002A279B" w:rsidRPr="007056C6">
        <w:rPr>
          <w:rFonts w:ascii="Times New Roman" w:hAnsi="Times New Roman" w:cs="Times New Roman"/>
          <w:bCs/>
          <w:lang w:val="pl-PL"/>
        </w:rPr>
        <w:t>, oraz że usunięcie komentarza z portalu jest ingerencją w wolność wypowiedzi osoby zamieszczającej komentarz, Izba wyjaśnia, co następuje</w:t>
      </w:r>
      <w:r w:rsidRPr="00B45853">
        <w:rPr>
          <w:rFonts w:ascii="Times New Roman" w:hAnsi="Times New Roman" w:cs="Times New Roman"/>
          <w:bCs/>
          <w:lang w:val="pl-PL"/>
        </w:rPr>
        <w:t>.</w:t>
      </w:r>
    </w:p>
    <w:p w:rsidR="00A220C6" w:rsidRPr="007056C6" w:rsidRDefault="00151AC1" w:rsidP="00171A6F">
      <w:pPr>
        <w:pStyle w:val="ECHRParaQuote"/>
        <w:rPr>
          <w:rFonts w:ascii="Times New Roman" w:hAnsi="Times New Roman" w:cs="Times New Roman"/>
          <w:bCs/>
          <w:lang w:val="pl-PL"/>
        </w:rPr>
      </w:pPr>
      <w:r w:rsidRPr="00B45853">
        <w:rPr>
          <w:rFonts w:ascii="Times New Roman" w:hAnsi="Times New Roman" w:cs="Times New Roman"/>
          <w:bCs/>
          <w:lang w:val="pl-PL"/>
        </w:rPr>
        <w:t>Wykonywanie jakiegokolwiek podstawowego prawa jest ograniczone przez Artykuł 19 § 2 Konstytucji, który stanowi, że każdy musi szanować i brać pod uwagę prawa i wolności innych osób, oraz muszą przestrzegać prawa w wykonywaniu swoich praw i wolności</w:t>
      </w:r>
      <w:r w:rsidR="006E36A1" w:rsidRPr="00B45853">
        <w:rPr>
          <w:rFonts w:ascii="Times New Roman" w:hAnsi="Times New Roman" w:cs="Times New Roman"/>
          <w:bCs/>
          <w:lang w:val="pl-PL"/>
        </w:rPr>
        <w:t>,</w:t>
      </w:r>
      <w:r w:rsidRPr="00B45853">
        <w:rPr>
          <w:rFonts w:ascii="Times New Roman" w:hAnsi="Times New Roman" w:cs="Times New Roman"/>
          <w:bCs/>
          <w:lang w:val="pl-PL"/>
        </w:rPr>
        <w:t xml:space="preserve"> oraz w wypełnianiu jego lub jej obowiązków. Pierwsze zdanie pierwszego akapitu Artykułu 45 Konstytucji przewiduje </w:t>
      </w:r>
      <w:r w:rsidRPr="007056C6">
        <w:rPr>
          <w:rFonts w:ascii="Times New Roman" w:hAnsi="Times New Roman" w:cs="Times New Roman"/>
          <w:bCs/>
          <w:lang w:val="pl-PL"/>
        </w:rPr>
        <w:t xml:space="preserve">prawo każdego człowieka do wolności słowa, czyli prawo do rozpowszechniania informacji o jakiejkolwiek zawartości w jakikolwiek sposób. Prawo to jest ograniczone przez zakaz </w:t>
      </w:r>
      <w:r w:rsidR="001F413B" w:rsidRPr="007056C6">
        <w:rPr>
          <w:rFonts w:ascii="Times New Roman" w:hAnsi="Times New Roman" w:cs="Times New Roman"/>
          <w:bCs/>
          <w:lang w:val="pl-PL"/>
        </w:rPr>
        <w:t>naruszania</w:t>
      </w:r>
      <w:r w:rsidRPr="007056C6">
        <w:rPr>
          <w:rFonts w:ascii="Times New Roman" w:hAnsi="Times New Roman" w:cs="Times New Roman"/>
          <w:bCs/>
          <w:lang w:val="pl-PL"/>
        </w:rPr>
        <w:t xml:space="preserve"> godności i dobrego imienia osoby, określony w Konstytucji (Artykuł 17). Izba jest zdania, że ​​przy posługiwaniu się konfliktem pomiędzy wolno</w:t>
      </w:r>
      <w:r w:rsidR="006E36A1" w:rsidRPr="007056C6">
        <w:rPr>
          <w:rFonts w:ascii="Times New Roman" w:hAnsi="Times New Roman" w:cs="Times New Roman"/>
          <w:bCs/>
          <w:lang w:val="pl-PL"/>
        </w:rPr>
        <w:t>ścią wypowiedzi z jednej strony</w:t>
      </w:r>
      <w:r w:rsidRPr="007056C6">
        <w:rPr>
          <w:rFonts w:ascii="Times New Roman" w:hAnsi="Times New Roman" w:cs="Times New Roman"/>
          <w:bCs/>
          <w:lang w:val="pl-PL"/>
        </w:rPr>
        <w:t xml:space="preserve"> a godnością i dobrym imieniem z drugiej st</w:t>
      </w:r>
      <w:r w:rsidR="001F413B" w:rsidRPr="007056C6">
        <w:rPr>
          <w:rFonts w:ascii="Times New Roman" w:hAnsi="Times New Roman" w:cs="Times New Roman"/>
          <w:bCs/>
          <w:lang w:val="pl-PL"/>
        </w:rPr>
        <w:t xml:space="preserve">rony, należy wziąć pod uwagę </w:t>
      </w:r>
      <w:r w:rsidRPr="007056C6">
        <w:rPr>
          <w:rFonts w:ascii="Times New Roman" w:hAnsi="Times New Roman" w:cs="Times New Roman"/>
          <w:bCs/>
          <w:lang w:val="pl-PL"/>
        </w:rPr>
        <w:t>fakt, że Artykuł 17 Konstytucji, który jest sformułowany jako zakaz, całkowicie nie wyklucza jakiejkolwiek ingerencji w godność i dobre imię człowieka, ale ty</w:t>
      </w:r>
      <w:r w:rsidR="001F413B" w:rsidRPr="007056C6">
        <w:rPr>
          <w:rFonts w:ascii="Times New Roman" w:hAnsi="Times New Roman" w:cs="Times New Roman"/>
          <w:bCs/>
          <w:lang w:val="pl-PL"/>
        </w:rPr>
        <w:t>lko zakazuje jego zniesławiania (artykuł</w:t>
      </w:r>
      <w:r w:rsidRPr="007056C6">
        <w:rPr>
          <w:rFonts w:ascii="Times New Roman" w:hAnsi="Times New Roman" w:cs="Times New Roman"/>
          <w:bCs/>
          <w:lang w:val="pl-PL"/>
        </w:rPr>
        <w:t xml:space="preserve"> 1046</w:t>
      </w:r>
      <w:r w:rsidR="001F413B" w:rsidRPr="007056C6">
        <w:rPr>
          <w:rFonts w:ascii="Times New Roman" w:hAnsi="Times New Roman" w:cs="Times New Roman"/>
          <w:bCs/>
          <w:lang w:val="pl-PL"/>
        </w:rPr>
        <w:t xml:space="preserve"> Prawa Zobowiązań</w:t>
      </w:r>
      <w:r w:rsidRPr="007056C6">
        <w:rPr>
          <w:rFonts w:ascii="Times New Roman" w:hAnsi="Times New Roman" w:cs="Times New Roman"/>
          <w:bCs/>
          <w:lang w:val="pl-PL"/>
        </w:rPr>
        <w:t>). Innymi słowy, pominięcie wspomnianego zakazu nie byłoby zgodne z Konstytucją (Artykuł 11 Konstytucji). Drugie zdanie pierwszego akapitu Artykułu 45 Konstytucji obejmuje możliwość ograniczania swobody wypowiedzi przez prawo w celu ochrony godności osoby i jej dobrego imienia</w:t>
      </w:r>
      <w:r w:rsidR="00A220C6" w:rsidRPr="007056C6">
        <w:rPr>
          <w:rFonts w:ascii="Times New Roman" w:hAnsi="Times New Roman" w:cs="Times New Roman"/>
          <w:bCs/>
          <w:lang w:val="pl-PL"/>
        </w:rPr>
        <w:t>.</w:t>
      </w:r>
    </w:p>
    <w:p w:rsidR="00A220C6" w:rsidRPr="007056C6" w:rsidRDefault="00151AC1" w:rsidP="00171A6F">
      <w:pPr>
        <w:pStyle w:val="ECHRParaQuote"/>
        <w:rPr>
          <w:rFonts w:ascii="Times New Roman" w:hAnsi="Times New Roman" w:cs="Times New Roman"/>
          <w:bCs/>
          <w:lang w:val="pl-PL"/>
        </w:rPr>
      </w:pPr>
      <w:r w:rsidRPr="007056C6">
        <w:rPr>
          <w:rFonts w:ascii="Times New Roman" w:hAnsi="Times New Roman" w:cs="Times New Roman"/>
          <w:bCs/>
          <w:lang w:val="pl-PL"/>
        </w:rPr>
        <w:t xml:space="preserve">W interesie ochrony czci człowieka i dobrego imienia, następujące przepisy </w:t>
      </w:r>
      <w:r w:rsidR="001F413B" w:rsidRPr="007056C6">
        <w:rPr>
          <w:rFonts w:ascii="Times New Roman" w:hAnsi="Times New Roman" w:cs="Times New Roman"/>
          <w:bCs/>
          <w:lang w:val="pl-PL"/>
        </w:rPr>
        <w:t xml:space="preserve">Prawa Zobowiązań </w:t>
      </w:r>
      <w:r w:rsidRPr="007056C6">
        <w:rPr>
          <w:rFonts w:ascii="Times New Roman" w:hAnsi="Times New Roman" w:cs="Times New Roman"/>
          <w:bCs/>
          <w:lang w:val="pl-PL"/>
        </w:rPr>
        <w:t xml:space="preserve">mogą być traktowane jako ograniczające swobodę wypowiedzi: </w:t>
      </w:r>
      <w:r w:rsidR="001F413B" w:rsidRPr="007056C6">
        <w:rPr>
          <w:rFonts w:ascii="Times New Roman" w:hAnsi="Times New Roman" w:cs="Times New Roman"/>
          <w:bCs/>
          <w:lang w:val="pl-PL"/>
        </w:rPr>
        <w:t>artykuły</w:t>
      </w:r>
      <w:r w:rsidRPr="007056C6">
        <w:rPr>
          <w:rFonts w:ascii="Times New Roman" w:hAnsi="Times New Roman" w:cs="Times New Roman"/>
          <w:bCs/>
          <w:lang w:val="pl-PL"/>
        </w:rPr>
        <w:t xml:space="preserve"> 1045 (1)</w:t>
      </w:r>
      <w:r w:rsidR="006E36A1" w:rsidRPr="007056C6">
        <w:rPr>
          <w:rFonts w:ascii="Times New Roman" w:hAnsi="Times New Roman" w:cs="Times New Roman"/>
          <w:bCs/>
          <w:lang w:val="pl-PL"/>
        </w:rPr>
        <w:t xml:space="preserve"> </w:t>
      </w:r>
      <w:r w:rsidRPr="007056C6">
        <w:rPr>
          <w:rFonts w:ascii="Times New Roman" w:hAnsi="Times New Roman" w:cs="Times New Roman"/>
          <w:bCs/>
          <w:lang w:val="pl-PL"/>
        </w:rPr>
        <w:t>(4), 1046 (1), 1047 (1)</w:t>
      </w:r>
      <w:r w:rsidR="006E36A1" w:rsidRPr="007056C6">
        <w:rPr>
          <w:rFonts w:ascii="Times New Roman" w:hAnsi="Times New Roman" w:cs="Times New Roman"/>
          <w:bCs/>
          <w:lang w:val="pl-PL"/>
        </w:rPr>
        <w:t xml:space="preserve"> </w:t>
      </w:r>
      <w:r w:rsidRPr="007056C6">
        <w:rPr>
          <w:rFonts w:ascii="Times New Roman" w:hAnsi="Times New Roman" w:cs="Times New Roman"/>
          <w:bCs/>
          <w:lang w:val="pl-PL"/>
        </w:rPr>
        <w:t xml:space="preserve">(2) i (4), 1055 (1) i (2), 134 (2). </w:t>
      </w:r>
      <w:r w:rsidR="003368F6" w:rsidRPr="007056C6">
        <w:rPr>
          <w:rFonts w:ascii="Times New Roman" w:hAnsi="Times New Roman" w:cs="Times New Roman"/>
          <w:bCs/>
          <w:lang w:val="pl-PL"/>
        </w:rPr>
        <w:t>Sąd Okręgowy</w:t>
      </w:r>
      <w:r w:rsidRPr="007056C6">
        <w:rPr>
          <w:rFonts w:ascii="Times New Roman" w:hAnsi="Times New Roman" w:cs="Times New Roman"/>
          <w:bCs/>
          <w:lang w:val="pl-PL"/>
        </w:rPr>
        <w:t xml:space="preserve"> stwierdził, że </w:t>
      </w:r>
      <w:r w:rsidR="001F413B" w:rsidRPr="007056C6">
        <w:rPr>
          <w:rFonts w:ascii="Times New Roman" w:hAnsi="Times New Roman" w:cs="Times New Roman"/>
          <w:bCs/>
          <w:lang w:val="pl-PL"/>
        </w:rPr>
        <w:t>naruszenie</w:t>
      </w:r>
      <w:r w:rsidR="003368F6" w:rsidRPr="007056C6">
        <w:rPr>
          <w:rFonts w:ascii="Times New Roman" w:hAnsi="Times New Roman" w:cs="Times New Roman"/>
          <w:bCs/>
          <w:lang w:val="pl-PL"/>
        </w:rPr>
        <w:t xml:space="preserve"> godności</w:t>
      </w:r>
      <w:r w:rsidRPr="007056C6">
        <w:rPr>
          <w:rFonts w:ascii="Times New Roman" w:hAnsi="Times New Roman" w:cs="Times New Roman"/>
          <w:bCs/>
          <w:lang w:val="pl-PL"/>
        </w:rPr>
        <w:t xml:space="preserve"> powoda nie było u</w:t>
      </w:r>
      <w:r w:rsidR="003368F6" w:rsidRPr="007056C6">
        <w:rPr>
          <w:rFonts w:ascii="Times New Roman" w:hAnsi="Times New Roman" w:cs="Times New Roman"/>
          <w:bCs/>
          <w:lang w:val="pl-PL"/>
        </w:rPr>
        <w:t>zasadnione; było zatem niezgodne</w:t>
      </w:r>
      <w:r w:rsidRPr="007056C6">
        <w:rPr>
          <w:rFonts w:ascii="Times New Roman" w:hAnsi="Times New Roman" w:cs="Times New Roman"/>
          <w:bCs/>
          <w:lang w:val="pl-PL"/>
        </w:rPr>
        <w:t xml:space="preserve"> z prawem</w:t>
      </w:r>
      <w:r w:rsidR="001F413B" w:rsidRPr="007056C6">
        <w:rPr>
          <w:rFonts w:ascii="Times New Roman" w:hAnsi="Times New Roman" w:cs="Times New Roman"/>
          <w:bCs/>
          <w:lang w:val="pl-PL"/>
        </w:rPr>
        <w:t>, ponieważ nie było dyskusji odnośnie artykułu</w:t>
      </w:r>
      <w:r w:rsidRPr="007056C6">
        <w:rPr>
          <w:rFonts w:ascii="Times New Roman" w:hAnsi="Times New Roman" w:cs="Times New Roman"/>
          <w:bCs/>
          <w:lang w:val="pl-PL"/>
        </w:rPr>
        <w:t xml:space="preserve"> w komentarzach,</w:t>
      </w:r>
      <w:r w:rsidR="003368F6" w:rsidRPr="007056C6">
        <w:rPr>
          <w:rFonts w:ascii="Times New Roman" w:hAnsi="Times New Roman" w:cs="Times New Roman"/>
          <w:bCs/>
          <w:lang w:val="pl-PL"/>
        </w:rPr>
        <w:t xml:space="preserve"> ale powód był po prostu obrażany</w:t>
      </w:r>
      <w:r w:rsidRPr="007056C6">
        <w:rPr>
          <w:rFonts w:ascii="Times New Roman" w:hAnsi="Times New Roman" w:cs="Times New Roman"/>
          <w:bCs/>
          <w:lang w:val="pl-PL"/>
        </w:rPr>
        <w:t>, aby go</w:t>
      </w:r>
      <w:r w:rsidR="001F413B" w:rsidRPr="007056C6">
        <w:rPr>
          <w:rFonts w:ascii="Times New Roman" w:hAnsi="Times New Roman" w:cs="Times New Roman"/>
          <w:bCs/>
          <w:lang w:val="pl-PL"/>
        </w:rPr>
        <w:t xml:space="preserve"> poniżyć</w:t>
      </w:r>
      <w:r w:rsidRPr="007056C6">
        <w:rPr>
          <w:rFonts w:ascii="Times New Roman" w:hAnsi="Times New Roman" w:cs="Times New Roman"/>
          <w:bCs/>
          <w:lang w:val="pl-PL"/>
        </w:rPr>
        <w:t xml:space="preserve">. Sąd Apelacyjny zgodził się również z tą opinią. Izba stwierdza, że jeśli </w:t>
      </w:r>
      <w:r w:rsidR="001F413B" w:rsidRPr="007056C6">
        <w:rPr>
          <w:rFonts w:ascii="Times New Roman" w:hAnsi="Times New Roman" w:cs="Times New Roman"/>
          <w:bCs/>
          <w:lang w:val="pl-PL"/>
        </w:rPr>
        <w:t>artykuł 1046 Prawa Z</w:t>
      </w:r>
      <w:r w:rsidR="003368F6" w:rsidRPr="007056C6">
        <w:rPr>
          <w:rFonts w:ascii="Times New Roman" w:hAnsi="Times New Roman" w:cs="Times New Roman"/>
          <w:bCs/>
          <w:lang w:val="pl-PL"/>
        </w:rPr>
        <w:t>obowiązań</w:t>
      </w:r>
      <w:r w:rsidR="001F413B" w:rsidRPr="007056C6">
        <w:rPr>
          <w:rFonts w:ascii="Times New Roman" w:hAnsi="Times New Roman" w:cs="Times New Roman"/>
          <w:bCs/>
          <w:lang w:val="pl-PL"/>
        </w:rPr>
        <w:t xml:space="preserve"> jest interpretowany w zgodzie z Konstytucją, naruszenie</w:t>
      </w:r>
      <w:r w:rsidRPr="007056C6">
        <w:rPr>
          <w:rFonts w:ascii="Times New Roman" w:hAnsi="Times New Roman" w:cs="Times New Roman"/>
          <w:bCs/>
          <w:lang w:val="pl-PL"/>
        </w:rPr>
        <w:t xml:space="preserve"> </w:t>
      </w:r>
      <w:r w:rsidR="003368F6" w:rsidRPr="007056C6">
        <w:rPr>
          <w:rFonts w:ascii="Times New Roman" w:hAnsi="Times New Roman" w:cs="Times New Roman"/>
          <w:bCs/>
          <w:lang w:val="pl-PL"/>
        </w:rPr>
        <w:t>godności</w:t>
      </w:r>
      <w:r w:rsidRPr="007056C6">
        <w:rPr>
          <w:rFonts w:ascii="Times New Roman" w:hAnsi="Times New Roman" w:cs="Times New Roman"/>
          <w:bCs/>
          <w:lang w:val="pl-PL"/>
        </w:rPr>
        <w:t xml:space="preserve"> osoby jest niezgod</w:t>
      </w:r>
      <w:r w:rsidR="001F413B" w:rsidRPr="007056C6">
        <w:rPr>
          <w:rFonts w:ascii="Times New Roman" w:hAnsi="Times New Roman" w:cs="Times New Roman"/>
          <w:bCs/>
          <w:lang w:val="pl-PL"/>
        </w:rPr>
        <w:t>ne z prawem. W ocenie prawnej sądów</w:t>
      </w:r>
      <w:r w:rsidR="003368F6" w:rsidRPr="007056C6">
        <w:rPr>
          <w:rFonts w:ascii="Times New Roman" w:hAnsi="Times New Roman" w:cs="Times New Roman"/>
          <w:bCs/>
          <w:lang w:val="pl-PL"/>
        </w:rPr>
        <w:t xml:space="preserve"> uwłaczająca natura dwudziestu komentarzy</w:t>
      </w:r>
      <w:r w:rsidRPr="007056C6">
        <w:rPr>
          <w:rFonts w:ascii="Times New Roman" w:hAnsi="Times New Roman" w:cs="Times New Roman"/>
          <w:bCs/>
          <w:lang w:val="pl-PL"/>
        </w:rPr>
        <w:t xml:space="preserve"> </w:t>
      </w:r>
      <w:r w:rsidR="003368F6" w:rsidRPr="007056C6">
        <w:rPr>
          <w:rFonts w:ascii="Times New Roman" w:hAnsi="Times New Roman" w:cs="Times New Roman"/>
          <w:bCs/>
          <w:lang w:val="pl-PL"/>
        </w:rPr>
        <w:t>jest potwierdzona. Sądy słusznie uznały</w:t>
      </w:r>
      <w:r w:rsidRPr="007056C6">
        <w:rPr>
          <w:rFonts w:ascii="Times New Roman" w:hAnsi="Times New Roman" w:cs="Times New Roman"/>
          <w:bCs/>
          <w:lang w:val="pl-PL"/>
        </w:rPr>
        <w:t xml:space="preserve">, że te komentarze są zniesławiające, ponieważ są one o charakterze wulgarnym, </w:t>
      </w:r>
      <w:r w:rsidR="003368F6" w:rsidRPr="007056C6">
        <w:rPr>
          <w:rFonts w:ascii="Times New Roman" w:hAnsi="Times New Roman" w:cs="Times New Roman"/>
          <w:bCs/>
          <w:lang w:val="pl-PL"/>
        </w:rPr>
        <w:t>uwłaczającym</w:t>
      </w:r>
      <w:r w:rsidRPr="007056C6">
        <w:rPr>
          <w:rFonts w:ascii="Times New Roman" w:hAnsi="Times New Roman" w:cs="Times New Roman"/>
          <w:bCs/>
          <w:lang w:val="pl-PL"/>
        </w:rPr>
        <w:t xml:space="preserve"> godności ludzkiej i zawierają </w:t>
      </w:r>
      <w:r w:rsidR="003368F6" w:rsidRPr="007056C6">
        <w:rPr>
          <w:rFonts w:ascii="Times New Roman" w:hAnsi="Times New Roman" w:cs="Times New Roman"/>
          <w:bCs/>
          <w:lang w:val="pl-PL"/>
        </w:rPr>
        <w:t>groźby</w:t>
      </w:r>
      <w:r w:rsidR="00A220C6" w:rsidRPr="007056C6">
        <w:rPr>
          <w:rFonts w:ascii="Times New Roman" w:hAnsi="Times New Roman" w:cs="Times New Roman"/>
          <w:bCs/>
          <w:lang w:val="pl-PL"/>
        </w:rPr>
        <w:t>.</w:t>
      </w:r>
    </w:p>
    <w:p w:rsidR="00A220C6" w:rsidRPr="007056C6" w:rsidRDefault="003368F6" w:rsidP="00171A6F">
      <w:pPr>
        <w:pStyle w:val="ECHRParaQuote"/>
        <w:rPr>
          <w:rFonts w:ascii="Times New Roman" w:hAnsi="Times New Roman" w:cs="Times New Roman"/>
          <w:bCs/>
          <w:lang w:val="pl-PL"/>
        </w:rPr>
      </w:pPr>
      <w:r w:rsidRPr="00B45853">
        <w:rPr>
          <w:rFonts w:ascii="Times New Roman" w:hAnsi="Times New Roman" w:cs="Times New Roman"/>
          <w:bCs/>
          <w:lang w:val="pl-PL"/>
        </w:rPr>
        <w:t xml:space="preserve">Izba nie zgadza się ze stanowiskiem Sądu Apelacyjnego, że usunięcie komentarzy o bezprawnym charakterze ingerujących w dobro osobiste powoda nie jest ingerencją w wolność wypowiedzi autorów komentarzy. Izba uważa, że stosowanie jakichkolwiek środków ograniczających podstawowe prawo w jakikolwiek sposób mogą zostać uznane za ingerencję w korzystanie z tego podstawowego prawa. Naruszenie wolności wypowiedzi autorów komentarzy przez </w:t>
      </w:r>
      <w:r w:rsidRPr="007056C6">
        <w:rPr>
          <w:rFonts w:ascii="Times New Roman" w:hAnsi="Times New Roman" w:cs="Times New Roman"/>
          <w:bCs/>
          <w:lang w:val="pl-PL"/>
        </w:rPr>
        <w:t xml:space="preserve">operatora portalu internetowego jest jednak uzasadnionym obowiązkiem operatora-przedsiębiorcy portalu </w:t>
      </w:r>
      <w:r w:rsidR="0027708F" w:rsidRPr="007056C6">
        <w:rPr>
          <w:rFonts w:ascii="Times New Roman" w:hAnsi="Times New Roman" w:cs="Times New Roman"/>
          <w:bCs/>
          <w:lang w:val="pl-PL"/>
        </w:rPr>
        <w:t>szanującego</w:t>
      </w:r>
      <w:r w:rsidRPr="007056C6">
        <w:rPr>
          <w:rFonts w:ascii="Times New Roman" w:hAnsi="Times New Roman" w:cs="Times New Roman"/>
          <w:bCs/>
          <w:lang w:val="pl-PL"/>
        </w:rPr>
        <w:t xml:space="preserve"> </w:t>
      </w:r>
      <w:r w:rsidR="0027708F" w:rsidRPr="007056C6">
        <w:rPr>
          <w:rFonts w:ascii="Times New Roman" w:hAnsi="Times New Roman" w:cs="Times New Roman"/>
          <w:bCs/>
          <w:lang w:val="pl-PL"/>
        </w:rPr>
        <w:t>godność</w:t>
      </w:r>
      <w:r w:rsidRPr="007056C6">
        <w:rPr>
          <w:rFonts w:ascii="Times New Roman" w:hAnsi="Times New Roman" w:cs="Times New Roman"/>
          <w:bCs/>
          <w:lang w:val="pl-PL"/>
        </w:rPr>
        <w:t xml:space="preserve"> i dobre imię osób trzecich, </w:t>
      </w:r>
      <w:r w:rsidR="0027708F" w:rsidRPr="007056C6">
        <w:rPr>
          <w:rFonts w:ascii="Times New Roman" w:hAnsi="Times New Roman" w:cs="Times New Roman"/>
          <w:bCs/>
          <w:lang w:val="pl-PL"/>
        </w:rPr>
        <w:t>jako wynikające z Konstytucji (Artykuł 17) oraz prawa</w:t>
      </w:r>
      <w:r w:rsidR="001F413B" w:rsidRPr="007056C6">
        <w:rPr>
          <w:rFonts w:ascii="Times New Roman" w:hAnsi="Times New Roman" w:cs="Times New Roman"/>
          <w:bCs/>
          <w:lang w:val="pl-PL"/>
        </w:rPr>
        <w:t xml:space="preserve"> (</w:t>
      </w:r>
      <w:r w:rsidR="007056C6" w:rsidRPr="007056C6">
        <w:rPr>
          <w:rFonts w:ascii="Times New Roman" w:hAnsi="Times New Roman" w:cs="Times New Roman"/>
          <w:bCs/>
          <w:lang w:val="pl-PL"/>
        </w:rPr>
        <w:t>artykuł</w:t>
      </w:r>
      <w:r w:rsidRPr="007056C6">
        <w:rPr>
          <w:rFonts w:ascii="Times New Roman" w:hAnsi="Times New Roman" w:cs="Times New Roman"/>
          <w:bCs/>
          <w:lang w:val="pl-PL"/>
        </w:rPr>
        <w:t xml:space="preserve"> 1046), oraz w celu uniknięcia wyrządzenia im krzywdy (</w:t>
      </w:r>
      <w:r w:rsidR="001F413B" w:rsidRPr="007056C6">
        <w:rPr>
          <w:rFonts w:ascii="Times New Roman" w:hAnsi="Times New Roman" w:cs="Times New Roman"/>
          <w:bCs/>
          <w:lang w:val="pl-PL"/>
        </w:rPr>
        <w:t>artykuł</w:t>
      </w:r>
      <w:r w:rsidRPr="007056C6">
        <w:rPr>
          <w:rFonts w:ascii="Times New Roman" w:hAnsi="Times New Roman" w:cs="Times New Roman"/>
          <w:bCs/>
          <w:lang w:val="pl-PL"/>
        </w:rPr>
        <w:t xml:space="preserve"> 1045 (1) (4) </w:t>
      </w:r>
      <w:r w:rsidR="001F413B" w:rsidRPr="007056C6">
        <w:rPr>
          <w:rFonts w:ascii="Times New Roman" w:hAnsi="Times New Roman" w:cs="Times New Roman"/>
          <w:bCs/>
          <w:lang w:val="pl-PL"/>
        </w:rPr>
        <w:t>Prawa Zobowiązań</w:t>
      </w:r>
      <w:r w:rsidRPr="007056C6">
        <w:rPr>
          <w:rFonts w:ascii="Times New Roman" w:hAnsi="Times New Roman" w:cs="Times New Roman"/>
          <w:bCs/>
          <w:lang w:val="pl-PL"/>
        </w:rPr>
        <w:t>).</w:t>
      </w:r>
    </w:p>
    <w:p w:rsidR="00A220C6" w:rsidRPr="007056C6" w:rsidRDefault="0027708F" w:rsidP="00171A6F">
      <w:pPr>
        <w:pStyle w:val="ECHRParaQuote"/>
        <w:rPr>
          <w:rFonts w:ascii="Times New Roman" w:hAnsi="Times New Roman" w:cs="Times New Roman"/>
          <w:bCs/>
          <w:lang w:val="pl-PL"/>
        </w:rPr>
      </w:pPr>
      <w:r w:rsidRPr="007056C6">
        <w:rPr>
          <w:rFonts w:ascii="Times New Roman" w:hAnsi="Times New Roman" w:cs="Times New Roman"/>
          <w:bCs/>
          <w:lang w:val="pl-PL"/>
        </w:rPr>
        <w:t xml:space="preserve">16. Zgodnie z wyrokiem Sądu Apelacyjnego, treść komentarzy była niezgodna z prawem; były językowo </w:t>
      </w:r>
      <w:r w:rsidR="00807AC3">
        <w:rPr>
          <w:rFonts w:ascii="Times New Roman" w:hAnsi="Times New Roman" w:cs="Times New Roman"/>
          <w:bCs/>
          <w:lang w:val="pl-PL"/>
        </w:rPr>
        <w:t>niewłaściwe</w:t>
      </w:r>
      <w:r w:rsidRPr="007056C6">
        <w:rPr>
          <w:rFonts w:ascii="Times New Roman" w:hAnsi="Times New Roman" w:cs="Times New Roman"/>
          <w:bCs/>
          <w:lang w:val="pl-PL"/>
        </w:rPr>
        <w:t xml:space="preserve">. </w:t>
      </w:r>
      <w:r w:rsidR="00C25B61">
        <w:rPr>
          <w:rFonts w:ascii="Times New Roman" w:hAnsi="Times New Roman" w:cs="Times New Roman"/>
          <w:bCs/>
          <w:lang w:val="pl-PL"/>
        </w:rPr>
        <w:t>Sądy ocenne</w:t>
      </w:r>
      <w:r w:rsidR="001F3B4B">
        <w:rPr>
          <w:rFonts w:ascii="Times New Roman" w:hAnsi="Times New Roman" w:cs="Times New Roman"/>
          <w:bCs/>
          <w:lang w:val="pl-PL"/>
        </w:rPr>
        <w:t>….</w:t>
      </w:r>
      <w:r w:rsidRPr="007056C6">
        <w:rPr>
          <w:rFonts w:ascii="Times New Roman" w:hAnsi="Times New Roman" w:cs="Times New Roman"/>
          <w:bCs/>
          <w:lang w:val="pl-PL"/>
        </w:rPr>
        <w:t xml:space="preserve"> są </w:t>
      </w:r>
      <w:r w:rsidR="00807AC3">
        <w:rPr>
          <w:rFonts w:ascii="Times New Roman" w:hAnsi="Times New Roman" w:cs="Times New Roman"/>
          <w:bCs/>
          <w:lang w:val="pl-PL"/>
        </w:rPr>
        <w:t>niewłaściwe</w:t>
      </w:r>
      <w:r w:rsidRPr="007056C6">
        <w:rPr>
          <w:rFonts w:ascii="Times New Roman" w:hAnsi="Times New Roman" w:cs="Times New Roman"/>
          <w:bCs/>
          <w:lang w:val="pl-PL"/>
        </w:rPr>
        <w:t>,</w:t>
      </w:r>
      <w:r w:rsidR="001F3B4B">
        <w:rPr>
          <w:rFonts w:ascii="Times New Roman" w:hAnsi="Times New Roman" w:cs="Times New Roman"/>
          <w:bCs/>
          <w:lang w:val="pl-PL"/>
        </w:rPr>
        <w:t xml:space="preserve"> jeśli</w:t>
      </w:r>
      <w:r w:rsidRPr="007056C6">
        <w:rPr>
          <w:rFonts w:ascii="Times New Roman" w:hAnsi="Times New Roman" w:cs="Times New Roman"/>
          <w:bCs/>
          <w:lang w:val="pl-PL"/>
        </w:rPr>
        <w:t xml:space="preserve"> jest oczywiste dla rozsądnego czytelnika, że ich znaczenie jest wulgarne i </w:t>
      </w:r>
      <w:r w:rsidR="001F3B4B">
        <w:rPr>
          <w:rFonts w:ascii="Times New Roman" w:hAnsi="Times New Roman" w:cs="Times New Roman"/>
          <w:bCs/>
          <w:lang w:val="pl-PL"/>
        </w:rPr>
        <w:t>ma na celu</w:t>
      </w:r>
      <w:r w:rsidRPr="007056C6">
        <w:rPr>
          <w:rFonts w:ascii="Times New Roman" w:hAnsi="Times New Roman" w:cs="Times New Roman"/>
          <w:bCs/>
          <w:lang w:val="pl-PL"/>
        </w:rPr>
        <w:t xml:space="preserve"> uwłaczani</w:t>
      </w:r>
      <w:r w:rsidR="001F3B4B">
        <w:rPr>
          <w:rFonts w:ascii="Times New Roman" w:hAnsi="Times New Roman" w:cs="Times New Roman"/>
          <w:bCs/>
          <w:lang w:val="pl-PL"/>
        </w:rPr>
        <w:t>e</w:t>
      </w:r>
      <w:r w:rsidRPr="007056C6">
        <w:rPr>
          <w:rFonts w:ascii="Times New Roman" w:hAnsi="Times New Roman" w:cs="Times New Roman"/>
          <w:bCs/>
          <w:lang w:val="pl-PL"/>
        </w:rPr>
        <w:t xml:space="preserve"> ludzkiej godności i kpiny z osoby. Komentarze nie zawierają żadnych informacji, które wymagałyby nadmiernej weryfikacji z inicjatywy operatora portalu. </w:t>
      </w:r>
      <w:r w:rsidRPr="007056C6">
        <w:rPr>
          <w:rFonts w:ascii="Times New Roman" w:hAnsi="Times New Roman" w:cs="Times New Roman"/>
          <w:bCs/>
          <w:lang w:val="pl-PL"/>
        </w:rPr>
        <w:lastRenderedPageBreak/>
        <w:t>Stąd twierdzenie pozwanego, że nie jest i nie powinien być świadomy bezprawności komentarzy</w:t>
      </w:r>
      <w:r w:rsidR="00003FA9" w:rsidRPr="007056C6">
        <w:rPr>
          <w:rFonts w:ascii="Times New Roman" w:hAnsi="Times New Roman" w:cs="Times New Roman"/>
          <w:bCs/>
          <w:lang w:val="pl-PL"/>
        </w:rPr>
        <w:t>,</w:t>
      </w:r>
      <w:r w:rsidRPr="007056C6">
        <w:rPr>
          <w:rFonts w:ascii="Times New Roman" w:hAnsi="Times New Roman" w:cs="Times New Roman"/>
          <w:bCs/>
          <w:lang w:val="pl-PL"/>
        </w:rPr>
        <w:t xml:space="preserve"> jest bezpodstawne.</w:t>
      </w:r>
    </w:p>
    <w:p w:rsidR="00A220C6" w:rsidRPr="00C93C2F" w:rsidRDefault="0027708F" w:rsidP="00171A6F">
      <w:pPr>
        <w:pStyle w:val="ECHRParaQuote"/>
        <w:rPr>
          <w:rFonts w:ascii="Times New Roman" w:hAnsi="Times New Roman" w:cs="Times New Roman"/>
          <w:lang w:val="pl-PL"/>
        </w:rPr>
      </w:pPr>
      <w:r w:rsidRPr="007056C6">
        <w:rPr>
          <w:rFonts w:ascii="Times New Roman" w:hAnsi="Times New Roman" w:cs="Times New Roman"/>
          <w:bCs/>
          <w:lang w:val="pl-PL"/>
        </w:rPr>
        <w:t>Ze względu na zobowiązania wynikające z przepisów prawa, aby uniknąć wyrządzenia szkody, pozwany powinien zapobiec publikacji komentarzy o wyraźnie nielegaln</w:t>
      </w:r>
      <w:r w:rsidR="00003FA9" w:rsidRPr="007056C6">
        <w:rPr>
          <w:rFonts w:ascii="Times New Roman" w:hAnsi="Times New Roman" w:cs="Times New Roman"/>
          <w:bCs/>
          <w:lang w:val="pl-PL"/>
        </w:rPr>
        <w:t>ej</w:t>
      </w:r>
      <w:r w:rsidRPr="007056C6">
        <w:rPr>
          <w:rFonts w:ascii="Times New Roman" w:hAnsi="Times New Roman" w:cs="Times New Roman"/>
          <w:bCs/>
          <w:lang w:val="pl-PL"/>
        </w:rPr>
        <w:t xml:space="preserve"> treści. Pozwany tego nie zrobił</w:t>
      </w:r>
      <w:r w:rsidR="00A220C6" w:rsidRPr="007056C6">
        <w:rPr>
          <w:rFonts w:ascii="Times New Roman" w:hAnsi="Times New Roman" w:cs="Times New Roman"/>
          <w:bCs/>
          <w:lang w:val="pl-PL"/>
        </w:rPr>
        <w:t xml:space="preserve">. </w:t>
      </w:r>
      <w:r w:rsidRPr="007056C6">
        <w:rPr>
          <w:rFonts w:ascii="Times New Roman" w:hAnsi="Times New Roman" w:cs="Times New Roman"/>
          <w:bCs/>
          <w:lang w:val="pl-PL"/>
        </w:rPr>
        <w:t xml:space="preserve">Zgodnie z </w:t>
      </w:r>
      <w:r w:rsidR="001F413B" w:rsidRPr="007056C6">
        <w:rPr>
          <w:rFonts w:ascii="Times New Roman" w:hAnsi="Times New Roman" w:cs="Times New Roman"/>
          <w:bCs/>
          <w:lang w:val="pl-PL"/>
        </w:rPr>
        <w:t>artykułem</w:t>
      </w:r>
      <w:r w:rsidR="00A220C6" w:rsidRPr="007056C6">
        <w:rPr>
          <w:rFonts w:ascii="Times New Roman" w:hAnsi="Times New Roman" w:cs="Times New Roman"/>
          <w:bCs/>
          <w:lang w:val="pl-PL"/>
        </w:rPr>
        <w:t xml:space="preserve"> 1047(3) </w:t>
      </w:r>
      <w:r w:rsidR="001F413B" w:rsidRPr="007056C6">
        <w:rPr>
          <w:rFonts w:ascii="Times New Roman" w:hAnsi="Times New Roman" w:cs="Times New Roman"/>
          <w:bCs/>
          <w:lang w:val="pl-PL"/>
        </w:rPr>
        <w:t>Prawa Zobowiązań</w:t>
      </w:r>
      <w:r w:rsidR="00A220C6" w:rsidRPr="007056C6">
        <w:rPr>
          <w:rFonts w:ascii="Times New Roman" w:hAnsi="Times New Roman" w:cs="Times New Roman"/>
          <w:bCs/>
          <w:lang w:val="pl-PL"/>
        </w:rPr>
        <w:t xml:space="preserve">, </w:t>
      </w:r>
      <w:r w:rsidRPr="007056C6">
        <w:rPr>
          <w:rFonts w:ascii="Times New Roman" w:hAnsi="Times New Roman" w:cs="Times New Roman"/>
          <w:bCs/>
          <w:lang w:val="pl-PL"/>
        </w:rPr>
        <w:t>ujawnienie informacji lub innych zagadnień nie jest uważane za niezgodne z prawem, jeśli osoba, która ujawnia informacje lub inne sprawy</w:t>
      </w:r>
      <w:r w:rsidR="00003FA9" w:rsidRPr="007056C6">
        <w:rPr>
          <w:rFonts w:ascii="Times New Roman" w:hAnsi="Times New Roman" w:cs="Times New Roman"/>
          <w:bCs/>
          <w:lang w:val="pl-PL"/>
        </w:rPr>
        <w:t xml:space="preserve"> lub osoba</w:t>
      </w:r>
      <w:r w:rsidR="006E36A1" w:rsidRPr="007056C6">
        <w:rPr>
          <w:rFonts w:ascii="Times New Roman" w:hAnsi="Times New Roman" w:cs="Times New Roman"/>
          <w:bCs/>
          <w:lang w:val="pl-PL"/>
        </w:rPr>
        <w:t>,</w:t>
      </w:r>
      <w:r w:rsidRPr="007056C6">
        <w:rPr>
          <w:rFonts w:ascii="Times New Roman" w:hAnsi="Times New Roman" w:cs="Times New Roman"/>
          <w:bCs/>
          <w:lang w:val="pl-PL"/>
        </w:rPr>
        <w:t xml:space="preserve"> której takie sprawy są ujawniane</w:t>
      </w:r>
      <w:r w:rsidR="006E36A1" w:rsidRPr="007056C6">
        <w:rPr>
          <w:rFonts w:ascii="Times New Roman" w:hAnsi="Times New Roman" w:cs="Times New Roman"/>
          <w:bCs/>
          <w:lang w:val="pl-PL"/>
        </w:rPr>
        <w:t>,</w:t>
      </w:r>
      <w:r w:rsidRPr="007056C6">
        <w:rPr>
          <w:rFonts w:ascii="Times New Roman" w:hAnsi="Times New Roman" w:cs="Times New Roman"/>
          <w:bCs/>
          <w:lang w:val="pl-PL"/>
        </w:rPr>
        <w:t xml:space="preserve"> ma uzasadniony interes w ujawnianiu, a jeśli osoba, która ujawnia informacje</w:t>
      </w:r>
      <w:r w:rsidR="006E36A1" w:rsidRPr="007056C6">
        <w:rPr>
          <w:rFonts w:ascii="Times New Roman" w:hAnsi="Times New Roman" w:cs="Times New Roman"/>
          <w:bCs/>
          <w:lang w:val="pl-PL"/>
        </w:rPr>
        <w:t>,</w:t>
      </w:r>
      <w:r w:rsidRPr="007056C6">
        <w:rPr>
          <w:rFonts w:ascii="Times New Roman" w:hAnsi="Times New Roman" w:cs="Times New Roman"/>
          <w:bCs/>
          <w:lang w:val="pl-PL"/>
        </w:rPr>
        <w:t xml:space="preserve"> zweryfikowała informacje lub inne sprawy z dokładnością co odpowiada wagą potencjalnemu naruszeniu. Publikacja językowo nieodpowiednich</w:t>
      </w:r>
      <w:r w:rsidRPr="00B45853">
        <w:rPr>
          <w:rFonts w:ascii="Times New Roman" w:hAnsi="Times New Roman" w:cs="Times New Roman"/>
          <w:bCs/>
          <w:lang w:val="pl-PL"/>
        </w:rPr>
        <w:t xml:space="preserve"> </w:t>
      </w:r>
      <w:r w:rsidR="00807AC3">
        <w:rPr>
          <w:rFonts w:ascii="Times New Roman" w:hAnsi="Times New Roman" w:cs="Times New Roman"/>
          <w:bCs/>
          <w:lang w:val="pl-PL"/>
        </w:rPr>
        <w:t>sądów ocennych</w:t>
      </w:r>
      <w:r w:rsidRPr="00B45853">
        <w:rPr>
          <w:rFonts w:ascii="Times New Roman" w:hAnsi="Times New Roman" w:cs="Times New Roman"/>
          <w:bCs/>
          <w:lang w:val="pl-PL"/>
        </w:rPr>
        <w:t xml:space="preserve"> rani godność innej </w:t>
      </w:r>
      <w:r w:rsidRPr="00C93C2F">
        <w:rPr>
          <w:rFonts w:ascii="Times New Roman" w:hAnsi="Times New Roman" w:cs="Times New Roman"/>
          <w:bCs/>
          <w:lang w:val="pl-PL"/>
        </w:rPr>
        <w:t>osoby</w:t>
      </w:r>
      <w:r w:rsidR="00807AC3">
        <w:rPr>
          <w:rFonts w:ascii="Times New Roman" w:hAnsi="Times New Roman" w:cs="Times New Roman"/>
          <w:bCs/>
          <w:lang w:val="pl-PL"/>
        </w:rPr>
        <w:t>,</w:t>
      </w:r>
      <w:r w:rsidRPr="00C93C2F">
        <w:rPr>
          <w:rFonts w:ascii="Times New Roman" w:hAnsi="Times New Roman" w:cs="Times New Roman"/>
          <w:bCs/>
          <w:lang w:val="pl-PL"/>
        </w:rPr>
        <w:t xml:space="preserve"> nie może być usprawiedliwiona powołaniem się na </w:t>
      </w:r>
      <w:r w:rsidR="00100217" w:rsidRPr="00C93C2F">
        <w:rPr>
          <w:rFonts w:ascii="Times New Roman" w:hAnsi="Times New Roman" w:cs="Times New Roman"/>
          <w:bCs/>
          <w:lang w:val="pl-PL"/>
        </w:rPr>
        <w:t xml:space="preserve">okoliczności, o których mowa w </w:t>
      </w:r>
      <w:r w:rsidR="00C93C2F" w:rsidRPr="00C93C2F">
        <w:rPr>
          <w:rFonts w:ascii="Times New Roman" w:hAnsi="Times New Roman" w:cs="Times New Roman"/>
          <w:bCs/>
          <w:lang w:val="pl-PL"/>
        </w:rPr>
        <w:t>artykule</w:t>
      </w:r>
      <w:r w:rsidR="00A220C6" w:rsidRPr="00C93C2F">
        <w:rPr>
          <w:rFonts w:ascii="Times New Roman" w:hAnsi="Times New Roman" w:cs="Times New Roman"/>
          <w:bCs/>
          <w:lang w:val="pl-PL"/>
        </w:rPr>
        <w:t xml:space="preserve"> 1047(3) </w:t>
      </w:r>
      <w:r w:rsidR="00100217" w:rsidRPr="00C93C2F">
        <w:rPr>
          <w:rFonts w:ascii="Times New Roman" w:hAnsi="Times New Roman" w:cs="Times New Roman"/>
          <w:bCs/>
          <w:lang w:val="pl-PL"/>
        </w:rPr>
        <w:t>Prawa Zobowiązań</w:t>
      </w:r>
      <w:r w:rsidR="003A2B7F" w:rsidRPr="00C93C2F">
        <w:rPr>
          <w:rFonts w:ascii="Times New Roman" w:hAnsi="Times New Roman" w:cs="Times New Roman"/>
          <w:bCs/>
          <w:lang w:val="pl-PL"/>
        </w:rPr>
        <w:t>: takie osądy nie pochodzą z wszelkich ujawnianych informacji</w:t>
      </w:r>
      <w:r w:rsidR="006E36A1" w:rsidRPr="00C93C2F">
        <w:rPr>
          <w:rFonts w:ascii="Times New Roman" w:hAnsi="Times New Roman" w:cs="Times New Roman"/>
          <w:bCs/>
          <w:lang w:val="pl-PL"/>
        </w:rPr>
        <w:t>,</w:t>
      </w:r>
      <w:r w:rsidR="003A2B7F" w:rsidRPr="00C93C2F">
        <w:rPr>
          <w:rFonts w:ascii="Times New Roman" w:hAnsi="Times New Roman" w:cs="Times New Roman"/>
          <w:bCs/>
          <w:lang w:val="pl-PL"/>
        </w:rPr>
        <w:t xml:space="preserve"> ale są tworzone i publikowane dla celów szkodliwych dla godności i dobrego imienia danej strony. Stąd publikacja wypowiedzi o jasno bezprawnym charakterze była również bezprawna. Po ujawnieniu, ż</w:t>
      </w:r>
      <w:r w:rsidR="006E36A1" w:rsidRPr="00C93C2F">
        <w:rPr>
          <w:rFonts w:ascii="Times New Roman" w:hAnsi="Times New Roman" w:cs="Times New Roman"/>
          <w:bCs/>
          <w:lang w:val="pl-PL"/>
        </w:rPr>
        <w:t>e pozwany nie usunął komentarzy-</w:t>
      </w:r>
      <w:r w:rsidR="003A2B7F" w:rsidRPr="00C93C2F">
        <w:rPr>
          <w:rFonts w:ascii="Times New Roman" w:hAnsi="Times New Roman" w:cs="Times New Roman"/>
          <w:bCs/>
          <w:lang w:val="pl-PL"/>
        </w:rPr>
        <w:t>bezprawnej treści, której powinien być świadomy</w:t>
      </w:r>
      <w:r w:rsidR="006E36A1" w:rsidRPr="00C93C2F">
        <w:rPr>
          <w:rFonts w:ascii="Times New Roman" w:hAnsi="Times New Roman" w:cs="Times New Roman"/>
          <w:bCs/>
          <w:lang w:val="pl-PL"/>
        </w:rPr>
        <w:t>-</w:t>
      </w:r>
      <w:r w:rsidR="003A2B7F" w:rsidRPr="00C93C2F">
        <w:rPr>
          <w:rFonts w:ascii="Times New Roman" w:hAnsi="Times New Roman" w:cs="Times New Roman"/>
          <w:bCs/>
          <w:lang w:val="pl-PL"/>
        </w:rPr>
        <w:t>z portalu z własnej inicjatywy. W takich okolicznościach sądy zasadnie uznały, że bezczynność pozwanego jest niezgodna z prawem. Pozwany ponosi odpowiedzialność za szkody wyrządzone powodowi, ponieważ sądy ustaliły, że strona pozwana nie wykazała braku winy</w:t>
      </w:r>
      <w:r w:rsidR="00A220C6" w:rsidRPr="00C93C2F">
        <w:rPr>
          <w:rFonts w:ascii="Times New Roman" w:hAnsi="Times New Roman" w:cs="Times New Roman"/>
          <w:bCs/>
          <w:lang w:val="pl-PL"/>
        </w:rPr>
        <w:t xml:space="preserve"> [</w:t>
      </w:r>
      <w:proofErr w:type="spellStart"/>
      <w:r w:rsidR="00A220C6" w:rsidRPr="00C93C2F">
        <w:rPr>
          <w:rFonts w:ascii="Times New Roman" w:hAnsi="Times New Roman" w:cs="Times New Roman"/>
          <w:bCs/>
          <w:i/>
          <w:iCs/>
          <w:lang w:val="pl-PL"/>
        </w:rPr>
        <w:t>süü</w:t>
      </w:r>
      <w:proofErr w:type="spellEnd"/>
      <w:r w:rsidR="00A220C6" w:rsidRPr="00C93C2F">
        <w:rPr>
          <w:rFonts w:ascii="Times New Roman" w:hAnsi="Times New Roman" w:cs="Times New Roman"/>
          <w:bCs/>
          <w:lang w:val="pl-PL"/>
        </w:rPr>
        <w:t>] (</w:t>
      </w:r>
      <w:r w:rsidR="001F413B" w:rsidRPr="00C93C2F">
        <w:rPr>
          <w:rFonts w:ascii="Times New Roman" w:hAnsi="Times New Roman" w:cs="Times New Roman"/>
          <w:bCs/>
          <w:lang w:val="pl-PL"/>
        </w:rPr>
        <w:t>artykuł</w:t>
      </w:r>
      <w:r w:rsidR="00A220C6" w:rsidRPr="00C93C2F">
        <w:rPr>
          <w:rFonts w:ascii="Times New Roman" w:hAnsi="Times New Roman" w:cs="Times New Roman"/>
          <w:bCs/>
          <w:lang w:val="pl-PL"/>
        </w:rPr>
        <w:t xml:space="preserve"> 1050(1) </w:t>
      </w:r>
      <w:r w:rsidR="001F413B" w:rsidRPr="00C93C2F">
        <w:rPr>
          <w:rFonts w:ascii="Times New Roman" w:hAnsi="Times New Roman" w:cs="Times New Roman"/>
          <w:bCs/>
          <w:lang w:val="pl-PL"/>
        </w:rPr>
        <w:t>Prawa Zobowiązań</w:t>
      </w:r>
      <w:r w:rsidR="00A220C6" w:rsidRPr="00C93C2F">
        <w:rPr>
          <w:rFonts w:ascii="Times New Roman" w:hAnsi="Times New Roman" w:cs="Times New Roman"/>
          <w:bCs/>
          <w:lang w:val="pl-PL"/>
        </w:rPr>
        <w:t>).</w:t>
      </w:r>
      <w:r w:rsidR="00A220C6" w:rsidRPr="00C93C2F">
        <w:rPr>
          <w:rFonts w:ascii="Times New Roman" w:hAnsi="Times New Roman" w:cs="Times New Roman"/>
          <w:lang w:val="pl-PL"/>
        </w:rPr>
        <w:t>”</w:t>
      </w:r>
    </w:p>
    <w:p w:rsidR="00A220C6" w:rsidRPr="00C93C2F" w:rsidRDefault="00A220C6" w:rsidP="00171A6F">
      <w:pPr>
        <w:pStyle w:val="ECHRHeading2"/>
        <w:rPr>
          <w:rFonts w:ascii="Times New Roman" w:hAnsi="Times New Roman" w:cs="Times New Roman"/>
          <w:lang w:val="pl-PL"/>
        </w:rPr>
      </w:pPr>
      <w:bookmarkStart w:id="5" w:name="_Toc420072856"/>
      <w:r w:rsidRPr="00C93C2F">
        <w:rPr>
          <w:rFonts w:ascii="Times New Roman" w:hAnsi="Times New Roman" w:cs="Times New Roman"/>
          <w:lang w:val="pl-PL"/>
        </w:rPr>
        <w:t>D.  </w:t>
      </w:r>
      <w:r w:rsidR="003A2B7F" w:rsidRPr="00C93C2F">
        <w:rPr>
          <w:rFonts w:ascii="Times New Roman" w:hAnsi="Times New Roman" w:cs="Times New Roman"/>
          <w:lang w:val="pl-PL"/>
        </w:rPr>
        <w:t>Późniejszy rozwój</w:t>
      </w:r>
      <w:r w:rsidRPr="00C93C2F">
        <w:rPr>
          <w:rFonts w:ascii="Times New Roman" w:hAnsi="Times New Roman" w:cs="Times New Roman"/>
          <w:lang w:val="pl-PL"/>
        </w:rPr>
        <w:t xml:space="preserve"> </w:t>
      </w:r>
      <w:bookmarkEnd w:id="5"/>
      <w:r w:rsidR="003A2B7F" w:rsidRPr="00C93C2F">
        <w:rPr>
          <w:rFonts w:ascii="Times New Roman" w:hAnsi="Times New Roman" w:cs="Times New Roman"/>
          <w:lang w:val="pl-PL"/>
        </w:rPr>
        <w:t>sytuacji</w:t>
      </w:r>
    </w:p>
    <w:p w:rsidR="00A220C6"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32</w:t>
      </w:r>
      <w:r w:rsidRPr="00C93C2F">
        <w:rPr>
          <w:rFonts w:ascii="Times New Roman" w:hAnsi="Times New Roman" w:cs="Times New Roman"/>
          <w:lang w:val="en-GB"/>
        </w:rPr>
        <w:fldChar w:fldCharType="end"/>
      </w:r>
      <w:r w:rsidR="00A220C6" w:rsidRPr="00C93C2F">
        <w:rPr>
          <w:rFonts w:ascii="Times New Roman" w:hAnsi="Times New Roman" w:cs="Times New Roman"/>
          <w:lang w:val="pl-PL"/>
        </w:rPr>
        <w:t>.  </w:t>
      </w:r>
      <w:r w:rsidR="003A2B7F" w:rsidRPr="00C93C2F">
        <w:rPr>
          <w:rFonts w:ascii="Times New Roman" w:hAnsi="Times New Roman" w:cs="Times New Roman"/>
          <w:lang w:val="pl-PL"/>
        </w:rPr>
        <w:t xml:space="preserve">W dniu 1 października 2009 roku </w:t>
      </w:r>
      <w:proofErr w:type="spellStart"/>
      <w:r w:rsidR="003A2B7F" w:rsidRPr="00C93C2F">
        <w:rPr>
          <w:rFonts w:ascii="Times New Roman" w:hAnsi="Times New Roman" w:cs="Times New Roman"/>
          <w:lang w:val="pl-PL"/>
        </w:rPr>
        <w:t>Delfi</w:t>
      </w:r>
      <w:proofErr w:type="spellEnd"/>
      <w:r w:rsidR="003A2B7F" w:rsidRPr="00C93C2F">
        <w:rPr>
          <w:rFonts w:ascii="Times New Roman" w:hAnsi="Times New Roman" w:cs="Times New Roman"/>
          <w:lang w:val="pl-PL"/>
        </w:rPr>
        <w:t xml:space="preserve"> ogłosił na swoim portalu internetowym, że osobom, które pisały obraźliwe komentarze nie wolno było opublikować nowy</w:t>
      </w:r>
      <w:r w:rsidR="006E36A1" w:rsidRPr="00C93C2F">
        <w:rPr>
          <w:rFonts w:ascii="Times New Roman" w:hAnsi="Times New Roman" w:cs="Times New Roman"/>
          <w:lang w:val="pl-PL"/>
        </w:rPr>
        <w:t>ch</w:t>
      </w:r>
      <w:r w:rsidR="003A2B7F" w:rsidRPr="00C93C2F">
        <w:rPr>
          <w:rFonts w:ascii="Times New Roman" w:hAnsi="Times New Roman" w:cs="Times New Roman"/>
          <w:lang w:val="pl-PL"/>
        </w:rPr>
        <w:t xml:space="preserve"> komentarzy</w:t>
      </w:r>
      <w:r w:rsidR="006E36A1" w:rsidRPr="00C93C2F">
        <w:rPr>
          <w:rFonts w:ascii="Times New Roman" w:hAnsi="Times New Roman" w:cs="Times New Roman"/>
          <w:lang w:val="pl-PL"/>
        </w:rPr>
        <w:t>,</w:t>
      </w:r>
      <w:r w:rsidR="003A2B7F" w:rsidRPr="00C93C2F">
        <w:rPr>
          <w:rFonts w:ascii="Times New Roman" w:hAnsi="Times New Roman" w:cs="Times New Roman"/>
          <w:lang w:val="pl-PL"/>
        </w:rPr>
        <w:t xml:space="preserve"> dopóki nie przeczytają i zapoznają się z zasadami komentowania. Ponadto ogłoszono, że </w:t>
      </w:r>
      <w:proofErr w:type="spellStart"/>
      <w:r w:rsidR="003A2B7F" w:rsidRPr="00C93C2F">
        <w:rPr>
          <w:rFonts w:ascii="Times New Roman" w:hAnsi="Times New Roman" w:cs="Times New Roman"/>
          <w:lang w:val="pl-PL"/>
        </w:rPr>
        <w:t>Delfi</w:t>
      </w:r>
      <w:proofErr w:type="spellEnd"/>
      <w:r w:rsidR="003A2B7F" w:rsidRPr="00C93C2F">
        <w:rPr>
          <w:rFonts w:ascii="Times New Roman" w:hAnsi="Times New Roman" w:cs="Times New Roman"/>
          <w:lang w:val="pl-PL"/>
        </w:rPr>
        <w:t xml:space="preserve"> założył zespół moderatorów, którzy przeprowadzili następcze moderacje komentarzy zamieszczonych na portalu. Przede wszystkim, moderatorzy przejrzeli wszystkie powiadomienia użytkownik</w:t>
      </w:r>
      <w:r w:rsidR="00A71400">
        <w:rPr>
          <w:rFonts w:ascii="Times New Roman" w:hAnsi="Times New Roman" w:cs="Times New Roman"/>
          <w:lang w:val="pl-PL"/>
        </w:rPr>
        <w:t>ów</w:t>
      </w:r>
      <w:r w:rsidR="003A2B7F" w:rsidRPr="00C93C2F">
        <w:rPr>
          <w:rFonts w:ascii="Times New Roman" w:hAnsi="Times New Roman" w:cs="Times New Roman"/>
          <w:lang w:val="pl-PL"/>
        </w:rPr>
        <w:t xml:space="preserve"> odnośnie niewłaściwych komentarzy. Zgodność komentarzy z zasadami komentowania również była monitorowana. Według opublikowanych informacji, liczba komentarzy zamieszczonych przez czytelników </w:t>
      </w:r>
      <w:proofErr w:type="spellStart"/>
      <w:r w:rsidR="003A2B7F" w:rsidRPr="00C93C2F">
        <w:rPr>
          <w:rFonts w:ascii="Times New Roman" w:hAnsi="Times New Roman" w:cs="Times New Roman"/>
          <w:lang w:val="pl-PL"/>
        </w:rPr>
        <w:t>Delfi</w:t>
      </w:r>
      <w:proofErr w:type="spellEnd"/>
      <w:r w:rsidR="003A2B7F" w:rsidRPr="00C93C2F">
        <w:rPr>
          <w:rFonts w:ascii="Times New Roman" w:hAnsi="Times New Roman" w:cs="Times New Roman"/>
          <w:lang w:val="pl-PL"/>
        </w:rPr>
        <w:t xml:space="preserve"> w sierpniu 2009 roku wynosiła 190.000. Moderatorzy z </w:t>
      </w:r>
      <w:proofErr w:type="spellStart"/>
      <w:r w:rsidR="003A2B7F" w:rsidRPr="00C93C2F">
        <w:rPr>
          <w:rFonts w:ascii="Times New Roman" w:hAnsi="Times New Roman" w:cs="Times New Roman"/>
          <w:lang w:val="pl-PL"/>
        </w:rPr>
        <w:t>Delfi</w:t>
      </w:r>
      <w:proofErr w:type="spellEnd"/>
      <w:r w:rsidR="003A2B7F" w:rsidRPr="00C93C2F">
        <w:rPr>
          <w:rFonts w:ascii="Times New Roman" w:hAnsi="Times New Roman" w:cs="Times New Roman"/>
          <w:lang w:val="pl-PL"/>
        </w:rPr>
        <w:t xml:space="preserve"> usunęli </w:t>
      </w:r>
      <w:r w:rsidR="00100217" w:rsidRPr="00C93C2F">
        <w:rPr>
          <w:rFonts w:ascii="Times New Roman" w:hAnsi="Times New Roman" w:cs="Times New Roman"/>
          <w:lang w:val="pl-PL"/>
        </w:rPr>
        <w:t>15.000 komentarzy (około 8%), składających</w:t>
      </w:r>
      <w:r w:rsidR="003A2B7F" w:rsidRPr="00C93C2F">
        <w:rPr>
          <w:rFonts w:ascii="Times New Roman" w:hAnsi="Times New Roman" w:cs="Times New Roman"/>
          <w:lang w:val="pl-PL"/>
        </w:rPr>
        <w:t xml:space="preserve"> się głównie ze spamu lub nieistotnych uwag. Udział oszczerczych komentarzy wynosił mniej niż 0,5% całkowitej ilości komentarzy</w:t>
      </w:r>
      <w:r w:rsidR="00A220C6" w:rsidRPr="00C93C2F">
        <w:rPr>
          <w:rFonts w:ascii="Times New Roman" w:hAnsi="Times New Roman" w:cs="Times New Roman"/>
          <w:bCs/>
          <w:lang w:val="pl-PL"/>
        </w:rPr>
        <w:t>.</w:t>
      </w:r>
    </w:p>
    <w:p w:rsidR="00A220C6" w:rsidRPr="00C93C2F" w:rsidRDefault="00A220C6" w:rsidP="00171A6F">
      <w:pPr>
        <w:pStyle w:val="ECHRHeading1"/>
        <w:rPr>
          <w:rFonts w:ascii="Times New Roman" w:hAnsi="Times New Roman" w:cs="Times New Roman"/>
          <w:lang w:val="pl-PL"/>
        </w:rPr>
      </w:pPr>
      <w:bookmarkStart w:id="6" w:name="_Toc420072857"/>
      <w:r w:rsidRPr="00C93C2F">
        <w:rPr>
          <w:rFonts w:ascii="Times New Roman" w:hAnsi="Times New Roman" w:cs="Times New Roman"/>
          <w:lang w:val="pl-PL"/>
        </w:rPr>
        <w:t>II.  </w:t>
      </w:r>
      <w:r w:rsidR="00100217" w:rsidRPr="00C93C2F">
        <w:rPr>
          <w:rFonts w:ascii="Times New Roman" w:hAnsi="Times New Roman" w:cs="Times New Roman"/>
          <w:lang w:val="pl-PL"/>
        </w:rPr>
        <w:t>WŁAŚCIWE</w:t>
      </w:r>
      <w:r w:rsidR="003A2B7F" w:rsidRPr="00C93C2F">
        <w:rPr>
          <w:rFonts w:ascii="Times New Roman" w:hAnsi="Times New Roman" w:cs="Times New Roman"/>
          <w:lang w:val="pl-PL"/>
        </w:rPr>
        <w:t xml:space="preserve"> PRAWO KRAJOWE I PRAKTYKA</w:t>
      </w:r>
      <w:bookmarkEnd w:id="6"/>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33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A2B7F" w:rsidRPr="00B45853">
        <w:rPr>
          <w:rFonts w:ascii="Times New Roman" w:hAnsi="Times New Roman" w:cs="Times New Roman"/>
          <w:lang w:val="pl-PL"/>
        </w:rPr>
        <w:t xml:space="preserve">Konstytucja </w:t>
      </w:r>
      <w:r w:rsidR="00220EAF">
        <w:rPr>
          <w:rFonts w:ascii="Times New Roman" w:hAnsi="Times New Roman" w:cs="Times New Roman"/>
          <w:lang w:val="pl-PL"/>
        </w:rPr>
        <w:t>R</w:t>
      </w:r>
      <w:r w:rsidR="003A2B7F" w:rsidRPr="00B45853">
        <w:rPr>
          <w:rFonts w:ascii="Times New Roman" w:hAnsi="Times New Roman" w:cs="Times New Roman"/>
          <w:lang w:val="pl-PL"/>
        </w:rPr>
        <w:t>epubliki Estonii</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Eesti</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Vabariigi</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põhiseadus</w:t>
      </w:r>
      <w:proofErr w:type="spellEnd"/>
      <w:r w:rsidR="00A220C6" w:rsidRPr="00B45853">
        <w:rPr>
          <w:rFonts w:ascii="Times New Roman" w:hAnsi="Times New Roman" w:cs="Times New Roman"/>
          <w:lang w:val="pl-PL"/>
        </w:rPr>
        <w:t xml:space="preserve">) </w:t>
      </w:r>
      <w:r w:rsidR="003A2B7F" w:rsidRPr="00B45853">
        <w:rPr>
          <w:rFonts w:ascii="Times New Roman" w:hAnsi="Times New Roman" w:cs="Times New Roman"/>
          <w:lang w:val="pl-PL"/>
        </w:rPr>
        <w:t>stanowi</w:t>
      </w:r>
      <w:r w:rsidR="00A220C6" w:rsidRPr="00B45853">
        <w:rPr>
          <w:rFonts w:ascii="Times New Roman" w:hAnsi="Times New Roman" w:cs="Times New Roman"/>
          <w:lang w:val="pl-PL"/>
        </w:rPr>
        <w:t>:</w:t>
      </w:r>
    </w:p>
    <w:p w:rsidR="00A220C6" w:rsidRPr="00B45853" w:rsidRDefault="003A2B7F" w:rsidP="00171A6F">
      <w:pPr>
        <w:pStyle w:val="ECHRTitleCentre3"/>
        <w:rPr>
          <w:rFonts w:ascii="Times New Roman" w:hAnsi="Times New Roman" w:cs="Times New Roman"/>
          <w:lang w:val="pl-PL"/>
        </w:rPr>
      </w:pPr>
      <w:r w:rsidRPr="00B45853">
        <w:rPr>
          <w:rFonts w:ascii="Times New Roman" w:hAnsi="Times New Roman" w:cs="Times New Roman"/>
          <w:lang w:val="pl-PL"/>
        </w:rPr>
        <w:t>Artykuł</w:t>
      </w:r>
      <w:r w:rsidR="00A220C6" w:rsidRPr="00B45853">
        <w:rPr>
          <w:rFonts w:ascii="Times New Roman" w:hAnsi="Times New Roman" w:cs="Times New Roman"/>
          <w:lang w:val="pl-PL"/>
        </w:rPr>
        <w:t xml:space="preserve"> 17</w:t>
      </w:r>
    </w:p>
    <w:p w:rsidR="00A220C6" w:rsidRPr="00B45853" w:rsidRDefault="00A220C6" w:rsidP="00907E3E">
      <w:pPr>
        <w:pStyle w:val="ECHRPara"/>
        <w:rPr>
          <w:rFonts w:ascii="Times New Roman" w:hAnsi="Times New Roman" w:cs="Times New Roman"/>
          <w:color w:val="000000"/>
          <w:sz w:val="19"/>
          <w:szCs w:val="19"/>
          <w:lang w:val="pl-PL"/>
        </w:rPr>
      </w:pPr>
      <w:r w:rsidRPr="00B45853">
        <w:rPr>
          <w:rFonts w:ascii="Times New Roman" w:hAnsi="Times New Roman" w:cs="Times New Roman"/>
          <w:lang w:val="pl-PL"/>
        </w:rPr>
        <w:t>“</w:t>
      </w:r>
      <w:r w:rsidR="00907E3E" w:rsidRPr="00B45853">
        <w:rPr>
          <w:rFonts w:ascii="Times New Roman" w:hAnsi="Times New Roman" w:cs="Times New Roman"/>
          <w:color w:val="000000"/>
          <w:sz w:val="19"/>
          <w:szCs w:val="19"/>
          <w:lang w:val="pl-PL"/>
        </w:rPr>
        <w:t xml:space="preserve"> Zakazuje się zniesławiania czyjegokolwiek honoru bądź dobrego imienia</w:t>
      </w:r>
      <w:r w:rsidRPr="00B45853">
        <w:rPr>
          <w:rFonts w:ascii="Times New Roman" w:hAnsi="Times New Roman" w:cs="Times New Roman"/>
          <w:lang w:val="pl-PL"/>
        </w:rPr>
        <w:t>.”</w:t>
      </w:r>
    </w:p>
    <w:p w:rsidR="00A220C6" w:rsidRPr="00B45853" w:rsidRDefault="003A2B7F" w:rsidP="00171A6F">
      <w:pPr>
        <w:pStyle w:val="ECHRTitleCentre3"/>
        <w:rPr>
          <w:rFonts w:ascii="Times New Roman" w:hAnsi="Times New Roman" w:cs="Times New Roman"/>
          <w:lang w:val="pl-PL"/>
        </w:rPr>
      </w:pPr>
      <w:r w:rsidRPr="00B45853">
        <w:rPr>
          <w:rFonts w:ascii="Times New Roman" w:hAnsi="Times New Roman" w:cs="Times New Roman"/>
          <w:lang w:val="pl-PL"/>
        </w:rPr>
        <w:lastRenderedPageBreak/>
        <w:t>Artykuł</w:t>
      </w:r>
      <w:r w:rsidR="00A220C6" w:rsidRPr="00B45853">
        <w:rPr>
          <w:rFonts w:ascii="Times New Roman" w:hAnsi="Times New Roman" w:cs="Times New Roman"/>
          <w:lang w:val="pl-PL"/>
        </w:rPr>
        <w:t xml:space="preserve"> 19</w:t>
      </w:r>
    </w:p>
    <w:p w:rsidR="00825A54" w:rsidRPr="00B45853" w:rsidRDefault="00A220C6" w:rsidP="00825A54">
      <w:pPr>
        <w:pStyle w:val="ECHRParaQuote"/>
        <w:rPr>
          <w:rFonts w:ascii="Times New Roman" w:hAnsi="Times New Roman" w:cs="Times New Roman"/>
          <w:lang w:val="pl-PL"/>
        </w:rPr>
      </w:pPr>
      <w:r w:rsidRPr="00B45853">
        <w:rPr>
          <w:rFonts w:ascii="Times New Roman" w:hAnsi="Times New Roman" w:cs="Times New Roman"/>
          <w:lang w:val="pl-PL"/>
        </w:rPr>
        <w:t>“(1)  </w:t>
      </w:r>
      <w:r w:rsidR="003A2B7F" w:rsidRPr="00B45853">
        <w:rPr>
          <w:rFonts w:ascii="Times New Roman" w:hAnsi="Times New Roman" w:cs="Times New Roman"/>
          <w:lang w:val="pl-PL"/>
        </w:rPr>
        <w:t>Każdy ma prawo do swobodnej samorealizacji.</w:t>
      </w:r>
    </w:p>
    <w:p w:rsidR="00825A54" w:rsidRPr="00B45853" w:rsidRDefault="00A220C6" w:rsidP="00825A54">
      <w:pPr>
        <w:pStyle w:val="ECHRParaQuote"/>
        <w:rPr>
          <w:rFonts w:ascii="Times New Roman" w:hAnsi="Times New Roman" w:cs="Times New Roman"/>
          <w:lang w:val="pl-PL"/>
        </w:rPr>
      </w:pPr>
      <w:r w:rsidRPr="00B45853">
        <w:rPr>
          <w:rFonts w:ascii="Times New Roman" w:hAnsi="Times New Roman" w:cs="Times New Roman"/>
          <w:lang w:val="pl-PL"/>
        </w:rPr>
        <w:t>(2)  </w:t>
      </w:r>
      <w:r w:rsidR="00825A54" w:rsidRPr="00B45853">
        <w:rPr>
          <w:rFonts w:ascii="Times New Roman" w:hAnsi="Times New Roman" w:cs="Times New Roman"/>
          <w:lang w:val="pl-PL"/>
        </w:rPr>
        <w:t>Każdy, korzystając z przysługujących mu praw i wolności oraz wypełn</w:t>
      </w:r>
      <w:r w:rsidR="00100217">
        <w:rPr>
          <w:rFonts w:ascii="Times New Roman" w:hAnsi="Times New Roman" w:cs="Times New Roman"/>
          <w:lang w:val="pl-PL"/>
        </w:rPr>
        <w:t>iając swe obowiązki, musi szano</w:t>
      </w:r>
      <w:r w:rsidR="00825A54" w:rsidRPr="00B45853">
        <w:rPr>
          <w:rFonts w:ascii="Times New Roman" w:hAnsi="Times New Roman" w:cs="Times New Roman"/>
          <w:lang w:val="pl-PL"/>
        </w:rPr>
        <w:t>wać i uwzględniać</w:t>
      </w:r>
      <w:r w:rsidR="00100217">
        <w:rPr>
          <w:rFonts w:ascii="Times New Roman" w:hAnsi="Times New Roman" w:cs="Times New Roman"/>
          <w:lang w:val="pl-PL"/>
        </w:rPr>
        <w:t xml:space="preserve"> prawa i wolności innych i prze</w:t>
      </w:r>
      <w:r w:rsidR="00825A54" w:rsidRPr="00B45853">
        <w:rPr>
          <w:rFonts w:ascii="Times New Roman" w:hAnsi="Times New Roman" w:cs="Times New Roman"/>
          <w:lang w:val="pl-PL"/>
        </w:rPr>
        <w:t>strzegać ustaw.”</w:t>
      </w:r>
    </w:p>
    <w:p w:rsidR="00A220C6" w:rsidRPr="00B45853" w:rsidRDefault="00EE21B9" w:rsidP="00171A6F">
      <w:pPr>
        <w:pStyle w:val="ECHRTitleCentre3"/>
        <w:rPr>
          <w:rFonts w:ascii="Times New Roman" w:hAnsi="Times New Roman" w:cs="Times New Roman"/>
          <w:lang w:val="pl-PL"/>
        </w:rPr>
      </w:pPr>
      <w:r w:rsidRPr="00B45853">
        <w:rPr>
          <w:rFonts w:ascii="Times New Roman" w:hAnsi="Times New Roman" w:cs="Times New Roman"/>
          <w:lang w:val="pl-PL"/>
        </w:rPr>
        <w:t>Artykuł</w:t>
      </w:r>
      <w:r w:rsidR="00A220C6" w:rsidRPr="00B45853">
        <w:rPr>
          <w:rFonts w:ascii="Times New Roman" w:hAnsi="Times New Roman" w:cs="Times New Roman"/>
          <w:lang w:val="pl-PL"/>
        </w:rPr>
        <w:t xml:space="preserve"> 45</w:t>
      </w:r>
    </w:p>
    <w:p w:rsidR="00825A54" w:rsidRPr="00B45853" w:rsidRDefault="00825A54" w:rsidP="00825A54">
      <w:pPr>
        <w:pStyle w:val="ECHRParaQuote"/>
        <w:rPr>
          <w:rFonts w:ascii="Times New Roman" w:hAnsi="Times New Roman" w:cs="Times New Roman"/>
          <w:lang w:val="pl-PL"/>
        </w:rPr>
      </w:pPr>
      <w:r w:rsidRPr="00B45853">
        <w:rPr>
          <w:rFonts w:ascii="Times New Roman" w:hAnsi="Times New Roman" w:cs="Times New Roman"/>
          <w:lang w:val="pl-PL"/>
        </w:rPr>
        <w:t xml:space="preserve">“(1) Każdy ma prawo swobodnie rozpowszechniać idee, poglądy, przekonania i inne informacje ustnie, drukiem, </w:t>
      </w:r>
      <w:r w:rsidR="007B06C6">
        <w:rPr>
          <w:rFonts w:ascii="Times New Roman" w:hAnsi="Times New Roman" w:cs="Times New Roman"/>
          <w:lang w:val="pl-PL"/>
        </w:rPr>
        <w:t>obraz</w:t>
      </w:r>
      <w:r w:rsidR="00320C45">
        <w:rPr>
          <w:rFonts w:ascii="Times New Roman" w:hAnsi="Times New Roman" w:cs="Times New Roman"/>
          <w:lang w:val="pl-PL"/>
        </w:rPr>
        <w:t>em</w:t>
      </w:r>
      <w:r w:rsidRPr="00B45853">
        <w:rPr>
          <w:rFonts w:ascii="Times New Roman" w:hAnsi="Times New Roman" w:cs="Times New Roman"/>
          <w:lang w:val="pl-PL"/>
        </w:rPr>
        <w:t xml:space="preserve"> lub innym sposobem. Prawo to może być ograniczone przez ustawy dla ochrony porządku publicznego, moralności, praw i wolności, zdrowia, honoru i dobrego imienia innych osób. Prawo to może być ograniczone ustawą w stosunku do funkcjonariuszy państwowych i samorządowych w celu ochrony tajemnicy państwowej lub handlowej, która została im powierzona w związku ze stanowiskiem służbowym lub informacji otrzymanej przez nich w sposób poufny, a także w celu ochrony życia prywatnego innych osób oraz w interesie wymiaru sprawiedliwości.</w:t>
      </w:r>
    </w:p>
    <w:p w:rsidR="00825A54" w:rsidRPr="00B45853" w:rsidRDefault="00825A54" w:rsidP="00825A54">
      <w:pPr>
        <w:pStyle w:val="ECHRParaQuote"/>
        <w:rPr>
          <w:rFonts w:ascii="Times New Roman" w:hAnsi="Times New Roman" w:cs="Times New Roman"/>
          <w:lang w:val="pl-PL"/>
        </w:rPr>
      </w:pPr>
      <w:r w:rsidRPr="00B45853">
        <w:rPr>
          <w:rFonts w:ascii="Times New Roman" w:hAnsi="Times New Roman" w:cs="Times New Roman"/>
          <w:lang w:val="pl-PL"/>
        </w:rPr>
        <w:t>(2)  </w:t>
      </w:r>
      <w:r w:rsidRPr="00B45853">
        <w:rPr>
          <w:rFonts w:ascii="Times New Roman" w:hAnsi="Times New Roman" w:cs="Times New Roman"/>
          <w:color w:val="000000"/>
          <w:sz w:val="19"/>
          <w:szCs w:val="19"/>
          <w:lang w:val="pl-PL"/>
        </w:rPr>
        <w:t>Cenzura nie istnieje.</w:t>
      </w:r>
      <w:r w:rsidRPr="00B45853">
        <w:rPr>
          <w:rFonts w:ascii="Times New Roman" w:hAnsi="Times New Roman" w:cs="Times New Roman"/>
          <w:lang w:val="pl-PL"/>
        </w:rPr>
        <w:t>”</w:t>
      </w:r>
    </w:p>
    <w:p w:rsidR="00A220C6"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34</w:t>
      </w:r>
      <w:r w:rsidRPr="00C93C2F">
        <w:rPr>
          <w:rFonts w:ascii="Times New Roman" w:hAnsi="Times New Roman" w:cs="Times New Roman"/>
          <w:lang w:val="en-GB"/>
        </w:rPr>
        <w:fldChar w:fldCharType="end"/>
      </w:r>
      <w:r w:rsidR="00EE21B9" w:rsidRPr="00C93C2F">
        <w:rPr>
          <w:rFonts w:ascii="Times New Roman" w:hAnsi="Times New Roman" w:cs="Times New Roman"/>
          <w:lang w:val="pl-PL"/>
        </w:rPr>
        <w:t>.  </w:t>
      </w:r>
      <w:r w:rsidR="00100217"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138 </w:t>
      </w:r>
      <w:r w:rsidR="00EE21B9" w:rsidRPr="00C93C2F">
        <w:rPr>
          <w:rFonts w:ascii="Times New Roman" w:hAnsi="Times New Roman" w:cs="Times New Roman"/>
          <w:lang w:val="pl-PL"/>
        </w:rPr>
        <w:t>Kodeksu Cywilnego</w:t>
      </w:r>
      <w:r w:rsidR="00A220C6" w:rsidRPr="00C93C2F">
        <w:rPr>
          <w:rFonts w:ascii="Times New Roman" w:hAnsi="Times New Roman" w:cs="Times New Roman"/>
          <w:lang w:val="pl-PL"/>
        </w:rPr>
        <w:t xml:space="preserve"> (</w:t>
      </w:r>
      <w:r w:rsidR="00EE21B9" w:rsidRPr="00C93C2F">
        <w:rPr>
          <w:rFonts w:ascii="Times New Roman" w:hAnsi="Times New Roman" w:cs="Times New Roman"/>
          <w:lang w:val="pl-PL"/>
        </w:rPr>
        <w:t>Zasady Ogólne)</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i/>
          <w:lang w:val="pl-PL"/>
        </w:rPr>
        <w:t>Tsiviilseadustiku</w:t>
      </w:r>
      <w:proofErr w:type="spellEnd"/>
      <w:r w:rsidR="00A220C6" w:rsidRPr="00C93C2F">
        <w:rPr>
          <w:rFonts w:ascii="Times New Roman" w:hAnsi="Times New Roman" w:cs="Times New Roman"/>
          <w:i/>
          <w:lang w:val="pl-PL"/>
        </w:rPr>
        <w:t xml:space="preserve"> </w:t>
      </w:r>
      <w:proofErr w:type="spellStart"/>
      <w:r w:rsidR="00A220C6" w:rsidRPr="00C93C2F">
        <w:rPr>
          <w:rFonts w:ascii="Times New Roman" w:hAnsi="Times New Roman" w:cs="Times New Roman"/>
          <w:i/>
          <w:lang w:val="pl-PL"/>
        </w:rPr>
        <w:t>üldosa</w:t>
      </w:r>
      <w:proofErr w:type="spellEnd"/>
      <w:r w:rsidR="00A220C6" w:rsidRPr="00C93C2F">
        <w:rPr>
          <w:rFonts w:ascii="Times New Roman" w:hAnsi="Times New Roman" w:cs="Times New Roman"/>
          <w:i/>
          <w:lang w:val="pl-PL"/>
        </w:rPr>
        <w:t xml:space="preserve"> </w:t>
      </w:r>
      <w:proofErr w:type="spellStart"/>
      <w:r w:rsidR="00A220C6" w:rsidRPr="00C93C2F">
        <w:rPr>
          <w:rFonts w:ascii="Times New Roman" w:hAnsi="Times New Roman" w:cs="Times New Roman"/>
          <w:i/>
          <w:lang w:val="pl-PL"/>
        </w:rPr>
        <w:t>seadus</w:t>
      </w:r>
      <w:proofErr w:type="spellEnd"/>
      <w:r w:rsidR="00A220C6" w:rsidRPr="00C93C2F">
        <w:rPr>
          <w:rFonts w:ascii="Times New Roman" w:hAnsi="Times New Roman" w:cs="Times New Roman"/>
          <w:lang w:val="pl-PL"/>
        </w:rPr>
        <w:t xml:space="preserve">) </w:t>
      </w:r>
      <w:r w:rsidR="00100217" w:rsidRPr="00C93C2F">
        <w:rPr>
          <w:rFonts w:ascii="Times New Roman" w:hAnsi="Times New Roman" w:cs="Times New Roman"/>
          <w:lang w:val="pl-PL"/>
        </w:rPr>
        <w:t>stanowi, że prawa</w:t>
      </w:r>
      <w:r w:rsidR="00EE21B9" w:rsidRPr="00C93C2F">
        <w:rPr>
          <w:rFonts w:ascii="Times New Roman" w:hAnsi="Times New Roman" w:cs="Times New Roman"/>
          <w:lang w:val="pl-PL"/>
        </w:rPr>
        <w:t xml:space="preserve"> </w:t>
      </w:r>
      <w:r w:rsidR="00547BB5" w:rsidRPr="00C93C2F">
        <w:rPr>
          <w:rFonts w:ascii="Times New Roman" w:hAnsi="Times New Roman" w:cs="Times New Roman"/>
          <w:lang w:val="pl-PL"/>
        </w:rPr>
        <w:t>mają być użytkowane, a</w:t>
      </w:r>
      <w:r w:rsidR="00EE21B9" w:rsidRPr="00C93C2F">
        <w:rPr>
          <w:rFonts w:ascii="Times New Roman" w:hAnsi="Times New Roman" w:cs="Times New Roman"/>
          <w:lang w:val="pl-PL"/>
        </w:rPr>
        <w:t xml:space="preserve"> </w:t>
      </w:r>
      <w:r w:rsidR="00100217" w:rsidRPr="00C93C2F">
        <w:rPr>
          <w:rFonts w:ascii="Times New Roman" w:hAnsi="Times New Roman" w:cs="Times New Roman"/>
          <w:lang w:val="pl-PL"/>
        </w:rPr>
        <w:t xml:space="preserve">zobowiązania </w:t>
      </w:r>
      <w:r w:rsidR="00EE21B9" w:rsidRPr="00C93C2F">
        <w:rPr>
          <w:rFonts w:ascii="Times New Roman" w:hAnsi="Times New Roman" w:cs="Times New Roman"/>
          <w:lang w:val="pl-PL"/>
        </w:rPr>
        <w:t>wykonywane w dobrej wierze. Prawo nie może być wykonywane w sposób niezgodny z prawem lub w celu wyrządzenia szkody innej osobie.</w:t>
      </w:r>
    </w:p>
    <w:p w:rsidR="00A220C6"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35</w:t>
      </w:r>
      <w:r w:rsidRPr="00C93C2F">
        <w:rPr>
          <w:rFonts w:ascii="Times New Roman" w:hAnsi="Times New Roman" w:cs="Times New Roman"/>
          <w:lang w:val="en-GB"/>
        </w:rPr>
        <w:fldChar w:fldCharType="end"/>
      </w:r>
      <w:r w:rsidR="00A220C6" w:rsidRPr="00C93C2F">
        <w:rPr>
          <w:rFonts w:ascii="Times New Roman" w:hAnsi="Times New Roman" w:cs="Times New Roman"/>
          <w:lang w:val="pl-PL"/>
        </w:rPr>
        <w:t>.  </w:t>
      </w:r>
      <w:r w:rsidR="00EE21B9" w:rsidRPr="00C93C2F">
        <w:rPr>
          <w:rFonts w:ascii="Times New Roman" w:hAnsi="Times New Roman" w:cs="Times New Roman"/>
          <w:lang w:val="pl-PL"/>
        </w:rPr>
        <w:t>P</w:t>
      </w:r>
      <w:r w:rsidR="00547BB5" w:rsidRPr="00C93C2F">
        <w:rPr>
          <w:rFonts w:ascii="Times New Roman" w:hAnsi="Times New Roman" w:cs="Times New Roman"/>
          <w:lang w:val="pl-PL"/>
        </w:rPr>
        <w:t>aragraf</w:t>
      </w:r>
      <w:r w:rsidR="00A220C6" w:rsidRPr="00C93C2F">
        <w:rPr>
          <w:rFonts w:ascii="Times New Roman" w:hAnsi="Times New Roman" w:cs="Times New Roman"/>
          <w:lang w:val="pl-PL"/>
        </w:rPr>
        <w:t xml:space="preserve"> 2 </w:t>
      </w:r>
      <w:r w:rsidR="00547BB5" w:rsidRPr="00C93C2F">
        <w:rPr>
          <w:rFonts w:ascii="Times New Roman" w:hAnsi="Times New Roman" w:cs="Times New Roman"/>
          <w:lang w:val="pl-PL"/>
        </w:rPr>
        <w:t xml:space="preserve">artykułu </w:t>
      </w:r>
      <w:r w:rsidR="00A220C6" w:rsidRPr="00C93C2F">
        <w:rPr>
          <w:rFonts w:ascii="Times New Roman" w:hAnsi="Times New Roman" w:cs="Times New Roman"/>
          <w:lang w:val="pl-PL"/>
        </w:rPr>
        <w:t xml:space="preserve">134 </w:t>
      </w:r>
      <w:r w:rsidR="00547BB5" w:rsidRPr="00C93C2F">
        <w:rPr>
          <w:rFonts w:ascii="Times New Roman" w:hAnsi="Times New Roman" w:cs="Times New Roman"/>
          <w:lang w:val="pl-PL"/>
        </w:rPr>
        <w:t xml:space="preserve">Prawa Zobowiązań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i/>
          <w:lang w:val="pl-PL"/>
        </w:rPr>
        <w:t>Võlaõigusseadus</w:t>
      </w:r>
      <w:proofErr w:type="spellEnd"/>
      <w:r w:rsidR="00A220C6" w:rsidRPr="00C93C2F">
        <w:rPr>
          <w:rFonts w:ascii="Times New Roman" w:hAnsi="Times New Roman" w:cs="Times New Roman"/>
          <w:lang w:val="pl-PL"/>
        </w:rPr>
        <w:t xml:space="preserve">) </w:t>
      </w:r>
      <w:r w:rsidR="00EE21B9" w:rsidRPr="00C93C2F">
        <w:rPr>
          <w:rFonts w:ascii="Times New Roman" w:hAnsi="Times New Roman" w:cs="Times New Roman"/>
          <w:lang w:val="pl-PL"/>
        </w:rPr>
        <w:t>stanowi</w:t>
      </w:r>
      <w:r w:rsidR="00A220C6" w:rsidRPr="00C93C2F">
        <w:rPr>
          <w:rFonts w:ascii="Times New Roman" w:hAnsi="Times New Roman" w:cs="Times New Roman"/>
          <w:lang w:val="pl-PL"/>
        </w:rPr>
        <w:t>:</w:t>
      </w:r>
    </w:p>
    <w:p w:rsidR="00A220C6" w:rsidRPr="00C93C2F" w:rsidRDefault="00EE21B9" w:rsidP="00171A6F">
      <w:pPr>
        <w:pStyle w:val="ECHRParaQuote"/>
        <w:rPr>
          <w:rFonts w:ascii="Times New Roman" w:hAnsi="Times New Roman" w:cs="Times New Roman"/>
          <w:lang w:val="pl-PL"/>
        </w:rPr>
      </w:pPr>
      <w:r w:rsidRPr="00C93C2F">
        <w:rPr>
          <w:rFonts w:ascii="Times New Roman" w:hAnsi="Times New Roman" w:cs="Times New Roman"/>
          <w:lang w:val="pl-PL"/>
        </w:rPr>
        <w:t>"W przypadku obowiązku naprawienia szkody wynikającej z</w:t>
      </w:r>
      <w:r w:rsidR="004E69D8" w:rsidRPr="00C93C2F">
        <w:rPr>
          <w:rFonts w:ascii="Times New Roman" w:hAnsi="Times New Roman" w:cs="Times New Roman"/>
          <w:lang w:val="pl-PL"/>
        </w:rPr>
        <w:t>... naruszenia</w:t>
      </w:r>
      <w:r w:rsidRPr="00C93C2F">
        <w:rPr>
          <w:rFonts w:ascii="Times New Roman" w:hAnsi="Times New Roman" w:cs="Times New Roman"/>
          <w:lang w:val="pl-PL"/>
        </w:rPr>
        <w:t xml:space="preserve"> dobra osobiste</w:t>
      </w:r>
      <w:r w:rsidR="004E69D8" w:rsidRPr="00C93C2F">
        <w:rPr>
          <w:rFonts w:ascii="Times New Roman" w:hAnsi="Times New Roman" w:cs="Times New Roman"/>
          <w:lang w:val="pl-PL"/>
        </w:rPr>
        <w:t>go, w szczególności z</w:t>
      </w:r>
      <w:r w:rsidR="00547BB5" w:rsidRPr="00C93C2F">
        <w:rPr>
          <w:rFonts w:ascii="Times New Roman" w:hAnsi="Times New Roman" w:cs="Times New Roman"/>
          <w:lang w:val="pl-PL"/>
        </w:rPr>
        <w:t>e</w:t>
      </w:r>
      <w:r w:rsidRPr="00C93C2F">
        <w:rPr>
          <w:rFonts w:ascii="Times New Roman" w:hAnsi="Times New Roman" w:cs="Times New Roman"/>
          <w:lang w:val="pl-PL"/>
        </w:rPr>
        <w:t xml:space="preserve"> zniesławienia, </w:t>
      </w:r>
      <w:r w:rsidR="004E69D8" w:rsidRPr="00C93C2F">
        <w:rPr>
          <w:rFonts w:ascii="Times New Roman" w:hAnsi="Times New Roman" w:cs="Times New Roman"/>
          <w:lang w:val="pl-PL"/>
        </w:rPr>
        <w:t>z</w:t>
      </w:r>
      <w:r w:rsidRPr="00C93C2F">
        <w:rPr>
          <w:rFonts w:ascii="Times New Roman" w:hAnsi="Times New Roman" w:cs="Times New Roman"/>
          <w:lang w:val="pl-PL"/>
        </w:rPr>
        <w:t>obowiązan</w:t>
      </w:r>
      <w:r w:rsidR="004E69D8" w:rsidRPr="00C93C2F">
        <w:rPr>
          <w:rFonts w:ascii="Times New Roman" w:hAnsi="Times New Roman" w:cs="Times New Roman"/>
          <w:lang w:val="pl-PL"/>
        </w:rPr>
        <w:t>a osoba rekompensuje pokrzywdzonemu</w:t>
      </w:r>
      <w:r w:rsidRPr="00C93C2F">
        <w:rPr>
          <w:rFonts w:ascii="Times New Roman" w:hAnsi="Times New Roman" w:cs="Times New Roman"/>
          <w:lang w:val="pl-PL"/>
        </w:rPr>
        <w:t xml:space="preserve"> szkodę niemajątkową tylko wtedy, gdy jest to uzasadnione ze względu na wagę naruszenia, w </w:t>
      </w:r>
      <w:r w:rsidR="004E69D8" w:rsidRPr="00C93C2F">
        <w:rPr>
          <w:rFonts w:ascii="Times New Roman" w:hAnsi="Times New Roman" w:cs="Times New Roman"/>
          <w:lang w:val="pl-PL"/>
        </w:rPr>
        <w:t>szczególności poprzez cierpienie fizyczne lub emocjonalne. "</w:t>
      </w:r>
    </w:p>
    <w:p w:rsidR="00A220C6"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36</w:t>
      </w:r>
      <w:r w:rsidRPr="00C93C2F">
        <w:rPr>
          <w:rFonts w:ascii="Times New Roman" w:hAnsi="Times New Roman" w:cs="Times New Roman"/>
          <w:lang w:val="en-GB"/>
        </w:rPr>
        <w:fldChar w:fldCharType="end"/>
      </w:r>
      <w:r w:rsidR="004E69D8" w:rsidRPr="00C93C2F">
        <w:rPr>
          <w:rFonts w:ascii="Times New Roman" w:hAnsi="Times New Roman" w:cs="Times New Roman"/>
          <w:lang w:val="pl-PL"/>
        </w:rPr>
        <w:t>.  </w:t>
      </w:r>
      <w:r w:rsidR="00547BB5"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1043 </w:t>
      </w:r>
      <w:r w:rsidR="00547BB5" w:rsidRPr="00C93C2F">
        <w:rPr>
          <w:rFonts w:ascii="Times New Roman" w:hAnsi="Times New Roman" w:cs="Times New Roman"/>
          <w:lang w:val="pl-PL"/>
        </w:rPr>
        <w:t>Prawa Zobowiązań</w:t>
      </w:r>
      <w:r w:rsidR="00A220C6" w:rsidRPr="00C93C2F">
        <w:rPr>
          <w:rFonts w:ascii="Times New Roman" w:hAnsi="Times New Roman" w:cs="Times New Roman"/>
          <w:lang w:val="pl-PL"/>
        </w:rPr>
        <w:t xml:space="preserve"> </w:t>
      </w:r>
      <w:r w:rsidR="004E69D8" w:rsidRPr="00C93C2F">
        <w:rPr>
          <w:rFonts w:ascii="Times New Roman" w:hAnsi="Times New Roman" w:cs="Times New Roman"/>
          <w:lang w:val="pl-PL"/>
        </w:rPr>
        <w:t xml:space="preserve">przewiduje, że osoba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lang w:val="pl-PL"/>
        </w:rPr>
        <w:t>tortfeasor</w:t>
      </w:r>
      <w:proofErr w:type="spellEnd"/>
      <w:r w:rsidR="00A220C6" w:rsidRPr="00C93C2F">
        <w:rPr>
          <w:rFonts w:ascii="Times New Roman" w:hAnsi="Times New Roman" w:cs="Times New Roman"/>
          <w:lang w:val="pl-PL"/>
        </w:rPr>
        <w:t>)</w:t>
      </w:r>
      <w:r w:rsidR="0019239D" w:rsidRPr="00C93C2F">
        <w:rPr>
          <w:rFonts w:ascii="Times New Roman" w:hAnsi="Times New Roman" w:cs="Times New Roman"/>
          <w:lang w:val="pl-PL"/>
        </w:rPr>
        <w:t>,</w:t>
      </w:r>
      <w:r w:rsidR="00A220C6" w:rsidRPr="00C93C2F">
        <w:rPr>
          <w:rFonts w:ascii="Times New Roman" w:hAnsi="Times New Roman" w:cs="Times New Roman"/>
          <w:lang w:val="pl-PL"/>
        </w:rPr>
        <w:t xml:space="preserve"> </w:t>
      </w:r>
      <w:r w:rsidR="004E69D8" w:rsidRPr="00C93C2F">
        <w:rPr>
          <w:rFonts w:ascii="Times New Roman" w:hAnsi="Times New Roman" w:cs="Times New Roman"/>
          <w:lang w:val="pl-PL"/>
        </w:rPr>
        <w:t xml:space="preserve">która bezprawnie powoduje szkodę innej osobie </w:t>
      </w:r>
      <w:r w:rsidR="00A220C6" w:rsidRPr="00C93C2F">
        <w:rPr>
          <w:rFonts w:ascii="Times New Roman" w:hAnsi="Times New Roman" w:cs="Times New Roman"/>
          <w:lang w:val="pl-PL"/>
        </w:rPr>
        <w:t>(</w:t>
      </w:r>
      <w:r w:rsidR="004E69D8" w:rsidRPr="00C93C2F">
        <w:rPr>
          <w:rFonts w:ascii="Times New Roman" w:hAnsi="Times New Roman" w:cs="Times New Roman"/>
          <w:lang w:val="pl-PL"/>
        </w:rPr>
        <w:t>ofiara</w:t>
      </w:r>
      <w:r w:rsidR="00A220C6" w:rsidRPr="00C93C2F">
        <w:rPr>
          <w:rFonts w:ascii="Times New Roman" w:hAnsi="Times New Roman" w:cs="Times New Roman"/>
          <w:lang w:val="pl-PL"/>
        </w:rPr>
        <w:t>)</w:t>
      </w:r>
      <w:r w:rsidR="0019239D" w:rsidRPr="00C93C2F">
        <w:rPr>
          <w:rFonts w:ascii="Times New Roman" w:hAnsi="Times New Roman" w:cs="Times New Roman"/>
          <w:lang w:val="pl-PL"/>
        </w:rPr>
        <w:t>,</w:t>
      </w:r>
      <w:r w:rsidR="00A220C6" w:rsidRPr="00C93C2F">
        <w:rPr>
          <w:rFonts w:ascii="Times New Roman" w:hAnsi="Times New Roman" w:cs="Times New Roman"/>
          <w:lang w:val="pl-PL"/>
        </w:rPr>
        <w:t xml:space="preserve"> </w:t>
      </w:r>
      <w:r w:rsidR="004E69D8" w:rsidRPr="00C93C2F">
        <w:rPr>
          <w:rFonts w:ascii="Times New Roman" w:hAnsi="Times New Roman" w:cs="Times New Roman"/>
          <w:lang w:val="pl-PL"/>
        </w:rPr>
        <w:t>musi zrekompensować szkody, jeżeli</w:t>
      </w:r>
      <w:r w:rsidR="00A220C6" w:rsidRPr="00C93C2F">
        <w:rPr>
          <w:rFonts w:ascii="Times New Roman" w:hAnsi="Times New Roman" w:cs="Times New Roman"/>
          <w:lang w:val="pl-PL"/>
        </w:rPr>
        <w:t xml:space="preserve"> </w:t>
      </w:r>
      <w:r w:rsidR="00E0003C">
        <w:rPr>
          <w:rFonts w:ascii="Times New Roman" w:hAnsi="Times New Roman" w:cs="Times New Roman"/>
          <w:lang w:val="pl-PL"/>
        </w:rPr>
        <w:t>sprawca</w:t>
      </w:r>
      <w:r w:rsidR="00A220C6" w:rsidRPr="00C93C2F">
        <w:rPr>
          <w:rFonts w:ascii="Times New Roman" w:hAnsi="Times New Roman" w:cs="Times New Roman"/>
          <w:lang w:val="pl-PL"/>
        </w:rPr>
        <w:t xml:space="preserve"> </w:t>
      </w:r>
      <w:r w:rsidR="004E69D8" w:rsidRPr="00C93C2F">
        <w:rPr>
          <w:rFonts w:ascii="Times New Roman" w:hAnsi="Times New Roman" w:cs="Times New Roman"/>
          <w:lang w:val="pl-PL"/>
        </w:rPr>
        <w:t xml:space="preserve">jest winny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i/>
          <w:lang w:val="pl-PL"/>
        </w:rPr>
        <w:t>süüdi</w:t>
      </w:r>
      <w:proofErr w:type="spellEnd"/>
      <w:r w:rsidR="00A220C6" w:rsidRPr="00C93C2F">
        <w:rPr>
          <w:rFonts w:ascii="Times New Roman" w:hAnsi="Times New Roman" w:cs="Times New Roman"/>
          <w:lang w:val="pl-PL"/>
        </w:rPr>
        <w:t xml:space="preserve">) </w:t>
      </w:r>
      <w:r w:rsidR="004E69D8" w:rsidRPr="00C93C2F">
        <w:rPr>
          <w:rFonts w:ascii="Times New Roman" w:hAnsi="Times New Roman" w:cs="Times New Roman"/>
          <w:lang w:val="pl-PL"/>
        </w:rPr>
        <w:t xml:space="preserve">spowodowania szkody lub ponosi odpowiedzialność za spowodowanie szkody na </w:t>
      </w:r>
      <w:r w:rsidR="00E0003C">
        <w:rPr>
          <w:rFonts w:ascii="Times New Roman" w:hAnsi="Times New Roman" w:cs="Times New Roman"/>
          <w:lang w:val="pl-PL"/>
        </w:rPr>
        <w:t>gruncie prawa</w:t>
      </w:r>
      <w:r w:rsidR="004E69D8" w:rsidRPr="00C93C2F">
        <w:rPr>
          <w:rFonts w:ascii="Times New Roman" w:hAnsi="Times New Roman" w:cs="Times New Roman"/>
          <w:lang w:val="pl-PL"/>
        </w:rPr>
        <w:t>.</w:t>
      </w:r>
    </w:p>
    <w:p w:rsidR="00A220C6"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37</w:t>
      </w:r>
      <w:r w:rsidRPr="00C93C2F">
        <w:rPr>
          <w:rFonts w:ascii="Times New Roman" w:hAnsi="Times New Roman" w:cs="Times New Roman"/>
          <w:lang w:val="en-GB"/>
        </w:rPr>
        <w:fldChar w:fldCharType="end"/>
      </w:r>
      <w:r w:rsidR="004E69D8" w:rsidRPr="00C93C2F">
        <w:rPr>
          <w:rFonts w:ascii="Times New Roman" w:hAnsi="Times New Roman" w:cs="Times New Roman"/>
          <w:lang w:val="pl-PL"/>
        </w:rPr>
        <w:t>.  </w:t>
      </w:r>
      <w:r w:rsidR="00547BB5"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1045 </w:t>
      </w:r>
      <w:r w:rsidR="00547BB5" w:rsidRPr="00C93C2F">
        <w:rPr>
          <w:rFonts w:ascii="Times New Roman" w:hAnsi="Times New Roman" w:cs="Times New Roman"/>
          <w:lang w:val="pl-PL"/>
        </w:rPr>
        <w:t>Prawa Zobowiązań</w:t>
      </w:r>
      <w:r w:rsidR="004E69D8" w:rsidRPr="00C93C2F">
        <w:rPr>
          <w:rFonts w:ascii="Times New Roman" w:hAnsi="Times New Roman" w:cs="Times New Roman"/>
          <w:lang w:val="pl-PL"/>
        </w:rPr>
        <w:t xml:space="preserve"> przewiduje, że </w:t>
      </w:r>
      <w:r w:rsidR="00435BBC">
        <w:rPr>
          <w:rFonts w:ascii="Times New Roman" w:hAnsi="Times New Roman" w:cs="Times New Roman"/>
          <w:lang w:val="pl-PL"/>
        </w:rPr>
        <w:t>wyrządzenie szkody jest</w:t>
      </w:r>
      <w:r w:rsidR="004E69D8" w:rsidRPr="00C93C2F">
        <w:rPr>
          <w:rFonts w:ascii="Times New Roman" w:hAnsi="Times New Roman" w:cs="Times New Roman"/>
          <w:lang w:val="pl-PL"/>
        </w:rPr>
        <w:t xml:space="preserve"> niezgodn</w:t>
      </w:r>
      <w:r w:rsidR="00435BBC">
        <w:rPr>
          <w:rFonts w:ascii="Times New Roman" w:hAnsi="Times New Roman" w:cs="Times New Roman"/>
          <w:lang w:val="pl-PL"/>
        </w:rPr>
        <w:t>e</w:t>
      </w:r>
      <w:r w:rsidR="004E69D8" w:rsidRPr="00C93C2F">
        <w:rPr>
          <w:rFonts w:ascii="Times New Roman" w:hAnsi="Times New Roman" w:cs="Times New Roman"/>
          <w:lang w:val="pl-PL"/>
        </w:rPr>
        <w:t xml:space="preserve"> z prawem, jeżeli, </w:t>
      </w:r>
      <w:proofErr w:type="spellStart"/>
      <w:r w:rsidR="004E69D8" w:rsidRPr="00C93C2F">
        <w:rPr>
          <w:rFonts w:ascii="Times New Roman" w:hAnsi="Times New Roman" w:cs="Times New Roman"/>
          <w:i/>
          <w:lang w:val="pl-PL"/>
        </w:rPr>
        <w:t>inter</w:t>
      </w:r>
      <w:proofErr w:type="spellEnd"/>
      <w:r w:rsidR="004E69D8" w:rsidRPr="00C93C2F">
        <w:rPr>
          <w:rFonts w:ascii="Times New Roman" w:hAnsi="Times New Roman" w:cs="Times New Roman"/>
          <w:i/>
          <w:lang w:val="pl-PL"/>
        </w:rPr>
        <w:t xml:space="preserve"> </w:t>
      </w:r>
      <w:proofErr w:type="spellStart"/>
      <w:r w:rsidR="004E69D8" w:rsidRPr="00C93C2F">
        <w:rPr>
          <w:rFonts w:ascii="Times New Roman" w:hAnsi="Times New Roman" w:cs="Times New Roman"/>
          <w:i/>
          <w:lang w:val="pl-PL"/>
        </w:rPr>
        <w:t>alia</w:t>
      </w:r>
      <w:proofErr w:type="spellEnd"/>
      <w:r w:rsidR="004E69D8" w:rsidRPr="00C93C2F">
        <w:rPr>
          <w:rFonts w:ascii="Times New Roman" w:hAnsi="Times New Roman" w:cs="Times New Roman"/>
          <w:lang w:val="pl-PL"/>
        </w:rPr>
        <w:t>, wyn</w:t>
      </w:r>
      <w:r w:rsidR="000731F2" w:rsidRPr="00C93C2F">
        <w:rPr>
          <w:rFonts w:ascii="Times New Roman" w:hAnsi="Times New Roman" w:cs="Times New Roman"/>
          <w:lang w:val="pl-PL"/>
        </w:rPr>
        <w:t>ika to z naruszenia dóbr</w:t>
      </w:r>
      <w:r w:rsidR="004E69D8" w:rsidRPr="00C93C2F">
        <w:rPr>
          <w:rFonts w:ascii="Times New Roman" w:hAnsi="Times New Roman" w:cs="Times New Roman"/>
          <w:lang w:val="pl-PL"/>
        </w:rPr>
        <w:t xml:space="preserve"> os</w:t>
      </w:r>
      <w:r w:rsidR="000731F2" w:rsidRPr="00C93C2F">
        <w:rPr>
          <w:rFonts w:ascii="Times New Roman" w:hAnsi="Times New Roman" w:cs="Times New Roman"/>
          <w:lang w:val="pl-PL"/>
        </w:rPr>
        <w:t>obistych</w:t>
      </w:r>
      <w:r w:rsidR="004E69D8" w:rsidRPr="00C93C2F">
        <w:rPr>
          <w:rFonts w:ascii="Times New Roman" w:hAnsi="Times New Roman" w:cs="Times New Roman"/>
          <w:lang w:val="pl-PL"/>
        </w:rPr>
        <w:t xml:space="preserve"> ofiary.</w:t>
      </w:r>
    </w:p>
    <w:p w:rsidR="00A220C6"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38</w:t>
      </w:r>
      <w:r w:rsidRPr="00C93C2F">
        <w:rPr>
          <w:rFonts w:ascii="Times New Roman" w:hAnsi="Times New Roman" w:cs="Times New Roman"/>
          <w:lang w:val="en-GB"/>
        </w:rPr>
        <w:fldChar w:fldCharType="end"/>
      </w:r>
      <w:r w:rsidR="000731F2" w:rsidRPr="00C93C2F">
        <w:rPr>
          <w:rFonts w:ascii="Times New Roman" w:hAnsi="Times New Roman" w:cs="Times New Roman"/>
          <w:lang w:val="pl-PL"/>
        </w:rPr>
        <w:t xml:space="preserve"> Prawo Zobowiązań</w:t>
      </w:r>
      <w:r w:rsidR="00A220C6" w:rsidRPr="00C93C2F">
        <w:rPr>
          <w:rFonts w:ascii="Times New Roman" w:hAnsi="Times New Roman" w:cs="Times New Roman"/>
          <w:lang w:val="pl-PL"/>
        </w:rPr>
        <w:t xml:space="preserve"> </w:t>
      </w:r>
      <w:r w:rsidR="004E69D8" w:rsidRPr="00C93C2F">
        <w:rPr>
          <w:rFonts w:ascii="Times New Roman" w:hAnsi="Times New Roman" w:cs="Times New Roman"/>
          <w:lang w:val="pl-PL"/>
        </w:rPr>
        <w:t>dalej stanowi</w:t>
      </w:r>
      <w:r w:rsidR="00A220C6" w:rsidRPr="00C93C2F">
        <w:rPr>
          <w:rFonts w:ascii="Times New Roman" w:hAnsi="Times New Roman" w:cs="Times New Roman"/>
          <w:lang w:val="pl-PL"/>
        </w:rPr>
        <w:t>:</w:t>
      </w:r>
    </w:p>
    <w:p w:rsidR="00A220C6" w:rsidRPr="00C93C2F" w:rsidRDefault="000731F2"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1046 – </w:t>
      </w:r>
      <w:r w:rsidR="004E69D8" w:rsidRPr="00C93C2F">
        <w:rPr>
          <w:rFonts w:ascii="Times New Roman" w:hAnsi="Times New Roman" w:cs="Times New Roman"/>
          <w:lang w:val="pl-PL"/>
        </w:rPr>
        <w:t>Bezprawność uszkodzenia dóbr osobistych</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“(1)</w:t>
      </w:r>
      <w:r w:rsidR="00A220C6" w:rsidRPr="00C93C2F">
        <w:rPr>
          <w:rFonts w:ascii="Times New Roman" w:hAnsi="Times New Roman" w:cs="Times New Roman"/>
          <w:lang w:val="pl-PL"/>
        </w:rPr>
        <w:t> </w:t>
      </w:r>
      <w:r w:rsidR="000731F2" w:rsidRPr="00C93C2F">
        <w:rPr>
          <w:rFonts w:ascii="Times New Roman" w:hAnsi="Times New Roman" w:cs="Times New Roman"/>
          <w:lang w:val="pl-PL"/>
        </w:rPr>
        <w:t>Naruszając cześć człowieka</w:t>
      </w:r>
      <w:r w:rsidR="004E69D8" w:rsidRPr="00C93C2F">
        <w:rPr>
          <w:rFonts w:ascii="Times New Roman" w:hAnsi="Times New Roman" w:cs="Times New Roman"/>
          <w:lang w:val="pl-PL"/>
        </w:rPr>
        <w:t xml:space="preserve">, </w:t>
      </w:r>
      <w:proofErr w:type="spellStart"/>
      <w:r w:rsidR="004E69D8" w:rsidRPr="00C93C2F">
        <w:rPr>
          <w:rFonts w:ascii="Times New Roman" w:hAnsi="Times New Roman" w:cs="Times New Roman"/>
          <w:i/>
          <w:lang w:val="pl-PL"/>
        </w:rPr>
        <w:t>inter</w:t>
      </w:r>
      <w:proofErr w:type="spellEnd"/>
      <w:r w:rsidR="004E69D8" w:rsidRPr="00C93C2F">
        <w:rPr>
          <w:rFonts w:ascii="Times New Roman" w:hAnsi="Times New Roman" w:cs="Times New Roman"/>
          <w:i/>
          <w:lang w:val="pl-PL"/>
        </w:rPr>
        <w:t xml:space="preserve"> </w:t>
      </w:r>
      <w:proofErr w:type="spellStart"/>
      <w:r w:rsidR="004E69D8" w:rsidRPr="00C93C2F">
        <w:rPr>
          <w:rFonts w:ascii="Times New Roman" w:hAnsi="Times New Roman" w:cs="Times New Roman"/>
          <w:i/>
          <w:lang w:val="pl-PL"/>
        </w:rPr>
        <w:t>alia</w:t>
      </w:r>
      <w:proofErr w:type="spellEnd"/>
      <w:r w:rsidR="000731F2" w:rsidRPr="00C93C2F">
        <w:rPr>
          <w:rFonts w:ascii="Times New Roman" w:hAnsi="Times New Roman" w:cs="Times New Roman"/>
          <w:lang w:val="pl-PL"/>
        </w:rPr>
        <w:t xml:space="preserve"> przekazanie</w:t>
      </w:r>
      <w:r w:rsidR="004E69D8" w:rsidRPr="00C93C2F">
        <w:rPr>
          <w:rFonts w:ascii="Times New Roman" w:hAnsi="Times New Roman" w:cs="Times New Roman"/>
          <w:lang w:val="pl-PL"/>
        </w:rPr>
        <w:t xml:space="preserve"> nadmie</w:t>
      </w:r>
      <w:r w:rsidR="000731F2" w:rsidRPr="00C93C2F">
        <w:rPr>
          <w:rFonts w:ascii="Times New Roman" w:hAnsi="Times New Roman" w:cs="Times New Roman"/>
          <w:lang w:val="pl-PL"/>
        </w:rPr>
        <w:t>rnego</w:t>
      </w:r>
      <w:r w:rsidR="004E69D8" w:rsidRPr="00C93C2F">
        <w:rPr>
          <w:rFonts w:ascii="Times New Roman" w:hAnsi="Times New Roman" w:cs="Times New Roman"/>
          <w:lang w:val="pl-PL"/>
        </w:rPr>
        <w:t xml:space="preserve"> osąd</w:t>
      </w:r>
      <w:r w:rsidR="000731F2" w:rsidRPr="00C93C2F">
        <w:rPr>
          <w:rFonts w:ascii="Times New Roman" w:hAnsi="Times New Roman" w:cs="Times New Roman"/>
          <w:lang w:val="pl-PL"/>
        </w:rPr>
        <w:t>u</w:t>
      </w:r>
      <w:r w:rsidR="004E69D8" w:rsidRPr="00C93C2F">
        <w:rPr>
          <w:rFonts w:ascii="Times New Roman" w:hAnsi="Times New Roman" w:cs="Times New Roman"/>
          <w:lang w:val="pl-PL"/>
        </w:rPr>
        <w:t>, nieuzasadnione użycie nazwy osoby lub obrazu</w:t>
      </w:r>
      <w:r w:rsidRPr="00C93C2F">
        <w:rPr>
          <w:rFonts w:ascii="Times New Roman" w:hAnsi="Times New Roman" w:cs="Times New Roman"/>
          <w:lang w:val="pl-PL"/>
        </w:rPr>
        <w:t>,</w:t>
      </w:r>
      <w:r w:rsidR="004E69D8" w:rsidRPr="00C93C2F">
        <w:rPr>
          <w:rFonts w:ascii="Times New Roman" w:hAnsi="Times New Roman" w:cs="Times New Roman"/>
          <w:lang w:val="pl-PL"/>
        </w:rPr>
        <w:t xml:space="preserve"> lub naruszenie nietykalności życia prywatnego człowieka</w:t>
      </w:r>
      <w:r w:rsidRPr="00C93C2F">
        <w:rPr>
          <w:rFonts w:ascii="Times New Roman" w:hAnsi="Times New Roman" w:cs="Times New Roman"/>
          <w:lang w:val="pl-PL"/>
        </w:rPr>
        <w:t>,</w:t>
      </w:r>
      <w:r w:rsidR="004E69D8" w:rsidRPr="00C93C2F">
        <w:rPr>
          <w:rFonts w:ascii="Times New Roman" w:hAnsi="Times New Roman" w:cs="Times New Roman"/>
          <w:lang w:val="pl-PL"/>
        </w:rPr>
        <w:t xml:space="preserve"> lub innego dobra osobistego, jest niezgodne z prawem, chyba że ustawa stanowi inaczej. Przy ustalaniu bezprawności, rodzaj naruszenia, przyczyny i motywacj</w:t>
      </w:r>
      <w:r w:rsidR="004B468F">
        <w:rPr>
          <w:rFonts w:ascii="Times New Roman" w:hAnsi="Times New Roman" w:cs="Times New Roman"/>
          <w:lang w:val="pl-PL"/>
        </w:rPr>
        <w:t>e oraz waga</w:t>
      </w:r>
      <w:r w:rsidR="004E69D8" w:rsidRPr="00C93C2F">
        <w:rPr>
          <w:rFonts w:ascii="Times New Roman" w:hAnsi="Times New Roman" w:cs="Times New Roman"/>
          <w:lang w:val="pl-PL"/>
        </w:rPr>
        <w:t xml:space="preserve"> naruszenia w stosu</w:t>
      </w:r>
      <w:r w:rsidR="002D03B1" w:rsidRPr="00C93C2F">
        <w:rPr>
          <w:rFonts w:ascii="Times New Roman" w:hAnsi="Times New Roman" w:cs="Times New Roman"/>
          <w:lang w:val="pl-PL"/>
        </w:rPr>
        <w:t>nku do zamierzonego celu powinny</w:t>
      </w:r>
      <w:r w:rsidR="004E69D8" w:rsidRPr="00C93C2F">
        <w:rPr>
          <w:rFonts w:ascii="Times New Roman" w:hAnsi="Times New Roman" w:cs="Times New Roman"/>
          <w:lang w:val="pl-PL"/>
        </w:rPr>
        <w:t xml:space="preserve"> być brane pod uwagę</w:t>
      </w:r>
      <w:r w:rsidR="00A220C6" w:rsidRPr="00C93C2F">
        <w:rPr>
          <w:rFonts w:ascii="Times New Roman" w:hAnsi="Times New Roman" w:cs="Times New Roman"/>
          <w:lang w:val="pl-PL"/>
        </w:rPr>
        <w:t>.</w:t>
      </w:r>
    </w:p>
    <w:p w:rsidR="00A220C6" w:rsidRPr="00C93C2F" w:rsidRDefault="0019239D" w:rsidP="00171A6F">
      <w:pPr>
        <w:pStyle w:val="ECHRParaQuote"/>
        <w:rPr>
          <w:rFonts w:ascii="Times New Roman" w:hAnsi="Times New Roman" w:cs="Times New Roman"/>
          <w:lang w:val="pl-PL"/>
        </w:rPr>
      </w:pPr>
      <w:r w:rsidRPr="00B45853">
        <w:rPr>
          <w:rFonts w:ascii="Times New Roman" w:hAnsi="Times New Roman" w:cs="Times New Roman"/>
          <w:lang w:val="pl-PL"/>
        </w:rPr>
        <w:lastRenderedPageBreak/>
        <w:t>(2)</w:t>
      </w:r>
      <w:r w:rsidR="00A220C6" w:rsidRPr="00B45853">
        <w:rPr>
          <w:rFonts w:ascii="Times New Roman" w:hAnsi="Times New Roman" w:cs="Times New Roman"/>
          <w:lang w:val="pl-PL"/>
        </w:rPr>
        <w:t> </w:t>
      </w:r>
      <w:r w:rsidR="004E69D8" w:rsidRPr="00B45853">
        <w:rPr>
          <w:rFonts w:ascii="Times New Roman" w:hAnsi="Times New Roman" w:cs="Times New Roman"/>
          <w:lang w:val="pl-PL"/>
        </w:rPr>
        <w:t xml:space="preserve">Naruszenie dóbr osobistych nie jest niezgodne z prawem, jeżeli naruszenie jest uzasadnione w świetle innych środków prawnych chronionych przez prawo i praw osób trzecich lub interesu publicznego. W takich przypadkach </w:t>
      </w:r>
      <w:r w:rsidR="003C5AF3" w:rsidRPr="00B45853">
        <w:rPr>
          <w:rFonts w:ascii="Times New Roman" w:hAnsi="Times New Roman" w:cs="Times New Roman"/>
          <w:lang w:val="pl-PL"/>
        </w:rPr>
        <w:t>niezgodność z prawem</w:t>
      </w:r>
      <w:r w:rsidRPr="00B45853">
        <w:rPr>
          <w:rFonts w:ascii="Times New Roman" w:hAnsi="Times New Roman" w:cs="Times New Roman"/>
          <w:lang w:val="pl-PL"/>
        </w:rPr>
        <w:t xml:space="preserve"> </w:t>
      </w:r>
      <w:r w:rsidR="004E69D8" w:rsidRPr="00B45853">
        <w:rPr>
          <w:rFonts w:ascii="Times New Roman" w:hAnsi="Times New Roman" w:cs="Times New Roman"/>
          <w:lang w:val="pl-PL"/>
        </w:rPr>
        <w:t xml:space="preserve"> ustala się na podstawie oceny porównawczej różnych praw i interesów chronionych </w:t>
      </w:r>
      <w:r w:rsidR="004E69D8" w:rsidRPr="00C93C2F">
        <w:rPr>
          <w:rFonts w:ascii="Times New Roman" w:hAnsi="Times New Roman" w:cs="Times New Roman"/>
          <w:lang w:val="pl-PL"/>
        </w:rPr>
        <w:t>przez prawo. "</w:t>
      </w:r>
    </w:p>
    <w:p w:rsidR="00A220C6" w:rsidRPr="00B45853" w:rsidRDefault="002D03B1"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3C5AF3" w:rsidRPr="00C93C2F">
        <w:rPr>
          <w:rFonts w:ascii="Times New Roman" w:hAnsi="Times New Roman" w:cs="Times New Roman"/>
          <w:lang w:val="pl-PL"/>
        </w:rPr>
        <w:t xml:space="preserve"> 1047 - </w:t>
      </w:r>
      <w:r w:rsidRPr="00C93C2F">
        <w:rPr>
          <w:rFonts w:ascii="Times New Roman" w:hAnsi="Times New Roman" w:cs="Times New Roman"/>
          <w:lang w:val="pl-PL"/>
        </w:rPr>
        <w:t>Bezprawność</w:t>
      </w:r>
      <w:r w:rsidR="003C5AF3" w:rsidRPr="00C93C2F">
        <w:rPr>
          <w:rFonts w:ascii="Times New Roman" w:hAnsi="Times New Roman" w:cs="Times New Roman"/>
          <w:lang w:val="pl-PL"/>
        </w:rPr>
        <w:t xml:space="preserve"> ujawnienia</w:t>
      </w:r>
      <w:r w:rsidR="003C5AF3" w:rsidRPr="00B45853">
        <w:rPr>
          <w:rFonts w:ascii="Times New Roman" w:hAnsi="Times New Roman" w:cs="Times New Roman"/>
          <w:lang w:val="pl-PL"/>
        </w:rPr>
        <w:t xml:space="preserve"> nieprawdziwych informacji</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w:t>
      </w:r>
      <w:r w:rsidR="00C93C2F">
        <w:rPr>
          <w:rFonts w:ascii="Times New Roman" w:hAnsi="Times New Roman" w:cs="Times New Roman"/>
          <w:lang w:val="pl-PL"/>
        </w:rPr>
        <w:t>)</w:t>
      </w:r>
      <w:r w:rsidR="003C5AF3" w:rsidRPr="00B45853">
        <w:rPr>
          <w:rFonts w:ascii="Times New Roman" w:hAnsi="Times New Roman" w:cs="Times New Roman"/>
          <w:lang w:val="pl-PL"/>
        </w:rPr>
        <w:t xml:space="preserve"> Naruszenie dóbr osobistych lub zakłócenia działalności gospodarczej</w:t>
      </w:r>
      <w:r w:rsidR="0019239D" w:rsidRPr="00B45853">
        <w:rPr>
          <w:rFonts w:ascii="Times New Roman" w:hAnsi="Times New Roman" w:cs="Times New Roman"/>
          <w:lang w:val="pl-PL"/>
        </w:rPr>
        <w:t>,</w:t>
      </w:r>
      <w:r w:rsidR="003C5AF3" w:rsidRPr="00B45853">
        <w:rPr>
          <w:rFonts w:ascii="Times New Roman" w:hAnsi="Times New Roman" w:cs="Times New Roman"/>
          <w:lang w:val="pl-PL"/>
        </w:rPr>
        <w:t xml:space="preserve"> lub zawodowej danej osoby w drodze ujawnienia </w:t>
      </w:r>
      <w:r w:rsidRPr="00B45853">
        <w:rPr>
          <w:rFonts w:ascii="Times New Roman" w:hAnsi="Times New Roman" w:cs="Times New Roman"/>
          <w:lang w:val="pl-PL"/>
        </w:rPr>
        <w:t>[</w:t>
      </w:r>
      <w:proofErr w:type="spellStart"/>
      <w:r w:rsidRPr="00B45853">
        <w:rPr>
          <w:rFonts w:ascii="Times New Roman" w:hAnsi="Times New Roman" w:cs="Times New Roman"/>
          <w:i/>
          <w:lang w:val="pl-PL"/>
        </w:rPr>
        <w:t>avaldamine</w:t>
      </w:r>
      <w:proofErr w:type="spellEnd"/>
      <w:r w:rsidRPr="00B45853">
        <w:rPr>
          <w:rFonts w:ascii="Times New Roman" w:hAnsi="Times New Roman" w:cs="Times New Roman"/>
          <w:lang w:val="pl-PL"/>
        </w:rPr>
        <w:t xml:space="preserve">] </w:t>
      </w:r>
      <w:r w:rsidR="003C5AF3" w:rsidRPr="00B45853">
        <w:rPr>
          <w:rFonts w:ascii="Times New Roman" w:hAnsi="Times New Roman" w:cs="Times New Roman"/>
          <w:lang w:val="pl-PL"/>
        </w:rPr>
        <w:t xml:space="preserve">nieprawidłowej informacji </w:t>
      </w:r>
      <w:r w:rsidR="0019239D" w:rsidRPr="00B45853">
        <w:rPr>
          <w:rFonts w:ascii="Times New Roman" w:hAnsi="Times New Roman" w:cs="Times New Roman"/>
          <w:lang w:val="pl-PL"/>
        </w:rPr>
        <w:t>,</w:t>
      </w:r>
      <w:r w:rsidR="003C5AF3" w:rsidRPr="00B45853">
        <w:rPr>
          <w:rFonts w:ascii="Times New Roman" w:hAnsi="Times New Roman" w:cs="Times New Roman"/>
          <w:lang w:val="pl-PL"/>
        </w:rPr>
        <w:t>lub w drodze niekompletnych</w:t>
      </w:r>
      <w:r w:rsidR="0019239D" w:rsidRPr="00B45853">
        <w:rPr>
          <w:rFonts w:ascii="Times New Roman" w:hAnsi="Times New Roman" w:cs="Times New Roman"/>
          <w:lang w:val="pl-PL"/>
        </w:rPr>
        <w:t>,</w:t>
      </w:r>
      <w:r w:rsidR="003C5AF3" w:rsidRPr="00B45853">
        <w:rPr>
          <w:rFonts w:ascii="Times New Roman" w:hAnsi="Times New Roman" w:cs="Times New Roman"/>
          <w:lang w:val="pl-PL"/>
        </w:rPr>
        <w:t xml:space="preserve"> lub wprowadzających w błąd ujawnianie informacji dotyczących osoby</w:t>
      </w:r>
      <w:r w:rsidR="0019239D" w:rsidRPr="00B45853">
        <w:rPr>
          <w:rFonts w:ascii="Times New Roman" w:hAnsi="Times New Roman" w:cs="Times New Roman"/>
          <w:lang w:val="pl-PL"/>
        </w:rPr>
        <w:t>,</w:t>
      </w:r>
      <w:r w:rsidR="003C5AF3" w:rsidRPr="00B45853">
        <w:rPr>
          <w:rFonts w:ascii="Times New Roman" w:hAnsi="Times New Roman" w:cs="Times New Roman"/>
          <w:lang w:val="pl-PL"/>
        </w:rPr>
        <w:t xml:space="preserve"> lub czynności danej osoby, jest niezgodne z prawem, chyba że osoba</w:t>
      </w:r>
      <w:r w:rsidR="0019239D" w:rsidRPr="00B45853">
        <w:rPr>
          <w:rFonts w:ascii="Times New Roman" w:hAnsi="Times New Roman" w:cs="Times New Roman"/>
          <w:lang w:val="pl-PL"/>
        </w:rPr>
        <w:t>,</w:t>
      </w:r>
      <w:r w:rsidR="003C5AF3" w:rsidRPr="00B45853">
        <w:rPr>
          <w:rFonts w:ascii="Times New Roman" w:hAnsi="Times New Roman" w:cs="Times New Roman"/>
          <w:lang w:val="pl-PL"/>
        </w:rPr>
        <w:t xml:space="preserve"> która ujawnia takie informacje</w:t>
      </w:r>
      <w:r w:rsidR="0019239D" w:rsidRPr="00B45853">
        <w:rPr>
          <w:rFonts w:ascii="Times New Roman" w:hAnsi="Times New Roman" w:cs="Times New Roman"/>
          <w:lang w:val="pl-PL"/>
        </w:rPr>
        <w:t>,</w:t>
      </w:r>
      <w:r w:rsidR="003C5AF3" w:rsidRPr="00B45853">
        <w:rPr>
          <w:rFonts w:ascii="Times New Roman" w:hAnsi="Times New Roman" w:cs="Times New Roman"/>
          <w:lang w:val="pl-PL"/>
        </w:rPr>
        <w:t xml:space="preserve"> okazuje się, że w czasie takiego ujawnienia, on lub ona nie wiedziała i nie mia</w:t>
      </w:r>
      <w:r w:rsidR="002D03B1">
        <w:rPr>
          <w:rFonts w:ascii="Times New Roman" w:hAnsi="Times New Roman" w:cs="Times New Roman"/>
          <w:lang w:val="pl-PL"/>
        </w:rPr>
        <w:t>ła obowiązku zdawać sobie sprawy</w:t>
      </w:r>
      <w:r w:rsidR="003C5AF3" w:rsidRPr="00B45853">
        <w:rPr>
          <w:rFonts w:ascii="Times New Roman" w:hAnsi="Times New Roman" w:cs="Times New Roman"/>
          <w:lang w:val="pl-PL"/>
        </w:rPr>
        <w:t>, że takie informacje są nieprawidłowe lub niekompletne.</w:t>
      </w:r>
    </w:p>
    <w:p w:rsidR="00A220C6" w:rsidRPr="00B45853" w:rsidRDefault="0019239D" w:rsidP="00171A6F">
      <w:pPr>
        <w:pStyle w:val="ECHRParaQuote"/>
        <w:rPr>
          <w:rFonts w:ascii="Times New Roman" w:hAnsi="Times New Roman" w:cs="Times New Roman"/>
          <w:lang w:val="pl-PL"/>
        </w:rPr>
      </w:pPr>
      <w:r w:rsidRPr="00B45853">
        <w:rPr>
          <w:rFonts w:ascii="Times New Roman" w:hAnsi="Times New Roman" w:cs="Times New Roman"/>
          <w:lang w:val="pl-PL"/>
        </w:rPr>
        <w:t>(2) </w:t>
      </w:r>
      <w:r w:rsidR="003C5AF3" w:rsidRPr="00B45853">
        <w:rPr>
          <w:rFonts w:ascii="Times New Roman" w:hAnsi="Times New Roman" w:cs="Times New Roman"/>
          <w:lang w:val="pl-PL"/>
        </w:rPr>
        <w:t>Ujawnien</w:t>
      </w:r>
      <w:r w:rsidR="002D03B1">
        <w:rPr>
          <w:rFonts w:ascii="Times New Roman" w:hAnsi="Times New Roman" w:cs="Times New Roman"/>
          <w:lang w:val="pl-PL"/>
        </w:rPr>
        <w:t>ie spraw</w:t>
      </w:r>
      <w:r w:rsidR="003C5AF3" w:rsidRPr="00B45853">
        <w:rPr>
          <w:rFonts w:ascii="Times New Roman" w:hAnsi="Times New Roman" w:cs="Times New Roman"/>
          <w:lang w:val="pl-PL"/>
        </w:rPr>
        <w:t xml:space="preserve"> oszcz</w:t>
      </w:r>
      <w:r w:rsidRPr="00B45853">
        <w:rPr>
          <w:rFonts w:ascii="Times New Roman" w:hAnsi="Times New Roman" w:cs="Times New Roman"/>
          <w:lang w:val="pl-PL"/>
        </w:rPr>
        <w:t>erczych dotyczących danej osoby</w:t>
      </w:r>
      <w:r w:rsidR="003C5AF3" w:rsidRPr="00B45853">
        <w:rPr>
          <w:rFonts w:ascii="Times New Roman" w:hAnsi="Times New Roman" w:cs="Times New Roman"/>
          <w:lang w:val="pl-PL"/>
        </w:rPr>
        <w:t xml:space="preserve"> lub spraw, które mogą mieć niekorzystny wpływ na sytuację ekonomiczną danej osoby, jest uważane za niezgodne z prawem, chyba że osoba, która ujawnia takie sprawy</w:t>
      </w:r>
      <w:r w:rsidRPr="00B45853">
        <w:rPr>
          <w:rFonts w:ascii="Times New Roman" w:hAnsi="Times New Roman" w:cs="Times New Roman"/>
          <w:lang w:val="pl-PL"/>
        </w:rPr>
        <w:t>,</w:t>
      </w:r>
      <w:r w:rsidR="003C5AF3" w:rsidRPr="00B45853">
        <w:rPr>
          <w:rFonts w:ascii="Times New Roman" w:hAnsi="Times New Roman" w:cs="Times New Roman"/>
          <w:lang w:val="pl-PL"/>
        </w:rPr>
        <w:t xml:space="preserve"> dowodzi, że są one prawdziwe</w:t>
      </w:r>
      <w:r w:rsidR="00A220C6" w:rsidRPr="00B45853">
        <w:rPr>
          <w:rFonts w:ascii="Times New Roman" w:hAnsi="Times New Roman" w:cs="Times New Roman"/>
          <w:lang w:val="pl-PL"/>
        </w:rPr>
        <w:t>.</w:t>
      </w:r>
    </w:p>
    <w:p w:rsidR="00A220C6" w:rsidRPr="00B45853" w:rsidRDefault="0019239D" w:rsidP="00171A6F">
      <w:pPr>
        <w:pStyle w:val="ECHRParaQuote"/>
        <w:rPr>
          <w:rFonts w:ascii="Times New Roman" w:hAnsi="Times New Roman" w:cs="Times New Roman"/>
          <w:lang w:val="pl-PL"/>
        </w:rPr>
      </w:pPr>
      <w:r w:rsidRPr="00B45853">
        <w:rPr>
          <w:rFonts w:ascii="Times New Roman" w:hAnsi="Times New Roman" w:cs="Times New Roman"/>
          <w:lang w:val="pl-PL"/>
        </w:rPr>
        <w:t>(3) </w:t>
      </w:r>
      <w:r w:rsidR="003C5AF3" w:rsidRPr="00B45853">
        <w:rPr>
          <w:rFonts w:ascii="Times New Roman" w:hAnsi="Times New Roman" w:cs="Times New Roman"/>
          <w:lang w:val="pl-PL"/>
        </w:rPr>
        <w:t>Niezależnie od postanow</w:t>
      </w:r>
      <w:r w:rsidR="002D03B1">
        <w:rPr>
          <w:rFonts w:ascii="Times New Roman" w:hAnsi="Times New Roman" w:cs="Times New Roman"/>
          <w:lang w:val="pl-PL"/>
        </w:rPr>
        <w:t>ień ustępów (1) i (2) niniejszego artykułu</w:t>
      </w:r>
      <w:r w:rsidR="003C5AF3" w:rsidRPr="00B45853">
        <w:rPr>
          <w:rFonts w:ascii="Times New Roman" w:hAnsi="Times New Roman" w:cs="Times New Roman"/>
          <w:lang w:val="pl-PL"/>
        </w:rPr>
        <w:t>, ujawnienie informacji lub innych sprawach nie zostanie uznane za niezgodne z prawem, jeśli osoba, która ujawnia informacje lub inne sprawy</w:t>
      </w:r>
      <w:r w:rsidRPr="00B45853">
        <w:rPr>
          <w:rFonts w:ascii="Times New Roman" w:hAnsi="Times New Roman" w:cs="Times New Roman"/>
          <w:lang w:val="pl-PL"/>
        </w:rPr>
        <w:t>,</w:t>
      </w:r>
      <w:r w:rsidR="003C5AF3" w:rsidRPr="00B45853">
        <w:rPr>
          <w:rFonts w:ascii="Times New Roman" w:hAnsi="Times New Roman" w:cs="Times New Roman"/>
          <w:lang w:val="pl-PL"/>
        </w:rPr>
        <w:t xml:space="preserve"> lub osoby, których takie sprawy są ujawniane</w:t>
      </w:r>
      <w:r w:rsidRPr="00B45853">
        <w:rPr>
          <w:rFonts w:ascii="Times New Roman" w:hAnsi="Times New Roman" w:cs="Times New Roman"/>
          <w:lang w:val="pl-PL"/>
        </w:rPr>
        <w:t>,</w:t>
      </w:r>
      <w:r w:rsidR="003C5AF3" w:rsidRPr="00B45853">
        <w:rPr>
          <w:rFonts w:ascii="Times New Roman" w:hAnsi="Times New Roman" w:cs="Times New Roman"/>
          <w:lang w:val="pl-PL"/>
        </w:rPr>
        <w:t xml:space="preserve"> ma uzasadniony interes w ujawnieniu, i jeśli osoba, która ujawnia informacje</w:t>
      </w:r>
      <w:r w:rsidRPr="00B45853">
        <w:rPr>
          <w:rFonts w:ascii="Times New Roman" w:hAnsi="Times New Roman" w:cs="Times New Roman"/>
          <w:lang w:val="pl-PL"/>
        </w:rPr>
        <w:t>,</w:t>
      </w:r>
      <w:r w:rsidR="003C5AF3" w:rsidRPr="00B45853">
        <w:rPr>
          <w:rFonts w:ascii="Times New Roman" w:hAnsi="Times New Roman" w:cs="Times New Roman"/>
          <w:lang w:val="pl-PL"/>
        </w:rPr>
        <w:t xml:space="preserve"> zweryfikowała informacje lub inne sprawy z dokładnością co odpowiada wadze potencjalnemu naruszenia</w:t>
      </w:r>
      <w:r w:rsidR="00A220C6" w:rsidRPr="00B45853">
        <w:rPr>
          <w:rFonts w:ascii="Times New Roman" w:hAnsi="Times New Roman" w:cs="Times New Roman"/>
          <w:lang w:val="pl-PL"/>
        </w:rPr>
        <w:t>.</w:t>
      </w:r>
    </w:p>
    <w:p w:rsidR="00A220C6" w:rsidRPr="00C93C2F" w:rsidRDefault="0019239D" w:rsidP="00171A6F">
      <w:pPr>
        <w:pStyle w:val="ECHRParaQuote"/>
        <w:rPr>
          <w:rFonts w:ascii="Times New Roman" w:hAnsi="Times New Roman" w:cs="Times New Roman"/>
          <w:lang w:val="pl-PL"/>
        </w:rPr>
      </w:pPr>
      <w:r w:rsidRPr="00B45853">
        <w:rPr>
          <w:rFonts w:ascii="Times New Roman" w:hAnsi="Times New Roman" w:cs="Times New Roman"/>
          <w:lang w:val="pl-PL"/>
        </w:rPr>
        <w:t>(4)</w:t>
      </w:r>
      <w:r w:rsidR="00A220C6" w:rsidRPr="00B45853">
        <w:rPr>
          <w:rFonts w:ascii="Times New Roman" w:hAnsi="Times New Roman" w:cs="Times New Roman"/>
          <w:lang w:val="pl-PL"/>
        </w:rPr>
        <w:t> </w:t>
      </w:r>
      <w:r w:rsidR="003C5AF3" w:rsidRPr="00B45853">
        <w:rPr>
          <w:rFonts w:ascii="Times New Roman" w:hAnsi="Times New Roman" w:cs="Times New Roman"/>
          <w:lang w:val="pl-PL"/>
        </w:rPr>
        <w:t xml:space="preserve">W przypadku ujawnienia </w:t>
      </w:r>
      <w:r w:rsidR="003C5AF3" w:rsidRPr="00C93C2F">
        <w:rPr>
          <w:rFonts w:ascii="Times New Roman" w:hAnsi="Times New Roman" w:cs="Times New Roman"/>
          <w:lang w:val="pl-PL"/>
        </w:rPr>
        <w:t>nieprawdziwych informacji, poszkodowany może żądać, aby osoba, która ujawniła takie informacje</w:t>
      </w:r>
      <w:r w:rsidRPr="00C93C2F">
        <w:rPr>
          <w:rFonts w:ascii="Times New Roman" w:hAnsi="Times New Roman" w:cs="Times New Roman"/>
          <w:lang w:val="pl-PL"/>
        </w:rPr>
        <w:t>,</w:t>
      </w:r>
      <w:r w:rsidR="002D03B1" w:rsidRPr="00C93C2F">
        <w:rPr>
          <w:rFonts w:ascii="Times New Roman" w:hAnsi="Times New Roman" w:cs="Times New Roman"/>
          <w:lang w:val="pl-PL"/>
        </w:rPr>
        <w:t xml:space="preserve"> odwołała</w:t>
      </w:r>
      <w:r w:rsidR="003C5AF3" w:rsidRPr="00C93C2F">
        <w:rPr>
          <w:rFonts w:ascii="Times New Roman" w:hAnsi="Times New Roman" w:cs="Times New Roman"/>
          <w:lang w:val="pl-PL"/>
        </w:rPr>
        <w:t xml:space="preserve"> je lub opublikowała korektę na swój własny koszt, niezależnie od tego, czy ujawnienie informacji jest niezgodne z prawem, czy też nie</w:t>
      </w:r>
      <w:r w:rsidR="00A220C6" w:rsidRPr="00C93C2F">
        <w:rPr>
          <w:rFonts w:ascii="Times New Roman" w:hAnsi="Times New Roman" w:cs="Times New Roman"/>
          <w:lang w:val="pl-PL"/>
        </w:rPr>
        <w:t>.”</w:t>
      </w:r>
    </w:p>
    <w:p w:rsidR="00A220C6" w:rsidRPr="00C93C2F" w:rsidRDefault="002D03B1"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3C6980" w:rsidRPr="00C93C2F">
        <w:rPr>
          <w:rFonts w:ascii="Times New Roman" w:hAnsi="Times New Roman" w:cs="Times New Roman"/>
          <w:lang w:val="pl-PL"/>
        </w:rPr>
        <w:t xml:space="preserve"> </w:t>
      </w:r>
      <w:r w:rsidR="00A220C6" w:rsidRPr="00C93C2F">
        <w:rPr>
          <w:rFonts w:ascii="Times New Roman" w:hAnsi="Times New Roman" w:cs="Times New Roman"/>
          <w:lang w:val="pl-PL"/>
        </w:rPr>
        <w:t>1</w:t>
      </w:r>
      <w:r w:rsidR="003C6980" w:rsidRPr="00C93C2F">
        <w:rPr>
          <w:rFonts w:ascii="Times New Roman" w:hAnsi="Times New Roman" w:cs="Times New Roman"/>
          <w:lang w:val="pl-PL"/>
        </w:rPr>
        <w:t>050 – Wina</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i/>
          <w:lang w:val="pl-PL"/>
        </w:rPr>
        <w:t>süü</w:t>
      </w:r>
      <w:proofErr w:type="spellEnd"/>
      <w:r w:rsidR="00A220C6" w:rsidRPr="00C93C2F">
        <w:rPr>
          <w:rFonts w:ascii="Times New Roman" w:hAnsi="Times New Roman" w:cs="Times New Roman"/>
          <w:lang w:val="pl-PL"/>
        </w:rPr>
        <w:t xml:space="preserve">] </w:t>
      </w:r>
      <w:r w:rsidR="003C6980" w:rsidRPr="00C93C2F">
        <w:rPr>
          <w:rFonts w:ascii="Times New Roman" w:hAnsi="Times New Roman" w:cs="Times New Roman"/>
          <w:lang w:val="pl-PL"/>
        </w:rPr>
        <w:t>jako podstawa do odpowiedzialności</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“(1)</w:t>
      </w:r>
      <w:r w:rsidR="00A220C6" w:rsidRPr="00C93C2F">
        <w:rPr>
          <w:rFonts w:ascii="Times New Roman" w:hAnsi="Times New Roman" w:cs="Times New Roman"/>
          <w:lang w:val="pl-PL"/>
        </w:rPr>
        <w:t> </w:t>
      </w:r>
      <w:r w:rsidR="003C6980" w:rsidRPr="00C93C2F">
        <w:rPr>
          <w:rFonts w:ascii="Times New Roman" w:hAnsi="Times New Roman" w:cs="Times New Roman"/>
          <w:lang w:val="pl-PL"/>
        </w:rPr>
        <w:t>Chyba że prawo stanowi inaczej,</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lang w:val="pl-PL"/>
        </w:rPr>
        <w:t>tortfeasor</w:t>
      </w:r>
      <w:proofErr w:type="spellEnd"/>
      <w:r w:rsidR="00A220C6" w:rsidRPr="00C93C2F">
        <w:rPr>
          <w:rFonts w:ascii="Times New Roman" w:hAnsi="Times New Roman" w:cs="Times New Roman"/>
          <w:lang w:val="pl-PL"/>
        </w:rPr>
        <w:t xml:space="preserve"> </w:t>
      </w:r>
      <w:r w:rsidR="003C6980" w:rsidRPr="00C93C2F">
        <w:rPr>
          <w:rFonts w:ascii="Times New Roman" w:hAnsi="Times New Roman" w:cs="Times New Roman"/>
          <w:lang w:val="pl-PL"/>
        </w:rPr>
        <w:t xml:space="preserve">nie ponosi odpowiedzialności za spowodowanie szkody, jeżeli </w:t>
      </w:r>
      <w:proofErr w:type="spellStart"/>
      <w:r w:rsidR="00A220C6" w:rsidRPr="00C93C2F">
        <w:rPr>
          <w:rFonts w:ascii="Times New Roman" w:hAnsi="Times New Roman" w:cs="Times New Roman"/>
          <w:lang w:val="pl-PL"/>
        </w:rPr>
        <w:t>tortfeasor</w:t>
      </w:r>
      <w:proofErr w:type="spellEnd"/>
      <w:r w:rsidR="00A220C6" w:rsidRPr="00C93C2F">
        <w:rPr>
          <w:rFonts w:ascii="Times New Roman" w:hAnsi="Times New Roman" w:cs="Times New Roman"/>
          <w:lang w:val="pl-PL"/>
        </w:rPr>
        <w:t xml:space="preserve"> </w:t>
      </w:r>
      <w:r w:rsidR="003C6980" w:rsidRPr="00C93C2F">
        <w:rPr>
          <w:rFonts w:ascii="Times New Roman" w:hAnsi="Times New Roman" w:cs="Times New Roman"/>
          <w:lang w:val="pl-PL"/>
        </w:rPr>
        <w:t xml:space="preserve">dowodzi, że on lub ona nie jest winny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i/>
          <w:lang w:val="pl-PL"/>
        </w:rPr>
        <w:t>süüdi</w:t>
      </w:r>
      <w:proofErr w:type="spellEnd"/>
      <w:r w:rsidR="00A220C6" w:rsidRPr="00C93C2F">
        <w:rPr>
          <w:rFonts w:ascii="Times New Roman" w:hAnsi="Times New Roman" w:cs="Times New Roman"/>
          <w:lang w:val="pl-PL"/>
        </w:rPr>
        <w:t xml:space="preserve">] </w:t>
      </w:r>
      <w:r w:rsidR="003C6980" w:rsidRPr="00C93C2F">
        <w:rPr>
          <w:rFonts w:ascii="Times New Roman" w:hAnsi="Times New Roman" w:cs="Times New Roman"/>
          <w:lang w:val="pl-PL"/>
        </w:rPr>
        <w:t>spowodowania szkód</w:t>
      </w:r>
      <w:r w:rsidR="00A220C6" w:rsidRPr="00C93C2F">
        <w:rPr>
          <w:rFonts w:ascii="Times New Roman" w:hAnsi="Times New Roman" w:cs="Times New Roman"/>
          <w:lang w:val="pl-PL"/>
        </w:rPr>
        <w:t>.</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(2)</w:t>
      </w:r>
      <w:r w:rsidR="00A220C6" w:rsidRPr="00C93C2F">
        <w:rPr>
          <w:rFonts w:ascii="Times New Roman" w:hAnsi="Times New Roman" w:cs="Times New Roman"/>
          <w:lang w:val="pl-PL"/>
        </w:rPr>
        <w:t> </w:t>
      </w:r>
      <w:r w:rsidR="003C6980" w:rsidRPr="00C93C2F">
        <w:rPr>
          <w:rFonts w:ascii="Times New Roman" w:hAnsi="Times New Roman" w:cs="Times New Roman"/>
          <w:lang w:val="pl-PL"/>
        </w:rPr>
        <w:t>Sytuacja, wiek, wykształcenie, wiedza, umiejętności i inne osobiste cechy osoby są brane pod uwagę przy ocenie winy</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i/>
          <w:lang w:val="pl-PL"/>
        </w:rPr>
        <w:t>süü</w:t>
      </w:r>
      <w:proofErr w:type="spellEnd"/>
      <w:r w:rsidR="00A220C6" w:rsidRPr="00C93C2F">
        <w:rPr>
          <w:rFonts w:ascii="Times New Roman" w:hAnsi="Times New Roman" w:cs="Times New Roman"/>
          <w:lang w:val="pl-PL"/>
        </w:rPr>
        <w:t xml:space="preserve">] </w:t>
      </w:r>
      <w:r w:rsidR="003C6980" w:rsidRPr="00C93C2F">
        <w:rPr>
          <w:rFonts w:ascii="Times New Roman" w:hAnsi="Times New Roman" w:cs="Times New Roman"/>
          <w:lang w:val="pl-PL"/>
        </w:rPr>
        <w:t>osoby, dla celów niniejszego rozdziału.</w:t>
      </w:r>
    </w:p>
    <w:p w:rsidR="00A220C6" w:rsidRPr="00C93C2F" w:rsidRDefault="00A220C6" w:rsidP="00171A6F">
      <w:pPr>
        <w:pStyle w:val="ECHRParaQuote"/>
        <w:rPr>
          <w:rFonts w:ascii="Times New Roman" w:hAnsi="Times New Roman" w:cs="Times New Roman"/>
          <w:lang w:val="pl-PL"/>
        </w:rPr>
      </w:pPr>
      <w:r w:rsidRPr="00C93C2F">
        <w:rPr>
          <w:rFonts w:ascii="Times New Roman" w:hAnsi="Times New Roman" w:cs="Times New Roman"/>
          <w:lang w:val="pl-PL"/>
        </w:rPr>
        <w:t>(3</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Jeżeli kilka osób ponosi odpowiedzialność za naprawienie szkody oraz, zgodnie z prawem, jeden lub więcej z nich jest odpowiedzialny za odszkodowanie za bezprawne spowodowane szkody niezależnie od tego, czy są oni zawinieni</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czy też nie szkodliwość zachowania i forma winy osoby zobowiązanej do naprawienia szkody powinna być brana pod uwagę podczas podziału wśród nich obowiązku naprawienia szkody. "</w:t>
      </w:r>
    </w:p>
    <w:p w:rsidR="00A220C6" w:rsidRPr="00C93C2F" w:rsidRDefault="002D03B1"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1055 – </w:t>
      </w:r>
      <w:r w:rsidR="00544A7B" w:rsidRPr="00C93C2F">
        <w:rPr>
          <w:rFonts w:ascii="Times New Roman" w:hAnsi="Times New Roman" w:cs="Times New Roman"/>
          <w:lang w:val="pl-PL"/>
        </w:rPr>
        <w:t>Zakaz szkodliwych działań</w:t>
      </w:r>
    </w:p>
    <w:p w:rsidR="00A220C6" w:rsidRPr="00B45853" w:rsidRDefault="00A220C6" w:rsidP="00171A6F">
      <w:pPr>
        <w:pStyle w:val="ECHRParaQuote"/>
        <w:rPr>
          <w:rFonts w:ascii="Times New Roman" w:hAnsi="Times New Roman" w:cs="Times New Roman"/>
          <w:lang w:val="pl-PL"/>
        </w:rPr>
      </w:pPr>
      <w:r w:rsidRPr="00C93C2F">
        <w:rPr>
          <w:rFonts w:ascii="Times New Roman" w:hAnsi="Times New Roman" w:cs="Times New Roman"/>
          <w:lang w:val="pl-PL"/>
        </w:rPr>
        <w:t>“(1</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Jeśli bezprawna szkoda jest powodowana stale lub jest zagrożenie, że będą spowodowane bezprawne straty, ofiara lub osoba</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która jest zagrożona ma prawo do żądania zaprzestania zachowań powodujących szkody</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lub grożących takim zachowaniem. W przypadku uszkodzenia ciała, utraty zdrowia lub naruszenia nietykalności życia osobistego</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lub jakichkolwiek innych dóbr osobistych, może ona żądać, </w:t>
      </w:r>
      <w:proofErr w:type="spellStart"/>
      <w:r w:rsidR="00544A7B" w:rsidRPr="00C93C2F">
        <w:rPr>
          <w:rFonts w:ascii="Times New Roman" w:hAnsi="Times New Roman" w:cs="Times New Roman"/>
          <w:i/>
          <w:lang w:val="pl-PL"/>
        </w:rPr>
        <w:t>inter</w:t>
      </w:r>
      <w:proofErr w:type="spellEnd"/>
      <w:r w:rsidR="00544A7B" w:rsidRPr="00C93C2F">
        <w:rPr>
          <w:rFonts w:ascii="Times New Roman" w:hAnsi="Times New Roman" w:cs="Times New Roman"/>
          <w:i/>
          <w:lang w:val="pl-PL"/>
        </w:rPr>
        <w:t xml:space="preserve"> </w:t>
      </w:r>
      <w:proofErr w:type="spellStart"/>
      <w:r w:rsidR="00544A7B" w:rsidRPr="00C93C2F">
        <w:rPr>
          <w:rFonts w:ascii="Times New Roman" w:hAnsi="Times New Roman" w:cs="Times New Roman"/>
          <w:i/>
          <w:lang w:val="pl-PL"/>
        </w:rPr>
        <w:t>alia</w:t>
      </w:r>
      <w:proofErr w:type="spellEnd"/>
      <w:r w:rsidR="00544A7B" w:rsidRPr="00C93C2F">
        <w:rPr>
          <w:rFonts w:ascii="Times New Roman" w:hAnsi="Times New Roman" w:cs="Times New Roman"/>
          <w:lang w:val="pl-PL"/>
        </w:rPr>
        <w:t xml:space="preserve">, żeby </w:t>
      </w:r>
      <w:proofErr w:type="spellStart"/>
      <w:r w:rsidRPr="00C93C2F">
        <w:rPr>
          <w:rFonts w:ascii="Times New Roman" w:hAnsi="Times New Roman" w:cs="Times New Roman"/>
          <w:lang w:val="pl-PL"/>
        </w:rPr>
        <w:t>tortfeasor</w:t>
      </w:r>
      <w:proofErr w:type="spellEnd"/>
      <w:r w:rsidR="00544A7B" w:rsidRPr="00C93C2F">
        <w:rPr>
          <w:rFonts w:ascii="Times New Roman" w:hAnsi="Times New Roman" w:cs="Times New Roman"/>
          <w:lang w:val="pl-PL"/>
        </w:rPr>
        <w:t xml:space="preserve"> otrzymał zakaz zbliżania (nakaz), żeby </w:t>
      </w:r>
      <w:r w:rsidR="00C93C2F" w:rsidRPr="00C93C2F">
        <w:rPr>
          <w:rFonts w:ascii="Times New Roman" w:hAnsi="Times New Roman" w:cs="Times New Roman"/>
          <w:lang w:val="pl-PL"/>
        </w:rPr>
        <w:t>korzystanie</w:t>
      </w:r>
      <w:r w:rsidR="002D03B1" w:rsidRPr="00C93C2F">
        <w:rPr>
          <w:rFonts w:ascii="Times New Roman" w:hAnsi="Times New Roman" w:cs="Times New Roman"/>
          <w:lang w:val="pl-PL"/>
        </w:rPr>
        <w:t xml:space="preserve"> z </w:t>
      </w:r>
      <w:r w:rsidR="00544A7B" w:rsidRPr="00C93C2F">
        <w:rPr>
          <w:rFonts w:ascii="Times New Roman" w:hAnsi="Times New Roman" w:cs="Times New Roman"/>
          <w:lang w:val="pl-PL"/>
        </w:rPr>
        <w:lastRenderedPageBreak/>
        <w:t>mieszkania lub łączności było regulowane</w:t>
      </w:r>
      <w:r w:rsidR="0019239D" w:rsidRPr="00C93C2F">
        <w:rPr>
          <w:rFonts w:ascii="Times New Roman" w:hAnsi="Times New Roman" w:cs="Times New Roman"/>
          <w:lang w:val="pl-PL"/>
        </w:rPr>
        <w:t>,</w:t>
      </w:r>
      <w:r w:rsidR="00544A7B" w:rsidRPr="00C93C2F">
        <w:rPr>
          <w:rFonts w:ascii="Times New Roman" w:hAnsi="Times New Roman" w:cs="Times New Roman"/>
          <w:lang w:val="pl-PL"/>
        </w:rPr>
        <w:t xml:space="preserve"> lub były zastosowane inne podobne</w:t>
      </w:r>
      <w:r w:rsidR="00544A7B" w:rsidRPr="00B45853">
        <w:rPr>
          <w:rFonts w:ascii="Times New Roman" w:hAnsi="Times New Roman" w:cs="Times New Roman"/>
          <w:lang w:val="pl-PL"/>
        </w:rPr>
        <w:t xml:space="preserve"> środki</w:t>
      </w:r>
      <w:r w:rsidRPr="00B45853">
        <w:rPr>
          <w:rFonts w:ascii="Times New Roman" w:hAnsi="Times New Roman" w:cs="Times New Roman"/>
          <w:lang w:val="pl-PL"/>
        </w:rPr>
        <w:t>.</w:t>
      </w:r>
    </w:p>
    <w:p w:rsidR="00B377B8" w:rsidRPr="00632DFF" w:rsidRDefault="0019239D" w:rsidP="00632DFF">
      <w:pPr>
        <w:pStyle w:val="ECHRParaQuote"/>
        <w:rPr>
          <w:rFonts w:ascii="Times New Roman" w:hAnsi="Times New Roman" w:cs="Times New Roman"/>
          <w:color w:val="FF0000"/>
          <w:lang w:val="pl-PL"/>
        </w:rPr>
      </w:pPr>
      <w:r w:rsidRPr="00B45853">
        <w:rPr>
          <w:rFonts w:ascii="Times New Roman" w:hAnsi="Times New Roman" w:cs="Times New Roman"/>
          <w:lang w:val="pl-PL"/>
        </w:rPr>
        <w:t>(</w:t>
      </w:r>
      <w:r w:rsidRPr="00C93C2F">
        <w:rPr>
          <w:rFonts w:ascii="Times New Roman" w:hAnsi="Times New Roman" w:cs="Times New Roman"/>
          <w:lang w:val="pl-PL"/>
        </w:rPr>
        <w:t>2)</w:t>
      </w:r>
      <w:r w:rsidR="00A220C6" w:rsidRPr="00C93C2F">
        <w:rPr>
          <w:rFonts w:ascii="Times New Roman" w:hAnsi="Times New Roman" w:cs="Times New Roman"/>
          <w:lang w:val="pl-PL"/>
        </w:rPr>
        <w:t> </w:t>
      </w:r>
      <w:r w:rsidR="00544A7B" w:rsidRPr="00C93C2F">
        <w:rPr>
          <w:rFonts w:ascii="Times New Roman" w:hAnsi="Times New Roman" w:cs="Times New Roman"/>
          <w:lang w:val="pl-PL"/>
        </w:rPr>
        <w:t xml:space="preserve">Prawo do żądania zaprzestania zachowań powodujących szkody, jak określono w </w:t>
      </w:r>
      <w:r w:rsidR="002D03B1" w:rsidRPr="00C93C2F">
        <w:rPr>
          <w:rFonts w:ascii="Times New Roman" w:hAnsi="Times New Roman" w:cs="Times New Roman"/>
          <w:lang w:val="pl-PL"/>
        </w:rPr>
        <w:t>ustępie</w:t>
      </w:r>
      <w:r w:rsidR="00544A7B" w:rsidRPr="00C93C2F">
        <w:rPr>
          <w:rFonts w:ascii="Times New Roman" w:hAnsi="Times New Roman" w:cs="Times New Roman"/>
          <w:lang w:val="pl-PL"/>
        </w:rPr>
        <w:t xml:space="preserve"> </w:t>
      </w:r>
      <w:r w:rsidR="00A220C6" w:rsidRPr="00C93C2F">
        <w:rPr>
          <w:rFonts w:ascii="Times New Roman" w:hAnsi="Times New Roman" w:cs="Times New Roman"/>
          <w:lang w:val="pl-PL"/>
        </w:rPr>
        <w:t xml:space="preserve">(1) </w:t>
      </w:r>
      <w:r w:rsidR="002D03B1" w:rsidRPr="00C93C2F">
        <w:rPr>
          <w:rFonts w:ascii="Times New Roman" w:hAnsi="Times New Roman" w:cs="Times New Roman"/>
          <w:lang w:val="pl-PL"/>
        </w:rPr>
        <w:t>niniejszego artykułu</w:t>
      </w:r>
      <w:r w:rsidRPr="00C93C2F">
        <w:rPr>
          <w:rFonts w:ascii="Times New Roman" w:hAnsi="Times New Roman" w:cs="Times New Roman"/>
          <w:lang w:val="pl-PL"/>
        </w:rPr>
        <w:t>,</w:t>
      </w:r>
      <w:r w:rsidR="00544A7B" w:rsidRPr="00C93C2F">
        <w:rPr>
          <w:rFonts w:ascii="Times New Roman" w:hAnsi="Times New Roman" w:cs="Times New Roman"/>
          <w:lang w:val="pl-PL"/>
        </w:rPr>
        <w:t xml:space="preserve"> nie stosuje się, jeżeli </w:t>
      </w:r>
      <w:r w:rsidR="004377B5" w:rsidRPr="00C93C2F">
        <w:rPr>
          <w:rFonts w:ascii="Times New Roman" w:hAnsi="Times New Roman" w:cs="Times New Roman"/>
          <w:lang w:val="pl-PL"/>
        </w:rPr>
        <w:t>uzasadnionym jest</w:t>
      </w:r>
      <w:r w:rsidR="00544A7B" w:rsidRPr="00C93C2F">
        <w:rPr>
          <w:rFonts w:ascii="Times New Roman" w:hAnsi="Times New Roman" w:cs="Times New Roman"/>
          <w:lang w:val="pl-PL"/>
        </w:rPr>
        <w:t xml:space="preserve"> </w:t>
      </w:r>
      <w:r w:rsidR="004377B5" w:rsidRPr="00C93C2F">
        <w:rPr>
          <w:rFonts w:ascii="Times New Roman" w:hAnsi="Times New Roman" w:cs="Times New Roman"/>
          <w:lang w:val="pl-PL"/>
        </w:rPr>
        <w:t>przypuszczać</w:t>
      </w:r>
      <w:r w:rsidR="00544A7B" w:rsidRPr="00C93C2F">
        <w:rPr>
          <w:rFonts w:ascii="Times New Roman" w:hAnsi="Times New Roman" w:cs="Times New Roman"/>
          <w:lang w:val="pl-PL"/>
        </w:rPr>
        <w:t>, że takie zachowanie może być tolerowane w warunkach</w:t>
      </w:r>
      <w:r w:rsidR="00544A7B" w:rsidRPr="00B45853">
        <w:rPr>
          <w:rFonts w:ascii="Times New Roman" w:hAnsi="Times New Roman" w:cs="Times New Roman"/>
          <w:lang w:val="pl-PL"/>
        </w:rPr>
        <w:t xml:space="preserve"> ludzkiego współistnienia lub z uwagi na ważny interes </w:t>
      </w:r>
      <w:r w:rsidRPr="00B45853">
        <w:rPr>
          <w:rFonts w:ascii="Times New Roman" w:hAnsi="Times New Roman" w:cs="Times New Roman"/>
          <w:lang w:val="pl-PL"/>
        </w:rPr>
        <w:t>publiczny. W takich przypadkach</w:t>
      </w:r>
      <w:r w:rsidR="00544A7B" w:rsidRPr="00B45853">
        <w:rPr>
          <w:rFonts w:ascii="Times New Roman" w:hAnsi="Times New Roman" w:cs="Times New Roman"/>
          <w:lang w:val="pl-PL"/>
        </w:rPr>
        <w:t xml:space="preserve"> ofiara ma prawo do złożenia wniosku o odszkodowanie za szkodę wyrządzoną nielegalnie.</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39</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544A7B" w:rsidRPr="00B45853">
        <w:rPr>
          <w:rFonts w:ascii="Times New Roman" w:hAnsi="Times New Roman" w:cs="Times New Roman"/>
          <w:lang w:val="pl-PL"/>
        </w:rPr>
        <w:t>Ustawa o Usługach Społeczeństwa Informacyjnego</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Infoühiskonna</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teenuse</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seadus</w:t>
      </w:r>
      <w:proofErr w:type="spellEnd"/>
      <w:r w:rsidR="00A220C6" w:rsidRPr="00B45853">
        <w:rPr>
          <w:rFonts w:ascii="Times New Roman" w:hAnsi="Times New Roman" w:cs="Times New Roman"/>
          <w:lang w:val="pl-PL"/>
        </w:rPr>
        <w:t xml:space="preserve">) </w:t>
      </w:r>
      <w:r w:rsidR="00544A7B" w:rsidRPr="00B45853">
        <w:rPr>
          <w:rFonts w:ascii="Times New Roman" w:hAnsi="Times New Roman" w:cs="Times New Roman"/>
          <w:lang w:val="pl-PL"/>
        </w:rPr>
        <w:t>stanowi, co następuje:</w:t>
      </w:r>
    </w:p>
    <w:p w:rsidR="00A220C6" w:rsidRPr="00C93C2F" w:rsidRDefault="00D6095D"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8 – </w:t>
      </w:r>
      <w:r w:rsidR="00337E1B" w:rsidRPr="00C93C2F">
        <w:rPr>
          <w:rFonts w:ascii="Times New Roman" w:hAnsi="Times New Roman" w:cs="Times New Roman"/>
          <w:lang w:val="pl-PL"/>
        </w:rPr>
        <w:t xml:space="preserve">Ograniczona odpowiedzialność w przypadku zwykłego przekazywania informacji i zapewnienie dostępu do publicznej sieci teleinformatycznej </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“(1)</w:t>
      </w:r>
      <w:r w:rsidR="00A220C6" w:rsidRPr="00C93C2F">
        <w:rPr>
          <w:rFonts w:ascii="Times New Roman" w:hAnsi="Times New Roman" w:cs="Times New Roman"/>
          <w:lang w:val="pl-PL"/>
        </w:rPr>
        <w:t> </w:t>
      </w:r>
      <w:r w:rsidR="00337E1B" w:rsidRPr="00C93C2F">
        <w:rPr>
          <w:rFonts w:ascii="Times New Roman" w:hAnsi="Times New Roman" w:cs="Times New Roman"/>
          <w:lang w:val="pl-PL"/>
        </w:rPr>
        <w:t xml:space="preserve">W przypadku, gdy usługa jest świadczona, składa się zaledwie z </w:t>
      </w:r>
      <w:r w:rsidR="00D6095D" w:rsidRPr="00C93C2F">
        <w:rPr>
          <w:rFonts w:ascii="Times New Roman" w:hAnsi="Times New Roman" w:cs="Times New Roman"/>
          <w:lang w:val="pl-PL"/>
        </w:rPr>
        <w:t>transmisji</w:t>
      </w:r>
      <w:r w:rsidR="00337E1B" w:rsidRPr="00C93C2F">
        <w:rPr>
          <w:rFonts w:ascii="Times New Roman" w:hAnsi="Times New Roman" w:cs="Times New Roman"/>
          <w:lang w:val="pl-PL"/>
        </w:rPr>
        <w:t xml:space="preserve"> w publicznej sieci transmisji danych, informacji przekazanych przez usługobiorcę, lub zapewnienia dostępu do publicznej sieci transmisji danych, usługodawca nie ponosi odpowiedzialności za przekazane informacje pod warunkiem, że dostawca:</w:t>
      </w:r>
    </w:p>
    <w:p w:rsidR="00A220C6" w:rsidRPr="00C93C2F" w:rsidRDefault="00A220C6" w:rsidP="00171A6F">
      <w:pPr>
        <w:pStyle w:val="ECHRParaQuote"/>
        <w:rPr>
          <w:rFonts w:ascii="Times New Roman" w:hAnsi="Times New Roman" w:cs="Times New Roman"/>
          <w:lang w:val="pl-PL"/>
        </w:rPr>
      </w:pPr>
      <w:r w:rsidRPr="00C93C2F">
        <w:rPr>
          <w:rFonts w:ascii="Times New Roman" w:hAnsi="Times New Roman" w:cs="Times New Roman"/>
          <w:lang w:val="pl-PL"/>
        </w:rPr>
        <w:t>1.  </w:t>
      </w:r>
      <w:r w:rsidR="0019239D" w:rsidRPr="00C93C2F">
        <w:rPr>
          <w:rFonts w:ascii="Times New Roman" w:hAnsi="Times New Roman" w:cs="Times New Roman"/>
          <w:lang w:val="pl-PL"/>
        </w:rPr>
        <w:t>N</w:t>
      </w:r>
      <w:r w:rsidR="00337E1B" w:rsidRPr="00C93C2F">
        <w:rPr>
          <w:rFonts w:ascii="Times New Roman" w:hAnsi="Times New Roman" w:cs="Times New Roman"/>
          <w:lang w:val="pl-PL"/>
        </w:rPr>
        <w:t>ie inicjuje transmisji</w:t>
      </w:r>
      <w:r w:rsidRPr="00C93C2F">
        <w:rPr>
          <w:rFonts w:ascii="Times New Roman" w:hAnsi="Times New Roman" w:cs="Times New Roman"/>
          <w:lang w:val="pl-PL"/>
        </w:rPr>
        <w:t>;</w:t>
      </w:r>
    </w:p>
    <w:p w:rsidR="00A220C6" w:rsidRPr="00C93C2F" w:rsidRDefault="00A220C6" w:rsidP="00171A6F">
      <w:pPr>
        <w:pStyle w:val="ECHRParaQuote"/>
        <w:rPr>
          <w:rFonts w:ascii="Times New Roman" w:hAnsi="Times New Roman" w:cs="Times New Roman"/>
          <w:lang w:val="pl-PL"/>
        </w:rPr>
      </w:pPr>
      <w:r w:rsidRPr="00C93C2F">
        <w:rPr>
          <w:rFonts w:ascii="Times New Roman" w:hAnsi="Times New Roman" w:cs="Times New Roman"/>
          <w:lang w:val="pl-PL"/>
        </w:rPr>
        <w:t>2.  </w:t>
      </w:r>
      <w:r w:rsidR="0019239D" w:rsidRPr="00C93C2F">
        <w:rPr>
          <w:rFonts w:ascii="Times New Roman" w:hAnsi="Times New Roman" w:cs="Times New Roman"/>
          <w:lang w:val="pl-PL"/>
        </w:rPr>
        <w:t>N</w:t>
      </w:r>
      <w:r w:rsidR="00337E1B" w:rsidRPr="00C93C2F">
        <w:rPr>
          <w:rFonts w:ascii="Times New Roman" w:hAnsi="Times New Roman" w:cs="Times New Roman"/>
          <w:lang w:val="pl-PL"/>
        </w:rPr>
        <w:t>ie wybiera odbiorcy przekazu; i</w:t>
      </w:r>
    </w:p>
    <w:p w:rsidR="00A220C6" w:rsidRPr="00C93C2F" w:rsidRDefault="00A220C6" w:rsidP="00171A6F">
      <w:pPr>
        <w:pStyle w:val="ECHRParaQuote"/>
        <w:rPr>
          <w:rFonts w:ascii="Times New Roman" w:hAnsi="Times New Roman" w:cs="Times New Roman"/>
          <w:lang w:val="pl-PL"/>
        </w:rPr>
      </w:pPr>
      <w:r w:rsidRPr="00C93C2F">
        <w:rPr>
          <w:rFonts w:ascii="Times New Roman" w:hAnsi="Times New Roman" w:cs="Times New Roman"/>
          <w:lang w:val="pl-PL"/>
        </w:rPr>
        <w:t>3.  </w:t>
      </w:r>
      <w:r w:rsidR="0019239D" w:rsidRPr="00C93C2F">
        <w:rPr>
          <w:rFonts w:ascii="Times New Roman" w:hAnsi="Times New Roman" w:cs="Times New Roman"/>
          <w:lang w:val="pl-PL"/>
        </w:rPr>
        <w:t>N</w:t>
      </w:r>
      <w:r w:rsidR="00337E1B" w:rsidRPr="00C93C2F">
        <w:rPr>
          <w:rFonts w:ascii="Times New Roman" w:hAnsi="Times New Roman" w:cs="Times New Roman"/>
          <w:lang w:val="pl-PL"/>
        </w:rPr>
        <w:t>ie wybiera oraz nie modyfikuje informacji zawartych w przekazie</w:t>
      </w:r>
      <w:r w:rsidRPr="00C93C2F">
        <w:rPr>
          <w:rFonts w:ascii="Times New Roman" w:hAnsi="Times New Roman" w:cs="Times New Roman"/>
          <w:lang w:val="pl-PL"/>
        </w:rPr>
        <w:t>.</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(2)</w:t>
      </w:r>
      <w:r w:rsidR="00A220C6" w:rsidRPr="00C93C2F">
        <w:rPr>
          <w:rFonts w:ascii="Times New Roman" w:hAnsi="Times New Roman" w:cs="Times New Roman"/>
          <w:lang w:val="pl-PL"/>
        </w:rPr>
        <w:t> </w:t>
      </w:r>
      <w:r w:rsidR="00D6095D" w:rsidRPr="00C93C2F">
        <w:rPr>
          <w:rFonts w:ascii="Times New Roman" w:hAnsi="Times New Roman" w:cs="Times New Roman"/>
          <w:lang w:val="pl-PL"/>
        </w:rPr>
        <w:t>Transmisja oraz zapewnianie</w:t>
      </w:r>
      <w:r w:rsidR="00337E1B" w:rsidRPr="00C93C2F">
        <w:rPr>
          <w:rFonts w:ascii="Times New Roman" w:hAnsi="Times New Roman" w:cs="Times New Roman"/>
          <w:lang w:val="pl-PL"/>
        </w:rPr>
        <w:t xml:space="preserve"> dostępu w rozumieniu </w:t>
      </w:r>
      <w:r w:rsidR="00D6095D" w:rsidRPr="00C93C2F">
        <w:rPr>
          <w:rFonts w:ascii="Times New Roman" w:hAnsi="Times New Roman" w:cs="Times New Roman"/>
          <w:lang w:val="pl-PL"/>
        </w:rPr>
        <w:t xml:space="preserve">ustępu 1 niniejszego artykułu </w:t>
      </w:r>
      <w:r w:rsidR="00337E1B" w:rsidRPr="00C93C2F">
        <w:rPr>
          <w:rFonts w:ascii="Times New Roman" w:hAnsi="Times New Roman" w:cs="Times New Roman"/>
          <w:lang w:val="pl-PL"/>
        </w:rPr>
        <w:t>obejmują automatyczne, pośrednie i krótkotrwałe przechowywanie przekazywanych informacji, o ile odbywa się to wyłącznie w celu przeprowadzenia transmisji w publicznej sieci transmisji danych oraz pod warunkiem, że informacja nie jest przechowywana przez dowolny okres dłuższy niż jest to konieczne dla transmisji</w:t>
      </w:r>
      <w:r w:rsidR="00A220C6" w:rsidRPr="00C93C2F">
        <w:rPr>
          <w:rFonts w:ascii="Times New Roman" w:hAnsi="Times New Roman" w:cs="Times New Roman"/>
          <w:lang w:val="pl-PL"/>
        </w:rPr>
        <w:t>”</w:t>
      </w:r>
    </w:p>
    <w:p w:rsidR="00A220C6" w:rsidRPr="00C93C2F" w:rsidRDefault="00D6095D" w:rsidP="00337E1B">
      <w:pPr>
        <w:pStyle w:val="ECHRTitleCentre3"/>
        <w:tabs>
          <w:tab w:val="left" w:pos="284"/>
        </w:tabs>
        <w:rPr>
          <w:rFonts w:ascii="Times New Roman" w:hAnsi="Times New Roman" w:cs="Times New Roman"/>
          <w:lang w:val="pl-PL"/>
        </w:rPr>
      </w:pPr>
      <w:r w:rsidRPr="00C93C2F">
        <w:rPr>
          <w:rFonts w:ascii="Times New Roman" w:hAnsi="Times New Roman" w:cs="Times New Roman"/>
          <w:lang w:val="pl-PL"/>
        </w:rPr>
        <w:t xml:space="preserve">Artykuł </w:t>
      </w:r>
      <w:r w:rsidR="00A220C6" w:rsidRPr="00C93C2F">
        <w:rPr>
          <w:rFonts w:ascii="Times New Roman" w:hAnsi="Times New Roman" w:cs="Times New Roman"/>
          <w:lang w:val="pl-PL"/>
        </w:rPr>
        <w:t xml:space="preserve">9 – </w:t>
      </w:r>
      <w:r w:rsidR="00337E1B" w:rsidRPr="00C93C2F">
        <w:rPr>
          <w:rFonts w:ascii="Times New Roman" w:hAnsi="Times New Roman" w:cs="Times New Roman"/>
          <w:lang w:val="pl-PL"/>
        </w:rPr>
        <w:t>Ograniczona odpowiedzialność w przypadku czasowego przechowywania informacji w pamięci podręcznej</w:t>
      </w:r>
    </w:p>
    <w:p w:rsidR="00A220C6" w:rsidRPr="00B45853"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“(1)</w:t>
      </w:r>
      <w:r w:rsidR="00A220C6" w:rsidRPr="00C93C2F">
        <w:rPr>
          <w:rFonts w:ascii="Times New Roman" w:hAnsi="Times New Roman" w:cs="Times New Roman"/>
          <w:lang w:val="pl-PL"/>
        </w:rPr>
        <w:t> </w:t>
      </w:r>
      <w:r w:rsidR="00337E1B" w:rsidRPr="00C93C2F">
        <w:rPr>
          <w:rFonts w:ascii="Times New Roman" w:hAnsi="Times New Roman" w:cs="Times New Roman"/>
          <w:lang w:val="pl-PL"/>
        </w:rPr>
        <w:t xml:space="preserve">W przypadku, gdy </w:t>
      </w:r>
      <w:r w:rsidR="005F7DB5" w:rsidRPr="00C93C2F">
        <w:rPr>
          <w:rFonts w:ascii="Times New Roman" w:hAnsi="Times New Roman" w:cs="Times New Roman"/>
          <w:lang w:val="pl-PL"/>
        </w:rPr>
        <w:t xml:space="preserve">świadczona </w:t>
      </w:r>
      <w:r w:rsidR="00337E1B" w:rsidRPr="00C93C2F">
        <w:rPr>
          <w:rFonts w:ascii="Times New Roman" w:hAnsi="Times New Roman" w:cs="Times New Roman"/>
          <w:lang w:val="pl-PL"/>
        </w:rPr>
        <w:t>usługa</w:t>
      </w:r>
      <w:r w:rsidR="005F7DB5" w:rsidRPr="00C93C2F">
        <w:rPr>
          <w:rFonts w:ascii="Times New Roman" w:hAnsi="Times New Roman" w:cs="Times New Roman"/>
          <w:lang w:val="pl-PL"/>
        </w:rPr>
        <w:t>, która składa się z</w:t>
      </w:r>
      <w:r w:rsidR="00337E1B" w:rsidRPr="00C93C2F">
        <w:rPr>
          <w:rFonts w:ascii="Times New Roman" w:hAnsi="Times New Roman" w:cs="Times New Roman"/>
          <w:lang w:val="pl-PL"/>
        </w:rPr>
        <w:t xml:space="preserve"> transmisji w </w:t>
      </w:r>
      <w:r w:rsidR="005F7DB5" w:rsidRPr="00C93C2F">
        <w:rPr>
          <w:rFonts w:ascii="Times New Roman" w:hAnsi="Times New Roman" w:cs="Times New Roman"/>
          <w:lang w:val="pl-PL"/>
        </w:rPr>
        <w:t xml:space="preserve">publicznej </w:t>
      </w:r>
      <w:r w:rsidR="00337E1B" w:rsidRPr="00C93C2F">
        <w:rPr>
          <w:rFonts w:ascii="Times New Roman" w:hAnsi="Times New Roman" w:cs="Times New Roman"/>
          <w:lang w:val="pl-PL"/>
        </w:rPr>
        <w:t xml:space="preserve">sieci </w:t>
      </w:r>
      <w:r w:rsidR="005F7DB5" w:rsidRPr="00C93C2F">
        <w:rPr>
          <w:rFonts w:ascii="Times New Roman" w:hAnsi="Times New Roman" w:cs="Times New Roman"/>
          <w:lang w:val="pl-PL"/>
        </w:rPr>
        <w:t>komunikacyjnej</w:t>
      </w:r>
      <w:r w:rsidR="00337E1B" w:rsidRPr="00C93C2F">
        <w:rPr>
          <w:rFonts w:ascii="Times New Roman" w:hAnsi="Times New Roman" w:cs="Times New Roman"/>
          <w:lang w:val="pl-PL"/>
        </w:rPr>
        <w:t xml:space="preserve"> danych</w:t>
      </w:r>
      <w:r w:rsidR="005F7DB5" w:rsidRPr="00C93C2F">
        <w:rPr>
          <w:rFonts w:ascii="Times New Roman" w:hAnsi="Times New Roman" w:cs="Times New Roman"/>
          <w:lang w:val="pl-PL"/>
        </w:rPr>
        <w:t>,</w:t>
      </w:r>
      <w:r w:rsidR="00337E1B" w:rsidRPr="00C93C2F">
        <w:rPr>
          <w:rFonts w:ascii="Times New Roman" w:hAnsi="Times New Roman" w:cs="Times New Roman"/>
          <w:lang w:val="pl-PL"/>
        </w:rPr>
        <w:t xml:space="preserve"> informacji przekazanych przez</w:t>
      </w:r>
      <w:r w:rsidR="00337E1B" w:rsidRPr="00B45853">
        <w:rPr>
          <w:rFonts w:ascii="Times New Roman" w:hAnsi="Times New Roman" w:cs="Times New Roman"/>
          <w:lang w:val="pl-PL"/>
        </w:rPr>
        <w:t xml:space="preserve"> usługobiorcę usługodawca nie ponosi odp</w:t>
      </w:r>
      <w:r w:rsidR="005F7DB5" w:rsidRPr="00B45853">
        <w:rPr>
          <w:rFonts w:ascii="Times New Roman" w:hAnsi="Times New Roman" w:cs="Times New Roman"/>
          <w:lang w:val="pl-PL"/>
        </w:rPr>
        <w:t>owiedzialności za automatyczne, pośrednie i krótkotrwałe przechowywanie</w:t>
      </w:r>
      <w:r w:rsidR="00337E1B" w:rsidRPr="00B45853">
        <w:rPr>
          <w:rFonts w:ascii="Times New Roman" w:hAnsi="Times New Roman" w:cs="Times New Roman"/>
          <w:lang w:val="pl-PL"/>
        </w:rPr>
        <w:t xml:space="preserve"> tej informacji, jeżeli metoda transmisji dane</w:t>
      </w:r>
      <w:r w:rsidR="005F7DB5" w:rsidRPr="00B45853">
        <w:rPr>
          <w:rFonts w:ascii="Times New Roman" w:hAnsi="Times New Roman" w:cs="Times New Roman"/>
          <w:lang w:val="pl-PL"/>
        </w:rPr>
        <w:t>j informacji</w:t>
      </w:r>
      <w:r w:rsidR="00337E1B" w:rsidRPr="00B45853">
        <w:rPr>
          <w:rFonts w:ascii="Times New Roman" w:hAnsi="Times New Roman" w:cs="Times New Roman"/>
          <w:lang w:val="pl-PL"/>
        </w:rPr>
        <w:t xml:space="preserve"> wymaga buforowania ze względów technicznych i buforowanie odbywa się</w:t>
      </w:r>
      <w:r w:rsidR="005F7DB5" w:rsidRPr="00B45853">
        <w:rPr>
          <w:rFonts w:ascii="Times New Roman" w:hAnsi="Times New Roman" w:cs="Times New Roman"/>
          <w:lang w:val="pl-PL"/>
        </w:rPr>
        <w:t xml:space="preserve"> wyłącznie w celu usprawnienia</w:t>
      </w:r>
      <w:r w:rsidR="00337E1B" w:rsidRPr="00B45853">
        <w:rPr>
          <w:rFonts w:ascii="Times New Roman" w:hAnsi="Times New Roman" w:cs="Times New Roman"/>
          <w:lang w:val="pl-PL"/>
        </w:rPr>
        <w:t xml:space="preserve"> późniejszej transmisji informacji do innych odbiorców usług na ich wniosek, pod warunkiem</w:t>
      </w:r>
      <w:r w:rsidRPr="00B45853">
        <w:rPr>
          <w:rFonts w:ascii="Times New Roman" w:hAnsi="Times New Roman" w:cs="Times New Roman"/>
          <w:lang w:val="pl-PL"/>
        </w:rPr>
        <w:t>,</w:t>
      </w:r>
      <w:r w:rsidR="00337E1B" w:rsidRPr="00B45853">
        <w:rPr>
          <w:rFonts w:ascii="Times New Roman" w:hAnsi="Times New Roman" w:cs="Times New Roman"/>
          <w:lang w:val="pl-PL"/>
        </w:rPr>
        <w:t xml:space="preserve"> że</w:t>
      </w:r>
      <w:r w:rsidR="00A220C6"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1.  </w:t>
      </w:r>
      <w:r w:rsidR="0019239D" w:rsidRPr="00B45853">
        <w:rPr>
          <w:rFonts w:ascii="Times New Roman" w:hAnsi="Times New Roman" w:cs="Times New Roman"/>
          <w:lang w:val="pl-PL"/>
        </w:rPr>
        <w:t>U</w:t>
      </w:r>
      <w:r w:rsidR="005F7DB5" w:rsidRPr="00B45853">
        <w:rPr>
          <w:rFonts w:ascii="Times New Roman" w:hAnsi="Times New Roman" w:cs="Times New Roman"/>
          <w:lang w:val="pl-PL"/>
        </w:rPr>
        <w:t>sługodawca nie modyfikuje informacji;</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2.  </w:t>
      </w:r>
      <w:r w:rsidR="0019239D" w:rsidRPr="00B45853">
        <w:rPr>
          <w:rFonts w:ascii="Times New Roman" w:hAnsi="Times New Roman" w:cs="Times New Roman"/>
          <w:lang w:val="pl-PL"/>
        </w:rPr>
        <w:t>U</w:t>
      </w:r>
      <w:r w:rsidR="005F7DB5" w:rsidRPr="00B45853">
        <w:rPr>
          <w:rFonts w:ascii="Times New Roman" w:hAnsi="Times New Roman" w:cs="Times New Roman"/>
          <w:lang w:val="pl-PL"/>
        </w:rPr>
        <w:t>sługodawca przestrzega warunków dostępu do informacji</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3.  </w:t>
      </w:r>
      <w:r w:rsidR="00D6095D">
        <w:rPr>
          <w:rFonts w:ascii="Times New Roman" w:hAnsi="Times New Roman" w:cs="Times New Roman"/>
          <w:lang w:val="pl-PL"/>
        </w:rPr>
        <w:t>U</w:t>
      </w:r>
      <w:r w:rsidR="005F7DB5" w:rsidRPr="00B45853">
        <w:rPr>
          <w:rFonts w:ascii="Times New Roman" w:hAnsi="Times New Roman" w:cs="Times New Roman"/>
          <w:lang w:val="pl-PL"/>
        </w:rPr>
        <w:t>sługodawca przestrzega zasad dotyczących aktualizowania informacji, określonych w sposób powszechnie uznany i stosowany w branży</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4.  </w:t>
      </w:r>
      <w:r w:rsidR="0019239D" w:rsidRPr="00B45853">
        <w:rPr>
          <w:rFonts w:ascii="Times New Roman" w:hAnsi="Times New Roman" w:cs="Times New Roman"/>
          <w:lang w:val="pl-PL"/>
        </w:rPr>
        <w:t>U</w:t>
      </w:r>
      <w:r w:rsidR="005F7DB5" w:rsidRPr="00B45853">
        <w:rPr>
          <w:rFonts w:ascii="Times New Roman" w:hAnsi="Times New Roman" w:cs="Times New Roman"/>
          <w:lang w:val="pl-PL"/>
        </w:rPr>
        <w:t>sługodawca nie zakłóca dozwolonego posługiwania się technologią, która jest powszechnie uznana i używana w branży w celu uzyskania danych o korzystaniu z informacji</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5.  </w:t>
      </w:r>
      <w:r w:rsidR="0019239D" w:rsidRPr="00B45853">
        <w:rPr>
          <w:rFonts w:ascii="Times New Roman" w:hAnsi="Times New Roman" w:cs="Times New Roman"/>
          <w:lang w:val="pl-PL"/>
        </w:rPr>
        <w:t>U</w:t>
      </w:r>
      <w:r w:rsidR="005F7DB5" w:rsidRPr="00B45853">
        <w:rPr>
          <w:rFonts w:ascii="Times New Roman" w:hAnsi="Times New Roman" w:cs="Times New Roman"/>
          <w:lang w:val="pl-PL"/>
        </w:rPr>
        <w:t xml:space="preserve">sługodawca podejmuje niezwłocznie odpowiednie działania w celu usunięcia lub uniemożliwienia dostępu do informacji, które przechowuje po uzyskaniu rzeczywistej wiedzy o tym, że informacje w początkowym źródle transmisji zostały </w:t>
      </w:r>
      <w:r w:rsidR="005F7DB5" w:rsidRPr="00B45853">
        <w:rPr>
          <w:rFonts w:ascii="Times New Roman" w:hAnsi="Times New Roman" w:cs="Times New Roman"/>
          <w:lang w:val="pl-PL"/>
        </w:rPr>
        <w:lastRenderedPageBreak/>
        <w:t>usunięte z sieci, a dostęp do nich został wyłączony, albo że sąd, policja lub organ nadzorczy państwa nakazał usunięcie takiego</w:t>
      </w:r>
      <w:r w:rsidRPr="00B45853">
        <w:rPr>
          <w:rFonts w:ascii="Times New Roman" w:hAnsi="Times New Roman" w:cs="Times New Roman"/>
          <w:lang w:val="pl-PL"/>
        </w:rPr>
        <w:t>.”</w:t>
      </w:r>
    </w:p>
    <w:p w:rsidR="00A220C6" w:rsidRPr="00C93C2F" w:rsidRDefault="00D6095D"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10 – </w:t>
      </w:r>
      <w:r w:rsidR="005F7DB5" w:rsidRPr="00C93C2F">
        <w:rPr>
          <w:rFonts w:ascii="Times New Roman" w:hAnsi="Times New Roman" w:cs="Times New Roman"/>
          <w:lang w:val="pl-PL"/>
        </w:rPr>
        <w:t>Ograniczony obowiązek w przypadku świadczenia usługi przechowywania informacji</w:t>
      </w:r>
    </w:p>
    <w:p w:rsidR="00A220C6" w:rsidRPr="00C93C2F" w:rsidRDefault="00A220C6" w:rsidP="00171A6F">
      <w:pPr>
        <w:pStyle w:val="ECHRParaQuote"/>
        <w:rPr>
          <w:rFonts w:ascii="Times New Roman" w:hAnsi="Times New Roman" w:cs="Times New Roman"/>
          <w:lang w:val="pl-PL"/>
        </w:rPr>
      </w:pPr>
      <w:r w:rsidRPr="00C93C2F">
        <w:rPr>
          <w:rFonts w:ascii="Times New Roman" w:hAnsi="Times New Roman" w:cs="Times New Roman"/>
          <w:lang w:val="pl-PL"/>
        </w:rPr>
        <w:t>“(1)  </w:t>
      </w:r>
      <w:r w:rsidR="005F7DB5" w:rsidRPr="00C93C2F">
        <w:rPr>
          <w:rFonts w:ascii="Times New Roman" w:hAnsi="Times New Roman" w:cs="Times New Roman"/>
          <w:lang w:val="pl-PL"/>
        </w:rPr>
        <w:t>W przypadku, gdy usługa jest świadczona, która składa się na przechowywanie informacji przekazanych przez usługobiorcę, usługodawca nie ponosi odpowiedzialności za informacje przechowywane na żądanie usługobiorcy, pod warunkiem</w:t>
      </w:r>
      <w:r w:rsidR="0019239D" w:rsidRPr="00C93C2F">
        <w:rPr>
          <w:rFonts w:ascii="Times New Roman" w:hAnsi="Times New Roman" w:cs="Times New Roman"/>
          <w:lang w:val="pl-PL"/>
        </w:rPr>
        <w:t>,</w:t>
      </w:r>
      <w:r w:rsidR="005F7DB5" w:rsidRPr="00C93C2F">
        <w:rPr>
          <w:rFonts w:ascii="Times New Roman" w:hAnsi="Times New Roman" w:cs="Times New Roman"/>
          <w:lang w:val="pl-PL"/>
        </w:rPr>
        <w:t xml:space="preserve"> że</w:t>
      </w:r>
      <w:r w:rsidRPr="00C93C2F">
        <w:rPr>
          <w:rFonts w:ascii="Times New Roman" w:hAnsi="Times New Roman" w:cs="Times New Roman"/>
          <w:lang w:val="pl-PL"/>
        </w:rPr>
        <w:t>:</w:t>
      </w:r>
    </w:p>
    <w:p w:rsidR="00A220C6" w:rsidRPr="00B45853" w:rsidRDefault="0019239D" w:rsidP="00171A6F">
      <w:pPr>
        <w:pStyle w:val="ECHRParaQuote"/>
        <w:rPr>
          <w:rFonts w:ascii="Times New Roman" w:hAnsi="Times New Roman" w:cs="Times New Roman"/>
          <w:lang w:val="pl-PL"/>
        </w:rPr>
      </w:pPr>
      <w:r w:rsidRPr="00B45853">
        <w:rPr>
          <w:rFonts w:ascii="Times New Roman" w:hAnsi="Times New Roman" w:cs="Times New Roman"/>
          <w:lang w:val="pl-PL"/>
        </w:rPr>
        <w:t>1.</w:t>
      </w:r>
      <w:r w:rsidR="00A220C6" w:rsidRPr="00B45853">
        <w:rPr>
          <w:rFonts w:ascii="Times New Roman" w:hAnsi="Times New Roman" w:cs="Times New Roman"/>
          <w:lang w:val="pl-PL"/>
        </w:rPr>
        <w:t> </w:t>
      </w:r>
      <w:r w:rsidRPr="00B45853">
        <w:rPr>
          <w:rFonts w:ascii="Times New Roman" w:hAnsi="Times New Roman" w:cs="Times New Roman"/>
          <w:lang w:val="pl-PL"/>
        </w:rPr>
        <w:t>U</w:t>
      </w:r>
      <w:r w:rsidR="005F7DB5" w:rsidRPr="00B45853">
        <w:rPr>
          <w:rFonts w:ascii="Times New Roman" w:hAnsi="Times New Roman" w:cs="Times New Roman"/>
          <w:lang w:val="pl-PL"/>
        </w:rPr>
        <w:t>sługodawca nie ma wiarygodnych wiadomości o treści informacji i, w odniesieniu do roszczeń odszkodowawczych, nie wie o stanie faktycznym lub okolicznościach, w których nielegalna działalność lub informacje są oczywiste;</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2.  </w:t>
      </w:r>
      <w:r w:rsidR="0019239D" w:rsidRPr="00B45853">
        <w:rPr>
          <w:rFonts w:ascii="Times New Roman" w:hAnsi="Times New Roman" w:cs="Times New Roman"/>
          <w:lang w:val="pl-PL"/>
        </w:rPr>
        <w:t>U</w:t>
      </w:r>
      <w:r w:rsidR="005F7DB5" w:rsidRPr="00B45853">
        <w:rPr>
          <w:rFonts w:ascii="Times New Roman" w:hAnsi="Times New Roman" w:cs="Times New Roman"/>
          <w:lang w:val="pl-PL"/>
        </w:rPr>
        <w:t>sługodawca, po uzyskaniu wiedzy lub świadomości faktów podanych w podpunkcie 1 niniejszego ustępu, podejmuje niezwłocznie odpowiednie działania w celu usunięcia lub uniemożliwienia dostępu do tych informacji</w:t>
      </w:r>
      <w:r w:rsidRPr="00B45853">
        <w:rPr>
          <w:rFonts w:ascii="Times New Roman" w:hAnsi="Times New Roman" w:cs="Times New Roman"/>
          <w:lang w:val="pl-PL"/>
        </w:rPr>
        <w:t>.</w:t>
      </w:r>
    </w:p>
    <w:p w:rsidR="00A220C6" w:rsidRPr="00B45853" w:rsidRDefault="0019239D" w:rsidP="00171A6F">
      <w:pPr>
        <w:pStyle w:val="ECHRParaQuote"/>
        <w:rPr>
          <w:rFonts w:ascii="Times New Roman" w:hAnsi="Times New Roman" w:cs="Times New Roman"/>
          <w:lang w:val="pl-PL"/>
        </w:rPr>
      </w:pPr>
      <w:r w:rsidRPr="00B45853">
        <w:rPr>
          <w:rFonts w:ascii="Times New Roman" w:hAnsi="Times New Roman" w:cs="Times New Roman"/>
          <w:lang w:val="pl-PL"/>
        </w:rPr>
        <w:t>(2)</w:t>
      </w:r>
      <w:r w:rsidR="00A220C6" w:rsidRPr="00B45853">
        <w:rPr>
          <w:rFonts w:ascii="Times New Roman" w:hAnsi="Times New Roman" w:cs="Times New Roman"/>
          <w:lang w:val="pl-PL"/>
        </w:rPr>
        <w:t> </w:t>
      </w:r>
      <w:r w:rsidR="005F7DB5" w:rsidRPr="00B45853">
        <w:rPr>
          <w:rFonts w:ascii="Times New Roman" w:hAnsi="Times New Roman" w:cs="Times New Roman"/>
          <w:lang w:val="pl-PL"/>
        </w:rPr>
        <w:t>Nie stosuje się ustępu 1 tego artykułu, gdy us</w:t>
      </w:r>
      <w:r w:rsidR="00003FA9" w:rsidRPr="00B45853">
        <w:rPr>
          <w:rFonts w:ascii="Times New Roman" w:hAnsi="Times New Roman" w:cs="Times New Roman"/>
          <w:lang w:val="pl-PL"/>
        </w:rPr>
        <w:t>ługobiorca działa z upoważnieniem</w:t>
      </w:r>
      <w:r w:rsidR="005F7DB5" w:rsidRPr="00B45853">
        <w:rPr>
          <w:rFonts w:ascii="Times New Roman" w:hAnsi="Times New Roman" w:cs="Times New Roman"/>
          <w:lang w:val="pl-PL"/>
        </w:rPr>
        <w:t xml:space="preserve"> albo pod kontrolą usługodawcy.</w:t>
      </w:r>
      <w:r w:rsidR="00A220C6" w:rsidRPr="00B45853">
        <w:rPr>
          <w:rFonts w:ascii="Times New Roman" w:hAnsi="Times New Roman" w:cs="Times New Roman"/>
          <w:lang w:val="pl-PL"/>
        </w:rPr>
        <w:t>”</w:t>
      </w:r>
    </w:p>
    <w:p w:rsidR="00A220C6" w:rsidRPr="00C93C2F" w:rsidRDefault="00C66DBD" w:rsidP="00171A6F">
      <w:pPr>
        <w:pStyle w:val="ECHRTitleCentre3"/>
        <w:rPr>
          <w:rFonts w:ascii="Times New Roman" w:hAnsi="Times New Roman" w:cs="Times New Roman"/>
          <w:lang w:val="pl-PL"/>
        </w:rPr>
      </w:pPr>
      <w:r w:rsidRPr="00C93C2F">
        <w:rPr>
          <w:rFonts w:ascii="Times New Roman" w:hAnsi="Times New Roman" w:cs="Times New Roman"/>
          <w:lang w:val="pl-PL"/>
        </w:rPr>
        <w:t>Artykuł</w:t>
      </w:r>
      <w:r w:rsidR="00A220C6" w:rsidRPr="00C93C2F">
        <w:rPr>
          <w:rFonts w:ascii="Times New Roman" w:hAnsi="Times New Roman" w:cs="Times New Roman"/>
          <w:lang w:val="pl-PL"/>
        </w:rPr>
        <w:t xml:space="preserve"> 11 – </w:t>
      </w:r>
      <w:r w:rsidR="005F7DB5" w:rsidRPr="00C93C2F">
        <w:rPr>
          <w:rFonts w:ascii="Times New Roman" w:hAnsi="Times New Roman" w:cs="Times New Roman"/>
          <w:lang w:val="pl-PL"/>
        </w:rPr>
        <w:t>Brak obowiązku monitorowania</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“(1)</w:t>
      </w:r>
      <w:r w:rsidR="00A220C6" w:rsidRPr="00C93C2F">
        <w:rPr>
          <w:rFonts w:ascii="Times New Roman" w:hAnsi="Times New Roman" w:cs="Times New Roman"/>
          <w:lang w:val="pl-PL"/>
        </w:rPr>
        <w:t> </w:t>
      </w:r>
      <w:r w:rsidR="005F7DB5" w:rsidRPr="00C93C2F">
        <w:rPr>
          <w:rFonts w:ascii="Times New Roman" w:hAnsi="Times New Roman" w:cs="Times New Roman"/>
          <w:lang w:val="pl-PL"/>
        </w:rPr>
        <w:t>Usługodawca określony w rozdziałach 8 do 10 tej ustawy nie jest zobowiązany do monitorowania informacji p</w:t>
      </w:r>
      <w:r w:rsidR="00181EC0" w:rsidRPr="00C93C2F">
        <w:rPr>
          <w:rFonts w:ascii="Times New Roman" w:hAnsi="Times New Roman" w:cs="Times New Roman"/>
          <w:lang w:val="pl-PL"/>
        </w:rPr>
        <w:t>rzy</w:t>
      </w:r>
      <w:r w:rsidR="005F7DB5" w:rsidRPr="00C93C2F">
        <w:rPr>
          <w:rFonts w:ascii="Times New Roman" w:hAnsi="Times New Roman" w:cs="Times New Roman"/>
          <w:lang w:val="pl-PL"/>
        </w:rPr>
        <w:t xml:space="preserve"> zw</w:t>
      </w:r>
      <w:r w:rsidR="00181EC0" w:rsidRPr="00C93C2F">
        <w:rPr>
          <w:rFonts w:ascii="Times New Roman" w:hAnsi="Times New Roman" w:cs="Times New Roman"/>
          <w:lang w:val="pl-PL"/>
        </w:rPr>
        <w:t>ykłej transmisji lub zapewnianiu</w:t>
      </w:r>
      <w:r w:rsidR="005F7DB5" w:rsidRPr="00C93C2F">
        <w:rPr>
          <w:rFonts w:ascii="Times New Roman" w:hAnsi="Times New Roman" w:cs="Times New Roman"/>
          <w:lang w:val="pl-PL"/>
        </w:rPr>
        <w:t xml:space="preserve"> dostępu do niej, czasowego składowania ich w pamięci lub pamięci podręcznej ich na żądanie usługobiorcy, ani </w:t>
      </w:r>
      <w:r w:rsidR="00181EC0" w:rsidRPr="00C93C2F">
        <w:rPr>
          <w:rFonts w:ascii="Times New Roman" w:hAnsi="Times New Roman" w:cs="Times New Roman"/>
          <w:lang w:val="pl-PL"/>
        </w:rPr>
        <w:t xml:space="preserve">usługodawca </w:t>
      </w:r>
      <w:r w:rsidR="005F7DB5" w:rsidRPr="00C93C2F">
        <w:rPr>
          <w:rFonts w:ascii="Times New Roman" w:hAnsi="Times New Roman" w:cs="Times New Roman"/>
          <w:lang w:val="pl-PL"/>
        </w:rPr>
        <w:t>nie jest zobowiązany do aktywnego poszukiwania informacji lub okoliczności wskazujących na bezprawną działalność</w:t>
      </w:r>
      <w:r w:rsidR="00181EC0" w:rsidRPr="00C93C2F">
        <w:rPr>
          <w:rFonts w:ascii="Times New Roman" w:hAnsi="Times New Roman" w:cs="Times New Roman"/>
          <w:lang w:val="pl-PL"/>
        </w:rPr>
        <w:t>.</w:t>
      </w:r>
    </w:p>
    <w:p w:rsidR="00A220C6"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(2)</w:t>
      </w:r>
      <w:r w:rsidR="00A220C6" w:rsidRPr="00C93C2F">
        <w:rPr>
          <w:rFonts w:ascii="Times New Roman" w:hAnsi="Times New Roman" w:cs="Times New Roman"/>
          <w:lang w:val="pl-PL"/>
        </w:rPr>
        <w:t> </w:t>
      </w:r>
      <w:r w:rsidR="00181EC0" w:rsidRPr="00C93C2F">
        <w:rPr>
          <w:rFonts w:ascii="Times New Roman" w:hAnsi="Times New Roman" w:cs="Times New Roman"/>
          <w:lang w:val="pl-PL"/>
        </w:rPr>
        <w:t xml:space="preserve">Postanowienia </w:t>
      </w:r>
      <w:r w:rsidR="00C66DBD" w:rsidRPr="00C93C2F">
        <w:rPr>
          <w:rFonts w:ascii="Times New Roman" w:hAnsi="Times New Roman" w:cs="Times New Roman"/>
          <w:lang w:val="pl-PL"/>
        </w:rPr>
        <w:t>ustępu</w:t>
      </w:r>
      <w:r w:rsidR="00181EC0" w:rsidRPr="00C93C2F">
        <w:rPr>
          <w:rFonts w:ascii="Times New Roman" w:hAnsi="Times New Roman" w:cs="Times New Roman"/>
          <w:lang w:val="pl-PL"/>
        </w:rPr>
        <w:t xml:space="preserve"> 1 </w:t>
      </w:r>
      <w:r w:rsidR="00C66DBD" w:rsidRPr="00C93C2F">
        <w:rPr>
          <w:rFonts w:ascii="Times New Roman" w:hAnsi="Times New Roman" w:cs="Times New Roman"/>
          <w:lang w:val="pl-PL"/>
        </w:rPr>
        <w:t>niniejszego paragrafu</w:t>
      </w:r>
      <w:r w:rsidR="00181EC0" w:rsidRPr="00C93C2F">
        <w:rPr>
          <w:rFonts w:ascii="Times New Roman" w:hAnsi="Times New Roman" w:cs="Times New Roman"/>
          <w:lang w:val="pl-PL"/>
        </w:rPr>
        <w:t xml:space="preserve"> nie ograniczają prawa oficjalnego wykonywania nadzoru na żądanie ujawnienia takich informacji przez usługodawcę</w:t>
      </w:r>
      <w:r w:rsidR="00A220C6" w:rsidRPr="00C93C2F">
        <w:rPr>
          <w:rFonts w:ascii="Times New Roman" w:hAnsi="Times New Roman" w:cs="Times New Roman"/>
          <w:lang w:val="pl-PL"/>
        </w:rPr>
        <w:t>.</w:t>
      </w:r>
    </w:p>
    <w:p w:rsidR="003373AE" w:rsidRPr="00C93C2F" w:rsidRDefault="0019239D" w:rsidP="00171A6F">
      <w:pPr>
        <w:pStyle w:val="ECHRParaQuote"/>
        <w:rPr>
          <w:rFonts w:ascii="Times New Roman" w:hAnsi="Times New Roman" w:cs="Times New Roman"/>
          <w:lang w:val="pl-PL"/>
        </w:rPr>
      </w:pPr>
      <w:r w:rsidRPr="00C93C2F">
        <w:rPr>
          <w:rFonts w:ascii="Times New Roman" w:hAnsi="Times New Roman" w:cs="Times New Roman"/>
          <w:lang w:val="pl-PL"/>
        </w:rPr>
        <w:t>(3)</w:t>
      </w:r>
      <w:r w:rsidR="00A220C6" w:rsidRPr="00C93C2F">
        <w:rPr>
          <w:rFonts w:ascii="Times New Roman" w:hAnsi="Times New Roman" w:cs="Times New Roman"/>
          <w:lang w:val="pl-PL"/>
        </w:rPr>
        <w:t> </w:t>
      </w:r>
      <w:r w:rsidR="00181EC0" w:rsidRPr="00C93C2F">
        <w:rPr>
          <w:rFonts w:ascii="Times New Roman" w:hAnsi="Times New Roman" w:cs="Times New Roman"/>
          <w:lang w:val="pl-PL"/>
        </w:rPr>
        <w:t>Usługodawcy są zobowiązani do niezwłocznego informowania właściwych organów nadzorczych o rzekomych bezprawnych działaniach podjętych lub informacjach dostarczonych przez odbiorców ich usług wymienionych w</w:t>
      </w:r>
      <w:r w:rsidR="007F396A" w:rsidRPr="00C93C2F">
        <w:rPr>
          <w:rFonts w:ascii="Times New Roman" w:hAnsi="Times New Roman" w:cs="Times New Roman"/>
          <w:lang w:val="pl-PL"/>
        </w:rPr>
        <w:t xml:space="preserve"> punktach od 8 do 10 tej ustawy</w:t>
      </w:r>
      <w:r w:rsidR="00181EC0" w:rsidRPr="00C93C2F">
        <w:rPr>
          <w:rFonts w:ascii="Times New Roman" w:hAnsi="Times New Roman" w:cs="Times New Roman"/>
          <w:lang w:val="pl-PL"/>
        </w:rPr>
        <w:t xml:space="preserve"> oraz do przekazywania właściwym organom informacji umożliwiających identyfikację ich usługobiorców</w:t>
      </w:r>
      <w:r w:rsidR="007F396A" w:rsidRPr="00C93C2F">
        <w:rPr>
          <w:rFonts w:ascii="Times New Roman" w:hAnsi="Times New Roman" w:cs="Times New Roman"/>
          <w:lang w:val="pl-PL"/>
        </w:rPr>
        <w:t>,</w:t>
      </w:r>
      <w:r w:rsidR="00181EC0" w:rsidRPr="00C93C2F">
        <w:rPr>
          <w:rFonts w:ascii="Times New Roman" w:hAnsi="Times New Roman" w:cs="Times New Roman"/>
          <w:lang w:val="pl-PL"/>
        </w:rPr>
        <w:t xml:space="preserve"> z którymi mają umowy o przechowywanie</w:t>
      </w:r>
      <w:r w:rsidR="00A220C6" w:rsidRPr="00C93C2F">
        <w:rPr>
          <w:rFonts w:ascii="Times New Roman" w:hAnsi="Times New Roman" w:cs="Times New Roman"/>
          <w:lang w:val="pl-PL"/>
        </w:rPr>
        <w:t>.</w:t>
      </w:r>
    </w:p>
    <w:p w:rsidR="00A220C6" w:rsidRPr="00C93C2F" w:rsidRDefault="002837DA" w:rsidP="00171A6F">
      <w:pPr>
        <w:pStyle w:val="ECHRParaQuote"/>
        <w:rPr>
          <w:rFonts w:ascii="Times New Roman" w:hAnsi="Times New Roman" w:cs="Times New Roman"/>
          <w:lang w:val="pl-PL"/>
        </w:rPr>
      </w:pPr>
      <w:r w:rsidRPr="00C93C2F">
        <w:rPr>
          <w:rFonts w:ascii="Times New Roman" w:hAnsi="Times New Roman" w:cs="Times New Roman"/>
          <w:lang w:val="pl-PL"/>
        </w:rPr>
        <w:t>...</w:t>
      </w:r>
      <w:r w:rsidR="00A220C6" w:rsidRPr="00C93C2F">
        <w:rPr>
          <w:rFonts w:ascii="Times New Roman" w:hAnsi="Times New Roman" w:cs="Times New Roman"/>
          <w:lang w:val="pl-PL"/>
        </w:rPr>
        <w:t>”</w:t>
      </w:r>
    </w:p>
    <w:p w:rsidR="00B413BF" w:rsidRPr="00C93C2F"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40</w:t>
      </w:r>
      <w:r w:rsidRPr="00C93C2F">
        <w:rPr>
          <w:rFonts w:ascii="Times New Roman" w:hAnsi="Times New Roman" w:cs="Times New Roman"/>
          <w:lang w:val="en-GB"/>
        </w:rPr>
        <w:fldChar w:fldCharType="end"/>
      </w:r>
      <w:r w:rsidR="00A220C6" w:rsidRPr="00C93C2F">
        <w:rPr>
          <w:rFonts w:ascii="Times New Roman" w:hAnsi="Times New Roman" w:cs="Times New Roman"/>
          <w:lang w:val="pl-PL"/>
        </w:rPr>
        <w:t>.  Art</w:t>
      </w:r>
      <w:r w:rsidR="00181EC0" w:rsidRPr="00C93C2F">
        <w:rPr>
          <w:rFonts w:ascii="Times New Roman" w:hAnsi="Times New Roman" w:cs="Times New Roman"/>
          <w:lang w:val="pl-PL"/>
        </w:rPr>
        <w:t>ykuły</w:t>
      </w:r>
      <w:r w:rsidR="00A220C6" w:rsidRPr="00C93C2F">
        <w:rPr>
          <w:rFonts w:ascii="Times New Roman" w:hAnsi="Times New Roman" w:cs="Times New Roman"/>
          <w:lang w:val="pl-PL"/>
        </w:rPr>
        <w:t xml:space="preserve"> 244 et </w:t>
      </w:r>
      <w:proofErr w:type="spellStart"/>
      <w:r w:rsidR="00A220C6" w:rsidRPr="00C93C2F">
        <w:rPr>
          <w:rFonts w:ascii="Times New Roman" w:hAnsi="Times New Roman" w:cs="Times New Roman"/>
          <w:lang w:val="pl-PL"/>
        </w:rPr>
        <w:t>seq</w:t>
      </w:r>
      <w:proofErr w:type="spellEnd"/>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Kodeksu Postępowania Cywilnego</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i/>
          <w:lang w:val="pl-PL"/>
        </w:rPr>
        <w:t>Tsiviilkohtumenetluse</w:t>
      </w:r>
      <w:proofErr w:type="spellEnd"/>
      <w:r w:rsidR="00A220C6" w:rsidRPr="00C93C2F">
        <w:rPr>
          <w:rFonts w:ascii="Times New Roman" w:hAnsi="Times New Roman" w:cs="Times New Roman"/>
          <w:i/>
          <w:lang w:val="pl-PL"/>
        </w:rPr>
        <w:t xml:space="preserve"> </w:t>
      </w:r>
      <w:proofErr w:type="spellStart"/>
      <w:r w:rsidR="00A220C6" w:rsidRPr="00C93C2F">
        <w:rPr>
          <w:rFonts w:ascii="Times New Roman" w:hAnsi="Times New Roman" w:cs="Times New Roman"/>
          <w:i/>
          <w:lang w:val="pl-PL"/>
        </w:rPr>
        <w:t>seadustik</w:t>
      </w:r>
      <w:proofErr w:type="spellEnd"/>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 xml:space="preserve">przewidują </w:t>
      </w:r>
      <w:proofErr w:type="spellStart"/>
      <w:r w:rsidR="00181EC0" w:rsidRPr="00C93C2F">
        <w:rPr>
          <w:rFonts w:ascii="Times New Roman" w:hAnsi="Times New Roman" w:cs="Times New Roman"/>
          <w:lang w:val="pl-PL"/>
        </w:rPr>
        <w:t>przedprocesowe</w:t>
      </w:r>
      <w:proofErr w:type="spellEnd"/>
      <w:r w:rsidR="00181EC0" w:rsidRPr="00C93C2F">
        <w:rPr>
          <w:rFonts w:ascii="Times New Roman" w:hAnsi="Times New Roman" w:cs="Times New Roman"/>
          <w:lang w:val="pl-PL"/>
        </w:rPr>
        <w:t xml:space="preserve"> postępowanie dowodowe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i/>
          <w:lang w:val="pl-PL"/>
        </w:rPr>
        <w:t>eeltõendamismenetlus</w:t>
      </w:r>
      <w:proofErr w:type="spellEnd"/>
      <w:r w:rsidR="00A220C6" w:rsidRPr="00C93C2F">
        <w:rPr>
          <w:rFonts w:ascii="Times New Roman" w:hAnsi="Times New Roman" w:cs="Times New Roman"/>
          <w:lang w:val="pl-PL"/>
        </w:rPr>
        <w:t xml:space="preserve">) – </w:t>
      </w:r>
      <w:r w:rsidR="00181EC0" w:rsidRPr="00C93C2F">
        <w:rPr>
          <w:rFonts w:ascii="Times New Roman" w:hAnsi="Times New Roman" w:cs="Times New Roman"/>
          <w:lang w:val="pl-PL"/>
        </w:rPr>
        <w:t xml:space="preserve">procedura, w której dowód może zostać </w:t>
      </w:r>
      <w:r w:rsidR="00F64BBD">
        <w:rPr>
          <w:rFonts w:ascii="Times New Roman" w:hAnsi="Times New Roman" w:cs="Times New Roman"/>
          <w:lang w:val="pl-PL"/>
        </w:rPr>
        <w:t>przeprowadzony</w:t>
      </w:r>
      <w:r w:rsidR="00181EC0" w:rsidRPr="00C93C2F">
        <w:rPr>
          <w:rFonts w:ascii="Times New Roman" w:hAnsi="Times New Roman" w:cs="Times New Roman"/>
          <w:lang w:val="pl-PL"/>
        </w:rPr>
        <w:t xml:space="preserve"> nawet przed wszczęciem postępowania sądowego, jeżeli można założyć, że dowody mogą zostać utracone lub które</w:t>
      </w:r>
      <w:r w:rsidR="00C66DBD" w:rsidRPr="00C93C2F">
        <w:rPr>
          <w:rFonts w:ascii="Times New Roman" w:hAnsi="Times New Roman" w:cs="Times New Roman"/>
          <w:lang w:val="pl-PL"/>
        </w:rPr>
        <w:t>go</w:t>
      </w:r>
      <w:r w:rsidR="00181EC0" w:rsidRPr="00C93C2F">
        <w:rPr>
          <w:rFonts w:ascii="Times New Roman" w:hAnsi="Times New Roman" w:cs="Times New Roman"/>
          <w:lang w:val="pl-PL"/>
        </w:rPr>
        <w:t xml:space="preserve"> </w:t>
      </w:r>
      <w:r w:rsidR="00C66DBD" w:rsidRPr="00C93C2F">
        <w:rPr>
          <w:rFonts w:ascii="Times New Roman" w:hAnsi="Times New Roman" w:cs="Times New Roman"/>
          <w:lang w:val="pl-PL"/>
        </w:rPr>
        <w:t>późniejsze użycie</w:t>
      </w:r>
      <w:r w:rsidR="00181EC0" w:rsidRPr="00C93C2F">
        <w:rPr>
          <w:rFonts w:ascii="Times New Roman" w:hAnsi="Times New Roman" w:cs="Times New Roman"/>
          <w:lang w:val="pl-PL"/>
        </w:rPr>
        <w:t xml:space="preserve"> </w:t>
      </w:r>
      <w:r w:rsidR="00F64BBD">
        <w:rPr>
          <w:rFonts w:ascii="Times New Roman" w:hAnsi="Times New Roman" w:cs="Times New Roman"/>
          <w:lang w:val="pl-PL"/>
        </w:rPr>
        <w:t>może napotkać na</w:t>
      </w:r>
      <w:r w:rsidR="00181EC0" w:rsidRPr="00C93C2F">
        <w:rPr>
          <w:rFonts w:ascii="Times New Roman" w:hAnsi="Times New Roman" w:cs="Times New Roman"/>
          <w:lang w:val="pl-PL"/>
        </w:rPr>
        <w:t xml:space="preserve"> trudności.</w:t>
      </w:r>
    </w:p>
    <w:p w:rsidR="00A220C6" w:rsidRPr="00B45853" w:rsidRDefault="00DD67A4" w:rsidP="00171A6F">
      <w:pPr>
        <w:pStyle w:val="ECHRPara"/>
        <w:rPr>
          <w:rFonts w:ascii="Times New Roman" w:hAnsi="Times New Roman" w:cs="Times New Roman"/>
          <w:lang w:val="pl-PL"/>
        </w:rPr>
      </w:pPr>
      <w:r w:rsidRPr="00C93C2F">
        <w:rPr>
          <w:rFonts w:ascii="Times New Roman" w:hAnsi="Times New Roman" w:cs="Times New Roman"/>
          <w:lang w:val="en-GB"/>
        </w:rPr>
        <w:fldChar w:fldCharType="begin"/>
      </w:r>
      <w:r w:rsidR="00A220C6" w:rsidRPr="00C93C2F">
        <w:rPr>
          <w:rFonts w:ascii="Times New Roman" w:hAnsi="Times New Roman" w:cs="Times New Roman"/>
          <w:lang w:val="pl-PL"/>
        </w:rPr>
        <w:instrText xml:space="preserve"> SEQ level0 \*arabic </w:instrText>
      </w:r>
      <w:r w:rsidRPr="00C93C2F">
        <w:rPr>
          <w:rFonts w:ascii="Times New Roman" w:hAnsi="Times New Roman" w:cs="Times New Roman"/>
          <w:lang w:val="en-GB"/>
        </w:rPr>
        <w:fldChar w:fldCharType="separate"/>
      </w:r>
      <w:r w:rsidR="002F0EE0" w:rsidRPr="00C93C2F">
        <w:rPr>
          <w:rFonts w:ascii="Times New Roman" w:hAnsi="Times New Roman" w:cs="Times New Roman"/>
          <w:noProof/>
          <w:lang w:val="pl-PL"/>
        </w:rPr>
        <w:t>41</w:t>
      </w:r>
      <w:r w:rsidRPr="00C93C2F">
        <w:rPr>
          <w:rFonts w:ascii="Times New Roman" w:hAnsi="Times New Roman" w:cs="Times New Roman"/>
          <w:lang w:val="en-GB"/>
        </w:rPr>
        <w:fldChar w:fldCharType="end"/>
      </w:r>
      <w:r w:rsidR="00A220C6" w:rsidRPr="00C93C2F">
        <w:rPr>
          <w:rFonts w:ascii="Times New Roman" w:hAnsi="Times New Roman" w:cs="Times New Roman"/>
          <w:lang w:val="pl-PL"/>
        </w:rPr>
        <w:t>.  </w:t>
      </w:r>
      <w:r w:rsidR="00181EC0" w:rsidRPr="00C93C2F">
        <w:rPr>
          <w:rFonts w:ascii="Times New Roman" w:hAnsi="Times New Roman" w:cs="Times New Roman"/>
          <w:lang w:val="pl-PL"/>
        </w:rPr>
        <w:t xml:space="preserve">W wyroku z dnia 21 grudnia 2005 roku </w:t>
      </w:r>
      <w:r w:rsidR="00A220C6" w:rsidRPr="00C93C2F">
        <w:rPr>
          <w:rFonts w:ascii="Times New Roman" w:hAnsi="Times New Roman" w:cs="Times New Roman"/>
          <w:lang w:val="pl-PL"/>
        </w:rPr>
        <w:t>(</w:t>
      </w:r>
      <w:r w:rsidR="00181EC0" w:rsidRPr="00C93C2F">
        <w:rPr>
          <w:rFonts w:ascii="Times New Roman" w:hAnsi="Times New Roman" w:cs="Times New Roman"/>
          <w:lang w:val="pl-PL"/>
        </w:rPr>
        <w:t>sprawa nr</w:t>
      </w:r>
      <w:r w:rsidR="00A220C6" w:rsidRPr="00C93C2F">
        <w:rPr>
          <w:rFonts w:ascii="Times New Roman" w:hAnsi="Times New Roman" w:cs="Times New Roman"/>
          <w:lang w:val="pl-PL"/>
        </w:rPr>
        <w:t xml:space="preserve"> 3-2-1-95-05) </w:t>
      </w:r>
      <w:r w:rsidR="00181EC0" w:rsidRPr="00C93C2F">
        <w:rPr>
          <w:rFonts w:ascii="Times New Roman" w:hAnsi="Times New Roman" w:cs="Times New Roman"/>
          <w:lang w:val="pl-PL"/>
        </w:rPr>
        <w:t xml:space="preserve">Sąd Najwyższy stwierdził, że dla celów </w:t>
      </w:r>
      <w:r w:rsidR="00C66DBD" w:rsidRPr="00C93C2F">
        <w:rPr>
          <w:rFonts w:ascii="Times New Roman" w:hAnsi="Times New Roman" w:cs="Times New Roman"/>
          <w:lang w:val="pl-PL"/>
        </w:rPr>
        <w:t>artykułu</w:t>
      </w:r>
      <w:r w:rsidR="00181EC0" w:rsidRPr="00C93C2F">
        <w:rPr>
          <w:rFonts w:ascii="Times New Roman" w:hAnsi="Times New Roman" w:cs="Times New Roman"/>
          <w:lang w:val="pl-PL"/>
        </w:rPr>
        <w:t xml:space="preserve"> 1047 </w:t>
      </w:r>
      <w:r w:rsidR="00C66DBD" w:rsidRPr="00C93C2F">
        <w:rPr>
          <w:rFonts w:ascii="Times New Roman" w:hAnsi="Times New Roman" w:cs="Times New Roman"/>
          <w:lang w:val="pl-PL"/>
        </w:rPr>
        <w:t>Prawa Zobowiązań</w:t>
      </w:r>
      <w:r w:rsidR="00181EC0" w:rsidRPr="00C93C2F">
        <w:rPr>
          <w:rFonts w:ascii="Times New Roman" w:hAnsi="Times New Roman" w:cs="Times New Roman"/>
          <w:lang w:val="pl-PL"/>
        </w:rPr>
        <w:t>, ujawnianie</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i/>
          <w:lang w:val="pl-PL"/>
        </w:rPr>
        <w:t>avaldamine</w:t>
      </w:r>
      <w:proofErr w:type="spellEnd"/>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 xml:space="preserve">oznaczało ujawnienie informacji trzeciej stronie. Osoba, która przekazała informację do wydawcy mediów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i/>
          <w:lang w:val="pl-PL"/>
        </w:rPr>
        <w:t>meediaväljaanne</w:t>
      </w:r>
      <w:proofErr w:type="spellEnd"/>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 xml:space="preserve">może być uznana za ujawniającego </w:t>
      </w:r>
      <w:r w:rsidR="00A220C6" w:rsidRPr="00C93C2F">
        <w:rPr>
          <w:rFonts w:ascii="Times New Roman" w:hAnsi="Times New Roman" w:cs="Times New Roman"/>
          <w:lang w:val="pl-PL"/>
        </w:rPr>
        <w:t>(</w:t>
      </w:r>
      <w:proofErr w:type="spellStart"/>
      <w:r w:rsidR="00A220C6" w:rsidRPr="00C93C2F">
        <w:rPr>
          <w:rFonts w:ascii="Times New Roman" w:hAnsi="Times New Roman" w:cs="Times New Roman"/>
          <w:i/>
          <w:lang w:val="pl-PL"/>
        </w:rPr>
        <w:t>avaldaja</w:t>
      </w:r>
      <w:proofErr w:type="spellEnd"/>
      <w:r w:rsidR="00A220C6" w:rsidRPr="00C93C2F">
        <w:rPr>
          <w:rFonts w:ascii="Times New Roman" w:hAnsi="Times New Roman" w:cs="Times New Roman"/>
          <w:lang w:val="pl-PL"/>
        </w:rPr>
        <w:t>)</w:t>
      </w:r>
      <w:r w:rsidR="007F396A" w:rsidRPr="00C93C2F">
        <w:rPr>
          <w:rFonts w:ascii="Times New Roman" w:hAnsi="Times New Roman" w:cs="Times New Roman"/>
          <w:lang w:val="pl-PL"/>
        </w:rPr>
        <w:t>,</w:t>
      </w:r>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nawet jeśli on lub ona nie była wydawcą artykułu</w:t>
      </w:r>
      <w:r w:rsidR="00A220C6" w:rsidRPr="00C93C2F">
        <w:rPr>
          <w:rFonts w:ascii="Times New Roman" w:hAnsi="Times New Roman" w:cs="Times New Roman"/>
          <w:lang w:val="pl-PL"/>
        </w:rPr>
        <w:t xml:space="preserve"> (</w:t>
      </w:r>
      <w:proofErr w:type="spellStart"/>
      <w:r w:rsidR="00A220C6" w:rsidRPr="00C93C2F">
        <w:rPr>
          <w:rFonts w:ascii="Times New Roman" w:hAnsi="Times New Roman" w:cs="Times New Roman"/>
          <w:i/>
          <w:lang w:val="pl-PL"/>
        </w:rPr>
        <w:t>ajaleheartikli</w:t>
      </w:r>
      <w:proofErr w:type="spellEnd"/>
      <w:r w:rsidR="00A220C6" w:rsidRPr="00C93C2F">
        <w:rPr>
          <w:rFonts w:ascii="Times New Roman" w:hAnsi="Times New Roman" w:cs="Times New Roman"/>
          <w:i/>
          <w:lang w:val="pl-PL"/>
        </w:rPr>
        <w:t xml:space="preserve"> </w:t>
      </w:r>
      <w:proofErr w:type="spellStart"/>
      <w:r w:rsidR="00A220C6" w:rsidRPr="00C93C2F">
        <w:rPr>
          <w:rFonts w:ascii="Times New Roman" w:hAnsi="Times New Roman" w:cs="Times New Roman"/>
          <w:i/>
          <w:lang w:val="pl-PL"/>
        </w:rPr>
        <w:t>avaldaja</w:t>
      </w:r>
      <w:proofErr w:type="spellEnd"/>
      <w:r w:rsidR="00A220C6" w:rsidRPr="00C93C2F">
        <w:rPr>
          <w:rFonts w:ascii="Times New Roman" w:hAnsi="Times New Roman" w:cs="Times New Roman"/>
          <w:lang w:val="pl-PL"/>
        </w:rPr>
        <w:t>)</w:t>
      </w:r>
      <w:r w:rsidR="007F396A" w:rsidRPr="00C93C2F">
        <w:rPr>
          <w:rFonts w:ascii="Times New Roman" w:hAnsi="Times New Roman" w:cs="Times New Roman"/>
          <w:lang w:val="pl-PL"/>
        </w:rPr>
        <w:t>,</w:t>
      </w:r>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o którym mowa</w:t>
      </w:r>
      <w:r w:rsidR="00A220C6" w:rsidRPr="00C93C2F">
        <w:rPr>
          <w:rFonts w:ascii="Times New Roman" w:hAnsi="Times New Roman" w:cs="Times New Roman"/>
          <w:lang w:val="pl-PL"/>
        </w:rPr>
        <w:t xml:space="preserve">. </w:t>
      </w:r>
      <w:r w:rsidR="00181EC0" w:rsidRPr="00C93C2F">
        <w:rPr>
          <w:rFonts w:ascii="Times New Roman" w:hAnsi="Times New Roman" w:cs="Times New Roman"/>
          <w:lang w:val="pl-PL"/>
        </w:rPr>
        <w:t xml:space="preserve">Sąd Najwyższy podtrzymał </w:t>
      </w:r>
      <w:r w:rsidR="00C66DBD" w:rsidRPr="00C93C2F">
        <w:rPr>
          <w:rFonts w:ascii="Times New Roman" w:hAnsi="Times New Roman" w:cs="Times New Roman"/>
          <w:lang w:val="pl-PL"/>
        </w:rPr>
        <w:t>to samo stanowisko</w:t>
      </w:r>
      <w:r w:rsidR="00181EC0" w:rsidRPr="00C93C2F">
        <w:rPr>
          <w:rFonts w:ascii="Times New Roman" w:hAnsi="Times New Roman" w:cs="Times New Roman"/>
          <w:lang w:val="pl-PL"/>
        </w:rPr>
        <w:t xml:space="preserve"> w</w:t>
      </w:r>
      <w:r w:rsidR="00181EC0" w:rsidRPr="00B45853">
        <w:rPr>
          <w:rFonts w:ascii="Times New Roman" w:hAnsi="Times New Roman" w:cs="Times New Roman"/>
          <w:lang w:val="pl-PL"/>
        </w:rPr>
        <w:t xml:space="preserve"> </w:t>
      </w:r>
      <w:r w:rsidR="00181EC0" w:rsidRPr="00B45853">
        <w:rPr>
          <w:rFonts w:ascii="Times New Roman" w:hAnsi="Times New Roman" w:cs="Times New Roman"/>
          <w:lang w:val="pl-PL"/>
        </w:rPr>
        <w:lastRenderedPageBreak/>
        <w:t xml:space="preserve">późniejszych wyrokach, na przykład w wyroku z dnia 21 grudnia 2010 roku </w:t>
      </w:r>
      <w:r w:rsidR="00A220C6" w:rsidRPr="00B45853">
        <w:rPr>
          <w:rFonts w:ascii="Times New Roman" w:hAnsi="Times New Roman" w:cs="Times New Roman"/>
          <w:lang w:val="pl-PL"/>
        </w:rPr>
        <w:t>(</w:t>
      </w:r>
      <w:r w:rsidR="00181EC0" w:rsidRPr="00B45853">
        <w:rPr>
          <w:rFonts w:ascii="Times New Roman" w:hAnsi="Times New Roman" w:cs="Times New Roman"/>
          <w:lang w:val="pl-PL"/>
        </w:rPr>
        <w:t>sprawa nr</w:t>
      </w:r>
      <w:r w:rsidR="00A220C6" w:rsidRPr="00B45853">
        <w:rPr>
          <w:rFonts w:ascii="Times New Roman" w:hAnsi="Times New Roman" w:cs="Times New Roman"/>
          <w:lang w:val="pl-PL"/>
        </w:rPr>
        <w:t> 3</w:t>
      </w:r>
      <w:r w:rsidR="00A220C6" w:rsidRPr="00B45853">
        <w:rPr>
          <w:rFonts w:ascii="Times New Roman" w:hAnsi="Times New Roman" w:cs="Times New Roman"/>
          <w:lang w:val="pl-PL"/>
        </w:rPr>
        <w:noBreakHyphen/>
        <w:t>2</w:t>
      </w:r>
      <w:r w:rsidR="00A220C6" w:rsidRPr="00B45853">
        <w:rPr>
          <w:rFonts w:ascii="Times New Roman" w:hAnsi="Times New Roman" w:cs="Times New Roman"/>
          <w:lang w:val="pl-PL"/>
        </w:rPr>
        <w:noBreakHyphen/>
        <w:t>1-67-10).</w:t>
      </w:r>
    </w:p>
    <w:p w:rsidR="00A220C6" w:rsidRPr="00B45853" w:rsidRDefault="003B4B14" w:rsidP="00171A6F">
      <w:pPr>
        <w:pStyle w:val="ECHRPara"/>
        <w:rPr>
          <w:rFonts w:ascii="Times New Roman" w:hAnsi="Times New Roman" w:cs="Times New Roman"/>
          <w:lang w:val="pl-PL"/>
        </w:rPr>
      </w:pPr>
      <w:r w:rsidRPr="00B45853">
        <w:rPr>
          <w:rFonts w:ascii="Times New Roman" w:hAnsi="Times New Roman" w:cs="Times New Roman"/>
          <w:lang w:val="pl-PL"/>
        </w:rPr>
        <w:t xml:space="preserve">42. </w:t>
      </w:r>
      <w:r w:rsidRPr="009E5E45">
        <w:rPr>
          <w:rFonts w:ascii="Times New Roman" w:hAnsi="Times New Roman" w:cs="Times New Roman"/>
          <w:lang w:val="pl-PL"/>
        </w:rPr>
        <w:t xml:space="preserve">W wielu przypadkach działania krajowe za zniesławienie zostały </w:t>
      </w:r>
      <w:r w:rsidRPr="00B45853">
        <w:rPr>
          <w:rFonts w:ascii="Times New Roman" w:hAnsi="Times New Roman" w:cs="Times New Roman"/>
          <w:lang w:val="pl-PL"/>
        </w:rPr>
        <w:t>wytoczone przeciwko kilku pozwanym, w tym na przykład, wydawcy gazety i autorowi artykułu (wyrok Sądu Najwyższego z dnia 7 maja 1998 roku w sprawie nr 3-2 -1-61-98), wydawcy gazety i respondentowi (wyrok Sądu Najwyższego z dnia 1 grudnia 1997 roku w sprawie nr 3-2-1-99-97) i wyłącznie przeciwko wydawcy gazety (wyrok Sądu Najwyższego z dnia 30 października 1997 roku w sprawie nr 3-2-1-123-97, oraz wyrok z dnia 10 października 2007 roku w sprawie nr 3-2-1-53-07).</w:t>
      </w:r>
    </w:p>
    <w:p w:rsidR="00A220C6" w:rsidRPr="001A46FC" w:rsidRDefault="003B4B14" w:rsidP="00171A6F">
      <w:pPr>
        <w:pStyle w:val="ECHRPara"/>
        <w:rPr>
          <w:rFonts w:ascii="Times New Roman" w:hAnsi="Times New Roman" w:cs="Times New Roman"/>
          <w:lang w:val="pl-PL"/>
        </w:rPr>
      </w:pPr>
      <w:r w:rsidRPr="00B45853">
        <w:rPr>
          <w:rFonts w:ascii="Times New Roman" w:hAnsi="Times New Roman" w:cs="Times New Roman"/>
          <w:lang w:val="pl-PL"/>
        </w:rPr>
        <w:t xml:space="preserve">43. W następstwie wyroku Sądu Najwyższego z dnia 10 czerwca 2009 roku w sprawie leżącej u podstaw niniejszej sprawy przed Trybunałem (sprawa nr 3-2-1-43-09), kilka sądów niższej instancji w podobny sposób rozwiązało kwestię odpowiedzialności z tytułu </w:t>
      </w:r>
      <w:r w:rsidR="00E60573">
        <w:rPr>
          <w:rFonts w:ascii="Times New Roman" w:hAnsi="Times New Roman" w:cs="Times New Roman"/>
          <w:lang w:val="pl-PL"/>
        </w:rPr>
        <w:t>komentarzy</w:t>
      </w:r>
      <w:r w:rsidRPr="00B45853">
        <w:rPr>
          <w:rFonts w:ascii="Times New Roman" w:hAnsi="Times New Roman" w:cs="Times New Roman"/>
          <w:lang w:val="pl-PL"/>
        </w:rPr>
        <w:t xml:space="preserve"> dotycząc</w:t>
      </w:r>
      <w:r w:rsidR="00E60573">
        <w:rPr>
          <w:rFonts w:ascii="Times New Roman" w:hAnsi="Times New Roman" w:cs="Times New Roman"/>
          <w:lang w:val="pl-PL"/>
        </w:rPr>
        <w:t xml:space="preserve">ych </w:t>
      </w:r>
      <w:r w:rsidRPr="00B45853">
        <w:rPr>
          <w:rFonts w:ascii="Times New Roman" w:hAnsi="Times New Roman" w:cs="Times New Roman"/>
          <w:lang w:val="pl-PL"/>
        </w:rPr>
        <w:t>interneto</w:t>
      </w:r>
      <w:r w:rsidR="007F396A" w:rsidRPr="00B45853">
        <w:rPr>
          <w:rFonts w:ascii="Times New Roman" w:hAnsi="Times New Roman" w:cs="Times New Roman"/>
          <w:lang w:val="pl-PL"/>
        </w:rPr>
        <w:t>wych artykułów prasowych. I tak</w:t>
      </w:r>
      <w:r w:rsidRPr="00B45853">
        <w:rPr>
          <w:rFonts w:ascii="Times New Roman" w:hAnsi="Times New Roman" w:cs="Times New Roman"/>
          <w:lang w:val="pl-PL"/>
        </w:rPr>
        <w:t xml:space="preserve"> w wyroku z dnia 21 lutego 2012 roku Sąd Apelacyjny w Tallinie (sprawa nr 2 08 76058) utrzymał w mocy wyrok sądu niższej instancji dotyczący pozwu osoby zniesławionej przeciwko wydawcy gazety. Wydawca był odpowiedzialny za oszczercze komentarze </w:t>
      </w:r>
      <w:r w:rsidR="003F5817" w:rsidRPr="00B45853">
        <w:rPr>
          <w:rFonts w:ascii="Times New Roman" w:hAnsi="Times New Roman" w:cs="Times New Roman"/>
          <w:lang w:val="pl-PL"/>
        </w:rPr>
        <w:t>online</w:t>
      </w:r>
      <w:r w:rsidRPr="00B45853">
        <w:rPr>
          <w:rFonts w:ascii="Times New Roman" w:hAnsi="Times New Roman" w:cs="Times New Roman"/>
          <w:lang w:val="pl-PL"/>
        </w:rPr>
        <w:t xml:space="preserve"> napisan</w:t>
      </w:r>
      <w:r w:rsidR="003F5817" w:rsidRPr="00B45853">
        <w:rPr>
          <w:rFonts w:ascii="Times New Roman" w:hAnsi="Times New Roman" w:cs="Times New Roman"/>
          <w:lang w:val="pl-PL"/>
        </w:rPr>
        <w:t xml:space="preserve">e </w:t>
      </w:r>
      <w:r w:rsidRPr="00B45853">
        <w:rPr>
          <w:rFonts w:ascii="Times New Roman" w:hAnsi="Times New Roman" w:cs="Times New Roman"/>
          <w:lang w:val="pl-PL"/>
        </w:rPr>
        <w:t>przez czytelników</w:t>
      </w:r>
      <w:r w:rsidR="003F5817" w:rsidRPr="00B45853">
        <w:rPr>
          <w:rFonts w:ascii="Times New Roman" w:hAnsi="Times New Roman" w:cs="Times New Roman"/>
          <w:lang w:val="pl-PL"/>
        </w:rPr>
        <w:t xml:space="preserve"> gazety w internetowym środowisku komentarzy</w:t>
      </w:r>
      <w:r w:rsidRPr="00B45853">
        <w:rPr>
          <w:rFonts w:ascii="Times New Roman" w:hAnsi="Times New Roman" w:cs="Times New Roman"/>
          <w:lang w:val="pl-PL"/>
        </w:rPr>
        <w:t xml:space="preserve">. Sądy </w:t>
      </w:r>
      <w:r w:rsidR="003F5817" w:rsidRPr="00B45853">
        <w:rPr>
          <w:rFonts w:ascii="Times New Roman" w:hAnsi="Times New Roman" w:cs="Times New Roman"/>
          <w:lang w:val="pl-PL"/>
        </w:rPr>
        <w:t>wykazały, że wydawcą był</w:t>
      </w:r>
      <w:r w:rsidRPr="00B45853">
        <w:rPr>
          <w:rFonts w:ascii="Times New Roman" w:hAnsi="Times New Roman" w:cs="Times New Roman"/>
          <w:lang w:val="pl-PL"/>
        </w:rPr>
        <w:t xml:space="preserve"> </w:t>
      </w:r>
      <w:r w:rsidR="003F5817" w:rsidRPr="00B45853">
        <w:rPr>
          <w:rFonts w:ascii="Times New Roman" w:hAnsi="Times New Roman" w:cs="Times New Roman"/>
          <w:lang w:val="pl-PL"/>
        </w:rPr>
        <w:t>usługodawca</w:t>
      </w:r>
      <w:r w:rsidRPr="00B45853">
        <w:rPr>
          <w:rFonts w:ascii="Times New Roman" w:hAnsi="Times New Roman" w:cs="Times New Roman"/>
          <w:lang w:val="pl-PL"/>
        </w:rPr>
        <w:t>. Odrzucili prośbę wydawcy o wydanie orzeczenia Trybunału Sprawiedliwości Unii Europejskiej (TSUE), stwierdza</w:t>
      </w:r>
      <w:r w:rsidR="003F5817" w:rsidRPr="00B45853">
        <w:rPr>
          <w:rFonts w:ascii="Times New Roman" w:hAnsi="Times New Roman" w:cs="Times New Roman"/>
          <w:lang w:val="pl-PL"/>
        </w:rPr>
        <w:t>jąc, że to oczywiste, że pozwany</w:t>
      </w:r>
      <w:r w:rsidRPr="00B45853">
        <w:rPr>
          <w:rFonts w:ascii="Times New Roman" w:hAnsi="Times New Roman" w:cs="Times New Roman"/>
          <w:lang w:val="pl-PL"/>
        </w:rPr>
        <w:t xml:space="preserve"> nie spełnia kryteriów wymaganych dla pasywnego usługodawcy jak wcześniej</w:t>
      </w:r>
      <w:r w:rsidR="003F5817" w:rsidRPr="00B45853">
        <w:rPr>
          <w:rFonts w:ascii="Times New Roman" w:hAnsi="Times New Roman" w:cs="Times New Roman"/>
          <w:lang w:val="pl-PL"/>
        </w:rPr>
        <w:t xml:space="preserve"> było interpretowane przez ETS i Sąd</w:t>
      </w:r>
      <w:r w:rsidRPr="00B45853">
        <w:rPr>
          <w:rFonts w:ascii="Times New Roman" w:hAnsi="Times New Roman" w:cs="Times New Roman"/>
          <w:lang w:val="pl-PL"/>
        </w:rPr>
        <w:t xml:space="preserve"> Najwyższ</w:t>
      </w:r>
      <w:r w:rsidR="003F5817" w:rsidRPr="00B45853">
        <w:rPr>
          <w:rFonts w:ascii="Times New Roman" w:hAnsi="Times New Roman" w:cs="Times New Roman"/>
          <w:lang w:val="pl-PL"/>
        </w:rPr>
        <w:t>y</w:t>
      </w:r>
      <w:r w:rsidR="007F396A" w:rsidRPr="00B45853">
        <w:rPr>
          <w:rFonts w:ascii="Times New Roman" w:hAnsi="Times New Roman" w:cs="Times New Roman"/>
          <w:lang w:val="pl-PL"/>
        </w:rPr>
        <w:t>,</w:t>
      </w:r>
      <w:r w:rsidRPr="00B45853">
        <w:rPr>
          <w:rFonts w:ascii="Times New Roman" w:hAnsi="Times New Roman" w:cs="Times New Roman"/>
          <w:lang w:val="pl-PL"/>
        </w:rPr>
        <w:t xml:space="preserve"> oraz że odpowiednie przepisy były wystarczająco jasne. W związku z tym </w:t>
      </w:r>
      <w:r w:rsidR="003F5817" w:rsidRPr="00B45853">
        <w:rPr>
          <w:rFonts w:ascii="Times New Roman" w:hAnsi="Times New Roman" w:cs="Times New Roman"/>
          <w:lang w:val="pl-PL"/>
        </w:rPr>
        <w:t xml:space="preserve">nowe dyrektywy z ETS </w:t>
      </w:r>
      <w:r w:rsidRPr="00B45853">
        <w:rPr>
          <w:rFonts w:ascii="Times New Roman" w:hAnsi="Times New Roman" w:cs="Times New Roman"/>
          <w:lang w:val="pl-PL"/>
        </w:rPr>
        <w:t>nie były potrzebne</w:t>
      </w:r>
      <w:r w:rsidR="003F5817" w:rsidRPr="00B45853">
        <w:rPr>
          <w:rFonts w:ascii="Times New Roman" w:hAnsi="Times New Roman" w:cs="Times New Roman"/>
          <w:lang w:val="pl-PL"/>
        </w:rPr>
        <w:t>. Sądy również zauważył</w:t>
      </w:r>
      <w:r w:rsidRPr="00B45853">
        <w:rPr>
          <w:rFonts w:ascii="Times New Roman" w:hAnsi="Times New Roman" w:cs="Times New Roman"/>
          <w:lang w:val="pl-PL"/>
        </w:rPr>
        <w:t>, że zgodnie z wyrokiem z dnia 23 marca 2010 r</w:t>
      </w:r>
      <w:r w:rsidR="003F5817" w:rsidRPr="00B45853">
        <w:rPr>
          <w:rFonts w:ascii="Times New Roman" w:hAnsi="Times New Roman" w:cs="Times New Roman"/>
          <w:lang w:val="pl-PL"/>
        </w:rPr>
        <w:t>oku</w:t>
      </w:r>
      <w:r w:rsidRPr="00B45853">
        <w:rPr>
          <w:rFonts w:ascii="Times New Roman" w:hAnsi="Times New Roman" w:cs="Times New Roman"/>
          <w:lang w:val="pl-PL"/>
        </w:rPr>
        <w:t xml:space="preserve"> TSUE (sprawy połączone</w:t>
      </w:r>
      <w:r w:rsidR="003F5817" w:rsidRPr="00B45853">
        <w:rPr>
          <w:rFonts w:ascii="Times New Roman" w:hAnsi="Times New Roman" w:cs="Times New Roman"/>
          <w:lang w:val="pl-PL"/>
        </w:rPr>
        <w:t xml:space="preserve"> od</w:t>
      </w:r>
      <w:r w:rsidRPr="00B45853">
        <w:rPr>
          <w:rFonts w:ascii="Times New Roman" w:hAnsi="Times New Roman" w:cs="Times New Roman"/>
          <w:lang w:val="pl-PL"/>
        </w:rPr>
        <w:t xml:space="preserve"> C 236/08 do C 238/08 Google France i Google [2010] ECR I 2417), to do sądó</w:t>
      </w:r>
      <w:r w:rsidR="003F5817" w:rsidRPr="00B45853">
        <w:rPr>
          <w:rFonts w:ascii="Times New Roman" w:hAnsi="Times New Roman" w:cs="Times New Roman"/>
          <w:lang w:val="pl-PL"/>
        </w:rPr>
        <w:t xml:space="preserve">w krajowych należy ocena, czy </w:t>
      </w:r>
      <w:r w:rsidR="00B1021A">
        <w:rPr>
          <w:rFonts w:ascii="Times New Roman" w:hAnsi="Times New Roman" w:cs="Times New Roman"/>
          <w:lang w:val="pl-PL"/>
        </w:rPr>
        <w:t>postępowanie</w:t>
      </w:r>
      <w:r w:rsidR="003F5817" w:rsidRPr="00B45853">
        <w:rPr>
          <w:rFonts w:ascii="Times New Roman" w:hAnsi="Times New Roman" w:cs="Times New Roman"/>
          <w:lang w:val="pl-PL"/>
        </w:rPr>
        <w:t xml:space="preserve"> </w:t>
      </w:r>
      <w:r w:rsidR="003F5817" w:rsidRPr="001A46FC">
        <w:rPr>
          <w:rFonts w:ascii="Times New Roman" w:hAnsi="Times New Roman" w:cs="Times New Roman"/>
          <w:lang w:val="pl-PL"/>
        </w:rPr>
        <w:t>usługodawc</w:t>
      </w:r>
      <w:r w:rsidR="00B1021A">
        <w:rPr>
          <w:rFonts w:ascii="Times New Roman" w:hAnsi="Times New Roman" w:cs="Times New Roman"/>
          <w:lang w:val="pl-PL"/>
        </w:rPr>
        <w:t>y</w:t>
      </w:r>
      <w:r w:rsidR="003F5817" w:rsidRPr="001A46FC">
        <w:rPr>
          <w:rFonts w:ascii="Times New Roman" w:hAnsi="Times New Roman" w:cs="Times New Roman"/>
          <w:lang w:val="pl-PL"/>
        </w:rPr>
        <w:t xml:space="preserve"> był</w:t>
      </w:r>
      <w:r w:rsidR="00B1021A">
        <w:rPr>
          <w:rFonts w:ascii="Times New Roman" w:hAnsi="Times New Roman" w:cs="Times New Roman"/>
          <w:lang w:val="pl-PL"/>
        </w:rPr>
        <w:t>o</w:t>
      </w:r>
      <w:r w:rsidR="003F5817" w:rsidRPr="001A46FC">
        <w:rPr>
          <w:rFonts w:ascii="Times New Roman" w:hAnsi="Times New Roman" w:cs="Times New Roman"/>
          <w:lang w:val="pl-PL"/>
        </w:rPr>
        <w:t xml:space="preserve"> neutraln</w:t>
      </w:r>
      <w:r w:rsidR="00B1021A">
        <w:rPr>
          <w:rFonts w:ascii="Times New Roman" w:hAnsi="Times New Roman" w:cs="Times New Roman"/>
          <w:lang w:val="pl-PL"/>
        </w:rPr>
        <w:t>e</w:t>
      </w:r>
      <w:r w:rsidRPr="001A46FC">
        <w:rPr>
          <w:rFonts w:ascii="Times New Roman" w:hAnsi="Times New Roman" w:cs="Times New Roman"/>
          <w:lang w:val="pl-PL"/>
        </w:rPr>
        <w:t xml:space="preserve"> w tym sensie, że </w:t>
      </w:r>
      <w:r w:rsidR="003F5817" w:rsidRPr="001A46FC">
        <w:rPr>
          <w:rFonts w:ascii="Times New Roman" w:hAnsi="Times New Roman" w:cs="Times New Roman"/>
          <w:lang w:val="pl-PL"/>
        </w:rPr>
        <w:t>było jedynie techniczne</w:t>
      </w:r>
      <w:r w:rsidRPr="001A46FC">
        <w:rPr>
          <w:rFonts w:ascii="Times New Roman" w:hAnsi="Times New Roman" w:cs="Times New Roman"/>
          <w:lang w:val="pl-PL"/>
        </w:rPr>
        <w:t>, automatyczn</w:t>
      </w:r>
      <w:r w:rsidR="003F5817" w:rsidRPr="001A46FC">
        <w:rPr>
          <w:rFonts w:ascii="Times New Roman" w:hAnsi="Times New Roman" w:cs="Times New Roman"/>
          <w:lang w:val="pl-PL"/>
        </w:rPr>
        <w:t>e i bierne</w:t>
      </w:r>
      <w:r w:rsidRPr="001A46FC">
        <w:rPr>
          <w:rFonts w:ascii="Times New Roman" w:hAnsi="Times New Roman" w:cs="Times New Roman"/>
          <w:lang w:val="pl-PL"/>
        </w:rPr>
        <w:t>, wskazując na brak wiedzy lub kontroli nad danymi, które przechowywa</w:t>
      </w:r>
      <w:r w:rsidR="003F5817" w:rsidRPr="001A46FC">
        <w:rPr>
          <w:rFonts w:ascii="Times New Roman" w:hAnsi="Times New Roman" w:cs="Times New Roman"/>
          <w:lang w:val="pl-PL"/>
        </w:rPr>
        <w:t>ł</w:t>
      </w:r>
      <w:r w:rsidRPr="001A46FC">
        <w:rPr>
          <w:rFonts w:ascii="Times New Roman" w:hAnsi="Times New Roman" w:cs="Times New Roman"/>
          <w:lang w:val="pl-PL"/>
        </w:rPr>
        <w:t xml:space="preserve">. Sądy uznały, że </w:t>
      </w:r>
      <w:r w:rsidR="003F5817" w:rsidRPr="001A46FC">
        <w:rPr>
          <w:rFonts w:ascii="Times New Roman" w:hAnsi="Times New Roman" w:cs="Times New Roman"/>
          <w:lang w:val="pl-PL"/>
        </w:rPr>
        <w:t>taka sytuacja nie miała miejsca w</w:t>
      </w:r>
      <w:r w:rsidRPr="001A46FC">
        <w:rPr>
          <w:rFonts w:ascii="Times New Roman" w:hAnsi="Times New Roman" w:cs="Times New Roman"/>
          <w:lang w:val="pl-PL"/>
        </w:rPr>
        <w:t xml:space="preserve"> </w:t>
      </w:r>
      <w:r w:rsidR="00A46E16" w:rsidRPr="001A46FC">
        <w:rPr>
          <w:rFonts w:ascii="Times New Roman" w:hAnsi="Times New Roman" w:cs="Times New Roman"/>
          <w:lang w:val="pl-PL"/>
        </w:rPr>
        <w:t>przedmiotowej sprawie</w:t>
      </w:r>
      <w:r w:rsidRPr="001A46FC">
        <w:rPr>
          <w:rFonts w:ascii="Times New Roman" w:hAnsi="Times New Roman" w:cs="Times New Roman"/>
          <w:lang w:val="pl-PL"/>
        </w:rPr>
        <w:t xml:space="preserve">. Jako </w:t>
      </w:r>
      <w:r w:rsidR="00A46E16" w:rsidRPr="001A46FC">
        <w:rPr>
          <w:rFonts w:ascii="Times New Roman" w:hAnsi="Times New Roman" w:cs="Times New Roman"/>
          <w:lang w:val="pl-PL"/>
        </w:rPr>
        <w:t>że wydawca</w:t>
      </w:r>
      <w:r w:rsidRPr="001A46FC">
        <w:rPr>
          <w:rFonts w:ascii="Times New Roman" w:hAnsi="Times New Roman" w:cs="Times New Roman"/>
          <w:lang w:val="pl-PL"/>
        </w:rPr>
        <w:t xml:space="preserve"> usunął oszczercz</w:t>
      </w:r>
      <w:r w:rsidR="003F5817" w:rsidRPr="001A46FC">
        <w:rPr>
          <w:rFonts w:ascii="Times New Roman" w:hAnsi="Times New Roman" w:cs="Times New Roman"/>
          <w:lang w:val="pl-PL"/>
        </w:rPr>
        <w:t>e komentarze</w:t>
      </w:r>
      <w:r w:rsidRPr="001A46FC">
        <w:rPr>
          <w:rFonts w:ascii="Times New Roman" w:hAnsi="Times New Roman" w:cs="Times New Roman"/>
          <w:lang w:val="pl-PL"/>
        </w:rPr>
        <w:t xml:space="preserve"> </w:t>
      </w:r>
      <w:r w:rsidR="00A46E16" w:rsidRPr="001A46FC">
        <w:rPr>
          <w:rFonts w:ascii="Times New Roman" w:hAnsi="Times New Roman" w:cs="Times New Roman"/>
          <w:lang w:val="pl-PL"/>
        </w:rPr>
        <w:t>zanim</w:t>
      </w:r>
      <w:r w:rsidRPr="001A46FC">
        <w:rPr>
          <w:rFonts w:ascii="Times New Roman" w:hAnsi="Times New Roman" w:cs="Times New Roman"/>
          <w:lang w:val="pl-PL"/>
        </w:rPr>
        <w:t xml:space="preserve"> </w:t>
      </w:r>
      <w:r w:rsidR="00A46E16" w:rsidRPr="001A46FC">
        <w:rPr>
          <w:rFonts w:ascii="Times New Roman" w:hAnsi="Times New Roman" w:cs="Times New Roman"/>
          <w:lang w:val="pl-PL"/>
        </w:rPr>
        <w:t>wyrok został wydany</w:t>
      </w:r>
      <w:r w:rsidRPr="001A46FC">
        <w:rPr>
          <w:rFonts w:ascii="Times New Roman" w:hAnsi="Times New Roman" w:cs="Times New Roman"/>
          <w:lang w:val="pl-PL"/>
        </w:rPr>
        <w:t xml:space="preserve">, </w:t>
      </w:r>
      <w:r w:rsidR="00A46E16" w:rsidRPr="001A46FC">
        <w:rPr>
          <w:rFonts w:ascii="Times New Roman" w:hAnsi="Times New Roman" w:cs="Times New Roman"/>
          <w:lang w:val="pl-PL"/>
        </w:rPr>
        <w:t>decyzja odnosząca się do tej kwestii nie zapadła</w:t>
      </w:r>
      <w:r w:rsidR="00B1021A">
        <w:rPr>
          <w:rFonts w:ascii="Times New Roman" w:hAnsi="Times New Roman" w:cs="Times New Roman"/>
          <w:lang w:val="pl-PL"/>
        </w:rPr>
        <w:t>.</w:t>
      </w:r>
      <w:r w:rsidRPr="001A46FC">
        <w:rPr>
          <w:rFonts w:ascii="Times New Roman" w:hAnsi="Times New Roman" w:cs="Times New Roman"/>
          <w:lang w:val="pl-PL"/>
        </w:rPr>
        <w:t xml:space="preserve"> Roszczenie powoda z tytułu szkody niemajątkowej został</w:t>
      </w:r>
      <w:r w:rsidR="003F5817" w:rsidRPr="001A46FC">
        <w:rPr>
          <w:rFonts w:ascii="Times New Roman" w:hAnsi="Times New Roman" w:cs="Times New Roman"/>
          <w:lang w:val="pl-PL"/>
        </w:rPr>
        <w:t xml:space="preserve">o </w:t>
      </w:r>
      <w:r w:rsidR="00A46E16" w:rsidRPr="001A46FC">
        <w:rPr>
          <w:rFonts w:ascii="Times New Roman" w:hAnsi="Times New Roman" w:cs="Times New Roman"/>
          <w:lang w:val="pl-PL"/>
        </w:rPr>
        <w:t>oddalone</w:t>
      </w:r>
      <w:r w:rsidRPr="001A46FC">
        <w:rPr>
          <w:rFonts w:ascii="Times New Roman" w:hAnsi="Times New Roman" w:cs="Times New Roman"/>
          <w:lang w:val="pl-PL"/>
        </w:rPr>
        <w:t>. Podobny wyrok został wydany przez Sąd Apelacyjny w Tallinie dnia 27 czerwca 2013 roku (</w:t>
      </w:r>
      <w:r w:rsidR="003F5817" w:rsidRPr="001A46FC">
        <w:rPr>
          <w:rFonts w:ascii="Times New Roman" w:hAnsi="Times New Roman" w:cs="Times New Roman"/>
          <w:lang w:val="pl-PL"/>
        </w:rPr>
        <w:t>sprawa nr</w:t>
      </w:r>
      <w:r w:rsidRPr="001A46FC">
        <w:rPr>
          <w:rFonts w:ascii="Times New Roman" w:hAnsi="Times New Roman" w:cs="Times New Roman"/>
          <w:lang w:val="pl-PL"/>
        </w:rPr>
        <w:t xml:space="preserve"> 2-10-46710). W tym prz</w:t>
      </w:r>
      <w:r w:rsidR="00A46E16" w:rsidRPr="001A46FC">
        <w:rPr>
          <w:rFonts w:ascii="Times New Roman" w:hAnsi="Times New Roman" w:cs="Times New Roman"/>
          <w:lang w:val="pl-PL"/>
        </w:rPr>
        <w:t xml:space="preserve">ypadku </w:t>
      </w:r>
      <w:r w:rsidR="003F5817" w:rsidRPr="001A46FC">
        <w:rPr>
          <w:rFonts w:ascii="Times New Roman" w:hAnsi="Times New Roman" w:cs="Times New Roman"/>
          <w:lang w:val="pl-PL"/>
        </w:rPr>
        <w:t>internetowy</w:t>
      </w:r>
      <w:r w:rsidRPr="001A46FC">
        <w:rPr>
          <w:rFonts w:ascii="Times New Roman" w:hAnsi="Times New Roman" w:cs="Times New Roman"/>
          <w:lang w:val="pl-PL"/>
        </w:rPr>
        <w:t xml:space="preserve"> </w:t>
      </w:r>
      <w:r w:rsidR="003F5817" w:rsidRPr="001A46FC">
        <w:rPr>
          <w:rFonts w:ascii="Times New Roman" w:hAnsi="Times New Roman" w:cs="Times New Roman"/>
          <w:lang w:val="pl-PL"/>
        </w:rPr>
        <w:t xml:space="preserve">portal informacyjny </w:t>
      </w:r>
      <w:r w:rsidR="00A46E16" w:rsidRPr="001A46FC">
        <w:rPr>
          <w:rFonts w:ascii="Times New Roman" w:hAnsi="Times New Roman" w:cs="Times New Roman"/>
          <w:lang w:val="pl-PL"/>
        </w:rPr>
        <w:t xml:space="preserve">również </w:t>
      </w:r>
      <w:r w:rsidRPr="001A46FC">
        <w:rPr>
          <w:rFonts w:ascii="Times New Roman" w:hAnsi="Times New Roman" w:cs="Times New Roman"/>
          <w:lang w:val="pl-PL"/>
        </w:rPr>
        <w:t>został pociągnięty do odpowiedzialności za oszczercze komentarze opublikow</w:t>
      </w:r>
      <w:r w:rsidR="003F5817" w:rsidRPr="001A46FC">
        <w:rPr>
          <w:rFonts w:ascii="Times New Roman" w:hAnsi="Times New Roman" w:cs="Times New Roman"/>
          <w:lang w:val="pl-PL"/>
        </w:rPr>
        <w:t>ane przez czytelników</w:t>
      </w:r>
      <w:r w:rsidR="009F1D05">
        <w:rPr>
          <w:rFonts w:ascii="Times New Roman" w:hAnsi="Times New Roman" w:cs="Times New Roman"/>
          <w:lang w:val="pl-PL"/>
        </w:rPr>
        <w:t>,</w:t>
      </w:r>
      <w:r w:rsidR="003F5817" w:rsidRPr="001A46FC">
        <w:rPr>
          <w:rFonts w:ascii="Times New Roman" w:hAnsi="Times New Roman" w:cs="Times New Roman"/>
          <w:lang w:val="pl-PL"/>
        </w:rPr>
        <w:t xml:space="preserve"> a roszczenie</w:t>
      </w:r>
      <w:r w:rsidRPr="001A46FC">
        <w:rPr>
          <w:rFonts w:ascii="Times New Roman" w:hAnsi="Times New Roman" w:cs="Times New Roman"/>
          <w:lang w:val="pl-PL"/>
        </w:rPr>
        <w:t xml:space="preserve"> powoda z tytułu szkody niemajątkowej</w:t>
      </w:r>
      <w:r w:rsidR="007F396A" w:rsidRPr="001A46FC">
        <w:rPr>
          <w:rFonts w:ascii="Times New Roman" w:hAnsi="Times New Roman" w:cs="Times New Roman"/>
          <w:lang w:val="pl-PL"/>
        </w:rPr>
        <w:t>,</w:t>
      </w:r>
      <w:r w:rsidRPr="001A46FC">
        <w:rPr>
          <w:rFonts w:ascii="Times New Roman" w:hAnsi="Times New Roman" w:cs="Times New Roman"/>
          <w:lang w:val="pl-PL"/>
        </w:rPr>
        <w:t xml:space="preserve"> został</w:t>
      </w:r>
      <w:r w:rsidR="00A46E16" w:rsidRPr="001A46FC">
        <w:rPr>
          <w:rFonts w:ascii="Times New Roman" w:hAnsi="Times New Roman" w:cs="Times New Roman"/>
          <w:lang w:val="pl-PL"/>
        </w:rPr>
        <w:t>o oddalone</w:t>
      </w:r>
      <w:r w:rsidRPr="001A46FC">
        <w:rPr>
          <w:rFonts w:ascii="Times New Roman" w:hAnsi="Times New Roman" w:cs="Times New Roman"/>
          <w:lang w:val="pl-PL"/>
        </w:rPr>
        <w:t>.</w:t>
      </w:r>
    </w:p>
    <w:p w:rsidR="00A220C6" w:rsidRPr="00C847A3" w:rsidRDefault="00A220C6" w:rsidP="00171A6F">
      <w:pPr>
        <w:pStyle w:val="ECHRHeading1"/>
        <w:spacing w:before="480" w:after="120"/>
        <w:rPr>
          <w:rFonts w:ascii="Times New Roman" w:hAnsi="Times New Roman" w:cs="Times New Roman"/>
          <w:lang w:val="pl-PL"/>
        </w:rPr>
      </w:pPr>
      <w:bookmarkStart w:id="7" w:name="_Toc420072858"/>
      <w:r w:rsidRPr="00C847A3">
        <w:rPr>
          <w:rFonts w:ascii="Times New Roman" w:hAnsi="Times New Roman" w:cs="Times New Roman"/>
          <w:lang w:val="pl-PL"/>
        </w:rPr>
        <w:lastRenderedPageBreak/>
        <w:t>III.  </w:t>
      </w:r>
      <w:bookmarkEnd w:id="7"/>
      <w:r w:rsidR="00A46E16" w:rsidRPr="00C847A3">
        <w:rPr>
          <w:rFonts w:ascii="Times New Roman" w:hAnsi="Times New Roman" w:cs="Times New Roman"/>
          <w:lang w:val="pl-PL"/>
        </w:rPr>
        <w:t>WŁAŚCIWE</w:t>
      </w:r>
      <w:r w:rsidR="003F5817" w:rsidRPr="00C847A3">
        <w:rPr>
          <w:rFonts w:ascii="Times New Roman" w:hAnsi="Times New Roman" w:cs="Times New Roman"/>
          <w:lang w:val="pl-PL"/>
        </w:rPr>
        <w:t xml:space="preserve"> DOKUMENTY MIĘDZYNARODOWE</w:t>
      </w:r>
    </w:p>
    <w:p w:rsidR="00A220C6" w:rsidRPr="00B45853" w:rsidRDefault="00A220C6" w:rsidP="00171A6F">
      <w:pPr>
        <w:pStyle w:val="ECHRHeading2"/>
        <w:rPr>
          <w:rFonts w:ascii="Times New Roman" w:hAnsi="Times New Roman" w:cs="Times New Roman"/>
          <w:lang w:val="pl-PL"/>
        </w:rPr>
      </w:pPr>
      <w:bookmarkStart w:id="8" w:name="_Toc420072859"/>
      <w:r w:rsidRPr="00C847A3">
        <w:rPr>
          <w:rFonts w:ascii="Times New Roman" w:hAnsi="Times New Roman" w:cs="Times New Roman"/>
          <w:lang w:val="pl-PL"/>
        </w:rPr>
        <w:t>A.  </w:t>
      </w:r>
      <w:bookmarkEnd w:id="8"/>
      <w:r w:rsidR="003F5817" w:rsidRPr="00B45853">
        <w:rPr>
          <w:rFonts w:ascii="Times New Roman" w:hAnsi="Times New Roman" w:cs="Times New Roman"/>
          <w:lang w:val="pl-PL"/>
        </w:rPr>
        <w:t>Dokumenty Rady Europy</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44</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F5817" w:rsidRPr="00B45853">
        <w:rPr>
          <w:rFonts w:ascii="Times New Roman" w:hAnsi="Times New Roman" w:cs="Times New Roman"/>
          <w:lang w:val="pl-PL"/>
        </w:rPr>
        <w:t>W dniu 28 maja 2003 roku, podczas 840-tego</w:t>
      </w:r>
      <w:r w:rsidR="00067E4E" w:rsidRPr="00B45853">
        <w:rPr>
          <w:rFonts w:ascii="Times New Roman" w:hAnsi="Times New Roman" w:cs="Times New Roman"/>
          <w:lang w:val="pl-PL"/>
        </w:rPr>
        <w:t xml:space="preserve"> spotkania wiceministrów,</w:t>
      </w:r>
      <w:r w:rsidR="003F5817" w:rsidRPr="00B45853">
        <w:rPr>
          <w:rFonts w:ascii="Times New Roman" w:hAnsi="Times New Roman" w:cs="Times New Roman"/>
          <w:lang w:val="pl-PL"/>
        </w:rPr>
        <w:t xml:space="preserve"> Komitet Ministrów </w:t>
      </w:r>
      <w:r w:rsidR="002F0DF3">
        <w:rPr>
          <w:rFonts w:ascii="Times New Roman" w:hAnsi="Times New Roman" w:cs="Times New Roman"/>
          <w:lang w:val="pl-PL"/>
        </w:rPr>
        <w:t>Rady Europy przyjął Deklarację w sprawie wolności</w:t>
      </w:r>
      <w:r w:rsidR="003F5817" w:rsidRPr="00B45853">
        <w:rPr>
          <w:rFonts w:ascii="Times New Roman" w:hAnsi="Times New Roman" w:cs="Times New Roman"/>
          <w:lang w:val="pl-PL"/>
        </w:rPr>
        <w:t xml:space="preserve"> komunikacji w Internecie. Odpowiednie części Deklaracji brzmi</w:t>
      </w:r>
      <w:r w:rsidR="00067E4E" w:rsidRPr="00B45853">
        <w:rPr>
          <w:rFonts w:ascii="Times New Roman" w:hAnsi="Times New Roman" w:cs="Times New Roman"/>
          <w:lang w:val="pl-PL"/>
        </w:rPr>
        <w:t>ą</w:t>
      </w:r>
      <w:r w:rsidR="003F5817" w:rsidRPr="00B45853">
        <w:rPr>
          <w:rFonts w:ascii="Times New Roman" w:hAnsi="Times New Roman" w:cs="Times New Roman"/>
          <w:lang w:val="pl-PL"/>
        </w:rPr>
        <w:t xml:space="preserve"> następująco</w:t>
      </w:r>
      <w:r w:rsidR="00A220C6" w:rsidRPr="00B45853">
        <w:rPr>
          <w:rFonts w:ascii="Times New Roman" w:hAnsi="Times New Roman" w:cs="Times New Roman"/>
          <w:lang w:val="pl-PL"/>
        </w:rPr>
        <w:t>:</w:t>
      </w:r>
    </w:p>
    <w:p w:rsidR="00B413BF"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067E4E" w:rsidRPr="00B45853">
        <w:rPr>
          <w:rFonts w:ascii="Times New Roman" w:hAnsi="Times New Roman" w:cs="Times New Roman"/>
          <w:lang w:val="pl-PL"/>
        </w:rPr>
        <w:t>Państwa członkowskie Rady Europy</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Przekonane, że koniecznym jest ograniczenie odpowiedzialnośc</w:t>
      </w:r>
      <w:r w:rsidR="00C7090A">
        <w:rPr>
          <w:rFonts w:ascii="Times New Roman" w:hAnsi="Times New Roman" w:cs="Times New Roman"/>
          <w:lang w:val="pl-PL"/>
        </w:rPr>
        <w:t>i usługodawców, gdy działają oni</w:t>
      </w:r>
      <w:r w:rsidRPr="00B45853">
        <w:rPr>
          <w:rFonts w:ascii="Times New Roman" w:hAnsi="Times New Roman" w:cs="Times New Roman"/>
          <w:lang w:val="pl-PL"/>
        </w:rPr>
        <w:t xml:space="preserve"> jedynie jako nadajniki, lub gdy w dobrej wierze, za</w:t>
      </w:r>
      <w:r w:rsidR="00A83F10">
        <w:rPr>
          <w:rFonts w:ascii="Times New Roman" w:hAnsi="Times New Roman" w:cs="Times New Roman"/>
          <w:lang w:val="pl-PL"/>
        </w:rPr>
        <w:t xml:space="preserve">pewniają dostęp do, lub </w:t>
      </w:r>
      <w:proofErr w:type="spellStart"/>
      <w:r w:rsidR="00A83F10">
        <w:rPr>
          <w:rFonts w:ascii="Times New Roman" w:hAnsi="Times New Roman" w:cs="Times New Roman"/>
          <w:lang w:val="pl-PL"/>
        </w:rPr>
        <w:t>hostują</w:t>
      </w:r>
      <w:proofErr w:type="spellEnd"/>
      <w:r w:rsidR="00A83F10">
        <w:rPr>
          <w:rFonts w:ascii="Times New Roman" w:hAnsi="Times New Roman" w:cs="Times New Roman"/>
          <w:lang w:val="pl-PL"/>
        </w:rPr>
        <w:t>,</w:t>
      </w:r>
      <w:r w:rsidRPr="00B45853">
        <w:rPr>
          <w:rFonts w:ascii="Times New Roman" w:hAnsi="Times New Roman" w:cs="Times New Roman"/>
          <w:lang w:val="pl-PL"/>
        </w:rPr>
        <w:t xml:space="preserve"> zawartość od stron trzecich</w:t>
      </w:r>
      <w:r w:rsidR="00A220C6" w:rsidRPr="00B45853">
        <w:rPr>
          <w:rFonts w:ascii="Times New Roman" w:hAnsi="Times New Roman" w:cs="Times New Roman"/>
          <w:lang w:val="pl-PL"/>
        </w:rPr>
        <w:t>;</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Przywołując w tym względzie dyrektywy Parlamentu Europejskiego 2000/31/WE z dnia 8 czerwca 2000 roku w sprawie niektórych aspektów prawnych usług społeczeństwa informacyjnego, w szczególności handlu elektronicznego w ramach rynku wewnętrznego (Dyrektywa o handlu elektronicznym)</w:t>
      </w:r>
      <w:r w:rsidR="00A220C6" w:rsidRPr="00B45853">
        <w:rPr>
          <w:rFonts w:ascii="Times New Roman" w:hAnsi="Times New Roman" w:cs="Times New Roman"/>
          <w:lang w:val="pl-PL"/>
        </w:rPr>
        <w:t>;</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Podkreślając, że swoboda komunikacji w Internecie nie powinna naruszać godności ludzkiej, praw człowieka i podstawowych wolności innych, zwłaszcza nieletnich</w:t>
      </w:r>
      <w:r w:rsidR="00A220C6" w:rsidRPr="00B45853">
        <w:rPr>
          <w:rFonts w:ascii="Times New Roman" w:hAnsi="Times New Roman" w:cs="Times New Roman"/>
          <w:lang w:val="pl-PL"/>
        </w:rPr>
        <w:t>;</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Biorąc pod uwagę, że równowaga musi znaleźć się między poszanowaniem woli uży</w:t>
      </w:r>
      <w:r w:rsidR="007F396A" w:rsidRPr="00B45853">
        <w:rPr>
          <w:rFonts w:ascii="Times New Roman" w:hAnsi="Times New Roman" w:cs="Times New Roman"/>
          <w:lang w:val="pl-PL"/>
        </w:rPr>
        <w:t>tkowników Internetu nie</w:t>
      </w:r>
      <w:r w:rsidRPr="00B45853">
        <w:rPr>
          <w:rFonts w:ascii="Times New Roman" w:hAnsi="Times New Roman" w:cs="Times New Roman"/>
          <w:lang w:val="pl-PL"/>
        </w:rPr>
        <w:t>ujawniających swojej tożsamości i potrzeby organów ścigania w celu śledzenia osób odpowiedzialnych za czyny przestępcze</w:t>
      </w:r>
      <w:r w:rsidR="00A220C6" w:rsidRPr="00B45853">
        <w:rPr>
          <w:rFonts w:ascii="Times New Roman" w:hAnsi="Times New Roman" w:cs="Times New Roman"/>
          <w:lang w:val="pl-PL"/>
        </w:rPr>
        <w:t>;</w:t>
      </w:r>
    </w:p>
    <w:p w:rsidR="00A220C6" w:rsidRPr="00B45853" w:rsidRDefault="0002336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Deklarują, że starają się przestrzegać następujących zasad w dziedzinie komunikacji w Internecie</w:t>
      </w:r>
      <w:r w:rsidR="00A220C6" w:rsidRPr="00B45853">
        <w:rPr>
          <w:rFonts w:ascii="Times New Roman" w:hAnsi="Times New Roman" w:cs="Times New Roman"/>
          <w:lang w:val="pl-PL"/>
        </w:rPr>
        <w:t>:</w:t>
      </w:r>
    </w:p>
    <w:p w:rsidR="00A220C6" w:rsidRPr="00B45853" w:rsidRDefault="00067E4E" w:rsidP="00171A6F">
      <w:pPr>
        <w:pStyle w:val="ECHRTitleCentre3"/>
        <w:rPr>
          <w:rFonts w:ascii="Times New Roman" w:hAnsi="Times New Roman" w:cs="Times New Roman"/>
          <w:lang w:val="pl-PL"/>
        </w:rPr>
      </w:pPr>
      <w:r w:rsidRPr="00B45853">
        <w:rPr>
          <w:rFonts w:ascii="Times New Roman" w:hAnsi="Times New Roman" w:cs="Times New Roman"/>
          <w:lang w:val="pl-PL"/>
        </w:rPr>
        <w:t>Zasada</w:t>
      </w:r>
      <w:r w:rsidR="00A220C6" w:rsidRPr="00B45853">
        <w:rPr>
          <w:rFonts w:ascii="Times New Roman" w:hAnsi="Times New Roman" w:cs="Times New Roman"/>
          <w:lang w:val="pl-PL"/>
        </w:rPr>
        <w:t xml:space="preserve"> 1: </w:t>
      </w:r>
      <w:r w:rsidRPr="00B45853">
        <w:rPr>
          <w:rFonts w:ascii="Times New Roman" w:hAnsi="Times New Roman" w:cs="Times New Roman"/>
          <w:lang w:val="pl-PL"/>
        </w:rPr>
        <w:t>Reguły treści w Internecie</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Państwa członkowskie nie powinny podporządkowywać treści w Internecie ograniczeniom, które idą dalej niż te, które stosuje się do innych sposobów dostarczania treści.</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B45853" w:rsidRDefault="00067E4E" w:rsidP="00171A6F">
      <w:pPr>
        <w:pStyle w:val="ECHRTitleCentre3"/>
        <w:rPr>
          <w:rFonts w:ascii="Times New Roman" w:hAnsi="Times New Roman" w:cs="Times New Roman"/>
          <w:lang w:val="pl-PL"/>
        </w:rPr>
      </w:pPr>
      <w:r w:rsidRPr="00B45853">
        <w:rPr>
          <w:rFonts w:ascii="Times New Roman" w:hAnsi="Times New Roman" w:cs="Times New Roman"/>
          <w:lang w:val="pl-PL"/>
        </w:rPr>
        <w:t>Zasada</w:t>
      </w:r>
      <w:r w:rsidR="00A220C6" w:rsidRPr="00B45853">
        <w:rPr>
          <w:rFonts w:ascii="Times New Roman" w:hAnsi="Times New Roman" w:cs="Times New Roman"/>
          <w:lang w:val="pl-PL"/>
        </w:rPr>
        <w:t xml:space="preserve"> 3: </w:t>
      </w:r>
      <w:r w:rsidRPr="00B45853">
        <w:rPr>
          <w:rFonts w:ascii="Times New Roman" w:hAnsi="Times New Roman" w:cs="Times New Roman"/>
          <w:lang w:val="pl-PL"/>
        </w:rPr>
        <w:t>Brak uprzedniej kontroli państwowej</w:t>
      </w:r>
    </w:p>
    <w:p w:rsidR="00A220C6" w:rsidRPr="00B45853" w:rsidRDefault="00067E4E" w:rsidP="00171A6F">
      <w:pPr>
        <w:pStyle w:val="ECHRParaQuote"/>
        <w:rPr>
          <w:rFonts w:ascii="Times New Roman" w:hAnsi="Times New Roman" w:cs="Times New Roman"/>
          <w:lang w:val="pl-PL"/>
        </w:rPr>
      </w:pPr>
      <w:r w:rsidRPr="00B45853">
        <w:rPr>
          <w:rFonts w:ascii="Times New Roman" w:hAnsi="Times New Roman" w:cs="Times New Roman"/>
          <w:lang w:val="pl-PL"/>
        </w:rPr>
        <w:t xml:space="preserve">Władze publiczne nie powinny w drodze ogólnych środków blokowania lub filtrowania, odmawiać dostępu do informacji publicznej i innej komunikacji w Internecie, bez względu na granice państwowe. </w:t>
      </w:r>
      <w:r w:rsidR="007757EE" w:rsidRPr="00B45853">
        <w:rPr>
          <w:rFonts w:ascii="Times New Roman" w:hAnsi="Times New Roman" w:cs="Times New Roman"/>
          <w:lang w:val="pl-PL"/>
        </w:rPr>
        <w:t>To nie uniemożliwia instalacji</w:t>
      </w:r>
      <w:r w:rsidRPr="00B45853">
        <w:rPr>
          <w:rFonts w:ascii="Times New Roman" w:hAnsi="Times New Roman" w:cs="Times New Roman"/>
          <w:lang w:val="pl-PL"/>
        </w:rPr>
        <w:t xml:space="preserve"> filtrów w celu ochrony małoletnich, w szczególności w miejscach dostępnych dla nich, takich jak szkoły czy biblioteki</w:t>
      </w:r>
      <w:r w:rsidR="00A220C6" w:rsidRPr="00B45853">
        <w:rPr>
          <w:rFonts w:ascii="Times New Roman" w:hAnsi="Times New Roman" w:cs="Times New Roman"/>
          <w:lang w:val="pl-PL"/>
        </w:rPr>
        <w:t>.</w:t>
      </w:r>
    </w:p>
    <w:p w:rsidR="00A220C6" w:rsidRPr="00B45853" w:rsidRDefault="007757EE" w:rsidP="00171A6F">
      <w:pPr>
        <w:pStyle w:val="ECHRParaQuote"/>
        <w:rPr>
          <w:rFonts w:ascii="Times New Roman" w:hAnsi="Times New Roman" w:cs="Times New Roman"/>
          <w:lang w:val="pl-PL"/>
        </w:rPr>
      </w:pPr>
      <w:r w:rsidRPr="00B45853">
        <w:rPr>
          <w:rFonts w:ascii="Times New Roman" w:hAnsi="Times New Roman" w:cs="Times New Roman"/>
          <w:lang w:val="pl-PL"/>
        </w:rPr>
        <w:t>Pod warunkiem</w:t>
      </w:r>
      <w:r w:rsidR="007F396A" w:rsidRPr="00B45853">
        <w:rPr>
          <w:rFonts w:ascii="Times New Roman" w:hAnsi="Times New Roman" w:cs="Times New Roman"/>
          <w:lang w:val="pl-PL"/>
        </w:rPr>
        <w:t>,</w:t>
      </w:r>
      <w:r w:rsidRPr="00B45853">
        <w:rPr>
          <w:rFonts w:ascii="Times New Roman" w:hAnsi="Times New Roman" w:cs="Times New Roman"/>
          <w:lang w:val="pl-PL"/>
        </w:rPr>
        <w:t xml:space="preserve"> że zabezpieczenia Artykułu 10 paragraf 2 Konwencji o Ochronie Praw Człowieka i Podstawowych Wolności są przestrzegane, mogą zostać podjęte środki w celu wyegzekwowania usunięcia jasno określonych treści w Internecie, lub alternatywnie, zablokowania dostępu do nich, jeżeli właściwe władze krajowe podjęły tymczasową lub ostateczną decyzję o ich niezgodności z prawem.</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B45853" w:rsidRDefault="007757EE" w:rsidP="00171A6F">
      <w:pPr>
        <w:pStyle w:val="ECHRTitleCentre3"/>
        <w:rPr>
          <w:rFonts w:ascii="Times New Roman" w:hAnsi="Times New Roman" w:cs="Times New Roman"/>
          <w:lang w:val="pl-PL"/>
        </w:rPr>
      </w:pPr>
      <w:r w:rsidRPr="00B45853">
        <w:rPr>
          <w:rFonts w:ascii="Times New Roman" w:hAnsi="Times New Roman" w:cs="Times New Roman"/>
          <w:lang w:val="pl-PL"/>
        </w:rPr>
        <w:lastRenderedPageBreak/>
        <w:t>Zasada</w:t>
      </w:r>
      <w:r w:rsidR="00A220C6" w:rsidRPr="00B45853">
        <w:rPr>
          <w:rFonts w:ascii="Times New Roman" w:hAnsi="Times New Roman" w:cs="Times New Roman"/>
          <w:lang w:val="pl-PL"/>
        </w:rPr>
        <w:t xml:space="preserve"> 6: </w:t>
      </w:r>
      <w:r w:rsidRPr="00B45853">
        <w:rPr>
          <w:rFonts w:ascii="Times New Roman" w:hAnsi="Times New Roman" w:cs="Times New Roman"/>
          <w:lang w:val="pl-PL"/>
        </w:rPr>
        <w:t>Ograniczona odpowiedzialność dostawców usług za treści w Internecie</w:t>
      </w:r>
    </w:p>
    <w:p w:rsidR="00A220C6" w:rsidRPr="00B45853" w:rsidRDefault="007757EE" w:rsidP="00171A6F">
      <w:pPr>
        <w:pStyle w:val="ECHRParaQuote"/>
        <w:rPr>
          <w:rFonts w:ascii="Times New Roman" w:hAnsi="Times New Roman" w:cs="Times New Roman"/>
          <w:lang w:val="pl-PL"/>
        </w:rPr>
      </w:pPr>
      <w:r w:rsidRPr="00B45853">
        <w:rPr>
          <w:rFonts w:ascii="Times New Roman" w:hAnsi="Times New Roman" w:cs="Times New Roman"/>
          <w:lang w:val="pl-PL"/>
        </w:rPr>
        <w:t>Państwa członkowskie nie powinny nakładać na usługodawców ogólnego obowiązku monitorowania treści w Internecie, do których dają one dostęp, które przekazują lub przechowują, ani też aktywnego poszukiwania faktów i okoliczności wskazujących na bezprawną działalność.</w:t>
      </w:r>
    </w:p>
    <w:p w:rsidR="00A220C6" w:rsidRPr="00B45853" w:rsidRDefault="007757EE" w:rsidP="00171A6F">
      <w:pPr>
        <w:pStyle w:val="ECHRParaQuote"/>
        <w:rPr>
          <w:rFonts w:ascii="Times New Roman" w:hAnsi="Times New Roman" w:cs="Times New Roman"/>
          <w:lang w:val="pl-PL"/>
        </w:rPr>
      </w:pPr>
      <w:r w:rsidRPr="00B45853">
        <w:rPr>
          <w:rFonts w:ascii="Times New Roman" w:hAnsi="Times New Roman" w:cs="Times New Roman"/>
          <w:lang w:val="pl-PL"/>
        </w:rPr>
        <w:t>Państwa członkowskie powinny dopilnować, aby operatorzy nie ponosili odpowiedzialności za treści w Internecie, gdy ich działanie jest ograniczone, zgodnie z prawem krajowym, do przekazywania informacji lub zapewniania dostępu do Internetu.</w:t>
      </w:r>
    </w:p>
    <w:p w:rsidR="00A220C6" w:rsidRPr="00B45853" w:rsidRDefault="007757EE" w:rsidP="00171A6F">
      <w:pPr>
        <w:pStyle w:val="ECHRParaQuote"/>
        <w:rPr>
          <w:rFonts w:ascii="Times New Roman" w:hAnsi="Times New Roman" w:cs="Times New Roman"/>
          <w:lang w:val="pl-PL"/>
        </w:rPr>
      </w:pPr>
      <w:r w:rsidRPr="00B45853">
        <w:rPr>
          <w:rFonts w:ascii="Times New Roman" w:hAnsi="Times New Roman" w:cs="Times New Roman"/>
          <w:lang w:val="pl-PL"/>
        </w:rPr>
        <w:t>W przypadkach, w których funkcje usługodawców są</w:t>
      </w:r>
      <w:r w:rsidR="00911A06" w:rsidRPr="00B45853">
        <w:rPr>
          <w:rFonts w:ascii="Times New Roman" w:hAnsi="Times New Roman" w:cs="Times New Roman"/>
          <w:lang w:val="pl-PL"/>
        </w:rPr>
        <w:t xml:space="preserve"> szersze a przechowywanie treści</w:t>
      </w:r>
      <w:r w:rsidR="007F396A" w:rsidRPr="00B45853">
        <w:rPr>
          <w:rFonts w:ascii="Times New Roman" w:hAnsi="Times New Roman" w:cs="Times New Roman"/>
          <w:lang w:val="pl-PL"/>
        </w:rPr>
        <w:t>,</w:t>
      </w:r>
      <w:r w:rsidR="00911A06" w:rsidRPr="00B45853">
        <w:rPr>
          <w:rFonts w:ascii="Times New Roman" w:hAnsi="Times New Roman" w:cs="Times New Roman"/>
          <w:lang w:val="pl-PL"/>
        </w:rPr>
        <w:t xml:space="preserve"> pochodzi z</w:t>
      </w:r>
      <w:r w:rsidRPr="00B45853">
        <w:rPr>
          <w:rFonts w:ascii="Times New Roman" w:hAnsi="Times New Roman" w:cs="Times New Roman"/>
          <w:lang w:val="pl-PL"/>
        </w:rPr>
        <w:t xml:space="preserve"> innych stron, państwa członkowskie mogą nakł</w:t>
      </w:r>
      <w:r w:rsidR="00911A06" w:rsidRPr="00B45853">
        <w:rPr>
          <w:rFonts w:ascii="Times New Roman" w:hAnsi="Times New Roman" w:cs="Times New Roman"/>
          <w:lang w:val="pl-PL"/>
        </w:rPr>
        <w:t>adać na nich współodpowiedzialność,</w:t>
      </w:r>
      <w:r w:rsidRPr="00B45853">
        <w:rPr>
          <w:rFonts w:ascii="Times New Roman" w:hAnsi="Times New Roman" w:cs="Times New Roman"/>
          <w:lang w:val="pl-PL"/>
        </w:rPr>
        <w:t xml:space="preserve"> jeśli nie będą działać sprawnie w celu usunięcia lub uniemożliwienia dostępu do informacji</w:t>
      </w:r>
      <w:r w:rsidR="007F396A" w:rsidRPr="00B45853">
        <w:rPr>
          <w:rFonts w:ascii="Times New Roman" w:hAnsi="Times New Roman" w:cs="Times New Roman"/>
          <w:lang w:val="pl-PL"/>
        </w:rPr>
        <w:t>,</w:t>
      </w:r>
      <w:r w:rsidRPr="00B45853">
        <w:rPr>
          <w:rFonts w:ascii="Times New Roman" w:hAnsi="Times New Roman" w:cs="Times New Roman"/>
          <w:lang w:val="pl-PL"/>
        </w:rPr>
        <w:t xml:space="preserve"> lub usług, jak tylko </w:t>
      </w:r>
      <w:r w:rsidR="00911A06" w:rsidRPr="00B45853">
        <w:rPr>
          <w:rFonts w:ascii="Times New Roman" w:hAnsi="Times New Roman" w:cs="Times New Roman"/>
          <w:lang w:val="pl-PL"/>
        </w:rPr>
        <w:t>stanie się świadomy</w:t>
      </w:r>
      <w:r w:rsidRPr="00B45853">
        <w:rPr>
          <w:rFonts w:ascii="Times New Roman" w:hAnsi="Times New Roman" w:cs="Times New Roman"/>
          <w:lang w:val="pl-PL"/>
        </w:rPr>
        <w:t xml:space="preserve">, jak </w:t>
      </w:r>
      <w:r w:rsidR="00911A06" w:rsidRPr="00B45853">
        <w:rPr>
          <w:rFonts w:ascii="Times New Roman" w:hAnsi="Times New Roman" w:cs="Times New Roman"/>
          <w:lang w:val="pl-PL"/>
        </w:rPr>
        <w:t xml:space="preserve">jest </w:t>
      </w:r>
      <w:r w:rsidRPr="00B45853">
        <w:rPr>
          <w:rFonts w:ascii="Times New Roman" w:hAnsi="Times New Roman" w:cs="Times New Roman"/>
          <w:lang w:val="pl-PL"/>
        </w:rPr>
        <w:t>zdefiniowane prz</w:t>
      </w:r>
      <w:r w:rsidR="00911A06" w:rsidRPr="00B45853">
        <w:rPr>
          <w:rFonts w:ascii="Times New Roman" w:hAnsi="Times New Roman" w:cs="Times New Roman"/>
          <w:lang w:val="pl-PL"/>
        </w:rPr>
        <w:t>ez prawo krajowe, ich bezprawnego charakteru</w:t>
      </w:r>
      <w:r w:rsidRPr="00B45853">
        <w:rPr>
          <w:rFonts w:ascii="Times New Roman" w:hAnsi="Times New Roman" w:cs="Times New Roman"/>
          <w:lang w:val="pl-PL"/>
        </w:rPr>
        <w:t xml:space="preserve"> lub, w przypadku roszczenia o odszkodowanie, faktów lub okoliczności, które wskazują na niezgodność z prawem działalności lub informacji</w:t>
      </w:r>
      <w:r w:rsidR="00A220C6" w:rsidRPr="00B45853">
        <w:rPr>
          <w:rFonts w:ascii="Times New Roman" w:hAnsi="Times New Roman" w:cs="Times New Roman"/>
          <w:lang w:val="pl-PL"/>
        </w:rPr>
        <w:t>.</w:t>
      </w:r>
    </w:p>
    <w:p w:rsidR="00A220C6" w:rsidRPr="00B45853" w:rsidRDefault="00911A06" w:rsidP="00171A6F">
      <w:pPr>
        <w:pStyle w:val="ECHRParaQuote"/>
        <w:rPr>
          <w:rFonts w:ascii="Times New Roman" w:hAnsi="Times New Roman" w:cs="Times New Roman"/>
          <w:lang w:val="pl-PL"/>
        </w:rPr>
      </w:pPr>
      <w:r w:rsidRPr="00B45853">
        <w:rPr>
          <w:rFonts w:ascii="Times New Roman" w:hAnsi="Times New Roman" w:cs="Times New Roman"/>
          <w:lang w:val="pl-PL"/>
        </w:rPr>
        <w:t>Przy określaniu mocy prawa krajowego obowiązki dostawców usług określone w poprzednim punkcie, należy objąć należytą starannością, aby respektować wolność wypowiedzi tych, którzy czynią informacje dostępnymi w pierwszej kolejności, a także odpowiednie prawa użytkowników do informacji</w:t>
      </w:r>
      <w:r w:rsidR="00A220C6" w:rsidRPr="00B45853">
        <w:rPr>
          <w:rFonts w:ascii="Times New Roman" w:hAnsi="Times New Roman" w:cs="Times New Roman"/>
          <w:lang w:val="pl-PL"/>
        </w:rPr>
        <w:t>.</w:t>
      </w:r>
    </w:p>
    <w:p w:rsidR="00A220C6" w:rsidRPr="00B45853" w:rsidRDefault="00911A06" w:rsidP="00171A6F">
      <w:pPr>
        <w:pStyle w:val="ECHRParaQuote"/>
        <w:rPr>
          <w:rFonts w:ascii="Times New Roman" w:hAnsi="Times New Roman" w:cs="Times New Roman"/>
          <w:lang w:val="pl-PL"/>
        </w:rPr>
      </w:pPr>
      <w:r w:rsidRPr="00B45853">
        <w:rPr>
          <w:rFonts w:ascii="Times New Roman" w:hAnsi="Times New Roman" w:cs="Times New Roman"/>
          <w:lang w:val="pl-PL"/>
        </w:rPr>
        <w:t xml:space="preserve">We wszystkich przypadkach powyższe ograniczenia odpowiedzialności nie powinny mieć wpływu na możliwość wydawania nakazów, które są potrzebne </w:t>
      </w:r>
      <w:r w:rsidR="00C7090A" w:rsidRPr="001A46FC">
        <w:rPr>
          <w:rFonts w:ascii="Times New Roman" w:hAnsi="Times New Roman" w:cs="Times New Roman"/>
          <w:lang w:val="pl-PL"/>
        </w:rPr>
        <w:t>usługodawcom</w:t>
      </w:r>
      <w:r w:rsidRPr="00B45853">
        <w:rPr>
          <w:rFonts w:ascii="Times New Roman" w:hAnsi="Times New Roman" w:cs="Times New Roman"/>
          <w:lang w:val="pl-PL"/>
        </w:rPr>
        <w:t xml:space="preserve"> do wypowiedzenia lub zapobiegania, w możliwym zakresie, naruszania prawa</w:t>
      </w:r>
      <w:r w:rsidR="00A220C6" w:rsidRPr="00B45853">
        <w:rPr>
          <w:rFonts w:ascii="Times New Roman" w:hAnsi="Times New Roman" w:cs="Times New Roman"/>
          <w:lang w:val="pl-PL"/>
        </w:rPr>
        <w:t>.</w:t>
      </w:r>
    </w:p>
    <w:p w:rsidR="00A220C6" w:rsidRPr="00B45853" w:rsidRDefault="00911A06" w:rsidP="00171A6F">
      <w:pPr>
        <w:pStyle w:val="ECHRTitleCentre3"/>
        <w:rPr>
          <w:rFonts w:ascii="Times New Roman" w:hAnsi="Times New Roman" w:cs="Times New Roman"/>
          <w:lang w:val="pl-PL"/>
        </w:rPr>
      </w:pPr>
      <w:r w:rsidRPr="00B45853">
        <w:rPr>
          <w:rFonts w:ascii="Times New Roman" w:hAnsi="Times New Roman" w:cs="Times New Roman"/>
          <w:lang w:val="pl-PL"/>
        </w:rPr>
        <w:t>Zasada</w:t>
      </w:r>
      <w:r w:rsidR="00A220C6" w:rsidRPr="00B45853">
        <w:rPr>
          <w:rFonts w:ascii="Times New Roman" w:hAnsi="Times New Roman" w:cs="Times New Roman"/>
          <w:lang w:val="pl-PL"/>
        </w:rPr>
        <w:t xml:space="preserve"> 7: </w:t>
      </w:r>
      <w:r w:rsidRPr="00B45853">
        <w:rPr>
          <w:rFonts w:ascii="Times New Roman" w:hAnsi="Times New Roman" w:cs="Times New Roman"/>
          <w:lang w:val="pl-PL"/>
        </w:rPr>
        <w:t>Anonimowość</w:t>
      </w:r>
    </w:p>
    <w:p w:rsidR="00A220C6" w:rsidRPr="00B45853" w:rsidRDefault="00BB1953" w:rsidP="00171A6F">
      <w:pPr>
        <w:pStyle w:val="ECHRParaQuote"/>
        <w:rPr>
          <w:rFonts w:ascii="Times New Roman" w:hAnsi="Times New Roman" w:cs="Times New Roman"/>
          <w:lang w:val="pl-PL"/>
        </w:rPr>
      </w:pPr>
      <w:r w:rsidRPr="00B45853">
        <w:rPr>
          <w:rFonts w:ascii="Times New Roman" w:hAnsi="Times New Roman" w:cs="Times New Roman"/>
          <w:lang w:val="pl-PL"/>
        </w:rPr>
        <w:t>W celu zapewnienia ochrony przed nadzorem online i zwiększenia swobody wyrażania informacji i pomysłów, państwa członkowskie powinny respektować wolę uży</w:t>
      </w:r>
      <w:r w:rsidR="007F396A" w:rsidRPr="00B45853">
        <w:rPr>
          <w:rFonts w:ascii="Times New Roman" w:hAnsi="Times New Roman" w:cs="Times New Roman"/>
          <w:lang w:val="pl-PL"/>
        </w:rPr>
        <w:t>tkowników Internetu nie</w:t>
      </w:r>
      <w:r w:rsidRPr="00B45853">
        <w:rPr>
          <w:rFonts w:ascii="Times New Roman" w:hAnsi="Times New Roman" w:cs="Times New Roman"/>
          <w:lang w:val="pl-PL"/>
        </w:rPr>
        <w:t>ujawniających swojej tożsamości. To nie uniemożliwia państwom członkowskim podejmowania środków i współpracujących w celu śledzenia osób odpowiedzialnych za czyny przestępcze, zgodnie z prawem krajowym, Konwencji o Ochronie Praw Człowieka i Podstawowych Wolności oraz innych umów międzynarodowych w dziedzinie wymiaru sprawiedliwości i policji."</w:t>
      </w:r>
    </w:p>
    <w:p w:rsidR="00A220C6" w:rsidRPr="001A46FC" w:rsidRDefault="00DD67A4" w:rsidP="008C13E9">
      <w:pPr>
        <w:spacing w:before="100" w:beforeAutospacing="1"/>
        <w:rPr>
          <w:rFonts w:ascii="Times New Roman" w:eastAsia="Times New Roman" w:hAnsi="Times New Roman" w:cs="Times New Roman"/>
          <w:szCs w:val="24"/>
          <w:lang w:val="pl-PL" w:eastAsia="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45</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BB1953" w:rsidRPr="008C13E9">
        <w:rPr>
          <w:rFonts w:ascii="Times New Roman" w:hAnsi="Times New Roman" w:cs="Times New Roman"/>
          <w:lang w:val="pl-PL"/>
        </w:rPr>
        <w:t>W swoim Zaleceniu</w:t>
      </w:r>
      <w:r w:rsidR="00A220C6" w:rsidRPr="008C13E9">
        <w:rPr>
          <w:rFonts w:ascii="Times New Roman" w:hAnsi="Times New Roman" w:cs="Times New Roman"/>
          <w:lang w:val="pl-PL"/>
        </w:rPr>
        <w:t xml:space="preserve"> CM/</w:t>
      </w:r>
      <w:proofErr w:type="spellStart"/>
      <w:r w:rsidR="00A220C6" w:rsidRPr="008C13E9">
        <w:rPr>
          <w:rFonts w:ascii="Times New Roman" w:hAnsi="Times New Roman" w:cs="Times New Roman"/>
          <w:lang w:val="pl-PL"/>
        </w:rPr>
        <w:t>Rec</w:t>
      </w:r>
      <w:proofErr w:type="spellEnd"/>
      <w:r w:rsidR="00A220C6" w:rsidRPr="008C13E9">
        <w:rPr>
          <w:rFonts w:ascii="Times New Roman" w:hAnsi="Times New Roman" w:cs="Times New Roman"/>
          <w:lang w:val="pl-PL"/>
        </w:rPr>
        <w:t xml:space="preserve">(2007)16 </w:t>
      </w:r>
      <w:r w:rsidR="00BB1953" w:rsidRPr="008C13E9">
        <w:rPr>
          <w:rFonts w:ascii="Times New Roman" w:hAnsi="Times New Roman" w:cs="Times New Roman"/>
          <w:lang w:val="pl-PL"/>
        </w:rPr>
        <w:t>do</w:t>
      </w:r>
      <w:r w:rsidR="00A220C6" w:rsidRPr="008C13E9">
        <w:rPr>
          <w:rFonts w:ascii="Times New Roman" w:hAnsi="Times New Roman" w:cs="Times New Roman"/>
          <w:lang w:val="pl-PL"/>
        </w:rPr>
        <w:t xml:space="preserve"> </w:t>
      </w:r>
      <w:r w:rsidR="00BB1953" w:rsidRPr="008C13E9">
        <w:rPr>
          <w:rFonts w:ascii="Times New Roman" w:hAnsi="Times New Roman" w:cs="Times New Roman"/>
          <w:lang w:val="pl-PL"/>
        </w:rPr>
        <w:t xml:space="preserve">państw członkowskich </w:t>
      </w:r>
      <w:r w:rsidR="008C13E9" w:rsidRPr="008C13E9">
        <w:rPr>
          <w:rFonts w:ascii="Times New Roman" w:eastAsia="Times New Roman" w:hAnsi="Times New Roman" w:cs="Times New Roman"/>
          <w:szCs w:val="24"/>
          <w:lang w:val="pl-PL" w:eastAsia="pl-PL"/>
        </w:rPr>
        <w:t>w sprawie działań mających promować wartość usług publicznych Internetu</w:t>
      </w:r>
      <w:r w:rsidR="008C13E9" w:rsidRPr="008C13E9">
        <w:rPr>
          <w:rFonts w:ascii="Times New Roman" w:hAnsi="Times New Roman" w:cs="Times New Roman"/>
          <w:lang w:val="pl-PL"/>
        </w:rPr>
        <w:t xml:space="preserve"> </w:t>
      </w:r>
      <w:r w:rsidR="00BB1953" w:rsidRPr="008C13E9">
        <w:rPr>
          <w:rFonts w:ascii="Times New Roman" w:hAnsi="Times New Roman" w:cs="Times New Roman"/>
          <w:lang w:val="pl-PL"/>
        </w:rPr>
        <w:t>(przyjęta w dniu 7 listopada 2007 roku), Komitet Ministrów zauważył, że Internet może, z jednej strony, znacznie ułatwić korzystanie z określonych praw człowieka i podstawowych wolności</w:t>
      </w:r>
      <w:r w:rsidR="00BB1953" w:rsidRPr="00B45853">
        <w:rPr>
          <w:rFonts w:ascii="Times New Roman" w:hAnsi="Times New Roman" w:cs="Times New Roman"/>
          <w:lang w:val="pl-PL"/>
        </w:rPr>
        <w:t xml:space="preserve">, z drugiej strony, może to niekorzystnie wpłynąć na te i inne prawa. Zaleca się, aby państwa członkowskie opracowały jasne ramy prawne wyznaczające granice ról i odpowiedzialności </w:t>
      </w:r>
      <w:r w:rsidR="00BB1953" w:rsidRPr="001A46FC">
        <w:rPr>
          <w:rFonts w:ascii="Times New Roman" w:hAnsi="Times New Roman" w:cs="Times New Roman"/>
          <w:lang w:val="pl-PL"/>
        </w:rPr>
        <w:t>wszystkich głównych zainteresowanych stron w dziedzinie nowych technologii informacyjnych i komunikacyjnych.</w:t>
      </w:r>
    </w:p>
    <w:p w:rsidR="00A220C6" w:rsidRPr="001A46FC" w:rsidRDefault="00DD67A4" w:rsidP="00171A6F">
      <w:pPr>
        <w:pStyle w:val="ECHRPara"/>
        <w:rPr>
          <w:rFonts w:ascii="Times New Roman" w:hAnsi="Times New Roman" w:cs="Times New Roman"/>
          <w:iCs/>
          <w:lang w:val="pl-PL"/>
        </w:rPr>
      </w:pPr>
      <w:r w:rsidRPr="001A46FC">
        <w:rPr>
          <w:rFonts w:ascii="Times New Roman" w:hAnsi="Times New Roman" w:cs="Times New Roman"/>
          <w:lang w:val="en-GB"/>
        </w:rPr>
        <w:fldChar w:fldCharType="begin"/>
      </w:r>
      <w:r w:rsidR="00A220C6" w:rsidRPr="001A46FC">
        <w:rPr>
          <w:rFonts w:ascii="Times New Roman" w:hAnsi="Times New Roman" w:cs="Times New Roman"/>
          <w:lang w:val="pl-PL"/>
        </w:rPr>
        <w:instrText xml:space="preserve"> SEQ level0 \*arabic </w:instrText>
      </w:r>
      <w:r w:rsidRPr="001A46FC">
        <w:rPr>
          <w:rFonts w:ascii="Times New Roman" w:hAnsi="Times New Roman" w:cs="Times New Roman"/>
          <w:lang w:val="en-GB"/>
        </w:rPr>
        <w:fldChar w:fldCharType="separate"/>
      </w:r>
      <w:r w:rsidR="002F0EE0" w:rsidRPr="001A46FC">
        <w:rPr>
          <w:rFonts w:ascii="Times New Roman" w:hAnsi="Times New Roman" w:cs="Times New Roman"/>
          <w:noProof/>
          <w:lang w:val="pl-PL"/>
        </w:rPr>
        <w:t>46</w:t>
      </w:r>
      <w:r w:rsidRPr="001A46FC">
        <w:rPr>
          <w:rFonts w:ascii="Times New Roman" w:hAnsi="Times New Roman" w:cs="Times New Roman"/>
          <w:lang w:val="en-GB"/>
        </w:rPr>
        <w:fldChar w:fldCharType="end"/>
      </w:r>
      <w:r w:rsidR="00A220C6" w:rsidRPr="001A46FC">
        <w:rPr>
          <w:rFonts w:ascii="Times New Roman" w:hAnsi="Times New Roman" w:cs="Times New Roman"/>
          <w:lang w:val="pl-PL"/>
        </w:rPr>
        <w:t>.  </w:t>
      </w:r>
      <w:r w:rsidR="00BB1953" w:rsidRPr="001A46FC">
        <w:rPr>
          <w:rFonts w:ascii="Times New Roman" w:hAnsi="Times New Roman" w:cs="Times New Roman"/>
          <w:lang w:val="pl-PL"/>
        </w:rPr>
        <w:t>Zalecenie</w:t>
      </w:r>
      <w:r w:rsidR="00A220C6" w:rsidRPr="001A46FC">
        <w:rPr>
          <w:rFonts w:ascii="Times New Roman" w:hAnsi="Times New Roman" w:cs="Times New Roman"/>
          <w:lang w:val="pl-PL"/>
        </w:rPr>
        <w:t xml:space="preserve"> CM/</w:t>
      </w:r>
      <w:proofErr w:type="spellStart"/>
      <w:r w:rsidR="00A220C6" w:rsidRPr="001A46FC">
        <w:rPr>
          <w:rFonts w:ascii="Times New Roman" w:hAnsi="Times New Roman" w:cs="Times New Roman"/>
          <w:lang w:val="pl-PL"/>
        </w:rPr>
        <w:t>Rec</w:t>
      </w:r>
      <w:proofErr w:type="spellEnd"/>
      <w:r w:rsidR="00A220C6" w:rsidRPr="001A46FC">
        <w:rPr>
          <w:rFonts w:ascii="Times New Roman" w:hAnsi="Times New Roman" w:cs="Times New Roman"/>
          <w:lang w:val="pl-PL"/>
        </w:rPr>
        <w:t xml:space="preserve">(2011)7 </w:t>
      </w:r>
      <w:r w:rsidR="00BB1953" w:rsidRPr="001A46FC">
        <w:rPr>
          <w:rFonts w:ascii="Times New Roman" w:hAnsi="Times New Roman" w:cs="Times New Roman"/>
          <w:lang w:val="pl-PL"/>
        </w:rPr>
        <w:t xml:space="preserve">Komitetu Ministrów dla państw członkowskich w sprawie </w:t>
      </w:r>
      <w:r w:rsidR="00C35A15" w:rsidRPr="001A46FC">
        <w:rPr>
          <w:rFonts w:ascii="Times New Roman" w:hAnsi="Times New Roman" w:cs="Times New Roman"/>
          <w:lang w:val="pl-PL"/>
        </w:rPr>
        <w:t>nowego pojęcia</w:t>
      </w:r>
      <w:r w:rsidR="00BB1953" w:rsidRPr="001A46FC">
        <w:rPr>
          <w:rFonts w:ascii="Times New Roman" w:hAnsi="Times New Roman" w:cs="Times New Roman"/>
          <w:lang w:val="pl-PL"/>
        </w:rPr>
        <w:t xml:space="preserve"> mediów (przyjęta w dniu 21 września 2011 roku) brzmi następująco:</w:t>
      </w:r>
    </w:p>
    <w:p w:rsidR="00360A0B"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w:t>
      </w:r>
      <w:r w:rsidR="002837DA" w:rsidRPr="001A46FC">
        <w:rPr>
          <w:rFonts w:ascii="Times New Roman" w:hAnsi="Times New Roman" w:cs="Times New Roman"/>
          <w:lang w:val="pl-PL"/>
        </w:rPr>
        <w:t>...</w:t>
      </w:r>
    </w:p>
    <w:p w:rsidR="00A220C6" w:rsidRPr="001A46FC" w:rsidRDefault="00BB1953" w:rsidP="00171A6F">
      <w:pPr>
        <w:pStyle w:val="ECHRParaQuote"/>
        <w:rPr>
          <w:rFonts w:ascii="Times New Roman" w:hAnsi="Times New Roman" w:cs="Times New Roman"/>
          <w:lang w:val="pl-PL"/>
        </w:rPr>
      </w:pPr>
      <w:r w:rsidRPr="001A46FC">
        <w:rPr>
          <w:rFonts w:ascii="Times New Roman" w:hAnsi="Times New Roman" w:cs="Times New Roman"/>
          <w:lang w:val="pl-PL"/>
        </w:rPr>
        <w:lastRenderedPageBreak/>
        <w:t xml:space="preserve">Komitet Ministrów, </w:t>
      </w:r>
      <w:r w:rsidR="00C35A15" w:rsidRPr="001A46FC">
        <w:rPr>
          <w:rFonts w:ascii="Times New Roman" w:hAnsi="Times New Roman" w:cs="Times New Roman"/>
          <w:lang w:val="pl-PL"/>
        </w:rPr>
        <w:t>działając zgodnie z artykułem</w:t>
      </w:r>
      <w:r w:rsidRPr="001A46FC">
        <w:rPr>
          <w:rFonts w:ascii="Times New Roman" w:hAnsi="Times New Roman" w:cs="Times New Roman"/>
          <w:lang w:val="pl-PL"/>
        </w:rPr>
        <w:t xml:space="preserve"> 15</w:t>
      </w:r>
      <w:r w:rsidR="00A220C6" w:rsidRPr="001A46FC">
        <w:rPr>
          <w:rFonts w:ascii="Times New Roman" w:hAnsi="Times New Roman" w:cs="Times New Roman"/>
          <w:lang w:val="pl-PL"/>
        </w:rPr>
        <w:t>.</w:t>
      </w:r>
      <w:r w:rsidR="00C35A15" w:rsidRPr="001A46FC">
        <w:rPr>
          <w:rFonts w:ascii="Times New Roman" w:hAnsi="Times New Roman" w:cs="Times New Roman"/>
          <w:lang w:val="pl-PL"/>
        </w:rPr>
        <w:t xml:space="preserve"> lit.</w:t>
      </w:r>
      <w:r w:rsidR="00A220C6" w:rsidRPr="001A46FC">
        <w:rPr>
          <w:rFonts w:ascii="Times New Roman" w:hAnsi="Times New Roman" w:cs="Times New Roman"/>
          <w:lang w:val="pl-PL"/>
        </w:rPr>
        <w:t xml:space="preserve"> </w:t>
      </w:r>
      <w:r w:rsidR="00A220C6" w:rsidRPr="001A46FC">
        <w:rPr>
          <w:rFonts w:ascii="Times New Roman" w:hAnsi="Times New Roman" w:cs="Times New Roman"/>
          <w:i/>
          <w:lang w:val="pl-PL"/>
        </w:rPr>
        <w:t>b</w:t>
      </w:r>
      <w:r w:rsidR="00A220C6" w:rsidRPr="001A46FC">
        <w:rPr>
          <w:rFonts w:ascii="Times New Roman" w:hAnsi="Times New Roman" w:cs="Times New Roman"/>
          <w:lang w:val="pl-PL"/>
        </w:rPr>
        <w:t xml:space="preserve"> </w:t>
      </w:r>
      <w:r w:rsidRPr="001A46FC">
        <w:rPr>
          <w:rFonts w:ascii="Times New Roman" w:hAnsi="Times New Roman" w:cs="Times New Roman"/>
          <w:lang w:val="pl-PL"/>
        </w:rPr>
        <w:t>Statutu Rady Europy zaleca</w:t>
      </w:r>
      <w:r w:rsidR="00C35A15" w:rsidRPr="001A46FC">
        <w:rPr>
          <w:rFonts w:ascii="Times New Roman" w:hAnsi="Times New Roman" w:cs="Times New Roman"/>
          <w:lang w:val="pl-PL"/>
        </w:rPr>
        <w:t xml:space="preserve"> państwom członkowskim</w:t>
      </w:r>
      <w:r w:rsidR="00A220C6" w:rsidRPr="001A46FC">
        <w:rPr>
          <w:rFonts w:ascii="Times New Roman" w:hAnsi="Times New Roman" w:cs="Times New Roman"/>
          <w:lang w:val="pl-PL"/>
        </w:rPr>
        <w:t>:</w:t>
      </w:r>
    </w:p>
    <w:p w:rsidR="00C35A15" w:rsidRPr="001A46FC" w:rsidRDefault="00A220C6" w:rsidP="00C35A15">
      <w:pPr>
        <w:pStyle w:val="ECHRParaQuote"/>
        <w:rPr>
          <w:rFonts w:ascii="Times New Roman" w:hAnsi="Times New Roman" w:cs="Times New Roman"/>
          <w:lang w:val="pl-PL"/>
        </w:rPr>
      </w:pPr>
      <w:r w:rsidRPr="001A46FC">
        <w:rPr>
          <w:rFonts w:ascii="Times New Roman" w:hAnsi="Times New Roman" w:cs="Times New Roman"/>
          <w:lang w:val="pl-PL"/>
        </w:rPr>
        <w:t xml:space="preserve">– </w:t>
      </w:r>
      <w:r w:rsidR="00C35A15" w:rsidRPr="001A46FC">
        <w:rPr>
          <w:rFonts w:ascii="Times New Roman" w:hAnsi="Times New Roman" w:cs="Times New Roman"/>
          <w:lang w:val="pl-PL"/>
        </w:rPr>
        <w:t>przyjęcie nowego, szerokiego pojęcia mediów, które obejmuje wszystkich uczestników procesu produkcji i rozpowszechniania treści (na przykład informacji, analiz, komentarzy, opinii, materiałów edukacyjnych, kultury, sztuki i rozrywki w formie tekstu, dźwięku, obrazu, audiowizualnej i innej) dla potencjalnie dużych grup osób oraz zawiera w sobie narzędzia tworzone do ułatwiania interaktywnej komunikacji masowej (na przykład media społecznościowe) i inne interaktywne doświadczenia na dużą skalę opierające się na treściach (na przykład gry online) przy</w:t>
      </w:r>
      <w:r w:rsidR="00C35A15" w:rsidRPr="00C35A15">
        <w:rPr>
          <w:rFonts w:ascii="Times New Roman" w:hAnsi="Times New Roman" w:cs="Times New Roman"/>
          <w:color w:val="FF0000"/>
          <w:lang w:val="pl-PL"/>
        </w:rPr>
        <w:t xml:space="preserve"> </w:t>
      </w:r>
      <w:r w:rsidR="00C35A15" w:rsidRPr="001A46FC">
        <w:rPr>
          <w:rFonts w:ascii="Times New Roman" w:hAnsi="Times New Roman" w:cs="Times New Roman"/>
          <w:lang w:val="pl-PL"/>
        </w:rPr>
        <w:t>zachowaniu (we wszystkich takich przypadkach) kontroli redakcyjnej lub nadzoru nad treściami;</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w:t>
      </w:r>
      <w:r w:rsidR="00C35A15" w:rsidRPr="001A46FC">
        <w:rPr>
          <w:rFonts w:ascii="Times New Roman" w:hAnsi="Times New Roman" w:cs="Times New Roman"/>
          <w:lang w:val="pl-PL"/>
        </w:rPr>
        <w:t xml:space="preserve"> przeprowadzenie przeglądu potrzeb regulacyjnych w odniesieniu do wszystkich graczy dostarczających produkty lub świadczących usługi w ekosystemie mediów, aby zagwarantować obywatelom prawo do wyszukiwania, otrzymywania i przekazywania informacji zgodnie z artykułem 10 Europejskiej Konwencji Praw Człowieka oraz rozszerzenie na takich graczy odpowiedniej ochrony przed ingerencją, która mogłaby mieć negatywne oddziaływanie na prawa wynikające z artykułu 10, co obejmuje sytuacje powodujące ryzyko nakładania nadmiernych samoograniczeń lub autocenzury</w:t>
      </w:r>
      <w:r w:rsidRPr="001A46FC">
        <w:rPr>
          <w:rFonts w:ascii="Times New Roman" w:hAnsi="Times New Roman" w:cs="Times New Roman"/>
          <w:lang w:val="pl-PL"/>
        </w:rPr>
        <w:t>;</w:t>
      </w:r>
    </w:p>
    <w:p w:rsidR="00360A0B"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w:t>
      </w:r>
      <w:r w:rsidR="00C35A15" w:rsidRPr="001A46FC">
        <w:rPr>
          <w:lang w:val="pl-PL"/>
        </w:rPr>
        <w:t xml:space="preserve"> </w:t>
      </w:r>
      <w:r w:rsidR="00C35A15" w:rsidRPr="001A46FC">
        <w:rPr>
          <w:rFonts w:ascii="Times New Roman" w:hAnsi="Times New Roman" w:cs="Times New Roman"/>
          <w:lang w:val="pl-PL"/>
        </w:rPr>
        <w:t>stosowanie kryteriów wskazanych w załączniku do niniejszych zaleceń z uwzględnieniem wielostopniowego i zróżnicowanego reagowania na aktorów objętych nowym pojęciem mediów w oparciu o odpowiednie standardy Rady Europy odnoszące się do mediów, uwzględniając ich określone funkcje w procesie tworzenia mediów i ich potencjalne oddziaływanie i znaczenie w gwarantowaniu lub wzmacnianiu prawidłowego sprawowania władzy w społeczeństwie demokratycznym</w:t>
      </w:r>
      <w:r w:rsidRPr="001A46FC">
        <w:rPr>
          <w:rFonts w:ascii="Times New Roman" w:hAnsi="Times New Roman" w:cs="Times New Roman"/>
          <w:lang w:val="pl-PL"/>
        </w:rPr>
        <w:t>;</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r w:rsidR="00A220C6" w:rsidRPr="001A46FC">
        <w:rPr>
          <w:rFonts w:ascii="Times New Roman" w:hAnsi="Times New Roman" w:cs="Times New Roman"/>
          <w:lang w:val="pl-PL"/>
        </w:rPr>
        <w:t>”</w:t>
      </w:r>
    </w:p>
    <w:p w:rsidR="00A220C6" w:rsidRPr="001A46FC" w:rsidRDefault="00CF5F32" w:rsidP="00171A6F">
      <w:pPr>
        <w:pStyle w:val="ECHRPara"/>
        <w:rPr>
          <w:rFonts w:ascii="Times New Roman" w:hAnsi="Times New Roman" w:cs="Times New Roman"/>
          <w:lang w:val="pl-PL"/>
        </w:rPr>
      </w:pPr>
      <w:r w:rsidRPr="001A46FC">
        <w:rPr>
          <w:rFonts w:ascii="Times New Roman" w:hAnsi="Times New Roman" w:cs="Times New Roman"/>
          <w:lang w:val="pl-PL"/>
        </w:rPr>
        <w:t>Dodatek do Zalecenia stanowi co następuje, o ile to stosowne</w:t>
      </w:r>
      <w:r w:rsidR="00A220C6"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“7.  </w:t>
      </w:r>
      <w:r w:rsidR="00C35A15" w:rsidRPr="001A46FC">
        <w:rPr>
          <w:rFonts w:ascii="Times New Roman" w:hAnsi="Times New Roman" w:cs="Times New Roman"/>
          <w:lang w:val="pl-PL"/>
        </w:rPr>
        <w:t>Zróżnicowane i wielostopniowe podejście wymaga, aby każdy podmiot, którego działalność określa się jako media lub jako działalność pośredniczącą lub wspomagającą media, mógł skorzystać zarówno z odpowiedniej formy (zróżnicowanie) i właściwego poziomu (wiele stopni) ochrony. Konieczne jest także, aby jego odpowiedzialność była określona zgodnie z artykułem 10 Europejskiej Konwencji Praw Człowieka i z innymi odpowiednimi standardami stworzonymi przez Radę Europy</w:t>
      </w:r>
      <w:r w:rsidR="00CF5F32" w:rsidRPr="001A46FC">
        <w:rPr>
          <w:rFonts w:ascii="Times New Roman" w:hAnsi="Times New Roman" w:cs="Times New Roman"/>
          <w:lang w:val="pl-PL"/>
        </w:rPr>
        <w:t>.</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 xml:space="preserve">30. </w:t>
      </w:r>
      <w:r w:rsidR="00C35A15" w:rsidRPr="001A46FC">
        <w:rPr>
          <w:rFonts w:ascii="Times New Roman" w:hAnsi="Times New Roman" w:cs="Times New Roman"/>
          <w:lang w:val="pl-PL"/>
        </w:rPr>
        <w:t>Dowodem na występowanie kontroli redakcyjnej może być przyjmowanie przez podmioty wewnętrznych polityk odnoszących się do treści, które mają być udostępniane lub promowane, oraz do sposobu, w jaki będą prezentowane lub organizowane. Media tradycyjne czasami publikują jasno wyrażone zasady redakcyjne, jednak można znaleźć je także w wewnętrznych instrukcjach lub kryteriach dotyczących wyboru lub przetwarzania treści (na przykład weryfikacja lub zatwierdzanie informacji). W środowiskach nowych mediów polityki redakcyjne mogą być zawarte w misji lub warunkach użytkowania (które mogą uwzględniać bardzo szczegółowe postanowienia dotyczące treści) lub mogą być wyrażane nieformalnie jako zobowiązanie do przestrzegania pewnych zasad (np. netykieta, motto).</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lastRenderedPageBreak/>
        <w:t>32.  </w:t>
      </w:r>
      <w:r w:rsidR="00C35A15" w:rsidRPr="001A46FC">
        <w:rPr>
          <w:rFonts w:ascii="Times New Roman" w:hAnsi="Times New Roman" w:cs="Times New Roman"/>
          <w:lang w:val="pl-PL"/>
        </w:rPr>
        <w:t>W procesie redakcyjnym uczestniczyć mogą użytkownicy (na przykład oceny użytkowników i prośby o usunięcie treści), gdzie ostateczne decyzje są podejmowane zgodnie z wewnętrznie zdefiniowanym procesem i z uwzględnieniem określonych kryteriów (moderacja reaktywna). Nowe media często uciekają się do moderacji po fakcie (często opisywanej jako post-moderacja) w odniesieniu do treści generowanych przez użytkowników i moderacja taka może być na pierwszy rzut oka trudna do wychwycenia. Procesy redakcyjne mogą mieć także charakter automatyczny (dla przykładu przy zastosowaniu algorytmów wybierających treści przed opublikowaniem lub porównujących je z materiałami chronionymi prawem autorskim).</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35</w:t>
      </w:r>
      <w:r w:rsidR="002F0EE0" w:rsidRPr="001A46FC">
        <w:rPr>
          <w:rFonts w:ascii="Times New Roman" w:hAnsi="Times New Roman" w:cs="Times New Roman"/>
          <w:lang w:val="pl-PL"/>
        </w:rPr>
        <w:t>.</w:t>
      </w:r>
      <w:r w:rsidRPr="001A46FC">
        <w:rPr>
          <w:rFonts w:ascii="Times New Roman" w:hAnsi="Times New Roman" w:cs="Times New Roman"/>
          <w:lang w:val="pl-PL"/>
        </w:rPr>
        <w:t> </w:t>
      </w:r>
      <w:r w:rsidR="00C35A15" w:rsidRPr="001A46FC">
        <w:rPr>
          <w:rFonts w:ascii="Times New Roman" w:hAnsi="Times New Roman" w:cs="Times New Roman"/>
          <w:lang w:val="pl-PL"/>
        </w:rPr>
        <w:t>Ponownie warto wskazać, że do różnych poziomów kontroli redakcyjnej przypisane są różne poziomy odpowiedzialności redakcyjnej. Różne poziomy kontroli redakcyjnej lub sposoby sprawowania takiej kontroli (na przykład moderacja przed publikacją lub po publikacji) wymagają różnego podejścia i można z dużym prawdopodobieństwem założyć, że najlepsze będzie tutaj stopniowanie poziomów regulacji</w:t>
      </w:r>
      <w:r w:rsidRPr="001A46FC">
        <w:rPr>
          <w:rFonts w:ascii="Times New Roman" w:hAnsi="Times New Roman" w:cs="Times New Roman"/>
          <w:lang w:val="pl-PL"/>
        </w:rPr>
        <w:t> </w:t>
      </w:r>
      <w:r w:rsidR="00B67B17"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36.  </w:t>
      </w:r>
      <w:r w:rsidR="00C35A15" w:rsidRPr="001A46FC">
        <w:rPr>
          <w:rFonts w:ascii="Times New Roman" w:hAnsi="Times New Roman" w:cs="Times New Roman"/>
          <w:lang w:val="pl-PL"/>
        </w:rPr>
        <w:t>Tym samym dostawca usług pośredniczących lub pomocniczych, który przyczynia się do działania mediów lub dostępu do ich treści ale sam nie sprawuje kontroli redakcyjnej lub nie powinien jej sprawować i tym samym ponosi ograniczoną odpowiedzialność redakcyjną (lub nie ma takiej odpowiedzialności w ogóle), nie powinien być traktowany jako media. Niemniej jednak działania takich podmiotów mogą mieć znaczenie w kontekście mediów. Tak czy inaczej działania podejmowane przez usługodawców pośredniczących lub pomocniczych w związku z obowiązkami prawnymi (na przykład usuwanie treści w odpowiedzi na nakaz sądu) nie powinny być traktowane jako kontrola redakcyjna w powyższym sensie.</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63. </w:t>
      </w:r>
      <w:r w:rsidR="00C35A15" w:rsidRPr="001A46FC">
        <w:rPr>
          <w:rFonts w:ascii="Times New Roman" w:hAnsi="Times New Roman" w:cs="Times New Roman"/>
          <w:lang w:val="pl-PL"/>
        </w:rPr>
        <w:t>Należy podkreślić ważną rolę podmiotów pośredniczących. Oferują one alternatywne i uzupełniające środki lub kanały rozpowszechniania treści, tym samym rozszerzając zasięg i wzmacniając skuteczność w osiąganiu swoich celów przez media. Na konkurencyjnym rynku usługi pośredniczące i pomocnicze mogą znacząco łagodzić ryzyko ingerencji ze strony władz. Jednak biorąc pod uwagę stopień, w jakim media muszą polegać na nich w nowym ekosystemie, występuje dodatkowe ryzyko cenzury ze strony usług pośredniczących i pomocniczych. Pewne sytuacje mogą dodatkowo stanowić ryzyko tworzenia prywatnej cenzury (ze strony usług pośredniczących i pomocniczych w odniesieniu do mediów, na rzecz których świadczą usługi, lub przesyłanych treści).”</w:t>
      </w:r>
    </w:p>
    <w:p w:rsidR="00A220C6" w:rsidRPr="001A46FC" w:rsidRDefault="00DD67A4" w:rsidP="00171A6F">
      <w:pPr>
        <w:pStyle w:val="ECHRPara"/>
        <w:rPr>
          <w:rFonts w:ascii="Times New Roman" w:hAnsi="Times New Roman" w:cs="Times New Roman"/>
          <w:iCs/>
          <w:lang w:val="pl-PL"/>
        </w:rPr>
      </w:pPr>
      <w:r w:rsidRPr="001A46FC">
        <w:rPr>
          <w:rFonts w:ascii="Times New Roman" w:hAnsi="Times New Roman" w:cs="Times New Roman"/>
          <w:lang w:val="en-GB"/>
        </w:rPr>
        <w:fldChar w:fldCharType="begin"/>
      </w:r>
      <w:r w:rsidR="00A220C6" w:rsidRPr="001A46FC">
        <w:rPr>
          <w:rFonts w:ascii="Times New Roman" w:hAnsi="Times New Roman" w:cs="Times New Roman"/>
          <w:lang w:val="pl-PL"/>
        </w:rPr>
        <w:instrText xml:space="preserve"> SEQ level0 \*arabic </w:instrText>
      </w:r>
      <w:r w:rsidRPr="001A46FC">
        <w:rPr>
          <w:rFonts w:ascii="Times New Roman" w:hAnsi="Times New Roman" w:cs="Times New Roman"/>
          <w:lang w:val="en-GB"/>
        </w:rPr>
        <w:fldChar w:fldCharType="separate"/>
      </w:r>
      <w:r w:rsidR="002F0EE0" w:rsidRPr="001A46FC">
        <w:rPr>
          <w:rFonts w:ascii="Times New Roman" w:hAnsi="Times New Roman" w:cs="Times New Roman"/>
          <w:noProof/>
          <w:lang w:val="pl-PL"/>
        </w:rPr>
        <w:t>47</w:t>
      </w:r>
      <w:r w:rsidRPr="001A46FC">
        <w:rPr>
          <w:rFonts w:ascii="Times New Roman" w:hAnsi="Times New Roman" w:cs="Times New Roman"/>
          <w:lang w:val="en-GB"/>
        </w:rPr>
        <w:fldChar w:fldCharType="end"/>
      </w:r>
      <w:r w:rsidR="00A220C6" w:rsidRPr="001A46FC">
        <w:rPr>
          <w:rFonts w:ascii="Times New Roman" w:hAnsi="Times New Roman" w:cs="Times New Roman"/>
          <w:lang w:val="pl-PL"/>
        </w:rPr>
        <w:t>.  </w:t>
      </w:r>
      <w:r w:rsidR="00575849" w:rsidRPr="001A46FC">
        <w:rPr>
          <w:rFonts w:ascii="Times New Roman" w:hAnsi="Times New Roman" w:cs="Times New Roman"/>
          <w:lang w:val="pl-PL"/>
        </w:rPr>
        <w:t>W dniu 16 kwietnia 2014 roku Zalecenie</w:t>
      </w:r>
      <w:r w:rsidR="00A220C6" w:rsidRPr="001A46FC">
        <w:rPr>
          <w:rFonts w:ascii="Times New Roman" w:hAnsi="Times New Roman" w:cs="Times New Roman"/>
          <w:lang w:val="pl-PL"/>
        </w:rPr>
        <w:t xml:space="preserve"> CM/</w:t>
      </w:r>
      <w:proofErr w:type="spellStart"/>
      <w:r w:rsidR="00A220C6" w:rsidRPr="001A46FC">
        <w:rPr>
          <w:rFonts w:ascii="Times New Roman" w:hAnsi="Times New Roman" w:cs="Times New Roman"/>
          <w:lang w:val="pl-PL"/>
        </w:rPr>
        <w:t>Rec</w:t>
      </w:r>
      <w:proofErr w:type="spellEnd"/>
      <w:r w:rsidR="00A220C6" w:rsidRPr="001A46FC">
        <w:rPr>
          <w:rFonts w:ascii="Times New Roman" w:hAnsi="Times New Roman" w:cs="Times New Roman"/>
          <w:lang w:val="pl-PL"/>
        </w:rPr>
        <w:t xml:space="preserve">(2014)6 </w:t>
      </w:r>
      <w:r w:rsidR="00575849" w:rsidRPr="001A46FC">
        <w:rPr>
          <w:rFonts w:ascii="Times New Roman" w:hAnsi="Times New Roman" w:cs="Times New Roman"/>
          <w:lang w:val="pl-PL"/>
        </w:rPr>
        <w:t>Komitetu Ministrów dla Państw członkowskich w sprawie Przewodnika po prawach człowieka dla internautów został przyjęty. Właściwa część Przewodnika brzmi następująco:</w:t>
      </w:r>
      <w:r w:rsidR="00A220C6" w:rsidRPr="001A46FC">
        <w:rPr>
          <w:rFonts w:ascii="Times New Roman" w:hAnsi="Times New Roman" w:cs="Times New Roman"/>
          <w:iCs/>
          <w:lang w:val="pl-PL"/>
        </w:rPr>
        <w:t>:</w:t>
      </w:r>
    </w:p>
    <w:p w:rsidR="00A220C6" w:rsidRPr="001A46FC" w:rsidRDefault="00575849" w:rsidP="00171A6F">
      <w:pPr>
        <w:pStyle w:val="ECHRTitleCentre3"/>
        <w:rPr>
          <w:rFonts w:ascii="Times New Roman" w:hAnsi="Times New Roman" w:cs="Times New Roman"/>
          <w:lang w:val="pl-PL"/>
        </w:rPr>
      </w:pPr>
      <w:r w:rsidRPr="001A46FC">
        <w:rPr>
          <w:rFonts w:ascii="Times New Roman" w:hAnsi="Times New Roman" w:cs="Times New Roman"/>
          <w:lang w:val="pl-PL"/>
        </w:rPr>
        <w:t>Wolność wypowiedzi i informacji</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w:t>
      </w:r>
      <w:r w:rsidR="00575849" w:rsidRPr="001A46FC">
        <w:rPr>
          <w:rFonts w:ascii="Times New Roman" w:hAnsi="Times New Roman" w:cs="Times New Roman"/>
          <w:lang w:val="pl-PL"/>
        </w:rPr>
        <w:t>Masz prawo do poszukiwania, otrzymywania i przekazywania informacji i idei wyboru, bez zakłóceń i bez względu na granice państwowe. To znaczy</w:t>
      </w:r>
      <w:r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1.  </w:t>
      </w:r>
      <w:r w:rsidR="00575849" w:rsidRPr="001A46FC">
        <w:rPr>
          <w:rFonts w:ascii="Times New Roman" w:hAnsi="Times New Roman" w:cs="Times New Roman"/>
          <w:lang w:val="pl-PL"/>
        </w:rPr>
        <w:t xml:space="preserve">masz wolność wyrażania siebie online i dostępu do informacji oraz opinii i ekspresji innych. Obejmuje to przemówienia polityczne, poglądy na religię, poglądy i wyrażenia, które są przychylnie odbierane lub uważane za nieszkodliwe, ale także te, </w:t>
      </w:r>
      <w:r w:rsidR="00575849" w:rsidRPr="001A46FC">
        <w:rPr>
          <w:rFonts w:ascii="Times New Roman" w:hAnsi="Times New Roman" w:cs="Times New Roman"/>
          <w:lang w:val="pl-PL"/>
        </w:rPr>
        <w:lastRenderedPageBreak/>
        <w:t>które mogą urazić, wstrząsnąć lub przeszkadzać innym. Należy mieć na względzie dobre imię lub prawa innych osób, w tym prawo do prywatności</w:t>
      </w:r>
      <w:r w:rsidRPr="001A46FC">
        <w:rPr>
          <w:rFonts w:ascii="Times New Roman" w:hAnsi="Times New Roman" w:cs="Times New Roman"/>
          <w:lang w:val="pl-PL"/>
        </w:rPr>
        <w:t>;</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2.  </w:t>
      </w:r>
      <w:r w:rsidR="00575849" w:rsidRPr="001A46FC">
        <w:rPr>
          <w:rFonts w:ascii="Times New Roman" w:hAnsi="Times New Roman" w:cs="Times New Roman"/>
          <w:lang w:val="pl-PL"/>
        </w:rPr>
        <w:t>ograniczenia mogą mieć zastosowanie do wyrażeń, które z</w:t>
      </w:r>
      <w:r w:rsidR="00F67435" w:rsidRPr="001A46FC">
        <w:rPr>
          <w:rFonts w:ascii="Times New Roman" w:hAnsi="Times New Roman" w:cs="Times New Roman"/>
          <w:lang w:val="pl-PL"/>
        </w:rPr>
        <w:t>achęcają do</w:t>
      </w:r>
      <w:r w:rsidR="00575849" w:rsidRPr="001A46FC">
        <w:rPr>
          <w:rFonts w:ascii="Times New Roman" w:hAnsi="Times New Roman" w:cs="Times New Roman"/>
          <w:lang w:val="pl-PL"/>
        </w:rPr>
        <w:t xml:space="preserve"> dyskryminacji, nienawiści lub przemocy. Ograniczenia te muszą być zgodne z prawem, ściśle dopasowane i wykonane z nadzorem sądowym</w:t>
      </w:r>
      <w:r w:rsidRPr="001A46FC">
        <w:rPr>
          <w:rFonts w:ascii="Times New Roman" w:hAnsi="Times New Roman" w:cs="Times New Roman"/>
          <w:lang w:val="pl-PL"/>
        </w:rPr>
        <w:t>;</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6.  </w:t>
      </w:r>
      <w:r w:rsidR="00F67435" w:rsidRPr="00B45853">
        <w:rPr>
          <w:rFonts w:ascii="Times New Roman" w:hAnsi="Times New Roman" w:cs="Times New Roman"/>
          <w:lang w:val="pl-PL"/>
        </w:rPr>
        <w:t>możesz wybrać, aby nie ujawniać swojej tożsamości w Internecie, na przykład przy użyciu pseudonimu. Należy jednak mieć świadomość, że środki mogą zostać podjęte przez władze krajowe, które mogą prowadzić do ujawnienia twojej tożsamości</w:t>
      </w:r>
      <w:r w:rsidRPr="00B45853">
        <w:rPr>
          <w:rFonts w:ascii="Times New Roman" w:hAnsi="Times New Roman" w:cs="Times New Roman"/>
          <w:lang w:val="pl-PL"/>
        </w:rPr>
        <w:t>.”</w:t>
      </w:r>
    </w:p>
    <w:p w:rsidR="00A220C6" w:rsidRPr="001A46FC" w:rsidRDefault="00A220C6" w:rsidP="00171A6F">
      <w:pPr>
        <w:pStyle w:val="ECHRHeading2"/>
        <w:rPr>
          <w:rFonts w:ascii="Times New Roman" w:hAnsi="Times New Roman" w:cs="Times New Roman"/>
          <w:lang w:val="pl-PL"/>
        </w:rPr>
      </w:pPr>
      <w:bookmarkStart w:id="9" w:name="_Toc420072860"/>
      <w:r w:rsidRPr="00B45853">
        <w:rPr>
          <w:rFonts w:ascii="Times New Roman" w:hAnsi="Times New Roman" w:cs="Times New Roman"/>
          <w:lang w:val="pl-PL"/>
        </w:rPr>
        <w:t>B.  </w:t>
      </w:r>
      <w:bookmarkEnd w:id="9"/>
      <w:r w:rsidR="00F67435" w:rsidRPr="00B45853">
        <w:rPr>
          <w:rFonts w:ascii="Times New Roman" w:hAnsi="Times New Roman" w:cs="Times New Roman"/>
          <w:lang w:val="pl-PL"/>
        </w:rPr>
        <w:t>Inne dokumenty międzynarodowe</w:t>
      </w:r>
    </w:p>
    <w:p w:rsidR="00A220C6" w:rsidRPr="001A46FC" w:rsidRDefault="00DD67A4" w:rsidP="00171A6F">
      <w:pPr>
        <w:pStyle w:val="ECHRPara"/>
        <w:rPr>
          <w:rFonts w:ascii="Times New Roman" w:hAnsi="Times New Roman" w:cs="Times New Roman"/>
          <w:lang w:val="pl-PL"/>
        </w:rPr>
      </w:pPr>
      <w:r w:rsidRPr="001A46FC">
        <w:rPr>
          <w:rFonts w:ascii="Times New Roman" w:hAnsi="Times New Roman" w:cs="Times New Roman"/>
          <w:lang w:val="en-GB"/>
        </w:rPr>
        <w:fldChar w:fldCharType="begin"/>
      </w:r>
      <w:r w:rsidR="00A220C6" w:rsidRPr="001A46FC">
        <w:rPr>
          <w:rFonts w:ascii="Times New Roman" w:hAnsi="Times New Roman" w:cs="Times New Roman"/>
          <w:lang w:val="pl-PL"/>
        </w:rPr>
        <w:instrText xml:space="preserve"> SEQ level0 \*arabic </w:instrText>
      </w:r>
      <w:r w:rsidRPr="001A46FC">
        <w:rPr>
          <w:rFonts w:ascii="Times New Roman" w:hAnsi="Times New Roman" w:cs="Times New Roman"/>
          <w:lang w:val="en-GB"/>
        </w:rPr>
        <w:fldChar w:fldCharType="separate"/>
      </w:r>
      <w:r w:rsidR="002F0EE0" w:rsidRPr="001A46FC">
        <w:rPr>
          <w:rFonts w:ascii="Times New Roman" w:hAnsi="Times New Roman" w:cs="Times New Roman"/>
          <w:noProof/>
          <w:lang w:val="pl-PL"/>
        </w:rPr>
        <w:t>48</w:t>
      </w:r>
      <w:r w:rsidRPr="001A46FC">
        <w:rPr>
          <w:rFonts w:ascii="Times New Roman" w:hAnsi="Times New Roman" w:cs="Times New Roman"/>
          <w:lang w:val="en-GB"/>
        </w:rPr>
        <w:fldChar w:fldCharType="end"/>
      </w:r>
      <w:r w:rsidR="00A220C6" w:rsidRPr="001A46FC">
        <w:rPr>
          <w:rFonts w:ascii="Times New Roman" w:hAnsi="Times New Roman" w:cs="Times New Roman"/>
          <w:lang w:val="pl-PL"/>
        </w:rPr>
        <w:t>.  </w:t>
      </w:r>
      <w:r w:rsidR="00F67435" w:rsidRPr="001A46FC">
        <w:rPr>
          <w:rFonts w:ascii="Times New Roman" w:hAnsi="Times New Roman" w:cs="Times New Roman"/>
          <w:lang w:val="pl-PL"/>
        </w:rPr>
        <w:t xml:space="preserve">Specjalny Sprawozdawca Rady Praw Człowieka ONZ </w:t>
      </w:r>
      <w:r w:rsidR="0066171A" w:rsidRPr="001A46FC">
        <w:rPr>
          <w:rFonts w:ascii="Times New Roman" w:hAnsi="Times New Roman" w:cs="Times New Roman"/>
          <w:lang w:val="pl-PL"/>
        </w:rPr>
        <w:t>do spraw</w:t>
      </w:r>
      <w:r w:rsidR="00F67435" w:rsidRPr="001A46FC">
        <w:rPr>
          <w:rFonts w:ascii="Times New Roman" w:hAnsi="Times New Roman" w:cs="Times New Roman"/>
          <w:lang w:val="pl-PL"/>
        </w:rPr>
        <w:t xml:space="preserve"> </w:t>
      </w:r>
      <w:r w:rsidR="0066171A" w:rsidRPr="001A46FC">
        <w:rPr>
          <w:rFonts w:ascii="Times New Roman" w:hAnsi="Times New Roman" w:cs="Times New Roman"/>
          <w:lang w:val="pl-PL"/>
        </w:rPr>
        <w:t>promocji oraz</w:t>
      </w:r>
      <w:r w:rsidR="00F67435" w:rsidRPr="001A46FC">
        <w:rPr>
          <w:rFonts w:ascii="Times New Roman" w:hAnsi="Times New Roman" w:cs="Times New Roman"/>
          <w:lang w:val="pl-PL"/>
        </w:rPr>
        <w:t xml:space="preserve"> ochrony prawa do wolności</w:t>
      </w:r>
      <w:r w:rsidR="0066171A" w:rsidRPr="001A46FC">
        <w:rPr>
          <w:rFonts w:ascii="Times New Roman" w:hAnsi="Times New Roman" w:cs="Times New Roman"/>
          <w:lang w:val="pl-PL"/>
        </w:rPr>
        <w:t xml:space="preserve"> wyrażania</w:t>
      </w:r>
      <w:r w:rsidR="00F67435" w:rsidRPr="001A46FC">
        <w:rPr>
          <w:rFonts w:ascii="Times New Roman" w:hAnsi="Times New Roman" w:cs="Times New Roman"/>
          <w:lang w:val="pl-PL"/>
        </w:rPr>
        <w:t xml:space="preserve"> opinii i </w:t>
      </w:r>
      <w:r w:rsidR="0066171A" w:rsidRPr="001A46FC">
        <w:rPr>
          <w:rFonts w:ascii="Times New Roman" w:hAnsi="Times New Roman" w:cs="Times New Roman"/>
          <w:lang w:val="pl-PL"/>
        </w:rPr>
        <w:t xml:space="preserve">wolności </w:t>
      </w:r>
      <w:r w:rsidR="00F67435" w:rsidRPr="001A46FC">
        <w:rPr>
          <w:rFonts w:ascii="Times New Roman" w:hAnsi="Times New Roman" w:cs="Times New Roman"/>
          <w:lang w:val="pl-PL"/>
        </w:rPr>
        <w:t xml:space="preserve">wypowiedzi stwierdził, co następuje w swoim raporcie z dnia 16 maja 2011 roku do Rady Praw Człowieka </w:t>
      </w:r>
      <w:r w:rsidR="00A220C6" w:rsidRPr="001A46FC">
        <w:rPr>
          <w:rFonts w:ascii="Times New Roman" w:hAnsi="Times New Roman" w:cs="Times New Roman"/>
          <w:lang w:val="pl-PL"/>
        </w:rPr>
        <w:t>(A/HRC/17/27):</w:t>
      </w:r>
    </w:p>
    <w:p w:rsidR="00A220C6" w:rsidRPr="001A46FC"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“25.  </w:t>
      </w:r>
      <w:r w:rsidR="00F67435" w:rsidRPr="001A46FC">
        <w:rPr>
          <w:rFonts w:ascii="Times New Roman" w:hAnsi="Times New Roman" w:cs="Times New Roman"/>
          <w:lang w:val="pl-PL"/>
        </w:rPr>
        <w:t>Jako takie, uzasadnione rodzaje informacji, które mogą być ograniczone</w:t>
      </w:r>
      <w:r w:rsidR="007F396A" w:rsidRPr="001A46FC">
        <w:rPr>
          <w:rFonts w:ascii="Times New Roman" w:hAnsi="Times New Roman" w:cs="Times New Roman"/>
          <w:lang w:val="pl-PL"/>
        </w:rPr>
        <w:t>,</w:t>
      </w:r>
      <w:r w:rsidR="00F67435" w:rsidRPr="001A46FC">
        <w:rPr>
          <w:rFonts w:ascii="Times New Roman" w:hAnsi="Times New Roman" w:cs="Times New Roman"/>
          <w:lang w:val="pl-PL"/>
        </w:rPr>
        <w:t xml:space="preserve"> obejmują pornografię dziecięcą (w celu ochrony praw dzieci), mowę nienawiści (w celu ochrony praw społeczności zagrożonych), zniesławienie (w celu ochrony praw i reputacji innych osób przed </w:t>
      </w:r>
      <w:r w:rsidR="0066171A" w:rsidRPr="001A46FC">
        <w:rPr>
          <w:rFonts w:ascii="Times New Roman" w:hAnsi="Times New Roman" w:cs="Times New Roman"/>
          <w:lang w:val="pl-PL"/>
        </w:rPr>
        <w:t>nieuzasadnionymi atakami</w:t>
      </w:r>
      <w:r w:rsidR="00F67435" w:rsidRPr="001A46FC">
        <w:rPr>
          <w:rFonts w:ascii="Times New Roman" w:hAnsi="Times New Roman" w:cs="Times New Roman"/>
          <w:lang w:val="pl-PL"/>
        </w:rPr>
        <w:t xml:space="preserve">) bezpośrednie i publiczne podżeganie do popełnienia ludobójstwa (w celu ochrony praw innych osób) oraz </w:t>
      </w:r>
      <w:r w:rsidR="00CD1255" w:rsidRPr="001A46FC">
        <w:rPr>
          <w:rFonts w:ascii="Times New Roman" w:hAnsi="Times New Roman" w:cs="Times New Roman"/>
          <w:lang w:val="pl-PL"/>
        </w:rPr>
        <w:t>wspieranie</w:t>
      </w:r>
      <w:r w:rsidR="00F67435" w:rsidRPr="001A46FC">
        <w:rPr>
          <w:rFonts w:ascii="Times New Roman" w:hAnsi="Times New Roman" w:cs="Times New Roman"/>
          <w:lang w:val="pl-PL"/>
        </w:rPr>
        <w:t xml:space="preserve"> nienawiści narodowej, rasowej lub religijnej, stanowiące podżeganie do dyskryminacji, wrogości lub przemocy (w celu ochrony praw innych osób, takich jak prawo do życia).</w:t>
      </w:r>
    </w:p>
    <w:p w:rsidR="00A220C6" w:rsidRPr="001A46FC" w:rsidRDefault="00023366" w:rsidP="00171A6F">
      <w:pPr>
        <w:pStyle w:val="ECHRParaQuote"/>
        <w:rPr>
          <w:rFonts w:ascii="Times New Roman" w:hAnsi="Times New Roman" w:cs="Times New Roman"/>
          <w:lang w:val="pl-PL"/>
        </w:rPr>
      </w:pPr>
      <w:r w:rsidRPr="001A46FC">
        <w:rPr>
          <w:rFonts w:ascii="Times New Roman" w:hAnsi="Times New Roman" w:cs="Times New Roman"/>
          <w:lang w:val="pl-PL"/>
        </w:rPr>
        <w:t>...</w:t>
      </w:r>
    </w:p>
    <w:p w:rsidR="00CC12E3" w:rsidRPr="00B45853" w:rsidRDefault="00A220C6" w:rsidP="00171A6F">
      <w:pPr>
        <w:pStyle w:val="ECHRParaQuote"/>
        <w:rPr>
          <w:rFonts w:ascii="Times New Roman" w:hAnsi="Times New Roman" w:cs="Times New Roman"/>
          <w:lang w:val="pl-PL"/>
        </w:rPr>
      </w:pPr>
      <w:r w:rsidRPr="001A46FC">
        <w:rPr>
          <w:rFonts w:ascii="Times New Roman" w:hAnsi="Times New Roman" w:cs="Times New Roman"/>
          <w:lang w:val="pl-PL"/>
        </w:rPr>
        <w:t>27.  </w:t>
      </w:r>
      <w:r w:rsidR="00F67435" w:rsidRPr="001A46FC">
        <w:rPr>
          <w:rFonts w:ascii="Times New Roman" w:hAnsi="Times New Roman" w:cs="Times New Roman"/>
          <w:lang w:val="pl-PL"/>
        </w:rPr>
        <w:t>Ponadto, Specjalny Sprawozdawca podkreśla, że ze względu na wyją</w:t>
      </w:r>
      <w:r w:rsidR="00AD41F7" w:rsidRPr="001A46FC">
        <w:rPr>
          <w:rFonts w:ascii="Times New Roman" w:hAnsi="Times New Roman" w:cs="Times New Roman"/>
          <w:lang w:val="pl-PL"/>
        </w:rPr>
        <w:t>tkowe właściwości z Internetu, regulacje lub ograniczenia</w:t>
      </w:r>
      <w:r w:rsidR="00F67435" w:rsidRPr="001A46FC">
        <w:rPr>
          <w:rFonts w:ascii="Times New Roman" w:hAnsi="Times New Roman" w:cs="Times New Roman"/>
          <w:lang w:val="pl-PL"/>
        </w:rPr>
        <w:t>, które mogą zostać uznane za uzasadnione i proporcjonalne w odniesieniu do tradycyjnych mediów często nie są takie w odniesieniu do Internetu. Na przykład, w przypadku zniesławienia reputacji poszczególnych osób, ze względu na zdolność danej osoby do wykonywania jego / jej</w:t>
      </w:r>
      <w:r w:rsidR="00F67435" w:rsidRPr="00B45853">
        <w:rPr>
          <w:rFonts w:ascii="Times New Roman" w:hAnsi="Times New Roman" w:cs="Times New Roman"/>
          <w:lang w:val="pl-PL"/>
        </w:rPr>
        <w:t xml:space="preserve"> prawo do odpowiedzi w celi natychmiastowego odwrócenia spowodowanej szkody, rodzaje sankcji, które są stosowane wobec zniesławienia offline</w:t>
      </w:r>
      <w:r w:rsidR="007F396A" w:rsidRPr="00B45853">
        <w:rPr>
          <w:rFonts w:ascii="Times New Roman" w:hAnsi="Times New Roman" w:cs="Times New Roman"/>
          <w:lang w:val="pl-PL"/>
        </w:rPr>
        <w:t>,</w:t>
      </w:r>
      <w:r w:rsidR="00F67435" w:rsidRPr="00B45853">
        <w:rPr>
          <w:rFonts w:ascii="Times New Roman" w:hAnsi="Times New Roman" w:cs="Times New Roman"/>
          <w:lang w:val="pl-PL"/>
        </w:rPr>
        <w:t xml:space="preserve"> mogą być zbędne lub nieproporcjonalne</w:t>
      </w:r>
      <w:r w:rsidRPr="00B45853">
        <w:rPr>
          <w:rFonts w:ascii="Times New Roman" w:hAnsi="Times New Roman" w:cs="Times New Roman"/>
          <w:lang w:val="pl-PL"/>
        </w:rPr>
        <w:t xml:space="preserve">. </w:t>
      </w:r>
      <w:r w:rsidR="002837DA" w:rsidRPr="00B45853">
        <w:rPr>
          <w:rFonts w:ascii="Times New Roman" w:hAnsi="Times New Roman" w:cs="Times New Roman"/>
          <w:lang w:val="pl-PL"/>
        </w:rPr>
        <w:t>...</w:t>
      </w:r>
    </w:p>
    <w:p w:rsidR="00A220C6" w:rsidRPr="00B45853" w:rsidRDefault="0002336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2837DA"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43.  </w:t>
      </w:r>
      <w:r w:rsidR="00F67435" w:rsidRPr="00B45853">
        <w:rPr>
          <w:rFonts w:ascii="Times New Roman" w:hAnsi="Times New Roman" w:cs="Times New Roman"/>
          <w:lang w:val="pl-PL"/>
        </w:rPr>
        <w:t>Specjalny Sprawozdawca uważa, że środki cenzury nigdy nie powinny zostać przekazane podmiotowi prywatnemu i, że nikt nie powinien być pociągnięty do odpowiedzialności za treści w Internecie, których nie jest autorem. Rzeczywiście, żadne państwo nie powinno używać ani zmuszać pośredników do podjęcia cenzury w jego imieniu</w:t>
      </w:r>
      <w:r w:rsidR="00FD3495" w:rsidRPr="00B45853">
        <w:rPr>
          <w:rFonts w:ascii="Times New Roman" w:hAnsi="Times New Roman" w:cs="Times New Roman"/>
          <w:lang w:val="pl-PL"/>
        </w:rPr>
        <w:t>.</w:t>
      </w:r>
      <w:r w:rsidR="00EF3293" w:rsidRPr="00B45853">
        <w:rPr>
          <w:rFonts w:ascii="Times New Roman" w:hAnsi="Times New Roman" w:cs="Times New Roman"/>
          <w:lang w:val="pl-PL"/>
        </w:rPr>
        <w:t xml:space="preserve"> </w:t>
      </w:r>
      <w:r w:rsidR="002837DA" w:rsidRPr="00B45853">
        <w:rPr>
          <w:rFonts w:ascii="Times New Roman" w:hAnsi="Times New Roman" w:cs="Times New Roman"/>
          <w:lang w:val="pl-PL"/>
        </w:rPr>
        <w:t>...</w:t>
      </w:r>
    </w:p>
    <w:p w:rsidR="00A220C6" w:rsidRPr="00B45853" w:rsidRDefault="0002336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5463FD"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74.  </w:t>
      </w:r>
      <w:r w:rsidR="00F67435" w:rsidRPr="00B45853">
        <w:rPr>
          <w:rFonts w:ascii="Times New Roman" w:hAnsi="Times New Roman" w:cs="Times New Roman"/>
          <w:lang w:val="pl-PL"/>
        </w:rPr>
        <w:t xml:space="preserve">Pośrednicy odgrywają zasadniczą rolę w umożliwianiu użytkownikom Internetu korzystania z prawa do wolności wypowiedzi i dostępu do informacji. Biorąc pod uwagę ich </w:t>
      </w:r>
      <w:r w:rsidR="00F67435" w:rsidRPr="005463FD">
        <w:rPr>
          <w:rFonts w:ascii="Times New Roman" w:hAnsi="Times New Roman" w:cs="Times New Roman"/>
          <w:lang w:val="pl-PL"/>
        </w:rPr>
        <w:t>niespotykany wpływ na to</w:t>
      </w:r>
      <w:r w:rsidR="007F396A" w:rsidRPr="005463FD">
        <w:rPr>
          <w:rFonts w:ascii="Times New Roman" w:hAnsi="Times New Roman" w:cs="Times New Roman"/>
          <w:lang w:val="pl-PL"/>
        </w:rPr>
        <w:t>,</w:t>
      </w:r>
      <w:r w:rsidR="00F67435" w:rsidRPr="005463FD">
        <w:rPr>
          <w:rFonts w:ascii="Times New Roman" w:hAnsi="Times New Roman" w:cs="Times New Roman"/>
          <w:lang w:val="pl-PL"/>
        </w:rPr>
        <w:t xml:space="preserve"> jak i co krąży w Internecie, państwa coraz częściej starają się sprawować kontrolę nad nimi i </w:t>
      </w:r>
      <w:r w:rsidR="00AF419A" w:rsidRPr="005463FD">
        <w:rPr>
          <w:rFonts w:ascii="Times New Roman" w:hAnsi="Times New Roman" w:cs="Times New Roman"/>
          <w:lang w:val="pl-PL"/>
        </w:rPr>
        <w:t>u</w:t>
      </w:r>
      <w:r w:rsidR="00F67435" w:rsidRPr="005463FD">
        <w:rPr>
          <w:rFonts w:ascii="Times New Roman" w:hAnsi="Times New Roman" w:cs="Times New Roman"/>
          <w:lang w:val="pl-PL"/>
        </w:rPr>
        <w:t>trzym</w:t>
      </w:r>
      <w:r w:rsidR="00AF419A" w:rsidRPr="005463FD">
        <w:rPr>
          <w:rFonts w:ascii="Times New Roman" w:hAnsi="Times New Roman" w:cs="Times New Roman"/>
          <w:lang w:val="pl-PL"/>
        </w:rPr>
        <w:t xml:space="preserve">ują ich prawnie </w:t>
      </w:r>
      <w:r w:rsidR="00AF419A" w:rsidRPr="005463FD">
        <w:rPr>
          <w:rFonts w:ascii="Times New Roman" w:hAnsi="Times New Roman" w:cs="Times New Roman"/>
          <w:lang w:val="pl-PL"/>
        </w:rPr>
        <w:lastRenderedPageBreak/>
        <w:t>odpowiedzialnymi</w:t>
      </w:r>
      <w:r w:rsidR="00F67435" w:rsidRPr="005463FD">
        <w:rPr>
          <w:rFonts w:ascii="Times New Roman" w:hAnsi="Times New Roman" w:cs="Times New Roman"/>
          <w:lang w:val="pl-PL"/>
        </w:rPr>
        <w:t xml:space="preserve"> za </w:t>
      </w:r>
      <w:r w:rsidR="00812FD1" w:rsidRPr="005463FD">
        <w:rPr>
          <w:rFonts w:ascii="Times New Roman" w:hAnsi="Times New Roman" w:cs="Times New Roman"/>
          <w:lang w:val="pl-PL"/>
        </w:rPr>
        <w:t xml:space="preserve">ich </w:t>
      </w:r>
      <w:r w:rsidR="009227CF" w:rsidRPr="005463FD">
        <w:rPr>
          <w:rFonts w:ascii="Times New Roman" w:hAnsi="Times New Roman" w:cs="Times New Roman"/>
          <w:lang w:val="pl-PL"/>
        </w:rPr>
        <w:t>niezdolność</w:t>
      </w:r>
      <w:r w:rsidR="00812FD1" w:rsidRPr="005463FD">
        <w:rPr>
          <w:rFonts w:ascii="Times New Roman" w:hAnsi="Times New Roman" w:cs="Times New Roman"/>
          <w:lang w:val="pl-PL"/>
        </w:rPr>
        <w:t xml:space="preserve"> ograniczenia</w:t>
      </w:r>
      <w:r w:rsidR="00AF419A" w:rsidRPr="005463FD">
        <w:rPr>
          <w:rFonts w:ascii="Times New Roman" w:hAnsi="Times New Roman" w:cs="Times New Roman"/>
          <w:lang w:val="pl-PL"/>
        </w:rPr>
        <w:t xml:space="preserve"> dostępu do treści uznanych</w:t>
      </w:r>
      <w:r w:rsidR="00F67435" w:rsidRPr="005463FD">
        <w:rPr>
          <w:rFonts w:ascii="Times New Roman" w:hAnsi="Times New Roman" w:cs="Times New Roman"/>
          <w:lang w:val="pl-PL"/>
        </w:rPr>
        <w:t xml:space="preserve"> za nielegalne</w:t>
      </w:r>
      <w:r w:rsidRPr="005463FD">
        <w:rPr>
          <w:rFonts w:ascii="Times New Roman" w:hAnsi="Times New Roman" w:cs="Times New Roman"/>
          <w:lang w:val="pl-PL"/>
        </w:rPr>
        <w:t>.”</w:t>
      </w:r>
      <w:r w:rsidR="00812FD1" w:rsidRPr="005463FD">
        <w:rPr>
          <w:rFonts w:ascii="Times New Roman" w:hAnsi="Times New Roman" w:cs="Times New Roman"/>
          <w:lang w:val="pl-PL"/>
        </w:rPr>
        <w:t xml:space="preserve"> </w:t>
      </w:r>
    </w:p>
    <w:p w:rsidR="00A220C6" w:rsidRPr="00B45853" w:rsidRDefault="00DD67A4" w:rsidP="00171A6F">
      <w:pPr>
        <w:pStyle w:val="ECHRPara"/>
        <w:rPr>
          <w:rFonts w:ascii="Times New Roman" w:hAnsi="Times New Roman" w:cs="Times New Roman"/>
          <w:lang w:val="pl-PL"/>
        </w:rPr>
      </w:pPr>
      <w:r w:rsidRPr="005463FD">
        <w:rPr>
          <w:rFonts w:ascii="Times New Roman" w:hAnsi="Times New Roman" w:cs="Times New Roman"/>
          <w:lang w:val="en-GB"/>
        </w:rPr>
        <w:fldChar w:fldCharType="begin"/>
      </w:r>
      <w:r w:rsidR="00A220C6" w:rsidRPr="005463FD">
        <w:rPr>
          <w:rFonts w:ascii="Times New Roman" w:hAnsi="Times New Roman" w:cs="Times New Roman"/>
          <w:lang w:val="pl-PL"/>
        </w:rPr>
        <w:instrText xml:space="preserve"> SEQ level0 \*arabic </w:instrText>
      </w:r>
      <w:r w:rsidRPr="005463FD">
        <w:rPr>
          <w:rFonts w:ascii="Times New Roman" w:hAnsi="Times New Roman" w:cs="Times New Roman"/>
          <w:lang w:val="en-GB"/>
        </w:rPr>
        <w:fldChar w:fldCharType="separate"/>
      </w:r>
      <w:r w:rsidR="002F0EE0" w:rsidRPr="005463FD">
        <w:rPr>
          <w:rFonts w:ascii="Times New Roman" w:hAnsi="Times New Roman" w:cs="Times New Roman"/>
          <w:noProof/>
          <w:lang w:val="pl-PL"/>
        </w:rPr>
        <w:t>49</w:t>
      </w:r>
      <w:r w:rsidRPr="005463FD">
        <w:rPr>
          <w:rFonts w:ascii="Times New Roman" w:hAnsi="Times New Roman" w:cs="Times New Roman"/>
          <w:lang w:val="en-GB"/>
        </w:rPr>
        <w:fldChar w:fldCharType="end"/>
      </w:r>
      <w:r w:rsidR="00A220C6" w:rsidRPr="005463FD">
        <w:rPr>
          <w:rFonts w:ascii="Times New Roman" w:hAnsi="Times New Roman" w:cs="Times New Roman"/>
          <w:lang w:val="pl-PL"/>
        </w:rPr>
        <w:t>.  </w:t>
      </w:r>
      <w:r w:rsidR="00AF419A" w:rsidRPr="005463FD">
        <w:rPr>
          <w:rFonts w:ascii="Times New Roman" w:hAnsi="Times New Roman" w:cs="Times New Roman"/>
          <w:lang w:val="pl-PL"/>
        </w:rPr>
        <w:t>Wspólna Deklaracja</w:t>
      </w:r>
      <w:r w:rsidR="00A220C6" w:rsidRPr="005463FD">
        <w:rPr>
          <w:rFonts w:ascii="Times New Roman" w:hAnsi="Times New Roman" w:cs="Times New Roman"/>
          <w:lang w:val="pl-PL"/>
        </w:rPr>
        <w:t xml:space="preserve"> </w:t>
      </w:r>
      <w:r w:rsidR="00AF419A" w:rsidRPr="005463FD">
        <w:rPr>
          <w:rFonts w:ascii="Times New Roman" w:hAnsi="Times New Roman" w:cs="Times New Roman"/>
          <w:lang w:val="pl-PL"/>
        </w:rPr>
        <w:t>Specjalnego Sprawozdawcy ONZ</w:t>
      </w:r>
      <w:r w:rsidR="00A220C6" w:rsidRPr="005463FD">
        <w:rPr>
          <w:rFonts w:ascii="Times New Roman" w:hAnsi="Times New Roman" w:cs="Times New Roman"/>
          <w:lang w:val="pl-PL"/>
        </w:rPr>
        <w:t xml:space="preserve"> </w:t>
      </w:r>
      <w:r w:rsidR="00AF419A" w:rsidRPr="005463FD">
        <w:rPr>
          <w:rFonts w:ascii="Times New Roman" w:hAnsi="Times New Roman" w:cs="Times New Roman"/>
          <w:lang w:val="pl-PL"/>
        </w:rPr>
        <w:t xml:space="preserve">do spraw Wolności </w:t>
      </w:r>
      <w:r w:rsidR="009227CF" w:rsidRPr="005463FD">
        <w:rPr>
          <w:rFonts w:ascii="Times New Roman" w:hAnsi="Times New Roman" w:cs="Times New Roman"/>
          <w:lang w:val="pl-PL"/>
        </w:rPr>
        <w:t xml:space="preserve">Wyrażania </w:t>
      </w:r>
      <w:r w:rsidR="00AF419A" w:rsidRPr="005463FD">
        <w:rPr>
          <w:rFonts w:ascii="Times New Roman" w:hAnsi="Times New Roman" w:cs="Times New Roman"/>
          <w:lang w:val="pl-PL"/>
        </w:rPr>
        <w:t xml:space="preserve">Opinii i Wypowiedzi, Przedstawiciela </w:t>
      </w:r>
      <w:r w:rsidR="00A220C6" w:rsidRPr="005463FD">
        <w:rPr>
          <w:rFonts w:ascii="Times New Roman" w:hAnsi="Times New Roman" w:cs="Times New Roman"/>
          <w:lang w:val="pl-PL"/>
        </w:rPr>
        <w:t>O</w:t>
      </w:r>
      <w:r w:rsidR="00AF419A" w:rsidRPr="005463FD">
        <w:rPr>
          <w:rFonts w:ascii="Times New Roman" w:hAnsi="Times New Roman" w:cs="Times New Roman"/>
          <w:lang w:val="pl-PL"/>
        </w:rPr>
        <w:t>BWE</w:t>
      </w:r>
      <w:r w:rsidR="00A220C6" w:rsidRPr="005463FD">
        <w:rPr>
          <w:rFonts w:ascii="Times New Roman" w:hAnsi="Times New Roman" w:cs="Times New Roman"/>
          <w:lang w:val="pl-PL"/>
        </w:rPr>
        <w:t xml:space="preserve"> </w:t>
      </w:r>
      <w:r w:rsidR="00AF419A" w:rsidRPr="005463FD">
        <w:rPr>
          <w:rFonts w:ascii="Times New Roman" w:hAnsi="Times New Roman" w:cs="Times New Roman"/>
          <w:lang w:val="pl-PL"/>
        </w:rPr>
        <w:t>w sprawie Wolności Mediów</w:t>
      </w:r>
      <w:r w:rsidR="00A220C6" w:rsidRPr="005463FD">
        <w:rPr>
          <w:rFonts w:ascii="Times New Roman" w:hAnsi="Times New Roman" w:cs="Times New Roman"/>
          <w:lang w:val="pl-PL"/>
        </w:rPr>
        <w:t xml:space="preserve"> </w:t>
      </w:r>
      <w:r w:rsidR="00AF419A" w:rsidRPr="005463FD">
        <w:rPr>
          <w:rFonts w:ascii="Times New Roman" w:hAnsi="Times New Roman" w:cs="Times New Roman"/>
          <w:lang w:val="pl-PL"/>
        </w:rPr>
        <w:t>i Specjalnego Sprawozdawcy</w:t>
      </w:r>
      <w:r w:rsidR="00AF419A" w:rsidRPr="00B45853">
        <w:rPr>
          <w:rFonts w:ascii="Times New Roman" w:hAnsi="Times New Roman" w:cs="Times New Roman"/>
          <w:lang w:val="pl-PL"/>
        </w:rPr>
        <w:t xml:space="preserve"> OPA</w:t>
      </w:r>
      <w:r w:rsidR="00A220C6" w:rsidRPr="00B45853">
        <w:rPr>
          <w:rFonts w:ascii="Times New Roman" w:hAnsi="Times New Roman" w:cs="Times New Roman"/>
          <w:lang w:val="pl-PL"/>
        </w:rPr>
        <w:t xml:space="preserve"> </w:t>
      </w:r>
      <w:r w:rsidR="00AF419A" w:rsidRPr="00B45853">
        <w:rPr>
          <w:rFonts w:ascii="Times New Roman" w:hAnsi="Times New Roman" w:cs="Times New Roman"/>
          <w:lang w:val="pl-PL"/>
        </w:rPr>
        <w:t>o Wolności Słowa</w:t>
      </w:r>
      <w:r w:rsidR="00A220C6" w:rsidRPr="00B45853">
        <w:rPr>
          <w:rFonts w:ascii="Times New Roman" w:hAnsi="Times New Roman" w:cs="Times New Roman"/>
          <w:lang w:val="pl-PL"/>
        </w:rPr>
        <w:t xml:space="preserve">, </w:t>
      </w:r>
      <w:r w:rsidR="00AF419A" w:rsidRPr="00B45853">
        <w:rPr>
          <w:rFonts w:ascii="Times New Roman" w:hAnsi="Times New Roman" w:cs="Times New Roman"/>
          <w:lang w:val="pl-PL"/>
        </w:rPr>
        <w:t>przyjęta w dniu</w:t>
      </w:r>
      <w:r w:rsidR="00A220C6" w:rsidRPr="00B45853">
        <w:rPr>
          <w:rFonts w:ascii="Times New Roman" w:hAnsi="Times New Roman" w:cs="Times New Roman"/>
          <w:lang w:val="pl-PL"/>
        </w:rPr>
        <w:t xml:space="preserve"> 21 </w:t>
      </w:r>
      <w:r w:rsidR="00AF419A" w:rsidRPr="00B45853">
        <w:rPr>
          <w:rFonts w:ascii="Times New Roman" w:hAnsi="Times New Roman" w:cs="Times New Roman"/>
          <w:lang w:val="pl-PL"/>
        </w:rPr>
        <w:t xml:space="preserve">Grudnia </w:t>
      </w:r>
      <w:r w:rsidR="00A220C6" w:rsidRPr="00B45853">
        <w:rPr>
          <w:rFonts w:ascii="Times New Roman" w:hAnsi="Times New Roman" w:cs="Times New Roman"/>
          <w:lang w:val="pl-PL"/>
        </w:rPr>
        <w:t>2005</w:t>
      </w:r>
      <w:r w:rsidR="00AF419A" w:rsidRPr="00B45853">
        <w:rPr>
          <w:rFonts w:ascii="Times New Roman" w:hAnsi="Times New Roman" w:cs="Times New Roman"/>
          <w:lang w:val="pl-PL"/>
        </w:rPr>
        <w:t xml:space="preserve"> roku</w:t>
      </w:r>
      <w:r w:rsidR="00A220C6" w:rsidRPr="00B45853">
        <w:rPr>
          <w:rFonts w:ascii="Times New Roman" w:hAnsi="Times New Roman" w:cs="Times New Roman"/>
          <w:lang w:val="pl-PL"/>
        </w:rPr>
        <w:t xml:space="preserve">, </w:t>
      </w:r>
      <w:r w:rsidR="00AF419A" w:rsidRPr="00B45853">
        <w:rPr>
          <w:rFonts w:ascii="Times New Roman" w:hAnsi="Times New Roman" w:cs="Times New Roman"/>
          <w:lang w:val="pl-PL"/>
        </w:rPr>
        <w:t>stwierdza, co następuje</w:t>
      </w:r>
      <w:r w:rsidR="00A220C6" w:rsidRPr="00B45853">
        <w:rPr>
          <w:rFonts w:ascii="Times New Roman" w:hAnsi="Times New Roman" w:cs="Times New Roman"/>
          <w:lang w:val="pl-PL"/>
        </w:rPr>
        <w:t>:</w:t>
      </w:r>
    </w:p>
    <w:p w:rsidR="00B413BF"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AF419A" w:rsidRPr="00B45853">
        <w:rPr>
          <w:rFonts w:ascii="Times New Roman" w:hAnsi="Times New Roman" w:cs="Times New Roman"/>
          <w:lang w:val="pl-PL"/>
        </w:rPr>
        <w:t xml:space="preserve">Nikt nie powinien być odpowiedzialny </w:t>
      </w:r>
      <w:r w:rsidR="00AF419A" w:rsidRPr="005463FD">
        <w:rPr>
          <w:rFonts w:ascii="Times New Roman" w:hAnsi="Times New Roman" w:cs="Times New Roman"/>
          <w:lang w:val="pl-PL"/>
        </w:rPr>
        <w:t>za treści w Internecie, których nie jest autorem, chyba ż</w:t>
      </w:r>
      <w:r w:rsidR="009227CF" w:rsidRPr="005463FD">
        <w:rPr>
          <w:rFonts w:ascii="Times New Roman" w:hAnsi="Times New Roman" w:cs="Times New Roman"/>
          <w:lang w:val="pl-PL"/>
        </w:rPr>
        <w:t>e albo przyjął, treści jako swoje</w:t>
      </w:r>
      <w:r w:rsidR="005463FD" w:rsidRPr="005463FD">
        <w:rPr>
          <w:rFonts w:ascii="Times New Roman" w:hAnsi="Times New Roman" w:cs="Times New Roman"/>
          <w:lang w:val="pl-PL"/>
        </w:rPr>
        <w:t xml:space="preserve"> własne</w:t>
      </w:r>
      <w:r w:rsidR="00AF419A" w:rsidRPr="005463FD">
        <w:rPr>
          <w:rFonts w:ascii="Times New Roman" w:hAnsi="Times New Roman" w:cs="Times New Roman"/>
          <w:lang w:val="pl-PL"/>
        </w:rPr>
        <w:t xml:space="preserve"> lub odmówił wypełnienia nakazu sądowego usunięcia tych treści</w:t>
      </w:r>
      <w:r w:rsidRPr="005463FD">
        <w:rPr>
          <w:rFonts w:ascii="Times New Roman" w:hAnsi="Times New Roman" w:cs="Times New Roman"/>
          <w:lang w:val="pl-PL"/>
        </w:rPr>
        <w:t>.”</w:t>
      </w:r>
    </w:p>
    <w:p w:rsidR="00A220C6" w:rsidRPr="00B45853" w:rsidRDefault="00A220C6" w:rsidP="00171A6F">
      <w:pPr>
        <w:pStyle w:val="ECHRHeading1"/>
        <w:spacing w:before="480" w:after="120"/>
        <w:rPr>
          <w:rFonts w:ascii="Times New Roman" w:hAnsi="Times New Roman" w:cs="Times New Roman"/>
          <w:lang w:val="pl-PL"/>
        </w:rPr>
      </w:pPr>
      <w:bookmarkStart w:id="10" w:name="_Toc420072861"/>
      <w:r w:rsidRPr="00B45853">
        <w:rPr>
          <w:rFonts w:ascii="Times New Roman" w:hAnsi="Times New Roman" w:cs="Times New Roman"/>
          <w:lang w:val="pl-PL"/>
        </w:rPr>
        <w:t>IV.  </w:t>
      </w:r>
      <w:r w:rsidR="00AF419A" w:rsidRPr="00B45853">
        <w:rPr>
          <w:rFonts w:ascii="Times New Roman" w:hAnsi="Times New Roman" w:cs="Times New Roman"/>
          <w:lang w:val="pl-PL"/>
        </w:rPr>
        <w:t>ODPOWIEDNI MATERIAŁ PRAWA UNII EUROPEJSKIEJ I PRAWA PORÓWNAWCZEGO</w:t>
      </w:r>
      <w:bookmarkEnd w:id="10"/>
    </w:p>
    <w:p w:rsidR="00A220C6" w:rsidRPr="00B45853" w:rsidRDefault="00A220C6" w:rsidP="00171A6F">
      <w:pPr>
        <w:pStyle w:val="ECHRHeading2"/>
        <w:rPr>
          <w:rFonts w:ascii="Times New Roman" w:hAnsi="Times New Roman" w:cs="Times New Roman"/>
          <w:lang w:val="pl-PL"/>
        </w:rPr>
      </w:pPr>
      <w:bookmarkStart w:id="11" w:name="_Toc420072862"/>
      <w:r w:rsidRPr="00B45853">
        <w:rPr>
          <w:rFonts w:ascii="Times New Roman" w:hAnsi="Times New Roman" w:cs="Times New Roman"/>
          <w:lang w:val="pl-PL"/>
        </w:rPr>
        <w:t>A.  </w:t>
      </w:r>
      <w:r w:rsidR="00AF419A" w:rsidRPr="00B45853">
        <w:rPr>
          <w:rFonts w:ascii="Times New Roman" w:hAnsi="Times New Roman" w:cs="Times New Roman"/>
          <w:lang w:val="pl-PL"/>
        </w:rPr>
        <w:t>Dokumenty i orzecznictwo Unii Europejskiej</w:t>
      </w:r>
      <w:bookmarkEnd w:id="11"/>
    </w:p>
    <w:p w:rsidR="00A220C6" w:rsidRPr="00B45853" w:rsidRDefault="00A220C6" w:rsidP="00171A6F">
      <w:pPr>
        <w:pStyle w:val="ECHRHeading3"/>
        <w:rPr>
          <w:rFonts w:ascii="Times New Roman" w:hAnsi="Times New Roman" w:cs="Times New Roman"/>
          <w:lang w:val="pl-PL"/>
        </w:rPr>
      </w:pPr>
      <w:bookmarkStart w:id="12" w:name="_Toc420072863"/>
      <w:r w:rsidRPr="00B45853">
        <w:rPr>
          <w:rFonts w:ascii="Times New Roman" w:hAnsi="Times New Roman" w:cs="Times New Roman"/>
          <w:lang w:val="pl-PL"/>
        </w:rPr>
        <w:t>1.  D</w:t>
      </w:r>
      <w:r w:rsidR="00AF419A" w:rsidRPr="00B45853">
        <w:rPr>
          <w:rFonts w:ascii="Times New Roman" w:hAnsi="Times New Roman" w:cs="Times New Roman"/>
          <w:lang w:val="pl-PL"/>
        </w:rPr>
        <w:t>yrektywa</w:t>
      </w:r>
      <w:r w:rsidRPr="00B45853">
        <w:rPr>
          <w:rFonts w:ascii="Times New Roman" w:hAnsi="Times New Roman" w:cs="Times New Roman"/>
          <w:lang w:val="pl-PL"/>
        </w:rPr>
        <w:t xml:space="preserve"> 2000/31/EC</w:t>
      </w:r>
      <w:bookmarkEnd w:id="12"/>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AF419A" w:rsidRPr="00B45853">
        <w:rPr>
          <w:rFonts w:ascii="Times New Roman" w:hAnsi="Times New Roman" w:cs="Times New Roman"/>
          <w:lang w:val="pl-PL"/>
        </w:rPr>
        <w:t>Odpowiednie części dyrektywy 2000/31 / WE Parlamentu Europejskiego i Rady</w:t>
      </w:r>
      <w:r w:rsidR="000008D6" w:rsidRPr="00B45853">
        <w:rPr>
          <w:rFonts w:ascii="Times New Roman" w:hAnsi="Times New Roman" w:cs="Times New Roman"/>
          <w:lang w:val="pl-PL"/>
        </w:rPr>
        <w:t xml:space="preserve"> Europejskiej</w:t>
      </w:r>
      <w:r w:rsidR="00AF419A" w:rsidRPr="00B45853">
        <w:rPr>
          <w:rFonts w:ascii="Times New Roman" w:hAnsi="Times New Roman" w:cs="Times New Roman"/>
          <w:lang w:val="pl-PL"/>
        </w:rPr>
        <w:t xml:space="preserve"> z dnia 8 czerwca 2000 roku w sprawie niektórych aspektów prawnych usług społeczeństwa informacyjnego, w szczególności handlu elektronicznego w ramach rynku wewnętrznego </w:t>
      </w:r>
      <w:r w:rsidR="00A220C6" w:rsidRPr="00B45853">
        <w:rPr>
          <w:rFonts w:ascii="Times New Roman" w:hAnsi="Times New Roman" w:cs="Times New Roman"/>
          <w:lang w:val="pl-PL"/>
        </w:rPr>
        <w:t>(D</w:t>
      </w:r>
      <w:r w:rsidR="00AF419A" w:rsidRPr="00B45853">
        <w:rPr>
          <w:rFonts w:ascii="Times New Roman" w:hAnsi="Times New Roman" w:cs="Times New Roman"/>
          <w:lang w:val="pl-PL"/>
        </w:rPr>
        <w:t>yrektywa o</w:t>
      </w:r>
      <w:r w:rsidR="00A220C6" w:rsidRPr="00B45853">
        <w:rPr>
          <w:rFonts w:ascii="Times New Roman" w:hAnsi="Times New Roman" w:cs="Times New Roman"/>
          <w:lang w:val="pl-PL"/>
        </w:rPr>
        <w:t xml:space="preserve"> </w:t>
      </w:r>
      <w:r w:rsidR="00AF419A" w:rsidRPr="00B45853">
        <w:rPr>
          <w:rFonts w:ascii="Times New Roman" w:hAnsi="Times New Roman" w:cs="Times New Roman"/>
          <w:lang w:val="pl-PL"/>
        </w:rPr>
        <w:t>handlu elektronicznym</w:t>
      </w:r>
      <w:r w:rsidR="00A220C6" w:rsidRPr="00B45853">
        <w:rPr>
          <w:rFonts w:ascii="Times New Roman" w:hAnsi="Times New Roman" w:cs="Times New Roman"/>
          <w:lang w:val="pl-PL"/>
        </w:rPr>
        <w:t xml:space="preserve">) </w:t>
      </w:r>
      <w:r w:rsidR="00AF419A" w:rsidRPr="00B45853">
        <w:rPr>
          <w:rFonts w:ascii="Times New Roman" w:hAnsi="Times New Roman" w:cs="Times New Roman"/>
          <w:lang w:val="pl-PL"/>
        </w:rPr>
        <w:t>stanowi, co następuje</w:t>
      </w:r>
      <w:r w:rsidR="00A220C6" w:rsidRPr="00B45853">
        <w:rPr>
          <w:rFonts w:ascii="Times New Roman" w:hAnsi="Times New Roman" w:cs="Times New Roman"/>
          <w:lang w:val="pl-PL"/>
        </w:rPr>
        <w:t>:</w:t>
      </w:r>
    </w:p>
    <w:p w:rsidR="00BD4E8C" w:rsidRPr="00B45853" w:rsidRDefault="00054F93" w:rsidP="00BD4E8C">
      <w:pPr>
        <w:pStyle w:val="ECHRParaQuote"/>
        <w:rPr>
          <w:rFonts w:ascii="Times New Roman" w:hAnsi="Times New Roman" w:cs="Times New Roman"/>
          <w:lang w:val="pl-PL"/>
        </w:rPr>
      </w:pPr>
      <w:r w:rsidRPr="00B45853">
        <w:rPr>
          <w:rFonts w:ascii="Times New Roman" w:hAnsi="Times New Roman" w:cs="Times New Roman"/>
          <w:lang w:val="pl-PL"/>
        </w:rPr>
        <w:t>“</w:t>
      </w:r>
      <w:r w:rsidR="007F396A" w:rsidRPr="00B45853">
        <w:rPr>
          <w:rFonts w:ascii="Times New Roman" w:hAnsi="Times New Roman" w:cs="Times New Roman"/>
          <w:lang w:val="pl-PL"/>
        </w:rPr>
        <w:t>(9)</w:t>
      </w:r>
      <w:r w:rsidR="00A220C6" w:rsidRPr="00B45853">
        <w:rPr>
          <w:rFonts w:ascii="Times New Roman" w:hAnsi="Times New Roman" w:cs="Times New Roman"/>
          <w:lang w:val="pl-PL"/>
        </w:rPr>
        <w:t> </w:t>
      </w:r>
      <w:r w:rsidR="00BD4E8C" w:rsidRPr="00B45853">
        <w:rPr>
          <w:rFonts w:ascii="Times New Roman" w:hAnsi="Times New Roman" w:cs="Times New Roman"/>
          <w:lang w:val="pl-PL"/>
        </w:rPr>
        <w:t>W wielu przypadkach swobodny przepływ usług społeczeństwa informacyjnego może w szczególny sposób odzwierciedlać w prawie wspólnotowym ogólniejszą zasadę, mianowicie wolność wyrażania opinii zawartą w art. 10 ust. 1 Konwencji o ochronie praw człowieka i podstawowych wolności, która została ratyfikowana przez wszystkie Państwa Członkowskie; z tego powodu dyrektywy odnoszące się do świadczenia usług społeczeństwa informacyjnego muszą zapewniać, aby działalność ta mogła być prowadzona swobodnie w świetle tego artykułu, z zastrzeżeniem jedynie ograniczeń przewidzianych w ust. 2 tego artykułu i w art. 46 ust. 1 Traktatu; niniejsza dyrektywa nie ma na celu wywierania wpływu na podstawowe reguły krajowe oraz zasady odnoszące się do wolności wyrażania opinii.</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BD4E8C" w:rsidRPr="00B45853" w:rsidRDefault="007F396A" w:rsidP="00BD4E8C">
      <w:pPr>
        <w:pStyle w:val="ECHRParaQuote"/>
        <w:rPr>
          <w:rFonts w:ascii="Times New Roman" w:hAnsi="Times New Roman" w:cs="Times New Roman"/>
          <w:lang w:val="pl-PL"/>
        </w:rPr>
      </w:pPr>
      <w:r w:rsidRPr="00B45853">
        <w:rPr>
          <w:rFonts w:ascii="Times New Roman" w:hAnsi="Times New Roman" w:cs="Times New Roman"/>
          <w:lang w:val="pl-PL"/>
        </w:rPr>
        <w:t>(42)</w:t>
      </w:r>
      <w:r w:rsidR="00A220C6" w:rsidRPr="00B45853">
        <w:rPr>
          <w:rFonts w:ascii="Times New Roman" w:hAnsi="Times New Roman" w:cs="Times New Roman"/>
          <w:lang w:val="pl-PL"/>
        </w:rPr>
        <w:t> </w:t>
      </w:r>
      <w:r w:rsidR="00BD4E8C" w:rsidRPr="00B45853">
        <w:rPr>
          <w:rFonts w:ascii="Times New Roman" w:hAnsi="Times New Roman" w:cs="Times New Roman"/>
          <w:lang w:val="pl-PL"/>
        </w:rPr>
        <w:t>Wyłączenia w dziedzinie odpowiedzialności ustanowione w niniejszej dyrektywie obejmują jedynie przypadki, w których działalność podmiotu świadczącego usługi społeczeństwa informacyjnego jest ograniczona do technicznego procesu obsługi i udzielania dostępu do sieci komunikacyjnej, w której informacje udostępniane przez osoby trzecie są przekazywane lub przechowywane czasowo, w celu poprawienia skuteczności przekazu; działanie takie przybiera charakter czysto techniczny, automatyczny i bierny, który zakłada, że podmiot świadczący usługi społeczeństwa informacyjnego nie posiada wiedzy o informacjach przekazywanych lub przechowywanych ani kontroli nad nimi.</w:t>
      </w:r>
    </w:p>
    <w:p w:rsidR="00BD4E8C" w:rsidRPr="00B45853" w:rsidRDefault="00BD4E8C" w:rsidP="00BD4E8C">
      <w:pPr>
        <w:pStyle w:val="ECHRParaQuote"/>
        <w:rPr>
          <w:rFonts w:ascii="Times New Roman" w:hAnsi="Times New Roman" w:cs="Times New Roman"/>
          <w:lang w:val="pl-PL"/>
        </w:rPr>
      </w:pPr>
      <w:r w:rsidRPr="00B45853">
        <w:rPr>
          <w:rFonts w:ascii="Times New Roman" w:hAnsi="Times New Roman" w:cs="Times New Roman"/>
          <w:lang w:val="pl-PL"/>
        </w:rPr>
        <w:t xml:space="preserve"> </w:t>
      </w:r>
      <w:r w:rsidR="007F396A" w:rsidRPr="00B45853">
        <w:rPr>
          <w:rFonts w:ascii="Times New Roman" w:hAnsi="Times New Roman" w:cs="Times New Roman"/>
          <w:lang w:val="pl-PL"/>
        </w:rPr>
        <w:t>(43)</w:t>
      </w:r>
      <w:r w:rsidR="00A220C6" w:rsidRPr="00B45853">
        <w:rPr>
          <w:rFonts w:ascii="Times New Roman" w:hAnsi="Times New Roman" w:cs="Times New Roman"/>
          <w:lang w:val="pl-PL"/>
        </w:rPr>
        <w:t> </w:t>
      </w:r>
      <w:r w:rsidRPr="00B45853">
        <w:rPr>
          <w:rFonts w:ascii="Times New Roman" w:hAnsi="Times New Roman" w:cs="Times New Roman"/>
          <w:lang w:val="pl-PL"/>
        </w:rPr>
        <w:t>Usługodawca może korzystać z wyłączenia dla "zwykłego przekazu" oraz dla "</w:t>
      </w:r>
      <w:proofErr w:type="spellStart"/>
      <w:r w:rsidRPr="00B45853">
        <w:rPr>
          <w:rFonts w:ascii="Times New Roman" w:hAnsi="Times New Roman" w:cs="Times New Roman"/>
          <w:lang w:val="pl-PL"/>
        </w:rPr>
        <w:t>cachingu</w:t>
      </w:r>
      <w:proofErr w:type="spellEnd"/>
      <w:r w:rsidRPr="00B45853">
        <w:rPr>
          <w:rFonts w:ascii="Times New Roman" w:hAnsi="Times New Roman" w:cs="Times New Roman"/>
          <w:lang w:val="pl-PL"/>
        </w:rPr>
        <w:t xml:space="preserve">", jeżeli nie jest on związany z przekazywaną informacją; wymaga to między innymi, aby nie modyfikował on informacji, które przekazuje; wymaganie to </w:t>
      </w:r>
      <w:r w:rsidRPr="00B45853">
        <w:rPr>
          <w:rFonts w:ascii="Times New Roman" w:hAnsi="Times New Roman" w:cs="Times New Roman"/>
          <w:lang w:val="pl-PL"/>
        </w:rPr>
        <w:lastRenderedPageBreak/>
        <w:t>nie obejmuje czynności o charakterze technicznym, które mają miejsce podczas przekazu, jeśli nie wpływają one na integralność informacji zawartej w przekazie.</w:t>
      </w:r>
    </w:p>
    <w:p w:rsidR="00BD4E8C" w:rsidRPr="00B45853" w:rsidRDefault="00BD4E8C" w:rsidP="00BD4E8C">
      <w:pPr>
        <w:pStyle w:val="ECHRParaQuote"/>
        <w:rPr>
          <w:rFonts w:ascii="Times New Roman" w:hAnsi="Times New Roman" w:cs="Times New Roman"/>
          <w:lang w:val="pl-PL"/>
        </w:rPr>
      </w:pPr>
      <w:r w:rsidRPr="00B45853">
        <w:rPr>
          <w:rFonts w:ascii="Times New Roman" w:hAnsi="Times New Roman" w:cs="Times New Roman"/>
          <w:lang w:val="pl-PL"/>
        </w:rPr>
        <w:t xml:space="preserve"> Usługodawca, który współpracuje rozmyślnie z jednym ze swoich usługobiorców w celu bezprawnego działania, wykracza poza działalność "zwykłego przekazu" lub "buforowania" oraz w konsekwencji nie może korzystać z wyłączeń odpowiedzialności przewidzianych dla tego typu działalności.</w:t>
      </w:r>
    </w:p>
    <w:p w:rsidR="00BD4E8C" w:rsidRPr="00B45853" w:rsidRDefault="00BD4E8C" w:rsidP="00BD4E8C">
      <w:pPr>
        <w:pStyle w:val="ECHRPara"/>
        <w:rPr>
          <w:rFonts w:ascii="Times New Roman" w:hAnsi="Times New Roman" w:cs="Times New Roman"/>
          <w:lang w:val="pl-PL"/>
        </w:rPr>
      </w:pPr>
    </w:p>
    <w:p w:rsidR="00BD4E8C" w:rsidRPr="00B45853" w:rsidRDefault="00BD4E8C" w:rsidP="00BD4E8C">
      <w:pPr>
        <w:pStyle w:val="ECHRParaQuote"/>
        <w:rPr>
          <w:rFonts w:ascii="Times New Roman" w:hAnsi="Times New Roman" w:cs="Times New Roman"/>
          <w:lang w:val="pl-PL"/>
        </w:rPr>
      </w:pPr>
      <w:r w:rsidRPr="00B45853">
        <w:rPr>
          <w:rFonts w:ascii="Times New Roman" w:hAnsi="Times New Roman" w:cs="Times New Roman"/>
          <w:lang w:val="pl-PL"/>
        </w:rPr>
        <w:t>(45) Ograniczenia odpowiedzialności usługodawców będących pośrednikami przewidziane w niniejszej dyrektywie nie mają wpływu na możliwości zakazów sądowych różnych typów; zakazy takie mogą przede wszystkim przybierać formę orzeczeń sądów lub innych organów administracyjnych wymagających, aby usunąć lub zapobiec każdemu naruszeniu prawa, łącznie z usunięciem bezprawnych informacji lub uniemożliwieniem dostępu do nich.</w:t>
      </w:r>
    </w:p>
    <w:p w:rsidR="00BD4E8C" w:rsidRPr="00B45853" w:rsidRDefault="00BD4E8C" w:rsidP="00BD4E8C">
      <w:pPr>
        <w:pStyle w:val="ECHRPara"/>
        <w:rPr>
          <w:rFonts w:ascii="Times New Roman" w:hAnsi="Times New Roman" w:cs="Times New Roman"/>
          <w:lang w:val="pl-PL"/>
        </w:rPr>
      </w:pPr>
    </w:p>
    <w:p w:rsidR="00BD4E8C" w:rsidRPr="00B45853" w:rsidRDefault="00BD4E8C" w:rsidP="00BD4E8C">
      <w:pPr>
        <w:pStyle w:val="ECHRParaQuote"/>
        <w:rPr>
          <w:rFonts w:ascii="Times New Roman" w:hAnsi="Times New Roman" w:cs="Times New Roman"/>
          <w:lang w:val="pl-PL"/>
        </w:rPr>
      </w:pPr>
      <w:r w:rsidRPr="00B45853">
        <w:rPr>
          <w:rFonts w:ascii="Times New Roman" w:hAnsi="Times New Roman" w:cs="Times New Roman"/>
          <w:lang w:val="pl-PL"/>
        </w:rPr>
        <w:t>(46) W celu skorzystania z ograniczenia odpowiedzialności podmiot świadczący usługi społeczeństwa informacyjnego polegające na przechowywaniu informacji od chwili faktycznego zapoznania się z informacją lub powzięcia wiadomości o bezprawnej działalności musi niezwłocznie podjąć działania w celu usunięcia lub uniemożliwienia dostępu do przedmiotowych informacji; usuwanie lub uniemożliwianie dostępu musi być przeprowadzane w poszanowaniu zasady wolności wyrażania opinii oraz procedur ustanowionych w tym celu na poziomie krajowym; niniejsza dyrektywa nie ma wpływu na możliwość Państw Członkowskich ustalania wymagań szczególnych, które muszą być natychmiast spełnione, zanim informacje zostaną usunięte lub uniemożliwi się do nich dostęp.</w:t>
      </w:r>
    </w:p>
    <w:p w:rsidR="00BD4E8C" w:rsidRPr="00B45853" w:rsidRDefault="00BD4E8C" w:rsidP="00BD4E8C">
      <w:pPr>
        <w:pStyle w:val="ECHRPara"/>
        <w:rPr>
          <w:rFonts w:ascii="Times New Roman" w:hAnsi="Times New Roman" w:cs="Times New Roman"/>
          <w:lang w:val="pl-PL"/>
        </w:rPr>
      </w:pPr>
    </w:p>
    <w:p w:rsidR="00BD4E8C" w:rsidRPr="00B45853" w:rsidRDefault="00BD4E8C" w:rsidP="00BD4E8C">
      <w:pPr>
        <w:pStyle w:val="ECHRParaQuote"/>
        <w:rPr>
          <w:rFonts w:ascii="Times New Roman" w:hAnsi="Times New Roman" w:cs="Times New Roman"/>
          <w:lang w:val="pl-PL"/>
        </w:rPr>
      </w:pPr>
      <w:r w:rsidRPr="00B45853">
        <w:rPr>
          <w:rFonts w:ascii="Times New Roman" w:hAnsi="Times New Roman" w:cs="Times New Roman"/>
          <w:lang w:val="pl-PL"/>
        </w:rPr>
        <w:t>(47) Państwa Członkowskie nie mogą nakładać na usługodawców obowiązku nadzoru jedynie w odniesieniu do obowiązków o charakterze ogólnym; nie dotyczy to obowiązków nadzoru mających zastosowanie do przypadków szczególnych oraz, w szczególności, nie ma wpływu na decyzje władz krajowych podjęte zgodnie z ustawodawstwem krajowym.</w:t>
      </w:r>
    </w:p>
    <w:p w:rsidR="00BD4E8C" w:rsidRPr="00B45853" w:rsidRDefault="00BD4E8C" w:rsidP="00BD4E8C">
      <w:pPr>
        <w:pStyle w:val="ECHRParaQuote"/>
        <w:rPr>
          <w:rFonts w:ascii="Times New Roman" w:hAnsi="Times New Roman" w:cs="Times New Roman"/>
          <w:lang w:val="pl-PL"/>
        </w:rPr>
      </w:pPr>
      <w:r w:rsidRPr="00B45853">
        <w:rPr>
          <w:rFonts w:ascii="Times New Roman" w:hAnsi="Times New Roman" w:cs="Times New Roman"/>
          <w:lang w:val="pl-PL"/>
        </w:rPr>
        <w:t>(48) Niniejsza dyrektywa nie ma wpływu na możliwość Państw Członkowskich wymagania od usługodawców przechowujących informacje przekazywane przez usługobiorców, zachowania określonej w prawie krajowym należytej staranności, jakiej można od nich w sposób uzasadniony oczekiwać, w celu wykrywania i zapobiegania niektórym rodzajom bezprawnej działalności.</w:t>
      </w:r>
    </w:p>
    <w:p w:rsidR="00890875" w:rsidRPr="00B45853" w:rsidRDefault="002837DA" w:rsidP="00BD4E8C">
      <w:pPr>
        <w:pStyle w:val="ECHRParaQuote"/>
        <w:rPr>
          <w:rFonts w:ascii="Times New Roman" w:hAnsi="Times New Roman" w:cs="Times New Roman"/>
          <w:lang w:val="pl-PL"/>
        </w:rPr>
      </w:pPr>
      <w:r w:rsidRPr="00B45853">
        <w:rPr>
          <w:rFonts w:ascii="Times New Roman" w:hAnsi="Times New Roman" w:cs="Times New Roman"/>
          <w:lang w:val="pl-PL"/>
        </w:rPr>
        <w:t>...</w:t>
      </w:r>
    </w:p>
    <w:p w:rsidR="00E23D45" w:rsidRPr="00F87B03" w:rsidRDefault="00E23D45" w:rsidP="00E23D45">
      <w:pPr>
        <w:pStyle w:val="ECHRTitleCentre3"/>
        <w:rPr>
          <w:rFonts w:ascii="Times New Roman" w:hAnsi="Times New Roman" w:cs="Times New Roman"/>
          <w:lang w:val="pl-PL"/>
        </w:rPr>
      </w:pPr>
      <w:r w:rsidRPr="00F87B03">
        <w:rPr>
          <w:rFonts w:ascii="Times New Roman" w:hAnsi="Times New Roman" w:cs="Times New Roman"/>
          <w:lang w:val="pl-PL"/>
        </w:rPr>
        <w:t>Artykuł 1 – Cel i zakres</w:t>
      </w:r>
    </w:p>
    <w:p w:rsidR="00E23D45" w:rsidRPr="00B45853" w:rsidRDefault="00E23D45" w:rsidP="00E23D45">
      <w:pPr>
        <w:pStyle w:val="ECHRPara"/>
        <w:rPr>
          <w:rFonts w:ascii="Times New Roman" w:hAnsi="Times New Roman" w:cs="Times New Roman"/>
          <w:lang w:val="pl-PL"/>
        </w:rPr>
      </w:pP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1. Niniejsza dyrektywa dąży do przyczynienia się do właściwego funkcjonowania rynku wewnętrznego przez zapewnienie swobodnego przepływu usług społeczeństwa informacyjnego między Państwami Członkowskimi.</w:t>
      </w:r>
    </w:p>
    <w:p w:rsidR="00A220C6" w:rsidRPr="00B45853" w:rsidRDefault="00890875"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E23D45" w:rsidRPr="00B45853" w:rsidRDefault="00E23D45" w:rsidP="00E23D45">
      <w:pPr>
        <w:pStyle w:val="ECHRTitleCentre3"/>
        <w:rPr>
          <w:rFonts w:ascii="Times New Roman" w:hAnsi="Times New Roman" w:cs="Times New Roman"/>
          <w:lang w:val="pl-PL"/>
        </w:rPr>
      </w:pPr>
      <w:r w:rsidRPr="00B45853">
        <w:rPr>
          <w:rFonts w:ascii="Times New Roman" w:hAnsi="Times New Roman" w:cs="Times New Roman"/>
          <w:lang w:val="pl-PL"/>
        </w:rPr>
        <w:lastRenderedPageBreak/>
        <w:t>Artykuł 2– Definicje</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a) "usługi społeczeństwa informacyjnego": usługi w rozumieniu art. 1 ust. 2 dyrektywy 98/34/WE zmienionej dyrektywą 98/48/WE;</w:t>
      </w:r>
    </w:p>
    <w:p w:rsidR="00E23D45" w:rsidRPr="00B45853" w:rsidRDefault="00E23D45" w:rsidP="00E23D45">
      <w:pPr>
        <w:pStyle w:val="ECHRParaQuote"/>
        <w:rPr>
          <w:rFonts w:ascii="Times New Roman" w:hAnsi="Times New Roman" w:cs="Times New Roman"/>
          <w:lang w:val="pl-PL"/>
        </w:rPr>
      </w:pP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b) "usługodawca": każda osoba fizyczna lub prawna, która świadczy usługę społeczeństwa informacyjnego;</w:t>
      </w:r>
    </w:p>
    <w:p w:rsidR="00E23D45" w:rsidRPr="00B45853" w:rsidRDefault="00E23D45" w:rsidP="00E23D45">
      <w:pPr>
        <w:pStyle w:val="ECHRParaQuote"/>
        <w:rPr>
          <w:rFonts w:ascii="Times New Roman" w:hAnsi="Times New Roman" w:cs="Times New Roman"/>
          <w:lang w:val="pl-PL"/>
        </w:rPr>
      </w:pP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c) "usługodawca mający siedzibę": usługodawca, który prowadzi faktycznie działalność gospodarczą przez czas nieokreślony z wykorzystaniem stałej siedziby. Obecność oraz używanie środków technicznych oraz technologii wymaganych do świadczenia usług jako takie nie oznaczają istnienia siedziby usługodawcy;</w:t>
      </w:r>
    </w:p>
    <w:p w:rsidR="00A220C6" w:rsidRPr="00B45853" w:rsidRDefault="00890875" w:rsidP="00171A6F">
      <w:pPr>
        <w:pStyle w:val="ECHRParaQuote"/>
        <w:rPr>
          <w:rFonts w:ascii="Times New Roman" w:hAnsi="Times New Roman" w:cs="Times New Roman"/>
          <w:lang w:val="pl-PL"/>
        </w:rPr>
      </w:pPr>
      <w:r w:rsidRPr="00B45853">
        <w:rPr>
          <w:rFonts w:ascii="Times New Roman" w:hAnsi="Times New Roman" w:cs="Times New Roman"/>
          <w:lang w:val="pl-PL"/>
        </w:rPr>
        <w:t>...</w:t>
      </w:r>
    </w:p>
    <w:p w:rsidR="00A220C6" w:rsidRPr="00B45853" w:rsidRDefault="00A220C6" w:rsidP="00171A6F">
      <w:pPr>
        <w:pStyle w:val="ECHRTitleCentre3"/>
        <w:rPr>
          <w:rFonts w:ascii="Times New Roman" w:hAnsi="Times New Roman" w:cs="Times New Roman"/>
          <w:lang w:val="pl-PL"/>
        </w:rPr>
      </w:pPr>
      <w:r w:rsidRPr="00B45853">
        <w:rPr>
          <w:rFonts w:ascii="Times New Roman" w:hAnsi="Times New Roman" w:cs="Times New Roman"/>
          <w:lang w:val="pl-PL"/>
        </w:rPr>
        <w:t>Se</w:t>
      </w:r>
      <w:r w:rsidR="00D32563" w:rsidRPr="00B45853">
        <w:rPr>
          <w:rFonts w:ascii="Times New Roman" w:hAnsi="Times New Roman" w:cs="Times New Roman"/>
          <w:lang w:val="pl-PL"/>
        </w:rPr>
        <w:t>kcja</w:t>
      </w:r>
      <w:r w:rsidRPr="00B45853">
        <w:rPr>
          <w:rFonts w:ascii="Times New Roman" w:hAnsi="Times New Roman" w:cs="Times New Roman"/>
          <w:lang w:val="pl-PL"/>
        </w:rPr>
        <w:t xml:space="preserve"> 4: </w:t>
      </w:r>
      <w:r w:rsidR="00D32563" w:rsidRPr="00B45853">
        <w:rPr>
          <w:rFonts w:ascii="Times New Roman" w:hAnsi="Times New Roman" w:cs="Times New Roman"/>
          <w:lang w:val="pl-PL"/>
        </w:rPr>
        <w:t>Odpowiedzialność usługodawców będących pośrednikami</w:t>
      </w:r>
    </w:p>
    <w:p w:rsidR="00A220C6" w:rsidRPr="00B45853" w:rsidRDefault="00A220C6" w:rsidP="00171A6F">
      <w:pPr>
        <w:pStyle w:val="ECHRTitleCentre3"/>
        <w:rPr>
          <w:rFonts w:ascii="Times New Roman" w:hAnsi="Times New Roman" w:cs="Times New Roman"/>
          <w:lang w:val="pl-PL"/>
        </w:rPr>
      </w:pPr>
      <w:r w:rsidRPr="00B45853">
        <w:rPr>
          <w:rFonts w:ascii="Times New Roman" w:hAnsi="Times New Roman" w:cs="Times New Roman"/>
          <w:lang w:val="pl-PL"/>
        </w:rPr>
        <w:t>Ar</w:t>
      </w:r>
      <w:r w:rsidR="00D32563" w:rsidRPr="00B45853">
        <w:rPr>
          <w:rFonts w:ascii="Times New Roman" w:hAnsi="Times New Roman" w:cs="Times New Roman"/>
          <w:lang w:val="pl-PL"/>
        </w:rPr>
        <w:t>tykuł</w:t>
      </w:r>
      <w:r w:rsidRPr="00B45853">
        <w:rPr>
          <w:rFonts w:ascii="Times New Roman" w:hAnsi="Times New Roman" w:cs="Times New Roman"/>
          <w:lang w:val="pl-PL"/>
        </w:rPr>
        <w:t xml:space="preserve"> 12 – “</w:t>
      </w:r>
      <w:r w:rsidR="00D32563" w:rsidRPr="00B45853">
        <w:rPr>
          <w:rFonts w:ascii="Times New Roman" w:hAnsi="Times New Roman" w:cs="Times New Roman"/>
          <w:lang w:val="pl-PL"/>
        </w:rPr>
        <w:t>Zwykły przekaz</w:t>
      </w:r>
      <w:r w:rsidRPr="00B45853">
        <w:rPr>
          <w:rFonts w:ascii="Times New Roman" w:hAnsi="Times New Roman" w:cs="Times New Roman"/>
          <w:lang w:val="pl-PL"/>
        </w:rPr>
        <w:t>”</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1. Państwa Członkowskie zapewniają, żeby w przypadku świadczenia usługi społeczeństwa informacyjnego polegającej na transmisji w sieci telekomunikacyjnej informacji przekazanych przez usługobiorcę lub na zapewnianiu dostępu do sieci telekomunikacyjnej usługodawca nie był odpowiedzialny za przekazywane informacje, jeżeli:</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a) nie jest inicjatorem przekazu;</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b) nie wybiera odbiorcy przekazu; oraz</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c) nie wybiera oraz nie modyfikuje informacji zawartych w przekazie.</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2. Czynności polegające na transmisji oraz zapewnianiu dostępu określone w ust. 1 obejmują automatyczne, pośrednie i krótkotrwałe przechowywanie przekazywanych informacji w zakresie, w jakim służy to wyłącznie wykonywaniu transmisji w sieci telekomunikacyjnej, oraz że okres przechowywania nie przekracza czasu rozsądnie koniecznego do transmisji.</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3. Niniejszy artykuł nie ma wpływu na możliwość wymagania od usługodawcy przez sąd lub organ administracyjny, zgodnie z systemem prawnym Państw Członkowskich, żeby przerwał on naruszenia prawa lub im zapobiegł.</w:t>
      </w:r>
    </w:p>
    <w:p w:rsidR="00A220C6" w:rsidRPr="00B45853" w:rsidRDefault="00A220C6" w:rsidP="00171A6F">
      <w:pPr>
        <w:pStyle w:val="ECHRTitleCentre3"/>
        <w:rPr>
          <w:rFonts w:ascii="Times New Roman" w:hAnsi="Times New Roman" w:cs="Times New Roman"/>
          <w:lang w:val="pl-PL"/>
        </w:rPr>
      </w:pPr>
      <w:r w:rsidRPr="00B45853">
        <w:rPr>
          <w:rFonts w:ascii="Times New Roman" w:hAnsi="Times New Roman" w:cs="Times New Roman"/>
          <w:lang w:val="pl-PL"/>
        </w:rPr>
        <w:t>Art</w:t>
      </w:r>
      <w:r w:rsidR="00DC1A22" w:rsidRPr="00B45853">
        <w:rPr>
          <w:rFonts w:ascii="Times New Roman" w:hAnsi="Times New Roman" w:cs="Times New Roman"/>
          <w:lang w:val="pl-PL"/>
        </w:rPr>
        <w:t>ykuł</w:t>
      </w:r>
      <w:r w:rsidRPr="00B45853">
        <w:rPr>
          <w:rFonts w:ascii="Times New Roman" w:hAnsi="Times New Roman" w:cs="Times New Roman"/>
          <w:lang w:val="pl-PL"/>
        </w:rPr>
        <w:t xml:space="preserve"> 13 – “</w:t>
      </w:r>
      <w:r w:rsidR="00E23D45" w:rsidRPr="00B45853">
        <w:rPr>
          <w:rFonts w:ascii="Times New Roman" w:hAnsi="Times New Roman" w:cs="Times New Roman"/>
          <w:lang w:val="pl-PL"/>
        </w:rPr>
        <w:t xml:space="preserve"> </w:t>
      </w:r>
      <w:proofErr w:type="spellStart"/>
      <w:r w:rsidR="00E23D45" w:rsidRPr="00B45853">
        <w:rPr>
          <w:rFonts w:ascii="Times New Roman" w:hAnsi="Times New Roman" w:cs="Times New Roman"/>
          <w:lang w:val="pl-PL"/>
        </w:rPr>
        <w:t>Caching</w:t>
      </w:r>
      <w:proofErr w:type="spellEnd"/>
      <w:r w:rsidRPr="00B45853">
        <w:rPr>
          <w:rFonts w:ascii="Times New Roman" w:hAnsi="Times New Roman" w:cs="Times New Roman"/>
          <w:lang w:val="pl-PL"/>
        </w:rPr>
        <w:t>”</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1. Państwa Członkowskie zapewniają, żeby w przypadku świadczenia usługi społeczeństwa informacyjnego polegającej na transmisji w sieci telekomunikacyjnej informacji przekazanych przez usługobiorcę usługodawca nie był odpowiedzialny z tytułu automatycznego, pośredniego i krótkotrwałego przechowywania tej informacji dokonywanego w celu usprawnienia późniejszej transmisji informacji na żądanie innych usługobiorców pod warunkiem że:</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a) usługodawca nie modyfikuje informacji;</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b) usługodawca przestrzega warunków dostępu do informacji;</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c) usługodawca przestrzega zasad dotyczących aktualizowania informacji, określonych w sposób szeroko uznany i używany w branży;</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lastRenderedPageBreak/>
        <w:t>d) usługodawca nie zakłóca dozwolonego posługiwania się technologią, szeroko uznaną i używaną w branży w celu uzyskania danych o korzystaniu z informacji; oraz</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e) usługodawca niezwłocznie usuwa lub uniemożliwia dostęp do przechowywanych informacji, gdy uzyska wiarygodną wiadomość, że informacje zostały usunięte z początkowego źródła transmisji lub dostęp do nich został uniemożliwiony albo gdy sąd lub organ administracyjny nakazał usunięcie informacji lub uniemożliwienie dostępu do niej.</w:t>
      </w:r>
    </w:p>
    <w:p w:rsidR="00E23D45" w:rsidRPr="00B45853" w:rsidRDefault="00E23D45" w:rsidP="00E23D45">
      <w:pPr>
        <w:pStyle w:val="ECHRParaQuote"/>
        <w:rPr>
          <w:rFonts w:ascii="Times New Roman" w:hAnsi="Times New Roman" w:cs="Times New Roman"/>
          <w:lang w:val="pl-PL"/>
        </w:rPr>
      </w:pPr>
      <w:r w:rsidRPr="00B45853">
        <w:rPr>
          <w:rFonts w:ascii="Times New Roman" w:hAnsi="Times New Roman" w:cs="Times New Roman"/>
          <w:lang w:val="pl-PL"/>
        </w:rPr>
        <w:t>2. Niniejszy artykuł nie ma wpływu na możliwość wymagania od usługodawcy przez sądy lub organy administracyjne, zgodnie z systemem prawnym Państw Członkowskich, żeby przerwał naruszenia prawa lub im zapobiegł.</w:t>
      </w:r>
    </w:p>
    <w:p w:rsidR="00B45853" w:rsidRPr="00B45853" w:rsidRDefault="00B45853" w:rsidP="00B45853">
      <w:pPr>
        <w:pStyle w:val="ECHRTitleCentre3"/>
        <w:rPr>
          <w:rFonts w:ascii="Times New Roman" w:hAnsi="Times New Roman" w:cs="Times New Roman"/>
          <w:lang w:val="pl-PL"/>
        </w:rPr>
      </w:pPr>
      <w:bookmarkStart w:id="13" w:name="_Toc420072864"/>
      <w:r w:rsidRPr="00B45853">
        <w:rPr>
          <w:rFonts w:ascii="Times New Roman" w:hAnsi="Times New Roman" w:cs="Times New Roman"/>
          <w:lang w:val="pl-PL"/>
        </w:rPr>
        <w:t>Artykuł 14 – Hosting</w:t>
      </w: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1. Państwa Członkowskie zapewniają, żeby w przypadku świadczenia usługi społeczeństwa informacyjnego polegającej na przechowywaniu informacji przekazanych przez usługobiorcę usługodawca nie był odpowiedzialny za informacje przechowywane na żądanie usługobiorcy, pod warunkiem że:</w:t>
      </w: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a) usługodawca nie ma wiarygodnych wiadomości o bezprawnym charakterze działalności lub informacji, a w odniesieniu do roszczeń odszkodowawczych — nie wie o stanie faktycznym lub okolicznościach, które w sposób oczywisty świadczą o tej bezprawności; lub</w:t>
      </w: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b) usługodawca podejmuje niezwłocznie odpowiednie działania w celu usunięcia lub uniemożliwienia dostępu do informacji, gdy uzyska takie wiadomości lub zostanie o nich powiadomiony.</w:t>
      </w:r>
    </w:p>
    <w:p w:rsidR="00B45853" w:rsidRPr="00B45853" w:rsidRDefault="00B45853" w:rsidP="00B45853">
      <w:pPr>
        <w:pStyle w:val="ECHRParaQuote"/>
        <w:rPr>
          <w:rFonts w:ascii="Times New Roman" w:hAnsi="Times New Roman" w:cs="Times New Roman"/>
          <w:lang w:val="pl-PL"/>
        </w:rPr>
      </w:pP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2. Ustęp 1 nie ma zastosowania, jeżeli usługobiorca działa z upoważnienia albo pod kontrolą usługodawcy.</w:t>
      </w: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3. Niniejszy artykuł nie ma wpływu na możliwość wymagania od usługodawcy przez sądy lub organy administracyjne, zgodnie z systemem prawnym Państw Członkowskich, żeby przerwał on naruszenia prawa lub im zapobiegł oraz nie ma wpływu na możliwość ustanowienia procedur regulujących usuwanie lub uniemożliwianie dostępu do tych informacji przez Państwa Członkowskie.</w:t>
      </w:r>
    </w:p>
    <w:p w:rsidR="00B45853" w:rsidRPr="00B45853" w:rsidRDefault="00B45853" w:rsidP="00B45853">
      <w:pPr>
        <w:pStyle w:val="ECHRTitleCentre3"/>
        <w:rPr>
          <w:rFonts w:ascii="Times New Roman" w:hAnsi="Times New Roman" w:cs="Times New Roman"/>
          <w:lang w:val="pl-PL"/>
        </w:rPr>
      </w:pPr>
      <w:r w:rsidRPr="00B45853">
        <w:rPr>
          <w:rFonts w:ascii="Times New Roman" w:hAnsi="Times New Roman" w:cs="Times New Roman"/>
          <w:lang w:val="pl-PL"/>
        </w:rPr>
        <w:t>Artykuł 15  – Brak ogólnego obowiązku w zakresie nadzoru</w:t>
      </w: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1. Państwa Członkowskie nie nakładają na usługodawców świadczących usługi określone w art. 12, 13 i 14 ogólnego obowiązku nadzorowania informacji, które przekazują lub przechowują ani ogólnego obowiązku aktywnego poszukiwania faktów i okoliczności wskazujących na bezprawną działalność.</w:t>
      </w:r>
    </w:p>
    <w:p w:rsidR="00B45853" w:rsidRPr="00B45853" w:rsidRDefault="00B45853" w:rsidP="00B45853">
      <w:pPr>
        <w:pStyle w:val="ECHRParaQuote"/>
        <w:rPr>
          <w:rFonts w:ascii="Times New Roman" w:hAnsi="Times New Roman" w:cs="Times New Roman"/>
          <w:lang w:val="pl-PL"/>
        </w:rPr>
      </w:pPr>
      <w:r w:rsidRPr="00B45853">
        <w:rPr>
          <w:rFonts w:ascii="Times New Roman" w:hAnsi="Times New Roman" w:cs="Times New Roman"/>
          <w:lang w:val="pl-PL"/>
        </w:rPr>
        <w:t>2. Państwa Członkowskie mogą ustanowić w stosunku do usługodawców świadczących usługi społeczeństwa informacyjnego obowiązek niezwłocznego powiadamiania właściwych władz publicznych o rzekomych bezprawnych działaniach podjętych przez ich usługobiorców lub przez nich przekazanych informacjach lub obowiązek przekazywania właściwym władzom, na ich żądanie, informacji pozwalających na ustalenie tożsamości ich usługobiorców, z którymi mają umowy o przechowywanie.</w:t>
      </w:r>
    </w:p>
    <w:p w:rsidR="00A220C6" w:rsidRPr="00B45853" w:rsidRDefault="00A43C52" w:rsidP="00171A6F">
      <w:pPr>
        <w:pStyle w:val="ECHRHeading3"/>
        <w:rPr>
          <w:rFonts w:ascii="Times New Roman" w:hAnsi="Times New Roman" w:cs="Times New Roman"/>
          <w:lang w:val="pl-PL"/>
        </w:rPr>
      </w:pPr>
      <w:r w:rsidRPr="00B45853">
        <w:rPr>
          <w:rFonts w:ascii="Times New Roman" w:hAnsi="Times New Roman" w:cs="Times New Roman"/>
          <w:lang w:val="pl-PL"/>
        </w:rPr>
        <w:lastRenderedPageBreak/>
        <w:t>2.  Dyrektywa</w:t>
      </w:r>
      <w:r w:rsidR="00A220C6" w:rsidRPr="00B45853">
        <w:rPr>
          <w:rFonts w:ascii="Times New Roman" w:hAnsi="Times New Roman" w:cs="Times New Roman"/>
          <w:lang w:val="pl-PL"/>
        </w:rPr>
        <w:t xml:space="preserve"> 98/34/EC </w:t>
      </w:r>
      <w:r w:rsidRPr="00B45853">
        <w:rPr>
          <w:rFonts w:ascii="Times New Roman" w:hAnsi="Times New Roman" w:cs="Times New Roman"/>
          <w:lang w:val="pl-PL"/>
        </w:rPr>
        <w:t>zmieniona</w:t>
      </w:r>
      <w:r w:rsidR="00A220C6" w:rsidRPr="00B45853">
        <w:rPr>
          <w:rFonts w:ascii="Times New Roman" w:hAnsi="Times New Roman" w:cs="Times New Roman"/>
          <w:lang w:val="pl-PL"/>
        </w:rPr>
        <w:t xml:space="preserve"> D</w:t>
      </w:r>
      <w:r w:rsidRPr="00B45853">
        <w:rPr>
          <w:rFonts w:ascii="Times New Roman" w:hAnsi="Times New Roman" w:cs="Times New Roman"/>
          <w:lang w:val="pl-PL"/>
        </w:rPr>
        <w:t>yrektywą</w:t>
      </w:r>
      <w:r w:rsidR="00A220C6" w:rsidRPr="00B45853">
        <w:rPr>
          <w:rFonts w:ascii="Times New Roman" w:hAnsi="Times New Roman" w:cs="Times New Roman"/>
          <w:lang w:val="pl-PL"/>
        </w:rPr>
        <w:t xml:space="preserve"> 98/48/EC</w:t>
      </w:r>
      <w:bookmarkEnd w:id="13"/>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51</w:t>
      </w:r>
      <w:r w:rsidRPr="00B45853">
        <w:rPr>
          <w:rFonts w:ascii="Times New Roman" w:hAnsi="Times New Roman" w:cs="Times New Roman"/>
          <w:lang w:val="en-GB"/>
        </w:rPr>
        <w:fldChar w:fldCharType="end"/>
      </w:r>
      <w:r w:rsidR="00A43C52" w:rsidRPr="00B45853">
        <w:rPr>
          <w:rFonts w:ascii="Times New Roman" w:hAnsi="Times New Roman" w:cs="Times New Roman"/>
          <w:lang w:val="pl-PL"/>
        </w:rPr>
        <w:t>.  Dyrektywa Parlamentu Europejskiego i Rady</w:t>
      </w:r>
      <w:r w:rsidR="00A220C6" w:rsidRPr="00B45853">
        <w:rPr>
          <w:rFonts w:ascii="Times New Roman" w:hAnsi="Times New Roman" w:cs="Times New Roman"/>
          <w:lang w:val="pl-PL"/>
        </w:rPr>
        <w:t xml:space="preserve"> 98/34/EC </w:t>
      </w:r>
      <w:r w:rsidR="00A43C52" w:rsidRPr="00B45853">
        <w:rPr>
          <w:rFonts w:ascii="Times New Roman" w:hAnsi="Times New Roman" w:cs="Times New Roman"/>
          <w:lang w:val="pl-PL"/>
        </w:rPr>
        <w:t xml:space="preserve">z dnia 22 czerwca 1998 roku ustanawiająca procedurę udzielania informacji w </w:t>
      </w:r>
      <w:r w:rsidR="009227CF" w:rsidRPr="005463FD">
        <w:rPr>
          <w:rFonts w:ascii="Times New Roman" w:hAnsi="Times New Roman" w:cs="Times New Roman"/>
          <w:lang w:val="pl-PL"/>
        </w:rPr>
        <w:t>zakresie</w:t>
      </w:r>
      <w:r w:rsidR="00A43C52" w:rsidRPr="00B45853">
        <w:rPr>
          <w:rFonts w:ascii="Times New Roman" w:hAnsi="Times New Roman" w:cs="Times New Roman"/>
          <w:lang w:val="pl-PL"/>
        </w:rPr>
        <w:t xml:space="preserve"> norm i przepisów technicznych oraz zasad dotyczących usług społeczeństwa informacyjnego, w brzmieniu zmienionym Dyrektywą</w:t>
      </w:r>
      <w:r w:rsidR="00A220C6" w:rsidRPr="00B45853">
        <w:rPr>
          <w:rFonts w:ascii="Times New Roman" w:hAnsi="Times New Roman" w:cs="Times New Roman"/>
          <w:lang w:val="pl-PL"/>
        </w:rPr>
        <w:t xml:space="preserve"> 98/48/EC, </w:t>
      </w:r>
      <w:r w:rsidR="00A43C52" w:rsidRPr="00B45853">
        <w:rPr>
          <w:rFonts w:ascii="Times New Roman" w:hAnsi="Times New Roman" w:cs="Times New Roman"/>
          <w:lang w:val="pl-PL"/>
        </w:rPr>
        <w:t>stanowi, co następuje</w:t>
      </w:r>
      <w:r w:rsidR="00A220C6" w:rsidRPr="00B45853">
        <w:rPr>
          <w:rFonts w:ascii="Times New Roman" w:hAnsi="Times New Roman" w:cs="Times New Roman"/>
          <w:lang w:val="pl-PL"/>
        </w:rPr>
        <w:t>:</w:t>
      </w:r>
    </w:p>
    <w:p w:rsidR="00A220C6" w:rsidRPr="00B45853" w:rsidRDefault="00A220C6" w:rsidP="00171A6F">
      <w:pPr>
        <w:pStyle w:val="ECHRTitleCentre3"/>
        <w:rPr>
          <w:rFonts w:ascii="Times New Roman" w:hAnsi="Times New Roman" w:cs="Times New Roman"/>
          <w:lang w:val="pl-PL"/>
        </w:rPr>
      </w:pPr>
      <w:r w:rsidRPr="00B45853">
        <w:rPr>
          <w:rFonts w:ascii="Times New Roman" w:hAnsi="Times New Roman" w:cs="Times New Roman"/>
          <w:lang w:val="pl-PL"/>
        </w:rPr>
        <w:t>Art</w:t>
      </w:r>
      <w:r w:rsidR="00A43C52" w:rsidRPr="00B45853">
        <w:rPr>
          <w:rFonts w:ascii="Times New Roman" w:hAnsi="Times New Roman" w:cs="Times New Roman"/>
          <w:lang w:val="pl-PL"/>
        </w:rPr>
        <w:t>ykuł</w:t>
      </w:r>
      <w:r w:rsidRPr="00B45853">
        <w:rPr>
          <w:rFonts w:ascii="Times New Roman" w:hAnsi="Times New Roman" w:cs="Times New Roman"/>
          <w:lang w:val="pl-PL"/>
        </w:rPr>
        <w:t xml:space="preserve"> 1</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w:t>
      </w:r>
      <w:r w:rsidR="00A43C52" w:rsidRPr="00B45853">
        <w:rPr>
          <w:rFonts w:ascii="Times New Roman" w:hAnsi="Times New Roman" w:cs="Times New Roman"/>
          <w:lang w:val="pl-PL"/>
        </w:rPr>
        <w:t>Dla celów niniejszej Dyrektywy stosuje się poniższe terminy</w:t>
      </w:r>
      <w:r w:rsidRPr="00B45853">
        <w:rPr>
          <w:rFonts w:ascii="Times New Roman" w:hAnsi="Times New Roman" w:cs="Times New Roman"/>
          <w:lang w:val="pl-PL"/>
        </w:rPr>
        <w:t>...</w:t>
      </w:r>
    </w:p>
    <w:p w:rsidR="00A220C6" w:rsidRPr="00B45853" w:rsidRDefault="00A220C6" w:rsidP="00171A6F">
      <w:pPr>
        <w:pStyle w:val="ECHRParaQuote"/>
        <w:rPr>
          <w:rFonts w:ascii="Times New Roman" w:hAnsi="Times New Roman" w:cs="Times New Roman"/>
          <w:lang w:val="pl-PL"/>
        </w:rPr>
      </w:pPr>
      <w:r w:rsidRPr="00B45853">
        <w:rPr>
          <w:rFonts w:ascii="Times New Roman" w:hAnsi="Times New Roman" w:cs="Times New Roman"/>
          <w:lang w:val="pl-PL"/>
        </w:rPr>
        <w:t>2.  </w:t>
      </w:r>
      <w:r w:rsidR="008057EE" w:rsidRPr="00B45853">
        <w:rPr>
          <w:rFonts w:ascii="Times New Roman" w:hAnsi="Times New Roman" w:cs="Times New Roman"/>
          <w:lang w:val="pl-PL"/>
        </w:rPr>
        <w:t>’</w:t>
      </w:r>
      <w:r w:rsidR="00A43C52" w:rsidRPr="00B45853">
        <w:rPr>
          <w:rFonts w:ascii="Times New Roman" w:hAnsi="Times New Roman" w:cs="Times New Roman"/>
          <w:lang w:val="pl-PL"/>
        </w:rPr>
        <w:t>usługa</w:t>
      </w:r>
      <w:r w:rsidR="008057EE" w:rsidRPr="00B45853">
        <w:rPr>
          <w:rFonts w:ascii="Times New Roman" w:hAnsi="Times New Roman" w:cs="Times New Roman"/>
          <w:lang w:val="pl-PL"/>
        </w:rPr>
        <w:t>’</w:t>
      </w:r>
      <w:r w:rsidRPr="00B45853">
        <w:rPr>
          <w:rFonts w:ascii="Times New Roman" w:hAnsi="Times New Roman" w:cs="Times New Roman"/>
          <w:lang w:val="pl-PL"/>
        </w:rPr>
        <w:t xml:space="preserve">, </w:t>
      </w:r>
      <w:r w:rsidR="00A43C52" w:rsidRPr="00B45853">
        <w:rPr>
          <w:rFonts w:ascii="Times New Roman" w:hAnsi="Times New Roman" w:cs="Times New Roman"/>
          <w:lang w:val="pl-PL"/>
        </w:rPr>
        <w:t>każda usługa społeczeństwa informacyjnego, to znaczy każda usługa normalnie świadczona za wynagrodzeniem, na odległość, drogą elektroniczną i na indywidualne żądanie odbiorcy usług</w:t>
      </w:r>
      <w:r w:rsidRPr="00B45853">
        <w:rPr>
          <w:rFonts w:ascii="Times New Roman" w:hAnsi="Times New Roman" w:cs="Times New Roman"/>
          <w:lang w:val="pl-PL"/>
        </w:rPr>
        <w:t>.</w:t>
      </w:r>
    </w:p>
    <w:p w:rsidR="00A220C6" w:rsidRPr="005463FD" w:rsidRDefault="0027543B" w:rsidP="00171A6F">
      <w:pPr>
        <w:pStyle w:val="ECHRParaQuote"/>
        <w:rPr>
          <w:rFonts w:ascii="Times New Roman" w:hAnsi="Times New Roman" w:cs="Times New Roman"/>
          <w:lang w:val="pl-PL"/>
        </w:rPr>
      </w:pPr>
      <w:r w:rsidRPr="005463FD">
        <w:rPr>
          <w:rFonts w:ascii="Times New Roman" w:hAnsi="Times New Roman" w:cs="Times New Roman"/>
          <w:lang w:val="pl-PL"/>
        </w:rPr>
        <w:t>Dla celów niniejszej</w:t>
      </w:r>
      <w:r w:rsidR="00A43C52" w:rsidRPr="005463FD">
        <w:rPr>
          <w:rFonts w:ascii="Times New Roman" w:hAnsi="Times New Roman" w:cs="Times New Roman"/>
          <w:lang w:val="pl-PL"/>
        </w:rPr>
        <w:t xml:space="preserve"> definicji</w:t>
      </w:r>
      <w:r w:rsidR="00A220C6" w:rsidRPr="005463FD">
        <w:rPr>
          <w:rFonts w:ascii="Times New Roman" w:hAnsi="Times New Roman" w:cs="Times New Roman"/>
          <w:lang w:val="pl-PL"/>
        </w:rPr>
        <w:t>:</w:t>
      </w:r>
    </w:p>
    <w:p w:rsidR="00A220C6" w:rsidRPr="005463FD" w:rsidRDefault="002034DF" w:rsidP="00171A6F">
      <w:pPr>
        <w:pStyle w:val="ECHRParaQuote"/>
        <w:rPr>
          <w:rFonts w:ascii="Times New Roman" w:hAnsi="Times New Roman" w:cs="Times New Roman"/>
          <w:lang w:val="pl-PL"/>
        </w:rPr>
      </w:pPr>
      <w:r w:rsidRPr="005463FD">
        <w:rPr>
          <w:rFonts w:ascii="Times New Roman" w:hAnsi="Times New Roman" w:cs="Times New Roman"/>
          <w:lang w:val="pl-PL"/>
        </w:rPr>
        <w:t>– </w:t>
      </w:r>
      <w:r w:rsidR="008057EE" w:rsidRPr="005463FD">
        <w:rPr>
          <w:rFonts w:ascii="Times New Roman" w:hAnsi="Times New Roman" w:cs="Times New Roman"/>
          <w:lang w:val="pl-PL"/>
        </w:rPr>
        <w:t>’</w:t>
      </w:r>
      <w:r w:rsidR="00A43C52" w:rsidRPr="005463FD">
        <w:rPr>
          <w:rFonts w:ascii="Times New Roman" w:hAnsi="Times New Roman" w:cs="Times New Roman"/>
          <w:lang w:val="pl-PL"/>
        </w:rPr>
        <w:t>na odległość</w:t>
      </w:r>
      <w:r w:rsidR="008057EE" w:rsidRPr="005463FD">
        <w:rPr>
          <w:rFonts w:ascii="Times New Roman" w:hAnsi="Times New Roman" w:cs="Times New Roman"/>
          <w:lang w:val="pl-PL"/>
        </w:rPr>
        <w:t>’</w:t>
      </w:r>
      <w:r w:rsidR="00A220C6" w:rsidRPr="005463FD">
        <w:rPr>
          <w:rFonts w:ascii="Times New Roman" w:hAnsi="Times New Roman" w:cs="Times New Roman"/>
          <w:lang w:val="pl-PL"/>
        </w:rPr>
        <w:t xml:space="preserve"> </w:t>
      </w:r>
      <w:r w:rsidR="00A43C52" w:rsidRPr="005463FD">
        <w:rPr>
          <w:rFonts w:ascii="Times New Roman" w:hAnsi="Times New Roman" w:cs="Times New Roman"/>
          <w:lang w:val="pl-PL"/>
        </w:rPr>
        <w:t>oznacza to, że usługa jest świadczona bez równoczesnej obecności stron</w:t>
      </w:r>
      <w:r w:rsidR="00A220C6" w:rsidRPr="005463FD">
        <w:rPr>
          <w:rFonts w:ascii="Times New Roman" w:hAnsi="Times New Roman" w:cs="Times New Roman"/>
          <w:lang w:val="pl-PL"/>
        </w:rPr>
        <w:t>,</w:t>
      </w:r>
    </w:p>
    <w:p w:rsidR="00A220C6" w:rsidRPr="005463FD" w:rsidRDefault="002034DF" w:rsidP="00171A6F">
      <w:pPr>
        <w:pStyle w:val="ECHRParaQuote"/>
        <w:rPr>
          <w:rFonts w:ascii="Times New Roman" w:hAnsi="Times New Roman" w:cs="Times New Roman"/>
          <w:lang w:val="pl-PL"/>
        </w:rPr>
      </w:pPr>
      <w:r w:rsidRPr="005463FD">
        <w:rPr>
          <w:rFonts w:ascii="Times New Roman" w:hAnsi="Times New Roman" w:cs="Times New Roman"/>
          <w:lang w:val="pl-PL"/>
        </w:rPr>
        <w:t>– </w:t>
      </w:r>
      <w:r w:rsidR="008057EE" w:rsidRPr="005463FD">
        <w:rPr>
          <w:rFonts w:ascii="Times New Roman" w:hAnsi="Times New Roman" w:cs="Times New Roman"/>
          <w:lang w:val="pl-PL"/>
        </w:rPr>
        <w:t>’</w:t>
      </w:r>
      <w:r w:rsidR="00A43C52" w:rsidRPr="005463FD">
        <w:rPr>
          <w:rFonts w:ascii="Times New Roman" w:hAnsi="Times New Roman" w:cs="Times New Roman"/>
          <w:lang w:val="pl-PL"/>
        </w:rPr>
        <w:t>drogą elektroniczną</w:t>
      </w:r>
      <w:r w:rsidR="008057EE" w:rsidRPr="005463FD">
        <w:rPr>
          <w:rFonts w:ascii="Times New Roman" w:hAnsi="Times New Roman" w:cs="Times New Roman"/>
          <w:lang w:val="pl-PL"/>
        </w:rPr>
        <w:t>’</w:t>
      </w:r>
      <w:r w:rsidR="00A220C6" w:rsidRPr="005463FD">
        <w:rPr>
          <w:rFonts w:ascii="Times New Roman" w:hAnsi="Times New Roman" w:cs="Times New Roman"/>
          <w:lang w:val="pl-PL"/>
        </w:rPr>
        <w:t xml:space="preserve"> </w:t>
      </w:r>
      <w:r w:rsidR="00A43C52" w:rsidRPr="005463FD">
        <w:rPr>
          <w:rFonts w:ascii="Times New Roman" w:hAnsi="Times New Roman" w:cs="Times New Roman"/>
          <w:lang w:val="pl-PL"/>
        </w:rPr>
        <w:t>oznacza, iż usługa jest przesyłana pierwotnie i otrzymywana w miejscu przeznaczenia za pomocą sprzętu elektronicznego do przetwarzania (</w:t>
      </w:r>
      <w:r w:rsidR="0027543B" w:rsidRPr="005463FD">
        <w:rPr>
          <w:rFonts w:ascii="Times New Roman" w:hAnsi="Times New Roman" w:cs="Times New Roman"/>
          <w:lang w:val="pl-PL"/>
        </w:rPr>
        <w:t>w</w:t>
      </w:r>
      <w:r w:rsidR="00A43C52" w:rsidRPr="005463FD">
        <w:rPr>
          <w:rFonts w:ascii="Times New Roman" w:hAnsi="Times New Roman" w:cs="Times New Roman"/>
          <w:lang w:val="pl-PL"/>
        </w:rPr>
        <w:t>łącznie</w:t>
      </w:r>
      <w:r w:rsidR="0027543B" w:rsidRPr="005463FD">
        <w:rPr>
          <w:rFonts w:ascii="Times New Roman" w:hAnsi="Times New Roman" w:cs="Times New Roman"/>
          <w:lang w:val="pl-PL"/>
        </w:rPr>
        <w:t xml:space="preserve"> z cyfrową kompresją)  oraz </w:t>
      </w:r>
      <w:r w:rsidR="00A43C52" w:rsidRPr="005463FD">
        <w:rPr>
          <w:rFonts w:ascii="Times New Roman" w:hAnsi="Times New Roman" w:cs="Times New Roman"/>
          <w:lang w:val="pl-PL"/>
        </w:rPr>
        <w:t xml:space="preserve">przechowywania danych, </w:t>
      </w:r>
      <w:r w:rsidR="0027543B" w:rsidRPr="005463FD">
        <w:rPr>
          <w:rFonts w:ascii="Times New Roman" w:hAnsi="Times New Roman" w:cs="Times New Roman"/>
          <w:lang w:val="pl-PL"/>
        </w:rPr>
        <w:t>i która jest</w:t>
      </w:r>
      <w:r w:rsidR="00A43C52" w:rsidRPr="005463FD">
        <w:rPr>
          <w:rFonts w:ascii="Times New Roman" w:hAnsi="Times New Roman" w:cs="Times New Roman"/>
          <w:lang w:val="pl-PL"/>
        </w:rPr>
        <w:t xml:space="preserve"> całkowicie przesyłana, kierowana i otrzymywana za pomocą kabla, odbiornika radiowego, środków optycznych lub innych środków elektromagnetycznych</w:t>
      </w:r>
      <w:r w:rsidR="00A220C6" w:rsidRPr="005463FD">
        <w:rPr>
          <w:rFonts w:ascii="Times New Roman" w:hAnsi="Times New Roman" w:cs="Times New Roman"/>
          <w:lang w:val="pl-PL"/>
        </w:rPr>
        <w:t>,</w:t>
      </w:r>
    </w:p>
    <w:p w:rsidR="00A220C6" w:rsidRPr="005463FD" w:rsidRDefault="002034DF" w:rsidP="00171A6F">
      <w:pPr>
        <w:pStyle w:val="ECHRParaQuote"/>
        <w:rPr>
          <w:rFonts w:ascii="Times New Roman" w:hAnsi="Times New Roman" w:cs="Times New Roman"/>
          <w:lang w:val="pl-PL"/>
        </w:rPr>
      </w:pPr>
      <w:r w:rsidRPr="005463FD">
        <w:rPr>
          <w:rFonts w:ascii="Times New Roman" w:hAnsi="Times New Roman" w:cs="Times New Roman"/>
          <w:lang w:val="pl-PL"/>
        </w:rPr>
        <w:t>– </w:t>
      </w:r>
      <w:r w:rsidR="008057EE" w:rsidRPr="005463FD">
        <w:rPr>
          <w:rFonts w:ascii="Times New Roman" w:hAnsi="Times New Roman" w:cs="Times New Roman"/>
          <w:lang w:val="pl-PL"/>
        </w:rPr>
        <w:t>’</w:t>
      </w:r>
      <w:r w:rsidR="00A43C52" w:rsidRPr="005463FD">
        <w:rPr>
          <w:rFonts w:ascii="Times New Roman" w:hAnsi="Times New Roman" w:cs="Times New Roman"/>
          <w:lang w:val="pl-PL"/>
        </w:rPr>
        <w:t>na indywidualne żądanie odbiorcy usług</w:t>
      </w:r>
      <w:r w:rsidR="008057EE" w:rsidRPr="005463FD">
        <w:rPr>
          <w:rFonts w:ascii="Times New Roman" w:hAnsi="Times New Roman" w:cs="Times New Roman"/>
          <w:lang w:val="pl-PL"/>
        </w:rPr>
        <w:t>’</w:t>
      </w:r>
      <w:r w:rsidR="00A220C6" w:rsidRPr="005463FD">
        <w:rPr>
          <w:rFonts w:ascii="Times New Roman" w:hAnsi="Times New Roman" w:cs="Times New Roman"/>
          <w:lang w:val="pl-PL"/>
        </w:rPr>
        <w:t xml:space="preserve"> </w:t>
      </w:r>
      <w:r w:rsidR="00A43C52" w:rsidRPr="005463FD">
        <w:rPr>
          <w:rFonts w:ascii="Times New Roman" w:hAnsi="Times New Roman" w:cs="Times New Roman"/>
          <w:lang w:val="pl-PL"/>
        </w:rPr>
        <w:t>oznacza, że usługa świadczona jest poprzez przesyłanie danych na indywidualne żądanie.</w:t>
      </w:r>
    </w:p>
    <w:p w:rsidR="00A220C6" w:rsidRPr="005463FD" w:rsidRDefault="0027543B" w:rsidP="00171A6F">
      <w:pPr>
        <w:pStyle w:val="ECHRParaQuote"/>
        <w:rPr>
          <w:rFonts w:ascii="Times New Roman" w:hAnsi="Times New Roman" w:cs="Times New Roman"/>
          <w:lang w:val="pl-PL"/>
        </w:rPr>
      </w:pPr>
      <w:r w:rsidRPr="005463FD">
        <w:rPr>
          <w:rFonts w:ascii="Times New Roman" w:hAnsi="Times New Roman" w:cs="Times New Roman"/>
          <w:lang w:val="pl-PL"/>
        </w:rPr>
        <w:t>Orientacyjny</w:t>
      </w:r>
      <w:r w:rsidR="00A43C52" w:rsidRPr="005463FD">
        <w:rPr>
          <w:rFonts w:ascii="Times New Roman" w:hAnsi="Times New Roman" w:cs="Times New Roman"/>
          <w:lang w:val="pl-PL"/>
        </w:rPr>
        <w:t xml:space="preserve"> wykaz usług nieobjętych niniejszą definicją został określony w załączniku V</w:t>
      </w:r>
      <w:r w:rsidR="00A220C6" w:rsidRPr="005463FD">
        <w:rPr>
          <w:rFonts w:ascii="Times New Roman" w:hAnsi="Times New Roman" w:cs="Times New Roman"/>
          <w:lang w:val="pl-PL"/>
        </w:rPr>
        <w:t>.</w:t>
      </w:r>
    </w:p>
    <w:p w:rsidR="00A220C6" w:rsidRPr="005463FD" w:rsidRDefault="00687AEF" w:rsidP="00171A6F">
      <w:pPr>
        <w:pStyle w:val="ECHRParaQuote"/>
        <w:rPr>
          <w:rFonts w:ascii="Times New Roman" w:hAnsi="Times New Roman" w:cs="Times New Roman"/>
          <w:lang w:val="pl-PL"/>
        </w:rPr>
      </w:pPr>
      <w:r w:rsidRPr="005463FD">
        <w:rPr>
          <w:rFonts w:ascii="Times New Roman" w:hAnsi="Times New Roman" w:cs="Times New Roman"/>
          <w:lang w:val="pl-PL"/>
        </w:rPr>
        <w:t>Niniejsza dyrektywa nie ma zastosowania do</w:t>
      </w:r>
      <w:r w:rsidR="00A220C6" w:rsidRPr="005463FD">
        <w:rPr>
          <w:rFonts w:ascii="Times New Roman" w:hAnsi="Times New Roman" w:cs="Times New Roman"/>
          <w:lang w:val="pl-PL"/>
        </w:rPr>
        <w:t>:</w:t>
      </w:r>
    </w:p>
    <w:p w:rsidR="00A220C6" w:rsidRPr="005463FD" w:rsidRDefault="002034DF" w:rsidP="00171A6F">
      <w:pPr>
        <w:pStyle w:val="ECHRParaQuote"/>
        <w:rPr>
          <w:rFonts w:ascii="Times New Roman" w:hAnsi="Times New Roman" w:cs="Times New Roman"/>
          <w:lang w:val="pl-PL"/>
        </w:rPr>
      </w:pPr>
      <w:r w:rsidRPr="005463FD">
        <w:rPr>
          <w:rFonts w:ascii="Times New Roman" w:hAnsi="Times New Roman" w:cs="Times New Roman"/>
          <w:lang w:val="pl-PL"/>
        </w:rPr>
        <w:t>– </w:t>
      </w:r>
      <w:r w:rsidR="0027543B" w:rsidRPr="005463FD">
        <w:rPr>
          <w:rFonts w:ascii="Times New Roman" w:hAnsi="Times New Roman" w:cs="Times New Roman"/>
          <w:lang w:val="pl-PL"/>
        </w:rPr>
        <w:t>usług radiowej emisji dźwięki</w:t>
      </w:r>
      <w:r w:rsidR="00A220C6" w:rsidRPr="005463FD">
        <w:rPr>
          <w:rFonts w:ascii="Times New Roman" w:hAnsi="Times New Roman" w:cs="Times New Roman"/>
          <w:lang w:val="pl-PL"/>
        </w:rPr>
        <w:t>,</w:t>
      </w:r>
    </w:p>
    <w:p w:rsidR="00A220C6" w:rsidRPr="005463FD" w:rsidRDefault="002034DF" w:rsidP="00171A6F">
      <w:pPr>
        <w:pStyle w:val="ECHRParaQuote"/>
        <w:rPr>
          <w:rFonts w:ascii="Times New Roman" w:hAnsi="Times New Roman" w:cs="Times New Roman"/>
          <w:lang w:val="pl-PL"/>
        </w:rPr>
      </w:pPr>
      <w:r w:rsidRPr="005463FD">
        <w:rPr>
          <w:rFonts w:ascii="Times New Roman" w:hAnsi="Times New Roman" w:cs="Times New Roman"/>
          <w:lang w:val="pl-PL"/>
        </w:rPr>
        <w:t>– </w:t>
      </w:r>
      <w:r w:rsidR="00687AEF" w:rsidRPr="005463FD">
        <w:rPr>
          <w:rFonts w:ascii="Times New Roman" w:hAnsi="Times New Roman" w:cs="Times New Roman"/>
          <w:lang w:val="pl-PL"/>
        </w:rPr>
        <w:t>usług telewizyjnych</w:t>
      </w:r>
      <w:r w:rsidR="0027543B" w:rsidRPr="005463FD">
        <w:rPr>
          <w:rFonts w:ascii="Times New Roman" w:hAnsi="Times New Roman" w:cs="Times New Roman"/>
          <w:lang w:val="pl-PL"/>
        </w:rPr>
        <w:t>,</w:t>
      </w:r>
      <w:r w:rsidR="00687AEF" w:rsidRPr="005463FD">
        <w:rPr>
          <w:rFonts w:ascii="Times New Roman" w:hAnsi="Times New Roman" w:cs="Times New Roman"/>
          <w:lang w:val="pl-PL"/>
        </w:rPr>
        <w:t xml:space="preserve"> </w:t>
      </w:r>
      <w:r w:rsidR="0027543B" w:rsidRPr="005463FD">
        <w:rPr>
          <w:rFonts w:ascii="Times New Roman" w:hAnsi="Times New Roman" w:cs="Times New Roman"/>
          <w:lang w:val="pl-PL"/>
        </w:rPr>
        <w:t xml:space="preserve">określonych w </w:t>
      </w:r>
      <w:r w:rsidR="00A220C6" w:rsidRPr="005463FD">
        <w:rPr>
          <w:rFonts w:ascii="Times New Roman" w:hAnsi="Times New Roman" w:cs="Times New Roman"/>
          <w:lang w:val="pl-PL"/>
        </w:rPr>
        <w:t>Art</w:t>
      </w:r>
      <w:r w:rsidR="00687AEF" w:rsidRPr="005463FD">
        <w:rPr>
          <w:rFonts w:ascii="Times New Roman" w:hAnsi="Times New Roman" w:cs="Times New Roman"/>
          <w:lang w:val="pl-PL"/>
        </w:rPr>
        <w:t>yk</w:t>
      </w:r>
      <w:r w:rsidR="00746FF7">
        <w:rPr>
          <w:rFonts w:ascii="Times New Roman" w:hAnsi="Times New Roman" w:cs="Times New Roman"/>
          <w:lang w:val="pl-PL"/>
        </w:rPr>
        <w:t>ul</w:t>
      </w:r>
      <w:r w:rsidR="0027543B" w:rsidRPr="005463FD">
        <w:rPr>
          <w:rFonts w:ascii="Times New Roman" w:hAnsi="Times New Roman" w:cs="Times New Roman"/>
          <w:lang w:val="pl-PL"/>
        </w:rPr>
        <w:t>e</w:t>
      </w:r>
      <w:r w:rsidR="00A220C6" w:rsidRPr="005463FD">
        <w:rPr>
          <w:rFonts w:ascii="Times New Roman" w:hAnsi="Times New Roman" w:cs="Times New Roman"/>
          <w:lang w:val="pl-PL"/>
        </w:rPr>
        <w:t xml:space="preserve"> 1</w:t>
      </w:r>
      <w:r w:rsidR="0027543B" w:rsidRPr="005463FD">
        <w:rPr>
          <w:rFonts w:ascii="Times New Roman" w:hAnsi="Times New Roman" w:cs="Times New Roman"/>
          <w:lang w:val="pl-PL"/>
        </w:rPr>
        <w:t>lit. a)</w:t>
      </w:r>
      <w:r w:rsidR="00A220C6" w:rsidRPr="005463FD">
        <w:rPr>
          <w:rFonts w:ascii="Times New Roman" w:hAnsi="Times New Roman" w:cs="Times New Roman"/>
          <w:lang w:val="pl-PL"/>
        </w:rPr>
        <w:t xml:space="preserve"> </w:t>
      </w:r>
      <w:r w:rsidR="00687AEF" w:rsidRPr="005463FD">
        <w:rPr>
          <w:rFonts w:ascii="Times New Roman" w:hAnsi="Times New Roman" w:cs="Times New Roman"/>
          <w:lang w:val="pl-PL"/>
        </w:rPr>
        <w:t>Dyrektywy</w:t>
      </w:r>
      <w:r w:rsidR="00A220C6" w:rsidRPr="005463FD">
        <w:rPr>
          <w:rFonts w:ascii="Times New Roman" w:hAnsi="Times New Roman" w:cs="Times New Roman"/>
          <w:lang w:val="pl-PL"/>
        </w:rPr>
        <w:t xml:space="preserve"> 89/552/EEC.”</w:t>
      </w:r>
    </w:p>
    <w:p w:rsidR="00A220C6" w:rsidRPr="005463FD" w:rsidRDefault="00A220C6" w:rsidP="00171A6F">
      <w:pPr>
        <w:pStyle w:val="ECHRHeading3"/>
        <w:rPr>
          <w:rFonts w:ascii="Times New Roman" w:hAnsi="Times New Roman" w:cs="Times New Roman"/>
          <w:lang w:val="pl-PL"/>
        </w:rPr>
      </w:pPr>
      <w:bookmarkStart w:id="14" w:name="_Toc420072865"/>
      <w:r w:rsidRPr="005463FD">
        <w:rPr>
          <w:rFonts w:ascii="Times New Roman" w:hAnsi="Times New Roman" w:cs="Times New Roman"/>
          <w:lang w:val="pl-PL"/>
        </w:rPr>
        <w:t>3.  </w:t>
      </w:r>
      <w:r w:rsidR="002D789A" w:rsidRPr="005463FD">
        <w:rPr>
          <w:rFonts w:ascii="Times New Roman" w:hAnsi="Times New Roman" w:cs="Times New Roman"/>
          <w:lang w:val="pl-PL"/>
        </w:rPr>
        <w:t>Orzecznictwo Trybunału Sprawiedliwości Unii Europejskie</w:t>
      </w:r>
      <w:bookmarkEnd w:id="14"/>
      <w:r w:rsidR="002D789A" w:rsidRPr="005463FD">
        <w:rPr>
          <w:rFonts w:ascii="Times New Roman" w:hAnsi="Times New Roman" w:cs="Times New Roman"/>
          <w:lang w:val="pl-PL"/>
        </w:rPr>
        <w:t>j</w:t>
      </w:r>
    </w:p>
    <w:p w:rsidR="00A220C6" w:rsidRPr="00B45853" w:rsidRDefault="00DD67A4" w:rsidP="00171A6F">
      <w:pPr>
        <w:pStyle w:val="ECHRPara"/>
        <w:rPr>
          <w:rFonts w:ascii="Times New Roman" w:hAnsi="Times New Roman" w:cs="Times New Roman"/>
          <w:lang w:val="pl-PL"/>
        </w:rPr>
      </w:pPr>
      <w:r w:rsidRPr="005463FD">
        <w:rPr>
          <w:rFonts w:ascii="Times New Roman" w:hAnsi="Times New Roman" w:cs="Times New Roman"/>
          <w:lang w:val="en-GB"/>
        </w:rPr>
        <w:fldChar w:fldCharType="begin"/>
      </w:r>
      <w:r w:rsidR="00A220C6" w:rsidRPr="005463FD">
        <w:rPr>
          <w:rFonts w:ascii="Times New Roman" w:hAnsi="Times New Roman" w:cs="Times New Roman"/>
          <w:lang w:val="pl-PL"/>
        </w:rPr>
        <w:instrText xml:space="preserve"> SEQ level0 \*arabic </w:instrText>
      </w:r>
      <w:r w:rsidRPr="005463FD">
        <w:rPr>
          <w:rFonts w:ascii="Times New Roman" w:hAnsi="Times New Roman" w:cs="Times New Roman"/>
          <w:lang w:val="en-GB"/>
        </w:rPr>
        <w:fldChar w:fldCharType="separate"/>
      </w:r>
      <w:r w:rsidR="002F0EE0" w:rsidRPr="005463FD">
        <w:rPr>
          <w:rFonts w:ascii="Times New Roman" w:hAnsi="Times New Roman" w:cs="Times New Roman"/>
          <w:noProof/>
          <w:lang w:val="pl-PL"/>
        </w:rPr>
        <w:t>52</w:t>
      </w:r>
      <w:r w:rsidRPr="005463FD">
        <w:rPr>
          <w:rFonts w:ascii="Times New Roman" w:hAnsi="Times New Roman" w:cs="Times New Roman"/>
          <w:lang w:val="en-GB"/>
        </w:rPr>
        <w:fldChar w:fldCharType="end"/>
      </w:r>
      <w:r w:rsidR="00A220C6" w:rsidRPr="005463FD">
        <w:rPr>
          <w:rFonts w:ascii="Times New Roman" w:hAnsi="Times New Roman" w:cs="Times New Roman"/>
          <w:lang w:val="pl-PL"/>
        </w:rPr>
        <w:t>.  </w:t>
      </w:r>
      <w:r w:rsidR="002D789A" w:rsidRPr="005463FD">
        <w:rPr>
          <w:rFonts w:ascii="Times New Roman" w:hAnsi="Times New Roman" w:cs="Times New Roman"/>
          <w:lang w:val="pl-PL"/>
        </w:rPr>
        <w:t xml:space="preserve">W wyroku z dnia 23 marca 2010 roku (połączone sprawy od C 236/08 do C 238/08 Google France i Google) </w:t>
      </w:r>
      <w:r w:rsidR="002034DF" w:rsidRPr="005463FD">
        <w:rPr>
          <w:rFonts w:ascii="Times New Roman" w:hAnsi="Times New Roman" w:cs="Times New Roman"/>
          <w:lang w:val="pl-PL"/>
        </w:rPr>
        <w:t>TSUE</w:t>
      </w:r>
      <w:r w:rsidR="002D789A" w:rsidRPr="005463FD">
        <w:rPr>
          <w:rFonts w:ascii="Times New Roman" w:hAnsi="Times New Roman" w:cs="Times New Roman"/>
          <w:lang w:val="pl-PL"/>
        </w:rPr>
        <w:t xml:space="preserve"> uznał, że w celu ustalenia, czy odpowiedzialność podmiotu świadczącego usługę odsyłania może być ograniczona na mocy Artykułu 14 Dyrektywy 2000/31/</w:t>
      </w:r>
      <w:r w:rsidR="009971FF" w:rsidRPr="005463FD">
        <w:rPr>
          <w:rFonts w:ascii="Times New Roman" w:hAnsi="Times New Roman" w:cs="Times New Roman"/>
          <w:lang w:val="pl-PL"/>
        </w:rPr>
        <w:t>EC</w:t>
      </w:r>
      <w:r w:rsidR="002D789A" w:rsidRPr="005463FD">
        <w:rPr>
          <w:rFonts w:ascii="Times New Roman" w:hAnsi="Times New Roman" w:cs="Times New Roman"/>
          <w:lang w:val="pl-PL"/>
        </w:rPr>
        <w:t>, konieczne było zbadanie, czy rola tego usługodawcy by</w:t>
      </w:r>
      <w:r w:rsidR="0027543B" w:rsidRPr="005463FD">
        <w:rPr>
          <w:rFonts w:ascii="Times New Roman" w:hAnsi="Times New Roman" w:cs="Times New Roman"/>
          <w:lang w:val="pl-PL"/>
        </w:rPr>
        <w:t>ł neutralna, w tym sensie, że jego</w:t>
      </w:r>
      <w:r w:rsidR="002D789A" w:rsidRPr="005463FD">
        <w:rPr>
          <w:rFonts w:ascii="Times New Roman" w:hAnsi="Times New Roman" w:cs="Times New Roman"/>
          <w:lang w:val="pl-PL"/>
        </w:rPr>
        <w:t xml:space="preserve"> zachowanie było jedynie techniczne, automatyczne i bierne, wskazując na brak wiedzy lub kontroli nad danymi, które przechowywał. Artykuł 14 Dyrektywy o handlu elektronicznym należało interpretować </w:t>
      </w:r>
      <w:r w:rsidR="00420BB8">
        <w:rPr>
          <w:rFonts w:ascii="Times New Roman" w:hAnsi="Times New Roman" w:cs="Times New Roman"/>
          <w:lang w:val="pl-PL"/>
        </w:rPr>
        <w:br/>
      </w:r>
      <w:r w:rsidR="002D789A" w:rsidRPr="005463FD">
        <w:rPr>
          <w:rFonts w:ascii="Times New Roman" w:hAnsi="Times New Roman" w:cs="Times New Roman"/>
          <w:lang w:val="pl-PL"/>
        </w:rPr>
        <w:t>w ten s</w:t>
      </w:r>
      <w:r w:rsidR="0027543B" w:rsidRPr="005463FD">
        <w:rPr>
          <w:rFonts w:ascii="Times New Roman" w:hAnsi="Times New Roman" w:cs="Times New Roman"/>
          <w:lang w:val="pl-PL"/>
        </w:rPr>
        <w:t>posób, że zasada w nim wyrażona</w:t>
      </w:r>
      <w:r w:rsidR="002D789A" w:rsidRPr="005463FD">
        <w:rPr>
          <w:rFonts w:ascii="Times New Roman" w:hAnsi="Times New Roman" w:cs="Times New Roman"/>
          <w:lang w:val="pl-PL"/>
        </w:rPr>
        <w:t xml:space="preserve"> </w:t>
      </w:r>
      <w:r w:rsidR="0027543B" w:rsidRPr="005463FD">
        <w:rPr>
          <w:rFonts w:ascii="Times New Roman" w:hAnsi="Times New Roman" w:cs="Times New Roman"/>
          <w:lang w:val="pl-PL"/>
        </w:rPr>
        <w:t>znajduje za</w:t>
      </w:r>
      <w:r w:rsidR="002D789A" w:rsidRPr="005463FD">
        <w:rPr>
          <w:rFonts w:ascii="Times New Roman" w:hAnsi="Times New Roman" w:cs="Times New Roman"/>
          <w:lang w:val="pl-PL"/>
        </w:rPr>
        <w:t>stosowan</w:t>
      </w:r>
      <w:r w:rsidR="0027543B" w:rsidRPr="005463FD">
        <w:rPr>
          <w:rFonts w:ascii="Times New Roman" w:hAnsi="Times New Roman" w:cs="Times New Roman"/>
          <w:lang w:val="pl-PL"/>
        </w:rPr>
        <w:t>i</w:t>
      </w:r>
      <w:r w:rsidR="002D789A" w:rsidRPr="005463FD">
        <w:rPr>
          <w:rFonts w:ascii="Times New Roman" w:hAnsi="Times New Roman" w:cs="Times New Roman"/>
          <w:lang w:val="pl-PL"/>
        </w:rPr>
        <w:t xml:space="preserve">e do podmiotu świadczącego usługę w Internecie w przypadku, gdy usługodawca nie odgrywa aktywnej roli tego rodzaju, aby nadać mu wiedzę lub kontrolę nad przechowywanymi danymi. Gdyby nie odgrywał takiej roli, usługodawca nie może być pociągnięty do odpowiedzialności za dane, które </w:t>
      </w:r>
      <w:r w:rsidR="002D789A" w:rsidRPr="005463FD">
        <w:rPr>
          <w:rFonts w:ascii="Times New Roman" w:hAnsi="Times New Roman" w:cs="Times New Roman"/>
          <w:lang w:val="pl-PL"/>
        </w:rPr>
        <w:lastRenderedPageBreak/>
        <w:t xml:space="preserve">nie są </w:t>
      </w:r>
      <w:r w:rsidR="009971FF" w:rsidRPr="005463FD">
        <w:rPr>
          <w:rFonts w:ascii="Times New Roman" w:hAnsi="Times New Roman" w:cs="Times New Roman"/>
          <w:lang w:val="pl-PL"/>
        </w:rPr>
        <w:t>przechowywane</w:t>
      </w:r>
      <w:r w:rsidR="002D789A" w:rsidRPr="005463FD">
        <w:rPr>
          <w:rFonts w:ascii="Times New Roman" w:hAnsi="Times New Roman" w:cs="Times New Roman"/>
          <w:lang w:val="pl-PL"/>
        </w:rPr>
        <w:t xml:space="preserve"> na żądanie reklamodawcy, chyba że </w:t>
      </w:r>
      <w:r w:rsidR="009971FF" w:rsidRPr="005463FD">
        <w:rPr>
          <w:rFonts w:ascii="Times New Roman" w:hAnsi="Times New Roman" w:cs="Times New Roman"/>
          <w:lang w:val="pl-PL"/>
        </w:rPr>
        <w:t xml:space="preserve">zdobywszy </w:t>
      </w:r>
      <w:r w:rsidR="002D789A" w:rsidRPr="005463FD">
        <w:rPr>
          <w:rFonts w:ascii="Times New Roman" w:hAnsi="Times New Roman" w:cs="Times New Roman"/>
          <w:lang w:val="pl-PL"/>
        </w:rPr>
        <w:t>wiadomość o bezprawnym charakterze tych informacji lub</w:t>
      </w:r>
      <w:r w:rsidR="002D789A" w:rsidRPr="00B45853">
        <w:rPr>
          <w:rFonts w:ascii="Times New Roman" w:hAnsi="Times New Roman" w:cs="Times New Roman"/>
          <w:lang w:val="pl-PL"/>
        </w:rPr>
        <w:t xml:space="preserve"> działalności reklamodawcy, to nie udało się działać sprawnie w celu usunięcia lub uniemożliwienia dostępu do tych danych</w:t>
      </w:r>
      <w:r w:rsidR="00A220C6" w:rsidRPr="00B45853">
        <w:rPr>
          <w:rFonts w:ascii="Times New Roman" w:hAnsi="Times New Roman" w:cs="Times New Roman"/>
          <w:lang w:val="pl-PL"/>
        </w:rPr>
        <w:t>.</w:t>
      </w:r>
    </w:p>
    <w:p w:rsidR="00A220C6" w:rsidRPr="005463FD"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9971FF" w:rsidRPr="00B45853">
        <w:rPr>
          <w:rFonts w:ascii="Times New Roman" w:hAnsi="Times New Roman" w:cs="Times New Roman"/>
          <w:lang w:val="pl-PL"/>
        </w:rPr>
        <w:t xml:space="preserve">W wyroku z dnia 12 lipca 2011 roku </w:t>
      </w:r>
      <w:r w:rsidR="00A220C6" w:rsidRPr="00B45853">
        <w:rPr>
          <w:rFonts w:ascii="Times New Roman" w:hAnsi="Times New Roman" w:cs="Times New Roman"/>
          <w:lang w:val="pl-PL"/>
        </w:rPr>
        <w:t>(</w:t>
      </w:r>
      <w:r w:rsidR="009971FF" w:rsidRPr="00B45853">
        <w:rPr>
          <w:rFonts w:ascii="Times New Roman" w:hAnsi="Times New Roman" w:cs="Times New Roman"/>
          <w:lang w:val="pl-PL"/>
        </w:rPr>
        <w:t>Sprawa</w:t>
      </w:r>
      <w:r w:rsidR="00A220C6" w:rsidRPr="00B45853">
        <w:rPr>
          <w:rFonts w:ascii="Times New Roman" w:hAnsi="Times New Roman" w:cs="Times New Roman"/>
          <w:lang w:val="pl-PL"/>
        </w:rPr>
        <w:t xml:space="preserve"> C</w:t>
      </w:r>
      <w:r w:rsidR="00A220C6" w:rsidRPr="00B45853">
        <w:rPr>
          <w:rFonts w:ascii="Times New Roman" w:hAnsi="Times New Roman" w:cs="Times New Roman"/>
          <w:lang w:val="pl-PL"/>
        </w:rPr>
        <w:noBreakHyphen/>
        <w:t xml:space="preserve">324/09 </w:t>
      </w:r>
      <w:r w:rsidR="00A220C6" w:rsidRPr="00B45853">
        <w:rPr>
          <w:rFonts w:ascii="Times New Roman" w:hAnsi="Times New Roman" w:cs="Times New Roman"/>
          <w:i/>
          <w:iCs/>
          <w:lang w:val="pl-PL"/>
        </w:rPr>
        <w:t>L</w:t>
      </w:r>
      <w:r w:rsidR="008057EE" w:rsidRPr="00B45853">
        <w:rPr>
          <w:rFonts w:ascii="Times New Roman" w:hAnsi="Times New Roman" w:cs="Times New Roman"/>
          <w:i/>
          <w:iCs/>
          <w:lang w:val="pl-PL"/>
        </w:rPr>
        <w:t>’</w:t>
      </w:r>
      <w:r w:rsidR="00A220C6" w:rsidRPr="00B45853">
        <w:rPr>
          <w:rFonts w:ascii="Times New Roman" w:hAnsi="Times New Roman" w:cs="Times New Roman"/>
          <w:i/>
          <w:iCs/>
          <w:lang w:val="pl-PL"/>
        </w:rPr>
        <w:t xml:space="preserve">Oréal </w:t>
      </w:r>
      <w:r w:rsidR="002F67ED">
        <w:rPr>
          <w:rFonts w:ascii="Times New Roman" w:hAnsi="Times New Roman" w:cs="Times New Roman"/>
          <w:i/>
          <w:iCs/>
          <w:lang w:val="pl-PL"/>
        </w:rPr>
        <w:br/>
      </w:r>
      <w:r w:rsidR="009971FF" w:rsidRPr="00B45853">
        <w:rPr>
          <w:rFonts w:ascii="Times New Roman" w:hAnsi="Times New Roman" w:cs="Times New Roman"/>
          <w:i/>
          <w:iCs/>
          <w:lang w:val="pl-PL"/>
        </w:rPr>
        <w:t>i</w:t>
      </w:r>
      <w:r w:rsidR="00A220C6" w:rsidRPr="00B45853">
        <w:rPr>
          <w:rFonts w:ascii="Times New Roman" w:hAnsi="Times New Roman" w:cs="Times New Roman"/>
          <w:i/>
          <w:iCs/>
          <w:lang w:val="pl-PL"/>
        </w:rPr>
        <w:t xml:space="preserve"> </w:t>
      </w:r>
      <w:r w:rsidR="009971FF" w:rsidRPr="00B45853">
        <w:rPr>
          <w:rFonts w:ascii="Times New Roman" w:hAnsi="Times New Roman" w:cs="Times New Roman"/>
          <w:i/>
          <w:iCs/>
          <w:lang w:val="pl-PL"/>
        </w:rPr>
        <w:t>Inni</w:t>
      </w:r>
      <w:r w:rsidR="009971FF" w:rsidRPr="00B45853">
        <w:rPr>
          <w:rFonts w:ascii="Times New Roman" w:hAnsi="Times New Roman" w:cs="Times New Roman"/>
          <w:lang w:val="pl-PL"/>
        </w:rPr>
        <w:t xml:space="preserve">) </w:t>
      </w:r>
      <w:r w:rsidR="002034DF" w:rsidRPr="00B45853">
        <w:rPr>
          <w:rFonts w:ascii="Times New Roman" w:hAnsi="Times New Roman" w:cs="Times New Roman"/>
          <w:lang w:val="pl-PL"/>
        </w:rPr>
        <w:t>TSUE</w:t>
      </w:r>
      <w:r w:rsidR="00A220C6" w:rsidRPr="00B45853">
        <w:rPr>
          <w:rFonts w:ascii="Times New Roman" w:hAnsi="Times New Roman" w:cs="Times New Roman"/>
          <w:lang w:val="pl-PL"/>
        </w:rPr>
        <w:t xml:space="preserve"> </w:t>
      </w:r>
      <w:r w:rsidR="009971FF" w:rsidRPr="00B45853">
        <w:rPr>
          <w:rFonts w:ascii="Times New Roman" w:hAnsi="Times New Roman" w:cs="Times New Roman"/>
          <w:lang w:val="pl-PL"/>
        </w:rPr>
        <w:t>orzekł, że Artykuł 14 (1) Dyrektywy 2000/31/</w:t>
      </w:r>
      <w:r w:rsidR="00A220C6" w:rsidRPr="00B45853">
        <w:rPr>
          <w:rFonts w:ascii="Times New Roman" w:hAnsi="Times New Roman" w:cs="Times New Roman"/>
          <w:lang w:val="pl-PL"/>
        </w:rPr>
        <w:t xml:space="preserve">EC </w:t>
      </w:r>
      <w:r w:rsidR="009971FF" w:rsidRPr="00B45853">
        <w:rPr>
          <w:rFonts w:ascii="Times New Roman" w:hAnsi="Times New Roman" w:cs="Times New Roman"/>
          <w:lang w:val="pl-PL"/>
        </w:rPr>
        <w:t>nal</w:t>
      </w:r>
      <w:r w:rsidR="0027543B">
        <w:rPr>
          <w:rFonts w:ascii="Times New Roman" w:hAnsi="Times New Roman" w:cs="Times New Roman"/>
          <w:lang w:val="pl-PL"/>
        </w:rPr>
        <w:t xml:space="preserve">eży interpretować jako </w:t>
      </w:r>
      <w:r w:rsidR="0027543B" w:rsidRPr="005463FD">
        <w:rPr>
          <w:rFonts w:ascii="Times New Roman" w:hAnsi="Times New Roman" w:cs="Times New Roman"/>
          <w:lang w:val="pl-PL"/>
        </w:rPr>
        <w:t>odnoszący</w:t>
      </w:r>
      <w:r w:rsidR="009971FF" w:rsidRPr="00B45853">
        <w:rPr>
          <w:rFonts w:ascii="Times New Roman" w:hAnsi="Times New Roman" w:cs="Times New Roman"/>
          <w:lang w:val="pl-PL"/>
        </w:rPr>
        <w:t xml:space="preserve"> się do operatora rynku online w przypadku, gdy operator nie odegrał aktywnej roli pozwalającej mu posiadać wiedzę lub kontrolę nad przechowywanymi danymi. Operator odgrywa taką rolę, gdy udziela pomocy, które pociąga za sobą, w szczególności optymalizację prezentacji ofert sprzedaży przedmiotowych lub ich promowanie. </w:t>
      </w:r>
      <w:r w:rsidR="00FC6E22">
        <w:rPr>
          <w:rFonts w:ascii="Times New Roman" w:hAnsi="Times New Roman" w:cs="Times New Roman"/>
          <w:lang w:val="pl-PL"/>
        </w:rPr>
        <w:br/>
      </w:r>
      <w:r w:rsidR="009971FF" w:rsidRPr="00B45853">
        <w:rPr>
          <w:rFonts w:ascii="Times New Roman" w:hAnsi="Times New Roman" w:cs="Times New Roman"/>
          <w:lang w:val="pl-PL"/>
        </w:rPr>
        <w:t xml:space="preserve">W przypadku gdy operator rynku online nie odegrał takiej aktywnej roli </w:t>
      </w:r>
      <w:r w:rsidR="00FC6E22">
        <w:rPr>
          <w:rFonts w:ascii="Times New Roman" w:hAnsi="Times New Roman" w:cs="Times New Roman"/>
          <w:lang w:val="pl-PL"/>
        </w:rPr>
        <w:br/>
      </w:r>
      <w:r w:rsidR="009971FF" w:rsidRPr="00B45853">
        <w:rPr>
          <w:rFonts w:ascii="Times New Roman" w:hAnsi="Times New Roman" w:cs="Times New Roman"/>
          <w:lang w:val="pl-PL"/>
        </w:rPr>
        <w:t xml:space="preserve">i świadczone usługi spadły, w konsekwencji, w zakresie </w:t>
      </w:r>
      <w:r w:rsidR="00A220C6" w:rsidRPr="00B45853">
        <w:rPr>
          <w:rFonts w:ascii="Times New Roman" w:hAnsi="Times New Roman" w:cs="Times New Roman"/>
          <w:lang w:val="pl-PL"/>
        </w:rPr>
        <w:t>A</w:t>
      </w:r>
      <w:r w:rsidR="009971FF" w:rsidRPr="00B45853">
        <w:rPr>
          <w:rFonts w:ascii="Times New Roman" w:hAnsi="Times New Roman" w:cs="Times New Roman"/>
          <w:lang w:val="pl-PL"/>
        </w:rPr>
        <w:t>rtykułu</w:t>
      </w:r>
      <w:r w:rsidR="00A220C6" w:rsidRPr="00B45853">
        <w:rPr>
          <w:rFonts w:ascii="Times New Roman" w:hAnsi="Times New Roman" w:cs="Times New Roman"/>
          <w:lang w:val="pl-PL"/>
        </w:rPr>
        <w:t xml:space="preserve"> 14(1) </w:t>
      </w:r>
      <w:r w:rsidR="009971FF" w:rsidRPr="00B45853">
        <w:rPr>
          <w:rFonts w:ascii="Times New Roman" w:hAnsi="Times New Roman" w:cs="Times New Roman"/>
          <w:lang w:val="pl-PL"/>
        </w:rPr>
        <w:t>Dyrektywy</w:t>
      </w:r>
      <w:r w:rsidR="00A220C6" w:rsidRPr="00B45853">
        <w:rPr>
          <w:rFonts w:ascii="Times New Roman" w:hAnsi="Times New Roman" w:cs="Times New Roman"/>
          <w:lang w:val="pl-PL"/>
        </w:rPr>
        <w:t xml:space="preserve"> 2000/31/EC, </w:t>
      </w:r>
      <w:r w:rsidR="009971FF" w:rsidRPr="00B45853">
        <w:rPr>
          <w:rFonts w:ascii="Times New Roman" w:hAnsi="Times New Roman" w:cs="Times New Roman"/>
          <w:lang w:val="pl-PL"/>
        </w:rPr>
        <w:t xml:space="preserve">żaden operator nie mógłby, w przypadku który mógłby doprowadzić do celu zapłaty odszkodowania, powoływać się na zwolnienie z odpowiedzialności przewidzianej w tym artykule, gdyby był świadomy faktów lub okoliczności, na podstawie których </w:t>
      </w:r>
      <w:r w:rsidR="00B0606C" w:rsidRPr="005463FD">
        <w:rPr>
          <w:rFonts w:ascii="Times New Roman" w:hAnsi="Times New Roman" w:cs="Times New Roman"/>
          <w:lang w:val="pl-PL"/>
        </w:rPr>
        <w:t xml:space="preserve">należycie </w:t>
      </w:r>
      <w:r w:rsidR="009971FF" w:rsidRPr="005463FD">
        <w:rPr>
          <w:rFonts w:ascii="Times New Roman" w:hAnsi="Times New Roman" w:cs="Times New Roman"/>
          <w:lang w:val="pl-PL"/>
        </w:rPr>
        <w:t xml:space="preserve">staranny podmiot gospodarczy powinien zdać sobie sprawę, że dane oferty na sprzedaż były niezgodne z prawem, a w tym przypadku to jest tak świadome, nie udało się </w:t>
      </w:r>
      <w:r w:rsidR="00B0606C" w:rsidRPr="005463FD">
        <w:rPr>
          <w:rFonts w:ascii="Times New Roman" w:hAnsi="Times New Roman" w:cs="Times New Roman"/>
          <w:lang w:val="pl-PL"/>
        </w:rPr>
        <w:t>działać sprawnie</w:t>
      </w:r>
      <w:r w:rsidR="009971FF" w:rsidRPr="005463FD">
        <w:rPr>
          <w:rFonts w:ascii="Times New Roman" w:hAnsi="Times New Roman" w:cs="Times New Roman"/>
          <w:lang w:val="pl-PL"/>
        </w:rPr>
        <w:t xml:space="preserve"> zgodnie z Artykułem </w:t>
      </w:r>
      <w:r w:rsidR="00A220C6" w:rsidRPr="005463FD">
        <w:rPr>
          <w:rFonts w:ascii="Times New Roman" w:hAnsi="Times New Roman" w:cs="Times New Roman"/>
          <w:lang w:val="pl-PL"/>
        </w:rPr>
        <w:t>14(1)</w:t>
      </w:r>
      <w:r w:rsidR="002034DF" w:rsidRPr="005463FD">
        <w:rPr>
          <w:rFonts w:ascii="Times New Roman" w:hAnsi="Times New Roman" w:cs="Times New Roman"/>
          <w:lang w:val="pl-PL"/>
        </w:rPr>
        <w:t xml:space="preserve"> </w:t>
      </w:r>
      <w:r w:rsidR="00A220C6" w:rsidRPr="005463FD">
        <w:rPr>
          <w:rFonts w:ascii="Times New Roman" w:hAnsi="Times New Roman" w:cs="Times New Roman"/>
          <w:lang w:val="pl-PL"/>
        </w:rPr>
        <w:t>(b)  D</w:t>
      </w:r>
      <w:r w:rsidR="009971FF" w:rsidRPr="005463FD">
        <w:rPr>
          <w:rFonts w:ascii="Times New Roman" w:hAnsi="Times New Roman" w:cs="Times New Roman"/>
          <w:lang w:val="pl-PL"/>
        </w:rPr>
        <w:t>yrektywy</w:t>
      </w:r>
      <w:r w:rsidR="00A220C6" w:rsidRPr="005463FD">
        <w:rPr>
          <w:rFonts w:ascii="Times New Roman" w:hAnsi="Times New Roman" w:cs="Times New Roman"/>
          <w:lang w:val="pl-PL"/>
        </w:rPr>
        <w:t xml:space="preserve"> 2000/31/EC.</w:t>
      </w:r>
    </w:p>
    <w:p w:rsidR="00A220C6" w:rsidRPr="005463FD" w:rsidRDefault="00DD67A4" w:rsidP="00171A6F">
      <w:pPr>
        <w:pStyle w:val="ECHRPara"/>
        <w:rPr>
          <w:rFonts w:ascii="Times New Roman" w:hAnsi="Times New Roman" w:cs="Times New Roman"/>
          <w:lang w:val="pl-PL"/>
        </w:rPr>
      </w:pPr>
      <w:r w:rsidRPr="005463FD">
        <w:rPr>
          <w:rFonts w:ascii="Times New Roman" w:hAnsi="Times New Roman" w:cs="Times New Roman"/>
          <w:lang w:val="en-GB"/>
        </w:rPr>
        <w:fldChar w:fldCharType="begin"/>
      </w:r>
      <w:r w:rsidR="00A220C6" w:rsidRPr="005463FD">
        <w:rPr>
          <w:rFonts w:ascii="Times New Roman" w:hAnsi="Times New Roman" w:cs="Times New Roman"/>
          <w:lang w:val="pl-PL"/>
        </w:rPr>
        <w:instrText xml:space="preserve"> SEQ level0 \*arabic </w:instrText>
      </w:r>
      <w:r w:rsidRPr="005463FD">
        <w:rPr>
          <w:rFonts w:ascii="Times New Roman" w:hAnsi="Times New Roman" w:cs="Times New Roman"/>
          <w:lang w:val="en-GB"/>
        </w:rPr>
        <w:fldChar w:fldCharType="separate"/>
      </w:r>
      <w:r w:rsidR="002F0EE0" w:rsidRPr="005463FD">
        <w:rPr>
          <w:rFonts w:ascii="Times New Roman" w:hAnsi="Times New Roman" w:cs="Times New Roman"/>
          <w:noProof/>
          <w:lang w:val="pl-PL"/>
        </w:rPr>
        <w:t>54</w:t>
      </w:r>
      <w:r w:rsidRPr="005463FD">
        <w:rPr>
          <w:rFonts w:ascii="Times New Roman" w:hAnsi="Times New Roman" w:cs="Times New Roman"/>
          <w:lang w:val="en-GB"/>
        </w:rPr>
        <w:fldChar w:fldCharType="end"/>
      </w:r>
      <w:r w:rsidR="00A220C6" w:rsidRPr="005463FD">
        <w:rPr>
          <w:rFonts w:ascii="Times New Roman" w:hAnsi="Times New Roman" w:cs="Times New Roman"/>
          <w:lang w:val="pl-PL"/>
        </w:rPr>
        <w:t>.  </w:t>
      </w:r>
      <w:r w:rsidR="00A36B3B" w:rsidRPr="005463FD">
        <w:rPr>
          <w:rFonts w:ascii="Times New Roman" w:hAnsi="Times New Roman" w:cs="Times New Roman"/>
          <w:lang w:val="pl-PL"/>
        </w:rPr>
        <w:t xml:space="preserve">W wyroku z dnia 24 listopada 2011 roku </w:t>
      </w:r>
      <w:r w:rsidR="00A220C6" w:rsidRPr="005463FD">
        <w:rPr>
          <w:rFonts w:ascii="Times New Roman" w:hAnsi="Times New Roman" w:cs="Times New Roman"/>
          <w:lang w:val="pl-PL"/>
        </w:rPr>
        <w:t>(</w:t>
      </w:r>
      <w:r w:rsidR="00A36B3B" w:rsidRPr="005463FD">
        <w:rPr>
          <w:rFonts w:ascii="Times New Roman" w:hAnsi="Times New Roman" w:cs="Times New Roman"/>
          <w:lang w:val="pl-PL"/>
        </w:rPr>
        <w:t>Sprawa</w:t>
      </w:r>
      <w:r w:rsidR="00A220C6" w:rsidRPr="005463FD">
        <w:rPr>
          <w:rFonts w:ascii="Times New Roman" w:hAnsi="Times New Roman" w:cs="Times New Roman"/>
          <w:lang w:val="pl-PL"/>
        </w:rPr>
        <w:t xml:space="preserve"> C-70/10 </w:t>
      </w:r>
      <w:proofErr w:type="spellStart"/>
      <w:r w:rsidR="00A220C6" w:rsidRPr="005463FD">
        <w:rPr>
          <w:rFonts w:ascii="Times New Roman" w:hAnsi="Times New Roman" w:cs="Times New Roman"/>
          <w:i/>
          <w:lang w:val="pl-PL"/>
        </w:rPr>
        <w:t>Scarlet</w:t>
      </w:r>
      <w:proofErr w:type="spellEnd"/>
      <w:r w:rsidR="00A220C6" w:rsidRPr="005463FD">
        <w:rPr>
          <w:rFonts w:ascii="Times New Roman" w:hAnsi="Times New Roman" w:cs="Times New Roman"/>
          <w:i/>
          <w:lang w:val="pl-PL"/>
        </w:rPr>
        <w:t xml:space="preserve"> Extended</w:t>
      </w:r>
      <w:r w:rsidR="00003FA9" w:rsidRPr="005463FD">
        <w:rPr>
          <w:rFonts w:ascii="Times New Roman" w:hAnsi="Times New Roman" w:cs="Times New Roman"/>
          <w:lang w:val="pl-PL"/>
        </w:rPr>
        <w:t>)</w:t>
      </w:r>
      <w:r w:rsidR="00A220C6" w:rsidRPr="005463FD">
        <w:rPr>
          <w:rFonts w:ascii="Times New Roman" w:hAnsi="Times New Roman" w:cs="Times New Roman"/>
          <w:lang w:val="pl-PL"/>
        </w:rPr>
        <w:t xml:space="preserve"> </w:t>
      </w:r>
      <w:r w:rsidR="00003FA9" w:rsidRPr="005463FD">
        <w:rPr>
          <w:rFonts w:ascii="Times New Roman" w:hAnsi="Times New Roman" w:cs="Times New Roman"/>
          <w:lang w:val="pl-PL"/>
        </w:rPr>
        <w:t>TSUE</w:t>
      </w:r>
      <w:r w:rsidR="00A220C6" w:rsidRPr="005463FD">
        <w:rPr>
          <w:rFonts w:ascii="Times New Roman" w:hAnsi="Times New Roman" w:cs="Times New Roman"/>
          <w:lang w:val="pl-PL"/>
        </w:rPr>
        <w:t xml:space="preserve"> </w:t>
      </w:r>
      <w:r w:rsidR="00A36B3B" w:rsidRPr="005463FD">
        <w:rPr>
          <w:rFonts w:ascii="Times New Roman" w:hAnsi="Times New Roman" w:cs="Times New Roman"/>
          <w:lang w:val="pl-PL"/>
        </w:rPr>
        <w:t>uznał, że nakaz nie mógł być dokonany przeciw internetowemu usługodawcy</w:t>
      </w:r>
      <w:r w:rsidR="002034DF" w:rsidRPr="005463FD">
        <w:rPr>
          <w:rFonts w:ascii="Times New Roman" w:hAnsi="Times New Roman" w:cs="Times New Roman"/>
          <w:lang w:val="pl-PL"/>
        </w:rPr>
        <w:t>,</w:t>
      </w:r>
      <w:r w:rsidR="00A36B3B" w:rsidRPr="005463FD">
        <w:rPr>
          <w:rFonts w:ascii="Times New Roman" w:hAnsi="Times New Roman" w:cs="Times New Roman"/>
          <w:lang w:val="pl-PL"/>
        </w:rPr>
        <w:t xml:space="preserve"> zobowiązując go do zainstalowania systemu do filtrowania wszystkich elektronicznych łączności przekazywanych za pośrednictwem swoich usług, w szczególności tych, które dotyczą korzystania z sieci oprogramowania </w:t>
      </w:r>
      <w:proofErr w:type="spellStart"/>
      <w:r w:rsidR="00A36B3B" w:rsidRPr="005463FD">
        <w:rPr>
          <w:rFonts w:ascii="Times New Roman" w:hAnsi="Times New Roman" w:cs="Times New Roman"/>
          <w:lang w:val="pl-PL"/>
        </w:rPr>
        <w:t>peer</w:t>
      </w:r>
      <w:proofErr w:type="spellEnd"/>
      <w:r w:rsidR="00A36B3B" w:rsidRPr="005463FD">
        <w:rPr>
          <w:rFonts w:ascii="Times New Roman" w:hAnsi="Times New Roman" w:cs="Times New Roman"/>
          <w:lang w:val="pl-PL"/>
        </w:rPr>
        <w:t>-to-</w:t>
      </w:r>
      <w:proofErr w:type="spellStart"/>
      <w:r w:rsidR="00A36B3B" w:rsidRPr="005463FD">
        <w:rPr>
          <w:rFonts w:ascii="Times New Roman" w:hAnsi="Times New Roman" w:cs="Times New Roman"/>
          <w:lang w:val="pl-PL"/>
        </w:rPr>
        <w:t>peer</w:t>
      </w:r>
      <w:proofErr w:type="spellEnd"/>
      <w:r w:rsidR="00A36B3B" w:rsidRPr="005463FD">
        <w:rPr>
          <w:rFonts w:ascii="Times New Roman" w:hAnsi="Times New Roman" w:cs="Times New Roman"/>
          <w:lang w:val="pl-PL"/>
        </w:rPr>
        <w:t>, które miało zastosowanie bez wyjątku do wszystkich swoich klientów, jako środek zapobiegawczy, wyłącznie na własny koszt i na czas nieokreślony, a które było w stanie zidentyfikować w sieci tego dostawcy, przemieszczanie plików elektronicznych zawierających twórczość muzyczną, filmową lub audiowizualną, w odniesieniu do których wnioskodawca twierdził, że posiadają prawa własności intelektualnej, mając na celu blokowanie transferu plików, których u</w:t>
      </w:r>
      <w:r w:rsidR="00B0606C" w:rsidRPr="005463FD">
        <w:rPr>
          <w:rFonts w:ascii="Times New Roman" w:hAnsi="Times New Roman" w:cs="Times New Roman"/>
          <w:lang w:val="pl-PL"/>
        </w:rPr>
        <w:t>dostępnianie nie naruszają praw autorskich</w:t>
      </w:r>
      <w:r w:rsidR="00A36B3B" w:rsidRPr="005463FD">
        <w:rPr>
          <w:rFonts w:ascii="Times New Roman" w:hAnsi="Times New Roman" w:cs="Times New Roman"/>
          <w:lang w:val="pl-PL"/>
        </w:rPr>
        <w:t>.</w:t>
      </w:r>
    </w:p>
    <w:p w:rsidR="00B413BF" w:rsidRPr="005463FD" w:rsidRDefault="00DD67A4" w:rsidP="00171A6F">
      <w:pPr>
        <w:pStyle w:val="ECHRPara"/>
        <w:rPr>
          <w:rFonts w:ascii="Times New Roman" w:hAnsi="Times New Roman" w:cs="Times New Roman"/>
          <w:lang w:val="pl-PL"/>
        </w:rPr>
      </w:pPr>
      <w:r w:rsidRPr="005463FD">
        <w:rPr>
          <w:rFonts w:ascii="Times New Roman" w:hAnsi="Times New Roman" w:cs="Times New Roman"/>
          <w:lang w:val="en-GB"/>
        </w:rPr>
        <w:fldChar w:fldCharType="begin"/>
      </w:r>
      <w:r w:rsidR="00A220C6" w:rsidRPr="005463FD">
        <w:rPr>
          <w:rFonts w:ascii="Times New Roman" w:hAnsi="Times New Roman" w:cs="Times New Roman"/>
          <w:lang w:val="pl-PL"/>
        </w:rPr>
        <w:instrText xml:space="preserve"> SEQ level0 \*arabic </w:instrText>
      </w:r>
      <w:r w:rsidRPr="005463FD">
        <w:rPr>
          <w:rFonts w:ascii="Times New Roman" w:hAnsi="Times New Roman" w:cs="Times New Roman"/>
          <w:lang w:val="en-GB"/>
        </w:rPr>
        <w:fldChar w:fldCharType="separate"/>
      </w:r>
      <w:r w:rsidR="002F0EE0" w:rsidRPr="005463FD">
        <w:rPr>
          <w:rFonts w:ascii="Times New Roman" w:hAnsi="Times New Roman" w:cs="Times New Roman"/>
          <w:noProof/>
          <w:lang w:val="pl-PL"/>
        </w:rPr>
        <w:t>55</w:t>
      </w:r>
      <w:r w:rsidRPr="005463FD">
        <w:rPr>
          <w:rFonts w:ascii="Times New Roman" w:hAnsi="Times New Roman" w:cs="Times New Roman"/>
          <w:lang w:val="en-GB"/>
        </w:rPr>
        <w:fldChar w:fldCharType="end"/>
      </w:r>
      <w:r w:rsidR="00A220C6" w:rsidRPr="005463FD">
        <w:rPr>
          <w:rFonts w:ascii="Times New Roman" w:hAnsi="Times New Roman" w:cs="Times New Roman"/>
          <w:lang w:val="pl-PL"/>
        </w:rPr>
        <w:t>.  </w:t>
      </w:r>
      <w:r w:rsidR="00A36B3B" w:rsidRPr="005463FD">
        <w:rPr>
          <w:rFonts w:ascii="Times New Roman" w:hAnsi="Times New Roman" w:cs="Times New Roman"/>
          <w:lang w:val="pl-PL"/>
        </w:rPr>
        <w:t>W wyroku z dnia 16 lutego 2012 roku</w:t>
      </w:r>
      <w:r w:rsidR="00A220C6" w:rsidRPr="005463FD">
        <w:rPr>
          <w:rFonts w:ascii="Times New Roman" w:hAnsi="Times New Roman" w:cs="Times New Roman"/>
          <w:lang w:val="pl-PL"/>
        </w:rPr>
        <w:t xml:space="preserve"> (</w:t>
      </w:r>
      <w:r w:rsidR="00A36B3B" w:rsidRPr="005463FD">
        <w:rPr>
          <w:rFonts w:ascii="Times New Roman" w:hAnsi="Times New Roman" w:cs="Times New Roman"/>
          <w:lang w:val="pl-PL"/>
        </w:rPr>
        <w:t>Sprawa</w:t>
      </w:r>
      <w:r w:rsidR="00A220C6" w:rsidRPr="005463FD">
        <w:rPr>
          <w:rFonts w:ascii="Times New Roman" w:hAnsi="Times New Roman" w:cs="Times New Roman"/>
          <w:lang w:val="pl-PL"/>
        </w:rPr>
        <w:t xml:space="preserve"> C-360/10</w:t>
      </w:r>
      <w:r w:rsidR="00A220C6" w:rsidRPr="005463FD">
        <w:rPr>
          <w:rFonts w:ascii="Times New Roman" w:hAnsi="Times New Roman" w:cs="Times New Roman"/>
          <w:i/>
          <w:lang w:val="pl-PL"/>
        </w:rPr>
        <w:t xml:space="preserve"> SABAM</w:t>
      </w:r>
      <w:r w:rsidR="00BF628C" w:rsidRPr="005463FD">
        <w:rPr>
          <w:rFonts w:ascii="Times New Roman" w:hAnsi="Times New Roman" w:cs="Times New Roman"/>
          <w:lang w:val="pl-PL"/>
        </w:rPr>
        <w:t xml:space="preserve">) </w:t>
      </w:r>
      <w:r w:rsidR="002034DF" w:rsidRPr="005463FD">
        <w:rPr>
          <w:rFonts w:ascii="Times New Roman" w:hAnsi="Times New Roman" w:cs="Times New Roman"/>
          <w:lang w:val="pl-PL"/>
        </w:rPr>
        <w:t>TSUE</w:t>
      </w:r>
      <w:r w:rsidR="00A220C6" w:rsidRPr="005463FD">
        <w:rPr>
          <w:rFonts w:ascii="Times New Roman" w:hAnsi="Times New Roman" w:cs="Times New Roman"/>
          <w:lang w:val="pl-PL"/>
        </w:rPr>
        <w:t xml:space="preserve"> </w:t>
      </w:r>
      <w:r w:rsidR="00A36B3B" w:rsidRPr="005463FD">
        <w:rPr>
          <w:rFonts w:ascii="Times New Roman" w:hAnsi="Times New Roman" w:cs="Times New Roman"/>
          <w:lang w:val="pl-PL"/>
        </w:rPr>
        <w:t>stwierdził, że Dyrektywy 2000/31/EC, 2001/29/EC i</w:t>
      </w:r>
      <w:r w:rsidR="00A220C6" w:rsidRPr="005463FD">
        <w:rPr>
          <w:rFonts w:ascii="Times New Roman" w:hAnsi="Times New Roman" w:cs="Times New Roman"/>
          <w:lang w:val="pl-PL"/>
        </w:rPr>
        <w:t xml:space="preserve"> 2004/48/EC</w:t>
      </w:r>
      <w:r w:rsidR="00A220C6" w:rsidRPr="00B45853">
        <w:rPr>
          <w:rFonts w:ascii="Times New Roman" w:hAnsi="Times New Roman" w:cs="Times New Roman"/>
          <w:lang w:val="pl-PL"/>
        </w:rPr>
        <w:t xml:space="preserve"> </w:t>
      </w:r>
      <w:r w:rsidR="00BF628C" w:rsidRPr="00B45853">
        <w:rPr>
          <w:rFonts w:ascii="Times New Roman" w:hAnsi="Times New Roman" w:cs="Times New Roman"/>
          <w:lang w:val="pl-PL"/>
        </w:rPr>
        <w:t xml:space="preserve">sprzeciwiają się wydaniu nakazu krajowego sądu przeciwko hostingowi usługodawcy wymagającym od niego zainstalowania systemu do filtrowania informacji przechowywanych na swoich serwerach przez użytkowników usługi, które były stosowane w jednakowy sposób dla wszystkich tych użytkowników, jako środek zapobiegawczy, wyłącznie na własny koszt i na czas nieokreślony, a </w:t>
      </w:r>
      <w:r w:rsidR="00BF628C" w:rsidRPr="005463FD">
        <w:rPr>
          <w:rFonts w:ascii="Times New Roman" w:hAnsi="Times New Roman" w:cs="Times New Roman"/>
          <w:lang w:val="pl-PL"/>
        </w:rPr>
        <w:t>który był w stanie zidentyfikować pliki elektroniczne zawierające muzyczne, kinematograficzne lub audiowizualne prace, w odniesieniu do których skarżący</w:t>
      </w:r>
      <w:r w:rsidR="00D5551B" w:rsidRPr="005463FD">
        <w:rPr>
          <w:rFonts w:ascii="Times New Roman" w:hAnsi="Times New Roman" w:cs="Times New Roman"/>
          <w:lang w:val="pl-PL"/>
        </w:rPr>
        <w:t>,</w:t>
      </w:r>
      <w:r w:rsidR="00C42BA3" w:rsidRPr="005463FD">
        <w:rPr>
          <w:rFonts w:ascii="Times New Roman" w:hAnsi="Times New Roman" w:cs="Times New Roman"/>
          <w:lang w:val="pl-PL"/>
        </w:rPr>
        <w:t xml:space="preserve"> twierdził, że </w:t>
      </w:r>
      <w:r w:rsidR="00BF628C" w:rsidRPr="005463FD">
        <w:rPr>
          <w:rFonts w:ascii="Times New Roman" w:hAnsi="Times New Roman" w:cs="Times New Roman"/>
          <w:lang w:val="pl-PL"/>
        </w:rPr>
        <w:t xml:space="preserve"> </w:t>
      </w:r>
      <w:r w:rsidR="00C42BA3" w:rsidRPr="005463FD">
        <w:rPr>
          <w:rFonts w:ascii="Times New Roman" w:hAnsi="Times New Roman" w:cs="Times New Roman"/>
          <w:lang w:val="pl-PL"/>
        </w:rPr>
        <w:lastRenderedPageBreak/>
        <w:t>posiada</w:t>
      </w:r>
      <w:r w:rsidR="00BF628C" w:rsidRPr="005463FD">
        <w:rPr>
          <w:rFonts w:ascii="Times New Roman" w:hAnsi="Times New Roman" w:cs="Times New Roman"/>
          <w:lang w:val="pl-PL"/>
        </w:rPr>
        <w:t xml:space="preserve"> praw</w:t>
      </w:r>
      <w:r w:rsidR="00C42BA3" w:rsidRPr="005463FD">
        <w:rPr>
          <w:rFonts w:ascii="Times New Roman" w:hAnsi="Times New Roman" w:cs="Times New Roman"/>
          <w:lang w:val="pl-PL"/>
        </w:rPr>
        <w:t>a</w:t>
      </w:r>
      <w:r w:rsidR="00BF628C" w:rsidRPr="005463FD">
        <w:rPr>
          <w:rFonts w:ascii="Times New Roman" w:hAnsi="Times New Roman" w:cs="Times New Roman"/>
          <w:lang w:val="pl-PL"/>
        </w:rPr>
        <w:t xml:space="preserve"> własności intelektualnej, w celu zapobiegnięcia publicznego udostępnienia tych prac z naruszeniem praw autorskich.</w:t>
      </w:r>
    </w:p>
    <w:p w:rsidR="00B413BF" w:rsidRPr="00B45853" w:rsidRDefault="00DD67A4" w:rsidP="00171A6F">
      <w:pPr>
        <w:pStyle w:val="ECHRPara"/>
        <w:rPr>
          <w:rFonts w:ascii="Times New Roman" w:hAnsi="Times New Roman" w:cs="Times New Roman"/>
          <w:lang w:val="pl-PL"/>
        </w:rPr>
      </w:pPr>
      <w:r w:rsidRPr="005463FD">
        <w:rPr>
          <w:rFonts w:ascii="Times New Roman" w:hAnsi="Times New Roman" w:cs="Times New Roman"/>
          <w:lang w:val="en-GB"/>
        </w:rPr>
        <w:fldChar w:fldCharType="begin"/>
      </w:r>
      <w:r w:rsidR="00A220C6" w:rsidRPr="005463FD">
        <w:rPr>
          <w:rFonts w:ascii="Times New Roman" w:hAnsi="Times New Roman" w:cs="Times New Roman"/>
          <w:lang w:val="pl-PL"/>
        </w:rPr>
        <w:instrText xml:space="preserve"> SEQ level0 \*arabic </w:instrText>
      </w:r>
      <w:r w:rsidRPr="005463FD">
        <w:rPr>
          <w:rFonts w:ascii="Times New Roman" w:hAnsi="Times New Roman" w:cs="Times New Roman"/>
          <w:lang w:val="en-GB"/>
        </w:rPr>
        <w:fldChar w:fldCharType="separate"/>
      </w:r>
      <w:r w:rsidR="002F0EE0" w:rsidRPr="005463FD">
        <w:rPr>
          <w:rFonts w:ascii="Times New Roman" w:hAnsi="Times New Roman" w:cs="Times New Roman"/>
          <w:noProof/>
          <w:lang w:val="pl-PL"/>
        </w:rPr>
        <w:t>56</w:t>
      </w:r>
      <w:r w:rsidRPr="005463FD">
        <w:rPr>
          <w:rFonts w:ascii="Times New Roman" w:hAnsi="Times New Roman" w:cs="Times New Roman"/>
          <w:lang w:val="en-GB"/>
        </w:rPr>
        <w:fldChar w:fldCharType="end"/>
      </w:r>
      <w:r w:rsidR="00A220C6" w:rsidRPr="005463FD">
        <w:rPr>
          <w:rFonts w:ascii="Times New Roman" w:hAnsi="Times New Roman" w:cs="Times New Roman"/>
          <w:lang w:val="pl-PL"/>
        </w:rPr>
        <w:t>.  </w:t>
      </w:r>
      <w:r w:rsidR="00BF628C" w:rsidRPr="005463FD">
        <w:rPr>
          <w:rFonts w:ascii="Times New Roman" w:hAnsi="Times New Roman" w:cs="Times New Roman"/>
          <w:lang w:val="pl-PL"/>
        </w:rPr>
        <w:t xml:space="preserve">W wyroku z dnia 13 Maja 2014 roku </w:t>
      </w:r>
      <w:r w:rsidR="00A220C6" w:rsidRPr="005463FD">
        <w:rPr>
          <w:rFonts w:ascii="Times New Roman" w:hAnsi="Times New Roman" w:cs="Times New Roman"/>
          <w:lang w:val="pl-PL"/>
        </w:rPr>
        <w:t>(</w:t>
      </w:r>
      <w:r w:rsidR="00BF628C" w:rsidRPr="005463FD">
        <w:rPr>
          <w:rFonts w:ascii="Times New Roman" w:hAnsi="Times New Roman" w:cs="Times New Roman"/>
          <w:lang w:val="pl-PL"/>
        </w:rPr>
        <w:t>Sprawa</w:t>
      </w:r>
      <w:r w:rsidR="00A220C6" w:rsidRPr="005463FD">
        <w:rPr>
          <w:rFonts w:ascii="Times New Roman" w:hAnsi="Times New Roman" w:cs="Times New Roman"/>
          <w:lang w:val="pl-PL"/>
        </w:rPr>
        <w:t xml:space="preserve"> C-131/12 </w:t>
      </w:r>
      <w:r w:rsidR="00A220C6" w:rsidRPr="005463FD">
        <w:rPr>
          <w:rFonts w:ascii="Times New Roman" w:hAnsi="Times New Roman" w:cs="Times New Roman"/>
          <w:i/>
          <w:lang w:val="pl-PL"/>
        </w:rPr>
        <w:t xml:space="preserve">Google </w:t>
      </w:r>
      <w:r w:rsidR="00BF628C" w:rsidRPr="005463FD">
        <w:rPr>
          <w:rFonts w:ascii="Times New Roman" w:hAnsi="Times New Roman" w:cs="Times New Roman"/>
          <w:i/>
          <w:lang w:val="pl-PL"/>
        </w:rPr>
        <w:t>Hiszpania</w:t>
      </w:r>
      <w:r w:rsidR="00A220C6" w:rsidRPr="005463FD">
        <w:rPr>
          <w:rFonts w:ascii="Times New Roman" w:hAnsi="Times New Roman" w:cs="Times New Roman"/>
          <w:i/>
          <w:lang w:val="pl-PL"/>
        </w:rPr>
        <w:t xml:space="preserve"> </w:t>
      </w:r>
      <w:r w:rsidR="00BF628C" w:rsidRPr="005463FD">
        <w:rPr>
          <w:rFonts w:ascii="Times New Roman" w:hAnsi="Times New Roman" w:cs="Times New Roman"/>
          <w:i/>
          <w:lang w:val="pl-PL"/>
        </w:rPr>
        <w:t>i</w:t>
      </w:r>
      <w:r w:rsidR="00A220C6" w:rsidRPr="005463FD">
        <w:rPr>
          <w:rFonts w:ascii="Times New Roman" w:hAnsi="Times New Roman" w:cs="Times New Roman"/>
          <w:i/>
          <w:lang w:val="pl-PL"/>
        </w:rPr>
        <w:t xml:space="preserve"> Google</w:t>
      </w:r>
      <w:r w:rsidR="00A220C6" w:rsidRPr="005463FD">
        <w:rPr>
          <w:rFonts w:ascii="Times New Roman" w:hAnsi="Times New Roman" w:cs="Times New Roman"/>
          <w:lang w:val="pl-PL"/>
        </w:rPr>
        <w:t xml:space="preserve">) </w:t>
      </w:r>
      <w:r w:rsidR="00003FA9" w:rsidRPr="005463FD">
        <w:rPr>
          <w:rFonts w:ascii="Times New Roman" w:hAnsi="Times New Roman" w:cs="Times New Roman"/>
          <w:lang w:val="pl-PL"/>
        </w:rPr>
        <w:t>TSUE</w:t>
      </w:r>
      <w:r w:rsidR="00A220C6" w:rsidRPr="005463FD">
        <w:rPr>
          <w:rFonts w:ascii="Times New Roman" w:hAnsi="Times New Roman" w:cs="Times New Roman"/>
          <w:lang w:val="pl-PL"/>
        </w:rPr>
        <w:t xml:space="preserve"> </w:t>
      </w:r>
      <w:r w:rsidR="00BF628C" w:rsidRPr="005463FD">
        <w:rPr>
          <w:rFonts w:ascii="Times New Roman" w:hAnsi="Times New Roman" w:cs="Times New Roman"/>
          <w:lang w:val="pl-PL"/>
        </w:rPr>
        <w:t>został wezwany do zinterpretowania</w:t>
      </w:r>
      <w:r w:rsidR="00A220C6" w:rsidRPr="005463FD">
        <w:rPr>
          <w:rFonts w:ascii="Times New Roman" w:hAnsi="Times New Roman" w:cs="Times New Roman"/>
          <w:lang w:val="pl-PL"/>
        </w:rPr>
        <w:t xml:space="preserve"> D</w:t>
      </w:r>
      <w:r w:rsidR="00BF628C" w:rsidRPr="005463FD">
        <w:rPr>
          <w:rFonts w:ascii="Times New Roman" w:hAnsi="Times New Roman" w:cs="Times New Roman"/>
          <w:lang w:val="pl-PL"/>
        </w:rPr>
        <w:t>yrektywy</w:t>
      </w:r>
      <w:r w:rsidR="00A220C6" w:rsidRPr="00B45853">
        <w:rPr>
          <w:rFonts w:ascii="Times New Roman" w:hAnsi="Times New Roman" w:cs="Times New Roman"/>
          <w:lang w:val="pl-PL"/>
        </w:rPr>
        <w:t xml:space="preserve"> 95/46/EC </w:t>
      </w:r>
      <w:r w:rsidR="00BF628C" w:rsidRPr="00B45853">
        <w:rPr>
          <w:rFonts w:ascii="Times New Roman" w:hAnsi="Times New Roman" w:cs="Times New Roman"/>
          <w:lang w:val="pl-PL"/>
        </w:rPr>
        <w:t xml:space="preserve">Parlamentu Europejskiego i Rady z dnia 24 października 1995 roku w sprawie ochrony osób fizycznych w zakresie przetwarzania danych osobowych i swobodnego przepływu tych danych. Stwierdzono, że aktywność wyszukiwarki internetowej miała być klasyfikowana jako "przetwarzanie danych osobowych" w rozumieniu Dyrektywy </w:t>
      </w:r>
      <w:r w:rsidR="00A220C6" w:rsidRPr="00B45853">
        <w:rPr>
          <w:rFonts w:ascii="Times New Roman" w:hAnsi="Times New Roman" w:cs="Times New Roman"/>
          <w:lang w:val="pl-PL"/>
        </w:rPr>
        <w:t xml:space="preserve">95/46/EC </w:t>
      </w:r>
      <w:r w:rsidR="00BF628C" w:rsidRPr="00B45853">
        <w:rPr>
          <w:rFonts w:ascii="Times New Roman" w:hAnsi="Times New Roman" w:cs="Times New Roman"/>
          <w:lang w:val="pl-PL"/>
        </w:rPr>
        <w:t xml:space="preserve">i orzekł, że takie przetwarzanie danych osobowych, prowadzonych przez operatora wyszukiwarki, było w stanie </w:t>
      </w:r>
      <w:r w:rsidR="00B847E2" w:rsidRPr="00B45853">
        <w:rPr>
          <w:rFonts w:ascii="Times New Roman" w:hAnsi="Times New Roman" w:cs="Times New Roman"/>
          <w:lang w:val="pl-PL"/>
        </w:rPr>
        <w:t xml:space="preserve">znacząco </w:t>
      </w:r>
      <w:r w:rsidR="00BF628C" w:rsidRPr="00B45853">
        <w:rPr>
          <w:rFonts w:ascii="Times New Roman" w:hAnsi="Times New Roman" w:cs="Times New Roman"/>
          <w:lang w:val="pl-PL"/>
        </w:rPr>
        <w:t>wpłynąć</w:t>
      </w:r>
      <w:r w:rsidR="00B847E2" w:rsidRPr="00B45853">
        <w:rPr>
          <w:rFonts w:ascii="Times New Roman" w:hAnsi="Times New Roman" w:cs="Times New Roman"/>
          <w:lang w:val="pl-PL"/>
        </w:rPr>
        <w:t xml:space="preserve"> na</w:t>
      </w:r>
      <w:r w:rsidR="00BF628C" w:rsidRPr="00B45853">
        <w:rPr>
          <w:rFonts w:ascii="Times New Roman" w:hAnsi="Times New Roman" w:cs="Times New Roman"/>
          <w:lang w:val="pl-PL"/>
        </w:rPr>
        <w:t xml:space="preserve"> podstawowe prawa do prywatności i ochrony danych osobowych </w:t>
      </w:r>
      <w:r w:rsidR="00A220C6" w:rsidRPr="00B45853">
        <w:rPr>
          <w:rFonts w:ascii="Times New Roman" w:hAnsi="Times New Roman" w:cs="Times New Roman"/>
          <w:lang w:val="pl-PL"/>
        </w:rPr>
        <w:t>(</w:t>
      </w:r>
      <w:r w:rsidR="00B847E2" w:rsidRPr="00B45853">
        <w:rPr>
          <w:rFonts w:ascii="Times New Roman" w:hAnsi="Times New Roman" w:cs="Times New Roman"/>
          <w:lang w:val="pl-PL"/>
        </w:rPr>
        <w:t>gwarantowanej w ramach Artykułów 7 i 8 Karty praw Podstawowych Unii Europejskiej</w:t>
      </w:r>
      <w:r w:rsidR="00A220C6" w:rsidRPr="00B45853">
        <w:rPr>
          <w:rFonts w:ascii="Times New Roman" w:hAnsi="Times New Roman" w:cs="Times New Roman"/>
          <w:lang w:val="pl-PL"/>
        </w:rPr>
        <w:t>)</w:t>
      </w:r>
      <w:r w:rsidR="00B847E2" w:rsidRPr="00B45853">
        <w:rPr>
          <w:rFonts w:ascii="Times New Roman" w:hAnsi="Times New Roman" w:cs="Times New Roman"/>
          <w:lang w:val="pl-PL"/>
        </w:rPr>
        <w:t>,</w:t>
      </w:r>
      <w:r w:rsidR="00A220C6" w:rsidRPr="00B45853">
        <w:rPr>
          <w:rFonts w:ascii="Times New Roman" w:hAnsi="Times New Roman" w:cs="Times New Roman"/>
          <w:lang w:val="pl-PL"/>
        </w:rPr>
        <w:t xml:space="preserve"> </w:t>
      </w:r>
      <w:r w:rsidR="00B847E2" w:rsidRPr="00B45853">
        <w:rPr>
          <w:rFonts w:ascii="Times New Roman" w:hAnsi="Times New Roman" w:cs="Times New Roman"/>
          <w:lang w:val="pl-PL"/>
        </w:rPr>
        <w:t xml:space="preserve">gdy wyszukiwanie za pomocą tego silnika zostało przeprowadzone na podstawie nazwy danej osoby, gdyż przetwarzanie umożliwiało każdemu użytkownikowi Internetu, uzyskanie listy wyników zawierających uporządkowany przegląd informacji dotyczących tej osoby, które można znaleźć w Internecie, a tym samym do stworzenia bardziej lub mniej </w:t>
      </w:r>
      <w:r w:rsidR="00B847E2" w:rsidRPr="005463FD">
        <w:rPr>
          <w:rFonts w:ascii="Times New Roman" w:hAnsi="Times New Roman" w:cs="Times New Roman"/>
          <w:lang w:val="pl-PL"/>
        </w:rPr>
        <w:t>szczegółowego profilu jego</w:t>
      </w:r>
      <w:r w:rsidR="002034DF" w:rsidRPr="005463FD">
        <w:rPr>
          <w:rFonts w:ascii="Times New Roman" w:hAnsi="Times New Roman" w:cs="Times New Roman"/>
          <w:lang w:val="pl-PL"/>
        </w:rPr>
        <w:t>,</w:t>
      </w:r>
      <w:r w:rsidR="00B847E2" w:rsidRPr="005463FD">
        <w:rPr>
          <w:rFonts w:ascii="Times New Roman" w:hAnsi="Times New Roman" w:cs="Times New Roman"/>
          <w:lang w:val="pl-PL"/>
        </w:rPr>
        <w:t xml:space="preserve"> lub jej. Ponadto, efekt ingerencji</w:t>
      </w:r>
      <w:r w:rsidR="00C42BA3" w:rsidRPr="005463FD">
        <w:rPr>
          <w:rFonts w:ascii="Times New Roman" w:hAnsi="Times New Roman" w:cs="Times New Roman"/>
          <w:lang w:val="pl-PL"/>
        </w:rPr>
        <w:t xml:space="preserve"> w prawa podmiotu danych został zwiększony</w:t>
      </w:r>
      <w:r w:rsidR="00B847E2" w:rsidRPr="005463FD">
        <w:rPr>
          <w:rFonts w:ascii="Times New Roman" w:hAnsi="Times New Roman" w:cs="Times New Roman"/>
          <w:lang w:val="pl-PL"/>
        </w:rPr>
        <w:t xml:space="preserve"> ze względu</w:t>
      </w:r>
      <w:r w:rsidR="00B847E2" w:rsidRPr="00B45853">
        <w:rPr>
          <w:rFonts w:ascii="Times New Roman" w:hAnsi="Times New Roman" w:cs="Times New Roman"/>
          <w:lang w:val="pl-PL"/>
        </w:rPr>
        <w:t xml:space="preserve"> na ważną rolę, jaką odgrywają wyszukiwarki internetowe w nowoczesnym społeczeństwie, które sprawiły, że informacje zawarte w takiej liście wyników są wszechobecne. W świetle po</w:t>
      </w:r>
      <w:r w:rsidR="002034DF" w:rsidRPr="00B45853">
        <w:rPr>
          <w:rFonts w:ascii="Times New Roman" w:hAnsi="Times New Roman" w:cs="Times New Roman"/>
          <w:lang w:val="pl-PL"/>
        </w:rPr>
        <w:t>tencjalnej wagi tego zakłócenia</w:t>
      </w:r>
      <w:r w:rsidR="00B847E2" w:rsidRPr="00B45853">
        <w:rPr>
          <w:rFonts w:ascii="Times New Roman" w:hAnsi="Times New Roman" w:cs="Times New Roman"/>
          <w:lang w:val="pl-PL"/>
        </w:rPr>
        <w:t xml:space="preserve"> to nie może być uzasadnione jedynie w interesie gospodarczym operatora.</w:t>
      </w:r>
      <w:r w:rsidR="00A220C6" w:rsidRPr="00B45853">
        <w:rPr>
          <w:rFonts w:ascii="Times New Roman" w:hAnsi="Times New Roman" w:cs="Times New Roman"/>
          <w:lang w:val="pl-PL"/>
        </w:rPr>
        <w:t xml:space="preserve"> </w:t>
      </w:r>
      <w:r w:rsidR="00003FA9" w:rsidRPr="00B45853">
        <w:rPr>
          <w:rFonts w:ascii="Times New Roman" w:hAnsi="Times New Roman" w:cs="Times New Roman"/>
          <w:lang w:val="pl-PL"/>
        </w:rPr>
        <w:t>TSUE</w:t>
      </w:r>
      <w:r w:rsidR="00A220C6" w:rsidRPr="00B45853">
        <w:rPr>
          <w:rFonts w:ascii="Times New Roman" w:hAnsi="Times New Roman" w:cs="Times New Roman"/>
          <w:lang w:val="pl-PL"/>
        </w:rPr>
        <w:t xml:space="preserve"> </w:t>
      </w:r>
      <w:r w:rsidR="00B847E2" w:rsidRPr="00B45853">
        <w:rPr>
          <w:rFonts w:ascii="Times New Roman" w:hAnsi="Times New Roman" w:cs="Times New Roman"/>
          <w:lang w:val="pl-PL"/>
        </w:rPr>
        <w:t xml:space="preserve">uznał, że równowagi należy szukać między uzasadnionym interesem użytkowników Internetu w dostępie do informacji i podstawowymi prawami osoby, której dane dotyczą. Podstawowe prawa podmiotu danych, zgodnie z ogólną zasadą, omijają zainteresowanie internautów, ale </w:t>
      </w:r>
      <w:r w:rsidR="00505B21">
        <w:rPr>
          <w:rFonts w:ascii="Times New Roman" w:hAnsi="Times New Roman" w:cs="Times New Roman"/>
          <w:lang w:val="pl-PL"/>
        </w:rPr>
        <w:t>właściwa równowaga</w:t>
      </w:r>
      <w:r w:rsidR="00B847E2" w:rsidRPr="00B45853">
        <w:rPr>
          <w:rFonts w:ascii="Times New Roman" w:hAnsi="Times New Roman" w:cs="Times New Roman"/>
          <w:lang w:val="pl-PL"/>
        </w:rPr>
        <w:t xml:space="preserve"> może jednak zależeć od charakteru danej informacji i jej </w:t>
      </w:r>
      <w:r w:rsidR="009B2E3E">
        <w:rPr>
          <w:rFonts w:ascii="Times New Roman" w:hAnsi="Times New Roman" w:cs="Times New Roman"/>
          <w:lang w:val="pl-PL"/>
        </w:rPr>
        <w:t>wpływu</w:t>
      </w:r>
      <w:r w:rsidR="00B847E2" w:rsidRPr="00B45853">
        <w:rPr>
          <w:rFonts w:ascii="Times New Roman" w:hAnsi="Times New Roman" w:cs="Times New Roman"/>
          <w:lang w:val="pl-PL"/>
        </w:rPr>
        <w:t xml:space="preserve"> na życie prywatne osoby, której dane dotyczą, oraz interesie publicznym tych informacji</w:t>
      </w:r>
      <w:r w:rsidR="00A220C6" w:rsidRPr="00B45853">
        <w:rPr>
          <w:rFonts w:ascii="Times New Roman" w:hAnsi="Times New Roman" w:cs="Times New Roman"/>
          <w:lang w:val="pl-PL"/>
        </w:rPr>
        <w:t xml:space="preserve">. </w:t>
      </w:r>
      <w:r w:rsidR="00003FA9" w:rsidRPr="00B45853">
        <w:rPr>
          <w:rFonts w:ascii="Times New Roman" w:hAnsi="Times New Roman" w:cs="Times New Roman"/>
          <w:lang w:val="pl-PL"/>
        </w:rPr>
        <w:t>TSUE</w:t>
      </w:r>
      <w:r w:rsidR="00A220C6" w:rsidRPr="00B45853">
        <w:rPr>
          <w:rFonts w:ascii="Times New Roman" w:hAnsi="Times New Roman" w:cs="Times New Roman"/>
          <w:lang w:val="pl-PL"/>
        </w:rPr>
        <w:t xml:space="preserve"> </w:t>
      </w:r>
      <w:r w:rsidR="00B847E2" w:rsidRPr="00B45853">
        <w:rPr>
          <w:rFonts w:ascii="Times New Roman" w:hAnsi="Times New Roman" w:cs="Times New Roman"/>
          <w:lang w:val="pl-PL"/>
        </w:rPr>
        <w:t>stwierdził, że w niektórych przypadkach operator wyszukiwarki był zobowiązany do usunięcia z listy wyników wyświetlanych po rewizji dokonanej na podstawie nazwy danej osoby do stron internetowych, opublikowanych przez osoby trzecie i zawierających informacje dotyczące tej osoby nawet wtedy, gdy ich publikacja sama w sobie na stronach internetowych, o których mowa była zgodna z prawem. Tak było w szczególności, gdy dane wydają się być niewystarczające, nieistotne lub nie mają już znaczenia, lub są nadmierne w stosunku do celu, dla którego zostały one przetworzone i w świetle czasu, jaki upłynął.</w:t>
      </w:r>
    </w:p>
    <w:p w:rsidR="00A220C6" w:rsidRPr="00B45853" w:rsidRDefault="00DD67A4" w:rsidP="00171A6F">
      <w:pPr>
        <w:pStyle w:val="ECHRPara"/>
        <w:rPr>
          <w:rFonts w:ascii="Times New Roman" w:hAnsi="Times New Roman" w:cs="Times New Roman"/>
          <w:b/>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B847E2" w:rsidRPr="00B45853">
        <w:rPr>
          <w:rFonts w:ascii="Times New Roman" w:hAnsi="Times New Roman" w:cs="Times New Roman"/>
          <w:lang w:val="pl-PL"/>
        </w:rPr>
        <w:t xml:space="preserve">W wyroku z dnia 11 września 2014 roku </w:t>
      </w:r>
      <w:r w:rsidR="00A220C6" w:rsidRPr="00B45853">
        <w:rPr>
          <w:rFonts w:ascii="Times New Roman" w:hAnsi="Times New Roman" w:cs="Times New Roman"/>
          <w:lang w:val="pl-PL"/>
        </w:rPr>
        <w:t>(</w:t>
      </w:r>
      <w:r w:rsidR="00B847E2" w:rsidRPr="00B45853">
        <w:rPr>
          <w:rFonts w:ascii="Times New Roman" w:hAnsi="Times New Roman" w:cs="Times New Roman"/>
          <w:lang w:val="pl-PL"/>
        </w:rPr>
        <w:t>Sprawa</w:t>
      </w:r>
      <w:r w:rsidR="00A220C6" w:rsidRPr="00B45853">
        <w:rPr>
          <w:rFonts w:ascii="Times New Roman" w:hAnsi="Times New Roman" w:cs="Times New Roman"/>
          <w:lang w:val="pl-PL"/>
        </w:rPr>
        <w:t xml:space="preserve"> C-291/13 </w:t>
      </w:r>
      <w:proofErr w:type="spellStart"/>
      <w:r w:rsidR="00A220C6" w:rsidRPr="00B45853">
        <w:rPr>
          <w:rFonts w:ascii="Times New Roman" w:hAnsi="Times New Roman" w:cs="Times New Roman"/>
          <w:i/>
          <w:lang w:val="pl-PL"/>
        </w:rPr>
        <w:t>Papasavvas</w:t>
      </w:r>
      <w:proofErr w:type="spellEnd"/>
      <w:r w:rsidR="00B847E2" w:rsidRPr="00B45853">
        <w:rPr>
          <w:rFonts w:ascii="Times New Roman" w:hAnsi="Times New Roman" w:cs="Times New Roman"/>
          <w:lang w:val="pl-PL"/>
        </w:rPr>
        <w:t xml:space="preserve">) </w:t>
      </w:r>
      <w:r w:rsidR="00003FA9" w:rsidRPr="00B45853">
        <w:rPr>
          <w:rFonts w:ascii="Times New Roman" w:hAnsi="Times New Roman" w:cs="Times New Roman"/>
          <w:lang w:val="pl-PL"/>
        </w:rPr>
        <w:t>TSUE</w:t>
      </w:r>
      <w:r w:rsidR="00A220C6" w:rsidRPr="00B45853">
        <w:rPr>
          <w:rFonts w:ascii="Times New Roman" w:hAnsi="Times New Roman" w:cs="Times New Roman"/>
          <w:lang w:val="pl-PL"/>
        </w:rPr>
        <w:t xml:space="preserve"> </w:t>
      </w:r>
      <w:r w:rsidR="0096551C" w:rsidRPr="00B45853">
        <w:rPr>
          <w:rFonts w:ascii="Times New Roman" w:hAnsi="Times New Roman" w:cs="Times New Roman"/>
          <w:lang w:val="pl-PL"/>
        </w:rPr>
        <w:t>u</w:t>
      </w:r>
      <w:r w:rsidR="00B847E2" w:rsidRPr="00B45853">
        <w:rPr>
          <w:rFonts w:ascii="Times New Roman" w:hAnsi="Times New Roman" w:cs="Times New Roman"/>
          <w:lang w:val="pl-PL"/>
        </w:rPr>
        <w:t xml:space="preserve">znał, że skoro </w:t>
      </w:r>
      <w:r w:rsidR="0096551C" w:rsidRPr="00B45853">
        <w:rPr>
          <w:rFonts w:ascii="Times New Roman" w:hAnsi="Times New Roman" w:cs="Times New Roman"/>
          <w:lang w:val="pl-PL"/>
        </w:rPr>
        <w:t>wydawnictwo gazety, które</w:t>
      </w:r>
      <w:r w:rsidR="00B847E2" w:rsidRPr="00B45853">
        <w:rPr>
          <w:rFonts w:ascii="Times New Roman" w:hAnsi="Times New Roman" w:cs="Times New Roman"/>
          <w:lang w:val="pl-PL"/>
        </w:rPr>
        <w:t xml:space="preserve"> opublikował</w:t>
      </w:r>
      <w:r w:rsidR="0096551C" w:rsidRPr="00B45853">
        <w:rPr>
          <w:rFonts w:ascii="Times New Roman" w:hAnsi="Times New Roman" w:cs="Times New Roman"/>
          <w:lang w:val="pl-PL"/>
        </w:rPr>
        <w:t>o</w:t>
      </w:r>
      <w:r w:rsidR="00B847E2" w:rsidRPr="00B45853">
        <w:rPr>
          <w:rFonts w:ascii="Times New Roman" w:hAnsi="Times New Roman" w:cs="Times New Roman"/>
          <w:lang w:val="pl-PL"/>
        </w:rPr>
        <w:t xml:space="preserve"> wersję online gazety na swojej stron</w:t>
      </w:r>
      <w:r w:rsidR="0096551C" w:rsidRPr="00B45853">
        <w:rPr>
          <w:rFonts w:ascii="Times New Roman" w:hAnsi="Times New Roman" w:cs="Times New Roman"/>
          <w:lang w:val="pl-PL"/>
        </w:rPr>
        <w:t xml:space="preserve">ie internetowej, </w:t>
      </w:r>
      <w:r w:rsidR="00FE2863">
        <w:rPr>
          <w:rFonts w:ascii="Times New Roman" w:hAnsi="Times New Roman" w:cs="Times New Roman"/>
          <w:lang w:val="pl-PL"/>
        </w:rPr>
        <w:br/>
      </w:r>
      <w:r w:rsidR="0096551C" w:rsidRPr="00B45853">
        <w:rPr>
          <w:rFonts w:ascii="Times New Roman" w:hAnsi="Times New Roman" w:cs="Times New Roman"/>
          <w:lang w:val="pl-PL"/>
        </w:rPr>
        <w:t>w zasadzie posiadało, wiedzę</w:t>
      </w:r>
      <w:r w:rsidR="00B847E2" w:rsidRPr="00B45853">
        <w:rPr>
          <w:rFonts w:ascii="Times New Roman" w:hAnsi="Times New Roman" w:cs="Times New Roman"/>
          <w:lang w:val="pl-PL"/>
        </w:rPr>
        <w:t xml:space="preserve"> na temat informacji, które </w:t>
      </w:r>
      <w:r w:rsidR="00FE2863">
        <w:rPr>
          <w:rFonts w:ascii="Times New Roman" w:hAnsi="Times New Roman" w:cs="Times New Roman"/>
          <w:lang w:val="pl-PL"/>
        </w:rPr>
        <w:t>o</w:t>
      </w:r>
      <w:r w:rsidR="00B847E2" w:rsidRPr="00B45853">
        <w:rPr>
          <w:rFonts w:ascii="Times New Roman" w:hAnsi="Times New Roman" w:cs="Times New Roman"/>
          <w:lang w:val="pl-PL"/>
        </w:rPr>
        <w:t>pisał</w:t>
      </w:r>
      <w:r w:rsidR="0096551C" w:rsidRPr="00B45853">
        <w:rPr>
          <w:rFonts w:ascii="Times New Roman" w:hAnsi="Times New Roman" w:cs="Times New Roman"/>
          <w:lang w:val="pl-PL"/>
        </w:rPr>
        <w:t>o</w:t>
      </w:r>
      <w:r w:rsidR="00B847E2" w:rsidRPr="00B45853">
        <w:rPr>
          <w:rFonts w:ascii="Times New Roman" w:hAnsi="Times New Roman" w:cs="Times New Roman"/>
          <w:lang w:val="pl-PL"/>
        </w:rPr>
        <w:t xml:space="preserve"> oraz sprawuje kontrolę nad tym</w:t>
      </w:r>
      <w:r w:rsidR="0096551C" w:rsidRPr="00B45853">
        <w:rPr>
          <w:rFonts w:ascii="Times New Roman" w:hAnsi="Times New Roman" w:cs="Times New Roman"/>
          <w:lang w:val="pl-PL"/>
        </w:rPr>
        <w:t>i</w:t>
      </w:r>
      <w:r w:rsidR="00B847E2" w:rsidRPr="00B45853">
        <w:rPr>
          <w:rFonts w:ascii="Times New Roman" w:hAnsi="Times New Roman" w:cs="Times New Roman"/>
          <w:lang w:val="pl-PL"/>
        </w:rPr>
        <w:t xml:space="preserve"> informa</w:t>
      </w:r>
      <w:r w:rsidR="0096551C" w:rsidRPr="00B45853">
        <w:rPr>
          <w:rFonts w:ascii="Times New Roman" w:hAnsi="Times New Roman" w:cs="Times New Roman"/>
          <w:lang w:val="pl-PL"/>
        </w:rPr>
        <w:t>cjami, to nie może być uważane</w:t>
      </w:r>
      <w:r w:rsidR="00B847E2" w:rsidRPr="00B45853">
        <w:rPr>
          <w:rFonts w:ascii="Times New Roman" w:hAnsi="Times New Roman" w:cs="Times New Roman"/>
          <w:lang w:val="pl-PL"/>
        </w:rPr>
        <w:t xml:space="preserve"> za </w:t>
      </w:r>
      <w:r w:rsidR="00B847E2" w:rsidRPr="00B45853">
        <w:rPr>
          <w:rFonts w:ascii="Times New Roman" w:hAnsi="Times New Roman" w:cs="Times New Roman"/>
          <w:lang w:val="pl-PL"/>
        </w:rPr>
        <w:lastRenderedPageBreak/>
        <w:t>"pośrednicząc</w:t>
      </w:r>
      <w:r w:rsidR="0096551C" w:rsidRPr="00B45853">
        <w:rPr>
          <w:rFonts w:ascii="Times New Roman" w:hAnsi="Times New Roman" w:cs="Times New Roman"/>
          <w:lang w:val="pl-PL"/>
        </w:rPr>
        <w:t>ego dostawcę</w:t>
      </w:r>
      <w:r w:rsidR="00B847E2" w:rsidRPr="00B45853">
        <w:rPr>
          <w:rFonts w:ascii="Times New Roman" w:hAnsi="Times New Roman" w:cs="Times New Roman"/>
          <w:lang w:val="pl-PL"/>
        </w:rPr>
        <w:t xml:space="preserve"> usług" w rozumieniu</w:t>
      </w:r>
      <w:r w:rsidR="00A220C6" w:rsidRPr="00B45853">
        <w:rPr>
          <w:rFonts w:ascii="Times New Roman" w:hAnsi="Times New Roman" w:cs="Times New Roman"/>
          <w:lang w:val="pl-PL"/>
        </w:rPr>
        <w:t xml:space="preserve"> Art</w:t>
      </w:r>
      <w:r w:rsidR="00B847E2" w:rsidRPr="00B45853">
        <w:rPr>
          <w:rFonts w:ascii="Times New Roman" w:hAnsi="Times New Roman" w:cs="Times New Roman"/>
          <w:lang w:val="pl-PL"/>
        </w:rPr>
        <w:t>ykułu od</w:t>
      </w:r>
      <w:r w:rsidR="00A220C6" w:rsidRPr="00B45853">
        <w:rPr>
          <w:rFonts w:ascii="Times New Roman" w:hAnsi="Times New Roman" w:cs="Times New Roman"/>
          <w:lang w:val="pl-PL"/>
        </w:rPr>
        <w:t xml:space="preserve"> 12 </w:t>
      </w:r>
      <w:r w:rsidR="00B847E2" w:rsidRPr="00B45853">
        <w:rPr>
          <w:rFonts w:ascii="Times New Roman" w:hAnsi="Times New Roman" w:cs="Times New Roman"/>
          <w:lang w:val="pl-PL"/>
        </w:rPr>
        <w:t>do</w:t>
      </w:r>
      <w:r w:rsidR="00A220C6" w:rsidRPr="00B45853">
        <w:rPr>
          <w:rFonts w:ascii="Times New Roman" w:hAnsi="Times New Roman" w:cs="Times New Roman"/>
          <w:lang w:val="pl-PL"/>
        </w:rPr>
        <w:t xml:space="preserve"> 14 </w:t>
      </w:r>
      <w:r w:rsidR="00B847E2" w:rsidRPr="00B45853">
        <w:rPr>
          <w:rFonts w:ascii="Times New Roman" w:hAnsi="Times New Roman" w:cs="Times New Roman"/>
          <w:lang w:val="pl-PL"/>
        </w:rPr>
        <w:t>Dyrektywy</w:t>
      </w:r>
      <w:r w:rsidR="00A220C6" w:rsidRPr="00B45853">
        <w:rPr>
          <w:rFonts w:ascii="Times New Roman" w:hAnsi="Times New Roman" w:cs="Times New Roman"/>
          <w:lang w:val="pl-PL"/>
        </w:rPr>
        <w:t xml:space="preserve"> 2000/31</w:t>
      </w:r>
      <w:r w:rsidR="0039459E" w:rsidRPr="00B45853">
        <w:rPr>
          <w:rFonts w:ascii="Times New Roman" w:hAnsi="Times New Roman" w:cs="Times New Roman"/>
          <w:lang w:val="pl-PL"/>
        </w:rPr>
        <w:t>/EC</w:t>
      </w:r>
      <w:r w:rsidR="00C42BA3">
        <w:rPr>
          <w:rFonts w:ascii="Times New Roman" w:hAnsi="Times New Roman" w:cs="Times New Roman"/>
          <w:lang w:val="pl-PL"/>
        </w:rPr>
        <w:t xml:space="preserve"> </w:t>
      </w:r>
      <w:r w:rsidR="0096551C" w:rsidRPr="00B45853">
        <w:rPr>
          <w:rFonts w:ascii="Times New Roman" w:hAnsi="Times New Roman" w:cs="Times New Roman"/>
          <w:lang w:val="pl-PL"/>
        </w:rPr>
        <w:t xml:space="preserve">czy dostęp do tej strony internetowej był bezpłatny </w:t>
      </w:r>
      <w:r w:rsidR="002034DF" w:rsidRPr="00B45853">
        <w:rPr>
          <w:rFonts w:ascii="Times New Roman" w:hAnsi="Times New Roman" w:cs="Times New Roman"/>
          <w:lang w:val="pl-PL"/>
        </w:rPr>
        <w:t>,</w:t>
      </w:r>
      <w:r w:rsidR="0096551C" w:rsidRPr="00B45853">
        <w:rPr>
          <w:rFonts w:ascii="Times New Roman" w:hAnsi="Times New Roman" w:cs="Times New Roman"/>
          <w:lang w:val="pl-PL"/>
        </w:rPr>
        <w:t>czy nie. W związku z tym uznał, że ograniczenia odpowiedzialności cywilnej określone w Artykułach od 12 d</w:t>
      </w:r>
      <w:r w:rsidR="0039459E" w:rsidRPr="00B45853">
        <w:rPr>
          <w:rFonts w:ascii="Times New Roman" w:hAnsi="Times New Roman" w:cs="Times New Roman"/>
          <w:lang w:val="pl-PL"/>
        </w:rPr>
        <w:t xml:space="preserve">o 14 </w:t>
      </w:r>
      <w:r w:rsidR="0096551C" w:rsidRPr="00B45853">
        <w:rPr>
          <w:rFonts w:ascii="Times New Roman" w:hAnsi="Times New Roman" w:cs="Times New Roman"/>
          <w:lang w:val="pl-PL"/>
        </w:rPr>
        <w:t>Dyrektywy</w:t>
      </w:r>
      <w:r w:rsidR="0039459E" w:rsidRPr="00B45853">
        <w:rPr>
          <w:rFonts w:ascii="Times New Roman" w:hAnsi="Times New Roman" w:cs="Times New Roman"/>
          <w:lang w:val="pl-PL"/>
        </w:rPr>
        <w:t> </w:t>
      </w:r>
      <w:r w:rsidR="00A220C6" w:rsidRPr="00B45853">
        <w:rPr>
          <w:rFonts w:ascii="Times New Roman" w:hAnsi="Times New Roman" w:cs="Times New Roman"/>
          <w:lang w:val="pl-PL"/>
        </w:rPr>
        <w:t>2000/31</w:t>
      </w:r>
      <w:r w:rsidR="0039459E" w:rsidRPr="00B45853">
        <w:rPr>
          <w:rFonts w:ascii="Times New Roman" w:hAnsi="Times New Roman" w:cs="Times New Roman"/>
          <w:lang w:val="pl-PL"/>
        </w:rPr>
        <w:t>/EC</w:t>
      </w:r>
      <w:r w:rsidR="00A220C6" w:rsidRPr="00B45853">
        <w:rPr>
          <w:rFonts w:ascii="Times New Roman" w:hAnsi="Times New Roman" w:cs="Times New Roman"/>
          <w:lang w:val="pl-PL"/>
        </w:rPr>
        <w:t xml:space="preserve"> </w:t>
      </w:r>
      <w:r w:rsidR="0096551C" w:rsidRPr="00B45853">
        <w:rPr>
          <w:rFonts w:ascii="Times New Roman" w:hAnsi="Times New Roman" w:cs="Times New Roman"/>
          <w:lang w:val="pl-PL"/>
        </w:rPr>
        <w:t>nie mają zastosowania w przypadku wydawnictwa gazety, działającej strony internetowej, na którą wersja online gazety została wysłana, że spółka otrzymywała wynagrodzenie od przychodów generowanych z komercyjnych reklam zamieszczanych na stronie internetowej, ponieważ miał wiedzę na temat informacji zamieszczonych oraz sprawował kontrolę nad tym informacjami, czy dostęp do strony internetowej był bezpłatny</w:t>
      </w:r>
      <w:r w:rsidR="002034DF" w:rsidRPr="00B45853">
        <w:rPr>
          <w:rFonts w:ascii="Times New Roman" w:hAnsi="Times New Roman" w:cs="Times New Roman"/>
          <w:lang w:val="pl-PL"/>
        </w:rPr>
        <w:t>,</w:t>
      </w:r>
      <w:r w:rsidR="0096551C" w:rsidRPr="00B45853">
        <w:rPr>
          <w:rFonts w:ascii="Times New Roman" w:hAnsi="Times New Roman" w:cs="Times New Roman"/>
          <w:lang w:val="pl-PL"/>
        </w:rPr>
        <w:t xml:space="preserve"> czy nie</w:t>
      </w:r>
      <w:r w:rsidR="00A220C6" w:rsidRPr="00B45853">
        <w:rPr>
          <w:rFonts w:ascii="Times New Roman" w:hAnsi="Times New Roman" w:cs="Times New Roman"/>
          <w:lang w:val="pl-PL"/>
        </w:rPr>
        <w:t>.</w:t>
      </w:r>
    </w:p>
    <w:p w:rsidR="00A220C6" w:rsidRPr="00B45853" w:rsidRDefault="00A220C6" w:rsidP="00171A6F">
      <w:pPr>
        <w:pStyle w:val="ECHRHeading2"/>
        <w:rPr>
          <w:rFonts w:ascii="Times New Roman" w:hAnsi="Times New Roman" w:cs="Times New Roman"/>
          <w:lang w:val="pl-PL"/>
        </w:rPr>
      </w:pPr>
      <w:bookmarkStart w:id="15" w:name="_Toc420072866"/>
      <w:r w:rsidRPr="00B45853">
        <w:rPr>
          <w:rFonts w:ascii="Times New Roman" w:hAnsi="Times New Roman" w:cs="Times New Roman"/>
          <w:lang w:val="pl-PL"/>
        </w:rPr>
        <w:t>B.  </w:t>
      </w:r>
      <w:bookmarkEnd w:id="15"/>
      <w:r w:rsidR="0096551C" w:rsidRPr="00B45853">
        <w:rPr>
          <w:rFonts w:ascii="Times New Roman" w:hAnsi="Times New Roman" w:cs="Times New Roman"/>
          <w:lang w:val="pl-PL"/>
        </w:rPr>
        <w:t>Materiał prawa porównawczego</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58</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96551C" w:rsidRPr="00B45853">
        <w:rPr>
          <w:rFonts w:ascii="Times New Roman" w:hAnsi="Times New Roman" w:cs="Times New Roman"/>
          <w:lang w:val="pl-PL"/>
        </w:rPr>
        <w:t xml:space="preserve">Z informacji posiadanych przez </w:t>
      </w:r>
      <w:r w:rsidR="006D4BE6">
        <w:rPr>
          <w:rFonts w:ascii="Times New Roman" w:hAnsi="Times New Roman" w:cs="Times New Roman"/>
          <w:lang w:val="pl-PL"/>
        </w:rPr>
        <w:t xml:space="preserve">Trybunał, </w:t>
      </w:r>
      <w:r w:rsidR="006D4BE6" w:rsidRPr="008E77E9">
        <w:rPr>
          <w:rFonts w:ascii="Times New Roman" w:hAnsi="Times New Roman" w:cs="Times New Roman"/>
          <w:lang w:val="pl-PL"/>
        </w:rPr>
        <w:t xml:space="preserve">wydaje się, że wiele </w:t>
      </w:r>
      <w:r w:rsidR="0096551C" w:rsidRPr="008E77E9">
        <w:rPr>
          <w:rFonts w:ascii="Times New Roman" w:hAnsi="Times New Roman" w:cs="Times New Roman"/>
          <w:lang w:val="pl-PL"/>
        </w:rPr>
        <w:t>z pań</w:t>
      </w:r>
      <w:r w:rsidR="002034DF" w:rsidRPr="008E77E9">
        <w:rPr>
          <w:rFonts w:ascii="Times New Roman" w:hAnsi="Times New Roman" w:cs="Times New Roman"/>
          <w:lang w:val="pl-PL"/>
        </w:rPr>
        <w:t>stw członkowskich Rady Europy</w:t>
      </w:r>
      <w:r w:rsidR="00FE2863">
        <w:rPr>
          <w:rFonts w:ascii="Times New Roman" w:hAnsi="Times New Roman" w:cs="Times New Roman"/>
          <w:lang w:val="pl-PL"/>
        </w:rPr>
        <w:t xml:space="preserve"> </w:t>
      </w:r>
      <w:r w:rsidR="002034DF" w:rsidRPr="008E77E9">
        <w:rPr>
          <w:rFonts w:ascii="Times New Roman" w:hAnsi="Times New Roman" w:cs="Times New Roman"/>
          <w:lang w:val="pl-PL"/>
        </w:rPr>
        <w:t>-</w:t>
      </w:r>
      <w:r w:rsidR="00FE2863">
        <w:rPr>
          <w:rFonts w:ascii="Times New Roman" w:hAnsi="Times New Roman" w:cs="Times New Roman"/>
          <w:lang w:val="pl-PL"/>
        </w:rPr>
        <w:t xml:space="preserve"> jest</w:t>
      </w:r>
      <w:r w:rsidR="0096551C" w:rsidRPr="008E77E9">
        <w:rPr>
          <w:rFonts w:ascii="Times New Roman" w:hAnsi="Times New Roman" w:cs="Times New Roman"/>
          <w:lang w:val="pl-PL"/>
        </w:rPr>
        <w:t xml:space="preserve"> również państwami członkowskimi</w:t>
      </w:r>
      <w:r w:rsidR="002034DF" w:rsidRPr="008E77E9">
        <w:rPr>
          <w:rFonts w:ascii="Times New Roman" w:hAnsi="Times New Roman" w:cs="Times New Roman"/>
          <w:lang w:val="pl-PL"/>
        </w:rPr>
        <w:t xml:space="preserve"> Unii Europejskiej</w:t>
      </w:r>
      <w:r w:rsidR="00FE2863">
        <w:rPr>
          <w:rFonts w:ascii="Times New Roman" w:hAnsi="Times New Roman" w:cs="Times New Roman"/>
          <w:lang w:val="pl-PL"/>
        </w:rPr>
        <w:t xml:space="preserve"> </w:t>
      </w:r>
      <w:r w:rsidR="002034DF" w:rsidRPr="008E77E9">
        <w:rPr>
          <w:rFonts w:ascii="Times New Roman" w:hAnsi="Times New Roman" w:cs="Times New Roman"/>
          <w:lang w:val="pl-PL"/>
        </w:rPr>
        <w:t>-</w:t>
      </w:r>
      <w:r w:rsidR="006D4BE6" w:rsidRPr="008E77E9">
        <w:rPr>
          <w:rFonts w:ascii="Times New Roman" w:hAnsi="Times New Roman" w:cs="Times New Roman"/>
          <w:lang w:val="pl-PL"/>
        </w:rPr>
        <w:t xml:space="preserve"> dyrektywa</w:t>
      </w:r>
      <w:r w:rsidR="0096551C" w:rsidRPr="008E77E9">
        <w:rPr>
          <w:rFonts w:ascii="Times New Roman" w:hAnsi="Times New Roman" w:cs="Times New Roman"/>
          <w:lang w:val="pl-PL"/>
        </w:rPr>
        <w:t xml:space="preserve"> w spra</w:t>
      </w:r>
      <w:r w:rsidR="006D4BE6" w:rsidRPr="008E77E9">
        <w:rPr>
          <w:rFonts w:ascii="Times New Roman" w:hAnsi="Times New Roman" w:cs="Times New Roman"/>
          <w:lang w:val="pl-PL"/>
        </w:rPr>
        <w:t>wie handlu elektronicznego, która została transponowana</w:t>
      </w:r>
      <w:r w:rsidR="0096551C" w:rsidRPr="008E77E9">
        <w:rPr>
          <w:rFonts w:ascii="Times New Roman" w:hAnsi="Times New Roman" w:cs="Times New Roman"/>
          <w:lang w:val="pl-PL"/>
        </w:rPr>
        <w:t xml:space="preserve"> do</w:t>
      </w:r>
      <w:r w:rsidR="006D4BE6" w:rsidRPr="008E77E9">
        <w:rPr>
          <w:rFonts w:ascii="Times New Roman" w:hAnsi="Times New Roman" w:cs="Times New Roman"/>
          <w:lang w:val="pl-PL"/>
        </w:rPr>
        <w:t xml:space="preserve"> ich</w:t>
      </w:r>
      <w:r w:rsidR="0096551C" w:rsidRPr="008E77E9">
        <w:rPr>
          <w:rFonts w:ascii="Times New Roman" w:hAnsi="Times New Roman" w:cs="Times New Roman"/>
          <w:lang w:val="pl-PL"/>
        </w:rPr>
        <w:t xml:space="preserve"> pr</w:t>
      </w:r>
      <w:r w:rsidR="00430CB1">
        <w:rPr>
          <w:rFonts w:ascii="Times New Roman" w:hAnsi="Times New Roman" w:cs="Times New Roman"/>
          <w:lang w:val="pl-PL"/>
        </w:rPr>
        <w:t>awa krajowego, stanowi</w:t>
      </w:r>
      <w:r w:rsidR="0096551C" w:rsidRPr="008E77E9">
        <w:rPr>
          <w:rFonts w:ascii="Times New Roman" w:hAnsi="Times New Roman" w:cs="Times New Roman"/>
          <w:lang w:val="pl-PL"/>
        </w:rPr>
        <w:t xml:space="preserve"> podstawowe źródło prawa w omawianym obszarze. Wydaje się również, że </w:t>
      </w:r>
      <w:r w:rsidR="001D1CC9" w:rsidRPr="008E77E9">
        <w:rPr>
          <w:rFonts w:ascii="Times New Roman" w:hAnsi="Times New Roman" w:cs="Times New Roman"/>
          <w:lang w:val="pl-PL"/>
        </w:rPr>
        <w:t xml:space="preserve">im </w:t>
      </w:r>
      <w:r w:rsidR="0096551C" w:rsidRPr="008E77E9">
        <w:rPr>
          <w:rFonts w:ascii="Times New Roman" w:hAnsi="Times New Roman" w:cs="Times New Roman"/>
          <w:lang w:val="pl-PL"/>
        </w:rPr>
        <w:t>większe zaangażowanie operatora w treści stron trzecich przed publikacją</w:t>
      </w:r>
      <w:r w:rsidR="002034DF" w:rsidRPr="008E77E9">
        <w:rPr>
          <w:rFonts w:ascii="Times New Roman" w:hAnsi="Times New Roman" w:cs="Times New Roman"/>
          <w:lang w:val="pl-PL"/>
        </w:rPr>
        <w:t xml:space="preserve"> online</w:t>
      </w:r>
      <w:r w:rsidR="00430CB1">
        <w:rPr>
          <w:rFonts w:ascii="Times New Roman" w:hAnsi="Times New Roman" w:cs="Times New Roman"/>
          <w:lang w:val="pl-PL"/>
        </w:rPr>
        <w:t xml:space="preserve"> </w:t>
      </w:r>
      <w:r w:rsidR="0096551C" w:rsidRPr="008E77E9">
        <w:rPr>
          <w:rFonts w:ascii="Times New Roman" w:hAnsi="Times New Roman" w:cs="Times New Roman"/>
          <w:lang w:val="pl-PL"/>
        </w:rPr>
        <w:t>-</w:t>
      </w:r>
      <w:r w:rsidR="00430CB1">
        <w:rPr>
          <w:rFonts w:ascii="Times New Roman" w:hAnsi="Times New Roman" w:cs="Times New Roman"/>
          <w:lang w:val="pl-PL"/>
        </w:rPr>
        <w:t xml:space="preserve"> </w:t>
      </w:r>
      <w:r w:rsidR="000A6545" w:rsidRPr="008E77E9">
        <w:rPr>
          <w:rFonts w:ascii="Times New Roman" w:hAnsi="Times New Roman" w:cs="Times New Roman"/>
          <w:lang w:val="pl-PL"/>
        </w:rPr>
        <w:t>czy to poprzez uprzednie cenzurowanie, edycję</w:t>
      </w:r>
      <w:r w:rsidR="00430CB1">
        <w:rPr>
          <w:rFonts w:ascii="Times New Roman" w:hAnsi="Times New Roman" w:cs="Times New Roman"/>
          <w:lang w:val="pl-PL"/>
        </w:rPr>
        <w:t>, selekcję</w:t>
      </w:r>
      <w:r w:rsidR="0096551C" w:rsidRPr="008E77E9">
        <w:rPr>
          <w:rFonts w:ascii="Times New Roman" w:hAnsi="Times New Roman" w:cs="Times New Roman"/>
          <w:lang w:val="pl-PL"/>
        </w:rPr>
        <w:t xml:space="preserve"> odbiorców, </w:t>
      </w:r>
      <w:r w:rsidR="006D7BD9">
        <w:rPr>
          <w:rFonts w:ascii="Times New Roman" w:hAnsi="Times New Roman" w:cs="Times New Roman"/>
          <w:lang w:val="pl-PL"/>
        </w:rPr>
        <w:t>wymaganie</w:t>
      </w:r>
      <w:r w:rsidR="0096551C" w:rsidRPr="008E77E9">
        <w:rPr>
          <w:rFonts w:ascii="Times New Roman" w:hAnsi="Times New Roman" w:cs="Times New Roman"/>
          <w:lang w:val="pl-PL"/>
        </w:rPr>
        <w:t xml:space="preserve"> komentar</w:t>
      </w:r>
      <w:r w:rsidR="000A6545" w:rsidRPr="008E77E9">
        <w:rPr>
          <w:rFonts w:ascii="Times New Roman" w:hAnsi="Times New Roman" w:cs="Times New Roman"/>
          <w:lang w:val="pl-PL"/>
        </w:rPr>
        <w:t>z</w:t>
      </w:r>
      <w:r w:rsidR="006D7BD9">
        <w:rPr>
          <w:rFonts w:ascii="Times New Roman" w:hAnsi="Times New Roman" w:cs="Times New Roman"/>
          <w:lang w:val="pl-PL"/>
        </w:rPr>
        <w:t>a</w:t>
      </w:r>
      <w:r w:rsidR="000A6545" w:rsidRPr="008E77E9">
        <w:rPr>
          <w:rFonts w:ascii="Times New Roman" w:hAnsi="Times New Roman" w:cs="Times New Roman"/>
          <w:lang w:val="pl-PL"/>
        </w:rPr>
        <w:t xml:space="preserve"> </w:t>
      </w:r>
      <w:r w:rsidR="006D7BD9">
        <w:rPr>
          <w:rFonts w:ascii="Times New Roman" w:hAnsi="Times New Roman" w:cs="Times New Roman"/>
          <w:lang w:val="pl-PL"/>
        </w:rPr>
        <w:t>od określonego</w:t>
      </w:r>
      <w:r w:rsidR="000A6545" w:rsidRPr="008E77E9">
        <w:rPr>
          <w:rFonts w:ascii="Times New Roman" w:hAnsi="Times New Roman" w:cs="Times New Roman"/>
          <w:lang w:val="pl-PL"/>
        </w:rPr>
        <w:t xml:space="preserve"> podmio</w:t>
      </w:r>
      <w:r w:rsidR="006D7BD9">
        <w:rPr>
          <w:rFonts w:ascii="Times New Roman" w:hAnsi="Times New Roman" w:cs="Times New Roman"/>
          <w:lang w:val="pl-PL"/>
        </w:rPr>
        <w:t>tu</w:t>
      </w:r>
      <w:r w:rsidR="0096551C" w:rsidRPr="008E77E9">
        <w:rPr>
          <w:rFonts w:ascii="Times New Roman" w:hAnsi="Times New Roman" w:cs="Times New Roman"/>
          <w:lang w:val="pl-PL"/>
        </w:rPr>
        <w:t xml:space="preserve"> lub prz</w:t>
      </w:r>
      <w:r w:rsidR="006D7BD9">
        <w:rPr>
          <w:rFonts w:ascii="Times New Roman" w:hAnsi="Times New Roman" w:cs="Times New Roman"/>
          <w:lang w:val="pl-PL"/>
        </w:rPr>
        <w:t>e</w:t>
      </w:r>
      <w:r w:rsidR="0096551C" w:rsidRPr="008E77E9">
        <w:rPr>
          <w:rFonts w:ascii="Times New Roman" w:hAnsi="Times New Roman" w:cs="Times New Roman"/>
          <w:lang w:val="pl-PL"/>
        </w:rPr>
        <w:t xml:space="preserve">jęcie treści jako </w:t>
      </w:r>
      <w:r w:rsidR="000A6545" w:rsidRPr="008E77E9">
        <w:rPr>
          <w:rFonts w:ascii="Times New Roman" w:hAnsi="Times New Roman" w:cs="Times New Roman"/>
          <w:lang w:val="pl-PL"/>
        </w:rPr>
        <w:t xml:space="preserve">własność </w:t>
      </w:r>
      <w:r w:rsidR="0096551C" w:rsidRPr="008E77E9">
        <w:rPr>
          <w:rFonts w:ascii="Times New Roman" w:hAnsi="Times New Roman" w:cs="Times New Roman"/>
          <w:lang w:val="pl-PL"/>
        </w:rPr>
        <w:t>operator</w:t>
      </w:r>
      <w:r w:rsidR="000A6545" w:rsidRPr="008E77E9">
        <w:rPr>
          <w:rFonts w:ascii="Times New Roman" w:hAnsi="Times New Roman" w:cs="Times New Roman"/>
          <w:lang w:val="pl-PL"/>
        </w:rPr>
        <w:t>a</w:t>
      </w:r>
      <w:r w:rsidR="001D1CC9" w:rsidRPr="008E77E9">
        <w:rPr>
          <w:rFonts w:ascii="Times New Roman" w:hAnsi="Times New Roman" w:cs="Times New Roman"/>
          <w:lang w:val="pl-PL"/>
        </w:rPr>
        <w:t>, tym</w:t>
      </w:r>
      <w:r w:rsidR="0096551C" w:rsidRPr="008E77E9">
        <w:rPr>
          <w:rFonts w:ascii="Times New Roman" w:hAnsi="Times New Roman" w:cs="Times New Roman"/>
          <w:lang w:val="pl-PL"/>
        </w:rPr>
        <w:t xml:space="preserve"> większe prawdopodobieństwo, że operator </w:t>
      </w:r>
      <w:r w:rsidR="000A6545" w:rsidRPr="008E77E9">
        <w:rPr>
          <w:rFonts w:ascii="Times New Roman" w:hAnsi="Times New Roman" w:cs="Times New Roman"/>
          <w:lang w:val="pl-PL"/>
        </w:rPr>
        <w:t>będzie ponosić odpowiedzialność</w:t>
      </w:r>
      <w:r w:rsidR="0096551C" w:rsidRPr="008E77E9">
        <w:rPr>
          <w:rFonts w:ascii="Times New Roman" w:hAnsi="Times New Roman" w:cs="Times New Roman"/>
          <w:lang w:val="pl-PL"/>
        </w:rPr>
        <w:t xml:space="preserve"> za treści w nic</w:t>
      </w:r>
      <w:r w:rsidR="000A6545" w:rsidRPr="008E77E9">
        <w:rPr>
          <w:rFonts w:ascii="Times New Roman" w:hAnsi="Times New Roman" w:cs="Times New Roman"/>
          <w:lang w:val="pl-PL"/>
        </w:rPr>
        <w:t>h zawarte</w:t>
      </w:r>
      <w:r w:rsidR="0096551C" w:rsidRPr="008E77E9">
        <w:rPr>
          <w:rFonts w:ascii="Times New Roman" w:hAnsi="Times New Roman" w:cs="Times New Roman"/>
          <w:lang w:val="pl-PL"/>
        </w:rPr>
        <w:t>. Niektóre kraje</w:t>
      </w:r>
      <w:r w:rsidR="0096551C" w:rsidRPr="00B45853">
        <w:rPr>
          <w:rFonts w:ascii="Times New Roman" w:hAnsi="Times New Roman" w:cs="Times New Roman"/>
          <w:lang w:val="pl-PL"/>
        </w:rPr>
        <w:t xml:space="preserve"> wprowadziły pewne dodatkowe przepisy szczególne dotyczące proc</w:t>
      </w:r>
      <w:r w:rsidR="001D1CC9">
        <w:rPr>
          <w:rFonts w:ascii="Times New Roman" w:hAnsi="Times New Roman" w:cs="Times New Roman"/>
          <w:lang w:val="pl-PL"/>
        </w:rPr>
        <w:t>edury odbioru odnośnie</w:t>
      </w:r>
      <w:r w:rsidR="0096551C" w:rsidRPr="00B45853">
        <w:rPr>
          <w:rFonts w:ascii="Times New Roman" w:hAnsi="Times New Roman" w:cs="Times New Roman"/>
          <w:lang w:val="pl-PL"/>
        </w:rPr>
        <w:t xml:space="preserve"> rzekomo n</w:t>
      </w:r>
      <w:r w:rsidR="002034DF" w:rsidRPr="00B45853">
        <w:rPr>
          <w:rFonts w:ascii="Times New Roman" w:hAnsi="Times New Roman" w:cs="Times New Roman"/>
          <w:lang w:val="pl-PL"/>
        </w:rPr>
        <w:t xml:space="preserve">ielegalnych treści </w:t>
      </w:r>
      <w:r w:rsidR="00192B85">
        <w:rPr>
          <w:rFonts w:ascii="Times New Roman" w:hAnsi="Times New Roman" w:cs="Times New Roman"/>
          <w:lang w:val="pl-PL"/>
        </w:rPr>
        <w:br/>
      </w:r>
      <w:r w:rsidR="002034DF" w:rsidRPr="00B45853">
        <w:rPr>
          <w:rFonts w:ascii="Times New Roman" w:hAnsi="Times New Roman" w:cs="Times New Roman"/>
          <w:lang w:val="pl-PL"/>
        </w:rPr>
        <w:t>w Internecie</w:t>
      </w:r>
      <w:r w:rsidR="0096551C" w:rsidRPr="00B45853">
        <w:rPr>
          <w:rFonts w:ascii="Times New Roman" w:hAnsi="Times New Roman" w:cs="Times New Roman"/>
          <w:lang w:val="pl-PL"/>
        </w:rPr>
        <w:t xml:space="preserve"> oraz przepisy dotyczące </w:t>
      </w:r>
      <w:r w:rsidR="00250225">
        <w:rPr>
          <w:rFonts w:ascii="Times New Roman" w:hAnsi="Times New Roman" w:cs="Times New Roman"/>
          <w:lang w:val="pl-PL"/>
        </w:rPr>
        <w:t>rozł</w:t>
      </w:r>
      <w:r w:rsidR="00722087">
        <w:rPr>
          <w:rFonts w:ascii="Times New Roman" w:hAnsi="Times New Roman" w:cs="Times New Roman"/>
          <w:lang w:val="pl-PL"/>
        </w:rPr>
        <w:t>ożenia</w:t>
      </w:r>
      <w:r w:rsidR="0096551C" w:rsidRPr="00B45853">
        <w:rPr>
          <w:rFonts w:ascii="Times New Roman" w:hAnsi="Times New Roman" w:cs="Times New Roman"/>
          <w:lang w:val="pl-PL"/>
        </w:rPr>
        <w:t xml:space="preserve"> odpowiedzialności w tym kontekście</w:t>
      </w:r>
      <w:r w:rsidR="00A220C6" w:rsidRPr="00B45853">
        <w:rPr>
          <w:rFonts w:ascii="Times New Roman" w:hAnsi="Times New Roman" w:cs="Times New Roman"/>
          <w:lang w:val="pl-PL"/>
        </w:rPr>
        <w:t>.</w:t>
      </w:r>
    </w:p>
    <w:p w:rsidR="00A220C6" w:rsidRPr="00B45853" w:rsidRDefault="000A6545" w:rsidP="00171A6F">
      <w:pPr>
        <w:pStyle w:val="ECHRTitle1"/>
        <w:rPr>
          <w:rFonts w:ascii="Times New Roman" w:hAnsi="Times New Roman" w:cs="Times New Roman"/>
          <w:lang w:val="pl-PL"/>
        </w:rPr>
      </w:pPr>
      <w:r w:rsidRPr="00B45853">
        <w:rPr>
          <w:rFonts w:ascii="Times New Roman" w:hAnsi="Times New Roman" w:cs="Times New Roman"/>
          <w:lang w:val="pl-PL"/>
        </w:rPr>
        <w:t>PRAWO</w:t>
      </w:r>
    </w:p>
    <w:p w:rsidR="00A220C6" w:rsidRPr="00B45853" w:rsidRDefault="00A220C6" w:rsidP="00171A6F">
      <w:pPr>
        <w:pStyle w:val="ECHRHeading1"/>
        <w:rPr>
          <w:rFonts w:ascii="Times New Roman" w:hAnsi="Times New Roman" w:cs="Times New Roman"/>
          <w:lang w:val="pl-PL"/>
        </w:rPr>
      </w:pPr>
      <w:bookmarkStart w:id="16" w:name="_Toc420072868"/>
      <w:r w:rsidRPr="00B45853">
        <w:rPr>
          <w:rFonts w:ascii="Times New Roman" w:hAnsi="Times New Roman" w:cs="Times New Roman"/>
          <w:lang w:val="pl-PL"/>
        </w:rPr>
        <w:t>I.  </w:t>
      </w:r>
      <w:r w:rsidR="000A6545" w:rsidRPr="00B45853">
        <w:rPr>
          <w:rFonts w:ascii="Times New Roman" w:hAnsi="Times New Roman" w:cs="Times New Roman"/>
          <w:lang w:val="pl-PL"/>
        </w:rPr>
        <w:t>ZARZUT NARUSZENIA ARTYKUŁU 10 KONWENCJI</w:t>
      </w:r>
      <w:bookmarkEnd w:id="16"/>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59</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A6545" w:rsidRPr="00B45853">
        <w:rPr>
          <w:rFonts w:ascii="Times New Roman" w:hAnsi="Times New Roman" w:cs="Times New Roman"/>
          <w:lang w:val="pl-PL"/>
        </w:rPr>
        <w:t xml:space="preserve">Skarżąca spółka skarżyła się, że </w:t>
      </w:r>
      <w:r w:rsidR="001D1CC9" w:rsidRPr="008E77E9">
        <w:rPr>
          <w:rFonts w:ascii="Times New Roman" w:hAnsi="Times New Roman" w:cs="Times New Roman"/>
          <w:lang w:val="pl-PL"/>
        </w:rPr>
        <w:t>egzekwowanie</w:t>
      </w:r>
      <w:r w:rsidR="001D1CC9">
        <w:rPr>
          <w:rFonts w:ascii="Times New Roman" w:hAnsi="Times New Roman" w:cs="Times New Roman"/>
          <w:lang w:val="pl-PL"/>
        </w:rPr>
        <w:t xml:space="preserve"> jej </w:t>
      </w:r>
      <w:r w:rsidR="000A6545" w:rsidRPr="00B45853">
        <w:rPr>
          <w:rFonts w:ascii="Times New Roman" w:hAnsi="Times New Roman" w:cs="Times New Roman"/>
          <w:lang w:val="pl-PL"/>
        </w:rPr>
        <w:t>odpowiedzialności za komentarze opublikowane przez czytelników na swoim internetowym portalu informacyjnym naruszyło swobodę wypowiedzi, jak przewidziano w Artykule 10 Konwencji, który brzmi</w:t>
      </w:r>
      <w:r w:rsidR="002034DF" w:rsidRPr="00B45853">
        <w:rPr>
          <w:rFonts w:ascii="Times New Roman" w:hAnsi="Times New Roman" w:cs="Times New Roman"/>
          <w:lang w:val="pl-PL"/>
        </w:rPr>
        <w:t>,</w:t>
      </w:r>
      <w:r w:rsidR="000A6545" w:rsidRPr="00B45853">
        <w:rPr>
          <w:rFonts w:ascii="Times New Roman" w:hAnsi="Times New Roman" w:cs="Times New Roman"/>
          <w:lang w:val="pl-PL"/>
        </w:rPr>
        <w:t xml:space="preserve"> jak następuje</w:t>
      </w:r>
      <w:r w:rsidR="00A220C6" w:rsidRPr="00B45853">
        <w:rPr>
          <w:rFonts w:ascii="Times New Roman" w:hAnsi="Times New Roman" w:cs="Times New Roman"/>
          <w:lang w:val="pl-PL"/>
        </w:rPr>
        <w:t>:</w:t>
      </w:r>
    </w:p>
    <w:p w:rsidR="00B45853" w:rsidRPr="003B0CBB" w:rsidRDefault="00B45853" w:rsidP="00B45853">
      <w:pPr>
        <w:pStyle w:val="ECHRParaQuote"/>
        <w:rPr>
          <w:lang w:val="pl-PL"/>
        </w:rPr>
      </w:pPr>
      <w:r w:rsidRPr="003B0CBB">
        <w:rPr>
          <w:lang w:val="pl-PL"/>
        </w:rPr>
        <w:t xml:space="preserve">1. Każdy ma prawo do wolności wyrażania opinii. Prawo to obejmuje wolność posiadania poglądów oraz otrzymywania i przekazywania informacji i idei bez ingerencji władz publicznych i bez względu na granice państwowe. Niniejszy przepis </w:t>
      </w:r>
      <w:r w:rsidRPr="003B0CBB">
        <w:rPr>
          <w:lang w:val="pl-PL"/>
        </w:rPr>
        <w:lastRenderedPageBreak/>
        <w:t xml:space="preserve">nie wyklucza prawa Państw do poddania procedurze zezwoleń przedsiębiorstw radiowych, telewizyjnych lub kinematograficznych. </w:t>
      </w:r>
    </w:p>
    <w:p w:rsidR="00B45853" w:rsidRPr="003B0CBB" w:rsidRDefault="00B45853" w:rsidP="00B45853">
      <w:pPr>
        <w:pStyle w:val="ECHRParaQuote"/>
        <w:rPr>
          <w:lang w:val="pl-PL"/>
        </w:rPr>
      </w:pPr>
      <w:r w:rsidRPr="003B0CBB">
        <w:rPr>
          <w:lang w:val="pl-PL"/>
        </w:rPr>
        <w:t xml:space="preserve">2. Korzystanie z tych wolności, jako pociągające za sobą obowiązki i odpowiedzialność, może podlegać takim wymogom formalnym, warunkom, ograniczeniom i sankcjom, jakie są przewidziane przez ustawę i niezbędne w społeczeństwie demokratycznym w interesie bezpieczeństwa państwowego, integralności terytorialnej lub bezpieczeństwa publicznego, ze względu na konieczność zapobieżenia zakłóceniu porządku lub przestępstwu, z uwagi na ochronę zdrowia i moralności, ochronę dobrego imienia i praw innych osób oraz ze względu na zapobieżenie ujawnieniu informacji tajnych lub na zagwarantowanie powagi </w:t>
      </w:r>
      <w:r w:rsidR="00722087">
        <w:rPr>
          <w:lang w:val="pl-PL"/>
        </w:rPr>
        <w:br/>
      </w:r>
      <w:r w:rsidRPr="003B0CBB">
        <w:rPr>
          <w:lang w:val="pl-PL"/>
        </w:rPr>
        <w:t>i bezstronności władzy sądowej.</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A6545" w:rsidRPr="00B45853">
        <w:rPr>
          <w:rFonts w:ascii="Times New Roman" w:hAnsi="Times New Roman" w:cs="Times New Roman"/>
          <w:lang w:val="pl-PL"/>
        </w:rPr>
        <w:t>Rząd nie zgodził się z tym argumentem.</w:t>
      </w:r>
    </w:p>
    <w:p w:rsidR="00A220C6" w:rsidRPr="00B45853" w:rsidRDefault="00A220C6" w:rsidP="00171A6F">
      <w:pPr>
        <w:pStyle w:val="ECHRHeading2"/>
        <w:rPr>
          <w:rFonts w:ascii="Times New Roman" w:hAnsi="Times New Roman" w:cs="Times New Roman"/>
          <w:lang w:val="pl-PL"/>
        </w:rPr>
      </w:pPr>
      <w:bookmarkStart w:id="17" w:name="_Toc420072869"/>
      <w:r w:rsidRPr="00B45853">
        <w:rPr>
          <w:rFonts w:ascii="Times New Roman" w:hAnsi="Times New Roman" w:cs="Times New Roman"/>
          <w:lang w:val="pl-PL"/>
        </w:rPr>
        <w:t>A.  </w:t>
      </w:r>
      <w:r w:rsidR="000A6545" w:rsidRPr="00B45853">
        <w:rPr>
          <w:rFonts w:ascii="Times New Roman" w:hAnsi="Times New Roman" w:cs="Times New Roman"/>
          <w:lang w:val="pl-PL"/>
        </w:rPr>
        <w:t>Orzeczenie Izby</w:t>
      </w:r>
      <w:bookmarkEnd w:id="17"/>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61</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A6545" w:rsidRPr="008E77E9">
        <w:rPr>
          <w:rFonts w:ascii="Times New Roman" w:hAnsi="Times New Roman" w:cs="Times New Roman"/>
          <w:lang w:val="pl-PL"/>
        </w:rPr>
        <w:t>W wyroku z dnia 10 października 2013</w:t>
      </w:r>
      <w:r w:rsidR="002034DF" w:rsidRPr="008E77E9">
        <w:rPr>
          <w:rFonts w:ascii="Times New Roman" w:hAnsi="Times New Roman" w:cs="Times New Roman"/>
          <w:lang w:val="pl-PL"/>
        </w:rPr>
        <w:t xml:space="preserve"> roku</w:t>
      </w:r>
      <w:r w:rsidR="000A6545" w:rsidRPr="008E77E9">
        <w:rPr>
          <w:rFonts w:ascii="Times New Roman" w:hAnsi="Times New Roman" w:cs="Times New Roman"/>
          <w:lang w:val="pl-PL"/>
        </w:rPr>
        <w:t xml:space="preserve"> Izba na wstępie</w:t>
      </w:r>
      <w:r w:rsidR="00C038A5" w:rsidRPr="008E77E9">
        <w:rPr>
          <w:rFonts w:ascii="Times New Roman" w:hAnsi="Times New Roman" w:cs="Times New Roman"/>
          <w:lang w:val="pl-PL"/>
        </w:rPr>
        <w:t xml:space="preserve"> zauważyła</w:t>
      </w:r>
      <w:r w:rsidR="000A6545" w:rsidRPr="008E77E9">
        <w:rPr>
          <w:rFonts w:ascii="Times New Roman" w:hAnsi="Times New Roman" w:cs="Times New Roman"/>
          <w:lang w:val="pl-PL"/>
        </w:rPr>
        <w:t xml:space="preserve">, że poglądy stron </w:t>
      </w:r>
      <w:r w:rsidR="00C038A5" w:rsidRPr="008E77E9">
        <w:rPr>
          <w:rFonts w:ascii="Times New Roman" w:hAnsi="Times New Roman" w:cs="Times New Roman"/>
          <w:lang w:val="pl-PL"/>
        </w:rPr>
        <w:t>różnią się co do</w:t>
      </w:r>
      <w:r w:rsidR="000A6545" w:rsidRPr="008E77E9">
        <w:rPr>
          <w:rFonts w:ascii="Times New Roman" w:hAnsi="Times New Roman" w:cs="Times New Roman"/>
          <w:lang w:val="pl-PL"/>
        </w:rPr>
        <w:t xml:space="preserve"> roli skarżącej spółki w niniejszej sprawie. Według rządu, skarżąca sp</w:t>
      </w:r>
      <w:r w:rsidR="00125297" w:rsidRPr="008E77E9">
        <w:rPr>
          <w:rFonts w:ascii="Times New Roman" w:hAnsi="Times New Roman" w:cs="Times New Roman"/>
          <w:lang w:val="pl-PL"/>
        </w:rPr>
        <w:t>ółka miała być uznana za ujawniającego</w:t>
      </w:r>
      <w:r w:rsidR="00C038A5" w:rsidRPr="008E77E9">
        <w:rPr>
          <w:rFonts w:ascii="Times New Roman" w:hAnsi="Times New Roman" w:cs="Times New Roman"/>
          <w:lang w:val="pl-PL"/>
        </w:rPr>
        <w:t xml:space="preserve"> oszczercze</w:t>
      </w:r>
      <w:r w:rsidR="000A6545" w:rsidRPr="008E77E9">
        <w:rPr>
          <w:rFonts w:ascii="Times New Roman" w:hAnsi="Times New Roman" w:cs="Times New Roman"/>
          <w:lang w:val="pl-PL"/>
        </w:rPr>
        <w:t xml:space="preserve"> koment</w:t>
      </w:r>
      <w:r w:rsidR="00C038A5" w:rsidRPr="008E77E9">
        <w:rPr>
          <w:rFonts w:ascii="Times New Roman" w:hAnsi="Times New Roman" w:cs="Times New Roman"/>
          <w:lang w:val="pl-PL"/>
        </w:rPr>
        <w:t>arze</w:t>
      </w:r>
      <w:r w:rsidR="000A6545" w:rsidRPr="008E77E9">
        <w:rPr>
          <w:rFonts w:ascii="Times New Roman" w:hAnsi="Times New Roman" w:cs="Times New Roman"/>
          <w:lang w:val="pl-PL"/>
        </w:rPr>
        <w:t>, podczas gdy ska</w:t>
      </w:r>
      <w:r w:rsidR="00125297" w:rsidRPr="008E77E9">
        <w:rPr>
          <w:rFonts w:ascii="Times New Roman" w:hAnsi="Times New Roman" w:cs="Times New Roman"/>
          <w:lang w:val="pl-PL"/>
        </w:rPr>
        <w:t>rżąca spółka była zdania, że jej</w:t>
      </w:r>
      <w:r w:rsidR="000A6545" w:rsidRPr="008E77E9">
        <w:rPr>
          <w:rFonts w:ascii="Times New Roman" w:hAnsi="Times New Roman" w:cs="Times New Roman"/>
          <w:lang w:val="pl-PL"/>
        </w:rPr>
        <w:t xml:space="preserve"> wolność rozpowszechniania informacji</w:t>
      </w:r>
      <w:r w:rsidR="000A6545" w:rsidRPr="00B45853">
        <w:rPr>
          <w:rFonts w:ascii="Times New Roman" w:hAnsi="Times New Roman" w:cs="Times New Roman"/>
          <w:lang w:val="pl-PL"/>
        </w:rPr>
        <w:t xml:space="preserve"> tworzon</w:t>
      </w:r>
      <w:r w:rsidR="00125297" w:rsidRPr="00B45853">
        <w:rPr>
          <w:rFonts w:ascii="Times New Roman" w:hAnsi="Times New Roman" w:cs="Times New Roman"/>
          <w:lang w:val="pl-PL"/>
        </w:rPr>
        <w:t xml:space="preserve">ych </w:t>
      </w:r>
      <w:r w:rsidR="00722087">
        <w:rPr>
          <w:rFonts w:ascii="Times New Roman" w:hAnsi="Times New Roman" w:cs="Times New Roman"/>
          <w:lang w:val="pl-PL"/>
        </w:rPr>
        <w:br/>
      </w:r>
      <w:r w:rsidR="00125297" w:rsidRPr="00B45853">
        <w:rPr>
          <w:rFonts w:ascii="Times New Roman" w:hAnsi="Times New Roman" w:cs="Times New Roman"/>
          <w:lang w:val="pl-PL"/>
        </w:rPr>
        <w:t>i publikowanych przez strony trzecie była zagrożona</w:t>
      </w:r>
      <w:r w:rsidR="000A6545" w:rsidRPr="00B45853">
        <w:rPr>
          <w:rFonts w:ascii="Times New Roman" w:hAnsi="Times New Roman" w:cs="Times New Roman"/>
          <w:lang w:val="pl-PL"/>
        </w:rPr>
        <w:t xml:space="preserve"> i że skarżąca spółka sama </w:t>
      </w:r>
      <w:r w:rsidR="00125297" w:rsidRPr="00B45853">
        <w:rPr>
          <w:rFonts w:ascii="Times New Roman" w:hAnsi="Times New Roman" w:cs="Times New Roman"/>
          <w:lang w:val="pl-PL"/>
        </w:rPr>
        <w:t xml:space="preserve">nie </w:t>
      </w:r>
      <w:r w:rsidR="000A6545" w:rsidRPr="00B45853">
        <w:rPr>
          <w:rFonts w:ascii="Times New Roman" w:hAnsi="Times New Roman" w:cs="Times New Roman"/>
          <w:lang w:val="pl-PL"/>
        </w:rPr>
        <w:t xml:space="preserve">była </w:t>
      </w:r>
      <w:r w:rsidR="00125297" w:rsidRPr="00B45853">
        <w:rPr>
          <w:rFonts w:ascii="Times New Roman" w:hAnsi="Times New Roman" w:cs="Times New Roman"/>
          <w:lang w:val="pl-PL"/>
        </w:rPr>
        <w:t>wydawcą</w:t>
      </w:r>
      <w:r w:rsidR="000A6545" w:rsidRPr="00B45853">
        <w:rPr>
          <w:rFonts w:ascii="Times New Roman" w:hAnsi="Times New Roman" w:cs="Times New Roman"/>
          <w:lang w:val="pl-PL"/>
        </w:rPr>
        <w:t xml:space="preserve"> uwag os</w:t>
      </w:r>
      <w:r w:rsidR="00125297" w:rsidRPr="00B45853">
        <w:rPr>
          <w:rFonts w:ascii="Times New Roman" w:hAnsi="Times New Roman" w:cs="Times New Roman"/>
          <w:lang w:val="pl-PL"/>
        </w:rPr>
        <w:t>ób trzecich. Izba nie przystąpiła</w:t>
      </w:r>
      <w:r w:rsidR="000A6545" w:rsidRPr="00B45853">
        <w:rPr>
          <w:rFonts w:ascii="Times New Roman" w:hAnsi="Times New Roman" w:cs="Times New Roman"/>
          <w:lang w:val="pl-PL"/>
        </w:rPr>
        <w:t xml:space="preserve"> do określenia dokładne</w:t>
      </w:r>
      <w:r w:rsidR="00125297" w:rsidRPr="00B45853">
        <w:rPr>
          <w:rFonts w:ascii="Times New Roman" w:hAnsi="Times New Roman" w:cs="Times New Roman"/>
          <w:lang w:val="pl-PL"/>
        </w:rPr>
        <w:t>j roli</w:t>
      </w:r>
      <w:r w:rsidR="000A6545" w:rsidRPr="00B45853">
        <w:rPr>
          <w:rFonts w:ascii="Times New Roman" w:hAnsi="Times New Roman" w:cs="Times New Roman"/>
          <w:lang w:val="pl-PL"/>
        </w:rPr>
        <w:t xml:space="preserve"> </w:t>
      </w:r>
      <w:r w:rsidR="00125297" w:rsidRPr="00B45853">
        <w:rPr>
          <w:rFonts w:ascii="Times New Roman" w:hAnsi="Times New Roman" w:cs="Times New Roman"/>
          <w:lang w:val="pl-PL"/>
        </w:rPr>
        <w:t>przypisanej</w:t>
      </w:r>
      <w:r w:rsidR="000A6545" w:rsidRPr="00B45853">
        <w:rPr>
          <w:rFonts w:ascii="Times New Roman" w:hAnsi="Times New Roman" w:cs="Times New Roman"/>
          <w:lang w:val="pl-PL"/>
        </w:rPr>
        <w:t xml:space="preserve"> do działalności skarżącej spółki </w:t>
      </w:r>
      <w:r w:rsidR="00722087">
        <w:rPr>
          <w:rFonts w:ascii="Times New Roman" w:hAnsi="Times New Roman" w:cs="Times New Roman"/>
          <w:lang w:val="pl-PL"/>
        </w:rPr>
        <w:br/>
      </w:r>
      <w:r w:rsidR="000A6545" w:rsidRPr="00B45853">
        <w:rPr>
          <w:rFonts w:ascii="Times New Roman" w:hAnsi="Times New Roman" w:cs="Times New Roman"/>
          <w:lang w:val="pl-PL"/>
        </w:rPr>
        <w:t>i stwierdził</w:t>
      </w:r>
      <w:r w:rsidR="00125297" w:rsidRPr="00B45853">
        <w:rPr>
          <w:rFonts w:ascii="Times New Roman" w:hAnsi="Times New Roman" w:cs="Times New Roman"/>
          <w:lang w:val="pl-PL"/>
        </w:rPr>
        <w:t>a, że nie było w istocie sporu</w:t>
      </w:r>
      <w:r w:rsidR="000A6545" w:rsidRPr="00B45853">
        <w:rPr>
          <w:rFonts w:ascii="Times New Roman" w:hAnsi="Times New Roman" w:cs="Times New Roman"/>
          <w:lang w:val="pl-PL"/>
        </w:rPr>
        <w:t xml:space="preserve"> między stronami, że decyzje sądów krajowych w odniesien</w:t>
      </w:r>
      <w:r w:rsidR="00125297" w:rsidRPr="00B45853">
        <w:rPr>
          <w:rFonts w:ascii="Times New Roman" w:hAnsi="Times New Roman" w:cs="Times New Roman"/>
          <w:lang w:val="pl-PL"/>
        </w:rPr>
        <w:t>iu do skarżącej spółki stanowiły</w:t>
      </w:r>
      <w:r w:rsidR="000A6545" w:rsidRPr="00B45853">
        <w:rPr>
          <w:rFonts w:ascii="Times New Roman" w:hAnsi="Times New Roman" w:cs="Times New Roman"/>
          <w:lang w:val="pl-PL"/>
        </w:rPr>
        <w:t xml:space="preserve"> ingerencję w je</w:t>
      </w:r>
      <w:r w:rsidR="00125297" w:rsidRPr="00B45853">
        <w:rPr>
          <w:rFonts w:ascii="Times New Roman" w:hAnsi="Times New Roman" w:cs="Times New Roman"/>
          <w:lang w:val="pl-PL"/>
        </w:rPr>
        <w:t>j</w:t>
      </w:r>
      <w:r w:rsidR="000A6545" w:rsidRPr="00B45853">
        <w:rPr>
          <w:rFonts w:ascii="Times New Roman" w:hAnsi="Times New Roman" w:cs="Times New Roman"/>
          <w:lang w:val="pl-PL"/>
        </w:rPr>
        <w:t xml:space="preserve"> swobod</w:t>
      </w:r>
      <w:r w:rsidR="00125297" w:rsidRPr="00B45853">
        <w:rPr>
          <w:rFonts w:ascii="Times New Roman" w:hAnsi="Times New Roman" w:cs="Times New Roman"/>
          <w:lang w:val="pl-PL"/>
        </w:rPr>
        <w:t>ę</w:t>
      </w:r>
      <w:r w:rsidR="000A6545" w:rsidRPr="00B45853">
        <w:rPr>
          <w:rFonts w:ascii="Times New Roman" w:hAnsi="Times New Roman" w:cs="Times New Roman"/>
          <w:lang w:val="pl-PL"/>
        </w:rPr>
        <w:t xml:space="preserve"> wypowiedzi zagwarantowane</w:t>
      </w:r>
      <w:r w:rsidR="00125297" w:rsidRPr="00B45853">
        <w:rPr>
          <w:rFonts w:ascii="Times New Roman" w:hAnsi="Times New Roman" w:cs="Times New Roman"/>
          <w:lang w:val="pl-PL"/>
        </w:rPr>
        <w:t>j</w:t>
      </w:r>
      <w:r w:rsidR="000A6545" w:rsidRPr="00B45853">
        <w:rPr>
          <w:rFonts w:ascii="Times New Roman" w:hAnsi="Times New Roman" w:cs="Times New Roman"/>
          <w:lang w:val="pl-PL"/>
        </w:rPr>
        <w:t xml:space="preserve"> na mocy artykułu 10 Konwencji</w:t>
      </w:r>
      <w:r w:rsidR="00A220C6" w:rsidRPr="00B45853">
        <w:rPr>
          <w:rFonts w:ascii="Times New Roman" w:hAnsi="Times New Roman" w:cs="Times New Roman"/>
          <w:lang w:val="pl-PL"/>
        </w:rPr>
        <w:t>.</w:t>
      </w:r>
    </w:p>
    <w:p w:rsidR="00B413BF" w:rsidRPr="008E77E9"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125297" w:rsidRPr="00B45853">
        <w:rPr>
          <w:rFonts w:ascii="Times New Roman" w:hAnsi="Times New Roman" w:cs="Times New Roman"/>
          <w:lang w:val="pl-PL"/>
        </w:rPr>
        <w:t xml:space="preserve">Jeśli chodzi o legalność interwencji, Izba odrzuciła argument skarżącej spółki, że ingerencja w jej swobodę wypowiedzi nie była "przewidziana przez prawo". Izba zauważyła, że ​​sądy krajowe stwierdziły, że działalność skarżącej spółki nie jest objęta zakresem Dyrektywy </w:t>
      </w:r>
      <w:r w:rsidR="00BB15C8">
        <w:rPr>
          <w:rFonts w:ascii="Times New Roman" w:hAnsi="Times New Roman" w:cs="Times New Roman"/>
          <w:lang w:val="pl-PL"/>
        </w:rPr>
        <w:br/>
      </w:r>
      <w:r w:rsidR="00125297" w:rsidRPr="00B45853">
        <w:rPr>
          <w:rFonts w:ascii="Times New Roman" w:hAnsi="Times New Roman" w:cs="Times New Roman"/>
          <w:lang w:val="pl-PL"/>
        </w:rPr>
        <w:t>o Handlu Elektronicznym oraz Ustawy o Usługach Społecz</w:t>
      </w:r>
      <w:r w:rsidR="00C038A5">
        <w:rPr>
          <w:rFonts w:ascii="Times New Roman" w:hAnsi="Times New Roman" w:cs="Times New Roman"/>
          <w:lang w:val="pl-PL"/>
        </w:rPr>
        <w:t>eństwa Informacyjnego. Uważa, że to nie było</w:t>
      </w:r>
      <w:r w:rsidR="00125297" w:rsidRPr="00B45853">
        <w:rPr>
          <w:rFonts w:ascii="Times New Roman" w:hAnsi="Times New Roman" w:cs="Times New Roman"/>
          <w:lang w:val="pl-PL"/>
        </w:rPr>
        <w:t xml:space="preserve"> zadanie</w:t>
      </w:r>
      <w:r w:rsidR="00C038A5">
        <w:rPr>
          <w:rFonts w:ascii="Times New Roman" w:hAnsi="Times New Roman" w:cs="Times New Roman"/>
          <w:lang w:val="pl-PL"/>
        </w:rPr>
        <w:t>m Izby</w:t>
      </w:r>
      <w:r w:rsidR="00125297" w:rsidRPr="00B45853">
        <w:rPr>
          <w:rFonts w:ascii="Times New Roman" w:hAnsi="Times New Roman" w:cs="Times New Roman"/>
          <w:lang w:val="pl-PL"/>
        </w:rPr>
        <w:t>, aby zająć miejsce sądów kraj</w:t>
      </w:r>
      <w:r w:rsidR="00753B00">
        <w:rPr>
          <w:rFonts w:ascii="Times New Roman" w:hAnsi="Times New Roman" w:cs="Times New Roman"/>
          <w:lang w:val="pl-PL"/>
        </w:rPr>
        <w:t>owych i że to przede wszystkim należy do</w:t>
      </w:r>
      <w:r w:rsidR="00125297" w:rsidRPr="00B45853">
        <w:rPr>
          <w:rFonts w:ascii="Times New Roman" w:hAnsi="Times New Roman" w:cs="Times New Roman"/>
          <w:lang w:val="pl-PL"/>
        </w:rPr>
        <w:t xml:space="preserve"> władz krajowych, </w:t>
      </w:r>
      <w:r w:rsidR="00BB15C8">
        <w:rPr>
          <w:rFonts w:ascii="Times New Roman" w:hAnsi="Times New Roman" w:cs="Times New Roman"/>
          <w:lang w:val="pl-PL"/>
        </w:rPr>
        <w:br/>
      </w:r>
      <w:r w:rsidR="00125297" w:rsidRPr="00B45853">
        <w:rPr>
          <w:rFonts w:ascii="Times New Roman" w:hAnsi="Times New Roman" w:cs="Times New Roman"/>
          <w:lang w:val="pl-PL"/>
        </w:rPr>
        <w:t>w szczególności sądów, aby rozwiązać problemy związane z interpretacją prawa krajowego. Izba była ponadto przekonana, że odpowie</w:t>
      </w:r>
      <w:r w:rsidR="002034DF" w:rsidRPr="00B45853">
        <w:rPr>
          <w:rFonts w:ascii="Times New Roman" w:hAnsi="Times New Roman" w:cs="Times New Roman"/>
          <w:lang w:val="pl-PL"/>
        </w:rPr>
        <w:t>dnie przepisy prawa cywilnego</w:t>
      </w:r>
      <w:r w:rsidR="0086344D">
        <w:rPr>
          <w:rFonts w:ascii="Times New Roman" w:hAnsi="Times New Roman" w:cs="Times New Roman"/>
          <w:lang w:val="pl-PL"/>
        </w:rPr>
        <w:t xml:space="preserve"> </w:t>
      </w:r>
      <w:r w:rsidR="002034DF" w:rsidRPr="00B45853">
        <w:rPr>
          <w:rFonts w:ascii="Times New Roman" w:hAnsi="Times New Roman" w:cs="Times New Roman"/>
          <w:lang w:val="pl-PL"/>
        </w:rPr>
        <w:t>-</w:t>
      </w:r>
      <w:r w:rsidR="0086344D">
        <w:rPr>
          <w:rFonts w:ascii="Times New Roman" w:hAnsi="Times New Roman" w:cs="Times New Roman"/>
          <w:lang w:val="pl-PL"/>
        </w:rPr>
        <w:t xml:space="preserve"> </w:t>
      </w:r>
      <w:r w:rsidR="002034DF" w:rsidRPr="00B45853">
        <w:rPr>
          <w:rFonts w:ascii="Times New Roman" w:hAnsi="Times New Roman" w:cs="Times New Roman"/>
          <w:lang w:val="pl-PL"/>
        </w:rPr>
        <w:t>mimo</w:t>
      </w:r>
      <w:r w:rsidR="00125297" w:rsidRPr="00B45853">
        <w:rPr>
          <w:rFonts w:ascii="Times New Roman" w:hAnsi="Times New Roman" w:cs="Times New Roman"/>
          <w:lang w:val="pl-PL"/>
        </w:rPr>
        <w:t xml:space="preserve"> że były dość ogólne i pozba</w:t>
      </w:r>
      <w:r w:rsidR="002034DF" w:rsidRPr="00B45853">
        <w:rPr>
          <w:rFonts w:ascii="Times New Roman" w:hAnsi="Times New Roman" w:cs="Times New Roman"/>
          <w:lang w:val="pl-PL"/>
        </w:rPr>
        <w:t xml:space="preserve">wione szczegółów </w:t>
      </w:r>
      <w:r w:rsidR="0086344D">
        <w:rPr>
          <w:rFonts w:ascii="Times New Roman" w:hAnsi="Times New Roman" w:cs="Times New Roman"/>
          <w:lang w:val="pl-PL"/>
        </w:rPr>
        <w:br/>
      </w:r>
      <w:r w:rsidR="002034DF" w:rsidRPr="00B45853">
        <w:rPr>
          <w:rFonts w:ascii="Times New Roman" w:hAnsi="Times New Roman" w:cs="Times New Roman"/>
          <w:lang w:val="pl-PL"/>
        </w:rPr>
        <w:t xml:space="preserve">w porównaniu </w:t>
      </w:r>
      <w:r w:rsidR="0086344D">
        <w:rPr>
          <w:rFonts w:ascii="Times New Roman" w:hAnsi="Times New Roman" w:cs="Times New Roman"/>
          <w:lang w:val="pl-PL"/>
        </w:rPr>
        <w:t>przykładowo z</w:t>
      </w:r>
      <w:r w:rsidR="00125297" w:rsidRPr="00B45853">
        <w:rPr>
          <w:rFonts w:ascii="Times New Roman" w:hAnsi="Times New Roman" w:cs="Times New Roman"/>
          <w:lang w:val="pl-PL"/>
        </w:rPr>
        <w:t xml:space="preserve"> Ustawą o Usługach</w:t>
      </w:r>
      <w:r w:rsidR="002034DF" w:rsidRPr="00B45853">
        <w:rPr>
          <w:rFonts w:ascii="Times New Roman" w:hAnsi="Times New Roman" w:cs="Times New Roman"/>
          <w:lang w:val="pl-PL"/>
        </w:rPr>
        <w:t xml:space="preserve"> </w:t>
      </w:r>
      <w:r w:rsidR="002034DF" w:rsidRPr="008E77E9">
        <w:rPr>
          <w:rFonts w:ascii="Times New Roman" w:hAnsi="Times New Roman" w:cs="Times New Roman"/>
          <w:lang w:val="pl-PL"/>
        </w:rPr>
        <w:t>Społeczeństwa Informacyjnego</w:t>
      </w:r>
      <w:r w:rsidR="0086344D">
        <w:rPr>
          <w:rFonts w:ascii="Times New Roman" w:hAnsi="Times New Roman" w:cs="Times New Roman"/>
          <w:lang w:val="pl-PL"/>
        </w:rPr>
        <w:t xml:space="preserve"> </w:t>
      </w:r>
      <w:r w:rsidR="002034DF" w:rsidRPr="008E77E9">
        <w:rPr>
          <w:rFonts w:ascii="Times New Roman" w:hAnsi="Times New Roman" w:cs="Times New Roman"/>
          <w:lang w:val="pl-PL"/>
        </w:rPr>
        <w:t>-</w:t>
      </w:r>
      <w:r w:rsidR="0086344D">
        <w:rPr>
          <w:rFonts w:ascii="Times New Roman" w:hAnsi="Times New Roman" w:cs="Times New Roman"/>
          <w:lang w:val="pl-PL"/>
        </w:rPr>
        <w:t xml:space="preserve"> </w:t>
      </w:r>
      <w:r w:rsidR="00125297" w:rsidRPr="008E77E9">
        <w:rPr>
          <w:rFonts w:ascii="Times New Roman" w:hAnsi="Times New Roman" w:cs="Times New Roman"/>
          <w:lang w:val="pl-PL"/>
        </w:rPr>
        <w:t xml:space="preserve">wraz z odpowiednio </w:t>
      </w:r>
      <w:r w:rsidR="002D0197">
        <w:rPr>
          <w:rFonts w:ascii="Times New Roman" w:hAnsi="Times New Roman" w:cs="Times New Roman"/>
          <w:lang w:val="pl-PL"/>
        </w:rPr>
        <w:t>jednoznacznym</w:t>
      </w:r>
      <w:r w:rsidR="00125297" w:rsidRPr="008E77E9">
        <w:rPr>
          <w:rFonts w:ascii="Times New Roman" w:hAnsi="Times New Roman" w:cs="Times New Roman"/>
          <w:lang w:val="pl-PL"/>
        </w:rPr>
        <w:t xml:space="preserve"> orzecznictwem,</w:t>
      </w:r>
      <w:r w:rsidR="00D5551B" w:rsidRPr="008E77E9">
        <w:rPr>
          <w:rFonts w:ascii="Times New Roman" w:hAnsi="Times New Roman" w:cs="Times New Roman"/>
          <w:lang w:val="pl-PL"/>
        </w:rPr>
        <w:t xml:space="preserve"> wyraźnie stanowiły,</w:t>
      </w:r>
      <w:r w:rsidR="00125297" w:rsidRPr="008E77E9">
        <w:rPr>
          <w:rFonts w:ascii="Times New Roman" w:hAnsi="Times New Roman" w:cs="Times New Roman"/>
          <w:lang w:val="pl-PL"/>
        </w:rPr>
        <w:t xml:space="preserve"> że wydawcy mediów byli odpowiedzialni za jakiekolwiek oszczercze wypowiedzi w swojej publikac</w:t>
      </w:r>
      <w:r w:rsidR="00D5551B" w:rsidRPr="008E77E9">
        <w:rPr>
          <w:rFonts w:ascii="Times New Roman" w:hAnsi="Times New Roman" w:cs="Times New Roman"/>
          <w:lang w:val="pl-PL"/>
        </w:rPr>
        <w:t>ji. Izba wzięła pod uwagę fakt</w:t>
      </w:r>
      <w:r w:rsidR="00C038A5" w:rsidRPr="008E77E9">
        <w:rPr>
          <w:rFonts w:ascii="Times New Roman" w:hAnsi="Times New Roman" w:cs="Times New Roman"/>
          <w:lang w:val="pl-PL"/>
        </w:rPr>
        <w:t xml:space="preserve">, </w:t>
      </w:r>
      <w:r w:rsidR="00125297" w:rsidRPr="008E77E9">
        <w:rPr>
          <w:rFonts w:ascii="Times New Roman" w:hAnsi="Times New Roman" w:cs="Times New Roman"/>
          <w:lang w:val="pl-PL"/>
        </w:rPr>
        <w:t>że skarżąca spółka była profesjonalnym wydawcą</w:t>
      </w:r>
      <w:r w:rsidR="002034DF" w:rsidRPr="008E77E9">
        <w:rPr>
          <w:rFonts w:ascii="Times New Roman" w:hAnsi="Times New Roman" w:cs="Times New Roman"/>
          <w:lang w:val="pl-PL"/>
        </w:rPr>
        <w:t>,</w:t>
      </w:r>
      <w:r w:rsidR="00125297" w:rsidRPr="008E77E9">
        <w:rPr>
          <w:rFonts w:ascii="Times New Roman" w:hAnsi="Times New Roman" w:cs="Times New Roman"/>
          <w:lang w:val="pl-PL"/>
        </w:rPr>
        <w:t xml:space="preserve"> który funkcjonował jako jeden z największych portali informacyjnych w Estonii, a także, że pewien stopień rozgłosu był przypisany do komentarzy zamieszczonych </w:t>
      </w:r>
      <w:r w:rsidR="002D0197">
        <w:rPr>
          <w:rFonts w:ascii="Times New Roman" w:hAnsi="Times New Roman" w:cs="Times New Roman"/>
          <w:lang w:val="pl-PL"/>
        </w:rPr>
        <w:t>na portalu spółki</w:t>
      </w:r>
      <w:r w:rsidR="00125297" w:rsidRPr="008E77E9">
        <w:rPr>
          <w:rFonts w:ascii="Times New Roman" w:hAnsi="Times New Roman" w:cs="Times New Roman"/>
          <w:lang w:val="pl-PL"/>
        </w:rPr>
        <w:t>. Na tym tle, Izba uznała, że ​​skarżąca spółka była w stanie ocenić ryzyko związane ze swoją działalnością</w:t>
      </w:r>
      <w:r w:rsidR="00C038A5" w:rsidRPr="008E77E9">
        <w:rPr>
          <w:rFonts w:ascii="Times New Roman" w:hAnsi="Times New Roman" w:cs="Times New Roman"/>
          <w:lang w:val="pl-PL"/>
        </w:rPr>
        <w:t>,</w:t>
      </w:r>
      <w:r w:rsidR="00125297" w:rsidRPr="008E77E9">
        <w:rPr>
          <w:rFonts w:ascii="Times New Roman" w:hAnsi="Times New Roman" w:cs="Times New Roman"/>
          <w:lang w:val="pl-PL"/>
        </w:rPr>
        <w:t xml:space="preserve"> i że </w:t>
      </w:r>
      <w:r w:rsidR="00125297" w:rsidRPr="008E77E9">
        <w:rPr>
          <w:rFonts w:ascii="Times New Roman" w:hAnsi="Times New Roman" w:cs="Times New Roman"/>
          <w:lang w:val="pl-PL"/>
        </w:rPr>
        <w:lastRenderedPageBreak/>
        <w:t>musi</w:t>
      </w:r>
      <w:r w:rsidR="00CB7E83" w:rsidRPr="008E77E9">
        <w:rPr>
          <w:rFonts w:ascii="Times New Roman" w:hAnsi="Times New Roman" w:cs="Times New Roman"/>
          <w:lang w:val="pl-PL"/>
        </w:rPr>
        <w:t>ała</w:t>
      </w:r>
      <w:r w:rsidR="00125297" w:rsidRPr="008E77E9">
        <w:rPr>
          <w:rFonts w:ascii="Times New Roman" w:hAnsi="Times New Roman" w:cs="Times New Roman"/>
          <w:lang w:val="pl-PL"/>
        </w:rPr>
        <w:t xml:space="preserve"> być w stanie przewidzieć, do pewnego st</w:t>
      </w:r>
      <w:r w:rsidR="00CB7E83" w:rsidRPr="008E77E9">
        <w:rPr>
          <w:rFonts w:ascii="Times New Roman" w:hAnsi="Times New Roman" w:cs="Times New Roman"/>
          <w:lang w:val="pl-PL"/>
        </w:rPr>
        <w:t>opnia,</w:t>
      </w:r>
      <w:r w:rsidR="00C038A5" w:rsidRPr="008E77E9">
        <w:rPr>
          <w:rFonts w:ascii="Times New Roman" w:hAnsi="Times New Roman" w:cs="Times New Roman"/>
          <w:lang w:val="pl-PL"/>
        </w:rPr>
        <w:t xml:space="preserve"> konsekwencje, które mogłaby </w:t>
      </w:r>
      <w:r w:rsidR="00CB7E83" w:rsidRPr="008E77E9">
        <w:rPr>
          <w:rFonts w:ascii="Times New Roman" w:hAnsi="Times New Roman" w:cs="Times New Roman"/>
          <w:lang w:val="pl-PL"/>
        </w:rPr>
        <w:t>ponieść</w:t>
      </w:r>
      <w:r w:rsidR="00A220C6" w:rsidRPr="008E77E9">
        <w:rPr>
          <w:rFonts w:ascii="Times New Roman" w:hAnsi="Times New Roman" w:cs="Times New Roman"/>
          <w:lang w:val="pl-PL"/>
        </w:rPr>
        <w:t>.</w:t>
      </w:r>
    </w:p>
    <w:p w:rsidR="00B413BF" w:rsidRPr="008E77E9" w:rsidRDefault="00DD67A4" w:rsidP="00171A6F">
      <w:pPr>
        <w:pStyle w:val="ECHRPara"/>
        <w:rPr>
          <w:rFonts w:ascii="Times New Roman" w:hAnsi="Times New Roman" w:cs="Times New Roman"/>
          <w:lang w:val="pl-PL"/>
        </w:rPr>
      </w:pPr>
      <w:r w:rsidRPr="008E77E9">
        <w:rPr>
          <w:rFonts w:ascii="Times New Roman" w:hAnsi="Times New Roman" w:cs="Times New Roman"/>
          <w:lang w:val="en-GB"/>
        </w:rPr>
        <w:fldChar w:fldCharType="begin"/>
      </w:r>
      <w:r w:rsidR="00A220C6" w:rsidRPr="008E77E9">
        <w:rPr>
          <w:rFonts w:ascii="Times New Roman" w:hAnsi="Times New Roman" w:cs="Times New Roman"/>
          <w:lang w:val="pl-PL"/>
        </w:rPr>
        <w:instrText xml:space="preserve"> SEQ level0 \*arabic </w:instrText>
      </w:r>
      <w:r w:rsidRPr="008E77E9">
        <w:rPr>
          <w:rFonts w:ascii="Times New Roman" w:hAnsi="Times New Roman" w:cs="Times New Roman"/>
          <w:lang w:val="en-GB"/>
        </w:rPr>
        <w:fldChar w:fldCharType="separate"/>
      </w:r>
      <w:r w:rsidR="002F0EE0" w:rsidRPr="008E77E9">
        <w:rPr>
          <w:rFonts w:ascii="Times New Roman" w:hAnsi="Times New Roman" w:cs="Times New Roman"/>
          <w:noProof/>
          <w:lang w:val="pl-PL"/>
        </w:rPr>
        <w:t>63</w:t>
      </w:r>
      <w:r w:rsidRPr="008E77E9">
        <w:rPr>
          <w:rFonts w:ascii="Times New Roman" w:hAnsi="Times New Roman" w:cs="Times New Roman"/>
          <w:lang w:val="en-GB"/>
        </w:rPr>
        <w:fldChar w:fldCharType="end"/>
      </w:r>
      <w:r w:rsidR="00A220C6" w:rsidRPr="008E77E9">
        <w:rPr>
          <w:rFonts w:ascii="Times New Roman" w:hAnsi="Times New Roman" w:cs="Times New Roman"/>
          <w:lang w:val="pl-PL"/>
        </w:rPr>
        <w:t>.  </w:t>
      </w:r>
      <w:r w:rsidR="00CB7E83" w:rsidRPr="008E77E9">
        <w:rPr>
          <w:rFonts w:ascii="Times New Roman" w:hAnsi="Times New Roman" w:cs="Times New Roman"/>
          <w:lang w:val="pl-PL"/>
        </w:rPr>
        <w:t xml:space="preserve">Izba ponadto </w:t>
      </w:r>
      <w:r w:rsidR="0012398C" w:rsidRPr="008E77E9">
        <w:rPr>
          <w:rFonts w:ascii="Times New Roman" w:hAnsi="Times New Roman" w:cs="Times New Roman"/>
          <w:lang w:val="pl-PL"/>
        </w:rPr>
        <w:t>uznała</w:t>
      </w:r>
      <w:r w:rsidR="00CB7E83" w:rsidRPr="008E77E9">
        <w:rPr>
          <w:rFonts w:ascii="Times New Roman" w:hAnsi="Times New Roman" w:cs="Times New Roman"/>
          <w:lang w:val="pl-PL"/>
        </w:rPr>
        <w:t xml:space="preserve">, że ograniczenie wolności wypowiedzi skarżącej spółki było realizowane z uzasadnionym celem, jakim była ochrona dobrego imienia i praw innych osób. Zdaniem Izby, fakt, że </w:t>
      </w:r>
      <w:r w:rsidR="0012398C" w:rsidRPr="008E77E9">
        <w:rPr>
          <w:rFonts w:ascii="Times New Roman" w:hAnsi="Times New Roman" w:cs="Times New Roman"/>
          <w:lang w:val="pl-PL"/>
        </w:rPr>
        <w:t>faktyczni</w:t>
      </w:r>
      <w:r w:rsidR="00CB7E83" w:rsidRPr="008E77E9">
        <w:rPr>
          <w:rFonts w:ascii="Times New Roman" w:hAnsi="Times New Roman" w:cs="Times New Roman"/>
          <w:lang w:val="pl-PL"/>
        </w:rPr>
        <w:t xml:space="preserve"> autorzy komentarzy byli również z zasady odpowiedzialni</w:t>
      </w:r>
      <w:r w:rsidR="0012398C" w:rsidRPr="008E77E9">
        <w:rPr>
          <w:rFonts w:ascii="Times New Roman" w:hAnsi="Times New Roman" w:cs="Times New Roman"/>
          <w:lang w:val="pl-PL"/>
        </w:rPr>
        <w:t>, to nie usunęło to</w:t>
      </w:r>
      <w:r w:rsidR="00CB7E83" w:rsidRPr="008E77E9">
        <w:rPr>
          <w:rFonts w:ascii="Times New Roman" w:hAnsi="Times New Roman" w:cs="Times New Roman"/>
          <w:lang w:val="pl-PL"/>
        </w:rPr>
        <w:t xml:space="preserve"> uzasadnionego celu poniesienia odpowiedzialności skarżącej spółki za wszelkie szkody na reputacji i praw innych osób</w:t>
      </w:r>
      <w:r w:rsidR="00A220C6" w:rsidRPr="008E77E9">
        <w:rPr>
          <w:rFonts w:ascii="Times New Roman" w:hAnsi="Times New Roman" w:cs="Times New Roman"/>
          <w:lang w:val="pl-PL"/>
        </w:rPr>
        <w:t>.</w:t>
      </w:r>
    </w:p>
    <w:p w:rsidR="00B413BF" w:rsidRPr="008E77E9"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64</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CB7E83" w:rsidRPr="00B45853">
        <w:rPr>
          <w:rFonts w:ascii="Times New Roman" w:hAnsi="Times New Roman" w:cs="Times New Roman"/>
          <w:lang w:val="pl-PL"/>
        </w:rPr>
        <w:t>W odniesieniu do proporcjona</w:t>
      </w:r>
      <w:r w:rsidR="002034DF" w:rsidRPr="00B45853">
        <w:rPr>
          <w:rFonts w:ascii="Times New Roman" w:hAnsi="Times New Roman" w:cs="Times New Roman"/>
          <w:lang w:val="pl-PL"/>
        </w:rPr>
        <w:t>lności ingerencji</w:t>
      </w:r>
      <w:r w:rsidR="00CB7E83" w:rsidRPr="00B45853">
        <w:rPr>
          <w:rFonts w:ascii="Times New Roman" w:hAnsi="Times New Roman" w:cs="Times New Roman"/>
          <w:lang w:val="pl-PL"/>
        </w:rPr>
        <w:t xml:space="preserve"> Izba zauważyła, że nie ma sporu, że </w:t>
      </w:r>
      <w:r w:rsidR="0042287D">
        <w:rPr>
          <w:rFonts w:ascii="Times New Roman" w:hAnsi="Times New Roman" w:cs="Times New Roman"/>
          <w:lang w:val="pl-PL"/>
        </w:rPr>
        <w:t>przedmiotowe komentarze</w:t>
      </w:r>
      <w:r w:rsidR="00CB7E83" w:rsidRPr="00B45853">
        <w:rPr>
          <w:rFonts w:ascii="Times New Roman" w:hAnsi="Times New Roman" w:cs="Times New Roman"/>
          <w:lang w:val="pl-PL"/>
        </w:rPr>
        <w:t xml:space="preserve"> miały charakter oszczerczy. </w:t>
      </w:r>
      <w:r w:rsidR="0022762C">
        <w:rPr>
          <w:rFonts w:ascii="Times New Roman" w:hAnsi="Times New Roman" w:cs="Times New Roman"/>
          <w:lang w:val="pl-PL"/>
        </w:rPr>
        <w:br/>
      </w:r>
      <w:r w:rsidR="00CB7E83" w:rsidRPr="00B45853">
        <w:rPr>
          <w:rFonts w:ascii="Times New Roman" w:hAnsi="Times New Roman" w:cs="Times New Roman"/>
          <w:lang w:val="pl-PL"/>
        </w:rPr>
        <w:t xml:space="preserve">W ocenie proporcjonalności ingerencji w wolność wypowiedzi skarżącej spółki, Izba </w:t>
      </w:r>
      <w:r w:rsidR="00CB7E83" w:rsidRPr="008E77E9">
        <w:rPr>
          <w:rFonts w:ascii="Times New Roman" w:hAnsi="Times New Roman" w:cs="Times New Roman"/>
          <w:lang w:val="pl-PL"/>
        </w:rPr>
        <w:t>wzięła pod uwagę następujące elementy. Po pierwsze,</w:t>
      </w:r>
      <w:r w:rsidR="0012398C" w:rsidRPr="008E77E9">
        <w:rPr>
          <w:rFonts w:ascii="Times New Roman" w:hAnsi="Times New Roman" w:cs="Times New Roman"/>
          <w:lang w:val="pl-PL"/>
        </w:rPr>
        <w:t xml:space="preserve"> zbadanie kontekstu komentarzy, </w:t>
      </w:r>
      <w:r w:rsidR="00CB7E83" w:rsidRPr="008E77E9">
        <w:rPr>
          <w:rFonts w:ascii="Times New Roman" w:hAnsi="Times New Roman" w:cs="Times New Roman"/>
          <w:lang w:val="pl-PL"/>
        </w:rPr>
        <w:t xml:space="preserve">a po drugie, środki zastosowane przez skarżącą spółkę w celu zapobieżenia lub usunięcia oszczerczych komentarzy, po trzecie, odpowiedzialność rzeczywistych autorów uwag jako alternatywa dla odpowiedzialności skarżącej spółki, a </w:t>
      </w:r>
      <w:r w:rsidR="0012398C" w:rsidRPr="008E77E9">
        <w:rPr>
          <w:rFonts w:ascii="Times New Roman" w:hAnsi="Times New Roman" w:cs="Times New Roman"/>
          <w:lang w:val="pl-PL"/>
        </w:rPr>
        <w:t xml:space="preserve"> po </w:t>
      </w:r>
      <w:r w:rsidR="0022762C">
        <w:rPr>
          <w:rFonts w:ascii="Times New Roman" w:hAnsi="Times New Roman" w:cs="Times New Roman"/>
          <w:lang w:val="pl-PL"/>
        </w:rPr>
        <w:t xml:space="preserve">czwarte konsekwencje </w:t>
      </w:r>
      <w:r w:rsidR="00CB7E83" w:rsidRPr="008E77E9">
        <w:rPr>
          <w:rFonts w:ascii="Times New Roman" w:hAnsi="Times New Roman" w:cs="Times New Roman"/>
          <w:lang w:val="pl-PL"/>
        </w:rPr>
        <w:t>postępowania krajowego wobec</w:t>
      </w:r>
      <w:r w:rsidR="0012398C" w:rsidRPr="008E77E9">
        <w:rPr>
          <w:rFonts w:ascii="Times New Roman" w:hAnsi="Times New Roman" w:cs="Times New Roman"/>
          <w:lang w:val="pl-PL"/>
        </w:rPr>
        <w:t xml:space="preserve"> skarżącej spółki</w:t>
      </w:r>
      <w:r w:rsidR="00A220C6" w:rsidRPr="008E77E9">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8E77E9">
        <w:rPr>
          <w:rFonts w:ascii="Times New Roman" w:hAnsi="Times New Roman" w:cs="Times New Roman"/>
          <w:lang w:val="en-GB"/>
        </w:rPr>
        <w:fldChar w:fldCharType="begin"/>
      </w:r>
      <w:r w:rsidR="00A220C6" w:rsidRPr="008E77E9">
        <w:rPr>
          <w:rFonts w:ascii="Times New Roman" w:hAnsi="Times New Roman" w:cs="Times New Roman"/>
          <w:lang w:val="pl-PL"/>
        </w:rPr>
        <w:instrText xml:space="preserve"> SEQ level0 \*arabic </w:instrText>
      </w:r>
      <w:r w:rsidRPr="008E77E9">
        <w:rPr>
          <w:rFonts w:ascii="Times New Roman" w:hAnsi="Times New Roman" w:cs="Times New Roman"/>
          <w:lang w:val="en-GB"/>
        </w:rPr>
        <w:fldChar w:fldCharType="separate"/>
      </w:r>
      <w:r w:rsidR="002F0EE0" w:rsidRPr="008E77E9">
        <w:rPr>
          <w:rFonts w:ascii="Times New Roman" w:hAnsi="Times New Roman" w:cs="Times New Roman"/>
          <w:noProof/>
          <w:lang w:val="pl-PL"/>
        </w:rPr>
        <w:t>65</w:t>
      </w:r>
      <w:r w:rsidRPr="008E77E9">
        <w:rPr>
          <w:rFonts w:ascii="Times New Roman" w:hAnsi="Times New Roman" w:cs="Times New Roman"/>
          <w:lang w:val="en-GB"/>
        </w:rPr>
        <w:fldChar w:fldCharType="end"/>
      </w:r>
      <w:r w:rsidR="00A220C6" w:rsidRPr="008E77E9">
        <w:rPr>
          <w:rFonts w:ascii="Times New Roman" w:hAnsi="Times New Roman" w:cs="Times New Roman"/>
          <w:lang w:val="pl-PL"/>
        </w:rPr>
        <w:t>.  </w:t>
      </w:r>
      <w:r w:rsidR="002034DF" w:rsidRPr="008E77E9">
        <w:rPr>
          <w:rFonts w:ascii="Times New Roman" w:hAnsi="Times New Roman" w:cs="Times New Roman"/>
          <w:lang w:val="pl-PL"/>
        </w:rPr>
        <w:t>W szczególności</w:t>
      </w:r>
      <w:r w:rsidR="00CB7E83" w:rsidRPr="008E77E9">
        <w:rPr>
          <w:rFonts w:ascii="Times New Roman" w:hAnsi="Times New Roman" w:cs="Times New Roman"/>
          <w:lang w:val="pl-PL"/>
        </w:rPr>
        <w:t xml:space="preserve"> Izba uznała, że ​​artykuł informacyjny publikowany przez skarżącą spółkę, któ</w:t>
      </w:r>
      <w:r w:rsidR="0012398C" w:rsidRPr="008E77E9">
        <w:rPr>
          <w:rFonts w:ascii="Times New Roman" w:hAnsi="Times New Roman" w:cs="Times New Roman"/>
          <w:lang w:val="pl-PL"/>
        </w:rPr>
        <w:t>ry doprowadził</w:t>
      </w:r>
      <w:r w:rsidR="00CB7E83" w:rsidRPr="008E77E9">
        <w:rPr>
          <w:rFonts w:ascii="Times New Roman" w:hAnsi="Times New Roman" w:cs="Times New Roman"/>
          <w:lang w:val="pl-PL"/>
        </w:rPr>
        <w:t xml:space="preserve"> do oszczerczych komentarzy</w:t>
      </w:r>
      <w:r w:rsidR="002034DF" w:rsidRPr="008E77E9">
        <w:rPr>
          <w:rFonts w:ascii="Times New Roman" w:hAnsi="Times New Roman" w:cs="Times New Roman"/>
          <w:lang w:val="pl-PL"/>
        </w:rPr>
        <w:t>,</w:t>
      </w:r>
      <w:r w:rsidR="0012398C" w:rsidRPr="008E77E9">
        <w:rPr>
          <w:rFonts w:ascii="Times New Roman" w:hAnsi="Times New Roman" w:cs="Times New Roman"/>
          <w:lang w:val="pl-PL"/>
        </w:rPr>
        <w:t xml:space="preserve"> nie dotyczył</w:t>
      </w:r>
      <w:r w:rsidR="00CB7E83" w:rsidRPr="008E77E9">
        <w:rPr>
          <w:rFonts w:ascii="Times New Roman" w:hAnsi="Times New Roman" w:cs="Times New Roman"/>
          <w:lang w:val="pl-PL"/>
        </w:rPr>
        <w:t xml:space="preserve"> kwestii interesu publicznego i skarżąca spółka mogła przewidzie</w:t>
      </w:r>
      <w:r w:rsidR="0012398C" w:rsidRPr="008E77E9">
        <w:rPr>
          <w:rFonts w:ascii="Times New Roman" w:hAnsi="Times New Roman" w:cs="Times New Roman"/>
          <w:lang w:val="pl-PL"/>
        </w:rPr>
        <w:t>ć negatywne reakcje i zastosować</w:t>
      </w:r>
      <w:r w:rsidR="00CB7E83" w:rsidRPr="008E77E9">
        <w:rPr>
          <w:rFonts w:ascii="Times New Roman" w:hAnsi="Times New Roman" w:cs="Times New Roman"/>
          <w:lang w:val="pl-PL"/>
        </w:rPr>
        <w:t xml:space="preserve"> pewną ostrożność w celu uniknięcia bycia pociągniętym do odpowiedzialności za naruszenie reputacji innych. Jednak automatyczne filtrowanie </w:t>
      </w:r>
      <w:r w:rsidR="0022762C">
        <w:rPr>
          <w:rFonts w:ascii="Times New Roman" w:hAnsi="Times New Roman" w:cs="Times New Roman"/>
          <w:lang w:val="pl-PL"/>
        </w:rPr>
        <w:t>oraz</w:t>
      </w:r>
      <w:r w:rsidR="00CB7E83" w:rsidRPr="008E77E9">
        <w:rPr>
          <w:rFonts w:ascii="Times New Roman" w:hAnsi="Times New Roman" w:cs="Times New Roman"/>
          <w:lang w:val="pl-PL"/>
        </w:rPr>
        <w:t xml:space="preserve"> system powiadamiania i usuwania </w:t>
      </w:r>
      <w:r w:rsidR="0022762C">
        <w:rPr>
          <w:rFonts w:ascii="Times New Roman" w:hAnsi="Times New Roman" w:cs="Times New Roman"/>
          <w:lang w:val="pl-PL"/>
        </w:rPr>
        <w:t xml:space="preserve">komentarzy </w:t>
      </w:r>
      <w:r w:rsidR="00CB7E83" w:rsidRPr="008E77E9">
        <w:rPr>
          <w:rFonts w:ascii="Times New Roman" w:hAnsi="Times New Roman" w:cs="Times New Roman"/>
          <w:lang w:val="pl-PL"/>
        </w:rPr>
        <w:t xml:space="preserve">stosowany przez skarżącą spółkę nie zapewnił wystarczającej ochrony praw osób trzecich. Ponadto publikowanie artykułów informacyjnych i </w:t>
      </w:r>
      <w:r w:rsidR="005B359B" w:rsidRPr="008E77E9">
        <w:rPr>
          <w:rFonts w:ascii="Times New Roman" w:hAnsi="Times New Roman" w:cs="Times New Roman"/>
          <w:lang w:val="pl-PL"/>
        </w:rPr>
        <w:t>podawanie</w:t>
      </w:r>
      <w:r w:rsidR="00CB7E83" w:rsidRPr="008E77E9">
        <w:rPr>
          <w:rFonts w:ascii="Times New Roman" w:hAnsi="Times New Roman" w:cs="Times New Roman"/>
          <w:lang w:val="pl-PL"/>
        </w:rPr>
        <w:t xml:space="preserve"> komentarzy czytelników </w:t>
      </w:r>
      <w:r w:rsidR="005B359B" w:rsidRPr="008E77E9">
        <w:rPr>
          <w:rFonts w:ascii="Times New Roman" w:hAnsi="Times New Roman" w:cs="Times New Roman"/>
          <w:lang w:val="pl-PL"/>
        </w:rPr>
        <w:t>do wiadomości</w:t>
      </w:r>
      <w:r w:rsidR="00CB7E83" w:rsidRPr="008E77E9">
        <w:rPr>
          <w:rFonts w:ascii="Times New Roman" w:hAnsi="Times New Roman" w:cs="Times New Roman"/>
          <w:lang w:val="pl-PL"/>
        </w:rPr>
        <w:t xml:space="preserve"> publiczn</w:t>
      </w:r>
      <w:r w:rsidR="005B359B" w:rsidRPr="008E77E9">
        <w:rPr>
          <w:rFonts w:ascii="Times New Roman" w:hAnsi="Times New Roman" w:cs="Times New Roman"/>
          <w:lang w:val="pl-PL"/>
        </w:rPr>
        <w:t>ej było</w:t>
      </w:r>
      <w:r w:rsidR="00CB7E83" w:rsidRPr="008E77E9">
        <w:rPr>
          <w:rFonts w:ascii="Times New Roman" w:hAnsi="Times New Roman" w:cs="Times New Roman"/>
          <w:lang w:val="pl-PL"/>
        </w:rPr>
        <w:t xml:space="preserve"> częścią działalności zawodowej skarżącej spółki, a </w:t>
      </w:r>
      <w:r w:rsidR="005B359B" w:rsidRPr="008E77E9">
        <w:rPr>
          <w:rFonts w:ascii="Times New Roman" w:hAnsi="Times New Roman" w:cs="Times New Roman"/>
          <w:lang w:val="pl-PL"/>
        </w:rPr>
        <w:t>jej przychody reklamowe zależały</w:t>
      </w:r>
      <w:r w:rsidR="00CB7E83" w:rsidRPr="008E77E9">
        <w:rPr>
          <w:rFonts w:ascii="Times New Roman" w:hAnsi="Times New Roman" w:cs="Times New Roman"/>
          <w:lang w:val="pl-PL"/>
        </w:rPr>
        <w:t xml:space="preserve"> od liczby czytelników i komentarzy. Skarżąca spółka mogła wywie</w:t>
      </w:r>
      <w:r w:rsidR="005B359B" w:rsidRPr="008E77E9">
        <w:rPr>
          <w:rFonts w:ascii="Times New Roman" w:hAnsi="Times New Roman" w:cs="Times New Roman"/>
          <w:lang w:val="pl-PL"/>
        </w:rPr>
        <w:t>rać znaczny stopień kontroli na</w:t>
      </w:r>
      <w:r w:rsidR="00CB7E83" w:rsidRPr="008E77E9">
        <w:rPr>
          <w:rFonts w:ascii="Times New Roman" w:hAnsi="Times New Roman" w:cs="Times New Roman"/>
          <w:lang w:val="pl-PL"/>
        </w:rPr>
        <w:t xml:space="preserve"> komentarz</w:t>
      </w:r>
      <w:r w:rsidR="005B359B" w:rsidRPr="008E77E9">
        <w:rPr>
          <w:rFonts w:ascii="Times New Roman" w:hAnsi="Times New Roman" w:cs="Times New Roman"/>
          <w:lang w:val="pl-PL"/>
        </w:rPr>
        <w:t>e</w:t>
      </w:r>
      <w:r w:rsidR="00CB7E83" w:rsidRPr="008E77E9">
        <w:rPr>
          <w:rFonts w:ascii="Times New Roman" w:hAnsi="Times New Roman" w:cs="Times New Roman"/>
          <w:lang w:val="pl-PL"/>
        </w:rPr>
        <w:t xml:space="preserve"> czytelników i był</w:t>
      </w:r>
      <w:r w:rsidR="005B359B" w:rsidRPr="008E77E9">
        <w:rPr>
          <w:rFonts w:ascii="Times New Roman" w:hAnsi="Times New Roman" w:cs="Times New Roman"/>
          <w:lang w:val="pl-PL"/>
        </w:rPr>
        <w:t>a</w:t>
      </w:r>
      <w:r w:rsidR="00CB7E83" w:rsidRPr="008E77E9">
        <w:rPr>
          <w:rFonts w:ascii="Times New Roman" w:hAnsi="Times New Roman" w:cs="Times New Roman"/>
          <w:lang w:val="pl-PL"/>
        </w:rPr>
        <w:t xml:space="preserve"> w stanie przewidzieć, </w:t>
      </w:r>
      <w:r w:rsidR="005B359B" w:rsidRPr="008E77E9">
        <w:rPr>
          <w:rFonts w:ascii="Times New Roman" w:hAnsi="Times New Roman" w:cs="Times New Roman"/>
          <w:lang w:val="pl-PL"/>
        </w:rPr>
        <w:t>charakter</w:t>
      </w:r>
      <w:r w:rsidR="00CB7E83" w:rsidRPr="008E77E9">
        <w:rPr>
          <w:rFonts w:ascii="Times New Roman" w:hAnsi="Times New Roman" w:cs="Times New Roman"/>
          <w:lang w:val="pl-PL"/>
        </w:rPr>
        <w:t xml:space="preserve"> uwag</w:t>
      </w:r>
      <w:r w:rsidR="005B359B" w:rsidRPr="008E77E9">
        <w:rPr>
          <w:rFonts w:ascii="Times New Roman" w:hAnsi="Times New Roman" w:cs="Times New Roman"/>
          <w:lang w:val="pl-PL"/>
        </w:rPr>
        <w:t xml:space="preserve"> wobec danego</w:t>
      </w:r>
      <w:r w:rsidR="00CB7E83" w:rsidRPr="008E77E9">
        <w:rPr>
          <w:rFonts w:ascii="Times New Roman" w:hAnsi="Times New Roman" w:cs="Times New Roman"/>
          <w:lang w:val="pl-PL"/>
        </w:rPr>
        <w:t xml:space="preserve"> artykuł</w:t>
      </w:r>
      <w:r w:rsidR="005B359B" w:rsidRPr="008E77E9">
        <w:rPr>
          <w:rFonts w:ascii="Times New Roman" w:hAnsi="Times New Roman" w:cs="Times New Roman"/>
          <w:lang w:val="pl-PL"/>
        </w:rPr>
        <w:t>u</w:t>
      </w:r>
      <w:r w:rsidR="00CB7E83" w:rsidRPr="008E77E9">
        <w:rPr>
          <w:rFonts w:ascii="Times New Roman" w:hAnsi="Times New Roman" w:cs="Times New Roman"/>
          <w:lang w:val="pl-PL"/>
        </w:rPr>
        <w:t xml:space="preserve"> zobowiąz</w:t>
      </w:r>
      <w:r w:rsidR="005B359B" w:rsidRPr="008E77E9">
        <w:rPr>
          <w:rFonts w:ascii="Times New Roman" w:hAnsi="Times New Roman" w:cs="Times New Roman"/>
          <w:lang w:val="pl-PL"/>
        </w:rPr>
        <w:t>ujący do niezwłocznego podjęcia</w:t>
      </w:r>
      <w:r w:rsidR="00CB7E83" w:rsidRPr="008E77E9">
        <w:rPr>
          <w:rFonts w:ascii="Times New Roman" w:hAnsi="Times New Roman" w:cs="Times New Roman"/>
          <w:lang w:val="pl-PL"/>
        </w:rPr>
        <w:t xml:space="preserve"> środków technicznych </w:t>
      </w:r>
      <w:r w:rsidR="00D0457B">
        <w:rPr>
          <w:rFonts w:ascii="Times New Roman" w:hAnsi="Times New Roman" w:cs="Times New Roman"/>
          <w:lang w:val="pl-PL"/>
        </w:rPr>
        <w:br/>
      </w:r>
      <w:r w:rsidR="00CB7E83" w:rsidRPr="008E77E9">
        <w:rPr>
          <w:rFonts w:ascii="Times New Roman" w:hAnsi="Times New Roman" w:cs="Times New Roman"/>
          <w:lang w:val="pl-PL"/>
        </w:rPr>
        <w:t>i manualnych, aby zapobiec oszczerczy</w:t>
      </w:r>
      <w:r w:rsidR="005B359B" w:rsidRPr="008E77E9">
        <w:rPr>
          <w:rFonts w:ascii="Times New Roman" w:hAnsi="Times New Roman" w:cs="Times New Roman"/>
          <w:lang w:val="pl-PL"/>
        </w:rPr>
        <w:t>m oświadczeniom przed podaniem ich</w:t>
      </w:r>
      <w:r w:rsidR="00CB7E83" w:rsidRPr="008E77E9">
        <w:rPr>
          <w:rFonts w:ascii="Times New Roman" w:hAnsi="Times New Roman" w:cs="Times New Roman"/>
          <w:lang w:val="pl-PL"/>
        </w:rPr>
        <w:t xml:space="preserve"> do wiadomości p</w:t>
      </w:r>
      <w:r w:rsidR="00970BCA">
        <w:rPr>
          <w:rFonts w:ascii="Times New Roman" w:hAnsi="Times New Roman" w:cs="Times New Roman"/>
          <w:lang w:val="pl-PL"/>
        </w:rPr>
        <w:t>ublicznej. Ponadto, nie było rzeczywistej</w:t>
      </w:r>
      <w:r w:rsidR="005B359B" w:rsidRPr="008E77E9">
        <w:rPr>
          <w:rFonts w:ascii="Times New Roman" w:hAnsi="Times New Roman" w:cs="Times New Roman"/>
          <w:lang w:val="pl-PL"/>
        </w:rPr>
        <w:t xml:space="preserve"> możliwości</w:t>
      </w:r>
      <w:r w:rsidR="00CB7E83" w:rsidRPr="008E77E9">
        <w:rPr>
          <w:rFonts w:ascii="Times New Roman" w:hAnsi="Times New Roman" w:cs="Times New Roman"/>
          <w:lang w:val="pl-PL"/>
        </w:rPr>
        <w:t xml:space="preserve"> </w:t>
      </w:r>
      <w:r w:rsidR="00B91C3E" w:rsidRPr="008E77E9">
        <w:rPr>
          <w:rFonts w:ascii="Times New Roman" w:hAnsi="Times New Roman" w:cs="Times New Roman"/>
          <w:lang w:val="pl-PL"/>
        </w:rPr>
        <w:t xml:space="preserve">wytoczenia powództwa </w:t>
      </w:r>
      <w:r w:rsidR="00CB7E83" w:rsidRPr="008E77E9">
        <w:rPr>
          <w:rFonts w:ascii="Times New Roman" w:hAnsi="Times New Roman" w:cs="Times New Roman"/>
          <w:lang w:val="pl-PL"/>
        </w:rPr>
        <w:t>prze</w:t>
      </w:r>
      <w:r w:rsidR="005B359B" w:rsidRPr="008E77E9">
        <w:rPr>
          <w:rFonts w:ascii="Times New Roman" w:hAnsi="Times New Roman" w:cs="Times New Roman"/>
          <w:lang w:val="pl-PL"/>
        </w:rPr>
        <w:t>ciwko faktycznym autorom</w:t>
      </w:r>
      <w:r w:rsidR="00CB7E83" w:rsidRPr="008E77E9">
        <w:rPr>
          <w:rFonts w:ascii="Times New Roman" w:hAnsi="Times New Roman" w:cs="Times New Roman"/>
          <w:lang w:val="pl-PL"/>
        </w:rPr>
        <w:t xml:space="preserve"> komentarzy, ponieważ ich tożsamość nie </w:t>
      </w:r>
      <w:r w:rsidR="00B91C3E" w:rsidRPr="008E77E9">
        <w:rPr>
          <w:rFonts w:ascii="Times New Roman" w:hAnsi="Times New Roman" w:cs="Times New Roman"/>
          <w:lang w:val="pl-PL"/>
        </w:rPr>
        <w:t>mogła zostać ustalona w łatwy</w:t>
      </w:r>
      <w:r w:rsidR="00D5551B" w:rsidRPr="008E77E9">
        <w:rPr>
          <w:rFonts w:ascii="Times New Roman" w:hAnsi="Times New Roman" w:cs="Times New Roman"/>
          <w:lang w:val="pl-PL"/>
        </w:rPr>
        <w:t xml:space="preserve"> sposób</w:t>
      </w:r>
      <w:r w:rsidR="002034DF" w:rsidRPr="008E77E9">
        <w:rPr>
          <w:rFonts w:ascii="Times New Roman" w:hAnsi="Times New Roman" w:cs="Times New Roman"/>
          <w:lang w:val="pl-PL"/>
        </w:rPr>
        <w:t xml:space="preserve">. </w:t>
      </w:r>
      <w:r w:rsidR="00D0457B">
        <w:rPr>
          <w:rFonts w:ascii="Times New Roman" w:hAnsi="Times New Roman" w:cs="Times New Roman"/>
          <w:lang w:val="pl-PL"/>
        </w:rPr>
        <w:br/>
      </w:r>
      <w:r w:rsidR="002034DF" w:rsidRPr="008E77E9">
        <w:rPr>
          <w:rFonts w:ascii="Times New Roman" w:hAnsi="Times New Roman" w:cs="Times New Roman"/>
          <w:lang w:val="pl-PL"/>
        </w:rPr>
        <w:t>W każdym razie</w:t>
      </w:r>
      <w:r w:rsidR="00CB7E83" w:rsidRPr="008E77E9">
        <w:rPr>
          <w:rFonts w:ascii="Times New Roman" w:hAnsi="Times New Roman" w:cs="Times New Roman"/>
          <w:lang w:val="pl-PL"/>
        </w:rPr>
        <w:t xml:space="preserve"> Izba nie był</w:t>
      </w:r>
      <w:r w:rsidR="005B359B" w:rsidRPr="008E77E9">
        <w:rPr>
          <w:rFonts w:ascii="Times New Roman" w:hAnsi="Times New Roman" w:cs="Times New Roman"/>
          <w:lang w:val="pl-PL"/>
        </w:rPr>
        <w:t>a</w:t>
      </w:r>
      <w:r w:rsidR="002034DF" w:rsidRPr="008E77E9">
        <w:rPr>
          <w:rFonts w:ascii="Times New Roman" w:hAnsi="Times New Roman" w:cs="Times New Roman"/>
          <w:lang w:val="pl-PL"/>
        </w:rPr>
        <w:t xml:space="preserve"> przekonana</w:t>
      </w:r>
      <w:r w:rsidR="00CB7E83" w:rsidRPr="008E77E9">
        <w:rPr>
          <w:rFonts w:ascii="Times New Roman" w:hAnsi="Times New Roman" w:cs="Times New Roman"/>
          <w:lang w:val="pl-PL"/>
        </w:rPr>
        <w:t>, że środki pozwalające</w:t>
      </w:r>
      <w:r w:rsidR="005B359B" w:rsidRPr="008E77E9">
        <w:rPr>
          <w:rFonts w:ascii="Times New Roman" w:hAnsi="Times New Roman" w:cs="Times New Roman"/>
          <w:lang w:val="pl-PL"/>
        </w:rPr>
        <w:t>j stronie poszkodowanej na</w:t>
      </w:r>
      <w:r w:rsidR="00CB7E83" w:rsidRPr="008E77E9">
        <w:rPr>
          <w:rFonts w:ascii="Times New Roman" w:hAnsi="Times New Roman" w:cs="Times New Roman"/>
          <w:lang w:val="pl-PL"/>
        </w:rPr>
        <w:t xml:space="preserve"> </w:t>
      </w:r>
      <w:r w:rsidR="005B359B" w:rsidRPr="008E77E9">
        <w:rPr>
          <w:rFonts w:ascii="Times New Roman" w:hAnsi="Times New Roman" w:cs="Times New Roman"/>
          <w:lang w:val="pl-PL"/>
        </w:rPr>
        <w:t>wniesienie</w:t>
      </w:r>
      <w:r w:rsidR="00CB7E83" w:rsidRPr="008E77E9">
        <w:rPr>
          <w:rFonts w:ascii="Times New Roman" w:hAnsi="Times New Roman" w:cs="Times New Roman"/>
          <w:lang w:val="pl-PL"/>
        </w:rPr>
        <w:t xml:space="preserve"> roszczenia tylko wobec autorów oszczerczych komentarzy był</w:t>
      </w:r>
      <w:r w:rsidR="005B359B" w:rsidRPr="008E77E9">
        <w:rPr>
          <w:rFonts w:ascii="Times New Roman" w:hAnsi="Times New Roman" w:cs="Times New Roman"/>
          <w:lang w:val="pl-PL"/>
        </w:rPr>
        <w:t>y</w:t>
      </w:r>
      <w:r w:rsidR="00CB7E83" w:rsidRPr="008E77E9">
        <w:rPr>
          <w:rFonts w:ascii="Times New Roman" w:hAnsi="Times New Roman" w:cs="Times New Roman"/>
          <w:lang w:val="pl-PL"/>
        </w:rPr>
        <w:t>by gwarantowa</w:t>
      </w:r>
      <w:r w:rsidR="005B359B" w:rsidRPr="008E77E9">
        <w:rPr>
          <w:rFonts w:ascii="Times New Roman" w:hAnsi="Times New Roman" w:cs="Times New Roman"/>
          <w:lang w:val="pl-PL"/>
        </w:rPr>
        <w:t>ną skuteczną ochroną prawa</w:t>
      </w:r>
      <w:r w:rsidR="00CB7E83" w:rsidRPr="008E77E9">
        <w:rPr>
          <w:rFonts w:ascii="Times New Roman" w:hAnsi="Times New Roman" w:cs="Times New Roman"/>
          <w:lang w:val="pl-PL"/>
        </w:rPr>
        <w:t xml:space="preserve"> poszkodowanych do poszanowania ich życia p</w:t>
      </w:r>
      <w:r w:rsidR="005B359B" w:rsidRPr="008E77E9">
        <w:rPr>
          <w:rFonts w:ascii="Times New Roman" w:hAnsi="Times New Roman" w:cs="Times New Roman"/>
          <w:lang w:val="pl-PL"/>
        </w:rPr>
        <w:t>rywatnego. To był wybór skarżącej spółki</w:t>
      </w:r>
      <w:r w:rsidR="00CB7E83" w:rsidRPr="008E77E9">
        <w:rPr>
          <w:rFonts w:ascii="Times New Roman" w:hAnsi="Times New Roman" w:cs="Times New Roman"/>
          <w:lang w:val="pl-PL"/>
        </w:rPr>
        <w:t xml:space="preserve">, aby </w:t>
      </w:r>
      <w:r w:rsidR="005B359B" w:rsidRPr="008E77E9">
        <w:rPr>
          <w:rFonts w:ascii="Times New Roman" w:hAnsi="Times New Roman" w:cs="Times New Roman"/>
          <w:lang w:val="pl-PL"/>
        </w:rPr>
        <w:t>dopuścić komentarze</w:t>
      </w:r>
      <w:r w:rsidR="00CB7E83" w:rsidRPr="008E77E9">
        <w:rPr>
          <w:rFonts w:ascii="Times New Roman" w:hAnsi="Times New Roman" w:cs="Times New Roman"/>
          <w:lang w:val="pl-PL"/>
        </w:rPr>
        <w:t xml:space="preserve"> niezarejestrowanych użytkowników</w:t>
      </w:r>
      <w:r w:rsidR="00922F69" w:rsidRPr="008E77E9">
        <w:rPr>
          <w:rFonts w:ascii="Times New Roman" w:hAnsi="Times New Roman" w:cs="Times New Roman"/>
          <w:lang w:val="pl-PL"/>
        </w:rPr>
        <w:t>,</w:t>
      </w:r>
      <w:r w:rsidR="002034DF" w:rsidRPr="008E77E9">
        <w:rPr>
          <w:rFonts w:ascii="Times New Roman" w:hAnsi="Times New Roman" w:cs="Times New Roman"/>
          <w:lang w:val="pl-PL"/>
        </w:rPr>
        <w:t xml:space="preserve"> a przez </w:t>
      </w:r>
      <w:r w:rsidR="006F2188">
        <w:rPr>
          <w:rFonts w:ascii="Times New Roman" w:hAnsi="Times New Roman" w:cs="Times New Roman"/>
          <w:lang w:val="pl-PL"/>
        </w:rPr>
        <w:t>to należy uznać</w:t>
      </w:r>
      <w:r w:rsidR="002034DF" w:rsidRPr="008E77E9">
        <w:rPr>
          <w:rFonts w:ascii="Times New Roman" w:hAnsi="Times New Roman" w:cs="Times New Roman"/>
          <w:lang w:val="pl-PL"/>
        </w:rPr>
        <w:t>,</w:t>
      </w:r>
      <w:r w:rsidR="00B91C3E" w:rsidRPr="008E77E9">
        <w:rPr>
          <w:rFonts w:ascii="Times New Roman" w:hAnsi="Times New Roman" w:cs="Times New Roman"/>
          <w:lang w:val="pl-PL"/>
        </w:rPr>
        <w:t xml:space="preserve"> że ponosi</w:t>
      </w:r>
      <w:r w:rsidR="00CB7E83" w:rsidRPr="008E77E9">
        <w:rPr>
          <w:rFonts w:ascii="Times New Roman" w:hAnsi="Times New Roman" w:cs="Times New Roman"/>
          <w:lang w:val="pl-PL"/>
        </w:rPr>
        <w:t xml:space="preserve"> pewną odpowiedzialność za takie</w:t>
      </w:r>
      <w:r w:rsidR="00CB7E83" w:rsidRPr="00B45853">
        <w:rPr>
          <w:rFonts w:ascii="Times New Roman" w:hAnsi="Times New Roman" w:cs="Times New Roman"/>
          <w:lang w:val="pl-PL"/>
        </w:rPr>
        <w:t xml:space="preserve"> komentarze. </w:t>
      </w:r>
      <w:r w:rsidR="00922F69" w:rsidRPr="00B45853">
        <w:rPr>
          <w:rFonts w:ascii="Times New Roman" w:hAnsi="Times New Roman" w:cs="Times New Roman"/>
          <w:lang w:val="pl-PL"/>
        </w:rPr>
        <w:t>Wobec</w:t>
      </w:r>
      <w:r w:rsidR="00CB7E83" w:rsidRPr="00B45853">
        <w:rPr>
          <w:rFonts w:ascii="Times New Roman" w:hAnsi="Times New Roman" w:cs="Times New Roman"/>
          <w:lang w:val="pl-PL"/>
        </w:rPr>
        <w:t xml:space="preserve"> wszystkich powyższych powodów, a biorąc pod uwagę umiarkowaną wysokość odszkodowania skarżąca spółka</w:t>
      </w:r>
      <w:r w:rsidR="002034DF" w:rsidRPr="00B45853">
        <w:rPr>
          <w:rFonts w:ascii="Times New Roman" w:hAnsi="Times New Roman" w:cs="Times New Roman"/>
          <w:lang w:val="pl-PL"/>
        </w:rPr>
        <w:t>,</w:t>
      </w:r>
      <w:r w:rsidR="00CB7E83" w:rsidRPr="00B45853">
        <w:rPr>
          <w:rFonts w:ascii="Times New Roman" w:hAnsi="Times New Roman" w:cs="Times New Roman"/>
          <w:lang w:val="pl-PL"/>
        </w:rPr>
        <w:t xml:space="preserve"> </w:t>
      </w:r>
      <w:r w:rsidR="00922F69" w:rsidRPr="00B45853">
        <w:rPr>
          <w:rFonts w:ascii="Times New Roman" w:hAnsi="Times New Roman" w:cs="Times New Roman"/>
          <w:lang w:val="pl-PL"/>
        </w:rPr>
        <w:t>została wezwana do zapłaty, ograniczenie jej</w:t>
      </w:r>
      <w:r w:rsidR="00CB7E83" w:rsidRPr="00B45853">
        <w:rPr>
          <w:rFonts w:ascii="Times New Roman" w:hAnsi="Times New Roman" w:cs="Times New Roman"/>
          <w:lang w:val="pl-PL"/>
        </w:rPr>
        <w:t xml:space="preserve"> swobody wypowiedzi zostało uznane </w:t>
      </w:r>
      <w:r w:rsidR="00CB7E83" w:rsidRPr="00B45853">
        <w:rPr>
          <w:rFonts w:ascii="Times New Roman" w:hAnsi="Times New Roman" w:cs="Times New Roman"/>
          <w:lang w:val="pl-PL"/>
        </w:rPr>
        <w:lastRenderedPageBreak/>
        <w:t xml:space="preserve">za uzasadnione i proporcjonalne. </w:t>
      </w:r>
      <w:r w:rsidR="00922F69" w:rsidRPr="00B45853">
        <w:rPr>
          <w:rFonts w:ascii="Times New Roman" w:hAnsi="Times New Roman" w:cs="Times New Roman"/>
          <w:lang w:val="pl-PL"/>
        </w:rPr>
        <w:t>W związku z t</w:t>
      </w:r>
      <w:r w:rsidR="002034DF" w:rsidRPr="00B45853">
        <w:rPr>
          <w:rFonts w:ascii="Times New Roman" w:hAnsi="Times New Roman" w:cs="Times New Roman"/>
          <w:lang w:val="pl-PL"/>
        </w:rPr>
        <w:t>ym</w:t>
      </w:r>
      <w:r w:rsidR="00922F69" w:rsidRPr="00B45853">
        <w:rPr>
          <w:rFonts w:ascii="Times New Roman" w:hAnsi="Times New Roman" w:cs="Times New Roman"/>
          <w:lang w:val="pl-PL"/>
        </w:rPr>
        <w:t xml:space="preserve"> nie doszło do naruszenia A</w:t>
      </w:r>
      <w:r w:rsidR="00CB7E83" w:rsidRPr="00B45853">
        <w:rPr>
          <w:rFonts w:ascii="Times New Roman" w:hAnsi="Times New Roman" w:cs="Times New Roman"/>
          <w:lang w:val="pl-PL"/>
        </w:rPr>
        <w:t>rtykułu 10 Konwencji</w:t>
      </w:r>
      <w:r w:rsidR="00A220C6" w:rsidRPr="00B45853">
        <w:rPr>
          <w:rFonts w:ascii="Times New Roman" w:hAnsi="Times New Roman" w:cs="Times New Roman"/>
          <w:lang w:val="pl-PL"/>
        </w:rPr>
        <w:t>.</w:t>
      </w:r>
    </w:p>
    <w:p w:rsidR="00A220C6" w:rsidRPr="00B45853" w:rsidRDefault="00A220C6" w:rsidP="00171A6F">
      <w:pPr>
        <w:pStyle w:val="ECHRHeading2"/>
        <w:rPr>
          <w:rFonts w:ascii="Times New Roman" w:hAnsi="Times New Roman" w:cs="Times New Roman"/>
          <w:lang w:val="pl-PL"/>
        </w:rPr>
      </w:pPr>
      <w:bookmarkStart w:id="18" w:name="_Toc420072870"/>
      <w:r w:rsidRPr="00B45853">
        <w:rPr>
          <w:rFonts w:ascii="Times New Roman" w:hAnsi="Times New Roman" w:cs="Times New Roman"/>
          <w:lang w:val="pl-PL"/>
        </w:rPr>
        <w:t>B.  </w:t>
      </w:r>
      <w:r w:rsidR="00922F69" w:rsidRPr="00B45853">
        <w:rPr>
          <w:rFonts w:ascii="Times New Roman" w:hAnsi="Times New Roman" w:cs="Times New Roman"/>
          <w:lang w:val="pl-PL"/>
        </w:rPr>
        <w:t>Stanowiska stron do Wielkiej Izby</w:t>
      </w:r>
      <w:bookmarkEnd w:id="18"/>
    </w:p>
    <w:p w:rsidR="00A220C6" w:rsidRPr="00B45853" w:rsidRDefault="00A220C6" w:rsidP="00922F69">
      <w:pPr>
        <w:pStyle w:val="ECHRHeading3"/>
        <w:tabs>
          <w:tab w:val="left" w:pos="4395"/>
        </w:tabs>
        <w:rPr>
          <w:rFonts w:ascii="Times New Roman" w:hAnsi="Times New Roman" w:cs="Times New Roman"/>
          <w:lang w:val="pl-PL"/>
        </w:rPr>
      </w:pPr>
      <w:bookmarkStart w:id="19" w:name="_Toc420072871"/>
      <w:r w:rsidRPr="00B45853">
        <w:rPr>
          <w:rFonts w:ascii="Times New Roman" w:hAnsi="Times New Roman" w:cs="Times New Roman"/>
          <w:lang w:val="pl-PL"/>
        </w:rPr>
        <w:t>1.  </w:t>
      </w:r>
      <w:bookmarkEnd w:id="19"/>
      <w:r w:rsidR="00922F69" w:rsidRPr="00B45853">
        <w:rPr>
          <w:rFonts w:ascii="Times New Roman" w:hAnsi="Times New Roman" w:cs="Times New Roman"/>
          <w:lang w:val="pl-PL"/>
        </w:rPr>
        <w:t>Skarżąca spółka</w:t>
      </w:r>
      <w:r w:rsidR="00922F69" w:rsidRPr="00B45853">
        <w:rPr>
          <w:rFonts w:ascii="Times New Roman" w:hAnsi="Times New Roman" w:cs="Times New Roman"/>
          <w:lang w:val="pl-PL"/>
        </w:rPr>
        <w:tab/>
      </w:r>
    </w:p>
    <w:p w:rsidR="00A220C6" w:rsidRPr="00B45853" w:rsidRDefault="002034DF" w:rsidP="00171A6F">
      <w:pPr>
        <w:pStyle w:val="ECHRHeading4"/>
        <w:rPr>
          <w:rFonts w:ascii="Times New Roman" w:hAnsi="Times New Roman" w:cs="Times New Roman"/>
          <w:lang w:val="pl-PL"/>
        </w:rPr>
      </w:pPr>
      <w:r w:rsidRPr="00B45853">
        <w:rPr>
          <w:rFonts w:ascii="Times New Roman" w:hAnsi="Times New Roman" w:cs="Times New Roman"/>
          <w:lang w:val="pl-PL"/>
        </w:rPr>
        <w:t>(a)</w:t>
      </w:r>
      <w:r w:rsidR="00A220C6" w:rsidRPr="00B45853">
        <w:rPr>
          <w:rFonts w:ascii="Times New Roman" w:hAnsi="Times New Roman" w:cs="Times New Roman"/>
          <w:lang w:val="pl-PL"/>
        </w:rPr>
        <w:t> </w:t>
      </w:r>
      <w:r w:rsidR="00922F69" w:rsidRPr="00B45853">
        <w:rPr>
          <w:rFonts w:ascii="Times New Roman" w:hAnsi="Times New Roman" w:cs="Times New Roman"/>
          <w:lang w:val="pl-PL"/>
        </w:rPr>
        <w:t>Uwagi ogólne</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922F69" w:rsidRPr="00B45853">
        <w:rPr>
          <w:rFonts w:ascii="Times New Roman" w:hAnsi="Times New Roman" w:cs="Times New Roman"/>
          <w:lang w:val="pl-PL"/>
        </w:rPr>
        <w:t xml:space="preserve">Skarżąca spółka argumentowała, że w dzisiejszym świecie, zawartość mediów internetowych </w:t>
      </w:r>
      <w:r w:rsidR="00B91C3E">
        <w:rPr>
          <w:rFonts w:ascii="Times New Roman" w:hAnsi="Times New Roman" w:cs="Times New Roman"/>
          <w:lang w:val="pl-PL"/>
        </w:rPr>
        <w:t>jest</w:t>
      </w:r>
      <w:r w:rsidR="00922F69" w:rsidRPr="00B45853">
        <w:rPr>
          <w:rFonts w:ascii="Times New Roman" w:hAnsi="Times New Roman" w:cs="Times New Roman"/>
          <w:lang w:val="pl-PL"/>
        </w:rPr>
        <w:t xml:space="preserve"> coraz częściej tworzo</w:t>
      </w:r>
      <w:r w:rsidR="00B91C3E">
        <w:rPr>
          <w:rFonts w:ascii="Times New Roman" w:hAnsi="Times New Roman" w:cs="Times New Roman"/>
          <w:lang w:val="pl-PL"/>
        </w:rPr>
        <w:t>na</w:t>
      </w:r>
      <w:r w:rsidR="00922F69" w:rsidRPr="00B45853">
        <w:rPr>
          <w:rFonts w:ascii="Times New Roman" w:hAnsi="Times New Roman" w:cs="Times New Roman"/>
          <w:lang w:val="pl-PL"/>
        </w:rPr>
        <w:t xml:space="preserve"> przez samych użytkowników. Treści gen</w:t>
      </w:r>
      <w:r w:rsidR="00272F1C" w:rsidRPr="00B45853">
        <w:rPr>
          <w:rFonts w:ascii="Times New Roman" w:hAnsi="Times New Roman" w:cs="Times New Roman"/>
          <w:lang w:val="pl-PL"/>
        </w:rPr>
        <w:t>erowane przez użytkowników miały</w:t>
      </w:r>
      <w:r w:rsidR="00922F69" w:rsidRPr="00B45853">
        <w:rPr>
          <w:rFonts w:ascii="Times New Roman" w:hAnsi="Times New Roman" w:cs="Times New Roman"/>
          <w:lang w:val="pl-PL"/>
        </w:rPr>
        <w:t xml:space="preserve"> </w:t>
      </w:r>
      <w:r w:rsidR="002034DF" w:rsidRPr="00B45853">
        <w:rPr>
          <w:rFonts w:ascii="Times New Roman" w:hAnsi="Times New Roman" w:cs="Times New Roman"/>
          <w:lang w:val="pl-PL"/>
        </w:rPr>
        <w:t>ogromne znaczenie</w:t>
      </w:r>
      <w:r w:rsidR="005C69D1">
        <w:rPr>
          <w:rFonts w:ascii="Times New Roman" w:hAnsi="Times New Roman" w:cs="Times New Roman"/>
          <w:lang w:val="pl-PL"/>
        </w:rPr>
        <w:t xml:space="preserve"> </w:t>
      </w:r>
      <w:r w:rsidR="002034DF" w:rsidRPr="00B45853">
        <w:rPr>
          <w:rFonts w:ascii="Times New Roman" w:hAnsi="Times New Roman" w:cs="Times New Roman"/>
          <w:lang w:val="pl-PL"/>
        </w:rPr>
        <w:t>-</w:t>
      </w:r>
      <w:r w:rsidR="005C69D1">
        <w:rPr>
          <w:rFonts w:ascii="Times New Roman" w:hAnsi="Times New Roman" w:cs="Times New Roman"/>
          <w:lang w:val="pl-PL"/>
        </w:rPr>
        <w:t xml:space="preserve"> </w:t>
      </w:r>
      <w:r w:rsidR="00922F69" w:rsidRPr="00B45853">
        <w:rPr>
          <w:rFonts w:ascii="Times New Roman" w:hAnsi="Times New Roman" w:cs="Times New Roman"/>
          <w:lang w:val="pl-PL"/>
        </w:rPr>
        <w:t>komentowanie wiadomości i artykułów często wzbudza</w:t>
      </w:r>
      <w:r w:rsidR="00272F1C" w:rsidRPr="00B45853">
        <w:rPr>
          <w:rFonts w:ascii="Times New Roman" w:hAnsi="Times New Roman" w:cs="Times New Roman"/>
          <w:lang w:val="pl-PL"/>
        </w:rPr>
        <w:t>ło</w:t>
      </w:r>
      <w:r w:rsidR="00922F69" w:rsidRPr="00B45853">
        <w:rPr>
          <w:rFonts w:ascii="Times New Roman" w:hAnsi="Times New Roman" w:cs="Times New Roman"/>
          <w:lang w:val="pl-PL"/>
        </w:rPr>
        <w:t xml:space="preserve"> poważne debaty w społeczeństwie, a nawet inform</w:t>
      </w:r>
      <w:r w:rsidR="00272F1C" w:rsidRPr="00B45853">
        <w:rPr>
          <w:rFonts w:ascii="Times New Roman" w:hAnsi="Times New Roman" w:cs="Times New Roman"/>
          <w:lang w:val="pl-PL"/>
        </w:rPr>
        <w:t>owało</w:t>
      </w:r>
      <w:r w:rsidR="00922F69" w:rsidRPr="00B45853">
        <w:rPr>
          <w:rFonts w:ascii="Times New Roman" w:hAnsi="Times New Roman" w:cs="Times New Roman"/>
          <w:lang w:val="pl-PL"/>
        </w:rPr>
        <w:t xml:space="preserve"> dziennikarzy </w:t>
      </w:r>
      <w:r w:rsidR="005C69D1">
        <w:rPr>
          <w:rFonts w:ascii="Times New Roman" w:hAnsi="Times New Roman" w:cs="Times New Roman"/>
          <w:lang w:val="pl-PL"/>
        </w:rPr>
        <w:br/>
      </w:r>
      <w:r w:rsidR="00922F69" w:rsidRPr="00B45853">
        <w:rPr>
          <w:rFonts w:ascii="Times New Roman" w:hAnsi="Times New Roman" w:cs="Times New Roman"/>
          <w:lang w:val="pl-PL"/>
        </w:rPr>
        <w:t>o sprawach, które nie były powszechnie znane, przyczyniając się tym samym do wszczynania śledztw dziennikarskich. Szansa dla "wszystkich", do uczestniczenia w debacie publicznej wyprzedza demokrację i spełnia cele wolności słowa w najlepszy możliwy sposób. Było to wielkie wyzwanie w tym ustawieniu</w:t>
      </w:r>
      <w:r w:rsidR="002034DF" w:rsidRPr="00B45853">
        <w:rPr>
          <w:rFonts w:ascii="Times New Roman" w:hAnsi="Times New Roman" w:cs="Times New Roman"/>
          <w:lang w:val="pl-PL"/>
        </w:rPr>
        <w:t>,</w:t>
      </w:r>
      <w:r w:rsidR="00922F69" w:rsidRPr="00B45853">
        <w:rPr>
          <w:rFonts w:ascii="Times New Roman" w:hAnsi="Times New Roman" w:cs="Times New Roman"/>
          <w:lang w:val="pl-PL"/>
        </w:rPr>
        <w:t xml:space="preserve"> aby pociągnąć tych, którzy naruszyli prawa innych osób</w:t>
      </w:r>
      <w:r w:rsidR="00B91C3E">
        <w:rPr>
          <w:rFonts w:ascii="Times New Roman" w:hAnsi="Times New Roman" w:cs="Times New Roman"/>
          <w:lang w:val="pl-PL"/>
        </w:rPr>
        <w:t>,</w:t>
      </w:r>
      <w:r w:rsidR="00922F69" w:rsidRPr="00B45853">
        <w:rPr>
          <w:rFonts w:ascii="Times New Roman" w:hAnsi="Times New Roman" w:cs="Times New Roman"/>
          <w:lang w:val="pl-PL"/>
        </w:rPr>
        <w:t xml:space="preserve"> do odpowiedzialności</w:t>
      </w:r>
      <w:r w:rsidR="002034DF" w:rsidRPr="00B45853">
        <w:rPr>
          <w:rFonts w:ascii="Times New Roman" w:hAnsi="Times New Roman" w:cs="Times New Roman"/>
          <w:lang w:val="pl-PL"/>
        </w:rPr>
        <w:t>,</w:t>
      </w:r>
      <w:r w:rsidR="00922F69" w:rsidRPr="00B45853">
        <w:rPr>
          <w:rFonts w:ascii="Times New Roman" w:hAnsi="Times New Roman" w:cs="Times New Roman"/>
          <w:lang w:val="pl-PL"/>
        </w:rPr>
        <w:t xml:space="preserve"> jednocześnie unikając cenzury</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F0D12" w:rsidRPr="00B45853">
        <w:rPr>
          <w:rFonts w:ascii="Times New Roman" w:hAnsi="Times New Roman" w:cs="Times New Roman"/>
          <w:lang w:val="pl-PL"/>
        </w:rPr>
        <w:t>Jeśli chodzi o treści generowane przez użytkowników, skarżąca spółka była zdania, że je</w:t>
      </w:r>
      <w:r w:rsidR="00272F1C" w:rsidRPr="00B45853">
        <w:rPr>
          <w:rFonts w:ascii="Times New Roman" w:hAnsi="Times New Roman" w:cs="Times New Roman"/>
          <w:lang w:val="pl-PL"/>
        </w:rPr>
        <w:t>st wystarczającym</w:t>
      </w:r>
      <w:r w:rsidR="003F0D12" w:rsidRPr="00B45853">
        <w:rPr>
          <w:rFonts w:ascii="Times New Roman" w:hAnsi="Times New Roman" w:cs="Times New Roman"/>
          <w:lang w:val="pl-PL"/>
        </w:rPr>
        <w:t xml:space="preserve"> wobec hosta</w:t>
      </w:r>
      <w:r w:rsidR="002034DF" w:rsidRPr="00B45853">
        <w:rPr>
          <w:rFonts w:ascii="Times New Roman" w:hAnsi="Times New Roman" w:cs="Times New Roman"/>
          <w:lang w:val="pl-PL"/>
        </w:rPr>
        <w:t>,</w:t>
      </w:r>
      <w:r w:rsidR="003F0D12" w:rsidRPr="00B45853">
        <w:rPr>
          <w:rFonts w:ascii="Times New Roman" w:hAnsi="Times New Roman" w:cs="Times New Roman"/>
          <w:lang w:val="pl-PL"/>
        </w:rPr>
        <w:t xml:space="preserve"> aby szybko usuwa</w:t>
      </w:r>
      <w:r w:rsidR="005C69D1">
        <w:rPr>
          <w:rFonts w:ascii="Times New Roman" w:hAnsi="Times New Roman" w:cs="Times New Roman"/>
          <w:lang w:val="pl-PL"/>
        </w:rPr>
        <w:t>ł</w:t>
      </w:r>
      <w:r w:rsidR="003F0D12" w:rsidRPr="00B45853">
        <w:rPr>
          <w:rFonts w:ascii="Times New Roman" w:hAnsi="Times New Roman" w:cs="Times New Roman"/>
          <w:lang w:val="pl-PL"/>
        </w:rPr>
        <w:t xml:space="preserve"> treści osób trzecich,</w:t>
      </w:r>
      <w:r w:rsidR="00272F1C" w:rsidRPr="00B45853">
        <w:rPr>
          <w:rFonts w:ascii="Times New Roman" w:hAnsi="Times New Roman" w:cs="Times New Roman"/>
          <w:lang w:val="pl-PL"/>
        </w:rPr>
        <w:t xml:space="preserve"> gdy</w:t>
      </w:r>
      <w:r w:rsidR="003F0D12" w:rsidRPr="00B45853">
        <w:rPr>
          <w:rFonts w:ascii="Times New Roman" w:hAnsi="Times New Roman" w:cs="Times New Roman"/>
          <w:lang w:val="pl-PL"/>
        </w:rPr>
        <w:t xml:space="preserve"> dostrzeże ich bezprawny charakter. Gdyby to zostało uznane za niewystarczające przez sąd, anonimowe </w:t>
      </w:r>
      <w:r w:rsidR="00272F1C" w:rsidRPr="00B45853">
        <w:rPr>
          <w:rFonts w:ascii="Times New Roman" w:hAnsi="Times New Roman" w:cs="Times New Roman"/>
          <w:lang w:val="pl-PL"/>
        </w:rPr>
        <w:t>komentarze</w:t>
      </w:r>
      <w:r w:rsidR="003F0D12" w:rsidRPr="00B45853">
        <w:rPr>
          <w:rFonts w:ascii="Times New Roman" w:hAnsi="Times New Roman" w:cs="Times New Roman"/>
          <w:lang w:val="pl-PL"/>
        </w:rPr>
        <w:t xml:space="preserve"> </w:t>
      </w:r>
      <w:r w:rsidR="00272F1C" w:rsidRPr="00B45853">
        <w:rPr>
          <w:rFonts w:ascii="Times New Roman" w:hAnsi="Times New Roman" w:cs="Times New Roman"/>
          <w:lang w:val="pl-PL"/>
        </w:rPr>
        <w:t>mo</w:t>
      </w:r>
      <w:r w:rsidR="0034491A" w:rsidRPr="00B45853">
        <w:rPr>
          <w:rFonts w:ascii="Times New Roman" w:hAnsi="Times New Roman" w:cs="Times New Roman"/>
          <w:lang w:val="pl-PL"/>
        </w:rPr>
        <w:t>gł</w:t>
      </w:r>
      <w:r w:rsidR="00272F1C" w:rsidRPr="00B45853">
        <w:rPr>
          <w:rFonts w:ascii="Times New Roman" w:hAnsi="Times New Roman" w:cs="Times New Roman"/>
          <w:lang w:val="pl-PL"/>
        </w:rPr>
        <w:t>y</w:t>
      </w:r>
      <w:r w:rsidR="0034491A" w:rsidRPr="00B45853">
        <w:rPr>
          <w:rFonts w:ascii="Times New Roman" w:hAnsi="Times New Roman" w:cs="Times New Roman"/>
          <w:lang w:val="pl-PL"/>
        </w:rPr>
        <w:t>by być</w:t>
      </w:r>
      <w:r w:rsidR="003F0D12" w:rsidRPr="00B45853">
        <w:rPr>
          <w:rFonts w:ascii="Times New Roman" w:hAnsi="Times New Roman" w:cs="Times New Roman"/>
          <w:lang w:val="pl-PL"/>
        </w:rPr>
        <w:t xml:space="preserve"> zakazane lub </w:t>
      </w:r>
      <w:r w:rsidR="0034491A" w:rsidRPr="00B45853">
        <w:rPr>
          <w:rFonts w:ascii="Times New Roman" w:hAnsi="Times New Roman" w:cs="Times New Roman"/>
          <w:lang w:val="pl-PL"/>
        </w:rPr>
        <w:t>pośrednik mógłby</w:t>
      </w:r>
      <w:r w:rsidR="003F0D12" w:rsidRPr="00B45853">
        <w:rPr>
          <w:rFonts w:ascii="Times New Roman" w:hAnsi="Times New Roman" w:cs="Times New Roman"/>
          <w:lang w:val="pl-PL"/>
        </w:rPr>
        <w:t xml:space="preserve"> arbitraln</w:t>
      </w:r>
      <w:r w:rsidR="0034491A" w:rsidRPr="00B45853">
        <w:rPr>
          <w:rFonts w:ascii="Times New Roman" w:hAnsi="Times New Roman" w:cs="Times New Roman"/>
          <w:lang w:val="pl-PL"/>
        </w:rPr>
        <w:t>i</w:t>
      </w:r>
      <w:r w:rsidR="003F0D12" w:rsidRPr="00B45853">
        <w:rPr>
          <w:rFonts w:ascii="Times New Roman" w:hAnsi="Times New Roman" w:cs="Times New Roman"/>
          <w:lang w:val="pl-PL"/>
        </w:rPr>
        <w:t>e ogranicz</w:t>
      </w:r>
      <w:r w:rsidR="0034491A" w:rsidRPr="00B45853">
        <w:rPr>
          <w:rFonts w:ascii="Times New Roman" w:hAnsi="Times New Roman" w:cs="Times New Roman"/>
          <w:lang w:val="pl-PL"/>
        </w:rPr>
        <w:t>yć swobodę</w:t>
      </w:r>
      <w:r w:rsidR="003F0D12" w:rsidRPr="00B45853">
        <w:rPr>
          <w:rFonts w:ascii="Times New Roman" w:hAnsi="Times New Roman" w:cs="Times New Roman"/>
          <w:lang w:val="pl-PL"/>
        </w:rPr>
        <w:t xml:space="preserve"> komunikacji komentujących, </w:t>
      </w:r>
      <w:r w:rsidR="0034491A" w:rsidRPr="00B45853">
        <w:rPr>
          <w:rFonts w:ascii="Times New Roman" w:hAnsi="Times New Roman" w:cs="Times New Roman"/>
          <w:lang w:val="pl-PL"/>
        </w:rPr>
        <w:t>co</w:t>
      </w:r>
      <w:r w:rsidR="003F0D12" w:rsidRPr="00B45853">
        <w:rPr>
          <w:rFonts w:ascii="Times New Roman" w:hAnsi="Times New Roman" w:cs="Times New Roman"/>
          <w:lang w:val="pl-PL"/>
        </w:rPr>
        <w:t xml:space="preserve"> b</w:t>
      </w:r>
      <w:r w:rsidR="0034491A" w:rsidRPr="00B45853">
        <w:rPr>
          <w:rFonts w:ascii="Times New Roman" w:hAnsi="Times New Roman" w:cs="Times New Roman"/>
          <w:lang w:val="pl-PL"/>
        </w:rPr>
        <w:t>y</w:t>
      </w:r>
      <w:r w:rsidR="003F0D12" w:rsidRPr="00B45853">
        <w:rPr>
          <w:rFonts w:ascii="Times New Roman" w:hAnsi="Times New Roman" w:cs="Times New Roman"/>
          <w:lang w:val="pl-PL"/>
        </w:rPr>
        <w:t xml:space="preserve"> przynagl</w:t>
      </w:r>
      <w:r w:rsidR="0034491A" w:rsidRPr="00B45853">
        <w:rPr>
          <w:rFonts w:ascii="Times New Roman" w:hAnsi="Times New Roman" w:cs="Times New Roman"/>
          <w:lang w:val="pl-PL"/>
        </w:rPr>
        <w:t>ało</w:t>
      </w:r>
      <w:r w:rsidR="003F0D12" w:rsidRPr="00B45853">
        <w:rPr>
          <w:rFonts w:ascii="Times New Roman" w:hAnsi="Times New Roman" w:cs="Times New Roman"/>
          <w:lang w:val="pl-PL"/>
        </w:rPr>
        <w:t xml:space="preserve"> </w:t>
      </w:r>
      <w:r w:rsidR="0034491A" w:rsidRPr="00B45853">
        <w:rPr>
          <w:rFonts w:ascii="Times New Roman" w:hAnsi="Times New Roman" w:cs="Times New Roman"/>
          <w:lang w:val="pl-PL"/>
        </w:rPr>
        <w:t>do zachowania</w:t>
      </w:r>
      <w:r w:rsidR="003F0D12" w:rsidRPr="00B45853">
        <w:rPr>
          <w:rFonts w:ascii="Times New Roman" w:hAnsi="Times New Roman" w:cs="Times New Roman"/>
          <w:lang w:val="pl-PL"/>
        </w:rPr>
        <w:t xml:space="preserve"> szczególnej ostrożności, aby uniknąć ewentualnej późniejszej odpowiedzialności</w:t>
      </w:r>
      <w:r w:rsidR="00A220C6" w:rsidRPr="00B45853">
        <w:rPr>
          <w:rFonts w:ascii="Times New Roman" w:hAnsi="Times New Roman" w:cs="Times New Roman"/>
          <w:lang w:val="pl-PL"/>
        </w:rPr>
        <w:t>.</w:t>
      </w:r>
    </w:p>
    <w:p w:rsidR="00A220C6" w:rsidRPr="00B45853" w:rsidRDefault="002034DF" w:rsidP="00171A6F">
      <w:pPr>
        <w:pStyle w:val="ECHRHeading4"/>
        <w:rPr>
          <w:rFonts w:ascii="Times New Roman" w:hAnsi="Times New Roman" w:cs="Times New Roman"/>
          <w:lang w:val="pl-PL"/>
        </w:rPr>
      </w:pPr>
      <w:r w:rsidRPr="00B45853">
        <w:rPr>
          <w:rFonts w:ascii="Times New Roman" w:hAnsi="Times New Roman" w:cs="Times New Roman"/>
          <w:lang w:val="pl-PL"/>
        </w:rPr>
        <w:t>(b)</w:t>
      </w:r>
      <w:r w:rsidR="00A220C6" w:rsidRPr="00B45853">
        <w:rPr>
          <w:rFonts w:ascii="Times New Roman" w:hAnsi="Times New Roman" w:cs="Times New Roman"/>
          <w:lang w:val="pl-PL"/>
        </w:rPr>
        <w:t> </w:t>
      </w:r>
      <w:r w:rsidR="0034491A" w:rsidRPr="00B45853">
        <w:rPr>
          <w:rFonts w:ascii="Times New Roman" w:hAnsi="Times New Roman" w:cs="Times New Roman"/>
          <w:lang w:val="pl-PL"/>
        </w:rPr>
        <w:t xml:space="preserve">Rola </w:t>
      </w:r>
      <w:proofErr w:type="spellStart"/>
      <w:r w:rsidR="00A220C6" w:rsidRPr="00B45853">
        <w:rPr>
          <w:rFonts w:ascii="Times New Roman" w:hAnsi="Times New Roman" w:cs="Times New Roman"/>
          <w:lang w:val="pl-PL"/>
        </w:rPr>
        <w:t>Delfi</w:t>
      </w:r>
      <w:proofErr w:type="spellEnd"/>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68</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4491A" w:rsidRPr="00B45853">
        <w:rPr>
          <w:rFonts w:ascii="Times New Roman" w:hAnsi="Times New Roman" w:cs="Times New Roman"/>
          <w:lang w:val="pl-PL"/>
        </w:rPr>
        <w:t xml:space="preserve">Skarżąca spółka zwróciła się do Wielkiej Izby, aby spojrzała na sprawę jako całość, w tej kwestii, czy skarżąca spółka miała być scharakteryzowana jako tradycyjny wydawca lub pośrednik. Wydawca ponosi odpowiedzialność za wszystkie treści przekazywane przez niego bez względu na autorstwo konkretnej treści. Jednak skarżąca spółka twierdziła, że powinna ona być traktowana jako pośrednik i miała jako taka zostać uprawniona do </w:t>
      </w:r>
      <w:r w:rsidR="00195ED1" w:rsidRPr="00B45853">
        <w:rPr>
          <w:rFonts w:ascii="Times New Roman" w:hAnsi="Times New Roman" w:cs="Times New Roman"/>
          <w:lang w:val="pl-PL"/>
        </w:rPr>
        <w:t>przestrzegania specyficznego</w:t>
      </w:r>
      <w:r w:rsidR="0034491A" w:rsidRPr="00B45853">
        <w:rPr>
          <w:rFonts w:ascii="Times New Roman" w:hAnsi="Times New Roman" w:cs="Times New Roman"/>
          <w:lang w:val="pl-PL"/>
        </w:rPr>
        <w:t xml:space="preserve"> i przewidywaln</w:t>
      </w:r>
      <w:r w:rsidR="00195ED1" w:rsidRPr="00B45853">
        <w:rPr>
          <w:rFonts w:ascii="Times New Roman" w:hAnsi="Times New Roman" w:cs="Times New Roman"/>
          <w:lang w:val="pl-PL"/>
        </w:rPr>
        <w:t>ego</w:t>
      </w:r>
      <w:r w:rsidR="0034491A" w:rsidRPr="00B45853">
        <w:rPr>
          <w:rFonts w:ascii="Times New Roman" w:hAnsi="Times New Roman" w:cs="Times New Roman"/>
          <w:lang w:val="pl-PL"/>
        </w:rPr>
        <w:t xml:space="preserve"> prawa ograniczając</w:t>
      </w:r>
      <w:r w:rsidR="00195ED1" w:rsidRPr="00B45853">
        <w:rPr>
          <w:rFonts w:ascii="Times New Roman" w:hAnsi="Times New Roman" w:cs="Times New Roman"/>
          <w:lang w:val="pl-PL"/>
        </w:rPr>
        <w:t>ego</w:t>
      </w:r>
      <w:r w:rsidR="0034491A" w:rsidRPr="00B45853">
        <w:rPr>
          <w:rFonts w:ascii="Times New Roman" w:hAnsi="Times New Roman" w:cs="Times New Roman"/>
          <w:lang w:val="pl-PL"/>
        </w:rPr>
        <w:t xml:space="preserve"> obowiązek monitorowania </w:t>
      </w:r>
      <w:r w:rsidR="00195ED1" w:rsidRPr="00B45853">
        <w:rPr>
          <w:rFonts w:ascii="Times New Roman" w:hAnsi="Times New Roman" w:cs="Times New Roman"/>
          <w:lang w:val="pl-PL"/>
        </w:rPr>
        <w:t>komentarzy</w:t>
      </w:r>
      <w:r w:rsidR="0034491A" w:rsidRPr="00B45853">
        <w:rPr>
          <w:rFonts w:ascii="Times New Roman" w:hAnsi="Times New Roman" w:cs="Times New Roman"/>
          <w:lang w:val="pl-PL"/>
        </w:rPr>
        <w:t xml:space="preserve"> stron trzecich. Argumentował</w:t>
      </w:r>
      <w:r w:rsidR="00195ED1" w:rsidRPr="00B45853">
        <w:rPr>
          <w:rFonts w:ascii="Times New Roman" w:hAnsi="Times New Roman" w:cs="Times New Roman"/>
          <w:lang w:val="pl-PL"/>
        </w:rPr>
        <w:t>a</w:t>
      </w:r>
      <w:r w:rsidR="0034491A" w:rsidRPr="00B45853">
        <w:rPr>
          <w:rFonts w:ascii="Times New Roman" w:hAnsi="Times New Roman" w:cs="Times New Roman"/>
          <w:lang w:val="pl-PL"/>
        </w:rPr>
        <w:t xml:space="preserve"> on</w:t>
      </w:r>
      <w:r w:rsidR="00195ED1" w:rsidRPr="00B45853">
        <w:rPr>
          <w:rFonts w:ascii="Times New Roman" w:hAnsi="Times New Roman" w:cs="Times New Roman"/>
          <w:lang w:val="pl-PL"/>
        </w:rPr>
        <w:t>a</w:t>
      </w:r>
      <w:r w:rsidR="0034491A" w:rsidRPr="00B45853">
        <w:rPr>
          <w:rFonts w:ascii="Times New Roman" w:hAnsi="Times New Roman" w:cs="Times New Roman"/>
          <w:lang w:val="pl-PL"/>
        </w:rPr>
        <w:t>, że pośrednic</w:t>
      </w:r>
      <w:r w:rsidR="00195ED1" w:rsidRPr="00B45853">
        <w:rPr>
          <w:rFonts w:ascii="Times New Roman" w:hAnsi="Times New Roman" w:cs="Times New Roman"/>
          <w:lang w:val="pl-PL"/>
        </w:rPr>
        <w:t>y nie są najlepiej przystosowani</w:t>
      </w:r>
      <w:r w:rsidR="0034491A" w:rsidRPr="00B45853">
        <w:rPr>
          <w:rFonts w:ascii="Times New Roman" w:hAnsi="Times New Roman" w:cs="Times New Roman"/>
          <w:lang w:val="pl-PL"/>
        </w:rPr>
        <w:t xml:space="preserve"> do decydowania o legalności treści generowanych przez użytkowników. Było tak zwłaszcza w odni</w:t>
      </w:r>
      <w:r w:rsidR="00195ED1" w:rsidRPr="00B45853">
        <w:rPr>
          <w:rFonts w:ascii="Times New Roman" w:hAnsi="Times New Roman" w:cs="Times New Roman"/>
          <w:lang w:val="pl-PL"/>
        </w:rPr>
        <w:t>esieniu do treści zniesławiających</w:t>
      </w:r>
      <w:r w:rsidR="0034491A" w:rsidRPr="00B45853">
        <w:rPr>
          <w:rFonts w:ascii="Times New Roman" w:hAnsi="Times New Roman" w:cs="Times New Roman"/>
          <w:lang w:val="pl-PL"/>
        </w:rPr>
        <w:t>, ponieważ</w:t>
      </w:r>
      <w:r w:rsidR="00195ED1" w:rsidRPr="00B45853">
        <w:rPr>
          <w:rFonts w:ascii="Times New Roman" w:hAnsi="Times New Roman" w:cs="Times New Roman"/>
          <w:lang w:val="pl-PL"/>
        </w:rPr>
        <w:t xml:space="preserve"> tylko</w:t>
      </w:r>
      <w:r w:rsidR="0034491A" w:rsidRPr="00B45853">
        <w:rPr>
          <w:rFonts w:ascii="Times New Roman" w:hAnsi="Times New Roman" w:cs="Times New Roman"/>
          <w:lang w:val="pl-PL"/>
        </w:rPr>
        <w:t xml:space="preserve"> sama ofiara mogła ocenić, </w:t>
      </w:r>
      <w:r w:rsidR="00195ED1" w:rsidRPr="00B45853">
        <w:rPr>
          <w:rFonts w:ascii="Times New Roman" w:hAnsi="Times New Roman" w:cs="Times New Roman"/>
          <w:lang w:val="pl-PL"/>
        </w:rPr>
        <w:t xml:space="preserve">co spowodowało </w:t>
      </w:r>
      <w:r w:rsidR="00842028">
        <w:rPr>
          <w:rFonts w:ascii="Times New Roman" w:hAnsi="Times New Roman" w:cs="Times New Roman"/>
          <w:lang w:val="pl-PL"/>
        </w:rPr>
        <w:t>naruszenie</w:t>
      </w:r>
      <w:r w:rsidR="00195ED1" w:rsidRPr="00B45853">
        <w:rPr>
          <w:rFonts w:ascii="Times New Roman" w:hAnsi="Times New Roman" w:cs="Times New Roman"/>
          <w:lang w:val="pl-PL"/>
        </w:rPr>
        <w:t xml:space="preserve"> jej</w:t>
      </w:r>
      <w:r w:rsidR="0034491A" w:rsidRPr="00B45853">
        <w:rPr>
          <w:rFonts w:ascii="Times New Roman" w:hAnsi="Times New Roman" w:cs="Times New Roman"/>
          <w:lang w:val="pl-PL"/>
        </w:rPr>
        <w:t xml:space="preserve"> reputacji.</w:t>
      </w:r>
    </w:p>
    <w:p w:rsidR="00A220C6" w:rsidRPr="00B45853" w:rsidRDefault="002034DF" w:rsidP="00171A6F">
      <w:pPr>
        <w:pStyle w:val="ECHRHeading4"/>
        <w:rPr>
          <w:rFonts w:ascii="Times New Roman" w:hAnsi="Times New Roman" w:cs="Times New Roman"/>
          <w:lang w:val="pl-PL"/>
        </w:rPr>
      </w:pPr>
      <w:r w:rsidRPr="00B45853">
        <w:rPr>
          <w:rFonts w:ascii="Times New Roman" w:hAnsi="Times New Roman" w:cs="Times New Roman"/>
          <w:lang w:val="pl-PL"/>
        </w:rPr>
        <w:lastRenderedPageBreak/>
        <w:t>(c) </w:t>
      </w:r>
      <w:r w:rsidR="00195ED1" w:rsidRPr="00B45853">
        <w:rPr>
          <w:rFonts w:ascii="Times New Roman" w:hAnsi="Times New Roman" w:cs="Times New Roman"/>
          <w:lang w:val="pl-PL"/>
        </w:rPr>
        <w:t>Legalność</w:t>
      </w:r>
    </w:p>
    <w:p w:rsidR="00B413BF" w:rsidRPr="008E77E9" w:rsidRDefault="00195ED1" w:rsidP="00171A6F">
      <w:pPr>
        <w:pStyle w:val="ECHRPara"/>
        <w:rPr>
          <w:rFonts w:ascii="Times New Roman" w:hAnsi="Times New Roman" w:cs="Times New Roman"/>
          <w:iCs/>
          <w:lang w:val="pl-PL"/>
        </w:rPr>
      </w:pPr>
      <w:r w:rsidRPr="00B45853">
        <w:rPr>
          <w:rFonts w:ascii="Times New Roman" w:hAnsi="Times New Roman" w:cs="Times New Roman"/>
          <w:lang w:val="pl-PL"/>
        </w:rPr>
        <w:t xml:space="preserve">69. </w:t>
      </w:r>
      <w:r w:rsidR="007127E1" w:rsidRPr="00B45853">
        <w:rPr>
          <w:rFonts w:ascii="Times New Roman" w:hAnsi="Times New Roman" w:cs="Times New Roman"/>
          <w:lang w:val="pl-PL"/>
        </w:rPr>
        <w:t>Skarżąca spółka</w:t>
      </w:r>
      <w:r w:rsidRPr="00B45853">
        <w:rPr>
          <w:rFonts w:ascii="Times New Roman" w:hAnsi="Times New Roman" w:cs="Times New Roman"/>
          <w:lang w:val="pl-PL"/>
        </w:rPr>
        <w:t xml:space="preserve"> twierdził</w:t>
      </w:r>
      <w:r w:rsidR="007127E1" w:rsidRPr="00B45853">
        <w:rPr>
          <w:rFonts w:ascii="Times New Roman" w:hAnsi="Times New Roman" w:cs="Times New Roman"/>
          <w:lang w:val="pl-PL"/>
        </w:rPr>
        <w:t>a, że ingerencja w jej wolność</w:t>
      </w:r>
      <w:r w:rsidR="002034DF" w:rsidRPr="00B45853">
        <w:rPr>
          <w:rFonts w:ascii="Times New Roman" w:hAnsi="Times New Roman" w:cs="Times New Roman"/>
          <w:lang w:val="pl-PL"/>
        </w:rPr>
        <w:t xml:space="preserve"> wypowiedzi-</w:t>
      </w:r>
      <w:r w:rsidRPr="00B45853">
        <w:rPr>
          <w:rFonts w:ascii="Times New Roman" w:hAnsi="Times New Roman" w:cs="Times New Roman"/>
          <w:lang w:val="pl-PL"/>
        </w:rPr>
        <w:t>w tym prawa do przechowywania informacji oraz umożliwienia użytkownikom przekazywa</w:t>
      </w:r>
      <w:r w:rsidR="00272F1C" w:rsidRPr="00B45853">
        <w:rPr>
          <w:rFonts w:ascii="Times New Roman" w:hAnsi="Times New Roman" w:cs="Times New Roman"/>
          <w:lang w:val="pl-PL"/>
        </w:rPr>
        <w:t>nia</w:t>
      </w:r>
      <w:r w:rsidRPr="00B45853">
        <w:rPr>
          <w:rFonts w:ascii="Times New Roman" w:hAnsi="Times New Roman" w:cs="Times New Roman"/>
          <w:lang w:val="pl-PL"/>
        </w:rPr>
        <w:t xml:space="preserve"> swo</w:t>
      </w:r>
      <w:r w:rsidR="007127E1" w:rsidRPr="00B45853">
        <w:rPr>
          <w:rFonts w:ascii="Times New Roman" w:hAnsi="Times New Roman" w:cs="Times New Roman"/>
          <w:lang w:val="pl-PL"/>
        </w:rPr>
        <w:t>ich opinii</w:t>
      </w:r>
      <w:r w:rsidR="00941466">
        <w:rPr>
          <w:rFonts w:ascii="Times New Roman" w:hAnsi="Times New Roman" w:cs="Times New Roman"/>
          <w:lang w:val="pl-PL"/>
        </w:rPr>
        <w:t xml:space="preserve"> </w:t>
      </w:r>
      <w:r w:rsidR="002034DF" w:rsidRPr="00B45853">
        <w:rPr>
          <w:rFonts w:ascii="Times New Roman" w:hAnsi="Times New Roman" w:cs="Times New Roman"/>
          <w:lang w:val="pl-PL"/>
        </w:rPr>
        <w:t>-</w:t>
      </w:r>
      <w:r w:rsidR="00941466">
        <w:rPr>
          <w:rFonts w:ascii="Times New Roman" w:hAnsi="Times New Roman" w:cs="Times New Roman"/>
          <w:lang w:val="pl-PL"/>
        </w:rPr>
        <w:t xml:space="preserve"> </w:t>
      </w:r>
      <w:r w:rsidRPr="00B45853">
        <w:rPr>
          <w:rFonts w:ascii="Times New Roman" w:hAnsi="Times New Roman" w:cs="Times New Roman"/>
          <w:lang w:val="pl-PL"/>
        </w:rPr>
        <w:t>nie była przewidziana przez prawo. Stwierdził</w:t>
      </w:r>
      <w:r w:rsidR="007127E1" w:rsidRPr="00B45853">
        <w:rPr>
          <w:rFonts w:ascii="Times New Roman" w:hAnsi="Times New Roman" w:cs="Times New Roman"/>
          <w:lang w:val="pl-PL"/>
        </w:rPr>
        <w:t>a</w:t>
      </w:r>
      <w:r w:rsidRPr="00B45853">
        <w:rPr>
          <w:rFonts w:ascii="Times New Roman" w:hAnsi="Times New Roman" w:cs="Times New Roman"/>
          <w:lang w:val="pl-PL"/>
        </w:rPr>
        <w:t xml:space="preserve"> on</w:t>
      </w:r>
      <w:r w:rsidR="007127E1" w:rsidRPr="00B45853">
        <w:rPr>
          <w:rFonts w:ascii="Times New Roman" w:hAnsi="Times New Roman" w:cs="Times New Roman"/>
          <w:lang w:val="pl-PL"/>
        </w:rPr>
        <w:t>a</w:t>
      </w:r>
      <w:r w:rsidRPr="00B45853">
        <w:rPr>
          <w:rFonts w:ascii="Times New Roman" w:hAnsi="Times New Roman" w:cs="Times New Roman"/>
          <w:lang w:val="pl-PL"/>
        </w:rPr>
        <w:t>, że nie było ustawodawstw</w:t>
      </w:r>
      <w:r w:rsidR="007127E1" w:rsidRPr="00B45853">
        <w:rPr>
          <w:rFonts w:ascii="Times New Roman" w:hAnsi="Times New Roman" w:cs="Times New Roman"/>
          <w:lang w:val="pl-PL"/>
        </w:rPr>
        <w:t>a</w:t>
      </w:r>
      <w:r w:rsidRPr="00B45853">
        <w:rPr>
          <w:rFonts w:ascii="Times New Roman" w:hAnsi="Times New Roman" w:cs="Times New Roman"/>
          <w:lang w:val="pl-PL"/>
        </w:rPr>
        <w:t xml:space="preserve"> lub orzecznictw</w:t>
      </w:r>
      <w:r w:rsidR="007127E1" w:rsidRPr="00B45853">
        <w:rPr>
          <w:rFonts w:ascii="Times New Roman" w:hAnsi="Times New Roman" w:cs="Times New Roman"/>
          <w:lang w:val="pl-PL"/>
        </w:rPr>
        <w:t>a</w:t>
      </w:r>
      <w:r w:rsidRPr="00B45853">
        <w:rPr>
          <w:rFonts w:ascii="Times New Roman" w:hAnsi="Times New Roman" w:cs="Times New Roman"/>
          <w:lang w:val="pl-PL"/>
        </w:rPr>
        <w:t xml:space="preserve"> stwierdzające</w:t>
      </w:r>
      <w:r w:rsidR="007127E1" w:rsidRPr="00B45853">
        <w:rPr>
          <w:rFonts w:ascii="Times New Roman" w:hAnsi="Times New Roman" w:cs="Times New Roman"/>
          <w:lang w:val="pl-PL"/>
        </w:rPr>
        <w:t xml:space="preserve">go, że </w:t>
      </w:r>
      <w:r w:rsidR="00272F1C" w:rsidRPr="00B45853">
        <w:rPr>
          <w:rFonts w:ascii="Times New Roman" w:hAnsi="Times New Roman" w:cs="Times New Roman"/>
          <w:lang w:val="pl-PL"/>
        </w:rPr>
        <w:t>wydawca treści był uznany za pośrednika</w:t>
      </w:r>
      <w:r w:rsidRPr="00B45853">
        <w:rPr>
          <w:rFonts w:ascii="Times New Roman" w:hAnsi="Times New Roman" w:cs="Times New Roman"/>
          <w:lang w:val="pl-PL"/>
        </w:rPr>
        <w:t>, których nie był świadomy. Wręcz przeciwnie,</w:t>
      </w:r>
      <w:r w:rsidR="007127E1" w:rsidRPr="00B45853">
        <w:rPr>
          <w:rFonts w:ascii="Times New Roman" w:hAnsi="Times New Roman" w:cs="Times New Roman"/>
          <w:lang w:val="pl-PL"/>
        </w:rPr>
        <w:t xml:space="preserve"> stosowane prawo zabraniało nakładania</w:t>
      </w:r>
      <w:r w:rsidRPr="00B45853">
        <w:rPr>
          <w:rFonts w:ascii="Times New Roman" w:hAnsi="Times New Roman" w:cs="Times New Roman"/>
          <w:lang w:val="pl-PL"/>
        </w:rPr>
        <w:t xml:space="preserve"> odpowiedzialności na usługodawców za treści stron trzecich. W związku z tym</w:t>
      </w:r>
      <w:r w:rsidR="007127E1" w:rsidRPr="00B45853">
        <w:rPr>
          <w:rFonts w:ascii="Times New Roman" w:hAnsi="Times New Roman" w:cs="Times New Roman"/>
          <w:lang w:val="pl-PL"/>
        </w:rPr>
        <w:t>,</w:t>
      </w:r>
      <w:r w:rsidRPr="00B45853">
        <w:rPr>
          <w:rFonts w:ascii="Times New Roman" w:hAnsi="Times New Roman" w:cs="Times New Roman"/>
          <w:lang w:val="pl-PL"/>
        </w:rPr>
        <w:t xml:space="preserve"> sk</w:t>
      </w:r>
      <w:r w:rsidR="00272F1C" w:rsidRPr="00B45853">
        <w:rPr>
          <w:rFonts w:ascii="Times New Roman" w:hAnsi="Times New Roman" w:cs="Times New Roman"/>
          <w:lang w:val="pl-PL"/>
        </w:rPr>
        <w:t>arżąca spółka</w:t>
      </w:r>
      <w:r w:rsidR="007127E1" w:rsidRPr="00B45853">
        <w:rPr>
          <w:rFonts w:ascii="Times New Roman" w:hAnsi="Times New Roman" w:cs="Times New Roman"/>
          <w:lang w:val="pl-PL"/>
        </w:rPr>
        <w:t xml:space="preserve"> odniosła się do Dyrektywy o Handlu Elektronicznym, Estońskiej Ustawy o Usługach Społeczeństwa Informacyjnego i Deklaracji Rady Europy o Wolności K</w:t>
      </w:r>
      <w:r w:rsidRPr="00B45853">
        <w:rPr>
          <w:rFonts w:ascii="Times New Roman" w:hAnsi="Times New Roman" w:cs="Times New Roman"/>
          <w:lang w:val="pl-PL"/>
        </w:rPr>
        <w:t xml:space="preserve">omunikacji w Internecie. </w:t>
      </w:r>
      <w:r w:rsidR="007127E1" w:rsidRPr="00B45853">
        <w:rPr>
          <w:rFonts w:ascii="Times New Roman" w:hAnsi="Times New Roman" w:cs="Times New Roman"/>
          <w:lang w:val="pl-PL"/>
        </w:rPr>
        <w:t>Dyrektywa przewiduje ograniczoną</w:t>
      </w:r>
      <w:r w:rsidRPr="00B45853">
        <w:rPr>
          <w:rFonts w:ascii="Times New Roman" w:hAnsi="Times New Roman" w:cs="Times New Roman"/>
          <w:lang w:val="pl-PL"/>
        </w:rPr>
        <w:t xml:space="preserve"> i </w:t>
      </w:r>
      <w:r w:rsidR="007127E1" w:rsidRPr="00B45853">
        <w:rPr>
          <w:rFonts w:ascii="Times New Roman" w:hAnsi="Times New Roman" w:cs="Times New Roman"/>
          <w:lang w:val="pl-PL"/>
        </w:rPr>
        <w:t>opartą na zawiadomieniach</w:t>
      </w:r>
      <w:r w:rsidRPr="00B45853">
        <w:rPr>
          <w:rFonts w:ascii="Times New Roman" w:hAnsi="Times New Roman" w:cs="Times New Roman"/>
          <w:lang w:val="pl-PL"/>
        </w:rPr>
        <w:t xml:space="preserve"> odpowiedzialno</w:t>
      </w:r>
      <w:r w:rsidR="007127E1" w:rsidRPr="00B45853">
        <w:rPr>
          <w:rFonts w:ascii="Times New Roman" w:hAnsi="Times New Roman" w:cs="Times New Roman"/>
          <w:lang w:val="pl-PL"/>
        </w:rPr>
        <w:t>ść</w:t>
      </w:r>
      <w:r w:rsidRPr="00B45853">
        <w:rPr>
          <w:rFonts w:ascii="Times New Roman" w:hAnsi="Times New Roman" w:cs="Times New Roman"/>
          <w:lang w:val="pl-PL"/>
        </w:rPr>
        <w:t xml:space="preserve"> z procedurami </w:t>
      </w:r>
      <w:r w:rsidR="00B17460" w:rsidRPr="00B45853">
        <w:rPr>
          <w:rFonts w:ascii="Times New Roman" w:hAnsi="Times New Roman" w:cs="Times New Roman"/>
          <w:lang w:val="pl-PL"/>
        </w:rPr>
        <w:t>powiadamiania i usuwania</w:t>
      </w:r>
      <w:r w:rsidRPr="00B45853">
        <w:rPr>
          <w:rFonts w:ascii="Times New Roman" w:hAnsi="Times New Roman" w:cs="Times New Roman"/>
          <w:lang w:val="pl-PL"/>
        </w:rPr>
        <w:t xml:space="preserve"> dla nielegal</w:t>
      </w:r>
      <w:r w:rsidR="00B17460" w:rsidRPr="00B45853">
        <w:rPr>
          <w:rFonts w:ascii="Times New Roman" w:hAnsi="Times New Roman" w:cs="Times New Roman"/>
          <w:lang w:val="pl-PL"/>
        </w:rPr>
        <w:t>nych treści. Usługodawcy zostali</w:t>
      </w:r>
      <w:r w:rsidRPr="00B45853">
        <w:rPr>
          <w:rFonts w:ascii="Times New Roman" w:hAnsi="Times New Roman" w:cs="Times New Roman"/>
          <w:lang w:val="pl-PL"/>
        </w:rPr>
        <w:t xml:space="preserve"> zwolni</w:t>
      </w:r>
      <w:r w:rsidR="00B17460" w:rsidRPr="00B45853">
        <w:rPr>
          <w:rFonts w:ascii="Times New Roman" w:hAnsi="Times New Roman" w:cs="Times New Roman"/>
          <w:lang w:val="pl-PL"/>
        </w:rPr>
        <w:t>eni</w:t>
      </w:r>
      <w:r w:rsidRPr="00B45853">
        <w:rPr>
          <w:rFonts w:ascii="Times New Roman" w:hAnsi="Times New Roman" w:cs="Times New Roman"/>
          <w:lang w:val="pl-PL"/>
        </w:rPr>
        <w:t xml:space="preserve"> z odpowiedzialności w przypadku gdy </w:t>
      </w:r>
      <w:r w:rsidR="00B17460" w:rsidRPr="00B45853">
        <w:rPr>
          <w:rFonts w:ascii="Times New Roman" w:hAnsi="Times New Roman" w:cs="Times New Roman"/>
          <w:lang w:val="pl-PL"/>
        </w:rPr>
        <w:t>uzyskają wiedzę</w:t>
      </w:r>
      <w:r w:rsidRPr="00B45853">
        <w:rPr>
          <w:rFonts w:ascii="Times New Roman" w:hAnsi="Times New Roman" w:cs="Times New Roman"/>
          <w:lang w:val="pl-PL"/>
        </w:rPr>
        <w:t xml:space="preserve"> o niele</w:t>
      </w:r>
      <w:r w:rsidR="00B17460" w:rsidRPr="00B45853">
        <w:rPr>
          <w:rFonts w:ascii="Times New Roman" w:hAnsi="Times New Roman" w:cs="Times New Roman"/>
          <w:lang w:val="pl-PL"/>
        </w:rPr>
        <w:t>g</w:t>
      </w:r>
      <w:r w:rsidR="00B91C3E">
        <w:rPr>
          <w:rFonts w:ascii="Times New Roman" w:hAnsi="Times New Roman" w:cs="Times New Roman"/>
          <w:lang w:val="pl-PL"/>
        </w:rPr>
        <w:t>alnej działalności, ale działają</w:t>
      </w:r>
      <w:r w:rsidR="00B17460" w:rsidRPr="00B45853">
        <w:rPr>
          <w:rFonts w:ascii="Times New Roman" w:hAnsi="Times New Roman" w:cs="Times New Roman"/>
          <w:lang w:val="pl-PL"/>
        </w:rPr>
        <w:t xml:space="preserve"> </w:t>
      </w:r>
      <w:r w:rsidRPr="00B45853">
        <w:rPr>
          <w:rFonts w:ascii="Times New Roman" w:hAnsi="Times New Roman" w:cs="Times New Roman"/>
          <w:lang w:val="pl-PL"/>
        </w:rPr>
        <w:t>sprawnie w celu usunięcia lub uniemożliwienia dostępu do danej informacji. Takie usuwanie lub uniemożliwianie dostępu musiał</w:t>
      </w:r>
      <w:r w:rsidR="00B17460" w:rsidRPr="00B45853">
        <w:rPr>
          <w:rFonts w:ascii="Times New Roman" w:hAnsi="Times New Roman" w:cs="Times New Roman"/>
          <w:lang w:val="pl-PL"/>
        </w:rPr>
        <w:t>o</w:t>
      </w:r>
      <w:r w:rsidRPr="00B45853">
        <w:rPr>
          <w:rFonts w:ascii="Times New Roman" w:hAnsi="Times New Roman" w:cs="Times New Roman"/>
          <w:lang w:val="pl-PL"/>
        </w:rPr>
        <w:t xml:space="preserve"> być przeprowadzane w poszanowaniu zasady wolności wyrażania opinii oraz procedur ustanowionych w tym celu </w:t>
      </w:r>
      <w:r w:rsidR="00B17460" w:rsidRPr="00B45853">
        <w:rPr>
          <w:rFonts w:ascii="Times New Roman" w:hAnsi="Times New Roman" w:cs="Times New Roman"/>
          <w:lang w:val="pl-PL"/>
        </w:rPr>
        <w:t>na poziomie krajowym (motyw 46 D</w:t>
      </w:r>
      <w:r w:rsidRPr="00B45853">
        <w:rPr>
          <w:rFonts w:ascii="Times New Roman" w:hAnsi="Times New Roman" w:cs="Times New Roman"/>
          <w:lang w:val="pl-PL"/>
        </w:rPr>
        <w:t>yrektywy). Skarżąca spółka argumentowała, że ​​ta ustawa</w:t>
      </w:r>
      <w:r w:rsidR="00B17460" w:rsidRPr="00B45853">
        <w:rPr>
          <w:rFonts w:ascii="Times New Roman" w:hAnsi="Times New Roman" w:cs="Times New Roman"/>
          <w:lang w:val="pl-PL"/>
        </w:rPr>
        <w:t xml:space="preserve"> została bezspornie sformułowana</w:t>
      </w:r>
      <w:r w:rsidRPr="00B45853">
        <w:rPr>
          <w:rFonts w:ascii="Times New Roman" w:hAnsi="Times New Roman" w:cs="Times New Roman"/>
          <w:lang w:val="pl-PL"/>
        </w:rPr>
        <w:t xml:space="preserve"> </w:t>
      </w:r>
      <w:r w:rsidR="001A36CF">
        <w:rPr>
          <w:rFonts w:ascii="Times New Roman" w:hAnsi="Times New Roman" w:cs="Times New Roman"/>
          <w:lang w:val="pl-PL"/>
        </w:rPr>
        <w:br/>
      </w:r>
      <w:r w:rsidRPr="00B45853">
        <w:rPr>
          <w:rFonts w:ascii="Times New Roman" w:hAnsi="Times New Roman" w:cs="Times New Roman"/>
          <w:lang w:val="pl-PL"/>
        </w:rPr>
        <w:t>z dostateczną precyzją, a</w:t>
      </w:r>
      <w:r w:rsidR="00B91C3E">
        <w:rPr>
          <w:rFonts w:ascii="Times New Roman" w:hAnsi="Times New Roman" w:cs="Times New Roman"/>
          <w:lang w:val="pl-PL"/>
        </w:rPr>
        <w:t>by umożliwić</w:t>
      </w:r>
      <w:r w:rsidRPr="00B45853">
        <w:rPr>
          <w:rFonts w:ascii="Times New Roman" w:hAnsi="Times New Roman" w:cs="Times New Roman"/>
          <w:lang w:val="pl-PL"/>
        </w:rPr>
        <w:t xml:space="preserve"> odpowiednie regulowanie zachowania</w:t>
      </w:r>
      <w:r w:rsidR="001A36CF">
        <w:rPr>
          <w:rFonts w:ascii="Times New Roman" w:hAnsi="Times New Roman" w:cs="Times New Roman"/>
          <w:lang w:val="pl-PL"/>
        </w:rPr>
        <w:t xml:space="preserve"> tego typu podmiotów</w:t>
      </w:r>
      <w:r w:rsidR="00D619A7">
        <w:rPr>
          <w:rFonts w:ascii="Times New Roman" w:hAnsi="Times New Roman" w:cs="Times New Roman"/>
          <w:lang w:val="pl-PL"/>
        </w:rPr>
        <w:t xml:space="preserve">. Zdaniem </w:t>
      </w:r>
      <w:r w:rsidR="00D619A7" w:rsidRPr="008E77E9">
        <w:rPr>
          <w:rFonts w:ascii="Times New Roman" w:hAnsi="Times New Roman" w:cs="Times New Roman"/>
          <w:lang w:val="pl-PL"/>
        </w:rPr>
        <w:t>skarżącej spółki, jej</w:t>
      </w:r>
      <w:r w:rsidRPr="008E77E9">
        <w:rPr>
          <w:rFonts w:ascii="Times New Roman" w:hAnsi="Times New Roman" w:cs="Times New Roman"/>
          <w:lang w:val="pl-PL"/>
        </w:rPr>
        <w:t xml:space="preserve"> zachowanie było w pełni zgodne z obowi</w:t>
      </w:r>
      <w:r w:rsidR="00B17460" w:rsidRPr="008E77E9">
        <w:rPr>
          <w:rFonts w:ascii="Times New Roman" w:hAnsi="Times New Roman" w:cs="Times New Roman"/>
          <w:lang w:val="pl-PL"/>
        </w:rPr>
        <w:t>ązującym prawem, ponieważ usunęła oszczercze komentarze t</w:t>
      </w:r>
      <w:r w:rsidRPr="008E77E9">
        <w:rPr>
          <w:rFonts w:ascii="Times New Roman" w:hAnsi="Times New Roman" w:cs="Times New Roman"/>
          <w:lang w:val="pl-PL"/>
        </w:rPr>
        <w:t>ego samego dnia</w:t>
      </w:r>
      <w:r w:rsidR="002034DF" w:rsidRPr="008E77E9">
        <w:rPr>
          <w:rFonts w:ascii="Times New Roman" w:hAnsi="Times New Roman" w:cs="Times New Roman"/>
          <w:lang w:val="pl-PL"/>
        </w:rPr>
        <w:t>,</w:t>
      </w:r>
      <w:r w:rsidR="00B17460" w:rsidRPr="008E77E9">
        <w:rPr>
          <w:rFonts w:ascii="Times New Roman" w:hAnsi="Times New Roman" w:cs="Times New Roman"/>
          <w:lang w:val="pl-PL"/>
        </w:rPr>
        <w:t xml:space="preserve"> kiedy zostały zgłoszone</w:t>
      </w:r>
      <w:r w:rsidRPr="008E77E9">
        <w:rPr>
          <w:rFonts w:ascii="Times New Roman" w:hAnsi="Times New Roman" w:cs="Times New Roman"/>
          <w:lang w:val="pl-PL"/>
        </w:rPr>
        <w:t xml:space="preserve"> przez pierwotnego powoda.</w:t>
      </w:r>
    </w:p>
    <w:p w:rsidR="00B413BF" w:rsidRPr="00B45853" w:rsidRDefault="00DD67A4" w:rsidP="00171A6F">
      <w:pPr>
        <w:pStyle w:val="ECHRPara"/>
        <w:rPr>
          <w:rFonts w:ascii="Times New Roman" w:hAnsi="Times New Roman" w:cs="Times New Roman"/>
          <w:lang w:val="pl-PL"/>
        </w:rPr>
      </w:pPr>
      <w:r w:rsidRPr="008E77E9">
        <w:rPr>
          <w:rFonts w:ascii="Times New Roman" w:hAnsi="Times New Roman" w:cs="Times New Roman"/>
          <w:lang w:val="en-GB"/>
        </w:rPr>
        <w:fldChar w:fldCharType="begin"/>
      </w:r>
      <w:r w:rsidR="00A220C6" w:rsidRPr="008E77E9">
        <w:rPr>
          <w:rFonts w:ascii="Times New Roman" w:hAnsi="Times New Roman" w:cs="Times New Roman"/>
          <w:lang w:val="pl-PL"/>
        </w:rPr>
        <w:instrText xml:space="preserve"> SEQ level0 \*arabic </w:instrText>
      </w:r>
      <w:r w:rsidRPr="008E77E9">
        <w:rPr>
          <w:rFonts w:ascii="Times New Roman" w:hAnsi="Times New Roman" w:cs="Times New Roman"/>
          <w:lang w:val="en-GB"/>
        </w:rPr>
        <w:fldChar w:fldCharType="separate"/>
      </w:r>
      <w:r w:rsidR="002F0EE0" w:rsidRPr="008E77E9">
        <w:rPr>
          <w:rFonts w:ascii="Times New Roman" w:hAnsi="Times New Roman" w:cs="Times New Roman"/>
          <w:noProof/>
          <w:lang w:val="pl-PL"/>
        </w:rPr>
        <w:t>70</w:t>
      </w:r>
      <w:r w:rsidRPr="008E77E9">
        <w:rPr>
          <w:rFonts w:ascii="Times New Roman" w:hAnsi="Times New Roman" w:cs="Times New Roman"/>
          <w:lang w:val="en-GB"/>
        </w:rPr>
        <w:fldChar w:fldCharType="end"/>
      </w:r>
      <w:r w:rsidR="00A220C6" w:rsidRPr="008E77E9">
        <w:rPr>
          <w:rFonts w:ascii="Times New Roman" w:hAnsi="Times New Roman" w:cs="Times New Roman"/>
          <w:lang w:val="pl-PL"/>
        </w:rPr>
        <w:t>.  </w:t>
      </w:r>
      <w:r w:rsidR="00B17460" w:rsidRPr="008E77E9">
        <w:rPr>
          <w:rFonts w:ascii="Times New Roman" w:hAnsi="Times New Roman" w:cs="Times New Roman"/>
          <w:lang w:val="pl-PL"/>
        </w:rPr>
        <w:t>Wnioskodawca twierdził ponadto,</w:t>
      </w:r>
      <w:r w:rsidR="00D619A7" w:rsidRPr="008E77E9">
        <w:rPr>
          <w:rFonts w:ascii="Times New Roman" w:hAnsi="Times New Roman" w:cs="Times New Roman"/>
          <w:lang w:val="pl-PL"/>
        </w:rPr>
        <w:t xml:space="preserve"> że nawet istniejące </w:t>
      </w:r>
      <w:r w:rsidR="00D53CAC">
        <w:rPr>
          <w:rFonts w:ascii="Times New Roman" w:hAnsi="Times New Roman" w:cs="Times New Roman"/>
          <w:lang w:val="pl-PL"/>
        </w:rPr>
        <w:t>przepisy o odpowiedzialności deliktowej</w:t>
      </w:r>
      <w:r w:rsidR="00D619A7" w:rsidRPr="008E77E9">
        <w:rPr>
          <w:rFonts w:ascii="Times New Roman" w:hAnsi="Times New Roman" w:cs="Times New Roman"/>
          <w:lang w:val="pl-PL"/>
        </w:rPr>
        <w:t xml:space="preserve"> </w:t>
      </w:r>
      <w:r w:rsidR="00D53CAC">
        <w:rPr>
          <w:rFonts w:ascii="Times New Roman" w:hAnsi="Times New Roman" w:cs="Times New Roman"/>
          <w:lang w:val="pl-PL"/>
        </w:rPr>
        <w:t>nie klasyfikują</w:t>
      </w:r>
      <w:r w:rsidR="00B17460" w:rsidRPr="008E77E9">
        <w:rPr>
          <w:rFonts w:ascii="Times New Roman" w:hAnsi="Times New Roman" w:cs="Times New Roman"/>
          <w:lang w:val="pl-PL"/>
        </w:rPr>
        <w:t xml:space="preserve"> upowszechniających (pracownicy poczty, biblioteki, księgarnie i inne) jako wydawców. </w:t>
      </w:r>
      <w:r w:rsidR="00D53CAC">
        <w:rPr>
          <w:rFonts w:ascii="Times New Roman" w:hAnsi="Times New Roman" w:cs="Times New Roman"/>
          <w:lang w:val="pl-PL"/>
        </w:rPr>
        <w:br/>
      </w:r>
      <w:r w:rsidR="00B17460" w:rsidRPr="008E77E9">
        <w:rPr>
          <w:rFonts w:ascii="Times New Roman" w:hAnsi="Times New Roman" w:cs="Times New Roman"/>
          <w:lang w:val="pl-PL"/>
        </w:rPr>
        <w:t>W związku z tym nie pozostało do końca jasne, w jaki sposób istniejąc</w:t>
      </w:r>
      <w:r w:rsidR="00D53CAC">
        <w:rPr>
          <w:rFonts w:ascii="Times New Roman" w:hAnsi="Times New Roman" w:cs="Times New Roman"/>
          <w:lang w:val="pl-PL"/>
        </w:rPr>
        <w:t>y stan prawny</w:t>
      </w:r>
      <w:r w:rsidR="00B17460" w:rsidRPr="008E77E9">
        <w:rPr>
          <w:rFonts w:ascii="Times New Roman" w:hAnsi="Times New Roman" w:cs="Times New Roman"/>
          <w:lang w:val="pl-PL"/>
        </w:rPr>
        <w:t xml:space="preserve"> był stosowan</w:t>
      </w:r>
      <w:r w:rsidR="00D53CAC">
        <w:rPr>
          <w:rFonts w:ascii="Times New Roman" w:hAnsi="Times New Roman" w:cs="Times New Roman"/>
          <w:lang w:val="pl-PL"/>
        </w:rPr>
        <w:t>y</w:t>
      </w:r>
      <w:r w:rsidR="00B17460" w:rsidRPr="008E77E9">
        <w:rPr>
          <w:rFonts w:ascii="Times New Roman" w:hAnsi="Times New Roman" w:cs="Times New Roman"/>
          <w:lang w:val="pl-PL"/>
        </w:rPr>
        <w:t xml:space="preserve"> wobec "nowej dziedziny związanej z nowymi technologiami" jak stwierdzono w wyroku Izby, to znaczy wobec operatora internetowego</w:t>
      </w:r>
      <w:r w:rsidR="00B17460" w:rsidRPr="00B45853">
        <w:rPr>
          <w:rFonts w:ascii="Times New Roman" w:hAnsi="Times New Roman" w:cs="Times New Roman"/>
          <w:lang w:val="pl-PL"/>
        </w:rPr>
        <w:t xml:space="preserve"> portalu informacyjnego zapewniającego usługę umożliwiającą użytkownikom interakcję z dzie</w:t>
      </w:r>
      <w:r w:rsidR="004E0616" w:rsidRPr="00B45853">
        <w:rPr>
          <w:rFonts w:ascii="Times New Roman" w:hAnsi="Times New Roman" w:cs="Times New Roman"/>
          <w:lang w:val="pl-PL"/>
        </w:rPr>
        <w:t xml:space="preserve">nnikarzami </w:t>
      </w:r>
      <w:r w:rsidR="004660A4">
        <w:rPr>
          <w:rFonts w:ascii="Times New Roman" w:hAnsi="Times New Roman" w:cs="Times New Roman"/>
          <w:lang w:val="pl-PL"/>
        </w:rPr>
        <w:t>oraz między sobą</w:t>
      </w:r>
      <w:r w:rsidR="004E0616" w:rsidRPr="00B45853">
        <w:rPr>
          <w:rFonts w:ascii="Times New Roman" w:hAnsi="Times New Roman" w:cs="Times New Roman"/>
          <w:lang w:val="pl-PL"/>
        </w:rPr>
        <w:t xml:space="preserve"> i</w:t>
      </w:r>
      <w:r w:rsidR="00B17460" w:rsidRPr="00B45853">
        <w:rPr>
          <w:rFonts w:ascii="Times New Roman" w:hAnsi="Times New Roman" w:cs="Times New Roman"/>
          <w:lang w:val="pl-PL"/>
        </w:rPr>
        <w:t xml:space="preserve"> </w:t>
      </w:r>
      <w:r w:rsidR="004E0616" w:rsidRPr="00B45853">
        <w:rPr>
          <w:rFonts w:ascii="Times New Roman" w:hAnsi="Times New Roman" w:cs="Times New Roman"/>
          <w:lang w:val="pl-PL"/>
        </w:rPr>
        <w:t>wnos</w:t>
      </w:r>
      <w:r w:rsidR="00272F1C" w:rsidRPr="00B45853">
        <w:rPr>
          <w:rFonts w:ascii="Times New Roman" w:hAnsi="Times New Roman" w:cs="Times New Roman"/>
          <w:lang w:val="pl-PL"/>
        </w:rPr>
        <w:t>zenie cennych</w:t>
      </w:r>
      <w:r w:rsidR="00B17460" w:rsidRPr="00B45853">
        <w:rPr>
          <w:rFonts w:ascii="Times New Roman" w:hAnsi="Times New Roman" w:cs="Times New Roman"/>
          <w:lang w:val="pl-PL"/>
        </w:rPr>
        <w:t xml:space="preserve"> pomysł</w:t>
      </w:r>
      <w:r w:rsidR="00272F1C" w:rsidRPr="00B45853">
        <w:rPr>
          <w:rFonts w:ascii="Times New Roman" w:hAnsi="Times New Roman" w:cs="Times New Roman"/>
          <w:lang w:val="pl-PL"/>
        </w:rPr>
        <w:t>ów</w:t>
      </w:r>
      <w:r w:rsidR="00B17460" w:rsidRPr="00B45853">
        <w:rPr>
          <w:rFonts w:ascii="Times New Roman" w:hAnsi="Times New Roman" w:cs="Times New Roman"/>
          <w:lang w:val="pl-PL"/>
        </w:rPr>
        <w:t xml:space="preserve"> do dyskusji o sprawach będących przedmiotem zainteresowania publicznego. Nie </w:t>
      </w:r>
      <w:r w:rsidR="006101F3">
        <w:rPr>
          <w:rFonts w:ascii="Times New Roman" w:hAnsi="Times New Roman" w:cs="Times New Roman"/>
          <w:lang w:val="pl-PL"/>
        </w:rPr>
        <w:t>istniało żadne</w:t>
      </w:r>
      <w:r w:rsidR="00B17460" w:rsidRPr="00B45853">
        <w:rPr>
          <w:rFonts w:ascii="Times New Roman" w:hAnsi="Times New Roman" w:cs="Times New Roman"/>
          <w:lang w:val="pl-PL"/>
        </w:rPr>
        <w:t xml:space="preserve"> praw</w:t>
      </w:r>
      <w:r w:rsidR="006101F3">
        <w:rPr>
          <w:rFonts w:ascii="Times New Roman" w:hAnsi="Times New Roman" w:cs="Times New Roman"/>
          <w:lang w:val="pl-PL"/>
        </w:rPr>
        <w:t>o</w:t>
      </w:r>
      <w:r w:rsidR="00B17460" w:rsidRPr="00B45853">
        <w:rPr>
          <w:rFonts w:ascii="Times New Roman" w:hAnsi="Times New Roman" w:cs="Times New Roman"/>
          <w:lang w:val="pl-PL"/>
        </w:rPr>
        <w:t xml:space="preserve"> nakładają</w:t>
      </w:r>
      <w:r w:rsidR="006101F3">
        <w:rPr>
          <w:rFonts w:ascii="Times New Roman" w:hAnsi="Times New Roman" w:cs="Times New Roman"/>
          <w:lang w:val="pl-PL"/>
        </w:rPr>
        <w:t>ce</w:t>
      </w:r>
      <w:r w:rsidR="00B17460" w:rsidRPr="00B45853">
        <w:rPr>
          <w:rFonts w:ascii="Times New Roman" w:hAnsi="Times New Roman" w:cs="Times New Roman"/>
          <w:lang w:val="pl-PL"/>
        </w:rPr>
        <w:t xml:space="preserve"> na wnioskodawcę</w:t>
      </w:r>
      <w:r w:rsidR="006101F3" w:rsidRPr="006101F3">
        <w:rPr>
          <w:rFonts w:ascii="Times New Roman" w:hAnsi="Times New Roman" w:cs="Times New Roman"/>
          <w:lang w:val="pl-PL"/>
        </w:rPr>
        <w:t xml:space="preserve"> </w:t>
      </w:r>
      <w:r w:rsidR="006101F3" w:rsidRPr="00B45853">
        <w:rPr>
          <w:rFonts w:ascii="Times New Roman" w:hAnsi="Times New Roman" w:cs="Times New Roman"/>
          <w:lang w:val="pl-PL"/>
        </w:rPr>
        <w:t>obowiązek</w:t>
      </w:r>
      <w:r w:rsidR="00B17460" w:rsidRPr="00B45853">
        <w:rPr>
          <w:rFonts w:ascii="Times New Roman" w:hAnsi="Times New Roman" w:cs="Times New Roman"/>
          <w:lang w:val="pl-PL"/>
        </w:rPr>
        <w:t>, aby aktywnie monitorować komentarze użytkowników</w:t>
      </w:r>
      <w:r w:rsidR="00A220C6" w:rsidRPr="00B45853">
        <w:rPr>
          <w:rFonts w:ascii="Times New Roman" w:hAnsi="Times New Roman" w:cs="Times New Roman"/>
          <w:lang w:val="pl-PL"/>
        </w:rPr>
        <w:t>.</w:t>
      </w:r>
    </w:p>
    <w:p w:rsidR="00A220C6" w:rsidRPr="00B45853" w:rsidRDefault="00A220C6" w:rsidP="00171A6F">
      <w:pPr>
        <w:pStyle w:val="ECHRHeading4"/>
        <w:rPr>
          <w:rFonts w:ascii="Times New Roman" w:hAnsi="Times New Roman" w:cs="Times New Roman"/>
          <w:lang w:val="pl-PL"/>
        </w:rPr>
      </w:pPr>
      <w:r w:rsidRPr="00B45853">
        <w:rPr>
          <w:rFonts w:ascii="Times New Roman" w:hAnsi="Times New Roman" w:cs="Times New Roman"/>
          <w:lang w:val="pl-PL"/>
        </w:rPr>
        <w:t>(d)</w:t>
      </w:r>
      <w:r w:rsidR="00FC6825" w:rsidRPr="00B45853">
        <w:rPr>
          <w:rFonts w:ascii="Times New Roman" w:hAnsi="Times New Roman" w:cs="Times New Roman"/>
          <w:lang w:val="pl-PL"/>
        </w:rPr>
        <w:t> </w:t>
      </w:r>
      <w:r w:rsidR="004E0616" w:rsidRPr="00B45853">
        <w:rPr>
          <w:rFonts w:ascii="Times New Roman" w:hAnsi="Times New Roman" w:cs="Times New Roman"/>
          <w:lang w:val="pl-PL"/>
        </w:rPr>
        <w:t>Uzasadniony cel</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71</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4E0616" w:rsidRPr="00B45853">
        <w:rPr>
          <w:rFonts w:ascii="Times New Roman" w:hAnsi="Times New Roman" w:cs="Times New Roman"/>
          <w:lang w:val="pl-PL"/>
        </w:rPr>
        <w:t>Skarżąca spółka nie kwestionuje, że ingerencja miała uzasadniony cel.</w:t>
      </w:r>
    </w:p>
    <w:p w:rsidR="00A220C6" w:rsidRPr="00B45853" w:rsidRDefault="00FC6825" w:rsidP="00171A6F">
      <w:pPr>
        <w:pStyle w:val="ECHRHeading4"/>
        <w:rPr>
          <w:rFonts w:ascii="Times New Roman" w:hAnsi="Times New Roman" w:cs="Times New Roman"/>
          <w:lang w:val="pl-PL"/>
        </w:rPr>
      </w:pPr>
      <w:r w:rsidRPr="00B45853">
        <w:rPr>
          <w:rFonts w:ascii="Times New Roman" w:hAnsi="Times New Roman" w:cs="Times New Roman"/>
          <w:lang w:val="pl-PL"/>
        </w:rPr>
        <w:lastRenderedPageBreak/>
        <w:t>(e) </w:t>
      </w:r>
      <w:r w:rsidR="004E0616" w:rsidRPr="00B45853">
        <w:rPr>
          <w:rFonts w:ascii="Times New Roman" w:hAnsi="Times New Roman" w:cs="Times New Roman"/>
          <w:lang w:val="pl-PL"/>
        </w:rPr>
        <w:t>Konieczność w demokratycznym społeczeństwie</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4E0616" w:rsidRPr="00B45853">
        <w:rPr>
          <w:rFonts w:ascii="Times New Roman" w:hAnsi="Times New Roman" w:cs="Times New Roman"/>
          <w:lang w:val="pl-PL"/>
        </w:rPr>
        <w:t xml:space="preserve">Zdaniem skarżącej spółki, ingerencja nie była konieczna w demokratycznym społeczeństwie. Argumentowała ona, że w wyniku wyroku Izby miała dwie możliwości. Po pierwsze, mogła zatrudnić armię wyszkolonych moderatorów do </w:t>
      </w:r>
      <w:r w:rsidR="00631F4D">
        <w:rPr>
          <w:rFonts w:ascii="Times New Roman" w:hAnsi="Times New Roman" w:cs="Times New Roman"/>
          <w:lang w:val="pl-PL"/>
        </w:rPr>
        <w:t>monitorowania</w:t>
      </w:r>
      <w:r w:rsidR="004E0616" w:rsidRPr="00B45853">
        <w:rPr>
          <w:rFonts w:ascii="Times New Roman" w:hAnsi="Times New Roman" w:cs="Times New Roman"/>
          <w:lang w:val="pl-PL"/>
        </w:rPr>
        <w:t xml:space="preserve"> (w czasie rzeczywistym) każd</w:t>
      </w:r>
      <w:r w:rsidR="00272F1C" w:rsidRPr="00B45853">
        <w:rPr>
          <w:rFonts w:ascii="Times New Roman" w:hAnsi="Times New Roman" w:cs="Times New Roman"/>
          <w:lang w:val="pl-PL"/>
        </w:rPr>
        <w:t>ej</w:t>
      </w:r>
      <w:r w:rsidR="004E0616" w:rsidRPr="00B45853">
        <w:rPr>
          <w:rFonts w:ascii="Times New Roman" w:hAnsi="Times New Roman" w:cs="Times New Roman"/>
          <w:lang w:val="pl-PL"/>
        </w:rPr>
        <w:t xml:space="preserve"> grup</w:t>
      </w:r>
      <w:r w:rsidR="00272F1C" w:rsidRPr="00B45853">
        <w:rPr>
          <w:rFonts w:ascii="Times New Roman" w:hAnsi="Times New Roman" w:cs="Times New Roman"/>
          <w:lang w:val="pl-PL"/>
        </w:rPr>
        <w:t>y</w:t>
      </w:r>
      <w:r w:rsidR="004E0616" w:rsidRPr="00B45853">
        <w:rPr>
          <w:rFonts w:ascii="Times New Roman" w:hAnsi="Times New Roman" w:cs="Times New Roman"/>
          <w:lang w:val="pl-PL"/>
        </w:rPr>
        <w:t xml:space="preserve"> dyskusyjn</w:t>
      </w:r>
      <w:r w:rsidR="00272F1C" w:rsidRPr="00B45853">
        <w:rPr>
          <w:rFonts w:ascii="Times New Roman" w:hAnsi="Times New Roman" w:cs="Times New Roman"/>
          <w:lang w:val="pl-PL"/>
        </w:rPr>
        <w:t>ej</w:t>
      </w:r>
      <w:r w:rsidR="004E0616" w:rsidRPr="00B45853">
        <w:rPr>
          <w:rFonts w:ascii="Times New Roman" w:hAnsi="Times New Roman" w:cs="Times New Roman"/>
          <w:lang w:val="pl-PL"/>
        </w:rPr>
        <w:t xml:space="preserve"> (dla każdego artykułu z wiadomościami)</w:t>
      </w:r>
      <w:r w:rsidR="00FC6825" w:rsidRPr="00B45853">
        <w:rPr>
          <w:rFonts w:ascii="Times New Roman" w:hAnsi="Times New Roman" w:cs="Times New Roman"/>
          <w:lang w:val="pl-PL"/>
        </w:rPr>
        <w:t xml:space="preserve"> </w:t>
      </w:r>
      <w:r w:rsidR="004E0616" w:rsidRPr="00B45853">
        <w:rPr>
          <w:rFonts w:ascii="Times New Roman" w:hAnsi="Times New Roman" w:cs="Times New Roman"/>
          <w:lang w:val="pl-PL"/>
        </w:rPr>
        <w:t>-monitorowania dowolnego komunikatu, który mógł być oznaczony jako zniesławiający (lub mógł naruszyć prawa własności intelektualnej</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inter</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alia</w:t>
      </w:r>
      <w:proofErr w:type="spellEnd"/>
      <w:r w:rsidR="00A220C6" w:rsidRPr="00B45853">
        <w:rPr>
          <w:rFonts w:ascii="Times New Roman" w:hAnsi="Times New Roman" w:cs="Times New Roman"/>
          <w:lang w:val="pl-PL"/>
        </w:rPr>
        <w:t xml:space="preserve">); </w:t>
      </w:r>
      <w:r w:rsidR="004E0616" w:rsidRPr="00B45853">
        <w:rPr>
          <w:rFonts w:ascii="Times New Roman" w:hAnsi="Times New Roman" w:cs="Times New Roman"/>
          <w:lang w:val="pl-PL"/>
        </w:rPr>
        <w:t xml:space="preserve">na koniec dnia, ci moderatorzy mogliby, na wszelki wypadek, usunąć wszelkie wrażliwe uwagi i wszystkie moderowane rozmowy, tak aby były one ograniczone do najmniej kontrowersyjnych kwestii. W przeciwnym wypadku </w:t>
      </w:r>
      <w:r w:rsidR="003F04E1" w:rsidRPr="00B45853">
        <w:rPr>
          <w:rFonts w:ascii="Times New Roman" w:hAnsi="Times New Roman" w:cs="Times New Roman"/>
          <w:lang w:val="pl-PL"/>
        </w:rPr>
        <w:t>mogłaby</w:t>
      </w:r>
      <w:r w:rsidR="004E0616" w:rsidRPr="00B45853">
        <w:rPr>
          <w:rFonts w:ascii="Times New Roman" w:hAnsi="Times New Roman" w:cs="Times New Roman"/>
          <w:lang w:val="pl-PL"/>
        </w:rPr>
        <w:t xml:space="preserve"> po prostu uniknąć takiego ogromnego ryzy</w:t>
      </w:r>
      <w:r w:rsidR="003F04E1" w:rsidRPr="00B45853">
        <w:rPr>
          <w:rFonts w:ascii="Times New Roman" w:hAnsi="Times New Roman" w:cs="Times New Roman"/>
          <w:lang w:val="pl-PL"/>
        </w:rPr>
        <w:t>ka i w ogóle zamknąć te fora</w:t>
      </w:r>
      <w:r w:rsidR="004E0616" w:rsidRPr="00B45853">
        <w:rPr>
          <w:rFonts w:ascii="Times New Roman" w:hAnsi="Times New Roman" w:cs="Times New Roman"/>
          <w:lang w:val="pl-PL"/>
        </w:rPr>
        <w:t xml:space="preserve">. </w:t>
      </w:r>
      <w:r w:rsidR="00875CB6">
        <w:rPr>
          <w:rFonts w:ascii="Times New Roman" w:hAnsi="Times New Roman" w:cs="Times New Roman"/>
          <w:lang w:val="pl-PL"/>
        </w:rPr>
        <w:t>W przeciwnym przypadku</w:t>
      </w:r>
      <w:r w:rsidR="004E0616" w:rsidRPr="00B45853">
        <w:rPr>
          <w:rFonts w:ascii="Times New Roman" w:hAnsi="Times New Roman" w:cs="Times New Roman"/>
          <w:lang w:val="pl-PL"/>
        </w:rPr>
        <w:t>, możliwości technologiczne, aby zapewnić zwykły</w:t>
      </w:r>
      <w:r w:rsidR="003F04E1" w:rsidRPr="00B45853">
        <w:rPr>
          <w:rFonts w:ascii="Times New Roman" w:hAnsi="Times New Roman" w:cs="Times New Roman"/>
          <w:lang w:val="pl-PL"/>
        </w:rPr>
        <w:t>m</w:t>
      </w:r>
      <w:r w:rsidR="004E0616" w:rsidRPr="00B45853">
        <w:rPr>
          <w:rFonts w:ascii="Times New Roman" w:hAnsi="Times New Roman" w:cs="Times New Roman"/>
          <w:lang w:val="pl-PL"/>
        </w:rPr>
        <w:t xml:space="preserve"> czytelnik</w:t>
      </w:r>
      <w:r w:rsidR="003F04E1" w:rsidRPr="00B45853">
        <w:rPr>
          <w:rFonts w:ascii="Times New Roman" w:hAnsi="Times New Roman" w:cs="Times New Roman"/>
          <w:lang w:val="pl-PL"/>
        </w:rPr>
        <w:t xml:space="preserve">om </w:t>
      </w:r>
      <w:r w:rsidR="00272F1C" w:rsidRPr="00B45853">
        <w:rPr>
          <w:rFonts w:ascii="Times New Roman" w:hAnsi="Times New Roman" w:cs="Times New Roman"/>
          <w:lang w:val="pl-PL"/>
        </w:rPr>
        <w:t>okazję</w:t>
      </w:r>
      <w:r w:rsidR="003F04E1" w:rsidRPr="00B45853">
        <w:rPr>
          <w:rFonts w:ascii="Times New Roman" w:hAnsi="Times New Roman" w:cs="Times New Roman"/>
          <w:lang w:val="pl-PL"/>
        </w:rPr>
        <w:t xml:space="preserve"> do</w:t>
      </w:r>
      <w:r w:rsidR="004E0616" w:rsidRPr="00B45853">
        <w:rPr>
          <w:rFonts w:ascii="Times New Roman" w:hAnsi="Times New Roman" w:cs="Times New Roman"/>
          <w:lang w:val="pl-PL"/>
        </w:rPr>
        <w:t xml:space="preserve"> swobodn</w:t>
      </w:r>
      <w:r w:rsidR="003F04E1" w:rsidRPr="00B45853">
        <w:rPr>
          <w:rFonts w:ascii="Times New Roman" w:hAnsi="Times New Roman" w:cs="Times New Roman"/>
          <w:lang w:val="pl-PL"/>
        </w:rPr>
        <w:t>ej</w:t>
      </w:r>
      <w:r w:rsidR="004E0616" w:rsidRPr="00B45853">
        <w:rPr>
          <w:rFonts w:ascii="Times New Roman" w:hAnsi="Times New Roman" w:cs="Times New Roman"/>
          <w:lang w:val="pl-PL"/>
        </w:rPr>
        <w:t xml:space="preserve"> wypowiedzi na temat codziennych wiadomości i niezależnie</w:t>
      </w:r>
      <w:r w:rsidR="003F04E1" w:rsidRPr="00B45853">
        <w:rPr>
          <w:rFonts w:ascii="Times New Roman" w:hAnsi="Times New Roman" w:cs="Times New Roman"/>
          <w:lang w:val="pl-PL"/>
        </w:rPr>
        <w:t xml:space="preserve"> wziąć</w:t>
      </w:r>
      <w:r w:rsidR="004E0616" w:rsidRPr="00B45853">
        <w:rPr>
          <w:rFonts w:ascii="Times New Roman" w:hAnsi="Times New Roman" w:cs="Times New Roman"/>
          <w:lang w:val="pl-PL"/>
        </w:rPr>
        <w:t xml:space="preserve"> na siebie odpowiedzialność za </w:t>
      </w:r>
      <w:r w:rsidR="003F04E1" w:rsidRPr="00B45853">
        <w:rPr>
          <w:rFonts w:ascii="Times New Roman" w:hAnsi="Times New Roman" w:cs="Times New Roman"/>
          <w:lang w:val="pl-PL"/>
        </w:rPr>
        <w:t xml:space="preserve">własne komentarze </w:t>
      </w:r>
      <w:r w:rsidR="004E0616" w:rsidRPr="00B45853">
        <w:rPr>
          <w:rFonts w:ascii="Times New Roman" w:hAnsi="Times New Roman" w:cs="Times New Roman"/>
          <w:lang w:val="pl-PL"/>
        </w:rPr>
        <w:t xml:space="preserve">zostałyby </w:t>
      </w:r>
      <w:r w:rsidR="003F04E1" w:rsidRPr="00B45853">
        <w:rPr>
          <w:rFonts w:ascii="Times New Roman" w:hAnsi="Times New Roman" w:cs="Times New Roman"/>
          <w:lang w:val="pl-PL"/>
        </w:rPr>
        <w:t>zaniechane</w:t>
      </w:r>
      <w:r w:rsidR="004E0616" w:rsidRPr="00B45853">
        <w:rPr>
          <w:rFonts w:ascii="Times New Roman" w:hAnsi="Times New Roman" w:cs="Times New Roman"/>
          <w:lang w:val="pl-PL"/>
        </w:rPr>
        <w:t>.</w:t>
      </w:r>
    </w:p>
    <w:p w:rsidR="00B413BF" w:rsidRPr="008E77E9"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F04E1" w:rsidRPr="00B45853">
        <w:rPr>
          <w:rFonts w:ascii="Times New Roman" w:hAnsi="Times New Roman" w:cs="Times New Roman"/>
          <w:lang w:val="pl-PL"/>
        </w:rPr>
        <w:t xml:space="preserve">Skarżąca spółka argumentowała, że wyrok Sądu Najwyższego miał "mrożący efekt" na </w:t>
      </w:r>
      <w:r w:rsidR="003F04E1" w:rsidRPr="008E77E9">
        <w:rPr>
          <w:rFonts w:ascii="Times New Roman" w:hAnsi="Times New Roman" w:cs="Times New Roman"/>
          <w:lang w:val="pl-PL"/>
        </w:rPr>
        <w:t xml:space="preserve">wolność słowa i że ograniczył swobodę skarżącej spółki do przekazywania informacji. Urósł on do ustanowienia obowiązku cenzurowania </w:t>
      </w:r>
      <w:r w:rsidR="001611A6" w:rsidRPr="008E77E9">
        <w:rPr>
          <w:rFonts w:ascii="Times New Roman" w:hAnsi="Times New Roman" w:cs="Times New Roman"/>
          <w:lang w:val="pl-PL"/>
        </w:rPr>
        <w:t>osób prywatnych</w:t>
      </w:r>
      <w:r w:rsidR="00A220C6" w:rsidRPr="008E77E9">
        <w:rPr>
          <w:rFonts w:ascii="Times New Roman" w:hAnsi="Times New Roman" w:cs="Times New Roman"/>
          <w:lang w:val="pl-PL"/>
        </w:rPr>
        <w:t>.</w:t>
      </w:r>
    </w:p>
    <w:p w:rsidR="00B413BF" w:rsidRPr="008E77E9" w:rsidRDefault="00DD67A4" w:rsidP="00171A6F">
      <w:pPr>
        <w:pStyle w:val="ECHRPara"/>
        <w:rPr>
          <w:rFonts w:ascii="Times New Roman" w:hAnsi="Times New Roman" w:cs="Times New Roman"/>
          <w:lang w:val="pl-PL"/>
        </w:rPr>
      </w:pPr>
      <w:r w:rsidRPr="008E77E9">
        <w:rPr>
          <w:rFonts w:ascii="Times New Roman" w:hAnsi="Times New Roman" w:cs="Times New Roman"/>
          <w:lang w:val="en-GB"/>
        </w:rPr>
        <w:fldChar w:fldCharType="begin"/>
      </w:r>
      <w:r w:rsidR="00A220C6" w:rsidRPr="008E77E9">
        <w:rPr>
          <w:rFonts w:ascii="Times New Roman" w:hAnsi="Times New Roman" w:cs="Times New Roman"/>
          <w:lang w:val="pl-PL"/>
        </w:rPr>
        <w:instrText xml:space="preserve"> SEQ level0 \*arabic </w:instrText>
      </w:r>
      <w:r w:rsidRPr="008E77E9">
        <w:rPr>
          <w:rFonts w:ascii="Times New Roman" w:hAnsi="Times New Roman" w:cs="Times New Roman"/>
          <w:lang w:val="en-GB"/>
        </w:rPr>
        <w:fldChar w:fldCharType="separate"/>
      </w:r>
      <w:r w:rsidR="002F0EE0" w:rsidRPr="008E77E9">
        <w:rPr>
          <w:rFonts w:ascii="Times New Roman" w:hAnsi="Times New Roman" w:cs="Times New Roman"/>
          <w:noProof/>
          <w:lang w:val="pl-PL"/>
        </w:rPr>
        <w:t>74</w:t>
      </w:r>
      <w:r w:rsidRPr="008E77E9">
        <w:rPr>
          <w:rFonts w:ascii="Times New Roman" w:hAnsi="Times New Roman" w:cs="Times New Roman"/>
          <w:lang w:val="en-GB"/>
        </w:rPr>
        <w:fldChar w:fldCharType="end"/>
      </w:r>
      <w:r w:rsidR="00A220C6" w:rsidRPr="008E77E9">
        <w:rPr>
          <w:rFonts w:ascii="Times New Roman" w:hAnsi="Times New Roman" w:cs="Times New Roman"/>
          <w:lang w:val="pl-PL"/>
        </w:rPr>
        <w:t>.  </w:t>
      </w:r>
      <w:r w:rsidR="003F04E1" w:rsidRPr="008E77E9">
        <w:rPr>
          <w:rFonts w:ascii="Times New Roman" w:hAnsi="Times New Roman" w:cs="Times New Roman"/>
          <w:lang w:val="pl-PL"/>
        </w:rPr>
        <w:t xml:space="preserve">Na poparcie swojej tezy, że ingerencja nie była konieczna w demokratycznym społeczeństwie, </w:t>
      </w:r>
      <w:r w:rsidR="004C4405" w:rsidRPr="008E77E9">
        <w:rPr>
          <w:rFonts w:ascii="Times New Roman" w:hAnsi="Times New Roman" w:cs="Times New Roman"/>
          <w:lang w:val="pl-PL"/>
        </w:rPr>
        <w:t>skarżąca spółka</w:t>
      </w:r>
      <w:r w:rsidR="003F04E1" w:rsidRPr="008E77E9">
        <w:rPr>
          <w:rFonts w:ascii="Times New Roman" w:hAnsi="Times New Roman" w:cs="Times New Roman"/>
          <w:lang w:val="pl-PL"/>
        </w:rPr>
        <w:t xml:space="preserve"> powołał</w:t>
      </w:r>
      <w:r w:rsidR="004C4405" w:rsidRPr="008E77E9">
        <w:rPr>
          <w:rFonts w:ascii="Times New Roman" w:hAnsi="Times New Roman" w:cs="Times New Roman"/>
          <w:lang w:val="pl-PL"/>
        </w:rPr>
        <w:t>a</w:t>
      </w:r>
      <w:r w:rsidR="003F04E1" w:rsidRPr="008E77E9">
        <w:rPr>
          <w:rFonts w:ascii="Times New Roman" w:hAnsi="Times New Roman" w:cs="Times New Roman"/>
          <w:lang w:val="pl-PL"/>
        </w:rPr>
        <w:t xml:space="preserve"> się na następujące czynniki.</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75</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F04E1" w:rsidRPr="00B45853">
        <w:rPr>
          <w:rFonts w:ascii="Times New Roman" w:hAnsi="Times New Roman" w:cs="Times New Roman"/>
          <w:lang w:val="pl-PL"/>
        </w:rPr>
        <w:t>Po pierwsze, twierdził</w:t>
      </w:r>
      <w:r w:rsidR="004C4405" w:rsidRPr="00B45853">
        <w:rPr>
          <w:rFonts w:ascii="Times New Roman" w:hAnsi="Times New Roman" w:cs="Times New Roman"/>
          <w:lang w:val="pl-PL"/>
        </w:rPr>
        <w:t>a</w:t>
      </w:r>
      <w:r w:rsidR="003F04E1" w:rsidRPr="00B45853">
        <w:rPr>
          <w:rFonts w:ascii="Times New Roman" w:hAnsi="Times New Roman" w:cs="Times New Roman"/>
          <w:lang w:val="pl-PL"/>
        </w:rPr>
        <w:t xml:space="preserve"> on</w:t>
      </w:r>
      <w:r w:rsidR="004C4405" w:rsidRPr="00B45853">
        <w:rPr>
          <w:rFonts w:ascii="Times New Roman" w:hAnsi="Times New Roman" w:cs="Times New Roman"/>
          <w:lang w:val="pl-PL"/>
        </w:rPr>
        <w:t>a</w:t>
      </w:r>
      <w:r w:rsidR="003F04E1" w:rsidRPr="00B45853">
        <w:rPr>
          <w:rFonts w:ascii="Times New Roman" w:hAnsi="Times New Roman" w:cs="Times New Roman"/>
          <w:lang w:val="pl-PL"/>
        </w:rPr>
        <w:t xml:space="preserve">, że komentarze były reakcją członków społeczeństwa na zdarzenie spowodowane przez </w:t>
      </w:r>
      <w:proofErr w:type="spellStart"/>
      <w:r w:rsidR="003F04E1" w:rsidRPr="00B45853">
        <w:rPr>
          <w:rFonts w:ascii="Times New Roman" w:hAnsi="Times New Roman" w:cs="Times New Roman"/>
          <w:lang w:val="pl-PL"/>
        </w:rPr>
        <w:t>Saaremaa</w:t>
      </w:r>
      <w:proofErr w:type="spellEnd"/>
      <w:r w:rsidR="003F04E1" w:rsidRPr="00B45853">
        <w:rPr>
          <w:rFonts w:ascii="Times New Roman" w:hAnsi="Times New Roman" w:cs="Times New Roman"/>
          <w:lang w:val="pl-PL"/>
        </w:rPr>
        <w:t xml:space="preserve"> </w:t>
      </w:r>
      <w:proofErr w:type="spellStart"/>
      <w:r w:rsidR="003F04E1" w:rsidRPr="00B45853">
        <w:rPr>
          <w:rFonts w:ascii="Times New Roman" w:hAnsi="Times New Roman" w:cs="Times New Roman"/>
          <w:lang w:val="pl-PL"/>
        </w:rPr>
        <w:t>Shipping</w:t>
      </w:r>
      <w:proofErr w:type="spellEnd"/>
      <w:r w:rsidR="003F04E1" w:rsidRPr="00B45853">
        <w:rPr>
          <w:rFonts w:ascii="Times New Roman" w:hAnsi="Times New Roman" w:cs="Times New Roman"/>
          <w:lang w:val="pl-PL"/>
        </w:rPr>
        <w:t xml:space="preserve"> Company, a nie do artykułu jako takiego. Ponadto artykuł był zrównoważony i neutralny. Poruszał on problem o wielkim znaczeniu dla mieszkańców największej wyspy Estonii wpływający na ich codzienne życie. Negatywne reakcje czytelników nie zostały spowodowane przez artykuł, ale przez przedsiębiorstwo żeglugowe</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F04E1" w:rsidRPr="00B45853">
        <w:rPr>
          <w:rFonts w:ascii="Times New Roman" w:hAnsi="Times New Roman" w:cs="Times New Roman"/>
          <w:lang w:val="pl-PL"/>
        </w:rPr>
        <w:t>Po drugie, skarżąca spółka zastosowała wystarczające środki w celu zapobiegnięcia lub usunięcia zniesławiających komentarzy; w niniejszym przypadku uwagi te zostały usunięte w tym samym dniu, w którym wnioskodawca został o nich powiadomiony</w:t>
      </w:r>
      <w:r w:rsidR="00A220C6" w:rsidRPr="00B45853">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9615CB" w:rsidRPr="00B45853">
        <w:rPr>
          <w:rFonts w:ascii="Times New Roman" w:hAnsi="Times New Roman" w:cs="Times New Roman"/>
          <w:lang w:val="pl-PL"/>
        </w:rPr>
        <w:t xml:space="preserve">Po trzecie, skarżąca spółka argumentowała, że </w:t>
      </w:r>
      <w:r w:rsidR="00852A61">
        <w:rPr>
          <w:rFonts w:ascii="Times New Roman" w:hAnsi="Times New Roman" w:cs="Times New Roman"/>
          <w:lang w:val="pl-PL"/>
        </w:rPr>
        <w:t>faktyczni</w:t>
      </w:r>
      <w:r w:rsidR="009615CB" w:rsidRPr="00B45853">
        <w:rPr>
          <w:rFonts w:ascii="Times New Roman" w:hAnsi="Times New Roman" w:cs="Times New Roman"/>
          <w:lang w:val="pl-PL"/>
        </w:rPr>
        <w:t xml:space="preserve"> autorzy komentarzy powinni ponosić odpowiedzialność za ich treść. To nie zgadza się ze stwierdzeniem Izby, że trudno było ustali</w:t>
      </w:r>
      <w:r w:rsidR="004C4405" w:rsidRPr="00B45853">
        <w:rPr>
          <w:rFonts w:ascii="Times New Roman" w:hAnsi="Times New Roman" w:cs="Times New Roman"/>
          <w:lang w:val="pl-PL"/>
        </w:rPr>
        <w:t>ć tożsamość autorów komentarzy</w:t>
      </w:r>
      <w:r w:rsidR="009615CB" w:rsidRPr="00B45853">
        <w:rPr>
          <w:rFonts w:ascii="Times New Roman" w:hAnsi="Times New Roman" w:cs="Times New Roman"/>
          <w:lang w:val="pl-PL"/>
        </w:rPr>
        <w:t xml:space="preserve"> i </w:t>
      </w:r>
      <w:r w:rsidR="009615CB" w:rsidRPr="00AD5925">
        <w:rPr>
          <w:rFonts w:ascii="Times New Roman" w:hAnsi="Times New Roman" w:cs="Times New Roman"/>
          <w:lang w:val="pl-PL"/>
        </w:rPr>
        <w:t>twierdziła, że tożsamość autorów mogła zostać ustalona podczas procedury "</w:t>
      </w:r>
      <w:r w:rsidR="001611A6" w:rsidRPr="00AD5925">
        <w:rPr>
          <w:rFonts w:ascii="Times New Roman" w:hAnsi="Times New Roman" w:cs="Times New Roman"/>
          <w:lang w:val="pl-PL"/>
        </w:rPr>
        <w:t xml:space="preserve">dowodowego postępowania </w:t>
      </w:r>
      <w:proofErr w:type="spellStart"/>
      <w:r w:rsidR="001611A6" w:rsidRPr="00AD5925">
        <w:rPr>
          <w:rFonts w:ascii="Times New Roman" w:hAnsi="Times New Roman" w:cs="Times New Roman"/>
          <w:lang w:val="pl-PL"/>
        </w:rPr>
        <w:t>przedprocesowego</w:t>
      </w:r>
      <w:proofErr w:type="spellEnd"/>
      <w:r w:rsidR="001611A6" w:rsidRPr="00AD5925">
        <w:rPr>
          <w:rFonts w:ascii="Times New Roman" w:hAnsi="Times New Roman" w:cs="Times New Roman"/>
          <w:lang w:val="pl-PL"/>
        </w:rPr>
        <w:t>”</w:t>
      </w:r>
      <w:r w:rsidR="009615CB" w:rsidRPr="00AD5925">
        <w:rPr>
          <w:rFonts w:ascii="Times New Roman" w:hAnsi="Times New Roman" w:cs="Times New Roman"/>
          <w:lang w:val="pl-PL"/>
        </w:rPr>
        <w:t xml:space="preserve"> na podstawie Artykułu 244 Kodeksu Postępowania C</w:t>
      </w:r>
      <w:r w:rsidR="004C4405" w:rsidRPr="00AD5925">
        <w:rPr>
          <w:rFonts w:ascii="Times New Roman" w:hAnsi="Times New Roman" w:cs="Times New Roman"/>
          <w:lang w:val="pl-PL"/>
        </w:rPr>
        <w:t>ywilnego, g</w:t>
      </w:r>
      <w:r w:rsidR="009615CB" w:rsidRPr="00AD5925">
        <w:rPr>
          <w:rFonts w:ascii="Times New Roman" w:hAnsi="Times New Roman" w:cs="Times New Roman"/>
          <w:lang w:val="pl-PL"/>
        </w:rPr>
        <w:t>dyby nazwiska i adresy autorów mogłyby być usta</w:t>
      </w:r>
      <w:r w:rsidR="001611A6" w:rsidRPr="00AD5925">
        <w:rPr>
          <w:rFonts w:ascii="Times New Roman" w:hAnsi="Times New Roman" w:cs="Times New Roman"/>
          <w:lang w:val="pl-PL"/>
        </w:rPr>
        <w:t>lone, roszczenia wobec nich mogłyby</w:t>
      </w:r>
      <w:r w:rsidR="009615CB" w:rsidRPr="00AD5925">
        <w:rPr>
          <w:rFonts w:ascii="Times New Roman" w:hAnsi="Times New Roman" w:cs="Times New Roman"/>
          <w:lang w:val="pl-PL"/>
        </w:rPr>
        <w:t xml:space="preserve"> być </w:t>
      </w:r>
      <w:r w:rsidR="004C4405" w:rsidRPr="00AD5925">
        <w:rPr>
          <w:rFonts w:ascii="Times New Roman" w:hAnsi="Times New Roman" w:cs="Times New Roman"/>
          <w:lang w:val="pl-PL"/>
        </w:rPr>
        <w:t>wysunięte</w:t>
      </w:r>
      <w:r w:rsidR="009615CB" w:rsidRPr="00AD5925">
        <w:rPr>
          <w:rFonts w:ascii="Times New Roman" w:hAnsi="Times New Roman" w:cs="Times New Roman"/>
          <w:lang w:val="pl-PL"/>
        </w:rPr>
        <w:t>, bez żadnych trudności</w:t>
      </w:r>
      <w:r w:rsidR="00A220C6" w:rsidRPr="00AD5925">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78</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9615CB" w:rsidRPr="00AD5925">
        <w:rPr>
          <w:rFonts w:ascii="Times New Roman" w:hAnsi="Times New Roman" w:cs="Times New Roman"/>
          <w:lang w:val="pl-PL"/>
        </w:rPr>
        <w:t xml:space="preserve">Po czwarte, skarżąca spółka twierdziła, że nie było naglącej potrzeby społecznej w </w:t>
      </w:r>
      <w:r w:rsidR="00AA44DF">
        <w:rPr>
          <w:rFonts w:ascii="Times New Roman" w:hAnsi="Times New Roman" w:cs="Times New Roman"/>
          <w:lang w:val="pl-PL"/>
        </w:rPr>
        <w:t xml:space="preserve">zastosowaniu </w:t>
      </w:r>
      <w:r w:rsidR="00732194">
        <w:rPr>
          <w:rFonts w:ascii="Times New Roman" w:hAnsi="Times New Roman" w:cs="Times New Roman"/>
          <w:lang w:val="pl-PL"/>
        </w:rPr>
        <w:t>surowych</w:t>
      </w:r>
      <w:r w:rsidR="00AA44DF">
        <w:rPr>
          <w:rFonts w:ascii="Times New Roman" w:hAnsi="Times New Roman" w:cs="Times New Roman"/>
          <w:lang w:val="pl-PL"/>
        </w:rPr>
        <w:t xml:space="preserve"> </w:t>
      </w:r>
      <w:r w:rsidR="009615CB" w:rsidRPr="00AD5925">
        <w:rPr>
          <w:rFonts w:ascii="Times New Roman" w:hAnsi="Times New Roman" w:cs="Times New Roman"/>
          <w:lang w:val="pl-PL"/>
        </w:rPr>
        <w:t>standard</w:t>
      </w:r>
      <w:r w:rsidR="00732194">
        <w:rPr>
          <w:rFonts w:ascii="Times New Roman" w:hAnsi="Times New Roman" w:cs="Times New Roman"/>
          <w:lang w:val="pl-PL"/>
        </w:rPr>
        <w:t>ów</w:t>
      </w:r>
      <w:r w:rsidR="009615CB" w:rsidRPr="00AD5925">
        <w:rPr>
          <w:rFonts w:ascii="Times New Roman" w:hAnsi="Times New Roman" w:cs="Times New Roman"/>
          <w:lang w:val="pl-PL"/>
        </w:rPr>
        <w:t xml:space="preserve"> odpowiedzialności </w:t>
      </w:r>
      <w:r w:rsidR="009615CB" w:rsidRPr="00AD5925">
        <w:rPr>
          <w:rFonts w:ascii="Times New Roman" w:hAnsi="Times New Roman" w:cs="Times New Roman"/>
          <w:lang w:val="pl-PL"/>
        </w:rPr>
        <w:lastRenderedPageBreak/>
        <w:t xml:space="preserve">usługodawców. Argumentowała ona, że istnieje europejski konsensus, </w:t>
      </w:r>
      <w:r w:rsidR="00887799">
        <w:rPr>
          <w:rFonts w:ascii="Times New Roman" w:hAnsi="Times New Roman" w:cs="Times New Roman"/>
          <w:lang w:val="pl-PL"/>
        </w:rPr>
        <w:br/>
      </w:r>
      <w:r w:rsidR="009615CB" w:rsidRPr="00AD5925">
        <w:rPr>
          <w:rFonts w:ascii="Times New Roman" w:hAnsi="Times New Roman" w:cs="Times New Roman"/>
          <w:lang w:val="pl-PL"/>
        </w:rPr>
        <w:t>że żaden usługodawca</w:t>
      </w:r>
      <w:r w:rsidR="001611A6" w:rsidRPr="00AD5925">
        <w:rPr>
          <w:rFonts w:ascii="Times New Roman" w:hAnsi="Times New Roman" w:cs="Times New Roman"/>
          <w:lang w:val="pl-PL"/>
        </w:rPr>
        <w:t xml:space="preserve"> nie</w:t>
      </w:r>
      <w:r w:rsidR="009615CB" w:rsidRPr="00AD5925">
        <w:rPr>
          <w:rFonts w:ascii="Times New Roman" w:hAnsi="Times New Roman" w:cs="Times New Roman"/>
          <w:lang w:val="pl-PL"/>
        </w:rPr>
        <w:t xml:space="preserve"> powinien być odpowiedzialny za treści, których nie był autorem. W związku z tym margines uznania przyznany Umawiającym się państwom</w:t>
      </w:r>
      <w:r w:rsidR="004C4405" w:rsidRPr="00AD5925">
        <w:rPr>
          <w:rFonts w:ascii="Times New Roman" w:hAnsi="Times New Roman" w:cs="Times New Roman"/>
          <w:lang w:val="pl-PL"/>
        </w:rPr>
        <w:t xml:space="preserve"> w tym zakresie był</w:t>
      </w:r>
      <w:r w:rsidR="009615CB" w:rsidRPr="00AD5925">
        <w:rPr>
          <w:rFonts w:ascii="Times New Roman" w:hAnsi="Times New Roman" w:cs="Times New Roman"/>
          <w:lang w:val="pl-PL"/>
        </w:rPr>
        <w:t xml:space="preserve"> </w:t>
      </w:r>
      <w:r w:rsidR="009615CB" w:rsidRPr="00B45853">
        <w:rPr>
          <w:rFonts w:ascii="Times New Roman" w:hAnsi="Times New Roman" w:cs="Times New Roman"/>
          <w:lang w:val="pl-PL"/>
        </w:rPr>
        <w:t>wąski. Ponadto uważa, że skromna suma</w:t>
      </w:r>
      <w:r w:rsidR="00FC6825" w:rsidRPr="00B45853">
        <w:rPr>
          <w:rFonts w:ascii="Times New Roman" w:hAnsi="Times New Roman" w:cs="Times New Roman"/>
          <w:lang w:val="pl-PL"/>
        </w:rPr>
        <w:t>,</w:t>
      </w:r>
      <w:r w:rsidR="009615CB" w:rsidRPr="00B45853">
        <w:rPr>
          <w:rFonts w:ascii="Times New Roman" w:hAnsi="Times New Roman" w:cs="Times New Roman"/>
          <w:lang w:val="pl-PL"/>
        </w:rPr>
        <w:t xml:space="preserve"> którą została ona obciążona jako koszty odszkodowania za szkodę niemajątkową</w:t>
      </w:r>
      <w:r w:rsidR="00FC6825" w:rsidRPr="00B45853">
        <w:rPr>
          <w:rFonts w:ascii="Times New Roman" w:hAnsi="Times New Roman" w:cs="Times New Roman"/>
          <w:lang w:val="pl-PL"/>
        </w:rPr>
        <w:t>,</w:t>
      </w:r>
      <w:r w:rsidR="009615CB" w:rsidRPr="00B45853">
        <w:rPr>
          <w:rFonts w:ascii="Times New Roman" w:hAnsi="Times New Roman" w:cs="Times New Roman"/>
          <w:lang w:val="pl-PL"/>
        </w:rPr>
        <w:t xml:space="preserve"> nie uzasadniała ingerencji. Podkreśla również, że jeśli skarżąca spółka </w:t>
      </w:r>
      <w:r w:rsidR="00C62846">
        <w:rPr>
          <w:rFonts w:ascii="Times New Roman" w:hAnsi="Times New Roman" w:cs="Times New Roman"/>
          <w:lang w:val="pl-PL"/>
        </w:rPr>
        <w:t xml:space="preserve">była spółką z </w:t>
      </w:r>
      <w:r w:rsidR="009615CB" w:rsidRPr="00B45853">
        <w:rPr>
          <w:rFonts w:ascii="Times New Roman" w:hAnsi="Times New Roman" w:cs="Times New Roman"/>
          <w:lang w:val="pl-PL"/>
        </w:rPr>
        <w:t xml:space="preserve">ograniczoną odpowiedzialnością, </w:t>
      </w:r>
      <w:r w:rsidR="00E42B03">
        <w:rPr>
          <w:rFonts w:ascii="Times New Roman" w:hAnsi="Times New Roman" w:cs="Times New Roman"/>
          <w:lang w:val="pl-PL"/>
        </w:rPr>
        <w:t>pierwotny</w:t>
      </w:r>
      <w:r w:rsidR="009615CB" w:rsidRPr="00B45853">
        <w:rPr>
          <w:rFonts w:ascii="Times New Roman" w:hAnsi="Times New Roman" w:cs="Times New Roman"/>
          <w:lang w:val="pl-PL"/>
        </w:rPr>
        <w:t xml:space="preserve"> powód nie zostałby pozostawiony bez </w:t>
      </w:r>
      <w:r w:rsidR="004C4405" w:rsidRPr="00B45853">
        <w:rPr>
          <w:rFonts w:ascii="Times New Roman" w:hAnsi="Times New Roman" w:cs="Times New Roman"/>
          <w:lang w:val="pl-PL"/>
        </w:rPr>
        <w:t>rozwiązania</w:t>
      </w:r>
      <w:r w:rsidR="00FC6825" w:rsidRPr="00B45853">
        <w:rPr>
          <w:rFonts w:ascii="Times New Roman" w:hAnsi="Times New Roman" w:cs="Times New Roman"/>
          <w:lang w:val="pl-PL"/>
        </w:rPr>
        <w:t>-</w:t>
      </w:r>
      <w:r w:rsidR="009615CB" w:rsidRPr="00B45853">
        <w:rPr>
          <w:rFonts w:ascii="Times New Roman" w:hAnsi="Times New Roman" w:cs="Times New Roman"/>
          <w:lang w:val="pl-PL"/>
        </w:rPr>
        <w:t>mógłby pozwać rzeczywistych autorów komentarzy. Skarżąca spółka sprzeciwiła się wobec utworzeni</w:t>
      </w:r>
      <w:r w:rsidR="00E42B03">
        <w:rPr>
          <w:rFonts w:ascii="Times New Roman" w:hAnsi="Times New Roman" w:cs="Times New Roman"/>
          <w:lang w:val="pl-PL"/>
        </w:rPr>
        <w:t>u</w:t>
      </w:r>
      <w:r w:rsidR="009615CB" w:rsidRPr="00B45853">
        <w:rPr>
          <w:rFonts w:ascii="Times New Roman" w:hAnsi="Times New Roman" w:cs="Times New Roman"/>
          <w:lang w:val="pl-PL"/>
        </w:rPr>
        <w:t xml:space="preserve"> prywatnej cenzury i stwierdziła, że wystarczyło mieć dwutorowy system ochrony praw osób trzecich: system powiadamiania </w:t>
      </w:r>
      <w:r w:rsidR="00A04162">
        <w:rPr>
          <w:rFonts w:ascii="Times New Roman" w:hAnsi="Times New Roman" w:cs="Times New Roman"/>
          <w:lang w:val="pl-PL"/>
        </w:rPr>
        <w:br/>
      </w:r>
      <w:r w:rsidR="009615CB" w:rsidRPr="00B45853">
        <w:rPr>
          <w:rFonts w:ascii="Times New Roman" w:hAnsi="Times New Roman" w:cs="Times New Roman"/>
          <w:lang w:val="pl-PL"/>
        </w:rPr>
        <w:t xml:space="preserve">i usuwania oraz możliwość wniesienia roszczenia przeciwko autorom oszczerczych komentarzy. Nie było przekonująco ustalonej "naglącej potrzeby społecznej" </w:t>
      </w:r>
      <w:r w:rsidR="004C4405" w:rsidRPr="00B45853">
        <w:rPr>
          <w:rFonts w:ascii="Times New Roman" w:hAnsi="Times New Roman" w:cs="Times New Roman"/>
          <w:lang w:val="pl-PL"/>
        </w:rPr>
        <w:t>wobec</w:t>
      </w:r>
      <w:r w:rsidR="009615CB" w:rsidRPr="00B45853">
        <w:rPr>
          <w:rFonts w:ascii="Times New Roman" w:hAnsi="Times New Roman" w:cs="Times New Roman"/>
          <w:lang w:val="pl-PL"/>
        </w:rPr>
        <w:t xml:space="preserve"> odpowiedzialności dostawców usług internetowych</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79</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9615CB" w:rsidRPr="00B45853">
        <w:rPr>
          <w:rFonts w:ascii="Times New Roman" w:hAnsi="Times New Roman" w:cs="Times New Roman"/>
          <w:lang w:val="pl-PL"/>
        </w:rPr>
        <w:t xml:space="preserve">Skarżąca spółka podkreśliła również znaczenie anonimowości </w:t>
      </w:r>
      <w:r w:rsidR="005116A6">
        <w:rPr>
          <w:rFonts w:ascii="Times New Roman" w:hAnsi="Times New Roman" w:cs="Times New Roman"/>
          <w:lang w:val="pl-PL"/>
        </w:rPr>
        <w:t>dla wolności słowa w Internecie.</w:t>
      </w:r>
      <w:r w:rsidR="009615CB" w:rsidRPr="00B45853">
        <w:rPr>
          <w:rFonts w:ascii="Times New Roman" w:hAnsi="Times New Roman" w:cs="Times New Roman"/>
          <w:lang w:val="pl-PL"/>
        </w:rPr>
        <w:t xml:space="preserve"> To zachęciło</w:t>
      </w:r>
      <w:r w:rsidR="00911F6A" w:rsidRPr="00B45853">
        <w:rPr>
          <w:rFonts w:ascii="Times New Roman" w:hAnsi="Times New Roman" w:cs="Times New Roman"/>
          <w:lang w:val="pl-PL"/>
        </w:rPr>
        <w:t xml:space="preserve"> do</w:t>
      </w:r>
      <w:r w:rsidR="009615CB" w:rsidRPr="00B45853">
        <w:rPr>
          <w:rFonts w:ascii="Times New Roman" w:hAnsi="Times New Roman" w:cs="Times New Roman"/>
          <w:lang w:val="pl-PL"/>
        </w:rPr>
        <w:t xml:space="preserve"> pełnego zaangażowania wszystkich, w tym grup zmarginalizowanych, dysydentów poli</w:t>
      </w:r>
      <w:r w:rsidR="004C4405" w:rsidRPr="00B45853">
        <w:rPr>
          <w:rFonts w:ascii="Times New Roman" w:hAnsi="Times New Roman" w:cs="Times New Roman"/>
          <w:lang w:val="pl-PL"/>
        </w:rPr>
        <w:t xml:space="preserve">tycznych </w:t>
      </w:r>
      <w:r w:rsidR="00A04162">
        <w:rPr>
          <w:rFonts w:ascii="Times New Roman" w:hAnsi="Times New Roman" w:cs="Times New Roman"/>
          <w:lang w:val="pl-PL"/>
        </w:rPr>
        <w:br/>
      </w:r>
      <w:r w:rsidR="004C4405" w:rsidRPr="00B45853">
        <w:rPr>
          <w:rFonts w:ascii="Times New Roman" w:hAnsi="Times New Roman" w:cs="Times New Roman"/>
          <w:lang w:val="pl-PL"/>
        </w:rPr>
        <w:t>i informatorów oraz</w:t>
      </w:r>
      <w:r w:rsidR="00911F6A" w:rsidRPr="00B45853">
        <w:rPr>
          <w:rFonts w:ascii="Times New Roman" w:hAnsi="Times New Roman" w:cs="Times New Roman"/>
          <w:lang w:val="pl-PL"/>
        </w:rPr>
        <w:t xml:space="preserve"> zapewniło osobom</w:t>
      </w:r>
      <w:r w:rsidR="009615CB" w:rsidRPr="00B45853">
        <w:rPr>
          <w:rFonts w:ascii="Times New Roman" w:hAnsi="Times New Roman" w:cs="Times New Roman"/>
          <w:lang w:val="pl-PL"/>
        </w:rPr>
        <w:t xml:space="preserve"> </w:t>
      </w:r>
      <w:r w:rsidR="00911F6A" w:rsidRPr="00B45853">
        <w:rPr>
          <w:rFonts w:ascii="Times New Roman" w:hAnsi="Times New Roman" w:cs="Times New Roman"/>
          <w:lang w:val="pl-PL"/>
        </w:rPr>
        <w:t>bezpieczeństwo</w:t>
      </w:r>
      <w:r w:rsidR="009615CB" w:rsidRPr="00B45853">
        <w:rPr>
          <w:rFonts w:ascii="Times New Roman" w:hAnsi="Times New Roman" w:cs="Times New Roman"/>
          <w:lang w:val="pl-PL"/>
        </w:rPr>
        <w:t xml:space="preserve"> przed represjami</w:t>
      </w:r>
      <w:r w:rsidR="00A220C6" w:rsidRPr="00B45853">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911F6A" w:rsidRPr="00F42967">
        <w:rPr>
          <w:rFonts w:ascii="Times New Roman" w:hAnsi="Times New Roman" w:cs="Times New Roman"/>
          <w:lang w:val="pl-PL"/>
        </w:rPr>
        <w:t>Wreszcie, skarżąca spółka stwierdziła, że sądy krajowe najwyraźni</w:t>
      </w:r>
      <w:r w:rsidR="00C62846" w:rsidRPr="00F42967">
        <w:rPr>
          <w:rFonts w:ascii="Times New Roman" w:hAnsi="Times New Roman" w:cs="Times New Roman"/>
          <w:lang w:val="pl-PL"/>
        </w:rPr>
        <w:t xml:space="preserve">ej </w:t>
      </w:r>
      <w:r w:rsidR="00C62846">
        <w:rPr>
          <w:rFonts w:ascii="Times New Roman" w:hAnsi="Times New Roman" w:cs="Times New Roman"/>
          <w:lang w:val="pl-PL"/>
        </w:rPr>
        <w:t xml:space="preserve">błędnie </w:t>
      </w:r>
      <w:r w:rsidR="00C62846" w:rsidRPr="00AD5925">
        <w:rPr>
          <w:rFonts w:ascii="Times New Roman" w:hAnsi="Times New Roman" w:cs="Times New Roman"/>
          <w:lang w:val="pl-PL"/>
        </w:rPr>
        <w:t>zinterpretowały prawo</w:t>
      </w:r>
      <w:r w:rsidR="00911F6A" w:rsidRPr="00AD5925">
        <w:rPr>
          <w:rFonts w:ascii="Times New Roman" w:hAnsi="Times New Roman" w:cs="Times New Roman"/>
          <w:lang w:val="pl-PL"/>
        </w:rPr>
        <w:t xml:space="preserve"> Unii Europejskiej (UE). Stwierdziła ona, że orzeczenie Izby stworzyło kolizję obowiązków i </w:t>
      </w:r>
      <w:r w:rsidR="00C62846" w:rsidRPr="00AD5925">
        <w:rPr>
          <w:rFonts w:ascii="Times New Roman" w:hAnsi="Times New Roman" w:cs="Times New Roman"/>
          <w:lang w:val="pl-PL"/>
        </w:rPr>
        <w:t>niepewność prawną</w:t>
      </w:r>
      <w:r w:rsidR="00911F6A" w:rsidRPr="00AD5925">
        <w:rPr>
          <w:rFonts w:ascii="Times New Roman" w:hAnsi="Times New Roman" w:cs="Times New Roman"/>
          <w:lang w:val="pl-PL"/>
        </w:rPr>
        <w:t>, ponieważ stosując się do prawa</w:t>
      </w:r>
      <w:r w:rsidR="00FC6825" w:rsidRPr="00AD5925">
        <w:rPr>
          <w:rFonts w:ascii="Times New Roman" w:hAnsi="Times New Roman" w:cs="Times New Roman"/>
          <w:lang w:val="pl-PL"/>
        </w:rPr>
        <w:t xml:space="preserve"> UE w kwestii odpowiedzialności</w:t>
      </w:r>
      <w:r w:rsidR="00911F6A" w:rsidRPr="00AD5925">
        <w:rPr>
          <w:rFonts w:ascii="Times New Roman" w:hAnsi="Times New Roman" w:cs="Times New Roman"/>
          <w:lang w:val="pl-PL"/>
        </w:rPr>
        <w:t xml:space="preserve"> </w:t>
      </w:r>
      <w:r w:rsidR="004C4405" w:rsidRPr="00AD5925">
        <w:rPr>
          <w:rFonts w:ascii="Times New Roman" w:hAnsi="Times New Roman" w:cs="Times New Roman"/>
          <w:lang w:val="pl-PL"/>
        </w:rPr>
        <w:t>usługodawców</w:t>
      </w:r>
      <w:r w:rsidR="00F42967">
        <w:rPr>
          <w:rFonts w:ascii="Times New Roman" w:hAnsi="Times New Roman" w:cs="Times New Roman"/>
          <w:lang w:val="pl-PL"/>
        </w:rPr>
        <w:t xml:space="preserve"> </w:t>
      </w:r>
      <w:r w:rsidR="004C4405" w:rsidRPr="00AD5925">
        <w:rPr>
          <w:rFonts w:ascii="Times New Roman" w:hAnsi="Times New Roman" w:cs="Times New Roman"/>
          <w:lang w:val="pl-PL"/>
        </w:rPr>
        <w:t>-</w:t>
      </w:r>
      <w:r w:rsidR="00F42967">
        <w:rPr>
          <w:rFonts w:ascii="Times New Roman" w:hAnsi="Times New Roman" w:cs="Times New Roman"/>
          <w:lang w:val="pl-PL"/>
        </w:rPr>
        <w:t xml:space="preserve"> </w:t>
      </w:r>
      <w:r w:rsidR="00911F6A" w:rsidRPr="00AD5925">
        <w:rPr>
          <w:rFonts w:ascii="Times New Roman" w:hAnsi="Times New Roman" w:cs="Times New Roman"/>
          <w:lang w:val="pl-PL"/>
        </w:rPr>
        <w:t xml:space="preserve">hostów czyniłoby państwa odpowiedzialnymi na mocy Konwencji, natomiast </w:t>
      </w:r>
      <w:r w:rsidR="00C66436" w:rsidRPr="00AD5925">
        <w:rPr>
          <w:rFonts w:ascii="Times New Roman" w:hAnsi="Times New Roman" w:cs="Times New Roman"/>
          <w:lang w:val="pl-PL"/>
        </w:rPr>
        <w:t>przestrzeganie</w:t>
      </w:r>
      <w:r w:rsidR="00911F6A" w:rsidRPr="00AD5925">
        <w:rPr>
          <w:rFonts w:ascii="Times New Roman" w:hAnsi="Times New Roman" w:cs="Times New Roman"/>
          <w:lang w:val="pl-PL"/>
        </w:rPr>
        <w:t xml:space="preserve"> </w:t>
      </w:r>
      <w:r w:rsidR="00C66436" w:rsidRPr="00AD5925">
        <w:rPr>
          <w:rFonts w:ascii="Times New Roman" w:hAnsi="Times New Roman" w:cs="Times New Roman"/>
          <w:lang w:val="pl-PL"/>
        </w:rPr>
        <w:t>testu</w:t>
      </w:r>
      <w:r w:rsidR="00911F6A" w:rsidRPr="00AD5925">
        <w:rPr>
          <w:rFonts w:ascii="Times New Roman" w:hAnsi="Times New Roman" w:cs="Times New Roman"/>
          <w:lang w:val="pl-PL"/>
        </w:rPr>
        <w:t xml:space="preserve"> określonego w wyroku nie b</w:t>
      </w:r>
      <w:r w:rsidR="00C66436" w:rsidRPr="00AD5925">
        <w:rPr>
          <w:rFonts w:ascii="Times New Roman" w:hAnsi="Times New Roman" w:cs="Times New Roman"/>
          <w:lang w:val="pl-PL"/>
        </w:rPr>
        <w:t>yłoby</w:t>
      </w:r>
      <w:r w:rsidR="00911F6A" w:rsidRPr="00AD5925">
        <w:rPr>
          <w:rFonts w:ascii="Times New Roman" w:hAnsi="Times New Roman" w:cs="Times New Roman"/>
          <w:lang w:val="pl-PL"/>
        </w:rPr>
        <w:t xml:space="preserve"> zgodne z prawem UE</w:t>
      </w:r>
      <w:r w:rsidR="00A220C6" w:rsidRPr="00AD5925">
        <w:rPr>
          <w:rFonts w:ascii="Times New Roman" w:hAnsi="Times New Roman" w:cs="Times New Roman"/>
          <w:lang w:val="pl-PL"/>
        </w:rPr>
        <w:t>.</w:t>
      </w:r>
    </w:p>
    <w:p w:rsidR="00A220C6" w:rsidRPr="00AD5925" w:rsidRDefault="00A220C6" w:rsidP="00171A6F">
      <w:pPr>
        <w:pStyle w:val="ECHRHeading3"/>
        <w:rPr>
          <w:rFonts w:ascii="Times New Roman" w:hAnsi="Times New Roman" w:cs="Times New Roman"/>
          <w:lang w:val="pl-PL"/>
        </w:rPr>
      </w:pPr>
      <w:bookmarkStart w:id="20" w:name="_Toc420072872"/>
      <w:r w:rsidRPr="00AD5925">
        <w:rPr>
          <w:rFonts w:ascii="Times New Roman" w:hAnsi="Times New Roman" w:cs="Times New Roman"/>
          <w:lang w:val="pl-PL"/>
        </w:rPr>
        <w:t>2.  </w:t>
      </w:r>
      <w:bookmarkEnd w:id="20"/>
      <w:r w:rsidR="00C66436" w:rsidRPr="00AD5925">
        <w:rPr>
          <w:rFonts w:ascii="Times New Roman" w:hAnsi="Times New Roman" w:cs="Times New Roman"/>
          <w:lang w:val="pl-PL"/>
        </w:rPr>
        <w:t>Rząd</w:t>
      </w:r>
    </w:p>
    <w:p w:rsidR="00A220C6" w:rsidRPr="00AD5925" w:rsidRDefault="00FC6825" w:rsidP="00171A6F">
      <w:pPr>
        <w:pStyle w:val="ECHRHeading4"/>
        <w:rPr>
          <w:rFonts w:ascii="Times New Roman" w:hAnsi="Times New Roman" w:cs="Times New Roman"/>
          <w:lang w:val="pl-PL"/>
        </w:rPr>
      </w:pPr>
      <w:r w:rsidRPr="00AD5925">
        <w:rPr>
          <w:rFonts w:ascii="Times New Roman" w:hAnsi="Times New Roman" w:cs="Times New Roman"/>
          <w:lang w:val="pl-PL"/>
        </w:rPr>
        <w:t>(a) </w:t>
      </w:r>
      <w:r w:rsidR="00C66436" w:rsidRPr="00AD5925">
        <w:rPr>
          <w:rFonts w:ascii="Times New Roman" w:hAnsi="Times New Roman" w:cs="Times New Roman"/>
          <w:lang w:val="pl-PL"/>
        </w:rPr>
        <w:t>Uwagi ogólne</w:t>
      </w:r>
    </w:p>
    <w:p w:rsidR="00A220C6" w:rsidRPr="00B45853"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81</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C66436" w:rsidRPr="00AD5925">
        <w:rPr>
          <w:rFonts w:ascii="Times New Roman" w:hAnsi="Times New Roman" w:cs="Times New Roman"/>
          <w:lang w:val="pl-PL"/>
        </w:rPr>
        <w:t xml:space="preserve">Rząd przedstawił następujące uwagi w odniesieniu do zakresu sprawy. Po pierwsze, zgodnie z orzecznictwem Trybunału </w:t>
      </w:r>
      <w:r w:rsidR="004C4405" w:rsidRPr="00AD5925">
        <w:rPr>
          <w:rFonts w:ascii="Times New Roman" w:hAnsi="Times New Roman" w:cs="Times New Roman"/>
          <w:lang w:val="pl-PL"/>
        </w:rPr>
        <w:t>to do</w:t>
      </w:r>
      <w:r w:rsidR="00C66436" w:rsidRPr="00AD5925">
        <w:rPr>
          <w:rFonts w:ascii="Times New Roman" w:hAnsi="Times New Roman" w:cs="Times New Roman"/>
          <w:lang w:val="pl-PL"/>
        </w:rPr>
        <w:t xml:space="preserve"> sądów krajowych należało podjęcie decyzji o obowiązującym prawie krajowym </w:t>
      </w:r>
      <w:r w:rsidR="00F42967">
        <w:rPr>
          <w:rFonts w:ascii="Times New Roman" w:hAnsi="Times New Roman" w:cs="Times New Roman"/>
          <w:lang w:val="pl-PL"/>
        </w:rPr>
        <w:br/>
      </w:r>
      <w:r w:rsidR="00C66436" w:rsidRPr="00AD5925">
        <w:rPr>
          <w:rFonts w:ascii="Times New Roman" w:hAnsi="Times New Roman" w:cs="Times New Roman"/>
          <w:lang w:val="pl-PL"/>
        </w:rPr>
        <w:t xml:space="preserve">i zinterpretowanie go. Ponadto interpretacja prawa unijnego była zadaniem TSUE. Sądy krajowe, w uzasadnionych </w:t>
      </w:r>
      <w:r w:rsidR="00853E55">
        <w:rPr>
          <w:rFonts w:ascii="Times New Roman" w:hAnsi="Times New Roman" w:cs="Times New Roman"/>
          <w:lang w:val="pl-PL"/>
        </w:rPr>
        <w:t>rozstrzygnięciach, uznały</w:t>
      </w:r>
      <w:r w:rsidR="00C62846" w:rsidRPr="00AD5925">
        <w:rPr>
          <w:rFonts w:ascii="Times New Roman" w:hAnsi="Times New Roman" w:cs="Times New Roman"/>
          <w:lang w:val="pl-PL"/>
        </w:rPr>
        <w:t>, że Estońskie Prawo Zobowiązań</w:t>
      </w:r>
      <w:r w:rsidR="00C66436" w:rsidRPr="00AD5925">
        <w:rPr>
          <w:rFonts w:ascii="Times New Roman" w:hAnsi="Times New Roman" w:cs="Times New Roman"/>
          <w:lang w:val="pl-PL"/>
        </w:rPr>
        <w:t xml:space="preserve">, a nie Dyrektywa o Handlu Elektronicznym lub Ustawa o Społeczeństwie Usług Informacyjnych, </w:t>
      </w:r>
      <w:r w:rsidR="00853E55">
        <w:rPr>
          <w:rFonts w:ascii="Times New Roman" w:hAnsi="Times New Roman" w:cs="Times New Roman"/>
          <w:lang w:val="pl-PL"/>
        </w:rPr>
        <w:t>podlegała zastosowaniu</w:t>
      </w:r>
      <w:r w:rsidR="00C66436" w:rsidRPr="00AD5925">
        <w:rPr>
          <w:rFonts w:ascii="Times New Roman" w:hAnsi="Times New Roman" w:cs="Times New Roman"/>
          <w:lang w:val="pl-PL"/>
        </w:rPr>
        <w:t xml:space="preserve">. Wielka Izba powinna również </w:t>
      </w:r>
      <w:r w:rsidR="00853E55">
        <w:rPr>
          <w:rFonts w:ascii="Times New Roman" w:hAnsi="Times New Roman" w:cs="Times New Roman"/>
          <w:lang w:val="pl-PL"/>
        </w:rPr>
        <w:t>przyjąć takie domniemanie</w:t>
      </w:r>
      <w:r w:rsidR="00C66436" w:rsidRPr="00AD5925">
        <w:rPr>
          <w:rFonts w:ascii="Times New Roman" w:hAnsi="Times New Roman" w:cs="Times New Roman"/>
          <w:lang w:val="pl-PL"/>
        </w:rPr>
        <w:t xml:space="preserve">, </w:t>
      </w:r>
      <w:r w:rsidR="00853E55">
        <w:rPr>
          <w:rFonts w:ascii="Times New Roman" w:hAnsi="Times New Roman" w:cs="Times New Roman"/>
          <w:lang w:val="pl-PL"/>
        </w:rPr>
        <w:br/>
      </w:r>
      <w:r w:rsidR="00C66436" w:rsidRPr="00AD5925">
        <w:rPr>
          <w:rFonts w:ascii="Times New Roman" w:hAnsi="Times New Roman" w:cs="Times New Roman"/>
          <w:lang w:val="pl-PL"/>
        </w:rPr>
        <w:t>a zarzuty skarżącej</w:t>
      </w:r>
      <w:r w:rsidR="00C66436" w:rsidRPr="00B45853">
        <w:rPr>
          <w:rFonts w:ascii="Times New Roman" w:hAnsi="Times New Roman" w:cs="Times New Roman"/>
          <w:lang w:val="pl-PL"/>
        </w:rPr>
        <w:t xml:space="preserve"> spółki o możliwości stosowania prawa UE były niedopuszczalne. Po drugie, rząd podkreślił, że istnieje wiele różnych typów portali internetowych oraz kwestia odpowiedzialności swoich operatorów nie może być uogólni</w:t>
      </w:r>
      <w:r w:rsidR="00BB420E">
        <w:rPr>
          <w:rFonts w:ascii="Times New Roman" w:hAnsi="Times New Roman" w:cs="Times New Roman"/>
          <w:lang w:val="pl-PL"/>
        </w:rPr>
        <w:t>ana</w:t>
      </w:r>
      <w:r w:rsidR="00C66436" w:rsidRPr="00B45853">
        <w:rPr>
          <w:rFonts w:ascii="Times New Roman" w:hAnsi="Times New Roman" w:cs="Times New Roman"/>
          <w:lang w:val="pl-PL"/>
        </w:rPr>
        <w:t xml:space="preserve">. Niniejsza sprawa została ograniczona do działalności portalu </w:t>
      </w:r>
      <w:proofErr w:type="spellStart"/>
      <w:r w:rsidR="00C66436" w:rsidRPr="00B45853">
        <w:rPr>
          <w:rFonts w:ascii="Times New Roman" w:hAnsi="Times New Roman" w:cs="Times New Roman"/>
          <w:lang w:val="pl-PL"/>
        </w:rPr>
        <w:t>Delfi</w:t>
      </w:r>
      <w:proofErr w:type="spellEnd"/>
      <w:r w:rsidR="00C66436" w:rsidRPr="00B45853">
        <w:rPr>
          <w:rFonts w:ascii="Times New Roman" w:hAnsi="Times New Roman" w:cs="Times New Roman"/>
          <w:lang w:val="pl-PL"/>
        </w:rPr>
        <w:t xml:space="preserve"> w chwili zaistnienia</w:t>
      </w:r>
      <w:r w:rsidR="00BB420E">
        <w:rPr>
          <w:rFonts w:ascii="Times New Roman" w:hAnsi="Times New Roman" w:cs="Times New Roman"/>
          <w:lang w:val="pl-PL"/>
        </w:rPr>
        <w:t xml:space="preserve"> naruszenia</w:t>
      </w:r>
      <w:r w:rsidR="00C66436" w:rsidRPr="00B45853">
        <w:rPr>
          <w:rFonts w:ascii="Times New Roman" w:hAnsi="Times New Roman" w:cs="Times New Roman"/>
          <w:lang w:val="pl-PL"/>
        </w:rPr>
        <w:t>. W związku z tym Rząd ws</w:t>
      </w:r>
      <w:r w:rsidR="004C4405" w:rsidRPr="00B45853">
        <w:rPr>
          <w:rFonts w:ascii="Times New Roman" w:hAnsi="Times New Roman" w:cs="Times New Roman"/>
          <w:lang w:val="pl-PL"/>
        </w:rPr>
        <w:t xml:space="preserve">kazał, że </w:t>
      </w:r>
      <w:proofErr w:type="spellStart"/>
      <w:r w:rsidR="004C4405" w:rsidRPr="00B45853">
        <w:rPr>
          <w:rFonts w:ascii="Times New Roman" w:hAnsi="Times New Roman" w:cs="Times New Roman"/>
          <w:lang w:val="pl-PL"/>
        </w:rPr>
        <w:t>Delfi</w:t>
      </w:r>
      <w:proofErr w:type="spellEnd"/>
      <w:r w:rsidR="004C4405" w:rsidRPr="00B45853">
        <w:rPr>
          <w:rFonts w:ascii="Times New Roman" w:hAnsi="Times New Roman" w:cs="Times New Roman"/>
          <w:lang w:val="pl-PL"/>
        </w:rPr>
        <w:t xml:space="preserve"> aktywnie zapraszała</w:t>
      </w:r>
      <w:r w:rsidR="00C66436" w:rsidRPr="00B45853">
        <w:rPr>
          <w:rFonts w:ascii="Times New Roman" w:hAnsi="Times New Roman" w:cs="Times New Roman"/>
          <w:lang w:val="pl-PL"/>
        </w:rPr>
        <w:t xml:space="preserve"> czytelników do komentowania </w:t>
      </w:r>
      <w:r w:rsidR="00C66436" w:rsidRPr="00B45853">
        <w:rPr>
          <w:rFonts w:ascii="Times New Roman" w:hAnsi="Times New Roman" w:cs="Times New Roman"/>
          <w:lang w:val="pl-PL"/>
        </w:rPr>
        <w:lastRenderedPageBreak/>
        <w:t xml:space="preserve">artykułów, </w:t>
      </w:r>
      <w:r w:rsidR="001C093E" w:rsidRPr="00B45853">
        <w:rPr>
          <w:rFonts w:ascii="Times New Roman" w:hAnsi="Times New Roman" w:cs="Times New Roman"/>
          <w:lang w:val="pl-PL"/>
        </w:rPr>
        <w:t>które sama wybrała</w:t>
      </w:r>
      <w:r w:rsidR="004C4405" w:rsidRPr="00B45853">
        <w:rPr>
          <w:rFonts w:ascii="Times New Roman" w:hAnsi="Times New Roman" w:cs="Times New Roman"/>
          <w:lang w:val="pl-PL"/>
        </w:rPr>
        <w:t xml:space="preserve">; </w:t>
      </w:r>
      <w:r w:rsidR="00C66436" w:rsidRPr="00B45853">
        <w:rPr>
          <w:rFonts w:ascii="Times New Roman" w:hAnsi="Times New Roman" w:cs="Times New Roman"/>
          <w:lang w:val="pl-PL"/>
        </w:rPr>
        <w:t>publikował</w:t>
      </w:r>
      <w:r w:rsidR="001C093E" w:rsidRPr="00B45853">
        <w:rPr>
          <w:rFonts w:ascii="Times New Roman" w:hAnsi="Times New Roman" w:cs="Times New Roman"/>
          <w:lang w:val="pl-PL"/>
        </w:rPr>
        <w:t>a</w:t>
      </w:r>
      <w:r w:rsidR="00C66436" w:rsidRPr="00B45853">
        <w:rPr>
          <w:rFonts w:ascii="Times New Roman" w:hAnsi="Times New Roman" w:cs="Times New Roman"/>
          <w:lang w:val="pl-PL"/>
        </w:rPr>
        <w:t xml:space="preserve"> anonimowe komentarze zamieszczone na tych </w:t>
      </w:r>
      <w:r w:rsidR="001C093E" w:rsidRPr="00B45853">
        <w:rPr>
          <w:rFonts w:ascii="Times New Roman" w:hAnsi="Times New Roman" w:cs="Times New Roman"/>
          <w:lang w:val="pl-PL"/>
        </w:rPr>
        <w:t>artykułach</w:t>
      </w:r>
      <w:r w:rsidR="00C66436" w:rsidRPr="00B45853">
        <w:rPr>
          <w:rFonts w:ascii="Times New Roman" w:hAnsi="Times New Roman" w:cs="Times New Roman"/>
          <w:lang w:val="pl-PL"/>
        </w:rPr>
        <w:t xml:space="preserve"> i w tym samym środowisku; a komentarze mo</w:t>
      </w:r>
      <w:r w:rsidR="001C093E" w:rsidRPr="00B45853">
        <w:rPr>
          <w:rFonts w:ascii="Times New Roman" w:hAnsi="Times New Roman" w:cs="Times New Roman"/>
          <w:lang w:val="pl-PL"/>
        </w:rPr>
        <w:t>gły</w:t>
      </w:r>
      <w:r w:rsidR="00C66436" w:rsidRPr="00B45853">
        <w:rPr>
          <w:rFonts w:ascii="Times New Roman" w:hAnsi="Times New Roman" w:cs="Times New Roman"/>
          <w:lang w:val="pl-PL"/>
        </w:rPr>
        <w:t xml:space="preserve"> zostać</w:t>
      </w:r>
      <w:r w:rsidR="001C093E" w:rsidRPr="00B45853">
        <w:rPr>
          <w:rFonts w:ascii="Times New Roman" w:hAnsi="Times New Roman" w:cs="Times New Roman"/>
          <w:lang w:val="pl-PL"/>
        </w:rPr>
        <w:t xml:space="preserve"> zmienione lub usunięte tylko </w:t>
      </w:r>
      <w:r w:rsidR="00C66436" w:rsidRPr="00B45853">
        <w:rPr>
          <w:rFonts w:ascii="Times New Roman" w:hAnsi="Times New Roman" w:cs="Times New Roman"/>
          <w:lang w:val="pl-PL"/>
        </w:rPr>
        <w:t xml:space="preserve">przez </w:t>
      </w:r>
      <w:proofErr w:type="spellStart"/>
      <w:r w:rsidR="001C093E" w:rsidRPr="00B45853">
        <w:rPr>
          <w:rFonts w:ascii="Times New Roman" w:hAnsi="Times New Roman" w:cs="Times New Roman"/>
          <w:lang w:val="pl-PL"/>
        </w:rPr>
        <w:t>Delfi</w:t>
      </w:r>
      <w:proofErr w:type="spellEnd"/>
      <w:r w:rsidR="001C093E" w:rsidRPr="00B45853">
        <w:rPr>
          <w:rFonts w:ascii="Times New Roman" w:hAnsi="Times New Roman" w:cs="Times New Roman"/>
          <w:lang w:val="pl-PL"/>
        </w:rPr>
        <w:t>. Odpowiedzialność skarżącej spółki</w:t>
      </w:r>
      <w:r w:rsidR="00C66436" w:rsidRPr="00B45853">
        <w:rPr>
          <w:rFonts w:ascii="Times New Roman" w:hAnsi="Times New Roman" w:cs="Times New Roman"/>
          <w:lang w:val="pl-PL"/>
        </w:rPr>
        <w:t xml:space="preserve"> powinna być oceni</w:t>
      </w:r>
      <w:r w:rsidR="001C093E" w:rsidRPr="00B45853">
        <w:rPr>
          <w:rFonts w:ascii="Times New Roman" w:hAnsi="Times New Roman" w:cs="Times New Roman"/>
          <w:lang w:val="pl-PL"/>
        </w:rPr>
        <w:t>ona</w:t>
      </w:r>
      <w:r w:rsidR="00C66436" w:rsidRPr="00B45853">
        <w:rPr>
          <w:rFonts w:ascii="Times New Roman" w:hAnsi="Times New Roman" w:cs="Times New Roman"/>
          <w:lang w:val="pl-PL"/>
        </w:rPr>
        <w:t xml:space="preserve"> w tym konkretnym kontekście</w:t>
      </w:r>
      <w:r w:rsidR="00A220C6" w:rsidRPr="00B45853">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1C093E" w:rsidRPr="00B45853">
        <w:rPr>
          <w:rFonts w:ascii="Times New Roman" w:hAnsi="Times New Roman" w:cs="Times New Roman"/>
          <w:lang w:val="pl-PL"/>
        </w:rPr>
        <w:t>Rząd podkreślił, że nie ma sporu, że te komentarze były zniesławiające.</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83</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1C093E" w:rsidRPr="00AD5925">
        <w:rPr>
          <w:rFonts w:ascii="Times New Roman" w:hAnsi="Times New Roman" w:cs="Times New Roman"/>
          <w:lang w:val="pl-PL"/>
        </w:rPr>
        <w:t>Rząd zauważył, że wbre</w:t>
      </w:r>
      <w:r w:rsidR="00C62846" w:rsidRPr="00AD5925">
        <w:rPr>
          <w:rFonts w:ascii="Times New Roman" w:hAnsi="Times New Roman" w:cs="Times New Roman"/>
          <w:lang w:val="pl-PL"/>
        </w:rPr>
        <w:t xml:space="preserve">w twierdzeniom skarżącej spółki, </w:t>
      </w:r>
      <w:r w:rsidR="00BB420E">
        <w:rPr>
          <w:rFonts w:ascii="Times New Roman" w:hAnsi="Times New Roman" w:cs="Times New Roman"/>
          <w:lang w:val="pl-PL"/>
        </w:rPr>
        <w:br/>
      </w:r>
      <w:r w:rsidR="00C62846" w:rsidRPr="00AD5925">
        <w:rPr>
          <w:rFonts w:ascii="Times New Roman" w:hAnsi="Times New Roman" w:cs="Times New Roman"/>
          <w:lang w:val="pl-PL"/>
        </w:rPr>
        <w:t xml:space="preserve">w ogólnym rozumieniu </w:t>
      </w:r>
      <w:r w:rsidR="001C093E" w:rsidRPr="00AD5925">
        <w:rPr>
          <w:rFonts w:ascii="Times New Roman" w:hAnsi="Times New Roman" w:cs="Times New Roman"/>
          <w:lang w:val="pl-PL"/>
        </w:rPr>
        <w:t>nie została</w:t>
      </w:r>
      <w:r w:rsidR="00D5551B" w:rsidRPr="00AD5925">
        <w:rPr>
          <w:rFonts w:ascii="Times New Roman" w:hAnsi="Times New Roman" w:cs="Times New Roman"/>
          <w:lang w:val="pl-PL"/>
        </w:rPr>
        <w:t xml:space="preserve"> ona</w:t>
      </w:r>
      <w:r w:rsidR="001C093E" w:rsidRPr="00AD5925">
        <w:rPr>
          <w:rFonts w:ascii="Times New Roman" w:hAnsi="Times New Roman" w:cs="Times New Roman"/>
          <w:lang w:val="pl-PL"/>
        </w:rPr>
        <w:t xml:space="preserve"> zmuszona do wyłączenia anonimowych komentarzy lub zmiany swojego modelu biznesowego</w:t>
      </w:r>
      <w:r w:rsidR="001C093E" w:rsidRPr="00B45853">
        <w:rPr>
          <w:rFonts w:ascii="Times New Roman" w:hAnsi="Times New Roman" w:cs="Times New Roman"/>
          <w:lang w:val="pl-PL"/>
        </w:rPr>
        <w:t xml:space="preserve">. Wręcz przeciwnie, </w:t>
      </w:r>
      <w:proofErr w:type="spellStart"/>
      <w:r w:rsidR="001C093E" w:rsidRPr="00B45853">
        <w:rPr>
          <w:rFonts w:ascii="Times New Roman" w:hAnsi="Times New Roman" w:cs="Times New Roman"/>
          <w:lang w:val="pl-PL"/>
        </w:rPr>
        <w:t>Delfi</w:t>
      </w:r>
      <w:proofErr w:type="spellEnd"/>
      <w:r w:rsidR="001C093E" w:rsidRPr="00B45853">
        <w:rPr>
          <w:rFonts w:ascii="Times New Roman" w:hAnsi="Times New Roman" w:cs="Times New Roman"/>
          <w:lang w:val="pl-PL"/>
        </w:rPr>
        <w:t xml:space="preserve"> pozostała największym portalem internetowym w Estonii; anonimowe komentowanie było nadal</w:t>
      </w:r>
      <w:r w:rsidR="004C4405" w:rsidRPr="00B45853">
        <w:rPr>
          <w:rFonts w:ascii="Times New Roman" w:hAnsi="Times New Roman" w:cs="Times New Roman"/>
          <w:lang w:val="pl-PL"/>
        </w:rPr>
        <w:t xml:space="preserve"> dostępne</w:t>
      </w:r>
      <w:r w:rsidR="001C093E" w:rsidRPr="00B45853">
        <w:rPr>
          <w:rFonts w:ascii="Times New Roman" w:hAnsi="Times New Roman" w:cs="Times New Roman"/>
          <w:lang w:val="pl-PL"/>
        </w:rPr>
        <w:t xml:space="preserve"> na portalu </w:t>
      </w:r>
      <w:r w:rsidR="004C4405" w:rsidRPr="00B45853">
        <w:rPr>
          <w:rFonts w:ascii="Times New Roman" w:hAnsi="Times New Roman" w:cs="Times New Roman"/>
          <w:lang w:val="pl-PL"/>
        </w:rPr>
        <w:t>a</w:t>
      </w:r>
      <w:r w:rsidR="001C093E" w:rsidRPr="00B45853">
        <w:rPr>
          <w:rFonts w:ascii="Times New Roman" w:hAnsi="Times New Roman" w:cs="Times New Roman"/>
          <w:lang w:val="pl-PL"/>
        </w:rPr>
        <w:t xml:space="preserve"> liczba komentarzy wzrosła z 190.000 komentarzy miesięcznie w 2009 roku do 300.000 w </w:t>
      </w:r>
      <w:r w:rsidR="004C4405" w:rsidRPr="00B45853">
        <w:rPr>
          <w:rFonts w:ascii="Times New Roman" w:hAnsi="Times New Roman" w:cs="Times New Roman"/>
          <w:lang w:val="pl-PL"/>
        </w:rPr>
        <w:t xml:space="preserve">2013 </w:t>
      </w:r>
      <w:r w:rsidR="001C093E" w:rsidRPr="00B45853">
        <w:rPr>
          <w:rFonts w:ascii="Times New Roman" w:hAnsi="Times New Roman" w:cs="Times New Roman"/>
          <w:lang w:val="pl-PL"/>
        </w:rPr>
        <w:t>roku. Według art</w:t>
      </w:r>
      <w:r w:rsidR="004C4405" w:rsidRPr="00B45853">
        <w:rPr>
          <w:rFonts w:ascii="Times New Roman" w:hAnsi="Times New Roman" w:cs="Times New Roman"/>
          <w:lang w:val="pl-PL"/>
        </w:rPr>
        <w:t>ykułu opublikowanego w dniu 26 W</w:t>
      </w:r>
      <w:r w:rsidR="001C093E" w:rsidRPr="00B45853">
        <w:rPr>
          <w:rFonts w:ascii="Times New Roman" w:hAnsi="Times New Roman" w:cs="Times New Roman"/>
          <w:lang w:val="pl-PL"/>
        </w:rPr>
        <w:t xml:space="preserve">rześnia 2013 roku </w:t>
      </w:r>
      <w:proofErr w:type="spellStart"/>
      <w:r w:rsidR="001C093E" w:rsidRPr="00B45853">
        <w:rPr>
          <w:rFonts w:ascii="Times New Roman" w:hAnsi="Times New Roman" w:cs="Times New Roman"/>
          <w:lang w:val="pl-PL"/>
        </w:rPr>
        <w:t>Delfi</w:t>
      </w:r>
      <w:proofErr w:type="spellEnd"/>
      <w:r w:rsidR="001C093E" w:rsidRPr="00B45853">
        <w:rPr>
          <w:rFonts w:ascii="Times New Roman" w:hAnsi="Times New Roman" w:cs="Times New Roman"/>
          <w:lang w:val="pl-PL"/>
        </w:rPr>
        <w:t xml:space="preserve"> usuwało </w:t>
      </w:r>
      <w:r w:rsidR="00914F13">
        <w:rPr>
          <w:rFonts w:ascii="Times New Roman" w:hAnsi="Times New Roman" w:cs="Times New Roman"/>
          <w:lang w:val="pl-PL"/>
        </w:rPr>
        <w:t xml:space="preserve">od </w:t>
      </w:r>
      <w:r w:rsidR="001C093E" w:rsidRPr="00B45853">
        <w:rPr>
          <w:rFonts w:ascii="Times New Roman" w:hAnsi="Times New Roman" w:cs="Times New Roman"/>
          <w:lang w:val="pl-PL"/>
        </w:rPr>
        <w:t>20000 do 30000 komentarzy miesięcznie (od 7 do 10% wszystkich</w:t>
      </w:r>
      <w:r w:rsidR="004C4405" w:rsidRPr="00B45853">
        <w:rPr>
          <w:rFonts w:ascii="Times New Roman" w:hAnsi="Times New Roman" w:cs="Times New Roman"/>
          <w:lang w:val="pl-PL"/>
        </w:rPr>
        <w:t xml:space="preserve"> komentarzy</w:t>
      </w:r>
      <w:r w:rsidR="001C093E" w:rsidRPr="00B45853">
        <w:rPr>
          <w:rFonts w:ascii="Times New Roman" w:hAnsi="Times New Roman" w:cs="Times New Roman"/>
          <w:lang w:val="pl-PL"/>
        </w:rPr>
        <w:t xml:space="preserve">). </w:t>
      </w:r>
      <w:proofErr w:type="spellStart"/>
      <w:r w:rsidR="001C093E" w:rsidRPr="00B45853">
        <w:rPr>
          <w:rFonts w:ascii="Times New Roman" w:hAnsi="Times New Roman" w:cs="Times New Roman"/>
          <w:lang w:val="pl-PL"/>
        </w:rPr>
        <w:t>Postimees</w:t>
      </w:r>
      <w:proofErr w:type="spellEnd"/>
      <w:r w:rsidR="001C093E" w:rsidRPr="00B45853">
        <w:rPr>
          <w:rFonts w:ascii="Times New Roman" w:hAnsi="Times New Roman" w:cs="Times New Roman"/>
          <w:lang w:val="pl-PL"/>
        </w:rPr>
        <w:t>, drugi co do wielkości portal usunął aż do 7% z wszystkich 120.000 komentarzy. Oba portale miały pięciu pracowników, którzy zajmowali się usuwaniem obraźliwych koment</w:t>
      </w:r>
      <w:r w:rsidR="002664C6">
        <w:rPr>
          <w:rFonts w:ascii="Times New Roman" w:hAnsi="Times New Roman" w:cs="Times New Roman"/>
          <w:lang w:val="pl-PL"/>
        </w:rPr>
        <w:t>arzy. Od grudnia 2013</w:t>
      </w:r>
      <w:r w:rsidR="00914F13">
        <w:rPr>
          <w:rFonts w:ascii="Times New Roman" w:hAnsi="Times New Roman" w:cs="Times New Roman"/>
          <w:lang w:val="pl-PL"/>
        </w:rPr>
        <w:t xml:space="preserve"> roku</w:t>
      </w:r>
      <w:r w:rsidR="002664C6">
        <w:rPr>
          <w:rFonts w:ascii="Times New Roman" w:hAnsi="Times New Roman" w:cs="Times New Roman"/>
          <w:lang w:val="pl-PL"/>
        </w:rPr>
        <w:t xml:space="preserve"> </w:t>
      </w:r>
      <w:proofErr w:type="spellStart"/>
      <w:r w:rsidR="002664C6">
        <w:rPr>
          <w:rFonts w:ascii="Times New Roman" w:hAnsi="Times New Roman" w:cs="Times New Roman"/>
          <w:lang w:val="pl-PL"/>
        </w:rPr>
        <w:t>Delfi</w:t>
      </w:r>
      <w:proofErr w:type="spellEnd"/>
      <w:r w:rsidR="002664C6">
        <w:rPr>
          <w:rFonts w:ascii="Times New Roman" w:hAnsi="Times New Roman" w:cs="Times New Roman"/>
          <w:lang w:val="pl-PL"/>
        </w:rPr>
        <w:t xml:space="preserve"> </w:t>
      </w:r>
      <w:r w:rsidR="002664C6" w:rsidRPr="00AD5925">
        <w:rPr>
          <w:rFonts w:ascii="Times New Roman" w:hAnsi="Times New Roman" w:cs="Times New Roman"/>
          <w:lang w:val="pl-PL"/>
        </w:rPr>
        <w:t>używała</w:t>
      </w:r>
      <w:r w:rsidR="001C093E" w:rsidRPr="00AD5925">
        <w:rPr>
          <w:rFonts w:ascii="Times New Roman" w:hAnsi="Times New Roman" w:cs="Times New Roman"/>
          <w:lang w:val="pl-PL"/>
        </w:rPr>
        <w:t xml:space="preserve"> dwupoziomowego środowiska komentowania, w którym zarejestrowane komentarze i anonimowe komentarze były pokazywane oddzielnie</w:t>
      </w:r>
      <w:r w:rsidR="00A220C6" w:rsidRPr="00AD5925">
        <w:rPr>
          <w:rFonts w:ascii="Times New Roman" w:hAnsi="Times New Roman" w:cs="Times New Roman"/>
          <w:lang w:val="pl-PL"/>
        </w:rPr>
        <w:t>.</w:t>
      </w:r>
    </w:p>
    <w:p w:rsidR="00A220C6" w:rsidRPr="00AD5925" w:rsidRDefault="00FC6825" w:rsidP="00171A6F">
      <w:pPr>
        <w:pStyle w:val="ECHRHeading4"/>
        <w:rPr>
          <w:rFonts w:ascii="Times New Roman" w:hAnsi="Times New Roman" w:cs="Times New Roman"/>
          <w:lang w:val="pl-PL"/>
        </w:rPr>
      </w:pPr>
      <w:r w:rsidRPr="00AD5925">
        <w:rPr>
          <w:rFonts w:ascii="Times New Roman" w:hAnsi="Times New Roman" w:cs="Times New Roman"/>
          <w:lang w:val="pl-PL"/>
        </w:rPr>
        <w:t>(b) </w:t>
      </w:r>
      <w:r w:rsidR="001C093E" w:rsidRPr="00AD5925">
        <w:rPr>
          <w:rFonts w:ascii="Times New Roman" w:hAnsi="Times New Roman" w:cs="Times New Roman"/>
          <w:lang w:val="pl-PL"/>
        </w:rPr>
        <w:t>Legalność</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84</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1C093E" w:rsidRPr="00B45853">
        <w:rPr>
          <w:rFonts w:ascii="Times New Roman" w:hAnsi="Times New Roman" w:cs="Times New Roman"/>
          <w:lang w:val="pl-PL"/>
        </w:rPr>
        <w:t>Rząd twierdził, że ingerencja w prawo skarżącej spółki została "przewidziana przez prawo". Odniesiono się do ustawodawstwa krajowego oraz orzecznictwa opisan</w:t>
      </w:r>
      <w:r w:rsidR="00DC79F3" w:rsidRPr="00B45853">
        <w:rPr>
          <w:rFonts w:ascii="Times New Roman" w:hAnsi="Times New Roman" w:cs="Times New Roman"/>
          <w:lang w:val="pl-PL"/>
        </w:rPr>
        <w:t>ego</w:t>
      </w:r>
      <w:r w:rsidR="001C093E" w:rsidRPr="00B45853">
        <w:rPr>
          <w:rFonts w:ascii="Times New Roman" w:hAnsi="Times New Roman" w:cs="Times New Roman"/>
          <w:lang w:val="pl-PL"/>
        </w:rPr>
        <w:t xml:space="preserve"> w p</w:t>
      </w:r>
      <w:r w:rsidR="00DC79F3" w:rsidRPr="00B45853">
        <w:rPr>
          <w:rFonts w:ascii="Times New Roman" w:hAnsi="Times New Roman" w:cs="Times New Roman"/>
          <w:lang w:val="pl-PL"/>
        </w:rPr>
        <w:t>aragrafach</w:t>
      </w:r>
      <w:r w:rsidR="001C093E" w:rsidRPr="00B45853">
        <w:rPr>
          <w:rFonts w:ascii="Times New Roman" w:hAnsi="Times New Roman" w:cs="Times New Roman"/>
          <w:lang w:val="pl-PL"/>
        </w:rPr>
        <w:t xml:space="preserve"> 32-36, 38 i 39 wyroku Izby, </w:t>
      </w:r>
      <w:r w:rsidR="00BD09D4">
        <w:rPr>
          <w:rFonts w:ascii="Times New Roman" w:hAnsi="Times New Roman" w:cs="Times New Roman"/>
          <w:lang w:val="pl-PL"/>
        </w:rPr>
        <w:br/>
      </w:r>
      <w:r w:rsidR="001C093E" w:rsidRPr="00B45853">
        <w:rPr>
          <w:rFonts w:ascii="Times New Roman" w:hAnsi="Times New Roman" w:cs="Times New Roman"/>
          <w:lang w:val="pl-PL"/>
        </w:rPr>
        <w:t>a także odpowiedniego orzecznictwa Trybunału streszczone</w:t>
      </w:r>
      <w:r w:rsidR="00DC79F3" w:rsidRPr="00B45853">
        <w:rPr>
          <w:rFonts w:ascii="Times New Roman" w:hAnsi="Times New Roman" w:cs="Times New Roman"/>
          <w:lang w:val="pl-PL"/>
        </w:rPr>
        <w:t>go</w:t>
      </w:r>
      <w:r w:rsidR="001C093E" w:rsidRPr="00B45853">
        <w:rPr>
          <w:rFonts w:ascii="Times New Roman" w:hAnsi="Times New Roman" w:cs="Times New Roman"/>
          <w:lang w:val="pl-PL"/>
        </w:rPr>
        <w:t xml:space="preserve"> w wyroku Izby. Rząd wskazał również, ż</w:t>
      </w:r>
      <w:r w:rsidR="00DC79F3" w:rsidRPr="00B45853">
        <w:rPr>
          <w:rFonts w:ascii="Times New Roman" w:hAnsi="Times New Roman" w:cs="Times New Roman"/>
          <w:lang w:val="pl-PL"/>
        </w:rPr>
        <w:t>e nie było Estoński</w:t>
      </w:r>
      <w:r w:rsidR="004C4405" w:rsidRPr="00B45853">
        <w:rPr>
          <w:rFonts w:ascii="Times New Roman" w:hAnsi="Times New Roman" w:cs="Times New Roman"/>
          <w:lang w:val="pl-PL"/>
        </w:rPr>
        <w:t>ego</w:t>
      </w:r>
      <w:r w:rsidR="00DC79F3" w:rsidRPr="00B45853">
        <w:rPr>
          <w:rFonts w:ascii="Times New Roman" w:hAnsi="Times New Roman" w:cs="Times New Roman"/>
          <w:lang w:val="pl-PL"/>
        </w:rPr>
        <w:t xml:space="preserve"> orzecznictwa</w:t>
      </w:r>
      <w:r w:rsidR="00FC6825" w:rsidRPr="00B45853">
        <w:rPr>
          <w:rFonts w:ascii="Times New Roman" w:hAnsi="Times New Roman" w:cs="Times New Roman"/>
          <w:lang w:val="pl-PL"/>
        </w:rPr>
        <w:t>,</w:t>
      </w:r>
      <w:r w:rsidR="001C093E" w:rsidRPr="00B45853">
        <w:rPr>
          <w:rFonts w:ascii="Times New Roman" w:hAnsi="Times New Roman" w:cs="Times New Roman"/>
          <w:lang w:val="pl-PL"/>
        </w:rPr>
        <w:t xml:space="preserve"> na podstawie któr</w:t>
      </w:r>
      <w:r w:rsidR="00DC79F3" w:rsidRPr="00B45853">
        <w:rPr>
          <w:rFonts w:ascii="Times New Roman" w:hAnsi="Times New Roman" w:cs="Times New Roman"/>
          <w:lang w:val="pl-PL"/>
        </w:rPr>
        <w:t>e</w:t>
      </w:r>
      <w:r w:rsidR="00FC6825" w:rsidRPr="00B45853">
        <w:rPr>
          <w:rFonts w:ascii="Times New Roman" w:hAnsi="Times New Roman" w:cs="Times New Roman"/>
          <w:lang w:val="pl-PL"/>
        </w:rPr>
        <w:t xml:space="preserve">go </w:t>
      </w:r>
      <w:proofErr w:type="spellStart"/>
      <w:r w:rsidR="00FC6825" w:rsidRPr="00B45853">
        <w:rPr>
          <w:rFonts w:ascii="Times New Roman" w:hAnsi="Times New Roman" w:cs="Times New Roman"/>
          <w:lang w:val="pl-PL"/>
        </w:rPr>
        <w:t>Delfi</w:t>
      </w:r>
      <w:proofErr w:type="spellEnd"/>
      <w:r w:rsidR="00BD09D4">
        <w:rPr>
          <w:rFonts w:ascii="Times New Roman" w:hAnsi="Times New Roman" w:cs="Times New Roman"/>
          <w:lang w:val="pl-PL"/>
        </w:rPr>
        <w:t xml:space="preserve"> </w:t>
      </w:r>
      <w:r w:rsidR="00FC6825" w:rsidRPr="00B45853">
        <w:rPr>
          <w:rFonts w:ascii="Times New Roman" w:hAnsi="Times New Roman" w:cs="Times New Roman"/>
          <w:lang w:val="pl-PL"/>
        </w:rPr>
        <w:t>-</w:t>
      </w:r>
      <w:r w:rsidR="00BD09D4">
        <w:rPr>
          <w:rFonts w:ascii="Times New Roman" w:hAnsi="Times New Roman" w:cs="Times New Roman"/>
          <w:lang w:val="pl-PL"/>
        </w:rPr>
        <w:t xml:space="preserve"> </w:t>
      </w:r>
      <w:r w:rsidR="00DC79F3" w:rsidRPr="00B45853">
        <w:rPr>
          <w:rFonts w:ascii="Times New Roman" w:hAnsi="Times New Roman" w:cs="Times New Roman"/>
          <w:lang w:val="pl-PL"/>
        </w:rPr>
        <w:t>która</w:t>
      </w:r>
      <w:r w:rsidR="001C093E" w:rsidRPr="00B45853">
        <w:rPr>
          <w:rFonts w:ascii="Times New Roman" w:hAnsi="Times New Roman" w:cs="Times New Roman"/>
          <w:lang w:val="pl-PL"/>
        </w:rPr>
        <w:t xml:space="preserve"> zachęc</w:t>
      </w:r>
      <w:r w:rsidR="00DC79F3" w:rsidRPr="00B45853">
        <w:rPr>
          <w:rFonts w:ascii="Times New Roman" w:hAnsi="Times New Roman" w:cs="Times New Roman"/>
          <w:lang w:val="pl-PL"/>
        </w:rPr>
        <w:t>ała do</w:t>
      </w:r>
      <w:r w:rsidR="001C093E" w:rsidRPr="00B45853">
        <w:rPr>
          <w:rFonts w:ascii="Times New Roman" w:hAnsi="Times New Roman" w:cs="Times New Roman"/>
          <w:lang w:val="pl-PL"/>
        </w:rPr>
        <w:t xml:space="preserve"> </w:t>
      </w:r>
      <w:r w:rsidR="00DC79F3" w:rsidRPr="00B45853">
        <w:rPr>
          <w:rFonts w:ascii="Times New Roman" w:hAnsi="Times New Roman" w:cs="Times New Roman"/>
          <w:lang w:val="pl-PL"/>
        </w:rPr>
        <w:t>umieszczania komentarzy dotyczących</w:t>
      </w:r>
      <w:r w:rsidR="001C093E" w:rsidRPr="00B45853">
        <w:rPr>
          <w:rFonts w:ascii="Times New Roman" w:hAnsi="Times New Roman" w:cs="Times New Roman"/>
          <w:lang w:val="pl-PL"/>
        </w:rPr>
        <w:t xml:space="preserve"> artykułów wybrany</w:t>
      </w:r>
      <w:r w:rsidR="00FC6825" w:rsidRPr="00B45853">
        <w:rPr>
          <w:rFonts w:ascii="Times New Roman" w:hAnsi="Times New Roman" w:cs="Times New Roman"/>
          <w:lang w:val="pl-PL"/>
        </w:rPr>
        <w:t>ch i opublikowanych przez nią</w:t>
      </w:r>
      <w:r w:rsidR="00BD09D4">
        <w:rPr>
          <w:rFonts w:ascii="Times New Roman" w:hAnsi="Times New Roman" w:cs="Times New Roman"/>
          <w:lang w:val="pl-PL"/>
        </w:rPr>
        <w:t xml:space="preserve"> </w:t>
      </w:r>
      <w:r w:rsidR="00FC6825" w:rsidRPr="00B45853">
        <w:rPr>
          <w:rFonts w:ascii="Times New Roman" w:hAnsi="Times New Roman" w:cs="Times New Roman"/>
          <w:lang w:val="pl-PL"/>
        </w:rPr>
        <w:t>-</w:t>
      </w:r>
      <w:r w:rsidR="00BD09D4">
        <w:rPr>
          <w:rFonts w:ascii="Times New Roman" w:hAnsi="Times New Roman" w:cs="Times New Roman"/>
          <w:lang w:val="pl-PL"/>
        </w:rPr>
        <w:t xml:space="preserve"> </w:t>
      </w:r>
      <w:r w:rsidR="00DC79F3" w:rsidRPr="00B45853">
        <w:rPr>
          <w:rFonts w:ascii="Times New Roman" w:hAnsi="Times New Roman" w:cs="Times New Roman"/>
          <w:lang w:val="pl-PL"/>
        </w:rPr>
        <w:t>mogła</w:t>
      </w:r>
      <w:r w:rsidR="001C093E" w:rsidRPr="00B45853">
        <w:rPr>
          <w:rFonts w:ascii="Times New Roman" w:hAnsi="Times New Roman" w:cs="Times New Roman"/>
          <w:lang w:val="pl-PL"/>
        </w:rPr>
        <w:t xml:space="preserve"> przypuszczać, że właściciel portalu internetowego jako nowej publikacji w mediach nie ponosi odpowiedzialności za szkody powstałe w wyniku uwag za</w:t>
      </w:r>
      <w:r w:rsidR="00DC79F3" w:rsidRPr="00B45853">
        <w:rPr>
          <w:rFonts w:ascii="Times New Roman" w:hAnsi="Times New Roman" w:cs="Times New Roman"/>
          <w:lang w:val="pl-PL"/>
        </w:rPr>
        <w:t>mieszczonych na swoich artykułach</w:t>
      </w:r>
      <w:r w:rsidR="001C093E" w:rsidRPr="00B45853">
        <w:rPr>
          <w:rFonts w:ascii="Times New Roman" w:hAnsi="Times New Roman" w:cs="Times New Roman"/>
          <w:lang w:val="pl-PL"/>
        </w:rPr>
        <w:t>, które stanow</w:t>
      </w:r>
      <w:r w:rsidR="004C4405" w:rsidRPr="00B45853">
        <w:rPr>
          <w:rFonts w:ascii="Times New Roman" w:hAnsi="Times New Roman" w:cs="Times New Roman"/>
          <w:lang w:val="pl-PL"/>
        </w:rPr>
        <w:t>ią integralną część nowości i które</w:t>
      </w:r>
      <w:r w:rsidR="001C093E" w:rsidRPr="00B45853">
        <w:rPr>
          <w:rFonts w:ascii="Times New Roman" w:hAnsi="Times New Roman" w:cs="Times New Roman"/>
          <w:lang w:val="pl-PL"/>
        </w:rPr>
        <w:t xml:space="preserve"> tylko </w:t>
      </w:r>
      <w:proofErr w:type="spellStart"/>
      <w:r w:rsidR="001C093E" w:rsidRPr="00B45853">
        <w:rPr>
          <w:rFonts w:ascii="Times New Roman" w:hAnsi="Times New Roman" w:cs="Times New Roman"/>
          <w:lang w:val="pl-PL"/>
        </w:rPr>
        <w:t>Delfi</w:t>
      </w:r>
      <w:proofErr w:type="spellEnd"/>
      <w:r w:rsidR="001C093E" w:rsidRPr="00B45853">
        <w:rPr>
          <w:rFonts w:ascii="Times New Roman" w:hAnsi="Times New Roman" w:cs="Times New Roman"/>
          <w:lang w:val="pl-PL"/>
        </w:rPr>
        <w:t xml:space="preserve"> może administrować. Ponadto, w momencie</w:t>
      </w:r>
      <w:r w:rsidR="00FC6825" w:rsidRPr="00B45853">
        <w:rPr>
          <w:rFonts w:ascii="Times New Roman" w:hAnsi="Times New Roman" w:cs="Times New Roman"/>
          <w:lang w:val="pl-PL"/>
        </w:rPr>
        <w:t>,</w:t>
      </w:r>
      <w:r w:rsidR="00DC79F3" w:rsidRPr="00B45853">
        <w:rPr>
          <w:rFonts w:ascii="Times New Roman" w:hAnsi="Times New Roman" w:cs="Times New Roman"/>
          <w:lang w:val="pl-PL"/>
        </w:rPr>
        <w:t xml:space="preserve"> kiedy</w:t>
      </w:r>
      <w:r w:rsidR="001C093E" w:rsidRPr="00B45853">
        <w:rPr>
          <w:rFonts w:ascii="Times New Roman" w:hAnsi="Times New Roman" w:cs="Times New Roman"/>
          <w:lang w:val="pl-PL"/>
        </w:rPr>
        <w:t xml:space="preserve"> </w:t>
      </w:r>
      <w:r w:rsidR="00DC79F3" w:rsidRPr="00B45853">
        <w:rPr>
          <w:rFonts w:ascii="Times New Roman" w:hAnsi="Times New Roman" w:cs="Times New Roman"/>
          <w:lang w:val="pl-PL"/>
        </w:rPr>
        <w:t>wyroki</w:t>
      </w:r>
      <w:r w:rsidR="001C093E" w:rsidRPr="00B45853">
        <w:rPr>
          <w:rFonts w:ascii="Times New Roman" w:hAnsi="Times New Roman" w:cs="Times New Roman"/>
          <w:lang w:val="pl-PL"/>
        </w:rPr>
        <w:t xml:space="preserve"> krajowe zostały wydane w przypadku </w:t>
      </w:r>
      <w:proofErr w:type="spellStart"/>
      <w:r w:rsidR="001C093E" w:rsidRPr="00B45853">
        <w:rPr>
          <w:rFonts w:ascii="Times New Roman" w:hAnsi="Times New Roman" w:cs="Times New Roman"/>
          <w:lang w:val="pl-PL"/>
        </w:rPr>
        <w:t>Delfi</w:t>
      </w:r>
      <w:proofErr w:type="spellEnd"/>
      <w:r w:rsidR="001C093E" w:rsidRPr="00B45853">
        <w:rPr>
          <w:rFonts w:ascii="Times New Roman" w:hAnsi="Times New Roman" w:cs="Times New Roman"/>
          <w:lang w:val="pl-PL"/>
        </w:rPr>
        <w:t>, to było bardziej niż oczywiste, że media internetowe miał</w:t>
      </w:r>
      <w:r w:rsidR="00DC79F3" w:rsidRPr="00B45853">
        <w:rPr>
          <w:rFonts w:ascii="Times New Roman" w:hAnsi="Times New Roman" w:cs="Times New Roman"/>
          <w:lang w:val="pl-PL"/>
        </w:rPr>
        <w:t>y</w:t>
      </w:r>
      <w:r w:rsidR="001C093E" w:rsidRPr="00B45853">
        <w:rPr>
          <w:rFonts w:ascii="Times New Roman" w:hAnsi="Times New Roman" w:cs="Times New Roman"/>
          <w:lang w:val="pl-PL"/>
        </w:rPr>
        <w:t xml:space="preserve"> szeroki wpływ na społeczeństwo i że w celu ochrony życia prywatnego innych, zasady odpowiedzialności miały zastosowanie </w:t>
      </w:r>
      <w:r w:rsidR="00DC79F3" w:rsidRPr="00B45853">
        <w:rPr>
          <w:rFonts w:ascii="Times New Roman" w:hAnsi="Times New Roman" w:cs="Times New Roman"/>
          <w:lang w:val="pl-PL"/>
        </w:rPr>
        <w:t xml:space="preserve">również </w:t>
      </w:r>
      <w:r w:rsidR="004C4405" w:rsidRPr="00B45853">
        <w:rPr>
          <w:rFonts w:ascii="Times New Roman" w:hAnsi="Times New Roman" w:cs="Times New Roman"/>
          <w:lang w:val="pl-PL"/>
        </w:rPr>
        <w:t>wobec</w:t>
      </w:r>
      <w:r w:rsidR="00DC79F3" w:rsidRPr="00B45853">
        <w:rPr>
          <w:rFonts w:ascii="Times New Roman" w:hAnsi="Times New Roman" w:cs="Times New Roman"/>
          <w:lang w:val="pl-PL"/>
        </w:rPr>
        <w:t xml:space="preserve"> nowych mediów</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85</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DC79F3" w:rsidRPr="00B45853">
        <w:rPr>
          <w:rFonts w:ascii="Times New Roman" w:hAnsi="Times New Roman" w:cs="Times New Roman"/>
          <w:lang w:val="pl-PL"/>
        </w:rPr>
        <w:t xml:space="preserve">Rząd potwierdził, że odniesienia skarżącej spółki do prawa UE </w:t>
      </w:r>
      <w:r w:rsidR="00F166C1">
        <w:rPr>
          <w:rFonts w:ascii="Times New Roman" w:hAnsi="Times New Roman" w:cs="Times New Roman"/>
          <w:lang w:val="pl-PL"/>
        </w:rPr>
        <w:br/>
      </w:r>
      <w:r w:rsidR="00DC79F3" w:rsidRPr="00B45853">
        <w:rPr>
          <w:rFonts w:ascii="Times New Roman" w:hAnsi="Times New Roman" w:cs="Times New Roman"/>
          <w:lang w:val="pl-PL"/>
        </w:rPr>
        <w:t xml:space="preserve">i Ustawy o </w:t>
      </w:r>
      <w:r w:rsidR="004C4405" w:rsidRPr="00B45853">
        <w:rPr>
          <w:rFonts w:ascii="Times New Roman" w:hAnsi="Times New Roman" w:cs="Times New Roman"/>
          <w:lang w:val="pl-PL"/>
        </w:rPr>
        <w:t xml:space="preserve">Usługach </w:t>
      </w:r>
      <w:r w:rsidR="00DC79F3" w:rsidRPr="00B45853">
        <w:rPr>
          <w:rFonts w:ascii="Times New Roman" w:hAnsi="Times New Roman" w:cs="Times New Roman"/>
          <w:lang w:val="pl-PL"/>
        </w:rPr>
        <w:t>Społeczeństw</w:t>
      </w:r>
      <w:r w:rsidR="004C4405" w:rsidRPr="00B45853">
        <w:rPr>
          <w:rFonts w:ascii="Times New Roman" w:hAnsi="Times New Roman" w:cs="Times New Roman"/>
          <w:lang w:val="pl-PL"/>
        </w:rPr>
        <w:t>a</w:t>
      </w:r>
      <w:r w:rsidR="00DC79F3" w:rsidRPr="00B45853">
        <w:rPr>
          <w:rFonts w:ascii="Times New Roman" w:hAnsi="Times New Roman" w:cs="Times New Roman"/>
          <w:lang w:val="pl-PL"/>
        </w:rPr>
        <w:t xml:space="preserve"> I</w:t>
      </w:r>
      <w:r w:rsidR="004C4405" w:rsidRPr="00B45853">
        <w:rPr>
          <w:rFonts w:ascii="Times New Roman" w:hAnsi="Times New Roman" w:cs="Times New Roman"/>
          <w:lang w:val="pl-PL"/>
        </w:rPr>
        <w:t>nformacyjnego</w:t>
      </w:r>
      <w:r w:rsidR="00DC79F3" w:rsidRPr="00B45853">
        <w:rPr>
          <w:rFonts w:ascii="Times New Roman" w:hAnsi="Times New Roman" w:cs="Times New Roman"/>
          <w:lang w:val="pl-PL"/>
        </w:rPr>
        <w:t xml:space="preserve"> </w:t>
      </w:r>
      <w:r w:rsidR="00E56754">
        <w:rPr>
          <w:rFonts w:ascii="Times New Roman" w:hAnsi="Times New Roman" w:cs="Times New Roman"/>
          <w:lang w:val="pl-PL"/>
        </w:rPr>
        <w:t xml:space="preserve">nie </w:t>
      </w:r>
      <w:r w:rsidR="00DC79F3" w:rsidRPr="00B45853">
        <w:rPr>
          <w:rFonts w:ascii="Times New Roman" w:hAnsi="Times New Roman" w:cs="Times New Roman"/>
          <w:lang w:val="pl-PL"/>
        </w:rPr>
        <w:t>powinny być b</w:t>
      </w:r>
      <w:r w:rsidR="004C4405" w:rsidRPr="00B45853">
        <w:rPr>
          <w:rFonts w:ascii="Times New Roman" w:hAnsi="Times New Roman" w:cs="Times New Roman"/>
          <w:lang w:val="pl-PL"/>
        </w:rPr>
        <w:t>rane pod uwagę. Wielka Izba mogła</w:t>
      </w:r>
      <w:r w:rsidR="00DC79F3" w:rsidRPr="00B45853">
        <w:rPr>
          <w:rFonts w:ascii="Times New Roman" w:hAnsi="Times New Roman" w:cs="Times New Roman"/>
          <w:lang w:val="pl-PL"/>
        </w:rPr>
        <w:t xml:space="preserve"> tylko ocenić czy skutki </w:t>
      </w:r>
      <w:r w:rsidR="00DC79F3" w:rsidRPr="00AD5925">
        <w:rPr>
          <w:rFonts w:ascii="Times New Roman" w:hAnsi="Times New Roman" w:cs="Times New Roman"/>
          <w:lang w:val="pl-PL"/>
        </w:rPr>
        <w:t xml:space="preserve">interpretacji </w:t>
      </w:r>
      <w:r w:rsidR="00CC4B66" w:rsidRPr="00AD5925">
        <w:rPr>
          <w:rFonts w:ascii="Times New Roman" w:hAnsi="Times New Roman" w:cs="Times New Roman"/>
          <w:lang w:val="pl-PL"/>
        </w:rPr>
        <w:t xml:space="preserve">Prawa Zobowiązań </w:t>
      </w:r>
      <w:r w:rsidR="00DC79F3" w:rsidRPr="00AD5925">
        <w:rPr>
          <w:rFonts w:ascii="Times New Roman" w:hAnsi="Times New Roman" w:cs="Times New Roman"/>
          <w:lang w:val="pl-PL"/>
        </w:rPr>
        <w:t>były zgodne z artykułem 10 § 2 Konwencji i nie mogła ocenić</w:t>
      </w:r>
      <w:r w:rsidR="00DC79F3" w:rsidRPr="00B45853">
        <w:rPr>
          <w:rFonts w:ascii="Times New Roman" w:hAnsi="Times New Roman" w:cs="Times New Roman"/>
          <w:lang w:val="pl-PL"/>
        </w:rPr>
        <w:t xml:space="preserve"> prawodawstwa</w:t>
      </w:r>
      <w:r w:rsidR="00FC6825" w:rsidRPr="00B45853">
        <w:rPr>
          <w:rFonts w:ascii="Times New Roman" w:hAnsi="Times New Roman" w:cs="Times New Roman"/>
          <w:lang w:val="pl-PL"/>
        </w:rPr>
        <w:t>,</w:t>
      </w:r>
      <w:r w:rsidR="00DC79F3" w:rsidRPr="00B45853">
        <w:rPr>
          <w:rFonts w:ascii="Times New Roman" w:hAnsi="Times New Roman" w:cs="Times New Roman"/>
          <w:lang w:val="pl-PL"/>
        </w:rPr>
        <w:t xml:space="preserve"> które sądy krajowe uznały </w:t>
      </w:r>
      <w:r w:rsidR="00FC6825" w:rsidRPr="00B45853">
        <w:rPr>
          <w:rFonts w:ascii="Times New Roman" w:hAnsi="Times New Roman" w:cs="Times New Roman"/>
          <w:lang w:val="pl-PL"/>
        </w:rPr>
        <w:t>za nie</w:t>
      </w:r>
      <w:r w:rsidR="00DC79F3" w:rsidRPr="00B45853">
        <w:rPr>
          <w:rFonts w:ascii="Times New Roman" w:hAnsi="Times New Roman" w:cs="Times New Roman"/>
          <w:lang w:val="pl-PL"/>
        </w:rPr>
        <w:t xml:space="preserve">stosowne. Wskazywali oni również, że sądy krajowe </w:t>
      </w:r>
      <w:r w:rsidR="00E77166" w:rsidRPr="00B45853">
        <w:rPr>
          <w:rFonts w:ascii="Times New Roman" w:hAnsi="Times New Roman" w:cs="Times New Roman"/>
          <w:lang w:val="pl-PL"/>
        </w:rPr>
        <w:t>zwróciły</w:t>
      </w:r>
      <w:r w:rsidR="00DC79F3" w:rsidRPr="00B45853">
        <w:rPr>
          <w:rFonts w:ascii="Times New Roman" w:hAnsi="Times New Roman" w:cs="Times New Roman"/>
          <w:lang w:val="pl-PL"/>
        </w:rPr>
        <w:t xml:space="preserve"> wystarczając</w:t>
      </w:r>
      <w:r w:rsidR="00E77166" w:rsidRPr="00B45853">
        <w:rPr>
          <w:rFonts w:ascii="Times New Roman" w:hAnsi="Times New Roman" w:cs="Times New Roman"/>
          <w:lang w:val="pl-PL"/>
        </w:rPr>
        <w:t>ą uwagę co</w:t>
      </w:r>
      <w:r w:rsidR="00DC79F3" w:rsidRPr="00B45853">
        <w:rPr>
          <w:rFonts w:ascii="Times New Roman" w:hAnsi="Times New Roman" w:cs="Times New Roman"/>
          <w:lang w:val="pl-PL"/>
        </w:rPr>
        <w:t xml:space="preserve"> do kwestii, czy </w:t>
      </w:r>
      <w:r w:rsidR="00E77166" w:rsidRPr="00B45853">
        <w:rPr>
          <w:rFonts w:ascii="Times New Roman" w:hAnsi="Times New Roman" w:cs="Times New Roman"/>
          <w:lang w:val="pl-PL"/>
        </w:rPr>
        <w:t>skarżąca spółka</w:t>
      </w:r>
      <w:r w:rsidR="004C4405" w:rsidRPr="00B45853">
        <w:rPr>
          <w:rFonts w:ascii="Times New Roman" w:hAnsi="Times New Roman" w:cs="Times New Roman"/>
          <w:lang w:val="pl-PL"/>
        </w:rPr>
        <w:t xml:space="preserve"> może być uznana</w:t>
      </w:r>
      <w:r w:rsidR="00DC79F3" w:rsidRPr="00B45853">
        <w:rPr>
          <w:rFonts w:ascii="Times New Roman" w:hAnsi="Times New Roman" w:cs="Times New Roman"/>
          <w:lang w:val="pl-PL"/>
        </w:rPr>
        <w:t xml:space="preserve"> za </w:t>
      </w:r>
      <w:r w:rsidR="00E77166" w:rsidRPr="00B45853">
        <w:rPr>
          <w:rFonts w:ascii="Times New Roman" w:hAnsi="Times New Roman" w:cs="Times New Roman"/>
          <w:lang w:val="pl-PL"/>
        </w:rPr>
        <w:t xml:space="preserve">usługodawcę buforującego lub </w:t>
      </w:r>
      <w:r w:rsidR="00E77166" w:rsidRPr="00B45853">
        <w:rPr>
          <w:rFonts w:ascii="Times New Roman" w:hAnsi="Times New Roman" w:cs="Times New Roman"/>
          <w:lang w:val="pl-PL"/>
        </w:rPr>
        <w:lastRenderedPageBreak/>
        <w:t>usługodawcę</w:t>
      </w:r>
      <w:r w:rsidR="00DC79F3" w:rsidRPr="00B45853">
        <w:rPr>
          <w:rFonts w:ascii="Times New Roman" w:hAnsi="Times New Roman" w:cs="Times New Roman"/>
          <w:lang w:val="pl-PL"/>
        </w:rPr>
        <w:t xml:space="preserve"> hostingowego. Jednak stwierdził, że </w:t>
      </w:r>
      <w:r w:rsidR="00E77166" w:rsidRPr="00B45853">
        <w:rPr>
          <w:rFonts w:ascii="Times New Roman" w:hAnsi="Times New Roman" w:cs="Times New Roman"/>
          <w:lang w:val="pl-PL"/>
        </w:rPr>
        <w:t>z pewnością tak nie było</w:t>
      </w:r>
      <w:r w:rsidR="00DC79F3" w:rsidRPr="00B45853">
        <w:rPr>
          <w:rFonts w:ascii="Times New Roman" w:hAnsi="Times New Roman" w:cs="Times New Roman"/>
          <w:lang w:val="pl-PL"/>
        </w:rPr>
        <w:t xml:space="preserve">. W szczególności, w przypadku hostingu, usługodawca jedynie </w:t>
      </w:r>
      <w:r w:rsidR="00E77166" w:rsidRPr="00B45853">
        <w:rPr>
          <w:rFonts w:ascii="Times New Roman" w:hAnsi="Times New Roman" w:cs="Times New Roman"/>
          <w:lang w:val="pl-PL"/>
        </w:rPr>
        <w:t>zapewnia</w:t>
      </w:r>
      <w:r w:rsidR="00DC79F3" w:rsidRPr="00B45853">
        <w:rPr>
          <w:rFonts w:ascii="Times New Roman" w:hAnsi="Times New Roman" w:cs="Times New Roman"/>
          <w:lang w:val="pl-PL"/>
        </w:rPr>
        <w:t>, usługi przechowywania danych, a przechowywane dane oraz ich wprowadzenie, zmiana, usuwanie i treść pozosta</w:t>
      </w:r>
      <w:r w:rsidR="00E77166" w:rsidRPr="00B45853">
        <w:rPr>
          <w:rFonts w:ascii="Times New Roman" w:hAnsi="Times New Roman" w:cs="Times New Roman"/>
          <w:lang w:val="pl-PL"/>
        </w:rPr>
        <w:t>ją</w:t>
      </w:r>
      <w:r w:rsidR="00DC79F3" w:rsidRPr="00B45853">
        <w:rPr>
          <w:rFonts w:ascii="Times New Roman" w:hAnsi="Times New Roman" w:cs="Times New Roman"/>
          <w:lang w:val="pl-PL"/>
        </w:rPr>
        <w:t xml:space="preserve"> pod kontrolą użytkowników serwisu. </w:t>
      </w:r>
      <w:r w:rsidR="00E77166" w:rsidRPr="00B45853">
        <w:rPr>
          <w:rFonts w:ascii="Times New Roman" w:hAnsi="Times New Roman" w:cs="Times New Roman"/>
          <w:lang w:val="pl-PL"/>
        </w:rPr>
        <w:t>W środowisku koment</w:t>
      </w:r>
      <w:r w:rsidR="00584194" w:rsidRPr="00B45853">
        <w:rPr>
          <w:rFonts w:ascii="Times New Roman" w:hAnsi="Times New Roman" w:cs="Times New Roman"/>
          <w:lang w:val="pl-PL"/>
        </w:rPr>
        <w:t>owania</w:t>
      </w:r>
      <w:r w:rsidR="00E77166" w:rsidRPr="00B45853">
        <w:rPr>
          <w:rFonts w:ascii="Times New Roman" w:hAnsi="Times New Roman" w:cs="Times New Roman"/>
          <w:lang w:val="pl-PL"/>
        </w:rPr>
        <w:t xml:space="preserve"> </w:t>
      </w:r>
      <w:proofErr w:type="spellStart"/>
      <w:r w:rsidR="00E77166" w:rsidRPr="00B45853">
        <w:rPr>
          <w:rFonts w:ascii="Times New Roman" w:hAnsi="Times New Roman" w:cs="Times New Roman"/>
          <w:lang w:val="pl-PL"/>
        </w:rPr>
        <w:t>Delfi</w:t>
      </w:r>
      <w:proofErr w:type="spellEnd"/>
      <w:r w:rsidR="00E77166" w:rsidRPr="00B45853">
        <w:rPr>
          <w:rFonts w:ascii="Times New Roman" w:hAnsi="Times New Roman" w:cs="Times New Roman"/>
          <w:lang w:val="pl-PL"/>
        </w:rPr>
        <w:t xml:space="preserve"> komentujący </w:t>
      </w:r>
      <w:r w:rsidR="00DC79F3" w:rsidRPr="00B45853">
        <w:rPr>
          <w:rFonts w:ascii="Times New Roman" w:hAnsi="Times New Roman" w:cs="Times New Roman"/>
          <w:lang w:val="pl-PL"/>
        </w:rPr>
        <w:t xml:space="preserve">jednak </w:t>
      </w:r>
      <w:r w:rsidR="00E77166" w:rsidRPr="00B45853">
        <w:rPr>
          <w:rFonts w:ascii="Times New Roman" w:hAnsi="Times New Roman" w:cs="Times New Roman"/>
          <w:lang w:val="pl-PL"/>
        </w:rPr>
        <w:t>stracili</w:t>
      </w:r>
      <w:r w:rsidR="00DC79F3" w:rsidRPr="00B45853">
        <w:rPr>
          <w:rFonts w:ascii="Times New Roman" w:hAnsi="Times New Roman" w:cs="Times New Roman"/>
          <w:lang w:val="pl-PL"/>
        </w:rPr>
        <w:t xml:space="preserve"> kontrolę nad swoimi </w:t>
      </w:r>
      <w:r w:rsidR="00E77166" w:rsidRPr="00B45853">
        <w:rPr>
          <w:rFonts w:ascii="Times New Roman" w:hAnsi="Times New Roman" w:cs="Times New Roman"/>
          <w:lang w:val="pl-PL"/>
        </w:rPr>
        <w:t>komentarzami</w:t>
      </w:r>
      <w:r w:rsidR="00DC79F3" w:rsidRPr="00B45853">
        <w:rPr>
          <w:rFonts w:ascii="Times New Roman" w:hAnsi="Times New Roman" w:cs="Times New Roman"/>
          <w:lang w:val="pl-PL"/>
        </w:rPr>
        <w:t>, jak tylko</w:t>
      </w:r>
      <w:r w:rsidR="00E77166" w:rsidRPr="00B45853">
        <w:rPr>
          <w:rFonts w:ascii="Times New Roman" w:hAnsi="Times New Roman" w:cs="Times New Roman"/>
          <w:lang w:val="pl-PL"/>
        </w:rPr>
        <w:t xml:space="preserve"> je</w:t>
      </w:r>
      <w:r w:rsidR="00DC79F3" w:rsidRPr="00B45853">
        <w:rPr>
          <w:rFonts w:ascii="Times New Roman" w:hAnsi="Times New Roman" w:cs="Times New Roman"/>
          <w:lang w:val="pl-PL"/>
        </w:rPr>
        <w:t xml:space="preserve"> </w:t>
      </w:r>
      <w:r w:rsidR="00E77166" w:rsidRPr="00B45853">
        <w:rPr>
          <w:rFonts w:ascii="Times New Roman" w:hAnsi="Times New Roman" w:cs="Times New Roman"/>
          <w:lang w:val="pl-PL"/>
        </w:rPr>
        <w:t xml:space="preserve">wprowadzili, </w:t>
      </w:r>
      <w:r w:rsidR="00584194" w:rsidRPr="00B45853">
        <w:rPr>
          <w:rFonts w:ascii="Times New Roman" w:hAnsi="Times New Roman" w:cs="Times New Roman"/>
          <w:lang w:val="pl-PL"/>
        </w:rPr>
        <w:t xml:space="preserve">i </w:t>
      </w:r>
      <w:r w:rsidR="00E77166" w:rsidRPr="00B45853">
        <w:rPr>
          <w:rFonts w:ascii="Times New Roman" w:hAnsi="Times New Roman" w:cs="Times New Roman"/>
          <w:lang w:val="pl-PL"/>
        </w:rPr>
        <w:t>nie mogli ich</w:t>
      </w:r>
      <w:r w:rsidR="00DC79F3" w:rsidRPr="00B45853">
        <w:rPr>
          <w:rFonts w:ascii="Times New Roman" w:hAnsi="Times New Roman" w:cs="Times New Roman"/>
          <w:lang w:val="pl-PL"/>
        </w:rPr>
        <w:t xml:space="preserve"> zmienić lub usunąć. Uwzględniając również </w:t>
      </w:r>
      <w:r w:rsidR="00E77166" w:rsidRPr="00B45853">
        <w:rPr>
          <w:rFonts w:ascii="Times New Roman" w:hAnsi="Times New Roman" w:cs="Times New Roman"/>
          <w:lang w:val="pl-PL"/>
        </w:rPr>
        <w:t>inne</w:t>
      </w:r>
      <w:r w:rsidR="00DC79F3" w:rsidRPr="00B45853">
        <w:rPr>
          <w:rFonts w:ascii="Times New Roman" w:hAnsi="Times New Roman" w:cs="Times New Roman"/>
          <w:lang w:val="pl-PL"/>
        </w:rPr>
        <w:t xml:space="preserve"> aspekt</w:t>
      </w:r>
      <w:r w:rsidR="00E77166" w:rsidRPr="00B45853">
        <w:rPr>
          <w:rFonts w:ascii="Times New Roman" w:hAnsi="Times New Roman" w:cs="Times New Roman"/>
          <w:lang w:val="pl-PL"/>
        </w:rPr>
        <w:t>y</w:t>
      </w:r>
      <w:r w:rsidR="00DC79F3" w:rsidRPr="00B45853">
        <w:rPr>
          <w:rFonts w:ascii="Times New Roman" w:hAnsi="Times New Roman" w:cs="Times New Roman"/>
          <w:lang w:val="pl-PL"/>
        </w:rPr>
        <w:t xml:space="preserve"> sprawy - </w:t>
      </w:r>
      <w:proofErr w:type="spellStart"/>
      <w:r w:rsidR="00DC79F3" w:rsidRPr="00B45853">
        <w:rPr>
          <w:rFonts w:ascii="Times New Roman" w:hAnsi="Times New Roman" w:cs="Times New Roman"/>
          <w:lang w:val="pl-PL"/>
        </w:rPr>
        <w:t>Delfi</w:t>
      </w:r>
      <w:proofErr w:type="spellEnd"/>
      <w:r w:rsidR="00DC79F3" w:rsidRPr="00B45853">
        <w:rPr>
          <w:rFonts w:ascii="Times New Roman" w:hAnsi="Times New Roman" w:cs="Times New Roman"/>
          <w:lang w:val="pl-PL"/>
        </w:rPr>
        <w:t xml:space="preserve"> wyb</w:t>
      </w:r>
      <w:r w:rsidR="00E77166" w:rsidRPr="00B45853">
        <w:rPr>
          <w:rFonts w:ascii="Times New Roman" w:hAnsi="Times New Roman" w:cs="Times New Roman"/>
          <w:lang w:val="pl-PL"/>
        </w:rPr>
        <w:t>ierała</w:t>
      </w:r>
      <w:r w:rsidR="00DC79F3" w:rsidRPr="00B45853">
        <w:rPr>
          <w:rFonts w:ascii="Times New Roman" w:hAnsi="Times New Roman" w:cs="Times New Roman"/>
          <w:lang w:val="pl-PL"/>
        </w:rPr>
        <w:t xml:space="preserve"> artykuł</w:t>
      </w:r>
      <w:r w:rsidR="00E77166" w:rsidRPr="00B45853">
        <w:rPr>
          <w:rFonts w:ascii="Times New Roman" w:hAnsi="Times New Roman" w:cs="Times New Roman"/>
          <w:lang w:val="pl-PL"/>
        </w:rPr>
        <w:t xml:space="preserve">y oraz ich tytuły; </w:t>
      </w:r>
      <w:proofErr w:type="spellStart"/>
      <w:r w:rsidR="00E77166" w:rsidRPr="00B45853">
        <w:rPr>
          <w:rFonts w:ascii="Times New Roman" w:hAnsi="Times New Roman" w:cs="Times New Roman"/>
          <w:lang w:val="pl-PL"/>
        </w:rPr>
        <w:t>Delfi</w:t>
      </w:r>
      <w:proofErr w:type="spellEnd"/>
      <w:r w:rsidR="00E77166" w:rsidRPr="00B45853">
        <w:rPr>
          <w:rFonts w:ascii="Times New Roman" w:hAnsi="Times New Roman" w:cs="Times New Roman"/>
          <w:lang w:val="pl-PL"/>
        </w:rPr>
        <w:t xml:space="preserve"> zaprasza</w:t>
      </w:r>
      <w:r w:rsidR="00DC79F3" w:rsidRPr="00B45853">
        <w:rPr>
          <w:rFonts w:ascii="Times New Roman" w:hAnsi="Times New Roman" w:cs="Times New Roman"/>
          <w:lang w:val="pl-PL"/>
        </w:rPr>
        <w:t>ła czytelników do komentowania i usta</w:t>
      </w:r>
      <w:r w:rsidR="00E77166" w:rsidRPr="00B45853">
        <w:rPr>
          <w:rFonts w:ascii="Times New Roman" w:hAnsi="Times New Roman" w:cs="Times New Roman"/>
          <w:lang w:val="pl-PL"/>
        </w:rPr>
        <w:t>nawiała</w:t>
      </w:r>
      <w:r w:rsidR="00DC79F3" w:rsidRPr="00B45853">
        <w:rPr>
          <w:rFonts w:ascii="Times New Roman" w:hAnsi="Times New Roman" w:cs="Times New Roman"/>
          <w:lang w:val="pl-PL"/>
        </w:rPr>
        <w:t xml:space="preserve"> zasady komentowania (w tym, że komentarze musiał</w:t>
      </w:r>
      <w:r w:rsidR="00E77166" w:rsidRPr="00B45853">
        <w:rPr>
          <w:rFonts w:ascii="Times New Roman" w:hAnsi="Times New Roman" w:cs="Times New Roman"/>
          <w:lang w:val="pl-PL"/>
        </w:rPr>
        <w:t xml:space="preserve">y być związane z artykułem); </w:t>
      </w:r>
      <w:proofErr w:type="spellStart"/>
      <w:r w:rsidR="00E77166" w:rsidRPr="00B45853">
        <w:rPr>
          <w:rFonts w:ascii="Times New Roman" w:hAnsi="Times New Roman" w:cs="Times New Roman"/>
          <w:lang w:val="pl-PL"/>
        </w:rPr>
        <w:t>Delfi</w:t>
      </w:r>
      <w:proofErr w:type="spellEnd"/>
      <w:r w:rsidR="00E77166" w:rsidRPr="00B45853">
        <w:rPr>
          <w:rFonts w:ascii="Times New Roman" w:hAnsi="Times New Roman" w:cs="Times New Roman"/>
          <w:lang w:val="pl-PL"/>
        </w:rPr>
        <w:t xml:space="preserve"> </w:t>
      </w:r>
      <w:r w:rsidR="00DC79F3" w:rsidRPr="00B45853">
        <w:rPr>
          <w:rFonts w:ascii="Times New Roman" w:hAnsi="Times New Roman" w:cs="Times New Roman"/>
          <w:lang w:val="pl-PL"/>
        </w:rPr>
        <w:t>korzystał</w:t>
      </w:r>
      <w:r w:rsidR="00E77166" w:rsidRPr="00B45853">
        <w:rPr>
          <w:rFonts w:ascii="Times New Roman" w:hAnsi="Times New Roman" w:cs="Times New Roman"/>
          <w:lang w:val="pl-PL"/>
        </w:rPr>
        <w:t>a</w:t>
      </w:r>
      <w:r w:rsidR="00DC79F3" w:rsidRPr="00B45853">
        <w:rPr>
          <w:rFonts w:ascii="Times New Roman" w:hAnsi="Times New Roman" w:cs="Times New Roman"/>
          <w:lang w:val="pl-PL"/>
        </w:rPr>
        <w:t xml:space="preserve"> z wpływów z reklam, </w:t>
      </w:r>
      <w:r w:rsidR="00E77166" w:rsidRPr="00B45853">
        <w:rPr>
          <w:rFonts w:ascii="Times New Roman" w:hAnsi="Times New Roman" w:cs="Times New Roman"/>
          <w:lang w:val="pl-PL"/>
        </w:rPr>
        <w:t>im więcej komentarzy zostało zaksięgowanych</w:t>
      </w:r>
      <w:r w:rsidR="00DC79F3" w:rsidRPr="00B45853">
        <w:rPr>
          <w:rFonts w:ascii="Times New Roman" w:hAnsi="Times New Roman" w:cs="Times New Roman"/>
          <w:lang w:val="pl-PL"/>
        </w:rPr>
        <w:t xml:space="preserve">; </w:t>
      </w:r>
      <w:proofErr w:type="spellStart"/>
      <w:r w:rsidR="00DC79F3" w:rsidRPr="00B45853">
        <w:rPr>
          <w:rFonts w:ascii="Times New Roman" w:hAnsi="Times New Roman" w:cs="Times New Roman"/>
          <w:lang w:val="pl-PL"/>
        </w:rPr>
        <w:t>Delfi</w:t>
      </w:r>
      <w:proofErr w:type="spellEnd"/>
      <w:r w:rsidR="00E77166" w:rsidRPr="00B45853">
        <w:rPr>
          <w:rFonts w:ascii="Times New Roman" w:hAnsi="Times New Roman" w:cs="Times New Roman"/>
          <w:lang w:val="pl-PL"/>
        </w:rPr>
        <w:t xml:space="preserve"> również selektywnie </w:t>
      </w:r>
      <w:r w:rsidR="000936B1" w:rsidRPr="00B45853">
        <w:rPr>
          <w:rFonts w:ascii="Times New Roman" w:hAnsi="Times New Roman" w:cs="Times New Roman"/>
          <w:lang w:val="pl-PL"/>
        </w:rPr>
        <w:t>monitorowała</w:t>
      </w:r>
      <w:r w:rsidR="00FC6825" w:rsidRPr="00B45853">
        <w:rPr>
          <w:rFonts w:ascii="Times New Roman" w:hAnsi="Times New Roman" w:cs="Times New Roman"/>
          <w:lang w:val="pl-PL"/>
        </w:rPr>
        <w:t xml:space="preserve"> komentarze</w:t>
      </w:r>
      <w:r w:rsidR="00364DC9">
        <w:rPr>
          <w:rFonts w:ascii="Times New Roman" w:hAnsi="Times New Roman" w:cs="Times New Roman"/>
          <w:lang w:val="pl-PL"/>
        </w:rPr>
        <w:t xml:space="preserve"> </w:t>
      </w:r>
      <w:r w:rsidR="00FC6825" w:rsidRPr="00B45853">
        <w:rPr>
          <w:rFonts w:ascii="Times New Roman" w:hAnsi="Times New Roman" w:cs="Times New Roman"/>
          <w:lang w:val="pl-PL"/>
        </w:rPr>
        <w:t>-</w:t>
      </w:r>
      <w:r w:rsidR="00364DC9">
        <w:rPr>
          <w:rFonts w:ascii="Times New Roman" w:hAnsi="Times New Roman" w:cs="Times New Roman"/>
          <w:lang w:val="pl-PL"/>
        </w:rPr>
        <w:t xml:space="preserve"> </w:t>
      </w:r>
      <w:r w:rsidR="00DC79F3" w:rsidRPr="00B45853">
        <w:rPr>
          <w:rFonts w:ascii="Times New Roman" w:hAnsi="Times New Roman" w:cs="Times New Roman"/>
          <w:lang w:val="pl-PL"/>
        </w:rPr>
        <w:t xml:space="preserve">sądy krajowe uznały, że </w:t>
      </w:r>
      <w:proofErr w:type="spellStart"/>
      <w:r w:rsidR="00DC79F3" w:rsidRPr="00B45853">
        <w:rPr>
          <w:rFonts w:ascii="Times New Roman" w:hAnsi="Times New Roman" w:cs="Times New Roman"/>
          <w:lang w:val="pl-PL"/>
        </w:rPr>
        <w:t>Delfi</w:t>
      </w:r>
      <w:proofErr w:type="spellEnd"/>
      <w:r w:rsidR="00DC79F3" w:rsidRPr="00B45853">
        <w:rPr>
          <w:rFonts w:ascii="Times New Roman" w:hAnsi="Times New Roman" w:cs="Times New Roman"/>
          <w:lang w:val="pl-PL"/>
        </w:rPr>
        <w:t xml:space="preserve"> nie działał</w:t>
      </w:r>
      <w:r w:rsidR="00E77166" w:rsidRPr="00B45853">
        <w:rPr>
          <w:rFonts w:ascii="Times New Roman" w:hAnsi="Times New Roman" w:cs="Times New Roman"/>
          <w:lang w:val="pl-PL"/>
        </w:rPr>
        <w:t>a</w:t>
      </w:r>
      <w:r w:rsidR="00DC79F3" w:rsidRPr="00B45853">
        <w:rPr>
          <w:rFonts w:ascii="Times New Roman" w:hAnsi="Times New Roman" w:cs="Times New Roman"/>
          <w:lang w:val="pl-PL"/>
        </w:rPr>
        <w:t xml:space="preserve"> jedynie</w:t>
      </w:r>
      <w:r w:rsidR="00E77166" w:rsidRPr="00B45853">
        <w:rPr>
          <w:rFonts w:ascii="Times New Roman" w:hAnsi="Times New Roman" w:cs="Times New Roman"/>
          <w:lang w:val="pl-PL"/>
        </w:rPr>
        <w:t xml:space="preserve"> jako techniczny pośredniczący usługodawca i nie można s</w:t>
      </w:r>
      <w:r w:rsidR="00DC79F3" w:rsidRPr="00B45853">
        <w:rPr>
          <w:rFonts w:ascii="Times New Roman" w:hAnsi="Times New Roman" w:cs="Times New Roman"/>
          <w:lang w:val="pl-PL"/>
        </w:rPr>
        <w:t>klasyfikować</w:t>
      </w:r>
      <w:r w:rsidR="00E77166" w:rsidRPr="00B45853">
        <w:rPr>
          <w:rFonts w:ascii="Times New Roman" w:hAnsi="Times New Roman" w:cs="Times New Roman"/>
          <w:lang w:val="pl-PL"/>
        </w:rPr>
        <w:t xml:space="preserve"> jej</w:t>
      </w:r>
      <w:r w:rsidR="00DC79F3" w:rsidRPr="00B45853">
        <w:rPr>
          <w:rFonts w:ascii="Times New Roman" w:hAnsi="Times New Roman" w:cs="Times New Roman"/>
          <w:lang w:val="pl-PL"/>
        </w:rPr>
        <w:t xml:space="preserve"> jako </w:t>
      </w:r>
      <w:r w:rsidR="00E77166" w:rsidRPr="00B45853">
        <w:rPr>
          <w:rFonts w:ascii="Times New Roman" w:hAnsi="Times New Roman" w:cs="Times New Roman"/>
          <w:lang w:val="pl-PL"/>
        </w:rPr>
        <w:t>usługodawcę buforującego</w:t>
      </w:r>
      <w:r w:rsidR="00DC79F3" w:rsidRPr="00B45853">
        <w:rPr>
          <w:rFonts w:ascii="Times New Roman" w:hAnsi="Times New Roman" w:cs="Times New Roman"/>
          <w:lang w:val="pl-PL"/>
        </w:rPr>
        <w:t xml:space="preserve"> lub jako </w:t>
      </w:r>
      <w:r w:rsidR="00E77166" w:rsidRPr="00B45853">
        <w:rPr>
          <w:rFonts w:ascii="Times New Roman" w:hAnsi="Times New Roman" w:cs="Times New Roman"/>
          <w:lang w:val="pl-PL"/>
        </w:rPr>
        <w:t>hosta</w:t>
      </w:r>
      <w:r w:rsidR="00DC79F3" w:rsidRPr="00B45853">
        <w:rPr>
          <w:rFonts w:ascii="Times New Roman" w:hAnsi="Times New Roman" w:cs="Times New Roman"/>
          <w:lang w:val="pl-PL"/>
        </w:rPr>
        <w:t xml:space="preserve">. Rząd podkreślił także, że nigdy TSUE </w:t>
      </w:r>
      <w:r w:rsidR="00E77166" w:rsidRPr="00B45853">
        <w:rPr>
          <w:rFonts w:ascii="Times New Roman" w:hAnsi="Times New Roman" w:cs="Times New Roman"/>
          <w:lang w:val="pl-PL"/>
        </w:rPr>
        <w:t xml:space="preserve">nie </w:t>
      </w:r>
      <w:r w:rsidR="00DC79F3" w:rsidRPr="00B45853">
        <w:rPr>
          <w:rFonts w:ascii="Times New Roman" w:hAnsi="Times New Roman" w:cs="Times New Roman"/>
          <w:lang w:val="pl-PL"/>
        </w:rPr>
        <w:t>orzek</w:t>
      </w:r>
      <w:r w:rsidR="00364DC9">
        <w:rPr>
          <w:rFonts w:ascii="Times New Roman" w:hAnsi="Times New Roman" w:cs="Times New Roman"/>
          <w:lang w:val="pl-PL"/>
        </w:rPr>
        <w:t>ał</w:t>
      </w:r>
      <w:r w:rsidR="00DC79F3" w:rsidRPr="00B45853">
        <w:rPr>
          <w:rFonts w:ascii="Times New Roman" w:hAnsi="Times New Roman" w:cs="Times New Roman"/>
          <w:lang w:val="pl-PL"/>
        </w:rPr>
        <w:t xml:space="preserve"> w przypadku podobnym do sprawy </w:t>
      </w:r>
      <w:proofErr w:type="spellStart"/>
      <w:r w:rsidR="00DC79F3" w:rsidRPr="00B45853">
        <w:rPr>
          <w:rFonts w:ascii="Times New Roman" w:hAnsi="Times New Roman" w:cs="Times New Roman"/>
          <w:lang w:val="pl-PL"/>
        </w:rPr>
        <w:t>Delfi</w:t>
      </w:r>
      <w:proofErr w:type="spellEnd"/>
      <w:r w:rsidR="00DC79F3" w:rsidRPr="00B45853">
        <w:rPr>
          <w:rFonts w:ascii="Times New Roman" w:hAnsi="Times New Roman" w:cs="Times New Roman"/>
          <w:lang w:val="pl-PL"/>
        </w:rPr>
        <w:t xml:space="preserve">. W </w:t>
      </w:r>
      <w:r w:rsidR="00E77166" w:rsidRPr="00B45853">
        <w:rPr>
          <w:rFonts w:ascii="Times New Roman" w:hAnsi="Times New Roman" w:cs="Times New Roman"/>
          <w:lang w:val="pl-PL"/>
        </w:rPr>
        <w:t>jakimkolwiek</w:t>
      </w:r>
      <w:r w:rsidR="00DC79F3" w:rsidRPr="00B45853">
        <w:rPr>
          <w:rFonts w:ascii="Times New Roman" w:hAnsi="Times New Roman" w:cs="Times New Roman"/>
          <w:lang w:val="pl-PL"/>
        </w:rPr>
        <w:t xml:space="preserve"> </w:t>
      </w:r>
      <w:r w:rsidR="00E77166" w:rsidRPr="00B45853">
        <w:rPr>
          <w:rFonts w:ascii="Times New Roman" w:hAnsi="Times New Roman" w:cs="Times New Roman"/>
          <w:lang w:val="pl-PL"/>
        </w:rPr>
        <w:t>przypadku</w:t>
      </w:r>
      <w:r w:rsidR="00DC79F3" w:rsidRPr="00B45853">
        <w:rPr>
          <w:rFonts w:ascii="Times New Roman" w:hAnsi="Times New Roman" w:cs="Times New Roman"/>
          <w:lang w:val="pl-PL"/>
        </w:rPr>
        <w:t xml:space="preserve"> nawet jeśli orzecznictwo ETS, taki</w:t>
      </w:r>
      <w:r w:rsidR="00E77166" w:rsidRPr="00B45853">
        <w:rPr>
          <w:rFonts w:ascii="Times New Roman" w:hAnsi="Times New Roman" w:cs="Times New Roman"/>
          <w:lang w:val="pl-PL"/>
        </w:rPr>
        <w:t>m</w:t>
      </w:r>
      <w:r w:rsidR="00DC79F3" w:rsidRPr="00B45853">
        <w:rPr>
          <w:rFonts w:ascii="Times New Roman" w:hAnsi="Times New Roman" w:cs="Times New Roman"/>
          <w:lang w:val="pl-PL"/>
        </w:rPr>
        <w:t xml:space="preserve"> jak L'Oréal i in</w:t>
      </w:r>
      <w:r w:rsidR="00E77166" w:rsidRPr="00B45853">
        <w:rPr>
          <w:rFonts w:ascii="Times New Roman" w:hAnsi="Times New Roman" w:cs="Times New Roman"/>
          <w:lang w:val="pl-PL"/>
        </w:rPr>
        <w:t>ni,</w:t>
      </w:r>
      <w:r w:rsidR="00DC79F3" w:rsidRPr="00B45853">
        <w:rPr>
          <w:rFonts w:ascii="Times New Roman" w:hAnsi="Times New Roman" w:cs="Times New Roman"/>
          <w:lang w:val="pl-PL"/>
        </w:rPr>
        <w:t xml:space="preserve"> miało znaczenie, </w:t>
      </w:r>
      <w:r w:rsidR="000936B1" w:rsidRPr="00B45853">
        <w:rPr>
          <w:rFonts w:ascii="Times New Roman" w:hAnsi="Times New Roman" w:cs="Times New Roman"/>
          <w:lang w:val="pl-PL"/>
        </w:rPr>
        <w:t>w tym zakresie</w:t>
      </w:r>
      <w:r w:rsidR="00DC79F3" w:rsidRPr="00B45853">
        <w:rPr>
          <w:rFonts w:ascii="Times New Roman" w:hAnsi="Times New Roman" w:cs="Times New Roman"/>
          <w:lang w:val="pl-PL"/>
        </w:rPr>
        <w:t xml:space="preserve">, że rola odgrywana przez </w:t>
      </w:r>
      <w:proofErr w:type="spellStart"/>
      <w:r w:rsidR="00DC79F3" w:rsidRPr="00B45853">
        <w:rPr>
          <w:rFonts w:ascii="Times New Roman" w:hAnsi="Times New Roman" w:cs="Times New Roman"/>
          <w:lang w:val="pl-PL"/>
        </w:rPr>
        <w:t>Delfi</w:t>
      </w:r>
      <w:proofErr w:type="spellEnd"/>
      <w:r w:rsidR="00DC79F3" w:rsidRPr="00B45853">
        <w:rPr>
          <w:rFonts w:ascii="Times New Roman" w:hAnsi="Times New Roman" w:cs="Times New Roman"/>
          <w:lang w:val="pl-PL"/>
        </w:rPr>
        <w:t xml:space="preserve"> był</w:t>
      </w:r>
      <w:r w:rsidR="00584194" w:rsidRPr="00B45853">
        <w:rPr>
          <w:rFonts w:ascii="Times New Roman" w:hAnsi="Times New Roman" w:cs="Times New Roman"/>
          <w:lang w:val="pl-PL"/>
        </w:rPr>
        <w:t>a</w:t>
      </w:r>
      <w:r w:rsidR="00DC79F3" w:rsidRPr="00B45853">
        <w:rPr>
          <w:rFonts w:ascii="Times New Roman" w:hAnsi="Times New Roman" w:cs="Times New Roman"/>
          <w:lang w:val="pl-PL"/>
        </w:rPr>
        <w:t xml:space="preserve"> </w:t>
      </w:r>
      <w:r w:rsidR="000936B1" w:rsidRPr="00B45853">
        <w:rPr>
          <w:rFonts w:ascii="Times New Roman" w:hAnsi="Times New Roman" w:cs="Times New Roman"/>
          <w:lang w:val="pl-PL"/>
        </w:rPr>
        <w:t>aktywna</w:t>
      </w:r>
      <w:r w:rsidR="00DC79F3" w:rsidRPr="00B45853">
        <w:rPr>
          <w:rFonts w:ascii="Times New Roman" w:hAnsi="Times New Roman" w:cs="Times New Roman"/>
          <w:lang w:val="pl-PL"/>
        </w:rPr>
        <w:t xml:space="preserve"> i to nie może </w:t>
      </w:r>
      <w:r w:rsidR="000936B1" w:rsidRPr="00B45853">
        <w:rPr>
          <w:rFonts w:ascii="Times New Roman" w:hAnsi="Times New Roman" w:cs="Times New Roman"/>
          <w:lang w:val="pl-PL"/>
        </w:rPr>
        <w:t>zapewnić</w:t>
      </w:r>
      <w:r w:rsidR="00DC79F3" w:rsidRPr="00B45853">
        <w:rPr>
          <w:rFonts w:ascii="Times New Roman" w:hAnsi="Times New Roman" w:cs="Times New Roman"/>
          <w:lang w:val="pl-PL"/>
        </w:rPr>
        <w:t xml:space="preserve"> zwolnieni</w:t>
      </w:r>
      <w:r w:rsidR="000936B1" w:rsidRPr="00B45853">
        <w:rPr>
          <w:rFonts w:ascii="Times New Roman" w:hAnsi="Times New Roman" w:cs="Times New Roman"/>
          <w:lang w:val="pl-PL"/>
        </w:rPr>
        <w:t>a z odpowiedzialności w ramach Dyrektywy o Handlu E</w:t>
      </w:r>
      <w:r w:rsidR="00DC79F3" w:rsidRPr="00B45853">
        <w:rPr>
          <w:rFonts w:ascii="Times New Roman" w:hAnsi="Times New Roman" w:cs="Times New Roman"/>
          <w:lang w:val="pl-PL"/>
        </w:rPr>
        <w:t>lektronicznym</w:t>
      </w:r>
      <w:r w:rsidR="00A220C6" w:rsidRPr="00B45853">
        <w:rPr>
          <w:rFonts w:ascii="Times New Roman" w:hAnsi="Times New Roman" w:cs="Times New Roman"/>
          <w:lang w:val="pl-PL"/>
        </w:rPr>
        <w:t>.</w:t>
      </w:r>
    </w:p>
    <w:p w:rsidR="00A220C6" w:rsidRPr="00B45853" w:rsidRDefault="00FC6825" w:rsidP="00171A6F">
      <w:pPr>
        <w:pStyle w:val="ECHRHeading4"/>
        <w:rPr>
          <w:rFonts w:ascii="Times New Roman" w:hAnsi="Times New Roman" w:cs="Times New Roman"/>
          <w:lang w:val="pl-PL"/>
        </w:rPr>
      </w:pPr>
      <w:r w:rsidRPr="00B45853">
        <w:rPr>
          <w:rFonts w:ascii="Times New Roman" w:hAnsi="Times New Roman" w:cs="Times New Roman"/>
          <w:lang w:val="pl-PL"/>
        </w:rPr>
        <w:t>(c)</w:t>
      </w:r>
      <w:r w:rsidR="00A220C6" w:rsidRPr="00B45853">
        <w:rPr>
          <w:rFonts w:ascii="Times New Roman" w:hAnsi="Times New Roman" w:cs="Times New Roman"/>
          <w:lang w:val="pl-PL"/>
        </w:rPr>
        <w:t> </w:t>
      </w:r>
      <w:r w:rsidR="000936B1" w:rsidRPr="00B45853">
        <w:rPr>
          <w:rFonts w:ascii="Times New Roman" w:hAnsi="Times New Roman" w:cs="Times New Roman"/>
          <w:lang w:val="pl-PL"/>
        </w:rPr>
        <w:t>Uzasadniony cel</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936B1" w:rsidRPr="00B45853">
        <w:rPr>
          <w:rFonts w:ascii="Times New Roman" w:hAnsi="Times New Roman" w:cs="Times New Roman"/>
          <w:lang w:val="pl-PL"/>
        </w:rPr>
        <w:t>Rząd stwierdził, że ingerencja w prawo skarżącej spółki na podstawie Artykułu 10 miała uzasadniony cel, jakim jest ochrona godności innych</w:t>
      </w:r>
      <w:r w:rsidR="00A220C6" w:rsidRPr="00B45853">
        <w:rPr>
          <w:rFonts w:ascii="Times New Roman" w:hAnsi="Times New Roman" w:cs="Times New Roman"/>
          <w:lang w:val="pl-PL"/>
        </w:rPr>
        <w:t>.</w:t>
      </w:r>
    </w:p>
    <w:p w:rsidR="00A220C6" w:rsidRPr="00B45853" w:rsidRDefault="00FC6825" w:rsidP="00171A6F">
      <w:pPr>
        <w:pStyle w:val="ECHRHeading4"/>
        <w:rPr>
          <w:rFonts w:ascii="Times New Roman" w:hAnsi="Times New Roman" w:cs="Times New Roman"/>
          <w:lang w:val="pl-PL"/>
        </w:rPr>
      </w:pPr>
      <w:r w:rsidRPr="00B45853">
        <w:rPr>
          <w:rFonts w:ascii="Times New Roman" w:hAnsi="Times New Roman" w:cs="Times New Roman"/>
          <w:lang w:val="pl-PL"/>
        </w:rPr>
        <w:t>(d)</w:t>
      </w:r>
      <w:r w:rsidR="00A220C6" w:rsidRPr="00B45853">
        <w:rPr>
          <w:rFonts w:ascii="Times New Roman" w:hAnsi="Times New Roman" w:cs="Times New Roman"/>
          <w:lang w:val="pl-PL"/>
        </w:rPr>
        <w:t> </w:t>
      </w:r>
      <w:r w:rsidR="000936B1" w:rsidRPr="00B45853">
        <w:rPr>
          <w:rFonts w:ascii="Times New Roman" w:hAnsi="Times New Roman" w:cs="Times New Roman"/>
          <w:lang w:val="pl-PL"/>
        </w:rPr>
        <w:t>Konieczność w demokratycznym społeczeństwie</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936B1" w:rsidRPr="00B45853">
        <w:rPr>
          <w:rFonts w:ascii="Times New Roman" w:hAnsi="Times New Roman" w:cs="Times New Roman"/>
          <w:lang w:val="pl-PL"/>
        </w:rPr>
        <w:t>Jeżeli chodzi o kwestię, czy ingerencja była konieczna w demokratycznym społeczeństwie, rząd podkreślił na wstępie znaczenie równowagi między Artykułem 10 i 8 Konwencji</w:t>
      </w:r>
      <w:r w:rsidR="00A220C6"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88</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936B1" w:rsidRPr="00B45853">
        <w:rPr>
          <w:rFonts w:ascii="Times New Roman" w:hAnsi="Times New Roman" w:cs="Times New Roman"/>
          <w:lang w:val="pl-PL"/>
        </w:rPr>
        <w:t xml:space="preserve">Rząd odwołał się w znacznym stopniu do właściwego uzasadnienia wyroku Izby. Ponadto, podkreślił </w:t>
      </w:r>
      <w:r w:rsidR="008C0215">
        <w:rPr>
          <w:rFonts w:ascii="Times New Roman" w:hAnsi="Times New Roman" w:cs="Times New Roman"/>
          <w:lang w:val="pl-PL"/>
        </w:rPr>
        <w:t>co następuje</w:t>
      </w:r>
      <w:r w:rsidR="00A220C6" w:rsidRPr="00B45853">
        <w:rPr>
          <w:rFonts w:ascii="Times New Roman" w:hAnsi="Times New Roman" w:cs="Times New Roman"/>
          <w:lang w:val="pl-PL"/>
        </w:rPr>
        <w:t>.</w:t>
      </w:r>
    </w:p>
    <w:p w:rsidR="000936B1" w:rsidRPr="00B45853" w:rsidRDefault="00DD67A4" w:rsidP="000936B1">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89</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936B1" w:rsidRPr="00B45853">
        <w:rPr>
          <w:rFonts w:ascii="Times New Roman" w:hAnsi="Times New Roman" w:cs="Times New Roman"/>
          <w:lang w:val="pl-PL"/>
        </w:rPr>
        <w:t>Po pierwsze, jeśli chodzi o kontekst komentarzy</w:t>
      </w:r>
      <w:r w:rsidR="00FC6825" w:rsidRPr="00B45853">
        <w:rPr>
          <w:rFonts w:ascii="Times New Roman" w:hAnsi="Times New Roman" w:cs="Times New Roman"/>
          <w:lang w:val="pl-PL"/>
        </w:rPr>
        <w:t>,</w:t>
      </w:r>
      <w:r w:rsidR="00584194" w:rsidRPr="00B45853">
        <w:rPr>
          <w:rFonts w:ascii="Times New Roman" w:hAnsi="Times New Roman" w:cs="Times New Roman"/>
          <w:lang w:val="pl-PL"/>
        </w:rPr>
        <w:t xml:space="preserve"> r</w:t>
      </w:r>
      <w:r w:rsidR="000936B1" w:rsidRPr="00B45853">
        <w:rPr>
          <w:rFonts w:ascii="Times New Roman" w:hAnsi="Times New Roman" w:cs="Times New Roman"/>
          <w:lang w:val="pl-PL"/>
        </w:rPr>
        <w:t xml:space="preserve">ząd zauważył, że sądy krajowe przywiązały wagę do faktu, że wybór i publikacja artykułów prasowych i publikacja komentarzy czytelników na temat tych artykułów </w:t>
      </w:r>
      <w:r w:rsidR="0033647E">
        <w:rPr>
          <w:rFonts w:ascii="Times New Roman" w:hAnsi="Times New Roman" w:cs="Times New Roman"/>
          <w:lang w:val="pl-PL"/>
        </w:rPr>
        <w:br/>
      </w:r>
      <w:r w:rsidR="000936B1" w:rsidRPr="00B45853">
        <w:rPr>
          <w:rFonts w:ascii="Times New Roman" w:hAnsi="Times New Roman" w:cs="Times New Roman"/>
          <w:lang w:val="pl-PL"/>
        </w:rPr>
        <w:t xml:space="preserve">w tym samym środowisku, była częścią aktywności zawodowej skarżącej spółki jako ujawniającego informacje. </w:t>
      </w:r>
      <w:proofErr w:type="spellStart"/>
      <w:r w:rsidR="000936B1" w:rsidRPr="00B45853">
        <w:rPr>
          <w:rFonts w:ascii="Times New Roman" w:hAnsi="Times New Roman" w:cs="Times New Roman"/>
          <w:lang w:val="pl-PL"/>
        </w:rPr>
        <w:t>Delfi</w:t>
      </w:r>
      <w:proofErr w:type="spellEnd"/>
      <w:r w:rsidR="000936B1" w:rsidRPr="00B45853">
        <w:rPr>
          <w:rFonts w:ascii="Times New Roman" w:hAnsi="Times New Roman" w:cs="Times New Roman"/>
          <w:lang w:val="pl-PL"/>
        </w:rPr>
        <w:t xml:space="preserve"> zapraszała czytelników d</w:t>
      </w:r>
      <w:r w:rsidR="00FC6825" w:rsidRPr="00B45853">
        <w:rPr>
          <w:rFonts w:ascii="Times New Roman" w:hAnsi="Times New Roman" w:cs="Times New Roman"/>
          <w:lang w:val="pl-PL"/>
        </w:rPr>
        <w:t>o komentowania swoich artykułów</w:t>
      </w:r>
      <w:r w:rsidR="006345EC">
        <w:rPr>
          <w:rFonts w:ascii="Times New Roman" w:hAnsi="Times New Roman" w:cs="Times New Roman"/>
          <w:lang w:val="pl-PL"/>
        </w:rPr>
        <w:t xml:space="preserve"> </w:t>
      </w:r>
      <w:r w:rsidR="00FC6825" w:rsidRPr="00B45853">
        <w:rPr>
          <w:rFonts w:ascii="Times New Roman" w:hAnsi="Times New Roman" w:cs="Times New Roman"/>
          <w:lang w:val="pl-PL"/>
        </w:rPr>
        <w:t>-</w:t>
      </w:r>
      <w:r w:rsidR="006345EC">
        <w:rPr>
          <w:rFonts w:ascii="Times New Roman" w:hAnsi="Times New Roman" w:cs="Times New Roman"/>
          <w:lang w:val="pl-PL"/>
        </w:rPr>
        <w:t xml:space="preserve"> </w:t>
      </w:r>
      <w:r w:rsidR="000936B1" w:rsidRPr="00B45853">
        <w:rPr>
          <w:rFonts w:ascii="Times New Roman" w:hAnsi="Times New Roman" w:cs="Times New Roman"/>
          <w:lang w:val="pl-PL"/>
        </w:rPr>
        <w:t>często dając tym artykułom prowokacyjne nagłówki i przedstawiając liczbę komentarzy na stronie głównej zaraz po tytule artykułu w pogrubionej czerwonej czcionce, sprawiając, że komentowanie artykułu było</w:t>
      </w:r>
      <w:r w:rsidR="00FC6825" w:rsidRPr="00B45853">
        <w:rPr>
          <w:rFonts w:ascii="Times New Roman" w:hAnsi="Times New Roman" w:cs="Times New Roman"/>
          <w:lang w:val="pl-PL"/>
        </w:rPr>
        <w:t xml:space="preserve"> bardziej kuszące</w:t>
      </w:r>
      <w:r w:rsidR="0033647E">
        <w:rPr>
          <w:rFonts w:ascii="Times New Roman" w:hAnsi="Times New Roman" w:cs="Times New Roman"/>
          <w:lang w:val="pl-PL"/>
        </w:rPr>
        <w:t xml:space="preserve"> </w:t>
      </w:r>
      <w:r w:rsidR="00FC6825" w:rsidRPr="00B45853">
        <w:rPr>
          <w:rFonts w:ascii="Times New Roman" w:hAnsi="Times New Roman" w:cs="Times New Roman"/>
          <w:lang w:val="pl-PL"/>
        </w:rPr>
        <w:t>-</w:t>
      </w:r>
      <w:r w:rsidR="0033647E">
        <w:rPr>
          <w:rFonts w:ascii="Times New Roman" w:hAnsi="Times New Roman" w:cs="Times New Roman"/>
          <w:lang w:val="pl-PL"/>
        </w:rPr>
        <w:t xml:space="preserve"> </w:t>
      </w:r>
      <w:r w:rsidR="000936B1" w:rsidRPr="00B45853">
        <w:rPr>
          <w:rFonts w:ascii="Times New Roman" w:hAnsi="Times New Roman" w:cs="Times New Roman"/>
          <w:lang w:val="pl-PL"/>
        </w:rPr>
        <w:t>co z kolei przynosiło dochody z reklam.</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0936B1" w:rsidRPr="00B45853">
        <w:rPr>
          <w:rFonts w:ascii="Times New Roman" w:hAnsi="Times New Roman" w:cs="Times New Roman"/>
          <w:lang w:val="pl-PL"/>
        </w:rPr>
        <w:t xml:space="preserve">Po drugie, w odniesieniu do środków stosowanych przez </w:t>
      </w:r>
      <w:r w:rsidR="00F36C23" w:rsidRPr="00B45853">
        <w:rPr>
          <w:rFonts w:ascii="Times New Roman" w:hAnsi="Times New Roman" w:cs="Times New Roman"/>
          <w:lang w:val="pl-PL"/>
        </w:rPr>
        <w:t>skarżącą spółkę</w:t>
      </w:r>
      <w:r w:rsidR="000936B1" w:rsidRPr="00B45853">
        <w:rPr>
          <w:rFonts w:ascii="Times New Roman" w:hAnsi="Times New Roman" w:cs="Times New Roman"/>
          <w:lang w:val="pl-PL"/>
        </w:rPr>
        <w:t xml:space="preserve">, rząd podkreślił znaczenie zapewnienia ochrony osób trzecich </w:t>
      </w:r>
      <w:r w:rsidR="0033647E">
        <w:rPr>
          <w:rFonts w:ascii="Times New Roman" w:hAnsi="Times New Roman" w:cs="Times New Roman"/>
          <w:lang w:val="pl-PL"/>
        </w:rPr>
        <w:br/>
      </w:r>
      <w:r w:rsidR="000936B1" w:rsidRPr="00B45853">
        <w:rPr>
          <w:rFonts w:ascii="Times New Roman" w:hAnsi="Times New Roman" w:cs="Times New Roman"/>
          <w:lang w:val="pl-PL"/>
        </w:rPr>
        <w:t>w stosunku do In</w:t>
      </w:r>
      <w:r w:rsidR="00F36C23" w:rsidRPr="00B45853">
        <w:rPr>
          <w:rFonts w:ascii="Times New Roman" w:hAnsi="Times New Roman" w:cs="Times New Roman"/>
          <w:lang w:val="pl-PL"/>
        </w:rPr>
        <w:t>ternetu, który stał się rozległym</w:t>
      </w:r>
      <w:r w:rsidR="000936B1" w:rsidRPr="00B45853">
        <w:rPr>
          <w:rFonts w:ascii="Times New Roman" w:hAnsi="Times New Roman" w:cs="Times New Roman"/>
          <w:lang w:val="pl-PL"/>
        </w:rPr>
        <w:t xml:space="preserve"> śr</w:t>
      </w:r>
      <w:r w:rsidR="00F36C23" w:rsidRPr="00B45853">
        <w:rPr>
          <w:rFonts w:ascii="Times New Roman" w:hAnsi="Times New Roman" w:cs="Times New Roman"/>
          <w:lang w:val="pl-PL"/>
        </w:rPr>
        <w:t>odkiem dostępnym</w:t>
      </w:r>
      <w:r w:rsidR="000936B1" w:rsidRPr="00B45853">
        <w:rPr>
          <w:rFonts w:ascii="Times New Roman" w:hAnsi="Times New Roman" w:cs="Times New Roman"/>
          <w:lang w:val="pl-PL"/>
        </w:rPr>
        <w:t xml:space="preserve"> dla </w:t>
      </w:r>
      <w:r w:rsidR="000936B1" w:rsidRPr="00B45853">
        <w:rPr>
          <w:rFonts w:ascii="Times New Roman" w:hAnsi="Times New Roman" w:cs="Times New Roman"/>
          <w:lang w:val="pl-PL"/>
        </w:rPr>
        <w:lastRenderedPageBreak/>
        <w:t>większości społeczeństwa i używany</w:t>
      </w:r>
      <w:r w:rsidR="00F36C23" w:rsidRPr="00B45853">
        <w:rPr>
          <w:rFonts w:ascii="Times New Roman" w:hAnsi="Times New Roman" w:cs="Times New Roman"/>
          <w:lang w:val="pl-PL"/>
        </w:rPr>
        <w:t>m</w:t>
      </w:r>
      <w:r w:rsidR="00584194" w:rsidRPr="00B45853">
        <w:rPr>
          <w:rFonts w:ascii="Times New Roman" w:hAnsi="Times New Roman" w:cs="Times New Roman"/>
          <w:lang w:val="pl-PL"/>
        </w:rPr>
        <w:t xml:space="preserve"> na co dzień. </w:t>
      </w:r>
      <w:r w:rsidR="00FC6825" w:rsidRPr="00B45853">
        <w:rPr>
          <w:rFonts w:ascii="Times New Roman" w:hAnsi="Times New Roman" w:cs="Times New Roman"/>
          <w:lang w:val="pl-PL"/>
        </w:rPr>
        <w:t>R</w:t>
      </w:r>
      <w:r w:rsidR="000936B1" w:rsidRPr="00B45853">
        <w:rPr>
          <w:rFonts w:ascii="Times New Roman" w:hAnsi="Times New Roman" w:cs="Times New Roman"/>
          <w:lang w:val="pl-PL"/>
        </w:rPr>
        <w:t>ząd dod</w:t>
      </w:r>
      <w:r w:rsidR="00F36C23" w:rsidRPr="00B45853">
        <w:rPr>
          <w:rFonts w:ascii="Times New Roman" w:hAnsi="Times New Roman" w:cs="Times New Roman"/>
          <w:lang w:val="pl-PL"/>
        </w:rPr>
        <w:t>ał, że obowiązek</w:t>
      </w:r>
      <w:r w:rsidR="000936B1" w:rsidRPr="00B45853">
        <w:rPr>
          <w:rFonts w:ascii="Times New Roman" w:hAnsi="Times New Roman" w:cs="Times New Roman"/>
          <w:lang w:val="pl-PL"/>
        </w:rPr>
        <w:t xml:space="preserve"> skarżącej spółki </w:t>
      </w:r>
      <w:r w:rsidR="00584194" w:rsidRPr="00B45853">
        <w:rPr>
          <w:rFonts w:ascii="Times New Roman" w:hAnsi="Times New Roman" w:cs="Times New Roman"/>
          <w:lang w:val="pl-PL"/>
        </w:rPr>
        <w:t>wobec</w:t>
      </w:r>
      <w:r w:rsidR="000936B1" w:rsidRPr="00B45853">
        <w:rPr>
          <w:rFonts w:ascii="Times New Roman" w:hAnsi="Times New Roman" w:cs="Times New Roman"/>
          <w:lang w:val="pl-PL"/>
        </w:rPr>
        <w:t xml:space="preserve"> </w:t>
      </w:r>
      <w:r w:rsidR="00F36C23" w:rsidRPr="00B45853">
        <w:rPr>
          <w:rFonts w:ascii="Times New Roman" w:hAnsi="Times New Roman" w:cs="Times New Roman"/>
          <w:lang w:val="pl-PL"/>
        </w:rPr>
        <w:t>komentarz</w:t>
      </w:r>
      <w:r w:rsidR="00584194" w:rsidRPr="00B45853">
        <w:rPr>
          <w:rFonts w:ascii="Times New Roman" w:hAnsi="Times New Roman" w:cs="Times New Roman"/>
          <w:lang w:val="pl-PL"/>
        </w:rPr>
        <w:t>y</w:t>
      </w:r>
      <w:r w:rsidR="00F36C23" w:rsidRPr="00B45853">
        <w:rPr>
          <w:rFonts w:ascii="Times New Roman" w:hAnsi="Times New Roman" w:cs="Times New Roman"/>
          <w:lang w:val="pl-PL"/>
        </w:rPr>
        <w:t xml:space="preserve"> był również oczywi</w:t>
      </w:r>
      <w:r w:rsidR="00FC6825" w:rsidRPr="00B45853">
        <w:rPr>
          <w:rFonts w:ascii="Times New Roman" w:hAnsi="Times New Roman" w:cs="Times New Roman"/>
          <w:lang w:val="pl-PL"/>
        </w:rPr>
        <w:t>sty</w:t>
      </w:r>
      <w:r w:rsidR="00CC4B66" w:rsidRPr="002D2555">
        <w:rPr>
          <w:rFonts w:ascii="Times New Roman" w:hAnsi="Times New Roman" w:cs="Times New Roman"/>
          <w:lang w:val="pl-PL"/>
        </w:rPr>
        <w:t>,</w:t>
      </w:r>
      <w:r w:rsidR="00FC6825" w:rsidRPr="00B45853">
        <w:rPr>
          <w:rFonts w:ascii="Times New Roman" w:hAnsi="Times New Roman" w:cs="Times New Roman"/>
          <w:lang w:val="pl-PL"/>
        </w:rPr>
        <w:t xml:space="preserve"> jako</w:t>
      </w:r>
      <w:r w:rsidR="00F36C23" w:rsidRPr="00B45853">
        <w:rPr>
          <w:rFonts w:ascii="Times New Roman" w:hAnsi="Times New Roman" w:cs="Times New Roman"/>
          <w:lang w:val="pl-PL"/>
        </w:rPr>
        <w:t xml:space="preserve"> że</w:t>
      </w:r>
      <w:r w:rsidR="000936B1" w:rsidRPr="00B45853">
        <w:rPr>
          <w:rFonts w:ascii="Times New Roman" w:hAnsi="Times New Roman" w:cs="Times New Roman"/>
          <w:lang w:val="pl-PL"/>
        </w:rPr>
        <w:t xml:space="preserve"> </w:t>
      </w:r>
      <w:r w:rsidR="002D2555">
        <w:rPr>
          <w:rFonts w:ascii="Times New Roman" w:hAnsi="Times New Roman" w:cs="Times New Roman"/>
          <w:lang w:val="pl-PL"/>
        </w:rPr>
        <w:t>faktyczni</w:t>
      </w:r>
      <w:r w:rsidR="000936B1" w:rsidRPr="00B45853">
        <w:rPr>
          <w:rFonts w:ascii="Times New Roman" w:hAnsi="Times New Roman" w:cs="Times New Roman"/>
          <w:lang w:val="pl-PL"/>
        </w:rPr>
        <w:t xml:space="preserve"> autor</w:t>
      </w:r>
      <w:r w:rsidR="00F36C23" w:rsidRPr="00B45853">
        <w:rPr>
          <w:rFonts w:ascii="Times New Roman" w:hAnsi="Times New Roman" w:cs="Times New Roman"/>
          <w:lang w:val="pl-PL"/>
        </w:rPr>
        <w:t>zy</w:t>
      </w:r>
      <w:r w:rsidR="000936B1" w:rsidRPr="00B45853">
        <w:rPr>
          <w:rFonts w:ascii="Times New Roman" w:hAnsi="Times New Roman" w:cs="Times New Roman"/>
          <w:lang w:val="pl-PL"/>
        </w:rPr>
        <w:t xml:space="preserve"> komentarzy nie mo</w:t>
      </w:r>
      <w:r w:rsidR="00F36C23" w:rsidRPr="00B45853">
        <w:rPr>
          <w:rFonts w:ascii="Times New Roman" w:hAnsi="Times New Roman" w:cs="Times New Roman"/>
          <w:lang w:val="pl-PL"/>
        </w:rPr>
        <w:t>gli modyfikować ani</w:t>
      </w:r>
      <w:r w:rsidR="000936B1" w:rsidRPr="00B45853">
        <w:rPr>
          <w:rFonts w:ascii="Times New Roman" w:hAnsi="Times New Roman" w:cs="Times New Roman"/>
          <w:lang w:val="pl-PL"/>
        </w:rPr>
        <w:t xml:space="preserve"> usuwać </w:t>
      </w:r>
      <w:r w:rsidR="00584194" w:rsidRPr="00B45853">
        <w:rPr>
          <w:rFonts w:ascii="Times New Roman" w:hAnsi="Times New Roman" w:cs="Times New Roman"/>
          <w:lang w:val="pl-PL"/>
        </w:rPr>
        <w:t>komentarzy</w:t>
      </w:r>
      <w:r w:rsidR="000936B1" w:rsidRPr="00B45853">
        <w:rPr>
          <w:rFonts w:ascii="Times New Roman" w:hAnsi="Times New Roman" w:cs="Times New Roman"/>
          <w:lang w:val="pl-PL"/>
        </w:rPr>
        <w:t xml:space="preserve"> raz </w:t>
      </w:r>
      <w:r w:rsidR="00F36C23" w:rsidRPr="00B45853">
        <w:rPr>
          <w:rFonts w:ascii="Times New Roman" w:hAnsi="Times New Roman" w:cs="Times New Roman"/>
          <w:lang w:val="pl-PL"/>
        </w:rPr>
        <w:t>już zamieszczonych</w:t>
      </w:r>
      <w:r w:rsidR="000936B1" w:rsidRPr="00B45853">
        <w:rPr>
          <w:rFonts w:ascii="Times New Roman" w:hAnsi="Times New Roman" w:cs="Times New Roman"/>
          <w:lang w:val="pl-PL"/>
        </w:rPr>
        <w:t xml:space="preserve"> na portalu informacyjnym </w:t>
      </w:r>
      <w:proofErr w:type="spellStart"/>
      <w:r w:rsidR="000936B1" w:rsidRPr="00B45853">
        <w:rPr>
          <w:rFonts w:ascii="Times New Roman" w:hAnsi="Times New Roman" w:cs="Times New Roman"/>
          <w:lang w:val="pl-PL"/>
        </w:rPr>
        <w:t>Delfi</w:t>
      </w:r>
      <w:proofErr w:type="spellEnd"/>
      <w:r w:rsidR="000936B1" w:rsidRPr="00B45853">
        <w:rPr>
          <w:rFonts w:ascii="Times New Roman" w:hAnsi="Times New Roman" w:cs="Times New Roman"/>
          <w:lang w:val="pl-PL"/>
        </w:rPr>
        <w:t xml:space="preserve"> - tylko </w:t>
      </w:r>
      <w:r w:rsidR="00F36C23" w:rsidRPr="00B45853">
        <w:rPr>
          <w:rFonts w:ascii="Times New Roman" w:hAnsi="Times New Roman" w:cs="Times New Roman"/>
          <w:lang w:val="pl-PL"/>
        </w:rPr>
        <w:t>skarżąca spółka</w:t>
      </w:r>
      <w:r w:rsidR="000936B1" w:rsidRPr="00B45853">
        <w:rPr>
          <w:rFonts w:ascii="Times New Roman" w:hAnsi="Times New Roman" w:cs="Times New Roman"/>
          <w:lang w:val="pl-PL"/>
        </w:rPr>
        <w:t xml:space="preserve"> posiadał</w:t>
      </w:r>
      <w:r w:rsidR="00F36C23" w:rsidRPr="00B45853">
        <w:rPr>
          <w:rFonts w:ascii="Times New Roman" w:hAnsi="Times New Roman" w:cs="Times New Roman"/>
          <w:lang w:val="pl-PL"/>
        </w:rPr>
        <w:t>a</w:t>
      </w:r>
      <w:r w:rsidR="000936B1" w:rsidRPr="00B45853">
        <w:rPr>
          <w:rFonts w:ascii="Times New Roman" w:hAnsi="Times New Roman" w:cs="Times New Roman"/>
          <w:lang w:val="pl-PL"/>
        </w:rPr>
        <w:t xml:space="preserve"> środki techniczne, aby to zrobić. Rząd wskazał również, że wszelkie informacje przekazywane za pośrednictwem Internetu rozprzestrzeni</w:t>
      </w:r>
      <w:r w:rsidR="00DA4E48">
        <w:rPr>
          <w:rFonts w:ascii="Times New Roman" w:hAnsi="Times New Roman" w:cs="Times New Roman"/>
          <w:lang w:val="pl-PL"/>
        </w:rPr>
        <w:t>ają</w:t>
      </w:r>
      <w:r w:rsidR="00F36C23" w:rsidRPr="00B45853">
        <w:rPr>
          <w:rFonts w:ascii="Times New Roman" w:hAnsi="Times New Roman" w:cs="Times New Roman"/>
          <w:lang w:val="pl-PL"/>
        </w:rPr>
        <w:t xml:space="preserve"> się tak szybko, że środki podejmowane</w:t>
      </w:r>
      <w:r w:rsidR="000936B1" w:rsidRPr="00B45853">
        <w:rPr>
          <w:rFonts w:ascii="Times New Roman" w:hAnsi="Times New Roman" w:cs="Times New Roman"/>
          <w:lang w:val="pl-PL"/>
        </w:rPr>
        <w:t xml:space="preserve"> tygodni</w:t>
      </w:r>
      <w:r w:rsidR="00F36C23" w:rsidRPr="00B45853">
        <w:rPr>
          <w:rFonts w:ascii="Times New Roman" w:hAnsi="Times New Roman" w:cs="Times New Roman"/>
          <w:lang w:val="pl-PL"/>
        </w:rPr>
        <w:t>e</w:t>
      </w:r>
      <w:r w:rsidR="000936B1" w:rsidRPr="00B45853">
        <w:rPr>
          <w:rFonts w:ascii="Times New Roman" w:hAnsi="Times New Roman" w:cs="Times New Roman"/>
          <w:lang w:val="pl-PL"/>
        </w:rPr>
        <w:t xml:space="preserve"> lub nawet dni później, aby chronić </w:t>
      </w:r>
      <w:r w:rsidR="00F36C23" w:rsidRPr="00B45853">
        <w:rPr>
          <w:rFonts w:ascii="Times New Roman" w:hAnsi="Times New Roman" w:cs="Times New Roman"/>
          <w:lang w:val="pl-PL"/>
        </w:rPr>
        <w:t>godność</w:t>
      </w:r>
      <w:r w:rsidR="000936B1" w:rsidRPr="00B45853">
        <w:rPr>
          <w:rFonts w:ascii="Times New Roman" w:hAnsi="Times New Roman" w:cs="Times New Roman"/>
          <w:lang w:val="pl-PL"/>
        </w:rPr>
        <w:t xml:space="preserve"> osoby</w:t>
      </w:r>
      <w:r w:rsidR="00FC6825" w:rsidRPr="00B45853">
        <w:rPr>
          <w:rFonts w:ascii="Times New Roman" w:hAnsi="Times New Roman" w:cs="Times New Roman"/>
          <w:lang w:val="pl-PL"/>
        </w:rPr>
        <w:t>,</w:t>
      </w:r>
      <w:r w:rsidR="000936B1" w:rsidRPr="00B45853">
        <w:rPr>
          <w:rFonts w:ascii="Times New Roman" w:hAnsi="Times New Roman" w:cs="Times New Roman"/>
          <w:lang w:val="pl-PL"/>
        </w:rPr>
        <w:t xml:space="preserve"> nie są już wystarczające, ponieważ obraźliwe komentarze już </w:t>
      </w:r>
      <w:r w:rsidR="00F36C23" w:rsidRPr="00B45853">
        <w:rPr>
          <w:rFonts w:ascii="Times New Roman" w:hAnsi="Times New Roman" w:cs="Times New Roman"/>
          <w:lang w:val="pl-PL"/>
        </w:rPr>
        <w:t>dotarły do opinii publicznej</w:t>
      </w:r>
      <w:r w:rsidR="000936B1" w:rsidRPr="00B45853">
        <w:rPr>
          <w:rFonts w:ascii="Times New Roman" w:hAnsi="Times New Roman" w:cs="Times New Roman"/>
          <w:lang w:val="pl-PL"/>
        </w:rPr>
        <w:t xml:space="preserve"> i </w:t>
      </w:r>
      <w:r w:rsidR="00F36C23" w:rsidRPr="00B45853">
        <w:rPr>
          <w:rFonts w:ascii="Times New Roman" w:hAnsi="Times New Roman" w:cs="Times New Roman"/>
          <w:lang w:val="pl-PL"/>
        </w:rPr>
        <w:t>dokonały</w:t>
      </w:r>
      <w:r w:rsidR="000936B1" w:rsidRPr="00B45853">
        <w:rPr>
          <w:rFonts w:ascii="Times New Roman" w:hAnsi="Times New Roman" w:cs="Times New Roman"/>
          <w:lang w:val="pl-PL"/>
        </w:rPr>
        <w:t xml:space="preserve"> szkody. Rząd dalej twierdził, że największe światowe portale informacyjne nie pozwalają</w:t>
      </w:r>
      <w:r w:rsidR="00F36C23" w:rsidRPr="00B45853">
        <w:rPr>
          <w:rFonts w:ascii="Times New Roman" w:hAnsi="Times New Roman" w:cs="Times New Roman"/>
          <w:lang w:val="pl-PL"/>
        </w:rPr>
        <w:t xml:space="preserve"> na anonimowe</w:t>
      </w:r>
      <w:r w:rsidR="000936B1" w:rsidRPr="00B45853">
        <w:rPr>
          <w:rFonts w:ascii="Times New Roman" w:hAnsi="Times New Roman" w:cs="Times New Roman"/>
          <w:lang w:val="pl-PL"/>
        </w:rPr>
        <w:t xml:space="preserve"> (czyli nie</w:t>
      </w:r>
      <w:r w:rsidR="00F36C23" w:rsidRPr="00B45853">
        <w:rPr>
          <w:rFonts w:ascii="Times New Roman" w:hAnsi="Times New Roman" w:cs="Times New Roman"/>
          <w:lang w:val="pl-PL"/>
        </w:rPr>
        <w:t>zarejestrowane) komentarze i odnosi</w:t>
      </w:r>
      <w:r w:rsidR="000936B1" w:rsidRPr="00B45853">
        <w:rPr>
          <w:rFonts w:ascii="Times New Roman" w:hAnsi="Times New Roman" w:cs="Times New Roman"/>
          <w:lang w:val="pl-PL"/>
        </w:rPr>
        <w:t xml:space="preserve"> się do opinii, że istni</w:t>
      </w:r>
      <w:r w:rsidR="00F36C23" w:rsidRPr="00B45853">
        <w:rPr>
          <w:rFonts w:ascii="Times New Roman" w:hAnsi="Times New Roman" w:cs="Times New Roman"/>
          <w:lang w:val="pl-PL"/>
        </w:rPr>
        <w:t>ała</w:t>
      </w:r>
      <w:r w:rsidR="000936B1" w:rsidRPr="00B45853">
        <w:rPr>
          <w:rFonts w:ascii="Times New Roman" w:hAnsi="Times New Roman" w:cs="Times New Roman"/>
          <w:lang w:val="pl-PL"/>
        </w:rPr>
        <w:t xml:space="preserve"> tendencja</w:t>
      </w:r>
      <w:r w:rsidR="00F36C23" w:rsidRPr="00B45853">
        <w:rPr>
          <w:rFonts w:ascii="Times New Roman" w:hAnsi="Times New Roman" w:cs="Times New Roman"/>
          <w:lang w:val="pl-PL"/>
        </w:rPr>
        <w:t xml:space="preserve"> odchodzenia</w:t>
      </w:r>
      <w:r w:rsidR="000936B1" w:rsidRPr="00B45853">
        <w:rPr>
          <w:rFonts w:ascii="Times New Roman" w:hAnsi="Times New Roman" w:cs="Times New Roman"/>
          <w:lang w:val="pl-PL"/>
        </w:rPr>
        <w:t xml:space="preserve"> od anonimowości. Jednocześnie, anonimowe komentarze</w:t>
      </w:r>
      <w:r w:rsidR="00F36C23" w:rsidRPr="00B45853">
        <w:rPr>
          <w:rFonts w:ascii="Times New Roman" w:hAnsi="Times New Roman" w:cs="Times New Roman"/>
          <w:lang w:val="pl-PL"/>
        </w:rPr>
        <w:t xml:space="preserve"> mają</w:t>
      </w:r>
      <w:r w:rsidR="000936B1" w:rsidRPr="00B45853">
        <w:rPr>
          <w:rFonts w:ascii="Times New Roman" w:hAnsi="Times New Roman" w:cs="Times New Roman"/>
          <w:lang w:val="pl-PL"/>
        </w:rPr>
        <w:t xml:space="preserve"> tendencję do</w:t>
      </w:r>
      <w:r w:rsidR="00F36C23" w:rsidRPr="00B45853">
        <w:rPr>
          <w:rFonts w:ascii="Times New Roman" w:hAnsi="Times New Roman" w:cs="Times New Roman"/>
          <w:lang w:val="pl-PL"/>
        </w:rPr>
        <w:t xml:space="preserve"> bycia bardziej obraźliwymi</w:t>
      </w:r>
      <w:r w:rsidR="000936B1" w:rsidRPr="00B45853">
        <w:rPr>
          <w:rFonts w:ascii="Times New Roman" w:hAnsi="Times New Roman" w:cs="Times New Roman"/>
          <w:lang w:val="pl-PL"/>
        </w:rPr>
        <w:t xml:space="preserve"> niż </w:t>
      </w:r>
      <w:r w:rsidR="00F36C23" w:rsidRPr="00B45853">
        <w:rPr>
          <w:rFonts w:ascii="Times New Roman" w:hAnsi="Times New Roman" w:cs="Times New Roman"/>
          <w:lang w:val="pl-PL"/>
        </w:rPr>
        <w:t>komentarze</w:t>
      </w:r>
      <w:r w:rsidR="000936B1" w:rsidRPr="00B45853">
        <w:rPr>
          <w:rFonts w:ascii="Times New Roman" w:hAnsi="Times New Roman" w:cs="Times New Roman"/>
          <w:lang w:val="pl-PL"/>
        </w:rPr>
        <w:t xml:space="preserve"> os</w:t>
      </w:r>
      <w:r w:rsidR="00F36C23" w:rsidRPr="00B45853">
        <w:rPr>
          <w:rFonts w:ascii="Times New Roman" w:hAnsi="Times New Roman" w:cs="Times New Roman"/>
          <w:lang w:val="pl-PL"/>
        </w:rPr>
        <w:t>ób</w:t>
      </w:r>
      <w:r w:rsidR="000936B1" w:rsidRPr="00B45853">
        <w:rPr>
          <w:rFonts w:ascii="Times New Roman" w:hAnsi="Times New Roman" w:cs="Times New Roman"/>
          <w:lang w:val="pl-PL"/>
        </w:rPr>
        <w:t>, które</w:t>
      </w:r>
      <w:r w:rsidR="00F36C23" w:rsidRPr="00B45853">
        <w:rPr>
          <w:rFonts w:ascii="Times New Roman" w:hAnsi="Times New Roman" w:cs="Times New Roman"/>
          <w:lang w:val="pl-PL"/>
        </w:rPr>
        <w:t xml:space="preserve"> są zarejestrowane</w:t>
      </w:r>
      <w:r w:rsidR="00FC6825" w:rsidRPr="00B45853">
        <w:rPr>
          <w:rFonts w:ascii="Times New Roman" w:hAnsi="Times New Roman" w:cs="Times New Roman"/>
          <w:lang w:val="pl-PL"/>
        </w:rPr>
        <w:t>,</w:t>
      </w:r>
      <w:r w:rsidR="00F36C23" w:rsidRPr="00B45853">
        <w:rPr>
          <w:rFonts w:ascii="Times New Roman" w:hAnsi="Times New Roman" w:cs="Times New Roman"/>
          <w:lang w:val="pl-PL"/>
        </w:rPr>
        <w:t xml:space="preserve"> a</w:t>
      </w:r>
      <w:r w:rsidR="000936B1" w:rsidRPr="00B45853">
        <w:rPr>
          <w:rFonts w:ascii="Times New Roman" w:hAnsi="Times New Roman" w:cs="Times New Roman"/>
          <w:lang w:val="pl-PL"/>
        </w:rPr>
        <w:t xml:space="preserve"> ostre komentarze przycią</w:t>
      </w:r>
      <w:r w:rsidR="00F36C23" w:rsidRPr="00B45853">
        <w:rPr>
          <w:rFonts w:ascii="Times New Roman" w:hAnsi="Times New Roman" w:cs="Times New Roman"/>
          <w:lang w:val="pl-PL"/>
        </w:rPr>
        <w:t>gały</w:t>
      </w:r>
      <w:r w:rsidR="000936B1" w:rsidRPr="00B45853">
        <w:rPr>
          <w:rFonts w:ascii="Times New Roman" w:hAnsi="Times New Roman" w:cs="Times New Roman"/>
          <w:lang w:val="pl-PL"/>
        </w:rPr>
        <w:t xml:space="preserve"> więcej czytelników. Rząd argumentował, że </w:t>
      </w:r>
      <w:proofErr w:type="spellStart"/>
      <w:r w:rsidR="000936B1" w:rsidRPr="00B45853">
        <w:rPr>
          <w:rFonts w:ascii="Times New Roman" w:hAnsi="Times New Roman" w:cs="Times New Roman"/>
          <w:lang w:val="pl-PL"/>
        </w:rPr>
        <w:t>Delfi</w:t>
      </w:r>
      <w:proofErr w:type="spellEnd"/>
      <w:r w:rsidR="000936B1" w:rsidRPr="00B45853">
        <w:rPr>
          <w:rFonts w:ascii="Times New Roman" w:hAnsi="Times New Roman" w:cs="Times New Roman"/>
          <w:lang w:val="pl-PL"/>
        </w:rPr>
        <w:t xml:space="preserve"> był</w:t>
      </w:r>
      <w:r w:rsidR="00F36C23" w:rsidRPr="00B45853">
        <w:rPr>
          <w:rFonts w:ascii="Times New Roman" w:hAnsi="Times New Roman" w:cs="Times New Roman"/>
          <w:lang w:val="pl-PL"/>
        </w:rPr>
        <w:t>o</w:t>
      </w:r>
      <w:r w:rsidR="000936B1" w:rsidRPr="00B45853">
        <w:rPr>
          <w:rFonts w:ascii="Times New Roman" w:hAnsi="Times New Roman" w:cs="Times New Roman"/>
          <w:lang w:val="pl-PL"/>
        </w:rPr>
        <w:t xml:space="preserve"> </w:t>
      </w:r>
      <w:r w:rsidR="00CC4B66" w:rsidRPr="00AD5925">
        <w:rPr>
          <w:rFonts w:ascii="Times New Roman" w:hAnsi="Times New Roman" w:cs="Times New Roman"/>
          <w:lang w:val="pl-PL"/>
        </w:rPr>
        <w:t>znane</w:t>
      </w:r>
      <w:r w:rsidR="000936B1" w:rsidRPr="00B45853">
        <w:rPr>
          <w:rFonts w:ascii="Times New Roman" w:hAnsi="Times New Roman" w:cs="Times New Roman"/>
          <w:lang w:val="pl-PL"/>
        </w:rPr>
        <w:t xml:space="preserve"> dokładnie z tego powodu</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91</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F36C23" w:rsidRPr="00B45853">
        <w:rPr>
          <w:rFonts w:ascii="Times New Roman" w:hAnsi="Times New Roman" w:cs="Times New Roman"/>
          <w:lang w:val="pl-PL"/>
        </w:rPr>
        <w:t>Po trzecie, jeśli chodzi o odpowiedzialność rzeczywistych autorów, Rząd stwierd</w:t>
      </w:r>
      <w:r w:rsidR="00FC6825" w:rsidRPr="00B45853">
        <w:rPr>
          <w:rFonts w:ascii="Times New Roman" w:hAnsi="Times New Roman" w:cs="Times New Roman"/>
          <w:lang w:val="pl-PL"/>
        </w:rPr>
        <w:t xml:space="preserve">ził, że w postępowaniu cywilnym </w:t>
      </w:r>
      <w:r w:rsidR="00D659DD" w:rsidRPr="00B45853">
        <w:rPr>
          <w:rFonts w:ascii="Times New Roman" w:hAnsi="Times New Roman" w:cs="Times New Roman"/>
          <w:lang w:val="pl-PL"/>
        </w:rPr>
        <w:t>–</w:t>
      </w:r>
      <w:r w:rsidR="00FC6825" w:rsidRPr="00B45853">
        <w:rPr>
          <w:rFonts w:ascii="Times New Roman" w:hAnsi="Times New Roman" w:cs="Times New Roman"/>
          <w:lang w:val="pl-PL"/>
        </w:rPr>
        <w:t xml:space="preserve"> </w:t>
      </w:r>
      <w:r w:rsidR="00D659DD" w:rsidRPr="00B45853">
        <w:rPr>
          <w:rFonts w:ascii="Times New Roman" w:hAnsi="Times New Roman" w:cs="Times New Roman"/>
          <w:lang w:val="pl-PL"/>
        </w:rPr>
        <w:t>bardziej preferowane rozwiązania w</w:t>
      </w:r>
      <w:r w:rsidR="00F36C23" w:rsidRPr="00B45853">
        <w:rPr>
          <w:rFonts w:ascii="Times New Roman" w:hAnsi="Times New Roman" w:cs="Times New Roman"/>
          <w:lang w:val="pl-PL"/>
        </w:rPr>
        <w:t xml:space="preserve"> </w:t>
      </w:r>
      <w:r w:rsidR="00D659DD" w:rsidRPr="00B45853">
        <w:rPr>
          <w:rFonts w:ascii="Times New Roman" w:hAnsi="Times New Roman" w:cs="Times New Roman"/>
          <w:lang w:val="pl-PL"/>
        </w:rPr>
        <w:t xml:space="preserve">sprawach </w:t>
      </w:r>
      <w:r w:rsidR="00FC6825" w:rsidRPr="00B45853">
        <w:rPr>
          <w:rFonts w:ascii="Times New Roman" w:hAnsi="Times New Roman" w:cs="Times New Roman"/>
          <w:lang w:val="pl-PL"/>
        </w:rPr>
        <w:t>karnych o zniesławienie</w:t>
      </w:r>
      <w:r w:rsidR="00063672">
        <w:rPr>
          <w:rFonts w:ascii="Times New Roman" w:hAnsi="Times New Roman" w:cs="Times New Roman"/>
          <w:lang w:val="pl-PL"/>
        </w:rPr>
        <w:t xml:space="preserve"> </w:t>
      </w:r>
      <w:r w:rsidR="00FC6825" w:rsidRPr="00B45853">
        <w:rPr>
          <w:rFonts w:ascii="Times New Roman" w:hAnsi="Times New Roman" w:cs="Times New Roman"/>
          <w:lang w:val="pl-PL"/>
        </w:rPr>
        <w:t>-</w:t>
      </w:r>
      <w:r w:rsidR="00063672">
        <w:rPr>
          <w:rFonts w:ascii="Times New Roman" w:hAnsi="Times New Roman" w:cs="Times New Roman"/>
          <w:lang w:val="pl-PL"/>
        </w:rPr>
        <w:t xml:space="preserve"> </w:t>
      </w:r>
      <w:r w:rsidR="00F36C23" w:rsidRPr="00B45853">
        <w:rPr>
          <w:rFonts w:ascii="Times New Roman" w:hAnsi="Times New Roman" w:cs="Times New Roman"/>
          <w:lang w:val="pl-PL"/>
        </w:rPr>
        <w:t>środki dochodzeniowe, takie jak procedury nadzoru nie były dostępne. W odniesieniu do procedury "</w:t>
      </w:r>
      <w:proofErr w:type="spellStart"/>
      <w:r w:rsidR="00F36C23" w:rsidRPr="00B45853">
        <w:rPr>
          <w:rFonts w:ascii="Times New Roman" w:hAnsi="Times New Roman" w:cs="Times New Roman"/>
          <w:lang w:val="pl-PL"/>
        </w:rPr>
        <w:t>przedprocesowego</w:t>
      </w:r>
      <w:proofErr w:type="spellEnd"/>
      <w:r w:rsidR="00F36C23" w:rsidRPr="00B45853">
        <w:rPr>
          <w:rFonts w:ascii="Times New Roman" w:hAnsi="Times New Roman" w:cs="Times New Roman"/>
          <w:lang w:val="pl-PL"/>
        </w:rPr>
        <w:t xml:space="preserve"> postępowania dowodowego", rząd twierdził, że nie było to rozsądne rozwiązanie w przypadku anonimowych komentarz</w:t>
      </w:r>
      <w:r w:rsidR="00D659DD" w:rsidRPr="00B45853">
        <w:rPr>
          <w:rFonts w:ascii="Times New Roman" w:hAnsi="Times New Roman" w:cs="Times New Roman"/>
          <w:lang w:val="pl-PL"/>
        </w:rPr>
        <w:t>y. Po pierwsze, odpowiedni</w:t>
      </w:r>
      <w:r w:rsidR="00F36C23" w:rsidRPr="00B45853">
        <w:rPr>
          <w:rFonts w:ascii="Times New Roman" w:hAnsi="Times New Roman" w:cs="Times New Roman"/>
          <w:lang w:val="pl-PL"/>
        </w:rPr>
        <w:t xml:space="preserve"> </w:t>
      </w:r>
      <w:r w:rsidR="00D659DD" w:rsidRPr="00B45853">
        <w:rPr>
          <w:rFonts w:ascii="Times New Roman" w:hAnsi="Times New Roman" w:cs="Times New Roman"/>
          <w:lang w:val="pl-PL"/>
        </w:rPr>
        <w:t>Protokół Internetowy</w:t>
      </w:r>
      <w:r w:rsidR="00F36C23" w:rsidRPr="00B45853">
        <w:rPr>
          <w:rFonts w:ascii="Times New Roman" w:hAnsi="Times New Roman" w:cs="Times New Roman"/>
          <w:lang w:val="pl-PL"/>
        </w:rPr>
        <w:t xml:space="preserve"> (IP) </w:t>
      </w:r>
      <w:r w:rsidR="00D659DD" w:rsidRPr="00B45853">
        <w:rPr>
          <w:rFonts w:ascii="Times New Roman" w:hAnsi="Times New Roman" w:cs="Times New Roman"/>
          <w:lang w:val="pl-PL"/>
        </w:rPr>
        <w:t xml:space="preserve">nie </w:t>
      </w:r>
      <w:r w:rsidR="00F36C23" w:rsidRPr="00B45853">
        <w:rPr>
          <w:rFonts w:ascii="Times New Roman" w:hAnsi="Times New Roman" w:cs="Times New Roman"/>
          <w:lang w:val="pl-PL"/>
        </w:rPr>
        <w:t xml:space="preserve">może być </w:t>
      </w:r>
      <w:r w:rsidR="00D659DD" w:rsidRPr="00B45853">
        <w:rPr>
          <w:rFonts w:ascii="Times New Roman" w:hAnsi="Times New Roman" w:cs="Times New Roman"/>
          <w:lang w:val="pl-PL"/>
        </w:rPr>
        <w:t>zawsze ustalony</w:t>
      </w:r>
      <w:r w:rsidR="00F36C23" w:rsidRPr="00B45853">
        <w:rPr>
          <w:rFonts w:ascii="Times New Roman" w:hAnsi="Times New Roman" w:cs="Times New Roman"/>
          <w:lang w:val="pl-PL"/>
        </w:rPr>
        <w:t>, na przykład wtedy, gdy dane użytkownika lub komentarz został usunięty</w:t>
      </w:r>
      <w:r w:rsidR="00FC6825" w:rsidRPr="00B45853">
        <w:rPr>
          <w:rFonts w:ascii="Times New Roman" w:hAnsi="Times New Roman" w:cs="Times New Roman"/>
          <w:lang w:val="pl-PL"/>
        </w:rPr>
        <w:t>,</w:t>
      </w:r>
      <w:r w:rsidR="00F36C23" w:rsidRPr="00B45853">
        <w:rPr>
          <w:rFonts w:ascii="Times New Roman" w:hAnsi="Times New Roman" w:cs="Times New Roman"/>
          <w:lang w:val="pl-PL"/>
        </w:rPr>
        <w:t xml:space="preserve"> lub anonimowe </w:t>
      </w:r>
      <w:proofErr w:type="spellStart"/>
      <w:r w:rsidR="00F36C23" w:rsidRPr="00B45853">
        <w:rPr>
          <w:rFonts w:ascii="Times New Roman" w:hAnsi="Times New Roman" w:cs="Times New Roman"/>
          <w:lang w:val="pl-PL"/>
        </w:rPr>
        <w:t>proxy</w:t>
      </w:r>
      <w:proofErr w:type="spellEnd"/>
      <w:r w:rsidR="00F36C23" w:rsidRPr="00B45853">
        <w:rPr>
          <w:rFonts w:ascii="Times New Roman" w:hAnsi="Times New Roman" w:cs="Times New Roman"/>
          <w:lang w:val="pl-PL"/>
        </w:rPr>
        <w:t xml:space="preserve"> zostały wykorzystane. Po drugie, nawet gdyby udało się zidentyfikować komputery używane do wysyłania uwag, to nadal może okazać się niemożliwe do zidentyfikowania danych osób</w:t>
      </w:r>
      <w:r w:rsidR="00FC6825" w:rsidRPr="00B45853">
        <w:rPr>
          <w:rFonts w:ascii="Times New Roman" w:hAnsi="Times New Roman" w:cs="Times New Roman"/>
          <w:lang w:val="pl-PL"/>
        </w:rPr>
        <w:t>,</w:t>
      </w:r>
      <w:r w:rsidR="00F36C23" w:rsidRPr="00B45853">
        <w:rPr>
          <w:rFonts w:ascii="Times New Roman" w:hAnsi="Times New Roman" w:cs="Times New Roman"/>
          <w:lang w:val="pl-PL"/>
        </w:rPr>
        <w:t xml:space="preserve"> </w:t>
      </w:r>
      <w:r w:rsidR="00D659DD" w:rsidRPr="00B45853">
        <w:rPr>
          <w:rFonts w:ascii="Times New Roman" w:hAnsi="Times New Roman" w:cs="Times New Roman"/>
          <w:lang w:val="pl-PL"/>
        </w:rPr>
        <w:t>które napisały</w:t>
      </w:r>
      <w:r w:rsidR="00F36C23" w:rsidRPr="00B45853">
        <w:rPr>
          <w:rFonts w:ascii="Times New Roman" w:hAnsi="Times New Roman" w:cs="Times New Roman"/>
          <w:lang w:val="pl-PL"/>
        </w:rPr>
        <w:t xml:space="preserve"> komentarze, na przykład, w przypadku, gdy </w:t>
      </w:r>
      <w:r w:rsidR="00D659DD" w:rsidRPr="00B45853">
        <w:rPr>
          <w:rFonts w:ascii="Times New Roman" w:hAnsi="Times New Roman" w:cs="Times New Roman"/>
          <w:lang w:val="pl-PL"/>
        </w:rPr>
        <w:t xml:space="preserve">został użyty publiczny </w:t>
      </w:r>
      <w:r w:rsidR="00F36C23" w:rsidRPr="00B45853">
        <w:rPr>
          <w:rFonts w:ascii="Times New Roman" w:hAnsi="Times New Roman" w:cs="Times New Roman"/>
          <w:lang w:val="pl-PL"/>
        </w:rPr>
        <w:t>komputer</w:t>
      </w:r>
      <w:r w:rsidR="00D659DD" w:rsidRPr="00B45853">
        <w:rPr>
          <w:rFonts w:ascii="Times New Roman" w:hAnsi="Times New Roman" w:cs="Times New Roman"/>
          <w:lang w:val="pl-PL"/>
        </w:rPr>
        <w:t>,</w:t>
      </w:r>
      <w:r w:rsidR="00F36C23" w:rsidRPr="00B45853">
        <w:rPr>
          <w:rFonts w:ascii="Times New Roman" w:hAnsi="Times New Roman" w:cs="Times New Roman"/>
          <w:lang w:val="pl-PL"/>
        </w:rPr>
        <w:t xml:space="preserve"> hotspot Wi-Fi,</w:t>
      </w:r>
      <w:r w:rsidR="00D659DD" w:rsidRPr="00B45853">
        <w:rPr>
          <w:rFonts w:ascii="Times New Roman" w:hAnsi="Times New Roman" w:cs="Times New Roman"/>
          <w:lang w:val="pl-PL"/>
        </w:rPr>
        <w:t xml:space="preserve"> dynamiczny adres IP lub serwer w innym kraju</w:t>
      </w:r>
      <w:r w:rsidR="00F36C23" w:rsidRPr="00B45853">
        <w:rPr>
          <w:rFonts w:ascii="Times New Roman" w:hAnsi="Times New Roman" w:cs="Times New Roman"/>
          <w:lang w:val="pl-PL"/>
        </w:rPr>
        <w:t>, albo z innych powodów technicznych</w:t>
      </w:r>
      <w:r w:rsidR="00A220C6" w:rsidRPr="00B45853">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D659DD" w:rsidRPr="00B45853">
        <w:rPr>
          <w:rFonts w:ascii="Times New Roman" w:hAnsi="Times New Roman" w:cs="Times New Roman"/>
          <w:lang w:val="pl-PL"/>
        </w:rPr>
        <w:t xml:space="preserve">Po czwarte, jeśli chodzi o konsekwencje postępowania krajowego w sprawie skarżącej spółki, Rząd zauważył, że </w:t>
      </w:r>
      <w:proofErr w:type="spellStart"/>
      <w:r w:rsidR="00D659DD" w:rsidRPr="00B45853">
        <w:rPr>
          <w:rFonts w:ascii="Times New Roman" w:hAnsi="Times New Roman" w:cs="Times New Roman"/>
          <w:lang w:val="pl-PL"/>
        </w:rPr>
        <w:t>Delfi</w:t>
      </w:r>
      <w:proofErr w:type="spellEnd"/>
      <w:r w:rsidR="00D659DD" w:rsidRPr="00B45853">
        <w:rPr>
          <w:rFonts w:ascii="Times New Roman" w:hAnsi="Times New Roman" w:cs="Times New Roman"/>
          <w:lang w:val="pl-PL"/>
        </w:rPr>
        <w:t xml:space="preserve"> nie musiała, zmienić swojego modelu biznesowego lub odrzucać anonimowych komentarzy</w:t>
      </w:r>
      <w:r w:rsidR="00FC6825" w:rsidRPr="00B45853">
        <w:rPr>
          <w:rFonts w:ascii="Times New Roman" w:hAnsi="Times New Roman" w:cs="Times New Roman"/>
          <w:lang w:val="pl-PL"/>
        </w:rPr>
        <w:t xml:space="preserve">. </w:t>
      </w:r>
      <w:r w:rsidR="00063672">
        <w:rPr>
          <w:rFonts w:ascii="Times New Roman" w:hAnsi="Times New Roman" w:cs="Times New Roman"/>
          <w:lang w:val="pl-PL"/>
        </w:rPr>
        <w:br/>
      </w:r>
      <w:r w:rsidR="00FC6825" w:rsidRPr="00B45853">
        <w:rPr>
          <w:rFonts w:ascii="Times New Roman" w:hAnsi="Times New Roman" w:cs="Times New Roman"/>
          <w:lang w:val="pl-PL"/>
        </w:rPr>
        <w:t>W rzeczywistości całkowita liczba komentarzy</w:t>
      </w:r>
      <w:r w:rsidR="00263A14">
        <w:rPr>
          <w:rFonts w:ascii="Times New Roman" w:hAnsi="Times New Roman" w:cs="Times New Roman"/>
          <w:lang w:val="pl-PL"/>
        </w:rPr>
        <w:t xml:space="preserve"> </w:t>
      </w:r>
      <w:r w:rsidR="00FC6825" w:rsidRPr="00B45853">
        <w:rPr>
          <w:rFonts w:ascii="Times New Roman" w:hAnsi="Times New Roman" w:cs="Times New Roman"/>
          <w:lang w:val="pl-PL"/>
        </w:rPr>
        <w:t>-</w:t>
      </w:r>
      <w:r w:rsidR="00263A14">
        <w:rPr>
          <w:rFonts w:ascii="Times New Roman" w:hAnsi="Times New Roman" w:cs="Times New Roman"/>
          <w:lang w:val="pl-PL"/>
        </w:rPr>
        <w:t xml:space="preserve"> </w:t>
      </w:r>
      <w:r w:rsidR="00D659DD" w:rsidRPr="00B45853">
        <w:rPr>
          <w:rFonts w:ascii="Times New Roman" w:hAnsi="Times New Roman" w:cs="Times New Roman"/>
          <w:lang w:val="pl-PL"/>
        </w:rPr>
        <w:t xml:space="preserve">z których </w:t>
      </w:r>
      <w:r w:rsidR="00FC6825" w:rsidRPr="00B45853">
        <w:rPr>
          <w:rFonts w:ascii="Times New Roman" w:hAnsi="Times New Roman" w:cs="Times New Roman"/>
          <w:lang w:val="pl-PL"/>
        </w:rPr>
        <w:t>większość stanowiły anonimowe</w:t>
      </w:r>
      <w:r w:rsidR="00263A14">
        <w:rPr>
          <w:rFonts w:ascii="Times New Roman" w:hAnsi="Times New Roman" w:cs="Times New Roman"/>
          <w:lang w:val="pl-PL"/>
        </w:rPr>
        <w:t xml:space="preserve"> </w:t>
      </w:r>
      <w:r w:rsidR="00FC6825" w:rsidRPr="00B45853">
        <w:rPr>
          <w:rFonts w:ascii="Times New Roman" w:hAnsi="Times New Roman" w:cs="Times New Roman"/>
          <w:lang w:val="pl-PL"/>
        </w:rPr>
        <w:t>-</w:t>
      </w:r>
      <w:r w:rsidR="00263A14">
        <w:rPr>
          <w:rFonts w:ascii="Times New Roman" w:hAnsi="Times New Roman" w:cs="Times New Roman"/>
          <w:lang w:val="pl-PL"/>
        </w:rPr>
        <w:t xml:space="preserve"> </w:t>
      </w:r>
      <w:r w:rsidR="00D659DD" w:rsidRPr="00B45853">
        <w:rPr>
          <w:rFonts w:ascii="Times New Roman" w:hAnsi="Times New Roman" w:cs="Times New Roman"/>
          <w:lang w:val="pl-PL"/>
        </w:rPr>
        <w:t xml:space="preserve">wzrosła, natomiast </w:t>
      </w:r>
      <w:proofErr w:type="spellStart"/>
      <w:r w:rsidR="00D659DD" w:rsidRPr="00B45853">
        <w:rPr>
          <w:rFonts w:ascii="Times New Roman" w:hAnsi="Times New Roman" w:cs="Times New Roman"/>
          <w:lang w:val="pl-PL"/>
        </w:rPr>
        <w:t>Delfi</w:t>
      </w:r>
      <w:proofErr w:type="spellEnd"/>
      <w:r w:rsidR="00D659DD" w:rsidRPr="00B45853">
        <w:rPr>
          <w:rFonts w:ascii="Times New Roman" w:hAnsi="Times New Roman" w:cs="Times New Roman"/>
          <w:lang w:val="pl-PL"/>
        </w:rPr>
        <w:t xml:space="preserve"> teraz zatrudniła pięciu moderatorów. Rząd wskazał również, że stwierdzenie odpowiedzialności nie miało na celu uzyskanie </w:t>
      </w:r>
      <w:r w:rsidR="00D659DD" w:rsidRPr="00AD5925">
        <w:rPr>
          <w:rFonts w:ascii="Times New Roman" w:hAnsi="Times New Roman" w:cs="Times New Roman"/>
          <w:lang w:val="pl-PL"/>
        </w:rPr>
        <w:t xml:space="preserve">ogromnych lub karnych odszkodowań. Rzeczywiście, w przypadku </w:t>
      </w:r>
      <w:proofErr w:type="spellStart"/>
      <w:r w:rsidR="00D659DD" w:rsidRPr="00AD5925">
        <w:rPr>
          <w:rFonts w:ascii="Times New Roman" w:hAnsi="Times New Roman" w:cs="Times New Roman"/>
          <w:lang w:val="pl-PL"/>
        </w:rPr>
        <w:t>Delfi</w:t>
      </w:r>
      <w:proofErr w:type="spellEnd"/>
      <w:r w:rsidR="00672542" w:rsidRPr="00AD5925">
        <w:rPr>
          <w:rFonts w:ascii="Times New Roman" w:hAnsi="Times New Roman" w:cs="Times New Roman"/>
          <w:lang w:val="pl-PL"/>
        </w:rPr>
        <w:t>,</w:t>
      </w:r>
      <w:r w:rsidR="006D7895" w:rsidRPr="00AD5925">
        <w:rPr>
          <w:rFonts w:ascii="Times New Roman" w:hAnsi="Times New Roman" w:cs="Times New Roman"/>
          <w:lang w:val="pl-PL"/>
        </w:rPr>
        <w:t xml:space="preserve"> odszkodowanie</w:t>
      </w:r>
      <w:r w:rsidR="00672542" w:rsidRPr="00AD5925">
        <w:rPr>
          <w:rFonts w:ascii="Times New Roman" w:hAnsi="Times New Roman" w:cs="Times New Roman"/>
          <w:lang w:val="pl-PL"/>
        </w:rPr>
        <w:t xml:space="preserve"> za szkody niemajątkowe</w:t>
      </w:r>
      <w:r w:rsidR="00A5162C" w:rsidRPr="00AD5925">
        <w:rPr>
          <w:rFonts w:ascii="Times New Roman" w:hAnsi="Times New Roman" w:cs="Times New Roman"/>
          <w:lang w:val="pl-PL"/>
        </w:rPr>
        <w:t>,</w:t>
      </w:r>
      <w:r w:rsidR="00672542" w:rsidRPr="00AD5925">
        <w:rPr>
          <w:rFonts w:ascii="Times New Roman" w:hAnsi="Times New Roman" w:cs="Times New Roman"/>
          <w:lang w:val="pl-PL"/>
        </w:rPr>
        <w:t xml:space="preserve"> </w:t>
      </w:r>
      <w:r w:rsidR="00CC4B66" w:rsidRPr="00AD5925">
        <w:rPr>
          <w:rFonts w:ascii="Times New Roman" w:hAnsi="Times New Roman" w:cs="Times New Roman"/>
          <w:lang w:val="pl-PL"/>
        </w:rPr>
        <w:t>do którego zapłacenia została zobowiązana,</w:t>
      </w:r>
      <w:r w:rsidR="006D7895" w:rsidRPr="00AD5925">
        <w:rPr>
          <w:rFonts w:ascii="Times New Roman" w:hAnsi="Times New Roman" w:cs="Times New Roman"/>
          <w:lang w:val="pl-PL"/>
        </w:rPr>
        <w:t xml:space="preserve"> </w:t>
      </w:r>
      <w:r w:rsidR="00672542" w:rsidRPr="00AD5925">
        <w:rPr>
          <w:rFonts w:ascii="Times New Roman" w:hAnsi="Times New Roman" w:cs="Times New Roman"/>
          <w:lang w:val="pl-PL"/>
        </w:rPr>
        <w:t>było znikome</w:t>
      </w:r>
      <w:r w:rsidR="006D7895" w:rsidRPr="00AD5925">
        <w:rPr>
          <w:rFonts w:ascii="Times New Roman" w:hAnsi="Times New Roman" w:cs="Times New Roman"/>
          <w:lang w:val="pl-PL"/>
        </w:rPr>
        <w:t xml:space="preserve"> (320 EUR), a</w:t>
      </w:r>
      <w:r w:rsidR="00D659DD" w:rsidRPr="00AD5925">
        <w:rPr>
          <w:rFonts w:ascii="Times New Roman" w:hAnsi="Times New Roman" w:cs="Times New Roman"/>
          <w:lang w:val="pl-PL"/>
        </w:rPr>
        <w:t xml:space="preserve"> w późniejszym orzecznictwie (</w:t>
      </w:r>
      <w:r w:rsidR="00584194" w:rsidRPr="00AD5925">
        <w:rPr>
          <w:rFonts w:ascii="Times New Roman" w:hAnsi="Times New Roman" w:cs="Times New Roman"/>
          <w:lang w:val="pl-PL"/>
        </w:rPr>
        <w:t>zobacz</w:t>
      </w:r>
      <w:r w:rsidR="00D659DD" w:rsidRPr="00AD5925">
        <w:rPr>
          <w:rFonts w:ascii="Times New Roman" w:hAnsi="Times New Roman" w:cs="Times New Roman"/>
          <w:lang w:val="pl-PL"/>
        </w:rPr>
        <w:t xml:space="preserve"> paragraf 43 powyżej) sąd uznał, że stwierdzenie naruszeni</w:t>
      </w:r>
      <w:r w:rsidR="00672542" w:rsidRPr="00AD5925">
        <w:rPr>
          <w:rFonts w:ascii="Times New Roman" w:hAnsi="Times New Roman" w:cs="Times New Roman"/>
          <w:lang w:val="pl-PL"/>
        </w:rPr>
        <w:t>a lub usunięcie komentarza mogło</w:t>
      </w:r>
      <w:r w:rsidR="00D659DD" w:rsidRPr="00AD5925">
        <w:rPr>
          <w:rFonts w:ascii="Times New Roman" w:hAnsi="Times New Roman" w:cs="Times New Roman"/>
          <w:lang w:val="pl-PL"/>
        </w:rPr>
        <w:t xml:space="preserve">by być wystarczającym </w:t>
      </w:r>
      <w:r w:rsidR="00672542" w:rsidRPr="00AD5925">
        <w:rPr>
          <w:rFonts w:ascii="Times New Roman" w:hAnsi="Times New Roman" w:cs="Times New Roman"/>
          <w:lang w:val="pl-PL"/>
        </w:rPr>
        <w:t>rozwiązaniem</w:t>
      </w:r>
      <w:r w:rsidR="00D659DD" w:rsidRPr="00AD5925">
        <w:rPr>
          <w:rFonts w:ascii="Times New Roman" w:hAnsi="Times New Roman" w:cs="Times New Roman"/>
          <w:lang w:val="pl-PL"/>
        </w:rPr>
        <w:t>. Rząd uznał, że o</w:t>
      </w:r>
      <w:r w:rsidR="00672542" w:rsidRPr="00AD5925">
        <w:rPr>
          <w:rFonts w:ascii="Times New Roman" w:hAnsi="Times New Roman" w:cs="Times New Roman"/>
          <w:lang w:val="pl-PL"/>
        </w:rPr>
        <w:t>dpowiedzialność cywilna skarżącej spółki nie miała "mrożącego</w:t>
      </w:r>
      <w:r w:rsidR="00D659DD" w:rsidRPr="00AD5925">
        <w:rPr>
          <w:rFonts w:ascii="Times New Roman" w:hAnsi="Times New Roman" w:cs="Times New Roman"/>
          <w:lang w:val="pl-PL"/>
        </w:rPr>
        <w:t xml:space="preserve"> efekt</w:t>
      </w:r>
      <w:r w:rsidR="00672542" w:rsidRPr="00AD5925">
        <w:rPr>
          <w:rFonts w:ascii="Times New Roman" w:hAnsi="Times New Roman" w:cs="Times New Roman"/>
          <w:lang w:val="pl-PL"/>
        </w:rPr>
        <w:t>u</w:t>
      </w:r>
      <w:r w:rsidR="00D659DD" w:rsidRPr="00AD5925">
        <w:rPr>
          <w:rFonts w:ascii="Times New Roman" w:hAnsi="Times New Roman" w:cs="Times New Roman"/>
          <w:lang w:val="pl-PL"/>
        </w:rPr>
        <w:t>"</w:t>
      </w:r>
      <w:r w:rsidR="00672542" w:rsidRPr="00AD5925">
        <w:rPr>
          <w:rFonts w:ascii="Times New Roman" w:hAnsi="Times New Roman" w:cs="Times New Roman"/>
          <w:lang w:val="pl-PL"/>
        </w:rPr>
        <w:t xml:space="preserve"> na swobodę wypowiedzi, ale była uzasadniona</w:t>
      </w:r>
      <w:r w:rsidR="00D659DD" w:rsidRPr="00AD5925">
        <w:rPr>
          <w:rFonts w:ascii="Times New Roman" w:hAnsi="Times New Roman" w:cs="Times New Roman"/>
          <w:lang w:val="pl-PL"/>
        </w:rPr>
        <w:t xml:space="preserve"> i proporcjonal</w:t>
      </w:r>
      <w:r w:rsidR="00672542" w:rsidRPr="00AD5925">
        <w:rPr>
          <w:rFonts w:ascii="Times New Roman" w:hAnsi="Times New Roman" w:cs="Times New Roman"/>
          <w:lang w:val="pl-PL"/>
        </w:rPr>
        <w:t>na</w:t>
      </w:r>
      <w:r w:rsidR="00A220C6" w:rsidRPr="00AD5925">
        <w:rPr>
          <w:rFonts w:ascii="Times New Roman" w:hAnsi="Times New Roman" w:cs="Times New Roman"/>
          <w:lang w:val="pl-PL"/>
        </w:rPr>
        <w:t>.</w:t>
      </w:r>
    </w:p>
    <w:p w:rsidR="00A220C6"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lastRenderedPageBreak/>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93</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672542" w:rsidRPr="00AD5925">
        <w:rPr>
          <w:rFonts w:ascii="Times New Roman" w:hAnsi="Times New Roman" w:cs="Times New Roman"/>
          <w:lang w:val="pl-PL"/>
        </w:rPr>
        <w:t>Wreszcie, odnosząc się do ustawodawstwa i praktyki z kilku krajów europejskich, rząd twierdził, że nie ma europejskiego konsensusu lub t</w:t>
      </w:r>
      <w:r w:rsidR="006D7895" w:rsidRPr="00AD5925">
        <w:rPr>
          <w:rFonts w:ascii="Times New Roman" w:hAnsi="Times New Roman" w:cs="Times New Roman"/>
          <w:lang w:val="pl-PL"/>
        </w:rPr>
        <w:t>endencji w kierunku wyłączenia</w:t>
      </w:r>
      <w:r w:rsidR="00672542" w:rsidRPr="00AD5925">
        <w:rPr>
          <w:rFonts w:ascii="Times New Roman" w:hAnsi="Times New Roman" w:cs="Times New Roman"/>
          <w:lang w:val="pl-PL"/>
        </w:rPr>
        <w:t xml:space="preserve"> odpowiedzialności właściciela portalu internetowego, który pełnił rolę </w:t>
      </w:r>
      <w:r w:rsidR="00EC4DC6">
        <w:rPr>
          <w:rFonts w:ascii="Times New Roman" w:hAnsi="Times New Roman" w:cs="Times New Roman"/>
          <w:lang w:val="pl-PL"/>
        </w:rPr>
        <w:t>dostarczyciela usług zawierających pewne treści</w:t>
      </w:r>
      <w:r w:rsidR="00672542" w:rsidRPr="00AD5925">
        <w:rPr>
          <w:rFonts w:ascii="Times New Roman" w:hAnsi="Times New Roman" w:cs="Times New Roman"/>
          <w:lang w:val="pl-PL"/>
        </w:rPr>
        <w:t xml:space="preserve"> i </w:t>
      </w:r>
      <w:r w:rsidR="006D7895" w:rsidRPr="00AD5925">
        <w:rPr>
          <w:rFonts w:ascii="Times New Roman" w:hAnsi="Times New Roman" w:cs="Times New Roman"/>
          <w:lang w:val="pl-PL"/>
        </w:rPr>
        <w:t>ujawnia</w:t>
      </w:r>
      <w:r w:rsidR="00D617AD">
        <w:rPr>
          <w:rFonts w:ascii="Times New Roman" w:hAnsi="Times New Roman" w:cs="Times New Roman"/>
          <w:lang w:val="pl-PL"/>
        </w:rPr>
        <w:t>ł</w:t>
      </w:r>
      <w:r w:rsidR="006D7895" w:rsidRPr="00AD5925">
        <w:rPr>
          <w:rFonts w:ascii="Times New Roman" w:hAnsi="Times New Roman" w:cs="Times New Roman"/>
          <w:lang w:val="pl-PL"/>
        </w:rPr>
        <w:t xml:space="preserve"> anonimow</w:t>
      </w:r>
      <w:r w:rsidR="00D617AD">
        <w:rPr>
          <w:rFonts w:ascii="Times New Roman" w:hAnsi="Times New Roman" w:cs="Times New Roman"/>
          <w:lang w:val="pl-PL"/>
        </w:rPr>
        <w:t>e</w:t>
      </w:r>
      <w:r w:rsidR="006D7895" w:rsidRPr="00AD5925">
        <w:rPr>
          <w:rFonts w:ascii="Times New Roman" w:hAnsi="Times New Roman" w:cs="Times New Roman"/>
          <w:lang w:val="pl-PL"/>
        </w:rPr>
        <w:t xml:space="preserve"> komentarzy</w:t>
      </w:r>
      <w:r w:rsidR="00672542" w:rsidRPr="00AD5925">
        <w:rPr>
          <w:rFonts w:ascii="Times New Roman" w:hAnsi="Times New Roman" w:cs="Times New Roman"/>
          <w:lang w:val="pl-PL"/>
        </w:rPr>
        <w:t xml:space="preserve"> na swoich własnych artykułach</w:t>
      </w:r>
      <w:r w:rsidR="00A220C6" w:rsidRPr="00AD5925">
        <w:rPr>
          <w:rFonts w:ascii="Times New Roman" w:hAnsi="Times New Roman" w:cs="Times New Roman"/>
          <w:lang w:val="pl-PL"/>
        </w:rPr>
        <w:t>.</w:t>
      </w:r>
    </w:p>
    <w:p w:rsidR="00A220C6" w:rsidRPr="00AD5925" w:rsidRDefault="00A220C6" w:rsidP="00171A6F">
      <w:pPr>
        <w:pStyle w:val="ECHRHeading2"/>
        <w:rPr>
          <w:rFonts w:ascii="Times New Roman" w:hAnsi="Times New Roman" w:cs="Times New Roman"/>
          <w:lang w:val="pl-PL"/>
        </w:rPr>
      </w:pPr>
      <w:bookmarkStart w:id="21" w:name="_Toc420072873"/>
      <w:r w:rsidRPr="00AD5925">
        <w:rPr>
          <w:rFonts w:ascii="Times New Roman" w:hAnsi="Times New Roman" w:cs="Times New Roman"/>
          <w:lang w:val="pl-PL"/>
        </w:rPr>
        <w:t>C.  </w:t>
      </w:r>
      <w:bookmarkEnd w:id="21"/>
      <w:r w:rsidR="00672542" w:rsidRPr="00AD5925">
        <w:rPr>
          <w:rFonts w:ascii="Times New Roman" w:hAnsi="Times New Roman" w:cs="Times New Roman"/>
          <w:lang w:val="pl-PL"/>
        </w:rPr>
        <w:t xml:space="preserve">Argumenty interwenientów </w:t>
      </w:r>
      <w:r w:rsidR="00F37B88" w:rsidRPr="00AD5925">
        <w:rPr>
          <w:rFonts w:ascii="Times New Roman" w:hAnsi="Times New Roman" w:cs="Times New Roman"/>
          <w:lang w:val="pl-PL"/>
        </w:rPr>
        <w:t>ubocznych</w:t>
      </w:r>
    </w:p>
    <w:p w:rsidR="00B413BF" w:rsidRPr="00AD5925" w:rsidRDefault="00A220C6" w:rsidP="00171A6F">
      <w:pPr>
        <w:pStyle w:val="ECHRHeading3"/>
        <w:rPr>
          <w:rFonts w:ascii="Times New Roman" w:hAnsi="Times New Roman" w:cs="Times New Roman"/>
          <w:lang w:val="pl-PL"/>
        </w:rPr>
      </w:pPr>
      <w:bookmarkStart w:id="22" w:name="_Toc390438828"/>
      <w:bookmarkStart w:id="23" w:name="_Toc420072874"/>
      <w:r w:rsidRPr="00AD5925">
        <w:rPr>
          <w:rFonts w:ascii="Times New Roman" w:hAnsi="Times New Roman" w:cs="Times New Roman"/>
          <w:lang w:val="pl-PL"/>
        </w:rPr>
        <w:t>1.  </w:t>
      </w:r>
      <w:bookmarkEnd w:id="22"/>
      <w:bookmarkEnd w:id="23"/>
      <w:r w:rsidR="00672542" w:rsidRPr="00AD5925">
        <w:rPr>
          <w:rFonts w:ascii="Times New Roman" w:hAnsi="Times New Roman" w:cs="Times New Roman"/>
          <w:lang w:val="pl-PL"/>
        </w:rPr>
        <w:t>Helsińska Fundacja Praw Człowieka</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94</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672542" w:rsidRPr="00AD5925">
        <w:rPr>
          <w:rFonts w:ascii="Times New Roman" w:hAnsi="Times New Roman" w:cs="Times New Roman"/>
          <w:lang w:val="pl-PL"/>
        </w:rPr>
        <w:t>Helsińska Fundacja Praw Człowieka w Warszawie podkreśliła</w:t>
      </w:r>
      <w:r w:rsidR="00672542" w:rsidRPr="00B45853">
        <w:rPr>
          <w:rFonts w:ascii="Times New Roman" w:hAnsi="Times New Roman" w:cs="Times New Roman"/>
          <w:lang w:val="pl-PL"/>
        </w:rPr>
        <w:t xml:space="preserve"> różnice między Internetem a tradycyjnymi mediami. Należy zauważyć, że usługi internetowe takie jak </w:t>
      </w:r>
      <w:proofErr w:type="spellStart"/>
      <w:r w:rsidR="00672542" w:rsidRPr="00B45853">
        <w:rPr>
          <w:rFonts w:ascii="Times New Roman" w:hAnsi="Times New Roman" w:cs="Times New Roman"/>
          <w:lang w:val="pl-PL"/>
        </w:rPr>
        <w:t>Delfi</w:t>
      </w:r>
      <w:proofErr w:type="spellEnd"/>
      <w:r w:rsidR="00672542" w:rsidRPr="00B45853">
        <w:rPr>
          <w:rFonts w:ascii="Times New Roman" w:hAnsi="Times New Roman" w:cs="Times New Roman"/>
          <w:lang w:val="pl-PL"/>
        </w:rPr>
        <w:t xml:space="preserve"> działały jednocześnie w dwóch rolach: jako dostawcy treści w odniesieniu </w:t>
      </w:r>
      <w:r w:rsidR="00672542" w:rsidRPr="00AD5925">
        <w:rPr>
          <w:rFonts w:ascii="Times New Roman" w:hAnsi="Times New Roman" w:cs="Times New Roman"/>
          <w:lang w:val="pl-PL"/>
        </w:rPr>
        <w:t xml:space="preserve">do </w:t>
      </w:r>
      <w:r w:rsidR="00F37B88" w:rsidRPr="00AD5925">
        <w:rPr>
          <w:rFonts w:ascii="Times New Roman" w:hAnsi="Times New Roman" w:cs="Times New Roman"/>
          <w:lang w:val="pl-PL"/>
        </w:rPr>
        <w:t>własnych</w:t>
      </w:r>
      <w:r w:rsidR="00672542" w:rsidRPr="00AD5925">
        <w:rPr>
          <w:rFonts w:ascii="Times New Roman" w:hAnsi="Times New Roman" w:cs="Times New Roman"/>
          <w:lang w:val="pl-PL"/>
        </w:rPr>
        <w:t xml:space="preserve"> wiadom</w:t>
      </w:r>
      <w:r w:rsidR="00F37B88" w:rsidRPr="00AD5925">
        <w:rPr>
          <w:rFonts w:ascii="Times New Roman" w:hAnsi="Times New Roman" w:cs="Times New Roman"/>
          <w:lang w:val="pl-PL"/>
        </w:rPr>
        <w:t xml:space="preserve">ości i jako dostawcy </w:t>
      </w:r>
      <w:r w:rsidR="00672542" w:rsidRPr="00AD5925">
        <w:rPr>
          <w:rFonts w:ascii="Times New Roman" w:hAnsi="Times New Roman" w:cs="Times New Roman"/>
          <w:lang w:val="pl-PL"/>
        </w:rPr>
        <w:t xml:space="preserve">w odniesieniu do </w:t>
      </w:r>
      <w:r w:rsidR="00F37B88" w:rsidRPr="00AD5925">
        <w:rPr>
          <w:rFonts w:ascii="Times New Roman" w:hAnsi="Times New Roman" w:cs="Times New Roman"/>
          <w:lang w:val="pl-PL"/>
        </w:rPr>
        <w:t>komentarzy</w:t>
      </w:r>
      <w:r w:rsidR="00672542" w:rsidRPr="00AD5925">
        <w:rPr>
          <w:rFonts w:ascii="Times New Roman" w:hAnsi="Times New Roman" w:cs="Times New Roman"/>
          <w:lang w:val="pl-PL"/>
        </w:rPr>
        <w:t xml:space="preserve"> </w:t>
      </w:r>
      <w:r w:rsidR="00F37B88" w:rsidRPr="00AD5925">
        <w:rPr>
          <w:rFonts w:ascii="Times New Roman" w:hAnsi="Times New Roman" w:cs="Times New Roman"/>
          <w:lang w:val="pl-PL"/>
        </w:rPr>
        <w:t>osób trzecich</w:t>
      </w:r>
      <w:r w:rsidR="00672542" w:rsidRPr="00AD5925">
        <w:rPr>
          <w:rFonts w:ascii="Times New Roman" w:hAnsi="Times New Roman" w:cs="Times New Roman"/>
          <w:lang w:val="pl-PL"/>
        </w:rPr>
        <w:t>. Stwierdziła ona, że moderowanie treści generowanych przez użytkowników lub uprawnienie do uniemożliwienia</w:t>
      </w:r>
      <w:r w:rsidR="00F37B88" w:rsidRPr="00AD5925">
        <w:rPr>
          <w:rFonts w:ascii="Times New Roman" w:hAnsi="Times New Roman" w:cs="Times New Roman"/>
          <w:lang w:val="pl-PL"/>
        </w:rPr>
        <w:t xml:space="preserve"> dostępu</w:t>
      </w:r>
      <w:r w:rsidR="00584194" w:rsidRPr="00AD5925">
        <w:rPr>
          <w:rFonts w:ascii="Times New Roman" w:hAnsi="Times New Roman" w:cs="Times New Roman"/>
          <w:lang w:val="pl-PL"/>
        </w:rPr>
        <w:t xml:space="preserve"> nie powinno</w:t>
      </w:r>
      <w:r w:rsidR="00672542" w:rsidRPr="00AD5925">
        <w:rPr>
          <w:rFonts w:ascii="Times New Roman" w:hAnsi="Times New Roman" w:cs="Times New Roman"/>
          <w:lang w:val="pl-PL"/>
        </w:rPr>
        <w:t xml:space="preserve"> być traktowane jako posiadające skuteczną kontrolę redakcyjną. Pośredniczący dostawcy</w:t>
      </w:r>
      <w:r w:rsidR="00584194" w:rsidRPr="00AD5925">
        <w:rPr>
          <w:rFonts w:ascii="Times New Roman" w:hAnsi="Times New Roman" w:cs="Times New Roman"/>
          <w:lang w:val="pl-PL"/>
        </w:rPr>
        <w:t xml:space="preserve"> usług nie powinni</w:t>
      </w:r>
      <w:r w:rsidR="00672542" w:rsidRPr="00AD5925">
        <w:rPr>
          <w:rFonts w:ascii="Times New Roman" w:hAnsi="Times New Roman" w:cs="Times New Roman"/>
          <w:lang w:val="pl-PL"/>
        </w:rPr>
        <w:t xml:space="preserve"> być traktowani jako tradycyjne media i nie powinny podlegać tym samym przepisom o odpowiedzialności</w:t>
      </w:r>
      <w:r w:rsidR="00A220C6" w:rsidRPr="00AD5925">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95</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672542" w:rsidRPr="00AD5925">
        <w:rPr>
          <w:rFonts w:ascii="Times New Roman" w:hAnsi="Times New Roman" w:cs="Times New Roman"/>
          <w:lang w:val="pl-PL"/>
        </w:rPr>
        <w:t>Helsińska Fundacja argumentowała, że autorzy powinni być odpowiedzialni za swoje oszczercze komentarze, a państwo powinno zapewnić ramy regulacyjne umożliwiające identyfikację i ściganie przestępców internetowych. W tym samym czasie również utrzymywała,</w:t>
      </w:r>
      <w:r w:rsidR="00672542" w:rsidRPr="00B45853">
        <w:rPr>
          <w:rFonts w:ascii="Times New Roman" w:hAnsi="Times New Roman" w:cs="Times New Roman"/>
          <w:lang w:val="pl-PL"/>
        </w:rPr>
        <w:t xml:space="preserve"> że możliwość anonimowej publikacji w Internecie należy traktować jako wartość</w:t>
      </w:r>
      <w:r w:rsidR="00A220C6" w:rsidRPr="00B45853">
        <w:rPr>
          <w:rFonts w:ascii="Times New Roman" w:hAnsi="Times New Roman" w:cs="Times New Roman"/>
          <w:lang w:val="pl-PL"/>
        </w:rPr>
        <w:t>.</w:t>
      </w:r>
    </w:p>
    <w:p w:rsidR="00A220C6" w:rsidRPr="00B45853" w:rsidRDefault="00A220C6" w:rsidP="00171A6F">
      <w:pPr>
        <w:pStyle w:val="ECHRHeading3"/>
        <w:rPr>
          <w:rFonts w:ascii="Times New Roman" w:hAnsi="Times New Roman" w:cs="Times New Roman"/>
          <w:lang w:val="pl-PL"/>
        </w:rPr>
      </w:pPr>
      <w:bookmarkStart w:id="24" w:name="_Toc390438829"/>
      <w:bookmarkStart w:id="25" w:name="_Toc420072875"/>
      <w:r w:rsidRPr="00B45853">
        <w:rPr>
          <w:rFonts w:ascii="Times New Roman" w:hAnsi="Times New Roman" w:cs="Times New Roman"/>
          <w:lang w:val="pl-PL"/>
        </w:rPr>
        <w:t>2.  Ar</w:t>
      </w:r>
      <w:r w:rsidR="00326F5B" w:rsidRPr="00B45853">
        <w:rPr>
          <w:rFonts w:ascii="Times New Roman" w:hAnsi="Times New Roman" w:cs="Times New Roman"/>
          <w:lang w:val="pl-PL"/>
        </w:rPr>
        <w:t>tykuł</w:t>
      </w:r>
      <w:r w:rsidRPr="00B45853">
        <w:rPr>
          <w:rFonts w:ascii="Times New Roman" w:hAnsi="Times New Roman" w:cs="Times New Roman"/>
          <w:lang w:val="pl-PL"/>
        </w:rPr>
        <w:t xml:space="preserve"> 19</w:t>
      </w:r>
      <w:bookmarkEnd w:id="24"/>
      <w:bookmarkEnd w:id="25"/>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584194" w:rsidRPr="002C5E51">
        <w:rPr>
          <w:rFonts w:ascii="Times New Roman" w:hAnsi="Times New Roman" w:cs="Times New Roman"/>
          <w:lang w:val="pl-PL"/>
        </w:rPr>
        <w:t>Artykuł 19 twierdził, że jedną</w:t>
      </w:r>
      <w:r w:rsidR="00326F5B" w:rsidRPr="002C5E51">
        <w:rPr>
          <w:rFonts w:ascii="Times New Roman" w:hAnsi="Times New Roman" w:cs="Times New Roman"/>
          <w:lang w:val="pl-PL"/>
        </w:rPr>
        <w:t xml:space="preserve"> z najbardziej innowacyjnych cech </w:t>
      </w:r>
      <w:r w:rsidR="00326F5B" w:rsidRPr="00B45853">
        <w:rPr>
          <w:rFonts w:ascii="Times New Roman" w:hAnsi="Times New Roman" w:cs="Times New Roman"/>
          <w:lang w:val="pl-PL"/>
        </w:rPr>
        <w:t>Internetu była łatwość, z jaką każda osoba pozwalała wyrazić swoje poglądy na cały świat bez uzyskania uprzedniej zgody wydawcy. Umożliwienie stworzenia platform komentujących i promowanie debaty publicznej w najczystszej postaci, a to miało niewiele wspólnego z dostarczaniem wiadomości. W istocie i formie, sekcje komentarzy dotyczące serwisów informacyjnych były lepiej rozumiane jako gazety przyjmujące model prywatnej dyskusji, która pochodziła z Internetu, a nie na odwrót. Artykuł 19 utrzymywał, że uznanie stron internetowych odpowiedzialnymi za uwagi zgłoszone przez użytkowników nałożyłoby niedopuszczalne obciążenie na strony internetowe</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26F5B" w:rsidRPr="00B45853">
        <w:rPr>
          <w:rFonts w:ascii="Times New Roman" w:hAnsi="Times New Roman" w:cs="Times New Roman"/>
          <w:lang w:val="pl-PL"/>
        </w:rPr>
        <w:t xml:space="preserve">Artykuł 19 twierdził, że Dyrektywa o Handlu Elektronicznym miała osłonić strony internetowe przed odpowiedzialnością za komentarze swoich użytkowników, niezależnie od ich własnej zawartości. Artykuł 19 podkreślił, że podczas gdy </w:t>
      </w:r>
      <w:r w:rsidR="008E4F35" w:rsidRPr="00B45853">
        <w:rPr>
          <w:rFonts w:ascii="Times New Roman" w:hAnsi="Times New Roman" w:cs="Times New Roman"/>
          <w:lang w:val="pl-PL"/>
        </w:rPr>
        <w:t>normalne zasady odpowiedzialności powinny</w:t>
      </w:r>
      <w:r w:rsidR="00326F5B" w:rsidRPr="00B45853">
        <w:rPr>
          <w:rFonts w:ascii="Times New Roman" w:hAnsi="Times New Roman" w:cs="Times New Roman"/>
          <w:lang w:val="pl-PL"/>
        </w:rPr>
        <w:t xml:space="preserve"> nadal mieć zastosowanie do internetowych witryn z wiadomościami do </w:t>
      </w:r>
      <w:r w:rsidR="00326F5B" w:rsidRPr="00B45853">
        <w:rPr>
          <w:rFonts w:ascii="Times New Roman" w:hAnsi="Times New Roman" w:cs="Times New Roman"/>
          <w:lang w:val="pl-PL"/>
        </w:rPr>
        <w:lastRenderedPageBreak/>
        <w:t>artykułów publikowanych, nal</w:t>
      </w:r>
      <w:r w:rsidR="008E4F35" w:rsidRPr="00B45853">
        <w:rPr>
          <w:rFonts w:ascii="Times New Roman" w:hAnsi="Times New Roman" w:cs="Times New Roman"/>
          <w:lang w:val="pl-PL"/>
        </w:rPr>
        <w:t>eży je traktować jako gospodarzy</w:t>
      </w:r>
      <w:r w:rsidR="00F40A67">
        <w:rPr>
          <w:rFonts w:ascii="Times New Roman" w:hAnsi="Times New Roman" w:cs="Times New Roman"/>
          <w:lang w:val="pl-PL"/>
        </w:rPr>
        <w:t xml:space="preserve"> </w:t>
      </w:r>
      <w:r w:rsidR="00A5162C" w:rsidRPr="00B45853">
        <w:rPr>
          <w:rFonts w:ascii="Times New Roman" w:hAnsi="Times New Roman" w:cs="Times New Roman"/>
          <w:lang w:val="pl-PL"/>
        </w:rPr>
        <w:t>-</w:t>
      </w:r>
      <w:r w:rsidR="00F40A67">
        <w:rPr>
          <w:rFonts w:ascii="Times New Roman" w:hAnsi="Times New Roman" w:cs="Times New Roman"/>
          <w:lang w:val="pl-PL"/>
        </w:rPr>
        <w:t xml:space="preserve"> </w:t>
      </w:r>
      <w:r w:rsidR="00A5162C" w:rsidRPr="00B45853">
        <w:rPr>
          <w:rFonts w:ascii="Times New Roman" w:hAnsi="Times New Roman" w:cs="Times New Roman"/>
          <w:lang w:val="pl-PL"/>
        </w:rPr>
        <w:t>zamiast wydawców</w:t>
      </w:r>
      <w:r w:rsidR="00F40A67">
        <w:rPr>
          <w:rFonts w:ascii="Times New Roman" w:hAnsi="Times New Roman" w:cs="Times New Roman"/>
          <w:lang w:val="pl-PL"/>
        </w:rPr>
        <w:t xml:space="preserve"> </w:t>
      </w:r>
      <w:r w:rsidR="00A5162C" w:rsidRPr="00B45853">
        <w:rPr>
          <w:rFonts w:ascii="Times New Roman" w:hAnsi="Times New Roman" w:cs="Times New Roman"/>
          <w:lang w:val="pl-PL"/>
        </w:rPr>
        <w:t>-</w:t>
      </w:r>
      <w:r w:rsidR="00F40A67">
        <w:rPr>
          <w:rFonts w:ascii="Times New Roman" w:hAnsi="Times New Roman" w:cs="Times New Roman"/>
          <w:lang w:val="pl-PL"/>
        </w:rPr>
        <w:t xml:space="preserve"> </w:t>
      </w:r>
      <w:r w:rsidR="00326F5B" w:rsidRPr="00B45853">
        <w:rPr>
          <w:rFonts w:ascii="Times New Roman" w:hAnsi="Times New Roman" w:cs="Times New Roman"/>
          <w:lang w:val="pl-PL"/>
        </w:rPr>
        <w:t>do celów sekcji komentarzy na swojej stronie internetowej. Jako gospodarze, serwisy informacyjne on-lin</w:t>
      </w:r>
      <w:r w:rsidR="008E4F35" w:rsidRPr="00B45853">
        <w:rPr>
          <w:rFonts w:ascii="Times New Roman" w:hAnsi="Times New Roman" w:cs="Times New Roman"/>
          <w:lang w:val="pl-PL"/>
        </w:rPr>
        <w:t>e powinny być w zasadzie wolne</w:t>
      </w:r>
      <w:r w:rsidR="00326F5B" w:rsidRPr="00B45853">
        <w:rPr>
          <w:rFonts w:ascii="Times New Roman" w:hAnsi="Times New Roman" w:cs="Times New Roman"/>
          <w:lang w:val="pl-PL"/>
        </w:rPr>
        <w:t xml:space="preserve"> od odpowiedzialności za treści stron trzecich w sytuacji, gdy nie zostały one zaangażowane w bezpośr</w:t>
      </w:r>
      <w:r w:rsidR="008E4F35" w:rsidRPr="00B45853">
        <w:rPr>
          <w:rFonts w:ascii="Times New Roman" w:hAnsi="Times New Roman" w:cs="Times New Roman"/>
          <w:lang w:val="pl-PL"/>
        </w:rPr>
        <w:t>ednią modyfikację problematycznych</w:t>
      </w:r>
      <w:r w:rsidR="00326F5B" w:rsidRPr="00B45853">
        <w:rPr>
          <w:rFonts w:ascii="Times New Roman" w:hAnsi="Times New Roman" w:cs="Times New Roman"/>
          <w:lang w:val="pl-PL"/>
        </w:rPr>
        <w:t xml:space="preserve"> treści.</w:t>
      </w:r>
      <w:r w:rsidR="008E4F35" w:rsidRPr="00B45853">
        <w:rPr>
          <w:rFonts w:ascii="Times New Roman" w:hAnsi="Times New Roman" w:cs="Times New Roman"/>
          <w:lang w:val="pl-PL"/>
        </w:rPr>
        <w:t xml:space="preserve"> Nie powinny one być pociągnięte</w:t>
      </w:r>
      <w:r w:rsidR="00326F5B" w:rsidRPr="00B45853">
        <w:rPr>
          <w:rFonts w:ascii="Times New Roman" w:hAnsi="Times New Roman" w:cs="Times New Roman"/>
          <w:lang w:val="pl-PL"/>
        </w:rPr>
        <w:t xml:space="preserve"> do odpowiedzialności, gdy miały one wszelkie stosowne kroki, aby usunąć zawartość po otrzy</w:t>
      </w:r>
      <w:r w:rsidR="008E4F35" w:rsidRPr="00B45853">
        <w:rPr>
          <w:rFonts w:ascii="Times New Roman" w:hAnsi="Times New Roman" w:cs="Times New Roman"/>
          <w:lang w:val="pl-PL"/>
        </w:rPr>
        <w:t>maniu powiadomienia</w:t>
      </w:r>
      <w:r w:rsidR="00A5162C" w:rsidRPr="00B45853">
        <w:rPr>
          <w:rFonts w:ascii="Times New Roman" w:hAnsi="Times New Roman" w:cs="Times New Roman"/>
          <w:lang w:val="pl-PL"/>
        </w:rPr>
        <w:t>,</w:t>
      </w:r>
      <w:r w:rsidR="008E4F35" w:rsidRPr="00B45853">
        <w:rPr>
          <w:rFonts w:ascii="Times New Roman" w:hAnsi="Times New Roman" w:cs="Times New Roman"/>
          <w:lang w:val="pl-PL"/>
        </w:rPr>
        <w:t xml:space="preserve"> i nie powinny</w:t>
      </w:r>
      <w:r w:rsidR="00326F5B" w:rsidRPr="00B45853">
        <w:rPr>
          <w:rFonts w:ascii="Times New Roman" w:hAnsi="Times New Roman" w:cs="Times New Roman"/>
          <w:lang w:val="pl-PL"/>
        </w:rPr>
        <w:t xml:space="preserve"> </w:t>
      </w:r>
      <w:r w:rsidR="008E4F35" w:rsidRPr="00B45853">
        <w:rPr>
          <w:rFonts w:ascii="Times New Roman" w:hAnsi="Times New Roman" w:cs="Times New Roman"/>
          <w:lang w:val="pl-PL"/>
        </w:rPr>
        <w:t>automatycznie zostać pociągnięte</w:t>
      </w:r>
      <w:r w:rsidR="00326F5B" w:rsidRPr="00B45853">
        <w:rPr>
          <w:rFonts w:ascii="Times New Roman" w:hAnsi="Times New Roman" w:cs="Times New Roman"/>
          <w:lang w:val="pl-PL"/>
        </w:rPr>
        <w:t xml:space="preserve"> do odpowiedzialności</w:t>
      </w:r>
      <w:r w:rsidR="00A5162C" w:rsidRPr="00B45853">
        <w:rPr>
          <w:rFonts w:ascii="Times New Roman" w:hAnsi="Times New Roman" w:cs="Times New Roman"/>
          <w:lang w:val="pl-PL"/>
        </w:rPr>
        <w:t>,</w:t>
      </w:r>
      <w:r w:rsidR="00326F5B" w:rsidRPr="00B45853">
        <w:rPr>
          <w:rFonts w:ascii="Times New Roman" w:hAnsi="Times New Roman" w:cs="Times New Roman"/>
          <w:lang w:val="pl-PL"/>
        </w:rPr>
        <w:t xml:space="preserve"> tylko dlatego, że postanowił</w:t>
      </w:r>
      <w:r w:rsidR="008E4F35" w:rsidRPr="00B45853">
        <w:rPr>
          <w:rFonts w:ascii="Times New Roman" w:hAnsi="Times New Roman" w:cs="Times New Roman"/>
          <w:lang w:val="pl-PL"/>
        </w:rPr>
        <w:t>y</w:t>
      </w:r>
      <w:r w:rsidR="00326F5B" w:rsidRPr="00B45853">
        <w:rPr>
          <w:rFonts w:ascii="Times New Roman" w:hAnsi="Times New Roman" w:cs="Times New Roman"/>
          <w:lang w:val="pl-PL"/>
        </w:rPr>
        <w:t xml:space="preserve"> nie usu</w:t>
      </w:r>
      <w:r w:rsidR="008E4F35" w:rsidRPr="00B45853">
        <w:rPr>
          <w:rFonts w:ascii="Times New Roman" w:hAnsi="Times New Roman" w:cs="Times New Roman"/>
          <w:lang w:val="pl-PL"/>
        </w:rPr>
        <w:t>wać zgłoszonego do nich komentarza</w:t>
      </w:r>
      <w:r w:rsidR="00A220C6" w:rsidRPr="00B45853">
        <w:rPr>
          <w:rFonts w:ascii="Times New Roman" w:hAnsi="Times New Roman" w:cs="Times New Roman"/>
          <w:lang w:val="pl-PL"/>
        </w:rPr>
        <w:t>.</w:t>
      </w:r>
    </w:p>
    <w:p w:rsidR="00B413BF" w:rsidRPr="00B45853" w:rsidRDefault="00A220C6" w:rsidP="00171A6F">
      <w:pPr>
        <w:pStyle w:val="ECHRHeading3"/>
        <w:rPr>
          <w:rFonts w:ascii="Times New Roman" w:hAnsi="Times New Roman" w:cs="Times New Roman"/>
          <w:lang w:val="pl-PL"/>
        </w:rPr>
      </w:pPr>
      <w:bookmarkStart w:id="26" w:name="_Toc390438830"/>
      <w:bookmarkStart w:id="27" w:name="_Toc420072876"/>
      <w:r w:rsidRPr="00B45853">
        <w:rPr>
          <w:rFonts w:ascii="Times New Roman" w:hAnsi="Times New Roman" w:cs="Times New Roman"/>
          <w:lang w:val="pl-PL"/>
        </w:rPr>
        <w:t>3.  </w:t>
      </w:r>
      <w:bookmarkEnd w:id="26"/>
      <w:bookmarkEnd w:id="27"/>
      <w:r w:rsidR="008E4F35" w:rsidRPr="00B45853">
        <w:rPr>
          <w:rFonts w:ascii="Times New Roman" w:hAnsi="Times New Roman" w:cs="Times New Roman"/>
          <w:lang w:val="pl-PL"/>
        </w:rPr>
        <w:t>Access</w:t>
      </w:r>
    </w:p>
    <w:p w:rsidR="00B413BF" w:rsidRPr="00AD5925"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98</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8E4F35" w:rsidRPr="00B45853">
        <w:rPr>
          <w:rFonts w:ascii="Times New Roman" w:hAnsi="Times New Roman" w:cs="Times New Roman"/>
          <w:lang w:val="pl-PL"/>
        </w:rPr>
        <w:t>Wed</w:t>
      </w:r>
      <w:r w:rsidR="00F37B88">
        <w:rPr>
          <w:rFonts w:ascii="Times New Roman" w:hAnsi="Times New Roman" w:cs="Times New Roman"/>
          <w:lang w:val="pl-PL"/>
        </w:rPr>
        <w:t xml:space="preserve">ług Access, anonimowość i </w:t>
      </w:r>
      <w:proofErr w:type="spellStart"/>
      <w:r w:rsidR="00F37B88">
        <w:rPr>
          <w:rFonts w:ascii="Times New Roman" w:hAnsi="Times New Roman" w:cs="Times New Roman"/>
          <w:lang w:val="pl-PL"/>
        </w:rPr>
        <w:t>pseud</w:t>
      </w:r>
      <w:r w:rsidR="00DD5338">
        <w:rPr>
          <w:rFonts w:ascii="Times New Roman" w:hAnsi="Times New Roman" w:cs="Times New Roman"/>
          <w:lang w:val="pl-PL"/>
        </w:rPr>
        <w:t>o</w:t>
      </w:r>
      <w:r w:rsidR="008E4F35" w:rsidRPr="00B45853">
        <w:rPr>
          <w:rFonts w:ascii="Times New Roman" w:hAnsi="Times New Roman" w:cs="Times New Roman"/>
          <w:lang w:val="pl-PL"/>
        </w:rPr>
        <w:t>nimowość</w:t>
      </w:r>
      <w:proofErr w:type="spellEnd"/>
      <w:r w:rsidR="008E4F35" w:rsidRPr="00B45853">
        <w:rPr>
          <w:rFonts w:ascii="Times New Roman" w:hAnsi="Times New Roman" w:cs="Times New Roman"/>
          <w:lang w:val="pl-PL"/>
        </w:rPr>
        <w:t xml:space="preserve"> wspierały podstawowe prawa do prywatności i wolności wypowiedzi. Regulacyjny zakaz na anonimowe korzystanie z Internetu stanowiłby ingerencję w prawo do prywatności i wolność wypowiedzi chronioną na mocy Artykułu 8 i 10 Konwencji i ograniczenia zbiorcze na anonimową i </w:t>
      </w:r>
      <w:proofErr w:type="spellStart"/>
      <w:r w:rsidR="008E4F35" w:rsidRPr="00B45853">
        <w:rPr>
          <w:rFonts w:ascii="Times New Roman" w:hAnsi="Times New Roman" w:cs="Times New Roman"/>
          <w:lang w:val="pl-PL"/>
        </w:rPr>
        <w:t>pseudonimową</w:t>
      </w:r>
      <w:proofErr w:type="spellEnd"/>
      <w:r w:rsidR="008E4F35" w:rsidRPr="00B45853">
        <w:rPr>
          <w:rFonts w:ascii="Times New Roman" w:hAnsi="Times New Roman" w:cs="Times New Roman"/>
          <w:lang w:val="pl-PL"/>
        </w:rPr>
        <w:t xml:space="preserve"> ekspresję zmniejszaj</w:t>
      </w:r>
      <w:r w:rsidR="008E4F35" w:rsidRPr="00AD5925">
        <w:rPr>
          <w:rFonts w:ascii="Times New Roman" w:hAnsi="Times New Roman" w:cs="Times New Roman"/>
          <w:lang w:val="pl-PL"/>
        </w:rPr>
        <w:t xml:space="preserve">ącą istotę tych praw. </w:t>
      </w:r>
      <w:r w:rsidR="00DD5338" w:rsidRPr="00AD5925">
        <w:rPr>
          <w:rFonts w:ascii="Times New Roman" w:hAnsi="Times New Roman" w:cs="Times New Roman"/>
          <w:lang w:val="pl-PL"/>
        </w:rPr>
        <w:t xml:space="preserve">Access odniósł się do </w:t>
      </w:r>
      <w:r w:rsidR="008E4F35" w:rsidRPr="00AD5925">
        <w:rPr>
          <w:rFonts w:ascii="Times New Roman" w:hAnsi="Times New Roman" w:cs="Times New Roman"/>
          <w:lang w:val="pl-PL"/>
        </w:rPr>
        <w:t xml:space="preserve"> </w:t>
      </w:r>
      <w:r w:rsidR="00DD5338" w:rsidRPr="00AD5925">
        <w:rPr>
          <w:rFonts w:ascii="Times New Roman" w:hAnsi="Times New Roman" w:cs="Times New Roman"/>
          <w:lang w:val="pl-PL"/>
        </w:rPr>
        <w:t>utrwalonego orzecznictwa w</w:t>
      </w:r>
      <w:r w:rsidR="008E4F35" w:rsidRPr="00AD5925">
        <w:rPr>
          <w:rFonts w:ascii="Times New Roman" w:hAnsi="Times New Roman" w:cs="Times New Roman"/>
          <w:lang w:val="pl-PL"/>
        </w:rPr>
        <w:t xml:space="preserve"> kilku krajach</w:t>
      </w:r>
      <w:r w:rsidR="00A835B3" w:rsidRPr="00AD5925">
        <w:rPr>
          <w:rFonts w:ascii="Times New Roman" w:hAnsi="Times New Roman" w:cs="Times New Roman"/>
          <w:lang w:val="pl-PL"/>
        </w:rPr>
        <w:t>,</w:t>
      </w:r>
      <w:r w:rsidR="008E4F35" w:rsidRPr="00AD5925">
        <w:rPr>
          <w:rFonts w:ascii="Times New Roman" w:hAnsi="Times New Roman" w:cs="Times New Roman"/>
          <w:lang w:val="pl-PL"/>
        </w:rPr>
        <w:t xml:space="preserve"> </w:t>
      </w:r>
      <w:r w:rsidR="00A835B3" w:rsidRPr="00AD5925">
        <w:rPr>
          <w:rFonts w:ascii="Times New Roman" w:hAnsi="Times New Roman" w:cs="Times New Roman"/>
          <w:lang w:val="pl-PL"/>
        </w:rPr>
        <w:t>chroniących</w:t>
      </w:r>
      <w:r w:rsidR="008E4F35" w:rsidRPr="00AD5925">
        <w:rPr>
          <w:rFonts w:ascii="Times New Roman" w:hAnsi="Times New Roman" w:cs="Times New Roman"/>
          <w:lang w:val="pl-PL"/>
        </w:rPr>
        <w:t xml:space="preserve"> prawa do anonimowej komunikacji, online i offline</w:t>
      </w:r>
      <w:r w:rsidR="00A220C6" w:rsidRPr="00AD5925">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99</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8E4F35" w:rsidRPr="00AD5925">
        <w:rPr>
          <w:rFonts w:ascii="Times New Roman" w:hAnsi="Times New Roman" w:cs="Times New Roman"/>
          <w:lang w:val="pl-PL"/>
        </w:rPr>
        <w:t>Ponadto Access zwrócił uwagę, że usługi mające na celu zapewnienie większej poufności i anonimowości podczas korzystania z Internetu stały się bardziej popularne w następstwie objawień masowej kontroli w Internecie. Ponadto twierdził, że ograniczenie internautów do określonej ekspresji zaszkodziłoby gospodarce internetowej, i odniósł się do badań, które uznały, że najważniejszymi współtwórcami online byli ci wykorzystujący pseudonimy</w:t>
      </w:r>
      <w:r w:rsidR="00A220C6" w:rsidRPr="00AD5925">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100</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A64C6B" w:rsidRPr="00AD5925">
        <w:rPr>
          <w:rFonts w:ascii="Times New Roman" w:hAnsi="Times New Roman" w:cs="Times New Roman"/>
          <w:lang w:val="pl-PL"/>
        </w:rPr>
        <w:t>Jeśli chodzi o politykę, dowody z Chin pokazały, że takie rozwiązanie spowodowało dramatyczny spadek liczby zamieszczonych komentarzy. Doświadczenie z Korei wykazało, że polityce prawdziwych imion nie udało się znacząco poprawić komentarzy, natomiast były</w:t>
      </w:r>
      <w:r w:rsidR="006709EB" w:rsidRPr="00AD5925">
        <w:rPr>
          <w:rFonts w:ascii="Times New Roman" w:hAnsi="Times New Roman" w:cs="Times New Roman"/>
          <w:lang w:val="pl-PL"/>
        </w:rPr>
        <w:t xml:space="preserve"> one</w:t>
      </w:r>
      <w:r w:rsidR="00A64C6B" w:rsidRPr="00AD5925">
        <w:rPr>
          <w:rFonts w:ascii="Times New Roman" w:hAnsi="Times New Roman" w:cs="Times New Roman"/>
          <w:lang w:val="pl-PL"/>
        </w:rPr>
        <w:t xml:space="preserve"> dyskryminujące wobec krajowych firm internetowych, a użytkownicy szukali alternatywnych, międzynarodowych platform, które nadal pozwalały na anonimowe i </w:t>
      </w:r>
      <w:proofErr w:type="spellStart"/>
      <w:r w:rsidR="00A64C6B" w:rsidRPr="00AD5925">
        <w:rPr>
          <w:rFonts w:ascii="Times New Roman" w:hAnsi="Times New Roman" w:cs="Times New Roman"/>
          <w:lang w:val="pl-PL"/>
        </w:rPr>
        <w:t>pseudonimowe</w:t>
      </w:r>
      <w:proofErr w:type="spellEnd"/>
      <w:r w:rsidR="00A64C6B" w:rsidRPr="00AD5925">
        <w:rPr>
          <w:rFonts w:ascii="Times New Roman" w:hAnsi="Times New Roman" w:cs="Times New Roman"/>
          <w:lang w:val="pl-PL"/>
        </w:rPr>
        <w:t xml:space="preserve"> komentarze</w:t>
      </w:r>
      <w:r w:rsidR="00A220C6" w:rsidRPr="00AD5925">
        <w:rPr>
          <w:rFonts w:ascii="Times New Roman" w:hAnsi="Times New Roman" w:cs="Times New Roman"/>
          <w:lang w:val="pl-PL"/>
        </w:rPr>
        <w:t>.</w:t>
      </w:r>
    </w:p>
    <w:p w:rsidR="00B413BF" w:rsidRPr="00AD5925" w:rsidRDefault="00A220C6" w:rsidP="00171A6F">
      <w:pPr>
        <w:pStyle w:val="ECHRHeading3"/>
        <w:rPr>
          <w:rFonts w:ascii="Times New Roman" w:hAnsi="Times New Roman" w:cs="Times New Roman"/>
          <w:lang w:val="pl-PL"/>
        </w:rPr>
      </w:pPr>
      <w:bookmarkStart w:id="28" w:name="_Toc390438831"/>
      <w:bookmarkStart w:id="29" w:name="_Toc420072877"/>
      <w:r w:rsidRPr="00AD5925">
        <w:rPr>
          <w:rFonts w:ascii="Times New Roman" w:hAnsi="Times New Roman" w:cs="Times New Roman"/>
          <w:lang w:val="pl-PL"/>
        </w:rPr>
        <w:t xml:space="preserve">4.  Media </w:t>
      </w:r>
      <w:proofErr w:type="spellStart"/>
      <w:r w:rsidRPr="00AD5925">
        <w:rPr>
          <w:rFonts w:ascii="Times New Roman" w:hAnsi="Times New Roman" w:cs="Times New Roman"/>
          <w:lang w:val="pl-PL"/>
        </w:rPr>
        <w:t>Legal</w:t>
      </w:r>
      <w:proofErr w:type="spellEnd"/>
      <w:r w:rsidRPr="00AD5925">
        <w:rPr>
          <w:rFonts w:ascii="Times New Roman" w:hAnsi="Times New Roman" w:cs="Times New Roman"/>
          <w:lang w:val="pl-PL"/>
        </w:rPr>
        <w:t xml:space="preserve"> </w:t>
      </w:r>
      <w:proofErr w:type="spellStart"/>
      <w:r w:rsidRPr="00AD5925">
        <w:rPr>
          <w:rFonts w:ascii="Times New Roman" w:hAnsi="Times New Roman" w:cs="Times New Roman"/>
          <w:lang w:val="pl-PL"/>
        </w:rPr>
        <w:t>Defence</w:t>
      </w:r>
      <w:proofErr w:type="spellEnd"/>
      <w:r w:rsidRPr="00AD5925">
        <w:rPr>
          <w:rFonts w:ascii="Times New Roman" w:hAnsi="Times New Roman" w:cs="Times New Roman"/>
          <w:lang w:val="pl-PL"/>
        </w:rPr>
        <w:t xml:space="preserve"> </w:t>
      </w:r>
      <w:proofErr w:type="spellStart"/>
      <w:r w:rsidRPr="00AD5925">
        <w:rPr>
          <w:rFonts w:ascii="Times New Roman" w:hAnsi="Times New Roman" w:cs="Times New Roman"/>
          <w:lang w:val="pl-PL"/>
        </w:rPr>
        <w:t>Initiative</w:t>
      </w:r>
      <w:bookmarkEnd w:id="28"/>
      <w:bookmarkEnd w:id="29"/>
      <w:proofErr w:type="spellEnd"/>
    </w:p>
    <w:p w:rsidR="00B413BF" w:rsidRPr="00B45853"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101</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xml:space="preserve">.  Media </w:t>
      </w:r>
      <w:proofErr w:type="spellStart"/>
      <w:r w:rsidR="00A220C6" w:rsidRPr="00AD5925">
        <w:rPr>
          <w:rFonts w:ascii="Times New Roman" w:hAnsi="Times New Roman" w:cs="Times New Roman"/>
          <w:lang w:val="pl-PL"/>
        </w:rPr>
        <w:t>Legal</w:t>
      </w:r>
      <w:proofErr w:type="spellEnd"/>
      <w:r w:rsidR="00A220C6" w:rsidRPr="00AD5925">
        <w:rPr>
          <w:rFonts w:ascii="Times New Roman" w:hAnsi="Times New Roman" w:cs="Times New Roman"/>
          <w:lang w:val="pl-PL"/>
        </w:rPr>
        <w:t xml:space="preserve"> </w:t>
      </w:r>
      <w:proofErr w:type="spellStart"/>
      <w:r w:rsidR="00A220C6" w:rsidRPr="00AD5925">
        <w:rPr>
          <w:rFonts w:ascii="Times New Roman" w:hAnsi="Times New Roman" w:cs="Times New Roman"/>
          <w:lang w:val="pl-PL"/>
        </w:rPr>
        <w:t>Defence</w:t>
      </w:r>
      <w:proofErr w:type="spellEnd"/>
      <w:r w:rsidR="00A220C6" w:rsidRPr="00AD5925">
        <w:rPr>
          <w:rFonts w:ascii="Times New Roman" w:hAnsi="Times New Roman" w:cs="Times New Roman"/>
          <w:lang w:val="pl-PL"/>
        </w:rPr>
        <w:t xml:space="preserve"> </w:t>
      </w:r>
      <w:proofErr w:type="spellStart"/>
      <w:r w:rsidR="00A220C6" w:rsidRPr="00AD5925">
        <w:rPr>
          <w:rFonts w:ascii="Times New Roman" w:hAnsi="Times New Roman" w:cs="Times New Roman"/>
          <w:lang w:val="pl-PL"/>
        </w:rPr>
        <w:t>Initiative</w:t>
      </w:r>
      <w:proofErr w:type="spellEnd"/>
      <w:r w:rsidR="00A220C6" w:rsidRPr="00AD5925">
        <w:rPr>
          <w:rFonts w:ascii="Times New Roman" w:hAnsi="Times New Roman" w:cs="Times New Roman"/>
          <w:lang w:val="pl-PL"/>
        </w:rPr>
        <w:t xml:space="preserve"> (MLDI) </w:t>
      </w:r>
      <w:r w:rsidR="00A64C6B" w:rsidRPr="00AD5925">
        <w:rPr>
          <w:rFonts w:ascii="Times New Roman" w:hAnsi="Times New Roman" w:cs="Times New Roman"/>
          <w:lang w:val="pl-PL"/>
        </w:rPr>
        <w:t xml:space="preserve">przedłożyła swoje </w:t>
      </w:r>
      <w:r w:rsidR="00A835B3" w:rsidRPr="00AD5925">
        <w:rPr>
          <w:rFonts w:ascii="Times New Roman" w:hAnsi="Times New Roman" w:cs="Times New Roman"/>
          <w:lang w:val="pl-PL"/>
        </w:rPr>
        <w:t>oświadczenie</w:t>
      </w:r>
      <w:r w:rsidR="00A64C6B" w:rsidRPr="00AD5925">
        <w:rPr>
          <w:rFonts w:ascii="Times New Roman" w:hAnsi="Times New Roman" w:cs="Times New Roman"/>
          <w:lang w:val="pl-PL"/>
        </w:rPr>
        <w:t xml:space="preserve"> w imieniu </w:t>
      </w:r>
      <w:r w:rsidR="00A5162C" w:rsidRPr="00AD5925">
        <w:rPr>
          <w:rFonts w:ascii="Times New Roman" w:hAnsi="Times New Roman" w:cs="Times New Roman"/>
          <w:lang w:val="pl-PL"/>
        </w:rPr>
        <w:t>dwudziestu</w:t>
      </w:r>
      <w:r w:rsidR="00A5162C" w:rsidRPr="00B45853">
        <w:rPr>
          <w:rFonts w:ascii="Times New Roman" w:hAnsi="Times New Roman" w:cs="Times New Roman"/>
          <w:lang w:val="pl-PL"/>
        </w:rPr>
        <w:t xml:space="preserve"> ośmiu pozarządowych</w:t>
      </w:r>
      <w:r w:rsidR="00A64C6B" w:rsidRPr="00B45853">
        <w:rPr>
          <w:rFonts w:ascii="Times New Roman" w:hAnsi="Times New Roman" w:cs="Times New Roman"/>
          <w:lang w:val="pl-PL"/>
        </w:rPr>
        <w:t xml:space="preserve">, </w:t>
      </w:r>
      <w:r w:rsidR="00A64C6B" w:rsidRPr="00AD5925">
        <w:rPr>
          <w:rFonts w:ascii="Times New Roman" w:hAnsi="Times New Roman" w:cs="Times New Roman"/>
          <w:lang w:val="pl-PL"/>
        </w:rPr>
        <w:t>organizacji</w:t>
      </w:r>
      <w:r w:rsidR="00A64C6B" w:rsidRPr="00B45853">
        <w:rPr>
          <w:rFonts w:ascii="Times New Roman" w:hAnsi="Times New Roman" w:cs="Times New Roman"/>
          <w:lang w:val="pl-PL"/>
        </w:rPr>
        <w:t xml:space="preserve"> medialnych i firm. Należy zauważyć, że zdecydowana większość mediów internetowych pozwoliła na komentarze czytelników. Poprzez komentarze, czytelnicy mogli dyskutować </w:t>
      </w:r>
      <w:r w:rsidR="00A835B3">
        <w:rPr>
          <w:rFonts w:ascii="Times New Roman" w:hAnsi="Times New Roman" w:cs="Times New Roman"/>
          <w:lang w:val="pl-PL"/>
        </w:rPr>
        <w:t xml:space="preserve">o informacjach </w:t>
      </w:r>
      <w:r w:rsidR="00A64C6B" w:rsidRPr="00B45853">
        <w:rPr>
          <w:rFonts w:ascii="Times New Roman" w:hAnsi="Times New Roman" w:cs="Times New Roman"/>
          <w:lang w:val="pl-PL"/>
        </w:rPr>
        <w:t xml:space="preserve">między sobą, a także z dziennikarzami. To przekształciło media z przepływu jednokierunkowej </w:t>
      </w:r>
      <w:r w:rsidR="00A64C6B" w:rsidRPr="00B45853">
        <w:rPr>
          <w:rFonts w:ascii="Times New Roman" w:hAnsi="Times New Roman" w:cs="Times New Roman"/>
          <w:lang w:val="pl-PL"/>
        </w:rPr>
        <w:lastRenderedPageBreak/>
        <w:t>komunikacji w partycypacyjną formę mowy, która rozpoznawała głos czytelnika i pozwalała różnym punktom widzenia, być na antenie</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102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xml:space="preserve">.  MLDI </w:t>
      </w:r>
      <w:r w:rsidR="00A64C6B" w:rsidRPr="00B45853">
        <w:rPr>
          <w:rFonts w:ascii="Times New Roman" w:hAnsi="Times New Roman" w:cs="Times New Roman"/>
          <w:lang w:val="pl-PL"/>
        </w:rPr>
        <w:t>zauważyła, że granice między dostępem i treścią były coraz bardziej roz</w:t>
      </w:r>
      <w:r w:rsidR="00A835B3">
        <w:rPr>
          <w:rFonts w:ascii="Times New Roman" w:hAnsi="Times New Roman" w:cs="Times New Roman"/>
          <w:lang w:val="pl-PL"/>
        </w:rPr>
        <w:t xml:space="preserve">myte i "pośrednicy" </w:t>
      </w:r>
      <w:r w:rsidR="00A835B3" w:rsidRPr="00AD5925">
        <w:rPr>
          <w:rFonts w:ascii="Times New Roman" w:hAnsi="Times New Roman" w:cs="Times New Roman"/>
          <w:lang w:val="pl-PL"/>
        </w:rPr>
        <w:t>uwzględniali</w:t>
      </w:r>
      <w:r w:rsidR="00A64C6B" w:rsidRPr="00B45853">
        <w:rPr>
          <w:rFonts w:ascii="Times New Roman" w:hAnsi="Times New Roman" w:cs="Times New Roman"/>
          <w:lang w:val="pl-PL"/>
        </w:rPr>
        <w:t xml:space="preserve"> zaawansowane usługi wyszukiwania, targowiska online, aplikacje Web 2.0 i serwisy społecznościowe. Z punktu widzenia użytkowników, wszystkie one ułatwiały dostęp do i korzystania z treści i były kluczowe dla realizacji prawa do wolności wypowiedzi</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103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xml:space="preserve">.  MLDI </w:t>
      </w:r>
      <w:r w:rsidR="00A64C6B" w:rsidRPr="00B45853">
        <w:rPr>
          <w:rFonts w:ascii="Times New Roman" w:hAnsi="Times New Roman" w:cs="Times New Roman"/>
          <w:lang w:val="pl-PL"/>
        </w:rPr>
        <w:t>twierdził, że było to zadanie</w:t>
      </w:r>
      <w:r w:rsidR="006709EB" w:rsidRPr="00B45853">
        <w:rPr>
          <w:rFonts w:ascii="Times New Roman" w:hAnsi="Times New Roman" w:cs="Times New Roman"/>
          <w:lang w:val="pl-PL"/>
        </w:rPr>
        <w:t>m</w:t>
      </w:r>
      <w:r w:rsidR="00A64C6B" w:rsidRPr="00B45853">
        <w:rPr>
          <w:rFonts w:ascii="Times New Roman" w:hAnsi="Times New Roman" w:cs="Times New Roman"/>
          <w:lang w:val="pl-PL"/>
        </w:rPr>
        <w:t xml:space="preserve"> Państw</w:t>
      </w:r>
      <w:r w:rsidR="006709EB" w:rsidRPr="00B45853">
        <w:rPr>
          <w:rFonts w:ascii="Times New Roman" w:hAnsi="Times New Roman" w:cs="Times New Roman"/>
          <w:lang w:val="pl-PL"/>
        </w:rPr>
        <w:t>,</w:t>
      </w:r>
      <w:r w:rsidR="00810845" w:rsidRPr="00B45853">
        <w:rPr>
          <w:rFonts w:ascii="Times New Roman" w:hAnsi="Times New Roman" w:cs="Times New Roman"/>
          <w:lang w:val="pl-PL"/>
        </w:rPr>
        <w:t xml:space="preserve"> by</w:t>
      </w:r>
      <w:r w:rsidR="00A64C6B" w:rsidRPr="00B45853">
        <w:rPr>
          <w:rFonts w:ascii="Times New Roman" w:hAnsi="Times New Roman" w:cs="Times New Roman"/>
          <w:lang w:val="pl-PL"/>
        </w:rPr>
        <w:t xml:space="preserve"> zapewni</w:t>
      </w:r>
      <w:r w:rsidR="00810845" w:rsidRPr="00B45853">
        <w:rPr>
          <w:rFonts w:ascii="Times New Roman" w:hAnsi="Times New Roman" w:cs="Times New Roman"/>
          <w:lang w:val="pl-PL"/>
        </w:rPr>
        <w:t>ć</w:t>
      </w:r>
      <w:r w:rsidR="00A64C6B" w:rsidRPr="00B45853">
        <w:rPr>
          <w:rFonts w:ascii="Times New Roman" w:hAnsi="Times New Roman" w:cs="Times New Roman"/>
          <w:lang w:val="pl-PL"/>
        </w:rPr>
        <w:t xml:space="preserve"> ram</w:t>
      </w:r>
      <w:r w:rsidR="00810845" w:rsidRPr="00B45853">
        <w:rPr>
          <w:rFonts w:ascii="Times New Roman" w:hAnsi="Times New Roman" w:cs="Times New Roman"/>
          <w:lang w:val="pl-PL"/>
        </w:rPr>
        <w:t>y</w:t>
      </w:r>
      <w:r w:rsidR="00A64C6B" w:rsidRPr="00B45853">
        <w:rPr>
          <w:rFonts w:ascii="Times New Roman" w:hAnsi="Times New Roman" w:cs="Times New Roman"/>
          <w:lang w:val="pl-PL"/>
        </w:rPr>
        <w:t xml:space="preserve"> regulacyjn</w:t>
      </w:r>
      <w:r w:rsidR="00810845" w:rsidRPr="00B45853">
        <w:rPr>
          <w:rFonts w:ascii="Times New Roman" w:hAnsi="Times New Roman" w:cs="Times New Roman"/>
          <w:lang w:val="pl-PL"/>
        </w:rPr>
        <w:t>e, które chronią</w:t>
      </w:r>
      <w:r w:rsidR="00A64C6B" w:rsidRPr="00B45853">
        <w:rPr>
          <w:rFonts w:ascii="Times New Roman" w:hAnsi="Times New Roman" w:cs="Times New Roman"/>
          <w:lang w:val="pl-PL"/>
        </w:rPr>
        <w:t xml:space="preserve"> i prom</w:t>
      </w:r>
      <w:r w:rsidR="00810845" w:rsidRPr="00B45853">
        <w:rPr>
          <w:rFonts w:ascii="Times New Roman" w:hAnsi="Times New Roman" w:cs="Times New Roman"/>
          <w:lang w:val="pl-PL"/>
        </w:rPr>
        <w:t>ują</w:t>
      </w:r>
      <w:r w:rsidR="00A64C6B" w:rsidRPr="00B45853">
        <w:rPr>
          <w:rFonts w:ascii="Times New Roman" w:hAnsi="Times New Roman" w:cs="Times New Roman"/>
          <w:lang w:val="pl-PL"/>
        </w:rPr>
        <w:t xml:space="preserve"> wol</w:t>
      </w:r>
      <w:r w:rsidR="00810845" w:rsidRPr="00B45853">
        <w:rPr>
          <w:rFonts w:ascii="Times New Roman" w:hAnsi="Times New Roman" w:cs="Times New Roman"/>
          <w:lang w:val="pl-PL"/>
        </w:rPr>
        <w:t>ność słowa, jednocześnie piln</w:t>
      </w:r>
      <w:r w:rsidR="006709EB" w:rsidRPr="00B45853">
        <w:rPr>
          <w:rFonts w:ascii="Times New Roman" w:hAnsi="Times New Roman" w:cs="Times New Roman"/>
          <w:lang w:val="pl-PL"/>
        </w:rPr>
        <w:t>ując</w:t>
      </w:r>
      <w:r w:rsidR="00A64C6B" w:rsidRPr="00B45853">
        <w:rPr>
          <w:rFonts w:ascii="Times New Roman" w:hAnsi="Times New Roman" w:cs="Times New Roman"/>
          <w:lang w:val="pl-PL"/>
        </w:rPr>
        <w:t xml:space="preserve"> innych praw i interesów. To pod warunkiem szczegółowego przeglądu ram regulacyjnych w odniesieniu do odpowiedzialności pośredniczącej w Stanach Zjednoczonych Ameryki i</w:t>
      </w:r>
      <w:r w:rsidR="00810845" w:rsidRPr="00B45853">
        <w:rPr>
          <w:rFonts w:ascii="Times New Roman" w:hAnsi="Times New Roman" w:cs="Times New Roman"/>
          <w:lang w:val="pl-PL"/>
        </w:rPr>
        <w:t xml:space="preserve"> </w:t>
      </w:r>
      <w:r w:rsidR="00A64C6B" w:rsidRPr="00B45853">
        <w:rPr>
          <w:rFonts w:ascii="Times New Roman" w:hAnsi="Times New Roman" w:cs="Times New Roman"/>
          <w:lang w:val="pl-PL"/>
        </w:rPr>
        <w:t>w UE. Należy zauważyć, że podejście w tych kra</w:t>
      </w:r>
      <w:r w:rsidR="00810845" w:rsidRPr="00B45853">
        <w:rPr>
          <w:rFonts w:ascii="Times New Roman" w:hAnsi="Times New Roman" w:cs="Times New Roman"/>
          <w:lang w:val="pl-PL"/>
        </w:rPr>
        <w:t>jach było różne, ale mimo to podobne</w:t>
      </w:r>
      <w:r w:rsidR="006709EB" w:rsidRPr="00B45853">
        <w:rPr>
          <w:rFonts w:ascii="Times New Roman" w:hAnsi="Times New Roman" w:cs="Times New Roman"/>
          <w:lang w:val="pl-PL"/>
        </w:rPr>
        <w:t xml:space="preserve"> i</w:t>
      </w:r>
      <w:r w:rsidR="00A64C6B" w:rsidRPr="00B45853">
        <w:rPr>
          <w:rFonts w:ascii="Times New Roman" w:hAnsi="Times New Roman" w:cs="Times New Roman"/>
          <w:lang w:val="pl-PL"/>
        </w:rPr>
        <w:t xml:space="preserve"> został</w:t>
      </w:r>
      <w:r w:rsidR="00810845" w:rsidRPr="00B45853">
        <w:rPr>
          <w:rFonts w:ascii="Times New Roman" w:hAnsi="Times New Roman" w:cs="Times New Roman"/>
          <w:lang w:val="pl-PL"/>
        </w:rPr>
        <w:t>o przyznane,</w:t>
      </w:r>
      <w:r w:rsidR="00A64C6B" w:rsidRPr="00B45853">
        <w:rPr>
          <w:rFonts w:ascii="Times New Roman" w:hAnsi="Times New Roman" w:cs="Times New Roman"/>
          <w:lang w:val="pl-PL"/>
        </w:rPr>
        <w:t xml:space="preserve"> że pewien poz</w:t>
      </w:r>
      <w:r w:rsidR="00810845" w:rsidRPr="00B45853">
        <w:rPr>
          <w:rFonts w:ascii="Times New Roman" w:hAnsi="Times New Roman" w:cs="Times New Roman"/>
          <w:lang w:val="pl-PL"/>
        </w:rPr>
        <w:t>iom ochrony dla pośredników był niezbędny</w:t>
      </w:r>
      <w:r w:rsidR="00A64C6B" w:rsidRPr="00B45853">
        <w:rPr>
          <w:rFonts w:ascii="Times New Roman" w:hAnsi="Times New Roman" w:cs="Times New Roman"/>
          <w:lang w:val="pl-PL"/>
        </w:rPr>
        <w:t xml:space="preserve"> i że nie ma wymogu, aby pośrednicy powinni monitorować treści tworzone przez użytkowników. Zauważono również, że w niektórych państwach członkowskich </w:t>
      </w:r>
      <w:r w:rsidR="00810845" w:rsidRPr="00B45853">
        <w:rPr>
          <w:rFonts w:ascii="Times New Roman" w:hAnsi="Times New Roman" w:cs="Times New Roman"/>
          <w:lang w:val="pl-PL"/>
        </w:rPr>
        <w:t xml:space="preserve">procedury </w:t>
      </w:r>
      <w:r w:rsidR="00A64C6B" w:rsidRPr="00B45853">
        <w:rPr>
          <w:rFonts w:ascii="Times New Roman" w:hAnsi="Times New Roman" w:cs="Times New Roman"/>
          <w:lang w:val="pl-PL"/>
        </w:rPr>
        <w:t xml:space="preserve">powiadamiania i </w:t>
      </w:r>
      <w:r w:rsidR="00810845" w:rsidRPr="00B45853">
        <w:rPr>
          <w:rFonts w:ascii="Times New Roman" w:hAnsi="Times New Roman" w:cs="Times New Roman"/>
          <w:lang w:val="pl-PL"/>
        </w:rPr>
        <w:t>usuwania</w:t>
      </w:r>
      <w:r w:rsidR="00A64C6B" w:rsidRPr="00B45853">
        <w:rPr>
          <w:rFonts w:ascii="Times New Roman" w:hAnsi="Times New Roman" w:cs="Times New Roman"/>
          <w:lang w:val="pl-PL"/>
        </w:rPr>
        <w:t xml:space="preserve"> </w:t>
      </w:r>
      <w:r w:rsidR="00810845" w:rsidRPr="00B45853">
        <w:rPr>
          <w:rFonts w:ascii="Times New Roman" w:hAnsi="Times New Roman" w:cs="Times New Roman"/>
          <w:lang w:val="pl-PL"/>
        </w:rPr>
        <w:t>spowodowały</w:t>
      </w:r>
      <w:r w:rsidR="00A64C6B" w:rsidRPr="00B45853">
        <w:rPr>
          <w:rFonts w:ascii="Times New Roman" w:hAnsi="Times New Roman" w:cs="Times New Roman"/>
          <w:lang w:val="pl-PL"/>
        </w:rPr>
        <w:t xml:space="preserve"> nadmiern</w:t>
      </w:r>
      <w:r w:rsidR="00810845" w:rsidRPr="00B45853">
        <w:rPr>
          <w:rFonts w:ascii="Times New Roman" w:hAnsi="Times New Roman" w:cs="Times New Roman"/>
          <w:lang w:val="pl-PL"/>
        </w:rPr>
        <w:t>ą odpowiedzialność</w:t>
      </w:r>
      <w:r w:rsidR="00A64C6B" w:rsidRPr="00B45853">
        <w:rPr>
          <w:rFonts w:ascii="Times New Roman" w:hAnsi="Times New Roman" w:cs="Times New Roman"/>
          <w:lang w:val="pl-PL"/>
        </w:rPr>
        <w:t xml:space="preserve"> pośredników i </w:t>
      </w:r>
      <w:r w:rsidR="00810845" w:rsidRPr="00B45853">
        <w:rPr>
          <w:rFonts w:ascii="Times New Roman" w:hAnsi="Times New Roman" w:cs="Times New Roman"/>
          <w:lang w:val="pl-PL"/>
        </w:rPr>
        <w:t>usuwanie</w:t>
      </w:r>
      <w:r w:rsidR="00A64C6B" w:rsidRPr="00B45853">
        <w:rPr>
          <w:rFonts w:ascii="Times New Roman" w:hAnsi="Times New Roman" w:cs="Times New Roman"/>
          <w:lang w:val="pl-PL"/>
        </w:rPr>
        <w:t xml:space="preserve"> uzasadnion</w:t>
      </w:r>
      <w:r w:rsidR="00810845" w:rsidRPr="00B45853">
        <w:rPr>
          <w:rFonts w:ascii="Times New Roman" w:hAnsi="Times New Roman" w:cs="Times New Roman"/>
          <w:lang w:val="pl-PL"/>
        </w:rPr>
        <w:t>ych</w:t>
      </w:r>
      <w:r w:rsidR="00A64C6B" w:rsidRPr="00B45853">
        <w:rPr>
          <w:rFonts w:ascii="Times New Roman" w:hAnsi="Times New Roman" w:cs="Times New Roman"/>
          <w:lang w:val="pl-PL"/>
        </w:rPr>
        <w:t xml:space="preserve"> treści</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104</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xml:space="preserve">.  MLDI </w:t>
      </w:r>
      <w:r w:rsidR="00810845" w:rsidRPr="00B45853">
        <w:rPr>
          <w:rFonts w:ascii="Times New Roman" w:hAnsi="Times New Roman" w:cs="Times New Roman"/>
          <w:lang w:val="pl-PL"/>
        </w:rPr>
        <w:t>również wypowiedział się na temat pojawiających się dobrych praktyk w zakresie regulacji treści generowanych przez użytkowników za pomocą mediów online. Należy podkreślić, że większość publikacji w Ameryce Północnej i Europie nie wyświetla lub monitoruje komentarzy, zanim zostaną one opublikowa</w:t>
      </w:r>
      <w:r w:rsidR="004C5267">
        <w:rPr>
          <w:rFonts w:ascii="Times New Roman" w:hAnsi="Times New Roman" w:cs="Times New Roman"/>
          <w:lang w:val="pl-PL"/>
        </w:rPr>
        <w:t xml:space="preserve">ne. Zaangażowali się jednak </w:t>
      </w:r>
      <w:r w:rsidR="00631F4D">
        <w:rPr>
          <w:rFonts w:ascii="Times New Roman" w:hAnsi="Times New Roman" w:cs="Times New Roman"/>
          <w:lang w:val="pl-PL"/>
        </w:rPr>
        <w:t>w pewnego rodzaju moderację</w:t>
      </w:r>
      <w:r w:rsidR="00810845" w:rsidRPr="00B45853">
        <w:rPr>
          <w:rFonts w:ascii="Times New Roman" w:hAnsi="Times New Roman" w:cs="Times New Roman"/>
          <w:lang w:val="pl-PL"/>
        </w:rPr>
        <w:t xml:space="preserve"> </w:t>
      </w:r>
      <w:proofErr w:type="spellStart"/>
      <w:r w:rsidR="00810845" w:rsidRPr="00B45853">
        <w:rPr>
          <w:rFonts w:ascii="Times New Roman" w:hAnsi="Times New Roman" w:cs="Times New Roman"/>
          <w:lang w:val="pl-PL"/>
        </w:rPr>
        <w:t>popublikacyjną</w:t>
      </w:r>
      <w:proofErr w:type="spellEnd"/>
      <w:r w:rsidR="00810845" w:rsidRPr="00B45853">
        <w:rPr>
          <w:rFonts w:ascii="Times New Roman" w:hAnsi="Times New Roman" w:cs="Times New Roman"/>
          <w:lang w:val="pl-PL"/>
        </w:rPr>
        <w:t>. Wiele mediów on-line również prowadziło oprogramowania filtrujące i posiadało mechanizmy w celu blokowania użytkowników, którzy konsekwentnie łamali zasady. Większość mediów internetowych, w tym wiodące europejsk</w:t>
      </w:r>
      <w:r w:rsidR="006709EB" w:rsidRPr="00B45853">
        <w:rPr>
          <w:rFonts w:ascii="Times New Roman" w:hAnsi="Times New Roman" w:cs="Times New Roman"/>
          <w:lang w:val="pl-PL"/>
        </w:rPr>
        <w:t>ie</w:t>
      </w:r>
      <w:r w:rsidR="00810845" w:rsidRPr="00B45853">
        <w:rPr>
          <w:rFonts w:ascii="Times New Roman" w:hAnsi="Times New Roman" w:cs="Times New Roman"/>
          <w:lang w:val="pl-PL"/>
        </w:rPr>
        <w:t xml:space="preserve"> serwisy informacyjne, wymagały rejestracji użytkownika</w:t>
      </w:r>
      <w:r w:rsidR="006709EB" w:rsidRPr="00B45853">
        <w:rPr>
          <w:rFonts w:ascii="Times New Roman" w:hAnsi="Times New Roman" w:cs="Times New Roman"/>
          <w:lang w:val="pl-PL"/>
        </w:rPr>
        <w:t>,</w:t>
      </w:r>
      <w:r w:rsidR="00810845" w:rsidRPr="00B45853">
        <w:rPr>
          <w:rFonts w:ascii="Times New Roman" w:hAnsi="Times New Roman" w:cs="Times New Roman"/>
          <w:lang w:val="pl-PL"/>
        </w:rPr>
        <w:t xml:space="preserve"> ale użytkownicy nie byli zobowiązani do ujawnienia swoich prawdziwych nazwisk</w:t>
      </w:r>
      <w:r w:rsidR="00A220C6" w:rsidRPr="00B45853">
        <w:rPr>
          <w:rFonts w:ascii="Times New Roman" w:hAnsi="Times New Roman" w:cs="Times New Roman"/>
          <w:lang w:val="pl-PL"/>
        </w:rPr>
        <w:t>.</w:t>
      </w:r>
    </w:p>
    <w:p w:rsidR="00A220C6" w:rsidRPr="00C847A3" w:rsidRDefault="00810845" w:rsidP="00171A6F">
      <w:pPr>
        <w:pStyle w:val="ECHRHeading3"/>
        <w:rPr>
          <w:rFonts w:ascii="Times New Roman" w:hAnsi="Times New Roman" w:cs="Times New Roman"/>
          <w:lang w:val="pl-PL"/>
        </w:rPr>
      </w:pPr>
      <w:bookmarkStart w:id="30" w:name="_Toc390438832"/>
      <w:bookmarkStart w:id="31" w:name="_Toc420072878"/>
      <w:r w:rsidRPr="00C847A3">
        <w:rPr>
          <w:rFonts w:ascii="Times New Roman" w:hAnsi="Times New Roman" w:cs="Times New Roman"/>
          <w:lang w:val="pl-PL"/>
        </w:rPr>
        <w:t>5.  </w:t>
      </w:r>
      <w:proofErr w:type="spellStart"/>
      <w:r w:rsidRPr="00C847A3">
        <w:rPr>
          <w:rFonts w:ascii="Times New Roman" w:hAnsi="Times New Roman" w:cs="Times New Roman"/>
          <w:lang w:val="pl-PL"/>
        </w:rPr>
        <w:t>EDiMA</w:t>
      </w:r>
      <w:proofErr w:type="spellEnd"/>
      <w:r w:rsidRPr="00C847A3">
        <w:rPr>
          <w:rFonts w:ascii="Times New Roman" w:hAnsi="Times New Roman" w:cs="Times New Roman"/>
          <w:lang w:val="pl-PL"/>
        </w:rPr>
        <w:t>, CCIA Europa</w:t>
      </w:r>
      <w:r w:rsidR="00A220C6" w:rsidRPr="00C847A3">
        <w:rPr>
          <w:rFonts w:ascii="Times New Roman" w:hAnsi="Times New Roman" w:cs="Times New Roman"/>
          <w:lang w:val="pl-PL"/>
        </w:rPr>
        <w:t xml:space="preserve"> and </w:t>
      </w:r>
      <w:proofErr w:type="spellStart"/>
      <w:r w:rsidR="00A220C6" w:rsidRPr="00C847A3">
        <w:rPr>
          <w:rFonts w:ascii="Times New Roman" w:hAnsi="Times New Roman" w:cs="Times New Roman"/>
          <w:lang w:val="pl-PL"/>
        </w:rPr>
        <w:t>EuroISPA</w:t>
      </w:r>
      <w:bookmarkEnd w:id="30"/>
      <w:bookmarkEnd w:id="31"/>
      <w:proofErr w:type="spellEnd"/>
    </w:p>
    <w:p w:rsidR="00A220C6" w:rsidRPr="00C847A3" w:rsidRDefault="00DD67A4" w:rsidP="00171A6F">
      <w:pPr>
        <w:pStyle w:val="ECHRPara"/>
        <w:rPr>
          <w:rFonts w:ascii="Times New Roman" w:eastAsia="Times New Roman" w:hAnsi="Times New Roman" w:cs="Times New Roman"/>
          <w:lang w:val="pl-PL"/>
        </w:rPr>
      </w:pPr>
      <w:r w:rsidRPr="00B45853">
        <w:rPr>
          <w:rFonts w:ascii="Times New Roman" w:hAnsi="Times New Roman" w:cs="Times New Roman"/>
          <w:lang w:val="en-GB"/>
        </w:rPr>
        <w:fldChar w:fldCharType="begin"/>
      </w:r>
      <w:r w:rsidR="00A220C6" w:rsidRPr="00C847A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C847A3">
        <w:rPr>
          <w:rFonts w:ascii="Times New Roman" w:hAnsi="Times New Roman" w:cs="Times New Roman"/>
          <w:noProof/>
          <w:lang w:val="pl-PL"/>
        </w:rPr>
        <w:t>105</w:t>
      </w:r>
      <w:r w:rsidRPr="00B45853">
        <w:rPr>
          <w:rFonts w:ascii="Times New Roman" w:hAnsi="Times New Roman" w:cs="Times New Roman"/>
          <w:lang w:val="en-GB"/>
        </w:rPr>
        <w:fldChar w:fldCharType="end"/>
      </w:r>
      <w:r w:rsidR="00A220C6" w:rsidRPr="00C847A3">
        <w:rPr>
          <w:rFonts w:ascii="Times New Roman" w:hAnsi="Times New Roman" w:cs="Times New Roman"/>
          <w:lang w:val="pl-PL"/>
        </w:rPr>
        <w:t xml:space="preserve">.  The </w:t>
      </w:r>
      <w:proofErr w:type="spellStart"/>
      <w:r w:rsidR="00A220C6" w:rsidRPr="00C847A3">
        <w:rPr>
          <w:rFonts w:ascii="Times New Roman" w:eastAsia="Times New Roman" w:hAnsi="Times New Roman" w:cs="Times New Roman"/>
          <w:lang w:val="pl-PL"/>
        </w:rPr>
        <w:t>European</w:t>
      </w:r>
      <w:proofErr w:type="spellEnd"/>
      <w:r w:rsidR="00A220C6" w:rsidRPr="00C847A3">
        <w:rPr>
          <w:rFonts w:ascii="Times New Roman" w:eastAsia="Times New Roman" w:hAnsi="Times New Roman" w:cs="Times New Roman"/>
          <w:lang w:val="pl-PL"/>
        </w:rPr>
        <w:t xml:space="preserve"> Digital Media </w:t>
      </w:r>
      <w:proofErr w:type="spellStart"/>
      <w:r w:rsidR="00A220C6" w:rsidRPr="00C847A3">
        <w:rPr>
          <w:rFonts w:ascii="Times New Roman" w:eastAsia="Times New Roman" w:hAnsi="Times New Roman" w:cs="Times New Roman"/>
          <w:lang w:val="pl-PL"/>
        </w:rPr>
        <w:t>Association</w:t>
      </w:r>
      <w:proofErr w:type="spellEnd"/>
      <w:r w:rsidR="00A220C6" w:rsidRPr="00C847A3">
        <w:rPr>
          <w:rFonts w:ascii="Times New Roman" w:eastAsia="Times New Roman" w:hAnsi="Times New Roman" w:cs="Times New Roman"/>
          <w:lang w:val="pl-PL"/>
        </w:rPr>
        <w:t xml:space="preserve"> (</w:t>
      </w:r>
      <w:proofErr w:type="spellStart"/>
      <w:r w:rsidR="00A220C6" w:rsidRPr="00C847A3">
        <w:rPr>
          <w:rFonts w:ascii="Times New Roman" w:eastAsia="Times New Roman" w:hAnsi="Times New Roman" w:cs="Times New Roman"/>
          <w:lang w:val="pl-PL"/>
        </w:rPr>
        <w:t>EDiMA</w:t>
      </w:r>
      <w:proofErr w:type="spellEnd"/>
      <w:r w:rsidR="00A220C6" w:rsidRPr="00C847A3">
        <w:rPr>
          <w:rFonts w:ascii="Times New Roman" w:eastAsia="Times New Roman" w:hAnsi="Times New Roman" w:cs="Times New Roman"/>
          <w:lang w:val="pl-PL"/>
        </w:rPr>
        <w:t xml:space="preserve">), the </w:t>
      </w:r>
      <w:proofErr w:type="spellStart"/>
      <w:r w:rsidR="00A220C6" w:rsidRPr="00C847A3">
        <w:rPr>
          <w:rFonts w:ascii="Times New Roman" w:eastAsia="Times New Roman" w:hAnsi="Times New Roman" w:cs="Times New Roman"/>
          <w:lang w:val="pl-PL"/>
        </w:rPr>
        <w:t>Computer</w:t>
      </w:r>
      <w:proofErr w:type="spellEnd"/>
      <w:r w:rsidR="00A220C6" w:rsidRPr="00C847A3">
        <w:rPr>
          <w:rFonts w:ascii="Times New Roman" w:eastAsia="Times New Roman" w:hAnsi="Times New Roman" w:cs="Times New Roman"/>
          <w:lang w:val="pl-PL"/>
        </w:rPr>
        <w:t xml:space="preserve"> &amp; Communications </w:t>
      </w:r>
      <w:proofErr w:type="spellStart"/>
      <w:r w:rsidR="00A220C6" w:rsidRPr="00C847A3">
        <w:rPr>
          <w:rFonts w:ascii="Times New Roman" w:eastAsia="Times New Roman" w:hAnsi="Times New Roman" w:cs="Times New Roman"/>
          <w:lang w:val="pl-PL"/>
        </w:rPr>
        <w:t>Indust</w:t>
      </w:r>
      <w:r w:rsidR="00810845" w:rsidRPr="00C847A3">
        <w:rPr>
          <w:rFonts w:ascii="Times New Roman" w:eastAsia="Times New Roman" w:hAnsi="Times New Roman" w:cs="Times New Roman"/>
          <w:lang w:val="pl-PL"/>
        </w:rPr>
        <w:t>ry</w:t>
      </w:r>
      <w:proofErr w:type="spellEnd"/>
      <w:r w:rsidR="00810845" w:rsidRPr="00C847A3">
        <w:rPr>
          <w:rFonts w:ascii="Times New Roman" w:eastAsia="Times New Roman" w:hAnsi="Times New Roman" w:cs="Times New Roman"/>
          <w:lang w:val="pl-PL"/>
        </w:rPr>
        <w:t xml:space="preserve"> </w:t>
      </w:r>
      <w:proofErr w:type="spellStart"/>
      <w:r w:rsidR="00810845" w:rsidRPr="00C847A3">
        <w:rPr>
          <w:rFonts w:ascii="Times New Roman" w:eastAsia="Times New Roman" w:hAnsi="Times New Roman" w:cs="Times New Roman"/>
          <w:lang w:val="pl-PL"/>
        </w:rPr>
        <w:t>Association</w:t>
      </w:r>
      <w:proofErr w:type="spellEnd"/>
      <w:r w:rsidR="00810845" w:rsidRPr="00C847A3">
        <w:rPr>
          <w:rFonts w:ascii="Times New Roman" w:eastAsia="Times New Roman" w:hAnsi="Times New Roman" w:cs="Times New Roman"/>
          <w:lang w:val="pl-PL"/>
        </w:rPr>
        <w:t xml:space="preserve"> (CCIA Europe) i </w:t>
      </w:r>
      <w:proofErr w:type="spellStart"/>
      <w:r w:rsidR="00810845" w:rsidRPr="00C847A3">
        <w:rPr>
          <w:rFonts w:ascii="Times New Roman" w:eastAsia="Times New Roman" w:hAnsi="Times New Roman" w:cs="Times New Roman"/>
          <w:lang w:val="pl-PL"/>
        </w:rPr>
        <w:t>EuroISPA</w:t>
      </w:r>
      <w:proofErr w:type="spellEnd"/>
      <w:r w:rsidR="00810845" w:rsidRPr="00C847A3">
        <w:rPr>
          <w:rFonts w:ascii="Times New Roman" w:eastAsia="Times New Roman" w:hAnsi="Times New Roman" w:cs="Times New Roman"/>
          <w:lang w:val="pl-PL"/>
        </w:rPr>
        <w:t>, a</w:t>
      </w:r>
      <w:r w:rsidR="00A220C6" w:rsidRPr="00C847A3">
        <w:rPr>
          <w:rFonts w:ascii="Times New Roman" w:eastAsia="Times New Roman" w:hAnsi="Times New Roman" w:cs="Times New Roman"/>
          <w:lang w:val="pl-PL"/>
        </w:rPr>
        <w:t xml:space="preserve"> pan-</w:t>
      </w:r>
      <w:proofErr w:type="spellStart"/>
      <w:r w:rsidR="00A220C6" w:rsidRPr="00C847A3">
        <w:rPr>
          <w:rFonts w:ascii="Times New Roman" w:eastAsia="Times New Roman" w:hAnsi="Times New Roman" w:cs="Times New Roman"/>
          <w:lang w:val="pl-PL"/>
        </w:rPr>
        <w:t>European</w:t>
      </w:r>
      <w:proofErr w:type="spellEnd"/>
      <w:r w:rsidR="00A220C6" w:rsidRPr="00C847A3">
        <w:rPr>
          <w:rFonts w:ascii="Times New Roman" w:eastAsia="Times New Roman" w:hAnsi="Times New Roman" w:cs="Times New Roman"/>
          <w:lang w:val="pl-PL"/>
        </w:rPr>
        <w:t xml:space="preserve"> </w:t>
      </w:r>
      <w:proofErr w:type="spellStart"/>
      <w:r w:rsidR="00A220C6" w:rsidRPr="00C847A3">
        <w:rPr>
          <w:rFonts w:ascii="Times New Roman" w:eastAsia="Times New Roman" w:hAnsi="Times New Roman" w:cs="Times New Roman"/>
          <w:lang w:val="pl-PL"/>
        </w:rPr>
        <w:t>association</w:t>
      </w:r>
      <w:proofErr w:type="spellEnd"/>
      <w:r w:rsidR="00A220C6" w:rsidRPr="00C847A3">
        <w:rPr>
          <w:rFonts w:ascii="Times New Roman" w:eastAsia="Times New Roman" w:hAnsi="Times New Roman" w:cs="Times New Roman"/>
          <w:lang w:val="pl-PL"/>
        </w:rPr>
        <w:t xml:space="preserve"> of </w:t>
      </w:r>
      <w:proofErr w:type="spellStart"/>
      <w:r w:rsidR="00A220C6" w:rsidRPr="00C847A3">
        <w:rPr>
          <w:rFonts w:ascii="Times New Roman" w:eastAsia="Times New Roman" w:hAnsi="Times New Roman" w:cs="Times New Roman"/>
          <w:lang w:val="pl-PL"/>
        </w:rPr>
        <w:t>European</w:t>
      </w:r>
      <w:proofErr w:type="spellEnd"/>
      <w:r w:rsidR="00A220C6" w:rsidRPr="00C847A3">
        <w:rPr>
          <w:rFonts w:ascii="Times New Roman" w:eastAsia="Times New Roman" w:hAnsi="Times New Roman" w:cs="Times New Roman"/>
          <w:lang w:val="pl-PL"/>
        </w:rPr>
        <w:t xml:space="preserve"> Internet Services Providers </w:t>
      </w:r>
      <w:proofErr w:type="spellStart"/>
      <w:r w:rsidR="00A220C6" w:rsidRPr="00C847A3">
        <w:rPr>
          <w:rFonts w:ascii="Times New Roman" w:eastAsia="Times New Roman" w:hAnsi="Times New Roman" w:cs="Times New Roman"/>
          <w:lang w:val="pl-PL"/>
        </w:rPr>
        <w:t>Associations</w:t>
      </w:r>
      <w:proofErr w:type="spellEnd"/>
      <w:r w:rsidR="00A220C6" w:rsidRPr="00C847A3">
        <w:rPr>
          <w:rFonts w:ascii="Times New Roman" w:eastAsia="Times New Roman" w:hAnsi="Times New Roman" w:cs="Times New Roman"/>
          <w:lang w:val="pl-PL"/>
        </w:rPr>
        <w:t xml:space="preserve">, </w:t>
      </w:r>
      <w:r w:rsidR="00810845" w:rsidRPr="00C847A3">
        <w:rPr>
          <w:rFonts w:ascii="Times New Roman" w:eastAsia="Times New Roman" w:hAnsi="Times New Roman" w:cs="Times New Roman"/>
          <w:lang w:val="pl-PL"/>
        </w:rPr>
        <w:t>dokonało wspólnych wniosków</w:t>
      </w:r>
      <w:r w:rsidR="00A220C6" w:rsidRPr="00C847A3">
        <w:rPr>
          <w:rFonts w:ascii="Times New Roman" w:eastAsia="Times New Roman" w:hAnsi="Times New Roman" w:cs="Times New Roman"/>
          <w:lang w:val="pl-PL"/>
        </w:rPr>
        <w:t xml:space="preserve"> </w:t>
      </w:r>
      <w:r w:rsidR="004C5267" w:rsidRPr="00C847A3">
        <w:rPr>
          <w:rFonts w:ascii="Times New Roman" w:eastAsia="Times New Roman" w:hAnsi="Times New Roman" w:cs="Times New Roman"/>
          <w:lang w:val="pl-PL"/>
        </w:rPr>
        <w:t>jako osoby</w:t>
      </w:r>
      <w:r w:rsidR="00810845" w:rsidRPr="00C847A3">
        <w:rPr>
          <w:rFonts w:ascii="Times New Roman" w:eastAsia="Times New Roman" w:hAnsi="Times New Roman" w:cs="Times New Roman"/>
          <w:lang w:val="pl-PL"/>
        </w:rPr>
        <w:t xml:space="preserve"> trzecie</w:t>
      </w:r>
      <w:r w:rsidR="00A220C6" w:rsidRPr="00C847A3">
        <w:rPr>
          <w:rFonts w:ascii="Times New Roman" w:eastAsia="Times New Roman" w:hAnsi="Times New Roman" w:cs="Times New Roman"/>
          <w:lang w:val="pl-PL"/>
        </w:rPr>
        <w:t>.</w:t>
      </w:r>
    </w:p>
    <w:p w:rsidR="00B413BF" w:rsidRPr="00B45853" w:rsidRDefault="00DD67A4" w:rsidP="00171A6F">
      <w:pPr>
        <w:pStyle w:val="ECHRPara"/>
        <w:rPr>
          <w:rFonts w:ascii="Times New Roman" w:eastAsia="Times New Roman" w:hAnsi="Times New Roman" w:cs="Times New Roman"/>
          <w:lang w:val="pl-PL"/>
        </w:rPr>
      </w:pPr>
      <w:r w:rsidRPr="00B45853">
        <w:rPr>
          <w:rFonts w:ascii="Times New Roman" w:eastAsia="Times New Roman" w:hAnsi="Times New Roman" w:cs="Times New Roman"/>
          <w:lang w:val="en-GB"/>
        </w:rPr>
        <w:fldChar w:fldCharType="begin"/>
      </w:r>
      <w:r w:rsidR="00A220C6" w:rsidRPr="00B45853">
        <w:rPr>
          <w:rFonts w:ascii="Times New Roman" w:eastAsia="Times New Roman" w:hAnsi="Times New Roman" w:cs="Times New Roman"/>
          <w:lang w:val="pl-PL"/>
        </w:rPr>
        <w:instrText xml:space="preserve"> SEQ level0 \*arabic </w:instrText>
      </w:r>
      <w:r w:rsidRPr="00B45853">
        <w:rPr>
          <w:rFonts w:ascii="Times New Roman" w:eastAsia="Times New Roman" w:hAnsi="Times New Roman" w:cs="Times New Roman"/>
          <w:lang w:val="en-GB"/>
        </w:rPr>
        <w:fldChar w:fldCharType="separate"/>
      </w:r>
      <w:r w:rsidR="002F0EE0" w:rsidRPr="00B45853">
        <w:rPr>
          <w:rFonts w:ascii="Times New Roman" w:eastAsia="Times New Roman" w:hAnsi="Times New Roman" w:cs="Times New Roman"/>
          <w:noProof/>
          <w:lang w:val="pl-PL"/>
        </w:rPr>
        <w:t>106</w:t>
      </w:r>
      <w:r w:rsidRPr="00B45853">
        <w:rPr>
          <w:rFonts w:ascii="Times New Roman" w:eastAsia="Times New Roman" w:hAnsi="Times New Roman" w:cs="Times New Roman"/>
          <w:lang w:val="en-GB"/>
        </w:rPr>
        <w:fldChar w:fldCharType="end"/>
      </w:r>
      <w:r w:rsidR="00A220C6" w:rsidRPr="00B45853">
        <w:rPr>
          <w:rFonts w:ascii="Times New Roman" w:eastAsia="Times New Roman" w:hAnsi="Times New Roman" w:cs="Times New Roman"/>
          <w:lang w:val="pl-PL"/>
        </w:rPr>
        <w:t>.  </w:t>
      </w:r>
      <w:r w:rsidR="00810845" w:rsidRPr="00B45853">
        <w:rPr>
          <w:rFonts w:ascii="Times New Roman" w:eastAsia="Times New Roman" w:hAnsi="Times New Roman" w:cs="Times New Roman"/>
          <w:lang w:val="pl-PL"/>
        </w:rPr>
        <w:t>Interwenienci twierdzili, że do tej pory istniała ustalona równowaga w prawodawstwie, umowy międzynarodowe i zalecenia, zgodnie z którymi, po pierwsze, usługodawcy gospodarze byli zwolnieni od odpowiedzialności za treści w przypadku braku "rzeczywistej wiedzy", a po drugie, Państwa miały zakaz wymagania od dostawców</w:t>
      </w:r>
      <w:r w:rsidR="006709EB" w:rsidRPr="00B45853">
        <w:rPr>
          <w:rFonts w:ascii="Times New Roman" w:eastAsia="Times New Roman" w:hAnsi="Times New Roman" w:cs="Times New Roman"/>
          <w:lang w:val="pl-PL"/>
        </w:rPr>
        <w:t>-hostów przeprowadza</w:t>
      </w:r>
      <w:r w:rsidR="00810845" w:rsidRPr="00B45853">
        <w:rPr>
          <w:rFonts w:ascii="Times New Roman" w:eastAsia="Times New Roman" w:hAnsi="Times New Roman" w:cs="Times New Roman"/>
          <w:lang w:val="pl-PL"/>
        </w:rPr>
        <w:t>nia ogólnej kontroli treści</w:t>
      </w:r>
      <w:r w:rsidR="00A220C6" w:rsidRPr="00B45853">
        <w:rPr>
          <w:rFonts w:ascii="Times New Roman" w:eastAsia="Times New Roman" w:hAnsi="Times New Roman" w:cs="Times New Roman"/>
          <w:lang w:val="pl-PL"/>
        </w:rPr>
        <w:t>.</w:t>
      </w:r>
    </w:p>
    <w:p w:rsidR="00B413BF" w:rsidRPr="00B45853" w:rsidRDefault="00DD67A4" w:rsidP="00171A6F">
      <w:pPr>
        <w:pStyle w:val="ECHRPara"/>
        <w:rPr>
          <w:rFonts w:ascii="Times New Roman" w:eastAsia="Times New Roman" w:hAnsi="Times New Roman" w:cs="Times New Roman"/>
          <w:lang w:val="pl-PL"/>
        </w:rPr>
      </w:pPr>
      <w:r w:rsidRPr="00B45853">
        <w:rPr>
          <w:rFonts w:ascii="Times New Roman" w:eastAsia="Times New Roman" w:hAnsi="Times New Roman" w:cs="Times New Roman"/>
          <w:lang w:val="en-GB"/>
        </w:rPr>
        <w:fldChar w:fldCharType="begin"/>
      </w:r>
      <w:r w:rsidR="00A220C6" w:rsidRPr="00B45853">
        <w:rPr>
          <w:rFonts w:ascii="Times New Roman" w:eastAsia="Times New Roman" w:hAnsi="Times New Roman" w:cs="Times New Roman"/>
          <w:lang w:val="pl-PL"/>
        </w:rPr>
        <w:instrText xml:space="preserve"> SEQ level0 \*arabic </w:instrText>
      </w:r>
      <w:r w:rsidRPr="00B45853">
        <w:rPr>
          <w:rFonts w:ascii="Times New Roman" w:eastAsia="Times New Roman" w:hAnsi="Times New Roman" w:cs="Times New Roman"/>
          <w:lang w:val="en-GB"/>
        </w:rPr>
        <w:fldChar w:fldCharType="separate"/>
      </w:r>
      <w:r w:rsidR="002F0EE0" w:rsidRPr="00B45853">
        <w:rPr>
          <w:rFonts w:ascii="Times New Roman" w:eastAsia="Times New Roman" w:hAnsi="Times New Roman" w:cs="Times New Roman"/>
          <w:noProof/>
          <w:lang w:val="pl-PL"/>
        </w:rPr>
        <w:t>107</w:t>
      </w:r>
      <w:r w:rsidRPr="00B45853">
        <w:rPr>
          <w:rFonts w:ascii="Times New Roman" w:eastAsia="Times New Roman" w:hAnsi="Times New Roman" w:cs="Times New Roman"/>
          <w:lang w:val="en-GB"/>
        </w:rPr>
        <w:fldChar w:fldCharType="end"/>
      </w:r>
      <w:r w:rsidR="00A220C6" w:rsidRPr="00B45853">
        <w:rPr>
          <w:rFonts w:ascii="Times New Roman" w:eastAsia="Times New Roman" w:hAnsi="Times New Roman" w:cs="Times New Roman"/>
          <w:lang w:val="pl-PL"/>
        </w:rPr>
        <w:t>.  </w:t>
      </w:r>
      <w:r w:rsidR="00810845" w:rsidRPr="00B45853">
        <w:rPr>
          <w:rFonts w:ascii="Times New Roman" w:eastAsia="Times New Roman" w:hAnsi="Times New Roman" w:cs="Times New Roman"/>
          <w:lang w:val="pl-PL"/>
        </w:rPr>
        <w:t xml:space="preserve">Interwenienci zauważyli, że podczas gdy niektóre informacje dostępne w Internecie pochodzą z tradycyjnych źródeł wydawniczych, </w:t>
      </w:r>
      <w:r w:rsidR="00810845" w:rsidRPr="00B45853">
        <w:rPr>
          <w:rFonts w:ascii="Times New Roman" w:eastAsia="Times New Roman" w:hAnsi="Times New Roman" w:cs="Times New Roman"/>
          <w:lang w:val="pl-PL"/>
        </w:rPr>
        <w:lastRenderedPageBreak/>
        <w:t xml:space="preserve">takich jak gazety i są słusznie regulowane przez prawo właściwe dla wydawców, duża ilość treści online </w:t>
      </w:r>
      <w:r w:rsidR="006709EB" w:rsidRPr="00B45853">
        <w:rPr>
          <w:rFonts w:ascii="Times New Roman" w:eastAsia="Times New Roman" w:hAnsi="Times New Roman" w:cs="Times New Roman"/>
          <w:lang w:val="pl-PL"/>
        </w:rPr>
        <w:t xml:space="preserve">przychodzi </w:t>
      </w:r>
      <w:r w:rsidR="00957239" w:rsidRPr="00B45853">
        <w:rPr>
          <w:rFonts w:ascii="Times New Roman" w:eastAsia="Times New Roman" w:hAnsi="Times New Roman" w:cs="Times New Roman"/>
          <w:lang w:val="pl-PL"/>
        </w:rPr>
        <w:t>zamiast tego od</w:t>
      </w:r>
      <w:r w:rsidR="00810845" w:rsidRPr="00B45853">
        <w:rPr>
          <w:rFonts w:ascii="Times New Roman" w:eastAsia="Times New Roman" w:hAnsi="Times New Roman" w:cs="Times New Roman"/>
          <w:lang w:val="pl-PL"/>
        </w:rPr>
        <w:t xml:space="preserve"> </w:t>
      </w:r>
      <w:r w:rsidR="00957239" w:rsidRPr="00B45853">
        <w:rPr>
          <w:rFonts w:ascii="Times New Roman" w:eastAsia="Times New Roman" w:hAnsi="Times New Roman" w:cs="Times New Roman"/>
          <w:lang w:val="pl-PL"/>
        </w:rPr>
        <w:t>indywidualnych</w:t>
      </w:r>
      <w:r w:rsidR="00810845" w:rsidRPr="00B45853">
        <w:rPr>
          <w:rFonts w:ascii="Times New Roman" w:eastAsia="Times New Roman" w:hAnsi="Times New Roman" w:cs="Times New Roman"/>
          <w:lang w:val="pl-PL"/>
        </w:rPr>
        <w:t xml:space="preserve"> mówców, którzy mogli</w:t>
      </w:r>
      <w:r w:rsidR="00957239" w:rsidRPr="00B45853">
        <w:rPr>
          <w:rFonts w:ascii="Times New Roman" w:eastAsia="Times New Roman" w:hAnsi="Times New Roman" w:cs="Times New Roman"/>
          <w:lang w:val="pl-PL"/>
        </w:rPr>
        <w:t>by</w:t>
      </w:r>
      <w:r w:rsidR="00810845" w:rsidRPr="00B45853">
        <w:rPr>
          <w:rFonts w:ascii="Times New Roman" w:eastAsia="Times New Roman" w:hAnsi="Times New Roman" w:cs="Times New Roman"/>
          <w:lang w:val="pl-PL"/>
        </w:rPr>
        <w:t xml:space="preserve"> wyrazić swoje poglądy </w:t>
      </w:r>
      <w:r w:rsidR="00957239" w:rsidRPr="00B45853">
        <w:rPr>
          <w:rFonts w:ascii="Times New Roman" w:eastAsia="Times New Roman" w:hAnsi="Times New Roman" w:cs="Times New Roman"/>
          <w:lang w:val="pl-PL"/>
        </w:rPr>
        <w:t>bez pośrednictwa</w:t>
      </w:r>
      <w:r w:rsidR="00810845" w:rsidRPr="00B45853">
        <w:rPr>
          <w:rFonts w:ascii="Times New Roman" w:eastAsia="Times New Roman" w:hAnsi="Times New Roman" w:cs="Times New Roman"/>
          <w:lang w:val="pl-PL"/>
        </w:rPr>
        <w:t xml:space="preserve"> trady</w:t>
      </w:r>
      <w:r w:rsidR="00957239" w:rsidRPr="00B45853">
        <w:rPr>
          <w:rFonts w:ascii="Times New Roman" w:eastAsia="Times New Roman" w:hAnsi="Times New Roman" w:cs="Times New Roman"/>
          <w:lang w:val="pl-PL"/>
        </w:rPr>
        <w:t>cyjnych instytucji wydawniczych</w:t>
      </w:r>
      <w:r w:rsidR="00810845" w:rsidRPr="00B45853">
        <w:rPr>
          <w:rFonts w:ascii="Times New Roman" w:eastAsia="Times New Roman" w:hAnsi="Times New Roman" w:cs="Times New Roman"/>
          <w:lang w:val="pl-PL"/>
        </w:rPr>
        <w:t xml:space="preserve">, </w:t>
      </w:r>
      <w:r w:rsidR="00957239" w:rsidRPr="00B45853">
        <w:rPr>
          <w:rFonts w:ascii="Times New Roman" w:eastAsia="Times New Roman" w:hAnsi="Times New Roman" w:cs="Times New Roman"/>
          <w:lang w:val="pl-PL"/>
        </w:rPr>
        <w:t>Fora dyskusyjne pozwalały na prawo do odpowiedzi</w:t>
      </w:r>
      <w:r w:rsidR="00810845" w:rsidRPr="00B45853">
        <w:rPr>
          <w:rFonts w:ascii="Times New Roman" w:eastAsia="Times New Roman" w:hAnsi="Times New Roman" w:cs="Times New Roman"/>
          <w:lang w:val="pl-PL"/>
        </w:rPr>
        <w:t xml:space="preserve"> i dlatego były całkowicie odmienne od tradycyjnych publikacji, w których</w:t>
      </w:r>
      <w:r w:rsidR="00957239" w:rsidRPr="00B45853">
        <w:rPr>
          <w:rFonts w:ascii="Times New Roman" w:eastAsia="Times New Roman" w:hAnsi="Times New Roman" w:cs="Times New Roman"/>
          <w:lang w:val="pl-PL"/>
        </w:rPr>
        <w:t xml:space="preserve"> nie istniało</w:t>
      </w:r>
      <w:r w:rsidR="00810845" w:rsidRPr="00B45853">
        <w:rPr>
          <w:rFonts w:ascii="Times New Roman" w:eastAsia="Times New Roman" w:hAnsi="Times New Roman" w:cs="Times New Roman"/>
          <w:lang w:val="pl-PL"/>
        </w:rPr>
        <w:t xml:space="preserve"> żadne takie prawo</w:t>
      </w:r>
      <w:r w:rsidR="00A220C6" w:rsidRPr="00B45853">
        <w:rPr>
          <w:rFonts w:ascii="Times New Roman" w:eastAsia="Times New Roman" w:hAnsi="Times New Roman" w:cs="Times New Roman"/>
          <w:lang w:val="pl-PL"/>
        </w:rPr>
        <w:t>.</w:t>
      </w:r>
    </w:p>
    <w:p w:rsidR="00A220C6" w:rsidRPr="00B45853" w:rsidRDefault="00DD67A4" w:rsidP="00171A6F">
      <w:pPr>
        <w:pStyle w:val="ECHRPara"/>
        <w:rPr>
          <w:rFonts w:ascii="Times New Roman" w:eastAsia="Times New Roman" w:hAnsi="Times New Roman" w:cs="Times New Roman"/>
          <w:lang w:val="pl-PL"/>
        </w:rPr>
      </w:pPr>
      <w:r w:rsidRPr="00B45853">
        <w:rPr>
          <w:rFonts w:ascii="Times New Roman" w:eastAsia="Times New Roman" w:hAnsi="Times New Roman" w:cs="Times New Roman"/>
          <w:lang w:val="en-GB"/>
        </w:rPr>
        <w:fldChar w:fldCharType="begin"/>
      </w:r>
      <w:r w:rsidR="00A220C6" w:rsidRPr="00B45853">
        <w:rPr>
          <w:rFonts w:ascii="Times New Roman" w:eastAsia="Times New Roman" w:hAnsi="Times New Roman" w:cs="Times New Roman"/>
          <w:lang w:val="pl-PL"/>
        </w:rPr>
        <w:instrText xml:space="preserve"> SEQ level0 \*arabic </w:instrText>
      </w:r>
      <w:r w:rsidRPr="00B45853">
        <w:rPr>
          <w:rFonts w:ascii="Times New Roman" w:eastAsia="Times New Roman" w:hAnsi="Times New Roman" w:cs="Times New Roman"/>
          <w:lang w:val="en-GB"/>
        </w:rPr>
        <w:fldChar w:fldCharType="separate"/>
      </w:r>
      <w:r w:rsidR="002F0EE0" w:rsidRPr="00B45853">
        <w:rPr>
          <w:rFonts w:ascii="Times New Roman" w:eastAsia="Times New Roman" w:hAnsi="Times New Roman" w:cs="Times New Roman"/>
          <w:noProof/>
          <w:lang w:val="pl-PL"/>
        </w:rPr>
        <w:t>108</w:t>
      </w:r>
      <w:r w:rsidRPr="00B45853">
        <w:rPr>
          <w:rFonts w:ascii="Times New Roman" w:eastAsia="Times New Roman" w:hAnsi="Times New Roman" w:cs="Times New Roman"/>
          <w:lang w:val="en-GB"/>
        </w:rPr>
        <w:fldChar w:fldCharType="end"/>
      </w:r>
      <w:r w:rsidR="00A220C6" w:rsidRPr="00B45853">
        <w:rPr>
          <w:rFonts w:ascii="Times New Roman" w:eastAsia="Times New Roman" w:hAnsi="Times New Roman" w:cs="Times New Roman"/>
          <w:lang w:val="pl-PL"/>
        </w:rPr>
        <w:t>.  </w:t>
      </w:r>
      <w:r w:rsidR="00957239" w:rsidRPr="00B45853">
        <w:rPr>
          <w:rFonts w:ascii="Times New Roman" w:eastAsia="Times New Roman" w:hAnsi="Times New Roman" w:cs="Times New Roman"/>
          <w:lang w:val="pl-PL"/>
        </w:rPr>
        <w:t>Interwenienci argumentowali, że procesy technologiczne i eksploatacyjne dla forum dyskus</w:t>
      </w:r>
      <w:r w:rsidR="006709EB" w:rsidRPr="00B45853">
        <w:rPr>
          <w:rFonts w:ascii="Times New Roman" w:eastAsia="Times New Roman" w:hAnsi="Times New Roman" w:cs="Times New Roman"/>
          <w:lang w:val="pl-PL"/>
        </w:rPr>
        <w:t>yjnego wiadomości</w:t>
      </w:r>
      <w:r w:rsidR="00957239" w:rsidRPr="00B45853">
        <w:rPr>
          <w:rFonts w:ascii="Times New Roman" w:eastAsia="Times New Roman" w:hAnsi="Times New Roman" w:cs="Times New Roman"/>
          <w:lang w:val="pl-PL"/>
        </w:rPr>
        <w:t xml:space="preserve"> jak </w:t>
      </w:r>
      <w:proofErr w:type="spellStart"/>
      <w:r w:rsidR="00957239" w:rsidRPr="00B45853">
        <w:rPr>
          <w:rFonts w:ascii="Times New Roman" w:eastAsia="Times New Roman" w:hAnsi="Times New Roman" w:cs="Times New Roman"/>
          <w:lang w:val="pl-PL"/>
        </w:rPr>
        <w:t>Delfi</w:t>
      </w:r>
      <w:proofErr w:type="spellEnd"/>
      <w:r w:rsidR="006709EB" w:rsidRPr="00B45853">
        <w:rPr>
          <w:rFonts w:ascii="Times New Roman" w:eastAsia="Times New Roman" w:hAnsi="Times New Roman" w:cs="Times New Roman"/>
          <w:lang w:val="pl-PL"/>
        </w:rPr>
        <w:t>,</w:t>
      </w:r>
      <w:r w:rsidR="00957239" w:rsidRPr="00B45853">
        <w:rPr>
          <w:rFonts w:ascii="Times New Roman" w:eastAsia="Times New Roman" w:hAnsi="Times New Roman" w:cs="Times New Roman"/>
          <w:lang w:val="pl-PL"/>
        </w:rPr>
        <w:t xml:space="preserve"> były nierozróżnialne technologicznie od usług hostingowych, takich jak media społecznościowe</w:t>
      </w:r>
      <w:r w:rsidR="006709EB" w:rsidRPr="00B45853">
        <w:rPr>
          <w:rFonts w:ascii="Times New Roman" w:eastAsia="Times New Roman" w:hAnsi="Times New Roman" w:cs="Times New Roman"/>
          <w:lang w:val="pl-PL"/>
        </w:rPr>
        <w:t>/</w:t>
      </w:r>
      <w:r w:rsidR="00957239" w:rsidRPr="00B45853">
        <w:rPr>
          <w:rFonts w:ascii="Times New Roman" w:eastAsia="Times New Roman" w:hAnsi="Times New Roman" w:cs="Times New Roman"/>
          <w:lang w:val="pl-PL"/>
        </w:rPr>
        <w:t>platformy, blogi</w:t>
      </w:r>
      <w:r w:rsidR="006709EB" w:rsidRPr="00B45853">
        <w:rPr>
          <w:rFonts w:ascii="Times New Roman" w:eastAsia="Times New Roman" w:hAnsi="Times New Roman" w:cs="Times New Roman"/>
          <w:lang w:val="pl-PL"/>
        </w:rPr>
        <w:t>/</w:t>
      </w:r>
      <w:proofErr w:type="spellStart"/>
      <w:r w:rsidR="00957239" w:rsidRPr="00B45853">
        <w:rPr>
          <w:rFonts w:ascii="Times New Roman" w:eastAsia="Times New Roman" w:hAnsi="Times New Roman" w:cs="Times New Roman"/>
          <w:lang w:val="pl-PL"/>
        </w:rPr>
        <w:t>mikroblogi</w:t>
      </w:r>
      <w:proofErr w:type="spellEnd"/>
      <w:r w:rsidR="00957239" w:rsidRPr="00B45853">
        <w:rPr>
          <w:rFonts w:ascii="Times New Roman" w:eastAsia="Times New Roman" w:hAnsi="Times New Roman" w:cs="Times New Roman"/>
          <w:lang w:val="pl-PL"/>
        </w:rPr>
        <w:t xml:space="preserve"> i inne. Treść skomponowana i przesłana przez użytkowników zostawała automatycznie publicznie widoczna bez interwencji człowieka. Dla wielu </w:t>
      </w:r>
      <w:r w:rsidR="00A5162C" w:rsidRPr="00B45853">
        <w:rPr>
          <w:rFonts w:ascii="Times New Roman" w:eastAsia="Times New Roman" w:hAnsi="Times New Roman" w:cs="Times New Roman"/>
          <w:lang w:val="pl-PL"/>
        </w:rPr>
        <w:t>hostów</w:t>
      </w:r>
      <w:r w:rsidR="00957239" w:rsidRPr="00B45853">
        <w:rPr>
          <w:rFonts w:ascii="Times New Roman" w:eastAsia="Times New Roman" w:hAnsi="Times New Roman" w:cs="Times New Roman"/>
          <w:lang w:val="pl-PL"/>
        </w:rPr>
        <w:t xml:space="preserve"> pod względem skali dokonanie aktywnego ludzkiego przeglądu wszystkich treści użytkownika było efektywnie niemożliwe. Dla małych stron internetowych i rozpoczynających działalność, kontrola zawartości mogła być szczególnie trudna i mogła</w:t>
      </w:r>
      <w:r w:rsidR="00A5162C" w:rsidRPr="00B45853">
        <w:rPr>
          <w:rFonts w:ascii="Times New Roman" w:eastAsia="Times New Roman" w:hAnsi="Times New Roman" w:cs="Times New Roman"/>
          <w:lang w:val="pl-PL"/>
        </w:rPr>
        <w:t>,</w:t>
      </w:r>
      <w:r w:rsidR="00957239" w:rsidRPr="00B45853">
        <w:rPr>
          <w:rFonts w:ascii="Times New Roman" w:eastAsia="Times New Roman" w:hAnsi="Times New Roman" w:cs="Times New Roman"/>
          <w:lang w:val="pl-PL"/>
        </w:rPr>
        <w:t xml:space="preserve"> by być tak kosztowna, </w:t>
      </w:r>
      <w:r w:rsidR="006709EB" w:rsidRPr="00B45853">
        <w:rPr>
          <w:rFonts w:ascii="Times New Roman" w:eastAsia="Times New Roman" w:hAnsi="Times New Roman" w:cs="Times New Roman"/>
          <w:lang w:val="pl-PL"/>
        </w:rPr>
        <w:t>że mogłaby być zaporowa</w:t>
      </w:r>
      <w:r w:rsidR="00A220C6" w:rsidRPr="00B45853">
        <w:rPr>
          <w:rFonts w:ascii="Times New Roman" w:eastAsia="Times New Roman" w:hAnsi="Times New Roman" w:cs="Times New Roman"/>
          <w:lang w:val="pl-PL"/>
        </w:rPr>
        <w:t>.</w:t>
      </w:r>
    </w:p>
    <w:p w:rsidR="00B413BF" w:rsidRPr="00B45853" w:rsidRDefault="00DD67A4" w:rsidP="00171A6F">
      <w:pPr>
        <w:pStyle w:val="ECHRPara"/>
        <w:rPr>
          <w:rFonts w:ascii="Times New Roman" w:eastAsia="Times New Roman" w:hAnsi="Times New Roman" w:cs="Times New Roman"/>
          <w:lang w:val="pl-PL"/>
        </w:rPr>
      </w:pPr>
      <w:r w:rsidRPr="00B45853">
        <w:rPr>
          <w:rFonts w:ascii="Times New Roman" w:eastAsia="Times New Roman" w:hAnsi="Times New Roman" w:cs="Times New Roman"/>
          <w:lang w:val="en-GB"/>
        </w:rPr>
        <w:fldChar w:fldCharType="begin"/>
      </w:r>
      <w:r w:rsidR="00A220C6" w:rsidRPr="00B45853">
        <w:rPr>
          <w:rFonts w:ascii="Times New Roman" w:eastAsia="Times New Roman" w:hAnsi="Times New Roman" w:cs="Times New Roman"/>
          <w:lang w:val="pl-PL"/>
        </w:rPr>
        <w:instrText xml:space="preserve"> SEQ level0 \*arabic </w:instrText>
      </w:r>
      <w:r w:rsidRPr="00B45853">
        <w:rPr>
          <w:rFonts w:ascii="Times New Roman" w:eastAsia="Times New Roman" w:hAnsi="Times New Roman" w:cs="Times New Roman"/>
          <w:lang w:val="en-GB"/>
        </w:rPr>
        <w:fldChar w:fldCharType="separate"/>
      </w:r>
      <w:r w:rsidR="002F0EE0" w:rsidRPr="00B45853">
        <w:rPr>
          <w:rFonts w:ascii="Times New Roman" w:eastAsia="Times New Roman" w:hAnsi="Times New Roman" w:cs="Times New Roman"/>
          <w:noProof/>
          <w:lang w:val="pl-PL"/>
        </w:rPr>
        <w:t>109</w:t>
      </w:r>
      <w:r w:rsidRPr="00B45853">
        <w:rPr>
          <w:rFonts w:ascii="Times New Roman" w:eastAsia="Times New Roman" w:hAnsi="Times New Roman" w:cs="Times New Roman"/>
          <w:lang w:val="en-GB"/>
        </w:rPr>
        <w:fldChar w:fldCharType="end"/>
      </w:r>
      <w:r w:rsidR="00A220C6" w:rsidRPr="00B45853">
        <w:rPr>
          <w:rFonts w:ascii="Times New Roman" w:eastAsia="Times New Roman" w:hAnsi="Times New Roman" w:cs="Times New Roman"/>
          <w:lang w:val="pl-PL"/>
        </w:rPr>
        <w:t>.  </w:t>
      </w:r>
      <w:r w:rsidR="00957239" w:rsidRPr="00B45853">
        <w:rPr>
          <w:rFonts w:ascii="Times New Roman" w:eastAsia="Times New Roman" w:hAnsi="Times New Roman" w:cs="Times New Roman"/>
          <w:lang w:val="pl-PL"/>
        </w:rPr>
        <w:t>Interwenienci twierdzili, że prawo stanowione w UE i innych krajach przewiduje systemy powiadamiania i usuwania jako ramy prawne i praktyczne gospodar</w:t>
      </w:r>
      <w:r w:rsidR="006709EB" w:rsidRPr="00B45853">
        <w:rPr>
          <w:rFonts w:ascii="Times New Roman" w:eastAsia="Times New Roman" w:hAnsi="Times New Roman" w:cs="Times New Roman"/>
          <w:lang w:val="pl-PL"/>
        </w:rPr>
        <w:t>owanie</w:t>
      </w:r>
      <w:r w:rsidR="00957239" w:rsidRPr="00B45853">
        <w:rPr>
          <w:rFonts w:ascii="Times New Roman" w:eastAsia="Times New Roman" w:hAnsi="Times New Roman" w:cs="Times New Roman"/>
          <w:lang w:val="pl-PL"/>
        </w:rPr>
        <w:t xml:space="preserve"> treściami internetowymi. Ta równowaga obowiązków pomiędzy użytkownikami platformy a</w:t>
      </w:r>
      <w:r w:rsidR="006709EB" w:rsidRPr="00B45853">
        <w:rPr>
          <w:rFonts w:ascii="Times New Roman" w:eastAsia="Times New Roman" w:hAnsi="Times New Roman" w:cs="Times New Roman"/>
          <w:lang w:val="pl-PL"/>
        </w:rPr>
        <w:t xml:space="preserve"> gospodarzami</w:t>
      </w:r>
      <w:r w:rsidR="00957239" w:rsidRPr="00B45853">
        <w:rPr>
          <w:rFonts w:ascii="Times New Roman" w:eastAsia="Times New Roman" w:hAnsi="Times New Roman" w:cs="Times New Roman"/>
          <w:lang w:val="pl-PL"/>
        </w:rPr>
        <w:t xml:space="preserve"> pozwoliła zidentyfikować i usunąć zniesławiające lub inną nielegalną mowę, podczas gdy w tym samym czasie umożliwiając</w:t>
      </w:r>
      <w:r w:rsidR="006709EB" w:rsidRPr="00B45853">
        <w:rPr>
          <w:rFonts w:ascii="Times New Roman" w:eastAsia="Times New Roman" w:hAnsi="Times New Roman" w:cs="Times New Roman"/>
          <w:lang w:val="pl-PL"/>
        </w:rPr>
        <w:t>ą</w:t>
      </w:r>
      <w:r w:rsidR="00957239" w:rsidRPr="00B45853">
        <w:rPr>
          <w:rFonts w:ascii="Times New Roman" w:eastAsia="Times New Roman" w:hAnsi="Times New Roman" w:cs="Times New Roman"/>
          <w:lang w:val="pl-PL"/>
        </w:rPr>
        <w:t xml:space="preserve"> solidną dyskusję na kontrowersyjn</w:t>
      </w:r>
      <w:r w:rsidR="006709EB" w:rsidRPr="00B45853">
        <w:rPr>
          <w:rFonts w:ascii="Times New Roman" w:eastAsia="Times New Roman" w:hAnsi="Times New Roman" w:cs="Times New Roman"/>
          <w:lang w:val="pl-PL"/>
        </w:rPr>
        <w:t>e tematy debaty publicznej; c</w:t>
      </w:r>
      <w:r w:rsidR="00957239" w:rsidRPr="00B45853">
        <w:rPr>
          <w:rFonts w:ascii="Times New Roman" w:eastAsia="Times New Roman" w:hAnsi="Times New Roman" w:cs="Times New Roman"/>
          <w:lang w:val="pl-PL"/>
        </w:rPr>
        <w:t xml:space="preserve">o </w:t>
      </w:r>
      <w:r w:rsidR="002C4DFD" w:rsidRPr="00B45853">
        <w:rPr>
          <w:rFonts w:ascii="Times New Roman" w:eastAsia="Times New Roman" w:hAnsi="Times New Roman" w:cs="Times New Roman"/>
          <w:lang w:val="pl-PL"/>
        </w:rPr>
        <w:t>uczyniło</w:t>
      </w:r>
      <w:r w:rsidR="00957239" w:rsidRPr="00B45853">
        <w:rPr>
          <w:rFonts w:ascii="Times New Roman" w:eastAsia="Times New Roman" w:hAnsi="Times New Roman" w:cs="Times New Roman"/>
          <w:lang w:val="pl-PL"/>
        </w:rPr>
        <w:t xml:space="preserve"> działanie platform </w:t>
      </w:r>
      <w:r w:rsidR="002C4DFD" w:rsidRPr="00B45853">
        <w:rPr>
          <w:rFonts w:ascii="Times New Roman" w:eastAsia="Times New Roman" w:hAnsi="Times New Roman" w:cs="Times New Roman"/>
          <w:lang w:val="pl-PL"/>
        </w:rPr>
        <w:t>hostingowych</w:t>
      </w:r>
      <w:r w:rsidR="006709EB" w:rsidRPr="00B45853">
        <w:rPr>
          <w:rFonts w:ascii="Times New Roman" w:eastAsia="Times New Roman" w:hAnsi="Times New Roman" w:cs="Times New Roman"/>
          <w:lang w:val="pl-PL"/>
        </w:rPr>
        <w:t>, na dużą skalę</w:t>
      </w:r>
      <w:r w:rsidR="00957239" w:rsidRPr="00B45853">
        <w:rPr>
          <w:rFonts w:ascii="Times New Roman" w:eastAsia="Times New Roman" w:hAnsi="Times New Roman" w:cs="Times New Roman"/>
          <w:lang w:val="pl-PL"/>
        </w:rPr>
        <w:t xml:space="preserve"> </w:t>
      </w:r>
      <w:r w:rsidR="002C4DFD" w:rsidRPr="00B45853">
        <w:rPr>
          <w:rFonts w:ascii="Times New Roman" w:eastAsia="Times New Roman" w:hAnsi="Times New Roman" w:cs="Times New Roman"/>
          <w:lang w:val="pl-PL"/>
        </w:rPr>
        <w:t>praktycznym</w:t>
      </w:r>
      <w:r w:rsidR="00A220C6" w:rsidRPr="00B45853">
        <w:rPr>
          <w:rFonts w:ascii="Times New Roman" w:eastAsia="Times New Roman" w:hAnsi="Times New Roman" w:cs="Times New Roman"/>
          <w:lang w:val="pl-PL"/>
        </w:rPr>
        <w:t>.</w:t>
      </w:r>
    </w:p>
    <w:p w:rsidR="00A220C6" w:rsidRPr="00B45853" w:rsidRDefault="00A220C6" w:rsidP="00171A6F">
      <w:pPr>
        <w:pStyle w:val="ECHRHeading2"/>
        <w:rPr>
          <w:rFonts w:ascii="Times New Roman" w:hAnsi="Times New Roman" w:cs="Times New Roman"/>
          <w:lang w:val="pl-PL"/>
        </w:rPr>
      </w:pPr>
      <w:bookmarkStart w:id="32" w:name="_Toc420072879"/>
      <w:r w:rsidRPr="00B45853">
        <w:rPr>
          <w:rFonts w:ascii="Times New Roman" w:hAnsi="Times New Roman" w:cs="Times New Roman"/>
          <w:lang w:val="pl-PL"/>
        </w:rPr>
        <w:t>D.  </w:t>
      </w:r>
      <w:bookmarkEnd w:id="32"/>
      <w:r w:rsidR="009A6155" w:rsidRPr="00B45853">
        <w:rPr>
          <w:rFonts w:ascii="Times New Roman" w:hAnsi="Times New Roman" w:cs="Times New Roman"/>
          <w:lang w:val="pl-PL"/>
        </w:rPr>
        <w:t>Ocena Trybunału</w:t>
      </w:r>
    </w:p>
    <w:p w:rsidR="00A220C6" w:rsidRPr="00B45853" w:rsidRDefault="00A220C6" w:rsidP="00171A6F">
      <w:pPr>
        <w:pStyle w:val="ECHRHeading3"/>
        <w:rPr>
          <w:rFonts w:ascii="Times New Roman" w:hAnsi="Times New Roman" w:cs="Times New Roman"/>
          <w:lang w:val="pl-PL"/>
        </w:rPr>
      </w:pPr>
      <w:bookmarkStart w:id="33" w:name="_Toc420072880"/>
      <w:r w:rsidRPr="00B45853">
        <w:rPr>
          <w:rFonts w:ascii="Times New Roman" w:hAnsi="Times New Roman" w:cs="Times New Roman"/>
          <w:lang w:val="pl-PL"/>
        </w:rPr>
        <w:t>1.  </w:t>
      </w:r>
      <w:bookmarkEnd w:id="33"/>
      <w:r w:rsidR="009A6155" w:rsidRPr="00B45853">
        <w:rPr>
          <w:rFonts w:ascii="Times New Roman" w:hAnsi="Times New Roman" w:cs="Times New Roman"/>
          <w:lang w:val="pl-PL"/>
        </w:rPr>
        <w:t>Uwagi wstępne i zakres oceny Trybunału</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C31381">
        <w:rPr>
          <w:rFonts w:ascii="Times New Roman" w:hAnsi="Times New Roman" w:cs="Times New Roman"/>
          <w:lang w:val="pl-PL"/>
        </w:rPr>
        <w:t>Trybunał</w:t>
      </w:r>
      <w:r w:rsidR="009A6155" w:rsidRPr="00B45853">
        <w:rPr>
          <w:rFonts w:ascii="Times New Roman" w:hAnsi="Times New Roman" w:cs="Times New Roman"/>
          <w:lang w:val="pl-PL"/>
        </w:rPr>
        <w:t xml:space="preserve"> zauważa na wstępie, że wyraziste aktywności użytkownika generowane przez Internet zapewniają bezprecedensową platformę do korzystania z wolności wypowiedzi. To jest bezdyskusyjne i zostało uznane przez Trybunał przy poprzednich okazjach</w:t>
      </w:r>
      <w:r w:rsidR="00A220C6" w:rsidRPr="00B45853">
        <w:rPr>
          <w:rFonts w:ascii="Times New Roman" w:hAnsi="Times New Roman" w:cs="Times New Roman"/>
          <w:lang w:val="pl-PL"/>
        </w:rPr>
        <w:t xml:space="preserve"> (</w:t>
      </w:r>
      <w:r w:rsidR="009A6155"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Ahmet</w:t>
      </w:r>
      <w:proofErr w:type="spellEnd"/>
      <w:r w:rsidR="00A220C6" w:rsidRPr="00B45853">
        <w:rPr>
          <w:rFonts w:ascii="Times New Roman" w:hAnsi="Times New Roman" w:cs="Times New Roman"/>
          <w:i/>
          <w:lang w:val="pl-PL"/>
        </w:rPr>
        <w:t xml:space="preserve"> </w:t>
      </w:r>
      <w:proofErr w:type="spellStart"/>
      <w:r w:rsidR="009A6155" w:rsidRPr="00B45853">
        <w:rPr>
          <w:rFonts w:ascii="Times New Roman" w:hAnsi="Times New Roman" w:cs="Times New Roman"/>
          <w:i/>
          <w:lang w:val="pl-PL"/>
        </w:rPr>
        <w:t>Yıldırım</w:t>
      </w:r>
      <w:proofErr w:type="spellEnd"/>
      <w:r w:rsidR="009A6155"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Tur</w:t>
      </w:r>
      <w:r w:rsidR="009A6155" w:rsidRPr="00B45853">
        <w:rPr>
          <w:rFonts w:ascii="Times New Roman" w:hAnsi="Times New Roman" w:cs="Times New Roman"/>
          <w:i/>
          <w:lang w:val="pl-PL"/>
        </w:rPr>
        <w:t>cji</w:t>
      </w:r>
      <w:r w:rsidR="009A6155" w:rsidRPr="00B45853">
        <w:rPr>
          <w:rFonts w:ascii="Times New Roman" w:hAnsi="Times New Roman" w:cs="Times New Roman"/>
          <w:lang w:val="pl-PL"/>
        </w:rPr>
        <w:t>, nr</w:t>
      </w:r>
      <w:r w:rsidR="00A220C6" w:rsidRPr="00B45853">
        <w:rPr>
          <w:rFonts w:ascii="Times New Roman" w:hAnsi="Times New Roman" w:cs="Times New Roman"/>
          <w:lang w:val="pl-PL"/>
        </w:rPr>
        <w:t xml:space="preserve"> 3111/10, § 48,</w:t>
      </w:r>
      <w:r w:rsidR="00A220C6" w:rsidRPr="00B45853">
        <w:rPr>
          <w:rFonts w:ascii="Times New Roman" w:hAnsi="Times New Roman" w:cs="Times New Roman"/>
          <w:snapToGrid w:val="0"/>
          <w:lang w:val="pl-PL"/>
        </w:rPr>
        <w:t xml:space="preserve"> ECHR 2012</w:t>
      </w:r>
      <w:r w:rsidR="00A220C6" w:rsidRPr="00B45853">
        <w:rPr>
          <w:rFonts w:ascii="Times New Roman" w:hAnsi="Times New Roman" w:cs="Times New Roman"/>
          <w:lang w:val="pl-PL"/>
        </w:rPr>
        <w:t xml:space="preserve">, </w:t>
      </w:r>
      <w:r w:rsidR="009A6155" w:rsidRPr="00B45853">
        <w:rPr>
          <w:rFonts w:ascii="Times New Roman" w:hAnsi="Times New Roman" w:cs="Times New Roman"/>
          <w:lang w:val="pl-PL"/>
        </w:rPr>
        <w:t>i</w:t>
      </w:r>
      <w:r w:rsidR="00A220C6" w:rsidRPr="00B45853">
        <w:rPr>
          <w:rFonts w:ascii="Times New Roman" w:hAnsi="Times New Roman" w:cs="Times New Roman"/>
          <w:lang w:val="pl-PL"/>
        </w:rPr>
        <w:t xml:space="preserve"> </w:t>
      </w:r>
      <w:r w:rsidR="009A6155" w:rsidRPr="00B45853">
        <w:rPr>
          <w:rFonts w:ascii="Times New Roman" w:hAnsi="Times New Roman" w:cs="Times New Roman"/>
          <w:i/>
          <w:lang w:val="pl-PL"/>
        </w:rPr>
        <w:t xml:space="preserve">Times </w:t>
      </w:r>
      <w:proofErr w:type="spellStart"/>
      <w:r w:rsidR="009A6155" w:rsidRPr="00B45853">
        <w:rPr>
          <w:rFonts w:ascii="Times New Roman" w:hAnsi="Times New Roman" w:cs="Times New Roman"/>
          <w:i/>
          <w:lang w:val="pl-PL"/>
        </w:rPr>
        <w:t>Newspapers</w:t>
      </w:r>
      <w:proofErr w:type="spellEnd"/>
      <w:r w:rsidR="009A6155" w:rsidRPr="00B45853">
        <w:rPr>
          <w:rFonts w:ascii="Times New Roman" w:hAnsi="Times New Roman" w:cs="Times New Roman"/>
          <w:i/>
          <w:lang w:val="pl-PL"/>
        </w:rPr>
        <w:t xml:space="preserve"> </w:t>
      </w:r>
      <w:proofErr w:type="spellStart"/>
      <w:r w:rsidR="009A6155" w:rsidRPr="00B45853">
        <w:rPr>
          <w:rFonts w:ascii="Times New Roman" w:hAnsi="Times New Roman" w:cs="Times New Roman"/>
          <w:i/>
          <w:lang w:val="pl-PL"/>
        </w:rPr>
        <w:t>Ltd</w:t>
      </w:r>
      <w:proofErr w:type="spellEnd"/>
      <w:r w:rsidR="009A6155" w:rsidRPr="00B45853">
        <w:rPr>
          <w:rFonts w:ascii="Times New Roman" w:hAnsi="Times New Roman" w:cs="Times New Roman"/>
          <w:i/>
          <w:lang w:val="pl-PL"/>
        </w:rPr>
        <w:t xml:space="preserve"> (nr</w:t>
      </w:r>
      <w:r w:rsidR="00A220C6" w:rsidRPr="00B45853">
        <w:rPr>
          <w:rFonts w:ascii="Times New Roman" w:hAnsi="Times New Roman" w:cs="Times New Roman"/>
          <w:i/>
          <w:lang w:val="pl-PL"/>
        </w:rPr>
        <w:t xml:space="preserve"> 1 and 2) </w:t>
      </w:r>
      <w:r w:rsidR="009A6155" w:rsidRPr="00B45853">
        <w:rPr>
          <w:rFonts w:ascii="Times New Roman" w:hAnsi="Times New Roman" w:cs="Times New Roman"/>
          <w:i/>
          <w:lang w:val="pl-PL"/>
        </w:rPr>
        <w:t>przeciwko</w:t>
      </w:r>
      <w:r w:rsidR="00A220C6" w:rsidRPr="00B45853">
        <w:rPr>
          <w:rFonts w:ascii="Times New Roman" w:hAnsi="Times New Roman" w:cs="Times New Roman"/>
          <w:i/>
          <w:lang w:val="pl-PL"/>
        </w:rPr>
        <w:t xml:space="preserve"> </w:t>
      </w:r>
      <w:r w:rsidR="009A6155" w:rsidRPr="00B45853">
        <w:rPr>
          <w:rFonts w:ascii="Times New Roman" w:hAnsi="Times New Roman" w:cs="Times New Roman"/>
          <w:i/>
          <w:lang w:val="pl-PL"/>
        </w:rPr>
        <w:t>Wielkiej Brytanii</w:t>
      </w:r>
      <w:r w:rsidR="00A220C6" w:rsidRPr="00B45853">
        <w:rPr>
          <w:rFonts w:ascii="Times New Roman" w:hAnsi="Times New Roman" w:cs="Times New Roman"/>
          <w:lang w:val="pl-PL"/>
        </w:rPr>
        <w:t>,</w:t>
      </w:r>
      <w:r w:rsidR="009A6155" w:rsidRPr="00B45853">
        <w:rPr>
          <w:rFonts w:ascii="Times New Roman" w:hAnsi="Times New Roman" w:cs="Times New Roman"/>
          <w:lang w:val="pl-PL"/>
        </w:rPr>
        <w:t xml:space="preserve"> nr 3002/03 i</w:t>
      </w:r>
      <w:r w:rsidR="00A220C6" w:rsidRPr="00B45853">
        <w:rPr>
          <w:rFonts w:ascii="Times New Roman" w:hAnsi="Times New Roman" w:cs="Times New Roman"/>
          <w:lang w:val="pl-PL"/>
        </w:rPr>
        <w:t xml:space="preserve"> 23676/03, § 27, ECHR 2009). </w:t>
      </w:r>
      <w:r w:rsidR="009A6155" w:rsidRPr="00B45853">
        <w:rPr>
          <w:rFonts w:ascii="Times New Roman" w:hAnsi="Times New Roman" w:cs="Times New Roman"/>
          <w:lang w:val="pl-PL"/>
        </w:rPr>
        <w:t xml:space="preserve">Jednak obok tych </w:t>
      </w:r>
      <w:r w:rsidR="00647527" w:rsidRPr="00AD5925">
        <w:rPr>
          <w:rFonts w:ascii="Times New Roman" w:hAnsi="Times New Roman" w:cs="Times New Roman"/>
          <w:lang w:val="pl-PL"/>
        </w:rPr>
        <w:t>korzyści</w:t>
      </w:r>
      <w:r w:rsidR="009A6155" w:rsidRPr="00B45853">
        <w:rPr>
          <w:rFonts w:ascii="Times New Roman" w:hAnsi="Times New Roman" w:cs="Times New Roman"/>
          <w:lang w:val="pl-PL"/>
        </w:rPr>
        <w:t xml:space="preserve">, </w:t>
      </w:r>
      <w:r w:rsidR="006709EB" w:rsidRPr="00B45853">
        <w:rPr>
          <w:rFonts w:ascii="Times New Roman" w:hAnsi="Times New Roman" w:cs="Times New Roman"/>
          <w:lang w:val="pl-PL"/>
        </w:rPr>
        <w:t>konkretne</w:t>
      </w:r>
      <w:r w:rsidR="009A6155" w:rsidRPr="00B45853">
        <w:rPr>
          <w:rFonts w:ascii="Times New Roman" w:hAnsi="Times New Roman" w:cs="Times New Roman"/>
          <w:lang w:val="pl-PL"/>
        </w:rPr>
        <w:t xml:space="preserve"> zagrożenia mogą się pojawić. Zniesławiające i inne rodzaje wyraźnie bezprawne</w:t>
      </w:r>
      <w:r w:rsidR="00355FE1" w:rsidRPr="00B45853">
        <w:rPr>
          <w:rFonts w:ascii="Times New Roman" w:hAnsi="Times New Roman" w:cs="Times New Roman"/>
          <w:lang w:val="pl-PL"/>
        </w:rPr>
        <w:t>j mowy, w tym mowa nienawiści i mowa nawołująca</w:t>
      </w:r>
      <w:r w:rsidR="009A6155" w:rsidRPr="00B45853">
        <w:rPr>
          <w:rFonts w:ascii="Times New Roman" w:hAnsi="Times New Roman" w:cs="Times New Roman"/>
          <w:lang w:val="pl-PL"/>
        </w:rPr>
        <w:t xml:space="preserve"> do przemocy, mogą być rozpowszechniane, ja</w:t>
      </w:r>
      <w:r w:rsidR="004914E5">
        <w:rPr>
          <w:rFonts w:ascii="Times New Roman" w:hAnsi="Times New Roman" w:cs="Times New Roman"/>
          <w:lang w:val="pl-PL"/>
        </w:rPr>
        <w:t>k nigdy dotąd, na całym świecie</w:t>
      </w:r>
      <w:r w:rsidR="009A6155" w:rsidRPr="00B45853">
        <w:rPr>
          <w:rFonts w:ascii="Times New Roman" w:hAnsi="Times New Roman" w:cs="Times New Roman"/>
          <w:lang w:val="pl-PL"/>
        </w:rPr>
        <w:t xml:space="preserve"> w ciągu kilku sekund, a niekiedy pozostają sta</w:t>
      </w:r>
      <w:r w:rsidR="00355FE1" w:rsidRPr="00B45853">
        <w:rPr>
          <w:rFonts w:ascii="Times New Roman" w:hAnsi="Times New Roman" w:cs="Times New Roman"/>
          <w:lang w:val="pl-PL"/>
        </w:rPr>
        <w:t>le dostępne w Internecie. Te dwie</w:t>
      </w:r>
      <w:r w:rsidR="009A6155" w:rsidRPr="00B45853">
        <w:rPr>
          <w:rFonts w:ascii="Times New Roman" w:hAnsi="Times New Roman" w:cs="Times New Roman"/>
          <w:lang w:val="pl-PL"/>
        </w:rPr>
        <w:t xml:space="preserve"> sprzeczne rzeczywis</w:t>
      </w:r>
      <w:r w:rsidR="00355FE1" w:rsidRPr="00B45853">
        <w:rPr>
          <w:rFonts w:ascii="Times New Roman" w:hAnsi="Times New Roman" w:cs="Times New Roman"/>
          <w:lang w:val="pl-PL"/>
        </w:rPr>
        <w:t>tości leżą u podstaw tej sprawy</w:t>
      </w:r>
      <w:r w:rsidR="009A6155" w:rsidRPr="00B45853">
        <w:rPr>
          <w:rFonts w:ascii="Times New Roman" w:hAnsi="Times New Roman" w:cs="Times New Roman"/>
          <w:lang w:val="pl-PL"/>
        </w:rPr>
        <w:t xml:space="preserve">. Mając na uwadze konieczność ochrony wartości leżących u podstaw Konwencji, a biorąc pod uwagę, że prawa wynikające z artykułu 10 i 8 Konwencji zasługują na taki sam szacunek, </w:t>
      </w:r>
      <w:r w:rsidR="00722328" w:rsidRPr="00B45853">
        <w:rPr>
          <w:rFonts w:ascii="Times New Roman" w:hAnsi="Times New Roman" w:cs="Times New Roman"/>
          <w:lang w:val="pl-PL"/>
        </w:rPr>
        <w:t xml:space="preserve">musi być ustalona </w:t>
      </w:r>
      <w:r w:rsidR="009A6155" w:rsidRPr="00B45853">
        <w:rPr>
          <w:rFonts w:ascii="Times New Roman" w:hAnsi="Times New Roman" w:cs="Times New Roman"/>
          <w:lang w:val="pl-PL"/>
        </w:rPr>
        <w:t>równowaga</w:t>
      </w:r>
      <w:r w:rsidR="00A5162C" w:rsidRPr="00B45853">
        <w:rPr>
          <w:rFonts w:ascii="Times New Roman" w:hAnsi="Times New Roman" w:cs="Times New Roman"/>
          <w:lang w:val="pl-PL"/>
        </w:rPr>
        <w:t>,</w:t>
      </w:r>
      <w:r w:rsidR="009A6155" w:rsidRPr="00B45853">
        <w:rPr>
          <w:rFonts w:ascii="Times New Roman" w:hAnsi="Times New Roman" w:cs="Times New Roman"/>
          <w:lang w:val="pl-PL"/>
        </w:rPr>
        <w:t xml:space="preserve"> </w:t>
      </w:r>
      <w:r w:rsidR="00355FE1" w:rsidRPr="00B45853">
        <w:rPr>
          <w:rFonts w:ascii="Times New Roman" w:hAnsi="Times New Roman" w:cs="Times New Roman"/>
          <w:lang w:val="pl-PL"/>
        </w:rPr>
        <w:t>która</w:t>
      </w:r>
      <w:r w:rsidR="009A6155" w:rsidRPr="00B45853">
        <w:rPr>
          <w:rFonts w:ascii="Times New Roman" w:hAnsi="Times New Roman" w:cs="Times New Roman"/>
          <w:lang w:val="pl-PL"/>
        </w:rPr>
        <w:t xml:space="preserve"> zachow</w:t>
      </w:r>
      <w:r w:rsidR="00355FE1" w:rsidRPr="00B45853">
        <w:rPr>
          <w:rFonts w:ascii="Times New Roman" w:hAnsi="Times New Roman" w:cs="Times New Roman"/>
          <w:lang w:val="pl-PL"/>
        </w:rPr>
        <w:t>a</w:t>
      </w:r>
      <w:r w:rsidR="009A6155" w:rsidRPr="00B45853">
        <w:rPr>
          <w:rFonts w:ascii="Times New Roman" w:hAnsi="Times New Roman" w:cs="Times New Roman"/>
          <w:lang w:val="pl-PL"/>
        </w:rPr>
        <w:t xml:space="preserve"> istotę obu </w:t>
      </w:r>
      <w:r w:rsidR="009A6155" w:rsidRPr="00B45853">
        <w:rPr>
          <w:rFonts w:ascii="Times New Roman" w:hAnsi="Times New Roman" w:cs="Times New Roman"/>
          <w:lang w:val="pl-PL"/>
        </w:rPr>
        <w:lastRenderedPageBreak/>
        <w:t>praw. Tak więc, podczas gdy sąd uznaje, że istotne korzyści można uzyskać z Internetu przy korzystaniu z wolności wypowiedzi, ale także świadomość, że odpowiedzialność z</w:t>
      </w:r>
      <w:r w:rsidR="00647527">
        <w:rPr>
          <w:rFonts w:ascii="Times New Roman" w:hAnsi="Times New Roman" w:cs="Times New Roman"/>
          <w:lang w:val="pl-PL"/>
        </w:rPr>
        <w:t xml:space="preserve">a oszczercze lub </w:t>
      </w:r>
      <w:r w:rsidR="00647527" w:rsidRPr="00AD5925">
        <w:rPr>
          <w:rFonts w:ascii="Times New Roman" w:hAnsi="Times New Roman" w:cs="Times New Roman"/>
          <w:lang w:val="pl-PL"/>
        </w:rPr>
        <w:t>inne</w:t>
      </w:r>
      <w:r w:rsidR="00355FE1" w:rsidRPr="00647527">
        <w:rPr>
          <w:rFonts w:ascii="Times New Roman" w:hAnsi="Times New Roman" w:cs="Times New Roman"/>
          <w:color w:val="FF0000"/>
          <w:lang w:val="pl-PL"/>
        </w:rPr>
        <w:t xml:space="preserve"> </w:t>
      </w:r>
      <w:r w:rsidR="00355FE1" w:rsidRPr="00B45853">
        <w:rPr>
          <w:rFonts w:ascii="Times New Roman" w:hAnsi="Times New Roman" w:cs="Times New Roman"/>
          <w:lang w:val="pl-PL"/>
        </w:rPr>
        <w:t>rodzaje bezprawnej mowy musi,</w:t>
      </w:r>
      <w:r w:rsidR="009A6155" w:rsidRPr="00B45853">
        <w:rPr>
          <w:rFonts w:ascii="Times New Roman" w:hAnsi="Times New Roman" w:cs="Times New Roman"/>
          <w:lang w:val="pl-PL"/>
        </w:rPr>
        <w:t xml:space="preserve"> </w:t>
      </w:r>
      <w:r w:rsidR="00355FE1" w:rsidRPr="00B45853">
        <w:rPr>
          <w:rFonts w:ascii="Times New Roman" w:hAnsi="Times New Roman" w:cs="Times New Roman"/>
          <w:lang w:val="pl-PL"/>
        </w:rPr>
        <w:t>w zasadzie, zostać zachowana</w:t>
      </w:r>
      <w:r w:rsidR="009A6155" w:rsidRPr="00B45853">
        <w:rPr>
          <w:rFonts w:ascii="Times New Roman" w:hAnsi="Times New Roman" w:cs="Times New Roman"/>
          <w:lang w:val="pl-PL"/>
        </w:rPr>
        <w:t xml:space="preserve"> i stanowić skuteczny środek </w:t>
      </w:r>
      <w:r w:rsidR="00355FE1" w:rsidRPr="00B45853">
        <w:rPr>
          <w:rFonts w:ascii="Times New Roman" w:hAnsi="Times New Roman" w:cs="Times New Roman"/>
          <w:lang w:val="pl-PL"/>
        </w:rPr>
        <w:t>przeciwko naruszeniu</w:t>
      </w:r>
      <w:r w:rsidR="009A6155" w:rsidRPr="00B45853">
        <w:rPr>
          <w:rFonts w:ascii="Times New Roman" w:hAnsi="Times New Roman" w:cs="Times New Roman"/>
          <w:lang w:val="pl-PL"/>
        </w:rPr>
        <w:t xml:space="preserve"> dóbr osobistych</w:t>
      </w:r>
      <w:r w:rsidR="00A220C6"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111</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55FE1" w:rsidRPr="00B45853">
        <w:rPr>
          <w:rFonts w:ascii="Times New Roman" w:hAnsi="Times New Roman" w:cs="Times New Roman"/>
          <w:lang w:val="pl-PL"/>
        </w:rPr>
        <w:t>Na tej podstawie, w szczególności biorąc pod uwagę, że jest to pierwszy przypadek, w którym Trybunał został wezwany do zbadania skargi tego typu w rozwijającej się dziedzinie innowacji technologicznych, Trybunał uważa, że należy wyznaczyć zakres jego dochodzenia w świetle stanu faktycznego niniejszej sprawy</w:t>
      </w:r>
      <w:r w:rsidR="00A220C6" w:rsidRPr="00B45853">
        <w:rPr>
          <w:rFonts w:ascii="Times New Roman" w:hAnsi="Times New Roman" w:cs="Times New Roman"/>
          <w:lang w:val="pl-PL"/>
        </w:rPr>
        <w:t>.</w:t>
      </w:r>
    </w:p>
    <w:p w:rsidR="00A220C6" w:rsidRPr="00AD5925"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55FE1" w:rsidRPr="00B45853">
        <w:rPr>
          <w:rFonts w:ascii="Times New Roman" w:hAnsi="Times New Roman" w:cs="Times New Roman"/>
          <w:lang w:val="pl-PL"/>
        </w:rPr>
        <w:t xml:space="preserve">Po pierwsze, należy zauważyć, że Sąd Najwyższy rozpoznał </w:t>
      </w:r>
      <w:r w:rsidR="006F7252" w:rsidRPr="00B45853">
        <w:rPr>
          <w:rFonts w:ascii="Times New Roman" w:hAnsi="Times New Roman" w:cs="Times New Roman"/>
          <w:lang w:val="pl-PL"/>
        </w:rPr>
        <w:t>(</w:t>
      </w:r>
      <w:r w:rsidR="00355FE1" w:rsidRPr="00B45853">
        <w:rPr>
          <w:rFonts w:ascii="Times New Roman" w:hAnsi="Times New Roman" w:cs="Times New Roman"/>
          <w:lang w:val="pl-PL"/>
        </w:rPr>
        <w:t>zobacz</w:t>
      </w:r>
      <w:r w:rsidR="006F7252" w:rsidRPr="00B45853">
        <w:rPr>
          <w:rFonts w:ascii="Times New Roman" w:hAnsi="Times New Roman" w:cs="Times New Roman"/>
          <w:lang w:val="pl-PL"/>
        </w:rPr>
        <w:t xml:space="preserve"> § </w:t>
      </w:r>
      <w:r w:rsidR="00A220C6" w:rsidRPr="00B45853">
        <w:rPr>
          <w:rFonts w:ascii="Times New Roman" w:hAnsi="Times New Roman" w:cs="Times New Roman"/>
          <w:lang w:val="pl-PL"/>
        </w:rPr>
        <w:t xml:space="preserve">14 </w:t>
      </w:r>
      <w:r w:rsidR="00355FE1" w:rsidRPr="00B45853">
        <w:rPr>
          <w:rFonts w:ascii="Times New Roman" w:hAnsi="Times New Roman" w:cs="Times New Roman"/>
          <w:lang w:val="pl-PL"/>
        </w:rPr>
        <w:t>wyroku z dnia</w:t>
      </w:r>
      <w:r w:rsidR="00A220C6" w:rsidRPr="00B45853">
        <w:rPr>
          <w:rFonts w:ascii="Times New Roman" w:hAnsi="Times New Roman" w:cs="Times New Roman"/>
          <w:lang w:val="pl-PL"/>
        </w:rPr>
        <w:t xml:space="preserve"> 10 </w:t>
      </w:r>
      <w:r w:rsidR="00355FE1" w:rsidRPr="00B45853">
        <w:rPr>
          <w:rFonts w:ascii="Times New Roman" w:hAnsi="Times New Roman" w:cs="Times New Roman"/>
          <w:lang w:val="pl-PL"/>
        </w:rPr>
        <w:t>Czerwca</w:t>
      </w:r>
      <w:r w:rsidR="00A220C6" w:rsidRPr="00B45853">
        <w:rPr>
          <w:rFonts w:ascii="Times New Roman" w:hAnsi="Times New Roman" w:cs="Times New Roman"/>
          <w:lang w:val="pl-PL"/>
        </w:rPr>
        <w:t xml:space="preserve"> 2009</w:t>
      </w:r>
      <w:r w:rsidR="00355FE1" w:rsidRPr="00B45853">
        <w:rPr>
          <w:rFonts w:ascii="Times New Roman" w:hAnsi="Times New Roman" w:cs="Times New Roman"/>
          <w:lang w:val="pl-PL"/>
        </w:rPr>
        <w:t xml:space="preserve"> roku</w:t>
      </w:r>
      <w:r w:rsidR="00A5162C" w:rsidRPr="00B45853">
        <w:rPr>
          <w:rFonts w:ascii="Times New Roman" w:hAnsi="Times New Roman" w:cs="Times New Roman"/>
          <w:lang w:val="pl-PL"/>
        </w:rPr>
        <w:t>,</w:t>
      </w:r>
      <w:r w:rsidR="00A220C6" w:rsidRPr="00B45853">
        <w:rPr>
          <w:rFonts w:ascii="Times New Roman" w:hAnsi="Times New Roman" w:cs="Times New Roman"/>
          <w:lang w:val="pl-PL"/>
        </w:rPr>
        <w:t xml:space="preserve"> </w:t>
      </w:r>
      <w:r w:rsidR="00355FE1" w:rsidRPr="00B45853">
        <w:rPr>
          <w:rFonts w:ascii="Times New Roman" w:hAnsi="Times New Roman" w:cs="Times New Roman"/>
          <w:lang w:val="pl-PL"/>
        </w:rPr>
        <w:t>jak określono w paragrafie</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31</w:t>
      </w:r>
      <w:r w:rsidR="00A220C6" w:rsidRPr="00B45853">
        <w:rPr>
          <w:rFonts w:ascii="Times New Roman" w:hAnsi="Times New Roman" w:cs="Times New Roman"/>
          <w:lang w:val="pl-PL"/>
        </w:rPr>
        <w:t xml:space="preserve"> </w:t>
      </w:r>
      <w:r w:rsidR="00355FE1" w:rsidRPr="00B45853">
        <w:rPr>
          <w:rFonts w:ascii="Times New Roman" w:hAnsi="Times New Roman" w:cs="Times New Roman"/>
          <w:lang w:val="pl-PL"/>
        </w:rPr>
        <w:t>powyżej</w:t>
      </w:r>
      <w:r w:rsidR="00A220C6" w:rsidRPr="00B45853">
        <w:rPr>
          <w:rFonts w:ascii="Times New Roman" w:hAnsi="Times New Roman" w:cs="Times New Roman"/>
          <w:lang w:val="pl-PL"/>
        </w:rPr>
        <w:t>)</w:t>
      </w:r>
      <w:r w:rsidR="00355FE1" w:rsidRPr="00B45853">
        <w:rPr>
          <w:rFonts w:ascii="Times New Roman" w:hAnsi="Times New Roman" w:cs="Times New Roman"/>
          <w:lang w:val="pl-PL"/>
        </w:rPr>
        <w:t>, że</w:t>
      </w:r>
      <w:r w:rsidR="00A220C6" w:rsidRPr="00B45853">
        <w:rPr>
          <w:rFonts w:ascii="Times New Roman" w:hAnsi="Times New Roman" w:cs="Times New Roman"/>
          <w:lang w:val="pl-PL"/>
        </w:rPr>
        <w:t xml:space="preserve"> “[p]</w:t>
      </w:r>
      <w:proofErr w:type="spellStart"/>
      <w:r w:rsidR="00355FE1" w:rsidRPr="00B45853">
        <w:rPr>
          <w:rFonts w:ascii="Times New Roman" w:hAnsi="Times New Roman" w:cs="Times New Roman"/>
          <w:bCs/>
          <w:lang w:val="pl-PL"/>
        </w:rPr>
        <w:t>ublikacja</w:t>
      </w:r>
      <w:proofErr w:type="spellEnd"/>
      <w:r w:rsidR="00A220C6" w:rsidRPr="00B45853">
        <w:rPr>
          <w:rFonts w:ascii="Times New Roman" w:hAnsi="Times New Roman" w:cs="Times New Roman"/>
          <w:bCs/>
          <w:lang w:val="pl-PL"/>
        </w:rPr>
        <w:t xml:space="preserve"> </w:t>
      </w:r>
      <w:r w:rsidR="00355FE1" w:rsidRPr="00B45853">
        <w:rPr>
          <w:rFonts w:ascii="Times New Roman" w:hAnsi="Times New Roman" w:cs="Times New Roman"/>
          <w:bCs/>
          <w:lang w:val="pl-PL"/>
        </w:rPr>
        <w:t xml:space="preserve">wiadomości i komentarzy na portalu internetowym jest również działalnością dziennikarską. Jednocześnie, ze względu na charakter przekazu internetowego, nie może być wymagane od operatora portalu edytowanie komentarzy przed opublikowaniem ich w ten sam sposób, jak odnosi się to do publikacji drukowanych mediów. Choć wydawca </w:t>
      </w:r>
      <w:r w:rsidR="00A220C6" w:rsidRPr="00B45853">
        <w:rPr>
          <w:rFonts w:ascii="Times New Roman" w:hAnsi="Times New Roman" w:cs="Times New Roman"/>
          <w:lang w:val="pl-PL"/>
        </w:rPr>
        <w:t>[</w:t>
      </w:r>
      <w:r w:rsidR="00355FE1" w:rsidRPr="00B45853">
        <w:rPr>
          <w:rFonts w:ascii="Times New Roman" w:hAnsi="Times New Roman" w:cs="Times New Roman"/>
          <w:lang w:val="pl-PL"/>
        </w:rPr>
        <w:t>publikacji w mediach drukowanych</w:t>
      </w:r>
      <w:r w:rsidR="00A220C6" w:rsidRPr="00B45853">
        <w:rPr>
          <w:rFonts w:ascii="Times New Roman" w:hAnsi="Times New Roman" w:cs="Times New Roman"/>
          <w:lang w:val="pl-PL"/>
        </w:rPr>
        <w:t xml:space="preserve">] </w:t>
      </w:r>
      <w:r w:rsidR="00355FE1" w:rsidRPr="00B45853">
        <w:rPr>
          <w:rFonts w:ascii="Times New Roman" w:hAnsi="Times New Roman" w:cs="Times New Roman"/>
          <w:lang w:val="pl-PL"/>
        </w:rPr>
        <w:t>jest poprzez edycję, inicjatorem publikacji komentarza, na portalu internetowym inicjatorem publikacji jest autor komentarza, który czyni go dostępnym dla ogółu społeczeńs</w:t>
      </w:r>
      <w:r w:rsidR="00A5162C" w:rsidRPr="00B45853">
        <w:rPr>
          <w:rFonts w:ascii="Times New Roman" w:hAnsi="Times New Roman" w:cs="Times New Roman"/>
          <w:lang w:val="pl-PL"/>
        </w:rPr>
        <w:t>twa za pośrednictwem portalu</w:t>
      </w:r>
      <w:r w:rsidR="00355FE1" w:rsidRPr="00B45853">
        <w:rPr>
          <w:rFonts w:ascii="Times New Roman" w:hAnsi="Times New Roman" w:cs="Times New Roman"/>
          <w:lang w:val="pl-PL"/>
        </w:rPr>
        <w:t xml:space="preserve">, w związku z tym operator portalu jest osobą, której </w:t>
      </w:r>
      <w:r w:rsidR="00355FE1" w:rsidRPr="00AD5925">
        <w:rPr>
          <w:rFonts w:ascii="Times New Roman" w:hAnsi="Times New Roman" w:cs="Times New Roman"/>
          <w:lang w:val="pl-PL"/>
        </w:rPr>
        <w:t xml:space="preserve">informacje są ujawniane. Ze względu na </w:t>
      </w:r>
      <w:r w:rsidR="00A220C6" w:rsidRPr="00AD5925">
        <w:rPr>
          <w:rFonts w:ascii="Times New Roman" w:hAnsi="Times New Roman" w:cs="Times New Roman"/>
          <w:lang w:val="pl-PL"/>
        </w:rPr>
        <w:t>[</w:t>
      </w:r>
      <w:r w:rsidR="00355FE1" w:rsidRPr="00AD5925">
        <w:rPr>
          <w:rFonts w:ascii="Times New Roman" w:hAnsi="Times New Roman" w:cs="Times New Roman"/>
          <w:lang w:val="pl-PL"/>
        </w:rPr>
        <w:t>ich</w:t>
      </w:r>
      <w:r w:rsidR="00A220C6" w:rsidRPr="00AD5925">
        <w:rPr>
          <w:rFonts w:ascii="Times New Roman" w:hAnsi="Times New Roman" w:cs="Times New Roman"/>
          <w:lang w:val="pl-PL"/>
        </w:rPr>
        <w:t xml:space="preserve">] </w:t>
      </w:r>
      <w:r w:rsidR="00355FE1" w:rsidRPr="00AD5925">
        <w:rPr>
          <w:rFonts w:ascii="Times New Roman" w:hAnsi="Times New Roman" w:cs="Times New Roman"/>
          <w:lang w:val="pl-PL"/>
        </w:rPr>
        <w:t xml:space="preserve">interes gospodarczy w publikacji </w:t>
      </w:r>
      <w:r w:rsidR="00647527" w:rsidRPr="00AD5925">
        <w:rPr>
          <w:rFonts w:ascii="Times New Roman" w:hAnsi="Times New Roman" w:cs="Times New Roman"/>
          <w:lang w:val="pl-PL"/>
        </w:rPr>
        <w:t>komentarzy</w:t>
      </w:r>
      <w:r w:rsidR="00355FE1" w:rsidRPr="00AD5925">
        <w:rPr>
          <w:rFonts w:ascii="Times New Roman" w:hAnsi="Times New Roman" w:cs="Times New Roman"/>
          <w:lang w:val="pl-PL"/>
        </w:rPr>
        <w:t>, zarówno wydawcy mediów drukowanych</w:t>
      </w:r>
      <w:r w:rsidR="00A5162C" w:rsidRPr="00AD5925">
        <w:rPr>
          <w:rFonts w:ascii="Times New Roman" w:hAnsi="Times New Roman" w:cs="Times New Roman"/>
          <w:lang w:val="pl-PL"/>
        </w:rPr>
        <w:t xml:space="preserve"> jak</w:t>
      </w:r>
      <w:r w:rsidR="00355FE1" w:rsidRPr="00AD5925">
        <w:rPr>
          <w:rFonts w:ascii="Times New Roman" w:hAnsi="Times New Roman" w:cs="Times New Roman"/>
          <w:lang w:val="pl-PL"/>
        </w:rPr>
        <w:t xml:space="preserve"> i operatorzy portali internetowych są </w:t>
      </w:r>
      <w:r w:rsidR="0040205E" w:rsidRPr="00AD5925">
        <w:rPr>
          <w:rFonts w:ascii="Times New Roman" w:hAnsi="Times New Roman" w:cs="Times New Roman"/>
          <w:lang w:val="pl-PL"/>
        </w:rPr>
        <w:t xml:space="preserve">tak </w:t>
      </w:r>
      <w:r w:rsidR="00722328" w:rsidRPr="00AD5925">
        <w:rPr>
          <w:rFonts w:ascii="Times New Roman" w:hAnsi="Times New Roman" w:cs="Times New Roman"/>
          <w:lang w:val="pl-PL"/>
        </w:rPr>
        <w:t>wydawcami/</w:t>
      </w:r>
      <w:r w:rsidR="00355FE1" w:rsidRPr="00AD5925">
        <w:rPr>
          <w:rFonts w:ascii="Times New Roman" w:hAnsi="Times New Roman" w:cs="Times New Roman"/>
          <w:lang w:val="pl-PL"/>
        </w:rPr>
        <w:t>u</w:t>
      </w:r>
      <w:r w:rsidR="0040205E" w:rsidRPr="00AD5925">
        <w:rPr>
          <w:rFonts w:ascii="Times New Roman" w:hAnsi="Times New Roman" w:cs="Times New Roman"/>
          <w:lang w:val="pl-PL"/>
        </w:rPr>
        <w:t>jawniającymi</w:t>
      </w:r>
      <w:r w:rsidR="00A5162C" w:rsidRPr="00AD5925">
        <w:rPr>
          <w:rFonts w:ascii="Times New Roman" w:hAnsi="Times New Roman" w:cs="Times New Roman"/>
          <w:lang w:val="pl-PL"/>
        </w:rPr>
        <w:t>,</w:t>
      </w:r>
      <w:r w:rsidR="0040205E" w:rsidRPr="00AD5925">
        <w:rPr>
          <w:rFonts w:ascii="Times New Roman" w:hAnsi="Times New Roman" w:cs="Times New Roman"/>
          <w:lang w:val="pl-PL"/>
        </w:rPr>
        <w:t xml:space="preserve"> jak i przedsiębiorcami</w:t>
      </w:r>
      <w:r w:rsidR="00355FE1" w:rsidRPr="00AD5925">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113</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1C653E" w:rsidRPr="00AD5925">
        <w:rPr>
          <w:rFonts w:ascii="Times New Roman" w:hAnsi="Times New Roman" w:cs="Times New Roman"/>
          <w:lang w:val="pl-PL"/>
        </w:rPr>
        <w:t>Trybunał nie widzi powodu, by podważyć powyższe rozróżnienie dokonane przez Sąd Najwyższy. Wręcz przeciwnie, punktem wyjścia rozważań Sądu Najwyższego, czyli uznanie różnic pomiędzy operatorem portalu i tradycyjnym wydawcą, jest zgodne z międzynarodowymi instrumentami w tej dziedzinie, które objawiają pewną</w:t>
      </w:r>
      <w:r w:rsidR="00722328" w:rsidRPr="00AD5925">
        <w:rPr>
          <w:rFonts w:ascii="Times New Roman" w:hAnsi="Times New Roman" w:cs="Times New Roman"/>
          <w:lang w:val="pl-PL"/>
        </w:rPr>
        <w:t xml:space="preserve"> dozę rozwoju</w:t>
      </w:r>
      <w:r w:rsidR="00722328" w:rsidRPr="00B45853">
        <w:rPr>
          <w:rFonts w:ascii="Times New Roman" w:hAnsi="Times New Roman" w:cs="Times New Roman"/>
          <w:lang w:val="pl-PL"/>
        </w:rPr>
        <w:t xml:space="preserve"> na rzecz rozróżnienia</w:t>
      </w:r>
      <w:r w:rsidR="001C653E" w:rsidRPr="00B45853">
        <w:rPr>
          <w:rFonts w:ascii="Times New Roman" w:hAnsi="Times New Roman" w:cs="Times New Roman"/>
          <w:lang w:val="pl-PL"/>
        </w:rPr>
        <w:t xml:space="preserve"> pomiędzy zasadami prawnymi regulującymi działalność tradycyjnych mediów drukowanych i audiowizualnych z jednej strony i operacji mediów internetowych </w:t>
      </w:r>
      <w:r w:rsidR="00722328" w:rsidRPr="00B45853">
        <w:rPr>
          <w:rFonts w:ascii="Times New Roman" w:hAnsi="Times New Roman" w:cs="Times New Roman"/>
          <w:lang w:val="pl-PL"/>
        </w:rPr>
        <w:t>z</w:t>
      </w:r>
      <w:r w:rsidR="001C653E" w:rsidRPr="00B45853">
        <w:rPr>
          <w:rFonts w:ascii="Times New Roman" w:hAnsi="Times New Roman" w:cs="Times New Roman"/>
          <w:lang w:val="pl-PL"/>
        </w:rPr>
        <w:t xml:space="preserve"> drug</w:t>
      </w:r>
      <w:r w:rsidR="00722328" w:rsidRPr="00B45853">
        <w:rPr>
          <w:rFonts w:ascii="Times New Roman" w:hAnsi="Times New Roman" w:cs="Times New Roman"/>
          <w:lang w:val="pl-PL"/>
        </w:rPr>
        <w:t>iej strony</w:t>
      </w:r>
      <w:r w:rsidR="001C653E" w:rsidRPr="00B45853">
        <w:rPr>
          <w:rFonts w:ascii="Times New Roman" w:hAnsi="Times New Roman" w:cs="Times New Roman"/>
          <w:lang w:val="pl-PL"/>
        </w:rPr>
        <w:t>. W niedawnym zaleceniu Komitetu Ministrów do państw członkowskich Rady Europy w</w:t>
      </w:r>
      <w:r w:rsidR="00A5162C" w:rsidRPr="00B45853">
        <w:rPr>
          <w:rFonts w:ascii="Times New Roman" w:hAnsi="Times New Roman" w:cs="Times New Roman"/>
          <w:lang w:val="pl-PL"/>
        </w:rPr>
        <w:t xml:space="preserve"> sprawie nowej koncepcji mediów</w:t>
      </w:r>
      <w:r w:rsidR="001C653E" w:rsidRPr="00B45853">
        <w:rPr>
          <w:rFonts w:ascii="Times New Roman" w:hAnsi="Times New Roman" w:cs="Times New Roman"/>
          <w:lang w:val="pl-PL"/>
        </w:rPr>
        <w:t xml:space="preserve"> jest to nazywane</w:t>
      </w:r>
      <w:r w:rsidR="00A220C6" w:rsidRPr="00B45853">
        <w:rPr>
          <w:rFonts w:ascii="Times New Roman" w:hAnsi="Times New Roman" w:cs="Times New Roman"/>
          <w:lang w:val="pl-PL"/>
        </w:rPr>
        <w:t xml:space="preserve"> “</w:t>
      </w:r>
      <w:r w:rsidR="001C653E" w:rsidRPr="00B45853">
        <w:rPr>
          <w:rFonts w:ascii="Times New Roman" w:hAnsi="Times New Roman" w:cs="Times New Roman"/>
          <w:lang w:val="pl-PL"/>
        </w:rPr>
        <w:t>zróżnicowanym i wielostopniowym podejściem [które] wymaga, aby każdy podmiot, którego usługi są identyfikowane jako nośniki lub jako pośrednia</w:t>
      </w:r>
      <w:r w:rsidR="00A5162C" w:rsidRPr="00B45853">
        <w:rPr>
          <w:rFonts w:ascii="Times New Roman" w:hAnsi="Times New Roman" w:cs="Times New Roman"/>
          <w:lang w:val="pl-PL"/>
        </w:rPr>
        <w:t>,</w:t>
      </w:r>
      <w:r w:rsidR="001C653E" w:rsidRPr="00B45853">
        <w:rPr>
          <w:rFonts w:ascii="Times New Roman" w:hAnsi="Times New Roman" w:cs="Times New Roman"/>
          <w:lang w:val="pl-PL"/>
        </w:rPr>
        <w:t xml:space="preserve"> lub pomocnicza aktywność korzystająca zarówno z odpowiedniej formy (zróżnicowana) i odpowiedniego poziomu (wielostopniowa) ochrony i </w:t>
      </w:r>
      <w:r w:rsidR="007010C2" w:rsidRPr="00B45853">
        <w:rPr>
          <w:rFonts w:ascii="Times New Roman" w:hAnsi="Times New Roman" w:cs="Times New Roman"/>
          <w:lang w:val="pl-PL"/>
        </w:rPr>
        <w:t xml:space="preserve">również </w:t>
      </w:r>
      <w:r w:rsidR="001C653E" w:rsidRPr="00B45853">
        <w:rPr>
          <w:rFonts w:ascii="Times New Roman" w:hAnsi="Times New Roman" w:cs="Times New Roman"/>
          <w:lang w:val="pl-PL"/>
        </w:rPr>
        <w:t>z  ograniczonej odpowiedzialności zgodnej z Artykułem 10 Europejskiej Konwencji o Ochronie Praw Człowieka i innych odpowiednich standardów opracowanych przez Radę Europy</w:t>
      </w:r>
      <w:r w:rsidR="00A220C6" w:rsidRPr="00B45853">
        <w:rPr>
          <w:rFonts w:ascii="Times New Roman" w:hAnsi="Times New Roman" w:cs="Times New Roman"/>
          <w:lang w:val="pl-PL"/>
        </w:rPr>
        <w:t>” (</w:t>
      </w:r>
      <w:r w:rsidR="001C653E" w:rsidRPr="00B45853">
        <w:rPr>
          <w:rFonts w:ascii="Times New Roman" w:hAnsi="Times New Roman" w:cs="Times New Roman"/>
          <w:lang w:val="pl-PL"/>
        </w:rPr>
        <w:t>zobacz</w:t>
      </w:r>
      <w:r w:rsidR="00A220C6" w:rsidRPr="00B45853">
        <w:rPr>
          <w:rFonts w:ascii="Times New Roman" w:hAnsi="Times New Roman" w:cs="Times New Roman"/>
          <w:lang w:val="pl-PL"/>
        </w:rPr>
        <w:t xml:space="preserve"> § 7 </w:t>
      </w:r>
      <w:r w:rsidR="001C653E" w:rsidRPr="00B45853">
        <w:rPr>
          <w:rFonts w:ascii="Times New Roman" w:hAnsi="Times New Roman" w:cs="Times New Roman"/>
          <w:lang w:val="pl-PL"/>
        </w:rPr>
        <w:t>Dodatku do Zalecenia</w:t>
      </w:r>
      <w:r w:rsidR="00A220C6" w:rsidRPr="00B45853">
        <w:rPr>
          <w:rFonts w:ascii="Times New Roman" w:hAnsi="Times New Roman" w:cs="Times New Roman"/>
          <w:lang w:val="pl-PL"/>
        </w:rPr>
        <w:t xml:space="preserve"> CM/</w:t>
      </w:r>
      <w:proofErr w:type="spellStart"/>
      <w:r w:rsidR="00A220C6" w:rsidRPr="00B45853">
        <w:rPr>
          <w:rFonts w:ascii="Times New Roman" w:hAnsi="Times New Roman" w:cs="Times New Roman"/>
          <w:lang w:val="pl-PL"/>
        </w:rPr>
        <w:t>Rec</w:t>
      </w:r>
      <w:proofErr w:type="spellEnd"/>
      <w:r w:rsidR="00A220C6" w:rsidRPr="00B45853">
        <w:rPr>
          <w:rFonts w:ascii="Times New Roman" w:hAnsi="Times New Roman" w:cs="Times New Roman"/>
          <w:lang w:val="pl-PL"/>
        </w:rPr>
        <w:t xml:space="preserve">(2011)7, </w:t>
      </w:r>
      <w:r w:rsidR="001C653E" w:rsidRPr="00B45853">
        <w:rPr>
          <w:rFonts w:ascii="Times New Roman" w:hAnsi="Times New Roman" w:cs="Times New Roman"/>
          <w:lang w:val="pl-PL"/>
        </w:rPr>
        <w:t>cytowany w paragrafie</w:t>
      </w:r>
      <w:r w:rsidR="00A220C6" w:rsidRPr="00B45853">
        <w:rPr>
          <w:rFonts w:ascii="Times New Roman" w:hAnsi="Times New Roman" w:cs="Times New Roman"/>
          <w:lang w:val="pl-PL"/>
        </w:rPr>
        <w:t xml:space="preserve"> </w:t>
      </w:r>
      <w:r w:rsidR="00B23BBD" w:rsidRPr="00B45853">
        <w:rPr>
          <w:rFonts w:ascii="Times New Roman" w:hAnsi="Times New Roman" w:cs="Times New Roman"/>
          <w:lang w:val="pl-PL"/>
        </w:rPr>
        <w:t>46</w:t>
      </w:r>
      <w:r w:rsidR="00A220C6" w:rsidRPr="00B45853">
        <w:rPr>
          <w:rFonts w:ascii="Times New Roman" w:hAnsi="Times New Roman" w:cs="Times New Roman"/>
          <w:lang w:val="pl-PL"/>
        </w:rPr>
        <w:t xml:space="preserve"> </w:t>
      </w:r>
      <w:r w:rsidR="001C653E"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1C653E" w:rsidRPr="00B45853">
        <w:rPr>
          <w:rFonts w:ascii="Times New Roman" w:hAnsi="Times New Roman" w:cs="Times New Roman"/>
          <w:lang w:val="pl-PL"/>
        </w:rPr>
        <w:t xml:space="preserve">W związku z tym </w:t>
      </w:r>
      <w:r w:rsidR="001C653E" w:rsidRPr="00AD5925">
        <w:rPr>
          <w:rFonts w:ascii="Times New Roman" w:hAnsi="Times New Roman" w:cs="Times New Roman"/>
          <w:lang w:val="pl-PL"/>
        </w:rPr>
        <w:t xml:space="preserve">Trybunał uważa, że ​​ze względu na szczególny charakter Internetu, te </w:t>
      </w:r>
      <w:r w:rsidR="001C653E" w:rsidRPr="00AD5925">
        <w:rPr>
          <w:rFonts w:ascii="Times New Roman" w:hAnsi="Times New Roman" w:cs="Times New Roman"/>
          <w:lang w:val="pl-PL"/>
        </w:rPr>
        <w:lastRenderedPageBreak/>
        <w:t>"obowiązki i odpowiedzialność", które mają zostać przyznane internetowemu portalowi informacyjnemu do celów Artykułu 10</w:t>
      </w:r>
      <w:r w:rsidR="007010C2" w:rsidRPr="00AD5925">
        <w:rPr>
          <w:rFonts w:ascii="Times New Roman" w:hAnsi="Times New Roman" w:cs="Times New Roman"/>
          <w:lang w:val="pl-PL"/>
        </w:rPr>
        <w:t>,</w:t>
      </w:r>
      <w:r w:rsidR="001C653E" w:rsidRPr="00AD5925">
        <w:rPr>
          <w:rFonts w:ascii="Times New Roman" w:hAnsi="Times New Roman" w:cs="Times New Roman"/>
          <w:lang w:val="pl-PL"/>
        </w:rPr>
        <w:t xml:space="preserve"> mogą różnić się w pewnym stopniu od tych przyznanych tradycyjnemu wydawcy, jeżeli chodzi o </w:t>
      </w:r>
      <w:r w:rsidR="00647527" w:rsidRPr="00AD5925">
        <w:rPr>
          <w:rFonts w:ascii="Times New Roman" w:hAnsi="Times New Roman" w:cs="Times New Roman"/>
          <w:lang w:val="pl-PL"/>
        </w:rPr>
        <w:t>treści osób trzecich</w:t>
      </w:r>
      <w:r w:rsidR="00A220C6" w:rsidRPr="00AD5925">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114</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1C653E" w:rsidRPr="00AD5925">
        <w:rPr>
          <w:rFonts w:ascii="Times New Roman" w:hAnsi="Times New Roman" w:cs="Times New Roman"/>
          <w:lang w:val="pl-PL"/>
        </w:rPr>
        <w:t xml:space="preserve">Po drugie, należy zauważyć, że Sąd Najwyższy Estonii stwierdził, że "ocena prawna przez sądy dwudziestu komentarzy o uwłaczającej naturze </w:t>
      </w:r>
      <w:r w:rsidR="00A220C6" w:rsidRPr="00AD5925">
        <w:rPr>
          <w:rFonts w:ascii="Times New Roman" w:hAnsi="Times New Roman" w:cs="Times New Roman"/>
          <w:lang w:val="pl-PL"/>
        </w:rPr>
        <w:t>[</w:t>
      </w:r>
      <w:r w:rsidR="001C653E" w:rsidRPr="00AD5925">
        <w:rPr>
          <w:rFonts w:ascii="Times New Roman" w:hAnsi="Times New Roman" w:cs="Times New Roman"/>
          <w:lang w:val="pl-PL"/>
        </w:rPr>
        <w:t>została</w:t>
      </w:r>
      <w:r w:rsidR="00A220C6" w:rsidRPr="00AD5925">
        <w:rPr>
          <w:rFonts w:ascii="Times New Roman" w:hAnsi="Times New Roman" w:cs="Times New Roman"/>
          <w:lang w:val="pl-PL"/>
        </w:rPr>
        <w:t xml:space="preserve">] </w:t>
      </w:r>
      <w:r w:rsidR="001C653E" w:rsidRPr="00AD5925">
        <w:rPr>
          <w:rFonts w:ascii="Times New Roman" w:hAnsi="Times New Roman" w:cs="Times New Roman"/>
          <w:lang w:val="pl-PL"/>
        </w:rPr>
        <w:t>uzasadniona</w:t>
      </w:r>
      <w:r w:rsidR="00A220C6" w:rsidRPr="00AD5925">
        <w:rPr>
          <w:rFonts w:ascii="Times New Roman" w:hAnsi="Times New Roman" w:cs="Times New Roman"/>
          <w:lang w:val="pl-PL"/>
        </w:rPr>
        <w:t xml:space="preserve">. </w:t>
      </w:r>
      <w:r w:rsidR="001C653E" w:rsidRPr="00AD5925">
        <w:rPr>
          <w:rFonts w:ascii="Times New Roman" w:hAnsi="Times New Roman" w:cs="Times New Roman"/>
          <w:lang w:val="pl-PL"/>
        </w:rPr>
        <w:t>Sądy</w:t>
      </w:r>
      <w:r w:rsidR="005064C9" w:rsidRPr="00AD5925">
        <w:rPr>
          <w:rFonts w:ascii="Times New Roman" w:hAnsi="Times New Roman" w:cs="Times New Roman"/>
          <w:lang w:val="pl-PL"/>
        </w:rPr>
        <w:t xml:space="preserve"> miały</w:t>
      </w:r>
      <w:r w:rsidR="00A220C6" w:rsidRPr="00AD5925">
        <w:rPr>
          <w:rFonts w:ascii="Times New Roman" w:hAnsi="Times New Roman" w:cs="Times New Roman"/>
          <w:lang w:val="pl-PL"/>
        </w:rPr>
        <w:t xml:space="preserve"> </w:t>
      </w:r>
      <w:r w:rsidR="001C653E" w:rsidRPr="00AD5925">
        <w:rPr>
          <w:rFonts w:ascii="Times New Roman" w:hAnsi="Times New Roman" w:cs="Times New Roman"/>
          <w:lang w:val="pl-PL"/>
        </w:rPr>
        <w:t>[słusz</w:t>
      </w:r>
      <w:r w:rsidR="005064C9" w:rsidRPr="00AD5925">
        <w:rPr>
          <w:rFonts w:ascii="Times New Roman" w:hAnsi="Times New Roman" w:cs="Times New Roman"/>
          <w:lang w:val="pl-PL"/>
        </w:rPr>
        <w:t>ność</w:t>
      </w:r>
      <w:r w:rsidR="00A220C6" w:rsidRPr="00AD5925">
        <w:rPr>
          <w:rFonts w:ascii="Times New Roman" w:hAnsi="Times New Roman" w:cs="Times New Roman"/>
          <w:lang w:val="pl-PL"/>
        </w:rPr>
        <w:t xml:space="preserve">] </w:t>
      </w:r>
      <w:r w:rsidR="005064C9" w:rsidRPr="00AD5925">
        <w:rPr>
          <w:rFonts w:ascii="Times New Roman" w:hAnsi="Times New Roman" w:cs="Times New Roman"/>
          <w:lang w:val="pl-PL"/>
        </w:rPr>
        <w:t>uznać</w:t>
      </w:r>
      <w:r w:rsidR="001C653E" w:rsidRPr="00AD5925">
        <w:rPr>
          <w:rFonts w:ascii="Times New Roman" w:hAnsi="Times New Roman" w:cs="Times New Roman"/>
          <w:lang w:val="pl-PL"/>
        </w:rPr>
        <w:t>, że te komentarze</w:t>
      </w:r>
      <w:r w:rsidR="00A220C6" w:rsidRPr="00AD5925">
        <w:rPr>
          <w:rFonts w:ascii="Times New Roman" w:hAnsi="Times New Roman" w:cs="Times New Roman"/>
          <w:lang w:val="pl-PL"/>
        </w:rPr>
        <w:t xml:space="preserve"> [</w:t>
      </w:r>
      <w:r w:rsidR="005064C9" w:rsidRPr="00AD5925">
        <w:rPr>
          <w:rFonts w:ascii="Times New Roman" w:hAnsi="Times New Roman" w:cs="Times New Roman"/>
          <w:lang w:val="pl-PL"/>
        </w:rPr>
        <w:t>były</w:t>
      </w:r>
      <w:r w:rsidR="00A220C6" w:rsidRPr="00AD5925">
        <w:rPr>
          <w:rFonts w:ascii="Times New Roman" w:hAnsi="Times New Roman" w:cs="Times New Roman"/>
          <w:lang w:val="pl-PL"/>
        </w:rPr>
        <w:t xml:space="preserve">] </w:t>
      </w:r>
      <w:r w:rsidR="005064C9" w:rsidRPr="00AD5925">
        <w:rPr>
          <w:rFonts w:ascii="Times New Roman" w:hAnsi="Times New Roman" w:cs="Times New Roman"/>
          <w:lang w:val="pl-PL"/>
        </w:rPr>
        <w:t>zniesławiające, ponieważ [były] o charakterze wulgarnym, naruszał[y</w:t>
      </w:r>
      <w:r w:rsidR="00A220C6" w:rsidRPr="00AD5925">
        <w:rPr>
          <w:rFonts w:ascii="Times New Roman" w:hAnsi="Times New Roman" w:cs="Times New Roman"/>
          <w:lang w:val="pl-PL"/>
        </w:rPr>
        <w:t xml:space="preserve">] </w:t>
      </w:r>
      <w:r w:rsidR="005064C9" w:rsidRPr="00AD5925">
        <w:rPr>
          <w:rFonts w:ascii="Times New Roman" w:hAnsi="Times New Roman" w:cs="Times New Roman"/>
          <w:lang w:val="pl-PL"/>
        </w:rPr>
        <w:t>godność człowieka</w:t>
      </w:r>
      <w:r w:rsidR="005064C9" w:rsidRPr="00B45853">
        <w:rPr>
          <w:rFonts w:ascii="Times New Roman" w:hAnsi="Times New Roman" w:cs="Times New Roman"/>
          <w:lang w:val="pl-PL"/>
        </w:rPr>
        <w:t xml:space="preserve"> i</w:t>
      </w:r>
      <w:r w:rsidR="00A220C6" w:rsidRPr="00B45853">
        <w:rPr>
          <w:rFonts w:ascii="Times New Roman" w:hAnsi="Times New Roman" w:cs="Times New Roman"/>
          <w:lang w:val="pl-PL"/>
        </w:rPr>
        <w:t xml:space="preserve"> </w:t>
      </w:r>
      <w:r w:rsidR="005064C9" w:rsidRPr="00B45853">
        <w:rPr>
          <w:rFonts w:ascii="Times New Roman" w:hAnsi="Times New Roman" w:cs="Times New Roman"/>
          <w:lang w:val="pl-PL"/>
        </w:rPr>
        <w:t>zawiera</w:t>
      </w:r>
      <w:r w:rsidR="00A220C6" w:rsidRPr="00B45853">
        <w:rPr>
          <w:rFonts w:ascii="Times New Roman" w:hAnsi="Times New Roman" w:cs="Times New Roman"/>
          <w:lang w:val="pl-PL"/>
        </w:rPr>
        <w:t>[</w:t>
      </w:r>
      <w:proofErr w:type="spellStart"/>
      <w:r w:rsidR="005064C9" w:rsidRPr="00B45853">
        <w:rPr>
          <w:rFonts w:ascii="Times New Roman" w:hAnsi="Times New Roman" w:cs="Times New Roman"/>
          <w:lang w:val="pl-PL"/>
        </w:rPr>
        <w:t>ły</w:t>
      </w:r>
      <w:proofErr w:type="spellEnd"/>
      <w:r w:rsidR="00A220C6" w:rsidRPr="00B45853">
        <w:rPr>
          <w:rFonts w:ascii="Times New Roman" w:hAnsi="Times New Roman" w:cs="Times New Roman"/>
          <w:lang w:val="pl-PL"/>
        </w:rPr>
        <w:t xml:space="preserve">] </w:t>
      </w:r>
      <w:r w:rsidR="005064C9" w:rsidRPr="00B45853">
        <w:rPr>
          <w:rFonts w:ascii="Times New Roman" w:hAnsi="Times New Roman" w:cs="Times New Roman"/>
          <w:lang w:val="pl-PL"/>
        </w:rPr>
        <w:t>groźby</w:t>
      </w:r>
      <w:r w:rsidR="00A220C6" w:rsidRPr="00B45853">
        <w:rPr>
          <w:rFonts w:ascii="Times New Roman" w:hAnsi="Times New Roman" w:cs="Times New Roman"/>
          <w:lang w:val="pl-PL"/>
        </w:rPr>
        <w:t xml:space="preserve">” </w:t>
      </w:r>
      <w:r w:rsidR="005064C9" w:rsidRPr="00B45853">
        <w:rPr>
          <w:rFonts w:ascii="Times New Roman" w:hAnsi="Times New Roman" w:cs="Times New Roman"/>
          <w:lang w:val="pl-PL"/>
        </w:rPr>
        <w:t>(zobacz</w:t>
      </w:r>
      <w:r w:rsidR="00A220C6" w:rsidRPr="00B45853">
        <w:rPr>
          <w:rFonts w:ascii="Times New Roman" w:hAnsi="Times New Roman" w:cs="Times New Roman"/>
          <w:lang w:val="pl-PL"/>
        </w:rPr>
        <w:t xml:space="preserve"> § 15 </w:t>
      </w:r>
      <w:r w:rsidR="005064C9" w:rsidRPr="00B45853">
        <w:rPr>
          <w:rFonts w:ascii="Times New Roman" w:hAnsi="Times New Roman" w:cs="Times New Roman"/>
          <w:lang w:val="pl-PL"/>
        </w:rPr>
        <w:t xml:space="preserve">wyroku, jak określono w </w:t>
      </w:r>
      <w:r w:rsidR="00A220C6" w:rsidRPr="00B45853">
        <w:rPr>
          <w:rFonts w:ascii="Times New Roman" w:hAnsi="Times New Roman" w:cs="Times New Roman"/>
          <w:lang w:val="pl-PL"/>
        </w:rPr>
        <w:t>paragr</w:t>
      </w:r>
      <w:r w:rsidR="005064C9" w:rsidRPr="00B45853">
        <w:rPr>
          <w:rFonts w:ascii="Times New Roman" w:hAnsi="Times New Roman" w:cs="Times New Roman"/>
          <w:lang w:val="pl-PL"/>
        </w:rPr>
        <w:t>afie</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31</w:t>
      </w:r>
      <w:r w:rsidR="00A220C6" w:rsidRPr="00B45853">
        <w:rPr>
          <w:rFonts w:ascii="Times New Roman" w:hAnsi="Times New Roman" w:cs="Times New Roman"/>
          <w:lang w:val="pl-PL"/>
        </w:rPr>
        <w:t xml:space="preserve"> </w:t>
      </w:r>
      <w:r w:rsidR="005064C9"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5064C9" w:rsidRPr="00B45853">
        <w:rPr>
          <w:rFonts w:ascii="Times New Roman" w:hAnsi="Times New Roman" w:cs="Times New Roman"/>
          <w:lang w:val="pl-PL"/>
        </w:rPr>
        <w:t xml:space="preserve">Ponadto w § 16 wyroku, Sąd Najwyższy potwierdził, że komentarze </w:t>
      </w:r>
      <w:r w:rsidR="00722328" w:rsidRPr="00B45853">
        <w:rPr>
          <w:rFonts w:ascii="Times New Roman" w:hAnsi="Times New Roman" w:cs="Times New Roman"/>
          <w:lang w:val="pl-PL"/>
        </w:rPr>
        <w:t>uwłaczały</w:t>
      </w:r>
      <w:r w:rsidR="005064C9" w:rsidRPr="00B45853">
        <w:rPr>
          <w:rFonts w:ascii="Times New Roman" w:hAnsi="Times New Roman" w:cs="Times New Roman"/>
          <w:lang w:val="pl-PL"/>
        </w:rPr>
        <w:t xml:space="preserve"> "godności ludzkiej" i były "wyraźnie sprzeczne z prawem". Trybunał stwierdza, że ta charakterystyka i analiza bezprawnego charakteru </w:t>
      </w:r>
      <w:r w:rsidR="00722328" w:rsidRPr="00B45853">
        <w:rPr>
          <w:rFonts w:ascii="Times New Roman" w:hAnsi="Times New Roman" w:cs="Times New Roman"/>
          <w:lang w:val="pl-PL"/>
        </w:rPr>
        <w:t>komentarzy</w:t>
      </w:r>
      <w:r w:rsidR="005064C9" w:rsidRPr="00B45853">
        <w:rPr>
          <w:rFonts w:ascii="Times New Roman" w:hAnsi="Times New Roman" w:cs="Times New Roman"/>
          <w:lang w:val="pl-PL"/>
        </w:rPr>
        <w:t>, o których mowa (</w:t>
      </w:r>
      <w:r w:rsidR="00722328" w:rsidRPr="00B45853">
        <w:rPr>
          <w:rFonts w:ascii="Times New Roman" w:hAnsi="Times New Roman" w:cs="Times New Roman"/>
          <w:lang w:val="pl-PL"/>
        </w:rPr>
        <w:t>zobacz</w:t>
      </w:r>
      <w:r w:rsidR="005064C9" w:rsidRPr="00B45853">
        <w:rPr>
          <w:rFonts w:ascii="Times New Roman" w:hAnsi="Times New Roman" w:cs="Times New Roman"/>
          <w:lang w:val="pl-PL"/>
        </w:rPr>
        <w:t xml:space="preserve"> paragraf 18 powyżej) jest oczywiście </w:t>
      </w:r>
      <w:r w:rsidR="00722328" w:rsidRPr="00B45853">
        <w:rPr>
          <w:rFonts w:ascii="Times New Roman" w:hAnsi="Times New Roman" w:cs="Times New Roman"/>
          <w:lang w:val="pl-PL"/>
        </w:rPr>
        <w:t>oparta na</w:t>
      </w:r>
      <w:r w:rsidR="005064C9" w:rsidRPr="00B45853">
        <w:rPr>
          <w:rFonts w:ascii="Times New Roman" w:hAnsi="Times New Roman" w:cs="Times New Roman"/>
          <w:lang w:val="pl-PL"/>
        </w:rPr>
        <w:t xml:space="preserve"> fakcie, ż</w:t>
      </w:r>
      <w:r w:rsidR="00722328" w:rsidRPr="00B45853">
        <w:rPr>
          <w:rFonts w:ascii="Times New Roman" w:hAnsi="Times New Roman" w:cs="Times New Roman"/>
          <w:lang w:val="pl-PL"/>
        </w:rPr>
        <w:t xml:space="preserve">e większość </w:t>
      </w:r>
      <w:r w:rsidR="00722328" w:rsidRPr="00AD5925">
        <w:rPr>
          <w:rFonts w:ascii="Times New Roman" w:hAnsi="Times New Roman" w:cs="Times New Roman"/>
          <w:lang w:val="pl-PL"/>
        </w:rPr>
        <w:t xml:space="preserve">komentarzy </w:t>
      </w:r>
      <w:r w:rsidR="00647527" w:rsidRPr="00AD5925">
        <w:rPr>
          <w:rFonts w:ascii="Times New Roman" w:hAnsi="Times New Roman" w:cs="Times New Roman"/>
          <w:lang w:val="pl-PL"/>
        </w:rPr>
        <w:t>jest</w:t>
      </w:r>
      <w:r w:rsidR="00722328" w:rsidRPr="00AD5925">
        <w:rPr>
          <w:rFonts w:ascii="Times New Roman" w:hAnsi="Times New Roman" w:cs="Times New Roman"/>
          <w:lang w:val="pl-PL"/>
        </w:rPr>
        <w:t>, z ich strony</w:t>
      </w:r>
      <w:r w:rsidR="00647527" w:rsidRPr="00AD5925">
        <w:rPr>
          <w:rFonts w:ascii="Times New Roman" w:hAnsi="Times New Roman" w:cs="Times New Roman"/>
          <w:lang w:val="pl-PL"/>
        </w:rPr>
        <w:t>, równoznaczna</w:t>
      </w:r>
      <w:r w:rsidR="005064C9" w:rsidRPr="00AD5925">
        <w:rPr>
          <w:rFonts w:ascii="Times New Roman" w:hAnsi="Times New Roman" w:cs="Times New Roman"/>
          <w:lang w:val="pl-PL"/>
        </w:rPr>
        <w:t xml:space="preserve"> z podżeganiem do nienawiści lub przemoc wobec L.</w:t>
      </w:r>
    </w:p>
    <w:p w:rsidR="00A220C6"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115</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5064C9" w:rsidRPr="00AD5925">
        <w:rPr>
          <w:rFonts w:ascii="Times New Roman" w:hAnsi="Times New Roman" w:cs="Times New Roman"/>
          <w:lang w:val="pl-PL"/>
        </w:rPr>
        <w:t>W związku z tym Trybunał uważa, że sprawa dotyczy</w:t>
      </w:r>
      <w:r w:rsidR="00722328" w:rsidRPr="00AD5925">
        <w:rPr>
          <w:rFonts w:ascii="Times New Roman" w:hAnsi="Times New Roman" w:cs="Times New Roman"/>
          <w:lang w:val="pl-PL"/>
        </w:rPr>
        <w:t>ła</w:t>
      </w:r>
      <w:r w:rsidR="005064C9" w:rsidRPr="00AD5925">
        <w:rPr>
          <w:rFonts w:ascii="Times New Roman" w:hAnsi="Times New Roman" w:cs="Times New Roman"/>
          <w:lang w:val="pl-PL"/>
        </w:rPr>
        <w:t xml:space="preserve"> "obowiązków i odpowiedzialności" portali internetowych grup dyskusyjnych, na mocy Artykułu 10 § 2 Konwencji, jeżeli stanowią one </w:t>
      </w:r>
      <w:r w:rsidR="00722328" w:rsidRPr="00AD5925">
        <w:rPr>
          <w:rFonts w:ascii="Times New Roman" w:hAnsi="Times New Roman" w:cs="Times New Roman"/>
          <w:lang w:val="pl-PL"/>
        </w:rPr>
        <w:t>platformę</w:t>
      </w:r>
      <w:r w:rsidR="00F642F8" w:rsidRPr="00AD5925">
        <w:rPr>
          <w:lang w:val="pl-PL"/>
        </w:rPr>
        <w:t xml:space="preserve"> </w:t>
      </w:r>
      <w:r w:rsidR="00F642F8" w:rsidRPr="00AD5925">
        <w:rPr>
          <w:rFonts w:ascii="Times New Roman" w:hAnsi="Times New Roman" w:cs="Times New Roman"/>
          <w:lang w:val="pl-PL"/>
        </w:rPr>
        <w:t>do celów gospodarczych</w:t>
      </w:r>
      <w:r w:rsidR="00722328" w:rsidRPr="00AD5925">
        <w:rPr>
          <w:rFonts w:ascii="Times New Roman" w:hAnsi="Times New Roman" w:cs="Times New Roman"/>
          <w:lang w:val="pl-PL"/>
        </w:rPr>
        <w:t xml:space="preserve"> dla komentarzy generowanych przez użytkowników na wcześniej publikowanej t</w:t>
      </w:r>
      <w:r w:rsidR="00F642F8" w:rsidRPr="00AD5925">
        <w:rPr>
          <w:rFonts w:ascii="Times New Roman" w:hAnsi="Times New Roman" w:cs="Times New Roman"/>
          <w:lang w:val="pl-PL"/>
        </w:rPr>
        <w:t>reści i niektórych użytkowników</w:t>
      </w:r>
      <w:r w:rsidR="00722328" w:rsidRPr="00AD5925">
        <w:rPr>
          <w:rFonts w:ascii="Times New Roman" w:hAnsi="Times New Roman" w:cs="Times New Roman"/>
          <w:lang w:val="pl-PL"/>
        </w:rPr>
        <w:t xml:space="preserve"> </w:t>
      </w:r>
      <w:r w:rsidR="007010C2" w:rsidRPr="00AD5925">
        <w:rPr>
          <w:rFonts w:ascii="Times New Roman" w:hAnsi="Times New Roman" w:cs="Times New Roman"/>
          <w:lang w:val="pl-PL"/>
        </w:rPr>
        <w:t>-</w:t>
      </w:r>
      <w:r w:rsidR="00F642F8" w:rsidRPr="00AD5925">
        <w:rPr>
          <w:rFonts w:ascii="Times New Roman" w:hAnsi="Times New Roman" w:cs="Times New Roman"/>
          <w:lang w:val="pl-PL"/>
        </w:rPr>
        <w:t xml:space="preserve"> </w:t>
      </w:r>
      <w:r w:rsidR="005064C9" w:rsidRPr="00AD5925">
        <w:rPr>
          <w:rFonts w:ascii="Times New Roman" w:hAnsi="Times New Roman" w:cs="Times New Roman"/>
          <w:lang w:val="pl-PL"/>
        </w:rPr>
        <w:t xml:space="preserve">czy </w:t>
      </w:r>
      <w:r w:rsidR="007010C2" w:rsidRPr="00AD5925">
        <w:rPr>
          <w:rFonts w:ascii="Times New Roman" w:hAnsi="Times New Roman" w:cs="Times New Roman"/>
          <w:lang w:val="pl-PL"/>
        </w:rPr>
        <w:t>zidentyfikowany</w:t>
      </w:r>
      <w:r w:rsidR="00691629">
        <w:rPr>
          <w:rFonts w:ascii="Times New Roman" w:hAnsi="Times New Roman" w:cs="Times New Roman"/>
          <w:lang w:val="pl-PL"/>
        </w:rPr>
        <w:t>ch</w:t>
      </w:r>
      <w:r w:rsidR="007010C2" w:rsidRPr="00AD5925">
        <w:rPr>
          <w:rFonts w:ascii="Times New Roman" w:hAnsi="Times New Roman" w:cs="Times New Roman"/>
          <w:lang w:val="pl-PL"/>
        </w:rPr>
        <w:t xml:space="preserve"> lub anonimowy</w:t>
      </w:r>
      <w:r w:rsidR="00691629">
        <w:rPr>
          <w:rFonts w:ascii="Times New Roman" w:hAnsi="Times New Roman" w:cs="Times New Roman"/>
          <w:lang w:val="pl-PL"/>
        </w:rPr>
        <w:t>ch</w:t>
      </w:r>
      <w:r w:rsidR="00F642F8" w:rsidRPr="00AD5925">
        <w:rPr>
          <w:rFonts w:ascii="Times New Roman" w:hAnsi="Times New Roman" w:cs="Times New Roman"/>
          <w:lang w:val="pl-PL"/>
        </w:rPr>
        <w:t xml:space="preserve"> </w:t>
      </w:r>
      <w:r w:rsidR="007010C2" w:rsidRPr="00AD5925">
        <w:rPr>
          <w:rFonts w:ascii="Times New Roman" w:hAnsi="Times New Roman" w:cs="Times New Roman"/>
          <w:lang w:val="pl-PL"/>
        </w:rPr>
        <w:t>-</w:t>
      </w:r>
      <w:r w:rsidR="00F642F8" w:rsidRPr="00AD5925">
        <w:rPr>
          <w:rFonts w:ascii="Times New Roman" w:hAnsi="Times New Roman" w:cs="Times New Roman"/>
          <w:lang w:val="pl-PL"/>
        </w:rPr>
        <w:t xml:space="preserve"> </w:t>
      </w:r>
      <w:r w:rsidR="005064C9" w:rsidRPr="00AD5925">
        <w:rPr>
          <w:rFonts w:ascii="Times New Roman" w:hAnsi="Times New Roman" w:cs="Times New Roman"/>
          <w:lang w:val="pl-PL"/>
        </w:rPr>
        <w:t>a</w:t>
      </w:r>
      <w:r w:rsidR="00904E9E" w:rsidRPr="00AD5925">
        <w:rPr>
          <w:rFonts w:ascii="Times New Roman" w:hAnsi="Times New Roman" w:cs="Times New Roman"/>
          <w:lang w:val="pl-PL"/>
        </w:rPr>
        <w:t>ngażują</w:t>
      </w:r>
      <w:r w:rsidR="00F642F8" w:rsidRPr="00AD5925">
        <w:rPr>
          <w:rFonts w:ascii="Times New Roman" w:hAnsi="Times New Roman" w:cs="Times New Roman"/>
          <w:lang w:val="pl-PL"/>
        </w:rPr>
        <w:t>cych</w:t>
      </w:r>
      <w:r w:rsidR="00904E9E" w:rsidRPr="00AD5925">
        <w:rPr>
          <w:rFonts w:ascii="Times New Roman" w:hAnsi="Times New Roman" w:cs="Times New Roman"/>
          <w:lang w:val="pl-PL"/>
        </w:rPr>
        <w:t xml:space="preserve"> się w wyraźnie bezprawną mowę, która narusza</w:t>
      </w:r>
      <w:r w:rsidR="00722328" w:rsidRPr="00AD5925">
        <w:rPr>
          <w:rFonts w:ascii="Times New Roman" w:hAnsi="Times New Roman" w:cs="Times New Roman"/>
          <w:lang w:val="pl-PL"/>
        </w:rPr>
        <w:t>ła</w:t>
      </w:r>
      <w:r w:rsidR="00904E9E" w:rsidRPr="00AD5925">
        <w:rPr>
          <w:rFonts w:ascii="Times New Roman" w:hAnsi="Times New Roman" w:cs="Times New Roman"/>
          <w:lang w:val="pl-PL"/>
        </w:rPr>
        <w:t xml:space="preserve"> do</w:t>
      </w:r>
      <w:r w:rsidR="005064C9" w:rsidRPr="00AD5925">
        <w:rPr>
          <w:rFonts w:ascii="Times New Roman" w:hAnsi="Times New Roman" w:cs="Times New Roman"/>
          <w:lang w:val="pl-PL"/>
        </w:rPr>
        <w:t>br</w:t>
      </w:r>
      <w:r w:rsidR="00904E9E" w:rsidRPr="00AD5925">
        <w:rPr>
          <w:rFonts w:ascii="Times New Roman" w:hAnsi="Times New Roman" w:cs="Times New Roman"/>
          <w:lang w:val="pl-PL"/>
        </w:rPr>
        <w:t>a</w:t>
      </w:r>
      <w:r w:rsidR="005064C9" w:rsidRPr="00AD5925">
        <w:rPr>
          <w:rFonts w:ascii="Times New Roman" w:hAnsi="Times New Roman" w:cs="Times New Roman"/>
          <w:lang w:val="pl-PL"/>
        </w:rPr>
        <w:t xml:space="preserve"> osobist</w:t>
      </w:r>
      <w:r w:rsidR="00904E9E" w:rsidRPr="00AD5925">
        <w:rPr>
          <w:rFonts w:ascii="Times New Roman" w:hAnsi="Times New Roman" w:cs="Times New Roman"/>
          <w:lang w:val="pl-PL"/>
        </w:rPr>
        <w:t>e</w:t>
      </w:r>
      <w:r w:rsidR="005064C9" w:rsidRPr="00AD5925">
        <w:rPr>
          <w:rFonts w:ascii="Times New Roman" w:hAnsi="Times New Roman" w:cs="Times New Roman"/>
          <w:lang w:val="pl-PL"/>
        </w:rPr>
        <w:t xml:space="preserve"> innych osób i </w:t>
      </w:r>
      <w:r w:rsidR="00722328" w:rsidRPr="00AD5925">
        <w:rPr>
          <w:rFonts w:ascii="Times New Roman" w:hAnsi="Times New Roman" w:cs="Times New Roman"/>
          <w:lang w:val="pl-PL"/>
        </w:rPr>
        <w:t>nosiła znamiona</w:t>
      </w:r>
      <w:r w:rsidR="005064C9" w:rsidRPr="00AD5925">
        <w:rPr>
          <w:rFonts w:ascii="Times New Roman" w:hAnsi="Times New Roman" w:cs="Times New Roman"/>
          <w:lang w:val="pl-PL"/>
        </w:rPr>
        <w:t xml:space="preserve"> nienawiści i podżegania do przemocy wobec nich. Trybunał podkreśla, że niniejsza sprawa dotyczy duż</w:t>
      </w:r>
      <w:r w:rsidR="00904E9E" w:rsidRPr="00AD5925">
        <w:rPr>
          <w:rFonts w:ascii="Times New Roman" w:hAnsi="Times New Roman" w:cs="Times New Roman"/>
          <w:lang w:val="pl-PL"/>
        </w:rPr>
        <w:t>ego profesjonalnie zarządzanego</w:t>
      </w:r>
      <w:r w:rsidR="005064C9" w:rsidRPr="00AD5925">
        <w:rPr>
          <w:rFonts w:ascii="Times New Roman" w:hAnsi="Times New Roman" w:cs="Times New Roman"/>
          <w:lang w:val="pl-PL"/>
        </w:rPr>
        <w:t xml:space="preserve"> </w:t>
      </w:r>
      <w:r w:rsidR="00904E9E" w:rsidRPr="00AD5925">
        <w:rPr>
          <w:rFonts w:ascii="Times New Roman" w:hAnsi="Times New Roman" w:cs="Times New Roman"/>
          <w:lang w:val="pl-PL"/>
        </w:rPr>
        <w:t xml:space="preserve">informacyjnego </w:t>
      </w:r>
      <w:r w:rsidR="005064C9" w:rsidRPr="00AD5925">
        <w:rPr>
          <w:rFonts w:ascii="Times New Roman" w:hAnsi="Times New Roman" w:cs="Times New Roman"/>
          <w:lang w:val="pl-PL"/>
        </w:rPr>
        <w:t xml:space="preserve">portalu </w:t>
      </w:r>
      <w:r w:rsidR="00904E9E" w:rsidRPr="00AD5925">
        <w:rPr>
          <w:rFonts w:ascii="Times New Roman" w:hAnsi="Times New Roman" w:cs="Times New Roman"/>
          <w:lang w:val="pl-PL"/>
        </w:rPr>
        <w:t>internetowego na zasadach komercyjnych, który</w:t>
      </w:r>
      <w:r w:rsidR="005064C9" w:rsidRPr="00AD5925">
        <w:rPr>
          <w:rFonts w:ascii="Times New Roman" w:hAnsi="Times New Roman" w:cs="Times New Roman"/>
          <w:lang w:val="pl-PL"/>
        </w:rPr>
        <w:t xml:space="preserve"> </w:t>
      </w:r>
      <w:r w:rsidR="00904E9E" w:rsidRPr="00AD5925">
        <w:rPr>
          <w:rFonts w:ascii="Times New Roman" w:hAnsi="Times New Roman" w:cs="Times New Roman"/>
          <w:lang w:val="pl-PL"/>
        </w:rPr>
        <w:t>publik</w:t>
      </w:r>
      <w:r w:rsidR="00722328" w:rsidRPr="00AD5925">
        <w:rPr>
          <w:rFonts w:ascii="Times New Roman" w:hAnsi="Times New Roman" w:cs="Times New Roman"/>
          <w:lang w:val="pl-PL"/>
        </w:rPr>
        <w:t>ował</w:t>
      </w:r>
      <w:r w:rsidR="005064C9" w:rsidRPr="00AD5925">
        <w:rPr>
          <w:rFonts w:ascii="Times New Roman" w:hAnsi="Times New Roman" w:cs="Times New Roman"/>
          <w:lang w:val="pl-PL"/>
        </w:rPr>
        <w:t xml:space="preserve"> </w:t>
      </w:r>
      <w:r w:rsidR="00904E9E" w:rsidRPr="00AD5925">
        <w:rPr>
          <w:rFonts w:ascii="Times New Roman" w:hAnsi="Times New Roman" w:cs="Times New Roman"/>
          <w:lang w:val="pl-PL"/>
        </w:rPr>
        <w:t xml:space="preserve">własne </w:t>
      </w:r>
      <w:r w:rsidR="005064C9" w:rsidRPr="00AD5925">
        <w:rPr>
          <w:rFonts w:ascii="Times New Roman" w:hAnsi="Times New Roman" w:cs="Times New Roman"/>
          <w:lang w:val="pl-PL"/>
        </w:rPr>
        <w:t xml:space="preserve">artykuły prasowe </w:t>
      </w:r>
      <w:r w:rsidR="00904E9E" w:rsidRPr="00AD5925">
        <w:rPr>
          <w:rFonts w:ascii="Times New Roman" w:hAnsi="Times New Roman" w:cs="Times New Roman"/>
          <w:lang w:val="pl-PL"/>
        </w:rPr>
        <w:t>i zaprasz</w:t>
      </w:r>
      <w:r w:rsidR="00722328" w:rsidRPr="00AD5925">
        <w:rPr>
          <w:rFonts w:ascii="Times New Roman" w:hAnsi="Times New Roman" w:cs="Times New Roman"/>
          <w:lang w:val="pl-PL"/>
        </w:rPr>
        <w:t>ał</w:t>
      </w:r>
      <w:r w:rsidR="005064C9" w:rsidRPr="00AD5925">
        <w:rPr>
          <w:rFonts w:ascii="Times New Roman" w:hAnsi="Times New Roman" w:cs="Times New Roman"/>
          <w:lang w:val="pl-PL"/>
        </w:rPr>
        <w:t xml:space="preserve"> swoich czytelników do </w:t>
      </w:r>
      <w:r w:rsidR="00904E9E" w:rsidRPr="00AD5925">
        <w:rPr>
          <w:rFonts w:ascii="Times New Roman" w:hAnsi="Times New Roman" w:cs="Times New Roman"/>
          <w:lang w:val="pl-PL"/>
        </w:rPr>
        <w:t>ich</w:t>
      </w:r>
      <w:r w:rsidR="005064C9" w:rsidRPr="00AD5925">
        <w:rPr>
          <w:rFonts w:ascii="Times New Roman" w:hAnsi="Times New Roman" w:cs="Times New Roman"/>
          <w:lang w:val="pl-PL"/>
        </w:rPr>
        <w:t xml:space="preserve"> </w:t>
      </w:r>
      <w:r w:rsidR="00904E9E" w:rsidRPr="00AD5925">
        <w:rPr>
          <w:rFonts w:ascii="Times New Roman" w:hAnsi="Times New Roman" w:cs="Times New Roman"/>
          <w:lang w:val="pl-PL"/>
        </w:rPr>
        <w:t>komentowania</w:t>
      </w:r>
      <w:r w:rsidR="00A220C6" w:rsidRPr="00AD5925">
        <w:rPr>
          <w:rFonts w:ascii="Times New Roman" w:hAnsi="Times New Roman" w:cs="Times New Roman"/>
          <w:lang w:val="pl-PL"/>
        </w:rPr>
        <w:t>.</w:t>
      </w:r>
    </w:p>
    <w:p w:rsidR="00B413BF" w:rsidRPr="00AD5925" w:rsidRDefault="00DD67A4" w:rsidP="00171A6F">
      <w:pPr>
        <w:pStyle w:val="ECHRPara"/>
        <w:rPr>
          <w:rFonts w:ascii="Times New Roman" w:hAnsi="Times New Roman" w:cs="Times New Roman"/>
          <w:lang w:val="pl-PL"/>
        </w:rPr>
      </w:pPr>
      <w:r w:rsidRPr="00AD5925">
        <w:rPr>
          <w:rFonts w:ascii="Times New Roman" w:hAnsi="Times New Roman" w:cs="Times New Roman"/>
          <w:lang w:val="en-GB"/>
        </w:rPr>
        <w:fldChar w:fldCharType="begin"/>
      </w:r>
      <w:r w:rsidR="00A220C6" w:rsidRPr="00AD5925">
        <w:rPr>
          <w:rFonts w:ascii="Times New Roman" w:hAnsi="Times New Roman" w:cs="Times New Roman"/>
          <w:lang w:val="pl-PL"/>
        </w:rPr>
        <w:instrText xml:space="preserve"> SEQ level0 \*arabic </w:instrText>
      </w:r>
      <w:r w:rsidRPr="00AD5925">
        <w:rPr>
          <w:rFonts w:ascii="Times New Roman" w:hAnsi="Times New Roman" w:cs="Times New Roman"/>
          <w:lang w:val="en-GB"/>
        </w:rPr>
        <w:fldChar w:fldCharType="separate"/>
      </w:r>
      <w:r w:rsidR="002F0EE0" w:rsidRPr="00AD5925">
        <w:rPr>
          <w:rFonts w:ascii="Times New Roman" w:hAnsi="Times New Roman" w:cs="Times New Roman"/>
          <w:noProof/>
          <w:lang w:val="pl-PL"/>
        </w:rPr>
        <w:t>116</w:t>
      </w:r>
      <w:r w:rsidRPr="00AD5925">
        <w:rPr>
          <w:rFonts w:ascii="Times New Roman" w:hAnsi="Times New Roman" w:cs="Times New Roman"/>
          <w:lang w:val="en-GB"/>
        </w:rPr>
        <w:fldChar w:fldCharType="end"/>
      </w:r>
      <w:r w:rsidR="00A220C6" w:rsidRPr="00AD5925">
        <w:rPr>
          <w:rFonts w:ascii="Times New Roman" w:hAnsi="Times New Roman" w:cs="Times New Roman"/>
          <w:lang w:val="pl-PL"/>
        </w:rPr>
        <w:t>.  </w:t>
      </w:r>
      <w:r w:rsidR="00904E9E" w:rsidRPr="00AD5925">
        <w:rPr>
          <w:rFonts w:ascii="Times New Roman" w:hAnsi="Times New Roman" w:cs="Times New Roman"/>
          <w:lang w:val="pl-PL"/>
        </w:rPr>
        <w:t>W związku z tym sprawa nie dotyczy</w:t>
      </w:r>
      <w:r w:rsidR="00722328" w:rsidRPr="00AD5925">
        <w:rPr>
          <w:rFonts w:ascii="Times New Roman" w:hAnsi="Times New Roman" w:cs="Times New Roman"/>
          <w:lang w:val="pl-PL"/>
        </w:rPr>
        <w:t>ła</w:t>
      </w:r>
      <w:r w:rsidR="00904E9E" w:rsidRPr="00AD5925">
        <w:rPr>
          <w:rFonts w:ascii="Times New Roman" w:hAnsi="Times New Roman" w:cs="Times New Roman"/>
          <w:lang w:val="pl-PL"/>
        </w:rPr>
        <w:t xml:space="preserve"> innych forów w Internecie, gdzie komentarze </w:t>
      </w:r>
      <w:r w:rsidR="00F642F8" w:rsidRPr="00AD5925">
        <w:rPr>
          <w:rFonts w:ascii="Times New Roman" w:hAnsi="Times New Roman" w:cs="Times New Roman"/>
          <w:lang w:val="pl-PL"/>
        </w:rPr>
        <w:t>osób trzecich</w:t>
      </w:r>
      <w:r w:rsidR="00904E9E" w:rsidRPr="00AD5925">
        <w:rPr>
          <w:rFonts w:ascii="Times New Roman" w:hAnsi="Times New Roman" w:cs="Times New Roman"/>
          <w:lang w:val="pl-PL"/>
        </w:rPr>
        <w:t xml:space="preserve"> mog</w:t>
      </w:r>
      <w:r w:rsidR="00722328" w:rsidRPr="00AD5925">
        <w:rPr>
          <w:rFonts w:ascii="Times New Roman" w:hAnsi="Times New Roman" w:cs="Times New Roman"/>
          <w:lang w:val="pl-PL"/>
        </w:rPr>
        <w:t>ły</w:t>
      </w:r>
      <w:r w:rsidR="00904E9E" w:rsidRPr="00AD5925">
        <w:rPr>
          <w:rFonts w:ascii="Times New Roman" w:hAnsi="Times New Roman" w:cs="Times New Roman"/>
          <w:lang w:val="pl-PL"/>
        </w:rPr>
        <w:t xml:space="preserve"> być rozpowszechniane, na przykład</w:t>
      </w:r>
      <w:r w:rsidR="00F642F8" w:rsidRPr="00AD5925">
        <w:rPr>
          <w:rFonts w:ascii="Times New Roman" w:hAnsi="Times New Roman" w:cs="Times New Roman"/>
          <w:lang w:val="pl-PL"/>
        </w:rPr>
        <w:t xml:space="preserve"> na</w:t>
      </w:r>
      <w:r w:rsidR="00904E9E" w:rsidRPr="00AD5925">
        <w:rPr>
          <w:rFonts w:ascii="Times New Roman" w:hAnsi="Times New Roman" w:cs="Times New Roman"/>
          <w:lang w:val="pl-PL"/>
        </w:rPr>
        <w:t xml:space="preserve"> forum i</w:t>
      </w:r>
      <w:r w:rsidR="00F642F8" w:rsidRPr="00AD5925">
        <w:rPr>
          <w:rFonts w:ascii="Times New Roman" w:hAnsi="Times New Roman" w:cs="Times New Roman"/>
          <w:lang w:val="pl-PL"/>
        </w:rPr>
        <w:t>nternetowym</w:t>
      </w:r>
      <w:r w:rsidR="00904E9E" w:rsidRPr="00AD5925">
        <w:rPr>
          <w:rFonts w:ascii="Times New Roman" w:hAnsi="Times New Roman" w:cs="Times New Roman"/>
          <w:lang w:val="pl-PL"/>
        </w:rPr>
        <w:t xml:space="preserve"> lub tablicy ogłoszeń, gdzie użytkownicy mog</w:t>
      </w:r>
      <w:r w:rsidR="00722328" w:rsidRPr="00AD5925">
        <w:rPr>
          <w:rFonts w:ascii="Times New Roman" w:hAnsi="Times New Roman" w:cs="Times New Roman"/>
          <w:lang w:val="pl-PL"/>
        </w:rPr>
        <w:t>li</w:t>
      </w:r>
      <w:r w:rsidR="00904E9E" w:rsidRPr="00AD5925">
        <w:rPr>
          <w:rFonts w:ascii="Times New Roman" w:hAnsi="Times New Roman" w:cs="Times New Roman"/>
          <w:lang w:val="pl-PL"/>
        </w:rPr>
        <w:t xml:space="preserve"> dowolnie </w:t>
      </w:r>
      <w:r w:rsidR="009E509C" w:rsidRPr="00AD5925">
        <w:rPr>
          <w:rFonts w:ascii="Times New Roman" w:hAnsi="Times New Roman" w:cs="Times New Roman"/>
          <w:lang w:val="pl-PL"/>
        </w:rPr>
        <w:t>ustawiać</w:t>
      </w:r>
      <w:r w:rsidR="00904E9E" w:rsidRPr="00AD5925">
        <w:rPr>
          <w:rFonts w:ascii="Times New Roman" w:hAnsi="Times New Roman" w:cs="Times New Roman"/>
          <w:lang w:val="pl-PL"/>
        </w:rPr>
        <w:t xml:space="preserve"> swoje </w:t>
      </w:r>
      <w:r w:rsidR="00F642F8" w:rsidRPr="00AD5925">
        <w:rPr>
          <w:rFonts w:ascii="Times New Roman" w:hAnsi="Times New Roman" w:cs="Times New Roman"/>
          <w:lang w:val="pl-PL"/>
        </w:rPr>
        <w:t>poglądy</w:t>
      </w:r>
      <w:r w:rsidR="00904E9E" w:rsidRPr="00AD5925">
        <w:rPr>
          <w:rFonts w:ascii="Times New Roman" w:hAnsi="Times New Roman" w:cs="Times New Roman"/>
          <w:lang w:val="pl-PL"/>
        </w:rPr>
        <w:t xml:space="preserve"> na wszelkie tematy bez dyskusji</w:t>
      </w:r>
      <w:r w:rsidR="007010C2" w:rsidRPr="00AD5925">
        <w:rPr>
          <w:rFonts w:ascii="Times New Roman" w:hAnsi="Times New Roman" w:cs="Times New Roman"/>
          <w:lang w:val="pl-PL"/>
        </w:rPr>
        <w:t>,</w:t>
      </w:r>
      <w:r w:rsidR="00904E9E" w:rsidRPr="00AD5925">
        <w:rPr>
          <w:rFonts w:ascii="Times New Roman" w:hAnsi="Times New Roman" w:cs="Times New Roman"/>
          <w:lang w:val="pl-PL"/>
        </w:rPr>
        <w:t xml:space="preserve"> są sk</w:t>
      </w:r>
      <w:r w:rsidR="00207ED4" w:rsidRPr="00AD5925">
        <w:rPr>
          <w:rFonts w:ascii="Times New Roman" w:hAnsi="Times New Roman" w:cs="Times New Roman"/>
          <w:lang w:val="pl-PL"/>
        </w:rPr>
        <w:t>ierowane przez dowolne wejście</w:t>
      </w:r>
      <w:r w:rsidR="00904E9E" w:rsidRPr="00AD5925">
        <w:rPr>
          <w:rFonts w:ascii="Times New Roman" w:hAnsi="Times New Roman" w:cs="Times New Roman"/>
          <w:lang w:val="pl-PL"/>
        </w:rPr>
        <w:t xml:space="preserve"> od </w:t>
      </w:r>
      <w:r w:rsidR="00207ED4" w:rsidRPr="00AD5925">
        <w:rPr>
          <w:rFonts w:ascii="Times New Roman" w:hAnsi="Times New Roman" w:cs="Times New Roman"/>
          <w:lang w:val="pl-PL"/>
        </w:rPr>
        <w:t>administratora</w:t>
      </w:r>
      <w:r w:rsidR="00904E9E" w:rsidRPr="00AD5925">
        <w:rPr>
          <w:rFonts w:ascii="Times New Roman" w:hAnsi="Times New Roman" w:cs="Times New Roman"/>
          <w:lang w:val="pl-PL"/>
        </w:rPr>
        <w:t xml:space="preserve"> tego forum; lub społecznej platformy medialne</w:t>
      </w:r>
      <w:r w:rsidR="00207ED4" w:rsidRPr="00AD5925">
        <w:rPr>
          <w:rFonts w:ascii="Times New Roman" w:hAnsi="Times New Roman" w:cs="Times New Roman"/>
          <w:lang w:val="pl-PL"/>
        </w:rPr>
        <w:t>j</w:t>
      </w:r>
      <w:r w:rsidR="007010C2" w:rsidRPr="00AD5925">
        <w:rPr>
          <w:rFonts w:ascii="Times New Roman" w:hAnsi="Times New Roman" w:cs="Times New Roman"/>
          <w:lang w:val="pl-PL"/>
        </w:rPr>
        <w:t>,</w:t>
      </w:r>
      <w:r w:rsidR="00207ED4" w:rsidRPr="00AD5925">
        <w:rPr>
          <w:rFonts w:ascii="Times New Roman" w:hAnsi="Times New Roman" w:cs="Times New Roman"/>
          <w:lang w:val="pl-PL"/>
        </w:rPr>
        <w:t xml:space="preserve"> </w:t>
      </w:r>
      <w:r w:rsidR="00722328" w:rsidRPr="00AD5925">
        <w:rPr>
          <w:rFonts w:ascii="Times New Roman" w:hAnsi="Times New Roman" w:cs="Times New Roman"/>
          <w:lang w:val="pl-PL"/>
        </w:rPr>
        <w:t>na</w:t>
      </w:r>
      <w:r w:rsidR="00207ED4" w:rsidRPr="00AD5925">
        <w:rPr>
          <w:rFonts w:ascii="Times New Roman" w:hAnsi="Times New Roman" w:cs="Times New Roman"/>
          <w:lang w:val="pl-PL"/>
        </w:rPr>
        <w:t xml:space="preserve"> któr</w:t>
      </w:r>
      <w:r w:rsidR="00722328" w:rsidRPr="00AD5925">
        <w:rPr>
          <w:rFonts w:ascii="Times New Roman" w:hAnsi="Times New Roman" w:cs="Times New Roman"/>
          <w:lang w:val="pl-PL"/>
        </w:rPr>
        <w:t>ej</w:t>
      </w:r>
      <w:r w:rsidR="00207ED4" w:rsidRPr="00AD5925">
        <w:rPr>
          <w:rFonts w:ascii="Times New Roman" w:hAnsi="Times New Roman" w:cs="Times New Roman"/>
          <w:lang w:val="pl-PL"/>
        </w:rPr>
        <w:t xml:space="preserve"> usługodawca platformy</w:t>
      </w:r>
      <w:r w:rsidR="00904E9E" w:rsidRPr="00AD5925">
        <w:rPr>
          <w:rFonts w:ascii="Times New Roman" w:hAnsi="Times New Roman" w:cs="Times New Roman"/>
          <w:lang w:val="pl-PL"/>
        </w:rPr>
        <w:t xml:space="preserve"> nie ofer</w:t>
      </w:r>
      <w:r w:rsidR="00722328" w:rsidRPr="00AD5925">
        <w:rPr>
          <w:rFonts w:ascii="Times New Roman" w:hAnsi="Times New Roman" w:cs="Times New Roman"/>
          <w:lang w:val="pl-PL"/>
        </w:rPr>
        <w:t>ował</w:t>
      </w:r>
      <w:r w:rsidR="00904E9E" w:rsidRPr="00AD5925">
        <w:rPr>
          <w:rFonts w:ascii="Times New Roman" w:hAnsi="Times New Roman" w:cs="Times New Roman"/>
          <w:lang w:val="pl-PL"/>
        </w:rPr>
        <w:t xml:space="preserve"> żadnych treści i gd</w:t>
      </w:r>
      <w:r w:rsidR="00207ED4" w:rsidRPr="00AD5925">
        <w:rPr>
          <w:rFonts w:ascii="Times New Roman" w:hAnsi="Times New Roman" w:cs="Times New Roman"/>
          <w:lang w:val="pl-PL"/>
        </w:rPr>
        <w:t xml:space="preserve">y dostawca treści </w:t>
      </w:r>
      <w:r w:rsidR="00F642F8" w:rsidRPr="00AD5925">
        <w:rPr>
          <w:rFonts w:ascii="Times New Roman" w:hAnsi="Times New Roman" w:cs="Times New Roman"/>
          <w:lang w:val="pl-PL"/>
        </w:rPr>
        <w:t>mógł</w:t>
      </w:r>
      <w:r w:rsidR="00722328" w:rsidRPr="00AD5925">
        <w:rPr>
          <w:rFonts w:ascii="Times New Roman" w:hAnsi="Times New Roman" w:cs="Times New Roman"/>
          <w:lang w:val="pl-PL"/>
        </w:rPr>
        <w:t xml:space="preserve"> </w:t>
      </w:r>
      <w:r w:rsidR="00207ED4" w:rsidRPr="00AD5925">
        <w:rPr>
          <w:rFonts w:ascii="Times New Roman" w:hAnsi="Times New Roman" w:cs="Times New Roman"/>
          <w:lang w:val="pl-PL"/>
        </w:rPr>
        <w:t>być osobą fizyczną prowadzącą stronę internetową</w:t>
      </w:r>
      <w:r w:rsidR="007010C2" w:rsidRPr="00AD5925">
        <w:rPr>
          <w:rFonts w:ascii="Times New Roman" w:hAnsi="Times New Roman" w:cs="Times New Roman"/>
          <w:lang w:val="pl-PL"/>
        </w:rPr>
        <w:t>,</w:t>
      </w:r>
      <w:r w:rsidR="00207ED4" w:rsidRPr="00AD5925">
        <w:rPr>
          <w:rFonts w:ascii="Times New Roman" w:hAnsi="Times New Roman" w:cs="Times New Roman"/>
          <w:lang w:val="pl-PL"/>
        </w:rPr>
        <w:t xml:space="preserve"> lub blog</w:t>
      </w:r>
      <w:r w:rsidR="00904E9E" w:rsidRPr="00AD5925">
        <w:rPr>
          <w:rFonts w:ascii="Times New Roman" w:hAnsi="Times New Roman" w:cs="Times New Roman"/>
          <w:lang w:val="pl-PL"/>
        </w:rPr>
        <w:t xml:space="preserve"> jako hobby</w:t>
      </w:r>
      <w:r w:rsidR="00A220C6" w:rsidRPr="00AD5925">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207ED4" w:rsidRPr="00B45853">
        <w:rPr>
          <w:rFonts w:ascii="Times New Roman" w:hAnsi="Times New Roman" w:cs="Times New Roman"/>
          <w:lang w:val="pl-PL"/>
        </w:rPr>
        <w:t xml:space="preserve">Ponadto Trybunał zauważa, że portal informacyjny skarżącej spółki był jednym z największych internetowych multimedialnych wydawnictw w tym kraju; miał szerokie grono odbiorców i znane </w:t>
      </w:r>
      <w:r w:rsidR="00691629" w:rsidRPr="00B45853">
        <w:rPr>
          <w:rFonts w:ascii="Times New Roman" w:hAnsi="Times New Roman" w:cs="Times New Roman"/>
          <w:lang w:val="pl-PL"/>
        </w:rPr>
        <w:t xml:space="preserve">było </w:t>
      </w:r>
      <w:r w:rsidR="00207ED4" w:rsidRPr="00B45853">
        <w:rPr>
          <w:rFonts w:ascii="Times New Roman" w:hAnsi="Times New Roman" w:cs="Times New Roman"/>
          <w:lang w:val="pl-PL"/>
        </w:rPr>
        <w:t>społeczne zaniepokojenie o kontrowersyjnym charakterze komentarzy</w:t>
      </w:r>
      <w:r w:rsidR="007010C2" w:rsidRPr="00B45853">
        <w:rPr>
          <w:rFonts w:ascii="Times New Roman" w:hAnsi="Times New Roman" w:cs="Times New Roman"/>
          <w:lang w:val="pl-PL"/>
        </w:rPr>
        <w:t>,</w:t>
      </w:r>
      <w:r w:rsidR="00207ED4" w:rsidRPr="00B45853">
        <w:rPr>
          <w:rFonts w:ascii="Times New Roman" w:hAnsi="Times New Roman" w:cs="Times New Roman"/>
          <w:lang w:val="pl-PL"/>
        </w:rPr>
        <w:t xml:space="preserve"> które przyciągał (zobacz paragraf 15 powyżej). Ponadto, jak wskazano powyżej, kwestionowane komentarze w niniejszym przypadku, zgodnie z o</w:t>
      </w:r>
      <w:r w:rsidR="002B5FD6" w:rsidRPr="00B45853">
        <w:rPr>
          <w:rFonts w:ascii="Times New Roman" w:hAnsi="Times New Roman" w:cs="Times New Roman"/>
          <w:lang w:val="pl-PL"/>
        </w:rPr>
        <w:t>ceną S</w:t>
      </w:r>
      <w:r w:rsidR="00F642F8">
        <w:rPr>
          <w:rFonts w:ascii="Times New Roman" w:hAnsi="Times New Roman" w:cs="Times New Roman"/>
          <w:lang w:val="pl-PL"/>
        </w:rPr>
        <w:t>ądu Najwyższego, głównie stanowią</w:t>
      </w:r>
      <w:r w:rsidR="002B5FD6" w:rsidRPr="00B45853">
        <w:rPr>
          <w:rFonts w:ascii="Times New Roman" w:hAnsi="Times New Roman" w:cs="Times New Roman"/>
          <w:lang w:val="pl-PL"/>
        </w:rPr>
        <w:t xml:space="preserve"> o mowie nienawiści i mowie</w:t>
      </w:r>
      <w:r w:rsidR="007010C2" w:rsidRPr="00B45853">
        <w:rPr>
          <w:rFonts w:ascii="Times New Roman" w:hAnsi="Times New Roman" w:cs="Times New Roman"/>
          <w:lang w:val="pl-PL"/>
        </w:rPr>
        <w:t>,</w:t>
      </w:r>
      <w:r w:rsidR="002B5FD6" w:rsidRPr="00B45853">
        <w:rPr>
          <w:rFonts w:ascii="Times New Roman" w:hAnsi="Times New Roman" w:cs="Times New Roman"/>
          <w:lang w:val="pl-PL"/>
        </w:rPr>
        <w:t xml:space="preserve"> która</w:t>
      </w:r>
      <w:r w:rsidR="00207ED4" w:rsidRPr="00B45853">
        <w:rPr>
          <w:rFonts w:ascii="Times New Roman" w:hAnsi="Times New Roman" w:cs="Times New Roman"/>
          <w:lang w:val="pl-PL"/>
        </w:rPr>
        <w:t xml:space="preserve"> bezpośrednio </w:t>
      </w:r>
      <w:r w:rsidR="002B5FD6" w:rsidRPr="00B45853">
        <w:rPr>
          <w:rFonts w:ascii="Times New Roman" w:hAnsi="Times New Roman" w:cs="Times New Roman"/>
          <w:lang w:val="pl-PL"/>
        </w:rPr>
        <w:t xml:space="preserve">zachęca do aktów przemocy. Zatem </w:t>
      </w:r>
      <w:r w:rsidR="00207ED4" w:rsidRPr="00B45853">
        <w:rPr>
          <w:rFonts w:ascii="Times New Roman" w:hAnsi="Times New Roman" w:cs="Times New Roman"/>
          <w:lang w:val="pl-PL"/>
        </w:rPr>
        <w:t>stanowienie</w:t>
      </w:r>
      <w:r w:rsidR="002B5FD6" w:rsidRPr="00B45853">
        <w:rPr>
          <w:rFonts w:ascii="Times New Roman" w:hAnsi="Times New Roman" w:cs="Times New Roman"/>
          <w:lang w:val="pl-PL"/>
        </w:rPr>
        <w:t xml:space="preserve"> o</w:t>
      </w:r>
      <w:r w:rsidR="00207ED4" w:rsidRPr="00B45853">
        <w:rPr>
          <w:rFonts w:ascii="Times New Roman" w:hAnsi="Times New Roman" w:cs="Times New Roman"/>
          <w:lang w:val="pl-PL"/>
        </w:rPr>
        <w:t xml:space="preserve"> ich </w:t>
      </w:r>
      <w:r w:rsidR="00207ED4" w:rsidRPr="00B45853">
        <w:rPr>
          <w:rFonts w:ascii="Times New Roman" w:hAnsi="Times New Roman" w:cs="Times New Roman"/>
          <w:lang w:val="pl-PL"/>
        </w:rPr>
        <w:lastRenderedPageBreak/>
        <w:t>bezprawnym charakterze nie wymaga żad</w:t>
      </w:r>
      <w:r w:rsidR="002B5FD6" w:rsidRPr="00B45853">
        <w:rPr>
          <w:rFonts w:ascii="Times New Roman" w:hAnsi="Times New Roman" w:cs="Times New Roman"/>
          <w:lang w:val="pl-PL"/>
        </w:rPr>
        <w:t>nej analizy językowej lub prawnej</w:t>
      </w:r>
      <w:r w:rsidR="00207ED4" w:rsidRPr="00B45853">
        <w:rPr>
          <w:rFonts w:ascii="Times New Roman" w:hAnsi="Times New Roman" w:cs="Times New Roman"/>
          <w:lang w:val="pl-PL"/>
        </w:rPr>
        <w:t xml:space="preserve">, ponieważ </w:t>
      </w:r>
      <w:r w:rsidR="00F642F8">
        <w:rPr>
          <w:rFonts w:ascii="Times New Roman" w:hAnsi="Times New Roman" w:cs="Times New Roman"/>
          <w:lang w:val="pl-PL"/>
        </w:rPr>
        <w:t>komentarze</w:t>
      </w:r>
      <w:r w:rsidR="00207ED4" w:rsidRPr="00B45853">
        <w:rPr>
          <w:rFonts w:ascii="Times New Roman" w:hAnsi="Times New Roman" w:cs="Times New Roman"/>
          <w:lang w:val="pl-PL"/>
        </w:rPr>
        <w:t xml:space="preserve"> </w:t>
      </w:r>
      <w:r w:rsidR="002B5FD6" w:rsidRPr="00B45853">
        <w:rPr>
          <w:rFonts w:ascii="Times New Roman" w:hAnsi="Times New Roman" w:cs="Times New Roman"/>
          <w:lang w:val="pl-PL"/>
        </w:rPr>
        <w:t>były zaliczane jako</w:t>
      </w:r>
      <w:r w:rsidR="00207ED4" w:rsidRPr="00B45853">
        <w:rPr>
          <w:rFonts w:ascii="Times New Roman" w:hAnsi="Times New Roman" w:cs="Times New Roman"/>
          <w:lang w:val="pl-PL"/>
        </w:rPr>
        <w:t xml:space="preserve"> oczywiś</w:t>
      </w:r>
      <w:r w:rsidR="002B5FD6" w:rsidRPr="00B45853">
        <w:rPr>
          <w:rFonts w:ascii="Times New Roman" w:hAnsi="Times New Roman" w:cs="Times New Roman"/>
          <w:lang w:val="pl-PL"/>
        </w:rPr>
        <w:t>cie bezprawne. To na tym tle,</w:t>
      </w:r>
      <w:r w:rsidR="00207ED4" w:rsidRPr="00B45853">
        <w:rPr>
          <w:rFonts w:ascii="Times New Roman" w:hAnsi="Times New Roman" w:cs="Times New Roman"/>
          <w:lang w:val="pl-PL"/>
        </w:rPr>
        <w:t xml:space="preserve"> Trybunał przystąpi</w:t>
      </w:r>
      <w:r w:rsidR="002B5FD6" w:rsidRPr="00B45853">
        <w:rPr>
          <w:rFonts w:ascii="Times New Roman" w:hAnsi="Times New Roman" w:cs="Times New Roman"/>
          <w:lang w:val="pl-PL"/>
        </w:rPr>
        <w:t>ł</w:t>
      </w:r>
      <w:r w:rsidR="00207ED4" w:rsidRPr="00B45853">
        <w:rPr>
          <w:rFonts w:ascii="Times New Roman" w:hAnsi="Times New Roman" w:cs="Times New Roman"/>
          <w:lang w:val="pl-PL"/>
        </w:rPr>
        <w:t xml:space="preserve"> do zbadania skargi skarżącej spółki</w:t>
      </w:r>
      <w:r w:rsidR="00A220C6" w:rsidRPr="00B45853">
        <w:rPr>
          <w:rFonts w:ascii="Times New Roman" w:hAnsi="Times New Roman" w:cs="Times New Roman"/>
          <w:lang w:val="pl-PL"/>
        </w:rPr>
        <w:t>.</w:t>
      </w:r>
    </w:p>
    <w:p w:rsidR="00A220C6" w:rsidRPr="00B45853" w:rsidRDefault="00A220C6" w:rsidP="00171A6F">
      <w:pPr>
        <w:pStyle w:val="ECHRHeading3"/>
        <w:rPr>
          <w:rFonts w:ascii="Times New Roman" w:hAnsi="Times New Roman" w:cs="Times New Roman"/>
          <w:lang w:val="pl-PL"/>
        </w:rPr>
      </w:pPr>
      <w:bookmarkStart w:id="34" w:name="_Toc420072881"/>
      <w:r w:rsidRPr="00B45853">
        <w:rPr>
          <w:rFonts w:ascii="Times New Roman" w:hAnsi="Times New Roman" w:cs="Times New Roman"/>
          <w:lang w:val="pl-PL"/>
        </w:rPr>
        <w:t>2.  </w:t>
      </w:r>
      <w:bookmarkEnd w:id="34"/>
      <w:r w:rsidR="002B5FD6" w:rsidRPr="00B45853">
        <w:rPr>
          <w:rFonts w:ascii="Times New Roman" w:hAnsi="Times New Roman" w:cs="Times New Roman"/>
          <w:lang w:val="pl-PL"/>
        </w:rPr>
        <w:t>Istnienie ingerencji</w:t>
      </w:r>
    </w:p>
    <w:p w:rsidR="00B413BF" w:rsidRPr="00337240"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118</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2B5FD6" w:rsidRPr="00B45853">
        <w:rPr>
          <w:rFonts w:ascii="Times New Roman" w:hAnsi="Times New Roman" w:cs="Times New Roman"/>
          <w:lang w:val="pl-PL"/>
        </w:rPr>
        <w:t xml:space="preserve">Trybunał zauważa, że nie było przedmiotem sporu między stronami, że wolność </w:t>
      </w:r>
      <w:r w:rsidR="002B5FD6" w:rsidRPr="00337240">
        <w:rPr>
          <w:rFonts w:ascii="Times New Roman" w:hAnsi="Times New Roman" w:cs="Times New Roman"/>
          <w:lang w:val="pl-PL"/>
        </w:rPr>
        <w:t xml:space="preserve">skarżącej spółki za wypowiedzi gwarantowane na mocy Artykułu 10 Konwencji </w:t>
      </w:r>
      <w:r w:rsidR="00F66280" w:rsidRPr="00337240">
        <w:rPr>
          <w:rFonts w:ascii="Times New Roman" w:hAnsi="Times New Roman" w:cs="Times New Roman"/>
          <w:lang w:val="pl-PL"/>
        </w:rPr>
        <w:t xml:space="preserve">została naruszona poprzez </w:t>
      </w:r>
      <w:r w:rsidR="002B5FD6" w:rsidRPr="00337240">
        <w:rPr>
          <w:rFonts w:ascii="Times New Roman" w:hAnsi="Times New Roman" w:cs="Times New Roman"/>
          <w:lang w:val="pl-PL"/>
        </w:rPr>
        <w:t>decyzje sądów krajowych. Trybunał nie widzi powodu, by uznawać inaczej</w:t>
      </w:r>
      <w:r w:rsidR="00A220C6" w:rsidRPr="00337240">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119</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FF47EB" w:rsidRPr="00337240">
        <w:rPr>
          <w:rFonts w:ascii="Times New Roman" w:hAnsi="Times New Roman" w:cs="Times New Roman"/>
          <w:lang w:val="pl-PL"/>
        </w:rPr>
        <w:t>Taka ingerencja w prawo skarżącej spółki do wolności słowa musi</w:t>
      </w:r>
      <w:r w:rsidR="00091C32" w:rsidRPr="00337240">
        <w:rPr>
          <w:rFonts w:ascii="Times New Roman" w:hAnsi="Times New Roman" w:cs="Times New Roman"/>
          <w:lang w:val="pl-PL"/>
        </w:rPr>
        <w:t>ała</w:t>
      </w:r>
      <w:r w:rsidR="00FF47EB" w:rsidRPr="00337240">
        <w:rPr>
          <w:rFonts w:ascii="Times New Roman" w:hAnsi="Times New Roman" w:cs="Times New Roman"/>
          <w:lang w:val="pl-PL"/>
        </w:rPr>
        <w:t xml:space="preserve"> być "przewidziana przez prawo", posiadać jeden lub więcej uzasadnionych celów w świetle paragrafu 2 Artykułu 10, i </w:t>
      </w:r>
      <w:r w:rsidR="00F66280" w:rsidRPr="00337240">
        <w:rPr>
          <w:rFonts w:ascii="Times New Roman" w:hAnsi="Times New Roman" w:cs="Times New Roman"/>
          <w:lang w:val="pl-PL"/>
        </w:rPr>
        <w:t>być ”konieczna</w:t>
      </w:r>
      <w:r w:rsidR="00FF47EB" w:rsidRPr="00B45853">
        <w:rPr>
          <w:rFonts w:ascii="Times New Roman" w:hAnsi="Times New Roman" w:cs="Times New Roman"/>
          <w:lang w:val="pl-PL"/>
        </w:rPr>
        <w:t xml:space="preserve"> w demokratycznym społeczeństwie</w:t>
      </w:r>
      <w:r w:rsidR="00A220C6" w:rsidRPr="00B45853">
        <w:rPr>
          <w:rFonts w:ascii="Times New Roman" w:hAnsi="Times New Roman" w:cs="Times New Roman"/>
          <w:lang w:val="pl-PL"/>
        </w:rPr>
        <w:t>”.</w:t>
      </w:r>
    </w:p>
    <w:p w:rsidR="00A220C6" w:rsidRPr="00B45853" w:rsidRDefault="00A220C6" w:rsidP="00171A6F">
      <w:pPr>
        <w:pStyle w:val="ECHRHeading3"/>
        <w:rPr>
          <w:rFonts w:ascii="Times New Roman" w:hAnsi="Times New Roman" w:cs="Times New Roman"/>
          <w:lang w:val="pl-PL"/>
        </w:rPr>
      </w:pPr>
      <w:bookmarkStart w:id="35" w:name="_Toc420072882"/>
      <w:r w:rsidRPr="00B45853">
        <w:rPr>
          <w:rFonts w:ascii="Times New Roman" w:hAnsi="Times New Roman" w:cs="Times New Roman"/>
          <w:lang w:val="pl-PL"/>
        </w:rPr>
        <w:t>3.  L</w:t>
      </w:r>
      <w:bookmarkEnd w:id="35"/>
      <w:r w:rsidR="00FF47EB" w:rsidRPr="00B45853">
        <w:rPr>
          <w:rFonts w:ascii="Times New Roman" w:hAnsi="Times New Roman" w:cs="Times New Roman"/>
          <w:lang w:val="pl-PL"/>
        </w:rPr>
        <w:t>egalność</w:t>
      </w:r>
    </w:p>
    <w:p w:rsidR="00A220C6" w:rsidRPr="00337240"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120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A175F5" w:rsidRPr="00337240">
        <w:rPr>
          <w:rFonts w:ascii="Times New Roman" w:hAnsi="Times New Roman" w:cs="Times New Roman"/>
          <w:lang w:val="pl-PL"/>
        </w:rPr>
        <w:t xml:space="preserve">Trybunał przypomina, że wyrażenie "przewidziana przez prawo" w drugim </w:t>
      </w:r>
      <w:r w:rsidR="00F66280" w:rsidRPr="00337240">
        <w:rPr>
          <w:rFonts w:ascii="Times New Roman" w:hAnsi="Times New Roman" w:cs="Times New Roman"/>
          <w:lang w:val="pl-PL"/>
        </w:rPr>
        <w:t>paragrafie</w:t>
      </w:r>
      <w:r w:rsidR="00A175F5" w:rsidRPr="00337240">
        <w:rPr>
          <w:rFonts w:ascii="Times New Roman" w:hAnsi="Times New Roman" w:cs="Times New Roman"/>
          <w:lang w:val="pl-PL"/>
        </w:rPr>
        <w:t xml:space="preserve"> artykułu 10 nie tylko wymaga, by dany środek miał podstawę prawną w prawie krajowym, ale także odnosi się do jakości danego prawa, które powinno być dostępne z</w:t>
      </w:r>
      <w:r w:rsidR="00F66280" w:rsidRPr="00337240">
        <w:rPr>
          <w:rFonts w:ascii="Times New Roman" w:hAnsi="Times New Roman" w:cs="Times New Roman"/>
          <w:lang w:val="pl-PL"/>
        </w:rPr>
        <w:t>ainteresowanemu i przewidywalne</w:t>
      </w:r>
      <w:r w:rsidR="00A175F5" w:rsidRPr="00337240">
        <w:rPr>
          <w:rFonts w:ascii="Times New Roman" w:hAnsi="Times New Roman" w:cs="Times New Roman"/>
          <w:lang w:val="pl-PL"/>
        </w:rPr>
        <w:t xml:space="preserve"> co do </w:t>
      </w:r>
      <w:r w:rsidR="00F66280" w:rsidRPr="00337240">
        <w:rPr>
          <w:rFonts w:ascii="Times New Roman" w:hAnsi="Times New Roman" w:cs="Times New Roman"/>
          <w:lang w:val="pl-PL"/>
        </w:rPr>
        <w:t>swoich</w:t>
      </w:r>
      <w:r w:rsidR="00A175F5" w:rsidRPr="00337240">
        <w:rPr>
          <w:rFonts w:ascii="Times New Roman" w:hAnsi="Times New Roman" w:cs="Times New Roman"/>
          <w:lang w:val="pl-PL"/>
        </w:rPr>
        <w:t xml:space="preserve"> skutków</w:t>
      </w:r>
      <w:r w:rsidR="00A220C6" w:rsidRPr="00337240">
        <w:rPr>
          <w:rFonts w:ascii="Times New Roman" w:hAnsi="Times New Roman" w:cs="Times New Roman"/>
          <w:lang w:val="pl-PL"/>
        </w:rPr>
        <w:t xml:space="preserve"> (</w:t>
      </w:r>
      <w:r w:rsidR="00A175F5" w:rsidRPr="00337240">
        <w:rPr>
          <w:rFonts w:ascii="Times New Roman" w:hAnsi="Times New Roman" w:cs="Times New Roman"/>
          <w:lang w:val="pl-PL"/>
        </w:rPr>
        <w:t>zobacz</w:t>
      </w:r>
      <w:r w:rsidR="00A220C6" w:rsidRPr="00337240">
        <w:rPr>
          <w:rFonts w:ascii="Times New Roman" w:hAnsi="Times New Roman" w:cs="Times New Roman"/>
          <w:lang w:val="pl-PL"/>
        </w:rPr>
        <w:t xml:space="preserve">, </w:t>
      </w:r>
      <w:r w:rsidR="00A175F5" w:rsidRPr="00337240">
        <w:rPr>
          <w:rFonts w:ascii="Times New Roman" w:hAnsi="Times New Roman" w:cs="Times New Roman"/>
          <w:lang w:val="pl-PL"/>
        </w:rPr>
        <w:t>między innymi</w:t>
      </w:r>
      <w:r w:rsidR="00A220C6" w:rsidRPr="00337240">
        <w:rPr>
          <w:rFonts w:ascii="Times New Roman" w:hAnsi="Times New Roman" w:cs="Times New Roman"/>
          <w:lang w:val="pl-PL"/>
        </w:rPr>
        <w:t xml:space="preserve">, </w:t>
      </w:r>
      <w:proofErr w:type="spellStart"/>
      <w:r w:rsidR="00A220C6" w:rsidRPr="00337240">
        <w:rPr>
          <w:rFonts w:ascii="Times New Roman" w:hAnsi="Times New Roman" w:cs="Times New Roman"/>
          <w:i/>
          <w:lang w:val="pl-PL"/>
        </w:rPr>
        <w:t>VgT</w:t>
      </w:r>
      <w:proofErr w:type="spellEnd"/>
      <w:r w:rsidR="00A220C6" w:rsidRPr="00337240">
        <w:rPr>
          <w:rFonts w:ascii="Times New Roman" w:hAnsi="Times New Roman" w:cs="Times New Roman"/>
          <w:i/>
          <w:lang w:val="pl-PL"/>
        </w:rPr>
        <w:t xml:space="preserve"> </w:t>
      </w:r>
      <w:proofErr w:type="spellStart"/>
      <w:r w:rsidR="00A220C6" w:rsidRPr="00337240">
        <w:rPr>
          <w:rFonts w:ascii="Times New Roman" w:hAnsi="Times New Roman" w:cs="Times New Roman"/>
          <w:i/>
          <w:lang w:val="pl-PL"/>
        </w:rPr>
        <w:t>Verein</w:t>
      </w:r>
      <w:proofErr w:type="spellEnd"/>
      <w:r w:rsidR="00A220C6" w:rsidRPr="00337240">
        <w:rPr>
          <w:rFonts w:ascii="Times New Roman" w:hAnsi="Times New Roman" w:cs="Times New Roman"/>
          <w:i/>
          <w:lang w:val="pl-PL"/>
        </w:rPr>
        <w:t xml:space="preserve"> </w:t>
      </w:r>
      <w:proofErr w:type="spellStart"/>
      <w:r w:rsidR="00A220C6" w:rsidRPr="00337240">
        <w:rPr>
          <w:rFonts w:ascii="Times New Roman" w:hAnsi="Times New Roman" w:cs="Times New Roman"/>
          <w:i/>
          <w:lang w:val="pl-PL"/>
        </w:rPr>
        <w:t>gegen</w:t>
      </w:r>
      <w:proofErr w:type="spellEnd"/>
      <w:r w:rsidR="00A220C6" w:rsidRPr="00337240">
        <w:rPr>
          <w:rFonts w:ascii="Times New Roman" w:hAnsi="Times New Roman" w:cs="Times New Roman"/>
          <w:i/>
          <w:lang w:val="pl-PL"/>
        </w:rPr>
        <w:t xml:space="preserve"> </w:t>
      </w:r>
      <w:proofErr w:type="spellStart"/>
      <w:r w:rsidR="00A220C6" w:rsidRPr="00337240">
        <w:rPr>
          <w:rFonts w:ascii="Times New Roman" w:hAnsi="Times New Roman" w:cs="Times New Roman"/>
          <w:i/>
          <w:lang w:val="pl-PL"/>
        </w:rPr>
        <w:t>Tierfabriken</w:t>
      </w:r>
      <w:proofErr w:type="spellEnd"/>
      <w:r w:rsidR="00A220C6" w:rsidRPr="00337240">
        <w:rPr>
          <w:rFonts w:ascii="Times New Roman" w:hAnsi="Times New Roman" w:cs="Times New Roman"/>
          <w:i/>
          <w:lang w:val="pl-PL"/>
        </w:rPr>
        <w:t xml:space="preserve"> </w:t>
      </w:r>
      <w:r w:rsidR="00A175F5" w:rsidRPr="00337240">
        <w:rPr>
          <w:rFonts w:ascii="Times New Roman" w:hAnsi="Times New Roman" w:cs="Times New Roman"/>
          <w:i/>
          <w:lang w:val="pl-PL"/>
        </w:rPr>
        <w:t>przeciwko</w:t>
      </w:r>
      <w:r w:rsidR="00A220C6" w:rsidRPr="00337240">
        <w:rPr>
          <w:rFonts w:ascii="Times New Roman" w:hAnsi="Times New Roman" w:cs="Times New Roman"/>
          <w:i/>
          <w:lang w:val="pl-PL"/>
        </w:rPr>
        <w:t xml:space="preserve"> S</w:t>
      </w:r>
      <w:r w:rsidR="00A175F5" w:rsidRPr="00337240">
        <w:rPr>
          <w:rFonts w:ascii="Times New Roman" w:hAnsi="Times New Roman" w:cs="Times New Roman"/>
          <w:i/>
          <w:lang w:val="pl-PL"/>
        </w:rPr>
        <w:t>zwajcarii</w:t>
      </w:r>
      <w:r w:rsidR="00A175F5" w:rsidRPr="00337240">
        <w:rPr>
          <w:rFonts w:ascii="Times New Roman" w:hAnsi="Times New Roman" w:cs="Times New Roman"/>
          <w:lang w:val="pl-PL"/>
        </w:rPr>
        <w:t>, nr</w:t>
      </w:r>
      <w:r w:rsidR="00A220C6" w:rsidRPr="00337240">
        <w:rPr>
          <w:rFonts w:ascii="Times New Roman" w:hAnsi="Times New Roman" w:cs="Times New Roman"/>
          <w:lang w:val="pl-PL"/>
        </w:rPr>
        <w:t xml:space="preserve"> 24699/94, § 52, ECHR 2001</w:t>
      </w:r>
      <w:r w:rsidR="00A220C6" w:rsidRPr="00337240">
        <w:rPr>
          <w:rFonts w:ascii="Times New Roman" w:hAnsi="Times New Roman" w:cs="Times New Roman"/>
          <w:lang w:val="pl-PL"/>
        </w:rPr>
        <w:noBreakHyphen/>
        <w:t xml:space="preserve">VI; </w:t>
      </w:r>
      <w:proofErr w:type="spellStart"/>
      <w:r w:rsidR="00A175F5" w:rsidRPr="00337240">
        <w:rPr>
          <w:rFonts w:ascii="Times New Roman" w:hAnsi="Times New Roman" w:cs="Times New Roman"/>
          <w:i/>
          <w:lang w:val="pl-PL"/>
        </w:rPr>
        <w:t>Rotaru</w:t>
      </w:r>
      <w:proofErr w:type="spellEnd"/>
      <w:r w:rsidR="00A175F5"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R</w:t>
      </w:r>
      <w:r w:rsidR="00A175F5" w:rsidRPr="00337240">
        <w:rPr>
          <w:rFonts w:ascii="Times New Roman" w:hAnsi="Times New Roman" w:cs="Times New Roman"/>
          <w:i/>
          <w:lang w:val="pl-PL"/>
        </w:rPr>
        <w:t>umunii</w:t>
      </w:r>
      <w:r w:rsidR="00A175F5" w:rsidRPr="00337240">
        <w:rPr>
          <w:rFonts w:ascii="Times New Roman" w:hAnsi="Times New Roman" w:cs="Times New Roman"/>
          <w:lang w:val="pl-PL"/>
        </w:rPr>
        <w:t xml:space="preserve"> [GC], nr</w:t>
      </w:r>
      <w:r w:rsidR="00A220C6" w:rsidRPr="00337240">
        <w:rPr>
          <w:rFonts w:ascii="Times New Roman" w:hAnsi="Times New Roman" w:cs="Times New Roman"/>
          <w:lang w:val="pl-PL"/>
        </w:rPr>
        <w:t xml:space="preserve"> 28341/95, § 52, ECHR 2000-V; </w:t>
      </w:r>
      <w:r w:rsidR="00A175F5" w:rsidRPr="00337240">
        <w:rPr>
          <w:rFonts w:ascii="Times New Roman" w:hAnsi="Times New Roman" w:cs="Times New Roman"/>
          <w:i/>
          <w:lang w:val="pl-PL"/>
        </w:rPr>
        <w:t>Gawęda przeciwko</w:t>
      </w:r>
      <w:r w:rsidR="00A220C6" w:rsidRPr="00337240">
        <w:rPr>
          <w:rFonts w:ascii="Times New Roman" w:hAnsi="Times New Roman" w:cs="Times New Roman"/>
          <w:i/>
          <w:lang w:val="pl-PL"/>
        </w:rPr>
        <w:t xml:space="preserve"> Pol</w:t>
      </w:r>
      <w:r w:rsidR="00A175F5" w:rsidRPr="00337240">
        <w:rPr>
          <w:rFonts w:ascii="Times New Roman" w:hAnsi="Times New Roman" w:cs="Times New Roman"/>
          <w:i/>
          <w:lang w:val="pl-PL"/>
        </w:rPr>
        <w:t>sce</w:t>
      </w:r>
      <w:r w:rsidR="00A175F5" w:rsidRPr="00337240">
        <w:rPr>
          <w:rFonts w:ascii="Times New Roman" w:hAnsi="Times New Roman" w:cs="Times New Roman"/>
          <w:lang w:val="pl-PL"/>
        </w:rPr>
        <w:t>, nr</w:t>
      </w:r>
      <w:r w:rsidR="00A220C6" w:rsidRPr="00337240">
        <w:rPr>
          <w:rFonts w:ascii="Times New Roman" w:hAnsi="Times New Roman" w:cs="Times New Roman"/>
          <w:lang w:val="pl-PL"/>
        </w:rPr>
        <w:t xml:space="preserve"> 26229/95, § 39, ECHR 200</w:t>
      </w:r>
      <w:r w:rsidR="00A175F5" w:rsidRPr="00337240">
        <w:rPr>
          <w:rFonts w:ascii="Times New Roman" w:hAnsi="Times New Roman" w:cs="Times New Roman"/>
          <w:lang w:val="pl-PL"/>
        </w:rPr>
        <w:t>2-II; i</w:t>
      </w:r>
      <w:r w:rsidR="00A220C6" w:rsidRPr="00337240">
        <w:rPr>
          <w:rFonts w:ascii="Times New Roman" w:hAnsi="Times New Roman" w:cs="Times New Roman"/>
          <w:lang w:val="pl-PL"/>
        </w:rPr>
        <w:t xml:space="preserve"> </w:t>
      </w:r>
      <w:proofErr w:type="spellStart"/>
      <w:r w:rsidR="00A175F5" w:rsidRPr="00337240">
        <w:rPr>
          <w:rFonts w:ascii="Times New Roman" w:hAnsi="Times New Roman" w:cs="Times New Roman"/>
          <w:i/>
          <w:lang w:val="pl-PL"/>
        </w:rPr>
        <w:t>Maestri</w:t>
      </w:r>
      <w:proofErr w:type="spellEnd"/>
      <w:r w:rsidR="00A175F5"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xml:space="preserve"> </w:t>
      </w:r>
      <w:r w:rsidR="00A175F5" w:rsidRPr="00337240">
        <w:rPr>
          <w:rFonts w:ascii="Times New Roman" w:hAnsi="Times New Roman" w:cs="Times New Roman"/>
          <w:i/>
          <w:lang w:val="pl-PL"/>
        </w:rPr>
        <w:t>Włochom</w:t>
      </w:r>
      <w:r w:rsidR="00A175F5" w:rsidRPr="00337240">
        <w:rPr>
          <w:rFonts w:ascii="Times New Roman" w:hAnsi="Times New Roman" w:cs="Times New Roman"/>
          <w:lang w:val="pl-PL"/>
        </w:rPr>
        <w:t xml:space="preserve"> [GC], nr</w:t>
      </w:r>
      <w:r w:rsidR="00A220C6" w:rsidRPr="00337240">
        <w:rPr>
          <w:rFonts w:ascii="Times New Roman" w:hAnsi="Times New Roman" w:cs="Times New Roman"/>
          <w:lang w:val="pl-PL"/>
        </w:rPr>
        <w:t xml:space="preserve"> 39748/98, § 30, ECHR 2004-I). </w:t>
      </w:r>
      <w:r w:rsidR="00A11E3D" w:rsidRPr="00337240">
        <w:rPr>
          <w:rFonts w:ascii="Times New Roman" w:hAnsi="Times New Roman" w:cs="Times New Roman"/>
          <w:lang w:val="pl-PL"/>
        </w:rPr>
        <w:t>J</w:t>
      </w:r>
      <w:r w:rsidR="00A175F5" w:rsidRPr="00337240">
        <w:rPr>
          <w:rFonts w:ascii="Times New Roman" w:hAnsi="Times New Roman" w:cs="Times New Roman"/>
          <w:lang w:val="pl-PL"/>
        </w:rPr>
        <w:t xml:space="preserve">est to jednak przede wszystkim </w:t>
      </w:r>
      <w:r w:rsidR="00A11E3D" w:rsidRPr="00337240">
        <w:rPr>
          <w:rFonts w:ascii="Times New Roman" w:hAnsi="Times New Roman" w:cs="Times New Roman"/>
          <w:lang w:val="pl-PL"/>
        </w:rPr>
        <w:t>zadanie</w:t>
      </w:r>
      <w:r w:rsidR="00A175F5" w:rsidRPr="00337240">
        <w:rPr>
          <w:rFonts w:ascii="Times New Roman" w:hAnsi="Times New Roman" w:cs="Times New Roman"/>
          <w:lang w:val="pl-PL"/>
        </w:rPr>
        <w:t xml:space="preserve"> władz kr</w:t>
      </w:r>
      <w:r w:rsidR="007010C2" w:rsidRPr="00337240">
        <w:rPr>
          <w:rFonts w:ascii="Times New Roman" w:hAnsi="Times New Roman" w:cs="Times New Roman"/>
          <w:lang w:val="pl-PL"/>
        </w:rPr>
        <w:t>ajowych, w szczególności sądów,</w:t>
      </w:r>
      <w:r w:rsidR="00A11E3D" w:rsidRPr="00337240">
        <w:rPr>
          <w:rFonts w:ascii="Times New Roman" w:hAnsi="Times New Roman" w:cs="Times New Roman"/>
          <w:lang w:val="pl-PL"/>
        </w:rPr>
        <w:t xml:space="preserve"> by </w:t>
      </w:r>
      <w:r w:rsidR="00A175F5" w:rsidRPr="00337240">
        <w:rPr>
          <w:rFonts w:ascii="Times New Roman" w:hAnsi="Times New Roman" w:cs="Times New Roman"/>
          <w:lang w:val="pl-PL"/>
        </w:rPr>
        <w:t>i</w:t>
      </w:r>
      <w:r w:rsidR="00A11E3D" w:rsidRPr="00337240">
        <w:rPr>
          <w:rFonts w:ascii="Times New Roman" w:hAnsi="Times New Roman" w:cs="Times New Roman"/>
          <w:lang w:val="pl-PL"/>
        </w:rPr>
        <w:t>nterpretować</w:t>
      </w:r>
      <w:r w:rsidR="00A175F5" w:rsidRPr="00337240">
        <w:rPr>
          <w:rFonts w:ascii="Times New Roman" w:hAnsi="Times New Roman" w:cs="Times New Roman"/>
          <w:lang w:val="pl-PL"/>
        </w:rPr>
        <w:t xml:space="preserve"> i stosow</w:t>
      </w:r>
      <w:r w:rsidR="00A11E3D" w:rsidRPr="00337240">
        <w:rPr>
          <w:rFonts w:ascii="Times New Roman" w:hAnsi="Times New Roman" w:cs="Times New Roman"/>
          <w:lang w:val="pl-PL"/>
        </w:rPr>
        <w:t>ać prawo krajowe</w:t>
      </w:r>
      <w:r w:rsidR="00A220C6" w:rsidRPr="00337240">
        <w:rPr>
          <w:rFonts w:ascii="Times New Roman" w:hAnsi="Times New Roman" w:cs="Times New Roman"/>
          <w:lang w:val="pl-PL"/>
        </w:rPr>
        <w:t xml:space="preserve"> (</w:t>
      </w:r>
      <w:r w:rsidR="00A11E3D" w:rsidRPr="00337240">
        <w:rPr>
          <w:rFonts w:ascii="Times New Roman" w:hAnsi="Times New Roman" w:cs="Times New Roman"/>
          <w:lang w:val="pl-PL"/>
        </w:rPr>
        <w:t>zobacz</w:t>
      </w:r>
      <w:r w:rsidR="00A220C6" w:rsidRPr="00337240">
        <w:rPr>
          <w:rFonts w:ascii="Times New Roman" w:hAnsi="Times New Roman" w:cs="Times New Roman"/>
          <w:lang w:val="pl-PL"/>
        </w:rPr>
        <w:t xml:space="preserve"> </w:t>
      </w:r>
      <w:r w:rsidR="00A220C6" w:rsidRPr="00337240">
        <w:rPr>
          <w:rFonts w:ascii="Times New Roman" w:hAnsi="Times New Roman" w:cs="Times New Roman"/>
          <w:i/>
          <w:lang w:val="pl-PL"/>
        </w:rPr>
        <w:t xml:space="preserve">Centro Europa 7 </w:t>
      </w:r>
      <w:proofErr w:type="spellStart"/>
      <w:r w:rsidR="00A220C6" w:rsidRPr="00337240">
        <w:rPr>
          <w:rFonts w:ascii="Times New Roman" w:hAnsi="Times New Roman" w:cs="Times New Roman"/>
          <w:i/>
          <w:snapToGrid w:val="0"/>
          <w:lang w:val="pl-PL"/>
        </w:rPr>
        <w:t>S.r.l</w:t>
      </w:r>
      <w:proofErr w:type="spellEnd"/>
      <w:r w:rsidR="00A220C6" w:rsidRPr="00337240">
        <w:rPr>
          <w:rFonts w:ascii="Times New Roman" w:hAnsi="Times New Roman" w:cs="Times New Roman"/>
          <w:i/>
          <w:snapToGrid w:val="0"/>
          <w:lang w:val="pl-PL"/>
        </w:rPr>
        <w:t>.</w:t>
      </w:r>
      <w:r w:rsidR="00A11E3D" w:rsidRPr="00337240">
        <w:rPr>
          <w:rFonts w:ascii="Times New Roman" w:hAnsi="Times New Roman" w:cs="Times New Roman"/>
          <w:i/>
          <w:lang w:val="pl-PL"/>
        </w:rPr>
        <w:t xml:space="preserve"> i Di Stefano przeciwko</w:t>
      </w:r>
      <w:r w:rsidR="00A220C6" w:rsidRPr="00337240">
        <w:rPr>
          <w:rFonts w:ascii="Times New Roman" w:hAnsi="Times New Roman" w:cs="Times New Roman"/>
          <w:i/>
          <w:lang w:val="pl-PL"/>
        </w:rPr>
        <w:t xml:space="preserve"> </w:t>
      </w:r>
      <w:r w:rsidR="00A11E3D" w:rsidRPr="00337240">
        <w:rPr>
          <w:rFonts w:ascii="Times New Roman" w:hAnsi="Times New Roman" w:cs="Times New Roman"/>
          <w:i/>
          <w:lang w:val="pl-PL"/>
        </w:rPr>
        <w:t>Włochom</w:t>
      </w:r>
      <w:r w:rsidR="00A220C6" w:rsidRPr="00337240">
        <w:rPr>
          <w:rFonts w:ascii="Times New Roman" w:hAnsi="Times New Roman" w:cs="Times New Roman"/>
          <w:i/>
          <w:lang w:val="pl-PL"/>
        </w:rPr>
        <w:t xml:space="preserve"> </w:t>
      </w:r>
      <w:r w:rsidR="00A11E3D" w:rsidRPr="00337240">
        <w:rPr>
          <w:rFonts w:ascii="Times New Roman" w:hAnsi="Times New Roman" w:cs="Times New Roman"/>
          <w:lang w:val="pl-PL"/>
        </w:rPr>
        <w:t>[GC], nr</w:t>
      </w:r>
      <w:r w:rsidR="00A220C6" w:rsidRPr="00337240">
        <w:rPr>
          <w:rFonts w:ascii="Times New Roman" w:hAnsi="Times New Roman" w:cs="Times New Roman"/>
          <w:lang w:val="pl-PL"/>
        </w:rPr>
        <w:t xml:space="preserve"> 38433/09</w:t>
      </w:r>
      <w:r w:rsidR="00A220C6" w:rsidRPr="00337240">
        <w:rPr>
          <w:rFonts w:ascii="Times New Roman" w:hAnsi="Times New Roman" w:cs="Times New Roman"/>
          <w:snapToGrid w:val="0"/>
          <w:szCs w:val="24"/>
          <w:lang w:val="pl-PL"/>
        </w:rPr>
        <w:t xml:space="preserve">, § 140, </w:t>
      </w:r>
      <w:r w:rsidR="00A220C6" w:rsidRPr="00337240">
        <w:rPr>
          <w:rFonts w:ascii="Times New Roman" w:hAnsi="Times New Roman" w:cs="Times New Roman"/>
          <w:snapToGrid w:val="0"/>
          <w:lang w:val="pl-PL"/>
        </w:rPr>
        <w:t xml:space="preserve">ECHR 2012; </w:t>
      </w:r>
      <w:proofErr w:type="spellStart"/>
      <w:r w:rsidR="00A11E3D" w:rsidRPr="00337240">
        <w:rPr>
          <w:rFonts w:ascii="Times New Roman" w:hAnsi="Times New Roman" w:cs="Times New Roman"/>
          <w:i/>
          <w:lang w:val="pl-PL"/>
        </w:rPr>
        <w:t>Kruslin</w:t>
      </w:r>
      <w:proofErr w:type="spellEnd"/>
      <w:r w:rsidR="00A11E3D"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xml:space="preserve"> Franc</w:t>
      </w:r>
      <w:r w:rsidR="00A11E3D" w:rsidRPr="00337240">
        <w:rPr>
          <w:rFonts w:ascii="Times New Roman" w:hAnsi="Times New Roman" w:cs="Times New Roman"/>
          <w:i/>
          <w:lang w:val="pl-PL"/>
        </w:rPr>
        <w:t>ji</w:t>
      </w:r>
      <w:r w:rsidR="00A220C6" w:rsidRPr="00337240">
        <w:rPr>
          <w:rFonts w:ascii="Times New Roman" w:hAnsi="Times New Roman" w:cs="Times New Roman"/>
          <w:lang w:val="pl-PL"/>
        </w:rPr>
        <w:t xml:space="preserve">, 24 </w:t>
      </w:r>
      <w:r w:rsidR="00A11E3D" w:rsidRPr="00337240">
        <w:rPr>
          <w:rFonts w:ascii="Times New Roman" w:hAnsi="Times New Roman" w:cs="Times New Roman"/>
          <w:lang w:val="pl-PL"/>
        </w:rPr>
        <w:t>Kwietnia</w:t>
      </w:r>
      <w:r w:rsidR="00A220C6" w:rsidRPr="00337240">
        <w:rPr>
          <w:rFonts w:ascii="Times New Roman" w:hAnsi="Times New Roman" w:cs="Times New Roman"/>
          <w:lang w:val="pl-PL"/>
        </w:rPr>
        <w:t xml:space="preserve"> 1990</w:t>
      </w:r>
      <w:r w:rsidR="00A11E3D" w:rsidRPr="00337240">
        <w:rPr>
          <w:rFonts w:ascii="Times New Roman" w:hAnsi="Times New Roman" w:cs="Times New Roman"/>
          <w:lang w:val="pl-PL"/>
        </w:rPr>
        <w:t xml:space="preserve"> roku, § 29, Seria A nr 176-A; i</w:t>
      </w:r>
      <w:r w:rsidR="00A220C6" w:rsidRPr="00337240">
        <w:rPr>
          <w:rFonts w:ascii="Times New Roman" w:hAnsi="Times New Roman" w:cs="Times New Roman"/>
          <w:lang w:val="pl-PL"/>
        </w:rPr>
        <w:t xml:space="preserve"> </w:t>
      </w:r>
      <w:proofErr w:type="spellStart"/>
      <w:r w:rsidR="00A11E3D" w:rsidRPr="00337240">
        <w:rPr>
          <w:rFonts w:ascii="Times New Roman" w:hAnsi="Times New Roman" w:cs="Times New Roman"/>
          <w:i/>
          <w:lang w:val="pl-PL"/>
        </w:rPr>
        <w:t>Kopp</w:t>
      </w:r>
      <w:proofErr w:type="spellEnd"/>
      <w:r w:rsidR="00A11E3D"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S</w:t>
      </w:r>
      <w:r w:rsidR="00A11E3D" w:rsidRPr="00337240">
        <w:rPr>
          <w:rFonts w:ascii="Times New Roman" w:hAnsi="Times New Roman" w:cs="Times New Roman"/>
          <w:i/>
          <w:lang w:val="pl-PL"/>
        </w:rPr>
        <w:t>zwajcarii</w:t>
      </w:r>
      <w:r w:rsidR="00A11E3D" w:rsidRPr="00337240">
        <w:rPr>
          <w:rFonts w:ascii="Times New Roman" w:hAnsi="Times New Roman" w:cs="Times New Roman"/>
          <w:lang w:val="pl-PL"/>
        </w:rPr>
        <w:t>, 25 Marca</w:t>
      </w:r>
      <w:r w:rsidR="00A220C6" w:rsidRPr="00337240">
        <w:rPr>
          <w:rFonts w:ascii="Times New Roman" w:hAnsi="Times New Roman" w:cs="Times New Roman"/>
          <w:lang w:val="pl-PL"/>
        </w:rPr>
        <w:t xml:space="preserve"> 1998</w:t>
      </w:r>
      <w:r w:rsidR="00A11E3D" w:rsidRPr="00337240">
        <w:rPr>
          <w:rFonts w:ascii="Times New Roman" w:hAnsi="Times New Roman" w:cs="Times New Roman"/>
          <w:lang w:val="pl-PL"/>
        </w:rPr>
        <w:t xml:space="preserve"> roku</w:t>
      </w:r>
      <w:r w:rsidR="00A220C6" w:rsidRPr="00337240">
        <w:rPr>
          <w:rFonts w:ascii="Times New Roman" w:hAnsi="Times New Roman" w:cs="Times New Roman"/>
          <w:lang w:val="pl-PL"/>
        </w:rPr>
        <w:t xml:space="preserve">, § 59, </w:t>
      </w:r>
      <w:r w:rsidR="00A11E3D" w:rsidRPr="00337240">
        <w:rPr>
          <w:rFonts w:ascii="Times New Roman" w:hAnsi="Times New Roman" w:cs="Times New Roman"/>
          <w:i/>
          <w:lang w:val="pl-PL"/>
        </w:rPr>
        <w:t xml:space="preserve">Zbiór wyroków i Decyzji </w:t>
      </w:r>
      <w:r w:rsidR="00A220C6" w:rsidRPr="00337240">
        <w:rPr>
          <w:rFonts w:ascii="Times New Roman" w:hAnsi="Times New Roman" w:cs="Times New Roman"/>
          <w:lang w:val="pl-PL"/>
        </w:rPr>
        <w:t>1998-II).</w:t>
      </w:r>
    </w:p>
    <w:p w:rsidR="00A220C6" w:rsidRPr="00B45853" w:rsidRDefault="00DD67A4" w:rsidP="00171A6F">
      <w:pPr>
        <w:pStyle w:val="ECHRPara"/>
        <w:rPr>
          <w:rFonts w:ascii="Times New Roman" w:hAnsi="Times New Roman" w:cs="Times New Roman"/>
          <w:i/>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121</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A11E3D" w:rsidRPr="00337240">
        <w:rPr>
          <w:rFonts w:ascii="Times New Roman" w:hAnsi="Times New Roman" w:cs="Times New Roman"/>
          <w:lang w:val="pl-PL"/>
        </w:rPr>
        <w:t>Jednym z wymogów wynikających z wyrażenia "przewidziana przez prawo" jest przewidywalność. Zatem norma nie może być traktowana</w:t>
      </w:r>
      <w:r w:rsidR="00323A6E" w:rsidRPr="00337240">
        <w:rPr>
          <w:rFonts w:ascii="Times New Roman" w:hAnsi="Times New Roman" w:cs="Times New Roman"/>
          <w:lang w:val="pl-PL"/>
        </w:rPr>
        <w:t xml:space="preserve"> jako "prawo</w:t>
      </w:r>
      <w:r w:rsidR="00A11E3D" w:rsidRPr="00337240">
        <w:rPr>
          <w:rFonts w:ascii="Times New Roman" w:hAnsi="Times New Roman" w:cs="Times New Roman"/>
          <w:lang w:val="pl-PL"/>
        </w:rPr>
        <w:t>" w rozumieniu Artykułu 10 § 2, chyba że jest sformuło</w:t>
      </w:r>
      <w:r w:rsidR="009A0C0B" w:rsidRPr="00337240">
        <w:rPr>
          <w:rFonts w:ascii="Times New Roman" w:hAnsi="Times New Roman" w:cs="Times New Roman"/>
          <w:lang w:val="pl-PL"/>
        </w:rPr>
        <w:t>wana</w:t>
      </w:r>
      <w:r w:rsidR="00A11E3D" w:rsidRPr="00337240">
        <w:rPr>
          <w:rFonts w:ascii="Times New Roman" w:hAnsi="Times New Roman" w:cs="Times New Roman"/>
          <w:lang w:val="pl-PL"/>
        </w:rPr>
        <w:t xml:space="preserve"> wystarczająco precyzyjnie, aby umożliwić </w:t>
      </w:r>
      <w:r w:rsidR="00F66280" w:rsidRPr="00337240">
        <w:rPr>
          <w:rFonts w:ascii="Times New Roman" w:hAnsi="Times New Roman" w:cs="Times New Roman"/>
          <w:lang w:val="pl-PL"/>
        </w:rPr>
        <w:t xml:space="preserve">obywatelowi </w:t>
      </w:r>
      <w:r w:rsidR="00A11E3D" w:rsidRPr="00337240">
        <w:rPr>
          <w:rFonts w:ascii="Times New Roman" w:hAnsi="Times New Roman" w:cs="Times New Roman"/>
          <w:lang w:val="pl-PL"/>
        </w:rPr>
        <w:t>odpowiednie regulowanie swojego zachowania; musi on</w:t>
      </w:r>
      <w:r w:rsidR="009A0C0B" w:rsidRPr="00337240">
        <w:rPr>
          <w:rFonts w:ascii="Times New Roman" w:hAnsi="Times New Roman" w:cs="Times New Roman"/>
          <w:lang w:val="pl-PL"/>
        </w:rPr>
        <w:t>a</w:t>
      </w:r>
      <w:r w:rsidR="007010C2" w:rsidRPr="00337240">
        <w:rPr>
          <w:rFonts w:ascii="Times New Roman" w:hAnsi="Times New Roman" w:cs="Times New Roman"/>
          <w:lang w:val="pl-PL"/>
        </w:rPr>
        <w:t xml:space="preserve"> być w stanie</w:t>
      </w:r>
      <w:r w:rsidR="00F66280" w:rsidRPr="00337240">
        <w:rPr>
          <w:rFonts w:ascii="Times New Roman" w:hAnsi="Times New Roman" w:cs="Times New Roman"/>
          <w:lang w:val="pl-PL"/>
        </w:rPr>
        <w:t xml:space="preserve"> </w:t>
      </w:r>
      <w:r w:rsidR="007010C2" w:rsidRPr="00337240">
        <w:rPr>
          <w:rFonts w:ascii="Times New Roman" w:hAnsi="Times New Roman" w:cs="Times New Roman"/>
          <w:lang w:val="pl-PL"/>
        </w:rPr>
        <w:t>-</w:t>
      </w:r>
      <w:r w:rsidR="00F66280" w:rsidRPr="00337240">
        <w:rPr>
          <w:rFonts w:ascii="Times New Roman" w:hAnsi="Times New Roman" w:cs="Times New Roman"/>
          <w:lang w:val="pl-PL"/>
        </w:rPr>
        <w:t xml:space="preserve"> </w:t>
      </w:r>
      <w:r w:rsidR="00A11E3D" w:rsidRPr="00337240">
        <w:rPr>
          <w:rFonts w:ascii="Times New Roman" w:hAnsi="Times New Roman" w:cs="Times New Roman"/>
          <w:lang w:val="pl-PL"/>
        </w:rPr>
        <w:t>w raz</w:t>
      </w:r>
      <w:r w:rsidR="009A0C0B" w:rsidRPr="00337240">
        <w:rPr>
          <w:rFonts w:ascii="Times New Roman" w:hAnsi="Times New Roman" w:cs="Times New Roman"/>
          <w:lang w:val="pl-PL"/>
        </w:rPr>
        <w:t>ie potrzeby z odpowiednią poradą</w:t>
      </w:r>
      <w:r w:rsidR="00F66280" w:rsidRPr="00337240">
        <w:rPr>
          <w:rFonts w:ascii="Times New Roman" w:hAnsi="Times New Roman" w:cs="Times New Roman"/>
          <w:lang w:val="pl-PL"/>
        </w:rPr>
        <w:t xml:space="preserve"> </w:t>
      </w:r>
      <w:r w:rsidR="007010C2" w:rsidRPr="00337240">
        <w:rPr>
          <w:rFonts w:ascii="Times New Roman" w:hAnsi="Times New Roman" w:cs="Times New Roman"/>
          <w:lang w:val="pl-PL"/>
        </w:rPr>
        <w:t>-</w:t>
      </w:r>
      <w:r w:rsidR="00F66280" w:rsidRPr="00337240">
        <w:rPr>
          <w:rFonts w:ascii="Times New Roman" w:hAnsi="Times New Roman" w:cs="Times New Roman"/>
          <w:lang w:val="pl-PL"/>
        </w:rPr>
        <w:t xml:space="preserve"> </w:t>
      </w:r>
      <w:r w:rsidR="00A11E3D" w:rsidRPr="00337240">
        <w:rPr>
          <w:rFonts w:ascii="Times New Roman" w:hAnsi="Times New Roman" w:cs="Times New Roman"/>
          <w:lang w:val="pl-PL"/>
        </w:rPr>
        <w:t xml:space="preserve">przewidzieć, </w:t>
      </w:r>
      <w:r w:rsidR="009A0C0B" w:rsidRPr="00337240">
        <w:rPr>
          <w:rFonts w:ascii="Times New Roman" w:hAnsi="Times New Roman" w:cs="Times New Roman"/>
          <w:lang w:val="pl-PL"/>
        </w:rPr>
        <w:t>w stopniu, który jest racjonalny</w:t>
      </w:r>
      <w:r w:rsidR="00A11E3D" w:rsidRPr="00337240">
        <w:rPr>
          <w:rFonts w:ascii="Times New Roman" w:hAnsi="Times New Roman" w:cs="Times New Roman"/>
          <w:lang w:val="pl-PL"/>
        </w:rPr>
        <w:t xml:space="preserve"> w danych okolicznościach, konsekwencje, które mo</w:t>
      </w:r>
      <w:r w:rsidR="009A0C0B" w:rsidRPr="00337240">
        <w:rPr>
          <w:rFonts w:ascii="Times New Roman" w:hAnsi="Times New Roman" w:cs="Times New Roman"/>
          <w:lang w:val="pl-PL"/>
        </w:rPr>
        <w:t>że</w:t>
      </w:r>
      <w:r w:rsidR="00F66280" w:rsidRPr="00337240">
        <w:rPr>
          <w:rFonts w:ascii="Times New Roman" w:hAnsi="Times New Roman" w:cs="Times New Roman"/>
          <w:lang w:val="pl-PL"/>
        </w:rPr>
        <w:t xml:space="preserve"> pociągać za sobą dane działanie</w:t>
      </w:r>
      <w:r w:rsidR="00A11E3D" w:rsidRPr="00337240">
        <w:rPr>
          <w:rFonts w:ascii="Times New Roman" w:hAnsi="Times New Roman" w:cs="Times New Roman"/>
          <w:lang w:val="pl-PL"/>
        </w:rPr>
        <w:t>. Konsekwencje te nie muszą</w:t>
      </w:r>
      <w:r w:rsidR="00F66280" w:rsidRPr="00337240">
        <w:rPr>
          <w:rFonts w:ascii="Times New Roman" w:hAnsi="Times New Roman" w:cs="Times New Roman"/>
          <w:lang w:val="pl-PL"/>
        </w:rPr>
        <w:t xml:space="preserve"> być</w:t>
      </w:r>
      <w:r w:rsidR="00A11E3D" w:rsidRPr="00337240">
        <w:rPr>
          <w:rFonts w:ascii="Times New Roman" w:hAnsi="Times New Roman" w:cs="Times New Roman"/>
          <w:lang w:val="pl-PL"/>
        </w:rPr>
        <w:t xml:space="preserve"> </w:t>
      </w:r>
      <w:r w:rsidR="00F66280" w:rsidRPr="00337240">
        <w:rPr>
          <w:rFonts w:ascii="Times New Roman" w:hAnsi="Times New Roman" w:cs="Times New Roman"/>
          <w:lang w:val="pl-PL"/>
        </w:rPr>
        <w:t>przewidywalne</w:t>
      </w:r>
      <w:r w:rsidR="00A11E3D" w:rsidRPr="00337240">
        <w:rPr>
          <w:rFonts w:ascii="Times New Roman" w:hAnsi="Times New Roman" w:cs="Times New Roman"/>
          <w:lang w:val="pl-PL"/>
        </w:rPr>
        <w:t xml:space="preserve"> z całko</w:t>
      </w:r>
      <w:r w:rsidR="009A0C0B" w:rsidRPr="00337240">
        <w:rPr>
          <w:rFonts w:ascii="Times New Roman" w:hAnsi="Times New Roman" w:cs="Times New Roman"/>
          <w:lang w:val="pl-PL"/>
        </w:rPr>
        <w:t>witą pewnością. Chociaż pewność jest pożądana</w:t>
      </w:r>
      <w:r w:rsidR="00A11E3D" w:rsidRPr="00337240">
        <w:rPr>
          <w:rFonts w:ascii="Times New Roman" w:hAnsi="Times New Roman" w:cs="Times New Roman"/>
          <w:lang w:val="pl-PL"/>
        </w:rPr>
        <w:t xml:space="preserve">, może ona </w:t>
      </w:r>
      <w:r w:rsidR="009A0C0B" w:rsidRPr="00337240">
        <w:rPr>
          <w:rFonts w:ascii="Times New Roman" w:hAnsi="Times New Roman" w:cs="Times New Roman"/>
          <w:lang w:val="pl-PL"/>
        </w:rPr>
        <w:t>pociągnąć za sobą nadmierną sztywność,</w:t>
      </w:r>
      <w:r w:rsidR="00A11E3D" w:rsidRPr="00337240">
        <w:rPr>
          <w:rFonts w:ascii="Times New Roman" w:hAnsi="Times New Roman" w:cs="Times New Roman"/>
          <w:lang w:val="pl-PL"/>
        </w:rPr>
        <w:t xml:space="preserve"> a prawo musi być w stanie nadążyć za zmieniającymi</w:t>
      </w:r>
      <w:r w:rsidR="00A11E3D" w:rsidRPr="00B45853">
        <w:rPr>
          <w:rFonts w:ascii="Times New Roman" w:hAnsi="Times New Roman" w:cs="Times New Roman"/>
          <w:lang w:val="pl-PL"/>
        </w:rPr>
        <w:t xml:space="preserve"> się okolicznościami. W związku z tym wiele</w:t>
      </w:r>
      <w:r w:rsidR="009A0C0B" w:rsidRPr="00B45853">
        <w:rPr>
          <w:rFonts w:ascii="Times New Roman" w:hAnsi="Times New Roman" w:cs="Times New Roman"/>
          <w:lang w:val="pl-PL"/>
        </w:rPr>
        <w:t xml:space="preserve"> ustaw nieuchronnie sformułowanych</w:t>
      </w:r>
      <w:r w:rsidR="00F66280">
        <w:rPr>
          <w:rFonts w:ascii="Times New Roman" w:hAnsi="Times New Roman" w:cs="Times New Roman"/>
          <w:lang w:val="pl-PL"/>
        </w:rPr>
        <w:t xml:space="preserve"> w sposób, które</w:t>
      </w:r>
      <w:r w:rsidR="00A11E3D" w:rsidRPr="00B45853">
        <w:rPr>
          <w:rFonts w:ascii="Times New Roman" w:hAnsi="Times New Roman" w:cs="Times New Roman"/>
          <w:lang w:val="pl-PL"/>
        </w:rPr>
        <w:t xml:space="preserve"> w większym lub mniejszym stopniu, są niejasne, a ich wykładnia i stosowanie są </w:t>
      </w:r>
      <w:r w:rsidR="009A0C0B" w:rsidRPr="00B45853">
        <w:rPr>
          <w:rFonts w:ascii="Times New Roman" w:hAnsi="Times New Roman" w:cs="Times New Roman"/>
          <w:lang w:val="pl-PL"/>
        </w:rPr>
        <w:t>kwestiami</w:t>
      </w:r>
      <w:r w:rsidR="00A11E3D" w:rsidRPr="00B45853">
        <w:rPr>
          <w:rFonts w:ascii="Times New Roman" w:hAnsi="Times New Roman" w:cs="Times New Roman"/>
          <w:lang w:val="pl-PL"/>
        </w:rPr>
        <w:t xml:space="preserve"> praktyki </w:t>
      </w:r>
      <w:r w:rsidR="00A220C6" w:rsidRPr="00B45853">
        <w:rPr>
          <w:rFonts w:ascii="Times New Roman" w:hAnsi="Times New Roman" w:cs="Times New Roman"/>
          <w:lang w:val="pl-PL"/>
        </w:rPr>
        <w:t>(</w:t>
      </w:r>
      <w:r w:rsidR="00B643DE"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r w:rsidR="00B643DE" w:rsidRPr="00B45853">
        <w:rPr>
          <w:rFonts w:ascii="Times New Roman" w:hAnsi="Times New Roman" w:cs="Times New Roman"/>
          <w:lang w:val="pl-PL"/>
        </w:rPr>
        <w:t xml:space="preserve">na </w:t>
      </w:r>
      <w:r w:rsidR="00B643DE" w:rsidRPr="00B45853">
        <w:rPr>
          <w:rFonts w:ascii="Times New Roman" w:hAnsi="Times New Roman" w:cs="Times New Roman"/>
          <w:lang w:val="pl-PL"/>
        </w:rPr>
        <w:lastRenderedPageBreak/>
        <w:t>przykład</w:t>
      </w:r>
      <w:r w:rsidR="00A220C6" w:rsidRPr="00B45853">
        <w:rPr>
          <w:rFonts w:ascii="Times New Roman" w:hAnsi="Times New Roman" w:cs="Times New Roman"/>
          <w:lang w:val="pl-PL"/>
        </w:rPr>
        <w:t xml:space="preserve">, </w:t>
      </w:r>
      <w:proofErr w:type="spellStart"/>
      <w:r w:rsidR="00B643DE" w:rsidRPr="00B45853">
        <w:rPr>
          <w:rFonts w:ascii="Times New Roman" w:hAnsi="Times New Roman" w:cs="Times New Roman"/>
          <w:i/>
          <w:lang w:val="pl-PL"/>
        </w:rPr>
        <w:t>Lindon</w:t>
      </w:r>
      <w:proofErr w:type="spellEnd"/>
      <w:r w:rsidR="00B643DE" w:rsidRPr="00B45853">
        <w:rPr>
          <w:rFonts w:ascii="Times New Roman" w:hAnsi="Times New Roman" w:cs="Times New Roman"/>
          <w:i/>
          <w:lang w:val="pl-PL"/>
        </w:rPr>
        <w:t xml:space="preserve">, </w:t>
      </w:r>
      <w:proofErr w:type="spellStart"/>
      <w:r w:rsidR="00B643DE" w:rsidRPr="00B45853">
        <w:rPr>
          <w:rFonts w:ascii="Times New Roman" w:hAnsi="Times New Roman" w:cs="Times New Roman"/>
          <w:i/>
          <w:lang w:val="pl-PL"/>
        </w:rPr>
        <w:t>Otchakovsky-Laurens</w:t>
      </w:r>
      <w:proofErr w:type="spellEnd"/>
      <w:r w:rsidR="00B643DE" w:rsidRPr="00B45853">
        <w:rPr>
          <w:rFonts w:ascii="Times New Roman" w:hAnsi="Times New Roman" w:cs="Times New Roman"/>
          <w:i/>
          <w:lang w:val="pl-PL"/>
        </w:rPr>
        <w:t xml:space="preserve"> i </w:t>
      </w:r>
      <w:proofErr w:type="spellStart"/>
      <w:r w:rsidR="00B643DE" w:rsidRPr="00B45853">
        <w:rPr>
          <w:rFonts w:ascii="Times New Roman" w:hAnsi="Times New Roman" w:cs="Times New Roman"/>
          <w:i/>
          <w:lang w:val="pl-PL"/>
        </w:rPr>
        <w:t>July</w:t>
      </w:r>
      <w:proofErr w:type="spellEnd"/>
      <w:r w:rsidR="00B643DE" w:rsidRPr="00B45853">
        <w:rPr>
          <w:rFonts w:ascii="Times New Roman" w:hAnsi="Times New Roman" w:cs="Times New Roman"/>
          <w:i/>
          <w:lang w:val="pl-PL"/>
        </w:rPr>
        <w:t xml:space="preserve"> przeciwko Francji</w:t>
      </w:r>
      <w:r w:rsidR="00A220C6" w:rsidRPr="00B45853">
        <w:rPr>
          <w:rFonts w:ascii="Times New Roman" w:hAnsi="Times New Roman" w:cs="Times New Roman"/>
          <w:i/>
          <w:lang w:val="pl-PL"/>
        </w:rPr>
        <w:t xml:space="preserve"> </w:t>
      </w:r>
      <w:r w:rsidR="00B643DE" w:rsidRPr="00B45853">
        <w:rPr>
          <w:rFonts w:ascii="Times New Roman" w:hAnsi="Times New Roman" w:cs="Times New Roman"/>
          <w:lang w:val="pl-PL"/>
        </w:rPr>
        <w:t>[GC], nr 21279/02 i</w:t>
      </w:r>
      <w:r w:rsidR="00A220C6" w:rsidRPr="00B45853">
        <w:rPr>
          <w:rFonts w:ascii="Times New Roman" w:hAnsi="Times New Roman" w:cs="Times New Roman"/>
          <w:lang w:val="pl-PL"/>
        </w:rPr>
        <w:t xml:space="preserve"> 3</w:t>
      </w:r>
      <w:r w:rsidR="00B643DE" w:rsidRPr="00B45853">
        <w:rPr>
          <w:rFonts w:ascii="Times New Roman" w:hAnsi="Times New Roman" w:cs="Times New Roman"/>
          <w:lang w:val="pl-PL"/>
        </w:rPr>
        <w:t>6448/02, § 41, ECHR 2007</w:t>
      </w:r>
      <w:r w:rsidR="00B643DE" w:rsidRPr="00B45853">
        <w:rPr>
          <w:rFonts w:ascii="Times New Roman" w:hAnsi="Times New Roman" w:cs="Times New Roman"/>
          <w:lang w:val="pl-PL"/>
        </w:rPr>
        <w:noBreakHyphen/>
        <w:t>IV, i</w:t>
      </w:r>
      <w:r w:rsidR="00A220C6" w:rsidRPr="00B45853">
        <w:rPr>
          <w:rFonts w:ascii="Times New Roman" w:hAnsi="Times New Roman" w:cs="Times New Roman"/>
          <w:lang w:val="pl-PL"/>
        </w:rPr>
        <w:t xml:space="preserve"> </w:t>
      </w:r>
      <w:r w:rsidR="00A220C6" w:rsidRPr="00B45853">
        <w:rPr>
          <w:rFonts w:ascii="Times New Roman" w:hAnsi="Times New Roman" w:cs="Times New Roman"/>
          <w:i/>
          <w:lang w:val="pl-PL"/>
        </w:rPr>
        <w:t xml:space="preserve">Centro Europa 7 </w:t>
      </w:r>
      <w:proofErr w:type="spellStart"/>
      <w:r w:rsidR="00A220C6" w:rsidRPr="00B45853">
        <w:rPr>
          <w:rFonts w:ascii="Times New Roman" w:hAnsi="Times New Roman" w:cs="Times New Roman"/>
          <w:i/>
          <w:snapToGrid w:val="0"/>
          <w:lang w:val="pl-PL"/>
        </w:rPr>
        <w:t>S.r.l</w:t>
      </w:r>
      <w:proofErr w:type="spellEnd"/>
      <w:r w:rsidR="00A220C6" w:rsidRPr="00B45853">
        <w:rPr>
          <w:rFonts w:ascii="Times New Roman" w:hAnsi="Times New Roman" w:cs="Times New Roman"/>
          <w:i/>
          <w:snapToGrid w:val="0"/>
          <w:lang w:val="pl-PL"/>
        </w:rPr>
        <w:t>.</w:t>
      </w:r>
      <w:r w:rsidR="00B643DE" w:rsidRPr="00B45853">
        <w:rPr>
          <w:rFonts w:ascii="Times New Roman" w:hAnsi="Times New Roman" w:cs="Times New Roman"/>
          <w:i/>
          <w:lang w:val="pl-PL"/>
        </w:rPr>
        <w:t xml:space="preserve"> i</w:t>
      </w:r>
      <w:r w:rsidR="00A220C6" w:rsidRPr="00B45853">
        <w:rPr>
          <w:rFonts w:ascii="Times New Roman" w:hAnsi="Times New Roman" w:cs="Times New Roman"/>
          <w:i/>
          <w:lang w:val="pl-PL"/>
        </w:rPr>
        <w:t xml:space="preserve"> Di Stefano</w:t>
      </w:r>
      <w:r w:rsidR="00A220C6" w:rsidRPr="00B45853">
        <w:rPr>
          <w:rFonts w:ascii="Times New Roman" w:hAnsi="Times New Roman" w:cs="Times New Roman"/>
          <w:lang w:val="pl-PL"/>
        </w:rPr>
        <w:t xml:space="preserve">, </w:t>
      </w:r>
      <w:r w:rsidR="00B643DE"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w:t>
      </w:r>
      <w:r w:rsidR="00A220C6" w:rsidRPr="00B45853">
        <w:rPr>
          <w:rFonts w:ascii="Times New Roman" w:hAnsi="Times New Roman" w:cs="Times New Roman"/>
          <w:snapToGrid w:val="0"/>
          <w:szCs w:val="24"/>
          <w:lang w:val="pl-PL"/>
        </w:rPr>
        <w:t>§ 141</w:t>
      </w:r>
      <w:r w:rsidR="00A220C6"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122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B643DE" w:rsidRPr="00B45853">
        <w:rPr>
          <w:rFonts w:ascii="Times New Roman" w:hAnsi="Times New Roman" w:cs="Times New Roman"/>
          <w:lang w:val="pl-PL"/>
        </w:rPr>
        <w:t>Poziom dokładności wym</w:t>
      </w:r>
      <w:r w:rsidR="007010C2" w:rsidRPr="00B45853">
        <w:rPr>
          <w:rFonts w:ascii="Times New Roman" w:hAnsi="Times New Roman" w:cs="Times New Roman"/>
          <w:lang w:val="pl-PL"/>
        </w:rPr>
        <w:t>agany od ustawodawstwa krajowego</w:t>
      </w:r>
      <w:r w:rsidR="00E22075">
        <w:rPr>
          <w:rFonts w:ascii="Times New Roman" w:hAnsi="Times New Roman" w:cs="Times New Roman"/>
          <w:lang w:val="pl-PL"/>
        </w:rPr>
        <w:t xml:space="preserve"> </w:t>
      </w:r>
      <w:r w:rsidR="007010C2" w:rsidRPr="00B45853">
        <w:rPr>
          <w:rFonts w:ascii="Times New Roman" w:hAnsi="Times New Roman" w:cs="Times New Roman"/>
          <w:lang w:val="pl-PL"/>
        </w:rPr>
        <w:t>-</w:t>
      </w:r>
      <w:r w:rsidR="00B643DE" w:rsidRPr="00B45853">
        <w:rPr>
          <w:rFonts w:ascii="Times New Roman" w:hAnsi="Times New Roman" w:cs="Times New Roman"/>
          <w:lang w:val="pl-PL"/>
        </w:rPr>
        <w:t>którego nie można utrzymać dla każdej ewentualności</w:t>
      </w:r>
      <w:r w:rsidR="00E22075">
        <w:rPr>
          <w:rFonts w:ascii="Times New Roman" w:hAnsi="Times New Roman" w:cs="Times New Roman"/>
          <w:lang w:val="pl-PL"/>
        </w:rPr>
        <w:t xml:space="preserve"> </w:t>
      </w:r>
      <w:r w:rsidR="007010C2" w:rsidRPr="00B45853">
        <w:rPr>
          <w:rFonts w:ascii="Times New Roman" w:hAnsi="Times New Roman" w:cs="Times New Roman"/>
          <w:lang w:val="pl-PL"/>
        </w:rPr>
        <w:t>-</w:t>
      </w:r>
      <w:r w:rsidR="00E22075">
        <w:rPr>
          <w:rFonts w:ascii="Times New Roman" w:hAnsi="Times New Roman" w:cs="Times New Roman"/>
          <w:lang w:val="pl-PL"/>
        </w:rPr>
        <w:t xml:space="preserve"> </w:t>
      </w:r>
      <w:r w:rsidR="00B643DE" w:rsidRPr="00B45853">
        <w:rPr>
          <w:rFonts w:ascii="Times New Roman" w:hAnsi="Times New Roman" w:cs="Times New Roman"/>
          <w:lang w:val="pl-PL"/>
        </w:rPr>
        <w:t xml:space="preserve">zależy w dużym stopniu od treści prawa, o którym mowa, to pole jest przeznaczone do </w:t>
      </w:r>
      <w:r w:rsidR="00E22075">
        <w:rPr>
          <w:rFonts w:ascii="Times New Roman" w:hAnsi="Times New Roman" w:cs="Times New Roman"/>
          <w:lang w:val="pl-PL"/>
        </w:rPr>
        <w:t>wypełnienia</w:t>
      </w:r>
      <w:r w:rsidR="00B643DE" w:rsidRPr="00B45853">
        <w:rPr>
          <w:rFonts w:ascii="Times New Roman" w:hAnsi="Times New Roman" w:cs="Times New Roman"/>
          <w:lang w:val="pl-PL"/>
        </w:rPr>
        <w:t xml:space="preserve"> oraz liczby i statusu tych, do których jest ono skierowane </w:t>
      </w:r>
      <w:r w:rsidR="00A220C6" w:rsidRPr="00B45853">
        <w:rPr>
          <w:rFonts w:ascii="Times New Roman" w:hAnsi="Times New Roman" w:cs="Times New Roman"/>
          <w:lang w:val="pl-PL"/>
        </w:rPr>
        <w:t>(</w:t>
      </w:r>
      <w:r w:rsidR="00B643DE"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r w:rsidR="00A220C6" w:rsidRPr="00B45853">
        <w:rPr>
          <w:rFonts w:ascii="Times New Roman" w:hAnsi="Times New Roman" w:cs="Times New Roman"/>
          <w:i/>
          <w:lang w:val="pl-PL"/>
        </w:rPr>
        <w:t xml:space="preserve">Centro Europa 7 </w:t>
      </w:r>
      <w:proofErr w:type="spellStart"/>
      <w:r w:rsidR="00A220C6" w:rsidRPr="00B45853">
        <w:rPr>
          <w:rFonts w:ascii="Times New Roman" w:hAnsi="Times New Roman" w:cs="Times New Roman"/>
          <w:i/>
          <w:snapToGrid w:val="0"/>
          <w:lang w:val="pl-PL"/>
        </w:rPr>
        <w:t>S.r.l</w:t>
      </w:r>
      <w:proofErr w:type="spellEnd"/>
      <w:r w:rsidR="00A220C6" w:rsidRPr="00B45853">
        <w:rPr>
          <w:rFonts w:ascii="Times New Roman" w:hAnsi="Times New Roman" w:cs="Times New Roman"/>
          <w:i/>
          <w:snapToGrid w:val="0"/>
          <w:lang w:val="pl-PL"/>
        </w:rPr>
        <w:t>.</w:t>
      </w:r>
      <w:r w:rsidR="00A220C6" w:rsidRPr="00B45853">
        <w:rPr>
          <w:rFonts w:ascii="Times New Roman" w:hAnsi="Times New Roman" w:cs="Times New Roman"/>
          <w:i/>
          <w:lang w:val="pl-PL"/>
        </w:rPr>
        <w:t xml:space="preserve"> </w:t>
      </w:r>
      <w:r w:rsidR="00B643DE" w:rsidRPr="00B45853">
        <w:rPr>
          <w:rFonts w:ascii="Times New Roman" w:hAnsi="Times New Roman" w:cs="Times New Roman"/>
          <w:i/>
          <w:lang w:val="pl-PL"/>
        </w:rPr>
        <w:t>i</w:t>
      </w:r>
      <w:r w:rsidR="00A220C6" w:rsidRPr="00B45853">
        <w:rPr>
          <w:rFonts w:ascii="Times New Roman" w:hAnsi="Times New Roman" w:cs="Times New Roman"/>
          <w:i/>
          <w:lang w:val="pl-PL"/>
        </w:rPr>
        <w:t xml:space="preserve"> Di Stefano</w:t>
      </w:r>
      <w:r w:rsidR="00A220C6" w:rsidRPr="00B45853">
        <w:rPr>
          <w:rFonts w:ascii="Times New Roman" w:hAnsi="Times New Roman" w:cs="Times New Roman"/>
          <w:lang w:val="pl-PL"/>
        </w:rPr>
        <w:t xml:space="preserve">, </w:t>
      </w:r>
      <w:r w:rsidR="00B643DE"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w:t>
      </w:r>
      <w:r w:rsidR="00A220C6" w:rsidRPr="00B45853">
        <w:rPr>
          <w:rFonts w:ascii="Times New Roman" w:hAnsi="Times New Roman" w:cs="Times New Roman"/>
          <w:snapToGrid w:val="0"/>
          <w:szCs w:val="24"/>
          <w:lang w:val="pl-PL"/>
        </w:rPr>
        <w:t>§ 142)</w:t>
      </w:r>
      <w:r w:rsidR="00A220C6" w:rsidRPr="00B45853">
        <w:rPr>
          <w:rFonts w:ascii="Times New Roman" w:hAnsi="Times New Roman" w:cs="Times New Roman"/>
          <w:lang w:val="pl-PL"/>
        </w:rPr>
        <w:t xml:space="preserve">. </w:t>
      </w:r>
      <w:r w:rsidR="00B643DE" w:rsidRPr="00B45853">
        <w:rPr>
          <w:rFonts w:ascii="Times New Roman" w:hAnsi="Times New Roman" w:cs="Times New Roman"/>
          <w:lang w:val="pl-PL"/>
        </w:rPr>
        <w:t>Trybunał uznał, że osoby prowadzące działalność zawodową, które są przyzwyczajone do postępowania z dużą dozą ostrożności przy wykonywaniu swojeg</w:t>
      </w:r>
      <w:r w:rsidR="006462CA">
        <w:rPr>
          <w:rFonts w:ascii="Times New Roman" w:hAnsi="Times New Roman" w:cs="Times New Roman"/>
          <w:lang w:val="pl-PL"/>
        </w:rPr>
        <w:t>o zawodu, mogą z tego powodu</w:t>
      </w:r>
      <w:r w:rsidR="00B643DE" w:rsidRPr="00B45853">
        <w:rPr>
          <w:rFonts w:ascii="Times New Roman" w:hAnsi="Times New Roman" w:cs="Times New Roman"/>
          <w:lang w:val="pl-PL"/>
        </w:rPr>
        <w:t xml:space="preserve"> spodziewać</w:t>
      </w:r>
      <w:r w:rsidR="006462CA">
        <w:rPr>
          <w:rFonts w:ascii="Times New Roman" w:hAnsi="Times New Roman" w:cs="Times New Roman"/>
          <w:lang w:val="pl-PL"/>
        </w:rPr>
        <w:t xml:space="preserve"> się</w:t>
      </w:r>
      <w:r w:rsidR="00B643DE" w:rsidRPr="00B45853">
        <w:rPr>
          <w:rFonts w:ascii="Times New Roman" w:hAnsi="Times New Roman" w:cs="Times New Roman"/>
          <w:lang w:val="pl-PL"/>
        </w:rPr>
        <w:t xml:space="preserve">, że zachowały szczególną ostrożność w ocenie ryzyka, które takie działanie za sobą pociąga </w:t>
      </w:r>
      <w:r w:rsidR="00A220C6" w:rsidRPr="00B45853">
        <w:rPr>
          <w:rFonts w:ascii="Times New Roman" w:hAnsi="Times New Roman" w:cs="Times New Roman"/>
          <w:lang w:val="pl-PL"/>
        </w:rPr>
        <w:t>(</w:t>
      </w:r>
      <w:r w:rsidR="00B643DE"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proofErr w:type="spellStart"/>
      <w:r w:rsidR="00B643DE" w:rsidRPr="00B45853">
        <w:rPr>
          <w:rFonts w:ascii="Times New Roman" w:hAnsi="Times New Roman" w:cs="Times New Roman"/>
          <w:i/>
          <w:lang w:val="pl-PL"/>
        </w:rPr>
        <w:t>Lindon</w:t>
      </w:r>
      <w:proofErr w:type="spellEnd"/>
      <w:r w:rsidR="00B643DE" w:rsidRPr="00B45853">
        <w:rPr>
          <w:rFonts w:ascii="Times New Roman" w:hAnsi="Times New Roman" w:cs="Times New Roman"/>
          <w:i/>
          <w:lang w:val="pl-PL"/>
        </w:rPr>
        <w:t xml:space="preserve">, </w:t>
      </w:r>
      <w:proofErr w:type="spellStart"/>
      <w:r w:rsidR="00B643DE" w:rsidRPr="00B45853">
        <w:rPr>
          <w:rFonts w:ascii="Times New Roman" w:hAnsi="Times New Roman" w:cs="Times New Roman"/>
          <w:i/>
          <w:lang w:val="pl-PL"/>
        </w:rPr>
        <w:t>Otchakovsky-Laurens</w:t>
      </w:r>
      <w:proofErr w:type="spellEnd"/>
      <w:r w:rsidR="00B643DE" w:rsidRPr="00B45853">
        <w:rPr>
          <w:rFonts w:ascii="Times New Roman" w:hAnsi="Times New Roman" w:cs="Times New Roman"/>
          <w:i/>
          <w:lang w:val="pl-PL"/>
        </w:rPr>
        <w:t xml:space="preserve"> i</w:t>
      </w:r>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July</w:t>
      </w:r>
      <w:proofErr w:type="spellEnd"/>
      <w:r w:rsidR="00A220C6" w:rsidRPr="00B45853">
        <w:rPr>
          <w:rFonts w:ascii="Times New Roman" w:hAnsi="Times New Roman" w:cs="Times New Roman"/>
          <w:lang w:val="pl-PL"/>
        </w:rPr>
        <w:t xml:space="preserve">, </w:t>
      </w:r>
      <w:r w:rsidR="00B643DE"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 41, </w:t>
      </w:r>
      <w:r w:rsidR="00B643DE" w:rsidRPr="00B45853">
        <w:rPr>
          <w:rFonts w:ascii="Times New Roman" w:hAnsi="Times New Roman" w:cs="Times New Roman"/>
          <w:lang w:val="pl-PL"/>
        </w:rPr>
        <w:t>z dalszymi odniesieniami do</w:t>
      </w:r>
      <w:r w:rsidR="00A220C6" w:rsidRPr="00B45853">
        <w:rPr>
          <w:rFonts w:ascii="Times New Roman" w:hAnsi="Times New Roman" w:cs="Times New Roman"/>
          <w:lang w:val="pl-PL"/>
        </w:rPr>
        <w:t xml:space="preserve"> </w:t>
      </w:r>
      <w:proofErr w:type="spellStart"/>
      <w:r w:rsidR="00B643DE" w:rsidRPr="00B45853">
        <w:rPr>
          <w:rFonts w:ascii="Times New Roman" w:hAnsi="Times New Roman" w:cs="Times New Roman"/>
          <w:i/>
          <w:lang w:val="pl-PL"/>
        </w:rPr>
        <w:t>Cantoni</w:t>
      </w:r>
      <w:proofErr w:type="spellEnd"/>
      <w:r w:rsidR="00B643DE"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Franc</w:t>
      </w:r>
      <w:r w:rsidR="00B643DE" w:rsidRPr="00B45853">
        <w:rPr>
          <w:rFonts w:ascii="Times New Roman" w:hAnsi="Times New Roman" w:cs="Times New Roman"/>
          <w:i/>
          <w:lang w:val="pl-PL"/>
        </w:rPr>
        <w:t>ji</w:t>
      </w:r>
      <w:r w:rsidR="00A220C6" w:rsidRPr="00B45853">
        <w:rPr>
          <w:rFonts w:ascii="Times New Roman" w:hAnsi="Times New Roman" w:cs="Times New Roman"/>
          <w:lang w:val="pl-PL"/>
        </w:rPr>
        <w:t>, 15 </w:t>
      </w:r>
      <w:r w:rsidR="00B643DE" w:rsidRPr="00B45853">
        <w:rPr>
          <w:rFonts w:ascii="Times New Roman" w:hAnsi="Times New Roman" w:cs="Times New Roman"/>
          <w:lang w:val="pl-PL"/>
        </w:rPr>
        <w:t>Listopada</w:t>
      </w:r>
      <w:r w:rsidR="00A220C6" w:rsidRPr="00B45853">
        <w:rPr>
          <w:rFonts w:ascii="Times New Roman" w:hAnsi="Times New Roman" w:cs="Times New Roman"/>
          <w:lang w:val="pl-PL"/>
        </w:rPr>
        <w:t xml:space="preserve"> 1996</w:t>
      </w:r>
      <w:r w:rsidR="00B643DE" w:rsidRPr="00B45853">
        <w:rPr>
          <w:rFonts w:ascii="Times New Roman" w:hAnsi="Times New Roman" w:cs="Times New Roman"/>
          <w:lang w:val="pl-PL"/>
        </w:rPr>
        <w:t xml:space="preserve"> roku</w:t>
      </w:r>
      <w:r w:rsidR="00A220C6" w:rsidRPr="00B45853">
        <w:rPr>
          <w:rFonts w:ascii="Times New Roman" w:hAnsi="Times New Roman" w:cs="Times New Roman"/>
          <w:lang w:val="pl-PL"/>
        </w:rPr>
        <w:t xml:space="preserve">, § 35, </w:t>
      </w:r>
      <w:r w:rsidR="00631F4D" w:rsidRPr="00B45853">
        <w:rPr>
          <w:rFonts w:ascii="Times New Roman" w:hAnsi="Times New Roman" w:cs="Times New Roman"/>
          <w:i/>
          <w:lang w:val="pl-PL"/>
        </w:rPr>
        <w:t>Raporty</w:t>
      </w:r>
      <w:r w:rsidR="00A220C6" w:rsidRPr="00B45853">
        <w:rPr>
          <w:rFonts w:ascii="Times New Roman" w:hAnsi="Times New Roman" w:cs="Times New Roman"/>
          <w:i/>
          <w:lang w:val="pl-PL"/>
        </w:rPr>
        <w:t xml:space="preserve"> </w:t>
      </w:r>
      <w:r w:rsidR="00A220C6" w:rsidRPr="00B45853">
        <w:rPr>
          <w:rFonts w:ascii="Times New Roman" w:hAnsi="Times New Roman" w:cs="Times New Roman"/>
          <w:lang w:val="pl-PL"/>
        </w:rPr>
        <w:t>1996</w:t>
      </w:r>
      <w:r w:rsidR="00A220C6" w:rsidRPr="00B45853">
        <w:rPr>
          <w:rFonts w:ascii="Times New Roman" w:hAnsi="Times New Roman" w:cs="Times New Roman"/>
          <w:lang w:val="pl-PL"/>
        </w:rPr>
        <w:noBreakHyphen/>
        <w:t xml:space="preserve">V, </w:t>
      </w:r>
      <w:r w:rsidR="00B643DE" w:rsidRPr="00B45853">
        <w:rPr>
          <w:rFonts w:ascii="Times New Roman" w:hAnsi="Times New Roman" w:cs="Times New Roman"/>
          <w:lang w:val="pl-PL"/>
        </w:rPr>
        <w:t>i</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Chauvy</w:t>
      </w:r>
      <w:proofErr w:type="spellEnd"/>
      <w:r w:rsidR="00A220C6" w:rsidRPr="00B45853">
        <w:rPr>
          <w:rFonts w:ascii="Times New Roman" w:hAnsi="Times New Roman" w:cs="Times New Roman"/>
          <w:i/>
          <w:lang w:val="pl-PL"/>
        </w:rPr>
        <w:t xml:space="preserve"> </w:t>
      </w:r>
      <w:r w:rsidR="00B643DE" w:rsidRPr="00B45853">
        <w:rPr>
          <w:rFonts w:ascii="Times New Roman" w:hAnsi="Times New Roman" w:cs="Times New Roman"/>
          <w:i/>
          <w:lang w:val="pl-PL"/>
        </w:rPr>
        <w:t>i</w:t>
      </w:r>
      <w:r w:rsidR="00A220C6" w:rsidRPr="00B45853">
        <w:rPr>
          <w:rFonts w:ascii="Times New Roman" w:hAnsi="Times New Roman" w:cs="Times New Roman"/>
          <w:i/>
          <w:lang w:val="pl-PL"/>
        </w:rPr>
        <w:t xml:space="preserve"> </w:t>
      </w:r>
      <w:r w:rsidR="00B643DE" w:rsidRPr="00B45853">
        <w:rPr>
          <w:rFonts w:ascii="Times New Roman" w:hAnsi="Times New Roman" w:cs="Times New Roman"/>
          <w:i/>
          <w:lang w:val="pl-PL"/>
        </w:rPr>
        <w:t>Inni przeciwko</w:t>
      </w:r>
      <w:r w:rsidR="00A220C6" w:rsidRPr="00B45853">
        <w:rPr>
          <w:rFonts w:ascii="Times New Roman" w:hAnsi="Times New Roman" w:cs="Times New Roman"/>
          <w:i/>
          <w:lang w:val="pl-PL"/>
        </w:rPr>
        <w:t> Franc</w:t>
      </w:r>
      <w:r w:rsidR="00B643DE" w:rsidRPr="00B45853">
        <w:rPr>
          <w:rFonts w:ascii="Times New Roman" w:hAnsi="Times New Roman" w:cs="Times New Roman"/>
          <w:i/>
          <w:lang w:val="pl-PL"/>
        </w:rPr>
        <w:t>ji</w:t>
      </w:r>
      <w:r w:rsidR="00B643DE" w:rsidRPr="00B45853">
        <w:rPr>
          <w:rFonts w:ascii="Times New Roman" w:hAnsi="Times New Roman" w:cs="Times New Roman"/>
          <w:lang w:val="pl-PL"/>
        </w:rPr>
        <w:t>, nr</w:t>
      </w:r>
      <w:r w:rsidR="00A220C6" w:rsidRPr="00B45853">
        <w:rPr>
          <w:rFonts w:ascii="Times New Roman" w:hAnsi="Times New Roman" w:cs="Times New Roman"/>
          <w:lang w:val="pl-PL"/>
        </w:rPr>
        <w:t xml:space="preserve"> 64915/01, §§ 43-45, ECHR 2004</w:t>
      </w:r>
      <w:r w:rsidR="00A220C6" w:rsidRPr="00B45853">
        <w:rPr>
          <w:rFonts w:ascii="Times New Roman" w:hAnsi="Times New Roman" w:cs="Times New Roman"/>
          <w:lang w:val="pl-PL"/>
        </w:rPr>
        <w:noBreakHyphen/>
        <w:t>VI).</w:t>
      </w:r>
    </w:p>
    <w:p w:rsidR="00B413BF" w:rsidRPr="00337240"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123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721A23" w:rsidRPr="00B45853">
        <w:rPr>
          <w:rFonts w:ascii="Times New Roman" w:hAnsi="Times New Roman" w:cs="Times New Roman"/>
          <w:lang w:val="pl-PL"/>
        </w:rPr>
        <w:t xml:space="preserve">W niniejszej sprawie opinie stron różniły się co do tego, czy ingerencja w wolność </w:t>
      </w:r>
      <w:r w:rsidR="00721A23" w:rsidRPr="00337240">
        <w:rPr>
          <w:rFonts w:ascii="Times New Roman" w:hAnsi="Times New Roman" w:cs="Times New Roman"/>
          <w:lang w:val="pl-PL"/>
        </w:rPr>
        <w:t>wypowiedzi skarżącej spółki była "przewidziana przez prawo". Skarżąca spółka argumentowała, że nie ma prawa krajowego, zgodnie z którym pośrednik miał</w:t>
      </w:r>
      <w:r w:rsidR="006462CA" w:rsidRPr="00337240">
        <w:rPr>
          <w:rFonts w:ascii="Times New Roman" w:hAnsi="Times New Roman" w:cs="Times New Roman"/>
          <w:lang w:val="pl-PL"/>
        </w:rPr>
        <w:t>by</w:t>
      </w:r>
      <w:r w:rsidR="00721A23" w:rsidRPr="00337240">
        <w:rPr>
          <w:rFonts w:ascii="Times New Roman" w:hAnsi="Times New Roman" w:cs="Times New Roman"/>
          <w:lang w:val="pl-PL"/>
        </w:rPr>
        <w:t xml:space="preserve"> być brany pod uwagę jako profesjonalny wydawca komentarzy zamieszczonych na jego stronie internetowej przez osoby trzecie, niezależnie od tego, czy był świadomy ich konkretnej zawartości. Wręcz przeciwnie, skarżąca spółka powołała się na ustawodawstwo krajowe i europejskie wobec dostawców usług internetowych i twierdziła, że</w:t>
      </w:r>
      <w:r w:rsidR="00091C32" w:rsidRPr="00337240">
        <w:rPr>
          <w:rFonts w:ascii="Times New Roman" w:hAnsi="Times New Roman" w:cs="Times New Roman"/>
          <w:lang w:val="pl-PL"/>
        </w:rPr>
        <w:t xml:space="preserve"> </w:t>
      </w:r>
      <w:r w:rsidR="00721A23" w:rsidRPr="00337240">
        <w:rPr>
          <w:rFonts w:ascii="Times New Roman" w:hAnsi="Times New Roman" w:cs="Times New Roman"/>
          <w:lang w:val="pl-PL"/>
        </w:rPr>
        <w:t xml:space="preserve">zabronione </w:t>
      </w:r>
      <w:r w:rsidR="006462CA" w:rsidRPr="00337240">
        <w:rPr>
          <w:rFonts w:ascii="Times New Roman" w:hAnsi="Times New Roman" w:cs="Times New Roman"/>
          <w:lang w:val="pl-PL"/>
        </w:rPr>
        <w:t xml:space="preserve">jest </w:t>
      </w:r>
      <w:r w:rsidR="00721A23" w:rsidRPr="00337240">
        <w:rPr>
          <w:rFonts w:ascii="Times New Roman" w:hAnsi="Times New Roman" w:cs="Times New Roman"/>
          <w:lang w:val="pl-PL"/>
        </w:rPr>
        <w:t xml:space="preserve">nałożenie odpowiedzialności na usługodawców za treści </w:t>
      </w:r>
      <w:r w:rsidR="006462CA" w:rsidRPr="00337240">
        <w:rPr>
          <w:rFonts w:ascii="Times New Roman" w:hAnsi="Times New Roman" w:cs="Times New Roman"/>
          <w:lang w:val="pl-PL"/>
        </w:rPr>
        <w:t>osób trzecich</w:t>
      </w:r>
      <w:r w:rsidR="00A220C6" w:rsidRPr="00337240">
        <w:rPr>
          <w:rFonts w:ascii="Times New Roman" w:hAnsi="Times New Roman" w:cs="Times New Roman"/>
          <w:lang w:val="pl-PL"/>
        </w:rPr>
        <w:t>.</w:t>
      </w:r>
    </w:p>
    <w:p w:rsidR="00B413BF" w:rsidRPr="00337240" w:rsidRDefault="00DD67A4" w:rsidP="00171A6F">
      <w:pPr>
        <w:pStyle w:val="ECHRPara"/>
        <w:rPr>
          <w:rFonts w:ascii="Times New Roman" w:hAnsi="Times New Roman" w:cs="Times New Roman"/>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124</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721A23" w:rsidRPr="00337240">
        <w:rPr>
          <w:rFonts w:ascii="Times New Roman" w:hAnsi="Times New Roman" w:cs="Times New Roman"/>
          <w:lang w:val="pl-PL"/>
        </w:rPr>
        <w:t>Rząd odwołał się do odpowiednich przepisów prawa cywilnego i krajowego orzecznictwa, zgodnie z którym wydawcy mediów byli odpowiedzialni za ich publikacje wraz z autorami. Dodali, że nie było orzecznictwa</w:t>
      </w:r>
      <w:r w:rsidR="007010C2" w:rsidRPr="00337240">
        <w:rPr>
          <w:rFonts w:ascii="Times New Roman" w:hAnsi="Times New Roman" w:cs="Times New Roman"/>
          <w:lang w:val="pl-PL"/>
        </w:rPr>
        <w:t>,</w:t>
      </w:r>
      <w:r w:rsidR="00721A23" w:rsidRPr="00337240">
        <w:rPr>
          <w:rFonts w:ascii="Times New Roman" w:hAnsi="Times New Roman" w:cs="Times New Roman"/>
          <w:lang w:val="pl-PL"/>
        </w:rPr>
        <w:t xml:space="preserve"> na podstawie którego skarżąca spółka mogła przypuszczać, że właściciel informacyjnego portalu internetowego jako nowej publikacji </w:t>
      </w:r>
      <w:r w:rsidR="00F61F68">
        <w:rPr>
          <w:rFonts w:ascii="Times New Roman" w:hAnsi="Times New Roman" w:cs="Times New Roman"/>
          <w:lang w:val="pl-PL"/>
        </w:rPr>
        <w:br/>
      </w:r>
      <w:r w:rsidR="00721A23" w:rsidRPr="00337240">
        <w:rPr>
          <w:rFonts w:ascii="Times New Roman" w:hAnsi="Times New Roman" w:cs="Times New Roman"/>
          <w:lang w:val="pl-PL"/>
        </w:rPr>
        <w:t xml:space="preserve">w mediach nie ponosi odpowiedzialności za komentarze opublikowane na swoich </w:t>
      </w:r>
      <w:r w:rsidR="006462CA" w:rsidRPr="00337240">
        <w:rPr>
          <w:rFonts w:ascii="Times New Roman" w:hAnsi="Times New Roman" w:cs="Times New Roman"/>
          <w:lang w:val="pl-PL"/>
        </w:rPr>
        <w:t>artykułach</w:t>
      </w:r>
      <w:r w:rsidR="00721A23" w:rsidRPr="00337240">
        <w:rPr>
          <w:rFonts w:ascii="Times New Roman" w:hAnsi="Times New Roman" w:cs="Times New Roman"/>
          <w:lang w:val="pl-PL"/>
        </w:rPr>
        <w:t>. Ich zdaniem Trybunał</w:t>
      </w:r>
      <w:r w:rsidR="00091C32" w:rsidRPr="00337240">
        <w:rPr>
          <w:rFonts w:ascii="Times New Roman" w:hAnsi="Times New Roman" w:cs="Times New Roman"/>
          <w:lang w:val="pl-PL"/>
        </w:rPr>
        <w:t>,</w:t>
      </w:r>
      <w:r w:rsidR="00721A23" w:rsidRPr="00337240">
        <w:rPr>
          <w:rFonts w:ascii="Times New Roman" w:hAnsi="Times New Roman" w:cs="Times New Roman"/>
          <w:lang w:val="pl-PL"/>
        </w:rPr>
        <w:t xml:space="preserve"> powinien postępować według faktów ustalonych i praw</w:t>
      </w:r>
      <w:r w:rsidR="006462CA" w:rsidRPr="00337240">
        <w:rPr>
          <w:rFonts w:ascii="Times New Roman" w:hAnsi="Times New Roman" w:cs="Times New Roman"/>
          <w:lang w:val="pl-PL"/>
        </w:rPr>
        <w:t xml:space="preserve"> stosowanych</w:t>
      </w:r>
      <w:r w:rsidR="00721A23" w:rsidRPr="00337240">
        <w:rPr>
          <w:rFonts w:ascii="Times New Roman" w:hAnsi="Times New Roman" w:cs="Times New Roman"/>
          <w:lang w:val="pl-PL"/>
        </w:rPr>
        <w:t xml:space="preserve"> i</w:t>
      </w:r>
      <w:r w:rsidR="006462CA" w:rsidRPr="00337240">
        <w:rPr>
          <w:rFonts w:ascii="Times New Roman" w:hAnsi="Times New Roman" w:cs="Times New Roman"/>
          <w:lang w:val="pl-PL"/>
        </w:rPr>
        <w:t xml:space="preserve"> interpretowanych</w:t>
      </w:r>
      <w:r w:rsidR="00721A23" w:rsidRPr="00337240">
        <w:rPr>
          <w:rFonts w:ascii="Times New Roman" w:hAnsi="Times New Roman" w:cs="Times New Roman"/>
          <w:lang w:val="pl-PL"/>
        </w:rPr>
        <w:t xml:space="preserve"> przez sądy krajowe, i nie uwzględniać odniesień skarżącej spółki do prawa UE. </w:t>
      </w:r>
      <w:r w:rsidR="00F61F68">
        <w:rPr>
          <w:rFonts w:ascii="Times New Roman" w:hAnsi="Times New Roman" w:cs="Times New Roman"/>
          <w:lang w:val="pl-PL"/>
        </w:rPr>
        <w:br/>
      </w:r>
      <w:r w:rsidR="00721A23" w:rsidRPr="00337240">
        <w:rPr>
          <w:rFonts w:ascii="Times New Roman" w:hAnsi="Times New Roman" w:cs="Times New Roman"/>
          <w:lang w:val="pl-PL"/>
        </w:rPr>
        <w:t>W każdym razie, prawo UE</w:t>
      </w:r>
      <w:r w:rsidR="007010C2" w:rsidRPr="00337240">
        <w:rPr>
          <w:rFonts w:ascii="Times New Roman" w:hAnsi="Times New Roman" w:cs="Times New Roman"/>
          <w:lang w:val="pl-PL"/>
        </w:rPr>
        <w:t>,</w:t>
      </w:r>
      <w:r w:rsidR="00721A23" w:rsidRPr="00337240">
        <w:rPr>
          <w:rFonts w:ascii="Times New Roman" w:hAnsi="Times New Roman" w:cs="Times New Roman"/>
          <w:lang w:val="pl-PL"/>
        </w:rPr>
        <w:t xml:space="preserve"> na które powołuje się skarżąca spółka</w:t>
      </w:r>
      <w:r w:rsidR="007010C2" w:rsidRPr="00337240">
        <w:rPr>
          <w:rFonts w:ascii="Times New Roman" w:hAnsi="Times New Roman" w:cs="Times New Roman"/>
          <w:lang w:val="pl-PL"/>
        </w:rPr>
        <w:t>,</w:t>
      </w:r>
      <w:r w:rsidR="00721A23" w:rsidRPr="00337240">
        <w:rPr>
          <w:rFonts w:ascii="Times New Roman" w:hAnsi="Times New Roman" w:cs="Times New Roman"/>
          <w:lang w:val="pl-PL"/>
        </w:rPr>
        <w:t xml:space="preserve"> właściwie wspiera interpretacje i wnioski sądów krajowych.</w:t>
      </w:r>
    </w:p>
    <w:p w:rsidR="00B413BF" w:rsidRPr="00B45853" w:rsidRDefault="00DD67A4" w:rsidP="00171A6F">
      <w:pPr>
        <w:pStyle w:val="ECHRPara"/>
        <w:rPr>
          <w:rFonts w:ascii="Times New Roman" w:hAnsi="Times New Roman" w:cs="Times New Roman"/>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125</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721A23" w:rsidRPr="00337240">
        <w:rPr>
          <w:rFonts w:ascii="Times New Roman" w:hAnsi="Times New Roman" w:cs="Times New Roman"/>
          <w:lang w:val="pl-PL"/>
        </w:rPr>
        <w:t>Trybunał zauważa, że różnica w opiniach stron w odniesieniu do prawa właściwego wynika z ich odmiennych poglądów na ten temat, w jaki sposób skarżąca spółka ma być klasyfikowana. Zdaniem skarżącej spółki, powinna być klasyfikowana jako pośrednik w odniesieniu do</w:t>
      </w:r>
      <w:r w:rsidR="006462CA" w:rsidRPr="00337240">
        <w:rPr>
          <w:rFonts w:ascii="Times New Roman" w:hAnsi="Times New Roman" w:cs="Times New Roman"/>
          <w:lang w:val="pl-PL"/>
        </w:rPr>
        <w:t xml:space="preserve"> komentarzy</w:t>
      </w:r>
      <w:r w:rsidR="00721A23" w:rsidRPr="00337240">
        <w:rPr>
          <w:rFonts w:ascii="Times New Roman" w:hAnsi="Times New Roman" w:cs="Times New Roman"/>
          <w:lang w:val="pl-PL"/>
        </w:rPr>
        <w:t xml:space="preserve"> osób trzecich, podczas gdy Rząd twierdził, że skarżąca spółka miała być</w:t>
      </w:r>
      <w:r w:rsidR="00721A23" w:rsidRPr="00B45853">
        <w:rPr>
          <w:rFonts w:ascii="Times New Roman" w:hAnsi="Times New Roman" w:cs="Times New Roman"/>
          <w:lang w:val="pl-PL"/>
        </w:rPr>
        <w:t xml:space="preserve"> postrzegana jako wydawca mediów, w tym w odniesieniu do tych komentarzy</w:t>
      </w:r>
      <w:r w:rsidR="00A220C6" w:rsidRPr="00B45853">
        <w:rPr>
          <w:rFonts w:ascii="Times New Roman" w:hAnsi="Times New Roman" w:cs="Times New Roman"/>
          <w:lang w:val="pl-PL"/>
        </w:rPr>
        <w:t>.</w:t>
      </w:r>
    </w:p>
    <w:p w:rsidR="00B413BF" w:rsidRPr="00337240"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lastRenderedPageBreak/>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126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721A23" w:rsidRPr="00B45853">
        <w:rPr>
          <w:rFonts w:ascii="Times New Roman" w:hAnsi="Times New Roman" w:cs="Times New Roman"/>
          <w:lang w:val="pl-PL"/>
        </w:rPr>
        <w:t>Trybunał zauważa (patrz paragrafy 112 i 113 powyżej)</w:t>
      </w:r>
      <w:r w:rsidR="007010C2" w:rsidRPr="00B45853">
        <w:rPr>
          <w:rFonts w:ascii="Times New Roman" w:hAnsi="Times New Roman" w:cs="Times New Roman"/>
          <w:lang w:val="pl-PL"/>
        </w:rPr>
        <w:t>,</w:t>
      </w:r>
      <w:r w:rsidR="00721A23" w:rsidRPr="00B45853">
        <w:rPr>
          <w:rFonts w:ascii="Times New Roman" w:hAnsi="Times New Roman" w:cs="Times New Roman"/>
          <w:lang w:val="pl-PL"/>
        </w:rPr>
        <w:t xml:space="preserve"> że Sąd Najwyższy uznał różnice między rolami wydawcy </w:t>
      </w:r>
      <w:r w:rsidR="006462CA">
        <w:rPr>
          <w:rFonts w:ascii="Times New Roman" w:hAnsi="Times New Roman" w:cs="Times New Roman"/>
          <w:lang w:val="pl-PL"/>
        </w:rPr>
        <w:t xml:space="preserve">w </w:t>
      </w:r>
      <w:r w:rsidR="00721A23" w:rsidRPr="00B45853">
        <w:rPr>
          <w:rFonts w:ascii="Times New Roman" w:hAnsi="Times New Roman" w:cs="Times New Roman"/>
          <w:lang w:val="pl-PL"/>
        </w:rPr>
        <w:t>mediach drukowanych, z jednej strony, a z drugiej strony operatora portalu internetowego zaangażowanego w publikacje medialne dla celów gospodarczych. Jednak Sąd Najwyższy uznał, że ze względu na ich "interes gospodarczym w publikacji komentarzy, zarówno wydawca mediów drukowanych</w:t>
      </w:r>
      <w:r w:rsidR="007010C2" w:rsidRPr="00B45853">
        <w:rPr>
          <w:rFonts w:ascii="Times New Roman" w:hAnsi="Times New Roman" w:cs="Times New Roman"/>
          <w:lang w:val="pl-PL"/>
        </w:rPr>
        <w:t>,</w:t>
      </w:r>
      <w:r w:rsidR="00721A23" w:rsidRPr="00B45853">
        <w:rPr>
          <w:rFonts w:ascii="Times New Roman" w:hAnsi="Times New Roman" w:cs="Times New Roman"/>
          <w:lang w:val="pl-PL"/>
        </w:rPr>
        <w:t xml:space="preserve"> jak i operator portalu internetowego [byli] wydawcami / ujawniającymi" w </w:t>
      </w:r>
      <w:r w:rsidR="00721A23" w:rsidRPr="00337240">
        <w:rPr>
          <w:rFonts w:ascii="Times New Roman" w:hAnsi="Times New Roman" w:cs="Times New Roman"/>
          <w:lang w:val="pl-PL"/>
        </w:rPr>
        <w:t xml:space="preserve">rozumieniu </w:t>
      </w:r>
      <w:r w:rsidR="006462CA" w:rsidRPr="00337240">
        <w:rPr>
          <w:rFonts w:ascii="Times New Roman" w:hAnsi="Times New Roman" w:cs="Times New Roman"/>
          <w:lang w:val="pl-PL"/>
        </w:rPr>
        <w:t>artykułu</w:t>
      </w:r>
      <w:r w:rsidR="00721A23" w:rsidRPr="00337240">
        <w:rPr>
          <w:rFonts w:ascii="Times New Roman" w:hAnsi="Times New Roman" w:cs="Times New Roman"/>
          <w:lang w:val="pl-PL"/>
        </w:rPr>
        <w:t xml:space="preserve"> 1047 </w:t>
      </w:r>
      <w:r w:rsidR="006462CA" w:rsidRPr="00337240">
        <w:rPr>
          <w:rFonts w:ascii="Times New Roman" w:hAnsi="Times New Roman" w:cs="Times New Roman"/>
          <w:lang w:val="pl-PL"/>
        </w:rPr>
        <w:t>Prawa Zobowiązań</w:t>
      </w:r>
      <w:r w:rsidR="00721A23" w:rsidRPr="00337240">
        <w:rPr>
          <w:rFonts w:ascii="Times New Roman" w:hAnsi="Times New Roman" w:cs="Times New Roman"/>
          <w:lang w:val="pl-PL"/>
        </w:rPr>
        <w:t xml:space="preserve"> (zobacz § 14 wyroku, jak określono w paragrafie 31 powyżej).</w:t>
      </w:r>
    </w:p>
    <w:p w:rsidR="00B413BF" w:rsidRPr="00337240" w:rsidRDefault="00DD67A4" w:rsidP="00171A6F">
      <w:pPr>
        <w:pStyle w:val="ECHRPara"/>
        <w:rPr>
          <w:rFonts w:ascii="Times New Roman" w:hAnsi="Times New Roman" w:cs="Times New Roman"/>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127</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E76B27" w:rsidRPr="00337240">
        <w:rPr>
          <w:rFonts w:ascii="Times New Roman" w:hAnsi="Times New Roman" w:cs="Times New Roman"/>
          <w:bCs/>
          <w:szCs w:val="24"/>
          <w:lang w:val="pl-PL"/>
        </w:rPr>
        <w:t xml:space="preserve">Trybunał uważa, że ​​w istocie, skarżąca spółka twierdzi, że sądy krajowe błędnie zastosowały ogólne przepisy </w:t>
      </w:r>
      <w:r w:rsidR="006462CA" w:rsidRPr="00337240">
        <w:rPr>
          <w:rFonts w:ascii="Times New Roman" w:hAnsi="Times New Roman" w:cs="Times New Roman"/>
          <w:bCs/>
          <w:szCs w:val="24"/>
          <w:lang w:val="pl-PL"/>
        </w:rPr>
        <w:t>Prawa Zobowiązań</w:t>
      </w:r>
      <w:r w:rsidR="00E76B27" w:rsidRPr="00337240">
        <w:rPr>
          <w:rFonts w:ascii="Times New Roman" w:hAnsi="Times New Roman" w:cs="Times New Roman"/>
          <w:bCs/>
          <w:szCs w:val="24"/>
          <w:lang w:val="pl-PL"/>
        </w:rPr>
        <w:t xml:space="preserve"> do stanu faktycznego sprawy, a powinny one polegać one na ustawodawstwie</w:t>
      </w:r>
      <w:r w:rsidR="00E76B27" w:rsidRPr="00B45853">
        <w:rPr>
          <w:rFonts w:ascii="Times New Roman" w:hAnsi="Times New Roman" w:cs="Times New Roman"/>
          <w:bCs/>
          <w:szCs w:val="24"/>
          <w:lang w:val="pl-PL"/>
        </w:rPr>
        <w:t xml:space="preserve"> krajowym i europejskim wobec dostawców usłu</w:t>
      </w:r>
      <w:r w:rsidR="006462CA">
        <w:rPr>
          <w:rFonts w:ascii="Times New Roman" w:hAnsi="Times New Roman" w:cs="Times New Roman"/>
          <w:bCs/>
          <w:szCs w:val="24"/>
          <w:lang w:val="pl-PL"/>
        </w:rPr>
        <w:t xml:space="preserve">g </w:t>
      </w:r>
      <w:r w:rsidR="006462CA" w:rsidRPr="00337240">
        <w:rPr>
          <w:rFonts w:ascii="Times New Roman" w:hAnsi="Times New Roman" w:cs="Times New Roman"/>
          <w:bCs/>
          <w:szCs w:val="24"/>
          <w:lang w:val="pl-PL"/>
        </w:rPr>
        <w:t>internetowych. Podobnie jak I</w:t>
      </w:r>
      <w:r w:rsidR="00E76B27" w:rsidRPr="00337240">
        <w:rPr>
          <w:rFonts w:ascii="Times New Roman" w:hAnsi="Times New Roman" w:cs="Times New Roman"/>
          <w:bCs/>
          <w:szCs w:val="24"/>
          <w:lang w:val="pl-PL"/>
        </w:rPr>
        <w:t xml:space="preserve">zba, Wielka Izba przypomina w </w:t>
      </w:r>
      <w:r w:rsidR="006462CA" w:rsidRPr="00337240">
        <w:rPr>
          <w:rFonts w:ascii="Times New Roman" w:hAnsi="Times New Roman" w:cs="Times New Roman"/>
          <w:bCs/>
          <w:szCs w:val="24"/>
          <w:lang w:val="pl-PL"/>
        </w:rPr>
        <w:t>tym kontekście, że nie jest jej</w:t>
      </w:r>
      <w:r w:rsidR="00E76B27" w:rsidRPr="00337240">
        <w:rPr>
          <w:rFonts w:ascii="Times New Roman" w:hAnsi="Times New Roman" w:cs="Times New Roman"/>
          <w:bCs/>
          <w:szCs w:val="24"/>
          <w:lang w:val="pl-PL"/>
        </w:rPr>
        <w:t xml:space="preserve"> zadaniem</w:t>
      </w:r>
      <w:r w:rsidR="006462CA" w:rsidRPr="00337240">
        <w:rPr>
          <w:rFonts w:ascii="Times New Roman" w:hAnsi="Times New Roman" w:cs="Times New Roman"/>
          <w:bCs/>
          <w:szCs w:val="24"/>
          <w:lang w:val="pl-PL"/>
        </w:rPr>
        <w:t xml:space="preserve"> zajęcie miejsca</w:t>
      </w:r>
      <w:r w:rsidR="00E76B27" w:rsidRPr="00337240">
        <w:rPr>
          <w:rFonts w:ascii="Times New Roman" w:hAnsi="Times New Roman" w:cs="Times New Roman"/>
          <w:bCs/>
          <w:szCs w:val="24"/>
          <w:lang w:val="pl-PL"/>
        </w:rPr>
        <w:t xml:space="preserve"> sądów krajowych. Jest to przede wszystkim zadanie władz krajowych, w szczególności sądów, by interpretować i stosować prawo krajowe </w:t>
      </w:r>
      <w:r w:rsidR="00985AD9" w:rsidRPr="00337240">
        <w:rPr>
          <w:rFonts w:ascii="Times New Roman" w:hAnsi="Times New Roman" w:cs="Times New Roman"/>
          <w:bCs/>
          <w:szCs w:val="24"/>
          <w:lang w:val="pl-PL"/>
        </w:rPr>
        <w:t>(</w:t>
      </w:r>
      <w:r w:rsidR="00E76B27" w:rsidRPr="00337240">
        <w:rPr>
          <w:rFonts w:ascii="Times New Roman" w:hAnsi="Times New Roman" w:cs="Times New Roman"/>
          <w:bCs/>
          <w:szCs w:val="24"/>
          <w:lang w:val="pl-PL"/>
        </w:rPr>
        <w:t>zobacz</w:t>
      </w:r>
      <w:r w:rsidR="00985AD9" w:rsidRPr="00337240">
        <w:rPr>
          <w:rFonts w:ascii="Times New Roman" w:hAnsi="Times New Roman" w:cs="Times New Roman"/>
          <w:bCs/>
          <w:szCs w:val="24"/>
          <w:lang w:val="pl-PL"/>
        </w:rPr>
        <w:t xml:space="preserve">, </w:t>
      </w:r>
      <w:r w:rsidR="00E76B27" w:rsidRPr="00337240">
        <w:rPr>
          <w:rFonts w:ascii="Times New Roman" w:hAnsi="Times New Roman" w:cs="Times New Roman"/>
          <w:bCs/>
          <w:szCs w:val="24"/>
          <w:lang w:val="pl-PL"/>
        </w:rPr>
        <w:t>między innymi</w:t>
      </w:r>
      <w:r w:rsidR="00985AD9" w:rsidRPr="00337240">
        <w:rPr>
          <w:rFonts w:ascii="Times New Roman" w:hAnsi="Times New Roman" w:cs="Times New Roman"/>
          <w:bCs/>
          <w:szCs w:val="24"/>
          <w:lang w:val="pl-PL"/>
        </w:rPr>
        <w:t xml:space="preserve">, </w:t>
      </w:r>
      <w:r w:rsidR="00985AD9" w:rsidRPr="00337240">
        <w:rPr>
          <w:rFonts w:ascii="Times New Roman" w:hAnsi="Times New Roman" w:cs="Times New Roman"/>
          <w:bCs/>
          <w:i/>
          <w:iCs/>
          <w:szCs w:val="24"/>
          <w:lang w:val="it-IT" w:eastAsia="fr-FR"/>
        </w:rPr>
        <w:t xml:space="preserve">Centro Europa 7 </w:t>
      </w:r>
      <w:r w:rsidR="00985AD9" w:rsidRPr="00337240">
        <w:rPr>
          <w:rFonts w:ascii="Times New Roman" w:hAnsi="Times New Roman" w:cs="Times New Roman"/>
          <w:bCs/>
          <w:i/>
          <w:iCs/>
          <w:snapToGrid w:val="0"/>
          <w:szCs w:val="24"/>
          <w:lang w:val="it-IT" w:eastAsia="fr-FR"/>
        </w:rPr>
        <w:t>S.r.l.</w:t>
      </w:r>
      <w:r w:rsidR="00985AD9" w:rsidRPr="00337240">
        <w:rPr>
          <w:rFonts w:ascii="Times New Roman" w:hAnsi="Times New Roman" w:cs="Times New Roman"/>
          <w:bCs/>
          <w:i/>
          <w:iCs/>
          <w:szCs w:val="24"/>
          <w:lang w:val="it-IT" w:eastAsia="fr-FR"/>
        </w:rPr>
        <w:t xml:space="preserve"> </w:t>
      </w:r>
      <w:r w:rsidR="00E76B27" w:rsidRPr="00337240">
        <w:rPr>
          <w:rFonts w:ascii="Times New Roman" w:hAnsi="Times New Roman" w:cs="Times New Roman"/>
          <w:bCs/>
          <w:i/>
          <w:iCs/>
          <w:szCs w:val="24"/>
          <w:lang w:val="it-IT" w:eastAsia="fr-FR"/>
        </w:rPr>
        <w:t>i</w:t>
      </w:r>
      <w:r w:rsidR="00985AD9" w:rsidRPr="00337240">
        <w:rPr>
          <w:rFonts w:ascii="Times New Roman" w:hAnsi="Times New Roman" w:cs="Times New Roman"/>
          <w:bCs/>
          <w:i/>
          <w:iCs/>
          <w:szCs w:val="24"/>
          <w:lang w:val="it-IT" w:eastAsia="fr-FR"/>
        </w:rPr>
        <w:t xml:space="preserve"> Di Stefano</w:t>
      </w:r>
      <w:r w:rsidR="008902D4" w:rsidRPr="00337240">
        <w:rPr>
          <w:rFonts w:ascii="Times New Roman" w:hAnsi="Times New Roman" w:cs="Times New Roman"/>
          <w:bCs/>
          <w:iCs/>
          <w:szCs w:val="24"/>
          <w:lang w:val="it-IT" w:eastAsia="fr-FR"/>
        </w:rPr>
        <w:t xml:space="preserve">, </w:t>
      </w:r>
      <w:r w:rsidR="00E76B27" w:rsidRPr="00337240">
        <w:rPr>
          <w:rFonts w:ascii="Times New Roman" w:hAnsi="Times New Roman" w:cs="Times New Roman"/>
          <w:lang w:val="pl-PL"/>
        </w:rPr>
        <w:t>cytowany powyżej</w:t>
      </w:r>
      <w:r w:rsidR="00985AD9" w:rsidRPr="00337240">
        <w:rPr>
          <w:rFonts w:ascii="Times New Roman" w:hAnsi="Times New Roman" w:cs="Times New Roman"/>
          <w:bCs/>
          <w:snapToGrid w:val="0"/>
          <w:szCs w:val="24"/>
          <w:lang w:val="it-IT" w:eastAsia="fr-FR"/>
        </w:rPr>
        <w:t>, § </w:t>
      </w:r>
      <w:r w:rsidR="005B35F9" w:rsidRPr="00337240">
        <w:rPr>
          <w:rFonts w:ascii="Times New Roman" w:hAnsi="Times New Roman" w:cs="Times New Roman"/>
          <w:bCs/>
          <w:snapToGrid w:val="0"/>
          <w:szCs w:val="24"/>
          <w:lang w:val="it-IT" w:eastAsia="fr-FR"/>
        </w:rPr>
        <w:t xml:space="preserve">140, </w:t>
      </w:r>
      <w:r w:rsidR="00E76B27" w:rsidRPr="00337240">
        <w:rPr>
          <w:rFonts w:ascii="Times New Roman" w:hAnsi="Times New Roman" w:cs="Times New Roman"/>
          <w:bCs/>
          <w:szCs w:val="24"/>
          <w:lang w:val="pl-PL" w:eastAsia="fr-FR"/>
        </w:rPr>
        <w:t>i</w:t>
      </w:r>
      <w:r w:rsidR="00985AD9" w:rsidRPr="00337240">
        <w:rPr>
          <w:rFonts w:ascii="Times New Roman" w:hAnsi="Times New Roman" w:cs="Times New Roman"/>
          <w:bCs/>
          <w:szCs w:val="24"/>
          <w:lang w:val="pl-PL" w:eastAsia="fr-FR"/>
        </w:rPr>
        <w:t xml:space="preserve"> </w:t>
      </w:r>
      <w:proofErr w:type="spellStart"/>
      <w:r w:rsidR="00985AD9" w:rsidRPr="00337240">
        <w:rPr>
          <w:rFonts w:ascii="Times New Roman" w:hAnsi="Times New Roman" w:cs="Times New Roman"/>
          <w:bCs/>
          <w:i/>
          <w:iCs/>
          <w:szCs w:val="24"/>
          <w:lang w:val="pl-PL" w:eastAsia="fr-FR"/>
        </w:rPr>
        <w:t>Rekvényi</w:t>
      </w:r>
      <w:proofErr w:type="spellEnd"/>
      <w:r w:rsidR="00985AD9" w:rsidRPr="00337240">
        <w:rPr>
          <w:rFonts w:ascii="Times New Roman" w:hAnsi="Times New Roman" w:cs="Times New Roman"/>
          <w:bCs/>
          <w:i/>
          <w:iCs/>
          <w:szCs w:val="24"/>
          <w:lang w:val="pl-PL" w:eastAsia="fr-FR"/>
        </w:rPr>
        <w:t xml:space="preserve"> </w:t>
      </w:r>
      <w:r w:rsidR="007010C2" w:rsidRPr="00337240">
        <w:rPr>
          <w:rFonts w:ascii="Times New Roman" w:hAnsi="Times New Roman" w:cs="Times New Roman"/>
          <w:bCs/>
          <w:i/>
          <w:iCs/>
          <w:szCs w:val="24"/>
          <w:lang w:val="pl-PL" w:eastAsia="fr-FR"/>
        </w:rPr>
        <w:t>przeciwko</w:t>
      </w:r>
      <w:r w:rsidR="00985AD9" w:rsidRPr="00337240">
        <w:rPr>
          <w:rFonts w:ascii="Times New Roman" w:hAnsi="Times New Roman" w:cs="Times New Roman"/>
          <w:bCs/>
          <w:i/>
          <w:iCs/>
          <w:szCs w:val="24"/>
          <w:lang w:val="pl-PL" w:eastAsia="fr-FR"/>
        </w:rPr>
        <w:t xml:space="preserve"> </w:t>
      </w:r>
      <w:r w:rsidR="00E76B27" w:rsidRPr="00337240">
        <w:rPr>
          <w:rFonts w:ascii="Times New Roman" w:hAnsi="Times New Roman" w:cs="Times New Roman"/>
          <w:bCs/>
          <w:i/>
          <w:iCs/>
          <w:szCs w:val="24"/>
          <w:lang w:val="pl-PL" w:eastAsia="fr-FR"/>
        </w:rPr>
        <w:t>Węgrom</w:t>
      </w:r>
      <w:r w:rsidR="00E76B27" w:rsidRPr="00337240">
        <w:rPr>
          <w:rFonts w:ascii="Times New Roman" w:hAnsi="Times New Roman" w:cs="Times New Roman"/>
          <w:bCs/>
          <w:szCs w:val="24"/>
          <w:lang w:val="pl-PL" w:eastAsia="fr-FR"/>
        </w:rPr>
        <w:t xml:space="preserve"> [GC], nr</w:t>
      </w:r>
      <w:r w:rsidR="006927B6" w:rsidRPr="00337240">
        <w:rPr>
          <w:rFonts w:ascii="Times New Roman" w:hAnsi="Times New Roman" w:cs="Times New Roman"/>
          <w:bCs/>
          <w:szCs w:val="24"/>
          <w:lang w:val="pl-PL" w:eastAsia="fr-FR"/>
        </w:rPr>
        <w:t xml:space="preserve"> 25390/94, § 35, ECHR </w:t>
      </w:r>
      <w:r w:rsidR="00985AD9" w:rsidRPr="00337240">
        <w:rPr>
          <w:rFonts w:ascii="Times New Roman" w:hAnsi="Times New Roman" w:cs="Times New Roman"/>
          <w:bCs/>
          <w:szCs w:val="24"/>
          <w:lang w:val="pl-PL" w:eastAsia="fr-FR"/>
        </w:rPr>
        <w:t>1999</w:t>
      </w:r>
      <w:r w:rsidR="00985AD9" w:rsidRPr="00337240">
        <w:rPr>
          <w:rFonts w:ascii="Times New Roman" w:hAnsi="Times New Roman" w:cs="Times New Roman"/>
          <w:bCs/>
          <w:szCs w:val="24"/>
          <w:lang w:val="pl-PL" w:eastAsia="fr-FR"/>
        </w:rPr>
        <w:noBreakHyphen/>
        <w:t>III</w:t>
      </w:r>
      <w:r w:rsidR="005B35F9" w:rsidRPr="00337240">
        <w:rPr>
          <w:rFonts w:ascii="Times New Roman" w:hAnsi="Times New Roman" w:cs="Times New Roman"/>
          <w:bCs/>
          <w:szCs w:val="24"/>
          <w:lang w:val="pl-PL"/>
        </w:rPr>
        <w:t xml:space="preserve">). </w:t>
      </w:r>
      <w:r w:rsidR="00E76B27" w:rsidRPr="00337240">
        <w:rPr>
          <w:rFonts w:ascii="Times New Roman" w:hAnsi="Times New Roman" w:cs="Times New Roman"/>
          <w:bCs/>
          <w:szCs w:val="24"/>
          <w:lang w:val="pl-PL"/>
        </w:rPr>
        <w:t xml:space="preserve">Trybunał przypomina również, że nie jest od tego, aby wyrażać poglądy na temat stosowności metod wybranych przez ustawodawcę państwa </w:t>
      </w:r>
      <w:r w:rsidR="006462CA" w:rsidRPr="00337240">
        <w:rPr>
          <w:rFonts w:ascii="Times New Roman" w:hAnsi="Times New Roman" w:cs="Times New Roman"/>
          <w:bCs/>
          <w:szCs w:val="24"/>
          <w:lang w:val="pl-PL"/>
        </w:rPr>
        <w:t>pozwanego</w:t>
      </w:r>
      <w:r w:rsidR="00E76B27" w:rsidRPr="00337240">
        <w:rPr>
          <w:rFonts w:ascii="Times New Roman" w:hAnsi="Times New Roman" w:cs="Times New Roman"/>
          <w:bCs/>
          <w:szCs w:val="24"/>
          <w:lang w:val="pl-PL"/>
        </w:rPr>
        <w:t xml:space="preserve"> regulujących daną dziedzinę. Jego zadanie ogranicza się do ustalenia, czy przyję</w:t>
      </w:r>
      <w:r w:rsidR="006462CA" w:rsidRPr="00337240">
        <w:rPr>
          <w:rFonts w:ascii="Times New Roman" w:hAnsi="Times New Roman" w:cs="Times New Roman"/>
          <w:bCs/>
          <w:szCs w:val="24"/>
          <w:lang w:val="pl-PL"/>
        </w:rPr>
        <w:t>te metody i skutki są zgodne z K</w:t>
      </w:r>
      <w:r w:rsidR="00E76B27" w:rsidRPr="00337240">
        <w:rPr>
          <w:rFonts w:ascii="Times New Roman" w:hAnsi="Times New Roman" w:cs="Times New Roman"/>
          <w:bCs/>
          <w:szCs w:val="24"/>
          <w:lang w:val="pl-PL"/>
        </w:rPr>
        <w:t>onwencją</w:t>
      </w:r>
      <w:r w:rsidR="005B35F9" w:rsidRPr="00337240">
        <w:rPr>
          <w:rFonts w:ascii="Times New Roman" w:hAnsi="Times New Roman" w:cs="Times New Roman"/>
          <w:bCs/>
          <w:szCs w:val="24"/>
          <w:lang w:val="pl-PL"/>
        </w:rPr>
        <w:t xml:space="preserve"> (</w:t>
      </w:r>
      <w:r w:rsidR="00E76B27" w:rsidRPr="00337240">
        <w:rPr>
          <w:rFonts w:ascii="Times New Roman" w:hAnsi="Times New Roman" w:cs="Times New Roman"/>
          <w:bCs/>
          <w:szCs w:val="24"/>
          <w:lang w:val="pl-PL"/>
        </w:rPr>
        <w:t>zobacz</w:t>
      </w:r>
      <w:r w:rsidR="005B35F9" w:rsidRPr="00337240">
        <w:rPr>
          <w:rFonts w:ascii="Times New Roman" w:hAnsi="Times New Roman" w:cs="Times New Roman"/>
          <w:bCs/>
          <w:szCs w:val="24"/>
          <w:lang w:val="pl-PL"/>
        </w:rPr>
        <w:t xml:space="preserve"> </w:t>
      </w:r>
      <w:proofErr w:type="spellStart"/>
      <w:r w:rsidR="005B35F9" w:rsidRPr="00337240">
        <w:rPr>
          <w:rFonts w:ascii="Times New Roman" w:hAnsi="Times New Roman" w:cs="Times New Roman"/>
          <w:bCs/>
          <w:i/>
          <w:iCs/>
          <w:szCs w:val="24"/>
          <w:lang w:val="pl-PL" w:eastAsia="fr-FR"/>
        </w:rPr>
        <w:t>Gorzelik</w:t>
      </w:r>
      <w:proofErr w:type="spellEnd"/>
      <w:r w:rsidR="005B35F9" w:rsidRPr="00337240">
        <w:rPr>
          <w:rFonts w:ascii="Times New Roman" w:hAnsi="Times New Roman" w:cs="Times New Roman"/>
          <w:bCs/>
          <w:i/>
          <w:iCs/>
          <w:szCs w:val="24"/>
          <w:lang w:val="pl-PL" w:eastAsia="fr-FR"/>
        </w:rPr>
        <w:t xml:space="preserve"> </w:t>
      </w:r>
      <w:r w:rsidR="00E76B27" w:rsidRPr="00337240">
        <w:rPr>
          <w:rFonts w:ascii="Times New Roman" w:hAnsi="Times New Roman" w:cs="Times New Roman"/>
          <w:bCs/>
          <w:i/>
          <w:iCs/>
          <w:szCs w:val="24"/>
          <w:lang w:val="pl-PL" w:eastAsia="fr-FR"/>
        </w:rPr>
        <w:t>i</w:t>
      </w:r>
      <w:r w:rsidR="005B35F9" w:rsidRPr="00337240">
        <w:rPr>
          <w:rFonts w:ascii="Times New Roman" w:hAnsi="Times New Roman" w:cs="Times New Roman"/>
          <w:bCs/>
          <w:i/>
          <w:iCs/>
          <w:szCs w:val="24"/>
          <w:lang w:val="pl-PL" w:eastAsia="fr-FR"/>
        </w:rPr>
        <w:t xml:space="preserve"> </w:t>
      </w:r>
      <w:r w:rsidR="00E76B27" w:rsidRPr="00337240">
        <w:rPr>
          <w:rFonts w:ascii="Times New Roman" w:hAnsi="Times New Roman" w:cs="Times New Roman"/>
          <w:bCs/>
          <w:i/>
          <w:iCs/>
          <w:szCs w:val="24"/>
          <w:lang w:val="pl-PL" w:eastAsia="fr-FR"/>
        </w:rPr>
        <w:t>Inni przeciwko</w:t>
      </w:r>
      <w:r w:rsidR="005B35F9" w:rsidRPr="00337240">
        <w:rPr>
          <w:rFonts w:ascii="Times New Roman" w:hAnsi="Times New Roman" w:cs="Times New Roman"/>
          <w:bCs/>
          <w:i/>
          <w:iCs/>
          <w:szCs w:val="24"/>
          <w:lang w:val="pl-PL" w:eastAsia="fr-FR"/>
        </w:rPr>
        <w:t xml:space="preserve"> Pol</w:t>
      </w:r>
      <w:r w:rsidR="00E76B27" w:rsidRPr="00337240">
        <w:rPr>
          <w:rFonts w:ascii="Times New Roman" w:hAnsi="Times New Roman" w:cs="Times New Roman"/>
          <w:bCs/>
          <w:i/>
          <w:iCs/>
          <w:szCs w:val="24"/>
          <w:lang w:val="pl-PL" w:eastAsia="fr-FR"/>
        </w:rPr>
        <w:t>sce</w:t>
      </w:r>
      <w:r w:rsidR="005B35F9" w:rsidRPr="00337240">
        <w:rPr>
          <w:rFonts w:ascii="Times New Roman" w:hAnsi="Times New Roman" w:cs="Times New Roman"/>
          <w:bCs/>
          <w:i/>
          <w:iCs/>
          <w:szCs w:val="24"/>
          <w:lang w:val="pl-PL" w:eastAsia="fr-FR"/>
        </w:rPr>
        <w:t xml:space="preserve"> </w:t>
      </w:r>
      <w:r w:rsidR="00E76B27" w:rsidRPr="00337240">
        <w:rPr>
          <w:rFonts w:ascii="Times New Roman" w:hAnsi="Times New Roman" w:cs="Times New Roman"/>
          <w:bCs/>
          <w:szCs w:val="24"/>
          <w:lang w:val="pl-PL" w:eastAsia="fr-FR"/>
        </w:rPr>
        <w:t>[GC], nr</w:t>
      </w:r>
      <w:r w:rsidR="006927B6" w:rsidRPr="00337240">
        <w:rPr>
          <w:rFonts w:ascii="Times New Roman" w:hAnsi="Times New Roman" w:cs="Times New Roman"/>
          <w:bCs/>
          <w:szCs w:val="24"/>
          <w:lang w:val="pl-PL" w:eastAsia="fr-FR"/>
        </w:rPr>
        <w:t> </w:t>
      </w:r>
      <w:r w:rsidR="005B35F9" w:rsidRPr="00337240">
        <w:rPr>
          <w:rFonts w:ascii="Times New Roman" w:hAnsi="Times New Roman" w:cs="Times New Roman"/>
          <w:bCs/>
          <w:szCs w:val="24"/>
          <w:lang w:val="pl-PL" w:eastAsia="fr-FR"/>
        </w:rPr>
        <w:t>44158/98, § </w:t>
      </w:r>
      <w:r w:rsidR="00861F95" w:rsidRPr="00337240">
        <w:rPr>
          <w:rFonts w:ascii="Times New Roman" w:hAnsi="Times New Roman" w:cs="Times New Roman"/>
          <w:bCs/>
          <w:szCs w:val="24"/>
          <w:lang w:val="pl-PL" w:eastAsia="fr-FR"/>
        </w:rPr>
        <w:t>67</w:t>
      </w:r>
      <w:r w:rsidR="005B35F9" w:rsidRPr="00337240">
        <w:rPr>
          <w:rFonts w:ascii="Times New Roman" w:hAnsi="Times New Roman" w:cs="Times New Roman"/>
          <w:bCs/>
          <w:szCs w:val="24"/>
          <w:lang w:val="pl-PL" w:eastAsia="fr-FR"/>
        </w:rPr>
        <w:t>, ECHR 2004</w:t>
      </w:r>
      <w:r w:rsidR="005B35F9" w:rsidRPr="00337240">
        <w:rPr>
          <w:rFonts w:ascii="Times New Roman" w:hAnsi="Times New Roman" w:cs="Times New Roman"/>
          <w:bCs/>
          <w:szCs w:val="24"/>
          <w:lang w:val="pl-PL" w:eastAsia="fr-FR"/>
        </w:rPr>
        <w:noBreakHyphen/>
        <w:t xml:space="preserve">I). </w:t>
      </w:r>
      <w:r w:rsidR="00E76B27" w:rsidRPr="00337240">
        <w:rPr>
          <w:rFonts w:ascii="Times New Roman" w:hAnsi="Times New Roman" w:cs="Times New Roman"/>
          <w:bCs/>
          <w:szCs w:val="24"/>
          <w:lang w:val="pl-PL" w:eastAsia="fr-FR"/>
        </w:rPr>
        <w:t xml:space="preserve">Zatem Sąd ogranicza się do zbadania, czy wniosek Sądu Najwyższego z ogólnych przepisów </w:t>
      </w:r>
      <w:r w:rsidR="006462CA" w:rsidRPr="00337240">
        <w:rPr>
          <w:rFonts w:ascii="Times New Roman" w:hAnsi="Times New Roman" w:cs="Times New Roman"/>
          <w:bCs/>
          <w:szCs w:val="24"/>
          <w:lang w:val="pl-PL" w:eastAsia="fr-FR"/>
        </w:rPr>
        <w:t>Prawa Zobowiązań</w:t>
      </w:r>
      <w:r w:rsidR="00E76B27" w:rsidRPr="00337240">
        <w:rPr>
          <w:rFonts w:ascii="Times New Roman" w:hAnsi="Times New Roman" w:cs="Times New Roman"/>
          <w:bCs/>
          <w:szCs w:val="24"/>
          <w:lang w:val="pl-PL" w:eastAsia="fr-FR"/>
        </w:rPr>
        <w:t xml:space="preserve"> w sytuacji </w:t>
      </w:r>
      <w:r w:rsidR="006462CA" w:rsidRPr="00337240">
        <w:rPr>
          <w:rFonts w:ascii="Times New Roman" w:hAnsi="Times New Roman" w:cs="Times New Roman"/>
          <w:bCs/>
          <w:szCs w:val="24"/>
          <w:lang w:val="pl-PL" w:eastAsia="fr-FR"/>
        </w:rPr>
        <w:t>skarżącego</w:t>
      </w:r>
      <w:r w:rsidR="00E76B27" w:rsidRPr="00337240">
        <w:rPr>
          <w:rFonts w:ascii="Times New Roman" w:hAnsi="Times New Roman" w:cs="Times New Roman"/>
          <w:bCs/>
          <w:szCs w:val="24"/>
          <w:lang w:val="pl-PL" w:eastAsia="fr-FR"/>
        </w:rPr>
        <w:t xml:space="preserve"> był przewidywalny dla celów artykułu 10 § 2 Konwencji</w:t>
      </w:r>
      <w:r w:rsidR="00985AD9" w:rsidRPr="00337240">
        <w:rPr>
          <w:rFonts w:ascii="Times New Roman" w:hAnsi="Times New Roman" w:cs="Times New Roman"/>
          <w:bCs/>
          <w:szCs w:val="24"/>
          <w:lang w:val="pl-PL"/>
        </w:rPr>
        <w:t>.</w:t>
      </w:r>
    </w:p>
    <w:p w:rsidR="00B413BF" w:rsidRPr="00B45853" w:rsidRDefault="00DD67A4" w:rsidP="00171A6F">
      <w:pPr>
        <w:pStyle w:val="ECHRPara"/>
        <w:rPr>
          <w:rFonts w:ascii="Times New Roman" w:hAnsi="Times New Roman" w:cs="Times New Roman"/>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128</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E76B27" w:rsidRPr="00337240">
        <w:rPr>
          <w:rFonts w:ascii="Times New Roman" w:hAnsi="Times New Roman" w:cs="Times New Roman"/>
          <w:lang w:val="pl-PL"/>
        </w:rPr>
        <w:t>Zgodnie z odpowiednimi postanowieniami Konstytucji, Ko</w:t>
      </w:r>
      <w:r w:rsidR="007010C2" w:rsidRPr="00337240">
        <w:rPr>
          <w:rFonts w:ascii="Times New Roman" w:hAnsi="Times New Roman" w:cs="Times New Roman"/>
          <w:lang w:val="pl-PL"/>
        </w:rPr>
        <w:t>deksu cywilnego (Zasady Ogólne)</w:t>
      </w:r>
      <w:r w:rsidR="00A220C6" w:rsidRPr="00337240">
        <w:rPr>
          <w:rFonts w:ascii="Times New Roman" w:hAnsi="Times New Roman" w:cs="Times New Roman"/>
          <w:lang w:val="pl-PL"/>
        </w:rPr>
        <w:t xml:space="preserve"> </w:t>
      </w:r>
      <w:r w:rsidR="00E76B27" w:rsidRPr="00337240">
        <w:rPr>
          <w:rFonts w:ascii="Times New Roman" w:hAnsi="Times New Roman" w:cs="Times New Roman"/>
          <w:lang w:val="pl-PL"/>
        </w:rPr>
        <w:t xml:space="preserve">i </w:t>
      </w:r>
      <w:r w:rsidR="006462CA" w:rsidRPr="00337240">
        <w:rPr>
          <w:rFonts w:ascii="Times New Roman" w:hAnsi="Times New Roman" w:cs="Times New Roman"/>
          <w:lang w:val="pl-PL"/>
        </w:rPr>
        <w:t xml:space="preserve">Prawa Zobowiązań </w:t>
      </w:r>
      <w:r w:rsidR="00A220C6" w:rsidRPr="00337240">
        <w:rPr>
          <w:rFonts w:ascii="Times New Roman" w:hAnsi="Times New Roman" w:cs="Times New Roman"/>
          <w:lang w:val="pl-PL"/>
        </w:rPr>
        <w:t>(</w:t>
      </w:r>
      <w:r w:rsidR="00E76B27" w:rsidRPr="00337240">
        <w:rPr>
          <w:rFonts w:ascii="Times New Roman" w:hAnsi="Times New Roman" w:cs="Times New Roman"/>
          <w:lang w:val="pl-PL"/>
        </w:rPr>
        <w:t>zobacz paragrafy od</w:t>
      </w:r>
      <w:r w:rsidR="00A220C6" w:rsidRPr="00337240">
        <w:rPr>
          <w:rFonts w:ascii="Times New Roman" w:hAnsi="Times New Roman" w:cs="Times New Roman"/>
          <w:lang w:val="pl-PL"/>
        </w:rPr>
        <w:t xml:space="preserve"> </w:t>
      </w:r>
      <w:r w:rsidR="00B23BBD" w:rsidRPr="00337240">
        <w:rPr>
          <w:rFonts w:ascii="Times New Roman" w:hAnsi="Times New Roman" w:cs="Times New Roman"/>
          <w:lang w:val="pl-PL"/>
        </w:rPr>
        <w:t>33</w:t>
      </w:r>
      <w:r w:rsidR="00E76B27" w:rsidRPr="00337240">
        <w:rPr>
          <w:rFonts w:ascii="Times New Roman" w:hAnsi="Times New Roman" w:cs="Times New Roman"/>
          <w:lang w:val="pl-PL"/>
        </w:rPr>
        <w:t xml:space="preserve"> do</w:t>
      </w:r>
      <w:r w:rsidR="00A220C6" w:rsidRPr="00337240">
        <w:rPr>
          <w:rFonts w:ascii="Times New Roman" w:hAnsi="Times New Roman" w:cs="Times New Roman"/>
          <w:lang w:val="pl-PL"/>
        </w:rPr>
        <w:t xml:space="preserve"> </w:t>
      </w:r>
      <w:r w:rsidR="00B23BBD" w:rsidRPr="00337240">
        <w:rPr>
          <w:rFonts w:ascii="Times New Roman" w:hAnsi="Times New Roman" w:cs="Times New Roman"/>
          <w:lang w:val="pl-PL"/>
        </w:rPr>
        <w:t>38</w:t>
      </w:r>
      <w:r w:rsidR="00A220C6" w:rsidRPr="00337240">
        <w:rPr>
          <w:rFonts w:ascii="Times New Roman" w:hAnsi="Times New Roman" w:cs="Times New Roman"/>
          <w:lang w:val="pl-PL"/>
        </w:rPr>
        <w:t xml:space="preserve"> </w:t>
      </w:r>
      <w:r w:rsidR="00E76B27" w:rsidRPr="00337240">
        <w:rPr>
          <w:rFonts w:ascii="Times New Roman" w:hAnsi="Times New Roman" w:cs="Times New Roman"/>
          <w:lang w:val="pl-PL"/>
        </w:rPr>
        <w:t xml:space="preserve">powyżej), </w:t>
      </w:r>
      <w:r w:rsidR="00D462F5" w:rsidRPr="00337240">
        <w:rPr>
          <w:rFonts w:ascii="Times New Roman" w:hAnsi="Times New Roman" w:cs="Times New Roman"/>
          <w:lang w:val="pl-PL"/>
        </w:rPr>
        <w:t xml:space="preserve">jak zostało </w:t>
      </w:r>
      <w:r w:rsidR="00E76B27" w:rsidRPr="00337240">
        <w:rPr>
          <w:rFonts w:ascii="Times New Roman" w:hAnsi="Times New Roman" w:cs="Times New Roman"/>
          <w:lang w:val="pl-PL"/>
        </w:rPr>
        <w:t xml:space="preserve">interpretowane i </w:t>
      </w:r>
      <w:r w:rsidR="00D462F5" w:rsidRPr="00337240">
        <w:rPr>
          <w:rFonts w:ascii="Times New Roman" w:hAnsi="Times New Roman" w:cs="Times New Roman"/>
          <w:lang w:val="pl-PL"/>
        </w:rPr>
        <w:t>za</w:t>
      </w:r>
      <w:r w:rsidR="00E76B27" w:rsidRPr="00337240">
        <w:rPr>
          <w:rFonts w:ascii="Times New Roman" w:hAnsi="Times New Roman" w:cs="Times New Roman"/>
          <w:lang w:val="pl-PL"/>
        </w:rPr>
        <w:t>stosowane przez sądy krajowe, skarżąca spółka została uznan</w:t>
      </w:r>
      <w:r w:rsidR="00091C32" w:rsidRPr="00337240">
        <w:rPr>
          <w:rFonts w:ascii="Times New Roman" w:hAnsi="Times New Roman" w:cs="Times New Roman"/>
          <w:lang w:val="pl-PL"/>
        </w:rPr>
        <w:t>a</w:t>
      </w:r>
      <w:r w:rsidR="007010C2" w:rsidRPr="00337240">
        <w:rPr>
          <w:rFonts w:ascii="Times New Roman" w:hAnsi="Times New Roman" w:cs="Times New Roman"/>
          <w:lang w:val="pl-PL"/>
        </w:rPr>
        <w:t xml:space="preserve"> za wydawcę</w:t>
      </w:r>
      <w:r w:rsidR="00091C32" w:rsidRPr="00337240">
        <w:rPr>
          <w:rFonts w:ascii="Times New Roman" w:hAnsi="Times New Roman" w:cs="Times New Roman"/>
          <w:lang w:val="pl-PL"/>
        </w:rPr>
        <w:t xml:space="preserve"> i uznana</w:t>
      </w:r>
      <w:r w:rsidR="00E76B27" w:rsidRPr="00337240">
        <w:rPr>
          <w:rFonts w:ascii="Times New Roman" w:hAnsi="Times New Roman" w:cs="Times New Roman"/>
          <w:lang w:val="pl-PL"/>
        </w:rPr>
        <w:t xml:space="preserve"> odpowiedzialną za publikację wyraźnie bezprawnych komentarzy. Sądy kra</w:t>
      </w:r>
      <w:r w:rsidR="00A75F9F" w:rsidRPr="00337240">
        <w:rPr>
          <w:rFonts w:ascii="Times New Roman" w:hAnsi="Times New Roman" w:cs="Times New Roman"/>
          <w:lang w:val="pl-PL"/>
        </w:rPr>
        <w:t>jowe wybrał</w:t>
      </w:r>
      <w:r w:rsidR="00091C32" w:rsidRPr="00337240">
        <w:rPr>
          <w:rFonts w:ascii="Times New Roman" w:hAnsi="Times New Roman" w:cs="Times New Roman"/>
          <w:lang w:val="pl-PL"/>
        </w:rPr>
        <w:t>y</w:t>
      </w:r>
      <w:r w:rsidR="00A75F9F" w:rsidRPr="00337240">
        <w:rPr>
          <w:rFonts w:ascii="Times New Roman" w:hAnsi="Times New Roman" w:cs="Times New Roman"/>
          <w:lang w:val="pl-PL"/>
        </w:rPr>
        <w:t xml:space="preserve"> do zastosowania te</w:t>
      </w:r>
      <w:r w:rsidR="00E76B27" w:rsidRPr="00337240">
        <w:rPr>
          <w:rFonts w:ascii="Times New Roman" w:hAnsi="Times New Roman" w:cs="Times New Roman"/>
          <w:lang w:val="pl-PL"/>
        </w:rPr>
        <w:t xml:space="preserve"> norm</w:t>
      </w:r>
      <w:r w:rsidR="00091C32" w:rsidRPr="00337240">
        <w:rPr>
          <w:rFonts w:ascii="Times New Roman" w:hAnsi="Times New Roman" w:cs="Times New Roman"/>
          <w:lang w:val="pl-PL"/>
        </w:rPr>
        <w:t>y</w:t>
      </w:r>
      <w:r w:rsidR="00E76B27" w:rsidRPr="00337240">
        <w:rPr>
          <w:rFonts w:ascii="Times New Roman" w:hAnsi="Times New Roman" w:cs="Times New Roman"/>
          <w:lang w:val="pl-PL"/>
        </w:rPr>
        <w:t xml:space="preserve">, po stwierdzeniu, że </w:t>
      </w:r>
      <w:r w:rsidR="00A75F9F" w:rsidRPr="00337240">
        <w:rPr>
          <w:rFonts w:ascii="Times New Roman" w:hAnsi="Times New Roman" w:cs="Times New Roman"/>
          <w:lang w:val="pl-PL"/>
        </w:rPr>
        <w:t>szczególna</w:t>
      </w:r>
      <w:r w:rsidR="00A75F9F" w:rsidRPr="00B45853">
        <w:rPr>
          <w:rFonts w:ascii="Times New Roman" w:hAnsi="Times New Roman" w:cs="Times New Roman"/>
          <w:lang w:val="pl-PL"/>
        </w:rPr>
        <w:t xml:space="preserve"> regulacja zawarta w Ustawie o U</w:t>
      </w:r>
      <w:r w:rsidR="00E76B27" w:rsidRPr="00B45853">
        <w:rPr>
          <w:rFonts w:ascii="Times New Roman" w:hAnsi="Times New Roman" w:cs="Times New Roman"/>
          <w:lang w:val="pl-PL"/>
        </w:rPr>
        <w:t>sług</w:t>
      </w:r>
      <w:r w:rsidR="00A75F9F" w:rsidRPr="00B45853">
        <w:rPr>
          <w:rFonts w:ascii="Times New Roman" w:hAnsi="Times New Roman" w:cs="Times New Roman"/>
          <w:lang w:val="pl-PL"/>
        </w:rPr>
        <w:t>ach Społeczeństwa I</w:t>
      </w:r>
      <w:r w:rsidR="00E76B27" w:rsidRPr="00B45853">
        <w:rPr>
          <w:rFonts w:ascii="Times New Roman" w:hAnsi="Times New Roman" w:cs="Times New Roman"/>
          <w:lang w:val="pl-PL"/>
        </w:rPr>
        <w:t xml:space="preserve">nformacyjnego </w:t>
      </w:r>
      <w:r w:rsidR="00A75F9F" w:rsidRPr="00B45853">
        <w:rPr>
          <w:rFonts w:ascii="Times New Roman" w:hAnsi="Times New Roman" w:cs="Times New Roman"/>
          <w:lang w:val="pl-PL"/>
        </w:rPr>
        <w:t>transponująca Dyrektywę o H</w:t>
      </w:r>
      <w:r w:rsidR="00E76B27" w:rsidRPr="00B45853">
        <w:rPr>
          <w:rFonts w:ascii="Times New Roman" w:hAnsi="Times New Roman" w:cs="Times New Roman"/>
          <w:lang w:val="pl-PL"/>
        </w:rPr>
        <w:t>a</w:t>
      </w:r>
      <w:r w:rsidR="00A75F9F" w:rsidRPr="00B45853">
        <w:rPr>
          <w:rFonts w:ascii="Times New Roman" w:hAnsi="Times New Roman" w:cs="Times New Roman"/>
          <w:lang w:val="pl-PL"/>
        </w:rPr>
        <w:t>ndlu Elektronicznym do prawa E</w:t>
      </w:r>
      <w:r w:rsidR="00E76B27" w:rsidRPr="00B45853">
        <w:rPr>
          <w:rFonts w:ascii="Times New Roman" w:hAnsi="Times New Roman" w:cs="Times New Roman"/>
          <w:lang w:val="pl-PL"/>
        </w:rPr>
        <w:t xml:space="preserve">stońskiego nie znajduje zastosowania do niniejszej sprawy, ponieważ te ostatnie związane </w:t>
      </w:r>
      <w:r w:rsidR="00D462F5">
        <w:rPr>
          <w:rFonts w:ascii="Times New Roman" w:hAnsi="Times New Roman" w:cs="Times New Roman"/>
          <w:lang w:val="pl-PL"/>
        </w:rPr>
        <w:t xml:space="preserve">są </w:t>
      </w:r>
      <w:r w:rsidR="00E76B27" w:rsidRPr="00B45853">
        <w:rPr>
          <w:rFonts w:ascii="Times New Roman" w:hAnsi="Times New Roman" w:cs="Times New Roman"/>
          <w:lang w:val="pl-PL"/>
        </w:rPr>
        <w:t>z działalnością o charakterze wyłącznie techniczny</w:t>
      </w:r>
      <w:r w:rsidR="00A75F9F" w:rsidRPr="00B45853">
        <w:rPr>
          <w:rFonts w:ascii="Times New Roman" w:hAnsi="Times New Roman" w:cs="Times New Roman"/>
          <w:lang w:val="pl-PL"/>
        </w:rPr>
        <w:t>m</w:t>
      </w:r>
      <w:r w:rsidR="00E76B27" w:rsidRPr="00B45853">
        <w:rPr>
          <w:rFonts w:ascii="Times New Roman" w:hAnsi="Times New Roman" w:cs="Times New Roman"/>
          <w:lang w:val="pl-PL"/>
        </w:rPr>
        <w:t>, automatyczny</w:t>
      </w:r>
      <w:r w:rsidR="00A75F9F" w:rsidRPr="00B45853">
        <w:rPr>
          <w:rFonts w:ascii="Times New Roman" w:hAnsi="Times New Roman" w:cs="Times New Roman"/>
          <w:lang w:val="pl-PL"/>
        </w:rPr>
        <w:t>m</w:t>
      </w:r>
      <w:r w:rsidR="00E76B27" w:rsidRPr="00B45853">
        <w:rPr>
          <w:rFonts w:ascii="Times New Roman" w:hAnsi="Times New Roman" w:cs="Times New Roman"/>
          <w:lang w:val="pl-PL"/>
        </w:rPr>
        <w:t xml:space="preserve"> i pasywny</w:t>
      </w:r>
      <w:r w:rsidR="00A75F9F" w:rsidRPr="00B45853">
        <w:rPr>
          <w:rFonts w:ascii="Times New Roman" w:hAnsi="Times New Roman" w:cs="Times New Roman"/>
          <w:lang w:val="pl-PL"/>
        </w:rPr>
        <w:t>m</w:t>
      </w:r>
      <w:r w:rsidR="00E76B27" w:rsidRPr="00B45853">
        <w:rPr>
          <w:rFonts w:ascii="Times New Roman" w:hAnsi="Times New Roman" w:cs="Times New Roman"/>
          <w:lang w:val="pl-PL"/>
        </w:rPr>
        <w:t xml:space="preserve">, w przeciwieństwie do działalności skarżącej spółki, cel realizowany przez </w:t>
      </w:r>
      <w:r w:rsidR="00A75F9F" w:rsidRPr="00B45853">
        <w:rPr>
          <w:rFonts w:ascii="Times New Roman" w:hAnsi="Times New Roman" w:cs="Times New Roman"/>
          <w:lang w:val="pl-PL"/>
        </w:rPr>
        <w:t>skarżącą spółkę nie był</w:t>
      </w:r>
      <w:r w:rsidR="00E76B27" w:rsidRPr="00B45853">
        <w:rPr>
          <w:rFonts w:ascii="Times New Roman" w:hAnsi="Times New Roman" w:cs="Times New Roman"/>
          <w:lang w:val="pl-PL"/>
        </w:rPr>
        <w:t xml:space="preserve"> jedynie świadczenie</w:t>
      </w:r>
      <w:r w:rsidR="00A75F9F" w:rsidRPr="00B45853">
        <w:rPr>
          <w:rFonts w:ascii="Times New Roman" w:hAnsi="Times New Roman" w:cs="Times New Roman"/>
          <w:lang w:val="pl-PL"/>
        </w:rPr>
        <w:t>m</w:t>
      </w:r>
      <w:r w:rsidR="007010C2" w:rsidRPr="00B45853">
        <w:rPr>
          <w:rFonts w:ascii="Times New Roman" w:hAnsi="Times New Roman" w:cs="Times New Roman"/>
          <w:lang w:val="pl-PL"/>
        </w:rPr>
        <w:t xml:space="preserve"> usługi pośredniczącej</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 13 </w:t>
      </w:r>
      <w:r w:rsidR="00A75F9F" w:rsidRPr="00B45853">
        <w:rPr>
          <w:rFonts w:ascii="Times New Roman" w:hAnsi="Times New Roman" w:cs="Times New Roman"/>
          <w:lang w:val="pl-PL"/>
        </w:rPr>
        <w:t>wyrok Sądu Najwyższego</w:t>
      </w:r>
      <w:r w:rsidR="007010C2" w:rsidRPr="00B45853">
        <w:rPr>
          <w:rFonts w:ascii="Times New Roman" w:hAnsi="Times New Roman" w:cs="Times New Roman"/>
          <w:lang w:val="pl-PL"/>
        </w:rPr>
        <w:t>,</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jak określono w paragrafie</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31</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 xml:space="preserve">W tym szczególnym kontekście Trybunał bierze pod uwagę fakt, że niektóre kraje uznały, że znaczenie i złożoność przedmiotu, obejmujących potrzebę zapewnienia prawidłowego wyważenia różnych interesów i praw podstawowych, wymagają uchwalenia szczegółowych przepisów dotyczących sytuacji takich jak odnoszące się </w:t>
      </w:r>
      <w:r w:rsidR="008C4750">
        <w:rPr>
          <w:rFonts w:ascii="Times New Roman" w:hAnsi="Times New Roman" w:cs="Times New Roman"/>
          <w:lang w:val="pl-PL"/>
        </w:rPr>
        <w:br/>
      </w:r>
      <w:r w:rsidR="00A75F9F" w:rsidRPr="00B45853">
        <w:rPr>
          <w:rFonts w:ascii="Times New Roman" w:hAnsi="Times New Roman" w:cs="Times New Roman"/>
          <w:lang w:val="pl-PL"/>
        </w:rPr>
        <w:lastRenderedPageBreak/>
        <w:t>w tym przypadku</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zobacz paragraf</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58</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Takie działanie jest zgodne ze "zróżnicowanym i wielostopniowym podejściem" do regulacji nowych mediów zalecanych przez Radę Europy</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zobacz paragraf</w:t>
      </w:r>
      <w:r w:rsidR="00A220C6" w:rsidRPr="00B45853">
        <w:rPr>
          <w:rFonts w:ascii="Times New Roman" w:hAnsi="Times New Roman" w:cs="Times New Roman"/>
          <w:lang w:val="pl-PL"/>
        </w:rPr>
        <w:t xml:space="preserve"> </w:t>
      </w:r>
      <w:r w:rsidR="00B23BBD" w:rsidRPr="00B45853">
        <w:rPr>
          <w:rFonts w:ascii="Times New Roman" w:hAnsi="Times New Roman" w:cs="Times New Roman"/>
          <w:lang w:val="pl-PL"/>
        </w:rPr>
        <w:t>46</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 xml:space="preserve">i znalazło poparcie w orzecznictwie Trybunału </w:t>
      </w:r>
      <w:r w:rsidR="00A220C6" w:rsidRPr="00B45853">
        <w:rPr>
          <w:rFonts w:ascii="Times New Roman" w:hAnsi="Times New Roman" w:cs="Times New Roman"/>
          <w:lang w:val="pl-PL"/>
        </w:rPr>
        <w:t>(</w:t>
      </w:r>
      <w:r w:rsidR="00A75F9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r w:rsidR="00A220C6" w:rsidRPr="00B45853">
        <w:rPr>
          <w:rFonts w:ascii="Times New Roman" w:hAnsi="Times New Roman" w:cs="Times New Roman"/>
          <w:i/>
          <w:lang w:val="pl-PL"/>
        </w:rPr>
        <w:t>mutatis mutandis</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Editorial</w:t>
      </w:r>
      <w:proofErr w:type="spellEnd"/>
      <w:r w:rsidR="00A220C6" w:rsidRPr="00B45853">
        <w:rPr>
          <w:rFonts w:ascii="Times New Roman" w:hAnsi="Times New Roman" w:cs="Times New Roman"/>
          <w:i/>
          <w:lang w:val="pl-PL"/>
        </w:rPr>
        <w:t xml:space="preserve"> Board of </w:t>
      </w:r>
      <w:proofErr w:type="spellStart"/>
      <w:r w:rsidR="00A220C6" w:rsidRPr="00B45853">
        <w:rPr>
          <w:rFonts w:ascii="Times New Roman" w:hAnsi="Times New Roman" w:cs="Times New Roman"/>
          <w:lang w:val="pl-PL"/>
        </w:rPr>
        <w:t>Pravoye</w:t>
      </w:r>
      <w:proofErr w:type="spellEnd"/>
      <w:r w:rsidR="00A220C6" w:rsidRPr="00B45853">
        <w:rPr>
          <w:rFonts w:ascii="Times New Roman" w:hAnsi="Times New Roman" w:cs="Times New Roman"/>
          <w:lang w:val="pl-PL"/>
        </w:rPr>
        <w:t xml:space="preserve"> Delo</w:t>
      </w:r>
      <w:r w:rsidR="00A75F9F" w:rsidRPr="00B45853">
        <w:rPr>
          <w:rFonts w:ascii="Times New Roman" w:hAnsi="Times New Roman" w:cs="Times New Roman"/>
          <w:i/>
          <w:lang w:val="pl-PL"/>
        </w:rPr>
        <w:t xml:space="preserve"> i </w:t>
      </w:r>
      <w:proofErr w:type="spellStart"/>
      <w:r w:rsidR="00A75F9F" w:rsidRPr="00B45853">
        <w:rPr>
          <w:rFonts w:ascii="Times New Roman" w:hAnsi="Times New Roman" w:cs="Times New Roman"/>
          <w:i/>
          <w:lang w:val="pl-PL"/>
        </w:rPr>
        <w:t>Shtekel</w:t>
      </w:r>
      <w:proofErr w:type="spellEnd"/>
      <w:r w:rsidR="00A75F9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Ukrain</w:t>
      </w:r>
      <w:r w:rsidR="00A75F9F" w:rsidRPr="00B45853">
        <w:rPr>
          <w:rFonts w:ascii="Times New Roman" w:hAnsi="Times New Roman" w:cs="Times New Roman"/>
          <w:i/>
          <w:lang w:val="pl-PL"/>
        </w:rPr>
        <w:t>i</w:t>
      </w:r>
      <w:r w:rsidR="00A220C6" w:rsidRPr="00B45853">
        <w:rPr>
          <w:rFonts w:ascii="Times New Roman" w:hAnsi="Times New Roman" w:cs="Times New Roman"/>
          <w:i/>
          <w:lang w:val="pl-PL"/>
        </w:rPr>
        <w:t>e</w:t>
      </w:r>
      <w:r w:rsidR="00A75F9F" w:rsidRPr="00B45853">
        <w:rPr>
          <w:rFonts w:ascii="Times New Roman" w:hAnsi="Times New Roman" w:cs="Times New Roman"/>
          <w:lang w:val="pl-PL"/>
        </w:rPr>
        <w:t>, nr</w:t>
      </w:r>
      <w:r w:rsidR="003476A7" w:rsidRPr="00B45853">
        <w:rPr>
          <w:rFonts w:ascii="Times New Roman" w:hAnsi="Times New Roman" w:cs="Times New Roman"/>
          <w:lang w:val="pl-PL"/>
        </w:rPr>
        <w:t> 33014/05, §§ 63-64, ECHR 2011</w:t>
      </w:r>
      <w:r w:rsidR="00A220C6" w:rsidRPr="00B45853">
        <w:rPr>
          <w:rFonts w:ascii="Times New Roman" w:hAnsi="Times New Roman" w:cs="Times New Roman"/>
          <w:lang w:val="pl-PL"/>
        </w:rPr>
        <w:t xml:space="preserve">). </w:t>
      </w:r>
      <w:r w:rsidR="00A75F9F" w:rsidRPr="00B45853">
        <w:rPr>
          <w:rFonts w:ascii="Times New Roman" w:hAnsi="Times New Roman" w:cs="Times New Roman"/>
          <w:lang w:val="pl-PL"/>
        </w:rPr>
        <w:t xml:space="preserve">Jednak, chociaż różne podejścia są możliwe w prawodawstwie w celu uwzględnienia charakteru nowych mediów, </w:t>
      </w:r>
      <w:r w:rsidR="00A75F9F" w:rsidRPr="00337240">
        <w:rPr>
          <w:rFonts w:ascii="Times New Roman" w:hAnsi="Times New Roman" w:cs="Times New Roman"/>
          <w:lang w:val="pl-PL"/>
        </w:rPr>
        <w:t xml:space="preserve">Trybunał jest </w:t>
      </w:r>
      <w:r w:rsidR="00D462F5" w:rsidRPr="00337240">
        <w:rPr>
          <w:rFonts w:ascii="Times New Roman" w:hAnsi="Times New Roman" w:cs="Times New Roman"/>
          <w:lang w:val="pl-PL"/>
        </w:rPr>
        <w:t>usatysfakcjonowany</w:t>
      </w:r>
      <w:r w:rsidR="00A75F9F" w:rsidRPr="00337240">
        <w:rPr>
          <w:rFonts w:ascii="Times New Roman" w:hAnsi="Times New Roman" w:cs="Times New Roman"/>
          <w:lang w:val="pl-PL"/>
        </w:rPr>
        <w:t xml:space="preserve"> </w:t>
      </w:r>
      <w:r w:rsidR="008C4750">
        <w:rPr>
          <w:rFonts w:ascii="Times New Roman" w:hAnsi="Times New Roman" w:cs="Times New Roman"/>
          <w:lang w:val="pl-PL"/>
        </w:rPr>
        <w:t xml:space="preserve">w </w:t>
      </w:r>
      <w:r w:rsidR="00A75F9F" w:rsidRPr="00337240">
        <w:rPr>
          <w:rFonts w:ascii="Times New Roman" w:hAnsi="Times New Roman" w:cs="Times New Roman"/>
          <w:lang w:val="pl-PL"/>
        </w:rPr>
        <w:t>okoliczności</w:t>
      </w:r>
      <w:r w:rsidR="008C4750">
        <w:rPr>
          <w:rFonts w:ascii="Times New Roman" w:hAnsi="Times New Roman" w:cs="Times New Roman"/>
          <w:lang w:val="pl-PL"/>
        </w:rPr>
        <w:t>ach</w:t>
      </w:r>
      <w:r w:rsidR="00A75F9F" w:rsidRPr="00337240">
        <w:rPr>
          <w:rFonts w:ascii="Times New Roman" w:hAnsi="Times New Roman" w:cs="Times New Roman"/>
          <w:lang w:val="pl-PL"/>
        </w:rPr>
        <w:t xml:space="preserve"> niniejszej sprawy, że przepisy Konstytucji, Kodeksu cywilnego (zasady ogólne) oraz </w:t>
      </w:r>
      <w:r w:rsidR="00D462F5" w:rsidRPr="00337240">
        <w:rPr>
          <w:rFonts w:ascii="Times New Roman" w:hAnsi="Times New Roman" w:cs="Times New Roman"/>
          <w:lang w:val="pl-PL"/>
        </w:rPr>
        <w:t>Prawa Zobowiązań</w:t>
      </w:r>
      <w:r w:rsidR="00A75F9F" w:rsidRPr="00337240">
        <w:rPr>
          <w:rFonts w:ascii="Times New Roman" w:hAnsi="Times New Roman" w:cs="Times New Roman"/>
          <w:lang w:val="pl-PL"/>
        </w:rPr>
        <w:t xml:space="preserve"> wraz z odpowiednim orzecznictwem </w:t>
      </w:r>
      <w:r w:rsidR="00D462F5" w:rsidRPr="00337240">
        <w:rPr>
          <w:rFonts w:ascii="Times New Roman" w:hAnsi="Times New Roman" w:cs="Times New Roman"/>
          <w:lang w:val="pl-PL"/>
        </w:rPr>
        <w:t>czynią możliwym</w:t>
      </w:r>
      <w:r w:rsidR="00A75F9F" w:rsidRPr="00337240">
        <w:rPr>
          <w:rFonts w:ascii="Times New Roman" w:hAnsi="Times New Roman" w:cs="Times New Roman"/>
          <w:lang w:val="pl-PL"/>
        </w:rPr>
        <w:t xml:space="preserve"> do przewidzenia, czy ​​wydawca mediów zarządzający informacyjnym portalem internetowym dla celów gospodarczych może w zasadzie być pociągnięty </w:t>
      </w:r>
      <w:r w:rsidR="00A75F9F" w:rsidRPr="00B45853">
        <w:rPr>
          <w:rFonts w:ascii="Times New Roman" w:hAnsi="Times New Roman" w:cs="Times New Roman"/>
          <w:lang w:val="pl-PL"/>
        </w:rPr>
        <w:t xml:space="preserve">do odpowiedzialności na podstawie prawa krajowego za przesyłanie wyraźnie bezprawnych komentarzy, </w:t>
      </w:r>
      <w:r w:rsidR="00034186">
        <w:rPr>
          <w:rFonts w:ascii="Times New Roman" w:hAnsi="Times New Roman" w:cs="Times New Roman"/>
          <w:lang w:val="pl-PL"/>
        </w:rPr>
        <w:t>tak jak</w:t>
      </w:r>
      <w:r w:rsidR="00A75F9F" w:rsidRPr="00B45853">
        <w:rPr>
          <w:rFonts w:ascii="Times New Roman" w:hAnsi="Times New Roman" w:cs="Times New Roman"/>
          <w:lang w:val="pl-PL"/>
        </w:rPr>
        <w:t xml:space="preserve"> w </w:t>
      </w:r>
      <w:r w:rsidR="008B3C5D" w:rsidRPr="00B45853">
        <w:rPr>
          <w:rFonts w:ascii="Times New Roman" w:hAnsi="Times New Roman" w:cs="Times New Roman"/>
          <w:lang w:val="pl-PL"/>
        </w:rPr>
        <w:t>bieżącej sprawie</w:t>
      </w:r>
      <w:r w:rsidR="00A75F9F" w:rsidRPr="00B45853">
        <w:rPr>
          <w:rFonts w:ascii="Times New Roman" w:hAnsi="Times New Roman" w:cs="Times New Roman"/>
          <w:lang w:val="pl-PL"/>
        </w:rPr>
        <w:t xml:space="preserve">, na </w:t>
      </w:r>
      <w:r w:rsidR="008B3C5D" w:rsidRPr="00B45853">
        <w:rPr>
          <w:rFonts w:ascii="Times New Roman" w:hAnsi="Times New Roman" w:cs="Times New Roman"/>
          <w:lang w:val="pl-PL"/>
        </w:rPr>
        <w:t xml:space="preserve">swoim </w:t>
      </w:r>
      <w:r w:rsidR="00A75F9F" w:rsidRPr="00B45853">
        <w:rPr>
          <w:rFonts w:ascii="Times New Roman" w:hAnsi="Times New Roman" w:cs="Times New Roman"/>
          <w:lang w:val="pl-PL"/>
        </w:rPr>
        <w:t>portalu informacyjnym</w:t>
      </w:r>
      <w:r w:rsidR="00A220C6" w:rsidRPr="00B45853">
        <w:rPr>
          <w:rFonts w:ascii="Times New Roman" w:hAnsi="Times New Roman" w:cs="Times New Roman"/>
          <w:lang w:val="pl-PL"/>
        </w:rPr>
        <w:t>.</w:t>
      </w:r>
    </w:p>
    <w:p w:rsidR="00A220C6" w:rsidRPr="00337240"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129</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8B3C5D" w:rsidRPr="00B45853">
        <w:rPr>
          <w:rFonts w:ascii="Times New Roman" w:hAnsi="Times New Roman" w:cs="Times New Roman"/>
          <w:lang w:val="pl-PL"/>
        </w:rPr>
        <w:t xml:space="preserve">W konsekwencji Trybunał stwierdza, że jako profesjonalny wydawca, skarżąca spółka powinna być zaznajomiona z ustawodawstwem i orzecznictwem, a może także szukać porady prawnej. Trybunał zauważa w tym kontekście, że portal informacyjny </w:t>
      </w:r>
      <w:proofErr w:type="spellStart"/>
      <w:r w:rsidR="008B3C5D" w:rsidRPr="00B45853">
        <w:rPr>
          <w:rFonts w:ascii="Times New Roman" w:hAnsi="Times New Roman" w:cs="Times New Roman"/>
          <w:lang w:val="pl-PL"/>
        </w:rPr>
        <w:t>Delfi</w:t>
      </w:r>
      <w:proofErr w:type="spellEnd"/>
      <w:r w:rsidR="008B3C5D" w:rsidRPr="00B45853">
        <w:rPr>
          <w:rFonts w:ascii="Times New Roman" w:hAnsi="Times New Roman" w:cs="Times New Roman"/>
          <w:lang w:val="pl-PL"/>
        </w:rPr>
        <w:t xml:space="preserve"> jest jednym z największych w Estonii. Zaniepokojenie opinii</w:t>
      </w:r>
      <w:r w:rsidR="00157CBE" w:rsidRPr="00B45853">
        <w:rPr>
          <w:rFonts w:ascii="Times New Roman" w:hAnsi="Times New Roman" w:cs="Times New Roman"/>
          <w:lang w:val="pl-PL"/>
        </w:rPr>
        <w:t xml:space="preserve"> publicznej zostało</w:t>
      </w:r>
      <w:r w:rsidR="008B3C5D" w:rsidRPr="00B45853">
        <w:rPr>
          <w:rFonts w:ascii="Times New Roman" w:hAnsi="Times New Roman" w:cs="Times New Roman"/>
          <w:lang w:val="pl-PL"/>
        </w:rPr>
        <w:t xml:space="preserve"> już wyrażone przed publikacją komentarzy zawartych w niniejszej sprawie</w:t>
      </w:r>
      <w:r w:rsidR="007010C2" w:rsidRPr="00B45853">
        <w:rPr>
          <w:rFonts w:ascii="Times New Roman" w:hAnsi="Times New Roman" w:cs="Times New Roman"/>
          <w:lang w:val="pl-PL"/>
        </w:rPr>
        <w:t>,</w:t>
      </w:r>
      <w:r w:rsidR="008B3C5D" w:rsidRPr="00B45853">
        <w:rPr>
          <w:rFonts w:ascii="Times New Roman" w:hAnsi="Times New Roman" w:cs="Times New Roman"/>
          <w:lang w:val="pl-PL"/>
        </w:rPr>
        <w:t xml:space="preserve"> </w:t>
      </w:r>
      <w:r w:rsidR="00157CBE" w:rsidRPr="00B45853">
        <w:rPr>
          <w:rFonts w:ascii="Times New Roman" w:hAnsi="Times New Roman" w:cs="Times New Roman"/>
          <w:lang w:val="pl-PL"/>
        </w:rPr>
        <w:t>i</w:t>
      </w:r>
      <w:r w:rsidR="008B3C5D" w:rsidRPr="00B45853">
        <w:rPr>
          <w:rFonts w:ascii="Times New Roman" w:hAnsi="Times New Roman" w:cs="Times New Roman"/>
          <w:lang w:val="pl-PL"/>
        </w:rPr>
        <w:t xml:space="preserve"> Minister Sprawiedliwości zauważył, że ofiary obelg mogą wnieść pozew przeciwko </w:t>
      </w:r>
      <w:proofErr w:type="spellStart"/>
      <w:r w:rsidR="008B3C5D" w:rsidRPr="00B45853">
        <w:rPr>
          <w:rFonts w:ascii="Times New Roman" w:hAnsi="Times New Roman" w:cs="Times New Roman"/>
          <w:lang w:val="pl-PL"/>
        </w:rPr>
        <w:t>Delfi</w:t>
      </w:r>
      <w:proofErr w:type="spellEnd"/>
      <w:r w:rsidR="008B3C5D" w:rsidRPr="00B45853">
        <w:rPr>
          <w:rFonts w:ascii="Times New Roman" w:hAnsi="Times New Roman" w:cs="Times New Roman"/>
          <w:lang w:val="pl-PL"/>
        </w:rPr>
        <w:t xml:space="preserve"> i zażądać odszkodowania (zobacz paragraf 15 powyżej). Tym samym Trybunał uznaje, że skarżąca spółka była w stanie ocenić ryzyko związane z jej działalnością i że musi</w:t>
      </w:r>
      <w:r w:rsidR="00157CBE" w:rsidRPr="00B45853">
        <w:rPr>
          <w:rFonts w:ascii="Times New Roman" w:hAnsi="Times New Roman" w:cs="Times New Roman"/>
          <w:lang w:val="pl-PL"/>
        </w:rPr>
        <w:t>ała</w:t>
      </w:r>
      <w:r w:rsidR="008B3C5D" w:rsidRPr="00B45853">
        <w:rPr>
          <w:rFonts w:ascii="Times New Roman" w:hAnsi="Times New Roman" w:cs="Times New Roman"/>
          <w:lang w:val="pl-PL"/>
        </w:rPr>
        <w:t xml:space="preserve"> być w stanie przewidzieć, do pewnego stopnia, </w:t>
      </w:r>
      <w:r w:rsidR="008B3C5D" w:rsidRPr="00337240">
        <w:rPr>
          <w:rFonts w:ascii="Times New Roman" w:hAnsi="Times New Roman" w:cs="Times New Roman"/>
          <w:lang w:val="pl-PL"/>
        </w:rPr>
        <w:t xml:space="preserve">konsekwencje, z którymi mogłyby się one wiązać. W związku z tym uznano, że ingerencja była "przewidziana przez prawo" w rozumieniu drugiego </w:t>
      </w:r>
      <w:r w:rsidR="00AF2EB1" w:rsidRPr="00337240">
        <w:rPr>
          <w:rFonts w:ascii="Times New Roman" w:hAnsi="Times New Roman" w:cs="Times New Roman"/>
          <w:lang w:val="pl-PL"/>
        </w:rPr>
        <w:t>paragrafu</w:t>
      </w:r>
      <w:r w:rsidR="00D462F5" w:rsidRPr="00337240">
        <w:rPr>
          <w:rFonts w:ascii="Times New Roman" w:hAnsi="Times New Roman" w:cs="Times New Roman"/>
          <w:lang w:val="pl-PL"/>
        </w:rPr>
        <w:t xml:space="preserve"> </w:t>
      </w:r>
      <w:r w:rsidR="008B3C5D" w:rsidRPr="00337240">
        <w:rPr>
          <w:rFonts w:ascii="Times New Roman" w:hAnsi="Times New Roman" w:cs="Times New Roman"/>
          <w:lang w:val="pl-PL"/>
        </w:rPr>
        <w:t>Artykułu 10 Konwencji</w:t>
      </w:r>
      <w:r w:rsidR="00A220C6" w:rsidRPr="00337240">
        <w:rPr>
          <w:rFonts w:ascii="Times New Roman" w:hAnsi="Times New Roman" w:cs="Times New Roman"/>
          <w:lang w:val="pl-PL"/>
        </w:rPr>
        <w:t>.</w:t>
      </w:r>
    </w:p>
    <w:p w:rsidR="00A220C6" w:rsidRPr="00337240" w:rsidRDefault="00A220C6" w:rsidP="00171A6F">
      <w:pPr>
        <w:pStyle w:val="ECHRHeading3"/>
        <w:rPr>
          <w:rFonts w:ascii="Times New Roman" w:hAnsi="Times New Roman" w:cs="Times New Roman"/>
          <w:lang w:val="pl-PL"/>
        </w:rPr>
      </w:pPr>
      <w:bookmarkStart w:id="36" w:name="_Toc420072883"/>
      <w:r w:rsidRPr="00337240">
        <w:rPr>
          <w:rFonts w:ascii="Times New Roman" w:hAnsi="Times New Roman" w:cs="Times New Roman"/>
          <w:lang w:val="pl-PL"/>
        </w:rPr>
        <w:t>4.  </w:t>
      </w:r>
      <w:bookmarkEnd w:id="36"/>
      <w:r w:rsidR="008B3C5D" w:rsidRPr="00337240">
        <w:rPr>
          <w:rFonts w:ascii="Times New Roman" w:hAnsi="Times New Roman" w:cs="Times New Roman"/>
          <w:lang w:val="pl-PL"/>
        </w:rPr>
        <w:t>Uzasadniony cel</w:t>
      </w:r>
    </w:p>
    <w:p w:rsidR="00A220C6" w:rsidRPr="00337240" w:rsidRDefault="00DD67A4" w:rsidP="00171A6F">
      <w:pPr>
        <w:pStyle w:val="ECHRPara"/>
        <w:rPr>
          <w:rFonts w:ascii="Times New Roman" w:hAnsi="Times New Roman" w:cs="Times New Roman"/>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130</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8B3C5D" w:rsidRPr="00337240">
        <w:rPr>
          <w:rFonts w:ascii="Times New Roman" w:hAnsi="Times New Roman" w:cs="Times New Roman"/>
          <w:lang w:val="pl-PL"/>
        </w:rPr>
        <w:t>Strony przed Wielką Izbą nie kwestionują, że ograniczenie wolności wypowiedzi skarżącej spółki było realizowane uzasadnionym celem, jakim była ochrona dobrego imienia i praw innych osób. Trybunał nie widzi powodu, by uznać inaczej</w:t>
      </w:r>
      <w:r w:rsidR="00A220C6" w:rsidRPr="00337240">
        <w:rPr>
          <w:rFonts w:ascii="Times New Roman" w:hAnsi="Times New Roman" w:cs="Times New Roman"/>
          <w:lang w:val="pl-PL"/>
        </w:rPr>
        <w:t>.</w:t>
      </w:r>
    </w:p>
    <w:p w:rsidR="00A220C6" w:rsidRPr="00337240" w:rsidRDefault="00A220C6" w:rsidP="00171A6F">
      <w:pPr>
        <w:pStyle w:val="ECHRHeading3"/>
        <w:rPr>
          <w:rFonts w:ascii="Times New Roman" w:hAnsi="Times New Roman" w:cs="Times New Roman"/>
          <w:lang w:val="pl-PL"/>
        </w:rPr>
      </w:pPr>
      <w:bookmarkStart w:id="37" w:name="_Toc420072884"/>
      <w:r w:rsidRPr="00337240">
        <w:rPr>
          <w:rFonts w:ascii="Times New Roman" w:hAnsi="Times New Roman" w:cs="Times New Roman"/>
          <w:lang w:val="pl-PL"/>
        </w:rPr>
        <w:t>5.  </w:t>
      </w:r>
      <w:bookmarkEnd w:id="37"/>
      <w:r w:rsidR="008B3C5D" w:rsidRPr="00337240">
        <w:rPr>
          <w:rFonts w:ascii="Times New Roman" w:hAnsi="Times New Roman" w:cs="Times New Roman"/>
          <w:lang w:val="pl-PL"/>
        </w:rPr>
        <w:t>Konieczność w demokratycznym społeczeństwie</w:t>
      </w:r>
    </w:p>
    <w:p w:rsidR="00A220C6" w:rsidRPr="00337240" w:rsidRDefault="007010C2" w:rsidP="00171A6F">
      <w:pPr>
        <w:pStyle w:val="ECHRHeading4"/>
        <w:rPr>
          <w:rFonts w:ascii="Times New Roman" w:hAnsi="Times New Roman" w:cs="Times New Roman"/>
          <w:lang w:val="pl-PL"/>
        </w:rPr>
      </w:pPr>
      <w:r w:rsidRPr="00337240">
        <w:rPr>
          <w:rFonts w:ascii="Times New Roman" w:hAnsi="Times New Roman" w:cs="Times New Roman"/>
          <w:lang w:val="pl-PL"/>
        </w:rPr>
        <w:t>(a)</w:t>
      </w:r>
      <w:r w:rsidR="00A220C6" w:rsidRPr="00337240">
        <w:rPr>
          <w:rFonts w:ascii="Times New Roman" w:hAnsi="Times New Roman" w:cs="Times New Roman"/>
          <w:lang w:val="pl-PL"/>
        </w:rPr>
        <w:t> </w:t>
      </w:r>
      <w:r w:rsidR="008B3C5D" w:rsidRPr="00337240">
        <w:rPr>
          <w:rFonts w:ascii="Times New Roman" w:hAnsi="Times New Roman" w:cs="Times New Roman"/>
          <w:lang w:val="pl-PL"/>
        </w:rPr>
        <w:t>Ogólne zasady</w:t>
      </w:r>
    </w:p>
    <w:p w:rsidR="00A220C6" w:rsidRPr="00337240" w:rsidRDefault="00DD67A4" w:rsidP="00171A6F">
      <w:pPr>
        <w:pStyle w:val="ECHRPara"/>
        <w:rPr>
          <w:rFonts w:ascii="Times New Roman" w:hAnsi="Times New Roman" w:cs="Times New Roman"/>
          <w:i/>
          <w:lang w:val="pl-PL"/>
        </w:rPr>
      </w:pPr>
      <w:r w:rsidRPr="00337240">
        <w:rPr>
          <w:rFonts w:ascii="Times New Roman" w:hAnsi="Times New Roman" w:cs="Times New Roman"/>
          <w:lang w:val="en-GB"/>
        </w:rPr>
        <w:fldChar w:fldCharType="begin"/>
      </w:r>
      <w:r w:rsidR="00A220C6" w:rsidRPr="00337240">
        <w:rPr>
          <w:rFonts w:ascii="Times New Roman" w:hAnsi="Times New Roman" w:cs="Times New Roman"/>
          <w:lang w:val="pl-PL"/>
        </w:rPr>
        <w:instrText xml:space="preserve"> SEQ level0 \*arabic </w:instrText>
      </w:r>
      <w:r w:rsidRPr="00337240">
        <w:rPr>
          <w:rFonts w:ascii="Times New Roman" w:hAnsi="Times New Roman" w:cs="Times New Roman"/>
          <w:lang w:val="en-GB"/>
        </w:rPr>
        <w:fldChar w:fldCharType="separate"/>
      </w:r>
      <w:r w:rsidR="002F0EE0" w:rsidRPr="00337240">
        <w:rPr>
          <w:rFonts w:ascii="Times New Roman" w:hAnsi="Times New Roman" w:cs="Times New Roman"/>
          <w:noProof/>
          <w:lang w:val="pl-PL"/>
        </w:rPr>
        <w:t>131</w:t>
      </w:r>
      <w:r w:rsidRPr="00337240">
        <w:rPr>
          <w:rFonts w:ascii="Times New Roman" w:hAnsi="Times New Roman" w:cs="Times New Roman"/>
          <w:lang w:val="en-GB"/>
        </w:rPr>
        <w:fldChar w:fldCharType="end"/>
      </w:r>
      <w:r w:rsidR="00A220C6" w:rsidRPr="00337240">
        <w:rPr>
          <w:rFonts w:ascii="Times New Roman" w:hAnsi="Times New Roman" w:cs="Times New Roman"/>
          <w:lang w:val="pl-PL"/>
        </w:rPr>
        <w:t>.  </w:t>
      </w:r>
      <w:r w:rsidR="008B3C5D" w:rsidRPr="00337240">
        <w:rPr>
          <w:rFonts w:ascii="Times New Roman" w:hAnsi="Times New Roman" w:cs="Times New Roman"/>
          <w:lang w:val="pl-PL"/>
        </w:rPr>
        <w:t xml:space="preserve">Podstawowe zasady dotyczące tego, czy ingerencja w wolność wypowiedzi jest "konieczna w demokratycznym społeczeństwie" są dobrze ugruntowane w orzecznictwie Trybunału i zostały podsumowane w następujący sposób </w:t>
      </w:r>
      <w:r w:rsidR="00A220C6" w:rsidRPr="00337240">
        <w:rPr>
          <w:rFonts w:ascii="Times New Roman" w:hAnsi="Times New Roman" w:cs="Times New Roman"/>
          <w:lang w:val="pl-PL"/>
        </w:rPr>
        <w:t>(</w:t>
      </w:r>
      <w:r w:rsidR="008B3C5D" w:rsidRPr="00337240">
        <w:rPr>
          <w:rFonts w:ascii="Times New Roman" w:hAnsi="Times New Roman" w:cs="Times New Roman"/>
          <w:lang w:val="pl-PL"/>
        </w:rPr>
        <w:t>zobacz</w:t>
      </w:r>
      <w:r w:rsidR="00A220C6" w:rsidRPr="00337240">
        <w:rPr>
          <w:rFonts w:ascii="Times New Roman" w:hAnsi="Times New Roman" w:cs="Times New Roman"/>
          <w:lang w:val="pl-PL"/>
        </w:rPr>
        <w:t xml:space="preserve">, </w:t>
      </w:r>
      <w:r w:rsidR="008B3C5D" w:rsidRPr="00337240">
        <w:rPr>
          <w:rFonts w:ascii="Times New Roman" w:hAnsi="Times New Roman" w:cs="Times New Roman"/>
          <w:lang w:val="pl-PL"/>
        </w:rPr>
        <w:t>między innymi</w:t>
      </w:r>
      <w:r w:rsidR="00A220C6" w:rsidRPr="00337240">
        <w:rPr>
          <w:rFonts w:ascii="Times New Roman" w:hAnsi="Times New Roman" w:cs="Times New Roman"/>
          <w:lang w:val="pl-PL"/>
        </w:rPr>
        <w:t xml:space="preserve">, </w:t>
      </w:r>
      <w:r w:rsidR="008B3C5D" w:rsidRPr="00337240">
        <w:rPr>
          <w:rFonts w:ascii="Times New Roman" w:hAnsi="Times New Roman" w:cs="Times New Roman"/>
          <w:i/>
          <w:lang w:val="pl-PL"/>
        </w:rPr>
        <w:t>Hertel przeciwko</w:t>
      </w:r>
      <w:r w:rsidR="00A220C6" w:rsidRPr="00337240">
        <w:rPr>
          <w:rFonts w:ascii="Times New Roman" w:hAnsi="Times New Roman" w:cs="Times New Roman"/>
          <w:i/>
          <w:lang w:val="pl-PL"/>
        </w:rPr>
        <w:t> </w:t>
      </w:r>
      <w:r w:rsidR="008B3C5D" w:rsidRPr="00337240">
        <w:rPr>
          <w:rFonts w:ascii="Times New Roman" w:hAnsi="Times New Roman" w:cs="Times New Roman"/>
          <w:i/>
          <w:lang w:val="pl-PL"/>
        </w:rPr>
        <w:t>Szwajcarii</w:t>
      </w:r>
      <w:r w:rsidR="00A220C6" w:rsidRPr="00337240">
        <w:rPr>
          <w:rFonts w:ascii="Times New Roman" w:hAnsi="Times New Roman" w:cs="Times New Roman"/>
          <w:lang w:val="pl-PL"/>
        </w:rPr>
        <w:t xml:space="preserve">, 25 </w:t>
      </w:r>
      <w:r w:rsidR="008B3C5D" w:rsidRPr="00337240">
        <w:rPr>
          <w:rFonts w:ascii="Times New Roman" w:hAnsi="Times New Roman" w:cs="Times New Roman"/>
          <w:lang w:val="pl-PL"/>
        </w:rPr>
        <w:t>Sierpnia</w:t>
      </w:r>
      <w:r w:rsidR="00A220C6" w:rsidRPr="00337240">
        <w:rPr>
          <w:rFonts w:ascii="Times New Roman" w:hAnsi="Times New Roman" w:cs="Times New Roman"/>
          <w:lang w:val="pl-PL"/>
        </w:rPr>
        <w:t xml:space="preserve"> 1998</w:t>
      </w:r>
      <w:r w:rsidR="008B3C5D" w:rsidRPr="00337240">
        <w:rPr>
          <w:rFonts w:ascii="Times New Roman" w:hAnsi="Times New Roman" w:cs="Times New Roman"/>
          <w:lang w:val="pl-PL"/>
        </w:rPr>
        <w:t xml:space="preserve"> roku</w:t>
      </w:r>
      <w:r w:rsidR="00A220C6" w:rsidRPr="00337240">
        <w:rPr>
          <w:rFonts w:ascii="Times New Roman" w:hAnsi="Times New Roman" w:cs="Times New Roman"/>
          <w:lang w:val="pl-PL"/>
        </w:rPr>
        <w:t xml:space="preserve">, § 46, </w:t>
      </w:r>
      <w:r w:rsidR="00A220C6" w:rsidRPr="00337240">
        <w:rPr>
          <w:rFonts w:ascii="Times New Roman" w:hAnsi="Times New Roman" w:cs="Times New Roman"/>
          <w:i/>
          <w:lang w:val="pl-PL"/>
        </w:rPr>
        <w:t>R</w:t>
      </w:r>
      <w:r w:rsidR="008B3C5D" w:rsidRPr="00337240">
        <w:rPr>
          <w:rFonts w:ascii="Times New Roman" w:hAnsi="Times New Roman" w:cs="Times New Roman"/>
          <w:i/>
          <w:lang w:val="pl-PL"/>
        </w:rPr>
        <w:t>aporty</w:t>
      </w:r>
      <w:r w:rsidR="00A220C6" w:rsidRPr="00337240">
        <w:rPr>
          <w:rFonts w:ascii="Times New Roman" w:hAnsi="Times New Roman" w:cs="Times New Roman"/>
          <w:lang w:val="pl-PL"/>
        </w:rPr>
        <w:t xml:space="preserve"> 1998</w:t>
      </w:r>
      <w:r w:rsidR="00A220C6" w:rsidRPr="00337240">
        <w:rPr>
          <w:rFonts w:ascii="Times New Roman" w:hAnsi="Times New Roman" w:cs="Times New Roman"/>
          <w:lang w:val="pl-PL"/>
        </w:rPr>
        <w:noBreakHyphen/>
        <w:t xml:space="preserve">VI; </w:t>
      </w:r>
      <w:r w:rsidR="00A220C6" w:rsidRPr="00337240">
        <w:rPr>
          <w:rFonts w:ascii="Times New Roman" w:hAnsi="Times New Roman" w:cs="Times New Roman"/>
          <w:i/>
          <w:lang w:val="pl-PL"/>
        </w:rPr>
        <w:t xml:space="preserve">Steel and Morris </w:t>
      </w:r>
      <w:r w:rsidR="008B3C5D" w:rsidRPr="00337240">
        <w:rPr>
          <w:rFonts w:ascii="Times New Roman" w:hAnsi="Times New Roman" w:cs="Times New Roman"/>
          <w:i/>
          <w:lang w:val="pl-PL"/>
        </w:rPr>
        <w:t>przeciwko</w:t>
      </w:r>
      <w:r w:rsidR="00A220C6" w:rsidRPr="00337240">
        <w:rPr>
          <w:rFonts w:ascii="Times New Roman" w:hAnsi="Times New Roman" w:cs="Times New Roman"/>
          <w:i/>
          <w:lang w:val="pl-PL"/>
        </w:rPr>
        <w:t xml:space="preserve"> </w:t>
      </w:r>
      <w:r w:rsidR="008B3C5D" w:rsidRPr="00337240">
        <w:rPr>
          <w:rFonts w:ascii="Times New Roman" w:hAnsi="Times New Roman" w:cs="Times New Roman"/>
          <w:i/>
          <w:lang w:val="pl-PL"/>
        </w:rPr>
        <w:t>Wielkiej Brytanii</w:t>
      </w:r>
      <w:r w:rsidR="008B3C5D" w:rsidRPr="00337240">
        <w:rPr>
          <w:rFonts w:ascii="Times New Roman" w:hAnsi="Times New Roman" w:cs="Times New Roman"/>
          <w:lang w:val="pl-PL"/>
        </w:rPr>
        <w:t>, nr</w:t>
      </w:r>
      <w:r w:rsidR="00A220C6" w:rsidRPr="00337240">
        <w:rPr>
          <w:rFonts w:ascii="Times New Roman" w:hAnsi="Times New Roman" w:cs="Times New Roman"/>
          <w:lang w:val="pl-PL"/>
        </w:rPr>
        <w:t xml:space="preserve"> 68416/01, § 87, ECHR 2005</w:t>
      </w:r>
      <w:r w:rsidR="00A220C6" w:rsidRPr="00337240">
        <w:rPr>
          <w:rFonts w:ascii="Times New Roman" w:hAnsi="Times New Roman" w:cs="Times New Roman"/>
          <w:lang w:val="pl-PL"/>
        </w:rPr>
        <w:noBreakHyphen/>
        <w:t xml:space="preserve">II; </w:t>
      </w:r>
      <w:proofErr w:type="spellStart"/>
      <w:r w:rsidR="008B3C5D" w:rsidRPr="00337240">
        <w:rPr>
          <w:rFonts w:ascii="Times New Roman" w:hAnsi="Times New Roman" w:cs="Times New Roman"/>
          <w:i/>
          <w:lang w:val="pl-PL"/>
        </w:rPr>
        <w:t>Mouvement</w:t>
      </w:r>
      <w:proofErr w:type="spellEnd"/>
      <w:r w:rsidR="008B3C5D" w:rsidRPr="00337240">
        <w:rPr>
          <w:rFonts w:ascii="Times New Roman" w:hAnsi="Times New Roman" w:cs="Times New Roman"/>
          <w:i/>
          <w:lang w:val="pl-PL"/>
        </w:rPr>
        <w:t xml:space="preserve"> </w:t>
      </w:r>
      <w:proofErr w:type="spellStart"/>
      <w:r w:rsidR="008B3C5D" w:rsidRPr="00337240">
        <w:rPr>
          <w:rFonts w:ascii="Times New Roman" w:hAnsi="Times New Roman" w:cs="Times New Roman"/>
          <w:i/>
          <w:lang w:val="pl-PL"/>
        </w:rPr>
        <w:t>raëlien</w:t>
      </w:r>
      <w:proofErr w:type="spellEnd"/>
      <w:r w:rsidR="008B3C5D" w:rsidRPr="00337240">
        <w:rPr>
          <w:rFonts w:ascii="Times New Roman" w:hAnsi="Times New Roman" w:cs="Times New Roman"/>
          <w:i/>
          <w:lang w:val="pl-PL"/>
        </w:rPr>
        <w:t xml:space="preserve"> </w:t>
      </w:r>
      <w:r w:rsidR="008B3C5D" w:rsidRPr="00337240">
        <w:rPr>
          <w:rFonts w:ascii="Times New Roman" w:hAnsi="Times New Roman" w:cs="Times New Roman"/>
          <w:i/>
          <w:lang w:val="pl-PL"/>
        </w:rPr>
        <w:lastRenderedPageBreak/>
        <w:t>Suisse przeciwko</w:t>
      </w:r>
      <w:r w:rsidR="00A220C6" w:rsidRPr="00337240">
        <w:rPr>
          <w:rFonts w:ascii="Times New Roman" w:hAnsi="Times New Roman" w:cs="Times New Roman"/>
          <w:i/>
          <w:lang w:val="pl-PL"/>
        </w:rPr>
        <w:t> </w:t>
      </w:r>
      <w:r w:rsidR="008B3C5D" w:rsidRPr="00337240">
        <w:rPr>
          <w:rFonts w:ascii="Times New Roman" w:hAnsi="Times New Roman" w:cs="Times New Roman"/>
          <w:i/>
          <w:lang w:val="pl-PL"/>
        </w:rPr>
        <w:t>Szwajcarii</w:t>
      </w:r>
      <w:r w:rsidR="008B3C5D" w:rsidRPr="00337240">
        <w:rPr>
          <w:rFonts w:ascii="Times New Roman" w:hAnsi="Times New Roman" w:cs="Times New Roman"/>
          <w:lang w:val="pl-PL"/>
        </w:rPr>
        <w:t xml:space="preserve"> [GC], nr</w:t>
      </w:r>
      <w:r w:rsidR="00A220C6" w:rsidRPr="00337240">
        <w:rPr>
          <w:rFonts w:ascii="Times New Roman" w:hAnsi="Times New Roman" w:cs="Times New Roman"/>
          <w:lang w:val="pl-PL"/>
        </w:rPr>
        <w:t> 16354/06</w:t>
      </w:r>
      <w:r w:rsidR="00A220C6" w:rsidRPr="00337240">
        <w:rPr>
          <w:rFonts w:ascii="Times New Roman" w:hAnsi="Times New Roman" w:cs="Times New Roman"/>
          <w:snapToGrid w:val="0"/>
          <w:szCs w:val="24"/>
          <w:lang w:val="pl-PL"/>
        </w:rPr>
        <w:t xml:space="preserve">, § 48, </w:t>
      </w:r>
      <w:r w:rsidR="008B3C5D" w:rsidRPr="00337240">
        <w:rPr>
          <w:rFonts w:ascii="Times New Roman" w:hAnsi="Times New Roman" w:cs="Times New Roman"/>
          <w:snapToGrid w:val="0"/>
          <w:lang w:val="pl-PL"/>
        </w:rPr>
        <w:t>ECHR 2012; i</w:t>
      </w:r>
      <w:r w:rsidR="00A220C6" w:rsidRPr="00337240">
        <w:rPr>
          <w:rFonts w:ascii="Times New Roman" w:hAnsi="Times New Roman" w:cs="Times New Roman"/>
          <w:snapToGrid w:val="0"/>
          <w:lang w:val="pl-PL"/>
        </w:rPr>
        <w:t xml:space="preserve"> </w:t>
      </w:r>
      <w:proofErr w:type="spellStart"/>
      <w:r w:rsidR="00A220C6" w:rsidRPr="00337240">
        <w:rPr>
          <w:rFonts w:ascii="Times New Roman" w:hAnsi="Times New Roman" w:cs="Times New Roman"/>
          <w:i/>
          <w:lang w:val="pl-PL"/>
        </w:rPr>
        <w:t>Animal</w:t>
      </w:r>
      <w:proofErr w:type="spellEnd"/>
      <w:r w:rsidR="00A220C6" w:rsidRPr="00337240">
        <w:rPr>
          <w:rFonts w:ascii="Times New Roman" w:hAnsi="Times New Roman" w:cs="Times New Roman"/>
          <w:i/>
          <w:lang w:val="pl-PL"/>
        </w:rPr>
        <w:t xml:space="preserve"> </w:t>
      </w:r>
      <w:proofErr w:type="spellStart"/>
      <w:r w:rsidR="00A220C6" w:rsidRPr="00337240">
        <w:rPr>
          <w:rFonts w:ascii="Times New Roman" w:hAnsi="Times New Roman" w:cs="Times New Roman"/>
          <w:i/>
          <w:lang w:val="pl-PL"/>
        </w:rPr>
        <w:t>Defenders</w:t>
      </w:r>
      <w:proofErr w:type="spellEnd"/>
      <w:r w:rsidR="00A220C6" w:rsidRPr="00337240">
        <w:rPr>
          <w:rFonts w:ascii="Times New Roman" w:hAnsi="Times New Roman" w:cs="Times New Roman"/>
          <w:i/>
          <w:lang w:val="pl-PL"/>
        </w:rPr>
        <w:t xml:space="preserve"> International</w:t>
      </w:r>
      <w:r w:rsidR="008B3C5D"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xml:space="preserve"> </w:t>
      </w:r>
      <w:r w:rsidR="008B3C5D" w:rsidRPr="00337240">
        <w:rPr>
          <w:rFonts w:ascii="Times New Roman" w:hAnsi="Times New Roman" w:cs="Times New Roman"/>
          <w:i/>
          <w:lang w:val="pl-PL"/>
        </w:rPr>
        <w:t>Wielkiej Brytanii</w:t>
      </w:r>
      <w:r w:rsidR="00A220C6" w:rsidRPr="00337240">
        <w:rPr>
          <w:rFonts w:ascii="Times New Roman" w:hAnsi="Times New Roman" w:cs="Times New Roman"/>
          <w:i/>
          <w:lang w:val="pl-PL"/>
        </w:rPr>
        <w:t xml:space="preserve"> </w:t>
      </w:r>
      <w:r w:rsidR="008B3C5D" w:rsidRPr="00337240">
        <w:rPr>
          <w:rFonts w:ascii="Times New Roman" w:hAnsi="Times New Roman" w:cs="Times New Roman"/>
          <w:lang w:val="pl-PL"/>
        </w:rPr>
        <w:t>[GC], nr</w:t>
      </w:r>
      <w:r w:rsidR="00A220C6" w:rsidRPr="00337240">
        <w:rPr>
          <w:rFonts w:ascii="Times New Roman" w:hAnsi="Times New Roman" w:cs="Times New Roman"/>
          <w:lang w:val="pl-PL"/>
        </w:rPr>
        <w:t xml:space="preserve"> 48876/08</w:t>
      </w:r>
      <w:r w:rsidR="00A220C6" w:rsidRPr="00337240">
        <w:rPr>
          <w:rFonts w:ascii="Times New Roman" w:hAnsi="Times New Roman" w:cs="Times New Roman"/>
          <w:snapToGrid w:val="0"/>
          <w:lang w:val="pl-PL"/>
        </w:rPr>
        <w:t xml:space="preserve">, § 100, </w:t>
      </w:r>
      <w:r w:rsidR="00A220C6" w:rsidRPr="00337240">
        <w:rPr>
          <w:rFonts w:ascii="Times New Roman" w:hAnsi="Times New Roman" w:cs="Times New Roman"/>
          <w:lang w:val="pl-PL"/>
        </w:rPr>
        <w:t>ECHR</w:t>
      </w:r>
      <w:r w:rsidR="003476A7" w:rsidRPr="00337240">
        <w:rPr>
          <w:rFonts w:ascii="Times New Roman" w:hAnsi="Times New Roman" w:cs="Times New Roman"/>
          <w:snapToGrid w:val="0"/>
          <w:lang w:val="pl-PL"/>
        </w:rPr>
        <w:t xml:space="preserve"> 2013</w:t>
      </w:r>
      <w:r w:rsidR="00A220C6" w:rsidRPr="00337240">
        <w:rPr>
          <w:rFonts w:ascii="Times New Roman" w:hAnsi="Times New Roman" w:cs="Times New Roman"/>
          <w:snapToGrid w:val="0"/>
          <w:lang w:val="pl-PL"/>
        </w:rPr>
        <w:t>):</w:t>
      </w:r>
    </w:p>
    <w:p w:rsidR="00A220C6" w:rsidRPr="00B45853" w:rsidRDefault="007010C2" w:rsidP="00171A6F">
      <w:pPr>
        <w:pStyle w:val="ECHRParaQuote"/>
        <w:rPr>
          <w:rFonts w:ascii="Times New Roman" w:hAnsi="Times New Roman" w:cs="Times New Roman"/>
          <w:lang w:val="pl-PL"/>
        </w:rPr>
      </w:pPr>
      <w:r w:rsidRPr="00337240">
        <w:rPr>
          <w:rFonts w:ascii="Times New Roman" w:hAnsi="Times New Roman" w:cs="Times New Roman"/>
          <w:lang w:val="pl-PL"/>
        </w:rPr>
        <w:t>“(i)</w:t>
      </w:r>
      <w:r w:rsidR="00A220C6" w:rsidRPr="00337240">
        <w:rPr>
          <w:rFonts w:ascii="Times New Roman" w:hAnsi="Times New Roman" w:cs="Times New Roman"/>
          <w:lang w:val="pl-PL"/>
        </w:rPr>
        <w:t> </w:t>
      </w:r>
      <w:r w:rsidR="008B3C5D" w:rsidRPr="00337240">
        <w:rPr>
          <w:rFonts w:ascii="Times New Roman" w:hAnsi="Times New Roman" w:cs="Times New Roman"/>
          <w:lang w:val="pl-PL"/>
        </w:rPr>
        <w:t>Wolność wypowiedzi stanowi jeden z podstawowych filarów demokratycznego</w:t>
      </w:r>
      <w:r w:rsidR="008B3C5D" w:rsidRPr="00B45853">
        <w:rPr>
          <w:rFonts w:ascii="Times New Roman" w:hAnsi="Times New Roman" w:cs="Times New Roman"/>
          <w:lang w:val="pl-PL"/>
        </w:rPr>
        <w:t xml:space="preserve"> społeczeństwa oraz jeden z podstawowych warunków jego rozwoju</w:t>
      </w:r>
      <w:r w:rsidRPr="00B45853">
        <w:rPr>
          <w:rFonts w:ascii="Times New Roman" w:hAnsi="Times New Roman" w:cs="Times New Roman"/>
          <w:lang w:val="pl-PL"/>
        </w:rPr>
        <w:t>,</w:t>
      </w:r>
      <w:r w:rsidR="008B3C5D" w:rsidRPr="00B45853">
        <w:rPr>
          <w:rFonts w:ascii="Times New Roman" w:hAnsi="Times New Roman" w:cs="Times New Roman"/>
          <w:lang w:val="pl-PL"/>
        </w:rPr>
        <w:t xml:space="preserve"> oraz dla każdej indywidualnej samorealizacji. Z zastrzeżeniem paragrafu 2 Artykułu 10, ma zastosowanie nie tylko do "informacji" czy "idei", które są odbierane przychylnie albo postrzegane jako nieszkodliwe lub obojętne, lecz także do tych, które obrażają, oburzają lub wprowadzają niepokój. Takie są wymagania pluralizmu, tolerancji i otwartości, bez których nie ma "demokratycznego społeczeństwa". Jak podano w Artykule 10, ta wolność jest z zastrzeżeniem wyjątków, które ... muszą jednak być interpretowane w sposób ścisły, a konieczność jakichkolwiek ograniczeń musi być ustalona przekonywująco</w:t>
      </w:r>
      <w:r w:rsidR="00A220C6" w:rsidRPr="00B45853">
        <w:rPr>
          <w:rFonts w:ascii="Times New Roman" w:hAnsi="Times New Roman" w:cs="Times New Roman"/>
          <w:lang w:val="pl-PL"/>
        </w:rPr>
        <w:t>...</w:t>
      </w:r>
    </w:p>
    <w:p w:rsidR="00A220C6" w:rsidRPr="00B45853" w:rsidRDefault="007010C2" w:rsidP="00171A6F">
      <w:pPr>
        <w:pStyle w:val="ECHRParaQuote"/>
        <w:rPr>
          <w:rFonts w:ascii="Times New Roman" w:hAnsi="Times New Roman" w:cs="Times New Roman"/>
          <w:lang w:val="pl-PL"/>
        </w:rPr>
      </w:pPr>
      <w:r w:rsidRPr="00B45853">
        <w:rPr>
          <w:rFonts w:ascii="Times New Roman" w:hAnsi="Times New Roman" w:cs="Times New Roman"/>
          <w:lang w:val="pl-PL"/>
        </w:rPr>
        <w:t>(ii)</w:t>
      </w:r>
      <w:r w:rsidR="00A220C6" w:rsidRPr="00B45853">
        <w:rPr>
          <w:rFonts w:ascii="Times New Roman" w:hAnsi="Times New Roman" w:cs="Times New Roman"/>
          <w:lang w:val="pl-PL"/>
        </w:rPr>
        <w:t> </w:t>
      </w:r>
      <w:r w:rsidR="008B3C5D" w:rsidRPr="00B45853">
        <w:rPr>
          <w:rFonts w:ascii="Times New Roman" w:hAnsi="Times New Roman" w:cs="Times New Roman"/>
          <w:lang w:val="pl-PL"/>
        </w:rPr>
        <w:t>Przymiotnik "niezbędny", w rozumieniu artykułu 10 § 2, zakłada istnienie "pilnej potrzeby społecznej". Układające się Państwa mają pewien margines swobody w ocenie, czy taka potrzeba istnieje, ale to idzie w parze z europejskim nadzorem, obejmując zarówno prawodawstwo</w:t>
      </w:r>
      <w:r w:rsidRPr="00B45853">
        <w:rPr>
          <w:rFonts w:ascii="Times New Roman" w:hAnsi="Times New Roman" w:cs="Times New Roman"/>
          <w:lang w:val="pl-PL"/>
        </w:rPr>
        <w:t xml:space="preserve"> jak</w:t>
      </w:r>
      <w:r w:rsidR="008B3C5D" w:rsidRPr="00B45853">
        <w:rPr>
          <w:rFonts w:ascii="Times New Roman" w:hAnsi="Times New Roman" w:cs="Times New Roman"/>
          <w:lang w:val="pl-PL"/>
        </w:rPr>
        <w:t xml:space="preserve"> i decyzje stosowania, nawet te wydane przez niezależny sąd. Trybunał jest zatem upoważniony do wydania ostatecznego orzeczenia w sprawie, czy "ograniczenie" jest do pogodzenia z wolnością wypowiedzi zagwarantowaną przez Artykuł 10</w:t>
      </w:r>
      <w:r w:rsidR="00A220C6" w:rsidRPr="00B45853">
        <w:rPr>
          <w:rFonts w:ascii="Times New Roman" w:hAnsi="Times New Roman" w:cs="Times New Roman"/>
          <w:lang w:val="pl-PL"/>
        </w:rPr>
        <w:t>.</w:t>
      </w:r>
    </w:p>
    <w:p w:rsidR="00A220C6" w:rsidRPr="00B45853" w:rsidRDefault="007010C2" w:rsidP="00171A6F">
      <w:pPr>
        <w:pStyle w:val="ECHRParaQuote"/>
        <w:rPr>
          <w:rFonts w:ascii="Times New Roman" w:hAnsi="Times New Roman" w:cs="Times New Roman"/>
          <w:lang w:val="pl-PL"/>
        </w:rPr>
      </w:pPr>
      <w:r w:rsidRPr="00B45853">
        <w:rPr>
          <w:rFonts w:ascii="Times New Roman" w:hAnsi="Times New Roman" w:cs="Times New Roman"/>
          <w:lang w:val="pl-PL"/>
        </w:rPr>
        <w:t>(iii)</w:t>
      </w:r>
      <w:r w:rsidR="00A220C6" w:rsidRPr="00B45853">
        <w:rPr>
          <w:rFonts w:ascii="Times New Roman" w:hAnsi="Times New Roman" w:cs="Times New Roman"/>
          <w:lang w:val="pl-PL"/>
        </w:rPr>
        <w:t> </w:t>
      </w:r>
      <w:r w:rsidR="008B3C5D" w:rsidRPr="00B45853">
        <w:rPr>
          <w:rFonts w:ascii="Times New Roman" w:hAnsi="Times New Roman" w:cs="Times New Roman"/>
          <w:lang w:val="pl-PL"/>
        </w:rPr>
        <w:t xml:space="preserve">Zadaniem Trybunału w wykonywaniu kontroli sądowej, </w:t>
      </w:r>
      <w:r w:rsidR="004B353F" w:rsidRPr="00B45853">
        <w:rPr>
          <w:rFonts w:ascii="Times New Roman" w:hAnsi="Times New Roman" w:cs="Times New Roman"/>
          <w:lang w:val="pl-PL"/>
        </w:rPr>
        <w:t>nie jest</w:t>
      </w:r>
      <w:r w:rsidR="008B3C5D" w:rsidRPr="00B45853">
        <w:rPr>
          <w:rFonts w:ascii="Times New Roman" w:hAnsi="Times New Roman" w:cs="Times New Roman"/>
          <w:lang w:val="pl-PL"/>
        </w:rPr>
        <w:t xml:space="preserve"> zastąpi</w:t>
      </w:r>
      <w:r w:rsidR="004B353F" w:rsidRPr="00B45853">
        <w:rPr>
          <w:rFonts w:ascii="Times New Roman" w:hAnsi="Times New Roman" w:cs="Times New Roman"/>
          <w:lang w:val="pl-PL"/>
        </w:rPr>
        <w:t>enie</w:t>
      </w:r>
      <w:r w:rsidR="008B3C5D" w:rsidRPr="00B45853">
        <w:rPr>
          <w:rFonts w:ascii="Times New Roman" w:hAnsi="Times New Roman" w:cs="Times New Roman"/>
          <w:lang w:val="pl-PL"/>
        </w:rPr>
        <w:t xml:space="preserve"> właściwych organów krajowych, ale raczej </w:t>
      </w:r>
      <w:r w:rsidR="004B353F" w:rsidRPr="00B45853">
        <w:rPr>
          <w:rFonts w:ascii="Times New Roman" w:hAnsi="Times New Roman" w:cs="Times New Roman"/>
          <w:lang w:val="pl-PL"/>
        </w:rPr>
        <w:t>rozpatrzenie na podstawie A</w:t>
      </w:r>
      <w:r w:rsidR="008B3C5D" w:rsidRPr="00B45853">
        <w:rPr>
          <w:rFonts w:ascii="Times New Roman" w:hAnsi="Times New Roman" w:cs="Times New Roman"/>
          <w:lang w:val="pl-PL"/>
        </w:rPr>
        <w:t>rtykułu 10 decyzji wydanych na podstawie ich mocy uznania. To nie znaczy, że nadzór ogranicza się do ustalenia, czy pozwane państwo wykonywało jej uznania rozsądnie, ostrożnie i</w:t>
      </w:r>
      <w:r w:rsidR="004B353F" w:rsidRPr="00B45853">
        <w:rPr>
          <w:rFonts w:ascii="Times New Roman" w:hAnsi="Times New Roman" w:cs="Times New Roman"/>
          <w:lang w:val="pl-PL"/>
        </w:rPr>
        <w:t xml:space="preserve"> </w:t>
      </w:r>
      <w:r w:rsidR="008B3C5D" w:rsidRPr="00B45853">
        <w:rPr>
          <w:rFonts w:ascii="Times New Roman" w:hAnsi="Times New Roman" w:cs="Times New Roman"/>
          <w:lang w:val="pl-PL"/>
        </w:rPr>
        <w:t xml:space="preserve">w dobrej wierze; co Sąd musi </w:t>
      </w:r>
      <w:r w:rsidR="004B353F" w:rsidRPr="00B45853">
        <w:rPr>
          <w:rFonts w:ascii="Times New Roman" w:hAnsi="Times New Roman" w:cs="Times New Roman"/>
          <w:lang w:val="pl-PL"/>
        </w:rPr>
        <w:t>zrobić, to patrzeć na ingerencję</w:t>
      </w:r>
      <w:r w:rsidR="008B3C5D" w:rsidRPr="00B45853">
        <w:rPr>
          <w:rFonts w:ascii="Times New Roman" w:hAnsi="Times New Roman" w:cs="Times New Roman"/>
          <w:lang w:val="pl-PL"/>
        </w:rPr>
        <w:t xml:space="preserve"> w świetle całokształtu sprawy i ustalić, czy był</w:t>
      </w:r>
      <w:r w:rsidR="004B353F" w:rsidRPr="00B45853">
        <w:rPr>
          <w:rFonts w:ascii="Times New Roman" w:hAnsi="Times New Roman" w:cs="Times New Roman"/>
          <w:lang w:val="pl-PL"/>
        </w:rPr>
        <w:t>o</w:t>
      </w:r>
      <w:r w:rsidR="008B3C5D" w:rsidRPr="00B45853">
        <w:rPr>
          <w:rFonts w:ascii="Times New Roman" w:hAnsi="Times New Roman" w:cs="Times New Roman"/>
          <w:lang w:val="pl-PL"/>
        </w:rPr>
        <w:t xml:space="preserve"> to "proporcjonalne do uzasadnionego</w:t>
      </w:r>
      <w:r w:rsidR="004B353F" w:rsidRPr="00B45853">
        <w:rPr>
          <w:rFonts w:ascii="Times New Roman" w:hAnsi="Times New Roman" w:cs="Times New Roman"/>
          <w:lang w:val="pl-PL"/>
        </w:rPr>
        <w:t xml:space="preserve"> i</w:t>
      </w:r>
      <w:r w:rsidR="008B3C5D" w:rsidRPr="00B45853">
        <w:rPr>
          <w:rFonts w:ascii="Times New Roman" w:hAnsi="Times New Roman" w:cs="Times New Roman"/>
          <w:lang w:val="pl-PL"/>
        </w:rPr>
        <w:t xml:space="preserve"> zamierzonego celu" oraz</w:t>
      </w:r>
      <w:r w:rsidRPr="00B45853">
        <w:rPr>
          <w:rFonts w:ascii="Times New Roman" w:hAnsi="Times New Roman" w:cs="Times New Roman"/>
          <w:lang w:val="pl-PL"/>
        </w:rPr>
        <w:t>,</w:t>
      </w:r>
      <w:r w:rsidR="008B3C5D" w:rsidRPr="00B45853">
        <w:rPr>
          <w:rFonts w:ascii="Times New Roman" w:hAnsi="Times New Roman" w:cs="Times New Roman"/>
          <w:lang w:val="pl-PL"/>
        </w:rPr>
        <w:t xml:space="preserve"> czy powody przytoczone przez władze krajowe, by uzasadnić, </w:t>
      </w:r>
      <w:r w:rsidR="004B353F" w:rsidRPr="00B45853">
        <w:rPr>
          <w:rFonts w:ascii="Times New Roman" w:hAnsi="Times New Roman" w:cs="Times New Roman"/>
          <w:lang w:val="pl-PL"/>
        </w:rPr>
        <w:t>że są " istotne i wystarczające</w:t>
      </w:r>
      <w:r w:rsidR="008B3C5D" w:rsidRPr="00B45853">
        <w:rPr>
          <w:rFonts w:ascii="Times New Roman" w:hAnsi="Times New Roman" w:cs="Times New Roman"/>
          <w:lang w:val="pl-PL"/>
        </w:rPr>
        <w:t>"... w ten sposób Trybunał musi upewnić się, że władze krajowe zastosowały standardy, które były zg</w:t>
      </w:r>
      <w:r w:rsidR="004B353F" w:rsidRPr="00B45853">
        <w:rPr>
          <w:rFonts w:ascii="Times New Roman" w:hAnsi="Times New Roman" w:cs="Times New Roman"/>
          <w:lang w:val="pl-PL"/>
        </w:rPr>
        <w:t>odne z zasadami zawartymi w Artykule 10, a ponadto, że oparły</w:t>
      </w:r>
      <w:r w:rsidR="008B3C5D" w:rsidRPr="00B45853">
        <w:rPr>
          <w:rFonts w:ascii="Times New Roman" w:hAnsi="Times New Roman" w:cs="Times New Roman"/>
          <w:lang w:val="pl-PL"/>
        </w:rPr>
        <w:t xml:space="preserve"> się na możliwej do przyjęcia ocenie istotnych faktów</w:t>
      </w:r>
      <w:r w:rsidR="00A220C6" w:rsidRPr="00B45853">
        <w:rPr>
          <w:rFonts w:ascii="Times New Roman" w:hAnsi="Times New Roman" w:cs="Times New Roman"/>
          <w:lang w:val="pl-PL"/>
        </w:rPr>
        <w:t xml:space="preserve"> ...”</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132</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4B353F" w:rsidRPr="00B45853">
        <w:rPr>
          <w:rFonts w:ascii="Times New Roman" w:hAnsi="Times New Roman" w:cs="Times New Roman"/>
          <w:lang w:val="pl-PL"/>
        </w:rPr>
        <w:t>Ponadto Trybunał podkreślił istotną funkcję</w:t>
      </w:r>
      <w:r w:rsidR="007010C2" w:rsidRPr="00B45853">
        <w:rPr>
          <w:rFonts w:ascii="Times New Roman" w:hAnsi="Times New Roman" w:cs="Times New Roman"/>
          <w:lang w:val="pl-PL"/>
        </w:rPr>
        <w:t>,</w:t>
      </w:r>
      <w:r w:rsidR="004B353F" w:rsidRPr="00B45853">
        <w:rPr>
          <w:rFonts w:ascii="Times New Roman" w:hAnsi="Times New Roman" w:cs="Times New Roman"/>
          <w:lang w:val="pl-PL"/>
        </w:rPr>
        <w:t xml:space="preserve"> jaką spełnia prasa w społeczeństwie demokratycznym. Chociaż prasa nie może przekraczać pewnych granic, </w:t>
      </w:r>
      <w:r w:rsidR="004B353F" w:rsidRPr="00337240">
        <w:rPr>
          <w:rFonts w:ascii="Times New Roman" w:hAnsi="Times New Roman" w:cs="Times New Roman"/>
          <w:lang w:val="pl-PL"/>
        </w:rPr>
        <w:t xml:space="preserve">zwłaszcza w odniesieniu do reputacji i praw innych osób oraz konieczności zapobieżenia ujawnieniu informacji poufnych, jej obowiązkiem jest jednak </w:t>
      </w:r>
      <w:r w:rsidR="007010C2" w:rsidRPr="00337240">
        <w:rPr>
          <w:rFonts w:ascii="Times New Roman" w:hAnsi="Times New Roman" w:cs="Times New Roman"/>
          <w:lang w:val="pl-PL"/>
        </w:rPr>
        <w:t>nadanie-</w:t>
      </w:r>
      <w:r w:rsidR="004B353F" w:rsidRPr="00337240">
        <w:rPr>
          <w:rFonts w:ascii="Times New Roman" w:hAnsi="Times New Roman" w:cs="Times New Roman"/>
          <w:lang w:val="pl-PL"/>
        </w:rPr>
        <w:t>w sposób zgodny z jej obowiązkami i odpowiedzialności</w:t>
      </w:r>
      <w:r w:rsidR="007010C2" w:rsidRPr="00337240">
        <w:rPr>
          <w:rFonts w:ascii="Times New Roman" w:hAnsi="Times New Roman" w:cs="Times New Roman"/>
          <w:lang w:val="pl-PL"/>
        </w:rPr>
        <w:t>ą-</w:t>
      </w:r>
      <w:r w:rsidR="004B353F" w:rsidRPr="00337240">
        <w:rPr>
          <w:rFonts w:ascii="Times New Roman" w:hAnsi="Times New Roman" w:cs="Times New Roman"/>
          <w:lang w:val="pl-PL"/>
        </w:rPr>
        <w:t xml:space="preserve">informacji i </w:t>
      </w:r>
      <w:r w:rsidR="0091377A" w:rsidRPr="00337240">
        <w:rPr>
          <w:rFonts w:ascii="Times New Roman" w:hAnsi="Times New Roman" w:cs="Times New Roman"/>
          <w:lang w:val="pl-PL"/>
        </w:rPr>
        <w:t>poglądów</w:t>
      </w:r>
      <w:r w:rsidR="004B353F" w:rsidRPr="00337240">
        <w:rPr>
          <w:rFonts w:ascii="Times New Roman" w:hAnsi="Times New Roman" w:cs="Times New Roman"/>
          <w:lang w:val="pl-PL"/>
        </w:rPr>
        <w:t xml:space="preserve"> na wszystkie sprawy związane z interesem publicznym </w:t>
      </w:r>
      <w:r w:rsidR="00A220C6" w:rsidRPr="00337240">
        <w:rPr>
          <w:rFonts w:ascii="Times New Roman" w:hAnsi="Times New Roman" w:cs="Times New Roman"/>
          <w:lang w:val="pl-PL"/>
        </w:rPr>
        <w:t>(</w:t>
      </w:r>
      <w:r w:rsidR="004B353F" w:rsidRPr="00337240">
        <w:rPr>
          <w:rFonts w:ascii="Times New Roman" w:hAnsi="Times New Roman" w:cs="Times New Roman"/>
          <w:lang w:val="pl-PL"/>
        </w:rPr>
        <w:t>zobacz</w:t>
      </w:r>
      <w:r w:rsidR="00A220C6" w:rsidRPr="00337240">
        <w:rPr>
          <w:rFonts w:ascii="Times New Roman" w:hAnsi="Times New Roman" w:cs="Times New Roman"/>
          <w:lang w:val="pl-PL"/>
        </w:rPr>
        <w:t xml:space="preserve"> </w:t>
      </w:r>
      <w:proofErr w:type="spellStart"/>
      <w:r w:rsidR="004B353F" w:rsidRPr="00337240">
        <w:rPr>
          <w:rFonts w:ascii="Times New Roman" w:hAnsi="Times New Roman" w:cs="Times New Roman"/>
          <w:i/>
          <w:lang w:val="pl-PL"/>
        </w:rPr>
        <w:t>Jersild</w:t>
      </w:r>
      <w:proofErr w:type="spellEnd"/>
      <w:r w:rsidR="004B353F"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xml:space="preserve"> D</w:t>
      </w:r>
      <w:r w:rsidR="004B353F" w:rsidRPr="00337240">
        <w:rPr>
          <w:rFonts w:ascii="Times New Roman" w:hAnsi="Times New Roman" w:cs="Times New Roman"/>
          <w:i/>
          <w:lang w:val="pl-PL"/>
        </w:rPr>
        <w:t>anii</w:t>
      </w:r>
      <w:r w:rsidR="00A220C6" w:rsidRPr="00337240">
        <w:rPr>
          <w:rFonts w:ascii="Times New Roman" w:hAnsi="Times New Roman" w:cs="Times New Roman"/>
          <w:lang w:val="pl-PL"/>
        </w:rPr>
        <w:t xml:space="preserve">, 23 </w:t>
      </w:r>
      <w:r w:rsidR="004B353F" w:rsidRPr="00337240">
        <w:rPr>
          <w:rFonts w:ascii="Times New Roman" w:hAnsi="Times New Roman" w:cs="Times New Roman"/>
          <w:lang w:val="pl-PL"/>
        </w:rPr>
        <w:t>Września</w:t>
      </w:r>
      <w:r w:rsidR="00A220C6" w:rsidRPr="00337240">
        <w:rPr>
          <w:rFonts w:ascii="Times New Roman" w:hAnsi="Times New Roman" w:cs="Times New Roman"/>
          <w:lang w:val="pl-PL"/>
        </w:rPr>
        <w:t xml:space="preserve"> 1994</w:t>
      </w:r>
      <w:r w:rsidR="004B353F" w:rsidRPr="00337240">
        <w:rPr>
          <w:rFonts w:ascii="Times New Roman" w:hAnsi="Times New Roman" w:cs="Times New Roman"/>
          <w:lang w:val="pl-PL"/>
        </w:rPr>
        <w:t xml:space="preserve"> roku, § 31, Seria A nr</w:t>
      </w:r>
      <w:r w:rsidR="00A220C6" w:rsidRPr="00337240">
        <w:rPr>
          <w:rFonts w:ascii="Times New Roman" w:hAnsi="Times New Roman" w:cs="Times New Roman"/>
          <w:lang w:val="pl-PL"/>
        </w:rPr>
        <w:t xml:space="preserve"> 298; </w:t>
      </w:r>
      <w:r w:rsidR="004B353F" w:rsidRPr="00337240">
        <w:rPr>
          <w:rFonts w:ascii="Times New Roman" w:hAnsi="Times New Roman" w:cs="Times New Roman"/>
          <w:i/>
          <w:lang w:val="pl-PL"/>
        </w:rPr>
        <w:t xml:space="preserve">De </w:t>
      </w:r>
      <w:proofErr w:type="spellStart"/>
      <w:r w:rsidR="004B353F" w:rsidRPr="00337240">
        <w:rPr>
          <w:rFonts w:ascii="Times New Roman" w:hAnsi="Times New Roman" w:cs="Times New Roman"/>
          <w:i/>
          <w:lang w:val="pl-PL"/>
        </w:rPr>
        <w:t>Haes</w:t>
      </w:r>
      <w:proofErr w:type="spellEnd"/>
      <w:r w:rsidR="004B353F" w:rsidRPr="00337240">
        <w:rPr>
          <w:rFonts w:ascii="Times New Roman" w:hAnsi="Times New Roman" w:cs="Times New Roman"/>
          <w:i/>
          <w:lang w:val="pl-PL"/>
        </w:rPr>
        <w:t xml:space="preserve"> i </w:t>
      </w:r>
      <w:proofErr w:type="spellStart"/>
      <w:r w:rsidR="004B353F" w:rsidRPr="00337240">
        <w:rPr>
          <w:rFonts w:ascii="Times New Roman" w:hAnsi="Times New Roman" w:cs="Times New Roman"/>
          <w:i/>
          <w:lang w:val="pl-PL"/>
        </w:rPr>
        <w:t>Gijsels</w:t>
      </w:r>
      <w:proofErr w:type="spellEnd"/>
      <w:r w:rsidR="004B353F"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Belgi</w:t>
      </w:r>
      <w:r w:rsidR="004B353F" w:rsidRPr="00337240">
        <w:rPr>
          <w:rFonts w:ascii="Times New Roman" w:hAnsi="Times New Roman" w:cs="Times New Roman"/>
          <w:i/>
          <w:lang w:val="pl-PL"/>
        </w:rPr>
        <w:t>i</w:t>
      </w:r>
      <w:r w:rsidR="00A220C6" w:rsidRPr="00337240">
        <w:rPr>
          <w:rFonts w:ascii="Times New Roman" w:hAnsi="Times New Roman" w:cs="Times New Roman"/>
          <w:lang w:val="pl-PL"/>
        </w:rPr>
        <w:t xml:space="preserve">, 24 </w:t>
      </w:r>
      <w:r w:rsidR="004B353F" w:rsidRPr="00337240">
        <w:rPr>
          <w:rFonts w:ascii="Times New Roman" w:hAnsi="Times New Roman" w:cs="Times New Roman"/>
          <w:lang w:val="pl-PL"/>
        </w:rPr>
        <w:t>Lutego</w:t>
      </w:r>
      <w:r w:rsidR="00A220C6" w:rsidRPr="00337240">
        <w:rPr>
          <w:rFonts w:ascii="Times New Roman" w:hAnsi="Times New Roman" w:cs="Times New Roman"/>
          <w:lang w:val="pl-PL"/>
        </w:rPr>
        <w:t xml:space="preserve"> 1997</w:t>
      </w:r>
      <w:r w:rsidR="004B353F" w:rsidRPr="00337240">
        <w:rPr>
          <w:rFonts w:ascii="Times New Roman" w:hAnsi="Times New Roman" w:cs="Times New Roman"/>
          <w:lang w:val="pl-PL"/>
        </w:rPr>
        <w:t xml:space="preserve"> roku</w:t>
      </w:r>
      <w:r w:rsidR="00A220C6" w:rsidRPr="00337240">
        <w:rPr>
          <w:rFonts w:ascii="Times New Roman" w:hAnsi="Times New Roman" w:cs="Times New Roman"/>
          <w:lang w:val="pl-PL"/>
        </w:rPr>
        <w:t xml:space="preserve">, § 37, </w:t>
      </w:r>
      <w:r w:rsidR="00A220C6" w:rsidRPr="00337240">
        <w:rPr>
          <w:rFonts w:ascii="Times New Roman" w:hAnsi="Times New Roman" w:cs="Times New Roman"/>
          <w:i/>
          <w:lang w:val="pl-PL"/>
        </w:rPr>
        <w:t>R</w:t>
      </w:r>
      <w:r w:rsidR="004B353F" w:rsidRPr="00337240">
        <w:rPr>
          <w:rFonts w:ascii="Times New Roman" w:hAnsi="Times New Roman" w:cs="Times New Roman"/>
          <w:i/>
          <w:lang w:val="pl-PL"/>
        </w:rPr>
        <w:t>aporty</w:t>
      </w:r>
      <w:r w:rsidR="00A220C6" w:rsidRPr="00337240">
        <w:rPr>
          <w:rFonts w:ascii="Times New Roman" w:hAnsi="Times New Roman" w:cs="Times New Roman"/>
          <w:i/>
          <w:lang w:val="pl-PL"/>
        </w:rPr>
        <w:t xml:space="preserve"> </w:t>
      </w:r>
      <w:r w:rsidR="004B353F" w:rsidRPr="00337240">
        <w:rPr>
          <w:rFonts w:ascii="Times New Roman" w:hAnsi="Times New Roman" w:cs="Times New Roman"/>
          <w:lang w:val="pl-PL"/>
        </w:rPr>
        <w:t>1997</w:t>
      </w:r>
      <w:r w:rsidR="004B353F" w:rsidRPr="00337240">
        <w:rPr>
          <w:rFonts w:ascii="Times New Roman" w:hAnsi="Times New Roman" w:cs="Times New Roman"/>
          <w:lang w:val="pl-PL"/>
        </w:rPr>
        <w:noBreakHyphen/>
        <w:t>I; i</w:t>
      </w:r>
      <w:r w:rsidR="00A220C6" w:rsidRPr="00337240">
        <w:rPr>
          <w:rFonts w:ascii="Times New Roman" w:hAnsi="Times New Roman" w:cs="Times New Roman"/>
          <w:lang w:val="pl-PL"/>
        </w:rPr>
        <w:t xml:space="preserve"> </w:t>
      </w:r>
      <w:proofErr w:type="spellStart"/>
      <w:r w:rsidR="00A220C6" w:rsidRPr="00631F4D">
        <w:rPr>
          <w:rFonts w:ascii="Times New Roman" w:hAnsi="Times New Roman" w:cs="Times New Roman"/>
          <w:i/>
          <w:lang w:val="pl-PL"/>
        </w:rPr>
        <w:t>Bladet</w:t>
      </w:r>
      <w:proofErr w:type="spellEnd"/>
      <w:r w:rsidR="00A220C6" w:rsidRPr="00631F4D">
        <w:rPr>
          <w:rFonts w:ascii="Times New Roman" w:hAnsi="Times New Roman" w:cs="Times New Roman"/>
          <w:i/>
          <w:lang w:val="pl-PL"/>
        </w:rPr>
        <w:t xml:space="preserve"> </w:t>
      </w:r>
      <w:proofErr w:type="spellStart"/>
      <w:r w:rsidR="00A220C6" w:rsidRPr="00631F4D">
        <w:rPr>
          <w:rFonts w:ascii="Times New Roman" w:hAnsi="Times New Roman" w:cs="Times New Roman"/>
          <w:i/>
          <w:lang w:val="pl-PL"/>
        </w:rPr>
        <w:t>Tromsø</w:t>
      </w:r>
      <w:proofErr w:type="spellEnd"/>
      <w:r w:rsidR="004B353F" w:rsidRPr="00337240">
        <w:rPr>
          <w:rFonts w:ascii="Times New Roman" w:hAnsi="Times New Roman" w:cs="Times New Roman"/>
          <w:i/>
          <w:lang w:val="pl-PL"/>
        </w:rPr>
        <w:t xml:space="preserve"> i </w:t>
      </w:r>
      <w:proofErr w:type="spellStart"/>
      <w:r w:rsidR="004B353F" w:rsidRPr="00337240">
        <w:rPr>
          <w:rFonts w:ascii="Times New Roman" w:hAnsi="Times New Roman" w:cs="Times New Roman"/>
          <w:i/>
          <w:lang w:val="pl-PL"/>
        </w:rPr>
        <w:t>Stensaas</w:t>
      </w:r>
      <w:proofErr w:type="spellEnd"/>
      <w:r w:rsidR="004B353F" w:rsidRPr="00337240">
        <w:rPr>
          <w:rFonts w:ascii="Times New Roman" w:hAnsi="Times New Roman" w:cs="Times New Roman"/>
          <w:i/>
          <w:lang w:val="pl-PL"/>
        </w:rPr>
        <w:t xml:space="preserve"> przeciwko</w:t>
      </w:r>
      <w:r w:rsidR="00A220C6" w:rsidRPr="00337240">
        <w:rPr>
          <w:rFonts w:ascii="Times New Roman" w:hAnsi="Times New Roman" w:cs="Times New Roman"/>
          <w:i/>
          <w:lang w:val="pl-PL"/>
        </w:rPr>
        <w:t> Norw</w:t>
      </w:r>
      <w:r w:rsidR="004B353F" w:rsidRPr="00337240">
        <w:rPr>
          <w:rFonts w:ascii="Times New Roman" w:hAnsi="Times New Roman" w:cs="Times New Roman"/>
          <w:i/>
          <w:lang w:val="pl-PL"/>
        </w:rPr>
        <w:t>egii</w:t>
      </w:r>
      <w:r w:rsidR="00A220C6" w:rsidRPr="00337240">
        <w:rPr>
          <w:rFonts w:ascii="Times New Roman" w:hAnsi="Times New Roman" w:cs="Times New Roman"/>
          <w:i/>
          <w:lang w:val="pl-PL"/>
        </w:rPr>
        <w:t xml:space="preserve"> </w:t>
      </w:r>
      <w:r w:rsidR="004B353F" w:rsidRPr="00337240">
        <w:rPr>
          <w:rFonts w:ascii="Times New Roman" w:hAnsi="Times New Roman" w:cs="Times New Roman"/>
          <w:lang w:val="pl-PL"/>
        </w:rPr>
        <w:t>[GC], nr</w:t>
      </w:r>
      <w:r w:rsidR="00A220C6" w:rsidRPr="00337240">
        <w:rPr>
          <w:rFonts w:ascii="Times New Roman" w:hAnsi="Times New Roman" w:cs="Times New Roman"/>
          <w:lang w:val="pl-PL"/>
        </w:rPr>
        <w:t> 21980/93, § 58, ECHR 1999</w:t>
      </w:r>
      <w:r w:rsidR="00A220C6" w:rsidRPr="00337240">
        <w:rPr>
          <w:rFonts w:ascii="Times New Roman" w:hAnsi="Times New Roman" w:cs="Times New Roman"/>
          <w:lang w:val="pl-PL"/>
        </w:rPr>
        <w:noBreakHyphen/>
        <w:t xml:space="preserve">III). </w:t>
      </w:r>
      <w:r w:rsidR="004B353F" w:rsidRPr="00337240">
        <w:rPr>
          <w:rFonts w:ascii="Times New Roman" w:hAnsi="Times New Roman" w:cs="Times New Roman"/>
          <w:lang w:val="pl-PL"/>
        </w:rPr>
        <w:t>Wolność dziennikarska obejmuje także możliwość uciekania się do pewnej przesady, a nawet prowokacji (zobacz</w:t>
      </w:r>
      <w:r w:rsidR="00A220C6" w:rsidRPr="00337240">
        <w:rPr>
          <w:rFonts w:ascii="Times New Roman" w:hAnsi="Times New Roman" w:cs="Times New Roman"/>
          <w:lang w:val="pl-PL"/>
        </w:rPr>
        <w:t xml:space="preserve"> </w:t>
      </w:r>
      <w:proofErr w:type="spellStart"/>
      <w:r w:rsidR="004B353F" w:rsidRPr="00337240">
        <w:rPr>
          <w:rFonts w:ascii="Times New Roman" w:hAnsi="Times New Roman" w:cs="Times New Roman"/>
          <w:i/>
          <w:lang w:val="pl-PL"/>
        </w:rPr>
        <w:t>Prager</w:t>
      </w:r>
      <w:proofErr w:type="spellEnd"/>
      <w:r w:rsidR="004B353F" w:rsidRPr="00337240">
        <w:rPr>
          <w:rFonts w:ascii="Times New Roman" w:hAnsi="Times New Roman" w:cs="Times New Roman"/>
          <w:i/>
          <w:lang w:val="pl-PL"/>
        </w:rPr>
        <w:t xml:space="preserve"> i </w:t>
      </w:r>
      <w:proofErr w:type="spellStart"/>
      <w:r w:rsidR="004B353F" w:rsidRPr="00337240">
        <w:rPr>
          <w:rFonts w:ascii="Times New Roman" w:hAnsi="Times New Roman" w:cs="Times New Roman"/>
          <w:i/>
          <w:lang w:val="pl-PL"/>
        </w:rPr>
        <w:t>Oberschlick</w:t>
      </w:r>
      <w:proofErr w:type="spellEnd"/>
      <w:r w:rsidR="004B35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Austri</w:t>
      </w:r>
      <w:r w:rsidR="004B353F" w:rsidRPr="00B45853">
        <w:rPr>
          <w:rFonts w:ascii="Times New Roman" w:hAnsi="Times New Roman" w:cs="Times New Roman"/>
          <w:i/>
          <w:lang w:val="pl-PL"/>
        </w:rPr>
        <w:t>i</w:t>
      </w:r>
      <w:r w:rsidR="00A220C6" w:rsidRPr="00B45853">
        <w:rPr>
          <w:rFonts w:ascii="Times New Roman" w:hAnsi="Times New Roman" w:cs="Times New Roman"/>
          <w:lang w:val="pl-PL"/>
        </w:rPr>
        <w:t xml:space="preserve">, 26 </w:t>
      </w:r>
      <w:r w:rsidR="004B353F" w:rsidRPr="00B45853">
        <w:rPr>
          <w:rFonts w:ascii="Times New Roman" w:hAnsi="Times New Roman" w:cs="Times New Roman"/>
          <w:lang w:val="pl-PL"/>
        </w:rPr>
        <w:t xml:space="preserve">Kwietnia </w:t>
      </w:r>
      <w:r w:rsidR="00A220C6" w:rsidRPr="00B45853">
        <w:rPr>
          <w:rFonts w:ascii="Times New Roman" w:hAnsi="Times New Roman" w:cs="Times New Roman"/>
          <w:lang w:val="pl-PL"/>
        </w:rPr>
        <w:t>1995</w:t>
      </w:r>
      <w:r w:rsidR="004B353F" w:rsidRPr="00B45853">
        <w:rPr>
          <w:rFonts w:ascii="Times New Roman" w:hAnsi="Times New Roman" w:cs="Times New Roman"/>
          <w:lang w:val="pl-PL"/>
        </w:rPr>
        <w:t xml:space="preserve"> roku</w:t>
      </w:r>
      <w:r w:rsidR="00A220C6" w:rsidRPr="00B45853">
        <w:rPr>
          <w:rFonts w:ascii="Times New Roman" w:hAnsi="Times New Roman" w:cs="Times New Roman"/>
          <w:lang w:val="pl-PL"/>
        </w:rPr>
        <w:t>, § 38, Seri</w:t>
      </w:r>
      <w:r w:rsidR="004B353F" w:rsidRPr="00B45853">
        <w:rPr>
          <w:rFonts w:ascii="Times New Roman" w:hAnsi="Times New Roman" w:cs="Times New Roman"/>
          <w:lang w:val="pl-PL"/>
        </w:rPr>
        <w:t>a A nr 313, i</w:t>
      </w:r>
      <w:r w:rsidR="00A220C6" w:rsidRPr="00B45853">
        <w:rPr>
          <w:rFonts w:ascii="Times New Roman" w:hAnsi="Times New Roman" w:cs="Times New Roman"/>
          <w:lang w:val="pl-PL"/>
        </w:rPr>
        <w:t xml:space="preserve"> </w:t>
      </w:r>
      <w:proofErr w:type="spellStart"/>
      <w:r w:rsidR="00A220C6" w:rsidRPr="00631F4D">
        <w:rPr>
          <w:rFonts w:ascii="Times New Roman" w:hAnsi="Times New Roman" w:cs="Times New Roman"/>
          <w:i/>
          <w:lang w:val="pl-PL"/>
        </w:rPr>
        <w:t>Bladet</w:t>
      </w:r>
      <w:proofErr w:type="spellEnd"/>
      <w:r w:rsidR="00A220C6" w:rsidRPr="00631F4D">
        <w:rPr>
          <w:rFonts w:ascii="Times New Roman" w:hAnsi="Times New Roman" w:cs="Times New Roman"/>
          <w:i/>
          <w:lang w:val="pl-PL"/>
        </w:rPr>
        <w:t xml:space="preserve"> </w:t>
      </w:r>
      <w:proofErr w:type="spellStart"/>
      <w:r w:rsidR="00A220C6" w:rsidRPr="00631F4D">
        <w:rPr>
          <w:rFonts w:ascii="Times New Roman" w:hAnsi="Times New Roman" w:cs="Times New Roman"/>
          <w:i/>
          <w:lang w:val="pl-PL"/>
        </w:rPr>
        <w:t>Tromsø</w:t>
      </w:r>
      <w:proofErr w:type="spellEnd"/>
      <w:r w:rsidR="00A220C6" w:rsidRPr="00631F4D">
        <w:rPr>
          <w:rFonts w:ascii="Times New Roman" w:hAnsi="Times New Roman" w:cs="Times New Roman"/>
          <w:i/>
          <w:lang w:val="pl-PL"/>
        </w:rPr>
        <w:t xml:space="preserve"> </w:t>
      </w:r>
      <w:r w:rsidR="004B353F" w:rsidRPr="00631F4D">
        <w:rPr>
          <w:rFonts w:ascii="Times New Roman" w:hAnsi="Times New Roman" w:cs="Times New Roman"/>
          <w:i/>
          <w:lang w:val="pl-PL"/>
        </w:rPr>
        <w:t>i</w:t>
      </w:r>
      <w:r w:rsidR="00A220C6" w:rsidRPr="00631F4D">
        <w:rPr>
          <w:rFonts w:ascii="Times New Roman" w:hAnsi="Times New Roman" w:cs="Times New Roman"/>
          <w:i/>
          <w:lang w:val="pl-PL"/>
        </w:rPr>
        <w:t xml:space="preserve"> </w:t>
      </w:r>
      <w:proofErr w:type="spellStart"/>
      <w:r w:rsidR="00A220C6" w:rsidRPr="00631F4D">
        <w:rPr>
          <w:rFonts w:ascii="Times New Roman" w:hAnsi="Times New Roman" w:cs="Times New Roman"/>
          <w:i/>
          <w:lang w:val="pl-PL"/>
        </w:rPr>
        <w:t>Stensaas</w:t>
      </w:r>
      <w:proofErr w:type="spellEnd"/>
      <w:r w:rsidR="00A220C6" w:rsidRPr="00B45853">
        <w:rPr>
          <w:rFonts w:ascii="Times New Roman" w:hAnsi="Times New Roman" w:cs="Times New Roman"/>
          <w:lang w:val="pl-PL"/>
        </w:rPr>
        <w:t xml:space="preserve">, </w:t>
      </w:r>
      <w:r w:rsidR="004B353F"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 59). </w:t>
      </w:r>
      <w:r w:rsidR="004B353F" w:rsidRPr="00B45853">
        <w:rPr>
          <w:rFonts w:ascii="Times New Roman" w:hAnsi="Times New Roman" w:cs="Times New Roman"/>
          <w:lang w:val="pl-PL"/>
        </w:rPr>
        <w:t xml:space="preserve">Granice dopuszczalnej krytyki są węższe w stosunku do prywatnego obywatela niż w stosunku do polityków i rządów </w:t>
      </w:r>
      <w:r w:rsidR="00A220C6" w:rsidRPr="00B45853">
        <w:rPr>
          <w:rFonts w:ascii="Times New Roman" w:hAnsi="Times New Roman" w:cs="Times New Roman"/>
          <w:lang w:val="pl-PL"/>
        </w:rPr>
        <w:t>(</w:t>
      </w:r>
      <w:r w:rsidR="004B353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r w:rsidR="004B353F" w:rsidRPr="00B45853">
        <w:rPr>
          <w:rFonts w:ascii="Times New Roman" w:hAnsi="Times New Roman" w:cs="Times New Roman"/>
          <w:lang w:val="pl-PL"/>
        </w:rPr>
        <w:t>na przykład</w:t>
      </w:r>
      <w:r w:rsidR="00A220C6" w:rsidRPr="00B45853">
        <w:rPr>
          <w:rFonts w:ascii="Times New Roman" w:hAnsi="Times New Roman" w:cs="Times New Roman"/>
          <w:lang w:val="pl-PL"/>
        </w:rPr>
        <w:t xml:space="preserve">, </w:t>
      </w:r>
      <w:proofErr w:type="spellStart"/>
      <w:r w:rsidR="004B353F" w:rsidRPr="00B45853">
        <w:rPr>
          <w:rFonts w:ascii="Times New Roman" w:hAnsi="Times New Roman" w:cs="Times New Roman"/>
          <w:i/>
          <w:lang w:val="pl-PL"/>
        </w:rPr>
        <w:t>Castells</w:t>
      </w:r>
      <w:proofErr w:type="spellEnd"/>
      <w:r w:rsidR="004B35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w:t>
      </w:r>
      <w:r w:rsidR="004B353F" w:rsidRPr="00B45853">
        <w:rPr>
          <w:rFonts w:ascii="Times New Roman" w:hAnsi="Times New Roman" w:cs="Times New Roman"/>
          <w:i/>
          <w:lang w:val="pl-PL"/>
        </w:rPr>
        <w:t>Hiszpanii</w:t>
      </w:r>
      <w:r w:rsidR="00A220C6" w:rsidRPr="00B45853">
        <w:rPr>
          <w:rFonts w:ascii="Times New Roman" w:hAnsi="Times New Roman" w:cs="Times New Roman"/>
          <w:lang w:val="pl-PL"/>
        </w:rPr>
        <w:t xml:space="preserve">, 23 </w:t>
      </w:r>
      <w:r w:rsidR="004B353F" w:rsidRPr="00B45853">
        <w:rPr>
          <w:rFonts w:ascii="Times New Roman" w:hAnsi="Times New Roman" w:cs="Times New Roman"/>
          <w:lang w:val="pl-PL"/>
        </w:rPr>
        <w:t>Kwietnia</w:t>
      </w:r>
      <w:r w:rsidR="00A220C6" w:rsidRPr="00B45853">
        <w:rPr>
          <w:rFonts w:ascii="Times New Roman" w:hAnsi="Times New Roman" w:cs="Times New Roman"/>
          <w:lang w:val="pl-PL"/>
        </w:rPr>
        <w:t xml:space="preserve"> 1992</w:t>
      </w:r>
      <w:r w:rsidR="004B353F" w:rsidRPr="00B45853">
        <w:rPr>
          <w:rFonts w:ascii="Times New Roman" w:hAnsi="Times New Roman" w:cs="Times New Roman"/>
          <w:lang w:val="pl-PL"/>
        </w:rPr>
        <w:t xml:space="preserve"> roku, § 46, Seria A na</w:t>
      </w:r>
      <w:r w:rsidR="00A220C6" w:rsidRPr="00B45853">
        <w:rPr>
          <w:rFonts w:ascii="Times New Roman" w:hAnsi="Times New Roman" w:cs="Times New Roman"/>
          <w:lang w:val="pl-PL"/>
        </w:rPr>
        <w:t xml:space="preserve"> 236; </w:t>
      </w:r>
      <w:proofErr w:type="spellStart"/>
      <w:r w:rsidR="004B353F" w:rsidRPr="00B45853">
        <w:rPr>
          <w:rFonts w:ascii="Times New Roman" w:hAnsi="Times New Roman" w:cs="Times New Roman"/>
          <w:i/>
          <w:lang w:val="pl-PL"/>
        </w:rPr>
        <w:t>Incal</w:t>
      </w:r>
      <w:proofErr w:type="spellEnd"/>
      <w:r w:rsidR="004B35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Tur</w:t>
      </w:r>
      <w:r w:rsidR="004B353F" w:rsidRPr="00B45853">
        <w:rPr>
          <w:rFonts w:ascii="Times New Roman" w:hAnsi="Times New Roman" w:cs="Times New Roman"/>
          <w:i/>
          <w:lang w:val="pl-PL"/>
        </w:rPr>
        <w:t>cji</w:t>
      </w:r>
      <w:r w:rsidR="00A220C6" w:rsidRPr="00B45853">
        <w:rPr>
          <w:rFonts w:ascii="Times New Roman" w:hAnsi="Times New Roman" w:cs="Times New Roman"/>
          <w:lang w:val="pl-PL"/>
        </w:rPr>
        <w:t xml:space="preserve">, 9 </w:t>
      </w:r>
      <w:r w:rsidR="004B353F" w:rsidRPr="00B45853">
        <w:rPr>
          <w:rFonts w:ascii="Times New Roman" w:hAnsi="Times New Roman" w:cs="Times New Roman"/>
          <w:lang w:val="pl-PL"/>
        </w:rPr>
        <w:t>Czerwca</w:t>
      </w:r>
      <w:r w:rsidR="00A220C6" w:rsidRPr="00B45853">
        <w:rPr>
          <w:rFonts w:ascii="Times New Roman" w:hAnsi="Times New Roman" w:cs="Times New Roman"/>
          <w:lang w:val="pl-PL"/>
        </w:rPr>
        <w:t xml:space="preserve"> 1998, § 54, </w:t>
      </w:r>
      <w:r w:rsidR="004B353F" w:rsidRPr="00B45853">
        <w:rPr>
          <w:rFonts w:ascii="Times New Roman" w:hAnsi="Times New Roman" w:cs="Times New Roman"/>
          <w:i/>
          <w:lang w:val="pl-PL"/>
        </w:rPr>
        <w:lastRenderedPageBreak/>
        <w:t>Raporty</w:t>
      </w:r>
      <w:r w:rsidR="00A220C6" w:rsidRPr="00B45853">
        <w:rPr>
          <w:rFonts w:ascii="Times New Roman" w:hAnsi="Times New Roman" w:cs="Times New Roman"/>
          <w:i/>
          <w:lang w:val="pl-PL"/>
        </w:rPr>
        <w:t xml:space="preserve"> </w:t>
      </w:r>
      <w:r w:rsidR="00A220C6" w:rsidRPr="00B45853">
        <w:rPr>
          <w:rFonts w:ascii="Times New Roman" w:hAnsi="Times New Roman" w:cs="Times New Roman"/>
          <w:lang w:val="pl-PL"/>
        </w:rPr>
        <w:t>1998</w:t>
      </w:r>
      <w:r w:rsidR="00A220C6" w:rsidRPr="00B45853">
        <w:rPr>
          <w:rFonts w:ascii="Times New Roman" w:hAnsi="Times New Roman" w:cs="Times New Roman"/>
          <w:lang w:val="pl-PL"/>
        </w:rPr>
        <w:noBreakHyphen/>
        <w:t xml:space="preserve">IV; </w:t>
      </w:r>
      <w:proofErr w:type="spellStart"/>
      <w:r w:rsidR="004B353F" w:rsidRPr="00B45853">
        <w:rPr>
          <w:rFonts w:ascii="Times New Roman" w:hAnsi="Times New Roman" w:cs="Times New Roman"/>
          <w:i/>
          <w:lang w:val="pl-PL"/>
        </w:rPr>
        <w:t>Tammer</w:t>
      </w:r>
      <w:proofErr w:type="spellEnd"/>
      <w:r w:rsidR="004B35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Estoni</w:t>
      </w:r>
      <w:r w:rsidR="004B353F" w:rsidRPr="00B45853">
        <w:rPr>
          <w:rFonts w:ascii="Times New Roman" w:hAnsi="Times New Roman" w:cs="Times New Roman"/>
          <w:i/>
          <w:lang w:val="pl-PL"/>
        </w:rPr>
        <w:t>i</w:t>
      </w:r>
      <w:r w:rsidR="004B353F" w:rsidRPr="00B45853">
        <w:rPr>
          <w:rFonts w:ascii="Times New Roman" w:hAnsi="Times New Roman" w:cs="Times New Roman"/>
          <w:lang w:val="pl-PL"/>
        </w:rPr>
        <w:t>, nr</w:t>
      </w:r>
      <w:r w:rsidR="002837DA" w:rsidRPr="00B45853">
        <w:rPr>
          <w:rFonts w:ascii="Times New Roman" w:hAnsi="Times New Roman" w:cs="Times New Roman"/>
          <w:lang w:val="pl-PL"/>
        </w:rPr>
        <w:t> </w:t>
      </w:r>
      <w:r w:rsidR="00A220C6" w:rsidRPr="00B45853">
        <w:rPr>
          <w:rFonts w:ascii="Times New Roman" w:hAnsi="Times New Roman" w:cs="Times New Roman"/>
          <w:lang w:val="pl-PL"/>
        </w:rPr>
        <w:t>41205/98, § 62, ECHR 2001</w:t>
      </w:r>
      <w:r w:rsidR="00A220C6" w:rsidRPr="00B45853">
        <w:rPr>
          <w:rFonts w:ascii="Times New Roman" w:hAnsi="Times New Roman" w:cs="Times New Roman"/>
          <w:lang w:val="pl-PL"/>
        </w:rPr>
        <w:noBreakHyphen/>
        <w:t>I).</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4B353F" w:rsidRPr="00B45853">
        <w:rPr>
          <w:rFonts w:ascii="Times New Roman" w:hAnsi="Times New Roman" w:cs="Times New Roman"/>
          <w:lang w:val="pl-PL"/>
        </w:rPr>
        <w:t xml:space="preserve">Ponadto Trybunał orzekł już, że </w:t>
      </w:r>
      <w:r w:rsidR="005E12E0" w:rsidRPr="00B45853">
        <w:rPr>
          <w:rFonts w:ascii="Times New Roman" w:hAnsi="Times New Roman" w:cs="Times New Roman"/>
          <w:lang w:val="pl-PL"/>
        </w:rPr>
        <w:t>Internet</w:t>
      </w:r>
      <w:r w:rsidR="005E12E0">
        <w:rPr>
          <w:rFonts w:ascii="Times New Roman" w:hAnsi="Times New Roman" w:cs="Times New Roman"/>
          <w:lang w:val="pl-PL"/>
        </w:rPr>
        <w:t>,</w:t>
      </w:r>
      <w:r w:rsidR="005E12E0" w:rsidRPr="00B45853">
        <w:rPr>
          <w:rFonts w:ascii="Times New Roman" w:hAnsi="Times New Roman" w:cs="Times New Roman"/>
          <w:lang w:val="pl-PL"/>
        </w:rPr>
        <w:t xml:space="preserve"> </w:t>
      </w:r>
      <w:r w:rsidR="004B353F" w:rsidRPr="00B45853">
        <w:rPr>
          <w:rFonts w:ascii="Times New Roman" w:hAnsi="Times New Roman" w:cs="Times New Roman"/>
          <w:lang w:val="pl-PL"/>
        </w:rPr>
        <w:t xml:space="preserve">w świetle jego dostępności oraz jego zdolności do przechowywania i przekazywania dużej ilości informacji, odgrywa ważną rolę w zwiększaniu publicznego dostępu do wiadomości i ogólnie ułatwia rozpowszechnianie informacji </w:t>
      </w:r>
      <w:r w:rsidR="00A220C6" w:rsidRPr="00B45853">
        <w:rPr>
          <w:rFonts w:ascii="Times New Roman" w:hAnsi="Times New Roman" w:cs="Times New Roman"/>
          <w:lang w:val="pl-PL"/>
        </w:rPr>
        <w:t>(</w:t>
      </w:r>
      <w:r w:rsidR="004B353F" w:rsidRPr="00B45853">
        <w:rPr>
          <w:rFonts w:ascii="Times New Roman" w:eastAsia="Times New Roman" w:hAnsi="Times New Roman" w:cs="Times New Roman"/>
          <w:lang w:val="pl-PL"/>
        </w:rPr>
        <w:t>zobacz</w:t>
      </w:r>
      <w:r w:rsidR="00A220C6" w:rsidRPr="00B45853">
        <w:rPr>
          <w:rFonts w:ascii="Times New Roman" w:eastAsia="Times New Roman" w:hAnsi="Times New Roman" w:cs="Times New Roman"/>
          <w:lang w:val="pl-PL"/>
        </w:rPr>
        <w:t xml:space="preserve"> </w:t>
      </w:r>
      <w:proofErr w:type="spellStart"/>
      <w:r w:rsidR="00A220C6" w:rsidRPr="00B45853">
        <w:rPr>
          <w:rFonts w:ascii="Times New Roman" w:hAnsi="Times New Roman" w:cs="Times New Roman"/>
          <w:i/>
          <w:lang w:val="pl-PL"/>
        </w:rPr>
        <w:t>Ahmet</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Yıldırım</w:t>
      </w:r>
      <w:proofErr w:type="spellEnd"/>
      <w:r w:rsidR="00A220C6" w:rsidRPr="00B45853">
        <w:rPr>
          <w:rFonts w:ascii="Times New Roman" w:hAnsi="Times New Roman" w:cs="Times New Roman"/>
          <w:lang w:val="pl-PL"/>
        </w:rPr>
        <w:t xml:space="preserve">, </w:t>
      </w:r>
      <w:r w:rsidR="004B353F"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 48, </w:t>
      </w:r>
      <w:r w:rsidR="004B353F" w:rsidRPr="00B45853">
        <w:rPr>
          <w:rFonts w:ascii="Times New Roman" w:hAnsi="Times New Roman" w:cs="Times New Roman"/>
          <w:snapToGrid w:val="0"/>
          <w:lang w:val="pl-PL"/>
        </w:rPr>
        <w:t>i</w:t>
      </w:r>
      <w:r w:rsidR="00A220C6" w:rsidRPr="00B45853">
        <w:rPr>
          <w:rFonts w:ascii="Times New Roman" w:hAnsi="Times New Roman" w:cs="Times New Roman"/>
          <w:snapToGrid w:val="0"/>
          <w:lang w:val="pl-PL"/>
        </w:rPr>
        <w:t xml:space="preserve"> </w:t>
      </w:r>
      <w:r w:rsidR="00A220C6" w:rsidRPr="00B45853">
        <w:rPr>
          <w:rFonts w:ascii="Times New Roman" w:hAnsi="Times New Roman" w:cs="Times New Roman"/>
          <w:i/>
          <w:lang w:val="pl-PL"/>
        </w:rPr>
        <w:t xml:space="preserve">Times </w:t>
      </w:r>
      <w:proofErr w:type="spellStart"/>
      <w:r w:rsidR="00A220C6" w:rsidRPr="00B45853">
        <w:rPr>
          <w:rFonts w:ascii="Times New Roman" w:hAnsi="Times New Roman" w:cs="Times New Roman"/>
          <w:i/>
          <w:lang w:val="pl-PL"/>
        </w:rPr>
        <w:t>Newspapers</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Ltd</w:t>
      </w:r>
      <w:proofErr w:type="spellEnd"/>
      <w:r w:rsidR="00A220C6" w:rsidRPr="00B45853">
        <w:rPr>
          <w:rFonts w:ascii="Times New Roman" w:hAnsi="Times New Roman" w:cs="Times New Roman"/>
          <w:lang w:val="pl-PL"/>
        </w:rPr>
        <w:t xml:space="preserve">, </w:t>
      </w:r>
      <w:r w:rsidR="004B353F"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 27). </w:t>
      </w:r>
      <w:r w:rsidR="004B353F" w:rsidRPr="00B45853">
        <w:rPr>
          <w:rFonts w:ascii="Times New Roman" w:hAnsi="Times New Roman" w:cs="Times New Roman"/>
          <w:lang w:val="pl-PL"/>
        </w:rPr>
        <w:t xml:space="preserve">W tym samym czasie, ryzyko szkody stwarzane przez treść i komunikację w Internecie, do egzekwowania i korzystania z praw człowieka i wolności, w szczególności prawa do poszanowania życia prywatnego, jest z pewnością wyższe niż to stwarzane przez prasę </w:t>
      </w:r>
      <w:r w:rsidR="00A220C6" w:rsidRPr="00B45853">
        <w:rPr>
          <w:rFonts w:ascii="Times New Roman" w:hAnsi="Times New Roman" w:cs="Times New Roman"/>
          <w:lang w:val="pl-PL"/>
        </w:rPr>
        <w:t>(</w:t>
      </w:r>
      <w:r w:rsidR="004B353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Editorial</w:t>
      </w:r>
      <w:proofErr w:type="spellEnd"/>
      <w:r w:rsidR="00A220C6" w:rsidRPr="00B45853">
        <w:rPr>
          <w:rFonts w:ascii="Times New Roman" w:hAnsi="Times New Roman" w:cs="Times New Roman"/>
          <w:i/>
          <w:lang w:val="pl-PL"/>
        </w:rPr>
        <w:t xml:space="preserve"> Board of </w:t>
      </w:r>
      <w:proofErr w:type="spellStart"/>
      <w:r w:rsidR="00A220C6" w:rsidRPr="00B45853">
        <w:rPr>
          <w:rFonts w:ascii="Times New Roman" w:hAnsi="Times New Roman" w:cs="Times New Roman"/>
          <w:lang w:val="pl-PL"/>
        </w:rPr>
        <w:t>Pravoye</w:t>
      </w:r>
      <w:proofErr w:type="spellEnd"/>
      <w:r w:rsidR="00A220C6" w:rsidRPr="00B45853">
        <w:rPr>
          <w:rFonts w:ascii="Times New Roman" w:hAnsi="Times New Roman" w:cs="Times New Roman"/>
          <w:lang w:val="pl-PL"/>
        </w:rPr>
        <w:t xml:space="preserve"> Delo</w:t>
      </w:r>
      <w:r w:rsidR="00A220C6" w:rsidRPr="00B45853">
        <w:rPr>
          <w:rFonts w:ascii="Times New Roman" w:hAnsi="Times New Roman" w:cs="Times New Roman"/>
          <w:i/>
          <w:lang w:val="pl-PL"/>
        </w:rPr>
        <w:t xml:space="preserve"> </w:t>
      </w:r>
      <w:r w:rsidR="004B353F" w:rsidRPr="00B45853">
        <w:rPr>
          <w:rFonts w:ascii="Times New Roman" w:hAnsi="Times New Roman" w:cs="Times New Roman"/>
          <w:i/>
          <w:lang w:val="pl-PL"/>
        </w:rPr>
        <w:t>i</w:t>
      </w:r>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Shtekel</w:t>
      </w:r>
      <w:proofErr w:type="spellEnd"/>
      <w:r w:rsidR="00A220C6" w:rsidRPr="00B45853">
        <w:rPr>
          <w:rFonts w:ascii="Times New Roman" w:hAnsi="Times New Roman" w:cs="Times New Roman"/>
          <w:lang w:val="pl-PL"/>
        </w:rPr>
        <w:t xml:space="preserve">, </w:t>
      </w:r>
      <w:r w:rsidR="004B353F" w:rsidRPr="00B45853">
        <w:rPr>
          <w:rFonts w:ascii="Times New Roman" w:hAnsi="Times New Roman" w:cs="Times New Roman"/>
          <w:lang w:val="pl-PL"/>
        </w:rPr>
        <w:t>cytowany powyżej</w:t>
      </w:r>
      <w:r w:rsidR="00A220C6" w:rsidRPr="00B45853">
        <w:rPr>
          <w:rFonts w:ascii="Times New Roman" w:hAnsi="Times New Roman" w:cs="Times New Roman"/>
          <w:lang w:val="pl-PL"/>
        </w:rPr>
        <w:t>, § 63).</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134</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4B353F" w:rsidRPr="00B45853">
        <w:rPr>
          <w:rFonts w:ascii="Times New Roman" w:hAnsi="Times New Roman" w:cs="Times New Roman"/>
          <w:lang w:val="pl-PL"/>
        </w:rPr>
        <w:t xml:space="preserve">Rozważając "obowiązki i odpowiedzialność" dziennikarza, potencjalny wpływ danego </w:t>
      </w:r>
      <w:r w:rsidR="0060603F" w:rsidRPr="00B45853">
        <w:rPr>
          <w:rFonts w:ascii="Times New Roman" w:hAnsi="Times New Roman" w:cs="Times New Roman"/>
          <w:lang w:val="pl-PL"/>
        </w:rPr>
        <w:t>środka jest ważnym czynnikiem i</w:t>
      </w:r>
      <w:r w:rsidR="004B353F" w:rsidRPr="00B45853">
        <w:rPr>
          <w:rFonts w:ascii="Times New Roman" w:hAnsi="Times New Roman" w:cs="Times New Roman"/>
          <w:lang w:val="pl-PL"/>
        </w:rPr>
        <w:t xml:space="preserve"> powszechnie uznaje się, że media audiowizualne mają często dużo bardziej</w:t>
      </w:r>
      <w:r w:rsidR="0060603F" w:rsidRPr="00B45853">
        <w:rPr>
          <w:rFonts w:ascii="Times New Roman" w:hAnsi="Times New Roman" w:cs="Times New Roman"/>
          <w:lang w:val="pl-PL"/>
        </w:rPr>
        <w:t xml:space="preserve"> bezpośredni i silny efekt niż media</w:t>
      </w:r>
      <w:r w:rsidR="004B353F" w:rsidRPr="00B45853">
        <w:rPr>
          <w:rFonts w:ascii="Times New Roman" w:hAnsi="Times New Roman" w:cs="Times New Roman"/>
          <w:lang w:val="pl-PL"/>
        </w:rPr>
        <w:t xml:space="preserve"> drukowan</w:t>
      </w:r>
      <w:r w:rsidR="0060603F" w:rsidRPr="00B45853">
        <w:rPr>
          <w:rFonts w:ascii="Times New Roman" w:hAnsi="Times New Roman" w:cs="Times New Roman"/>
          <w:lang w:val="pl-PL"/>
        </w:rPr>
        <w:t>e</w:t>
      </w:r>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r w:rsidR="0060603F" w:rsidRPr="00B45853">
        <w:rPr>
          <w:rFonts w:ascii="Times New Roman" w:hAnsi="Times New Roman" w:cs="Times New Roman"/>
          <w:i/>
          <w:lang w:val="pl-PL"/>
        </w:rPr>
        <w:t>Purcell i</w:t>
      </w:r>
      <w:r w:rsidR="00A220C6" w:rsidRPr="00B45853">
        <w:rPr>
          <w:rFonts w:ascii="Times New Roman" w:hAnsi="Times New Roman" w:cs="Times New Roman"/>
          <w:i/>
          <w:lang w:val="pl-PL"/>
        </w:rPr>
        <w:t xml:space="preserve"> </w:t>
      </w:r>
      <w:r w:rsidR="0060603F" w:rsidRPr="00B45853">
        <w:rPr>
          <w:rFonts w:ascii="Times New Roman" w:hAnsi="Times New Roman" w:cs="Times New Roman"/>
          <w:i/>
          <w:lang w:val="pl-PL"/>
        </w:rPr>
        <w:t>Inni przeciwko</w:t>
      </w:r>
      <w:r w:rsidR="00A220C6" w:rsidRPr="00B45853">
        <w:rPr>
          <w:rFonts w:ascii="Times New Roman" w:hAnsi="Times New Roman" w:cs="Times New Roman"/>
          <w:i/>
          <w:lang w:val="pl-PL"/>
        </w:rPr>
        <w:t xml:space="preserve"> Ir</w:t>
      </w:r>
      <w:r w:rsidR="0060603F" w:rsidRPr="00B45853">
        <w:rPr>
          <w:rFonts w:ascii="Times New Roman" w:hAnsi="Times New Roman" w:cs="Times New Roman"/>
          <w:i/>
          <w:lang w:val="pl-PL"/>
        </w:rPr>
        <w:t>landii</w:t>
      </w:r>
      <w:r w:rsidR="0060603F" w:rsidRPr="00B45853">
        <w:rPr>
          <w:rFonts w:ascii="Times New Roman" w:hAnsi="Times New Roman" w:cs="Times New Roman"/>
          <w:lang w:val="pl-PL"/>
        </w:rPr>
        <w:t>, nr</w:t>
      </w:r>
      <w:r w:rsidR="00A220C6" w:rsidRPr="00B45853">
        <w:rPr>
          <w:rFonts w:ascii="Times New Roman" w:hAnsi="Times New Roman" w:cs="Times New Roman"/>
          <w:lang w:val="pl-PL"/>
        </w:rPr>
        <w:t xml:space="preserve"> 15404/89, </w:t>
      </w:r>
      <w:r w:rsidR="0060603F" w:rsidRPr="00B45853">
        <w:rPr>
          <w:rFonts w:ascii="Times New Roman" w:hAnsi="Times New Roman" w:cs="Times New Roman"/>
          <w:lang w:val="pl-PL"/>
        </w:rPr>
        <w:t>decyzja Komisji</w:t>
      </w:r>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z dnia</w:t>
      </w:r>
      <w:r w:rsidR="00A220C6" w:rsidRPr="00B45853">
        <w:rPr>
          <w:rFonts w:ascii="Times New Roman" w:hAnsi="Times New Roman" w:cs="Times New Roman"/>
          <w:lang w:val="pl-PL"/>
        </w:rPr>
        <w:t xml:space="preserve"> 16 </w:t>
      </w:r>
      <w:r w:rsidR="0060603F" w:rsidRPr="00B45853">
        <w:rPr>
          <w:rFonts w:ascii="Times New Roman" w:hAnsi="Times New Roman" w:cs="Times New Roman"/>
          <w:lang w:val="pl-PL"/>
        </w:rPr>
        <w:t>Kwietnia</w:t>
      </w:r>
      <w:r w:rsidR="00A220C6" w:rsidRPr="00B45853">
        <w:rPr>
          <w:rFonts w:ascii="Times New Roman" w:hAnsi="Times New Roman" w:cs="Times New Roman"/>
          <w:lang w:val="pl-PL"/>
        </w:rPr>
        <w:t xml:space="preserve"> 1991</w:t>
      </w:r>
      <w:r w:rsidR="0060603F" w:rsidRPr="00B45853">
        <w:rPr>
          <w:rFonts w:ascii="Times New Roman" w:hAnsi="Times New Roman" w:cs="Times New Roman"/>
          <w:lang w:val="pl-PL"/>
        </w:rPr>
        <w:t xml:space="preserve"> roku</w:t>
      </w:r>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Decyzje i Sprawozdania</w:t>
      </w:r>
      <w:r w:rsidR="00157CBE" w:rsidRPr="00B45853">
        <w:rPr>
          <w:rFonts w:ascii="Times New Roman" w:hAnsi="Times New Roman" w:cs="Times New Roman"/>
          <w:lang w:val="pl-PL"/>
        </w:rPr>
        <w:t xml:space="preserve"> 70, str</w:t>
      </w:r>
      <w:r w:rsidR="00A220C6" w:rsidRPr="00B45853">
        <w:rPr>
          <w:rFonts w:ascii="Times New Roman" w:hAnsi="Times New Roman" w:cs="Times New Roman"/>
          <w:lang w:val="pl-PL"/>
        </w:rPr>
        <w:t xml:space="preserve">. 262). </w:t>
      </w:r>
      <w:r w:rsidR="0060603F" w:rsidRPr="00B45853">
        <w:rPr>
          <w:rFonts w:ascii="Times New Roman" w:hAnsi="Times New Roman" w:cs="Times New Roman"/>
          <w:lang w:val="pl-PL"/>
        </w:rPr>
        <w:t xml:space="preserve">Metody obiektywnego i zrównoważonego </w:t>
      </w:r>
      <w:r w:rsidR="0091377A" w:rsidRPr="000702B6">
        <w:rPr>
          <w:rFonts w:ascii="Times New Roman" w:hAnsi="Times New Roman" w:cs="Times New Roman"/>
          <w:lang w:val="pl-PL"/>
        </w:rPr>
        <w:t>informowania</w:t>
      </w:r>
      <w:r w:rsidR="0060603F" w:rsidRPr="00B45853">
        <w:rPr>
          <w:rFonts w:ascii="Times New Roman" w:hAnsi="Times New Roman" w:cs="Times New Roman"/>
          <w:lang w:val="pl-PL"/>
        </w:rPr>
        <w:t xml:space="preserve"> mogą się znacznie różnić w zależności między innymi od danych środków</w:t>
      </w:r>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Jersild</w:t>
      </w:r>
      <w:proofErr w:type="spellEnd"/>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cytowany powyżej</w:t>
      </w:r>
      <w:r w:rsidR="00A220C6" w:rsidRPr="00B45853">
        <w:rPr>
          <w:rFonts w:ascii="Times New Roman" w:hAnsi="Times New Roman" w:cs="Times New Roman"/>
          <w:lang w:val="pl-PL"/>
        </w:rPr>
        <w:t>, § 31).</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135</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60603F" w:rsidRPr="00B45853">
        <w:rPr>
          <w:rFonts w:ascii="Times New Roman" w:hAnsi="Times New Roman" w:cs="Times New Roman"/>
          <w:lang w:val="pl-PL"/>
        </w:rPr>
        <w:t>Trybunał orzekł, że "</w:t>
      </w:r>
      <w:r w:rsidR="009829D1">
        <w:rPr>
          <w:rFonts w:ascii="Times New Roman" w:hAnsi="Times New Roman" w:cs="Times New Roman"/>
          <w:lang w:val="pl-PL"/>
        </w:rPr>
        <w:t>odpowiedzialność</w:t>
      </w:r>
      <w:r w:rsidR="0060603F" w:rsidRPr="00B45853">
        <w:rPr>
          <w:rFonts w:ascii="Times New Roman" w:hAnsi="Times New Roman" w:cs="Times New Roman"/>
          <w:lang w:val="pl-PL"/>
        </w:rPr>
        <w:t xml:space="preserve"> dziennikarza za pomoc w rozpowszechnianiu wypowiedzi przez inną osobę w wywiadzie poważnie hamuje wkład prasy do dyskusji o sprawach leżących w interesie publicznym i nie powinna być przewidziana, chyba że są szczególnie mocne powody ku temu</w:t>
      </w:r>
      <w:r w:rsidR="00A220C6" w:rsidRPr="00B45853">
        <w:rPr>
          <w:rFonts w:ascii="Times New Roman" w:hAnsi="Times New Roman" w:cs="Times New Roman"/>
          <w:lang w:val="pl-PL"/>
        </w:rPr>
        <w:t>” (</w:t>
      </w:r>
      <w:r w:rsidR="0060603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Jersild</w:t>
      </w:r>
      <w:proofErr w:type="spellEnd"/>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cytowany powyżej</w:t>
      </w:r>
      <w:r w:rsidR="00A220C6" w:rsidRPr="00B45853">
        <w:rPr>
          <w:rFonts w:ascii="Times New Roman" w:hAnsi="Times New Roman" w:cs="Times New Roman"/>
          <w:lang w:val="pl-PL"/>
        </w:rPr>
        <w:t xml:space="preserve">, § 35; </w:t>
      </w:r>
      <w:proofErr w:type="spellStart"/>
      <w:r w:rsidR="0060603F" w:rsidRPr="00B45853">
        <w:rPr>
          <w:rFonts w:ascii="Times New Roman" w:hAnsi="Times New Roman" w:cs="Times New Roman"/>
          <w:i/>
          <w:lang w:val="pl-PL"/>
        </w:rPr>
        <w:t>Thoma</w:t>
      </w:r>
      <w:proofErr w:type="spellEnd"/>
      <w:r w:rsidR="006060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Lu</w:t>
      </w:r>
      <w:r w:rsidR="0060603F" w:rsidRPr="00B45853">
        <w:rPr>
          <w:rFonts w:ascii="Times New Roman" w:hAnsi="Times New Roman" w:cs="Times New Roman"/>
          <w:i/>
          <w:lang w:val="pl-PL"/>
        </w:rPr>
        <w:t>ksemburgowi</w:t>
      </w:r>
      <w:r w:rsidR="0060603F" w:rsidRPr="00B45853">
        <w:rPr>
          <w:rFonts w:ascii="Times New Roman" w:hAnsi="Times New Roman" w:cs="Times New Roman"/>
          <w:lang w:val="pl-PL"/>
        </w:rPr>
        <w:t>, nr</w:t>
      </w:r>
      <w:r w:rsidR="00A220C6" w:rsidRPr="00B45853">
        <w:rPr>
          <w:rFonts w:ascii="Times New Roman" w:hAnsi="Times New Roman" w:cs="Times New Roman"/>
          <w:lang w:val="pl-PL"/>
        </w:rPr>
        <w:t xml:space="preserve"> 38</w:t>
      </w:r>
      <w:r w:rsidR="0060603F" w:rsidRPr="00B45853">
        <w:rPr>
          <w:rFonts w:ascii="Times New Roman" w:hAnsi="Times New Roman" w:cs="Times New Roman"/>
          <w:lang w:val="pl-PL"/>
        </w:rPr>
        <w:t>432/97, § 62, ECHR 2001</w:t>
      </w:r>
      <w:r w:rsidR="0060603F" w:rsidRPr="00B45853">
        <w:rPr>
          <w:rFonts w:ascii="Times New Roman" w:hAnsi="Times New Roman" w:cs="Times New Roman"/>
          <w:lang w:val="pl-PL"/>
        </w:rPr>
        <w:noBreakHyphen/>
        <w:t>III; i</w:t>
      </w:r>
      <w:r w:rsidR="00A220C6" w:rsidRPr="00B45853">
        <w:rPr>
          <w:rFonts w:ascii="Times New Roman" w:hAnsi="Times New Roman" w:cs="Times New Roman"/>
          <w:lang w:val="pl-PL"/>
        </w:rPr>
        <w:t xml:space="preserve">, </w:t>
      </w:r>
      <w:r w:rsidR="00A220C6" w:rsidRPr="00B45853">
        <w:rPr>
          <w:rFonts w:ascii="Times New Roman" w:hAnsi="Times New Roman" w:cs="Times New Roman"/>
          <w:i/>
          <w:lang w:val="pl-PL"/>
        </w:rPr>
        <w:t>mutatis mutandis</w:t>
      </w:r>
      <w:r w:rsidR="00A220C6" w:rsidRPr="00B45853">
        <w:rPr>
          <w:rFonts w:ascii="Times New Roman" w:hAnsi="Times New Roman" w:cs="Times New Roman"/>
          <w:lang w:val="pl-PL"/>
        </w:rPr>
        <w:t xml:space="preserve">, </w:t>
      </w:r>
      <w:proofErr w:type="spellStart"/>
      <w:r w:rsidR="0060603F" w:rsidRPr="00B45853">
        <w:rPr>
          <w:rFonts w:ascii="Times New Roman" w:hAnsi="Times New Roman" w:cs="Times New Roman"/>
          <w:i/>
          <w:lang w:val="pl-PL"/>
        </w:rPr>
        <w:t>Verlagsgruppe</w:t>
      </w:r>
      <w:proofErr w:type="spellEnd"/>
      <w:r w:rsidR="0060603F" w:rsidRPr="00B45853">
        <w:rPr>
          <w:rFonts w:ascii="Times New Roman" w:hAnsi="Times New Roman" w:cs="Times New Roman"/>
          <w:i/>
          <w:lang w:val="pl-PL"/>
        </w:rPr>
        <w:t xml:space="preserve"> News GmbH przeciwko</w:t>
      </w:r>
      <w:r w:rsidR="00A220C6" w:rsidRPr="00B45853">
        <w:rPr>
          <w:rFonts w:ascii="Times New Roman" w:hAnsi="Times New Roman" w:cs="Times New Roman"/>
          <w:i/>
          <w:lang w:val="pl-PL"/>
        </w:rPr>
        <w:t> Austri</w:t>
      </w:r>
      <w:r w:rsidR="0060603F" w:rsidRPr="00B45853">
        <w:rPr>
          <w:rFonts w:ascii="Times New Roman" w:hAnsi="Times New Roman" w:cs="Times New Roman"/>
          <w:i/>
          <w:lang w:val="pl-PL"/>
        </w:rPr>
        <w:t>i</w:t>
      </w:r>
      <w:r w:rsidR="0060603F" w:rsidRPr="00B45853">
        <w:rPr>
          <w:rFonts w:ascii="Times New Roman" w:hAnsi="Times New Roman" w:cs="Times New Roman"/>
          <w:lang w:val="pl-PL"/>
        </w:rPr>
        <w:t>, nr</w:t>
      </w:r>
      <w:r w:rsidR="00A220C6" w:rsidRPr="00B45853">
        <w:rPr>
          <w:rFonts w:ascii="Times New Roman" w:hAnsi="Times New Roman" w:cs="Times New Roman"/>
          <w:lang w:val="pl-PL"/>
        </w:rPr>
        <w:t xml:space="preserve"> 76918/01, § 31, 14 </w:t>
      </w:r>
      <w:r w:rsidR="0060603F" w:rsidRPr="00B45853">
        <w:rPr>
          <w:rFonts w:ascii="Times New Roman" w:hAnsi="Times New Roman" w:cs="Times New Roman"/>
          <w:lang w:val="pl-PL"/>
        </w:rPr>
        <w:t>Grudnia</w:t>
      </w:r>
      <w:r w:rsidR="00A220C6" w:rsidRPr="00B45853">
        <w:rPr>
          <w:rFonts w:ascii="Times New Roman" w:hAnsi="Times New Roman" w:cs="Times New Roman"/>
          <w:lang w:val="pl-PL"/>
        </w:rPr>
        <w:t xml:space="preserve"> 2006</w:t>
      </w:r>
      <w:r w:rsidR="0060603F" w:rsidRPr="00B45853">
        <w:rPr>
          <w:rFonts w:ascii="Times New Roman" w:hAnsi="Times New Roman" w:cs="Times New Roman"/>
          <w:lang w:val="pl-PL"/>
        </w:rPr>
        <w:t xml:space="preserve"> roku, i</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Print</w:t>
      </w:r>
      <w:proofErr w:type="spellEnd"/>
      <w:r w:rsidR="00A220C6" w:rsidRPr="00B45853">
        <w:rPr>
          <w:rFonts w:ascii="Times New Roman" w:hAnsi="Times New Roman" w:cs="Times New Roman"/>
          <w:i/>
          <w:lang w:val="pl-PL"/>
        </w:rPr>
        <w:t xml:space="preserve"> </w:t>
      </w:r>
      <w:proofErr w:type="spellStart"/>
      <w:r w:rsidR="00A220C6" w:rsidRPr="00B45853">
        <w:rPr>
          <w:rFonts w:ascii="Times New Roman" w:hAnsi="Times New Roman" w:cs="Times New Roman"/>
          <w:i/>
          <w:lang w:val="pl-PL"/>
        </w:rPr>
        <w:t>Zeitungsverlag</w:t>
      </w:r>
      <w:proofErr w:type="spellEnd"/>
      <w:r w:rsidR="00A220C6" w:rsidRPr="00B45853">
        <w:rPr>
          <w:rFonts w:ascii="Times New Roman" w:hAnsi="Times New Roman" w:cs="Times New Roman"/>
          <w:i/>
          <w:lang w:val="pl-PL"/>
        </w:rPr>
        <w:t xml:space="preserve"> GmbH</w:t>
      </w:r>
      <w:r w:rsidR="00A220C6" w:rsidRPr="00B45853">
        <w:rPr>
          <w:rFonts w:ascii="Times New Roman" w:hAnsi="Times New Roman" w:cs="Times New Roman"/>
          <w:lang w:val="pl-PL"/>
        </w:rPr>
        <w:t xml:space="preserve"> </w:t>
      </w:r>
      <w:r w:rsidR="0060603F" w:rsidRPr="00B45853">
        <w:rPr>
          <w:rFonts w:ascii="Times New Roman" w:hAnsi="Times New Roman" w:cs="Times New Roman"/>
          <w:i/>
          <w:lang w:val="pl-PL"/>
        </w:rPr>
        <w:t>przeciwko</w:t>
      </w:r>
      <w:r w:rsidR="00A220C6" w:rsidRPr="00B45853">
        <w:rPr>
          <w:rFonts w:ascii="Times New Roman" w:hAnsi="Times New Roman" w:cs="Times New Roman"/>
          <w:i/>
          <w:lang w:val="pl-PL"/>
        </w:rPr>
        <w:t xml:space="preserve"> Austri</w:t>
      </w:r>
      <w:r w:rsidR="0060603F" w:rsidRPr="00B45853">
        <w:rPr>
          <w:rFonts w:ascii="Times New Roman" w:hAnsi="Times New Roman" w:cs="Times New Roman"/>
          <w:i/>
          <w:lang w:val="pl-PL"/>
        </w:rPr>
        <w:t>i</w:t>
      </w:r>
      <w:r w:rsidR="0060603F" w:rsidRPr="00B45853">
        <w:rPr>
          <w:rFonts w:ascii="Times New Roman" w:hAnsi="Times New Roman" w:cs="Times New Roman"/>
          <w:lang w:val="pl-PL"/>
        </w:rPr>
        <w:t xml:space="preserve">, nr  </w:t>
      </w:r>
      <w:r w:rsidR="00A220C6" w:rsidRPr="00B45853">
        <w:rPr>
          <w:rFonts w:ascii="Times New Roman" w:hAnsi="Times New Roman" w:cs="Times New Roman"/>
          <w:lang w:val="pl-PL"/>
        </w:rPr>
        <w:t>26547/07</w:t>
      </w:r>
      <w:r w:rsidR="00A220C6" w:rsidRPr="00B45853">
        <w:rPr>
          <w:rFonts w:ascii="Times New Roman" w:hAnsi="Times New Roman" w:cs="Times New Roman"/>
          <w:snapToGrid w:val="0"/>
          <w:lang w:val="pl-PL"/>
        </w:rPr>
        <w:t xml:space="preserve">, § 39, 10 </w:t>
      </w:r>
      <w:r w:rsidR="0060603F" w:rsidRPr="00B45853">
        <w:rPr>
          <w:rFonts w:ascii="Times New Roman" w:hAnsi="Times New Roman" w:cs="Times New Roman"/>
          <w:snapToGrid w:val="0"/>
          <w:lang w:val="pl-PL"/>
        </w:rPr>
        <w:t>Listopada</w:t>
      </w:r>
      <w:r w:rsidR="00A220C6" w:rsidRPr="00B45853">
        <w:rPr>
          <w:rFonts w:ascii="Times New Roman" w:hAnsi="Times New Roman" w:cs="Times New Roman"/>
          <w:snapToGrid w:val="0"/>
          <w:lang w:val="pl-PL"/>
        </w:rPr>
        <w:t xml:space="preserve"> 2013</w:t>
      </w:r>
      <w:r w:rsidR="00A220C6" w:rsidRPr="00B45853">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157CBE" w:rsidRPr="00B45853">
        <w:rPr>
          <w:rFonts w:ascii="Times New Roman" w:hAnsi="Times New Roman" w:cs="Times New Roman"/>
          <w:lang w:val="pl-PL"/>
        </w:rPr>
        <w:t>Ponadto Trybunał orzekł, że mowa</w:t>
      </w:r>
      <w:r w:rsidR="0060603F" w:rsidRPr="00B45853">
        <w:rPr>
          <w:rFonts w:ascii="Times New Roman" w:hAnsi="Times New Roman" w:cs="Times New Roman"/>
          <w:lang w:val="pl-PL"/>
        </w:rPr>
        <w:t>, która jest niezgodna z wartościami ogłoszonymi i gwarantowanymi przez Konwencję</w:t>
      </w:r>
      <w:r w:rsidR="007010C2" w:rsidRPr="00B45853">
        <w:rPr>
          <w:rFonts w:ascii="Times New Roman" w:hAnsi="Times New Roman" w:cs="Times New Roman"/>
          <w:lang w:val="pl-PL"/>
        </w:rPr>
        <w:t>,</w:t>
      </w:r>
      <w:r w:rsidR="0060603F" w:rsidRPr="00B45853">
        <w:rPr>
          <w:rFonts w:ascii="Times New Roman" w:hAnsi="Times New Roman" w:cs="Times New Roman"/>
          <w:lang w:val="pl-PL"/>
        </w:rPr>
        <w:t xml:space="preserve"> nie jest chroniona na mocy Artykułu 10 na podstawie Artykułu 17 Konwencji. Przykłady takiej mowy zbadane przez Trybunał zawierały wypowiedzi negujące Holokaust, usprawiedli</w:t>
      </w:r>
      <w:r w:rsidR="007010C2" w:rsidRPr="00B45853">
        <w:rPr>
          <w:rFonts w:ascii="Times New Roman" w:hAnsi="Times New Roman" w:cs="Times New Roman"/>
          <w:lang w:val="pl-PL"/>
        </w:rPr>
        <w:t>wiające politykę pro</w:t>
      </w:r>
      <w:r w:rsidR="0060603F" w:rsidRPr="00B45853">
        <w:rPr>
          <w:rFonts w:ascii="Times New Roman" w:hAnsi="Times New Roman" w:cs="Times New Roman"/>
          <w:lang w:val="pl-PL"/>
        </w:rPr>
        <w:t xml:space="preserve">nazistowską, łączące wszystkich muzułmanów z poważnymi aktami terrorystycznymi lub ukazywaniem Żydów jako źródło zła w Rosji </w:t>
      </w:r>
      <w:r w:rsidR="00A220C6" w:rsidRPr="00B45853">
        <w:rPr>
          <w:rFonts w:ascii="Times New Roman" w:hAnsi="Times New Roman" w:cs="Times New Roman"/>
          <w:lang w:val="pl-PL"/>
        </w:rPr>
        <w:t>(</w:t>
      </w:r>
      <w:r w:rsidR="0060603F"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Lehideux</w:t>
      </w:r>
      <w:proofErr w:type="spellEnd"/>
      <w:r w:rsidR="00A220C6" w:rsidRPr="00B45853">
        <w:rPr>
          <w:rFonts w:ascii="Times New Roman" w:hAnsi="Times New Roman" w:cs="Times New Roman"/>
          <w:i/>
          <w:lang w:val="pl-PL"/>
        </w:rPr>
        <w:t xml:space="preserve"> </w:t>
      </w:r>
      <w:r w:rsidR="0060603F" w:rsidRPr="00B45853">
        <w:rPr>
          <w:rFonts w:ascii="Times New Roman" w:hAnsi="Times New Roman" w:cs="Times New Roman"/>
          <w:i/>
          <w:lang w:val="pl-PL"/>
        </w:rPr>
        <w:t xml:space="preserve">i </w:t>
      </w:r>
      <w:proofErr w:type="spellStart"/>
      <w:r w:rsidR="0060603F" w:rsidRPr="00B45853">
        <w:rPr>
          <w:rFonts w:ascii="Times New Roman" w:hAnsi="Times New Roman" w:cs="Times New Roman"/>
          <w:i/>
          <w:lang w:val="pl-PL"/>
        </w:rPr>
        <w:t>Isorni</w:t>
      </w:r>
      <w:proofErr w:type="spellEnd"/>
      <w:r w:rsidR="006060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Franc</w:t>
      </w:r>
      <w:r w:rsidR="0060603F" w:rsidRPr="00B45853">
        <w:rPr>
          <w:rFonts w:ascii="Times New Roman" w:hAnsi="Times New Roman" w:cs="Times New Roman"/>
          <w:i/>
          <w:lang w:val="pl-PL"/>
        </w:rPr>
        <w:t>ji</w:t>
      </w:r>
      <w:r w:rsidR="00A220C6" w:rsidRPr="00B45853">
        <w:rPr>
          <w:rFonts w:ascii="Times New Roman" w:hAnsi="Times New Roman" w:cs="Times New Roman"/>
          <w:lang w:val="pl-PL"/>
        </w:rPr>
        <w:t>, 23 </w:t>
      </w:r>
      <w:r w:rsidR="0060603F" w:rsidRPr="00B45853">
        <w:rPr>
          <w:rFonts w:ascii="Times New Roman" w:hAnsi="Times New Roman" w:cs="Times New Roman"/>
          <w:lang w:val="pl-PL"/>
        </w:rPr>
        <w:t>Września</w:t>
      </w:r>
      <w:r w:rsidR="00A220C6" w:rsidRPr="00B45853">
        <w:rPr>
          <w:rFonts w:ascii="Times New Roman" w:hAnsi="Times New Roman" w:cs="Times New Roman"/>
          <w:lang w:val="pl-PL"/>
        </w:rPr>
        <w:t xml:space="preserve"> 1998</w:t>
      </w:r>
      <w:r w:rsidR="0060603F" w:rsidRPr="00B45853">
        <w:rPr>
          <w:rFonts w:ascii="Times New Roman" w:hAnsi="Times New Roman" w:cs="Times New Roman"/>
          <w:lang w:val="pl-PL"/>
        </w:rPr>
        <w:t xml:space="preserve"> roku, §§ 47 i</w:t>
      </w:r>
      <w:r w:rsidR="00A220C6" w:rsidRPr="00B45853">
        <w:rPr>
          <w:rFonts w:ascii="Times New Roman" w:hAnsi="Times New Roman" w:cs="Times New Roman"/>
          <w:lang w:val="pl-PL"/>
        </w:rPr>
        <w:t xml:space="preserve"> 53, </w:t>
      </w:r>
      <w:r w:rsidR="00A220C6" w:rsidRPr="00B45853">
        <w:rPr>
          <w:rFonts w:ascii="Times New Roman" w:hAnsi="Times New Roman" w:cs="Times New Roman"/>
          <w:i/>
          <w:lang w:val="pl-PL"/>
        </w:rPr>
        <w:t>R</w:t>
      </w:r>
      <w:r w:rsidR="0060603F" w:rsidRPr="00B45853">
        <w:rPr>
          <w:rFonts w:ascii="Times New Roman" w:hAnsi="Times New Roman" w:cs="Times New Roman"/>
          <w:i/>
          <w:lang w:val="pl-PL"/>
        </w:rPr>
        <w:t>aporty</w:t>
      </w:r>
      <w:r w:rsidR="00A220C6" w:rsidRPr="00B45853">
        <w:rPr>
          <w:rFonts w:ascii="Times New Roman" w:hAnsi="Times New Roman" w:cs="Times New Roman"/>
          <w:i/>
          <w:lang w:val="pl-PL"/>
        </w:rPr>
        <w:t xml:space="preserve"> </w:t>
      </w:r>
      <w:r w:rsidR="00A220C6" w:rsidRPr="00B45853">
        <w:rPr>
          <w:rFonts w:ascii="Times New Roman" w:hAnsi="Times New Roman" w:cs="Times New Roman"/>
          <w:lang w:val="pl-PL"/>
        </w:rPr>
        <w:t>1998</w:t>
      </w:r>
      <w:r w:rsidR="00A220C6" w:rsidRPr="00B45853">
        <w:rPr>
          <w:rFonts w:ascii="Times New Roman" w:hAnsi="Times New Roman" w:cs="Times New Roman"/>
          <w:lang w:val="pl-PL"/>
        </w:rPr>
        <w:noBreakHyphen/>
        <w:t xml:space="preserve">VII; </w:t>
      </w:r>
      <w:proofErr w:type="spellStart"/>
      <w:r w:rsidR="00A220C6" w:rsidRPr="00B45853">
        <w:rPr>
          <w:rFonts w:ascii="Times New Roman" w:hAnsi="Times New Roman" w:cs="Times New Roman"/>
          <w:i/>
          <w:lang w:val="pl-PL"/>
        </w:rPr>
        <w:t>Garaudy</w:t>
      </w:r>
      <w:proofErr w:type="spellEnd"/>
      <w:r w:rsidR="00A220C6" w:rsidRPr="00B45853">
        <w:rPr>
          <w:rFonts w:ascii="Times New Roman" w:hAnsi="Times New Roman" w:cs="Times New Roman"/>
          <w:i/>
          <w:lang w:val="pl-PL"/>
        </w:rPr>
        <w:t xml:space="preserve"> </w:t>
      </w:r>
      <w:r w:rsidR="0060603F" w:rsidRPr="00B45853">
        <w:rPr>
          <w:rFonts w:ascii="Times New Roman" w:hAnsi="Times New Roman" w:cs="Times New Roman"/>
          <w:i/>
          <w:lang w:val="pl-PL"/>
        </w:rPr>
        <w:t>przeciwko</w:t>
      </w:r>
      <w:r w:rsidR="00A220C6" w:rsidRPr="00B45853">
        <w:rPr>
          <w:rFonts w:ascii="Times New Roman" w:hAnsi="Times New Roman" w:cs="Times New Roman"/>
          <w:i/>
          <w:lang w:val="pl-PL"/>
        </w:rPr>
        <w:t xml:space="preserve"> Franc</w:t>
      </w:r>
      <w:r w:rsidR="0060603F" w:rsidRPr="00B45853">
        <w:rPr>
          <w:rFonts w:ascii="Times New Roman" w:hAnsi="Times New Roman" w:cs="Times New Roman"/>
          <w:i/>
          <w:lang w:val="pl-PL"/>
        </w:rPr>
        <w:t>ji</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lang w:val="pl-PL"/>
        </w:rPr>
        <w:t>dec</w:t>
      </w:r>
      <w:proofErr w:type="spellEnd"/>
      <w:r w:rsidR="00A220C6" w:rsidRPr="00B45853">
        <w:rPr>
          <w:rFonts w:ascii="Times New Roman" w:hAnsi="Times New Roman" w:cs="Times New Roman"/>
          <w:lang w:val="pl-PL"/>
        </w:rPr>
        <w:t>.),</w:t>
      </w:r>
      <w:r w:rsidR="00A220C6" w:rsidRPr="00B45853">
        <w:rPr>
          <w:rFonts w:ascii="Times New Roman" w:hAnsi="Times New Roman" w:cs="Times New Roman"/>
          <w:i/>
          <w:lang w:val="pl-PL"/>
        </w:rPr>
        <w:t xml:space="preserve"> </w:t>
      </w:r>
      <w:r w:rsidR="0060603F" w:rsidRPr="00B45853">
        <w:rPr>
          <w:rFonts w:ascii="Times New Roman" w:hAnsi="Times New Roman" w:cs="Times New Roman"/>
          <w:lang w:val="pl-PL"/>
        </w:rPr>
        <w:t>nr</w:t>
      </w:r>
      <w:r w:rsidR="003476A7" w:rsidRPr="00B45853">
        <w:rPr>
          <w:rFonts w:ascii="Times New Roman" w:hAnsi="Times New Roman" w:cs="Times New Roman"/>
          <w:lang w:val="pl-PL"/>
        </w:rPr>
        <w:t xml:space="preserve"> 65831/01, ECHR 2003</w:t>
      </w:r>
      <w:r w:rsidR="003476A7" w:rsidRPr="00B45853">
        <w:rPr>
          <w:rFonts w:ascii="Times New Roman" w:hAnsi="Times New Roman" w:cs="Times New Roman"/>
          <w:lang w:val="pl-PL"/>
        </w:rPr>
        <w:noBreakHyphen/>
        <w:t>IX</w:t>
      </w:r>
      <w:r w:rsidR="00A220C6" w:rsidRPr="00B45853">
        <w:rPr>
          <w:rFonts w:ascii="Times New Roman" w:hAnsi="Times New Roman" w:cs="Times New Roman"/>
          <w:lang w:val="pl-PL"/>
        </w:rPr>
        <w:t xml:space="preserve">; </w:t>
      </w:r>
      <w:proofErr w:type="spellStart"/>
      <w:r w:rsidR="0060603F" w:rsidRPr="00B45853">
        <w:rPr>
          <w:rFonts w:ascii="Times New Roman" w:hAnsi="Times New Roman" w:cs="Times New Roman"/>
          <w:i/>
          <w:lang w:val="pl-PL"/>
        </w:rPr>
        <w:t>Norwood</w:t>
      </w:r>
      <w:proofErr w:type="spellEnd"/>
      <w:r w:rsidR="006060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w:t>
      </w:r>
      <w:r w:rsidR="0060603F" w:rsidRPr="00B45853">
        <w:rPr>
          <w:rFonts w:ascii="Times New Roman" w:hAnsi="Times New Roman" w:cs="Times New Roman"/>
          <w:i/>
          <w:lang w:val="pl-PL"/>
        </w:rPr>
        <w:t>Wielkiej Brytanii</w:t>
      </w:r>
      <w:r w:rsidR="00A220C6" w:rsidRPr="00B45853">
        <w:rPr>
          <w:rFonts w:ascii="Times New Roman" w:hAnsi="Times New Roman" w:cs="Times New Roman"/>
          <w:i/>
          <w:lang w:val="pl-PL"/>
        </w:rPr>
        <w:t xml:space="preserve"> </w:t>
      </w:r>
      <w:r w:rsidR="0060603F" w:rsidRPr="00B45853">
        <w:rPr>
          <w:rFonts w:ascii="Times New Roman" w:hAnsi="Times New Roman" w:cs="Times New Roman"/>
          <w:lang w:val="pl-PL"/>
        </w:rPr>
        <w:t>(</w:t>
      </w:r>
      <w:proofErr w:type="spellStart"/>
      <w:r w:rsidR="0060603F" w:rsidRPr="00B45853">
        <w:rPr>
          <w:rFonts w:ascii="Times New Roman" w:hAnsi="Times New Roman" w:cs="Times New Roman"/>
          <w:lang w:val="pl-PL"/>
        </w:rPr>
        <w:t>dec</w:t>
      </w:r>
      <w:proofErr w:type="spellEnd"/>
      <w:r w:rsidR="0060603F" w:rsidRPr="00B45853">
        <w:rPr>
          <w:rFonts w:ascii="Times New Roman" w:hAnsi="Times New Roman" w:cs="Times New Roman"/>
          <w:lang w:val="pl-PL"/>
        </w:rPr>
        <w:t>.), nr</w:t>
      </w:r>
      <w:r w:rsidR="00A220C6" w:rsidRPr="00B45853">
        <w:rPr>
          <w:rFonts w:ascii="Times New Roman" w:hAnsi="Times New Roman" w:cs="Times New Roman"/>
          <w:lang w:val="pl-PL"/>
        </w:rPr>
        <w:t xml:space="preserve"> 23131/03</w:t>
      </w:r>
      <w:r w:rsidR="00A220C6" w:rsidRPr="00B45853">
        <w:rPr>
          <w:rFonts w:ascii="Times New Roman" w:hAnsi="Times New Roman" w:cs="Times New Roman"/>
          <w:szCs w:val="24"/>
          <w:lang w:val="pl-PL"/>
        </w:rPr>
        <w:t xml:space="preserve">, </w:t>
      </w:r>
      <w:r w:rsidR="00A220C6" w:rsidRPr="00B45853">
        <w:rPr>
          <w:rFonts w:ascii="Times New Roman" w:hAnsi="Times New Roman" w:cs="Times New Roman"/>
          <w:lang w:val="pl-PL"/>
        </w:rPr>
        <w:t>ECHR 2004</w:t>
      </w:r>
      <w:r w:rsidR="00A220C6" w:rsidRPr="00B45853">
        <w:rPr>
          <w:rFonts w:ascii="Times New Roman" w:hAnsi="Times New Roman" w:cs="Times New Roman"/>
          <w:lang w:val="pl-PL"/>
        </w:rPr>
        <w:noBreakHyphen/>
        <w:t xml:space="preserve">XI; </w:t>
      </w:r>
      <w:proofErr w:type="spellStart"/>
      <w:r w:rsidR="0060603F" w:rsidRPr="00B45853">
        <w:rPr>
          <w:rFonts w:ascii="Times New Roman" w:hAnsi="Times New Roman" w:cs="Times New Roman"/>
          <w:i/>
          <w:lang w:val="pl-PL"/>
        </w:rPr>
        <w:t>Witzsch</w:t>
      </w:r>
      <w:proofErr w:type="spellEnd"/>
      <w:r w:rsidR="006060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w:t>
      </w:r>
      <w:r w:rsidR="0060603F" w:rsidRPr="00B45853">
        <w:rPr>
          <w:rFonts w:ascii="Times New Roman" w:hAnsi="Times New Roman" w:cs="Times New Roman"/>
          <w:i/>
          <w:lang w:val="pl-PL"/>
        </w:rPr>
        <w:t>Niemcom</w:t>
      </w:r>
      <w:r w:rsidR="0060603F" w:rsidRPr="00B45853">
        <w:rPr>
          <w:rFonts w:ascii="Times New Roman" w:hAnsi="Times New Roman" w:cs="Times New Roman"/>
          <w:lang w:val="pl-PL"/>
        </w:rPr>
        <w:t xml:space="preserve"> (</w:t>
      </w:r>
      <w:proofErr w:type="spellStart"/>
      <w:r w:rsidR="0060603F" w:rsidRPr="00B45853">
        <w:rPr>
          <w:rFonts w:ascii="Times New Roman" w:hAnsi="Times New Roman" w:cs="Times New Roman"/>
          <w:lang w:val="pl-PL"/>
        </w:rPr>
        <w:t>dec</w:t>
      </w:r>
      <w:proofErr w:type="spellEnd"/>
      <w:r w:rsidR="0060603F" w:rsidRPr="00B45853">
        <w:rPr>
          <w:rFonts w:ascii="Times New Roman" w:hAnsi="Times New Roman" w:cs="Times New Roman"/>
          <w:lang w:val="pl-PL"/>
        </w:rPr>
        <w:t>.), nr</w:t>
      </w:r>
      <w:r w:rsidR="00A220C6" w:rsidRPr="00B45853">
        <w:rPr>
          <w:rFonts w:ascii="Times New Roman" w:hAnsi="Times New Roman" w:cs="Times New Roman"/>
          <w:lang w:val="pl-PL"/>
        </w:rPr>
        <w:t> 7485/03, 13 </w:t>
      </w:r>
      <w:r w:rsidR="0060603F" w:rsidRPr="00B45853">
        <w:rPr>
          <w:rFonts w:ascii="Times New Roman" w:hAnsi="Times New Roman" w:cs="Times New Roman"/>
          <w:lang w:val="pl-PL"/>
        </w:rPr>
        <w:t>Grudnia</w:t>
      </w:r>
      <w:r w:rsidR="00A220C6" w:rsidRPr="00B45853">
        <w:rPr>
          <w:rFonts w:ascii="Times New Roman" w:hAnsi="Times New Roman" w:cs="Times New Roman"/>
          <w:lang w:val="pl-PL"/>
        </w:rPr>
        <w:t xml:space="preserve"> 2005</w:t>
      </w:r>
      <w:r w:rsidR="0060603F" w:rsidRPr="00B45853">
        <w:rPr>
          <w:rFonts w:ascii="Times New Roman" w:hAnsi="Times New Roman" w:cs="Times New Roman"/>
          <w:lang w:val="pl-PL"/>
        </w:rPr>
        <w:t xml:space="preserve"> roku; i</w:t>
      </w:r>
      <w:r w:rsidR="00A220C6" w:rsidRPr="00B45853">
        <w:rPr>
          <w:rFonts w:ascii="Times New Roman" w:hAnsi="Times New Roman" w:cs="Times New Roman"/>
          <w:lang w:val="pl-PL"/>
        </w:rPr>
        <w:t xml:space="preserve"> </w:t>
      </w:r>
      <w:r w:rsidR="0060603F" w:rsidRPr="00B45853">
        <w:rPr>
          <w:rFonts w:ascii="Times New Roman" w:hAnsi="Times New Roman" w:cs="Times New Roman"/>
          <w:i/>
          <w:lang w:val="pl-PL"/>
        </w:rPr>
        <w:t xml:space="preserve">Pavel </w:t>
      </w:r>
      <w:proofErr w:type="spellStart"/>
      <w:r w:rsidR="0060603F" w:rsidRPr="00B45853">
        <w:rPr>
          <w:rFonts w:ascii="Times New Roman" w:hAnsi="Times New Roman" w:cs="Times New Roman"/>
          <w:i/>
          <w:lang w:val="pl-PL"/>
        </w:rPr>
        <w:t>Ivanov</w:t>
      </w:r>
      <w:proofErr w:type="spellEnd"/>
      <w:r w:rsidR="006060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R</w:t>
      </w:r>
      <w:r w:rsidR="0060603F" w:rsidRPr="00B45853">
        <w:rPr>
          <w:rFonts w:ascii="Times New Roman" w:hAnsi="Times New Roman" w:cs="Times New Roman"/>
          <w:i/>
          <w:lang w:val="pl-PL"/>
        </w:rPr>
        <w:t>osji</w:t>
      </w:r>
      <w:r w:rsidR="0060603F" w:rsidRPr="00B45853">
        <w:rPr>
          <w:rFonts w:ascii="Times New Roman" w:hAnsi="Times New Roman" w:cs="Times New Roman"/>
          <w:lang w:val="pl-PL"/>
        </w:rPr>
        <w:t xml:space="preserve"> (</w:t>
      </w:r>
      <w:proofErr w:type="spellStart"/>
      <w:r w:rsidR="0060603F" w:rsidRPr="00B45853">
        <w:rPr>
          <w:rFonts w:ascii="Times New Roman" w:hAnsi="Times New Roman" w:cs="Times New Roman"/>
          <w:lang w:val="pl-PL"/>
        </w:rPr>
        <w:t>dec</w:t>
      </w:r>
      <w:proofErr w:type="spellEnd"/>
      <w:r w:rsidR="0060603F" w:rsidRPr="00B45853">
        <w:rPr>
          <w:rFonts w:ascii="Times New Roman" w:hAnsi="Times New Roman" w:cs="Times New Roman"/>
          <w:lang w:val="pl-PL"/>
        </w:rPr>
        <w:t>.), nr</w:t>
      </w:r>
      <w:r w:rsidR="00A220C6" w:rsidRPr="00B45853">
        <w:rPr>
          <w:rFonts w:ascii="Times New Roman" w:hAnsi="Times New Roman" w:cs="Times New Roman"/>
          <w:lang w:val="pl-PL"/>
        </w:rPr>
        <w:t xml:space="preserve"> 35222/04, 20 </w:t>
      </w:r>
      <w:r w:rsidR="0060603F" w:rsidRPr="00B45853">
        <w:rPr>
          <w:rFonts w:ascii="Times New Roman" w:hAnsi="Times New Roman" w:cs="Times New Roman"/>
          <w:lang w:val="pl-PL"/>
        </w:rPr>
        <w:t>Lutego</w:t>
      </w:r>
      <w:r w:rsidR="00A220C6" w:rsidRPr="00B45853">
        <w:rPr>
          <w:rFonts w:ascii="Times New Roman" w:hAnsi="Times New Roman" w:cs="Times New Roman"/>
          <w:lang w:val="pl-PL"/>
        </w:rPr>
        <w:t xml:space="preserve"> 2007</w:t>
      </w:r>
      <w:r w:rsidR="0060603F" w:rsidRPr="00B45853">
        <w:rPr>
          <w:rFonts w:ascii="Times New Roman" w:hAnsi="Times New Roman" w:cs="Times New Roman"/>
          <w:lang w:val="pl-PL"/>
        </w:rPr>
        <w:t xml:space="preserve"> roku</w:t>
      </w:r>
      <w:r w:rsidR="00A220C6" w:rsidRPr="00B45853">
        <w:rPr>
          <w:rFonts w:ascii="Times New Roman" w:hAnsi="Times New Roman" w:cs="Times New Roman"/>
          <w:lang w:val="pl-PL"/>
        </w:rPr>
        <w:t>).</w:t>
      </w:r>
    </w:p>
    <w:p w:rsidR="00A220C6" w:rsidRPr="000702B6" w:rsidRDefault="00DD67A4" w:rsidP="00171A6F">
      <w:pPr>
        <w:pStyle w:val="ECHRPara"/>
        <w:rPr>
          <w:rFonts w:ascii="Times New Roman" w:hAnsi="Times New Roman" w:cs="Times New Roman"/>
          <w:b/>
          <w:snapToGrid w:val="0"/>
          <w:szCs w:val="24"/>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60603F" w:rsidRPr="00B45853">
        <w:rPr>
          <w:rFonts w:ascii="Times New Roman" w:hAnsi="Times New Roman" w:cs="Times New Roman"/>
          <w:lang w:val="pl-PL"/>
        </w:rPr>
        <w:t>Ponadto Trybunał przypomina, że prawo do ochrony reputacji jest prawem, które jest chronione na mocy Artykułu 8 Konwencji w ramach prawa do poszanowania życia prywatnego (zobacz</w:t>
      </w:r>
      <w:r w:rsidR="00A220C6" w:rsidRPr="00B45853">
        <w:rPr>
          <w:rFonts w:ascii="Times New Roman" w:hAnsi="Times New Roman" w:cs="Times New Roman"/>
          <w:lang w:val="pl-PL"/>
        </w:rPr>
        <w:t xml:space="preserve"> </w:t>
      </w:r>
      <w:proofErr w:type="spellStart"/>
      <w:r w:rsidR="0060603F" w:rsidRPr="00B45853">
        <w:rPr>
          <w:rFonts w:ascii="Times New Roman" w:hAnsi="Times New Roman" w:cs="Times New Roman"/>
          <w:i/>
          <w:lang w:val="pl-PL"/>
        </w:rPr>
        <w:t>Chauvy</w:t>
      </w:r>
      <w:proofErr w:type="spellEnd"/>
      <w:r w:rsidR="0060603F" w:rsidRPr="00B45853">
        <w:rPr>
          <w:rFonts w:ascii="Times New Roman" w:hAnsi="Times New Roman" w:cs="Times New Roman"/>
          <w:i/>
          <w:lang w:val="pl-PL"/>
        </w:rPr>
        <w:t xml:space="preserve"> i</w:t>
      </w:r>
      <w:r w:rsidR="00A220C6" w:rsidRPr="00B45853">
        <w:rPr>
          <w:rFonts w:ascii="Times New Roman" w:hAnsi="Times New Roman" w:cs="Times New Roman"/>
          <w:i/>
          <w:lang w:val="pl-PL"/>
        </w:rPr>
        <w:t xml:space="preserve"> </w:t>
      </w:r>
      <w:r w:rsidR="0060603F" w:rsidRPr="00B45853">
        <w:rPr>
          <w:rFonts w:ascii="Times New Roman" w:hAnsi="Times New Roman" w:cs="Times New Roman"/>
          <w:i/>
          <w:lang w:val="pl-PL"/>
        </w:rPr>
        <w:t>Inni</w:t>
      </w:r>
      <w:r w:rsidR="00A220C6" w:rsidRPr="00B45853">
        <w:rPr>
          <w:rFonts w:ascii="Times New Roman" w:hAnsi="Times New Roman" w:cs="Times New Roman"/>
          <w:lang w:val="pl-PL"/>
        </w:rPr>
        <w:t xml:space="preserve">, </w:t>
      </w:r>
      <w:r w:rsidR="0060603F" w:rsidRPr="00B45853">
        <w:rPr>
          <w:rFonts w:ascii="Times New Roman" w:hAnsi="Times New Roman" w:cs="Times New Roman"/>
          <w:lang w:val="pl-PL"/>
        </w:rPr>
        <w:t xml:space="preserve">cytowany </w:t>
      </w:r>
      <w:r w:rsidR="0060603F" w:rsidRPr="00B45853">
        <w:rPr>
          <w:rFonts w:ascii="Times New Roman" w:hAnsi="Times New Roman" w:cs="Times New Roman"/>
          <w:lang w:val="pl-PL"/>
        </w:rPr>
        <w:lastRenderedPageBreak/>
        <w:t>powyżej</w:t>
      </w:r>
      <w:r w:rsidR="00A220C6" w:rsidRPr="00B45853">
        <w:rPr>
          <w:rFonts w:ascii="Times New Roman" w:hAnsi="Times New Roman" w:cs="Times New Roman"/>
          <w:lang w:val="pl-PL"/>
        </w:rPr>
        <w:t xml:space="preserve">, § 70; </w:t>
      </w:r>
      <w:proofErr w:type="spellStart"/>
      <w:r w:rsidR="0060603F" w:rsidRPr="00B45853">
        <w:rPr>
          <w:rFonts w:ascii="Times New Roman" w:hAnsi="Times New Roman" w:cs="Times New Roman"/>
          <w:i/>
          <w:lang w:val="pl-PL"/>
        </w:rPr>
        <w:t>Pfeifer</w:t>
      </w:r>
      <w:proofErr w:type="spellEnd"/>
      <w:r w:rsidR="0060603F"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Austr</w:t>
      </w:r>
      <w:r w:rsidR="0060603F" w:rsidRPr="00B45853">
        <w:rPr>
          <w:rFonts w:ascii="Times New Roman" w:hAnsi="Times New Roman" w:cs="Times New Roman"/>
          <w:i/>
          <w:lang w:val="pl-PL"/>
        </w:rPr>
        <w:t>ii</w:t>
      </w:r>
      <w:r w:rsidR="0060603F" w:rsidRPr="00B45853">
        <w:rPr>
          <w:rFonts w:ascii="Times New Roman" w:hAnsi="Times New Roman" w:cs="Times New Roman"/>
          <w:lang w:val="pl-PL"/>
        </w:rPr>
        <w:t>, nr</w:t>
      </w:r>
      <w:r w:rsidR="00A220C6" w:rsidRPr="00B45853">
        <w:rPr>
          <w:rFonts w:ascii="Times New Roman" w:hAnsi="Times New Roman" w:cs="Times New Roman"/>
          <w:lang w:val="pl-PL"/>
        </w:rPr>
        <w:t xml:space="preserve"> 12556/03, § 35, 15 </w:t>
      </w:r>
      <w:r w:rsidR="0081042A" w:rsidRPr="00B45853">
        <w:rPr>
          <w:rFonts w:ascii="Times New Roman" w:hAnsi="Times New Roman" w:cs="Times New Roman"/>
          <w:lang w:val="pl-PL"/>
        </w:rPr>
        <w:t>Listopada</w:t>
      </w:r>
      <w:r w:rsidR="00A220C6" w:rsidRPr="00B45853">
        <w:rPr>
          <w:rFonts w:ascii="Times New Roman" w:hAnsi="Times New Roman" w:cs="Times New Roman"/>
          <w:lang w:val="pl-PL"/>
        </w:rPr>
        <w:t xml:space="preserve"> 2007</w:t>
      </w:r>
      <w:r w:rsidR="0081042A" w:rsidRPr="00B45853">
        <w:rPr>
          <w:rFonts w:ascii="Times New Roman" w:hAnsi="Times New Roman" w:cs="Times New Roman"/>
          <w:lang w:val="pl-PL"/>
        </w:rPr>
        <w:t xml:space="preserve"> roku; i</w:t>
      </w:r>
      <w:r w:rsidR="00A220C6" w:rsidRPr="00B45853">
        <w:rPr>
          <w:rFonts w:ascii="Times New Roman" w:hAnsi="Times New Roman" w:cs="Times New Roman"/>
          <w:lang w:val="pl-PL"/>
        </w:rPr>
        <w:t xml:space="preserve"> </w:t>
      </w:r>
      <w:proofErr w:type="spellStart"/>
      <w:r w:rsidR="0081042A" w:rsidRPr="00B45853">
        <w:rPr>
          <w:rFonts w:ascii="Times New Roman" w:hAnsi="Times New Roman" w:cs="Times New Roman"/>
          <w:i/>
          <w:lang w:val="pl-PL"/>
        </w:rPr>
        <w:t>Polanco</w:t>
      </w:r>
      <w:proofErr w:type="spellEnd"/>
      <w:r w:rsidR="0081042A" w:rsidRPr="00B45853">
        <w:rPr>
          <w:rFonts w:ascii="Times New Roman" w:hAnsi="Times New Roman" w:cs="Times New Roman"/>
          <w:i/>
          <w:lang w:val="pl-PL"/>
        </w:rPr>
        <w:t xml:space="preserve"> </w:t>
      </w:r>
      <w:proofErr w:type="spellStart"/>
      <w:r w:rsidR="0081042A" w:rsidRPr="00B45853">
        <w:rPr>
          <w:rFonts w:ascii="Times New Roman" w:hAnsi="Times New Roman" w:cs="Times New Roman"/>
          <w:i/>
          <w:lang w:val="pl-PL"/>
        </w:rPr>
        <w:t>Torres</w:t>
      </w:r>
      <w:proofErr w:type="spellEnd"/>
      <w:r w:rsidR="0081042A" w:rsidRPr="00B45853">
        <w:rPr>
          <w:rFonts w:ascii="Times New Roman" w:hAnsi="Times New Roman" w:cs="Times New Roman"/>
          <w:i/>
          <w:lang w:val="pl-PL"/>
        </w:rPr>
        <w:t xml:space="preserve"> i </w:t>
      </w:r>
      <w:proofErr w:type="spellStart"/>
      <w:r w:rsidR="0081042A" w:rsidRPr="00B45853">
        <w:rPr>
          <w:rFonts w:ascii="Times New Roman" w:hAnsi="Times New Roman" w:cs="Times New Roman"/>
          <w:i/>
          <w:lang w:val="pl-PL"/>
        </w:rPr>
        <w:t>Movilla</w:t>
      </w:r>
      <w:proofErr w:type="spellEnd"/>
      <w:r w:rsidR="0081042A" w:rsidRPr="00B45853">
        <w:rPr>
          <w:rFonts w:ascii="Times New Roman" w:hAnsi="Times New Roman" w:cs="Times New Roman"/>
          <w:i/>
          <w:lang w:val="pl-PL"/>
        </w:rPr>
        <w:t xml:space="preserve"> </w:t>
      </w:r>
      <w:proofErr w:type="spellStart"/>
      <w:r w:rsidR="0081042A" w:rsidRPr="00B45853">
        <w:rPr>
          <w:rFonts w:ascii="Times New Roman" w:hAnsi="Times New Roman" w:cs="Times New Roman"/>
          <w:i/>
          <w:lang w:val="pl-PL"/>
        </w:rPr>
        <w:t>Polanco</w:t>
      </w:r>
      <w:proofErr w:type="spellEnd"/>
      <w:r w:rsidR="0081042A" w:rsidRPr="00B45853">
        <w:rPr>
          <w:rFonts w:ascii="Times New Roman" w:hAnsi="Times New Roman" w:cs="Times New Roman"/>
          <w:i/>
          <w:lang w:val="pl-PL"/>
        </w:rPr>
        <w:t xml:space="preserve"> przeciwko</w:t>
      </w:r>
      <w:r w:rsidR="00A220C6" w:rsidRPr="00B45853">
        <w:rPr>
          <w:rFonts w:ascii="Times New Roman" w:hAnsi="Times New Roman" w:cs="Times New Roman"/>
          <w:i/>
          <w:lang w:val="pl-PL"/>
        </w:rPr>
        <w:t xml:space="preserve"> </w:t>
      </w:r>
      <w:r w:rsidR="0081042A" w:rsidRPr="00B45853">
        <w:rPr>
          <w:rFonts w:ascii="Times New Roman" w:hAnsi="Times New Roman" w:cs="Times New Roman"/>
          <w:i/>
          <w:lang w:val="pl-PL"/>
        </w:rPr>
        <w:t>Hiszpanii</w:t>
      </w:r>
      <w:r w:rsidR="0081042A" w:rsidRPr="00B45853">
        <w:rPr>
          <w:rFonts w:ascii="Times New Roman" w:hAnsi="Times New Roman" w:cs="Times New Roman"/>
          <w:lang w:val="pl-PL"/>
        </w:rPr>
        <w:t>, nr</w:t>
      </w:r>
      <w:r w:rsidR="00A220C6" w:rsidRPr="00B45853">
        <w:rPr>
          <w:rFonts w:ascii="Times New Roman" w:hAnsi="Times New Roman" w:cs="Times New Roman"/>
          <w:lang w:val="pl-PL"/>
        </w:rPr>
        <w:t> 34147/06</w:t>
      </w:r>
      <w:r w:rsidR="00A220C6" w:rsidRPr="00B45853">
        <w:rPr>
          <w:rFonts w:ascii="Times New Roman" w:hAnsi="Times New Roman" w:cs="Times New Roman"/>
          <w:snapToGrid w:val="0"/>
          <w:szCs w:val="24"/>
          <w:lang w:val="pl-PL"/>
        </w:rPr>
        <w:t xml:space="preserve">, § 40, 21 </w:t>
      </w:r>
      <w:r w:rsidR="0081042A" w:rsidRPr="00B45853">
        <w:rPr>
          <w:rFonts w:ascii="Times New Roman" w:hAnsi="Times New Roman" w:cs="Times New Roman"/>
          <w:snapToGrid w:val="0"/>
          <w:szCs w:val="24"/>
          <w:lang w:val="pl-PL"/>
        </w:rPr>
        <w:t>Września</w:t>
      </w:r>
      <w:r w:rsidR="00A220C6" w:rsidRPr="00B45853">
        <w:rPr>
          <w:rFonts w:ascii="Times New Roman" w:hAnsi="Times New Roman" w:cs="Times New Roman"/>
          <w:snapToGrid w:val="0"/>
          <w:szCs w:val="24"/>
          <w:lang w:val="pl-PL"/>
        </w:rPr>
        <w:t xml:space="preserve"> 2010</w:t>
      </w:r>
      <w:r w:rsidR="0081042A" w:rsidRPr="00B45853">
        <w:rPr>
          <w:rFonts w:ascii="Times New Roman" w:hAnsi="Times New Roman" w:cs="Times New Roman"/>
          <w:snapToGrid w:val="0"/>
          <w:szCs w:val="24"/>
          <w:lang w:val="pl-PL"/>
        </w:rPr>
        <w:t xml:space="preserve"> roku</w:t>
      </w:r>
      <w:r w:rsidR="00A220C6" w:rsidRPr="000702B6">
        <w:rPr>
          <w:rFonts w:ascii="Times New Roman" w:hAnsi="Times New Roman" w:cs="Times New Roman"/>
          <w:snapToGrid w:val="0"/>
          <w:szCs w:val="24"/>
          <w:lang w:val="pl-PL"/>
        </w:rPr>
        <w:t xml:space="preserve">). </w:t>
      </w:r>
      <w:r w:rsidR="0081042A" w:rsidRPr="000702B6">
        <w:rPr>
          <w:rFonts w:ascii="Times New Roman" w:hAnsi="Times New Roman" w:cs="Times New Roman"/>
          <w:lang w:val="pl-PL"/>
        </w:rPr>
        <w:t>Aby Artykuł 8 wszedł w grę, atak na reputację danej osoby jednak musi osiągnąć pewien poziom powagi i być wykonany w sposób</w:t>
      </w:r>
      <w:r w:rsidR="0091377A" w:rsidRPr="000702B6">
        <w:rPr>
          <w:rFonts w:ascii="Times New Roman" w:hAnsi="Times New Roman" w:cs="Times New Roman"/>
          <w:lang w:val="pl-PL"/>
        </w:rPr>
        <w:t xml:space="preserve"> powodujący szkody dla osobistego </w:t>
      </w:r>
      <w:r w:rsidR="0081042A" w:rsidRPr="000702B6">
        <w:rPr>
          <w:rFonts w:ascii="Times New Roman" w:hAnsi="Times New Roman" w:cs="Times New Roman"/>
          <w:lang w:val="pl-PL"/>
        </w:rPr>
        <w:t xml:space="preserve"> </w:t>
      </w:r>
      <w:r w:rsidR="0091377A" w:rsidRPr="000702B6">
        <w:rPr>
          <w:rFonts w:ascii="Times New Roman" w:hAnsi="Times New Roman" w:cs="Times New Roman"/>
          <w:lang w:val="pl-PL"/>
        </w:rPr>
        <w:t xml:space="preserve">korzystania z </w:t>
      </w:r>
      <w:r w:rsidR="0081042A" w:rsidRPr="000702B6">
        <w:rPr>
          <w:rFonts w:ascii="Times New Roman" w:hAnsi="Times New Roman" w:cs="Times New Roman"/>
          <w:lang w:val="pl-PL"/>
        </w:rPr>
        <w:t xml:space="preserve">prawa do poszanowania życia prywatnego </w:t>
      </w:r>
      <w:r w:rsidR="00A220C6" w:rsidRPr="000702B6">
        <w:rPr>
          <w:rFonts w:ascii="Times New Roman" w:hAnsi="Times New Roman" w:cs="Times New Roman"/>
          <w:lang w:val="pl-PL"/>
        </w:rPr>
        <w:t>(</w:t>
      </w:r>
      <w:r w:rsidR="0081042A" w:rsidRPr="000702B6">
        <w:rPr>
          <w:rFonts w:ascii="Times New Roman" w:hAnsi="Times New Roman" w:cs="Times New Roman"/>
          <w:lang w:val="pl-PL"/>
        </w:rPr>
        <w:t>zobacz</w:t>
      </w:r>
      <w:r w:rsidR="00A220C6" w:rsidRPr="000702B6">
        <w:rPr>
          <w:rFonts w:ascii="Times New Roman" w:hAnsi="Times New Roman" w:cs="Times New Roman"/>
          <w:lang w:val="pl-PL"/>
        </w:rPr>
        <w:t xml:space="preserve"> </w:t>
      </w:r>
      <w:r w:rsidR="0081042A" w:rsidRPr="000702B6">
        <w:rPr>
          <w:rFonts w:ascii="Times New Roman" w:hAnsi="Times New Roman" w:cs="Times New Roman"/>
          <w:i/>
          <w:lang w:val="pl-PL"/>
        </w:rPr>
        <w:t>A. przeciwko</w:t>
      </w:r>
      <w:r w:rsidR="00A220C6" w:rsidRPr="000702B6">
        <w:rPr>
          <w:rFonts w:ascii="Times New Roman" w:hAnsi="Times New Roman" w:cs="Times New Roman"/>
          <w:i/>
          <w:lang w:val="pl-PL"/>
        </w:rPr>
        <w:t> Norw</w:t>
      </w:r>
      <w:r w:rsidR="0081042A" w:rsidRPr="000702B6">
        <w:rPr>
          <w:rFonts w:ascii="Times New Roman" w:hAnsi="Times New Roman" w:cs="Times New Roman"/>
          <w:i/>
          <w:lang w:val="pl-PL"/>
        </w:rPr>
        <w:t>egii</w:t>
      </w:r>
      <w:r w:rsidR="0081042A" w:rsidRPr="000702B6">
        <w:rPr>
          <w:rFonts w:ascii="Times New Roman" w:hAnsi="Times New Roman" w:cs="Times New Roman"/>
          <w:lang w:val="pl-PL"/>
        </w:rPr>
        <w:t>, nr</w:t>
      </w:r>
      <w:r w:rsidR="00A220C6" w:rsidRPr="000702B6">
        <w:rPr>
          <w:rFonts w:ascii="Times New Roman" w:hAnsi="Times New Roman" w:cs="Times New Roman"/>
          <w:lang w:val="pl-PL"/>
        </w:rPr>
        <w:t xml:space="preserve"> 28070/06, </w:t>
      </w:r>
      <w:r w:rsidR="00A220C6" w:rsidRPr="000702B6">
        <w:rPr>
          <w:rFonts w:ascii="Times New Roman" w:hAnsi="Times New Roman" w:cs="Times New Roman"/>
          <w:snapToGrid w:val="0"/>
          <w:lang w:val="pl-PL"/>
        </w:rPr>
        <w:t xml:space="preserve">§ 64, 9 </w:t>
      </w:r>
      <w:r w:rsidR="0081042A" w:rsidRPr="000702B6">
        <w:rPr>
          <w:rFonts w:ascii="Times New Roman" w:hAnsi="Times New Roman" w:cs="Times New Roman"/>
          <w:snapToGrid w:val="0"/>
          <w:lang w:val="pl-PL"/>
        </w:rPr>
        <w:t xml:space="preserve">Kwietnia </w:t>
      </w:r>
      <w:r w:rsidR="00A220C6" w:rsidRPr="000702B6">
        <w:rPr>
          <w:rFonts w:ascii="Times New Roman" w:hAnsi="Times New Roman" w:cs="Times New Roman"/>
          <w:snapToGrid w:val="0"/>
          <w:lang w:val="pl-PL"/>
        </w:rPr>
        <w:t>2009</w:t>
      </w:r>
      <w:r w:rsidR="0081042A" w:rsidRPr="000702B6">
        <w:rPr>
          <w:rFonts w:ascii="Times New Roman" w:hAnsi="Times New Roman" w:cs="Times New Roman"/>
          <w:snapToGrid w:val="0"/>
          <w:lang w:val="pl-PL"/>
        </w:rPr>
        <w:t xml:space="preserve"> roku</w:t>
      </w:r>
      <w:r w:rsidR="00A220C6" w:rsidRPr="000702B6">
        <w:rPr>
          <w:rFonts w:ascii="Times New Roman" w:hAnsi="Times New Roman" w:cs="Times New Roman"/>
          <w:snapToGrid w:val="0"/>
          <w:lang w:val="pl-PL"/>
        </w:rPr>
        <w:t xml:space="preserve">, </w:t>
      </w:r>
      <w:r w:rsidR="0081042A" w:rsidRPr="000702B6">
        <w:rPr>
          <w:rFonts w:ascii="Times New Roman" w:hAnsi="Times New Roman" w:cs="Times New Roman"/>
          <w:snapToGrid w:val="0"/>
          <w:lang w:val="pl-PL"/>
        </w:rPr>
        <w:t>i</w:t>
      </w:r>
      <w:r w:rsidR="00A220C6" w:rsidRPr="000702B6">
        <w:rPr>
          <w:rFonts w:ascii="Times New Roman" w:hAnsi="Times New Roman" w:cs="Times New Roman"/>
          <w:snapToGrid w:val="0"/>
          <w:lang w:val="pl-PL"/>
        </w:rPr>
        <w:t xml:space="preserve"> </w:t>
      </w:r>
      <w:r w:rsidR="0081042A" w:rsidRPr="000702B6">
        <w:rPr>
          <w:rFonts w:ascii="Times New Roman" w:hAnsi="Times New Roman" w:cs="Times New Roman"/>
          <w:i/>
          <w:lang w:val="pl-PL"/>
        </w:rPr>
        <w:t>Axel Springer AG przeciwko</w:t>
      </w:r>
      <w:r w:rsidR="00A220C6" w:rsidRPr="000702B6">
        <w:rPr>
          <w:rFonts w:ascii="Times New Roman" w:hAnsi="Times New Roman" w:cs="Times New Roman"/>
          <w:i/>
          <w:lang w:val="pl-PL"/>
        </w:rPr>
        <w:t> </w:t>
      </w:r>
      <w:r w:rsidR="0081042A" w:rsidRPr="000702B6">
        <w:rPr>
          <w:rFonts w:ascii="Times New Roman" w:hAnsi="Times New Roman" w:cs="Times New Roman"/>
          <w:i/>
          <w:lang w:val="pl-PL"/>
        </w:rPr>
        <w:t>Niemcom</w:t>
      </w:r>
      <w:r w:rsidR="00A220C6" w:rsidRPr="000702B6">
        <w:rPr>
          <w:rFonts w:ascii="Times New Roman" w:hAnsi="Times New Roman" w:cs="Times New Roman"/>
          <w:i/>
          <w:lang w:val="pl-PL"/>
        </w:rPr>
        <w:t xml:space="preserve"> </w:t>
      </w:r>
      <w:r w:rsidR="0081042A" w:rsidRPr="000702B6">
        <w:rPr>
          <w:rFonts w:ascii="Times New Roman" w:hAnsi="Times New Roman" w:cs="Times New Roman"/>
          <w:lang w:val="pl-PL"/>
        </w:rPr>
        <w:t>[GC], nr</w:t>
      </w:r>
      <w:r w:rsidR="00A220C6" w:rsidRPr="000702B6">
        <w:rPr>
          <w:rFonts w:ascii="Times New Roman" w:hAnsi="Times New Roman" w:cs="Times New Roman"/>
          <w:lang w:val="pl-PL"/>
        </w:rPr>
        <w:t xml:space="preserve"> 39954/08</w:t>
      </w:r>
      <w:r w:rsidR="00A220C6" w:rsidRPr="000702B6">
        <w:rPr>
          <w:rFonts w:ascii="Times New Roman" w:hAnsi="Times New Roman" w:cs="Times New Roman"/>
          <w:snapToGrid w:val="0"/>
          <w:szCs w:val="24"/>
          <w:lang w:val="pl-PL"/>
        </w:rPr>
        <w:t xml:space="preserve">, § 83, </w:t>
      </w:r>
      <w:r w:rsidR="00A220C6" w:rsidRPr="000702B6">
        <w:rPr>
          <w:rFonts w:ascii="Times New Roman" w:hAnsi="Times New Roman" w:cs="Times New Roman"/>
          <w:szCs w:val="24"/>
          <w:lang w:val="pl-PL"/>
        </w:rPr>
        <w:t>7</w:t>
      </w:r>
      <w:r w:rsidR="00A220C6" w:rsidRPr="000702B6">
        <w:rPr>
          <w:rFonts w:ascii="Times New Roman" w:hAnsi="Times New Roman" w:cs="Times New Roman"/>
          <w:snapToGrid w:val="0"/>
          <w:szCs w:val="24"/>
          <w:lang w:val="pl-PL"/>
        </w:rPr>
        <w:t xml:space="preserve"> </w:t>
      </w:r>
      <w:r w:rsidR="0081042A" w:rsidRPr="000702B6">
        <w:rPr>
          <w:rFonts w:ascii="Times New Roman" w:hAnsi="Times New Roman" w:cs="Times New Roman"/>
          <w:snapToGrid w:val="0"/>
          <w:szCs w:val="24"/>
          <w:lang w:val="pl-PL"/>
        </w:rPr>
        <w:t>Lutego</w:t>
      </w:r>
      <w:r w:rsidR="00A220C6" w:rsidRPr="000702B6">
        <w:rPr>
          <w:rFonts w:ascii="Times New Roman" w:hAnsi="Times New Roman" w:cs="Times New Roman"/>
          <w:snapToGrid w:val="0"/>
          <w:szCs w:val="24"/>
          <w:lang w:val="pl-PL"/>
        </w:rPr>
        <w:t xml:space="preserve"> 2012</w:t>
      </w:r>
      <w:r w:rsidR="0081042A" w:rsidRPr="000702B6">
        <w:rPr>
          <w:rFonts w:ascii="Times New Roman" w:hAnsi="Times New Roman" w:cs="Times New Roman"/>
          <w:snapToGrid w:val="0"/>
          <w:szCs w:val="24"/>
          <w:lang w:val="pl-PL"/>
        </w:rPr>
        <w:t xml:space="preserve"> roku</w:t>
      </w:r>
      <w:r w:rsidR="00A220C6" w:rsidRPr="000702B6">
        <w:rPr>
          <w:rFonts w:ascii="Times New Roman" w:hAnsi="Times New Roman" w:cs="Times New Roman"/>
          <w:snapToGrid w:val="0"/>
          <w:szCs w:val="24"/>
          <w:lang w:val="pl-PL"/>
        </w:rPr>
        <w:t>).</w:t>
      </w:r>
    </w:p>
    <w:p w:rsidR="00A220C6" w:rsidRPr="000702B6" w:rsidRDefault="00DD67A4" w:rsidP="00171A6F">
      <w:pPr>
        <w:pStyle w:val="ECHRPara"/>
        <w:rPr>
          <w:rFonts w:ascii="Times New Roman" w:hAnsi="Times New Roman" w:cs="Times New Roman"/>
          <w:snapToGrid w:val="0"/>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138</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81042A" w:rsidRPr="000702B6">
        <w:rPr>
          <w:rFonts w:ascii="Times New Roman" w:hAnsi="Times New Roman" w:cs="Times New Roman"/>
          <w:lang w:val="pl-PL"/>
        </w:rPr>
        <w:t xml:space="preserve">Badając, czy istnieje potrzeba ingerencji w wolność wypowiedzi </w:t>
      </w:r>
      <w:r w:rsidR="00242B46">
        <w:rPr>
          <w:rFonts w:ascii="Times New Roman" w:hAnsi="Times New Roman" w:cs="Times New Roman"/>
          <w:lang w:val="pl-PL"/>
        </w:rPr>
        <w:br/>
      </w:r>
      <w:r w:rsidR="0081042A" w:rsidRPr="000702B6">
        <w:rPr>
          <w:rFonts w:ascii="Times New Roman" w:hAnsi="Times New Roman" w:cs="Times New Roman"/>
          <w:lang w:val="pl-PL"/>
        </w:rPr>
        <w:t>w społeczeństwie demokratycznym w interesie "ochrony dobrego</w:t>
      </w:r>
      <w:r w:rsidR="0081042A" w:rsidRPr="00B45853">
        <w:rPr>
          <w:rFonts w:ascii="Times New Roman" w:hAnsi="Times New Roman" w:cs="Times New Roman"/>
          <w:lang w:val="pl-PL"/>
        </w:rPr>
        <w:t xml:space="preserve"> imienia </w:t>
      </w:r>
      <w:r w:rsidR="00242B46">
        <w:rPr>
          <w:rFonts w:ascii="Times New Roman" w:hAnsi="Times New Roman" w:cs="Times New Roman"/>
          <w:lang w:val="pl-PL"/>
        </w:rPr>
        <w:br/>
      </w:r>
      <w:r w:rsidR="0081042A" w:rsidRPr="00B45853">
        <w:rPr>
          <w:rFonts w:ascii="Times New Roman" w:hAnsi="Times New Roman" w:cs="Times New Roman"/>
          <w:lang w:val="pl-PL"/>
        </w:rPr>
        <w:t xml:space="preserve">i praw innych osób", Trybunał może być zobowiązany do ustalenia, czy władze krajowe zachowały odpowiednią równowagę przy ochronie dwóch wartości gwarantowanych przez Konwencję, które mogą wejść w konflikt ze </w:t>
      </w:r>
      <w:r w:rsidR="0081042A" w:rsidRPr="000702B6">
        <w:rPr>
          <w:rFonts w:ascii="Times New Roman" w:hAnsi="Times New Roman" w:cs="Times New Roman"/>
          <w:lang w:val="pl-PL"/>
        </w:rPr>
        <w:t>sobą w niektórych przypadkach, a mianowicie w sprawie swobody</w:t>
      </w:r>
      <w:r w:rsidR="0091377A" w:rsidRPr="000702B6">
        <w:rPr>
          <w:rFonts w:ascii="Times New Roman" w:hAnsi="Times New Roman" w:cs="Times New Roman"/>
          <w:lang w:val="pl-PL"/>
        </w:rPr>
        <w:t xml:space="preserve"> </w:t>
      </w:r>
      <w:r w:rsidR="0081042A" w:rsidRPr="000702B6">
        <w:rPr>
          <w:rFonts w:ascii="Times New Roman" w:hAnsi="Times New Roman" w:cs="Times New Roman"/>
          <w:lang w:val="pl-PL"/>
        </w:rPr>
        <w:t>wypowiedzi</w:t>
      </w:r>
      <w:r w:rsidR="0091377A" w:rsidRPr="000702B6">
        <w:rPr>
          <w:rFonts w:ascii="Times New Roman" w:hAnsi="Times New Roman" w:cs="Times New Roman"/>
          <w:lang w:val="pl-PL"/>
        </w:rPr>
        <w:t xml:space="preserve"> z jednej strony</w:t>
      </w:r>
      <w:r w:rsidR="0081042A" w:rsidRPr="000702B6">
        <w:rPr>
          <w:rFonts w:ascii="Times New Roman" w:hAnsi="Times New Roman" w:cs="Times New Roman"/>
          <w:lang w:val="pl-PL"/>
        </w:rPr>
        <w:t xml:space="preserve"> chronionej na mocy Artykułu 10, a z drugiej strony prawa do poszanowania życia prywatnego zapisanego w Artykule 8 </w:t>
      </w:r>
      <w:r w:rsidR="00A220C6" w:rsidRPr="000702B6">
        <w:rPr>
          <w:rFonts w:ascii="Times New Roman" w:hAnsi="Times New Roman" w:cs="Times New Roman"/>
          <w:lang w:val="pl-PL"/>
        </w:rPr>
        <w:t>(</w:t>
      </w:r>
      <w:r w:rsidR="0081042A" w:rsidRPr="000702B6">
        <w:rPr>
          <w:rFonts w:ascii="Times New Roman" w:hAnsi="Times New Roman" w:cs="Times New Roman"/>
          <w:lang w:val="pl-PL"/>
        </w:rPr>
        <w:t xml:space="preserve">zobacz </w:t>
      </w:r>
      <w:r w:rsidR="0081042A" w:rsidRPr="000702B6">
        <w:rPr>
          <w:rFonts w:ascii="Times New Roman" w:hAnsi="Times New Roman" w:cs="Times New Roman"/>
          <w:i/>
          <w:lang w:val="pl-PL"/>
        </w:rPr>
        <w:t xml:space="preserve">Hachette </w:t>
      </w:r>
      <w:proofErr w:type="spellStart"/>
      <w:r w:rsidR="0081042A" w:rsidRPr="000702B6">
        <w:rPr>
          <w:rFonts w:ascii="Times New Roman" w:hAnsi="Times New Roman" w:cs="Times New Roman"/>
          <w:i/>
          <w:lang w:val="pl-PL"/>
        </w:rPr>
        <w:t>Filipacchi</w:t>
      </w:r>
      <w:proofErr w:type="spellEnd"/>
      <w:r w:rsidR="0081042A" w:rsidRPr="000702B6">
        <w:rPr>
          <w:rFonts w:ascii="Times New Roman" w:hAnsi="Times New Roman" w:cs="Times New Roman"/>
          <w:i/>
          <w:lang w:val="pl-PL"/>
        </w:rPr>
        <w:t xml:space="preserve"> </w:t>
      </w:r>
      <w:proofErr w:type="spellStart"/>
      <w:r w:rsidR="0081042A" w:rsidRPr="000702B6">
        <w:rPr>
          <w:rFonts w:ascii="Times New Roman" w:hAnsi="Times New Roman" w:cs="Times New Roman"/>
          <w:i/>
          <w:lang w:val="pl-PL"/>
        </w:rPr>
        <w:t>Associés</w:t>
      </w:r>
      <w:proofErr w:type="spellEnd"/>
      <w:r w:rsidR="0081042A" w:rsidRPr="000702B6">
        <w:rPr>
          <w:rFonts w:ascii="Times New Roman" w:hAnsi="Times New Roman" w:cs="Times New Roman"/>
          <w:i/>
          <w:lang w:val="pl-PL"/>
        </w:rPr>
        <w:t xml:space="preserve"> przeciwko</w:t>
      </w:r>
      <w:r w:rsidR="00A220C6" w:rsidRPr="000702B6">
        <w:rPr>
          <w:rFonts w:ascii="Times New Roman" w:hAnsi="Times New Roman" w:cs="Times New Roman"/>
          <w:i/>
          <w:lang w:val="pl-PL"/>
        </w:rPr>
        <w:t xml:space="preserve"> Franc</w:t>
      </w:r>
      <w:r w:rsidR="0081042A" w:rsidRPr="000702B6">
        <w:rPr>
          <w:rFonts w:ascii="Times New Roman" w:hAnsi="Times New Roman" w:cs="Times New Roman"/>
          <w:i/>
          <w:lang w:val="pl-PL"/>
        </w:rPr>
        <w:t>ji</w:t>
      </w:r>
      <w:r w:rsidR="0081042A" w:rsidRPr="000702B6">
        <w:rPr>
          <w:rFonts w:ascii="Times New Roman" w:hAnsi="Times New Roman" w:cs="Times New Roman"/>
          <w:lang w:val="pl-PL"/>
        </w:rPr>
        <w:t>, nr</w:t>
      </w:r>
      <w:r w:rsidR="00A220C6" w:rsidRPr="000702B6">
        <w:rPr>
          <w:rFonts w:ascii="Times New Roman" w:hAnsi="Times New Roman" w:cs="Times New Roman"/>
          <w:lang w:val="pl-PL"/>
        </w:rPr>
        <w:t xml:space="preserve"> 71111/01, § 43, 14 </w:t>
      </w:r>
      <w:r w:rsidR="006B1CAF" w:rsidRPr="000702B6">
        <w:rPr>
          <w:rFonts w:ascii="Times New Roman" w:hAnsi="Times New Roman" w:cs="Times New Roman"/>
          <w:lang w:val="pl-PL"/>
        </w:rPr>
        <w:t>Cz</w:t>
      </w:r>
      <w:r w:rsidR="0081042A" w:rsidRPr="000702B6">
        <w:rPr>
          <w:rFonts w:ascii="Times New Roman" w:hAnsi="Times New Roman" w:cs="Times New Roman"/>
          <w:lang w:val="pl-PL"/>
        </w:rPr>
        <w:t>erwca</w:t>
      </w:r>
      <w:r w:rsidR="00A220C6" w:rsidRPr="000702B6">
        <w:rPr>
          <w:rFonts w:ascii="Times New Roman" w:hAnsi="Times New Roman" w:cs="Times New Roman"/>
          <w:lang w:val="pl-PL"/>
        </w:rPr>
        <w:t xml:space="preserve"> 2007</w:t>
      </w:r>
      <w:r w:rsidR="006B1CAF" w:rsidRPr="000702B6">
        <w:rPr>
          <w:rFonts w:ascii="Times New Roman" w:hAnsi="Times New Roman" w:cs="Times New Roman"/>
          <w:lang w:val="pl-PL"/>
        </w:rPr>
        <w:t xml:space="preserve"> roku</w:t>
      </w:r>
      <w:r w:rsidR="00A220C6" w:rsidRPr="000702B6">
        <w:rPr>
          <w:rFonts w:ascii="Times New Roman" w:hAnsi="Times New Roman" w:cs="Times New Roman"/>
          <w:lang w:val="pl-PL"/>
        </w:rPr>
        <w:t xml:space="preserve">; </w:t>
      </w:r>
      <w:r w:rsidR="00A220C6" w:rsidRPr="000702B6">
        <w:rPr>
          <w:rFonts w:ascii="Times New Roman" w:hAnsi="Times New Roman" w:cs="Times New Roman"/>
          <w:i/>
          <w:lang w:val="pl-PL"/>
        </w:rPr>
        <w:t xml:space="preserve">MGN Limited </w:t>
      </w:r>
      <w:r w:rsidR="006B1CAF" w:rsidRPr="000702B6">
        <w:rPr>
          <w:rFonts w:ascii="Times New Roman" w:hAnsi="Times New Roman" w:cs="Times New Roman"/>
          <w:i/>
          <w:lang w:val="pl-PL"/>
        </w:rPr>
        <w:t>przeciwko</w:t>
      </w:r>
      <w:r w:rsidR="00A220C6" w:rsidRPr="000702B6">
        <w:rPr>
          <w:rFonts w:ascii="Times New Roman" w:hAnsi="Times New Roman" w:cs="Times New Roman"/>
          <w:i/>
          <w:lang w:val="pl-PL"/>
        </w:rPr>
        <w:t xml:space="preserve"> </w:t>
      </w:r>
      <w:r w:rsidR="006B1CAF" w:rsidRPr="000702B6">
        <w:rPr>
          <w:rFonts w:ascii="Times New Roman" w:hAnsi="Times New Roman" w:cs="Times New Roman"/>
          <w:i/>
          <w:lang w:val="pl-PL"/>
        </w:rPr>
        <w:t>Wielkiej Brytanii</w:t>
      </w:r>
      <w:r w:rsidR="006B1CAF" w:rsidRPr="000702B6">
        <w:rPr>
          <w:rFonts w:ascii="Times New Roman" w:hAnsi="Times New Roman" w:cs="Times New Roman"/>
          <w:lang w:val="pl-PL"/>
        </w:rPr>
        <w:t>, nr</w:t>
      </w:r>
      <w:r w:rsidR="00A220C6" w:rsidRPr="000702B6">
        <w:rPr>
          <w:rFonts w:ascii="Times New Roman" w:hAnsi="Times New Roman" w:cs="Times New Roman"/>
          <w:lang w:val="pl-PL"/>
        </w:rPr>
        <w:t xml:space="preserve"> 39401/04</w:t>
      </w:r>
      <w:r w:rsidR="00A220C6" w:rsidRPr="000702B6">
        <w:rPr>
          <w:rFonts w:ascii="Times New Roman" w:hAnsi="Times New Roman" w:cs="Times New Roman"/>
          <w:snapToGrid w:val="0"/>
          <w:lang w:val="pl-PL"/>
        </w:rPr>
        <w:t>, § 142, 18 </w:t>
      </w:r>
      <w:r w:rsidR="006B1CAF" w:rsidRPr="000702B6">
        <w:rPr>
          <w:rFonts w:ascii="Times New Roman" w:hAnsi="Times New Roman" w:cs="Times New Roman"/>
          <w:snapToGrid w:val="0"/>
          <w:lang w:val="pl-PL"/>
        </w:rPr>
        <w:t>Stycznia</w:t>
      </w:r>
      <w:r w:rsidR="00157CBE" w:rsidRPr="000702B6">
        <w:rPr>
          <w:rFonts w:ascii="Times New Roman" w:hAnsi="Times New Roman" w:cs="Times New Roman"/>
          <w:snapToGrid w:val="0"/>
          <w:lang w:val="pl-PL"/>
        </w:rPr>
        <w:t> 2011 roku; i</w:t>
      </w:r>
      <w:r w:rsidR="00A220C6" w:rsidRPr="000702B6">
        <w:rPr>
          <w:rFonts w:ascii="Times New Roman" w:hAnsi="Times New Roman" w:cs="Times New Roman"/>
          <w:snapToGrid w:val="0"/>
          <w:lang w:val="pl-PL"/>
        </w:rPr>
        <w:t xml:space="preserve"> </w:t>
      </w:r>
      <w:r w:rsidR="00A220C6" w:rsidRPr="000702B6">
        <w:rPr>
          <w:rFonts w:ascii="Times New Roman" w:hAnsi="Times New Roman" w:cs="Times New Roman"/>
          <w:i/>
          <w:lang w:val="pl-PL"/>
        </w:rPr>
        <w:t>Axel Springer AG</w:t>
      </w:r>
      <w:r w:rsidR="00A220C6" w:rsidRPr="000702B6">
        <w:rPr>
          <w:rFonts w:ascii="Times New Roman" w:hAnsi="Times New Roman" w:cs="Times New Roman"/>
          <w:lang w:val="pl-PL"/>
        </w:rPr>
        <w:t xml:space="preserve">, </w:t>
      </w:r>
      <w:r w:rsidR="006B1CAF" w:rsidRPr="000702B6">
        <w:rPr>
          <w:rFonts w:ascii="Times New Roman" w:hAnsi="Times New Roman" w:cs="Times New Roman"/>
          <w:lang w:val="pl-PL"/>
        </w:rPr>
        <w:t>cytowany powyżej</w:t>
      </w:r>
      <w:r w:rsidR="00A220C6" w:rsidRPr="000702B6">
        <w:rPr>
          <w:rFonts w:ascii="Times New Roman" w:hAnsi="Times New Roman" w:cs="Times New Roman"/>
          <w:lang w:val="pl-PL"/>
        </w:rPr>
        <w:t>, § 84</w:t>
      </w:r>
      <w:r w:rsidR="00A220C6" w:rsidRPr="000702B6">
        <w:rPr>
          <w:rFonts w:ascii="Times New Roman" w:hAnsi="Times New Roman" w:cs="Times New Roman"/>
          <w:snapToGrid w:val="0"/>
          <w:lang w:val="pl-PL"/>
        </w:rPr>
        <w:t>).</w:t>
      </w:r>
    </w:p>
    <w:p w:rsidR="00A220C6" w:rsidRPr="00B45853" w:rsidRDefault="00DD67A4" w:rsidP="00171A6F">
      <w:pPr>
        <w:pStyle w:val="ECHRPara"/>
        <w:rPr>
          <w:rFonts w:ascii="Times New Roman" w:hAnsi="Times New Roman" w:cs="Times New Roman"/>
          <w:lang w:val="pl-PL"/>
        </w:rPr>
      </w:pPr>
      <w:r w:rsidRPr="000702B6">
        <w:rPr>
          <w:rFonts w:ascii="Times New Roman" w:hAnsi="Times New Roman" w:cs="Times New Roman"/>
          <w:snapToGrid w:val="0"/>
          <w:lang w:val="en-GB"/>
        </w:rPr>
        <w:fldChar w:fldCharType="begin"/>
      </w:r>
      <w:r w:rsidR="00A220C6" w:rsidRPr="000702B6">
        <w:rPr>
          <w:rFonts w:ascii="Times New Roman" w:hAnsi="Times New Roman" w:cs="Times New Roman"/>
          <w:snapToGrid w:val="0"/>
          <w:lang w:val="pl-PL"/>
        </w:rPr>
        <w:instrText xml:space="preserve"> SEQ level0 \*arabic </w:instrText>
      </w:r>
      <w:r w:rsidRPr="000702B6">
        <w:rPr>
          <w:rFonts w:ascii="Times New Roman" w:hAnsi="Times New Roman" w:cs="Times New Roman"/>
          <w:snapToGrid w:val="0"/>
          <w:lang w:val="en-GB"/>
        </w:rPr>
        <w:fldChar w:fldCharType="separate"/>
      </w:r>
      <w:r w:rsidR="002F0EE0" w:rsidRPr="000702B6">
        <w:rPr>
          <w:rFonts w:ascii="Times New Roman" w:hAnsi="Times New Roman" w:cs="Times New Roman"/>
          <w:noProof/>
          <w:snapToGrid w:val="0"/>
          <w:lang w:val="pl-PL"/>
        </w:rPr>
        <w:t>139</w:t>
      </w:r>
      <w:r w:rsidRPr="000702B6">
        <w:rPr>
          <w:rFonts w:ascii="Times New Roman" w:hAnsi="Times New Roman" w:cs="Times New Roman"/>
          <w:snapToGrid w:val="0"/>
          <w:lang w:val="en-GB"/>
        </w:rPr>
        <w:fldChar w:fldCharType="end"/>
      </w:r>
      <w:r w:rsidR="00A220C6" w:rsidRPr="000702B6">
        <w:rPr>
          <w:rFonts w:ascii="Times New Roman" w:hAnsi="Times New Roman" w:cs="Times New Roman"/>
          <w:snapToGrid w:val="0"/>
          <w:lang w:val="pl-PL"/>
        </w:rPr>
        <w:t>.  </w:t>
      </w:r>
      <w:r w:rsidR="006B1CAF" w:rsidRPr="000702B6">
        <w:rPr>
          <w:rFonts w:ascii="Times New Roman" w:hAnsi="Times New Roman" w:cs="Times New Roman"/>
          <w:snapToGrid w:val="0"/>
          <w:lang w:val="pl-PL"/>
        </w:rPr>
        <w:t xml:space="preserve">Trybunał stwierdził, że co do zasady, prawa zagwarantowane na mocy Artykułów 8 i 10 zasługują na taki sam szacunek, a wynik </w:t>
      </w:r>
      <w:r w:rsidR="0091377A" w:rsidRPr="000702B6">
        <w:rPr>
          <w:rFonts w:ascii="Times New Roman" w:hAnsi="Times New Roman" w:cs="Times New Roman"/>
          <w:snapToGrid w:val="0"/>
          <w:lang w:val="pl-PL"/>
        </w:rPr>
        <w:t xml:space="preserve">skargi </w:t>
      </w:r>
      <w:r w:rsidR="006B1CAF" w:rsidRPr="000702B6">
        <w:rPr>
          <w:rFonts w:ascii="Times New Roman" w:hAnsi="Times New Roman" w:cs="Times New Roman"/>
          <w:snapToGrid w:val="0"/>
          <w:lang w:val="pl-PL"/>
        </w:rPr>
        <w:t>nie powinien, co do zasady, różnić się w zależności od tego, czy został on złożony do Trybunału na podstawie Artykułu 10 Konwencji przez wydawcę artykułu naruszającego lub zgodnie z Artykułem 8 Konwencji przez osobę, która była przedmiotem tego artykułu. W związku z tym margines uznania powin</w:t>
      </w:r>
      <w:r w:rsidR="00157CBE" w:rsidRPr="000702B6">
        <w:rPr>
          <w:rFonts w:ascii="Times New Roman" w:hAnsi="Times New Roman" w:cs="Times New Roman"/>
          <w:snapToGrid w:val="0"/>
          <w:lang w:val="pl-PL"/>
        </w:rPr>
        <w:t>ien</w:t>
      </w:r>
      <w:r w:rsidR="006B1CAF" w:rsidRPr="000702B6">
        <w:rPr>
          <w:rFonts w:ascii="Times New Roman" w:hAnsi="Times New Roman" w:cs="Times New Roman"/>
          <w:snapToGrid w:val="0"/>
          <w:lang w:val="pl-PL"/>
        </w:rPr>
        <w:t xml:space="preserve"> być w zasadzie taki sam w obu przypadkach </w:t>
      </w:r>
      <w:r w:rsidR="00A220C6" w:rsidRPr="000702B6">
        <w:rPr>
          <w:rFonts w:ascii="Times New Roman" w:hAnsi="Times New Roman" w:cs="Times New Roman"/>
          <w:snapToGrid w:val="0"/>
          <w:lang w:val="pl-PL"/>
        </w:rPr>
        <w:t>(</w:t>
      </w:r>
      <w:r w:rsidR="006B1CAF" w:rsidRPr="000702B6">
        <w:rPr>
          <w:rFonts w:ascii="Times New Roman" w:hAnsi="Times New Roman" w:cs="Times New Roman"/>
          <w:snapToGrid w:val="0"/>
          <w:lang w:val="pl-PL"/>
        </w:rPr>
        <w:t>zobacz</w:t>
      </w:r>
      <w:r w:rsidR="00A220C6" w:rsidRPr="000702B6">
        <w:rPr>
          <w:rFonts w:ascii="Times New Roman" w:hAnsi="Times New Roman" w:cs="Times New Roman"/>
          <w:snapToGrid w:val="0"/>
          <w:lang w:val="pl-PL"/>
        </w:rPr>
        <w:t xml:space="preserve"> </w:t>
      </w:r>
      <w:r w:rsidR="00A220C6" w:rsidRPr="000702B6">
        <w:rPr>
          <w:rFonts w:ascii="Times New Roman" w:hAnsi="Times New Roman" w:cs="Times New Roman"/>
          <w:i/>
          <w:lang w:val="pl-PL"/>
        </w:rPr>
        <w:t>Axel Springer AG</w:t>
      </w:r>
      <w:r w:rsidR="00A220C6" w:rsidRPr="000702B6">
        <w:rPr>
          <w:rFonts w:ascii="Times New Roman" w:hAnsi="Times New Roman" w:cs="Times New Roman"/>
          <w:lang w:val="pl-PL"/>
        </w:rPr>
        <w:t xml:space="preserve">, </w:t>
      </w:r>
      <w:r w:rsidR="006B1CAF" w:rsidRPr="000702B6">
        <w:rPr>
          <w:rFonts w:ascii="Times New Roman" w:hAnsi="Times New Roman" w:cs="Times New Roman"/>
          <w:lang w:val="pl-PL"/>
        </w:rPr>
        <w:t>cytowany powyżej</w:t>
      </w:r>
      <w:r w:rsidR="00A220C6" w:rsidRPr="000702B6">
        <w:rPr>
          <w:rFonts w:ascii="Times New Roman" w:hAnsi="Times New Roman" w:cs="Times New Roman"/>
          <w:snapToGrid w:val="0"/>
          <w:szCs w:val="24"/>
          <w:lang w:val="pl-PL"/>
        </w:rPr>
        <w:t>, § 87</w:t>
      </w:r>
      <w:r w:rsidR="006B1CAF" w:rsidRPr="000702B6">
        <w:rPr>
          <w:rFonts w:ascii="Times New Roman" w:hAnsi="Times New Roman" w:cs="Times New Roman"/>
          <w:lang w:val="pl-PL"/>
        </w:rPr>
        <w:t>, i</w:t>
      </w:r>
      <w:r w:rsidR="00A220C6" w:rsidRPr="000702B6">
        <w:rPr>
          <w:rFonts w:ascii="Times New Roman" w:hAnsi="Times New Roman" w:cs="Times New Roman"/>
          <w:lang w:val="pl-PL"/>
        </w:rPr>
        <w:t xml:space="preserve"> </w:t>
      </w:r>
      <w:r w:rsidR="00A220C6" w:rsidRPr="000702B6">
        <w:rPr>
          <w:rFonts w:ascii="Times New Roman" w:hAnsi="Times New Roman" w:cs="Times New Roman"/>
          <w:i/>
          <w:lang w:val="pl-PL"/>
        </w:rPr>
        <w:t xml:space="preserve">Von </w:t>
      </w:r>
      <w:proofErr w:type="spellStart"/>
      <w:r w:rsidR="00A220C6" w:rsidRPr="000702B6">
        <w:rPr>
          <w:rFonts w:ascii="Times New Roman" w:hAnsi="Times New Roman" w:cs="Times New Roman"/>
          <w:i/>
          <w:lang w:val="pl-PL"/>
        </w:rPr>
        <w:t>Hannover</w:t>
      </w:r>
      <w:proofErr w:type="spellEnd"/>
      <w:r w:rsidR="00A220C6" w:rsidRPr="000702B6">
        <w:rPr>
          <w:rFonts w:ascii="Times New Roman" w:hAnsi="Times New Roman" w:cs="Times New Roman"/>
          <w:i/>
          <w:lang w:val="pl-PL"/>
        </w:rPr>
        <w:t xml:space="preserve"> </w:t>
      </w:r>
      <w:r w:rsidR="006B1CAF" w:rsidRPr="000702B6">
        <w:rPr>
          <w:rFonts w:ascii="Times New Roman" w:hAnsi="Times New Roman" w:cs="Times New Roman"/>
          <w:i/>
          <w:lang w:val="pl-PL"/>
        </w:rPr>
        <w:t>przeciwko</w:t>
      </w:r>
      <w:r w:rsidR="00A220C6" w:rsidRPr="000702B6">
        <w:rPr>
          <w:rFonts w:ascii="Times New Roman" w:hAnsi="Times New Roman" w:cs="Times New Roman"/>
          <w:i/>
          <w:lang w:val="pl-PL"/>
        </w:rPr>
        <w:t xml:space="preserve"> </w:t>
      </w:r>
      <w:r w:rsidR="006B1CAF" w:rsidRPr="000702B6">
        <w:rPr>
          <w:rFonts w:ascii="Times New Roman" w:hAnsi="Times New Roman" w:cs="Times New Roman"/>
          <w:i/>
          <w:lang w:val="pl-PL"/>
        </w:rPr>
        <w:t>Niemcom (nr</w:t>
      </w:r>
      <w:r w:rsidR="00A220C6" w:rsidRPr="000702B6">
        <w:rPr>
          <w:rFonts w:ascii="Times New Roman" w:hAnsi="Times New Roman" w:cs="Times New Roman"/>
          <w:i/>
          <w:lang w:val="pl-PL"/>
        </w:rPr>
        <w:t xml:space="preserve"> 2) </w:t>
      </w:r>
      <w:r w:rsidR="006B1CAF" w:rsidRPr="000702B6">
        <w:rPr>
          <w:rFonts w:ascii="Times New Roman" w:hAnsi="Times New Roman" w:cs="Times New Roman"/>
          <w:lang w:val="pl-PL"/>
        </w:rPr>
        <w:t>[GC], nr</w:t>
      </w:r>
      <w:r w:rsidR="002837DA" w:rsidRPr="000702B6">
        <w:rPr>
          <w:rFonts w:ascii="Times New Roman" w:hAnsi="Times New Roman" w:cs="Times New Roman"/>
          <w:lang w:val="pl-PL"/>
        </w:rPr>
        <w:t> </w:t>
      </w:r>
      <w:r w:rsidR="006B1CAF" w:rsidRPr="000702B6">
        <w:rPr>
          <w:rFonts w:ascii="Times New Roman" w:hAnsi="Times New Roman" w:cs="Times New Roman"/>
          <w:lang w:val="pl-PL"/>
        </w:rPr>
        <w:t>40660/08 i</w:t>
      </w:r>
      <w:r w:rsidR="00A220C6" w:rsidRPr="000702B6">
        <w:rPr>
          <w:rFonts w:ascii="Times New Roman" w:hAnsi="Times New Roman" w:cs="Times New Roman"/>
          <w:lang w:val="pl-PL"/>
        </w:rPr>
        <w:t xml:space="preserve"> 60641/08</w:t>
      </w:r>
      <w:r w:rsidR="00A220C6" w:rsidRPr="000702B6">
        <w:rPr>
          <w:rFonts w:ascii="Times New Roman" w:hAnsi="Times New Roman" w:cs="Times New Roman"/>
          <w:snapToGrid w:val="0"/>
          <w:szCs w:val="24"/>
          <w:lang w:val="pl-PL"/>
        </w:rPr>
        <w:t xml:space="preserve">, § 106, </w:t>
      </w:r>
      <w:r w:rsidR="00A220C6" w:rsidRPr="000702B6">
        <w:rPr>
          <w:rFonts w:ascii="Times New Roman" w:hAnsi="Times New Roman" w:cs="Times New Roman"/>
          <w:snapToGrid w:val="0"/>
          <w:lang w:val="pl-PL"/>
        </w:rPr>
        <w:t xml:space="preserve">ECHR 2012, </w:t>
      </w:r>
      <w:r w:rsidR="006B1CAF" w:rsidRPr="000702B6">
        <w:rPr>
          <w:rFonts w:ascii="Times New Roman" w:hAnsi="Times New Roman" w:cs="Times New Roman"/>
          <w:lang w:val="pl-PL"/>
        </w:rPr>
        <w:t>dalszymi odniesieniami do spraw</w:t>
      </w:r>
      <w:r w:rsidR="00A220C6" w:rsidRPr="000702B6">
        <w:rPr>
          <w:rFonts w:ascii="Times New Roman" w:hAnsi="Times New Roman" w:cs="Times New Roman"/>
          <w:lang w:val="pl-PL"/>
        </w:rPr>
        <w:t xml:space="preserve"> </w:t>
      </w:r>
      <w:r w:rsidR="00A220C6" w:rsidRPr="000702B6">
        <w:rPr>
          <w:rFonts w:ascii="Times New Roman" w:hAnsi="Times New Roman" w:cs="Times New Roman"/>
          <w:i/>
          <w:lang w:val="pl-PL"/>
        </w:rPr>
        <w:t xml:space="preserve">Hachette </w:t>
      </w:r>
      <w:proofErr w:type="spellStart"/>
      <w:r w:rsidR="00A220C6" w:rsidRPr="000702B6">
        <w:rPr>
          <w:rFonts w:ascii="Times New Roman" w:hAnsi="Times New Roman" w:cs="Times New Roman"/>
          <w:i/>
          <w:lang w:val="pl-PL"/>
        </w:rPr>
        <w:t>Filipacchi</w:t>
      </w:r>
      <w:proofErr w:type="spellEnd"/>
      <w:r w:rsidR="00A220C6" w:rsidRPr="000702B6">
        <w:rPr>
          <w:rFonts w:ascii="Times New Roman" w:hAnsi="Times New Roman" w:cs="Times New Roman"/>
          <w:i/>
          <w:lang w:val="pl-PL"/>
        </w:rPr>
        <w:t xml:space="preserve"> </w:t>
      </w:r>
      <w:proofErr w:type="spellStart"/>
      <w:r w:rsidR="00A220C6" w:rsidRPr="000702B6">
        <w:rPr>
          <w:rFonts w:ascii="Times New Roman" w:hAnsi="Times New Roman" w:cs="Times New Roman"/>
          <w:i/>
          <w:lang w:val="pl-PL"/>
        </w:rPr>
        <w:t>Associés</w:t>
      </w:r>
      <w:proofErr w:type="spellEnd"/>
      <w:r w:rsidR="00A220C6" w:rsidRPr="000702B6">
        <w:rPr>
          <w:rFonts w:ascii="Times New Roman" w:hAnsi="Times New Roman" w:cs="Times New Roman"/>
          <w:lang w:val="pl-PL"/>
        </w:rPr>
        <w:t xml:space="preserve">, </w:t>
      </w:r>
      <w:r w:rsidR="006B1CAF" w:rsidRPr="000702B6">
        <w:rPr>
          <w:rFonts w:ascii="Times New Roman" w:hAnsi="Times New Roman" w:cs="Times New Roman"/>
          <w:lang w:val="pl-PL"/>
        </w:rPr>
        <w:t>cytowany powyżej</w:t>
      </w:r>
      <w:r w:rsidR="00A220C6" w:rsidRPr="000702B6">
        <w:rPr>
          <w:rFonts w:ascii="Times New Roman" w:hAnsi="Times New Roman" w:cs="Times New Roman"/>
          <w:lang w:val="pl-PL"/>
        </w:rPr>
        <w:t xml:space="preserve">, § 41; </w:t>
      </w:r>
      <w:proofErr w:type="spellStart"/>
      <w:r w:rsidR="006B1CAF" w:rsidRPr="000702B6">
        <w:rPr>
          <w:rFonts w:ascii="Times New Roman" w:hAnsi="Times New Roman" w:cs="Times New Roman"/>
          <w:i/>
          <w:snapToGrid w:val="0"/>
          <w:lang w:val="pl-PL"/>
        </w:rPr>
        <w:t>Timciuc</w:t>
      </w:r>
      <w:proofErr w:type="spellEnd"/>
      <w:r w:rsidR="006B1CAF" w:rsidRPr="000702B6">
        <w:rPr>
          <w:rFonts w:ascii="Times New Roman" w:hAnsi="Times New Roman" w:cs="Times New Roman"/>
          <w:i/>
          <w:snapToGrid w:val="0"/>
          <w:lang w:val="pl-PL"/>
        </w:rPr>
        <w:t xml:space="preserve"> przeciwko</w:t>
      </w:r>
      <w:r w:rsidR="00A220C6" w:rsidRPr="000702B6">
        <w:rPr>
          <w:rFonts w:ascii="Times New Roman" w:hAnsi="Times New Roman" w:cs="Times New Roman"/>
          <w:i/>
          <w:snapToGrid w:val="0"/>
          <w:lang w:val="pl-PL"/>
        </w:rPr>
        <w:t xml:space="preserve"> R</w:t>
      </w:r>
      <w:r w:rsidR="006B1CAF" w:rsidRPr="000702B6">
        <w:rPr>
          <w:rFonts w:ascii="Times New Roman" w:hAnsi="Times New Roman" w:cs="Times New Roman"/>
          <w:i/>
          <w:snapToGrid w:val="0"/>
          <w:lang w:val="pl-PL"/>
        </w:rPr>
        <w:t>umunii</w:t>
      </w:r>
      <w:r w:rsidR="006B1CAF" w:rsidRPr="000702B6">
        <w:rPr>
          <w:rFonts w:ascii="Times New Roman" w:hAnsi="Times New Roman" w:cs="Times New Roman"/>
          <w:snapToGrid w:val="0"/>
          <w:lang w:val="pl-PL"/>
        </w:rPr>
        <w:t xml:space="preserve"> (</w:t>
      </w:r>
      <w:proofErr w:type="spellStart"/>
      <w:r w:rsidR="006B1CAF" w:rsidRPr="000702B6">
        <w:rPr>
          <w:rFonts w:ascii="Times New Roman" w:hAnsi="Times New Roman" w:cs="Times New Roman"/>
          <w:snapToGrid w:val="0"/>
          <w:lang w:val="pl-PL"/>
        </w:rPr>
        <w:t>dec</w:t>
      </w:r>
      <w:proofErr w:type="spellEnd"/>
      <w:r w:rsidR="006B1CAF" w:rsidRPr="000702B6">
        <w:rPr>
          <w:rFonts w:ascii="Times New Roman" w:hAnsi="Times New Roman" w:cs="Times New Roman"/>
          <w:snapToGrid w:val="0"/>
          <w:lang w:val="pl-PL"/>
        </w:rPr>
        <w:t>.), nr</w:t>
      </w:r>
      <w:r w:rsidR="00A220C6" w:rsidRPr="000702B6">
        <w:rPr>
          <w:rFonts w:ascii="Times New Roman" w:hAnsi="Times New Roman" w:cs="Times New Roman"/>
          <w:snapToGrid w:val="0"/>
          <w:lang w:val="pl-PL"/>
        </w:rPr>
        <w:t> 28999/03, § 144, 12 </w:t>
      </w:r>
      <w:r w:rsidR="006B1CAF" w:rsidRPr="000702B6">
        <w:rPr>
          <w:rFonts w:ascii="Times New Roman" w:hAnsi="Times New Roman" w:cs="Times New Roman"/>
          <w:snapToGrid w:val="0"/>
          <w:lang w:val="pl-PL"/>
        </w:rPr>
        <w:t>Październik</w:t>
      </w:r>
      <w:r w:rsidR="00177D81" w:rsidRPr="000702B6">
        <w:rPr>
          <w:rFonts w:ascii="Times New Roman" w:hAnsi="Times New Roman" w:cs="Times New Roman"/>
          <w:snapToGrid w:val="0"/>
          <w:lang w:val="pl-PL"/>
        </w:rPr>
        <w:t>a</w:t>
      </w:r>
      <w:r w:rsidR="006B1CAF" w:rsidRPr="000702B6">
        <w:rPr>
          <w:rFonts w:ascii="Times New Roman" w:hAnsi="Times New Roman" w:cs="Times New Roman"/>
          <w:snapToGrid w:val="0"/>
          <w:lang w:val="pl-PL"/>
        </w:rPr>
        <w:t xml:space="preserve"> </w:t>
      </w:r>
      <w:r w:rsidR="00A220C6" w:rsidRPr="000702B6">
        <w:rPr>
          <w:rFonts w:ascii="Times New Roman" w:hAnsi="Times New Roman" w:cs="Times New Roman"/>
          <w:snapToGrid w:val="0"/>
          <w:lang w:val="pl-PL"/>
        </w:rPr>
        <w:t>2010</w:t>
      </w:r>
      <w:r w:rsidR="006B1CAF" w:rsidRPr="000702B6">
        <w:rPr>
          <w:rFonts w:ascii="Times New Roman" w:hAnsi="Times New Roman" w:cs="Times New Roman"/>
          <w:snapToGrid w:val="0"/>
          <w:lang w:val="pl-PL"/>
        </w:rPr>
        <w:t xml:space="preserve"> roku</w:t>
      </w:r>
      <w:r w:rsidR="006B1CAF" w:rsidRPr="000702B6">
        <w:rPr>
          <w:rFonts w:ascii="Times New Roman" w:hAnsi="Times New Roman" w:cs="Times New Roman"/>
          <w:lang w:val="pl-PL"/>
        </w:rPr>
        <w:t>; i</w:t>
      </w:r>
      <w:r w:rsidR="00A220C6" w:rsidRPr="000702B6">
        <w:rPr>
          <w:rFonts w:ascii="Times New Roman" w:hAnsi="Times New Roman" w:cs="Times New Roman"/>
          <w:lang w:val="pl-PL"/>
        </w:rPr>
        <w:t xml:space="preserve"> </w:t>
      </w:r>
      <w:proofErr w:type="spellStart"/>
      <w:r w:rsidR="006B1CAF" w:rsidRPr="000702B6">
        <w:rPr>
          <w:rFonts w:ascii="Times New Roman" w:hAnsi="Times New Roman" w:cs="Times New Roman"/>
          <w:i/>
          <w:lang w:val="pl-PL"/>
        </w:rPr>
        <w:t>Mosley</w:t>
      </w:r>
      <w:proofErr w:type="spellEnd"/>
      <w:r w:rsidR="006B1CAF" w:rsidRPr="000702B6">
        <w:rPr>
          <w:rFonts w:ascii="Times New Roman" w:hAnsi="Times New Roman" w:cs="Times New Roman"/>
          <w:i/>
          <w:lang w:val="pl-PL"/>
        </w:rPr>
        <w:t xml:space="preserve"> przeciwko</w:t>
      </w:r>
      <w:r w:rsidR="00A220C6" w:rsidRPr="000702B6">
        <w:rPr>
          <w:rFonts w:ascii="Times New Roman" w:hAnsi="Times New Roman" w:cs="Times New Roman"/>
          <w:i/>
          <w:lang w:val="pl-PL"/>
        </w:rPr>
        <w:t xml:space="preserve"> </w:t>
      </w:r>
      <w:r w:rsidR="006B1CAF" w:rsidRPr="000702B6">
        <w:rPr>
          <w:rFonts w:ascii="Times New Roman" w:hAnsi="Times New Roman" w:cs="Times New Roman"/>
          <w:i/>
          <w:lang w:val="pl-PL"/>
        </w:rPr>
        <w:t>Wielkiej Brytanii</w:t>
      </w:r>
      <w:r w:rsidR="006B1CAF" w:rsidRPr="000702B6">
        <w:rPr>
          <w:rFonts w:ascii="Times New Roman" w:hAnsi="Times New Roman" w:cs="Times New Roman"/>
          <w:lang w:val="pl-PL"/>
        </w:rPr>
        <w:t>, nr</w:t>
      </w:r>
      <w:r w:rsidR="00A220C6" w:rsidRPr="000702B6">
        <w:rPr>
          <w:rFonts w:ascii="Times New Roman" w:hAnsi="Times New Roman" w:cs="Times New Roman"/>
          <w:lang w:val="pl-PL"/>
        </w:rPr>
        <w:t xml:space="preserve"> 48009/08</w:t>
      </w:r>
      <w:r w:rsidR="006B1CAF" w:rsidRPr="000702B6">
        <w:rPr>
          <w:rFonts w:ascii="Times New Roman" w:hAnsi="Times New Roman" w:cs="Times New Roman"/>
          <w:snapToGrid w:val="0"/>
          <w:szCs w:val="24"/>
          <w:lang w:val="pl-PL"/>
        </w:rPr>
        <w:t>, § 111, 10 Maja</w:t>
      </w:r>
      <w:r w:rsidR="00A220C6" w:rsidRPr="000702B6">
        <w:rPr>
          <w:rFonts w:ascii="Times New Roman" w:hAnsi="Times New Roman" w:cs="Times New Roman"/>
          <w:snapToGrid w:val="0"/>
          <w:szCs w:val="24"/>
          <w:lang w:val="pl-PL"/>
        </w:rPr>
        <w:t xml:space="preserve"> 2011</w:t>
      </w:r>
      <w:r w:rsidR="006B1CAF" w:rsidRPr="000702B6">
        <w:rPr>
          <w:rFonts w:ascii="Times New Roman" w:hAnsi="Times New Roman" w:cs="Times New Roman"/>
          <w:snapToGrid w:val="0"/>
          <w:szCs w:val="24"/>
          <w:lang w:val="pl-PL"/>
        </w:rPr>
        <w:t xml:space="preserve"> roku</w:t>
      </w:r>
      <w:r w:rsidR="00A220C6" w:rsidRPr="000702B6">
        <w:rPr>
          <w:rFonts w:ascii="Times New Roman" w:hAnsi="Times New Roman" w:cs="Times New Roman"/>
          <w:snapToGrid w:val="0"/>
          <w:szCs w:val="24"/>
          <w:lang w:val="pl-PL"/>
        </w:rPr>
        <w:t xml:space="preserve">). </w:t>
      </w:r>
      <w:r w:rsidR="00383661" w:rsidRPr="000702B6">
        <w:rPr>
          <w:rFonts w:ascii="Times New Roman" w:hAnsi="Times New Roman" w:cs="Times New Roman"/>
          <w:snapToGrid w:val="0"/>
          <w:szCs w:val="24"/>
          <w:lang w:val="pl-PL"/>
        </w:rPr>
        <w:t>J</w:t>
      </w:r>
      <w:r w:rsidR="00383661" w:rsidRPr="000702B6">
        <w:rPr>
          <w:rFonts w:ascii="Times New Roman" w:hAnsi="Times New Roman" w:cs="Times New Roman"/>
          <w:lang w:val="pl-PL"/>
        </w:rPr>
        <w:t>eżeli wyważenie między tym</w:t>
      </w:r>
      <w:r w:rsidR="00157CBE" w:rsidRPr="000702B6">
        <w:rPr>
          <w:rFonts w:ascii="Times New Roman" w:hAnsi="Times New Roman" w:cs="Times New Roman"/>
          <w:lang w:val="pl-PL"/>
        </w:rPr>
        <w:t>i dwoma prawami zostało</w:t>
      </w:r>
      <w:r w:rsidR="00383661" w:rsidRPr="000702B6">
        <w:rPr>
          <w:rFonts w:ascii="Times New Roman" w:hAnsi="Times New Roman" w:cs="Times New Roman"/>
          <w:lang w:val="pl-PL"/>
        </w:rPr>
        <w:t xml:space="preserve"> podjęte przez władze krajowe zgodnie z kryteriami określonymi w orzecznictwie Trybunału, Trybunał wymaga silnych powodów, aby zastąpić swój pogląd na ten sądów krajowych </w:t>
      </w:r>
      <w:r w:rsidR="00A220C6" w:rsidRPr="000702B6">
        <w:rPr>
          <w:rFonts w:ascii="Times New Roman" w:hAnsi="Times New Roman" w:cs="Times New Roman"/>
          <w:lang w:val="pl-PL"/>
        </w:rPr>
        <w:t>(</w:t>
      </w:r>
      <w:r w:rsidR="00383661" w:rsidRPr="000702B6">
        <w:rPr>
          <w:rFonts w:ascii="Times New Roman" w:hAnsi="Times New Roman" w:cs="Times New Roman"/>
          <w:lang w:val="pl-PL"/>
        </w:rPr>
        <w:t>zobacz</w:t>
      </w:r>
      <w:r w:rsidR="00A220C6" w:rsidRPr="000702B6">
        <w:rPr>
          <w:rFonts w:ascii="Times New Roman" w:hAnsi="Times New Roman" w:cs="Times New Roman"/>
          <w:lang w:val="pl-PL"/>
        </w:rPr>
        <w:t xml:space="preserve"> </w:t>
      </w:r>
      <w:r w:rsidR="00A220C6" w:rsidRPr="000702B6">
        <w:rPr>
          <w:rFonts w:ascii="Times New Roman" w:hAnsi="Times New Roman" w:cs="Times New Roman"/>
          <w:i/>
          <w:lang w:val="pl-PL"/>
        </w:rPr>
        <w:t>Axel Springer AG</w:t>
      </w:r>
      <w:r w:rsidR="00A220C6" w:rsidRPr="000702B6">
        <w:rPr>
          <w:rFonts w:ascii="Times New Roman" w:hAnsi="Times New Roman" w:cs="Times New Roman"/>
          <w:lang w:val="pl-PL"/>
        </w:rPr>
        <w:t xml:space="preserve">, </w:t>
      </w:r>
      <w:r w:rsidR="00383661" w:rsidRPr="000702B6">
        <w:rPr>
          <w:rFonts w:ascii="Times New Roman" w:hAnsi="Times New Roman" w:cs="Times New Roman"/>
          <w:lang w:val="pl-PL"/>
        </w:rPr>
        <w:t>cytowany powyżej</w:t>
      </w:r>
      <w:r w:rsidR="00A220C6" w:rsidRPr="000702B6">
        <w:rPr>
          <w:rFonts w:ascii="Times New Roman" w:hAnsi="Times New Roman" w:cs="Times New Roman"/>
          <w:snapToGrid w:val="0"/>
          <w:szCs w:val="24"/>
          <w:lang w:val="pl-PL"/>
        </w:rPr>
        <w:t xml:space="preserve">, § 88, </w:t>
      </w:r>
      <w:r w:rsidR="00383661" w:rsidRPr="000702B6">
        <w:rPr>
          <w:rFonts w:ascii="Times New Roman" w:hAnsi="Times New Roman" w:cs="Times New Roman"/>
          <w:lang w:val="pl-PL"/>
        </w:rPr>
        <w:t>i</w:t>
      </w:r>
      <w:r w:rsidR="00A220C6" w:rsidRPr="000702B6">
        <w:rPr>
          <w:rFonts w:ascii="Times New Roman" w:hAnsi="Times New Roman" w:cs="Times New Roman"/>
          <w:lang w:val="pl-PL"/>
        </w:rPr>
        <w:t xml:space="preserve"> </w:t>
      </w:r>
      <w:r w:rsidR="00383661" w:rsidRPr="000702B6">
        <w:rPr>
          <w:rFonts w:ascii="Times New Roman" w:hAnsi="Times New Roman" w:cs="Times New Roman"/>
          <w:i/>
          <w:lang w:val="pl-PL"/>
        </w:rPr>
        <w:t xml:space="preserve">Von </w:t>
      </w:r>
      <w:proofErr w:type="spellStart"/>
      <w:r w:rsidR="00383661" w:rsidRPr="000702B6">
        <w:rPr>
          <w:rFonts w:ascii="Times New Roman" w:hAnsi="Times New Roman" w:cs="Times New Roman"/>
          <w:i/>
          <w:lang w:val="pl-PL"/>
        </w:rPr>
        <w:t>Hannover</w:t>
      </w:r>
      <w:proofErr w:type="spellEnd"/>
      <w:r w:rsidR="00383661" w:rsidRPr="000702B6">
        <w:rPr>
          <w:rFonts w:ascii="Times New Roman" w:hAnsi="Times New Roman" w:cs="Times New Roman"/>
          <w:i/>
          <w:lang w:val="pl-PL"/>
        </w:rPr>
        <w:t xml:space="preserve"> (nr</w:t>
      </w:r>
      <w:r w:rsidR="00A220C6" w:rsidRPr="000702B6">
        <w:rPr>
          <w:rFonts w:ascii="Times New Roman" w:hAnsi="Times New Roman" w:cs="Times New Roman"/>
          <w:i/>
          <w:lang w:val="pl-PL"/>
        </w:rPr>
        <w:t xml:space="preserve"> 2)</w:t>
      </w:r>
      <w:r w:rsidR="00A220C6" w:rsidRPr="000702B6">
        <w:rPr>
          <w:rFonts w:ascii="Times New Roman" w:hAnsi="Times New Roman" w:cs="Times New Roman"/>
          <w:lang w:val="pl-PL"/>
        </w:rPr>
        <w:t xml:space="preserve">, </w:t>
      </w:r>
      <w:r w:rsidR="00383661" w:rsidRPr="000702B6">
        <w:rPr>
          <w:rFonts w:ascii="Times New Roman" w:hAnsi="Times New Roman" w:cs="Times New Roman"/>
          <w:lang w:val="pl-PL"/>
        </w:rPr>
        <w:t>cytowany powyżej</w:t>
      </w:r>
      <w:r w:rsidR="00A220C6" w:rsidRPr="000702B6">
        <w:rPr>
          <w:rFonts w:ascii="Times New Roman" w:hAnsi="Times New Roman" w:cs="Times New Roman"/>
          <w:lang w:val="pl-PL"/>
        </w:rPr>
        <w:t xml:space="preserve">, </w:t>
      </w:r>
      <w:r w:rsidR="00A220C6" w:rsidRPr="000702B6">
        <w:rPr>
          <w:rFonts w:ascii="Times New Roman" w:hAnsi="Times New Roman" w:cs="Times New Roman"/>
          <w:lang w:val="et-EE"/>
        </w:rPr>
        <w:t>§</w:t>
      </w:r>
      <w:r w:rsidR="00A220C6" w:rsidRPr="000702B6">
        <w:rPr>
          <w:rFonts w:ascii="Times New Roman" w:hAnsi="Times New Roman" w:cs="Times New Roman"/>
          <w:lang w:val="pl-PL"/>
        </w:rPr>
        <w:t xml:space="preserve"> 107, </w:t>
      </w:r>
      <w:r w:rsidR="00383661" w:rsidRPr="000702B6">
        <w:rPr>
          <w:rFonts w:ascii="Times New Roman" w:hAnsi="Times New Roman" w:cs="Times New Roman"/>
          <w:lang w:val="pl-PL"/>
        </w:rPr>
        <w:t>z dalszymi odniesieniami do</w:t>
      </w:r>
      <w:r w:rsidR="00A220C6" w:rsidRPr="000702B6">
        <w:rPr>
          <w:rFonts w:ascii="Times New Roman" w:hAnsi="Times New Roman" w:cs="Times New Roman"/>
          <w:lang w:val="pl-PL"/>
        </w:rPr>
        <w:t xml:space="preserve"> </w:t>
      </w:r>
      <w:r w:rsidR="00A220C6" w:rsidRPr="000702B6">
        <w:rPr>
          <w:rFonts w:ascii="Times New Roman" w:hAnsi="Times New Roman" w:cs="Times New Roman"/>
          <w:i/>
          <w:lang w:val="pl-PL"/>
        </w:rPr>
        <w:t>MGN Limited</w:t>
      </w:r>
      <w:r w:rsidR="00A220C6" w:rsidRPr="000702B6">
        <w:rPr>
          <w:rFonts w:ascii="Times New Roman" w:hAnsi="Times New Roman" w:cs="Times New Roman"/>
          <w:snapToGrid w:val="0"/>
          <w:lang w:val="pt-BR"/>
        </w:rPr>
        <w:t xml:space="preserve">, </w:t>
      </w:r>
      <w:proofErr w:type="spellStart"/>
      <w:r w:rsidR="00383661" w:rsidRPr="000702B6">
        <w:rPr>
          <w:rFonts w:ascii="Times New Roman" w:hAnsi="Times New Roman" w:cs="Times New Roman"/>
          <w:snapToGrid w:val="0"/>
          <w:lang w:val="pt-BR"/>
        </w:rPr>
        <w:t>cytowany</w:t>
      </w:r>
      <w:proofErr w:type="spellEnd"/>
      <w:r w:rsidR="00383661" w:rsidRPr="000702B6">
        <w:rPr>
          <w:rFonts w:ascii="Times New Roman" w:hAnsi="Times New Roman" w:cs="Times New Roman"/>
          <w:snapToGrid w:val="0"/>
          <w:lang w:val="pt-BR"/>
        </w:rPr>
        <w:t xml:space="preserve"> </w:t>
      </w:r>
      <w:proofErr w:type="spellStart"/>
      <w:r w:rsidR="00383661" w:rsidRPr="000702B6">
        <w:rPr>
          <w:rFonts w:ascii="Times New Roman" w:hAnsi="Times New Roman" w:cs="Times New Roman"/>
          <w:snapToGrid w:val="0"/>
          <w:lang w:val="pt-BR"/>
        </w:rPr>
        <w:t>powyżej</w:t>
      </w:r>
      <w:proofErr w:type="spellEnd"/>
      <w:r w:rsidR="00383661" w:rsidRPr="000702B6">
        <w:rPr>
          <w:rFonts w:ascii="Times New Roman" w:hAnsi="Times New Roman" w:cs="Times New Roman"/>
          <w:snapToGrid w:val="0"/>
          <w:lang w:val="pt-BR"/>
        </w:rPr>
        <w:t>, §§ 150 i</w:t>
      </w:r>
      <w:r w:rsidR="00A220C6" w:rsidRPr="000702B6">
        <w:rPr>
          <w:rFonts w:ascii="Times New Roman" w:hAnsi="Times New Roman" w:cs="Times New Roman"/>
          <w:snapToGrid w:val="0"/>
          <w:lang w:val="pt-BR"/>
        </w:rPr>
        <w:t xml:space="preserve"> 155</w:t>
      </w:r>
      <w:r w:rsidR="00383661" w:rsidRPr="000702B6">
        <w:rPr>
          <w:rFonts w:ascii="Times New Roman" w:hAnsi="Times New Roman" w:cs="Times New Roman"/>
          <w:lang w:val="pt-BR"/>
        </w:rPr>
        <w:t>, i</w:t>
      </w:r>
      <w:r w:rsidR="00A220C6" w:rsidRPr="000702B6">
        <w:rPr>
          <w:rFonts w:ascii="Times New Roman" w:hAnsi="Times New Roman" w:cs="Times New Roman"/>
          <w:snapToGrid w:val="0"/>
          <w:lang w:val="pl-PL"/>
        </w:rPr>
        <w:t xml:space="preserve"> </w:t>
      </w:r>
      <w:proofErr w:type="spellStart"/>
      <w:r w:rsidR="00383661" w:rsidRPr="000702B6">
        <w:rPr>
          <w:rFonts w:ascii="Times New Roman" w:hAnsi="Times New Roman" w:cs="Times New Roman"/>
          <w:i/>
          <w:lang w:val="pl-PL"/>
        </w:rPr>
        <w:t>Palomo</w:t>
      </w:r>
      <w:proofErr w:type="spellEnd"/>
      <w:r w:rsidR="00383661" w:rsidRPr="000702B6">
        <w:rPr>
          <w:rFonts w:ascii="Times New Roman" w:hAnsi="Times New Roman" w:cs="Times New Roman"/>
          <w:i/>
          <w:lang w:val="pl-PL"/>
        </w:rPr>
        <w:t xml:space="preserve"> </w:t>
      </w:r>
      <w:proofErr w:type="spellStart"/>
      <w:r w:rsidR="00383661" w:rsidRPr="000702B6">
        <w:rPr>
          <w:rFonts w:ascii="Times New Roman" w:hAnsi="Times New Roman" w:cs="Times New Roman"/>
          <w:i/>
          <w:lang w:val="pl-PL"/>
        </w:rPr>
        <w:t>Sánchez</w:t>
      </w:r>
      <w:proofErr w:type="spellEnd"/>
      <w:r w:rsidR="00383661" w:rsidRPr="000702B6">
        <w:rPr>
          <w:rFonts w:ascii="Times New Roman" w:hAnsi="Times New Roman" w:cs="Times New Roman"/>
          <w:i/>
          <w:lang w:val="pl-PL"/>
        </w:rPr>
        <w:t xml:space="preserve"> i</w:t>
      </w:r>
      <w:r w:rsidR="00A220C6" w:rsidRPr="000702B6">
        <w:rPr>
          <w:rFonts w:ascii="Times New Roman" w:hAnsi="Times New Roman" w:cs="Times New Roman"/>
          <w:i/>
          <w:lang w:val="pl-PL"/>
        </w:rPr>
        <w:t xml:space="preserve"> </w:t>
      </w:r>
      <w:r w:rsidR="00383661" w:rsidRPr="000702B6">
        <w:rPr>
          <w:rFonts w:ascii="Times New Roman" w:hAnsi="Times New Roman" w:cs="Times New Roman"/>
          <w:i/>
          <w:lang w:val="pl-PL"/>
        </w:rPr>
        <w:t>Inni przeciwko</w:t>
      </w:r>
      <w:r w:rsidR="00A220C6" w:rsidRPr="000702B6">
        <w:rPr>
          <w:rFonts w:ascii="Times New Roman" w:hAnsi="Times New Roman" w:cs="Times New Roman"/>
          <w:i/>
          <w:lang w:val="pl-PL"/>
        </w:rPr>
        <w:t> </w:t>
      </w:r>
      <w:r w:rsidR="00383661" w:rsidRPr="000702B6">
        <w:rPr>
          <w:rFonts w:ascii="Times New Roman" w:hAnsi="Times New Roman" w:cs="Times New Roman"/>
          <w:i/>
          <w:lang w:val="pl-PL"/>
        </w:rPr>
        <w:t>Hiszpanii</w:t>
      </w:r>
      <w:r w:rsidR="00A220C6" w:rsidRPr="000702B6">
        <w:rPr>
          <w:rFonts w:ascii="Times New Roman" w:hAnsi="Times New Roman" w:cs="Times New Roman"/>
          <w:lang w:val="pl-PL"/>
        </w:rPr>
        <w:t xml:space="preserve"> [GC], </w:t>
      </w:r>
      <w:r w:rsidR="00383661" w:rsidRPr="000702B6">
        <w:rPr>
          <w:rFonts w:ascii="Times New Roman" w:hAnsi="Times New Roman" w:cs="Times New Roman"/>
          <w:snapToGrid w:val="0"/>
          <w:lang w:val="pl-PL"/>
        </w:rPr>
        <w:t>nr</w:t>
      </w:r>
      <w:r w:rsidR="00A220C6" w:rsidRPr="000702B6">
        <w:rPr>
          <w:rFonts w:ascii="Times New Roman" w:hAnsi="Times New Roman" w:cs="Times New Roman"/>
          <w:lang w:val="pl-PL"/>
        </w:rPr>
        <w:t> </w:t>
      </w:r>
      <w:r w:rsidR="00383661" w:rsidRPr="000702B6">
        <w:rPr>
          <w:rFonts w:ascii="Times New Roman" w:hAnsi="Times New Roman" w:cs="Times New Roman"/>
          <w:lang w:val="pl-PL"/>
        </w:rPr>
        <w:t>28955/06, 28957/06, 28959/06 i</w:t>
      </w:r>
      <w:r w:rsidR="00A220C6" w:rsidRPr="000702B6">
        <w:rPr>
          <w:rFonts w:ascii="Times New Roman" w:hAnsi="Times New Roman" w:cs="Times New Roman"/>
          <w:lang w:val="pl-PL"/>
        </w:rPr>
        <w:t xml:space="preserve"> 28964/06</w:t>
      </w:r>
      <w:r w:rsidR="00A220C6" w:rsidRPr="000702B6">
        <w:rPr>
          <w:rFonts w:ascii="Times New Roman" w:hAnsi="Times New Roman" w:cs="Times New Roman"/>
          <w:snapToGrid w:val="0"/>
          <w:lang w:val="pt-BR"/>
        </w:rPr>
        <w:t xml:space="preserve">, § 57, </w:t>
      </w:r>
      <w:r w:rsidR="00A220C6" w:rsidRPr="000702B6">
        <w:rPr>
          <w:rFonts w:ascii="Times New Roman" w:hAnsi="Times New Roman" w:cs="Times New Roman"/>
          <w:lang w:val="pt-BR"/>
        </w:rPr>
        <w:t>12 </w:t>
      </w:r>
      <w:proofErr w:type="spellStart"/>
      <w:r w:rsidR="00383661" w:rsidRPr="000702B6">
        <w:rPr>
          <w:rFonts w:ascii="Times New Roman" w:hAnsi="Times New Roman" w:cs="Times New Roman"/>
          <w:lang w:val="pt-BR"/>
        </w:rPr>
        <w:t>Września</w:t>
      </w:r>
      <w:proofErr w:type="spellEnd"/>
      <w:r w:rsidR="00A220C6" w:rsidRPr="000702B6">
        <w:rPr>
          <w:rFonts w:ascii="Times New Roman" w:hAnsi="Times New Roman" w:cs="Times New Roman"/>
          <w:lang w:val="pt-BR"/>
        </w:rPr>
        <w:t> </w:t>
      </w:r>
      <w:r w:rsidR="00A220C6" w:rsidRPr="000702B6">
        <w:rPr>
          <w:rFonts w:ascii="Times New Roman" w:hAnsi="Times New Roman" w:cs="Times New Roman"/>
          <w:snapToGrid w:val="0"/>
          <w:lang w:val="pt-BR"/>
        </w:rPr>
        <w:t>2011</w:t>
      </w:r>
      <w:r w:rsidR="00383661" w:rsidRPr="000702B6">
        <w:rPr>
          <w:rFonts w:ascii="Times New Roman" w:hAnsi="Times New Roman" w:cs="Times New Roman"/>
          <w:snapToGrid w:val="0"/>
          <w:lang w:val="pt-BR"/>
        </w:rPr>
        <w:t xml:space="preserve"> </w:t>
      </w:r>
      <w:proofErr w:type="spellStart"/>
      <w:r w:rsidR="00383661" w:rsidRPr="000702B6">
        <w:rPr>
          <w:rFonts w:ascii="Times New Roman" w:hAnsi="Times New Roman" w:cs="Times New Roman"/>
          <w:snapToGrid w:val="0"/>
          <w:lang w:val="pt-BR"/>
        </w:rPr>
        <w:t>roku</w:t>
      </w:r>
      <w:proofErr w:type="spellEnd"/>
      <w:r w:rsidR="00A220C6" w:rsidRPr="000702B6">
        <w:rPr>
          <w:rFonts w:ascii="Times New Roman" w:hAnsi="Times New Roman" w:cs="Times New Roman"/>
          <w:lang w:val="pl-PL"/>
        </w:rPr>
        <w:t xml:space="preserve">). </w:t>
      </w:r>
      <w:r w:rsidR="00383661" w:rsidRPr="000702B6">
        <w:rPr>
          <w:rFonts w:ascii="Times New Roman" w:hAnsi="Times New Roman" w:cs="Times New Roman"/>
          <w:lang w:val="pl-PL"/>
        </w:rPr>
        <w:t>Innymi słowy, nie będzie zwykle szerokiego marginesu zapewnianego przez Trybunał</w:t>
      </w:r>
      <w:r w:rsidR="00177D81" w:rsidRPr="000702B6">
        <w:rPr>
          <w:rFonts w:ascii="Times New Roman" w:hAnsi="Times New Roman" w:cs="Times New Roman"/>
          <w:lang w:val="pl-PL"/>
        </w:rPr>
        <w:t>,</w:t>
      </w:r>
      <w:r w:rsidR="00383661" w:rsidRPr="000702B6">
        <w:rPr>
          <w:rFonts w:ascii="Times New Roman" w:hAnsi="Times New Roman" w:cs="Times New Roman"/>
          <w:lang w:val="pl-PL"/>
        </w:rPr>
        <w:t xml:space="preserve"> jeśli państwo ma obowiązek zapewnić równowagę pomiędz</w:t>
      </w:r>
      <w:r w:rsidR="00451808" w:rsidRPr="000702B6">
        <w:rPr>
          <w:rFonts w:ascii="Times New Roman" w:hAnsi="Times New Roman" w:cs="Times New Roman"/>
          <w:lang w:val="pl-PL"/>
        </w:rPr>
        <w:t>y konkurującymi ze sobą interesami</w:t>
      </w:r>
      <w:r w:rsidR="00383661" w:rsidRPr="000702B6">
        <w:rPr>
          <w:rFonts w:ascii="Times New Roman" w:hAnsi="Times New Roman" w:cs="Times New Roman"/>
          <w:lang w:val="pl-PL"/>
        </w:rPr>
        <w:t xml:space="preserve"> prywatnymi lub konkurencyjnymi prawami Konwencji</w:t>
      </w:r>
      <w:r w:rsidR="00A220C6" w:rsidRPr="000702B6">
        <w:rPr>
          <w:rFonts w:ascii="Times New Roman" w:hAnsi="Times New Roman" w:cs="Times New Roman"/>
          <w:snapToGrid w:val="0"/>
          <w:szCs w:val="24"/>
          <w:lang w:val="pl-PL"/>
        </w:rPr>
        <w:t xml:space="preserve"> (</w:t>
      </w:r>
      <w:r w:rsidR="00383661" w:rsidRPr="000702B6">
        <w:rPr>
          <w:rFonts w:ascii="Times New Roman" w:hAnsi="Times New Roman" w:cs="Times New Roman"/>
          <w:snapToGrid w:val="0"/>
          <w:szCs w:val="24"/>
          <w:lang w:val="pl-PL"/>
        </w:rPr>
        <w:t>zobacz</w:t>
      </w:r>
      <w:r w:rsidR="00A220C6" w:rsidRPr="000702B6">
        <w:rPr>
          <w:rFonts w:ascii="Times New Roman" w:hAnsi="Times New Roman" w:cs="Times New Roman"/>
          <w:snapToGrid w:val="0"/>
          <w:szCs w:val="24"/>
          <w:lang w:val="pl-PL"/>
        </w:rPr>
        <w:t xml:space="preserve"> </w:t>
      </w:r>
      <w:r w:rsidR="00383661" w:rsidRPr="000702B6">
        <w:rPr>
          <w:rFonts w:ascii="Times New Roman" w:hAnsi="Times New Roman" w:cs="Times New Roman"/>
          <w:i/>
          <w:szCs w:val="24"/>
          <w:lang w:val="pl-PL"/>
        </w:rPr>
        <w:t>Evans przeciwko</w:t>
      </w:r>
      <w:r w:rsidR="00A220C6" w:rsidRPr="000702B6">
        <w:rPr>
          <w:rFonts w:ascii="Times New Roman" w:hAnsi="Times New Roman" w:cs="Times New Roman"/>
          <w:i/>
          <w:szCs w:val="24"/>
          <w:lang w:val="pl-PL"/>
        </w:rPr>
        <w:t> </w:t>
      </w:r>
      <w:r w:rsidR="00383661" w:rsidRPr="000702B6">
        <w:rPr>
          <w:rFonts w:ascii="Times New Roman" w:hAnsi="Times New Roman" w:cs="Times New Roman"/>
          <w:i/>
          <w:szCs w:val="24"/>
          <w:lang w:val="pl-PL"/>
        </w:rPr>
        <w:t>Wielkiej Brytanii</w:t>
      </w:r>
      <w:r w:rsidR="00383661" w:rsidRPr="000702B6">
        <w:rPr>
          <w:rFonts w:ascii="Times New Roman" w:hAnsi="Times New Roman" w:cs="Times New Roman"/>
          <w:szCs w:val="24"/>
          <w:lang w:val="pl-PL"/>
        </w:rPr>
        <w:t xml:space="preserve"> [GC], nr</w:t>
      </w:r>
      <w:r w:rsidR="00A220C6" w:rsidRPr="000702B6">
        <w:rPr>
          <w:rFonts w:ascii="Times New Roman" w:hAnsi="Times New Roman" w:cs="Times New Roman"/>
          <w:szCs w:val="24"/>
          <w:lang w:val="pl-PL"/>
        </w:rPr>
        <w:t xml:space="preserve"> 6339/05</w:t>
      </w:r>
      <w:r w:rsidR="00A220C6" w:rsidRPr="000702B6">
        <w:rPr>
          <w:rFonts w:ascii="Times New Roman" w:hAnsi="Times New Roman" w:cs="Times New Roman"/>
          <w:lang w:val="pl-PL"/>
        </w:rPr>
        <w:t xml:space="preserve">, § 77, ECHR </w:t>
      </w:r>
      <w:r w:rsidR="00A220C6" w:rsidRPr="000702B6">
        <w:rPr>
          <w:rFonts w:ascii="Times New Roman" w:hAnsi="Times New Roman" w:cs="Times New Roman"/>
          <w:lang w:val="pl-PL"/>
        </w:rPr>
        <w:lastRenderedPageBreak/>
        <w:t>2007</w:t>
      </w:r>
      <w:r w:rsidR="00A220C6" w:rsidRPr="000702B6">
        <w:rPr>
          <w:rFonts w:ascii="Times New Roman" w:hAnsi="Times New Roman" w:cs="Times New Roman"/>
          <w:lang w:val="pl-PL"/>
        </w:rPr>
        <w:noBreakHyphen/>
        <w:t xml:space="preserve">I; </w:t>
      </w:r>
      <w:proofErr w:type="spellStart"/>
      <w:r w:rsidR="00A220C6" w:rsidRPr="000702B6">
        <w:rPr>
          <w:rFonts w:ascii="Times New Roman" w:hAnsi="Times New Roman" w:cs="Times New Roman"/>
          <w:i/>
          <w:lang w:val="pl-PL"/>
        </w:rPr>
        <w:t>Chassagnou</w:t>
      </w:r>
      <w:proofErr w:type="spellEnd"/>
      <w:r w:rsidR="00A220C6" w:rsidRPr="000702B6">
        <w:rPr>
          <w:rFonts w:ascii="Times New Roman" w:hAnsi="Times New Roman" w:cs="Times New Roman"/>
          <w:i/>
          <w:lang w:val="pl-PL"/>
        </w:rPr>
        <w:t xml:space="preserve"> </w:t>
      </w:r>
      <w:r w:rsidR="00383661" w:rsidRPr="000702B6">
        <w:rPr>
          <w:rFonts w:ascii="Times New Roman" w:hAnsi="Times New Roman" w:cs="Times New Roman"/>
          <w:i/>
          <w:lang w:val="pl-PL"/>
        </w:rPr>
        <w:t>i</w:t>
      </w:r>
      <w:r w:rsidR="00A220C6" w:rsidRPr="000702B6">
        <w:rPr>
          <w:rFonts w:ascii="Times New Roman" w:hAnsi="Times New Roman" w:cs="Times New Roman"/>
          <w:i/>
          <w:lang w:val="pl-PL"/>
        </w:rPr>
        <w:t xml:space="preserve"> </w:t>
      </w:r>
      <w:r w:rsidR="00383661" w:rsidRPr="000702B6">
        <w:rPr>
          <w:rFonts w:ascii="Times New Roman" w:hAnsi="Times New Roman" w:cs="Times New Roman"/>
          <w:i/>
          <w:lang w:val="pl-PL"/>
        </w:rPr>
        <w:t>Inni przeciwko</w:t>
      </w:r>
      <w:r w:rsidR="00A220C6" w:rsidRPr="00B45853">
        <w:rPr>
          <w:rFonts w:ascii="Times New Roman" w:hAnsi="Times New Roman" w:cs="Times New Roman"/>
          <w:i/>
          <w:lang w:val="pl-PL"/>
        </w:rPr>
        <w:t xml:space="preserve"> Franc</w:t>
      </w:r>
      <w:r w:rsidR="00383661" w:rsidRPr="00B45853">
        <w:rPr>
          <w:rFonts w:ascii="Times New Roman" w:hAnsi="Times New Roman" w:cs="Times New Roman"/>
          <w:i/>
          <w:lang w:val="pl-PL"/>
        </w:rPr>
        <w:t>ji</w:t>
      </w:r>
      <w:r w:rsidR="00383661" w:rsidRPr="00B45853">
        <w:rPr>
          <w:rFonts w:ascii="Times New Roman" w:hAnsi="Times New Roman" w:cs="Times New Roman"/>
          <w:lang w:val="pl-PL"/>
        </w:rPr>
        <w:t xml:space="preserve"> [GC], nr</w:t>
      </w:r>
      <w:r w:rsidR="00A220C6" w:rsidRPr="00B45853">
        <w:rPr>
          <w:rFonts w:ascii="Times New Roman" w:hAnsi="Times New Roman" w:cs="Times New Roman"/>
          <w:lang w:val="pl-PL"/>
        </w:rPr>
        <w:t xml:space="preserve"> 25088/94, 28331/95 </w:t>
      </w:r>
      <w:r w:rsidR="00383661" w:rsidRPr="00B45853">
        <w:rPr>
          <w:rFonts w:ascii="Times New Roman" w:hAnsi="Times New Roman" w:cs="Times New Roman"/>
          <w:lang w:val="pl-PL"/>
        </w:rPr>
        <w:t xml:space="preserve">i </w:t>
      </w:r>
      <w:r w:rsidR="00A220C6" w:rsidRPr="00B45853">
        <w:rPr>
          <w:rFonts w:ascii="Times New Roman" w:hAnsi="Times New Roman" w:cs="Times New Roman"/>
          <w:lang w:val="pl-PL"/>
        </w:rPr>
        <w:t>28443/95, § 113, ECHR 1999</w:t>
      </w:r>
      <w:r w:rsidR="00A220C6" w:rsidRPr="00B45853">
        <w:rPr>
          <w:rFonts w:ascii="Times New Roman" w:hAnsi="Times New Roman" w:cs="Times New Roman"/>
          <w:lang w:val="pl-PL"/>
        </w:rPr>
        <w:noBreakHyphen/>
        <w:t xml:space="preserve">III; </w:t>
      </w:r>
      <w:r w:rsidR="00383661" w:rsidRPr="00B45853">
        <w:rPr>
          <w:rFonts w:ascii="Times New Roman" w:hAnsi="Times New Roman" w:cs="Times New Roman"/>
          <w:lang w:val="pl-PL"/>
        </w:rPr>
        <w:t>i</w:t>
      </w:r>
      <w:r w:rsidR="00A220C6" w:rsidRPr="00B45853">
        <w:rPr>
          <w:rFonts w:ascii="Times New Roman" w:hAnsi="Times New Roman" w:cs="Times New Roman"/>
          <w:lang w:val="pl-PL"/>
        </w:rPr>
        <w:t xml:space="preserve"> </w:t>
      </w:r>
      <w:proofErr w:type="spellStart"/>
      <w:r w:rsidR="00A220C6" w:rsidRPr="00B45853">
        <w:rPr>
          <w:rFonts w:ascii="Times New Roman" w:hAnsi="Times New Roman" w:cs="Times New Roman"/>
          <w:i/>
          <w:lang w:val="pl-PL"/>
        </w:rPr>
        <w:t>Ashby</w:t>
      </w:r>
      <w:proofErr w:type="spellEnd"/>
      <w:r w:rsidR="00A220C6" w:rsidRPr="00B45853">
        <w:rPr>
          <w:rFonts w:ascii="Times New Roman" w:hAnsi="Times New Roman" w:cs="Times New Roman"/>
          <w:i/>
          <w:lang w:val="pl-PL"/>
        </w:rPr>
        <w:t xml:space="preserve"> Donald </w:t>
      </w:r>
      <w:r w:rsidR="00383661" w:rsidRPr="00B45853">
        <w:rPr>
          <w:rFonts w:ascii="Times New Roman" w:hAnsi="Times New Roman" w:cs="Times New Roman"/>
          <w:i/>
          <w:lang w:val="pl-PL"/>
        </w:rPr>
        <w:t>i Inni przeciwko</w:t>
      </w:r>
      <w:r w:rsidR="00A220C6" w:rsidRPr="00B45853">
        <w:rPr>
          <w:rFonts w:ascii="Times New Roman" w:hAnsi="Times New Roman" w:cs="Times New Roman"/>
          <w:i/>
          <w:lang w:val="pl-PL"/>
        </w:rPr>
        <w:t xml:space="preserve"> Franc</w:t>
      </w:r>
      <w:r w:rsidR="00383661" w:rsidRPr="00B45853">
        <w:rPr>
          <w:rFonts w:ascii="Times New Roman" w:hAnsi="Times New Roman" w:cs="Times New Roman"/>
          <w:i/>
          <w:lang w:val="pl-PL"/>
        </w:rPr>
        <w:t>ji</w:t>
      </w:r>
      <w:r w:rsidR="00383661" w:rsidRPr="00B45853">
        <w:rPr>
          <w:rFonts w:ascii="Times New Roman" w:hAnsi="Times New Roman" w:cs="Times New Roman"/>
          <w:lang w:val="pl-PL"/>
        </w:rPr>
        <w:t>, nr</w:t>
      </w:r>
      <w:r w:rsidR="00A220C6" w:rsidRPr="00B45853">
        <w:rPr>
          <w:rFonts w:ascii="Times New Roman" w:hAnsi="Times New Roman" w:cs="Times New Roman"/>
          <w:lang w:val="pl-PL"/>
        </w:rPr>
        <w:t xml:space="preserve"> 36769/08</w:t>
      </w:r>
      <w:r w:rsidR="00A220C6" w:rsidRPr="00B45853">
        <w:rPr>
          <w:rFonts w:ascii="Times New Roman" w:hAnsi="Times New Roman" w:cs="Times New Roman"/>
          <w:snapToGrid w:val="0"/>
          <w:lang w:val="pl-PL"/>
        </w:rPr>
        <w:t xml:space="preserve">, § 40, </w:t>
      </w:r>
      <w:r w:rsidR="00A220C6" w:rsidRPr="00B45853">
        <w:rPr>
          <w:rFonts w:ascii="Times New Roman" w:hAnsi="Times New Roman" w:cs="Times New Roman"/>
          <w:lang w:val="pl-PL"/>
        </w:rPr>
        <w:t>10</w:t>
      </w:r>
      <w:r w:rsidR="00A220C6" w:rsidRPr="00B45853">
        <w:rPr>
          <w:rFonts w:ascii="Times New Roman" w:hAnsi="Times New Roman" w:cs="Times New Roman"/>
          <w:snapToGrid w:val="0"/>
          <w:lang w:val="pl-PL"/>
        </w:rPr>
        <w:t xml:space="preserve"> </w:t>
      </w:r>
      <w:r w:rsidR="00383661" w:rsidRPr="00B45853">
        <w:rPr>
          <w:rFonts w:ascii="Times New Roman" w:hAnsi="Times New Roman" w:cs="Times New Roman"/>
          <w:snapToGrid w:val="0"/>
          <w:lang w:val="pl-PL"/>
        </w:rPr>
        <w:t>Stycznia</w:t>
      </w:r>
      <w:r w:rsidR="00A220C6" w:rsidRPr="00B45853">
        <w:rPr>
          <w:rFonts w:ascii="Times New Roman" w:hAnsi="Times New Roman" w:cs="Times New Roman"/>
          <w:snapToGrid w:val="0"/>
          <w:lang w:val="pl-PL"/>
        </w:rPr>
        <w:t xml:space="preserve"> 2013</w:t>
      </w:r>
      <w:r w:rsidR="00383661" w:rsidRPr="00B45853">
        <w:rPr>
          <w:rFonts w:ascii="Times New Roman" w:hAnsi="Times New Roman" w:cs="Times New Roman"/>
          <w:snapToGrid w:val="0"/>
          <w:lang w:val="pl-PL"/>
        </w:rPr>
        <w:t xml:space="preserve"> roku</w:t>
      </w:r>
      <w:r w:rsidR="00A220C6" w:rsidRPr="00B45853">
        <w:rPr>
          <w:rFonts w:ascii="Times New Roman" w:hAnsi="Times New Roman" w:cs="Times New Roman"/>
          <w:snapToGrid w:val="0"/>
          <w:szCs w:val="24"/>
          <w:lang w:val="pl-PL"/>
        </w:rPr>
        <w:t>).</w:t>
      </w:r>
    </w:p>
    <w:p w:rsidR="00A220C6" w:rsidRPr="00B45853" w:rsidRDefault="00177D81" w:rsidP="00171A6F">
      <w:pPr>
        <w:pStyle w:val="ECHRHeading4"/>
        <w:rPr>
          <w:rFonts w:ascii="Times New Roman" w:hAnsi="Times New Roman" w:cs="Times New Roman"/>
          <w:bCs w:val="0"/>
          <w:lang w:val="pl-PL"/>
        </w:rPr>
      </w:pPr>
      <w:r w:rsidRPr="00B45853">
        <w:rPr>
          <w:rFonts w:ascii="Times New Roman" w:hAnsi="Times New Roman" w:cs="Times New Roman"/>
          <w:bCs w:val="0"/>
          <w:lang w:val="pl-PL"/>
        </w:rPr>
        <w:t>(b)</w:t>
      </w:r>
      <w:r w:rsidR="00A220C6" w:rsidRPr="00B45853">
        <w:rPr>
          <w:rFonts w:ascii="Times New Roman" w:hAnsi="Times New Roman" w:cs="Times New Roman"/>
          <w:bCs w:val="0"/>
          <w:lang w:val="pl-PL"/>
        </w:rPr>
        <w:t> </w:t>
      </w:r>
      <w:r w:rsidR="00383661" w:rsidRPr="00B45853">
        <w:rPr>
          <w:rFonts w:ascii="Times New Roman" w:hAnsi="Times New Roman" w:cs="Times New Roman"/>
          <w:bCs w:val="0"/>
          <w:lang w:val="pl-PL"/>
        </w:rPr>
        <w:t>Zastosowanie powyższych zasad w niniejszej sprawie</w:t>
      </w:r>
    </w:p>
    <w:p w:rsidR="00A220C6" w:rsidRPr="00B45853" w:rsidRDefault="00177D81" w:rsidP="00171A6F">
      <w:pPr>
        <w:pStyle w:val="ECHRHeading5"/>
        <w:rPr>
          <w:rFonts w:ascii="Times New Roman" w:hAnsi="Times New Roman" w:cs="Times New Roman"/>
          <w:lang w:val="pl-PL"/>
        </w:rPr>
      </w:pPr>
      <w:r w:rsidRPr="00B45853">
        <w:rPr>
          <w:rFonts w:ascii="Times New Roman" w:hAnsi="Times New Roman" w:cs="Times New Roman"/>
          <w:lang w:val="pl-PL"/>
        </w:rPr>
        <w:t>(i)</w:t>
      </w:r>
      <w:r w:rsidR="00A220C6" w:rsidRPr="00B45853">
        <w:rPr>
          <w:rFonts w:ascii="Times New Roman" w:hAnsi="Times New Roman" w:cs="Times New Roman"/>
          <w:lang w:val="pl-PL"/>
        </w:rPr>
        <w:t> </w:t>
      </w:r>
      <w:r w:rsidR="00383661" w:rsidRPr="00B45853">
        <w:rPr>
          <w:rFonts w:ascii="Times New Roman" w:hAnsi="Times New Roman" w:cs="Times New Roman"/>
          <w:lang w:val="pl-PL"/>
        </w:rPr>
        <w:t>Elementy w ocenie proporcjonalności</w:t>
      </w:r>
    </w:p>
    <w:p w:rsidR="00B413BF" w:rsidRPr="000702B6"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140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383661" w:rsidRPr="00B45853">
        <w:rPr>
          <w:rFonts w:ascii="Times New Roman" w:hAnsi="Times New Roman" w:cs="Times New Roman"/>
          <w:lang w:val="pl-PL"/>
        </w:rPr>
        <w:t>Trybunał zauważa, że ​​nie ulega wątpliwości, że komentarze umieszczane przez czytelników w reakcji na artykuł prasowy opublikowany na internetowym portalu informacyjnym skarżącej spółki, jak przedstawiono w obszarze komentarzy portalu, miały wyraźnie bezprawny charakter. Rzeczywiście, skarżąca spółka usunęła komentarze</w:t>
      </w:r>
      <w:r w:rsidR="00177D81" w:rsidRPr="00B45853">
        <w:rPr>
          <w:rFonts w:ascii="Times New Roman" w:hAnsi="Times New Roman" w:cs="Times New Roman"/>
          <w:lang w:val="pl-PL"/>
        </w:rPr>
        <w:t>,</w:t>
      </w:r>
      <w:r w:rsidR="00383661" w:rsidRPr="00B45853">
        <w:rPr>
          <w:rFonts w:ascii="Times New Roman" w:hAnsi="Times New Roman" w:cs="Times New Roman"/>
          <w:lang w:val="pl-PL"/>
        </w:rPr>
        <w:t xml:space="preserve"> kiedy została powiadomiona przez pokrzywdzonego i opisała je jako "naruszające" oraz "nielegalne" przed Izbą (patrz paragraf 84 wyroku Izby). Ponadto, Trybunał jest </w:t>
      </w:r>
      <w:r w:rsidR="00383661" w:rsidRPr="000702B6">
        <w:rPr>
          <w:rFonts w:ascii="Times New Roman" w:hAnsi="Times New Roman" w:cs="Times New Roman"/>
          <w:lang w:val="pl-PL"/>
        </w:rPr>
        <w:t xml:space="preserve">zdania, że ​​większość spornych komentarzy </w:t>
      </w:r>
      <w:r w:rsidR="00177D81" w:rsidRPr="000702B6">
        <w:rPr>
          <w:rFonts w:ascii="Times New Roman" w:hAnsi="Times New Roman" w:cs="Times New Roman"/>
          <w:lang w:val="pl-PL"/>
        </w:rPr>
        <w:t>urosła</w:t>
      </w:r>
      <w:r w:rsidR="00383661" w:rsidRPr="000702B6">
        <w:rPr>
          <w:rFonts w:ascii="Times New Roman" w:hAnsi="Times New Roman" w:cs="Times New Roman"/>
          <w:lang w:val="pl-PL"/>
        </w:rPr>
        <w:t xml:space="preserve"> do rangi mowy nienawiści lub </w:t>
      </w:r>
      <w:r w:rsidR="00451808" w:rsidRPr="000702B6">
        <w:rPr>
          <w:rFonts w:ascii="Times New Roman" w:hAnsi="Times New Roman" w:cs="Times New Roman"/>
          <w:lang w:val="pl-PL"/>
        </w:rPr>
        <w:t>podżegania</w:t>
      </w:r>
      <w:r w:rsidR="00383661" w:rsidRPr="000702B6">
        <w:rPr>
          <w:rFonts w:ascii="Times New Roman" w:hAnsi="Times New Roman" w:cs="Times New Roman"/>
          <w:lang w:val="pl-PL"/>
        </w:rPr>
        <w:t xml:space="preserve"> do przemocy, a jako takie, nie korzystają z ochrony przewidzianej w Artykule 10 (</w:t>
      </w:r>
      <w:r w:rsidR="00157CBE" w:rsidRPr="000702B6">
        <w:rPr>
          <w:rFonts w:ascii="Times New Roman" w:hAnsi="Times New Roman" w:cs="Times New Roman"/>
          <w:lang w:val="pl-PL"/>
        </w:rPr>
        <w:t>zobacz</w:t>
      </w:r>
      <w:r w:rsidR="00383661" w:rsidRPr="000702B6">
        <w:rPr>
          <w:rFonts w:ascii="Times New Roman" w:hAnsi="Times New Roman" w:cs="Times New Roman"/>
          <w:lang w:val="pl-PL"/>
        </w:rPr>
        <w:t xml:space="preserve"> paragraf 136 powyżej). Tak więc wolność wypowiedzi autorów komentarzy nie jest przedmiotem sporu w niniejszej sprawie. Raczej pytanie do Trybunału, czy decyzje sądów krajowych, pociągające skarżącą sp</w:t>
      </w:r>
      <w:r w:rsidR="00451808" w:rsidRPr="000702B6">
        <w:rPr>
          <w:rFonts w:ascii="Times New Roman" w:hAnsi="Times New Roman" w:cs="Times New Roman"/>
          <w:lang w:val="pl-PL"/>
        </w:rPr>
        <w:t xml:space="preserve">ółkę do odpowiedzialności za </w:t>
      </w:r>
      <w:r w:rsidR="00383661" w:rsidRPr="000702B6">
        <w:rPr>
          <w:rFonts w:ascii="Times New Roman" w:hAnsi="Times New Roman" w:cs="Times New Roman"/>
          <w:lang w:val="pl-PL"/>
        </w:rPr>
        <w:t>komentarze zamieszczone przez osoby tr</w:t>
      </w:r>
      <w:r w:rsidR="00925373" w:rsidRPr="000702B6">
        <w:rPr>
          <w:rFonts w:ascii="Times New Roman" w:hAnsi="Times New Roman" w:cs="Times New Roman"/>
          <w:lang w:val="pl-PL"/>
        </w:rPr>
        <w:t>zecie, stanowiły naruszenie jej</w:t>
      </w:r>
      <w:r w:rsidR="00383661" w:rsidRPr="000702B6">
        <w:rPr>
          <w:rFonts w:ascii="Times New Roman" w:hAnsi="Times New Roman" w:cs="Times New Roman"/>
          <w:lang w:val="pl-PL"/>
        </w:rPr>
        <w:t xml:space="preserve"> swobody przekazywania informacji zagwarantowane</w:t>
      </w:r>
      <w:r w:rsidR="00925373" w:rsidRPr="000702B6">
        <w:rPr>
          <w:rFonts w:ascii="Times New Roman" w:hAnsi="Times New Roman" w:cs="Times New Roman"/>
          <w:lang w:val="pl-PL"/>
        </w:rPr>
        <w:t>j przez A</w:t>
      </w:r>
      <w:r w:rsidR="00383661" w:rsidRPr="000702B6">
        <w:rPr>
          <w:rFonts w:ascii="Times New Roman" w:hAnsi="Times New Roman" w:cs="Times New Roman"/>
          <w:lang w:val="pl-PL"/>
        </w:rPr>
        <w:t>rtykuł 10 Konwencji.</w:t>
      </w:r>
    </w:p>
    <w:p w:rsidR="00A220C6" w:rsidRPr="000702B6"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141</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4E387F" w:rsidRPr="000702B6">
        <w:rPr>
          <w:rFonts w:ascii="Times New Roman" w:hAnsi="Times New Roman" w:cs="Times New Roman"/>
          <w:lang w:val="pl-PL"/>
        </w:rPr>
        <w:t xml:space="preserve">Trybunał zauważa, że ​​mimo iż skarżąca spółka natychmiast usunęła dane komentarze ze strony internetowej, po powiadomieniu przez adwokatów L. (patrz paragraf 18 i 19 powyżej), Sąd Najwyższy stwierdził, że skarżąca spółka ponosi odpowiedzialność na podstawie </w:t>
      </w:r>
      <w:r w:rsidR="00451808" w:rsidRPr="000702B6">
        <w:rPr>
          <w:rFonts w:ascii="Times New Roman" w:hAnsi="Times New Roman" w:cs="Times New Roman"/>
          <w:lang w:val="pl-PL"/>
        </w:rPr>
        <w:t>Prawa Zobowiązań,</w:t>
      </w:r>
      <w:r w:rsidR="004E387F" w:rsidRPr="000702B6">
        <w:rPr>
          <w:rFonts w:ascii="Times New Roman" w:hAnsi="Times New Roman" w:cs="Times New Roman"/>
          <w:lang w:val="pl-PL"/>
        </w:rPr>
        <w:t xml:space="preserve"> jako że powinna zapobiec publikacji komentarzy o wyraźnie nielegalnej treści. Następnie, odwołał się do </w:t>
      </w:r>
      <w:r w:rsidR="00451808" w:rsidRPr="000702B6">
        <w:rPr>
          <w:rFonts w:ascii="Times New Roman" w:hAnsi="Times New Roman" w:cs="Times New Roman"/>
          <w:lang w:val="pl-PL"/>
        </w:rPr>
        <w:t>artykułu</w:t>
      </w:r>
      <w:r w:rsidR="004E387F" w:rsidRPr="000702B6">
        <w:rPr>
          <w:rFonts w:ascii="Times New Roman" w:hAnsi="Times New Roman" w:cs="Times New Roman"/>
          <w:lang w:val="pl-PL"/>
        </w:rPr>
        <w:t xml:space="preserve"> 1047 (3) </w:t>
      </w:r>
      <w:r w:rsidR="00451808" w:rsidRPr="000702B6">
        <w:rPr>
          <w:rFonts w:ascii="Times New Roman" w:hAnsi="Times New Roman" w:cs="Times New Roman"/>
          <w:lang w:val="pl-PL"/>
        </w:rPr>
        <w:t>Prawa Zobowiązań</w:t>
      </w:r>
      <w:r w:rsidR="004E387F" w:rsidRPr="000702B6">
        <w:rPr>
          <w:rFonts w:ascii="Times New Roman" w:hAnsi="Times New Roman" w:cs="Times New Roman"/>
          <w:lang w:val="pl-PL"/>
        </w:rPr>
        <w:t>, zgodnie z którym ujawnienie informacji lub innych spraw nie jest uważane za niezgodne z prawem, jeśli osoba, która ujawnia informacje</w:t>
      </w:r>
      <w:r w:rsidR="00177D81" w:rsidRPr="000702B6">
        <w:rPr>
          <w:rFonts w:ascii="Times New Roman" w:hAnsi="Times New Roman" w:cs="Times New Roman"/>
          <w:lang w:val="pl-PL"/>
        </w:rPr>
        <w:t>,</w:t>
      </w:r>
      <w:r w:rsidR="004E387F" w:rsidRPr="000702B6">
        <w:rPr>
          <w:rFonts w:ascii="Times New Roman" w:hAnsi="Times New Roman" w:cs="Times New Roman"/>
          <w:lang w:val="pl-PL"/>
        </w:rPr>
        <w:t xml:space="preserve"> lub inne sprawy lub osoby, których takie sprawy są ujawniane</w:t>
      </w:r>
      <w:r w:rsidR="00177D81" w:rsidRPr="000702B6">
        <w:rPr>
          <w:rFonts w:ascii="Times New Roman" w:hAnsi="Times New Roman" w:cs="Times New Roman"/>
          <w:lang w:val="pl-PL"/>
        </w:rPr>
        <w:t>,</w:t>
      </w:r>
      <w:r w:rsidR="004E387F" w:rsidRPr="000702B6">
        <w:rPr>
          <w:rFonts w:ascii="Times New Roman" w:hAnsi="Times New Roman" w:cs="Times New Roman"/>
          <w:lang w:val="pl-PL"/>
        </w:rPr>
        <w:t xml:space="preserve"> ma uzasadniony interes w ujawnieniu, a jeśli osoba, która ujawnia informacje</w:t>
      </w:r>
      <w:r w:rsidR="00177D81" w:rsidRPr="000702B6">
        <w:rPr>
          <w:rFonts w:ascii="Times New Roman" w:hAnsi="Times New Roman" w:cs="Times New Roman"/>
          <w:lang w:val="pl-PL"/>
        </w:rPr>
        <w:t>,</w:t>
      </w:r>
      <w:r w:rsidR="004E387F" w:rsidRPr="000702B6">
        <w:rPr>
          <w:rFonts w:ascii="Times New Roman" w:hAnsi="Times New Roman" w:cs="Times New Roman"/>
          <w:lang w:val="pl-PL"/>
        </w:rPr>
        <w:t xml:space="preserve"> zweryfikowała informacje lub inne sprawy z dokładnością co odpowiada „potencjalnemu naruszeniu". Sąd Najwyższy orzekł, że po ujawnieniu</w:t>
      </w:r>
      <w:r w:rsidR="00451808" w:rsidRPr="000702B6">
        <w:rPr>
          <w:rFonts w:ascii="Times New Roman" w:hAnsi="Times New Roman" w:cs="Times New Roman"/>
          <w:lang w:val="pl-PL"/>
        </w:rPr>
        <w:t>,</w:t>
      </w:r>
      <w:r w:rsidR="004E387F" w:rsidRPr="000702B6">
        <w:rPr>
          <w:rFonts w:ascii="Times New Roman" w:hAnsi="Times New Roman" w:cs="Times New Roman"/>
          <w:lang w:val="pl-PL"/>
        </w:rPr>
        <w:t xml:space="preserve"> skarżącej spółce </w:t>
      </w:r>
      <w:r w:rsidR="00177D81" w:rsidRPr="000702B6">
        <w:rPr>
          <w:rFonts w:ascii="Times New Roman" w:hAnsi="Times New Roman" w:cs="Times New Roman"/>
          <w:lang w:val="pl-PL"/>
        </w:rPr>
        <w:t xml:space="preserve">nie udało się usunąć komentarzy </w:t>
      </w:r>
      <w:r w:rsidR="004E387F" w:rsidRPr="000702B6">
        <w:rPr>
          <w:rFonts w:ascii="Times New Roman" w:hAnsi="Times New Roman" w:cs="Times New Roman"/>
          <w:lang w:val="pl-PL"/>
        </w:rPr>
        <w:t>–</w:t>
      </w:r>
      <w:r w:rsidR="00177D81" w:rsidRPr="000702B6">
        <w:rPr>
          <w:rFonts w:ascii="Times New Roman" w:hAnsi="Times New Roman" w:cs="Times New Roman"/>
          <w:lang w:val="pl-PL"/>
        </w:rPr>
        <w:t xml:space="preserve"> </w:t>
      </w:r>
      <w:r w:rsidR="004E387F" w:rsidRPr="000702B6">
        <w:rPr>
          <w:rFonts w:ascii="Times New Roman" w:hAnsi="Times New Roman" w:cs="Times New Roman"/>
          <w:lang w:val="pl-PL"/>
        </w:rPr>
        <w:t>bezprawnej treści,</w:t>
      </w:r>
      <w:r w:rsidR="00177D81" w:rsidRPr="000702B6">
        <w:rPr>
          <w:rFonts w:ascii="Times New Roman" w:hAnsi="Times New Roman" w:cs="Times New Roman"/>
          <w:lang w:val="pl-PL"/>
        </w:rPr>
        <w:t xml:space="preserve"> których powinna być świadoma</w:t>
      </w:r>
      <w:r w:rsidR="00451808" w:rsidRPr="000702B6">
        <w:rPr>
          <w:rFonts w:ascii="Times New Roman" w:hAnsi="Times New Roman" w:cs="Times New Roman"/>
          <w:lang w:val="pl-PL"/>
        </w:rPr>
        <w:t xml:space="preserve"> </w:t>
      </w:r>
      <w:r w:rsidR="00177D81" w:rsidRPr="000702B6">
        <w:rPr>
          <w:rFonts w:ascii="Times New Roman" w:hAnsi="Times New Roman" w:cs="Times New Roman"/>
          <w:lang w:val="pl-PL"/>
        </w:rPr>
        <w:t>-</w:t>
      </w:r>
      <w:r w:rsidR="00451808" w:rsidRPr="000702B6">
        <w:rPr>
          <w:rFonts w:ascii="Times New Roman" w:hAnsi="Times New Roman" w:cs="Times New Roman"/>
          <w:lang w:val="pl-PL"/>
        </w:rPr>
        <w:t xml:space="preserve"> </w:t>
      </w:r>
      <w:r w:rsidR="004E387F" w:rsidRPr="000702B6">
        <w:rPr>
          <w:rFonts w:ascii="Times New Roman" w:hAnsi="Times New Roman" w:cs="Times New Roman"/>
          <w:lang w:val="pl-PL"/>
        </w:rPr>
        <w:t xml:space="preserve">z portalu z własnej inicjatywy. Nieaktywność skarżącej spółki została zatem uznana za niezgodną z prawem, ponieważ </w:t>
      </w:r>
      <w:r w:rsidR="00451808" w:rsidRPr="000702B6">
        <w:rPr>
          <w:rFonts w:ascii="Times New Roman" w:hAnsi="Times New Roman" w:cs="Times New Roman"/>
          <w:lang w:val="pl-PL"/>
        </w:rPr>
        <w:t xml:space="preserve">skarżąca spółka </w:t>
      </w:r>
      <w:r w:rsidR="004E387F" w:rsidRPr="000702B6">
        <w:rPr>
          <w:rFonts w:ascii="Times New Roman" w:hAnsi="Times New Roman" w:cs="Times New Roman"/>
          <w:lang w:val="pl-PL"/>
        </w:rPr>
        <w:t>nie "udowodnił</w:t>
      </w:r>
      <w:r w:rsidR="00451808" w:rsidRPr="000702B6">
        <w:rPr>
          <w:rFonts w:ascii="Times New Roman" w:hAnsi="Times New Roman" w:cs="Times New Roman"/>
          <w:lang w:val="pl-PL"/>
        </w:rPr>
        <w:t>a</w:t>
      </w:r>
      <w:r w:rsidR="004E387F" w:rsidRPr="000702B6">
        <w:rPr>
          <w:rFonts w:ascii="Times New Roman" w:hAnsi="Times New Roman" w:cs="Times New Roman"/>
          <w:lang w:val="pl-PL"/>
        </w:rPr>
        <w:t xml:space="preserve"> braku przewinienia" </w:t>
      </w:r>
      <w:r w:rsidR="00451808" w:rsidRPr="000702B6">
        <w:rPr>
          <w:rFonts w:ascii="Times New Roman" w:hAnsi="Times New Roman" w:cs="Times New Roman"/>
          <w:lang w:val="pl-PL"/>
        </w:rPr>
        <w:t xml:space="preserve">zgodnie z artykułem </w:t>
      </w:r>
      <w:r w:rsidR="004E387F" w:rsidRPr="000702B6">
        <w:rPr>
          <w:rFonts w:ascii="Times New Roman" w:hAnsi="Times New Roman" w:cs="Times New Roman"/>
          <w:lang w:val="pl-PL"/>
        </w:rPr>
        <w:t xml:space="preserve">1050 (1) </w:t>
      </w:r>
      <w:r w:rsidR="00451808" w:rsidRPr="000702B6">
        <w:rPr>
          <w:rFonts w:ascii="Times New Roman" w:hAnsi="Times New Roman" w:cs="Times New Roman"/>
          <w:lang w:val="pl-PL"/>
        </w:rPr>
        <w:t>Prawa Zobowiązań</w:t>
      </w:r>
      <w:r w:rsidR="004E387F" w:rsidRPr="000702B6">
        <w:rPr>
          <w:rFonts w:ascii="Times New Roman" w:hAnsi="Times New Roman" w:cs="Times New Roman"/>
          <w:lang w:val="pl-PL"/>
        </w:rPr>
        <w:t xml:space="preserve"> (zobacz § 16 wyroku Sądu Najwyższego, jak określono w paragrafie 31 powyżej).</w:t>
      </w:r>
    </w:p>
    <w:p w:rsidR="00B413BF" w:rsidRPr="00B45853"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142</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4E387F" w:rsidRPr="000702B6">
        <w:rPr>
          <w:rFonts w:ascii="Times New Roman" w:hAnsi="Times New Roman" w:cs="Times New Roman"/>
          <w:lang w:val="pl-PL"/>
        </w:rPr>
        <w:t>W świet</w:t>
      </w:r>
      <w:r w:rsidR="00177D81" w:rsidRPr="000702B6">
        <w:rPr>
          <w:rFonts w:ascii="Times New Roman" w:hAnsi="Times New Roman" w:cs="Times New Roman"/>
          <w:lang w:val="pl-PL"/>
        </w:rPr>
        <w:t>le rozumowania Sądu Najwyższego</w:t>
      </w:r>
      <w:r w:rsidR="00451808" w:rsidRPr="000702B6">
        <w:rPr>
          <w:rFonts w:ascii="Times New Roman" w:hAnsi="Times New Roman" w:cs="Times New Roman"/>
          <w:lang w:val="pl-PL"/>
        </w:rPr>
        <w:t xml:space="preserve"> Trybunał musi, zgodnie ze swoim </w:t>
      </w:r>
      <w:r w:rsidR="004E387F" w:rsidRPr="000702B6">
        <w:rPr>
          <w:rFonts w:ascii="Times New Roman" w:hAnsi="Times New Roman" w:cs="Times New Roman"/>
          <w:lang w:val="pl-PL"/>
        </w:rPr>
        <w:t xml:space="preserve">utrwalonym orzecznictwem, zbadać, czy stwierdzenie sądów krajowych w kwestii odpowiedzialności ze strony skarżącej spółki </w:t>
      </w:r>
      <w:r w:rsidR="004E387F" w:rsidRPr="000702B6">
        <w:rPr>
          <w:rFonts w:ascii="Times New Roman" w:hAnsi="Times New Roman" w:cs="Times New Roman"/>
          <w:lang w:val="pl-PL"/>
        </w:rPr>
        <w:lastRenderedPageBreak/>
        <w:t>zostało oparte na odpowi</w:t>
      </w:r>
      <w:r w:rsidR="00B11533" w:rsidRPr="000702B6">
        <w:rPr>
          <w:rFonts w:ascii="Times New Roman" w:hAnsi="Times New Roman" w:cs="Times New Roman"/>
          <w:lang w:val="pl-PL"/>
        </w:rPr>
        <w:t xml:space="preserve">ednich i wystarczających </w:t>
      </w:r>
      <w:r w:rsidR="00451808" w:rsidRPr="000702B6">
        <w:rPr>
          <w:rFonts w:ascii="Times New Roman" w:hAnsi="Times New Roman" w:cs="Times New Roman"/>
          <w:lang w:val="pl-PL"/>
        </w:rPr>
        <w:t>podstawach</w:t>
      </w:r>
      <w:r w:rsidR="004E387F" w:rsidRPr="000702B6">
        <w:rPr>
          <w:rFonts w:ascii="Times New Roman" w:hAnsi="Times New Roman" w:cs="Times New Roman"/>
          <w:lang w:val="pl-PL"/>
        </w:rPr>
        <w:t xml:space="preserve"> w szczególnych okolicznościach </w:t>
      </w:r>
      <w:r w:rsidR="00B11533" w:rsidRPr="000702B6">
        <w:rPr>
          <w:rFonts w:ascii="Times New Roman" w:hAnsi="Times New Roman" w:cs="Times New Roman"/>
          <w:lang w:val="pl-PL"/>
        </w:rPr>
        <w:t>sprawy</w:t>
      </w:r>
      <w:r w:rsidR="004E387F" w:rsidRPr="000702B6">
        <w:rPr>
          <w:rFonts w:ascii="Times New Roman" w:hAnsi="Times New Roman" w:cs="Times New Roman"/>
          <w:lang w:val="pl-PL"/>
        </w:rPr>
        <w:t xml:space="preserve"> (zobacz paragraf 131 powyżej). Trybunał zauważa, że w celu rozstrzygnięcia kwestii, czy decyzje sądów krajowych po</w:t>
      </w:r>
      <w:r w:rsidR="00B11533" w:rsidRPr="000702B6">
        <w:rPr>
          <w:rFonts w:ascii="Times New Roman" w:hAnsi="Times New Roman" w:cs="Times New Roman"/>
          <w:lang w:val="pl-PL"/>
        </w:rPr>
        <w:t>ciągające skarżącą spółkę</w:t>
      </w:r>
      <w:r w:rsidR="004E387F" w:rsidRPr="000702B6">
        <w:rPr>
          <w:rFonts w:ascii="Times New Roman" w:hAnsi="Times New Roman" w:cs="Times New Roman"/>
          <w:lang w:val="pl-PL"/>
        </w:rPr>
        <w:t xml:space="preserve"> </w:t>
      </w:r>
      <w:r w:rsidR="00B11533" w:rsidRPr="000702B6">
        <w:rPr>
          <w:rFonts w:ascii="Times New Roman" w:hAnsi="Times New Roman" w:cs="Times New Roman"/>
          <w:lang w:val="pl-PL"/>
        </w:rPr>
        <w:t>do</w:t>
      </w:r>
      <w:r w:rsidR="004E387F" w:rsidRPr="000702B6">
        <w:rPr>
          <w:rFonts w:ascii="Times New Roman" w:hAnsi="Times New Roman" w:cs="Times New Roman"/>
          <w:lang w:val="pl-PL"/>
        </w:rPr>
        <w:t xml:space="preserve"> odpowiedzialności za</w:t>
      </w:r>
      <w:r w:rsidR="004E387F" w:rsidRPr="00B45853">
        <w:rPr>
          <w:rFonts w:ascii="Times New Roman" w:hAnsi="Times New Roman" w:cs="Times New Roman"/>
          <w:lang w:val="pl-PL"/>
        </w:rPr>
        <w:t xml:space="preserve"> komentarze zamieszczone przez osoby t</w:t>
      </w:r>
      <w:r w:rsidR="00B11533" w:rsidRPr="00B45853">
        <w:rPr>
          <w:rFonts w:ascii="Times New Roman" w:hAnsi="Times New Roman" w:cs="Times New Roman"/>
          <w:lang w:val="pl-PL"/>
        </w:rPr>
        <w:t>rzecie stanowiły naruszenie jej</w:t>
      </w:r>
      <w:r w:rsidR="004E387F" w:rsidRPr="00B45853">
        <w:rPr>
          <w:rFonts w:ascii="Times New Roman" w:hAnsi="Times New Roman" w:cs="Times New Roman"/>
          <w:lang w:val="pl-PL"/>
        </w:rPr>
        <w:t xml:space="preserve"> wolności wypowiedzi, Izba ustaliła </w:t>
      </w:r>
      <w:r w:rsidR="004E387F" w:rsidRPr="000702B6">
        <w:rPr>
          <w:rFonts w:ascii="Times New Roman" w:hAnsi="Times New Roman" w:cs="Times New Roman"/>
          <w:lang w:val="pl-PL"/>
        </w:rPr>
        <w:t xml:space="preserve">następujące </w:t>
      </w:r>
      <w:r w:rsidR="00B11533" w:rsidRPr="000702B6">
        <w:rPr>
          <w:rFonts w:ascii="Times New Roman" w:hAnsi="Times New Roman" w:cs="Times New Roman"/>
          <w:lang w:val="pl-PL"/>
        </w:rPr>
        <w:t xml:space="preserve">istotne </w:t>
      </w:r>
      <w:r w:rsidR="004E387F" w:rsidRPr="000702B6">
        <w:rPr>
          <w:rFonts w:ascii="Times New Roman" w:hAnsi="Times New Roman" w:cs="Times New Roman"/>
          <w:lang w:val="pl-PL"/>
        </w:rPr>
        <w:t xml:space="preserve">aspekty </w:t>
      </w:r>
      <w:r w:rsidR="00F54A42" w:rsidRPr="000702B6">
        <w:rPr>
          <w:rFonts w:ascii="Times New Roman" w:hAnsi="Times New Roman" w:cs="Times New Roman"/>
          <w:lang w:val="pl-PL"/>
        </w:rPr>
        <w:t>do</w:t>
      </w:r>
      <w:r w:rsidR="00B11533" w:rsidRPr="000702B6">
        <w:rPr>
          <w:rFonts w:ascii="Times New Roman" w:hAnsi="Times New Roman" w:cs="Times New Roman"/>
          <w:lang w:val="pl-PL"/>
        </w:rPr>
        <w:t xml:space="preserve"> ich</w:t>
      </w:r>
      <w:r w:rsidR="004E387F" w:rsidRPr="000702B6">
        <w:rPr>
          <w:rFonts w:ascii="Times New Roman" w:hAnsi="Times New Roman" w:cs="Times New Roman"/>
          <w:lang w:val="pl-PL"/>
        </w:rPr>
        <w:t xml:space="preserve"> analizy: kontekst komentarz</w:t>
      </w:r>
      <w:r w:rsidR="00B11533" w:rsidRPr="000702B6">
        <w:rPr>
          <w:rFonts w:ascii="Times New Roman" w:hAnsi="Times New Roman" w:cs="Times New Roman"/>
          <w:lang w:val="pl-PL"/>
        </w:rPr>
        <w:t>y</w:t>
      </w:r>
      <w:r w:rsidR="004E387F" w:rsidRPr="000702B6">
        <w:rPr>
          <w:rFonts w:ascii="Times New Roman" w:hAnsi="Times New Roman" w:cs="Times New Roman"/>
          <w:lang w:val="pl-PL"/>
        </w:rPr>
        <w:t xml:space="preserve">, środki stosowane przez </w:t>
      </w:r>
      <w:r w:rsidR="00F54A42" w:rsidRPr="000702B6">
        <w:rPr>
          <w:rFonts w:ascii="Times New Roman" w:hAnsi="Times New Roman" w:cs="Times New Roman"/>
          <w:lang w:val="pl-PL"/>
        </w:rPr>
        <w:t>skarżącego</w:t>
      </w:r>
      <w:r w:rsidR="004E387F" w:rsidRPr="000702B6">
        <w:rPr>
          <w:rFonts w:ascii="Times New Roman" w:hAnsi="Times New Roman" w:cs="Times New Roman"/>
          <w:lang w:val="pl-PL"/>
        </w:rPr>
        <w:t xml:space="preserve"> w celu zapobieżenia lub usunięcia oszczerczych komentarzy, odpowiedzialność rzeczywistych autorów </w:t>
      </w:r>
      <w:r w:rsidR="00B11533" w:rsidRPr="000702B6">
        <w:rPr>
          <w:rFonts w:ascii="Times New Roman" w:hAnsi="Times New Roman" w:cs="Times New Roman"/>
          <w:lang w:val="pl-PL"/>
        </w:rPr>
        <w:t>komentarzy</w:t>
      </w:r>
      <w:r w:rsidR="004E387F" w:rsidRPr="000702B6">
        <w:rPr>
          <w:rFonts w:ascii="Times New Roman" w:hAnsi="Times New Roman" w:cs="Times New Roman"/>
          <w:lang w:val="pl-PL"/>
        </w:rPr>
        <w:t xml:space="preserve"> jako alternatywa dla odpow</w:t>
      </w:r>
      <w:r w:rsidR="00B11533" w:rsidRPr="000702B6">
        <w:rPr>
          <w:rFonts w:ascii="Times New Roman" w:hAnsi="Times New Roman" w:cs="Times New Roman"/>
          <w:lang w:val="pl-PL"/>
        </w:rPr>
        <w:t>iedzialności skarżącej spółki, i konsekwencje postępowania</w:t>
      </w:r>
      <w:r w:rsidR="004E387F" w:rsidRPr="000702B6">
        <w:rPr>
          <w:rFonts w:ascii="Times New Roman" w:hAnsi="Times New Roman" w:cs="Times New Roman"/>
          <w:lang w:val="pl-PL"/>
        </w:rPr>
        <w:t xml:space="preserve"> krajow</w:t>
      </w:r>
      <w:r w:rsidR="00B11533" w:rsidRPr="000702B6">
        <w:rPr>
          <w:rFonts w:ascii="Times New Roman" w:hAnsi="Times New Roman" w:cs="Times New Roman"/>
          <w:lang w:val="pl-PL"/>
        </w:rPr>
        <w:t>ego</w:t>
      </w:r>
      <w:r w:rsidR="004E387F" w:rsidRPr="000702B6">
        <w:rPr>
          <w:rFonts w:ascii="Times New Roman" w:hAnsi="Times New Roman" w:cs="Times New Roman"/>
          <w:lang w:val="pl-PL"/>
        </w:rPr>
        <w:t xml:space="preserve"> dla </w:t>
      </w:r>
      <w:r w:rsidR="00B11533" w:rsidRPr="000702B6">
        <w:rPr>
          <w:rFonts w:ascii="Times New Roman" w:hAnsi="Times New Roman" w:cs="Times New Roman"/>
          <w:lang w:val="pl-PL"/>
        </w:rPr>
        <w:t>skarżącej</w:t>
      </w:r>
      <w:r w:rsidR="00B11533" w:rsidRPr="00B45853">
        <w:rPr>
          <w:rFonts w:ascii="Times New Roman" w:hAnsi="Times New Roman" w:cs="Times New Roman"/>
          <w:lang w:val="pl-PL"/>
        </w:rPr>
        <w:t xml:space="preserve"> spółki </w:t>
      </w:r>
      <w:r w:rsidR="00A220C6" w:rsidRPr="00B45853">
        <w:rPr>
          <w:rFonts w:ascii="Times New Roman" w:hAnsi="Times New Roman" w:cs="Times New Roman"/>
          <w:lang w:val="pl-PL"/>
        </w:rPr>
        <w:t>(</w:t>
      </w:r>
      <w:r w:rsidR="00B11533" w:rsidRPr="00B45853">
        <w:rPr>
          <w:rFonts w:ascii="Times New Roman" w:hAnsi="Times New Roman" w:cs="Times New Roman"/>
          <w:lang w:val="pl-PL"/>
        </w:rPr>
        <w:t>zobacz paragrafy</w:t>
      </w:r>
      <w:r w:rsidR="00A220C6" w:rsidRPr="00B45853">
        <w:rPr>
          <w:rFonts w:ascii="Times New Roman" w:hAnsi="Times New Roman" w:cs="Times New Roman"/>
          <w:lang w:val="pl-PL"/>
        </w:rPr>
        <w:t xml:space="preserve"> 85 </w:t>
      </w:r>
      <w:r w:rsidR="00A220C6" w:rsidRPr="00631F4D">
        <w:rPr>
          <w:rFonts w:ascii="Times New Roman" w:hAnsi="Times New Roman" w:cs="Times New Roman"/>
          <w:i/>
          <w:lang w:val="pl-PL"/>
        </w:rPr>
        <w:t xml:space="preserve">et </w:t>
      </w:r>
      <w:proofErr w:type="spellStart"/>
      <w:r w:rsidR="00A220C6" w:rsidRPr="00631F4D">
        <w:rPr>
          <w:rFonts w:ascii="Times New Roman" w:hAnsi="Times New Roman" w:cs="Times New Roman"/>
          <w:i/>
          <w:lang w:val="pl-PL"/>
        </w:rPr>
        <w:t>seq</w:t>
      </w:r>
      <w:proofErr w:type="spellEnd"/>
      <w:r w:rsidR="00A220C6" w:rsidRPr="00631F4D">
        <w:rPr>
          <w:rFonts w:ascii="Times New Roman" w:hAnsi="Times New Roman" w:cs="Times New Roman"/>
          <w:i/>
          <w:lang w:val="pl-PL"/>
        </w:rPr>
        <w:t>.</w:t>
      </w:r>
      <w:r w:rsidR="00A220C6" w:rsidRPr="00B45853">
        <w:rPr>
          <w:rFonts w:ascii="Times New Roman" w:hAnsi="Times New Roman" w:cs="Times New Roman"/>
          <w:lang w:val="pl-PL"/>
        </w:rPr>
        <w:t xml:space="preserve"> </w:t>
      </w:r>
      <w:r w:rsidR="00B11533" w:rsidRPr="00B45853">
        <w:rPr>
          <w:rFonts w:ascii="Times New Roman" w:hAnsi="Times New Roman" w:cs="Times New Roman"/>
          <w:lang w:val="pl-PL"/>
        </w:rPr>
        <w:t>wyroku Izby</w:t>
      </w:r>
      <w:r w:rsidR="00A220C6"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143</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B11533" w:rsidRPr="00B45853">
        <w:rPr>
          <w:rFonts w:ascii="Times New Roman" w:hAnsi="Times New Roman" w:cs="Times New Roman"/>
          <w:lang w:val="pl-PL"/>
        </w:rPr>
        <w:t>Trybunał zgadza się, że te aspekty są istotne dla konkretnej oceny proporcjonalności ingerencji w kwestii objętej zakresem badania przez Trybunał w niniejszej sprawie (patrz paragrafy od 112 do 117 powyżej)</w:t>
      </w:r>
      <w:r w:rsidR="00A220C6" w:rsidRPr="00B45853">
        <w:rPr>
          <w:rFonts w:ascii="Times New Roman" w:hAnsi="Times New Roman" w:cs="Times New Roman"/>
          <w:lang w:val="pl-PL"/>
        </w:rPr>
        <w:t>.</w:t>
      </w:r>
    </w:p>
    <w:p w:rsidR="00A220C6" w:rsidRPr="00B45853" w:rsidRDefault="00177D81" w:rsidP="00171A6F">
      <w:pPr>
        <w:pStyle w:val="ECHRHeading5"/>
        <w:rPr>
          <w:rFonts w:ascii="Times New Roman" w:hAnsi="Times New Roman" w:cs="Times New Roman"/>
          <w:lang w:val="pl-PL"/>
        </w:rPr>
      </w:pPr>
      <w:r w:rsidRPr="00B45853">
        <w:rPr>
          <w:rFonts w:ascii="Times New Roman" w:hAnsi="Times New Roman" w:cs="Times New Roman"/>
          <w:lang w:val="pl-PL"/>
        </w:rPr>
        <w:t>(ii)</w:t>
      </w:r>
      <w:r w:rsidR="00A220C6" w:rsidRPr="00B45853">
        <w:rPr>
          <w:rFonts w:ascii="Times New Roman" w:hAnsi="Times New Roman" w:cs="Times New Roman"/>
          <w:lang w:val="pl-PL"/>
        </w:rPr>
        <w:t> </w:t>
      </w:r>
      <w:r w:rsidR="00B11533" w:rsidRPr="00B45853">
        <w:rPr>
          <w:rFonts w:ascii="Times New Roman" w:hAnsi="Times New Roman" w:cs="Times New Roman"/>
          <w:lang w:val="pl-PL"/>
        </w:rPr>
        <w:t>Kontekst komentarzy</w:t>
      </w:r>
    </w:p>
    <w:p w:rsidR="00B413BF" w:rsidRPr="000702B6"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144</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B11533" w:rsidRPr="00B45853">
        <w:rPr>
          <w:rFonts w:ascii="Times New Roman" w:hAnsi="Times New Roman" w:cs="Times New Roman"/>
          <w:lang w:val="pl-PL"/>
        </w:rPr>
        <w:t xml:space="preserve">Jeśli chodzi o kontekst </w:t>
      </w:r>
      <w:r w:rsidR="00B11533" w:rsidRPr="000702B6">
        <w:rPr>
          <w:rFonts w:ascii="Times New Roman" w:hAnsi="Times New Roman" w:cs="Times New Roman"/>
          <w:lang w:val="pl-PL"/>
        </w:rPr>
        <w:t>komentarzach, Trybunał uznaje, że artykuł informacyjny na te</w:t>
      </w:r>
      <w:r w:rsidR="00F54A42" w:rsidRPr="000702B6">
        <w:rPr>
          <w:rFonts w:ascii="Times New Roman" w:hAnsi="Times New Roman" w:cs="Times New Roman"/>
          <w:lang w:val="pl-PL"/>
        </w:rPr>
        <w:t>mat firmy promowej, opublikowany</w:t>
      </w:r>
      <w:r w:rsidR="00B11533" w:rsidRPr="000702B6">
        <w:rPr>
          <w:rFonts w:ascii="Times New Roman" w:hAnsi="Times New Roman" w:cs="Times New Roman"/>
          <w:lang w:val="pl-PL"/>
        </w:rPr>
        <w:t xml:space="preserve"> na p</w:t>
      </w:r>
      <w:r w:rsidR="00F54A42" w:rsidRPr="000702B6">
        <w:rPr>
          <w:rFonts w:ascii="Times New Roman" w:hAnsi="Times New Roman" w:cs="Times New Roman"/>
          <w:lang w:val="pl-PL"/>
        </w:rPr>
        <w:t xml:space="preserve">ortalu informacyjnym </w:t>
      </w:r>
      <w:proofErr w:type="spellStart"/>
      <w:r w:rsidR="00F54A42" w:rsidRPr="000702B6">
        <w:rPr>
          <w:rFonts w:ascii="Times New Roman" w:hAnsi="Times New Roman" w:cs="Times New Roman"/>
          <w:lang w:val="pl-PL"/>
        </w:rPr>
        <w:t>Delfi</w:t>
      </w:r>
      <w:proofErr w:type="spellEnd"/>
      <w:r w:rsidR="00F54A42" w:rsidRPr="000702B6">
        <w:rPr>
          <w:rFonts w:ascii="Times New Roman" w:hAnsi="Times New Roman" w:cs="Times New Roman"/>
          <w:lang w:val="pl-PL"/>
        </w:rPr>
        <w:t>, był wyważone, nie zawierał obraźliwego języka i nie dawał</w:t>
      </w:r>
      <w:r w:rsidR="00B11533" w:rsidRPr="000702B6">
        <w:rPr>
          <w:rFonts w:ascii="Times New Roman" w:hAnsi="Times New Roman" w:cs="Times New Roman"/>
          <w:lang w:val="pl-PL"/>
        </w:rPr>
        <w:t xml:space="preserve"> podstaw do żadnych argumentów na temat bezprawnych stwierdzeń w postępowaniu krajowym. Trybunał zdaje sobie sprawę, że nawet tak wyważony artykuł na pozornie neutralny temat może wywołać groźne dyskusje w Internecie. Ponadto przykłada szczególną wagę, w związku z tym, do charakteru informacyjnego portalu </w:t>
      </w:r>
      <w:proofErr w:type="spellStart"/>
      <w:r w:rsidR="00B11533" w:rsidRPr="000702B6">
        <w:rPr>
          <w:rFonts w:ascii="Times New Roman" w:hAnsi="Times New Roman" w:cs="Times New Roman"/>
          <w:lang w:val="pl-PL"/>
        </w:rPr>
        <w:t>Delfi</w:t>
      </w:r>
      <w:proofErr w:type="spellEnd"/>
      <w:r w:rsidR="00B11533" w:rsidRPr="000702B6">
        <w:rPr>
          <w:rFonts w:ascii="Times New Roman" w:hAnsi="Times New Roman" w:cs="Times New Roman"/>
          <w:lang w:val="pl-PL"/>
        </w:rPr>
        <w:t>. Przypomina, że ​​</w:t>
      </w:r>
      <w:proofErr w:type="spellStart"/>
      <w:r w:rsidR="00B11533" w:rsidRPr="000702B6">
        <w:rPr>
          <w:rFonts w:ascii="Times New Roman" w:hAnsi="Times New Roman" w:cs="Times New Roman"/>
          <w:lang w:val="pl-PL"/>
        </w:rPr>
        <w:t>Delfi</w:t>
      </w:r>
      <w:proofErr w:type="spellEnd"/>
      <w:r w:rsidR="00B11533" w:rsidRPr="000702B6">
        <w:rPr>
          <w:rFonts w:ascii="Times New Roman" w:hAnsi="Times New Roman" w:cs="Times New Roman"/>
          <w:lang w:val="pl-PL"/>
        </w:rPr>
        <w:t xml:space="preserve"> był profesjonalnie zarządzanym internetowym portalem informacyjny</w:t>
      </w:r>
      <w:r w:rsidR="00EC7150" w:rsidRPr="000702B6">
        <w:rPr>
          <w:rFonts w:ascii="Times New Roman" w:hAnsi="Times New Roman" w:cs="Times New Roman"/>
          <w:lang w:val="pl-PL"/>
        </w:rPr>
        <w:t>m</w:t>
      </w:r>
      <w:r w:rsidR="00B11533" w:rsidRPr="000702B6">
        <w:rPr>
          <w:rFonts w:ascii="Times New Roman" w:hAnsi="Times New Roman" w:cs="Times New Roman"/>
          <w:lang w:val="pl-PL"/>
        </w:rPr>
        <w:t xml:space="preserve"> </w:t>
      </w:r>
      <w:r w:rsidR="00EC7150" w:rsidRPr="000702B6">
        <w:rPr>
          <w:rFonts w:ascii="Times New Roman" w:hAnsi="Times New Roman" w:cs="Times New Roman"/>
          <w:lang w:val="pl-PL"/>
        </w:rPr>
        <w:t>na zasadach komercyjnych, który starał</w:t>
      </w:r>
      <w:r w:rsidR="00B11533" w:rsidRPr="000702B6">
        <w:rPr>
          <w:rFonts w:ascii="Times New Roman" w:hAnsi="Times New Roman" w:cs="Times New Roman"/>
          <w:lang w:val="pl-PL"/>
        </w:rPr>
        <w:t xml:space="preserve"> się przyciągnąć dużą liczbę </w:t>
      </w:r>
      <w:r w:rsidR="00F54A42" w:rsidRPr="000702B6">
        <w:rPr>
          <w:rFonts w:ascii="Times New Roman" w:hAnsi="Times New Roman" w:cs="Times New Roman"/>
          <w:lang w:val="pl-PL"/>
        </w:rPr>
        <w:t>komentarzy</w:t>
      </w:r>
      <w:r w:rsidR="00B11533" w:rsidRPr="000702B6">
        <w:rPr>
          <w:rFonts w:ascii="Times New Roman" w:hAnsi="Times New Roman" w:cs="Times New Roman"/>
          <w:lang w:val="pl-PL"/>
        </w:rPr>
        <w:t xml:space="preserve"> na temat artykułów </w:t>
      </w:r>
      <w:r w:rsidR="00EC7150" w:rsidRPr="000702B6">
        <w:rPr>
          <w:rFonts w:ascii="Times New Roman" w:hAnsi="Times New Roman" w:cs="Times New Roman"/>
          <w:lang w:val="pl-PL"/>
        </w:rPr>
        <w:t xml:space="preserve">przez niego </w:t>
      </w:r>
      <w:r w:rsidR="00B11533" w:rsidRPr="000702B6">
        <w:rPr>
          <w:rFonts w:ascii="Times New Roman" w:hAnsi="Times New Roman" w:cs="Times New Roman"/>
          <w:lang w:val="pl-PL"/>
        </w:rPr>
        <w:t xml:space="preserve">opublikowanych. Trybunał zauważa, że ​​Sąd Najwyższy wyraźnie odniósł się do faktu, że </w:t>
      </w:r>
      <w:r w:rsidR="00EC7150" w:rsidRPr="000702B6">
        <w:rPr>
          <w:rFonts w:ascii="Times New Roman" w:hAnsi="Times New Roman" w:cs="Times New Roman"/>
          <w:lang w:val="pl-PL"/>
        </w:rPr>
        <w:t xml:space="preserve">skarżąca </w:t>
      </w:r>
      <w:r w:rsidR="00B11533" w:rsidRPr="000702B6">
        <w:rPr>
          <w:rFonts w:ascii="Times New Roman" w:hAnsi="Times New Roman" w:cs="Times New Roman"/>
          <w:lang w:val="pl-PL"/>
        </w:rPr>
        <w:t xml:space="preserve">spółka </w:t>
      </w:r>
      <w:r w:rsidR="00F54A42" w:rsidRPr="000702B6">
        <w:rPr>
          <w:rFonts w:ascii="Times New Roman" w:hAnsi="Times New Roman" w:cs="Times New Roman"/>
          <w:lang w:val="pl-PL"/>
        </w:rPr>
        <w:t>zintegrowała środowisko</w:t>
      </w:r>
      <w:r w:rsidR="00B11533" w:rsidRPr="000702B6">
        <w:rPr>
          <w:rFonts w:ascii="Times New Roman" w:hAnsi="Times New Roman" w:cs="Times New Roman"/>
          <w:lang w:val="pl-PL"/>
        </w:rPr>
        <w:t xml:space="preserve"> komentarz</w:t>
      </w:r>
      <w:r w:rsidR="00F54A42" w:rsidRPr="000702B6">
        <w:rPr>
          <w:rFonts w:ascii="Times New Roman" w:hAnsi="Times New Roman" w:cs="Times New Roman"/>
          <w:lang w:val="pl-PL"/>
        </w:rPr>
        <w:t>y</w:t>
      </w:r>
      <w:r w:rsidR="00EC7150" w:rsidRPr="000702B6">
        <w:rPr>
          <w:rFonts w:ascii="Times New Roman" w:hAnsi="Times New Roman" w:cs="Times New Roman"/>
          <w:lang w:val="pl-PL"/>
        </w:rPr>
        <w:t xml:space="preserve"> </w:t>
      </w:r>
      <w:r w:rsidR="00F54A42" w:rsidRPr="000702B6">
        <w:rPr>
          <w:rFonts w:ascii="Times New Roman" w:hAnsi="Times New Roman" w:cs="Times New Roman"/>
          <w:lang w:val="pl-PL"/>
        </w:rPr>
        <w:t>ze</w:t>
      </w:r>
      <w:r w:rsidR="00EC7150" w:rsidRPr="000702B6">
        <w:rPr>
          <w:rFonts w:ascii="Times New Roman" w:hAnsi="Times New Roman" w:cs="Times New Roman"/>
          <w:lang w:val="pl-PL"/>
        </w:rPr>
        <w:t xml:space="preserve"> swoim portalem</w:t>
      </w:r>
      <w:r w:rsidR="00B11533" w:rsidRPr="000702B6">
        <w:rPr>
          <w:rFonts w:ascii="Times New Roman" w:hAnsi="Times New Roman" w:cs="Times New Roman"/>
          <w:lang w:val="pl-PL"/>
        </w:rPr>
        <w:t xml:space="preserve"> informacyjnym, zaprasza</w:t>
      </w:r>
      <w:r w:rsidR="00EC7150" w:rsidRPr="000702B6">
        <w:rPr>
          <w:rFonts w:ascii="Times New Roman" w:hAnsi="Times New Roman" w:cs="Times New Roman"/>
          <w:lang w:val="pl-PL"/>
        </w:rPr>
        <w:t>ła</w:t>
      </w:r>
      <w:r w:rsidR="00B11533" w:rsidRPr="000702B6">
        <w:rPr>
          <w:rFonts w:ascii="Times New Roman" w:hAnsi="Times New Roman" w:cs="Times New Roman"/>
          <w:lang w:val="pl-PL"/>
        </w:rPr>
        <w:t xml:space="preserve"> gości na stronie internetowej </w:t>
      </w:r>
      <w:r w:rsidR="00EC7150" w:rsidRPr="000702B6">
        <w:rPr>
          <w:rFonts w:ascii="Times New Roman" w:hAnsi="Times New Roman" w:cs="Times New Roman"/>
          <w:lang w:val="pl-PL"/>
        </w:rPr>
        <w:t>w celu uzupełnienia wiadomości o</w:t>
      </w:r>
      <w:r w:rsidR="00B11533" w:rsidRPr="000702B6">
        <w:rPr>
          <w:rFonts w:ascii="Times New Roman" w:hAnsi="Times New Roman" w:cs="Times New Roman"/>
          <w:lang w:val="pl-PL"/>
        </w:rPr>
        <w:t xml:space="preserve"> własn</w:t>
      </w:r>
      <w:r w:rsidR="00EC7150" w:rsidRPr="000702B6">
        <w:rPr>
          <w:rFonts w:ascii="Times New Roman" w:hAnsi="Times New Roman" w:cs="Times New Roman"/>
          <w:lang w:val="pl-PL"/>
        </w:rPr>
        <w:t>e opinie</w:t>
      </w:r>
      <w:r w:rsidR="00B11533" w:rsidRPr="000702B6">
        <w:rPr>
          <w:rFonts w:ascii="Times New Roman" w:hAnsi="Times New Roman" w:cs="Times New Roman"/>
          <w:lang w:val="pl-PL"/>
        </w:rPr>
        <w:t xml:space="preserve"> i </w:t>
      </w:r>
      <w:r w:rsidR="00EC7150" w:rsidRPr="000702B6">
        <w:rPr>
          <w:rFonts w:ascii="Times New Roman" w:hAnsi="Times New Roman" w:cs="Times New Roman"/>
          <w:lang w:val="pl-PL"/>
        </w:rPr>
        <w:t xml:space="preserve">osądy </w:t>
      </w:r>
      <w:r w:rsidR="00B11533" w:rsidRPr="000702B6">
        <w:rPr>
          <w:rFonts w:ascii="Times New Roman" w:hAnsi="Times New Roman" w:cs="Times New Roman"/>
          <w:lang w:val="pl-PL"/>
        </w:rPr>
        <w:t>(komentarze). Zgodnie z ustaleniami Sądu Najw</w:t>
      </w:r>
      <w:r w:rsidR="00EC7150" w:rsidRPr="000702B6">
        <w:rPr>
          <w:rFonts w:ascii="Times New Roman" w:hAnsi="Times New Roman" w:cs="Times New Roman"/>
          <w:lang w:val="pl-PL"/>
        </w:rPr>
        <w:t>yższego, w środowisku komentarzy</w:t>
      </w:r>
      <w:r w:rsidR="00B11533" w:rsidRPr="000702B6">
        <w:rPr>
          <w:rFonts w:ascii="Times New Roman" w:hAnsi="Times New Roman" w:cs="Times New Roman"/>
          <w:lang w:val="pl-PL"/>
        </w:rPr>
        <w:t>, skarżąca spółka aktywnie w</w:t>
      </w:r>
      <w:r w:rsidR="00EC7150" w:rsidRPr="000702B6">
        <w:rPr>
          <w:rFonts w:ascii="Times New Roman" w:hAnsi="Times New Roman" w:cs="Times New Roman"/>
          <w:lang w:val="pl-PL"/>
        </w:rPr>
        <w:t>zywała</w:t>
      </w:r>
      <w:r w:rsidR="00B11533" w:rsidRPr="000702B6">
        <w:rPr>
          <w:rFonts w:ascii="Times New Roman" w:hAnsi="Times New Roman" w:cs="Times New Roman"/>
          <w:lang w:val="pl-PL"/>
        </w:rPr>
        <w:t xml:space="preserve"> do </w:t>
      </w:r>
      <w:r w:rsidR="00F54A42" w:rsidRPr="000702B6">
        <w:rPr>
          <w:rFonts w:ascii="Times New Roman" w:hAnsi="Times New Roman" w:cs="Times New Roman"/>
          <w:lang w:val="pl-PL"/>
        </w:rPr>
        <w:t>zamieszczania komentarzy</w:t>
      </w:r>
      <w:r w:rsidR="00B11533" w:rsidRPr="000702B6">
        <w:rPr>
          <w:rFonts w:ascii="Times New Roman" w:hAnsi="Times New Roman" w:cs="Times New Roman"/>
          <w:lang w:val="pl-PL"/>
        </w:rPr>
        <w:t xml:space="preserve"> na temat newsów pojawiających się na portalu. Liczba wizyt na portalu skarżącej spółki zależała od liczby komentarzy; dochody uzyskane z reklam publikowany</w:t>
      </w:r>
      <w:r w:rsidR="00F54A42" w:rsidRPr="000702B6">
        <w:rPr>
          <w:rFonts w:ascii="Times New Roman" w:hAnsi="Times New Roman" w:cs="Times New Roman"/>
          <w:lang w:val="pl-PL"/>
        </w:rPr>
        <w:t xml:space="preserve">ch na portalu zależały z kolei </w:t>
      </w:r>
      <w:r w:rsidR="00B11533" w:rsidRPr="000702B6">
        <w:rPr>
          <w:rFonts w:ascii="Times New Roman" w:hAnsi="Times New Roman" w:cs="Times New Roman"/>
          <w:lang w:val="pl-PL"/>
        </w:rPr>
        <w:t xml:space="preserve">od liczby wizyt. W związku z tym Sąd Najwyższy uznał, że </w:t>
      </w:r>
      <w:r w:rsidR="00EC7150" w:rsidRPr="000702B6">
        <w:rPr>
          <w:rFonts w:ascii="Times New Roman" w:hAnsi="Times New Roman" w:cs="Times New Roman"/>
          <w:lang w:val="pl-PL"/>
        </w:rPr>
        <w:t>skarżąca spółka</w:t>
      </w:r>
      <w:r w:rsidR="00B11533" w:rsidRPr="000702B6">
        <w:rPr>
          <w:rFonts w:ascii="Times New Roman" w:hAnsi="Times New Roman" w:cs="Times New Roman"/>
          <w:lang w:val="pl-PL"/>
        </w:rPr>
        <w:t xml:space="preserve"> miał</w:t>
      </w:r>
      <w:r w:rsidR="00EC7150" w:rsidRPr="000702B6">
        <w:rPr>
          <w:rFonts w:ascii="Times New Roman" w:hAnsi="Times New Roman" w:cs="Times New Roman"/>
          <w:lang w:val="pl-PL"/>
        </w:rPr>
        <w:t>a</w:t>
      </w:r>
      <w:r w:rsidR="00B11533" w:rsidRPr="000702B6">
        <w:rPr>
          <w:rFonts w:ascii="Times New Roman" w:hAnsi="Times New Roman" w:cs="Times New Roman"/>
          <w:lang w:val="pl-PL"/>
        </w:rPr>
        <w:t xml:space="preserve"> interes gospodarczy w </w:t>
      </w:r>
      <w:r w:rsidR="00EC7150" w:rsidRPr="000702B6">
        <w:rPr>
          <w:rFonts w:ascii="Times New Roman" w:hAnsi="Times New Roman" w:cs="Times New Roman"/>
          <w:lang w:val="pl-PL"/>
        </w:rPr>
        <w:t>umieszczaniu komentarzy</w:t>
      </w:r>
      <w:r w:rsidR="00B11533" w:rsidRPr="000702B6">
        <w:rPr>
          <w:rFonts w:ascii="Times New Roman" w:hAnsi="Times New Roman" w:cs="Times New Roman"/>
          <w:lang w:val="pl-PL"/>
        </w:rPr>
        <w:t>. Zdaniem Sądu Najwyższego, fakt, że skarżąca spółka nie był</w:t>
      </w:r>
      <w:r w:rsidR="00EC7150" w:rsidRPr="000702B6">
        <w:rPr>
          <w:rFonts w:ascii="Times New Roman" w:hAnsi="Times New Roman" w:cs="Times New Roman"/>
          <w:lang w:val="pl-PL"/>
        </w:rPr>
        <w:t>a</w:t>
      </w:r>
      <w:r w:rsidR="00B11533" w:rsidRPr="000702B6">
        <w:rPr>
          <w:rFonts w:ascii="Times New Roman" w:hAnsi="Times New Roman" w:cs="Times New Roman"/>
          <w:lang w:val="pl-PL"/>
        </w:rPr>
        <w:t xml:space="preserve"> </w:t>
      </w:r>
      <w:r w:rsidR="00EC7150" w:rsidRPr="000702B6">
        <w:rPr>
          <w:rFonts w:ascii="Times New Roman" w:hAnsi="Times New Roman" w:cs="Times New Roman"/>
          <w:lang w:val="pl-PL"/>
        </w:rPr>
        <w:t>autorem komentarzy</w:t>
      </w:r>
      <w:r w:rsidR="00177D81" w:rsidRPr="000702B6">
        <w:rPr>
          <w:rFonts w:ascii="Times New Roman" w:hAnsi="Times New Roman" w:cs="Times New Roman"/>
          <w:lang w:val="pl-PL"/>
        </w:rPr>
        <w:t>,</w:t>
      </w:r>
      <w:r w:rsidR="00B11533" w:rsidRPr="000702B6">
        <w:rPr>
          <w:rFonts w:ascii="Times New Roman" w:hAnsi="Times New Roman" w:cs="Times New Roman"/>
          <w:lang w:val="pl-PL"/>
        </w:rPr>
        <w:t xml:space="preserve"> nie znaczy, że nie miał</w:t>
      </w:r>
      <w:r w:rsidR="00EC7150" w:rsidRPr="000702B6">
        <w:rPr>
          <w:rFonts w:ascii="Times New Roman" w:hAnsi="Times New Roman" w:cs="Times New Roman"/>
          <w:lang w:val="pl-PL"/>
        </w:rPr>
        <w:t>a</w:t>
      </w:r>
      <w:r w:rsidR="00B11533" w:rsidRPr="000702B6">
        <w:rPr>
          <w:rFonts w:ascii="Times New Roman" w:hAnsi="Times New Roman" w:cs="Times New Roman"/>
          <w:lang w:val="pl-PL"/>
        </w:rPr>
        <w:t xml:space="preserve"> kont</w:t>
      </w:r>
      <w:r w:rsidR="00EC7150" w:rsidRPr="000702B6">
        <w:rPr>
          <w:rFonts w:ascii="Times New Roman" w:hAnsi="Times New Roman" w:cs="Times New Roman"/>
          <w:lang w:val="pl-PL"/>
        </w:rPr>
        <w:t>roli nad środowiskiem komentarzy</w:t>
      </w:r>
      <w:r w:rsidR="00B11533" w:rsidRPr="000702B6">
        <w:rPr>
          <w:rFonts w:ascii="Times New Roman" w:hAnsi="Times New Roman" w:cs="Times New Roman"/>
          <w:lang w:val="pl-PL"/>
        </w:rPr>
        <w:t xml:space="preserve"> (</w:t>
      </w:r>
      <w:r w:rsidR="00EC7150" w:rsidRPr="000702B6">
        <w:rPr>
          <w:rFonts w:ascii="Times New Roman" w:hAnsi="Times New Roman" w:cs="Times New Roman"/>
          <w:lang w:val="pl-PL"/>
        </w:rPr>
        <w:t>zobacz</w:t>
      </w:r>
      <w:r w:rsidR="00B11533" w:rsidRPr="000702B6">
        <w:rPr>
          <w:rFonts w:ascii="Times New Roman" w:hAnsi="Times New Roman" w:cs="Times New Roman"/>
          <w:lang w:val="pl-PL"/>
        </w:rPr>
        <w:t xml:space="preserve"> § 13 wyroku, jak określono w p</w:t>
      </w:r>
      <w:r w:rsidR="00EC7150" w:rsidRPr="000702B6">
        <w:rPr>
          <w:rFonts w:ascii="Times New Roman" w:hAnsi="Times New Roman" w:cs="Times New Roman"/>
          <w:lang w:val="pl-PL"/>
        </w:rPr>
        <w:t>aragrafie</w:t>
      </w:r>
      <w:r w:rsidR="00B11533" w:rsidRPr="000702B6">
        <w:rPr>
          <w:rFonts w:ascii="Times New Roman" w:hAnsi="Times New Roman" w:cs="Times New Roman"/>
          <w:lang w:val="pl-PL"/>
        </w:rPr>
        <w:t xml:space="preserve"> 31 powyżej)</w:t>
      </w:r>
      <w:r w:rsidR="00A220C6" w:rsidRPr="000702B6">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145</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EC7150" w:rsidRPr="000702B6">
        <w:rPr>
          <w:rFonts w:ascii="Times New Roman" w:hAnsi="Times New Roman" w:cs="Times New Roman"/>
          <w:lang w:val="pl-PL"/>
        </w:rPr>
        <w:t xml:space="preserve">Trybunał odnotowuje również w tym względzie, że "Zasady komentowania" na stronie </w:t>
      </w:r>
      <w:proofErr w:type="spellStart"/>
      <w:r w:rsidR="00EC7150" w:rsidRPr="000702B6">
        <w:rPr>
          <w:rFonts w:ascii="Times New Roman" w:hAnsi="Times New Roman" w:cs="Times New Roman"/>
          <w:lang w:val="pl-PL"/>
        </w:rPr>
        <w:t>Delfi</w:t>
      </w:r>
      <w:proofErr w:type="spellEnd"/>
      <w:r w:rsidR="00EC7150" w:rsidRPr="000702B6">
        <w:rPr>
          <w:rFonts w:ascii="Times New Roman" w:hAnsi="Times New Roman" w:cs="Times New Roman"/>
          <w:lang w:val="pl-PL"/>
        </w:rPr>
        <w:t xml:space="preserve"> stwierdzały, że skarżąca spółka zabr</w:t>
      </w:r>
      <w:r w:rsidR="00F545FD" w:rsidRPr="000702B6">
        <w:rPr>
          <w:rFonts w:ascii="Times New Roman" w:hAnsi="Times New Roman" w:cs="Times New Roman"/>
          <w:lang w:val="pl-PL"/>
        </w:rPr>
        <w:t>oniła</w:t>
      </w:r>
      <w:r w:rsidR="00EC7150" w:rsidRPr="000702B6">
        <w:rPr>
          <w:rFonts w:ascii="Times New Roman" w:hAnsi="Times New Roman" w:cs="Times New Roman"/>
          <w:lang w:val="pl-PL"/>
        </w:rPr>
        <w:t xml:space="preserve"> umieszczania komentarzy, które były bez </w:t>
      </w:r>
      <w:r w:rsidR="00D56D49" w:rsidRPr="000702B6">
        <w:rPr>
          <w:rFonts w:ascii="Times New Roman" w:hAnsi="Times New Roman" w:cs="Times New Roman"/>
          <w:lang w:val="pl-PL"/>
        </w:rPr>
        <w:t>uzasadnienia i/</w:t>
      </w:r>
      <w:r w:rsidR="00EC7150" w:rsidRPr="000702B6">
        <w:rPr>
          <w:rFonts w:ascii="Times New Roman" w:hAnsi="Times New Roman" w:cs="Times New Roman"/>
          <w:lang w:val="pl-PL"/>
        </w:rPr>
        <w:t xml:space="preserve">lub nie na temat, </w:t>
      </w:r>
      <w:r w:rsidR="00EC7150" w:rsidRPr="000702B6">
        <w:rPr>
          <w:rFonts w:ascii="Times New Roman" w:hAnsi="Times New Roman" w:cs="Times New Roman"/>
          <w:lang w:val="pl-PL"/>
        </w:rPr>
        <w:lastRenderedPageBreak/>
        <w:t xml:space="preserve">były sprzeczne z zasadami dobrej praktyki, zawierał groźby, obelgi, wyrażenia obsceniczne lub </w:t>
      </w:r>
      <w:r w:rsidR="00D56D49" w:rsidRPr="000702B6">
        <w:rPr>
          <w:rFonts w:ascii="Times New Roman" w:hAnsi="Times New Roman" w:cs="Times New Roman"/>
          <w:lang w:val="pl-PL"/>
        </w:rPr>
        <w:t>wulgaryzmy</w:t>
      </w:r>
      <w:r w:rsidR="00AE6933" w:rsidRPr="000702B6">
        <w:rPr>
          <w:rFonts w:ascii="Times New Roman" w:hAnsi="Times New Roman" w:cs="Times New Roman"/>
          <w:lang w:val="pl-PL"/>
        </w:rPr>
        <w:t>, podżeganie</w:t>
      </w:r>
      <w:r w:rsidR="00D56D49" w:rsidRPr="000702B6">
        <w:rPr>
          <w:rFonts w:ascii="Times New Roman" w:hAnsi="Times New Roman" w:cs="Times New Roman"/>
          <w:lang w:val="pl-PL"/>
        </w:rPr>
        <w:t xml:space="preserve"> do</w:t>
      </w:r>
      <w:r w:rsidR="00EC7150" w:rsidRPr="000702B6">
        <w:rPr>
          <w:rFonts w:ascii="Times New Roman" w:hAnsi="Times New Roman" w:cs="Times New Roman"/>
          <w:lang w:val="pl-PL"/>
        </w:rPr>
        <w:t xml:space="preserve"> wrogości, przemocy lub nielegalnej działalności. Takie komentarze mog</w:t>
      </w:r>
      <w:r w:rsidR="00F545FD" w:rsidRPr="000702B6">
        <w:rPr>
          <w:rFonts w:ascii="Times New Roman" w:hAnsi="Times New Roman" w:cs="Times New Roman"/>
          <w:lang w:val="pl-PL"/>
        </w:rPr>
        <w:t>ły</w:t>
      </w:r>
      <w:r w:rsidR="00AE6933" w:rsidRPr="000702B6">
        <w:rPr>
          <w:rFonts w:ascii="Times New Roman" w:hAnsi="Times New Roman" w:cs="Times New Roman"/>
          <w:lang w:val="pl-PL"/>
        </w:rPr>
        <w:t xml:space="preserve"> być usuwane a</w:t>
      </w:r>
      <w:r w:rsidR="00EC7150" w:rsidRPr="000702B6">
        <w:rPr>
          <w:rFonts w:ascii="Times New Roman" w:hAnsi="Times New Roman" w:cs="Times New Roman"/>
          <w:lang w:val="pl-PL"/>
        </w:rPr>
        <w:t xml:space="preserve"> zdolność ich autor</w:t>
      </w:r>
      <w:r w:rsidR="00D56D49" w:rsidRPr="000702B6">
        <w:rPr>
          <w:rFonts w:ascii="Times New Roman" w:hAnsi="Times New Roman" w:cs="Times New Roman"/>
          <w:lang w:val="pl-PL"/>
        </w:rPr>
        <w:t xml:space="preserve">ów, </w:t>
      </w:r>
      <w:r w:rsidR="00DA649F" w:rsidRPr="000702B6">
        <w:rPr>
          <w:rFonts w:ascii="Times New Roman" w:hAnsi="Times New Roman" w:cs="Times New Roman"/>
          <w:lang w:val="pl-PL"/>
        </w:rPr>
        <w:t>do</w:t>
      </w:r>
      <w:r w:rsidR="00D56D49" w:rsidRPr="000702B6">
        <w:rPr>
          <w:rFonts w:ascii="Times New Roman" w:hAnsi="Times New Roman" w:cs="Times New Roman"/>
          <w:lang w:val="pl-PL"/>
        </w:rPr>
        <w:t xml:space="preserve"> doda</w:t>
      </w:r>
      <w:r w:rsidR="00DA649F" w:rsidRPr="000702B6">
        <w:rPr>
          <w:rFonts w:ascii="Times New Roman" w:hAnsi="Times New Roman" w:cs="Times New Roman"/>
          <w:lang w:val="pl-PL"/>
        </w:rPr>
        <w:t>wania</w:t>
      </w:r>
      <w:r w:rsidR="00D56D49" w:rsidRPr="000702B6">
        <w:rPr>
          <w:rFonts w:ascii="Times New Roman" w:hAnsi="Times New Roman" w:cs="Times New Roman"/>
          <w:lang w:val="pl-PL"/>
        </w:rPr>
        <w:t xml:space="preserve"> komentarz</w:t>
      </w:r>
      <w:r w:rsidR="00DA649F" w:rsidRPr="000702B6">
        <w:rPr>
          <w:rFonts w:ascii="Times New Roman" w:hAnsi="Times New Roman" w:cs="Times New Roman"/>
          <w:lang w:val="pl-PL"/>
        </w:rPr>
        <w:t>y</w:t>
      </w:r>
      <w:r w:rsidR="00D56D49" w:rsidRPr="000702B6">
        <w:rPr>
          <w:rFonts w:ascii="Times New Roman" w:hAnsi="Times New Roman" w:cs="Times New Roman"/>
          <w:lang w:val="pl-PL"/>
        </w:rPr>
        <w:t xml:space="preserve"> </w:t>
      </w:r>
      <w:r w:rsidR="00F545FD" w:rsidRPr="000702B6">
        <w:rPr>
          <w:rFonts w:ascii="Times New Roman" w:hAnsi="Times New Roman" w:cs="Times New Roman"/>
          <w:lang w:val="pl-PL"/>
        </w:rPr>
        <w:t>mogła</w:t>
      </w:r>
      <w:r w:rsidR="00DA649F" w:rsidRPr="000702B6">
        <w:rPr>
          <w:rFonts w:ascii="Times New Roman" w:hAnsi="Times New Roman" w:cs="Times New Roman"/>
          <w:lang w:val="pl-PL"/>
        </w:rPr>
        <w:t>by być ograniczona</w:t>
      </w:r>
      <w:r w:rsidR="00EC7150" w:rsidRPr="000702B6">
        <w:rPr>
          <w:rFonts w:ascii="Times New Roman" w:hAnsi="Times New Roman" w:cs="Times New Roman"/>
          <w:lang w:val="pl-PL"/>
        </w:rPr>
        <w:t xml:space="preserve">. Ponadto, </w:t>
      </w:r>
      <w:r w:rsidR="00F54A42" w:rsidRPr="000702B6">
        <w:rPr>
          <w:rFonts w:ascii="Times New Roman" w:hAnsi="Times New Roman" w:cs="Times New Roman"/>
          <w:lang w:val="pl-PL"/>
        </w:rPr>
        <w:t>faktyczni</w:t>
      </w:r>
      <w:r w:rsidR="00EC7150" w:rsidRPr="000702B6">
        <w:rPr>
          <w:rFonts w:ascii="Times New Roman" w:hAnsi="Times New Roman" w:cs="Times New Roman"/>
          <w:lang w:val="pl-PL"/>
        </w:rPr>
        <w:t xml:space="preserve"> </w:t>
      </w:r>
      <w:r w:rsidR="00D56D49" w:rsidRPr="000702B6">
        <w:rPr>
          <w:rFonts w:ascii="Times New Roman" w:hAnsi="Times New Roman" w:cs="Times New Roman"/>
          <w:lang w:val="pl-PL"/>
        </w:rPr>
        <w:t>a</w:t>
      </w:r>
      <w:r w:rsidR="00EC7150" w:rsidRPr="000702B6">
        <w:rPr>
          <w:rFonts w:ascii="Times New Roman" w:hAnsi="Times New Roman" w:cs="Times New Roman"/>
          <w:lang w:val="pl-PL"/>
        </w:rPr>
        <w:t>utorzy komentarzy nie mo</w:t>
      </w:r>
      <w:r w:rsidR="00D56D49" w:rsidRPr="000702B6">
        <w:rPr>
          <w:rFonts w:ascii="Times New Roman" w:hAnsi="Times New Roman" w:cs="Times New Roman"/>
          <w:lang w:val="pl-PL"/>
        </w:rPr>
        <w:t>gli</w:t>
      </w:r>
      <w:r w:rsidR="00EC7150" w:rsidRPr="000702B6">
        <w:rPr>
          <w:rFonts w:ascii="Times New Roman" w:hAnsi="Times New Roman" w:cs="Times New Roman"/>
          <w:lang w:val="pl-PL"/>
        </w:rPr>
        <w:t xml:space="preserve"> modyfikować i usuwać uwag</w:t>
      </w:r>
      <w:r w:rsidR="00177D81" w:rsidRPr="000702B6">
        <w:rPr>
          <w:rFonts w:ascii="Times New Roman" w:hAnsi="Times New Roman" w:cs="Times New Roman"/>
          <w:lang w:val="pl-PL"/>
        </w:rPr>
        <w:t>,</w:t>
      </w:r>
      <w:r w:rsidR="00EC7150" w:rsidRPr="000702B6">
        <w:rPr>
          <w:rFonts w:ascii="Times New Roman" w:hAnsi="Times New Roman" w:cs="Times New Roman"/>
          <w:lang w:val="pl-PL"/>
        </w:rPr>
        <w:t xml:space="preserve"> </w:t>
      </w:r>
      <w:r w:rsidR="006B333F" w:rsidRPr="000702B6">
        <w:rPr>
          <w:rFonts w:ascii="Times New Roman" w:hAnsi="Times New Roman" w:cs="Times New Roman"/>
          <w:lang w:val="pl-PL"/>
        </w:rPr>
        <w:t>kiedy</w:t>
      </w:r>
      <w:r w:rsidR="00EC7150" w:rsidRPr="000702B6">
        <w:rPr>
          <w:rFonts w:ascii="Times New Roman" w:hAnsi="Times New Roman" w:cs="Times New Roman"/>
          <w:lang w:val="pl-PL"/>
        </w:rPr>
        <w:t xml:space="preserve"> zostały one zamieszczone na portalu</w:t>
      </w:r>
      <w:r w:rsidR="00177D81" w:rsidRPr="000702B6">
        <w:rPr>
          <w:rFonts w:ascii="Times New Roman" w:hAnsi="Times New Roman" w:cs="Times New Roman"/>
          <w:lang w:val="pl-PL"/>
        </w:rPr>
        <w:t xml:space="preserve"> informacyjnym skarżącej spółki</w:t>
      </w:r>
      <w:r w:rsidR="00F54A42" w:rsidRPr="000702B6">
        <w:rPr>
          <w:rFonts w:ascii="Times New Roman" w:hAnsi="Times New Roman" w:cs="Times New Roman"/>
          <w:lang w:val="pl-PL"/>
        </w:rPr>
        <w:t xml:space="preserve"> </w:t>
      </w:r>
      <w:r w:rsidR="00177D81" w:rsidRPr="000702B6">
        <w:rPr>
          <w:rFonts w:ascii="Times New Roman" w:hAnsi="Times New Roman" w:cs="Times New Roman"/>
          <w:lang w:val="pl-PL"/>
        </w:rPr>
        <w:t>-</w:t>
      </w:r>
      <w:r w:rsidR="00F54A42" w:rsidRPr="000702B6">
        <w:rPr>
          <w:rFonts w:ascii="Times New Roman" w:hAnsi="Times New Roman" w:cs="Times New Roman"/>
          <w:lang w:val="pl-PL"/>
        </w:rPr>
        <w:t xml:space="preserve"> </w:t>
      </w:r>
      <w:r w:rsidR="00EC7150" w:rsidRPr="000702B6">
        <w:rPr>
          <w:rFonts w:ascii="Times New Roman" w:hAnsi="Times New Roman" w:cs="Times New Roman"/>
          <w:lang w:val="pl-PL"/>
        </w:rPr>
        <w:t xml:space="preserve">tylko </w:t>
      </w:r>
      <w:r w:rsidR="006B333F" w:rsidRPr="000702B6">
        <w:rPr>
          <w:rFonts w:ascii="Times New Roman" w:hAnsi="Times New Roman" w:cs="Times New Roman"/>
          <w:lang w:val="pl-PL"/>
        </w:rPr>
        <w:t>skarżąca spółka</w:t>
      </w:r>
      <w:r w:rsidR="00EC7150" w:rsidRPr="000702B6">
        <w:rPr>
          <w:rFonts w:ascii="Times New Roman" w:hAnsi="Times New Roman" w:cs="Times New Roman"/>
          <w:lang w:val="pl-PL"/>
        </w:rPr>
        <w:t xml:space="preserve"> posiadał</w:t>
      </w:r>
      <w:r w:rsidR="006B333F" w:rsidRPr="000702B6">
        <w:rPr>
          <w:rFonts w:ascii="Times New Roman" w:hAnsi="Times New Roman" w:cs="Times New Roman"/>
          <w:lang w:val="pl-PL"/>
        </w:rPr>
        <w:t>a</w:t>
      </w:r>
      <w:r w:rsidR="00EC7150" w:rsidRPr="000702B6">
        <w:rPr>
          <w:rFonts w:ascii="Times New Roman" w:hAnsi="Times New Roman" w:cs="Times New Roman"/>
          <w:lang w:val="pl-PL"/>
        </w:rPr>
        <w:t xml:space="preserve"> środki techniczne, aby to zrobić. W świetle powyższego oraz rozumow</w:t>
      </w:r>
      <w:r w:rsidR="00177D81" w:rsidRPr="000702B6">
        <w:rPr>
          <w:rFonts w:ascii="Times New Roman" w:hAnsi="Times New Roman" w:cs="Times New Roman"/>
          <w:lang w:val="pl-PL"/>
        </w:rPr>
        <w:t>a</w:t>
      </w:r>
      <w:r w:rsidR="00177D81" w:rsidRPr="00B45853">
        <w:rPr>
          <w:rFonts w:ascii="Times New Roman" w:hAnsi="Times New Roman" w:cs="Times New Roman"/>
          <w:lang w:val="pl-PL"/>
        </w:rPr>
        <w:t>nia Sądu Najwyższego</w:t>
      </w:r>
      <w:r w:rsidR="006B333F" w:rsidRPr="00B45853">
        <w:rPr>
          <w:rFonts w:ascii="Times New Roman" w:hAnsi="Times New Roman" w:cs="Times New Roman"/>
          <w:lang w:val="pl-PL"/>
        </w:rPr>
        <w:t xml:space="preserve"> Trybunał</w:t>
      </w:r>
      <w:r w:rsidR="00EC7150" w:rsidRPr="00B45853">
        <w:rPr>
          <w:rFonts w:ascii="Times New Roman" w:hAnsi="Times New Roman" w:cs="Times New Roman"/>
          <w:lang w:val="pl-PL"/>
        </w:rPr>
        <w:t xml:space="preserve"> zgadza się z ustaleniami Izby, że</w:t>
      </w:r>
      <w:r w:rsidR="006B333F" w:rsidRPr="00B45853">
        <w:rPr>
          <w:rFonts w:ascii="Times New Roman" w:hAnsi="Times New Roman" w:cs="Times New Roman"/>
          <w:lang w:val="pl-PL"/>
        </w:rPr>
        <w:t xml:space="preserve"> skarżąca spółka musi zostać uznana</w:t>
      </w:r>
      <w:r w:rsidR="00EC7150" w:rsidRPr="00B45853">
        <w:rPr>
          <w:rFonts w:ascii="Times New Roman" w:hAnsi="Times New Roman" w:cs="Times New Roman"/>
          <w:lang w:val="pl-PL"/>
        </w:rPr>
        <w:t xml:space="preserve"> za wywiera</w:t>
      </w:r>
      <w:r w:rsidR="006B333F" w:rsidRPr="00B45853">
        <w:rPr>
          <w:rFonts w:ascii="Times New Roman" w:hAnsi="Times New Roman" w:cs="Times New Roman"/>
          <w:lang w:val="pl-PL"/>
        </w:rPr>
        <w:t>jącą</w:t>
      </w:r>
      <w:r w:rsidR="00EC7150" w:rsidRPr="00B45853">
        <w:rPr>
          <w:rFonts w:ascii="Times New Roman" w:hAnsi="Times New Roman" w:cs="Times New Roman"/>
          <w:lang w:val="pl-PL"/>
        </w:rPr>
        <w:t xml:space="preserve"> znaczny stopień kontroli nad komentarza</w:t>
      </w:r>
      <w:r w:rsidR="006B333F" w:rsidRPr="00B45853">
        <w:rPr>
          <w:rFonts w:ascii="Times New Roman" w:hAnsi="Times New Roman" w:cs="Times New Roman"/>
          <w:lang w:val="pl-PL"/>
        </w:rPr>
        <w:t>mi</w:t>
      </w:r>
      <w:r w:rsidR="00EC7150" w:rsidRPr="00B45853">
        <w:rPr>
          <w:rFonts w:ascii="Times New Roman" w:hAnsi="Times New Roman" w:cs="Times New Roman"/>
          <w:lang w:val="pl-PL"/>
        </w:rPr>
        <w:t xml:space="preserve"> publikowany</w:t>
      </w:r>
      <w:r w:rsidR="006B333F" w:rsidRPr="00B45853">
        <w:rPr>
          <w:rFonts w:ascii="Times New Roman" w:hAnsi="Times New Roman" w:cs="Times New Roman"/>
          <w:lang w:val="pl-PL"/>
        </w:rPr>
        <w:t>mi</w:t>
      </w:r>
      <w:r w:rsidR="00EC7150" w:rsidRPr="00B45853">
        <w:rPr>
          <w:rFonts w:ascii="Times New Roman" w:hAnsi="Times New Roman" w:cs="Times New Roman"/>
          <w:lang w:val="pl-PL"/>
        </w:rPr>
        <w:t xml:space="preserve"> na swoim portalu</w:t>
      </w:r>
      <w:r w:rsidR="00A220C6" w:rsidRPr="00B45853">
        <w:rPr>
          <w:rFonts w:ascii="Times New Roman" w:hAnsi="Times New Roman" w:cs="Times New Roman"/>
          <w:lang w:val="pl-PL"/>
        </w:rPr>
        <w:t>.</w:t>
      </w:r>
    </w:p>
    <w:p w:rsidR="00A220C6" w:rsidRPr="000702B6"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146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6B333F" w:rsidRPr="00B45853">
        <w:rPr>
          <w:rFonts w:ascii="Times New Roman" w:hAnsi="Times New Roman" w:cs="Times New Roman"/>
          <w:lang w:val="pl-PL"/>
        </w:rPr>
        <w:t xml:space="preserve">Podsumowując, Trybunał uznaje, że zostało wystarczająco ustalone przez Sąd Najwyższy, że udział skarżącej spółki w </w:t>
      </w:r>
      <w:r w:rsidR="00F545FD" w:rsidRPr="00B45853">
        <w:rPr>
          <w:rFonts w:ascii="Times New Roman" w:hAnsi="Times New Roman" w:cs="Times New Roman"/>
          <w:lang w:val="pl-PL"/>
        </w:rPr>
        <w:t>publikacji</w:t>
      </w:r>
      <w:r w:rsidR="006B333F" w:rsidRPr="00B45853">
        <w:rPr>
          <w:rFonts w:ascii="Times New Roman" w:hAnsi="Times New Roman" w:cs="Times New Roman"/>
          <w:lang w:val="pl-PL"/>
        </w:rPr>
        <w:t xml:space="preserve"> </w:t>
      </w:r>
      <w:r w:rsidR="00F545FD" w:rsidRPr="00B45853">
        <w:rPr>
          <w:rFonts w:ascii="Times New Roman" w:hAnsi="Times New Roman" w:cs="Times New Roman"/>
          <w:lang w:val="pl-PL"/>
        </w:rPr>
        <w:t>komentarzy</w:t>
      </w:r>
      <w:r w:rsidR="006B333F" w:rsidRPr="00B45853">
        <w:rPr>
          <w:rFonts w:ascii="Times New Roman" w:hAnsi="Times New Roman" w:cs="Times New Roman"/>
          <w:lang w:val="pl-PL"/>
        </w:rPr>
        <w:t xml:space="preserve"> na swoich artykułach na portalu informacyjnym </w:t>
      </w:r>
      <w:proofErr w:type="spellStart"/>
      <w:r w:rsidR="006B333F" w:rsidRPr="00B45853">
        <w:rPr>
          <w:rFonts w:ascii="Times New Roman" w:hAnsi="Times New Roman" w:cs="Times New Roman"/>
          <w:lang w:val="pl-PL"/>
        </w:rPr>
        <w:t>Delfi</w:t>
      </w:r>
      <w:proofErr w:type="spellEnd"/>
      <w:r w:rsidR="006B333F" w:rsidRPr="00B45853">
        <w:rPr>
          <w:rFonts w:ascii="Times New Roman" w:hAnsi="Times New Roman" w:cs="Times New Roman"/>
          <w:lang w:val="pl-PL"/>
        </w:rPr>
        <w:t xml:space="preserve"> wykraczał poza </w:t>
      </w:r>
      <w:r w:rsidR="00F545FD" w:rsidRPr="00B45853">
        <w:rPr>
          <w:rFonts w:ascii="Times New Roman" w:hAnsi="Times New Roman" w:cs="Times New Roman"/>
          <w:lang w:val="pl-PL"/>
        </w:rPr>
        <w:t xml:space="preserve">działania </w:t>
      </w:r>
      <w:r w:rsidR="006B333F" w:rsidRPr="00B45853">
        <w:rPr>
          <w:rFonts w:ascii="Times New Roman" w:hAnsi="Times New Roman" w:cs="Times New Roman"/>
          <w:lang w:val="pl-PL"/>
        </w:rPr>
        <w:t>pas</w:t>
      </w:r>
      <w:r w:rsidR="00F545FD" w:rsidRPr="00B45853">
        <w:rPr>
          <w:rFonts w:ascii="Times New Roman" w:hAnsi="Times New Roman" w:cs="Times New Roman"/>
          <w:lang w:val="pl-PL"/>
        </w:rPr>
        <w:t>ywnego</w:t>
      </w:r>
      <w:r w:rsidR="006B333F" w:rsidRPr="00B45853">
        <w:rPr>
          <w:rFonts w:ascii="Times New Roman" w:hAnsi="Times New Roman" w:cs="Times New Roman"/>
          <w:lang w:val="pl-PL"/>
        </w:rPr>
        <w:t>, czysto technicznego usługodawc</w:t>
      </w:r>
      <w:r w:rsidR="00F545FD" w:rsidRPr="00B45853">
        <w:rPr>
          <w:rFonts w:ascii="Times New Roman" w:hAnsi="Times New Roman" w:cs="Times New Roman"/>
          <w:lang w:val="pl-PL"/>
        </w:rPr>
        <w:t>y</w:t>
      </w:r>
      <w:r w:rsidR="006B333F" w:rsidRPr="00B45853">
        <w:rPr>
          <w:rFonts w:ascii="Times New Roman" w:hAnsi="Times New Roman" w:cs="Times New Roman"/>
          <w:lang w:val="pl-PL"/>
        </w:rPr>
        <w:t xml:space="preserve">. Należy zatem </w:t>
      </w:r>
      <w:r w:rsidR="006B333F" w:rsidRPr="000702B6">
        <w:rPr>
          <w:rFonts w:ascii="Times New Roman" w:hAnsi="Times New Roman" w:cs="Times New Roman"/>
          <w:lang w:val="pl-PL"/>
        </w:rPr>
        <w:t xml:space="preserve">stwierdzić, że Sąd Najwyższy oparł swoje rozumowanie w tej sprawie </w:t>
      </w:r>
      <w:r w:rsidR="00F545FD" w:rsidRPr="000702B6">
        <w:rPr>
          <w:rFonts w:ascii="Times New Roman" w:hAnsi="Times New Roman" w:cs="Times New Roman"/>
          <w:lang w:val="pl-PL"/>
        </w:rPr>
        <w:t>na po</w:t>
      </w:r>
      <w:r w:rsidR="00F54A42" w:rsidRPr="000702B6">
        <w:rPr>
          <w:rFonts w:ascii="Times New Roman" w:hAnsi="Times New Roman" w:cs="Times New Roman"/>
          <w:lang w:val="pl-PL"/>
        </w:rPr>
        <w:t>d</w:t>
      </w:r>
      <w:r w:rsidR="00F545FD" w:rsidRPr="000702B6">
        <w:rPr>
          <w:rFonts w:ascii="Times New Roman" w:hAnsi="Times New Roman" w:cs="Times New Roman"/>
          <w:lang w:val="pl-PL"/>
        </w:rPr>
        <w:t>stawach</w:t>
      </w:r>
      <w:r w:rsidR="006B333F" w:rsidRPr="000702B6">
        <w:rPr>
          <w:rFonts w:ascii="Times New Roman" w:hAnsi="Times New Roman" w:cs="Times New Roman"/>
          <w:lang w:val="pl-PL"/>
        </w:rPr>
        <w:t>, które były istotne dla celów Artykułu 10 Konwencji</w:t>
      </w:r>
      <w:r w:rsidR="00A220C6" w:rsidRPr="000702B6">
        <w:rPr>
          <w:rFonts w:ascii="Times New Roman" w:hAnsi="Times New Roman" w:cs="Times New Roman"/>
          <w:lang w:val="pl-PL"/>
        </w:rPr>
        <w:t>.</w:t>
      </w:r>
    </w:p>
    <w:p w:rsidR="00A220C6" w:rsidRPr="000702B6" w:rsidRDefault="00177D81" w:rsidP="00171A6F">
      <w:pPr>
        <w:pStyle w:val="ECHRHeading5"/>
        <w:rPr>
          <w:rFonts w:ascii="Times New Roman" w:hAnsi="Times New Roman" w:cs="Times New Roman"/>
          <w:lang w:val="pl-PL"/>
        </w:rPr>
      </w:pPr>
      <w:r w:rsidRPr="000702B6">
        <w:rPr>
          <w:rFonts w:ascii="Times New Roman" w:hAnsi="Times New Roman" w:cs="Times New Roman"/>
          <w:lang w:val="pl-PL"/>
        </w:rPr>
        <w:t>(iii)</w:t>
      </w:r>
      <w:r w:rsidR="00A220C6" w:rsidRPr="000702B6">
        <w:rPr>
          <w:rFonts w:ascii="Times New Roman" w:hAnsi="Times New Roman" w:cs="Times New Roman"/>
          <w:lang w:val="pl-PL"/>
        </w:rPr>
        <w:t> </w:t>
      </w:r>
      <w:r w:rsidR="006B333F" w:rsidRPr="000702B6">
        <w:rPr>
          <w:rFonts w:ascii="Times New Roman" w:hAnsi="Times New Roman" w:cs="Times New Roman"/>
          <w:lang w:val="pl-PL"/>
        </w:rPr>
        <w:t>Odpowiedzialność autorów komentarzy</w:t>
      </w:r>
    </w:p>
    <w:p w:rsidR="00A220C6" w:rsidRPr="00B45853"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147</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6B333F" w:rsidRPr="000702B6">
        <w:rPr>
          <w:rFonts w:ascii="Times New Roman" w:hAnsi="Times New Roman" w:cs="Times New Roman"/>
          <w:lang w:val="pl-PL"/>
        </w:rPr>
        <w:t>W związku z tym</w:t>
      </w:r>
      <w:r w:rsidR="00F54A42" w:rsidRPr="000702B6">
        <w:rPr>
          <w:rFonts w:ascii="Times New Roman" w:hAnsi="Times New Roman" w:cs="Times New Roman"/>
          <w:lang w:val="pl-PL"/>
        </w:rPr>
        <w:t xml:space="preserve"> pojawia się</w:t>
      </w:r>
      <w:r w:rsidR="006B333F" w:rsidRPr="000702B6">
        <w:rPr>
          <w:rFonts w:ascii="Times New Roman" w:hAnsi="Times New Roman" w:cs="Times New Roman"/>
          <w:lang w:val="pl-PL"/>
        </w:rPr>
        <w:t xml:space="preserve"> pytanie, czy odpowiedzialność rzeczywistych autorów komentarzy może służyć jako sensowna alternatywa do odpowiedzialności internetowego portalu informacyjnym w przypadku takim jak w niniejszej sprawie, Trybunał jest świadomy</w:t>
      </w:r>
      <w:r w:rsidR="006B333F" w:rsidRPr="00B45853">
        <w:rPr>
          <w:rFonts w:ascii="Times New Roman" w:hAnsi="Times New Roman" w:cs="Times New Roman"/>
          <w:lang w:val="pl-PL"/>
        </w:rPr>
        <w:t xml:space="preserve"> zainteresowania internaut</w:t>
      </w:r>
      <w:r w:rsidR="00F545FD" w:rsidRPr="00B45853">
        <w:rPr>
          <w:rFonts w:ascii="Times New Roman" w:hAnsi="Times New Roman" w:cs="Times New Roman"/>
          <w:lang w:val="pl-PL"/>
        </w:rPr>
        <w:t>ów w nieujawnia</w:t>
      </w:r>
      <w:r w:rsidR="006B333F" w:rsidRPr="00B45853">
        <w:rPr>
          <w:rFonts w:ascii="Times New Roman" w:hAnsi="Times New Roman" w:cs="Times New Roman"/>
          <w:lang w:val="pl-PL"/>
        </w:rPr>
        <w:t xml:space="preserve">nie ich tożsamości. Anonimowość od dawna była sposobem uniknięcia represji lub niechcianej uwagi. Jako taka, jest zdolna do promowania swobodnego przepływu idei i informacji w istotny sposób, w tym w szczególności, w Internecie. Jednocześnie Trybunał nie zapomina o łatwości, zakresie i szybkości rozpowszechniania informacji w Internecie i utrzymywania informacji raz ujawnionych, co może znacznie pogorszyć skutki bezprawnej mowy w Internecie w porównaniu do tradycyjnych mediów. Odnosi się to także w tym kontekście do niedawnego wyroku Trybunału Sprawiedliwości Unii Europejskiej w sprawie </w:t>
      </w:r>
      <w:r w:rsidR="00A220C6" w:rsidRPr="00B45853">
        <w:rPr>
          <w:rFonts w:ascii="Times New Roman" w:hAnsi="Times New Roman" w:cs="Times New Roman"/>
          <w:i/>
          <w:lang w:val="pl-PL"/>
        </w:rPr>
        <w:t xml:space="preserve">Google </w:t>
      </w:r>
      <w:proofErr w:type="spellStart"/>
      <w:r w:rsidR="00A220C6" w:rsidRPr="00B45853">
        <w:rPr>
          <w:rFonts w:ascii="Times New Roman" w:hAnsi="Times New Roman" w:cs="Times New Roman"/>
          <w:i/>
          <w:lang w:val="pl-PL"/>
        </w:rPr>
        <w:t>Spain</w:t>
      </w:r>
      <w:proofErr w:type="spellEnd"/>
      <w:r w:rsidR="00A220C6" w:rsidRPr="00B45853">
        <w:rPr>
          <w:rFonts w:ascii="Times New Roman" w:hAnsi="Times New Roman" w:cs="Times New Roman"/>
          <w:i/>
          <w:lang w:val="pl-PL"/>
        </w:rPr>
        <w:t xml:space="preserve"> </w:t>
      </w:r>
      <w:r w:rsidR="006B333F" w:rsidRPr="00B45853">
        <w:rPr>
          <w:rFonts w:ascii="Times New Roman" w:hAnsi="Times New Roman" w:cs="Times New Roman"/>
          <w:i/>
          <w:lang w:val="pl-PL"/>
        </w:rPr>
        <w:t>i</w:t>
      </w:r>
      <w:r w:rsidR="00A220C6" w:rsidRPr="00B45853">
        <w:rPr>
          <w:rFonts w:ascii="Times New Roman" w:hAnsi="Times New Roman" w:cs="Times New Roman"/>
          <w:i/>
          <w:lang w:val="pl-PL"/>
        </w:rPr>
        <w:t xml:space="preserve"> Google</w:t>
      </w:r>
      <w:r w:rsidR="00A220C6" w:rsidRPr="00B45853">
        <w:rPr>
          <w:rFonts w:ascii="Times New Roman" w:hAnsi="Times New Roman" w:cs="Times New Roman"/>
          <w:lang w:val="pl-PL"/>
        </w:rPr>
        <w:t xml:space="preserve">, </w:t>
      </w:r>
      <w:r w:rsidR="006B333F" w:rsidRPr="00B45853">
        <w:rPr>
          <w:rFonts w:ascii="Times New Roman" w:hAnsi="Times New Roman" w:cs="Times New Roman"/>
          <w:lang w:val="pl-PL"/>
        </w:rPr>
        <w:t xml:space="preserve">w którym sąd ten, choć w innym kontekście, zajmował się problemem dostępności w </w:t>
      </w:r>
      <w:r w:rsidR="00BF51DD" w:rsidRPr="00B45853">
        <w:rPr>
          <w:rFonts w:ascii="Times New Roman" w:hAnsi="Times New Roman" w:cs="Times New Roman"/>
          <w:lang w:val="pl-PL"/>
        </w:rPr>
        <w:t>Internecie informacji</w:t>
      </w:r>
      <w:r w:rsidR="006B333F" w:rsidRPr="00B45853">
        <w:rPr>
          <w:rFonts w:ascii="Times New Roman" w:hAnsi="Times New Roman" w:cs="Times New Roman"/>
          <w:lang w:val="pl-PL"/>
        </w:rPr>
        <w:t xml:space="preserve"> poważnie zakłócając</w:t>
      </w:r>
      <w:r w:rsidR="00BF51DD" w:rsidRPr="00B45853">
        <w:rPr>
          <w:rFonts w:ascii="Times New Roman" w:hAnsi="Times New Roman" w:cs="Times New Roman"/>
          <w:lang w:val="pl-PL"/>
        </w:rPr>
        <w:t>ych prywatne życie</w:t>
      </w:r>
      <w:r w:rsidR="006B333F" w:rsidRPr="00B45853">
        <w:rPr>
          <w:rFonts w:ascii="Times New Roman" w:hAnsi="Times New Roman" w:cs="Times New Roman"/>
          <w:lang w:val="pl-PL"/>
        </w:rPr>
        <w:t xml:space="preserve"> </w:t>
      </w:r>
      <w:r w:rsidR="00BF51DD" w:rsidRPr="00B45853">
        <w:rPr>
          <w:rFonts w:ascii="Times New Roman" w:hAnsi="Times New Roman" w:cs="Times New Roman"/>
          <w:lang w:val="pl-PL"/>
        </w:rPr>
        <w:t>osoby przez dłuższy okres czasu, i</w:t>
      </w:r>
      <w:r w:rsidR="006B333F" w:rsidRPr="00B45853">
        <w:rPr>
          <w:rFonts w:ascii="Times New Roman" w:hAnsi="Times New Roman" w:cs="Times New Roman"/>
          <w:lang w:val="pl-PL"/>
        </w:rPr>
        <w:t xml:space="preserve"> </w:t>
      </w:r>
      <w:r w:rsidR="00BF51DD" w:rsidRPr="00B45853">
        <w:rPr>
          <w:rFonts w:ascii="Times New Roman" w:hAnsi="Times New Roman" w:cs="Times New Roman"/>
          <w:lang w:val="pl-PL"/>
        </w:rPr>
        <w:t>odkrył</w:t>
      </w:r>
      <w:r w:rsidR="006B333F" w:rsidRPr="00B45853">
        <w:rPr>
          <w:rFonts w:ascii="Times New Roman" w:hAnsi="Times New Roman" w:cs="Times New Roman"/>
          <w:lang w:val="pl-PL"/>
        </w:rPr>
        <w:t xml:space="preserve">, że podstawowe prawa osoby fizycznej, </w:t>
      </w:r>
      <w:r w:rsidR="00BF51DD" w:rsidRPr="00B45853">
        <w:rPr>
          <w:rFonts w:ascii="Times New Roman" w:hAnsi="Times New Roman" w:cs="Times New Roman"/>
          <w:lang w:val="pl-PL"/>
        </w:rPr>
        <w:t>na ogół</w:t>
      </w:r>
      <w:r w:rsidR="006B333F" w:rsidRPr="00B45853">
        <w:rPr>
          <w:rFonts w:ascii="Times New Roman" w:hAnsi="Times New Roman" w:cs="Times New Roman"/>
          <w:lang w:val="pl-PL"/>
        </w:rPr>
        <w:t xml:space="preserve">, </w:t>
      </w:r>
      <w:r w:rsidR="00BF51DD" w:rsidRPr="00B45853">
        <w:rPr>
          <w:rFonts w:ascii="Times New Roman" w:hAnsi="Times New Roman" w:cs="Times New Roman"/>
          <w:lang w:val="pl-PL"/>
        </w:rPr>
        <w:t>omijały</w:t>
      </w:r>
      <w:r w:rsidR="006B333F" w:rsidRPr="00B45853">
        <w:rPr>
          <w:rFonts w:ascii="Times New Roman" w:hAnsi="Times New Roman" w:cs="Times New Roman"/>
          <w:lang w:val="pl-PL"/>
        </w:rPr>
        <w:t xml:space="preserve"> interes</w:t>
      </w:r>
      <w:r w:rsidR="00BF51DD" w:rsidRPr="00B45853">
        <w:rPr>
          <w:rFonts w:ascii="Times New Roman" w:hAnsi="Times New Roman" w:cs="Times New Roman"/>
          <w:lang w:val="pl-PL"/>
        </w:rPr>
        <w:t>y ekonomiczne</w:t>
      </w:r>
      <w:r w:rsidR="006B333F" w:rsidRPr="00B45853">
        <w:rPr>
          <w:rFonts w:ascii="Times New Roman" w:hAnsi="Times New Roman" w:cs="Times New Roman"/>
          <w:lang w:val="pl-PL"/>
        </w:rPr>
        <w:t xml:space="preserve"> operatora wyszukiwarki i interes</w:t>
      </w:r>
      <w:r w:rsidR="00BF51DD" w:rsidRPr="00B45853">
        <w:rPr>
          <w:rFonts w:ascii="Times New Roman" w:hAnsi="Times New Roman" w:cs="Times New Roman"/>
          <w:lang w:val="pl-PL"/>
        </w:rPr>
        <w:t>y</w:t>
      </w:r>
      <w:r w:rsidR="006B333F" w:rsidRPr="00B45853">
        <w:rPr>
          <w:rFonts w:ascii="Times New Roman" w:hAnsi="Times New Roman" w:cs="Times New Roman"/>
          <w:lang w:val="pl-PL"/>
        </w:rPr>
        <w:t xml:space="preserve"> innych internautów (</w:t>
      </w:r>
      <w:r w:rsidR="00F545FD" w:rsidRPr="00B45853">
        <w:rPr>
          <w:rFonts w:ascii="Times New Roman" w:hAnsi="Times New Roman" w:cs="Times New Roman"/>
          <w:lang w:val="pl-PL"/>
        </w:rPr>
        <w:t>zobacz</w:t>
      </w:r>
      <w:r w:rsidR="006B333F" w:rsidRPr="00B45853">
        <w:rPr>
          <w:rFonts w:ascii="Times New Roman" w:hAnsi="Times New Roman" w:cs="Times New Roman"/>
          <w:lang w:val="pl-PL"/>
        </w:rPr>
        <w:t xml:space="preserve"> p</w:t>
      </w:r>
      <w:r w:rsidR="00BF51DD" w:rsidRPr="00B45853">
        <w:rPr>
          <w:rFonts w:ascii="Times New Roman" w:hAnsi="Times New Roman" w:cs="Times New Roman"/>
          <w:lang w:val="pl-PL"/>
        </w:rPr>
        <w:t>aragraf</w:t>
      </w:r>
      <w:r w:rsidR="006B333F" w:rsidRPr="00B45853">
        <w:rPr>
          <w:rFonts w:ascii="Times New Roman" w:hAnsi="Times New Roman" w:cs="Times New Roman"/>
          <w:lang w:val="pl-PL"/>
        </w:rPr>
        <w:t xml:space="preserve"> 56 powyżej).</w:t>
      </w:r>
    </w:p>
    <w:p w:rsidR="00B413BF" w:rsidRPr="000702B6"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148</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BF51DD" w:rsidRPr="00B45853">
        <w:rPr>
          <w:rFonts w:ascii="Times New Roman" w:hAnsi="Times New Roman" w:cs="Times New Roman"/>
          <w:lang w:val="pl-PL"/>
        </w:rPr>
        <w:t>Trybunał zauważa, że ​​możliwe są różne stopnie anonimowości w Internecie. Internauta może być anonimowy dla szerszej publiczności</w:t>
      </w:r>
      <w:r w:rsidR="00177D81" w:rsidRPr="00B45853">
        <w:rPr>
          <w:rFonts w:ascii="Times New Roman" w:hAnsi="Times New Roman" w:cs="Times New Roman"/>
          <w:lang w:val="pl-PL"/>
        </w:rPr>
        <w:t>,</w:t>
      </w:r>
      <w:r w:rsidR="00BF51DD" w:rsidRPr="00B45853">
        <w:rPr>
          <w:rFonts w:ascii="Times New Roman" w:hAnsi="Times New Roman" w:cs="Times New Roman"/>
          <w:lang w:val="pl-PL"/>
        </w:rPr>
        <w:t xml:space="preserve"> będąc rozpoznawalny przez usługodawcę za pośrednictwem konta lub danych kontaktowych, które mogą być albo niesprawdzone lub są przedmiote</w:t>
      </w:r>
      <w:r w:rsidR="00177D81" w:rsidRPr="00B45853">
        <w:rPr>
          <w:rFonts w:ascii="Times New Roman" w:hAnsi="Times New Roman" w:cs="Times New Roman"/>
          <w:lang w:val="pl-PL"/>
        </w:rPr>
        <w:t>m pewnego rodzaju weryfikacji</w:t>
      </w:r>
      <w:r w:rsidR="00F54A42">
        <w:rPr>
          <w:rFonts w:ascii="Times New Roman" w:hAnsi="Times New Roman" w:cs="Times New Roman"/>
          <w:lang w:val="pl-PL"/>
        </w:rPr>
        <w:t xml:space="preserve"> </w:t>
      </w:r>
      <w:r w:rsidR="00177D81" w:rsidRPr="00B45853">
        <w:rPr>
          <w:rFonts w:ascii="Times New Roman" w:hAnsi="Times New Roman" w:cs="Times New Roman"/>
          <w:lang w:val="pl-PL"/>
        </w:rPr>
        <w:t>-</w:t>
      </w:r>
      <w:r w:rsidR="00F54A42">
        <w:rPr>
          <w:rFonts w:ascii="Times New Roman" w:hAnsi="Times New Roman" w:cs="Times New Roman"/>
          <w:lang w:val="pl-PL"/>
        </w:rPr>
        <w:t xml:space="preserve"> </w:t>
      </w:r>
      <w:r w:rsidR="00BF51DD" w:rsidRPr="00B45853">
        <w:rPr>
          <w:rFonts w:ascii="Times New Roman" w:hAnsi="Times New Roman" w:cs="Times New Roman"/>
          <w:lang w:val="pl-PL"/>
        </w:rPr>
        <w:t xml:space="preserve">od ograniczonej weryfikacji (na przykład poprzez aktywację konta poprzez adres e-mail lub konto sieci społecznościowej) do bezpiecznego uwierzytelniania, czy to poprzez </w:t>
      </w:r>
      <w:r w:rsidR="00BF51DD" w:rsidRPr="00B45853">
        <w:rPr>
          <w:rFonts w:ascii="Times New Roman" w:hAnsi="Times New Roman" w:cs="Times New Roman"/>
          <w:lang w:val="pl-PL"/>
        </w:rPr>
        <w:lastRenderedPageBreak/>
        <w:t>wykorzystanie krajowych elektronicznych kart identyfikacyjnych lub danych uwierzytelniających bankowości internetowej umożliwiających raczej bezpieczną identyfikację użytkownika. Usługodawca może również umożliwić szer</w:t>
      </w:r>
      <w:r w:rsidR="00F545FD" w:rsidRPr="00B45853">
        <w:rPr>
          <w:rFonts w:ascii="Times New Roman" w:hAnsi="Times New Roman" w:cs="Times New Roman"/>
          <w:lang w:val="pl-PL"/>
        </w:rPr>
        <w:t>oki stopień anonimowości dla swoich użytkowników</w:t>
      </w:r>
      <w:r w:rsidR="00BF51DD" w:rsidRPr="00B45853">
        <w:rPr>
          <w:rFonts w:ascii="Times New Roman" w:hAnsi="Times New Roman" w:cs="Times New Roman"/>
          <w:lang w:val="pl-PL"/>
        </w:rPr>
        <w:t>, w tym przypadku użytkownicy nie muszą identyfikować się na wszystkich i mogą być tylko identyfikowalni</w:t>
      </w:r>
      <w:r w:rsidR="00F54A42">
        <w:rPr>
          <w:rFonts w:ascii="Times New Roman" w:hAnsi="Times New Roman" w:cs="Times New Roman"/>
          <w:lang w:val="pl-PL"/>
        </w:rPr>
        <w:t xml:space="preserve"> </w:t>
      </w:r>
      <w:r w:rsidR="00177D81" w:rsidRPr="00B45853">
        <w:rPr>
          <w:rFonts w:ascii="Times New Roman" w:hAnsi="Times New Roman" w:cs="Times New Roman"/>
          <w:lang w:val="pl-PL"/>
        </w:rPr>
        <w:t>-</w:t>
      </w:r>
      <w:r w:rsidR="00F54A42">
        <w:rPr>
          <w:rFonts w:ascii="Times New Roman" w:hAnsi="Times New Roman" w:cs="Times New Roman"/>
          <w:lang w:val="pl-PL"/>
        </w:rPr>
        <w:t xml:space="preserve"> </w:t>
      </w:r>
      <w:r w:rsidR="00177D81" w:rsidRPr="00B45853">
        <w:rPr>
          <w:rFonts w:ascii="Times New Roman" w:hAnsi="Times New Roman" w:cs="Times New Roman"/>
          <w:lang w:val="pl-PL"/>
        </w:rPr>
        <w:t>w ograniczonym zakresie</w:t>
      </w:r>
      <w:r w:rsidR="00F54A42">
        <w:rPr>
          <w:rFonts w:ascii="Times New Roman" w:hAnsi="Times New Roman" w:cs="Times New Roman"/>
          <w:lang w:val="pl-PL"/>
        </w:rPr>
        <w:t xml:space="preserve"> </w:t>
      </w:r>
      <w:r w:rsidR="00177D81" w:rsidRPr="00B45853">
        <w:rPr>
          <w:rFonts w:ascii="Times New Roman" w:hAnsi="Times New Roman" w:cs="Times New Roman"/>
          <w:lang w:val="pl-PL"/>
        </w:rPr>
        <w:t>-</w:t>
      </w:r>
      <w:r w:rsidR="00F54A42">
        <w:rPr>
          <w:rFonts w:ascii="Times New Roman" w:hAnsi="Times New Roman" w:cs="Times New Roman"/>
          <w:lang w:val="pl-PL"/>
        </w:rPr>
        <w:t xml:space="preserve"> </w:t>
      </w:r>
      <w:r w:rsidR="00BF51DD" w:rsidRPr="00B45853">
        <w:rPr>
          <w:rFonts w:ascii="Times New Roman" w:hAnsi="Times New Roman" w:cs="Times New Roman"/>
          <w:lang w:val="pl-PL"/>
        </w:rPr>
        <w:t>na podstawie informacji zatrzymanych przez dostawców dostępu do Internetu. Udostępnienie takich informacji wymaga zwykle nakazu władz śledczy</w:t>
      </w:r>
      <w:r w:rsidR="00CC1799">
        <w:rPr>
          <w:rFonts w:ascii="Times New Roman" w:hAnsi="Times New Roman" w:cs="Times New Roman"/>
          <w:lang w:val="pl-PL"/>
        </w:rPr>
        <w:t xml:space="preserve">ch i sądowych i </w:t>
      </w:r>
      <w:r w:rsidR="00CC1799" w:rsidRPr="000702B6">
        <w:rPr>
          <w:rFonts w:ascii="Times New Roman" w:hAnsi="Times New Roman" w:cs="Times New Roman"/>
          <w:lang w:val="pl-PL"/>
        </w:rPr>
        <w:t>jest uzależnione</w:t>
      </w:r>
      <w:r w:rsidR="00BF51DD" w:rsidRPr="000702B6">
        <w:rPr>
          <w:rFonts w:ascii="Times New Roman" w:hAnsi="Times New Roman" w:cs="Times New Roman"/>
          <w:lang w:val="pl-PL"/>
        </w:rPr>
        <w:t xml:space="preserve"> od warunków ograniczających. Może być jednak wymagane w niektórych przypadkach, w celu zidentyfikowania i ścigania sprawców</w:t>
      </w:r>
      <w:r w:rsidR="00A220C6" w:rsidRPr="000702B6">
        <w:rPr>
          <w:rFonts w:ascii="Times New Roman" w:hAnsi="Times New Roman" w:cs="Times New Roman"/>
          <w:lang w:val="pl-PL"/>
        </w:rPr>
        <w:t>.</w:t>
      </w:r>
    </w:p>
    <w:p w:rsidR="00B413BF" w:rsidRPr="000702B6"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149</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F63663" w:rsidRPr="000702B6">
        <w:rPr>
          <w:rFonts w:ascii="Times New Roman" w:hAnsi="Times New Roman" w:cs="Times New Roman"/>
          <w:lang w:val="pl-PL"/>
        </w:rPr>
        <w:t xml:space="preserve">Tak więc, w sprawie </w:t>
      </w:r>
      <w:r w:rsidR="00F63663" w:rsidRPr="000702B6">
        <w:rPr>
          <w:rFonts w:ascii="Times New Roman" w:hAnsi="Times New Roman" w:cs="Times New Roman"/>
          <w:i/>
          <w:lang w:val="pl-PL"/>
        </w:rPr>
        <w:t>K.U. przeciwko</w:t>
      </w:r>
      <w:r w:rsidR="00A220C6" w:rsidRPr="000702B6">
        <w:rPr>
          <w:rFonts w:ascii="Times New Roman" w:hAnsi="Times New Roman" w:cs="Times New Roman"/>
          <w:i/>
          <w:lang w:val="pl-PL"/>
        </w:rPr>
        <w:t xml:space="preserve"> Finland</w:t>
      </w:r>
      <w:r w:rsidR="00F63663" w:rsidRPr="000702B6">
        <w:rPr>
          <w:rFonts w:ascii="Times New Roman" w:hAnsi="Times New Roman" w:cs="Times New Roman"/>
          <w:i/>
          <w:lang w:val="pl-PL"/>
        </w:rPr>
        <w:t>ii</w:t>
      </w:r>
      <w:r w:rsidR="00A220C6" w:rsidRPr="000702B6">
        <w:rPr>
          <w:rFonts w:ascii="Times New Roman" w:hAnsi="Times New Roman" w:cs="Times New Roman"/>
          <w:lang w:val="pl-PL"/>
        </w:rPr>
        <w:t xml:space="preserve">, </w:t>
      </w:r>
      <w:r w:rsidR="00F63663" w:rsidRPr="000702B6">
        <w:rPr>
          <w:rFonts w:ascii="Times New Roman" w:hAnsi="Times New Roman" w:cs="Times New Roman"/>
          <w:lang w:val="pl-PL"/>
        </w:rPr>
        <w:t>dotyczącej przestępstwa "złośliwego wprowadzenia w błąd" o charakterze seksualnym na szkodę małoletniego, Trybunał stwierdził, że “[m</w:t>
      </w:r>
      <w:r w:rsidR="00A220C6" w:rsidRPr="000702B6">
        <w:rPr>
          <w:rFonts w:ascii="Times New Roman" w:hAnsi="Times New Roman" w:cs="Times New Roman"/>
          <w:lang w:val="pl-PL"/>
        </w:rPr>
        <w:t>]</w:t>
      </w:r>
      <w:proofErr w:type="spellStart"/>
      <w:r w:rsidR="00CC1799" w:rsidRPr="000702B6">
        <w:rPr>
          <w:rFonts w:ascii="Times New Roman" w:hAnsi="Times New Roman" w:cs="Times New Roman"/>
          <w:lang w:val="pl-PL"/>
        </w:rPr>
        <w:t>imo</w:t>
      </w:r>
      <w:proofErr w:type="spellEnd"/>
      <w:r w:rsidR="00CC1799" w:rsidRPr="000702B6">
        <w:rPr>
          <w:rFonts w:ascii="Times New Roman" w:hAnsi="Times New Roman" w:cs="Times New Roman"/>
          <w:lang w:val="pl-PL"/>
        </w:rPr>
        <w:t xml:space="preserve"> że</w:t>
      </w:r>
      <w:r w:rsidR="00F63663" w:rsidRPr="000702B6">
        <w:rPr>
          <w:rFonts w:ascii="Times New Roman" w:hAnsi="Times New Roman" w:cs="Times New Roman"/>
          <w:lang w:val="pl-PL"/>
        </w:rPr>
        <w:t xml:space="preserve"> wolność wypowiedzi i poufność komunikacji są względami pierwotnymi i użytkownicy usług telekomunikacyjnych i internetowych muszą mieć gwarancję</w:t>
      </w:r>
      <w:r w:rsidR="00177D81" w:rsidRPr="000702B6">
        <w:rPr>
          <w:rFonts w:ascii="Times New Roman" w:hAnsi="Times New Roman" w:cs="Times New Roman"/>
          <w:lang w:val="pl-PL"/>
        </w:rPr>
        <w:t>,</w:t>
      </w:r>
      <w:r w:rsidR="00F63663" w:rsidRPr="000702B6">
        <w:rPr>
          <w:rFonts w:ascii="Times New Roman" w:hAnsi="Times New Roman" w:cs="Times New Roman"/>
          <w:lang w:val="pl-PL"/>
        </w:rPr>
        <w:t xml:space="preserve"> że ich prywatność i wolność słowa zostaną zachowane, taka</w:t>
      </w:r>
      <w:r w:rsidR="00F63663" w:rsidRPr="00B45853">
        <w:rPr>
          <w:rFonts w:ascii="Times New Roman" w:hAnsi="Times New Roman" w:cs="Times New Roman"/>
          <w:lang w:val="pl-PL"/>
        </w:rPr>
        <w:t xml:space="preserve"> gwarancja nie może być absolutna i musi ugiąć się przy okazji innych uzasadnionych nadrzędnych, takich jak konieczność zapobieżenia zakłóceniu porządku lub przestępstwu</w:t>
      </w:r>
      <w:r w:rsidR="00177D81" w:rsidRPr="00B45853">
        <w:rPr>
          <w:rFonts w:ascii="Times New Roman" w:hAnsi="Times New Roman" w:cs="Times New Roman"/>
          <w:lang w:val="pl-PL"/>
        </w:rPr>
        <w:t>,</w:t>
      </w:r>
      <w:r w:rsidR="00F63663" w:rsidRPr="00B45853">
        <w:rPr>
          <w:rFonts w:ascii="Times New Roman" w:hAnsi="Times New Roman" w:cs="Times New Roman"/>
          <w:lang w:val="pl-PL"/>
        </w:rPr>
        <w:t xml:space="preserve"> lub ochrony praw i wolności innych osób" </w:t>
      </w:r>
      <w:r w:rsidR="00A220C6" w:rsidRPr="00B45853">
        <w:rPr>
          <w:rFonts w:ascii="Times New Roman" w:hAnsi="Times New Roman" w:cs="Times New Roman"/>
          <w:lang w:val="pl-PL"/>
        </w:rPr>
        <w:t>(</w:t>
      </w:r>
      <w:r w:rsidR="00F63663" w:rsidRPr="00B45853">
        <w:rPr>
          <w:rFonts w:ascii="Times New Roman" w:hAnsi="Times New Roman" w:cs="Times New Roman"/>
          <w:lang w:val="pl-PL"/>
        </w:rPr>
        <w:t>zobacz</w:t>
      </w:r>
      <w:r w:rsidR="00A220C6" w:rsidRPr="00B45853">
        <w:rPr>
          <w:rFonts w:ascii="Times New Roman" w:hAnsi="Times New Roman" w:cs="Times New Roman"/>
          <w:lang w:val="pl-PL"/>
        </w:rPr>
        <w:t xml:space="preserve"> </w:t>
      </w:r>
      <w:r w:rsidR="00F63663" w:rsidRPr="00B45853">
        <w:rPr>
          <w:rFonts w:ascii="Times New Roman" w:hAnsi="Times New Roman" w:cs="Times New Roman"/>
          <w:i/>
          <w:lang w:val="pl-PL"/>
        </w:rPr>
        <w:t>K.U. przeciwko</w:t>
      </w:r>
      <w:r w:rsidR="00A220C6" w:rsidRPr="00B45853">
        <w:rPr>
          <w:rFonts w:ascii="Times New Roman" w:hAnsi="Times New Roman" w:cs="Times New Roman"/>
          <w:i/>
          <w:lang w:val="pl-PL"/>
        </w:rPr>
        <w:t xml:space="preserve"> Finland</w:t>
      </w:r>
      <w:r w:rsidR="00F63663" w:rsidRPr="00B45853">
        <w:rPr>
          <w:rFonts w:ascii="Times New Roman" w:hAnsi="Times New Roman" w:cs="Times New Roman"/>
          <w:i/>
          <w:lang w:val="pl-PL"/>
        </w:rPr>
        <w:t>ii</w:t>
      </w:r>
      <w:r w:rsidR="00F63663" w:rsidRPr="00B45853">
        <w:rPr>
          <w:rFonts w:ascii="Times New Roman" w:hAnsi="Times New Roman" w:cs="Times New Roman"/>
          <w:lang w:val="pl-PL"/>
        </w:rPr>
        <w:t>, nr</w:t>
      </w:r>
      <w:r w:rsidR="00A220C6" w:rsidRPr="00B45853">
        <w:rPr>
          <w:rFonts w:ascii="Times New Roman" w:hAnsi="Times New Roman" w:cs="Times New Roman"/>
          <w:lang w:val="pl-PL"/>
        </w:rPr>
        <w:t xml:space="preserve"> 2872/02, § 49, ECHR 2008). </w:t>
      </w:r>
      <w:r w:rsidR="00F63663" w:rsidRPr="00B45853">
        <w:rPr>
          <w:rFonts w:ascii="Times New Roman" w:hAnsi="Times New Roman" w:cs="Times New Roman"/>
          <w:lang w:val="pl-PL"/>
        </w:rPr>
        <w:t>Trybunał w tej sprawie odrzucił argument Rządu, że skarżący miał możliwość uzyskania odszkodowania od usługodawcy, stwierdzając, że nie było to wystarczające do okoliczności danego przypadku. Stwierdził on, że nie miał</w:t>
      </w:r>
      <w:r w:rsidR="00F545FD" w:rsidRPr="00B45853">
        <w:rPr>
          <w:rFonts w:ascii="Times New Roman" w:hAnsi="Times New Roman" w:cs="Times New Roman"/>
          <w:lang w:val="pl-PL"/>
        </w:rPr>
        <w:t>o</w:t>
      </w:r>
      <w:r w:rsidR="00F63663" w:rsidRPr="00B45853">
        <w:rPr>
          <w:rFonts w:ascii="Times New Roman" w:hAnsi="Times New Roman" w:cs="Times New Roman"/>
          <w:lang w:val="pl-PL"/>
        </w:rPr>
        <w:t xml:space="preserve"> być </w:t>
      </w:r>
      <w:r w:rsidR="003071E4" w:rsidRPr="00B45853">
        <w:rPr>
          <w:rFonts w:ascii="Times New Roman" w:hAnsi="Times New Roman" w:cs="Times New Roman"/>
          <w:lang w:val="pl-PL"/>
        </w:rPr>
        <w:t>rozwiązaniem</w:t>
      </w:r>
      <w:r w:rsidR="00F63663" w:rsidRPr="00B45853">
        <w:rPr>
          <w:rFonts w:ascii="Times New Roman" w:hAnsi="Times New Roman" w:cs="Times New Roman"/>
          <w:lang w:val="pl-PL"/>
        </w:rPr>
        <w:t xml:space="preserve"> umożliwiając</w:t>
      </w:r>
      <w:r w:rsidR="003071E4" w:rsidRPr="00B45853">
        <w:rPr>
          <w:rFonts w:ascii="Times New Roman" w:hAnsi="Times New Roman" w:cs="Times New Roman"/>
          <w:lang w:val="pl-PL"/>
        </w:rPr>
        <w:t>ym</w:t>
      </w:r>
      <w:r w:rsidR="00F63663" w:rsidRPr="00B45853">
        <w:rPr>
          <w:rFonts w:ascii="Times New Roman" w:hAnsi="Times New Roman" w:cs="Times New Roman"/>
          <w:lang w:val="pl-PL"/>
        </w:rPr>
        <w:t xml:space="preserve"> </w:t>
      </w:r>
      <w:r w:rsidR="003071E4" w:rsidRPr="00B45853">
        <w:rPr>
          <w:rFonts w:ascii="Times New Roman" w:hAnsi="Times New Roman" w:cs="Times New Roman"/>
          <w:lang w:val="pl-PL"/>
        </w:rPr>
        <w:t>zidentyfikowanie rzeczywistego sprawcy</w:t>
      </w:r>
      <w:r w:rsidR="00F63663" w:rsidRPr="00B45853">
        <w:rPr>
          <w:rFonts w:ascii="Times New Roman" w:hAnsi="Times New Roman" w:cs="Times New Roman"/>
          <w:lang w:val="pl-PL"/>
        </w:rPr>
        <w:t xml:space="preserve"> i pociągnięci</w:t>
      </w:r>
      <w:r w:rsidR="003071E4" w:rsidRPr="00B45853">
        <w:rPr>
          <w:rFonts w:ascii="Times New Roman" w:hAnsi="Times New Roman" w:cs="Times New Roman"/>
          <w:lang w:val="pl-PL"/>
        </w:rPr>
        <w:t>e go</w:t>
      </w:r>
      <w:r w:rsidR="00F63663" w:rsidRPr="00B45853">
        <w:rPr>
          <w:rFonts w:ascii="Times New Roman" w:hAnsi="Times New Roman" w:cs="Times New Roman"/>
          <w:lang w:val="pl-PL"/>
        </w:rPr>
        <w:t xml:space="preserve"> do odpowiedzialności, podczas gdy w danym czasie ramy regulacyjne </w:t>
      </w:r>
      <w:r w:rsidR="003071E4" w:rsidRPr="000702B6">
        <w:rPr>
          <w:rFonts w:ascii="Times New Roman" w:hAnsi="Times New Roman" w:cs="Times New Roman"/>
          <w:lang w:val="pl-PL"/>
        </w:rPr>
        <w:t>P</w:t>
      </w:r>
      <w:r w:rsidR="00F63663" w:rsidRPr="000702B6">
        <w:rPr>
          <w:rFonts w:ascii="Times New Roman" w:hAnsi="Times New Roman" w:cs="Times New Roman"/>
          <w:lang w:val="pl-PL"/>
        </w:rPr>
        <w:t>aństwa</w:t>
      </w:r>
      <w:r w:rsidR="003071E4" w:rsidRPr="000702B6">
        <w:rPr>
          <w:rFonts w:ascii="Times New Roman" w:hAnsi="Times New Roman" w:cs="Times New Roman"/>
          <w:lang w:val="pl-PL"/>
        </w:rPr>
        <w:t xml:space="preserve"> </w:t>
      </w:r>
      <w:r w:rsidR="00CC1799" w:rsidRPr="000702B6">
        <w:rPr>
          <w:rFonts w:ascii="Times New Roman" w:hAnsi="Times New Roman" w:cs="Times New Roman"/>
          <w:lang w:val="pl-PL"/>
        </w:rPr>
        <w:t>pozwanego nie przewidywały</w:t>
      </w:r>
      <w:r w:rsidR="00F63663" w:rsidRPr="000702B6">
        <w:rPr>
          <w:rFonts w:ascii="Times New Roman" w:hAnsi="Times New Roman" w:cs="Times New Roman"/>
          <w:lang w:val="pl-PL"/>
        </w:rPr>
        <w:t xml:space="preserve"> możliwości </w:t>
      </w:r>
      <w:r w:rsidR="003071E4" w:rsidRPr="000702B6">
        <w:rPr>
          <w:rFonts w:ascii="Times New Roman" w:hAnsi="Times New Roman" w:cs="Times New Roman"/>
          <w:lang w:val="pl-PL"/>
        </w:rPr>
        <w:t>rozkazania dostawcy</w:t>
      </w:r>
      <w:r w:rsidR="00F63663" w:rsidRPr="000702B6">
        <w:rPr>
          <w:rFonts w:ascii="Times New Roman" w:hAnsi="Times New Roman" w:cs="Times New Roman"/>
          <w:lang w:val="pl-PL"/>
        </w:rPr>
        <w:t xml:space="preserve"> usług internetowych ujawnienia informacji wymaganych w tym celu</w:t>
      </w:r>
      <w:r w:rsidR="00F545FD" w:rsidRPr="000702B6">
        <w:rPr>
          <w:rFonts w:ascii="Times New Roman" w:hAnsi="Times New Roman" w:cs="Times New Roman"/>
          <w:lang w:val="pl-PL"/>
        </w:rPr>
        <w:t xml:space="preserve"> (ibid., §§ 47 i</w:t>
      </w:r>
      <w:r w:rsidR="00A220C6" w:rsidRPr="000702B6">
        <w:rPr>
          <w:rFonts w:ascii="Times New Roman" w:hAnsi="Times New Roman" w:cs="Times New Roman"/>
          <w:lang w:val="pl-PL"/>
        </w:rPr>
        <w:t xml:space="preserve"> 49). </w:t>
      </w:r>
      <w:r w:rsidR="003071E4" w:rsidRPr="000702B6">
        <w:rPr>
          <w:rFonts w:ascii="Times New Roman" w:hAnsi="Times New Roman" w:cs="Times New Roman"/>
          <w:lang w:val="pl-PL"/>
        </w:rPr>
        <w:t xml:space="preserve">Chociaż </w:t>
      </w:r>
      <w:r w:rsidR="00F545FD" w:rsidRPr="000702B6">
        <w:rPr>
          <w:rFonts w:ascii="Times New Roman" w:hAnsi="Times New Roman" w:cs="Times New Roman"/>
          <w:lang w:val="pl-PL"/>
        </w:rPr>
        <w:t>w sprawie</w:t>
      </w:r>
      <w:r w:rsidR="00A220C6" w:rsidRPr="000702B6">
        <w:rPr>
          <w:rFonts w:ascii="Times New Roman" w:hAnsi="Times New Roman" w:cs="Times New Roman"/>
          <w:lang w:val="pl-PL"/>
        </w:rPr>
        <w:t xml:space="preserve"> </w:t>
      </w:r>
      <w:r w:rsidR="003071E4" w:rsidRPr="000702B6">
        <w:rPr>
          <w:rFonts w:ascii="Times New Roman" w:hAnsi="Times New Roman" w:cs="Times New Roman"/>
          <w:i/>
          <w:lang w:val="pl-PL"/>
        </w:rPr>
        <w:t>K.U. przeciwko</w:t>
      </w:r>
      <w:r w:rsidR="00A220C6" w:rsidRPr="000702B6">
        <w:rPr>
          <w:rFonts w:ascii="Times New Roman" w:hAnsi="Times New Roman" w:cs="Times New Roman"/>
          <w:i/>
          <w:lang w:val="pl-PL"/>
        </w:rPr>
        <w:t> Finland</w:t>
      </w:r>
      <w:r w:rsidR="003071E4" w:rsidRPr="000702B6">
        <w:rPr>
          <w:rFonts w:ascii="Times New Roman" w:hAnsi="Times New Roman" w:cs="Times New Roman"/>
          <w:i/>
          <w:lang w:val="pl-PL"/>
        </w:rPr>
        <w:t>ii</w:t>
      </w:r>
      <w:r w:rsidR="00F545FD" w:rsidRPr="000702B6">
        <w:rPr>
          <w:rFonts w:ascii="Times New Roman" w:hAnsi="Times New Roman" w:cs="Times New Roman"/>
          <w:i/>
          <w:lang w:val="pl-PL"/>
        </w:rPr>
        <w:t>,</w:t>
      </w:r>
      <w:r w:rsidR="00A220C6" w:rsidRPr="000702B6">
        <w:rPr>
          <w:rFonts w:ascii="Times New Roman" w:hAnsi="Times New Roman" w:cs="Times New Roman"/>
          <w:lang w:val="pl-PL"/>
        </w:rPr>
        <w:t xml:space="preserve"> </w:t>
      </w:r>
      <w:r w:rsidR="003071E4" w:rsidRPr="000702B6">
        <w:rPr>
          <w:rFonts w:ascii="Times New Roman" w:hAnsi="Times New Roman" w:cs="Times New Roman"/>
          <w:lang w:val="pl-PL"/>
        </w:rPr>
        <w:t>naruszenie sklasyfikowane jako przestępstwo na mocy prawa krajowego i zaangażowanie bardziej zamaszystej ingerencji w życie prywatne ofiary niż w niniejszej sprawie, jak wynika z rozumowania Trybunału</w:t>
      </w:r>
      <w:r w:rsidR="00177D81" w:rsidRPr="000702B6">
        <w:rPr>
          <w:rFonts w:ascii="Times New Roman" w:hAnsi="Times New Roman" w:cs="Times New Roman"/>
          <w:lang w:val="pl-PL"/>
        </w:rPr>
        <w:t>,</w:t>
      </w:r>
      <w:r w:rsidR="003071E4" w:rsidRPr="000702B6">
        <w:rPr>
          <w:rFonts w:ascii="Times New Roman" w:hAnsi="Times New Roman" w:cs="Times New Roman"/>
          <w:lang w:val="pl-PL"/>
        </w:rPr>
        <w:t xml:space="preserve"> ​​anonimowość w Internecie, choć ważnej wartości, musi być zrównoważona w stosunku do innych praw i interesów</w:t>
      </w:r>
      <w:r w:rsidR="00A220C6" w:rsidRPr="000702B6">
        <w:rPr>
          <w:rFonts w:ascii="Times New Roman" w:hAnsi="Times New Roman" w:cs="Times New Roman"/>
          <w:lang w:val="pl-PL"/>
        </w:rPr>
        <w:t>.</w:t>
      </w:r>
    </w:p>
    <w:p w:rsidR="00B413BF" w:rsidRPr="000702B6"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150</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3071E4" w:rsidRPr="000702B6">
        <w:rPr>
          <w:rFonts w:ascii="Times New Roman" w:hAnsi="Times New Roman" w:cs="Times New Roman"/>
          <w:lang w:val="pl-PL"/>
        </w:rPr>
        <w:t>Jeśli chodzi o ustalanie tożsamości autorów komentarzy w postępowaniu cywilnym, Trybunał zauważa, że stanowiska stron różnią się co do jego możliwości. Na podstawie informacji dostarczonych przez strony, Trybunał zauważa, że estońskie sądy, w "</w:t>
      </w:r>
      <w:proofErr w:type="spellStart"/>
      <w:r w:rsidR="00CC1799" w:rsidRPr="000702B6">
        <w:rPr>
          <w:rFonts w:ascii="Times New Roman" w:hAnsi="Times New Roman" w:cs="Times New Roman"/>
          <w:lang w:val="pl-PL"/>
        </w:rPr>
        <w:t>przedprocesowym</w:t>
      </w:r>
      <w:proofErr w:type="spellEnd"/>
      <w:r w:rsidR="00CC1799" w:rsidRPr="000702B6">
        <w:rPr>
          <w:rFonts w:ascii="Times New Roman" w:hAnsi="Times New Roman" w:cs="Times New Roman"/>
          <w:lang w:val="pl-PL"/>
        </w:rPr>
        <w:t xml:space="preserve"> </w:t>
      </w:r>
      <w:r w:rsidR="00177D81" w:rsidRPr="000702B6">
        <w:rPr>
          <w:rFonts w:ascii="Times New Roman" w:hAnsi="Times New Roman" w:cs="Times New Roman"/>
          <w:lang w:val="pl-PL"/>
        </w:rPr>
        <w:t>postępowaniu</w:t>
      </w:r>
      <w:r w:rsidR="00CC1799" w:rsidRPr="000702B6">
        <w:rPr>
          <w:rFonts w:ascii="Times New Roman" w:hAnsi="Times New Roman" w:cs="Times New Roman"/>
          <w:lang w:val="pl-PL"/>
        </w:rPr>
        <w:t xml:space="preserve"> dowodowym" procedura</w:t>
      </w:r>
      <w:r w:rsidR="003071E4" w:rsidRPr="000702B6">
        <w:rPr>
          <w:rFonts w:ascii="Times New Roman" w:hAnsi="Times New Roman" w:cs="Times New Roman"/>
          <w:lang w:val="pl-PL"/>
        </w:rPr>
        <w:t xml:space="preserve"> na podstawie Artykułu 244 Kodeksu Postępowania Cywilnego</w:t>
      </w:r>
      <w:r w:rsidR="00A220C6" w:rsidRPr="000702B6">
        <w:rPr>
          <w:rFonts w:ascii="Times New Roman" w:hAnsi="Times New Roman" w:cs="Times New Roman"/>
          <w:lang w:val="pl-PL"/>
        </w:rPr>
        <w:t xml:space="preserve"> (</w:t>
      </w:r>
      <w:r w:rsidR="003071E4" w:rsidRPr="000702B6">
        <w:rPr>
          <w:rFonts w:ascii="Times New Roman" w:hAnsi="Times New Roman" w:cs="Times New Roman"/>
          <w:lang w:val="pl-PL"/>
        </w:rPr>
        <w:t>zobacz paragraf</w:t>
      </w:r>
      <w:r w:rsidR="00A220C6" w:rsidRPr="000702B6">
        <w:rPr>
          <w:rFonts w:ascii="Times New Roman" w:hAnsi="Times New Roman" w:cs="Times New Roman"/>
          <w:lang w:val="pl-PL"/>
        </w:rPr>
        <w:t xml:space="preserve"> </w:t>
      </w:r>
      <w:r w:rsidR="00B23BBD" w:rsidRPr="000702B6">
        <w:rPr>
          <w:rFonts w:ascii="Times New Roman" w:hAnsi="Times New Roman" w:cs="Times New Roman"/>
          <w:noProof/>
          <w:lang w:val="pl-PL"/>
        </w:rPr>
        <w:t>40</w:t>
      </w:r>
      <w:r w:rsidR="00A220C6" w:rsidRPr="000702B6">
        <w:rPr>
          <w:rFonts w:ascii="Times New Roman" w:hAnsi="Times New Roman" w:cs="Times New Roman"/>
          <w:lang w:val="pl-PL"/>
        </w:rPr>
        <w:t xml:space="preserve"> </w:t>
      </w:r>
      <w:r w:rsidR="003071E4" w:rsidRPr="000702B6">
        <w:rPr>
          <w:rFonts w:ascii="Times New Roman" w:hAnsi="Times New Roman" w:cs="Times New Roman"/>
          <w:lang w:val="pl-PL"/>
        </w:rPr>
        <w:t>powyżej</w:t>
      </w:r>
      <w:r w:rsidR="00CC1799" w:rsidRPr="000702B6">
        <w:rPr>
          <w:rFonts w:ascii="Times New Roman" w:hAnsi="Times New Roman" w:cs="Times New Roman"/>
          <w:lang w:val="pl-PL"/>
        </w:rPr>
        <w:t xml:space="preserve">), </w:t>
      </w:r>
      <w:r w:rsidR="00C756F4" w:rsidRPr="000702B6">
        <w:rPr>
          <w:rFonts w:ascii="Times New Roman" w:hAnsi="Times New Roman" w:cs="Times New Roman"/>
          <w:lang w:val="pl-PL"/>
        </w:rPr>
        <w:t xml:space="preserve">udzieliły zezwolenia </w:t>
      </w:r>
      <w:r w:rsidR="00CC1799" w:rsidRPr="000702B6">
        <w:rPr>
          <w:rFonts w:ascii="Times New Roman" w:hAnsi="Times New Roman" w:cs="Times New Roman"/>
          <w:lang w:val="pl-PL"/>
        </w:rPr>
        <w:t>na wniosek</w:t>
      </w:r>
      <w:r w:rsidR="00C756F4" w:rsidRPr="000702B6">
        <w:rPr>
          <w:rFonts w:ascii="Times New Roman" w:hAnsi="Times New Roman" w:cs="Times New Roman"/>
          <w:lang w:val="pl-PL"/>
        </w:rPr>
        <w:t xml:space="preserve"> </w:t>
      </w:r>
      <w:r w:rsidR="00CC1799" w:rsidRPr="000702B6">
        <w:rPr>
          <w:rFonts w:ascii="Times New Roman" w:hAnsi="Times New Roman" w:cs="Times New Roman"/>
          <w:lang w:val="pl-PL"/>
        </w:rPr>
        <w:t xml:space="preserve">osób </w:t>
      </w:r>
      <w:r w:rsidR="000702B6" w:rsidRPr="000702B6">
        <w:rPr>
          <w:rFonts w:ascii="Times New Roman" w:hAnsi="Times New Roman" w:cs="Times New Roman"/>
          <w:lang w:val="pl-PL"/>
        </w:rPr>
        <w:t>zniesławionych</w:t>
      </w:r>
      <w:r w:rsidR="003071E4" w:rsidRPr="000702B6">
        <w:rPr>
          <w:rFonts w:ascii="Times New Roman" w:hAnsi="Times New Roman" w:cs="Times New Roman"/>
          <w:lang w:val="pl-PL"/>
        </w:rPr>
        <w:t xml:space="preserve"> do ujawn</w:t>
      </w:r>
      <w:r w:rsidR="00C756F4" w:rsidRPr="000702B6">
        <w:rPr>
          <w:rFonts w:ascii="Times New Roman" w:hAnsi="Times New Roman" w:cs="Times New Roman"/>
          <w:lang w:val="pl-PL"/>
        </w:rPr>
        <w:t>ienia przez gazety internetowe lub portale</w:t>
      </w:r>
      <w:r w:rsidR="003071E4" w:rsidRPr="000702B6">
        <w:rPr>
          <w:rFonts w:ascii="Times New Roman" w:hAnsi="Times New Roman" w:cs="Times New Roman"/>
          <w:lang w:val="pl-PL"/>
        </w:rPr>
        <w:t xml:space="preserve"> informacyjn</w:t>
      </w:r>
      <w:r w:rsidR="00C756F4" w:rsidRPr="000702B6">
        <w:rPr>
          <w:rFonts w:ascii="Times New Roman" w:hAnsi="Times New Roman" w:cs="Times New Roman"/>
          <w:lang w:val="pl-PL"/>
        </w:rPr>
        <w:t>e adresów</w:t>
      </w:r>
      <w:r w:rsidR="003071E4" w:rsidRPr="000702B6">
        <w:rPr>
          <w:rFonts w:ascii="Times New Roman" w:hAnsi="Times New Roman" w:cs="Times New Roman"/>
          <w:lang w:val="pl-PL"/>
        </w:rPr>
        <w:t xml:space="preserve"> IP autorów, którzy napisa</w:t>
      </w:r>
      <w:r w:rsidR="00C756F4" w:rsidRPr="000702B6">
        <w:rPr>
          <w:rFonts w:ascii="Times New Roman" w:hAnsi="Times New Roman" w:cs="Times New Roman"/>
          <w:lang w:val="pl-PL"/>
        </w:rPr>
        <w:t>li</w:t>
      </w:r>
      <w:r w:rsidR="003071E4" w:rsidRPr="000702B6">
        <w:rPr>
          <w:rFonts w:ascii="Times New Roman" w:hAnsi="Times New Roman" w:cs="Times New Roman"/>
          <w:lang w:val="pl-PL"/>
        </w:rPr>
        <w:t xml:space="preserve"> rzekomo zniesławiając</w:t>
      </w:r>
      <w:r w:rsidR="00C756F4" w:rsidRPr="000702B6">
        <w:rPr>
          <w:rFonts w:ascii="Times New Roman" w:hAnsi="Times New Roman" w:cs="Times New Roman"/>
          <w:lang w:val="pl-PL"/>
        </w:rPr>
        <w:t xml:space="preserve">e </w:t>
      </w:r>
      <w:r w:rsidR="003071E4" w:rsidRPr="000702B6">
        <w:rPr>
          <w:rFonts w:ascii="Times New Roman" w:hAnsi="Times New Roman" w:cs="Times New Roman"/>
          <w:lang w:val="pl-PL"/>
        </w:rPr>
        <w:t>komentarz</w:t>
      </w:r>
      <w:r w:rsidR="00C756F4" w:rsidRPr="000702B6">
        <w:rPr>
          <w:rFonts w:ascii="Times New Roman" w:hAnsi="Times New Roman" w:cs="Times New Roman"/>
          <w:lang w:val="pl-PL"/>
        </w:rPr>
        <w:t>e</w:t>
      </w:r>
      <w:r w:rsidR="003071E4" w:rsidRPr="000702B6">
        <w:rPr>
          <w:rFonts w:ascii="Times New Roman" w:hAnsi="Times New Roman" w:cs="Times New Roman"/>
          <w:lang w:val="pl-PL"/>
        </w:rPr>
        <w:t xml:space="preserve"> oraz ujawni</w:t>
      </w:r>
      <w:r w:rsidR="00C756F4" w:rsidRPr="000702B6">
        <w:rPr>
          <w:rFonts w:ascii="Times New Roman" w:hAnsi="Times New Roman" w:cs="Times New Roman"/>
          <w:lang w:val="pl-PL"/>
        </w:rPr>
        <w:t>enia</w:t>
      </w:r>
      <w:r w:rsidR="003071E4" w:rsidRPr="000702B6">
        <w:rPr>
          <w:rFonts w:ascii="Times New Roman" w:hAnsi="Times New Roman" w:cs="Times New Roman"/>
          <w:lang w:val="pl-PL"/>
        </w:rPr>
        <w:t xml:space="preserve"> przez dostawców dost</w:t>
      </w:r>
      <w:r w:rsidR="00C756F4" w:rsidRPr="000702B6">
        <w:rPr>
          <w:rFonts w:ascii="Times New Roman" w:hAnsi="Times New Roman" w:cs="Times New Roman"/>
          <w:lang w:val="pl-PL"/>
        </w:rPr>
        <w:t>ępu do Internetu</w:t>
      </w:r>
      <w:r w:rsidR="003071E4" w:rsidRPr="000702B6">
        <w:rPr>
          <w:rFonts w:ascii="Times New Roman" w:hAnsi="Times New Roman" w:cs="Times New Roman"/>
          <w:lang w:val="pl-PL"/>
        </w:rPr>
        <w:t xml:space="preserve"> </w:t>
      </w:r>
      <w:r w:rsidR="00C756F4" w:rsidRPr="000702B6">
        <w:rPr>
          <w:rFonts w:ascii="Times New Roman" w:hAnsi="Times New Roman" w:cs="Times New Roman"/>
          <w:lang w:val="pl-PL"/>
        </w:rPr>
        <w:t>imion</w:t>
      </w:r>
      <w:r w:rsidR="003071E4" w:rsidRPr="000702B6">
        <w:rPr>
          <w:rFonts w:ascii="Times New Roman" w:hAnsi="Times New Roman" w:cs="Times New Roman"/>
          <w:lang w:val="pl-PL"/>
        </w:rPr>
        <w:t xml:space="preserve"> i adres</w:t>
      </w:r>
      <w:r w:rsidR="00C756F4" w:rsidRPr="000702B6">
        <w:rPr>
          <w:rFonts w:ascii="Times New Roman" w:hAnsi="Times New Roman" w:cs="Times New Roman"/>
          <w:lang w:val="pl-PL"/>
        </w:rPr>
        <w:t xml:space="preserve">ów </w:t>
      </w:r>
      <w:r w:rsidR="003071E4" w:rsidRPr="000702B6">
        <w:rPr>
          <w:rFonts w:ascii="Times New Roman" w:hAnsi="Times New Roman" w:cs="Times New Roman"/>
          <w:lang w:val="pl-PL"/>
        </w:rPr>
        <w:t xml:space="preserve">abonentów, do których </w:t>
      </w:r>
      <w:r w:rsidR="00C756F4" w:rsidRPr="000702B6">
        <w:rPr>
          <w:rFonts w:ascii="Times New Roman" w:hAnsi="Times New Roman" w:cs="Times New Roman"/>
          <w:lang w:val="pl-PL"/>
        </w:rPr>
        <w:t xml:space="preserve">te </w:t>
      </w:r>
      <w:r w:rsidR="003071E4" w:rsidRPr="000702B6">
        <w:rPr>
          <w:rFonts w:ascii="Times New Roman" w:hAnsi="Times New Roman" w:cs="Times New Roman"/>
          <w:lang w:val="pl-PL"/>
        </w:rPr>
        <w:t xml:space="preserve">adresy IP </w:t>
      </w:r>
      <w:r w:rsidR="003071E4" w:rsidRPr="000702B6">
        <w:rPr>
          <w:rFonts w:ascii="Times New Roman" w:hAnsi="Times New Roman" w:cs="Times New Roman"/>
          <w:lang w:val="pl-PL"/>
        </w:rPr>
        <w:lastRenderedPageBreak/>
        <w:t xml:space="preserve">zostały przypisane. Przykłady przedstawione przez rząd pokazują mieszane rezultaty: w niektórych przypadkach </w:t>
      </w:r>
      <w:r w:rsidR="00CC1799" w:rsidRPr="000702B6">
        <w:rPr>
          <w:rFonts w:ascii="Times New Roman" w:hAnsi="Times New Roman" w:cs="Times New Roman"/>
          <w:lang w:val="pl-PL"/>
        </w:rPr>
        <w:t>możliwe okazało się</w:t>
      </w:r>
      <w:r w:rsidR="003071E4" w:rsidRPr="000702B6">
        <w:rPr>
          <w:rFonts w:ascii="Times New Roman" w:hAnsi="Times New Roman" w:cs="Times New Roman"/>
          <w:lang w:val="pl-PL"/>
        </w:rPr>
        <w:t xml:space="preserve"> ustalenie komputera, z którego został</w:t>
      </w:r>
      <w:r w:rsidR="00C756F4" w:rsidRPr="000702B6">
        <w:rPr>
          <w:rFonts w:ascii="Times New Roman" w:hAnsi="Times New Roman" w:cs="Times New Roman"/>
          <w:lang w:val="pl-PL"/>
        </w:rPr>
        <w:t>y wykonane</w:t>
      </w:r>
      <w:r w:rsidR="003071E4" w:rsidRPr="000702B6">
        <w:rPr>
          <w:rFonts w:ascii="Times New Roman" w:hAnsi="Times New Roman" w:cs="Times New Roman"/>
          <w:lang w:val="pl-PL"/>
        </w:rPr>
        <w:t xml:space="preserve"> komentarze, natomiast w innych przypadkach, z różnych powodów technicznych, </w:t>
      </w:r>
      <w:r w:rsidR="00C756F4" w:rsidRPr="000702B6">
        <w:rPr>
          <w:rFonts w:ascii="Times New Roman" w:hAnsi="Times New Roman" w:cs="Times New Roman"/>
          <w:lang w:val="pl-PL"/>
        </w:rPr>
        <w:t xml:space="preserve">okazało się </w:t>
      </w:r>
      <w:r w:rsidR="003071E4" w:rsidRPr="000702B6">
        <w:rPr>
          <w:rFonts w:ascii="Times New Roman" w:hAnsi="Times New Roman" w:cs="Times New Roman"/>
          <w:lang w:val="pl-PL"/>
        </w:rPr>
        <w:t>to niemożliwe</w:t>
      </w:r>
      <w:r w:rsidR="00A220C6" w:rsidRPr="000702B6">
        <w:rPr>
          <w:rFonts w:ascii="Times New Roman" w:hAnsi="Times New Roman" w:cs="Times New Roman"/>
          <w:lang w:val="pl-PL"/>
        </w:rPr>
        <w:t>.</w:t>
      </w:r>
    </w:p>
    <w:p w:rsidR="00A220C6" w:rsidRPr="000702B6" w:rsidRDefault="00DD67A4" w:rsidP="00171A6F">
      <w:pPr>
        <w:pStyle w:val="ECHRPara"/>
        <w:rPr>
          <w:rFonts w:ascii="Times New Roman" w:hAnsi="Times New Roman" w:cs="Times New Roman"/>
          <w:b/>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151</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C756F4" w:rsidRPr="000702B6">
        <w:rPr>
          <w:rFonts w:ascii="Times New Roman" w:hAnsi="Times New Roman" w:cs="Times New Roman"/>
          <w:lang w:val="pl-PL"/>
        </w:rPr>
        <w:t xml:space="preserve">Zgodnie z wyrokiem Sądu Najwyższego w omawianym przypadku, poszkodowany miał wybór wniesienia </w:t>
      </w:r>
      <w:r w:rsidR="00CC1799" w:rsidRPr="000702B6">
        <w:rPr>
          <w:rFonts w:ascii="Times New Roman" w:hAnsi="Times New Roman" w:cs="Times New Roman"/>
          <w:lang w:val="pl-PL"/>
        </w:rPr>
        <w:t>powództwa</w:t>
      </w:r>
      <w:r w:rsidR="00C756F4" w:rsidRPr="000702B6">
        <w:rPr>
          <w:rFonts w:ascii="Times New Roman" w:hAnsi="Times New Roman" w:cs="Times New Roman"/>
          <w:lang w:val="pl-PL"/>
        </w:rPr>
        <w:t xml:space="preserve"> przeciwko skarżącej spółce lub autorom komentarzy. Trybunał uważa, że ​​niepewną skuteczność środków umożliwiających identyfikację autorów komentarzy</w:t>
      </w:r>
      <w:r w:rsidR="00EA70C6">
        <w:rPr>
          <w:rFonts w:ascii="Times New Roman" w:hAnsi="Times New Roman" w:cs="Times New Roman"/>
          <w:lang w:val="pl-PL"/>
        </w:rPr>
        <w:t>,</w:t>
      </w:r>
      <w:r w:rsidR="00C756F4" w:rsidRPr="000702B6">
        <w:rPr>
          <w:rFonts w:ascii="Times New Roman" w:hAnsi="Times New Roman" w:cs="Times New Roman"/>
          <w:lang w:val="pl-PL"/>
        </w:rPr>
        <w:t xml:space="preserve"> w połączeniu z brakiem instrumentów wprowadzonych przez skarżącą spółkę w celu umo</w:t>
      </w:r>
      <w:r w:rsidR="00CC1799" w:rsidRPr="000702B6">
        <w:rPr>
          <w:rFonts w:ascii="Times New Roman" w:hAnsi="Times New Roman" w:cs="Times New Roman"/>
          <w:lang w:val="pl-PL"/>
        </w:rPr>
        <w:t xml:space="preserve">żliwienia </w:t>
      </w:r>
      <w:r w:rsidR="000702B6" w:rsidRPr="000702B6">
        <w:rPr>
          <w:rFonts w:ascii="Times New Roman" w:hAnsi="Times New Roman" w:cs="Times New Roman"/>
          <w:lang w:val="pl-PL"/>
        </w:rPr>
        <w:t>ofierze</w:t>
      </w:r>
      <w:r w:rsidR="00CC1799" w:rsidRPr="000702B6">
        <w:rPr>
          <w:rFonts w:ascii="Times New Roman" w:hAnsi="Times New Roman" w:cs="Times New Roman"/>
          <w:lang w:val="pl-PL"/>
        </w:rPr>
        <w:t xml:space="preserve"> mowy nienawiści skutecznego</w:t>
      </w:r>
      <w:r w:rsidR="00C756F4" w:rsidRPr="000702B6">
        <w:rPr>
          <w:rFonts w:ascii="Times New Roman" w:hAnsi="Times New Roman" w:cs="Times New Roman"/>
          <w:lang w:val="pl-PL"/>
        </w:rPr>
        <w:t xml:space="preserve"> wniesienie </w:t>
      </w:r>
      <w:r w:rsidR="00CC1799" w:rsidRPr="000702B6">
        <w:rPr>
          <w:rFonts w:ascii="Times New Roman" w:hAnsi="Times New Roman" w:cs="Times New Roman"/>
          <w:lang w:val="pl-PL"/>
        </w:rPr>
        <w:t>powództwa</w:t>
      </w:r>
      <w:r w:rsidR="00C756F4" w:rsidRPr="000702B6">
        <w:rPr>
          <w:rFonts w:ascii="Times New Roman" w:hAnsi="Times New Roman" w:cs="Times New Roman"/>
          <w:lang w:val="pl-PL"/>
        </w:rPr>
        <w:t xml:space="preserve"> wobec autorów komentarzy, </w:t>
      </w:r>
      <w:r w:rsidR="00C32440" w:rsidRPr="000702B6">
        <w:rPr>
          <w:rFonts w:ascii="Times New Roman" w:hAnsi="Times New Roman" w:cs="Times New Roman"/>
          <w:lang w:val="pl-PL"/>
        </w:rPr>
        <w:t>stanowią</w:t>
      </w:r>
      <w:r w:rsidR="00C32440">
        <w:rPr>
          <w:rFonts w:ascii="Times New Roman" w:hAnsi="Times New Roman" w:cs="Times New Roman"/>
          <w:color w:val="FF0000"/>
          <w:lang w:val="pl-PL"/>
        </w:rPr>
        <w:t xml:space="preserve"> </w:t>
      </w:r>
      <w:r w:rsidR="00C32440" w:rsidRPr="000702B6">
        <w:rPr>
          <w:rFonts w:ascii="Times New Roman" w:hAnsi="Times New Roman" w:cs="Times New Roman"/>
          <w:lang w:val="pl-PL"/>
        </w:rPr>
        <w:t xml:space="preserve">czynniki, </w:t>
      </w:r>
      <w:r w:rsidR="00C756F4" w:rsidRPr="000702B6">
        <w:rPr>
          <w:rFonts w:ascii="Times New Roman" w:hAnsi="Times New Roman" w:cs="Times New Roman"/>
          <w:lang w:val="pl-PL"/>
        </w:rPr>
        <w:t>które pozwalają stwierdzić, że Sąd Najwyższy oparł swe rozstrzygnięcie na odpowiednich i wystarczających podstawach. Trybunał również odnosi się w tym kontekście do wyroku</w:t>
      </w:r>
      <w:r w:rsidR="00C756F4" w:rsidRPr="000702B6">
        <w:rPr>
          <w:rFonts w:ascii="Times New Roman" w:hAnsi="Times New Roman" w:cs="Times New Roman"/>
          <w:szCs w:val="24"/>
          <w:lang w:val="pl-PL"/>
        </w:rPr>
        <w:t xml:space="preserve"> </w:t>
      </w:r>
      <w:proofErr w:type="spellStart"/>
      <w:r w:rsidR="00A220C6" w:rsidRPr="000702B6">
        <w:rPr>
          <w:rFonts w:ascii="Times New Roman" w:hAnsi="Times New Roman" w:cs="Times New Roman"/>
          <w:i/>
          <w:szCs w:val="24"/>
          <w:lang w:val="pl-PL"/>
        </w:rPr>
        <w:t>Krone</w:t>
      </w:r>
      <w:proofErr w:type="spellEnd"/>
      <w:r w:rsidR="00A220C6" w:rsidRPr="000702B6">
        <w:rPr>
          <w:rFonts w:ascii="Times New Roman" w:hAnsi="Times New Roman" w:cs="Times New Roman"/>
          <w:i/>
          <w:szCs w:val="24"/>
          <w:lang w:val="pl-PL"/>
        </w:rPr>
        <w:t xml:space="preserve"> </w:t>
      </w:r>
      <w:proofErr w:type="spellStart"/>
      <w:r w:rsidR="00A220C6" w:rsidRPr="000702B6">
        <w:rPr>
          <w:rFonts w:ascii="Times New Roman" w:hAnsi="Times New Roman" w:cs="Times New Roman"/>
          <w:i/>
          <w:szCs w:val="24"/>
          <w:lang w:val="pl-PL"/>
        </w:rPr>
        <w:t>Verlag</w:t>
      </w:r>
      <w:proofErr w:type="spellEnd"/>
      <w:r w:rsidR="00A220C6" w:rsidRPr="000702B6">
        <w:rPr>
          <w:rFonts w:ascii="Times New Roman" w:hAnsi="Times New Roman" w:cs="Times New Roman"/>
          <w:i/>
          <w:szCs w:val="24"/>
          <w:lang w:val="pl-PL"/>
        </w:rPr>
        <w:t xml:space="preserve"> (n</w:t>
      </w:r>
      <w:r w:rsidR="00C756F4" w:rsidRPr="000702B6">
        <w:rPr>
          <w:rFonts w:ascii="Times New Roman" w:hAnsi="Times New Roman" w:cs="Times New Roman"/>
          <w:i/>
          <w:szCs w:val="24"/>
          <w:lang w:val="pl-PL"/>
        </w:rPr>
        <w:t>r</w:t>
      </w:r>
      <w:r w:rsidR="00A220C6" w:rsidRPr="000702B6">
        <w:rPr>
          <w:rFonts w:ascii="Times New Roman" w:hAnsi="Times New Roman" w:cs="Times New Roman"/>
          <w:i/>
          <w:szCs w:val="24"/>
          <w:lang w:val="pl-PL"/>
        </w:rPr>
        <w:t xml:space="preserve"> 4) </w:t>
      </w:r>
      <w:r w:rsidR="00C756F4" w:rsidRPr="000702B6">
        <w:rPr>
          <w:rFonts w:ascii="Times New Roman" w:hAnsi="Times New Roman" w:cs="Times New Roman"/>
          <w:szCs w:val="24"/>
          <w:lang w:val="pl-PL"/>
        </w:rPr>
        <w:t>w którym stwierdził, że przeniesienie ryzyka osoby zniesławionej otrzymującej odszkodowanie w postępowaniu o zniesławienie</w:t>
      </w:r>
      <w:r w:rsidR="00BC1908" w:rsidRPr="000702B6">
        <w:rPr>
          <w:rFonts w:ascii="Times New Roman" w:hAnsi="Times New Roman" w:cs="Times New Roman"/>
          <w:szCs w:val="24"/>
          <w:lang w:val="pl-PL"/>
        </w:rPr>
        <w:t xml:space="preserve"> od </w:t>
      </w:r>
      <w:r w:rsidR="00C32440" w:rsidRPr="000702B6">
        <w:rPr>
          <w:rFonts w:ascii="Times New Roman" w:hAnsi="Times New Roman" w:cs="Times New Roman"/>
          <w:szCs w:val="24"/>
          <w:lang w:val="pl-PL"/>
        </w:rPr>
        <w:t>firmy świadczącej usługi medialnej</w:t>
      </w:r>
      <w:r w:rsidR="00C756F4" w:rsidRPr="000702B6">
        <w:rPr>
          <w:rFonts w:ascii="Times New Roman" w:hAnsi="Times New Roman" w:cs="Times New Roman"/>
          <w:szCs w:val="24"/>
          <w:lang w:val="pl-PL"/>
        </w:rPr>
        <w:t>, która była zazwyczaj w lepszej sytuacji</w:t>
      </w:r>
      <w:r w:rsidR="00C32440" w:rsidRPr="000702B6">
        <w:rPr>
          <w:rFonts w:ascii="Times New Roman" w:hAnsi="Times New Roman" w:cs="Times New Roman"/>
          <w:szCs w:val="24"/>
          <w:lang w:val="pl-PL"/>
        </w:rPr>
        <w:t xml:space="preserve"> finansowej niż zniesławiający,</w:t>
      </w:r>
      <w:r w:rsidR="00C756F4" w:rsidRPr="000702B6">
        <w:rPr>
          <w:rFonts w:ascii="Times New Roman" w:hAnsi="Times New Roman" w:cs="Times New Roman"/>
          <w:szCs w:val="24"/>
          <w:lang w:val="pl-PL"/>
        </w:rPr>
        <w:t xml:space="preserve"> nie było tak nieproporcjonalną ingerencją w prawo </w:t>
      </w:r>
      <w:r w:rsidR="00C32440" w:rsidRPr="000702B6">
        <w:rPr>
          <w:rFonts w:ascii="Times New Roman" w:hAnsi="Times New Roman" w:cs="Times New Roman"/>
          <w:szCs w:val="24"/>
          <w:lang w:val="pl-PL"/>
        </w:rPr>
        <w:t>firmy świadczącej usługi medialne</w:t>
      </w:r>
      <w:r w:rsidR="00C756F4" w:rsidRPr="000702B6">
        <w:rPr>
          <w:rFonts w:ascii="Times New Roman" w:hAnsi="Times New Roman" w:cs="Times New Roman"/>
          <w:szCs w:val="24"/>
          <w:lang w:val="pl-PL"/>
        </w:rPr>
        <w:t xml:space="preserve"> do wolności wypowiedzi </w:t>
      </w:r>
      <w:r w:rsidR="00A220C6" w:rsidRPr="000702B6">
        <w:rPr>
          <w:rFonts w:ascii="Times New Roman" w:hAnsi="Times New Roman" w:cs="Times New Roman"/>
          <w:szCs w:val="24"/>
          <w:lang w:val="pl-PL"/>
        </w:rPr>
        <w:t>(</w:t>
      </w:r>
      <w:r w:rsidR="00BC1908" w:rsidRPr="000702B6">
        <w:rPr>
          <w:rFonts w:ascii="Times New Roman" w:hAnsi="Times New Roman" w:cs="Times New Roman"/>
          <w:szCs w:val="24"/>
          <w:lang w:val="pl-PL"/>
        </w:rPr>
        <w:t>zobacz</w:t>
      </w:r>
      <w:r w:rsidR="00A220C6" w:rsidRPr="000702B6">
        <w:rPr>
          <w:rFonts w:ascii="Times New Roman" w:hAnsi="Times New Roman" w:cs="Times New Roman"/>
          <w:szCs w:val="24"/>
          <w:lang w:val="pl-PL"/>
        </w:rPr>
        <w:t xml:space="preserve"> </w:t>
      </w:r>
      <w:proofErr w:type="spellStart"/>
      <w:r w:rsidR="00A220C6" w:rsidRPr="000702B6">
        <w:rPr>
          <w:rFonts w:ascii="Times New Roman" w:hAnsi="Times New Roman" w:cs="Times New Roman"/>
          <w:i/>
          <w:szCs w:val="24"/>
          <w:lang w:val="pl-PL"/>
        </w:rPr>
        <w:t>Krone</w:t>
      </w:r>
      <w:proofErr w:type="spellEnd"/>
      <w:r w:rsidR="00A220C6" w:rsidRPr="000702B6">
        <w:rPr>
          <w:rFonts w:ascii="Times New Roman" w:hAnsi="Times New Roman" w:cs="Times New Roman"/>
          <w:i/>
          <w:szCs w:val="24"/>
          <w:lang w:val="pl-PL"/>
        </w:rPr>
        <w:t xml:space="preserve"> </w:t>
      </w:r>
      <w:proofErr w:type="spellStart"/>
      <w:r w:rsidR="00A220C6" w:rsidRPr="000702B6">
        <w:rPr>
          <w:rFonts w:ascii="Times New Roman" w:hAnsi="Times New Roman" w:cs="Times New Roman"/>
          <w:i/>
          <w:szCs w:val="24"/>
          <w:lang w:val="pl-PL"/>
        </w:rPr>
        <w:t>Verlags</w:t>
      </w:r>
      <w:proofErr w:type="spellEnd"/>
      <w:r w:rsidR="00A220C6" w:rsidRPr="000702B6">
        <w:rPr>
          <w:rFonts w:ascii="Times New Roman" w:hAnsi="Times New Roman" w:cs="Times New Roman"/>
          <w:i/>
          <w:szCs w:val="24"/>
          <w:lang w:val="pl-PL"/>
        </w:rPr>
        <w:t> GmbH &amp; Co. </w:t>
      </w:r>
      <w:r w:rsidR="00BC1908" w:rsidRPr="000702B6">
        <w:rPr>
          <w:rFonts w:ascii="Times New Roman" w:hAnsi="Times New Roman" w:cs="Times New Roman"/>
          <w:i/>
          <w:szCs w:val="24"/>
          <w:lang w:val="pl-PL"/>
        </w:rPr>
        <w:t>KG przeciwko Austrii (nr</w:t>
      </w:r>
      <w:r w:rsidR="00A220C6" w:rsidRPr="000702B6">
        <w:rPr>
          <w:rFonts w:ascii="Times New Roman" w:hAnsi="Times New Roman" w:cs="Times New Roman"/>
          <w:i/>
          <w:szCs w:val="24"/>
          <w:lang w:val="pl-PL"/>
        </w:rPr>
        <w:t xml:space="preserve"> 4)</w:t>
      </w:r>
      <w:r w:rsidR="00BC1908" w:rsidRPr="000702B6">
        <w:rPr>
          <w:rFonts w:ascii="Times New Roman" w:hAnsi="Times New Roman" w:cs="Times New Roman"/>
          <w:szCs w:val="24"/>
          <w:lang w:val="pl-PL"/>
        </w:rPr>
        <w:t>, nr</w:t>
      </w:r>
      <w:r w:rsidR="00A220C6" w:rsidRPr="000702B6">
        <w:rPr>
          <w:rFonts w:ascii="Times New Roman" w:hAnsi="Times New Roman" w:cs="Times New Roman"/>
          <w:szCs w:val="24"/>
          <w:lang w:val="pl-PL"/>
        </w:rPr>
        <w:t xml:space="preserve"> 72331/01, § 32, 9 </w:t>
      </w:r>
      <w:r w:rsidR="00BC1908" w:rsidRPr="000702B6">
        <w:rPr>
          <w:rFonts w:ascii="Times New Roman" w:hAnsi="Times New Roman" w:cs="Times New Roman"/>
          <w:szCs w:val="24"/>
          <w:lang w:val="pl-PL"/>
        </w:rPr>
        <w:t>Listopada</w:t>
      </w:r>
      <w:r w:rsidR="00A220C6" w:rsidRPr="000702B6">
        <w:rPr>
          <w:rFonts w:ascii="Times New Roman" w:hAnsi="Times New Roman" w:cs="Times New Roman"/>
          <w:szCs w:val="24"/>
          <w:lang w:val="pl-PL"/>
        </w:rPr>
        <w:t xml:space="preserve"> 2006</w:t>
      </w:r>
      <w:r w:rsidR="00BC1908" w:rsidRPr="000702B6">
        <w:rPr>
          <w:rFonts w:ascii="Times New Roman" w:hAnsi="Times New Roman" w:cs="Times New Roman"/>
          <w:szCs w:val="24"/>
          <w:lang w:val="pl-PL"/>
        </w:rPr>
        <w:t xml:space="preserve"> roku</w:t>
      </w:r>
      <w:r w:rsidR="00A220C6" w:rsidRPr="000702B6">
        <w:rPr>
          <w:rFonts w:ascii="Times New Roman" w:hAnsi="Times New Roman" w:cs="Times New Roman"/>
          <w:szCs w:val="24"/>
          <w:lang w:val="pl-PL"/>
        </w:rPr>
        <w:t>).</w:t>
      </w:r>
    </w:p>
    <w:p w:rsidR="00A220C6" w:rsidRPr="000702B6" w:rsidRDefault="00177D81" w:rsidP="00171A6F">
      <w:pPr>
        <w:pStyle w:val="ECHRHeading5"/>
        <w:rPr>
          <w:rFonts w:ascii="Times New Roman" w:hAnsi="Times New Roman" w:cs="Times New Roman"/>
          <w:lang w:val="pl-PL"/>
        </w:rPr>
      </w:pPr>
      <w:r w:rsidRPr="000702B6">
        <w:rPr>
          <w:rFonts w:ascii="Times New Roman" w:hAnsi="Times New Roman" w:cs="Times New Roman"/>
          <w:lang w:val="pl-PL"/>
        </w:rPr>
        <w:t>(iv)</w:t>
      </w:r>
      <w:r w:rsidR="00A220C6" w:rsidRPr="000702B6">
        <w:rPr>
          <w:rFonts w:ascii="Times New Roman" w:hAnsi="Times New Roman" w:cs="Times New Roman"/>
          <w:lang w:val="pl-PL"/>
        </w:rPr>
        <w:t> </w:t>
      </w:r>
      <w:r w:rsidR="00BC1908" w:rsidRPr="000702B6">
        <w:rPr>
          <w:rFonts w:ascii="Times New Roman" w:hAnsi="Times New Roman" w:cs="Times New Roman"/>
          <w:lang w:val="pl-PL"/>
        </w:rPr>
        <w:t>Działania podjęte przez skarżącą spółkę</w:t>
      </w:r>
    </w:p>
    <w:p w:rsidR="00B413BF" w:rsidRPr="000702B6"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152</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BC1908" w:rsidRPr="000702B6">
        <w:rPr>
          <w:rFonts w:ascii="Times New Roman" w:hAnsi="Times New Roman" w:cs="Times New Roman"/>
          <w:lang w:val="pl-PL"/>
        </w:rPr>
        <w:t>Trybunał zauważa, że skarżąca spółka podkreśliła szereg komentarzy na każdym artykule na swojej stronie internetowej, a więc miejsca z najbardziej tętniącymi życiem dyskusjami musiały być łatwe do zidentyfikowania przez redakcję portalu</w:t>
      </w:r>
      <w:r w:rsidR="00177D81" w:rsidRPr="000702B6">
        <w:rPr>
          <w:rFonts w:ascii="Times New Roman" w:hAnsi="Times New Roman" w:cs="Times New Roman"/>
          <w:lang w:val="pl-PL"/>
        </w:rPr>
        <w:t xml:space="preserve"> informacyjnego. </w:t>
      </w:r>
      <w:r w:rsidR="00C32440" w:rsidRPr="000702B6">
        <w:rPr>
          <w:rFonts w:ascii="Times New Roman" w:hAnsi="Times New Roman" w:cs="Times New Roman"/>
          <w:lang w:val="pl-PL"/>
        </w:rPr>
        <w:t>Sporny artykuł</w:t>
      </w:r>
      <w:r w:rsidR="00BC1908" w:rsidRPr="000702B6">
        <w:rPr>
          <w:rFonts w:ascii="Times New Roman" w:hAnsi="Times New Roman" w:cs="Times New Roman"/>
          <w:lang w:val="pl-PL"/>
        </w:rPr>
        <w:t xml:space="preserve"> w niniejszej sprawie przyciągnął 185 komentarzy, podobno znacznie powyżej średniej. Te komentarze zostały usunięte przez skarżącą spółkę około sześciu tygodni po ich przesłaniu na stronę internetową, po otrzymaniu powiadomienia </w:t>
      </w:r>
      <w:r w:rsidR="00C32440" w:rsidRPr="000702B6">
        <w:rPr>
          <w:rFonts w:ascii="Times New Roman" w:hAnsi="Times New Roman" w:cs="Times New Roman"/>
          <w:lang w:val="pl-PL"/>
        </w:rPr>
        <w:t xml:space="preserve">przesłanego przez prawników pokrzywdzonego </w:t>
      </w:r>
      <w:r w:rsidR="00BC1908" w:rsidRPr="000702B6">
        <w:rPr>
          <w:rFonts w:ascii="Times New Roman" w:hAnsi="Times New Roman" w:cs="Times New Roman"/>
          <w:lang w:val="pl-PL"/>
        </w:rPr>
        <w:t>skarżącej s</w:t>
      </w:r>
      <w:r w:rsidR="00C32440" w:rsidRPr="000702B6">
        <w:rPr>
          <w:rFonts w:ascii="Times New Roman" w:hAnsi="Times New Roman" w:cs="Times New Roman"/>
          <w:lang w:val="pl-PL"/>
        </w:rPr>
        <w:t>półce</w:t>
      </w:r>
      <w:r w:rsidR="00BC1908" w:rsidRPr="000702B6">
        <w:rPr>
          <w:rFonts w:ascii="Times New Roman" w:hAnsi="Times New Roman" w:cs="Times New Roman"/>
          <w:lang w:val="pl-PL"/>
        </w:rPr>
        <w:t xml:space="preserve"> </w:t>
      </w:r>
      <w:r w:rsidR="00A220C6" w:rsidRPr="000702B6">
        <w:rPr>
          <w:rFonts w:ascii="Times New Roman" w:hAnsi="Times New Roman" w:cs="Times New Roman"/>
          <w:lang w:val="pl-PL"/>
        </w:rPr>
        <w:t>(</w:t>
      </w:r>
      <w:r w:rsidR="00BC1908" w:rsidRPr="000702B6">
        <w:rPr>
          <w:rFonts w:ascii="Times New Roman" w:hAnsi="Times New Roman" w:cs="Times New Roman"/>
          <w:lang w:val="pl-PL"/>
        </w:rPr>
        <w:t>zobacz</w:t>
      </w:r>
      <w:r w:rsidR="00A220C6" w:rsidRPr="000702B6">
        <w:rPr>
          <w:rFonts w:ascii="Times New Roman" w:hAnsi="Times New Roman" w:cs="Times New Roman"/>
          <w:lang w:val="pl-PL"/>
        </w:rPr>
        <w:t xml:space="preserve"> </w:t>
      </w:r>
      <w:r w:rsidR="00BC1908" w:rsidRPr="000702B6">
        <w:rPr>
          <w:rFonts w:ascii="Times New Roman" w:hAnsi="Times New Roman" w:cs="Times New Roman"/>
          <w:lang w:val="pl-PL"/>
        </w:rPr>
        <w:t>paragrafy od</w:t>
      </w:r>
      <w:r w:rsidR="00A220C6" w:rsidRPr="000702B6">
        <w:rPr>
          <w:rFonts w:ascii="Times New Roman" w:hAnsi="Times New Roman" w:cs="Times New Roman"/>
          <w:lang w:val="pl-PL"/>
        </w:rPr>
        <w:t xml:space="preserve"> </w:t>
      </w:r>
      <w:r w:rsidR="00B23BBD" w:rsidRPr="000702B6">
        <w:rPr>
          <w:rFonts w:ascii="Times New Roman" w:hAnsi="Times New Roman" w:cs="Times New Roman"/>
          <w:noProof/>
          <w:lang w:val="pl-PL"/>
        </w:rPr>
        <w:t>17</w:t>
      </w:r>
      <w:r w:rsidR="00BC1908" w:rsidRPr="000702B6">
        <w:rPr>
          <w:rFonts w:ascii="Times New Roman" w:hAnsi="Times New Roman" w:cs="Times New Roman"/>
          <w:lang w:val="pl-PL"/>
        </w:rPr>
        <w:t xml:space="preserve"> do</w:t>
      </w:r>
      <w:r w:rsidR="00A220C6" w:rsidRPr="000702B6">
        <w:rPr>
          <w:rFonts w:ascii="Times New Roman" w:hAnsi="Times New Roman" w:cs="Times New Roman"/>
          <w:lang w:val="pl-PL"/>
        </w:rPr>
        <w:t xml:space="preserve"> </w:t>
      </w:r>
      <w:r w:rsidR="00B23BBD" w:rsidRPr="000702B6">
        <w:rPr>
          <w:rFonts w:ascii="Times New Roman" w:hAnsi="Times New Roman" w:cs="Times New Roman"/>
          <w:noProof/>
          <w:lang w:val="pl-PL"/>
        </w:rPr>
        <w:t>19</w:t>
      </w:r>
      <w:r w:rsidR="00A220C6" w:rsidRPr="000702B6">
        <w:rPr>
          <w:rFonts w:ascii="Times New Roman" w:hAnsi="Times New Roman" w:cs="Times New Roman"/>
          <w:lang w:val="pl-PL"/>
        </w:rPr>
        <w:t xml:space="preserve"> </w:t>
      </w:r>
      <w:r w:rsidR="00BC1908" w:rsidRPr="000702B6">
        <w:rPr>
          <w:rFonts w:ascii="Times New Roman" w:hAnsi="Times New Roman" w:cs="Times New Roman"/>
          <w:lang w:val="pl-PL"/>
        </w:rPr>
        <w:t>powyżej</w:t>
      </w:r>
      <w:r w:rsidR="00A220C6" w:rsidRPr="000702B6">
        <w:rPr>
          <w:rFonts w:ascii="Times New Roman" w:hAnsi="Times New Roman" w:cs="Times New Roman"/>
          <w:lang w:val="pl-PL"/>
        </w:rPr>
        <w:t>).</w:t>
      </w:r>
    </w:p>
    <w:p w:rsidR="00B413BF" w:rsidRPr="000702B6" w:rsidRDefault="00DD67A4" w:rsidP="00171A6F">
      <w:pPr>
        <w:pStyle w:val="ECHRPara"/>
        <w:rPr>
          <w:rFonts w:ascii="Times New Roman" w:hAnsi="Times New Roman" w:cs="Times New Roman"/>
          <w:szCs w:val="24"/>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153</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BC1908" w:rsidRPr="000702B6">
        <w:rPr>
          <w:rFonts w:ascii="Times New Roman" w:hAnsi="Times New Roman" w:cs="Times New Roman"/>
          <w:szCs w:val="24"/>
          <w:lang w:val="pl-PL"/>
        </w:rPr>
        <w:t>Trybunał zauważa, że ​​Sąd Najwyższy stwierdził w swoim wyroku, że “[n]a</w:t>
      </w:r>
      <w:r w:rsidR="00A220C6" w:rsidRPr="000702B6">
        <w:rPr>
          <w:rFonts w:ascii="Times New Roman" w:hAnsi="Times New Roman" w:cs="Times New Roman"/>
          <w:szCs w:val="24"/>
          <w:lang w:val="pl-PL"/>
        </w:rPr>
        <w:t xml:space="preserve"> </w:t>
      </w:r>
      <w:r w:rsidR="00C32440" w:rsidRPr="000702B6">
        <w:rPr>
          <w:rFonts w:ascii="Times New Roman" w:hAnsi="Times New Roman" w:cs="Times New Roman"/>
          <w:szCs w:val="24"/>
          <w:lang w:val="pl-PL"/>
        </w:rPr>
        <w:t>poczet</w:t>
      </w:r>
      <w:r w:rsidR="00BC1908" w:rsidRPr="000702B6">
        <w:rPr>
          <w:rFonts w:ascii="Times New Roman" w:hAnsi="Times New Roman" w:cs="Times New Roman"/>
          <w:szCs w:val="24"/>
          <w:lang w:val="pl-PL"/>
        </w:rPr>
        <w:t xml:space="preserve"> obowiązku wynikającego z przepisów prawa w celu uniknięcia wyrządzenia szkody</w:t>
      </w:r>
      <w:r w:rsidR="00A220C6" w:rsidRPr="000702B6">
        <w:rPr>
          <w:rFonts w:ascii="Times New Roman" w:hAnsi="Times New Roman" w:cs="Times New Roman"/>
          <w:szCs w:val="24"/>
          <w:lang w:val="pl-PL"/>
        </w:rPr>
        <w:t xml:space="preserve"> [</w:t>
      </w:r>
      <w:r w:rsidR="00BC1908" w:rsidRPr="000702B6">
        <w:rPr>
          <w:rFonts w:ascii="Times New Roman" w:hAnsi="Times New Roman" w:cs="Times New Roman"/>
          <w:szCs w:val="24"/>
          <w:lang w:val="pl-PL"/>
        </w:rPr>
        <w:t>skarżąca spółka</w:t>
      </w:r>
      <w:r w:rsidR="00A220C6" w:rsidRPr="000702B6">
        <w:rPr>
          <w:rFonts w:ascii="Times New Roman" w:hAnsi="Times New Roman" w:cs="Times New Roman"/>
          <w:szCs w:val="24"/>
          <w:lang w:val="pl-PL"/>
        </w:rPr>
        <w:t xml:space="preserve">] </w:t>
      </w:r>
      <w:r w:rsidR="00BC1908" w:rsidRPr="000702B6">
        <w:rPr>
          <w:rFonts w:ascii="Times New Roman" w:hAnsi="Times New Roman" w:cs="Times New Roman"/>
          <w:szCs w:val="24"/>
          <w:lang w:val="pl-PL"/>
        </w:rPr>
        <w:t>powinna zapobiec</w:t>
      </w:r>
      <w:r w:rsidR="00BC1908" w:rsidRPr="00B45853">
        <w:rPr>
          <w:rFonts w:ascii="Times New Roman" w:hAnsi="Times New Roman" w:cs="Times New Roman"/>
          <w:szCs w:val="24"/>
          <w:lang w:val="pl-PL"/>
        </w:rPr>
        <w:t xml:space="preserve"> publikacji komentarzy z wyraźnie nielegalnych treści". Jednak stwierdził również, że “[p]o</w:t>
      </w:r>
      <w:r w:rsidR="00A220C6" w:rsidRPr="00B45853">
        <w:rPr>
          <w:rFonts w:ascii="Times New Roman" w:hAnsi="Times New Roman" w:cs="Times New Roman"/>
          <w:szCs w:val="24"/>
          <w:lang w:val="pl-PL"/>
        </w:rPr>
        <w:t xml:space="preserve"> </w:t>
      </w:r>
      <w:r w:rsidR="00BC1908" w:rsidRPr="00B45853">
        <w:rPr>
          <w:rFonts w:ascii="Times New Roman" w:hAnsi="Times New Roman" w:cs="Times New Roman"/>
          <w:szCs w:val="24"/>
          <w:lang w:val="pl-PL"/>
        </w:rPr>
        <w:t>ujawnieniu</w:t>
      </w:r>
      <w:r w:rsidR="00A220C6" w:rsidRPr="00B45853">
        <w:rPr>
          <w:rFonts w:ascii="Times New Roman" w:hAnsi="Times New Roman" w:cs="Times New Roman"/>
          <w:szCs w:val="24"/>
          <w:lang w:val="pl-PL"/>
        </w:rPr>
        <w:t>, [</w:t>
      </w:r>
      <w:r w:rsidR="00BC1908" w:rsidRPr="00B45853">
        <w:rPr>
          <w:rFonts w:ascii="Times New Roman" w:hAnsi="Times New Roman" w:cs="Times New Roman"/>
          <w:szCs w:val="24"/>
          <w:lang w:val="pl-PL"/>
        </w:rPr>
        <w:t>skarżącej spółce</w:t>
      </w:r>
      <w:r w:rsidR="00A220C6" w:rsidRPr="00B45853">
        <w:rPr>
          <w:rFonts w:ascii="Times New Roman" w:hAnsi="Times New Roman" w:cs="Times New Roman"/>
          <w:szCs w:val="24"/>
          <w:lang w:val="pl-PL"/>
        </w:rPr>
        <w:t xml:space="preserve">] </w:t>
      </w:r>
      <w:r w:rsidR="00BC1908" w:rsidRPr="00B45853">
        <w:rPr>
          <w:rFonts w:ascii="Times New Roman" w:hAnsi="Times New Roman" w:cs="Times New Roman"/>
          <w:szCs w:val="24"/>
          <w:lang w:val="pl-PL"/>
        </w:rPr>
        <w:t>n</w:t>
      </w:r>
      <w:r w:rsidR="00F545FD" w:rsidRPr="00B45853">
        <w:rPr>
          <w:rFonts w:ascii="Times New Roman" w:hAnsi="Times New Roman" w:cs="Times New Roman"/>
          <w:szCs w:val="24"/>
          <w:lang w:val="pl-PL"/>
        </w:rPr>
        <w:t>i</w:t>
      </w:r>
      <w:r w:rsidR="00BC1908" w:rsidRPr="00B45853">
        <w:rPr>
          <w:rFonts w:ascii="Times New Roman" w:hAnsi="Times New Roman" w:cs="Times New Roman"/>
          <w:szCs w:val="24"/>
          <w:lang w:val="pl-PL"/>
        </w:rPr>
        <w:t>e udało się usunąć komentarzy</w:t>
      </w:r>
      <w:r w:rsidR="00A220C6" w:rsidRPr="00B45853">
        <w:rPr>
          <w:rFonts w:ascii="Times New Roman" w:hAnsi="Times New Roman" w:cs="Times New Roman"/>
          <w:szCs w:val="24"/>
          <w:lang w:val="pl-PL"/>
        </w:rPr>
        <w:t xml:space="preserve"> – </w:t>
      </w:r>
      <w:r w:rsidR="00AD6898" w:rsidRPr="00B45853">
        <w:rPr>
          <w:rFonts w:ascii="Times New Roman" w:hAnsi="Times New Roman" w:cs="Times New Roman"/>
          <w:szCs w:val="24"/>
          <w:lang w:val="pl-PL"/>
        </w:rPr>
        <w:t>bezprawnej treści</w:t>
      </w:r>
      <w:r w:rsidR="00177D81" w:rsidRPr="00B45853">
        <w:rPr>
          <w:rFonts w:ascii="Times New Roman" w:hAnsi="Times New Roman" w:cs="Times New Roman"/>
          <w:szCs w:val="24"/>
          <w:lang w:val="pl-PL"/>
        </w:rPr>
        <w:t>,</w:t>
      </w:r>
      <w:r w:rsidR="00AD6898" w:rsidRPr="00B45853">
        <w:rPr>
          <w:rFonts w:ascii="Times New Roman" w:hAnsi="Times New Roman" w:cs="Times New Roman"/>
          <w:szCs w:val="24"/>
          <w:lang w:val="pl-PL"/>
        </w:rPr>
        <w:t xml:space="preserve"> której powinni być świadomi</w:t>
      </w:r>
      <w:r w:rsidR="00A220C6" w:rsidRPr="00B45853">
        <w:rPr>
          <w:rFonts w:ascii="Times New Roman" w:hAnsi="Times New Roman" w:cs="Times New Roman"/>
          <w:szCs w:val="24"/>
          <w:lang w:val="pl-PL"/>
        </w:rPr>
        <w:t xml:space="preserve"> – </w:t>
      </w:r>
      <w:r w:rsidR="00AD6898" w:rsidRPr="00B45853">
        <w:rPr>
          <w:rFonts w:ascii="Times New Roman" w:hAnsi="Times New Roman" w:cs="Times New Roman"/>
          <w:szCs w:val="24"/>
          <w:lang w:val="pl-PL"/>
        </w:rPr>
        <w:t>z portalu z własnej inicjatywy</w:t>
      </w:r>
      <w:r w:rsidR="00A220C6" w:rsidRPr="00B45853">
        <w:rPr>
          <w:rFonts w:ascii="Times New Roman" w:hAnsi="Times New Roman" w:cs="Times New Roman"/>
          <w:szCs w:val="24"/>
          <w:lang w:val="pl-PL"/>
        </w:rPr>
        <w:t>” (</w:t>
      </w:r>
      <w:r w:rsidR="00AD6898" w:rsidRPr="00B45853">
        <w:rPr>
          <w:rFonts w:ascii="Times New Roman" w:hAnsi="Times New Roman" w:cs="Times New Roman"/>
          <w:szCs w:val="24"/>
          <w:lang w:val="pl-PL"/>
        </w:rPr>
        <w:t>zobacz</w:t>
      </w:r>
      <w:r w:rsidR="00A220C6" w:rsidRPr="00B45853">
        <w:rPr>
          <w:rFonts w:ascii="Times New Roman" w:hAnsi="Times New Roman" w:cs="Times New Roman"/>
          <w:szCs w:val="24"/>
          <w:lang w:val="pl-PL"/>
        </w:rPr>
        <w:t xml:space="preserve"> § 16 </w:t>
      </w:r>
      <w:r w:rsidR="00AD6898" w:rsidRPr="00B45853">
        <w:rPr>
          <w:rFonts w:ascii="Times New Roman" w:hAnsi="Times New Roman" w:cs="Times New Roman"/>
          <w:szCs w:val="24"/>
          <w:lang w:val="pl-PL"/>
        </w:rPr>
        <w:t>wyroku</w:t>
      </w:r>
      <w:r w:rsidR="00AD6898" w:rsidRPr="000702B6">
        <w:rPr>
          <w:rFonts w:ascii="Times New Roman" w:hAnsi="Times New Roman" w:cs="Times New Roman"/>
          <w:szCs w:val="24"/>
          <w:lang w:val="pl-PL"/>
        </w:rPr>
        <w:t>, jak określono w paragrafie 31 powyżej</w:t>
      </w:r>
      <w:r w:rsidR="00A220C6" w:rsidRPr="000702B6">
        <w:rPr>
          <w:rFonts w:ascii="Times New Roman" w:hAnsi="Times New Roman" w:cs="Times New Roman"/>
          <w:szCs w:val="24"/>
          <w:lang w:val="pl-PL"/>
        </w:rPr>
        <w:t xml:space="preserve">). </w:t>
      </w:r>
      <w:r w:rsidR="00AD6898" w:rsidRPr="000702B6">
        <w:rPr>
          <w:rFonts w:ascii="Times New Roman" w:hAnsi="Times New Roman" w:cs="Times New Roman"/>
          <w:szCs w:val="24"/>
          <w:lang w:val="pl-PL"/>
        </w:rPr>
        <w:t xml:space="preserve">W </w:t>
      </w:r>
      <w:r w:rsidR="00C32440" w:rsidRPr="000702B6">
        <w:rPr>
          <w:rFonts w:ascii="Times New Roman" w:hAnsi="Times New Roman" w:cs="Times New Roman"/>
          <w:szCs w:val="24"/>
          <w:lang w:val="pl-PL"/>
        </w:rPr>
        <w:t>związku z tym Sąd Najwyższy nie</w:t>
      </w:r>
      <w:r w:rsidR="00AD6898" w:rsidRPr="000702B6">
        <w:rPr>
          <w:rFonts w:ascii="Times New Roman" w:hAnsi="Times New Roman" w:cs="Times New Roman"/>
          <w:szCs w:val="24"/>
          <w:lang w:val="pl-PL"/>
        </w:rPr>
        <w:t>jednoznacznie określił, czy wnioskodawca był zobowiązany do zapobiegania przesyłania komentarzy na stronie internetowej, czy też wystarczyłoby na mocy prawa krajowego</w:t>
      </w:r>
      <w:r w:rsidR="00177D81" w:rsidRPr="000702B6">
        <w:rPr>
          <w:rFonts w:ascii="Times New Roman" w:hAnsi="Times New Roman" w:cs="Times New Roman"/>
          <w:szCs w:val="24"/>
          <w:lang w:val="pl-PL"/>
        </w:rPr>
        <w:t>,</w:t>
      </w:r>
      <w:r w:rsidR="00AD6898" w:rsidRPr="000702B6">
        <w:rPr>
          <w:rFonts w:ascii="Times New Roman" w:hAnsi="Times New Roman" w:cs="Times New Roman"/>
          <w:szCs w:val="24"/>
          <w:lang w:val="pl-PL"/>
        </w:rPr>
        <w:t xml:space="preserve"> aby skarżąca spółka usunęła rażące komentarz</w:t>
      </w:r>
      <w:r w:rsidR="00177D81" w:rsidRPr="000702B6">
        <w:rPr>
          <w:rFonts w:ascii="Times New Roman" w:hAnsi="Times New Roman" w:cs="Times New Roman"/>
          <w:szCs w:val="24"/>
          <w:lang w:val="pl-PL"/>
        </w:rPr>
        <w:t>e niezwłocznie po opublikowaniu</w:t>
      </w:r>
      <w:r w:rsidR="00AD6898" w:rsidRPr="000702B6">
        <w:rPr>
          <w:rFonts w:ascii="Times New Roman" w:hAnsi="Times New Roman" w:cs="Times New Roman"/>
          <w:szCs w:val="24"/>
          <w:lang w:val="pl-PL"/>
        </w:rPr>
        <w:t xml:space="preserve">, aby uniknąć odpowiedzialności na podstawie </w:t>
      </w:r>
      <w:r w:rsidR="00C32440" w:rsidRPr="000702B6">
        <w:rPr>
          <w:rFonts w:ascii="Times New Roman" w:hAnsi="Times New Roman" w:cs="Times New Roman"/>
          <w:szCs w:val="24"/>
          <w:lang w:val="pl-PL"/>
        </w:rPr>
        <w:t>Prawa Zobowiązań</w:t>
      </w:r>
      <w:r w:rsidR="00AD6898" w:rsidRPr="000702B6">
        <w:rPr>
          <w:rFonts w:ascii="Times New Roman" w:hAnsi="Times New Roman" w:cs="Times New Roman"/>
          <w:szCs w:val="24"/>
          <w:lang w:val="pl-PL"/>
        </w:rPr>
        <w:t xml:space="preserve">. Trybunał uważa, że ​​przy ocenie przyczyn, dla których Sąd </w:t>
      </w:r>
      <w:r w:rsidR="00AD6898" w:rsidRPr="000702B6">
        <w:rPr>
          <w:rFonts w:ascii="Times New Roman" w:hAnsi="Times New Roman" w:cs="Times New Roman"/>
          <w:szCs w:val="24"/>
          <w:lang w:val="pl-PL"/>
        </w:rPr>
        <w:lastRenderedPageBreak/>
        <w:t>Najwyższy powoła</w:t>
      </w:r>
      <w:r w:rsidR="004B69BF" w:rsidRPr="000702B6">
        <w:rPr>
          <w:rFonts w:ascii="Times New Roman" w:hAnsi="Times New Roman" w:cs="Times New Roman"/>
          <w:szCs w:val="24"/>
          <w:lang w:val="pl-PL"/>
        </w:rPr>
        <w:t>ł się na swój wyrok pociągający</w:t>
      </w:r>
      <w:r w:rsidR="00AD6898" w:rsidRPr="000702B6">
        <w:rPr>
          <w:rFonts w:ascii="Times New Roman" w:hAnsi="Times New Roman" w:cs="Times New Roman"/>
          <w:szCs w:val="24"/>
          <w:lang w:val="pl-PL"/>
        </w:rPr>
        <w:t xml:space="preserve"> za sobą naruszenie praw konwencyjnych skarżącego, nie ma nic sugerującego, że sąd krajowy miał na celu ograniczenie prawa skarżącego w większym stopniu, niż jest to konieczne do osiągnięcia wyznaczonego celu. Na tej podstawie oraz uwzględniając swobodę przekazywania informacji zawartą w Artykule 10, Trybunał będzie więc wychodził z założenia, że ​​wyrok Sądu Najwyższego należy rozumieć tak, że p</w:t>
      </w:r>
      <w:r w:rsidR="004B69BF" w:rsidRPr="000702B6">
        <w:rPr>
          <w:rFonts w:ascii="Times New Roman" w:hAnsi="Times New Roman" w:cs="Times New Roman"/>
          <w:szCs w:val="24"/>
          <w:lang w:val="pl-PL"/>
        </w:rPr>
        <w:t>óźniejsze usunięcie komentarzy</w:t>
      </w:r>
      <w:r w:rsidR="00AD6898" w:rsidRPr="000702B6">
        <w:rPr>
          <w:rFonts w:ascii="Times New Roman" w:hAnsi="Times New Roman" w:cs="Times New Roman"/>
          <w:szCs w:val="24"/>
          <w:lang w:val="pl-PL"/>
        </w:rPr>
        <w:t xml:space="preserve"> przez skarżącą spółkę, bez opóźnieni</w:t>
      </w:r>
      <w:r w:rsidR="00177D81" w:rsidRPr="000702B6">
        <w:rPr>
          <w:rFonts w:ascii="Times New Roman" w:hAnsi="Times New Roman" w:cs="Times New Roman"/>
          <w:szCs w:val="24"/>
          <w:lang w:val="pl-PL"/>
        </w:rPr>
        <w:t>a</w:t>
      </w:r>
      <w:r w:rsidR="00AD6898" w:rsidRPr="000702B6">
        <w:rPr>
          <w:rFonts w:ascii="Times New Roman" w:hAnsi="Times New Roman" w:cs="Times New Roman"/>
          <w:szCs w:val="24"/>
          <w:lang w:val="pl-PL"/>
        </w:rPr>
        <w:t xml:space="preserve"> po publikacji, </w:t>
      </w:r>
      <w:r w:rsidR="005A4236">
        <w:rPr>
          <w:rFonts w:ascii="Times New Roman" w:hAnsi="Times New Roman" w:cs="Times New Roman"/>
          <w:szCs w:val="24"/>
          <w:lang w:val="pl-PL"/>
        </w:rPr>
        <w:t>wystarczyło</w:t>
      </w:r>
      <w:r w:rsidR="005A4236" w:rsidRPr="000702B6">
        <w:rPr>
          <w:rFonts w:ascii="Times New Roman" w:hAnsi="Times New Roman" w:cs="Times New Roman"/>
          <w:szCs w:val="24"/>
          <w:lang w:val="pl-PL"/>
        </w:rPr>
        <w:t>by</w:t>
      </w:r>
      <w:r w:rsidR="00AD6898" w:rsidRPr="000702B6">
        <w:rPr>
          <w:rFonts w:ascii="Times New Roman" w:hAnsi="Times New Roman" w:cs="Times New Roman"/>
          <w:szCs w:val="24"/>
          <w:lang w:val="pl-PL"/>
        </w:rPr>
        <w:t xml:space="preserve">, aby uniknąć odpowiedzialności na </w:t>
      </w:r>
      <w:r w:rsidR="006D33A5">
        <w:rPr>
          <w:rFonts w:ascii="Times New Roman" w:hAnsi="Times New Roman" w:cs="Times New Roman"/>
          <w:szCs w:val="24"/>
          <w:lang w:val="pl-PL"/>
        </w:rPr>
        <w:t>gruncie</w:t>
      </w:r>
      <w:r w:rsidR="00AD6898" w:rsidRPr="000702B6">
        <w:rPr>
          <w:rFonts w:ascii="Times New Roman" w:hAnsi="Times New Roman" w:cs="Times New Roman"/>
          <w:szCs w:val="24"/>
          <w:lang w:val="pl-PL"/>
        </w:rPr>
        <w:t xml:space="preserve"> prawa krajowego. W konsekwencji, </w:t>
      </w:r>
      <w:r w:rsidR="003B6287">
        <w:rPr>
          <w:rFonts w:ascii="Times New Roman" w:hAnsi="Times New Roman" w:cs="Times New Roman"/>
          <w:szCs w:val="24"/>
          <w:lang w:val="pl-PL"/>
        </w:rPr>
        <w:br/>
      </w:r>
      <w:r w:rsidR="00AD6898" w:rsidRPr="000702B6">
        <w:rPr>
          <w:rFonts w:ascii="Times New Roman" w:hAnsi="Times New Roman" w:cs="Times New Roman"/>
          <w:szCs w:val="24"/>
          <w:lang w:val="pl-PL"/>
        </w:rPr>
        <w:t xml:space="preserve">z uwzględnieniem powyższych ustaleń </w:t>
      </w:r>
      <w:r w:rsidR="00A220C6" w:rsidRPr="000702B6">
        <w:rPr>
          <w:rFonts w:ascii="Times New Roman" w:hAnsi="Times New Roman" w:cs="Times New Roman"/>
          <w:szCs w:val="24"/>
          <w:lang w:val="pl-PL"/>
        </w:rPr>
        <w:t>(</w:t>
      </w:r>
      <w:r w:rsidR="00AD6898" w:rsidRPr="000702B6">
        <w:rPr>
          <w:rFonts w:ascii="Times New Roman" w:hAnsi="Times New Roman" w:cs="Times New Roman"/>
          <w:szCs w:val="24"/>
          <w:lang w:val="pl-PL"/>
        </w:rPr>
        <w:t>zobacz paragraf</w:t>
      </w:r>
      <w:r w:rsidR="00A220C6" w:rsidRPr="000702B6">
        <w:rPr>
          <w:rFonts w:ascii="Times New Roman" w:hAnsi="Times New Roman" w:cs="Times New Roman"/>
          <w:szCs w:val="24"/>
          <w:lang w:val="pl-PL"/>
        </w:rPr>
        <w:t xml:space="preserve"> </w:t>
      </w:r>
      <w:r w:rsidR="00B23BBD" w:rsidRPr="000702B6">
        <w:rPr>
          <w:rFonts w:ascii="Times New Roman" w:hAnsi="Times New Roman" w:cs="Times New Roman"/>
          <w:noProof/>
          <w:lang w:val="pl-PL"/>
        </w:rPr>
        <w:t>145</w:t>
      </w:r>
      <w:r w:rsidR="00A220C6" w:rsidRPr="000702B6">
        <w:rPr>
          <w:rFonts w:ascii="Times New Roman" w:hAnsi="Times New Roman" w:cs="Times New Roman"/>
          <w:szCs w:val="24"/>
          <w:lang w:val="pl-PL"/>
        </w:rPr>
        <w:t>)</w:t>
      </w:r>
      <w:r w:rsidR="00177D81" w:rsidRPr="000702B6">
        <w:rPr>
          <w:rFonts w:ascii="Times New Roman" w:hAnsi="Times New Roman" w:cs="Times New Roman"/>
          <w:szCs w:val="24"/>
          <w:lang w:val="pl-PL"/>
        </w:rPr>
        <w:t>,</w:t>
      </w:r>
      <w:r w:rsidR="00A220C6" w:rsidRPr="000702B6">
        <w:rPr>
          <w:rFonts w:ascii="Times New Roman" w:hAnsi="Times New Roman" w:cs="Times New Roman"/>
          <w:szCs w:val="24"/>
          <w:lang w:val="pl-PL"/>
        </w:rPr>
        <w:t xml:space="preserve"> </w:t>
      </w:r>
      <w:r w:rsidR="00AD6898" w:rsidRPr="000702B6">
        <w:rPr>
          <w:rFonts w:ascii="Times New Roman" w:hAnsi="Times New Roman" w:cs="Times New Roman"/>
          <w:szCs w:val="24"/>
          <w:lang w:val="pl-PL"/>
        </w:rPr>
        <w:t xml:space="preserve">zgodnie </w:t>
      </w:r>
      <w:r w:rsidR="003B6287">
        <w:rPr>
          <w:rFonts w:ascii="Times New Roman" w:hAnsi="Times New Roman" w:cs="Times New Roman"/>
          <w:szCs w:val="24"/>
          <w:lang w:val="pl-PL"/>
        </w:rPr>
        <w:br/>
      </w:r>
      <w:r w:rsidR="00AD6898" w:rsidRPr="000702B6">
        <w:rPr>
          <w:rFonts w:ascii="Times New Roman" w:hAnsi="Times New Roman" w:cs="Times New Roman"/>
          <w:szCs w:val="24"/>
          <w:lang w:val="pl-PL"/>
        </w:rPr>
        <w:t>z</w:t>
      </w:r>
      <w:r w:rsidR="00AD6898" w:rsidRPr="00B45853">
        <w:rPr>
          <w:rFonts w:ascii="Times New Roman" w:hAnsi="Times New Roman" w:cs="Times New Roman"/>
          <w:szCs w:val="24"/>
          <w:lang w:val="pl-PL"/>
        </w:rPr>
        <w:t xml:space="preserve"> którymi skarżąca spółka musi zostać uznana za wywierającą znaczny stopień kontroli nad publikowanymi komentarzami na swoim portalu, Trybunał nie u</w:t>
      </w:r>
      <w:r w:rsidR="004B69BF">
        <w:rPr>
          <w:rFonts w:ascii="Times New Roman" w:hAnsi="Times New Roman" w:cs="Times New Roman"/>
          <w:szCs w:val="24"/>
          <w:lang w:val="pl-PL"/>
        </w:rPr>
        <w:t xml:space="preserve">waża, że ​​nałożenie na </w:t>
      </w:r>
      <w:r w:rsidR="004B69BF" w:rsidRPr="000702B6">
        <w:rPr>
          <w:rFonts w:ascii="Times New Roman" w:hAnsi="Times New Roman" w:cs="Times New Roman"/>
          <w:szCs w:val="24"/>
          <w:lang w:val="pl-PL"/>
        </w:rPr>
        <w:t>skarżącą</w:t>
      </w:r>
      <w:r w:rsidR="00AD6898" w:rsidRPr="000702B6">
        <w:rPr>
          <w:rFonts w:ascii="Times New Roman" w:hAnsi="Times New Roman" w:cs="Times New Roman"/>
          <w:szCs w:val="24"/>
          <w:lang w:val="pl-PL"/>
        </w:rPr>
        <w:t xml:space="preserve"> spółka obowiązku usunięcia ze swojej strony internetowej, niezwłocznie po publikacji, komentarzy, które urosły do rangi mowy nienawiści i </w:t>
      </w:r>
      <w:r w:rsidR="004B69BF" w:rsidRPr="000702B6">
        <w:rPr>
          <w:rFonts w:ascii="Times New Roman" w:hAnsi="Times New Roman" w:cs="Times New Roman"/>
          <w:szCs w:val="24"/>
          <w:lang w:val="pl-PL"/>
        </w:rPr>
        <w:t>podżegania</w:t>
      </w:r>
      <w:r w:rsidR="009F1612" w:rsidRPr="000702B6">
        <w:rPr>
          <w:rFonts w:ascii="Times New Roman" w:hAnsi="Times New Roman" w:cs="Times New Roman"/>
          <w:szCs w:val="24"/>
          <w:lang w:val="pl-PL"/>
        </w:rPr>
        <w:t xml:space="preserve"> do przemocy, a tym samym było</w:t>
      </w:r>
      <w:r w:rsidR="00AD6898" w:rsidRPr="000702B6">
        <w:rPr>
          <w:rFonts w:ascii="Times New Roman" w:hAnsi="Times New Roman" w:cs="Times New Roman"/>
          <w:szCs w:val="24"/>
          <w:lang w:val="pl-PL"/>
        </w:rPr>
        <w:t xml:space="preserve"> wyraźnie sprzeczne z prawem </w:t>
      </w:r>
      <w:r w:rsidR="009F1612" w:rsidRPr="000702B6">
        <w:rPr>
          <w:rFonts w:ascii="Times New Roman" w:hAnsi="Times New Roman" w:cs="Times New Roman"/>
          <w:szCs w:val="24"/>
          <w:lang w:val="pl-PL"/>
        </w:rPr>
        <w:t>co z ich strony</w:t>
      </w:r>
      <w:r w:rsidR="00AD6898" w:rsidRPr="000702B6">
        <w:rPr>
          <w:rFonts w:ascii="Times New Roman" w:hAnsi="Times New Roman" w:cs="Times New Roman"/>
          <w:szCs w:val="24"/>
          <w:lang w:val="pl-PL"/>
        </w:rPr>
        <w:t xml:space="preserve">, </w:t>
      </w:r>
      <w:r w:rsidR="009F1612" w:rsidRPr="000702B6">
        <w:rPr>
          <w:rFonts w:ascii="Times New Roman" w:hAnsi="Times New Roman" w:cs="Times New Roman"/>
          <w:szCs w:val="24"/>
          <w:lang w:val="pl-PL"/>
        </w:rPr>
        <w:t>urosło</w:t>
      </w:r>
      <w:r w:rsidR="00AD6898" w:rsidRPr="000702B6">
        <w:rPr>
          <w:rFonts w:ascii="Times New Roman" w:hAnsi="Times New Roman" w:cs="Times New Roman"/>
          <w:szCs w:val="24"/>
          <w:lang w:val="pl-PL"/>
        </w:rPr>
        <w:t>, w zasadzie, do nieproporcjonalnego naruszenia jej swobody wypowiedzi</w:t>
      </w:r>
      <w:r w:rsidR="00A220C6" w:rsidRPr="000702B6">
        <w:rPr>
          <w:rFonts w:ascii="Times New Roman" w:hAnsi="Times New Roman" w:cs="Times New Roman"/>
          <w:szCs w:val="24"/>
          <w:lang w:val="pl-PL"/>
        </w:rPr>
        <w:t>.</w:t>
      </w:r>
    </w:p>
    <w:p w:rsidR="00A220C6" w:rsidRPr="000702B6"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154</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F545FD" w:rsidRPr="000702B6">
        <w:rPr>
          <w:rFonts w:ascii="Times New Roman" w:hAnsi="Times New Roman" w:cs="Times New Roman"/>
          <w:lang w:val="pl-PL"/>
        </w:rPr>
        <w:t>Stosowną</w:t>
      </w:r>
      <w:r w:rsidR="009F1612" w:rsidRPr="000702B6">
        <w:rPr>
          <w:rFonts w:ascii="Times New Roman" w:hAnsi="Times New Roman" w:cs="Times New Roman"/>
          <w:lang w:val="pl-PL"/>
        </w:rPr>
        <w:t xml:space="preserve"> kwestią w niniejszej sprawie jest to, czy ustalenia sądu krajowego, że odpowiedzialność jest uzasadniona, ponieważ </w:t>
      </w:r>
      <w:r w:rsidR="005B009A" w:rsidRPr="000702B6">
        <w:rPr>
          <w:rFonts w:ascii="Times New Roman" w:hAnsi="Times New Roman" w:cs="Times New Roman"/>
          <w:lang w:val="pl-PL"/>
        </w:rPr>
        <w:t xml:space="preserve">skarżący </w:t>
      </w:r>
      <w:r w:rsidR="009F1612" w:rsidRPr="000702B6">
        <w:rPr>
          <w:rFonts w:ascii="Times New Roman" w:hAnsi="Times New Roman" w:cs="Times New Roman"/>
          <w:lang w:val="pl-PL"/>
        </w:rPr>
        <w:t xml:space="preserve">nie usunął komentarzy niezwłocznie po opublikowaniu, były oparte na odpowiednich i wystarczających podstawach. Mając to na uwadze, musi, po pierwsze, wziąć pod uwagę, czy </w:t>
      </w:r>
      <w:r w:rsidR="005B009A" w:rsidRPr="000702B6">
        <w:rPr>
          <w:rFonts w:ascii="Times New Roman" w:hAnsi="Times New Roman" w:cs="Times New Roman"/>
          <w:lang w:val="pl-PL"/>
        </w:rPr>
        <w:t>skarżący</w:t>
      </w:r>
      <w:r w:rsidR="009F1612" w:rsidRPr="000702B6">
        <w:rPr>
          <w:rFonts w:ascii="Times New Roman" w:hAnsi="Times New Roman" w:cs="Times New Roman"/>
          <w:lang w:val="pl-PL"/>
        </w:rPr>
        <w:t xml:space="preserve"> ustanowił mechanizmy, które były zdolne do filtrowania komentarzy noszących znamiona mowy nienawiści lub mowy nawołującej do przemocy</w:t>
      </w:r>
      <w:r w:rsidR="00A220C6" w:rsidRPr="000702B6">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155</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9F1612" w:rsidRPr="000702B6">
        <w:rPr>
          <w:rFonts w:ascii="Times New Roman" w:hAnsi="Times New Roman" w:cs="Times New Roman"/>
          <w:lang w:val="pl-PL"/>
        </w:rPr>
        <w:t xml:space="preserve">Trybunał zauważa, że skarżąca spółka przyjęła pewne środki w tym zakresie. Istniała klauzula na portalu informacyjnym </w:t>
      </w:r>
      <w:proofErr w:type="spellStart"/>
      <w:r w:rsidR="009F1612" w:rsidRPr="000702B6">
        <w:rPr>
          <w:rFonts w:ascii="Times New Roman" w:hAnsi="Times New Roman" w:cs="Times New Roman"/>
          <w:lang w:val="pl-PL"/>
        </w:rPr>
        <w:t>Delfi</w:t>
      </w:r>
      <w:proofErr w:type="spellEnd"/>
      <w:r w:rsidR="009F1612" w:rsidRPr="000702B6">
        <w:rPr>
          <w:rFonts w:ascii="Times New Roman" w:hAnsi="Times New Roman" w:cs="Times New Roman"/>
          <w:lang w:val="pl-PL"/>
        </w:rPr>
        <w:t xml:space="preserve"> stwierdzająca, </w:t>
      </w:r>
      <w:r w:rsidR="00B64F00">
        <w:rPr>
          <w:rFonts w:ascii="Times New Roman" w:hAnsi="Times New Roman" w:cs="Times New Roman"/>
          <w:lang w:val="pl-PL"/>
        </w:rPr>
        <w:br/>
      </w:r>
      <w:r w:rsidR="009F1612" w:rsidRPr="000702B6">
        <w:rPr>
          <w:rFonts w:ascii="Times New Roman" w:hAnsi="Times New Roman" w:cs="Times New Roman"/>
          <w:lang w:val="pl-PL"/>
        </w:rPr>
        <w:t xml:space="preserve">że </w:t>
      </w:r>
      <w:r w:rsidR="00683647" w:rsidRPr="000702B6">
        <w:rPr>
          <w:rFonts w:ascii="Times New Roman" w:hAnsi="Times New Roman" w:cs="Times New Roman"/>
          <w:lang w:val="pl-PL"/>
        </w:rPr>
        <w:t xml:space="preserve">to </w:t>
      </w:r>
      <w:r w:rsidR="00177D81" w:rsidRPr="000702B6">
        <w:rPr>
          <w:rFonts w:ascii="Times New Roman" w:hAnsi="Times New Roman" w:cs="Times New Roman"/>
          <w:lang w:val="pl-PL"/>
        </w:rPr>
        <w:t>autorzy komentarzy</w:t>
      </w:r>
      <w:r w:rsidR="006D115E">
        <w:rPr>
          <w:rFonts w:ascii="Times New Roman" w:hAnsi="Times New Roman" w:cs="Times New Roman"/>
          <w:lang w:val="pl-PL"/>
        </w:rPr>
        <w:t xml:space="preserve"> </w:t>
      </w:r>
      <w:r w:rsidR="00177D81" w:rsidRPr="000702B6">
        <w:rPr>
          <w:rFonts w:ascii="Times New Roman" w:hAnsi="Times New Roman" w:cs="Times New Roman"/>
          <w:lang w:val="pl-PL"/>
        </w:rPr>
        <w:t>-</w:t>
      </w:r>
      <w:r w:rsidR="006D115E">
        <w:rPr>
          <w:rFonts w:ascii="Times New Roman" w:hAnsi="Times New Roman" w:cs="Times New Roman"/>
          <w:lang w:val="pl-PL"/>
        </w:rPr>
        <w:t xml:space="preserve"> </w:t>
      </w:r>
      <w:r w:rsidR="009F1612" w:rsidRPr="000702B6">
        <w:rPr>
          <w:rFonts w:ascii="Times New Roman" w:hAnsi="Times New Roman" w:cs="Times New Roman"/>
          <w:lang w:val="pl-PL"/>
        </w:rPr>
        <w:t xml:space="preserve">a nie </w:t>
      </w:r>
      <w:r w:rsidR="00177D81" w:rsidRPr="000702B6">
        <w:rPr>
          <w:rFonts w:ascii="Times New Roman" w:hAnsi="Times New Roman" w:cs="Times New Roman"/>
          <w:lang w:val="pl-PL"/>
        </w:rPr>
        <w:t>skarżąca spółka</w:t>
      </w:r>
      <w:r w:rsidR="006D115E">
        <w:rPr>
          <w:rFonts w:ascii="Times New Roman" w:hAnsi="Times New Roman" w:cs="Times New Roman"/>
          <w:lang w:val="pl-PL"/>
        </w:rPr>
        <w:t xml:space="preserve"> </w:t>
      </w:r>
      <w:r w:rsidR="00177D81" w:rsidRPr="000702B6">
        <w:rPr>
          <w:rFonts w:ascii="Times New Roman" w:hAnsi="Times New Roman" w:cs="Times New Roman"/>
          <w:lang w:val="pl-PL"/>
        </w:rPr>
        <w:t>-</w:t>
      </w:r>
      <w:r w:rsidR="006D115E">
        <w:rPr>
          <w:rFonts w:ascii="Times New Roman" w:hAnsi="Times New Roman" w:cs="Times New Roman"/>
          <w:lang w:val="pl-PL"/>
        </w:rPr>
        <w:t xml:space="preserve"> </w:t>
      </w:r>
      <w:r w:rsidR="00683647" w:rsidRPr="000702B6">
        <w:rPr>
          <w:rFonts w:ascii="Times New Roman" w:hAnsi="Times New Roman" w:cs="Times New Roman"/>
          <w:lang w:val="pl-PL"/>
        </w:rPr>
        <w:t>byli odpowiedzialni za nie</w:t>
      </w:r>
      <w:r w:rsidR="009F1612" w:rsidRPr="000702B6">
        <w:rPr>
          <w:rFonts w:ascii="Times New Roman" w:hAnsi="Times New Roman" w:cs="Times New Roman"/>
          <w:lang w:val="pl-PL"/>
        </w:rPr>
        <w:t>, że wpis</w:t>
      </w:r>
      <w:r w:rsidR="00683647" w:rsidRPr="000702B6">
        <w:rPr>
          <w:rFonts w:ascii="Times New Roman" w:hAnsi="Times New Roman" w:cs="Times New Roman"/>
          <w:lang w:val="pl-PL"/>
        </w:rPr>
        <w:t>y</w:t>
      </w:r>
      <w:r w:rsidR="009F1612" w:rsidRPr="000702B6">
        <w:rPr>
          <w:rFonts w:ascii="Times New Roman" w:hAnsi="Times New Roman" w:cs="Times New Roman"/>
          <w:lang w:val="pl-PL"/>
        </w:rPr>
        <w:t xml:space="preserve"> komentarzy, które były sprzeczne z zasadami dobrej praktyki lub zaw</w:t>
      </w:r>
      <w:r w:rsidR="00683647" w:rsidRPr="000702B6">
        <w:rPr>
          <w:rFonts w:ascii="Times New Roman" w:hAnsi="Times New Roman" w:cs="Times New Roman"/>
          <w:lang w:val="pl-PL"/>
        </w:rPr>
        <w:t>ierały</w:t>
      </w:r>
      <w:r w:rsidR="009F1612" w:rsidRPr="000702B6">
        <w:rPr>
          <w:rFonts w:ascii="Times New Roman" w:hAnsi="Times New Roman" w:cs="Times New Roman"/>
          <w:lang w:val="pl-PL"/>
        </w:rPr>
        <w:t xml:space="preserve"> groźby, o</w:t>
      </w:r>
      <w:r w:rsidR="00683647" w:rsidRPr="000702B6">
        <w:rPr>
          <w:rFonts w:ascii="Times New Roman" w:hAnsi="Times New Roman" w:cs="Times New Roman"/>
          <w:lang w:val="pl-PL"/>
        </w:rPr>
        <w:t>belgi, wyrażenia obsceniczne,</w:t>
      </w:r>
      <w:r w:rsidR="009F1612" w:rsidRPr="000702B6">
        <w:rPr>
          <w:rFonts w:ascii="Times New Roman" w:hAnsi="Times New Roman" w:cs="Times New Roman"/>
          <w:lang w:val="pl-PL"/>
        </w:rPr>
        <w:t xml:space="preserve"> </w:t>
      </w:r>
      <w:r w:rsidR="00683647" w:rsidRPr="000702B6">
        <w:rPr>
          <w:rFonts w:ascii="Times New Roman" w:hAnsi="Times New Roman" w:cs="Times New Roman"/>
          <w:lang w:val="pl-PL"/>
        </w:rPr>
        <w:t>wulgaryzmy</w:t>
      </w:r>
      <w:r w:rsidR="009F1612" w:rsidRPr="000702B6">
        <w:rPr>
          <w:rFonts w:ascii="Times New Roman" w:hAnsi="Times New Roman" w:cs="Times New Roman"/>
          <w:lang w:val="pl-PL"/>
        </w:rPr>
        <w:t xml:space="preserve"> lub podżegał</w:t>
      </w:r>
      <w:r w:rsidR="00683647" w:rsidRPr="000702B6">
        <w:rPr>
          <w:rFonts w:ascii="Times New Roman" w:hAnsi="Times New Roman" w:cs="Times New Roman"/>
          <w:lang w:val="pl-PL"/>
        </w:rPr>
        <w:t>y do</w:t>
      </w:r>
      <w:r w:rsidR="009F1612" w:rsidRPr="000702B6">
        <w:rPr>
          <w:rFonts w:ascii="Times New Roman" w:hAnsi="Times New Roman" w:cs="Times New Roman"/>
          <w:lang w:val="pl-PL"/>
        </w:rPr>
        <w:t xml:space="preserve"> wrogości, przemocy i nielegalnych działań, </w:t>
      </w:r>
      <w:r w:rsidR="00683647" w:rsidRPr="000702B6">
        <w:rPr>
          <w:rFonts w:ascii="Times New Roman" w:hAnsi="Times New Roman" w:cs="Times New Roman"/>
          <w:lang w:val="pl-PL"/>
        </w:rPr>
        <w:t>były zakazane</w:t>
      </w:r>
      <w:r w:rsidR="009F1612" w:rsidRPr="000702B6">
        <w:rPr>
          <w:rFonts w:ascii="Times New Roman" w:hAnsi="Times New Roman" w:cs="Times New Roman"/>
          <w:lang w:val="pl-PL"/>
        </w:rPr>
        <w:t xml:space="preserve">. Ponadto, portal miał system automatycznego </w:t>
      </w:r>
      <w:r w:rsidR="00683647" w:rsidRPr="000702B6">
        <w:rPr>
          <w:rFonts w:ascii="Times New Roman" w:hAnsi="Times New Roman" w:cs="Times New Roman"/>
          <w:lang w:val="pl-PL"/>
        </w:rPr>
        <w:t>usuwania komentarzy</w:t>
      </w:r>
      <w:r w:rsidR="009F1612" w:rsidRPr="00B45853">
        <w:rPr>
          <w:rFonts w:ascii="Times New Roman" w:hAnsi="Times New Roman" w:cs="Times New Roman"/>
          <w:lang w:val="pl-PL"/>
        </w:rPr>
        <w:t xml:space="preserve"> na podstawie </w:t>
      </w:r>
      <w:r w:rsidR="00683647" w:rsidRPr="00B45853">
        <w:rPr>
          <w:rFonts w:ascii="Times New Roman" w:hAnsi="Times New Roman" w:cs="Times New Roman"/>
          <w:lang w:val="pl-PL"/>
        </w:rPr>
        <w:t>grup</w:t>
      </w:r>
      <w:r w:rsidR="009F1612" w:rsidRPr="00B45853">
        <w:rPr>
          <w:rFonts w:ascii="Times New Roman" w:hAnsi="Times New Roman" w:cs="Times New Roman"/>
          <w:lang w:val="pl-PL"/>
        </w:rPr>
        <w:t xml:space="preserve"> niektórych wulgarnych słów i </w:t>
      </w:r>
      <w:r w:rsidR="00683647" w:rsidRPr="00B45853">
        <w:rPr>
          <w:rFonts w:ascii="Times New Roman" w:hAnsi="Times New Roman" w:cs="Times New Roman"/>
          <w:lang w:val="pl-PL"/>
        </w:rPr>
        <w:t>posiadał system powiadamiania i usuwania</w:t>
      </w:r>
      <w:r w:rsidR="009F1612" w:rsidRPr="00B45853">
        <w:rPr>
          <w:rFonts w:ascii="Times New Roman" w:hAnsi="Times New Roman" w:cs="Times New Roman"/>
          <w:lang w:val="pl-PL"/>
        </w:rPr>
        <w:t xml:space="preserve"> </w:t>
      </w:r>
      <w:r w:rsidR="00683647" w:rsidRPr="00B45853">
        <w:rPr>
          <w:rFonts w:ascii="Times New Roman" w:hAnsi="Times New Roman" w:cs="Times New Roman"/>
          <w:lang w:val="pl-PL"/>
        </w:rPr>
        <w:t>w miejscu</w:t>
      </w:r>
      <w:r w:rsidR="009F1612" w:rsidRPr="00B45853">
        <w:rPr>
          <w:rFonts w:ascii="Times New Roman" w:hAnsi="Times New Roman" w:cs="Times New Roman"/>
          <w:lang w:val="pl-PL"/>
        </w:rPr>
        <w:t>, w którym każdy m</w:t>
      </w:r>
      <w:r w:rsidR="00683647" w:rsidRPr="00B45853">
        <w:rPr>
          <w:rFonts w:ascii="Times New Roman" w:hAnsi="Times New Roman" w:cs="Times New Roman"/>
          <w:lang w:val="pl-PL"/>
        </w:rPr>
        <w:t>ógł powiadomić go o niewłaściwym komentarzu</w:t>
      </w:r>
      <w:r w:rsidR="00177D81" w:rsidRPr="00B45853">
        <w:rPr>
          <w:rFonts w:ascii="Times New Roman" w:hAnsi="Times New Roman" w:cs="Times New Roman"/>
          <w:lang w:val="pl-PL"/>
        </w:rPr>
        <w:t>,</w:t>
      </w:r>
      <w:r w:rsidR="009F1612" w:rsidRPr="00B45853">
        <w:rPr>
          <w:rFonts w:ascii="Times New Roman" w:hAnsi="Times New Roman" w:cs="Times New Roman"/>
          <w:lang w:val="pl-PL"/>
        </w:rPr>
        <w:t xml:space="preserve"> klikając na przycisk oznaczony w tym celu, w celu dostosowania go do wiadomości portalu administratorów. Ponadto, w niektórych </w:t>
      </w:r>
      <w:r w:rsidR="00683647" w:rsidRPr="00B45853">
        <w:rPr>
          <w:rFonts w:ascii="Times New Roman" w:hAnsi="Times New Roman" w:cs="Times New Roman"/>
          <w:lang w:val="pl-PL"/>
        </w:rPr>
        <w:t>przypadkach administratorzy usuwali</w:t>
      </w:r>
      <w:r w:rsidR="009F1612" w:rsidRPr="00B45853">
        <w:rPr>
          <w:rFonts w:ascii="Times New Roman" w:hAnsi="Times New Roman" w:cs="Times New Roman"/>
          <w:lang w:val="pl-PL"/>
        </w:rPr>
        <w:t xml:space="preserve"> nieodpowiedni</w:t>
      </w:r>
      <w:r w:rsidR="00683647" w:rsidRPr="00B45853">
        <w:rPr>
          <w:rFonts w:ascii="Times New Roman" w:hAnsi="Times New Roman" w:cs="Times New Roman"/>
          <w:lang w:val="pl-PL"/>
        </w:rPr>
        <w:t>e komentarze</w:t>
      </w:r>
      <w:r w:rsidR="009F1612" w:rsidRPr="00B45853">
        <w:rPr>
          <w:rFonts w:ascii="Times New Roman" w:hAnsi="Times New Roman" w:cs="Times New Roman"/>
          <w:lang w:val="pl-PL"/>
        </w:rPr>
        <w:t xml:space="preserve"> </w:t>
      </w:r>
      <w:r w:rsidR="00683647" w:rsidRPr="00B45853">
        <w:rPr>
          <w:rFonts w:ascii="Times New Roman" w:hAnsi="Times New Roman" w:cs="Times New Roman"/>
          <w:lang w:val="pl-PL"/>
        </w:rPr>
        <w:t>z</w:t>
      </w:r>
      <w:r w:rsidR="009F1612" w:rsidRPr="00B45853">
        <w:rPr>
          <w:rFonts w:ascii="Times New Roman" w:hAnsi="Times New Roman" w:cs="Times New Roman"/>
          <w:lang w:val="pl-PL"/>
        </w:rPr>
        <w:t xml:space="preserve"> własnej inicjatywy</w:t>
      </w:r>
      <w:r w:rsidR="00A220C6" w:rsidRPr="00B45853">
        <w:rPr>
          <w:rFonts w:ascii="Times New Roman" w:hAnsi="Times New Roman" w:cs="Times New Roman"/>
          <w:lang w:val="pl-PL"/>
        </w:rPr>
        <w:t>.</w:t>
      </w:r>
    </w:p>
    <w:p w:rsidR="00A220C6" w:rsidRPr="00B4585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156</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683647" w:rsidRPr="00B45853">
        <w:rPr>
          <w:rFonts w:ascii="Times New Roman" w:hAnsi="Times New Roman" w:cs="Times New Roman"/>
          <w:lang w:val="pl-PL"/>
        </w:rPr>
        <w:t xml:space="preserve">Zatem należy stwierdzić, że nie można powiedzieć, że skarżąca spółka całkowicie zaniedbała swoje obowiązki, aby uniknąć wyrządzenia szkody osobom trzecim. Mimo to, a co ważniejsze, automatyczny filtr oparty na słowach wykorzystywany przez wnioskodawcę nie odfiltrował mowy nienawiści i mowy nawołującej do przemocy zamieszczonej przez czytelników, a tym samym ograniczył jej zdolność do szybkiego usunięcia obraźliwych komentarzy. Trybunał przypomina, że ​​większość z tych słów i </w:t>
      </w:r>
      <w:r w:rsidR="00683647" w:rsidRPr="00B45853">
        <w:rPr>
          <w:rFonts w:ascii="Times New Roman" w:hAnsi="Times New Roman" w:cs="Times New Roman"/>
          <w:lang w:val="pl-PL"/>
        </w:rPr>
        <w:lastRenderedPageBreak/>
        <w:t>wyraże</w:t>
      </w:r>
      <w:r w:rsidR="00733598" w:rsidRPr="00B45853">
        <w:rPr>
          <w:rFonts w:ascii="Times New Roman" w:hAnsi="Times New Roman" w:cs="Times New Roman"/>
          <w:lang w:val="pl-PL"/>
        </w:rPr>
        <w:t>ń, o których mowa, nie zawierała</w:t>
      </w:r>
      <w:r w:rsidR="00683647" w:rsidRPr="00B45853">
        <w:rPr>
          <w:rFonts w:ascii="Times New Roman" w:hAnsi="Times New Roman" w:cs="Times New Roman"/>
          <w:lang w:val="pl-PL"/>
        </w:rPr>
        <w:t xml:space="preserve"> wyszukanych metafor</w:t>
      </w:r>
      <w:r w:rsidR="00733598" w:rsidRPr="00B45853">
        <w:rPr>
          <w:rFonts w:ascii="Times New Roman" w:hAnsi="Times New Roman" w:cs="Times New Roman"/>
          <w:lang w:val="pl-PL"/>
        </w:rPr>
        <w:t>, ukrytych znaczeń lub subtelnych</w:t>
      </w:r>
      <w:r w:rsidR="00683647" w:rsidRPr="00B45853">
        <w:rPr>
          <w:rFonts w:ascii="Times New Roman" w:hAnsi="Times New Roman" w:cs="Times New Roman"/>
          <w:lang w:val="pl-PL"/>
        </w:rPr>
        <w:t xml:space="preserve"> </w:t>
      </w:r>
      <w:r w:rsidR="00733598" w:rsidRPr="00B45853">
        <w:rPr>
          <w:rFonts w:ascii="Times New Roman" w:hAnsi="Times New Roman" w:cs="Times New Roman"/>
          <w:lang w:val="pl-PL"/>
        </w:rPr>
        <w:t>gróźb</w:t>
      </w:r>
      <w:r w:rsidR="00683647" w:rsidRPr="00B45853">
        <w:rPr>
          <w:rFonts w:ascii="Times New Roman" w:hAnsi="Times New Roman" w:cs="Times New Roman"/>
          <w:lang w:val="pl-PL"/>
        </w:rPr>
        <w:t xml:space="preserve">. Były </w:t>
      </w:r>
      <w:r w:rsidR="00733598" w:rsidRPr="00B45853">
        <w:rPr>
          <w:rFonts w:ascii="Times New Roman" w:hAnsi="Times New Roman" w:cs="Times New Roman"/>
          <w:lang w:val="pl-PL"/>
        </w:rPr>
        <w:t xml:space="preserve">to </w:t>
      </w:r>
      <w:r w:rsidR="00683647" w:rsidRPr="00B45853">
        <w:rPr>
          <w:rFonts w:ascii="Times New Roman" w:hAnsi="Times New Roman" w:cs="Times New Roman"/>
          <w:lang w:val="pl-PL"/>
        </w:rPr>
        <w:t xml:space="preserve">oczywiste przejawy nienawiści i rażących </w:t>
      </w:r>
      <w:r w:rsidR="00733598" w:rsidRPr="00B45853">
        <w:rPr>
          <w:rFonts w:ascii="Times New Roman" w:hAnsi="Times New Roman" w:cs="Times New Roman"/>
          <w:lang w:val="pl-PL"/>
        </w:rPr>
        <w:t>gróźb</w:t>
      </w:r>
      <w:r w:rsidR="00683647" w:rsidRPr="00B45853">
        <w:rPr>
          <w:rFonts w:ascii="Times New Roman" w:hAnsi="Times New Roman" w:cs="Times New Roman"/>
          <w:lang w:val="pl-PL"/>
        </w:rPr>
        <w:t xml:space="preserve"> dla inte</w:t>
      </w:r>
      <w:r w:rsidR="00887A51" w:rsidRPr="00B45853">
        <w:rPr>
          <w:rFonts w:ascii="Times New Roman" w:hAnsi="Times New Roman" w:cs="Times New Roman"/>
          <w:lang w:val="pl-PL"/>
        </w:rPr>
        <w:t>gralności fizycznej L. Tak więc</w:t>
      </w:r>
      <w:r w:rsidR="00683647" w:rsidRPr="00B45853">
        <w:rPr>
          <w:rFonts w:ascii="Times New Roman" w:hAnsi="Times New Roman" w:cs="Times New Roman"/>
          <w:lang w:val="pl-PL"/>
        </w:rPr>
        <w:t xml:space="preserve"> nawet jeśli automatyczny filtr </w:t>
      </w:r>
      <w:r w:rsidR="00733598" w:rsidRPr="00B45853">
        <w:rPr>
          <w:rFonts w:ascii="Times New Roman" w:hAnsi="Times New Roman" w:cs="Times New Roman"/>
          <w:lang w:val="pl-PL"/>
        </w:rPr>
        <w:t>oparty na słowach</w:t>
      </w:r>
      <w:r w:rsidR="00683647" w:rsidRPr="00B45853">
        <w:rPr>
          <w:rFonts w:ascii="Times New Roman" w:hAnsi="Times New Roman" w:cs="Times New Roman"/>
          <w:lang w:val="pl-PL"/>
        </w:rPr>
        <w:t xml:space="preserve"> </w:t>
      </w:r>
      <w:r w:rsidR="00887A51" w:rsidRPr="00B45853">
        <w:rPr>
          <w:rFonts w:ascii="Times New Roman" w:hAnsi="Times New Roman" w:cs="Times New Roman"/>
          <w:lang w:val="pl-PL"/>
        </w:rPr>
        <w:t>mógł</w:t>
      </w:r>
      <w:r w:rsidR="00733598" w:rsidRPr="00B45853">
        <w:rPr>
          <w:rFonts w:ascii="Times New Roman" w:hAnsi="Times New Roman" w:cs="Times New Roman"/>
          <w:lang w:val="pl-PL"/>
        </w:rPr>
        <w:t xml:space="preserve"> być przydatny</w:t>
      </w:r>
      <w:r w:rsidR="00683647" w:rsidRPr="00B45853">
        <w:rPr>
          <w:rFonts w:ascii="Times New Roman" w:hAnsi="Times New Roman" w:cs="Times New Roman"/>
          <w:lang w:val="pl-PL"/>
        </w:rPr>
        <w:t xml:space="preserve"> w niektórych przypadkach, okoliczności niniejszej sprawy wskazują, że </w:t>
      </w:r>
      <w:r w:rsidR="00733598" w:rsidRPr="00B45853">
        <w:rPr>
          <w:rFonts w:ascii="Times New Roman" w:hAnsi="Times New Roman" w:cs="Times New Roman"/>
          <w:lang w:val="pl-PL"/>
        </w:rPr>
        <w:t xml:space="preserve">było </w:t>
      </w:r>
      <w:r w:rsidR="00683647" w:rsidRPr="00B45853">
        <w:rPr>
          <w:rFonts w:ascii="Times New Roman" w:hAnsi="Times New Roman" w:cs="Times New Roman"/>
          <w:lang w:val="pl-PL"/>
        </w:rPr>
        <w:t>to niewystarczające do wykrywania komenta</w:t>
      </w:r>
      <w:r w:rsidR="00733598" w:rsidRPr="00B45853">
        <w:rPr>
          <w:rFonts w:ascii="Times New Roman" w:hAnsi="Times New Roman" w:cs="Times New Roman"/>
          <w:lang w:val="pl-PL"/>
        </w:rPr>
        <w:t>rzy, których treść nie stanowiła</w:t>
      </w:r>
      <w:r w:rsidR="00683647" w:rsidRPr="00B45853">
        <w:rPr>
          <w:rFonts w:ascii="Times New Roman" w:hAnsi="Times New Roman" w:cs="Times New Roman"/>
          <w:lang w:val="pl-PL"/>
        </w:rPr>
        <w:t xml:space="preserve"> chronione</w:t>
      </w:r>
      <w:r w:rsidR="00733598" w:rsidRPr="00B45853">
        <w:rPr>
          <w:rFonts w:ascii="Times New Roman" w:hAnsi="Times New Roman" w:cs="Times New Roman"/>
          <w:lang w:val="pl-PL"/>
        </w:rPr>
        <w:t>j</w:t>
      </w:r>
      <w:r w:rsidR="00683647" w:rsidRPr="00B45853">
        <w:rPr>
          <w:rFonts w:ascii="Times New Roman" w:hAnsi="Times New Roman" w:cs="Times New Roman"/>
          <w:lang w:val="pl-PL"/>
        </w:rPr>
        <w:t xml:space="preserve"> </w:t>
      </w:r>
      <w:r w:rsidR="00733598" w:rsidRPr="00B45853">
        <w:rPr>
          <w:rFonts w:ascii="Times New Roman" w:hAnsi="Times New Roman" w:cs="Times New Roman"/>
          <w:lang w:val="pl-PL"/>
        </w:rPr>
        <w:t>treści na mocy A</w:t>
      </w:r>
      <w:r w:rsidR="00683647" w:rsidRPr="00B45853">
        <w:rPr>
          <w:rFonts w:ascii="Times New Roman" w:hAnsi="Times New Roman" w:cs="Times New Roman"/>
          <w:lang w:val="pl-PL"/>
        </w:rPr>
        <w:t xml:space="preserve">rtykułu 10 Konwencji </w:t>
      </w:r>
      <w:r w:rsidR="00A220C6" w:rsidRPr="00B45853">
        <w:rPr>
          <w:rFonts w:ascii="Times New Roman" w:hAnsi="Times New Roman" w:cs="Times New Roman"/>
          <w:lang w:val="pl-PL"/>
        </w:rPr>
        <w:t>(</w:t>
      </w:r>
      <w:r w:rsidR="00733598" w:rsidRPr="00B45853">
        <w:rPr>
          <w:rFonts w:ascii="Times New Roman" w:hAnsi="Times New Roman" w:cs="Times New Roman"/>
          <w:lang w:val="pl-PL"/>
        </w:rPr>
        <w:t>zobacz paragraf</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136</w:t>
      </w:r>
      <w:r w:rsidR="00A220C6" w:rsidRPr="00B45853">
        <w:rPr>
          <w:rFonts w:ascii="Times New Roman" w:hAnsi="Times New Roman" w:cs="Times New Roman"/>
          <w:lang w:val="pl-PL"/>
        </w:rPr>
        <w:t xml:space="preserve"> </w:t>
      </w:r>
      <w:r w:rsidR="00733598"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733598" w:rsidRPr="00B45853">
        <w:rPr>
          <w:rFonts w:ascii="Times New Roman" w:hAnsi="Times New Roman" w:cs="Times New Roman"/>
          <w:lang w:val="pl-PL"/>
        </w:rPr>
        <w:t>T</w:t>
      </w:r>
      <w:r w:rsidR="005B009A">
        <w:rPr>
          <w:rFonts w:ascii="Times New Roman" w:hAnsi="Times New Roman" w:cs="Times New Roman"/>
          <w:lang w:val="pl-PL"/>
        </w:rPr>
        <w:t>rybunał zauważa, że ​​w wyniku</w:t>
      </w:r>
      <w:r w:rsidR="00733598" w:rsidRPr="00B45853">
        <w:rPr>
          <w:rFonts w:ascii="Times New Roman" w:hAnsi="Times New Roman" w:cs="Times New Roman"/>
          <w:lang w:val="pl-PL"/>
        </w:rPr>
        <w:t xml:space="preserve"> awarii mechanizmu filtrującego, takie wyraźnie bezprawne komentarze pozostały online przez sześć tygodni</w:t>
      </w:r>
      <w:r w:rsidR="00A220C6" w:rsidRPr="00B45853">
        <w:rPr>
          <w:rFonts w:ascii="Times New Roman" w:hAnsi="Times New Roman" w:cs="Times New Roman"/>
          <w:lang w:val="pl-PL"/>
        </w:rPr>
        <w:t xml:space="preserve"> (</w:t>
      </w:r>
      <w:r w:rsidR="00733598" w:rsidRPr="00B45853">
        <w:rPr>
          <w:rFonts w:ascii="Times New Roman" w:hAnsi="Times New Roman" w:cs="Times New Roman"/>
          <w:lang w:val="pl-PL"/>
        </w:rPr>
        <w:t>zobacz paragraf</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18</w:t>
      </w:r>
      <w:r w:rsidR="00A220C6" w:rsidRPr="00B45853">
        <w:rPr>
          <w:rFonts w:ascii="Times New Roman" w:hAnsi="Times New Roman" w:cs="Times New Roman"/>
          <w:lang w:val="pl-PL"/>
        </w:rPr>
        <w:t xml:space="preserve"> </w:t>
      </w:r>
      <w:r w:rsidR="00733598" w:rsidRPr="00B45853">
        <w:rPr>
          <w:rFonts w:ascii="Times New Roman" w:hAnsi="Times New Roman" w:cs="Times New Roman"/>
          <w:lang w:val="pl-PL"/>
        </w:rPr>
        <w:t>powyżej</w:t>
      </w:r>
      <w:r w:rsidR="00A220C6" w:rsidRPr="00B45853">
        <w:rPr>
          <w:rFonts w:ascii="Times New Roman" w:hAnsi="Times New Roman" w:cs="Times New Roman"/>
          <w:lang w:val="pl-PL"/>
        </w:rPr>
        <w:t>).</w:t>
      </w:r>
    </w:p>
    <w:p w:rsidR="00B413BF" w:rsidRPr="000702B6" w:rsidRDefault="00DD67A4" w:rsidP="00171A6F">
      <w:pPr>
        <w:pStyle w:val="ECHRPara"/>
        <w:rPr>
          <w:rFonts w:ascii="Times New Roman" w:hAnsi="Times New Roman" w:cs="Times New Roman"/>
          <w:snapToGrid w:val="0"/>
          <w:szCs w:val="24"/>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157</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733598" w:rsidRPr="00B45853">
        <w:rPr>
          <w:rFonts w:ascii="Times New Roman" w:hAnsi="Times New Roman" w:cs="Times New Roman"/>
          <w:lang w:val="pl-PL"/>
        </w:rPr>
        <w:t>Trybunał zauważa w związku z tym, że w niektórych przypadkach, administratorzy portalu nie usunęli nieodpowiednich komentarzy z własnej inicjatywy i, najwyraźniej, że jakiś czas po wydarzeniach z niniejszej sprawy skarżąca spółka utworzyła specjalny zespół moderatorów. Mając na uwadze fakt, że istnieje wiele możliwości dla każdego, aby jego lub jej głos był słyszany w Internecie, Trybunał uznał, że obowiązek dużego portalu informacyjnego do podjęcia skutecznych działań w celu ograniczenia rozpowszechniania mowy nienawiści i mowy podżegającej</w:t>
      </w:r>
      <w:r w:rsidR="00887A51" w:rsidRPr="00B45853">
        <w:rPr>
          <w:rFonts w:ascii="Times New Roman" w:hAnsi="Times New Roman" w:cs="Times New Roman"/>
          <w:lang w:val="pl-PL"/>
        </w:rPr>
        <w:t xml:space="preserve"> do przemocy-</w:t>
      </w:r>
      <w:r w:rsidR="00733598" w:rsidRPr="00B45853">
        <w:rPr>
          <w:rFonts w:ascii="Times New Roman" w:hAnsi="Times New Roman" w:cs="Times New Roman"/>
          <w:lang w:val="pl-PL"/>
        </w:rPr>
        <w:t>problemu w n</w:t>
      </w:r>
      <w:r w:rsidR="00887A51" w:rsidRPr="00B45853">
        <w:rPr>
          <w:rFonts w:ascii="Times New Roman" w:hAnsi="Times New Roman" w:cs="Times New Roman"/>
          <w:lang w:val="pl-PL"/>
        </w:rPr>
        <w:t>iniejszej sprawie</w:t>
      </w:r>
      <w:r w:rsidR="007464BD">
        <w:rPr>
          <w:rFonts w:ascii="Times New Roman" w:hAnsi="Times New Roman" w:cs="Times New Roman"/>
          <w:lang w:val="pl-PL"/>
        </w:rPr>
        <w:t xml:space="preserve"> </w:t>
      </w:r>
      <w:r w:rsidR="00733598" w:rsidRPr="00B45853">
        <w:rPr>
          <w:rFonts w:ascii="Times New Roman" w:hAnsi="Times New Roman" w:cs="Times New Roman"/>
          <w:lang w:val="pl-PL"/>
        </w:rPr>
        <w:t>-</w:t>
      </w:r>
      <w:r w:rsidR="007464BD">
        <w:rPr>
          <w:rFonts w:ascii="Times New Roman" w:hAnsi="Times New Roman" w:cs="Times New Roman"/>
          <w:lang w:val="pl-PL"/>
        </w:rPr>
        <w:t xml:space="preserve"> </w:t>
      </w:r>
      <w:r w:rsidR="00733598" w:rsidRPr="00B45853">
        <w:rPr>
          <w:rFonts w:ascii="Times New Roman" w:hAnsi="Times New Roman" w:cs="Times New Roman"/>
          <w:lang w:val="pl-PL"/>
        </w:rPr>
        <w:t>nie może w żadnym wypadku być utożsamiany z "prywatną cenzurą". Uznając "ważną rolę" odgrywa</w:t>
      </w:r>
      <w:r w:rsidR="005B009A">
        <w:rPr>
          <w:rFonts w:ascii="Times New Roman" w:hAnsi="Times New Roman" w:cs="Times New Roman"/>
          <w:lang w:val="pl-PL"/>
        </w:rPr>
        <w:t>ną przez Internet "</w:t>
      </w:r>
      <w:r w:rsidR="005B009A" w:rsidRPr="000702B6">
        <w:rPr>
          <w:rFonts w:ascii="Times New Roman" w:hAnsi="Times New Roman" w:cs="Times New Roman"/>
          <w:lang w:val="pl-PL"/>
        </w:rPr>
        <w:t>w zwiększaniu</w:t>
      </w:r>
      <w:r w:rsidR="00733598" w:rsidRPr="000702B6">
        <w:rPr>
          <w:rFonts w:ascii="Times New Roman" w:hAnsi="Times New Roman" w:cs="Times New Roman"/>
          <w:lang w:val="pl-PL"/>
        </w:rPr>
        <w:t xml:space="preserve"> dostępu o</w:t>
      </w:r>
      <w:r w:rsidR="005B009A" w:rsidRPr="000702B6">
        <w:rPr>
          <w:rFonts w:ascii="Times New Roman" w:hAnsi="Times New Roman" w:cs="Times New Roman"/>
          <w:lang w:val="pl-PL"/>
        </w:rPr>
        <w:t>bywateli do nowości i ułatwieniu</w:t>
      </w:r>
      <w:r w:rsidR="00733598" w:rsidRPr="000702B6">
        <w:rPr>
          <w:rFonts w:ascii="Times New Roman" w:hAnsi="Times New Roman" w:cs="Times New Roman"/>
          <w:lang w:val="pl-PL"/>
        </w:rPr>
        <w:t xml:space="preserve"> ogólnego rozpowszechniania informacji " </w:t>
      </w:r>
      <w:r w:rsidR="00A220C6" w:rsidRPr="000702B6">
        <w:rPr>
          <w:rFonts w:ascii="Times New Roman" w:hAnsi="Times New Roman" w:cs="Times New Roman"/>
          <w:lang w:val="pl-PL"/>
        </w:rPr>
        <w:t>(</w:t>
      </w:r>
      <w:r w:rsidR="00733598" w:rsidRPr="000702B6">
        <w:rPr>
          <w:rFonts w:ascii="Times New Roman" w:eastAsia="Times New Roman" w:hAnsi="Times New Roman" w:cs="Times New Roman"/>
          <w:lang w:val="pl-PL"/>
        </w:rPr>
        <w:t>zobacz</w:t>
      </w:r>
      <w:r w:rsidR="00A220C6" w:rsidRPr="000702B6">
        <w:rPr>
          <w:rFonts w:ascii="Times New Roman" w:eastAsia="Times New Roman" w:hAnsi="Times New Roman" w:cs="Times New Roman"/>
          <w:lang w:val="pl-PL"/>
        </w:rPr>
        <w:t xml:space="preserve"> </w:t>
      </w:r>
      <w:proofErr w:type="spellStart"/>
      <w:r w:rsidR="00A220C6" w:rsidRPr="000702B6">
        <w:rPr>
          <w:rFonts w:ascii="Times New Roman" w:hAnsi="Times New Roman" w:cs="Times New Roman"/>
          <w:i/>
          <w:lang w:val="pl-PL"/>
        </w:rPr>
        <w:t>Ahmet</w:t>
      </w:r>
      <w:proofErr w:type="spellEnd"/>
      <w:r w:rsidR="00A220C6" w:rsidRPr="000702B6">
        <w:rPr>
          <w:rFonts w:ascii="Times New Roman" w:hAnsi="Times New Roman" w:cs="Times New Roman"/>
          <w:i/>
          <w:lang w:val="pl-PL"/>
        </w:rPr>
        <w:t xml:space="preserve"> </w:t>
      </w:r>
      <w:proofErr w:type="spellStart"/>
      <w:r w:rsidR="00A220C6" w:rsidRPr="000702B6">
        <w:rPr>
          <w:rFonts w:ascii="Times New Roman" w:hAnsi="Times New Roman" w:cs="Times New Roman"/>
          <w:i/>
          <w:lang w:val="pl-PL"/>
        </w:rPr>
        <w:t>Yıldırım</w:t>
      </w:r>
      <w:proofErr w:type="spellEnd"/>
      <w:r w:rsidR="00A220C6" w:rsidRPr="000702B6">
        <w:rPr>
          <w:rFonts w:ascii="Times New Roman" w:hAnsi="Times New Roman" w:cs="Times New Roman"/>
          <w:lang w:val="pl-PL"/>
        </w:rPr>
        <w:t xml:space="preserve">, </w:t>
      </w:r>
      <w:r w:rsidR="00733598" w:rsidRPr="000702B6">
        <w:rPr>
          <w:rFonts w:ascii="Times New Roman" w:hAnsi="Times New Roman" w:cs="Times New Roman"/>
          <w:lang w:val="pl-PL"/>
        </w:rPr>
        <w:t>cytowany powyżej</w:t>
      </w:r>
      <w:r w:rsidR="00A220C6" w:rsidRPr="000702B6">
        <w:rPr>
          <w:rFonts w:ascii="Times New Roman" w:hAnsi="Times New Roman" w:cs="Times New Roman"/>
          <w:lang w:val="pl-PL"/>
        </w:rPr>
        <w:t>, § 48,</w:t>
      </w:r>
      <w:r w:rsidR="00A220C6" w:rsidRPr="000702B6">
        <w:rPr>
          <w:rFonts w:ascii="Times New Roman" w:hAnsi="Times New Roman" w:cs="Times New Roman"/>
          <w:snapToGrid w:val="0"/>
          <w:lang w:val="pl-PL"/>
        </w:rPr>
        <w:t xml:space="preserve"> </w:t>
      </w:r>
      <w:r w:rsidR="00733598" w:rsidRPr="000702B6">
        <w:rPr>
          <w:rFonts w:ascii="Times New Roman" w:hAnsi="Times New Roman" w:cs="Times New Roman"/>
          <w:snapToGrid w:val="0"/>
          <w:lang w:val="pl-PL"/>
        </w:rPr>
        <w:t>i</w:t>
      </w:r>
      <w:r w:rsidR="00A220C6" w:rsidRPr="000702B6">
        <w:rPr>
          <w:rFonts w:ascii="Times New Roman" w:hAnsi="Times New Roman" w:cs="Times New Roman"/>
          <w:snapToGrid w:val="0"/>
          <w:lang w:val="pl-PL"/>
        </w:rPr>
        <w:t xml:space="preserve"> </w:t>
      </w:r>
      <w:r w:rsidR="00A220C6" w:rsidRPr="000702B6">
        <w:rPr>
          <w:rFonts w:ascii="Times New Roman" w:hAnsi="Times New Roman" w:cs="Times New Roman"/>
          <w:i/>
          <w:lang w:val="pl-PL"/>
        </w:rPr>
        <w:t xml:space="preserve">Times </w:t>
      </w:r>
      <w:proofErr w:type="spellStart"/>
      <w:r w:rsidR="00A220C6" w:rsidRPr="000702B6">
        <w:rPr>
          <w:rFonts w:ascii="Times New Roman" w:hAnsi="Times New Roman" w:cs="Times New Roman"/>
          <w:i/>
          <w:lang w:val="pl-PL"/>
        </w:rPr>
        <w:t>Newspapers</w:t>
      </w:r>
      <w:proofErr w:type="spellEnd"/>
      <w:r w:rsidR="00A220C6" w:rsidRPr="000702B6">
        <w:rPr>
          <w:rFonts w:ascii="Times New Roman" w:hAnsi="Times New Roman" w:cs="Times New Roman"/>
          <w:i/>
          <w:lang w:val="pl-PL"/>
        </w:rPr>
        <w:t xml:space="preserve"> </w:t>
      </w:r>
      <w:proofErr w:type="spellStart"/>
      <w:r w:rsidR="00A220C6" w:rsidRPr="000702B6">
        <w:rPr>
          <w:rFonts w:ascii="Times New Roman" w:hAnsi="Times New Roman" w:cs="Times New Roman"/>
          <w:i/>
          <w:lang w:val="pl-PL"/>
        </w:rPr>
        <w:t>Ltd</w:t>
      </w:r>
      <w:proofErr w:type="spellEnd"/>
      <w:r w:rsidR="00A220C6" w:rsidRPr="000702B6">
        <w:rPr>
          <w:rFonts w:ascii="Times New Roman" w:hAnsi="Times New Roman" w:cs="Times New Roman"/>
          <w:lang w:val="pl-PL"/>
        </w:rPr>
        <w:t xml:space="preserve">, </w:t>
      </w:r>
      <w:r w:rsidR="00733598" w:rsidRPr="000702B6">
        <w:rPr>
          <w:rFonts w:ascii="Times New Roman" w:hAnsi="Times New Roman" w:cs="Times New Roman"/>
          <w:lang w:val="pl-PL"/>
        </w:rPr>
        <w:t>cytowany powyżej</w:t>
      </w:r>
      <w:r w:rsidR="00A220C6" w:rsidRPr="000702B6">
        <w:rPr>
          <w:rFonts w:ascii="Times New Roman" w:hAnsi="Times New Roman" w:cs="Times New Roman"/>
          <w:lang w:val="pl-PL"/>
        </w:rPr>
        <w:t xml:space="preserve">, § 27), </w:t>
      </w:r>
      <w:r w:rsidR="00733598" w:rsidRPr="000702B6">
        <w:rPr>
          <w:rFonts w:ascii="Times New Roman" w:hAnsi="Times New Roman" w:cs="Times New Roman"/>
          <w:lang w:val="pl-PL"/>
        </w:rPr>
        <w:t xml:space="preserve">Trybunał przypomina, że ​​jest również świadomy ryzyka szkód </w:t>
      </w:r>
      <w:r w:rsidR="005B009A" w:rsidRPr="000702B6">
        <w:rPr>
          <w:rFonts w:ascii="Times New Roman" w:hAnsi="Times New Roman" w:cs="Times New Roman"/>
          <w:lang w:val="pl-PL"/>
        </w:rPr>
        <w:t>powodowanych</w:t>
      </w:r>
      <w:r w:rsidR="00733598" w:rsidRPr="000702B6">
        <w:rPr>
          <w:rFonts w:ascii="Times New Roman" w:hAnsi="Times New Roman" w:cs="Times New Roman"/>
          <w:lang w:val="pl-PL"/>
        </w:rPr>
        <w:t xml:space="preserve"> przez treść i komunikację w Internecie </w:t>
      </w:r>
      <w:r w:rsidR="00A220C6" w:rsidRPr="000702B6">
        <w:rPr>
          <w:rFonts w:ascii="Times New Roman" w:hAnsi="Times New Roman" w:cs="Times New Roman"/>
          <w:lang w:val="pl-PL"/>
        </w:rPr>
        <w:t>(</w:t>
      </w:r>
      <w:r w:rsidR="00733598" w:rsidRPr="000702B6">
        <w:rPr>
          <w:rFonts w:ascii="Times New Roman" w:hAnsi="Times New Roman" w:cs="Times New Roman"/>
          <w:lang w:val="pl-PL"/>
        </w:rPr>
        <w:t>zobacz</w:t>
      </w:r>
      <w:r w:rsidR="00A220C6" w:rsidRPr="000702B6">
        <w:rPr>
          <w:rFonts w:ascii="Times New Roman" w:hAnsi="Times New Roman" w:cs="Times New Roman"/>
          <w:lang w:val="pl-PL"/>
        </w:rPr>
        <w:t xml:space="preserve"> </w:t>
      </w:r>
      <w:proofErr w:type="spellStart"/>
      <w:r w:rsidR="00A220C6" w:rsidRPr="000702B6">
        <w:rPr>
          <w:rFonts w:ascii="Times New Roman" w:hAnsi="Times New Roman" w:cs="Times New Roman"/>
          <w:i/>
          <w:lang w:val="pl-PL"/>
        </w:rPr>
        <w:t>Editorial</w:t>
      </w:r>
      <w:proofErr w:type="spellEnd"/>
      <w:r w:rsidR="00A220C6" w:rsidRPr="000702B6">
        <w:rPr>
          <w:rFonts w:ascii="Times New Roman" w:hAnsi="Times New Roman" w:cs="Times New Roman"/>
          <w:i/>
          <w:lang w:val="pl-PL"/>
        </w:rPr>
        <w:t xml:space="preserve"> Board of </w:t>
      </w:r>
      <w:proofErr w:type="spellStart"/>
      <w:r w:rsidR="00A220C6" w:rsidRPr="000702B6">
        <w:rPr>
          <w:rFonts w:ascii="Times New Roman" w:hAnsi="Times New Roman" w:cs="Times New Roman"/>
          <w:lang w:val="pl-PL"/>
        </w:rPr>
        <w:t>Pravoye</w:t>
      </w:r>
      <w:proofErr w:type="spellEnd"/>
      <w:r w:rsidR="00A220C6" w:rsidRPr="000702B6">
        <w:rPr>
          <w:rFonts w:ascii="Times New Roman" w:hAnsi="Times New Roman" w:cs="Times New Roman"/>
          <w:lang w:val="pl-PL"/>
        </w:rPr>
        <w:t xml:space="preserve"> Delo</w:t>
      </w:r>
      <w:r w:rsidR="00A220C6" w:rsidRPr="000702B6">
        <w:rPr>
          <w:rFonts w:ascii="Times New Roman" w:hAnsi="Times New Roman" w:cs="Times New Roman"/>
          <w:i/>
          <w:lang w:val="pl-PL"/>
        </w:rPr>
        <w:t xml:space="preserve"> </w:t>
      </w:r>
      <w:r w:rsidR="00733598" w:rsidRPr="000702B6">
        <w:rPr>
          <w:rFonts w:ascii="Times New Roman" w:hAnsi="Times New Roman" w:cs="Times New Roman"/>
          <w:i/>
          <w:lang w:val="pl-PL"/>
        </w:rPr>
        <w:t>i</w:t>
      </w:r>
      <w:r w:rsidR="00A220C6" w:rsidRPr="000702B6">
        <w:rPr>
          <w:rFonts w:ascii="Times New Roman" w:hAnsi="Times New Roman" w:cs="Times New Roman"/>
          <w:i/>
          <w:lang w:val="pl-PL"/>
        </w:rPr>
        <w:t xml:space="preserve"> </w:t>
      </w:r>
      <w:proofErr w:type="spellStart"/>
      <w:r w:rsidR="00A220C6" w:rsidRPr="000702B6">
        <w:rPr>
          <w:rFonts w:ascii="Times New Roman" w:hAnsi="Times New Roman" w:cs="Times New Roman"/>
          <w:i/>
          <w:lang w:val="pl-PL"/>
        </w:rPr>
        <w:t>Shtekel</w:t>
      </w:r>
      <w:proofErr w:type="spellEnd"/>
      <w:r w:rsidR="00A220C6" w:rsidRPr="000702B6">
        <w:rPr>
          <w:rFonts w:ascii="Times New Roman" w:hAnsi="Times New Roman" w:cs="Times New Roman"/>
          <w:lang w:val="pl-PL"/>
        </w:rPr>
        <w:t xml:space="preserve">, </w:t>
      </w:r>
      <w:r w:rsidR="00733598" w:rsidRPr="000702B6">
        <w:rPr>
          <w:rFonts w:ascii="Times New Roman" w:hAnsi="Times New Roman" w:cs="Times New Roman"/>
          <w:lang w:val="pl-PL"/>
        </w:rPr>
        <w:t>cytowany powyżej</w:t>
      </w:r>
      <w:r w:rsidR="00A220C6" w:rsidRPr="000702B6">
        <w:rPr>
          <w:rFonts w:ascii="Times New Roman" w:hAnsi="Times New Roman" w:cs="Times New Roman"/>
          <w:lang w:val="pl-PL"/>
        </w:rPr>
        <w:t xml:space="preserve">, § 63; </w:t>
      </w:r>
      <w:r w:rsidR="00733598" w:rsidRPr="000702B6">
        <w:rPr>
          <w:rFonts w:ascii="Times New Roman" w:hAnsi="Times New Roman" w:cs="Times New Roman"/>
          <w:lang w:val="pl-PL"/>
        </w:rPr>
        <w:t>zobacz także</w:t>
      </w:r>
      <w:r w:rsidR="00A220C6" w:rsidRPr="000702B6">
        <w:rPr>
          <w:rFonts w:ascii="Times New Roman" w:hAnsi="Times New Roman" w:cs="Times New Roman"/>
          <w:lang w:val="pl-PL"/>
        </w:rPr>
        <w:t xml:space="preserve"> </w:t>
      </w:r>
      <w:proofErr w:type="spellStart"/>
      <w:r w:rsidR="00A220C6" w:rsidRPr="000702B6">
        <w:rPr>
          <w:rFonts w:ascii="Times New Roman" w:hAnsi="Times New Roman" w:cs="Times New Roman"/>
          <w:i/>
          <w:lang w:val="pl-PL"/>
        </w:rPr>
        <w:t>Mosley</w:t>
      </w:r>
      <w:proofErr w:type="spellEnd"/>
      <w:r w:rsidR="00A220C6" w:rsidRPr="000702B6">
        <w:rPr>
          <w:rFonts w:ascii="Times New Roman" w:hAnsi="Times New Roman" w:cs="Times New Roman"/>
          <w:lang w:val="pl-PL"/>
        </w:rPr>
        <w:t xml:space="preserve">, </w:t>
      </w:r>
      <w:r w:rsidR="00733598" w:rsidRPr="000702B6">
        <w:rPr>
          <w:rFonts w:ascii="Times New Roman" w:hAnsi="Times New Roman" w:cs="Times New Roman"/>
          <w:lang w:val="pl-PL"/>
        </w:rPr>
        <w:t>cytowany powyżej</w:t>
      </w:r>
      <w:r w:rsidR="00A220C6" w:rsidRPr="000702B6">
        <w:rPr>
          <w:rFonts w:ascii="Times New Roman" w:hAnsi="Times New Roman" w:cs="Times New Roman"/>
          <w:snapToGrid w:val="0"/>
          <w:szCs w:val="24"/>
          <w:lang w:val="pl-PL"/>
        </w:rPr>
        <w:t>, § 130).</w:t>
      </w:r>
    </w:p>
    <w:p w:rsidR="00B413BF" w:rsidRPr="000702B6"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158</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733598" w:rsidRPr="000702B6">
        <w:rPr>
          <w:rFonts w:ascii="Times New Roman" w:hAnsi="Times New Roman" w:cs="Times New Roman"/>
          <w:lang w:val="pl-PL"/>
        </w:rPr>
        <w:t xml:space="preserve">Ponadto, w zależności od okoliczności, może nie być </w:t>
      </w:r>
      <w:r w:rsidR="00676D68" w:rsidRPr="000702B6">
        <w:rPr>
          <w:rFonts w:ascii="Times New Roman" w:hAnsi="Times New Roman" w:cs="Times New Roman"/>
          <w:lang w:val="pl-PL"/>
        </w:rPr>
        <w:t>możliwości</w:t>
      </w:r>
      <w:r w:rsidR="00733598" w:rsidRPr="000702B6">
        <w:rPr>
          <w:rFonts w:ascii="Times New Roman" w:hAnsi="Times New Roman" w:cs="Times New Roman"/>
          <w:lang w:val="pl-PL"/>
        </w:rPr>
        <w:t xml:space="preserve"> zidentyfikowania indywidualnych ofiar, na przykład w niektórych przypadkach mowy nienawiści skierowanej przeciwko grupie osób lub mowy bezpośrednio nawołujące</w:t>
      </w:r>
      <w:r w:rsidR="00676D68" w:rsidRPr="000702B6">
        <w:rPr>
          <w:rFonts w:ascii="Times New Roman" w:hAnsi="Times New Roman" w:cs="Times New Roman"/>
          <w:lang w:val="pl-PL"/>
        </w:rPr>
        <w:t>j do przemocy podobnych do</w:t>
      </w:r>
      <w:r w:rsidR="00733598" w:rsidRPr="000702B6">
        <w:rPr>
          <w:rFonts w:ascii="Times New Roman" w:hAnsi="Times New Roman" w:cs="Times New Roman"/>
          <w:lang w:val="pl-PL"/>
        </w:rPr>
        <w:t xml:space="preserve"> przejawia</w:t>
      </w:r>
      <w:r w:rsidR="00676D68" w:rsidRPr="000702B6">
        <w:rPr>
          <w:rFonts w:ascii="Times New Roman" w:hAnsi="Times New Roman" w:cs="Times New Roman"/>
          <w:lang w:val="pl-PL"/>
        </w:rPr>
        <w:t>jącej</w:t>
      </w:r>
      <w:r w:rsidR="00733598" w:rsidRPr="000702B6">
        <w:rPr>
          <w:rFonts w:ascii="Times New Roman" w:hAnsi="Times New Roman" w:cs="Times New Roman"/>
          <w:lang w:val="pl-PL"/>
        </w:rPr>
        <w:t xml:space="preserve"> się w kilku komentarzach w niniejszej sprawie. W przypadkach, gdy istnieje </w:t>
      </w:r>
      <w:r w:rsidR="00676D68" w:rsidRPr="000702B6">
        <w:rPr>
          <w:rFonts w:ascii="Times New Roman" w:hAnsi="Times New Roman" w:cs="Times New Roman"/>
          <w:lang w:val="pl-PL"/>
        </w:rPr>
        <w:t>indywidualna ofiara</w:t>
      </w:r>
      <w:r w:rsidR="00733598" w:rsidRPr="000702B6">
        <w:rPr>
          <w:rFonts w:ascii="Times New Roman" w:hAnsi="Times New Roman" w:cs="Times New Roman"/>
          <w:lang w:val="pl-PL"/>
        </w:rPr>
        <w:t>, może on</w:t>
      </w:r>
      <w:r w:rsidR="00676D68" w:rsidRPr="000702B6">
        <w:rPr>
          <w:rFonts w:ascii="Times New Roman" w:hAnsi="Times New Roman" w:cs="Times New Roman"/>
          <w:lang w:val="pl-PL"/>
        </w:rPr>
        <w:t>a być pozbawiona możliwości powiadomie</w:t>
      </w:r>
      <w:r w:rsidR="00733598" w:rsidRPr="000702B6">
        <w:rPr>
          <w:rFonts w:ascii="Times New Roman" w:hAnsi="Times New Roman" w:cs="Times New Roman"/>
          <w:lang w:val="pl-PL"/>
        </w:rPr>
        <w:t xml:space="preserve">nia dostawcy usług internetowych o domniemanym naruszeniem jej praw. Trybunał </w:t>
      </w:r>
      <w:r w:rsidR="005B009A" w:rsidRPr="000702B6">
        <w:rPr>
          <w:rFonts w:ascii="Times New Roman" w:hAnsi="Times New Roman" w:cs="Times New Roman"/>
          <w:lang w:val="pl-PL"/>
        </w:rPr>
        <w:t>ma również wzgląd na to</w:t>
      </w:r>
      <w:r w:rsidR="00733598" w:rsidRPr="000702B6">
        <w:rPr>
          <w:rFonts w:ascii="Times New Roman" w:hAnsi="Times New Roman" w:cs="Times New Roman"/>
          <w:lang w:val="pl-PL"/>
        </w:rPr>
        <w:t>, że zdolność potencjaln</w:t>
      </w:r>
      <w:r w:rsidR="00676D68" w:rsidRPr="000702B6">
        <w:rPr>
          <w:rFonts w:ascii="Times New Roman" w:hAnsi="Times New Roman" w:cs="Times New Roman"/>
          <w:lang w:val="pl-PL"/>
        </w:rPr>
        <w:t>ej ofiary mowy nienawiści do stałego monitorowania Internetu</w:t>
      </w:r>
      <w:r w:rsidR="00733598" w:rsidRPr="000702B6">
        <w:rPr>
          <w:rFonts w:ascii="Times New Roman" w:hAnsi="Times New Roman" w:cs="Times New Roman"/>
          <w:lang w:val="pl-PL"/>
        </w:rPr>
        <w:t xml:space="preserve"> jest bardziej ograniczona niż zdolność dużego </w:t>
      </w:r>
      <w:r w:rsidR="00676D68" w:rsidRPr="000702B6">
        <w:rPr>
          <w:rFonts w:ascii="Times New Roman" w:hAnsi="Times New Roman" w:cs="Times New Roman"/>
          <w:lang w:val="pl-PL"/>
        </w:rPr>
        <w:t xml:space="preserve">komercyjnego internetowego </w:t>
      </w:r>
      <w:r w:rsidR="00733598" w:rsidRPr="000702B6">
        <w:rPr>
          <w:rFonts w:ascii="Times New Roman" w:hAnsi="Times New Roman" w:cs="Times New Roman"/>
          <w:lang w:val="pl-PL"/>
        </w:rPr>
        <w:t xml:space="preserve">portalu </w:t>
      </w:r>
      <w:r w:rsidR="00676D68" w:rsidRPr="000702B6">
        <w:rPr>
          <w:rFonts w:ascii="Times New Roman" w:hAnsi="Times New Roman" w:cs="Times New Roman"/>
          <w:lang w:val="pl-PL"/>
        </w:rPr>
        <w:t>informacyjnego</w:t>
      </w:r>
      <w:r w:rsidR="00733598" w:rsidRPr="000702B6">
        <w:rPr>
          <w:rFonts w:ascii="Times New Roman" w:hAnsi="Times New Roman" w:cs="Times New Roman"/>
          <w:lang w:val="pl-PL"/>
        </w:rPr>
        <w:t xml:space="preserve">, aby zapobiec lub szybko usunąć te </w:t>
      </w:r>
      <w:r w:rsidR="00676D68" w:rsidRPr="000702B6">
        <w:rPr>
          <w:rFonts w:ascii="Times New Roman" w:hAnsi="Times New Roman" w:cs="Times New Roman"/>
          <w:lang w:val="pl-PL"/>
        </w:rPr>
        <w:t>komentarze</w:t>
      </w:r>
      <w:r w:rsidR="00A220C6" w:rsidRPr="000702B6">
        <w:rPr>
          <w:rFonts w:ascii="Times New Roman" w:hAnsi="Times New Roman" w:cs="Times New Roman"/>
          <w:lang w:val="pl-PL"/>
        </w:rPr>
        <w:t>.</w:t>
      </w:r>
    </w:p>
    <w:p w:rsidR="00B413BF" w:rsidRPr="00B45853" w:rsidRDefault="00DD67A4" w:rsidP="00171A6F">
      <w:pPr>
        <w:pStyle w:val="ECHRPara"/>
        <w:rPr>
          <w:rFonts w:ascii="Times New Roman" w:hAnsi="Times New Roman" w:cs="Times New Roman"/>
          <w:lang w:val="pl-PL"/>
        </w:rPr>
      </w:pPr>
      <w:r w:rsidRPr="000702B6">
        <w:rPr>
          <w:rFonts w:ascii="Times New Roman" w:hAnsi="Times New Roman" w:cs="Times New Roman"/>
          <w:lang w:val="en-GB"/>
        </w:rPr>
        <w:fldChar w:fldCharType="begin"/>
      </w:r>
      <w:r w:rsidR="00A220C6" w:rsidRPr="000702B6">
        <w:rPr>
          <w:rFonts w:ascii="Times New Roman" w:hAnsi="Times New Roman" w:cs="Times New Roman"/>
          <w:lang w:val="pl-PL"/>
        </w:rPr>
        <w:instrText xml:space="preserve"> SEQ level0 \*arabic </w:instrText>
      </w:r>
      <w:r w:rsidRPr="000702B6">
        <w:rPr>
          <w:rFonts w:ascii="Times New Roman" w:hAnsi="Times New Roman" w:cs="Times New Roman"/>
          <w:lang w:val="en-GB"/>
        </w:rPr>
        <w:fldChar w:fldCharType="separate"/>
      </w:r>
      <w:r w:rsidR="002F0EE0" w:rsidRPr="000702B6">
        <w:rPr>
          <w:rFonts w:ascii="Times New Roman" w:hAnsi="Times New Roman" w:cs="Times New Roman"/>
          <w:noProof/>
          <w:lang w:val="pl-PL"/>
        </w:rPr>
        <w:t>159</w:t>
      </w:r>
      <w:r w:rsidRPr="000702B6">
        <w:rPr>
          <w:rFonts w:ascii="Times New Roman" w:hAnsi="Times New Roman" w:cs="Times New Roman"/>
          <w:lang w:val="en-GB"/>
        </w:rPr>
        <w:fldChar w:fldCharType="end"/>
      </w:r>
      <w:r w:rsidR="00A220C6" w:rsidRPr="000702B6">
        <w:rPr>
          <w:rFonts w:ascii="Times New Roman" w:hAnsi="Times New Roman" w:cs="Times New Roman"/>
          <w:lang w:val="pl-PL"/>
        </w:rPr>
        <w:t>.  </w:t>
      </w:r>
      <w:r w:rsidR="00676D68" w:rsidRPr="000702B6">
        <w:rPr>
          <w:rFonts w:ascii="Times New Roman" w:hAnsi="Times New Roman" w:cs="Times New Roman"/>
          <w:lang w:val="pl-PL"/>
        </w:rPr>
        <w:t xml:space="preserve">Wreszcie, Trybunał zauważa, że ​​skarżąca spółka argumentowała </w:t>
      </w:r>
      <w:r w:rsidR="00A220C6" w:rsidRPr="000702B6">
        <w:rPr>
          <w:rFonts w:ascii="Times New Roman" w:hAnsi="Times New Roman" w:cs="Times New Roman"/>
          <w:lang w:val="pl-PL"/>
        </w:rPr>
        <w:t>(</w:t>
      </w:r>
      <w:r w:rsidR="00FA161B" w:rsidRPr="000702B6">
        <w:rPr>
          <w:rFonts w:ascii="Times New Roman" w:hAnsi="Times New Roman" w:cs="Times New Roman"/>
          <w:lang w:val="pl-PL"/>
        </w:rPr>
        <w:t>zobacz paragraf</w:t>
      </w:r>
      <w:r w:rsidR="00A220C6" w:rsidRPr="000702B6">
        <w:rPr>
          <w:rFonts w:ascii="Times New Roman" w:hAnsi="Times New Roman" w:cs="Times New Roman"/>
          <w:lang w:val="pl-PL"/>
        </w:rPr>
        <w:t xml:space="preserve"> </w:t>
      </w:r>
      <w:r w:rsidR="00B23BBD" w:rsidRPr="000702B6">
        <w:rPr>
          <w:rFonts w:ascii="Times New Roman" w:hAnsi="Times New Roman" w:cs="Times New Roman"/>
          <w:noProof/>
          <w:lang w:val="pl-PL"/>
        </w:rPr>
        <w:t>78</w:t>
      </w:r>
      <w:r w:rsidR="00A220C6" w:rsidRPr="000702B6">
        <w:rPr>
          <w:rFonts w:ascii="Times New Roman" w:hAnsi="Times New Roman" w:cs="Times New Roman"/>
          <w:lang w:val="pl-PL"/>
        </w:rPr>
        <w:t xml:space="preserve"> </w:t>
      </w:r>
      <w:r w:rsidR="00FA161B" w:rsidRPr="000702B6">
        <w:rPr>
          <w:rFonts w:ascii="Times New Roman" w:hAnsi="Times New Roman" w:cs="Times New Roman"/>
          <w:lang w:val="pl-PL"/>
        </w:rPr>
        <w:t>powyżej</w:t>
      </w:r>
      <w:r w:rsidR="00A220C6" w:rsidRPr="000702B6">
        <w:rPr>
          <w:rFonts w:ascii="Times New Roman" w:hAnsi="Times New Roman" w:cs="Times New Roman"/>
          <w:lang w:val="pl-PL"/>
        </w:rPr>
        <w:t>)</w:t>
      </w:r>
      <w:r w:rsidR="00FA161B" w:rsidRPr="000702B6">
        <w:rPr>
          <w:rFonts w:ascii="Times New Roman" w:hAnsi="Times New Roman" w:cs="Times New Roman"/>
          <w:lang w:val="pl-PL"/>
        </w:rPr>
        <w:t>,</w:t>
      </w:r>
      <w:r w:rsidR="00A220C6" w:rsidRPr="000702B6">
        <w:rPr>
          <w:rFonts w:ascii="Times New Roman" w:hAnsi="Times New Roman" w:cs="Times New Roman"/>
          <w:lang w:val="pl-PL"/>
        </w:rPr>
        <w:t xml:space="preserve"> </w:t>
      </w:r>
      <w:r w:rsidR="00676D68" w:rsidRPr="000702B6">
        <w:rPr>
          <w:rFonts w:ascii="Times New Roman" w:hAnsi="Times New Roman" w:cs="Times New Roman"/>
          <w:lang w:val="pl-PL"/>
        </w:rPr>
        <w:t>że Trybunał powinien mieć na względzie, że już wprowadziła system powiadamiania i usuwania. Jeśli towarzyszy on skutecznym procedurom umożliwiającym szybkie reagowanie, system ten może z punktu widzenia Trybunału funkcjonować w wielu przypadkach jako właściwe narzędzie do zrównoważenia praw</w:t>
      </w:r>
      <w:r w:rsidR="00676D68" w:rsidRPr="00B45853">
        <w:rPr>
          <w:rFonts w:ascii="Times New Roman" w:hAnsi="Times New Roman" w:cs="Times New Roman"/>
          <w:lang w:val="pl-PL"/>
        </w:rPr>
        <w:t xml:space="preserve"> i interesów wszystkich </w:t>
      </w:r>
      <w:r w:rsidR="00676D68" w:rsidRPr="00B45853">
        <w:rPr>
          <w:rFonts w:ascii="Times New Roman" w:hAnsi="Times New Roman" w:cs="Times New Roman"/>
          <w:lang w:val="pl-PL"/>
        </w:rPr>
        <w:lastRenderedPageBreak/>
        <w:t>zainteresowanych. Jednakże w przypadkach takich jak w niniejszej sprawie</w:t>
      </w:r>
      <w:r w:rsidR="005B009A">
        <w:rPr>
          <w:rFonts w:ascii="Times New Roman" w:hAnsi="Times New Roman" w:cs="Times New Roman"/>
          <w:lang w:val="pl-PL"/>
        </w:rPr>
        <w:t>, gdzie komentarze użytkowników</w:t>
      </w:r>
      <w:r w:rsidR="00676D68" w:rsidRPr="00B45853">
        <w:rPr>
          <w:rFonts w:ascii="Times New Roman" w:hAnsi="Times New Roman" w:cs="Times New Roman"/>
          <w:lang w:val="pl-PL"/>
        </w:rPr>
        <w:t xml:space="preserve">, </w:t>
      </w:r>
      <w:r w:rsidR="00113BEA">
        <w:rPr>
          <w:rFonts w:ascii="Times New Roman" w:hAnsi="Times New Roman" w:cs="Times New Roman"/>
          <w:lang w:val="pl-PL"/>
        </w:rPr>
        <w:t>przyjmują wyraz</w:t>
      </w:r>
      <w:r w:rsidR="00676D68" w:rsidRPr="00B45853">
        <w:rPr>
          <w:rFonts w:ascii="Times New Roman" w:hAnsi="Times New Roman" w:cs="Times New Roman"/>
          <w:lang w:val="pl-PL"/>
        </w:rPr>
        <w:t xml:space="preserve"> mowy nienawiści </w:t>
      </w:r>
      <w:r w:rsidR="0012684B">
        <w:rPr>
          <w:rFonts w:ascii="Times New Roman" w:hAnsi="Times New Roman" w:cs="Times New Roman"/>
          <w:lang w:val="pl-PL"/>
        </w:rPr>
        <w:br/>
      </w:r>
      <w:r w:rsidR="00676D68" w:rsidRPr="00B45853">
        <w:rPr>
          <w:rFonts w:ascii="Times New Roman" w:hAnsi="Times New Roman" w:cs="Times New Roman"/>
          <w:lang w:val="pl-PL"/>
        </w:rPr>
        <w:t>i bezpośredniego zagrożenia dla integralności fizycznej osób, w rozumieniu orzecznictwa Trybunału</w:t>
      </w:r>
      <w:r w:rsidR="00A220C6" w:rsidRPr="00B45853">
        <w:rPr>
          <w:rFonts w:ascii="Times New Roman" w:hAnsi="Times New Roman" w:cs="Times New Roman"/>
          <w:lang w:val="pl-PL"/>
        </w:rPr>
        <w:t xml:space="preserve"> (</w:t>
      </w:r>
      <w:r w:rsidR="00676D68" w:rsidRPr="00B45853">
        <w:rPr>
          <w:rFonts w:ascii="Times New Roman" w:hAnsi="Times New Roman" w:cs="Times New Roman"/>
          <w:lang w:val="pl-PL"/>
        </w:rPr>
        <w:t>zobacz paragraf</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136</w:t>
      </w:r>
      <w:r w:rsidR="00A220C6" w:rsidRPr="00B45853">
        <w:rPr>
          <w:rFonts w:ascii="Times New Roman" w:hAnsi="Times New Roman" w:cs="Times New Roman"/>
          <w:lang w:val="pl-PL"/>
        </w:rPr>
        <w:t xml:space="preserve"> </w:t>
      </w:r>
      <w:r w:rsidR="00676D68" w:rsidRPr="00B45853">
        <w:rPr>
          <w:rFonts w:ascii="Times New Roman" w:hAnsi="Times New Roman" w:cs="Times New Roman"/>
          <w:lang w:val="pl-PL"/>
        </w:rPr>
        <w:t>powyżej</w:t>
      </w:r>
      <w:r w:rsidR="00A220C6" w:rsidRPr="00B45853">
        <w:rPr>
          <w:rFonts w:ascii="Times New Roman" w:hAnsi="Times New Roman" w:cs="Times New Roman"/>
          <w:lang w:val="pl-PL"/>
        </w:rPr>
        <w:t xml:space="preserve">), </w:t>
      </w:r>
      <w:r w:rsidR="00676D68" w:rsidRPr="00B45853">
        <w:rPr>
          <w:rFonts w:ascii="Times New Roman" w:hAnsi="Times New Roman" w:cs="Times New Roman"/>
          <w:lang w:val="pl-PL"/>
        </w:rPr>
        <w:t>Trybunał uważa, jak stwierdzono powyżej</w:t>
      </w:r>
      <w:r w:rsidR="00A220C6" w:rsidRPr="00B45853">
        <w:rPr>
          <w:rFonts w:ascii="Times New Roman" w:hAnsi="Times New Roman" w:cs="Times New Roman"/>
          <w:lang w:val="pl-PL"/>
        </w:rPr>
        <w:t xml:space="preserve"> (</w:t>
      </w:r>
      <w:r w:rsidR="00676D68" w:rsidRPr="00B45853">
        <w:rPr>
          <w:rFonts w:ascii="Times New Roman" w:hAnsi="Times New Roman" w:cs="Times New Roman"/>
          <w:lang w:val="pl-PL"/>
        </w:rPr>
        <w:t>zobacz paragraf</w:t>
      </w:r>
      <w:r w:rsidR="00A220C6" w:rsidRPr="00B45853">
        <w:rPr>
          <w:rFonts w:ascii="Times New Roman" w:hAnsi="Times New Roman" w:cs="Times New Roman"/>
          <w:lang w:val="pl-PL"/>
        </w:rPr>
        <w:t xml:space="preserve"> </w:t>
      </w:r>
      <w:r w:rsidR="00B23BBD" w:rsidRPr="00B45853">
        <w:rPr>
          <w:rFonts w:ascii="Times New Roman" w:hAnsi="Times New Roman" w:cs="Times New Roman"/>
          <w:noProof/>
          <w:lang w:val="pl-PL"/>
        </w:rPr>
        <w:t>153</w:t>
      </w:r>
      <w:r w:rsidR="00A220C6" w:rsidRPr="00B45853">
        <w:rPr>
          <w:rFonts w:ascii="Times New Roman" w:hAnsi="Times New Roman" w:cs="Times New Roman"/>
          <w:lang w:val="pl-PL"/>
        </w:rPr>
        <w:t xml:space="preserve">), </w:t>
      </w:r>
      <w:r w:rsidR="00676D68" w:rsidRPr="00B45853">
        <w:rPr>
          <w:rFonts w:ascii="Times New Roman" w:hAnsi="Times New Roman" w:cs="Times New Roman"/>
          <w:lang w:val="pl-PL"/>
        </w:rPr>
        <w:t xml:space="preserve">że prawa i interesy innych </w:t>
      </w:r>
      <w:r w:rsidR="0012684B">
        <w:rPr>
          <w:rFonts w:ascii="Times New Roman" w:hAnsi="Times New Roman" w:cs="Times New Roman"/>
          <w:lang w:val="pl-PL"/>
        </w:rPr>
        <w:br/>
      </w:r>
      <w:r w:rsidR="00CA44D1">
        <w:rPr>
          <w:rFonts w:ascii="Times New Roman" w:hAnsi="Times New Roman" w:cs="Times New Roman"/>
          <w:lang w:val="pl-PL"/>
        </w:rPr>
        <w:t>oraz</w:t>
      </w:r>
      <w:r w:rsidR="00676D68" w:rsidRPr="00B45853">
        <w:rPr>
          <w:rFonts w:ascii="Times New Roman" w:hAnsi="Times New Roman" w:cs="Times New Roman"/>
          <w:lang w:val="pl-PL"/>
        </w:rPr>
        <w:t xml:space="preserve"> społeczeństwa jako całości mogą upoważniać umawiające się państwa do nałożenia </w:t>
      </w:r>
      <w:r w:rsidR="00676D68" w:rsidRPr="00196363">
        <w:rPr>
          <w:rFonts w:ascii="Times New Roman" w:hAnsi="Times New Roman" w:cs="Times New Roman"/>
          <w:lang w:val="pl-PL"/>
        </w:rPr>
        <w:t xml:space="preserve">odpowiedzialności na internetowe portale informacyjne, bez naruszania Artykułu 10 Konwencji, jeżeli nie podejmą niezwłocznie środków do usuwania komentarzy wyraźnie niezgodnych z prawem, nawet bez </w:t>
      </w:r>
      <w:r w:rsidR="00D66BE1" w:rsidRPr="00196363">
        <w:rPr>
          <w:rFonts w:ascii="Times New Roman" w:hAnsi="Times New Roman" w:cs="Times New Roman"/>
          <w:lang w:val="pl-PL"/>
        </w:rPr>
        <w:t>uwagi ze strony</w:t>
      </w:r>
      <w:r w:rsidR="00676D68" w:rsidRPr="00196363">
        <w:rPr>
          <w:rFonts w:ascii="Times New Roman" w:hAnsi="Times New Roman" w:cs="Times New Roman"/>
          <w:lang w:val="pl-PL"/>
        </w:rPr>
        <w:t xml:space="preserve"> domniemanej ofiary lub od </w:t>
      </w:r>
      <w:r w:rsidR="00F64EAB" w:rsidRPr="00196363">
        <w:rPr>
          <w:rFonts w:ascii="Times New Roman" w:hAnsi="Times New Roman" w:cs="Times New Roman"/>
          <w:lang w:val="pl-PL"/>
        </w:rPr>
        <w:t>osób trzecich</w:t>
      </w:r>
      <w:r w:rsidR="00676D68" w:rsidRPr="00196363">
        <w:rPr>
          <w:rFonts w:ascii="Times New Roman" w:hAnsi="Times New Roman" w:cs="Times New Roman"/>
          <w:lang w:val="pl-PL"/>
        </w:rPr>
        <w:t>.</w:t>
      </w:r>
    </w:p>
    <w:p w:rsidR="00A220C6" w:rsidRPr="00B45853" w:rsidRDefault="00887A51" w:rsidP="00171A6F">
      <w:pPr>
        <w:pStyle w:val="ECHRHeading5"/>
        <w:rPr>
          <w:rFonts w:ascii="Times New Roman" w:hAnsi="Times New Roman" w:cs="Times New Roman"/>
          <w:lang w:val="pl-PL"/>
        </w:rPr>
      </w:pPr>
      <w:r w:rsidRPr="00B45853">
        <w:rPr>
          <w:rFonts w:ascii="Times New Roman" w:hAnsi="Times New Roman" w:cs="Times New Roman"/>
          <w:lang w:val="pl-PL"/>
        </w:rPr>
        <w:t>(v)</w:t>
      </w:r>
      <w:r w:rsidR="00A220C6" w:rsidRPr="00B45853">
        <w:rPr>
          <w:rFonts w:ascii="Times New Roman" w:hAnsi="Times New Roman" w:cs="Times New Roman"/>
          <w:lang w:val="pl-PL"/>
        </w:rPr>
        <w:t> </w:t>
      </w:r>
      <w:r w:rsidR="00A7055B" w:rsidRPr="00B45853">
        <w:rPr>
          <w:rFonts w:ascii="Times New Roman" w:hAnsi="Times New Roman" w:cs="Times New Roman"/>
          <w:lang w:val="pl-PL"/>
        </w:rPr>
        <w:t>Konsekwencje dla skarżącej spółki</w:t>
      </w:r>
    </w:p>
    <w:p w:rsidR="00B413BF" w:rsidRPr="0019636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160</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D66BE1" w:rsidRPr="00B45853">
        <w:rPr>
          <w:rFonts w:ascii="Times New Roman" w:hAnsi="Times New Roman" w:cs="Times New Roman"/>
          <w:lang w:val="pl-PL"/>
        </w:rPr>
        <w:t xml:space="preserve">Wreszcie zwraca się z pytaniem, jakie konsekwencje wynikały z postępowania </w:t>
      </w:r>
      <w:r w:rsidR="00D66BE1" w:rsidRPr="00196363">
        <w:rPr>
          <w:rFonts w:ascii="Times New Roman" w:hAnsi="Times New Roman" w:cs="Times New Roman"/>
          <w:lang w:val="pl-PL"/>
        </w:rPr>
        <w:t xml:space="preserve">krajowego wobec </w:t>
      </w:r>
      <w:r w:rsidR="00F64EAB" w:rsidRPr="00196363">
        <w:rPr>
          <w:rFonts w:ascii="Times New Roman" w:hAnsi="Times New Roman" w:cs="Times New Roman"/>
          <w:lang w:val="pl-PL"/>
        </w:rPr>
        <w:t>skarżącej spółki</w:t>
      </w:r>
      <w:r w:rsidR="00D66BE1" w:rsidRPr="00196363">
        <w:rPr>
          <w:rFonts w:ascii="Times New Roman" w:hAnsi="Times New Roman" w:cs="Times New Roman"/>
          <w:lang w:val="pl-PL"/>
        </w:rPr>
        <w:t xml:space="preserve">, Trybunał zauważa, że ​​spółka została zobowiązana do zapłaty poszkodowanemu równowartości 320 EUR tytułem </w:t>
      </w:r>
      <w:r w:rsidR="00F64EAB" w:rsidRPr="00196363">
        <w:rPr>
          <w:rFonts w:ascii="Times New Roman" w:hAnsi="Times New Roman" w:cs="Times New Roman"/>
          <w:lang w:val="pl-PL"/>
        </w:rPr>
        <w:t>odszkodowania</w:t>
      </w:r>
      <w:r w:rsidR="00D66BE1" w:rsidRPr="00196363">
        <w:rPr>
          <w:rFonts w:ascii="Times New Roman" w:hAnsi="Times New Roman" w:cs="Times New Roman"/>
          <w:lang w:val="pl-PL"/>
        </w:rPr>
        <w:t xml:space="preserve"> za szkodę niemajątkową. Zgadza się ze stwierdzeniem Izby, że ta kwota, biorąc również pod uwagę fakt, że skarżąca spółka była profesjonalnym operatorem jednego z największych internetowych portali informacyjnych w Estonii, nie można w żadnym wyp</w:t>
      </w:r>
      <w:r w:rsidR="00F64EAB" w:rsidRPr="00196363">
        <w:rPr>
          <w:rFonts w:ascii="Times New Roman" w:hAnsi="Times New Roman" w:cs="Times New Roman"/>
          <w:lang w:val="pl-PL"/>
        </w:rPr>
        <w:t>adku uznać za nieproporcjonalne</w:t>
      </w:r>
      <w:r w:rsidR="00D66BE1" w:rsidRPr="00196363">
        <w:rPr>
          <w:rFonts w:ascii="Times New Roman" w:hAnsi="Times New Roman" w:cs="Times New Roman"/>
          <w:lang w:val="pl-PL"/>
        </w:rPr>
        <w:t xml:space="preserve"> naruszenie</w:t>
      </w:r>
      <w:r w:rsidR="00887A51" w:rsidRPr="00196363">
        <w:rPr>
          <w:rFonts w:ascii="Times New Roman" w:hAnsi="Times New Roman" w:cs="Times New Roman"/>
          <w:lang w:val="pl-PL"/>
        </w:rPr>
        <w:t xml:space="preserve"> ustanowione przez sądy krajowe</w:t>
      </w:r>
      <w:r w:rsidR="00A220C6" w:rsidRPr="00196363">
        <w:rPr>
          <w:rFonts w:ascii="Times New Roman" w:hAnsi="Times New Roman" w:cs="Times New Roman"/>
          <w:lang w:val="pl-PL"/>
        </w:rPr>
        <w:t xml:space="preserve"> (</w:t>
      </w:r>
      <w:r w:rsidR="00D66BE1" w:rsidRPr="00196363">
        <w:rPr>
          <w:rFonts w:ascii="Times New Roman" w:hAnsi="Times New Roman" w:cs="Times New Roman"/>
          <w:lang w:val="pl-PL"/>
        </w:rPr>
        <w:t>zobacz paragraf</w:t>
      </w:r>
      <w:r w:rsidR="00A220C6" w:rsidRPr="00196363">
        <w:rPr>
          <w:rFonts w:ascii="Times New Roman" w:hAnsi="Times New Roman" w:cs="Times New Roman"/>
          <w:lang w:val="pl-PL"/>
        </w:rPr>
        <w:t xml:space="preserve"> 93 </w:t>
      </w:r>
      <w:r w:rsidR="00D66BE1" w:rsidRPr="00196363">
        <w:rPr>
          <w:rFonts w:ascii="Times New Roman" w:hAnsi="Times New Roman" w:cs="Times New Roman"/>
          <w:lang w:val="pl-PL"/>
        </w:rPr>
        <w:t>wyroku Izby</w:t>
      </w:r>
      <w:r w:rsidR="00A220C6" w:rsidRPr="00196363">
        <w:rPr>
          <w:rFonts w:ascii="Times New Roman" w:hAnsi="Times New Roman" w:cs="Times New Roman"/>
          <w:lang w:val="pl-PL"/>
        </w:rPr>
        <w:t xml:space="preserve">). </w:t>
      </w:r>
      <w:r w:rsidR="00D66BE1" w:rsidRPr="00196363">
        <w:rPr>
          <w:rFonts w:ascii="Times New Roman" w:hAnsi="Times New Roman" w:cs="Times New Roman"/>
          <w:lang w:val="pl-PL"/>
        </w:rPr>
        <w:t xml:space="preserve">Trybunał zauważa w związku z tym, że miał również na uwadze </w:t>
      </w:r>
      <w:r w:rsidR="00EF71B9">
        <w:rPr>
          <w:rFonts w:ascii="Times New Roman" w:hAnsi="Times New Roman" w:cs="Times New Roman"/>
          <w:lang w:val="pl-PL"/>
        </w:rPr>
        <w:t>późniejsze</w:t>
      </w:r>
      <w:r w:rsidR="00D66BE1" w:rsidRPr="00196363">
        <w:rPr>
          <w:rFonts w:ascii="Times New Roman" w:hAnsi="Times New Roman" w:cs="Times New Roman"/>
          <w:lang w:val="pl-PL"/>
        </w:rPr>
        <w:t xml:space="preserve"> orzecznictwo</w:t>
      </w:r>
      <w:r w:rsidR="00F64EAB" w:rsidRPr="00196363">
        <w:rPr>
          <w:rFonts w:ascii="Times New Roman" w:hAnsi="Times New Roman" w:cs="Times New Roman"/>
          <w:lang w:val="pl-PL"/>
        </w:rPr>
        <w:t xml:space="preserve"> krajowe</w:t>
      </w:r>
      <w:r w:rsidR="00D66BE1" w:rsidRPr="00196363">
        <w:rPr>
          <w:rFonts w:ascii="Times New Roman" w:hAnsi="Times New Roman" w:cs="Times New Roman"/>
          <w:lang w:val="pl-PL"/>
        </w:rPr>
        <w:t xml:space="preserve"> dotyczące odpowiedzialności </w:t>
      </w:r>
      <w:r w:rsidR="00887A51" w:rsidRPr="00196363">
        <w:rPr>
          <w:rFonts w:ascii="Times New Roman" w:hAnsi="Times New Roman" w:cs="Times New Roman"/>
          <w:lang w:val="pl-PL"/>
        </w:rPr>
        <w:t>operatorów portali internetowych</w:t>
      </w:r>
      <w:r w:rsidR="00D66BE1" w:rsidRPr="00196363">
        <w:rPr>
          <w:rFonts w:ascii="Times New Roman" w:hAnsi="Times New Roman" w:cs="Times New Roman"/>
          <w:lang w:val="pl-PL"/>
        </w:rPr>
        <w:t xml:space="preserve"> </w:t>
      </w:r>
      <w:r w:rsidR="00A220C6" w:rsidRPr="00196363">
        <w:rPr>
          <w:rFonts w:ascii="Times New Roman" w:hAnsi="Times New Roman" w:cs="Times New Roman"/>
          <w:lang w:val="pl-PL"/>
        </w:rPr>
        <w:t>(</w:t>
      </w:r>
      <w:r w:rsidR="00D66BE1" w:rsidRPr="00196363">
        <w:rPr>
          <w:rFonts w:ascii="Times New Roman" w:hAnsi="Times New Roman" w:cs="Times New Roman"/>
          <w:lang w:val="pl-PL"/>
        </w:rPr>
        <w:t>zobacz paragraf</w:t>
      </w:r>
      <w:r w:rsidR="00A220C6" w:rsidRPr="00196363">
        <w:rPr>
          <w:rFonts w:ascii="Times New Roman" w:hAnsi="Times New Roman" w:cs="Times New Roman"/>
          <w:lang w:val="pl-PL"/>
        </w:rPr>
        <w:t xml:space="preserve"> </w:t>
      </w:r>
      <w:r w:rsidR="00B23BBD" w:rsidRPr="00196363">
        <w:rPr>
          <w:rFonts w:ascii="Times New Roman" w:hAnsi="Times New Roman" w:cs="Times New Roman"/>
          <w:noProof/>
          <w:lang w:val="pl-PL"/>
        </w:rPr>
        <w:t>43</w:t>
      </w:r>
      <w:r w:rsidR="00A220C6" w:rsidRPr="00196363">
        <w:rPr>
          <w:rFonts w:ascii="Times New Roman" w:hAnsi="Times New Roman" w:cs="Times New Roman"/>
          <w:lang w:val="pl-PL"/>
        </w:rPr>
        <w:t xml:space="preserve"> </w:t>
      </w:r>
      <w:r w:rsidR="00D66BE1" w:rsidRPr="00196363">
        <w:rPr>
          <w:rFonts w:ascii="Times New Roman" w:hAnsi="Times New Roman" w:cs="Times New Roman"/>
          <w:lang w:val="pl-PL"/>
        </w:rPr>
        <w:t>powyżej</w:t>
      </w:r>
      <w:r w:rsidR="00A220C6" w:rsidRPr="00196363">
        <w:rPr>
          <w:rFonts w:ascii="Times New Roman" w:hAnsi="Times New Roman" w:cs="Times New Roman"/>
          <w:lang w:val="pl-PL"/>
        </w:rPr>
        <w:t xml:space="preserve">). </w:t>
      </w:r>
      <w:r w:rsidR="00D66BE1" w:rsidRPr="00196363">
        <w:rPr>
          <w:rFonts w:ascii="Times New Roman" w:hAnsi="Times New Roman" w:cs="Times New Roman"/>
          <w:lang w:val="pl-PL"/>
        </w:rPr>
        <w:t xml:space="preserve">Zauważa, że ​​w takich przypadkach sądy niższej instancji podążyły za wyrokiem Sądu Najwyższego w </w:t>
      </w:r>
      <w:proofErr w:type="spellStart"/>
      <w:r w:rsidR="00D66BE1" w:rsidRPr="00196363">
        <w:rPr>
          <w:rFonts w:ascii="Times New Roman" w:hAnsi="Times New Roman" w:cs="Times New Roman"/>
          <w:lang w:val="pl-PL"/>
        </w:rPr>
        <w:t>Delfi</w:t>
      </w:r>
      <w:proofErr w:type="spellEnd"/>
      <w:r w:rsidR="00887A51" w:rsidRPr="00196363">
        <w:rPr>
          <w:rFonts w:ascii="Times New Roman" w:hAnsi="Times New Roman" w:cs="Times New Roman"/>
          <w:lang w:val="pl-PL"/>
        </w:rPr>
        <w:t>,</w:t>
      </w:r>
      <w:r w:rsidR="00D66BE1" w:rsidRPr="00196363">
        <w:rPr>
          <w:rFonts w:ascii="Times New Roman" w:hAnsi="Times New Roman" w:cs="Times New Roman"/>
          <w:lang w:val="pl-PL"/>
        </w:rPr>
        <w:t xml:space="preserve"> ale bez</w:t>
      </w:r>
      <w:r w:rsidR="00411C4A" w:rsidRPr="00196363">
        <w:rPr>
          <w:rFonts w:ascii="Times New Roman" w:hAnsi="Times New Roman" w:cs="Times New Roman"/>
          <w:lang w:val="pl-PL"/>
        </w:rPr>
        <w:t xml:space="preserve"> </w:t>
      </w:r>
      <w:r w:rsidR="00F64EAB" w:rsidRPr="00196363">
        <w:rPr>
          <w:rFonts w:ascii="Times New Roman" w:hAnsi="Times New Roman" w:cs="Times New Roman"/>
          <w:lang w:val="pl-PL"/>
        </w:rPr>
        <w:t>przyznania odszkodowania</w:t>
      </w:r>
      <w:r w:rsidR="00411C4A" w:rsidRPr="00196363">
        <w:rPr>
          <w:rFonts w:ascii="Times New Roman" w:hAnsi="Times New Roman" w:cs="Times New Roman"/>
          <w:lang w:val="pl-PL"/>
        </w:rPr>
        <w:t xml:space="preserve"> </w:t>
      </w:r>
      <w:r w:rsidR="00D66BE1" w:rsidRPr="00196363">
        <w:rPr>
          <w:rFonts w:ascii="Times New Roman" w:hAnsi="Times New Roman" w:cs="Times New Roman"/>
          <w:lang w:val="pl-PL"/>
        </w:rPr>
        <w:t>za szkodę niemajątkową. Innymi słowy, namacalnym rezultatem dla operatorów w przypadkach po-</w:t>
      </w:r>
      <w:proofErr w:type="spellStart"/>
      <w:r w:rsidR="00D66BE1" w:rsidRPr="00196363">
        <w:rPr>
          <w:rFonts w:ascii="Times New Roman" w:hAnsi="Times New Roman" w:cs="Times New Roman"/>
          <w:lang w:val="pl-PL"/>
        </w:rPr>
        <w:t>Delfi</w:t>
      </w:r>
      <w:proofErr w:type="spellEnd"/>
      <w:r w:rsidR="00D66BE1" w:rsidRPr="00196363">
        <w:rPr>
          <w:rFonts w:ascii="Times New Roman" w:hAnsi="Times New Roman" w:cs="Times New Roman"/>
          <w:lang w:val="pl-PL"/>
        </w:rPr>
        <w:t xml:space="preserve"> było, że usunęli naruszające komentarze</w:t>
      </w:r>
      <w:r w:rsidR="00887A51" w:rsidRPr="00196363">
        <w:rPr>
          <w:rFonts w:ascii="Times New Roman" w:hAnsi="Times New Roman" w:cs="Times New Roman"/>
          <w:lang w:val="pl-PL"/>
        </w:rPr>
        <w:t>,</w:t>
      </w:r>
      <w:r w:rsidR="00F64EAB" w:rsidRPr="00196363">
        <w:rPr>
          <w:rFonts w:ascii="Times New Roman" w:hAnsi="Times New Roman" w:cs="Times New Roman"/>
          <w:lang w:val="pl-PL"/>
        </w:rPr>
        <w:t xml:space="preserve"> ale nie został nałożony na nich obowiązek </w:t>
      </w:r>
      <w:r w:rsidR="00D66BE1" w:rsidRPr="00196363">
        <w:rPr>
          <w:rFonts w:ascii="Times New Roman" w:hAnsi="Times New Roman" w:cs="Times New Roman"/>
          <w:lang w:val="pl-PL"/>
        </w:rPr>
        <w:t>zapłaty odszkodowania za szkodę niemajątkową</w:t>
      </w:r>
      <w:r w:rsidR="00A220C6" w:rsidRPr="00196363">
        <w:rPr>
          <w:rFonts w:ascii="Times New Roman" w:hAnsi="Times New Roman" w:cs="Times New Roman"/>
          <w:lang w:val="pl-PL"/>
        </w:rPr>
        <w:t>.</w:t>
      </w:r>
    </w:p>
    <w:p w:rsidR="00B413BF" w:rsidRPr="00196363" w:rsidRDefault="00DD67A4" w:rsidP="00171A6F">
      <w:pPr>
        <w:pStyle w:val="ECHRPara"/>
        <w:rPr>
          <w:rFonts w:ascii="Times New Roman" w:hAnsi="Times New Roman" w:cs="Times New Roman"/>
          <w:lang w:val="pl-PL"/>
        </w:rPr>
      </w:pPr>
      <w:r w:rsidRPr="00B45853">
        <w:rPr>
          <w:rFonts w:ascii="Times New Roman" w:hAnsi="Times New Roman" w:cs="Times New Roman"/>
          <w:lang w:val="en-GB"/>
        </w:rPr>
        <w:fldChar w:fldCharType="begin"/>
      </w:r>
      <w:r w:rsidR="00A220C6"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161</w:t>
      </w:r>
      <w:r w:rsidRPr="00B45853">
        <w:rPr>
          <w:rFonts w:ascii="Times New Roman" w:hAnsi="Times New Roman" w:cs="Times New Roman"/>
          <w:lang w:val="en-GB"/>
        </w:rPr>
        <w:fldChar w:fldCharType="end"/>
      </w:r>
      <w:r w:rsidR="00A220C6" w:rsidRPr="00B45853">
        <w:rPr>
          <w:rFonts w:ascii="Times New Roman" w:hAnsi="Times New Roman" w:cs="Times New Roman"/>
          <w:lang w:val="pl-PL"/>
        </w:rPr>
        <w:t>.  </w:t>
      </w:r>
      <w:r w:rsidR="00411C4A" w:rsidRPr="00B45853">
        <w:rPr>
          <w:rFonts w:ascii="Times New Roman" w:hAnsi="Times New Roman" w:cs="Times New Roman"/>
          <w:lang w:val="pl-PL"/>
        </w:rPr>
        <w:t xml:space="preserve">Trybunał zauważa ponadto, że nie wydaje się, żeby skarżąca spółka musiała zmienić swój model biznesowy w wyniku postępowania krajowego. Według dostępnych informacji, portal informacyjny </w:t>
      </w:r>
      <w:proofErr w:type="spellStart"/>
      <w:r w:rsidR="00411C4A" w:rsidRPr="00B45853">
        <w:rPr>
          <w:rFonts w:ascii="Times New Roman" w:hAnsi="Times New Roman" w:cs="Times New Roman"/>
          <w:lang w:val="pl-PL"/>
        </w:rPr>
        <w:t>Delfi</w:t>
      </w:r>
      <w:proofErr w:type="spellEnd"/>
      <w:r w:rsidR="00411C4A" w:rsidRPr="00B45853">
        <w:rPr>
          <w:rFonts w:ascii="Times New Roman" w:hAnsi="Times New Roman" w:cs="Times New Roman"/>
          <w:lang w:val="pl-PL"/>
        </w:rPr>
        <w:t xml:space="preserve"> jest nadal jednym z największych internetowych wydawnictw w Estonii i zdecydowanie </w:t>
      </w:r>
      <w:r w:rsidR="00411C4A" w:rsidRPr="00196363">
        <w:rPr>
          <w:rFonts w:ascii="Times New Roman" w:hAnsi="Times New Roman" w:cs="Times New Roman"/>
          <w:lang w:val="pl-PL"/>
        </w:rPr>
        <w:t>najbardziej popularny za zamieszczanie komentarzy, których liczba nad</w:t>
      </w:r>
      <w:r w:rsidR="00887A51" w:rsidRPr="00196363">
        <w:rPr>
          <w:rFonts w:ascii="Times New Roman" w:hAnsi="Times New Roman" w:cs="Times New Roman"/>
          <w:lang w:val="pl-PL"/>
        </w:rPr>
        <w:t>al rośnie. Anonimowe komentarze</w:t>
      </w:r>
      <w:r w:rsidR="00EF71B9">
        <w:rPr>
          <w:rFonts w:ascii="Times New Roman" w:hAnsi="Times New Roman" w:cs="Times New Roman"/>
          <w:lang w:val="pl-PL"/>
        </w:rPr>
        <w:t xml:space="preserve"> </w:t>
      </w:r>
      <w:r w:rsidR="00887A51" w:rsidRPr="00196363">
        <w:rPr>
          <w:rFonts w:ascii="Times New Roman" w:hAnsi="Times New Roman" w:cs="Times New Roman"/>
          <w:lang w:val="pl-PL"/>
        </w:rPr>
        <w:t>-</w:t>
      </w:r>
      <w:r w:rsidR="00EF71B9">
        <w:rPr>
          <w:rFonts w:ascii="Times New Roman" w:hAnsi="Times New Roman" w:cs="Times New Roman"/>
          <w:lang w:val="pl-PL"/>
        </w:rPr>
        <w:t xml:space="preserve"> </w:t>
      </w:r>
      <w:r w:rsidR="00411C4A" w:rsidRPr="00196363">
        <w:rPr>
          <w:rFonts w:ascii="Times New Roman" w:hAnsi="Times New Roman" w:cs="Times New Roman"/>
          <w:lang w:val="pl-PL"/>
        </w:rPr>
        <w:t>obecnie istniejące obok możliwości wysyłania zarejestrowanych komentarzy, które są wido</w:t>
      </w:r>
      <w:r w:rsidR="00887A51" w:rsidRPr="00196363">
        <w:rPr>
          <w:rFonts w:ascii="Times New Roman" w:hAnsi="Times New Roman" w:cs="Times New Roman"/>
          <w:lang w:val="pl-PL"/>
        </w:rPr>
        <w:t>czne dla czytelników pierwsze</w:t>
      </w:r>
      <w:r w:rsidR="00EF71B9">
        <w:rPr>
          <w:rFonts w:ascii="Times New Roman" w:hAnsi="Times New Roman" w:cs="Times New Roman"/>
          <w:lang w:val="pl-PL"/>
        </w:rPr>
        <w:t xml:space="preserve"> </w:t>
      </w:r>
      <w:r w:rsidR="00887A51" w:rsidRPr="00196363">
        <w:rPr>
          <w:rFonts w:ascii="Times New Roman" w:hAnsi="Times New Roman" w:cs="Times New Roman"/>
          <w:lang w:val="pl-PL"/>
        </w:rPr>
        <w:t>-</w:t>
      </w:r>
      <w:r w:rsidR="00EF71B9">
        <w:rPr>
          <w:rFonts w:ascii="Times New Roman" w:hAnsi="Times New Roman" w:cs="Times New Roman"/>
          <w:lang w:val="pl-PL"/>
        </w:rPr>
        <w:t xml:space="preserve"> </w:t>
      </w:r>
      <w:r w:rsidR="00411C4A" w:rsidRPr="00196363">
        <w:rPr>
          <w:rFonts w:ascii="Times New Roman" w:hAnsi="Times New Roman" w:cs="Times New Roman"/>
          <w:lang w:val="pl-PL"/>
        </w:rPr>
        <w:t>nadal przeważa</w:t>
      </w:r>
      <w:r w:rsidR="00F64EAB" w:rsidRPr="00196363">
        <w:rPr>
          <w:rFonts w:ascii="Times New Roman" w:hAnsi="Times New Roman" w:cs="Times New Roman"/>
          <w:lang w:val="pl-PL"/>
        </w:rPr>
        <w:t>ją</w:t>
      </w:r>
      <w:r w:rsidR="00411C4A" w:rsidRPr="00196363">
        <w:rPr>
          <w:rFonts w:ascii="Times New Roman" w:hAnsi="Times New Roman" w:cs="Times New Roman"/>
          <w:lang w:val="pl-PL"/>
        </w:rPr>
        <w:t xml:space="preserve">, a skarżąca spółka utworzyła zespół moderatorów przeprowadzających moderację komentarzy zamieszczonych na portalu </w:t>
      </w:r>
      <w:r w:rsidR="00A220C6" w:rsidRPr="00196363">
        <w:rPr>
          <w:rFonts w:ascii="Times New Roman" w:hAnsi="Times New Roman" w:cs="Times New Roman"/>
          <w:lang w:val="pl-PL"/>
        </w:rPr>
        <w:t>(</w:t>
      </w:r>
      <w:r w:rsidR="00411C4A" w:rsidRPr="00196363">
        <w:rPr>
          <w:rFonts w:ascii="Times New Roman" w:hAnsi="Times New Roman" w:cs="Times New Roman"/>
          <w:lang w:val="pl-PL"/>
        </w:rPr>
        <w:t>zobacz paragrafy</w:t>
      </w:r>
      <w:r w:rsidR="00A220C6" w:rsidRPr="00196363">
        <w:rPr>
          <w:rFonts w:ascii="Times New Roman" w:hAnsi="Times New Roman" w:cs="Times New Roman"/>
          <w:lang w:val="pl-PL"/>
        </w:rPr>
        <w:t xml:space="preserve"> </w:t>
      </w:r>
      <w:r w:rsidR="00B23BBD" w:rsidRPr="00196363">
        <w:rPr>
          <w:rFonts w:ascii="Times New Roman" w:hAnsi="Times New Roman" w:cs="Times New Roman"/>
          <w:noProof/>
          <w:lang w:val="pl-PL"/>
        </w:rPr>
        <w:t>32</w:t>
      </w:r>
      <w:r w:rsidR="00411C4A" w:rsidRPr="00196363">
        <w:rPr>
          <w:rFonts w:ascii="Times New Roman" w:hAnsi="Times New Roman" w:cs="Times New Roman"/>
          <w:lang w:val="pl-PL"/>
        </w:rPr>
        <w:t xml:space="preserve"> i</w:t>
      </w:r>
      <w:r w:rsidR="00A220C6" w:rsidRPr="00196363">
        <w:rPr>
          <w:rFonts w:ascii="Times New Roman" w:hAnsi="Times New Roman" w:cs="Times New Roman"/>
          <w:lang w:val="pl-PL"/>
        </w:rPr>
        <w:t xml:space="preserve"> </w:t>
      </w:r>
      <w:r w:rsidR="00B23BBD" w:rsidRPr="00196363">
        <w:rPr>
          <w:rFonts w:ascii="Times New Roman" w:hAnsi="Times New Roman" w:cs="Times New Roman"/>
          <w:noProof/>
          <w:lang w:val="pl-PL"/>
        </w:rPr>
        <w:t>83</w:t>
      </w:r>
      <w:r w:rsidR="00A220C6" w:rsidRPr="00196363">
        <w:rPr>
          <w:rFonts w:ascii="Times New Roman" w:hAnsi="Times New Roman" w:cs="Times New Roman"/>
          <w:lang w:val="pl-PL"/>
        </w:rPr>
        <w:t xml:space="preserve"> </w:t>
      </w:r>
      <w:r w:rsidR="00411C4A" w:rsidRPr="00196363">
        <w:rPr>
          <w:rFonts w:ascii="Times New Roman" w:hAnsi="Times New Roman" w:cs="Times New Roman"/>
          <w:lang w:val="pl-PL"/>
        </w:rPr>
        <w:t>powyżej</w:t>
      </w:r>
      <w:r w:rsidR="00A220C6" w:rsidRPr="00196363">
        <w:rPr>
          <w:rFonts w:ascii="Times New Roman" w:hAnsi="Times New Roman" w:cs="Times New Roman"/>
          <w:lang w:val="pl-PL"/>
        </w:rPr>
        <w:t xml:space="preserve">). </w:t>
      </w:r>
      <w:r w:rsidR="00411C4A" w:rsidRPr="00196363">
        <w:rPr>
          <w:rFonts w:ascii="Times New Roman" w:hAnsi="Times New Roman" w:cs="Times New Roman"/>
          <w:lang w:val="pl-PL"/>
        </w:rPr>
        <w:t>W tych okolicznościach Trybunał nie może stwierdzić, że ingerencja w wolność skarżącej spółki wypowiedzi była nieproporcjonalna także z tego powodu</w:t>
      </w:r>
      <w:r w:rsidR="00A220C6" w:rsidRPr="00196363">
        <w:rPr>
          <w:rFonts w:ascii="Times New Roman" w:hAnsi="Times New Roman" w:cs="Times New Roman"/>
          <w:lang w:val="pl-PL"/>
        </w:rPr>
        <w:t>.</w:t>
      </w:r>
    </w:p>
    <w:p w:rsidR="00A220C6" w:rsidRPr="00196363" w:rsidRDefault="00887A51" w:rsidP="00171A6F">
      <w:pPr>
        <w:pStyle w:val="ECHRHeading5"/>
        <w:rPr>
          <w:rFonts w:ascii="Times New Roman" w:hAnsi="Times New Roman" w:cs="Times New Roman"/>
          <w:lang w:val="pl-PL"/>
        </w:rPr>
      </w:pPr>
      <w:r w:rsidRPr="00196363">
        <w:rPr>
          <w:rFonts w:ascii="Times New Roman" w:hAnsi="Times New Roman" w:cs="Times New Roman"/>
          <w:lang w:val="pl-PL"/>
        </w:rPr>
        <w:lastRenderedPageBreak/>
        <w:t>(vi) </w:t>
      </w:r>
      <w:r w:rsidR="00A7055B" w:rsidRPr="00196363">
        <w:rPr>
          <w:rFonts w:ascii="Times New Roman" w:hAnsi="Times New Roman" w:cs="Times New Roman"/>
          <w:lang w:val="pl-PL"/>
        </w:rPr>
        <w:t>Rozstrzygnięcie</w:t>
      </w:r>
    </w:p>
    <w:p w:rsidR="00B413BF" w:rsidRPr="00196363" w:rsidRDefault="00DD67A4" w:rsidP="00171A6F">
      <w:pPr>
        <w:pStyle w:val="ECHRPara"/>
        <w:rPr>
          <w:rFonts w:ascii="Times New Roman" w:hAnsi="Times New Roman" w:cs="Times New Roman"/>
          <w:lang w:val="pl-PL"/>
        </w:rPr>
      </w:pPr>
      <w:r w:rsidRPr="00196363">
        <w:rPr>
          <w:rFonts w:ascii="Times New Roman" w:hAnsi="Times New Roman" w:cs="Times New Roman"/>
          <w:lang w:val="en-GB"/>
        </w:rPr>
        <w:fldChar w:fldCharType="begin"/>
      </w:r>
      <w:r w:rsidR="00A220C6" w:rsidRPr="00196363">
        <w:rPr>
          <w:rFonts w:ascii="Times New Roman" w:hAnsi="Times New Roman" w:cs="Times New Roman"/>
          <w:lang w:val="pl-PL"/>
        </w:rPr>
        <w:instrText xml:space="preserve"> SEQ level0 \*arabic </w:instrText>
      </w:r>
      <w:r w:rsidRPr="00196363">
        <w:rPr>
          <w:rFonts w:ascii="Times New Roman" w:hAnsi="Times New Roman" w:cs="Times New Roman"/>
          <w:lang w:val="en-GB"/>
        </w:rPr>
        <w:fldChar w:fldCharType="separate"/>
      </w:r>
      <w:r w:rsidR="002F0EE0" w:rsidRPr="00196363">
        <w:rPr>
          <w:rFonts w:ascii="Times New Roman" w:hAnsi="Times New Roman" w:cs="Times New Roman"/>
          <w:noProof/>
          <w:lang w:val="pl-PL"/>
        </w:rPr>
        <w:t>162</w:t>
      </w:r>
      <w:r w:rsidRPr="00196363">
        <w:rPr>
          <w:rFonts w:ascii="Times New Roman" w:hAnsi="Times New Roman" w:cs="Times New Roman"/>
          <w:lang w:val="en-GB"/>
        </w:rPr>
        <w:fldChar w:fldCharType="end"/>
      </w:r>
      <w:r w:rsidR="00A220C6" w:rsidRPr="00196363">
        <w:rPr>
          <w:rFonts w:ascii="Times New Roman" w:hAnsi="Times New Roman" w:cs="Times New Roman"/>
          <w:lang w:val="pl-PL"/>
        </w:rPr>
        <w:t>.  </w:t>
      </w:r>
      <w:r w:rsidR="00A7055B" w:rsidRPr="00196363">
        <w:rPr>
          <w:rFonts w:ascii="Times New Roman" w:hAnsi="Times New Roman" w:cs="Times New Roman"/>
          <w:lang w:val="pl-PL"/>
        </w:rPr>
        <w:t xml:space="preserve">W oparciu o </w:t>
      </w:r>
      <w:r w:rsidR="00851675">
        <w:rPr>
          <w:rFonts w:ascii="Times New Roman" w:hAnsi="Times New Roman" w:cs="Times New Roman"/>
          <w:lang w:val="pl-PL"/>
        </w:rPr>
        <w:t>całościową</w:t>
      </w:r>
      <w:r w:rsidR="00A7055B" w:rsidRPr="00196363">
        <w:rPr>
          <w:rFonts w:ascii="Times New Roman" w:hAnsi="Times New Roman" w:cs="Times New Roman"/>
          <w:lang w:val="pl-PL"/>
        </w:rPr>
        <w:t xml:space="preserve"> ocenę powyższych aspektów, biorąc pod uwagę uzasadnienie Sądu Najwyższego w niniejszej sprawie, w szczególności ekstremaln</w:t>
      </w:r>
      <w:r w:rsidR="00250AF7">
        <w:rPr>
          <w:rFonts w:ascii="Times New Roman" w:hAnsi="Times New Roman" w:cs="Times New Roman"/>
          <w:lang w:val="pl-PL"/>
        </w:rPr>
        <w:t>y</w:t>
      </w:r>
      <w:r w:rsidR="00A7055B" w:rsidRPr="00196363">
        <w:rPr>
          <w:rFonts w:ascii="Times New Roman" w:hAnsi="Times New Roman" w:cs="Times New Roman"/>
          <w:lang w:val="pl-PL"/>
        </w:rPr>
        <w:t xml:space="preserve"> charakter </w:t>
      </w:r>
      <w:r w:rsidR="00250AF7">
        <w:rPr>
          <w:rFonts w:ascii="Times New Roman" w:hAnsi="Times New Roman" w:cs="Times New Roman"/>
          <w:lang w:val="pl-PL"/>
        </w:rPr>
        <w:t>przedmiotowych</w:t>
      </w:r>
      <w:r w:rsidR="00A7055B" w:rsidRPr="00196363">
        <w:rPr>
          <w:rFonts w:ascii="Times New Roman" w:hAnsi="Times New Roman" w:cs="Times New Roman"/>
          <w:lang w:val="pl-PL"/>
        </w:rPr>
        <w:t xml:space="preserve"> komentarzy</w:t>
      </w:r>
      <w:r w:rsidR="00F64EAB" w:rsidRPr="00196363">
        <w:rPr>
          <w:rFonts w:ascii="Times New Roman" w:hAnsi="Times New Roman" w:cs="Times New Roman"/>
          <w:lang w:val="pl-PL"/>
        </w:rPr>
        <w:t>,</w:t>
      </w:r>
      <w:r w:rsidR="00A7055B" w:rsidRPr="00196363">
        <w:rPr>
          <w:rFonts w:ascii="Times New Roman" w:hAnsi="Times New Roman" w:cs="Times New Roman"/>
          <w:lang w:val="pl-PL"/>
        </w:rPr>
        <w:t xml:space="preserve"> fakt, że komentarze zostały zamieszczone w reakcji na artykuł opublik</w:t>
      </w:r>
      <w:r w:rsidR="00F64EAB" w:rsidRPr="00196363">
        <w:rPr>
          <w:rFonts w:ascii="Times New Roman" w:hAnsi="Times New Roman" w:cs="Times New Roman"/>
          <w:lang w:val="pl-PL"/>
        </w:rPr>
        <w:t>owany przez skarżącą spółkę na swoim</w:t>
      </w:r>
      <w:r w:rsidR="00A7055B" w:rsidRPr="00196363">
        <w:rPr>
          <w:rFonts w:ascii="Times New Roman" w:hAnsi="Times New Roman" w:cs="Times New Roman"/>
          <w:lang w:val="pl-PL"/>
        </w:rPr>
        <w:t xml:space="preserve"> profesjonalnie zarządzanym portalu informacyjnym działającym na zasadach komercyjnych, niedostatek środków podjętych przez skarżącą spółkę do niezwłocznego usunięcia po publikacji komentarzy niosących znamiona mowy nienawiści i mowy nawołującej do przemocy oraz zapewnienia realistycznej perspektywy pociągnięcia do odpowiedzialności autorów takich komentarzy, i umiarkowaną karę nałożoną na skarżącą spółkę, należy stwierdzić</w:t>
      </w:r>
      <w:r w:rsidR="00A7055B" w:rsidRPr="00B45853">
        <w:rPr>
          <w:rFonts w:ascii="Times New Roman" w:hAnsi="Times New Roman" w:cs="Times New Roman"/>
          <w:lang w:val="pl-PL"/>
        </w:rPr>
        <w:t xml:space="preserve">, że pociągnięcie przez sądy krajowe skarżącej spółki do odpowiedzialności zostało oparte na odpowiednich i </w:t>
      </w:r>
      <w:r w:rsidR="00A7055B" w:rsidRPr="00196363">
        <w:rPr>
          <w:rFonts w:ascii="Times New Roman" w:hAnsi="Times New Roman" w:cs="Times New Roman"/>
          <w:lang w:val="pl-PL"/>
        </w:rPr>
        <w:t xml:space="preserve">wystarczających podstawach, uwzględniając margines </w:t>
      </w:r>
      <w:r w:rsidR="000D422A" w:rsidRPr="00196363">
        <w:rPr>
          <w:rFonts w:ascii="Times New Roman" w:hAnsi="Times New Roman" w:cs="Times New Roman"/>
          <w:lang w:val="pl-PL"/>
        </w:rPr>
        <w:t xml:space="preserve">swobody </w:t>
      </w:r>
      <w:r w:rsidR="00A7055B" w:rsidRPr="00196363">
        <w:rPr>
          <w:rFonts w:ascii="Times New Roman" w:hAnsi="Times New Roman" w:cs="Times New Roman"/>
          <w:lang w:val="pl-PL"/>
        </w:rPr>
        <w:t>przyznanej Państw</w:t>
      </w:r>
      <w:r w:rsidR="003264A7" w:rsidRPr="00196363">
        <w:rPr>
          <w:rFonts w:ascii="Times New Roman" w:hAnsi="Times New Roman" w:cs="Times New Roman"/>
          <w:lang w:val="pl-PL"/>
        </w:rPr>
        <w:t>u</w:t>
      </w:r>
      <w:r w:rsidR="00A7055B" w:rsidRPr="00196363">
        <w:rPr>
          <w:rFonts w:ascii="Times New Roman" w:hAnsi="Times New Roman" w:cs="Times New Roman"/>
          <w:lang w:val="pl-PL"/>
        </w:rPr>
        <w:t xml:space="preserve"> </w:t>
      </w:r>
      <w:r w:rsidR="00F64EAB" w:rsidRPr="00196363">
        <w:rPr>
          <w:rFonts w:ascii="Times New Roman" w:hAnsi="Times New Roman" w:cs="Times New Roman"/>
          <w:lang w:val="pl-PL"/>
        </w:rPr>
        <w:t>pozwanemu</w:t>
      </w:r>
      <w:r w:rsidR="00A7055B" w:rsidRPr="00196363">
        <w:rPr>
          <w:rFonts w:ascii="Times New Roman" w:hAnsi="Times New Roman" w:cs="Times New Roman"/>
          <w:lang w:val="pl-PL"/>
        </w:rPr>
        <w:t>. Dlatego środek ten, nie stanowi nieproporcjonalnego ograniczenia prawa skarżącej spółki do wolności wypowiedzi</w:t>
      </w:r>
      <w:r w:rsidR="00A220C6" w:rsidRPr="00196363">
        <w:rPr>
          <w:rFonts w:ascii="Times New Roman" w:hAnsi="Times New Roman" w:cs="Times New Roman"/>
          <w:lang w:val="pl-PL"/>
        </w:rPr>
        <w:t>.</w:t>
      </w:r>
    </w:p>
    <w:p w:rsidR="00A220C6" w:rsidRPr="00196363" w:rsidRDefault="00A7055B" w:rsidP="00171A6F">
      <w:pPr>
        <w:pStyle w:val="ECHRPara"/>
        <w:rPr>
          <w:rFonts w:ascii="Times New Roman" w:hAnsi="Times New Roman" w:cs="Times New Roman"/>
          <w:lang w:val="pl-PL"/>
        </w:rPr>
      </w:pPr>
      <w:r w:rsidRPr="00196363">
        <w:rPr>
          <w:rFonts w:ascii="Times New Roman" w:hAnsi="Times New Roman" w:cs="Times New Roman"/>
          <w:lang w:val="pl-PL"/>
        </w:rPr>
        <w:t>W związku z tym nie doszło do naruszenia Artykułu 10 Konwencji</w:t>
      </w:r>
      <w:r w:rsidR="00A220C6" w:rsidRPr="00196363">
        <w:rPr>
          <w:rFonts w:ascii="Times New Roman" w:hAnsi="Times New Roman" w:cs="Times New Roman"/>
          <w:lang w:val="pl-PL"/>
        </w:rPr>
        <w:t>.</w:t>
      </w:r>
    </w:p>
    <w:p w:rsidR="00A220C6" w:rsidRPr="00196363" w:rsidRDefault="00A7055B" w:rsidP="00171A6F">
      <w:pPr>
        <w:pStyle w:val="ECHRTitle1"/>
        <w:rPr>
          <w:rFonts w:ascii="Times New Roman" w:hAnsi="Times New Roman" w:cs="Times New Roman"/>
          <w:lang w:val="pl-PL"/>
        </w:rPr>
      </w:pPr>
      <w:bookmarkStart w:id="38" w:name="_Toc420072885"/>
      <w:r w:rsidRPr="00196363">
        <w:rPr>
          <w:rFonts w:ascii="Times New Roman" w:hAnsi="Times New Roman" w:cs="Times New Roman"/>
          <w:lang w:val="pl-PL"/>
        </w:rPr>
        <w:t>Z TYCH PRZYCZYN, TRYBUNAŁ</w:t>
      </w:r>
      <w:bookmarkEnd w:id="38"/>
    </w:p>
    <w:p w:rsidR="00A220C6" w:rsidRPr="00196363" w:rsidRDefault="00A7055B" w:rsidP="00171A6F">
      <w:pPr>
        <w:pStyle w:val="JuList"/>
        <w:ind w:left="0" w:firstLine="0"/>
        <w:rPr>
          <w:rFonts w:ascii="Times New Roman" w:hAnsi="Times New Roman" w:cs="Times New Roman"/>
          <w:lang w:val="pl-PL"/>
        </w:rPr>
      </w:pPr>
      <w:r w:rsidRPr="00196363">
        <w:rPr>
          <w:rFonts w:ascii="Times New Roman" w:hAnsi="Times New Roman" w:cs="Times New Roman"/>
          <w:i/>
          <w:lang w:val="pl-PL"/>
        </w:rPr>
        <w:t>Uznaje</w:t>
      </w:r>
      <w:r w:rsidR="00A220C6" w:rsidRPr="00196363">
        <w:rPr>
          <w:rFonts w:ascii="Times New Roman" w:hAnsi="Times New Roman" w:cs="Times New Roman"/>
          <w:lang w:val="pl-PL"/>
        </w:rPr>
        <w:t xml:space="preserve">, </w:t>
      </w:r>
      <w:r w:rsidRPr="00196363">
        <w:rPr>
          <w:rFonts w:ascii="Times New Roman" w:hAnsi="Times New Roman" w:cs="Times New Roman"/>
          <w:lang w:val="pl-PL"/>
        </w:rPr>
        <w:t>przez piętnaście głosów do dwóch, że nie doszło do naruszenia artykułu 10 Konwencji.</w:t>
      </w:r>
    </w:p>
    <w:p w:rsidR="00A220C6" w:rsidRPr="00196363" w:rsidRDefault="00A7055B" w:rsidP="00171A6F">
      <w:pPr>
        <w:pStyle w:val="JuParaLast"/>
        <w:rPr>
          <w:rFonts w:ascii="Times New Roman" w:hAnsi="Times New Roman" w:cs="Times New Roman"/>
          <w:lang w:val="pl-PL"/>
        </w:rPr>
      </w:pPr>
      <w:r w:rsidRPr="00196363">
        <w:rPr>
          <w:rFonts w:ascii="Times New Roman" w:hAnsi="Times New Roman" w:cs="Times New Roman"/>
          <w:lang w:val="pl-PL"/>
        </w:rPr>
        <w:t>Sporządzono w języku angielskim i francuskim, i wydan</w:t>
      </w:r>
      <w:r w:rsidR="00C847A3">
        <w:rPr>
          <w:rFonts w:ascii="Times New Roman" w:hAnsi="Times New Roman" w:cs="Times New Roman"/>
          <w:lang w:val="pl-PL"/>
        </w:rPr>
        <w:t>o</w:t>
      </w:r>
      <w:r w:rsidRPr="00196363">
        <w:rPr>
          <w:rFonts w:ascii="Times New Roman" w:hAnsi="Times New Roman" w:cs="Times New Roman"/>
          <w:lang w:val="pl-PL"/>
        </w:rPr>
        <w:t xml:space="preserve"> na rozprawie publicznej w Budynku Praw Człowieka w Strasburgu w dniu 16 czerwca 2015 roku.</w:t>
      </w:r>
    </w:p>
    <w:p w:rsidR="00A220C6" w:rsidRPr="00196363" w:rsidRDefault="00A220C6" w:rsidP="00171A6F">
      <w:pPr>
        <w:pStyle w:val="JuSigned"/>
        <w:rPr>
          <w:rFonts w:ascii="Times New Roman" w:hAnsi="Times New Roman" w:cs="Times New Roman"/>
          <w:lang w:val="pl-PL"/>
        </w:rPr>
      </w:pPr>
      <w:r w:rsidRPr="00196363">
        <w:rPr>
          <w:rFonts w:ascii="Times New Roman" w:hAnsi="Times New Roman" w:cs="Times New Roman"/>
          <w:lang w:val="pl-PL"/>
        </w:rPr>
        <w:tab/>
      </w:r>
      <w:proofErr w:type="spellStart"/>
      <w:r w:rsidR="005F7348" w:rsidRPr="00196363">
        <w:rPr>
          <w:rFonts w:ascii="Times New Roman" w:hAnsi="Times New Roman" w:cs="Times New Roman"/>
          <w:lang w:val="pl-PL"/>
        </w:rPr>
        <w:t>Johan</w:t>
      </w:r>
      <w:proofErr w:type="spellEnd"/>
      <w:r w:rsidR="005F7348" w:rsidRPr="00196363">
        <w:rPr>
          <w:rFonts w:ascii="Times New Roman" w:hAnsi="Times New Roman" w:cs="Times New Roman"/>
          <w:lang w:val="pl-PL"/>
        </w:rPr>
        <w:t xml:space="preserve"> </w:t>
      </w:r>
      <w:proofErr w:type="spellStart"/>
      <w:r w:rsidR="005F7348" w:rsidRPr="00196363">
        <w:rPr>
          <w:rFonts w:ascii="Times New Roman" w:hAnsi="Times New Roman" w:cs="Times New Roman"/>
          <w:lang w:val="pl-PL"/>
        </w:rPr>
        <w:t>Callewaert</w:t>
      </w:r>
      <w:proofErr w:type="spellEnd"/>
      <w:r w:rsidRPr="00196363">
        <w:rPr>
          <w:rFonts w:ascii="Times New Roman" w:hAnsi="Times New Roman" w:cs="Times New Roman"/>
          <w:lang w:val="pl-PL"/>
        </w:rPr>
        <w:tab/>
      </w:r>
      <w:r w:rsidRPr="00196363">
        <w:rPr>
          <w:rFonts w:ascii="Times New Roman" w:hAnsi="Times New Roman" w:cs="Times New Roman"/>
          <w:szCs w:val="24"/>
          <w:lang w:val="pl-PL"/>
        </w:rPr>
        <w:t xml:space="preserve">Dean </w:t>
      </w:r>
      <w:proofErr w:type="spellStart"/>
      <w:r w:rsidRPr="00196363">
        <w:rPr>
          <w:rFonts w:ascii="Times New Roman" w:hAnsi="Times New Roman" w:cs="Times New Roman"/>
          <w:szCs w:val="24"/>
          <w:lang w:val="pl-PL"/>
        </w:rPr>
        <w:t>Spielmann</w:t>
      </w:r>
      <w:proofErr w:type="spellEnd"/>
      <w:r w:rsidR="002837DA" w:rsidRPr="00196363">
        <w:rPr>
          <w:rFonts w:ascii="Times New Roman" w:hAnsi="Times New Roman" w:cs="Times New Roman"/>
          <w:szCs w:val="24"/>
          <w:lang w:val="pl-PL"/>
        </w:rPr>
        <w:br/>
      </w:r>
      <w:r w:rsidRPr="00196363">
        <w:rPr>
          <w:rFonts w:ascii="Times New Roman" w:hAnsi="Times New Roman" w:cs="Times New Roman"/>
          <w:lang w:val="pl-PL"/>
        </w:rPr>
        <w:tab/>
      </w:r>
      <w:r w:rsidR="00A7055B" w:rsidRPr="00196363">
        <w:rPr>
          <w:rFonts w:ascii="Times New Roman" w:hAnsi="Times New Roman" w:cs="Times New Roman"/>
          <w:lang w:val="pl-PL"/>
        </w:rPr>
        <w:t>Zastępca Kanclerza</w:t>
      </w:r>
      <w:r w:rsidRPr="00196363">
        <w:rPr>
          <w:rFonts w:ascii="Times New Roman" w:hAnsi="Times New Roman" w:cs="Times New Roman"/>
          <w:lang w:val="pl-PL"/>
        </w:rPr>
        <w:tab/>
      </w:r>
      <w:r w:rsidR="00A7055B" w:rsidRPr="00196363">
        <w:rPr>
          <w:rFonts w:ascii="Times New Roman" w:hAnsi="Times New Roman" w:cs="Times New Roman"/>
          <w:lang w:val="pl-PL"/>
        </w:rPr>
        <w:t>Przewodniczący</w:t>
      </w:r>
    </w:p>
    <w:p w:rsidR="00B413BF" w:rsidRPr="00196363" w:rsidRDefault="00A7055B" w:rsidP="00171A6F">
      <w:pPr>
        <w:pStyle w:val="JuParaLast"/>
        <w:rPr>
          <w:rFonts w:ascii="Times New Roman" w:hAnsi="Times New Roman" w:cs="Times New Roman"/>
          <w:lang w:val="pl-PL"/>
        </w:rPr>
      </w:pPr>
      <w:r w:rsidRPr="00196363">
        <w:rPr>
          <w:rFonts w:ascii="Times New Roman" w:hAnsi="Times New Roman" w:cs="Times New Roman"/>
          <w:lang w:val="pl-PL"/>
        </w:rPr>
        <w:t>Zgodnie z Artykułem 45 § 2 Konwencji oraz A</w:t>
      </w:r>
      <w:r w:rsidR="00AD3218" w:rsidRPr="00196363">
        <w:rPr>
          <w:rFonts w:ascii="Times New Roman" w:hAnsi="Times New Roman" w:cs="Times New Roman"/>
          <w:lang w:val="pl-PL"/>
        </w:rPr>
        <w:t>rtykułem 74 § 2 R</w:t>
      </w:r>
      <w:r w:rsidRPr="00196363">
        <w:rPr>
          <w:rFonts w:ascii="Times New Roman" w:hAnsi="Times New Roman" w:cs="Times New Roman"/>
          <w:lang w:val="pl-PL"/>
        </w:rPr>
        <w:t>egulaminu Trybunału, następujące odrębne opinie zostały załączone do niniejszego wyroku</w:t>
      </w:r>
      <w:r w:rsidR="00B413BF" w:rsidRPr="00196363">
        <w:rPr>
          <w:rFonts w:ascii="Times New Roman" w:hAnsi="Times New Roman" w:cs="Times New Roman"/>
          <w:lang w:val="pl-PL"/>
        </w:rPr>
        <w:t>:</w:t>
      </w:r>
    </w:p>
    <w:p w:rsidR="00F310C7" w:rsidRPr="00196363" w:rsidRDefault="00887A51" w:rsidP="00171A6F">
      <w:pPr>
        <w:pStyle w:val="ECHRPara"/>
        <w:rPr>
          <w:rFonts w:ascii="Times New Roman" w:hAnsi="Times New Roman" w:cs="Times New Roman"/>
          <w:lang w:val="pl-PL"/>
        </w:rPr>
      </w:pPr>
      <w:r w:rsidRPr="00196363">
        <w:rPr>
          <w:rFonts w:ascii="Times New Roman" w:hAnsi="Times New Roman" w:cs="Times New Roman"/>
          <w:lang w:val="pl-PL"/>
        </w:rPr>
        <w:t>(a)</w:t>
      </w:r>
      <w:r w:rsidR="00B413BF" w:rsidRPr="00196363">
        <w:rPr>
          <w:rFonts w:ascii="Times New Roman" w:hAnsi="Times New Roman" w:cs="Times New Roman"/>
          <w:lang w:val="pl-PL"/>
        </w:rPr>
        <w:t> </w:t>
      </w:r>
      <w:r w:rsidR="00AD3218" w:rsidRPr="00196363">
        <w:rPr>
          <w:rFonts w:ascii="Times New Roman" w:hAnsi="Times New Roman" w:cs="Times New Roman"/>
          <w:lang w:val="pl-PL"/>
        </w:rPr>
        <w:t>wspólna</w:t>
      </w:r>
      <w:r w:rsidR="00F310C7" w:rsidRPr="00196363">
        <w:rPr>
          <w:rFonts w:ascii="Times New Roman" w:hAnsi="Times New Roman" w:cs="Times New Roman"/>
          <w:lang w:val="pl-PL"/>
        </w:rPr>
        <w:t xml:space="preserve"> </w:t>
      </w:r>
      <w:r w:rsidR="009056B5" w:rsidRPr="00196363">
        <w:rPr>
          <w:rFonts w:ascii="Times New Roman" w:hAnsi="Times New Roman" w:cs="Times New Roman"/>
          <w:lang w:val="pl-PL"/>
        </w:rPr>
        <w:t>zgodna</w:t>
      </w:r>
      <w:r w:rsidR="00AD3218" w:rsidRPr="00196363">
        <w:rPr>
          <w:rFonts w:ascii="Times New Roman" w:hAnsi="Times New Roman" w:cs="Times New Roman"/>
          <w:lang w:val="pl-PL"/>
        </w:rPr>
        <w:t xml:space="preserve"> opina</w:t>
      </w:r>
      <w:r w:rsidR="00B413BF" w:rsidRPr="00196363">
        <w:rPr>
          <w:rFonts w:ascii="Times New Roman" w:hAnsi="Times New Roman" w:cs="Times New Roman"/>
          <w:lang w:val="pl-PL"/>
        </w:rPr>
        <w:t xml:space="preserve"> </w:t>
      </w:r>
      <w:r w:rsidR="00AD3218" w:rsidRPr="00196363">
        <w:rPr>
          <w:rFonts w:ascii="Times New Roman" w:hAnsi="Times New Roman" w:cs="Times New Roman"/>
          <w:lang w:val="pl-PL"/>
        </w:rPr>
        <w:t>Sędziów</w:t>
      </w:r>
      <w:r w:rsidR="00F310C7" w:rsidRPr="00196363">
        <w:rPr>
          <w:rFonts w:ascii="Times New Roman" w:hAnsi="Times New Roman" w:cs="Times New Roman"/>
          <w:lang w:val="pl-PL"/>
        </w:rPr>
        <w:t xml:space="preserve"> </w:t>
      </w:r>
      <w:proofErr w:type="spellStart"/>
      <w:r w:rsidR="00F310C7" w:rsidRPr="00196363">
        <w:rPr>
          <w:rFonts w:ascii="Times New Roman" w:hAnsi="Times New Roman" w:cs="Times New Roman"/>
          <w:lang w:val="pl-PL"/>
        </w:rPr>
        <w:t>R</w:t>
      </w:r>
      <w:r w:rsidR="00AD3218" w:rsidRPr="00196363">
        <w:rPr>
          <w:rFonts w:ascii="Times New Roman" w:hAnsi="Times New Roman" w:cs="Times New Roman"/>
          <w:lang w:val="pl-PL"/>
        </w:rPr>
        <w:t>aimondi</w:t>
      </w:r>
      <w:proofErr w:type="spellEnd"/>
      <w:r w:rsidR="00AD3218" w:rsidRPr="00196363">
        <w:rPr>
          <w:rFonts w:ascii="Times New Roman" w:hAnsi="Times New Roman" w:cs="Times New Roman"/>
          <w:lang w:val="pl-PL"/>
        </w:rPr>
        <w:t xml:space="preserve">, </w:t>
      </w:r>
      <w:proofErr w:type="spellStart"/>
      <w:r w:rsidR="00AD3218" w:rsidRPr="00196363">
        <w:rPr>
          <w:rFonts w:ascii="Times New Roman" w:hAnsi="Times New Roman" w:cs="Times New Roman"/>
          <w:lang w:val="pl-PL"/>
        </w:rPr>
        <w:t>Karakas</w:t>
      </w:r>
      <w:proofErr w:type="spellEnd"/>
      <w:r w:rsidR="00AD3218" w:rsidRPr="00196363">
        <w:rPr>
          <w:rFonts w:ascii="Times New Roman" w:hAnsi="Times New Roman" w:cs="Times New Roman"/>
          <w:lang w:val="pl-PL"/>
        </w:rPr>
        <w:t>, De Gaetano i</w:t>
      </w:r>
      <w:r w:rsidR="00F310C7" w:rsidRPr="00196363">
        <w:rPr>
          <w:rFonts w:ascii="Times New Roman" w:hAnsi="Times New Roman" w:cs="Times New Roman"/>
          <w:lang w:val="pl-PL"/>
        </w:rPr>
        <w:t xml:space="preserve"> </w:t>
      </w:r>
      <w:proofErr w:type="spellStart"/>
      <w:r w:rsidR="00F310C7" w:rsidRPr="00196363">
        <w:rPr>
          <w:rFonts w:ascii="Times New Roman" w:hAnsi="Times New Roman" w:cs="Times New Roman"/>
          <w:lang w:val="pl-PL"/>
        </w:rPr>
        <w:t>Kjølbro</w:t>
      </w:r>
      <w:proofErr w:type="spellEnd"/>
      <w:r w:rsidR="00F310C7" w:rsidRPr="00196363">
        <w:rPr>
          <w:rFonts w:ascii="Times New Roman" w:hAnsi="Times New Roman" w:cs="Times New Roman"/>
          <w:lang w:val="pl-PL"/>
        </w:rPr>
        <w:t>;</w:t>
      </w:r>
    </w:p>
    <w:p w:rsidR="00815B6F" w:rsidRPr="00196363" w:rsidRDefault="00887A51" w:rsidP="00171A6F">
      <w:pPr>
        <w:pStyle w:val="ECHRPara"/>
        <w:rPr>
          <w:rFonts w:ascii="Times New Roman" w:hAnsi="Times New Roman" w:cs="Times New Roman"/>
          <w:lang w:val="pl-PL"/>
        </w:rPr>
      </w:pPr>
      <w:r w:rsidRPr="00196363">
        <w:rPr>
          <w:rFonts w:ascii="Times New Roman" w:hAnsi="Times New Roman" w:cs="Times New Roman"/>
          <w:lang w:val="pl-PL"/>
        </w:rPr>
        <w:t>(b) </w:t>
      </w:r>
      <w:r w:rsidR="009056B5" w:rsidRPr="00196363">
        <w:rPr>
          <w:rFonts w:ascii="Times New Roman" w:hAnsi="Times New Roman" w:cs="Times New Roman"/>
          <w:lang w:val="pl-PL"/>
        </w:rPr>
        <w:t>zgodna</w:t>
      </w:r>
      <w:r w:rsidR="00AD3218" w:rsidRPr="00196363">
        <w:rPr>
          <w:rFonts w:ascii="Times New Roman" w:hAnsi="Times New Roman" w:cs="Times New Roman"/>
          <w:lang w:val="pl-PL"/>
        </w:rPr>
        <w:t xml:space="preserve"> opinia</w:t>
      </w:r>
      <w:r w:rsidR="00B413BF" w:rsidRPr="00196363">
        <w:rPr>
          <w:rFonts w:ascii="Times New Roman" w:hAnsi="Times New Roman" w:cs="Times New Roman"/>
          <w:lang w:val="pl-PL"/>
        </w:rPr>
        <w:t xml:space="preserve"> </w:t>
      </w:r>
      <w:r w:rsidR="00AD3218" w:rsidRPr="00196363">
        <w:rPr>
          <w:rFonts w:ascii="Times New Roman" w:hAnsi="Times New Roman" w:cs="Times New Roman"/>
          <w:lang w:val="pl-PL"/>
        </w:rPr>
        <w:t>Sędziego</w:t>
      </w:r>
      <w:r w:rsidR="007043CB" w:rsidRPr="00196363">
        <w:rPr>
          <w:rFonts w:ascii="Times New Roman" w:hAnsi="Times New Roman" w:cs="Times New Roman"/>
          <w:lang w:val="pl-PL"/>
        </w:rPr>
        <w:t xml:space="preserve"> </w:t>
      </w:r>
      <w:proofErr w:type="spellStart"/>
      <w:r w:rsidR="00B413BF" w:rsidRPr="00196363">
        <w:rPr>
          <w:rFonts w:ascii="Times New Roman" w:hAnsi="Times New Roman" w:cs="Times New Roman"/>
          <w:lang w:val="pl-PL"/>
        </w:rPr>
        <w:t>Zupan</w:t>
      </w:r>
      <w:r w:rsidR="00B23BBD" w:rsidRPr="00196363">
        <w:rPr>
          <w:rFonts w:ascii="Times New Roman" w:hAnsi="Times New Roman" w:cs="Times New Roman"/>
          <w:lang w:val="pl-PL"/>
        </w:rPr>
        <w:t>čič</w:t>
      </w:r>
      <w:proofErr w:type="spellEnd"/>
      <w:r w:rsidR="00FA33AA" w:rsidRPr="00196363">
        <w:rPr>
          <w:rFonts w:ascii="Times New Roman" w:hAnsi="Times New Roman" w:cs="Times New Roman"/>
          <w:lang w:val="pl-PL"/>
        </w:rPr>
        <w:t>;</w:t>
      </w:r>
    </w:p>
    <w:p w:rsidR="00B413BF" w:rsidRPr="00196363" w:rsidRDefault="00815B6F" w:rsidP="00171A6F">
      <w:pPr>
        <w:pStyle w:val="ECHRPara"/>
        <w:rPr>
          <w:rFonts w:ascii="Times New Roman" w:hAnsi="Times New Roman" w:cs="Times New Roman"/>
          <w:i/>
          <w:lang w:val="pl-PL"/>
        </w:rPr>
      </w:pPr>
      <w:r w:rsidRPr="00196363">
        <w:rPr>
          <w:rFonts w:ascii="Times New Roman" w:hAnsi="Times New Roman" w:cs="Times New Roman"/>
          <w:lang w:val="pl-PL"/>
        </w:rPr>
        <w:t>(c)</w:t>
      </w:r>
      <w:r w:rsidRPr="00196363">
        <w:rPr>
          <w:rFonts w:ascii="Times New Roman" w:hAnsi="Times New Roman" w:cs="Times New Roman"/>
          <w:i/>
          <w:lang w:val="pl-PL"/>
        </w:rPr>
        <w:t> </w:t>
      </w:r>
      <w:r w:rsidR="00AD3218" w:rsidRPr="00196363">
        <w:rPr>
          <w:rFonts w:ascii="Times New Roman" w:hAnsi="Times New Roman" w:cs="Times New Roman"/>
          <w:lang w:val="pl-PL"/>
        </w:rPr>
        <w:t xml:space="preserve">wspólna </w:t>
      </w:r>
      <w:r w:rsidR="00631F4D">
        <w:rPr>
          <w:rFonts w:ascii="Times New Roman" w:hAnsi="Times New Roman" w:cs="Times New Roman"/>
          <w:lang w:val="pl-PL"/>
        </w:rPr>
        <w:t>rozbieżna</w:t>
      </w:r>
      <w:r w:rsidR="00AD3218" w:rsidRPr="00196363">
        <w:rPr>
          <w:rFonts w:ascii="Times New Roman" w:hAnsi="Times New Roman" w:cs="Times New Roman"/>
          <w:lang w:val="pl-PL"/>
        </w:rPr>
        <w:t xml:space="preserve"> opinia</w:t>
      </w:r>
      <w:r w:rsidR="00FA33AA" w:rsidRPr="00196363">
        <w:rPr>
          <w:rFonts w:ascii="Times New Roman" w:hAnsi="Times New Roman" w:cs="Times New Roman"/>
          <w:lang w:val="pl-PL"/>
        </w:rPr>
        <w:t xml:space="preserve"> </w:t>
      </w:r>
      <w:r w:rsidR="00AD3218" w:rsidRPr="00196363">
        <w:rPr>
          <w:rFonts w:ascii="Times New Roman" w:hAnsi="Times New Roman" w:cs="Times New Roman"/>
          <w:lang w:val="pl-PL"/>
        </w:rPr>
        <w:t>Sędziów</w:t>
      </w:r>
      <w:r w:rsidR="00FA33AA" w:rsidRPr="00196363">
        <w:rPr>
          <w:rFonts w:ascii="Times New Roman" w:hAnsi="Times New Roman" w:cs="Times New Roman"/>
          <w:lang w:val="pl-PL"/>
        </w:rPr>
        <w:t xml:space="preserve"> </w:t>
      </w:r>
      <w:proofErr w:type="spellStart"/>
      <w:r w:rsidRPr="00196363">
        <w:rPr>
          <w:rFonts w:ascii="Times New Roman" w:hAnsi="Times New Roman" w:cs="Times New Roman"/>
          <w:lang w:val="pl-PL"/>
        </w:rPr>
        <w:t>Saj</w:t>
      </w:r>
      <w:r w:rsidR="00F51B6D" w:rsidRPr="00196363">
        <w:rPr>
          <w:rFonts w:ascii="Times New Roman" w:hAnsi="Times New Roman" w:cs="Times New Roman"/>
          <w:lang w:val="pl-PL"/>
        </w:rPr>
        <w:t>ó</w:t>
      </w:r>
      <w:proofErr w:type="spellEnd"/>
      <w:r w:rsidR="00AD3218" w:rsidRPr="00196363">
        <w:rPr>
          <w:rFonts w:ascii="Times New Roman" w:hAnsi="Times New Roman" w:cs="Times New Roman"/>
          <w:lang w:val="pl-PL"/>
        </w:rPr>
        <w:t xml:space="preserve"> i</w:t>
      </w:r>
      <w:r w:rsidR="00E013CB" w:rsidRPr="00196363">
        <w:rPr>
          <w:rFonts w:ascii="Times New Roman" w:hAnsi="Times New Roman" w:cs="Times New Roman"/>
          <w:lang w:val="pl-PL"/>
        </w:rPr>
        <w:t xml:space="preserve"> </w:t>
      </w:r>
      <w:proofErr w:type="spellStart"/>
      <w:r w:rsidR="00FA33AA" w:rsidRPr="00196363">
        <w:rPr>
          <w:rFonts w:ascii="Times New Roman" w:hAnsi="Times New Roman" w:cs="Times New Roman"/>
          <w:lang w:val="pl-PL"/>
        </w:rPr>
        <w:t>Tsotsoria</w:t>
      </w:r>
      <w:proofErr w:type="spellEnd"/>
      <w:r w:rsidR="00B413BF" w:rsidRPr="00196363">
        <w:rPr>
          <w:rFonts w:ascii="Times New Roman" w:hAnsi="Times New Roman" w:cs="Times New Roman"/>
          <w:i/>
          <w:lang w:val="pl-PL"/>
        </w:rPr>
        <w:t>.</w:t>
      </w:r>
    </w:p>
    <w:p w:rsidR="00D26921" w:rsidRPr="00196363" w:rsidRDefault="00F310C7" w:rsidP="00171A6F">
      <w:pPr>
        <w:pStyle w:val="JuInitialled"/>
        <w:rPr>
          <w:rFonts w:ascii="Times New Roman" w:hAnsi="Times New Roman" w:cs="Times New Roman"/>
          <w:lang w:val="pl-PL"/>
        </w:rPr>
        <w:sectPr w:rsidR="00D26921" w:rsidRPr="00196363" w:rsidSect="00B5677E">
          <w:headerReference w:type="even" r:id="rId18"/>
          <w:headerReference w:type="default" r:id="rId19"/>
          <w:pgSz w:w="11906" w:h="16838" w:code="9"/>
          <w:pgMar w:top="2274" w:right="2274" w:bottom="2274" w:left="2274" w:header="1701" w:footer="720" w:gutter="0"/>
          <w:pgNumType w:start="1"/>
          <w:cols w:space="720"/>
          <w:docGrid w:linePitch="326"/>
        </w:sectPr>
      </w:pPr>
      <w:r w:rsidRPr="00196363">
        <w:rPr>
          <w:rFonts w:ascii="Times New Roman" w:hAnsi="Times New Roman" w:cs="Times New Roman"/>
          <w:lang w:val="pl-PL"/>
        </w:rPr>
        <w:lastRenderedPageBreak/>
        <w:t>D</w:t>
      </w:r>
      <w:r w:rsidR="00EA7E99" w:rsidRPr="00196363">
        <w:rPr>
          <w:rFonts w:ascii="Times New Roman" w:hAnsi="Times New Roman" w:cs="Times New Roman"/>
          <w:lang w:val="pl-PL"/>
        </w:rPr>
        <w:t>.</w:t>
      </w:r>
      <w:r w:rsidRPr="00196363">
        <w:rPr>
          <w:rFonts w:ascii="Times New Roman" w:hAnsi="Times New Roman" w:cs="Times New Roman"/>
          <w:lang w:val="pl-PL"/>
        </w:rPr>
        <w:t>S</w:t>
      </w:r>
      <w:r w:rsidR="00EA7E99" w:rsidRPr="00196363">
        <w:rPr>
          <w:rFonts w:ascii="Times New Roman" w:hAnsi="Times New Roman" w:cs="Times New Roman"/>
          <w:lang w:val="pl-PL"/>
        </w:rPr>
        <w:t>.</w:t>
      </w:r>
      <w:r w:rsidR="00B413BF" w:rsidRPr="00196363">
        <w:rPr>
          <w:rFonts w:ascii="Times New Roman" w:hAnsi="Times New Roman" w:cs="Times New Roman"/>
          <w:lang w:val="pl-PL"/>
        </w:rPr>
        <w:br/>
      </w:r>
      <w:r w:rsidRPr="00196363">
        <w:rPr>
          <w:rFonts w:ascii="Times New Roman" w:hAnsi="Times New Roman" w:cs="Times New Roman"/>
          <w:lang w:val="pl-PL"/>
        </w:rPr>
        <w:t>J</w:t>
      </w:r>
      <w:r w:rsidR="00EA7E99" w:rsidRPr="00196363">
        <w:rPr>
          <w:rFonts w:ascii="Times New Roman" w:hAnsi="Times New Roman" w:cs="Times New Roman"/>
          <w:lang w:val="pl-PL"/>
        </w:rPr>
        <w:t>.</w:t>
      </w:r>
      <w:r w:rsidRPr="00196363">
        <w:rPr>
          <w:rFonts w:ascii="Times New Roman" w:hAnsi="Times New Roman" w:cs="Times New Roman"/>
          <w:lang w:val="pl-PL"/>
        </w:rPr>
        <w:t>C</w:t>
      </w:r>
      <w:r w:rsidR="00EA7E99" w:rsidRPr="00196363">
        <w:rPr>
          <w:rFonts w:ascii="Times New Roman" w:hAnsi="Times New Roman" w:cs="Times New Roman"/>
          <w:lang w:val="pl-PL"/>
        </w:rPr>
        <w:t>.</w:t>
      </w:r>
    </w:p>
    <w:p w:rsidR="00B413BF" w:rsidRPr="00B45853" w:rsidRDefault="00AD3218" w:rsidP="00171A6F">
      <w:pPr>
        <w:pStyle w:val="ECHRTitleCentre1"/>
        <w:rPr>
          <w:rFonts w:ascii="Times New Roman" w:hAnsi="Times New Roman" w:cs="Times New Roman"/>
          <w:lang w:val="pl-PL"/>
        </w:rPr>
      </w:pPr>
      <w:bookmarkStart w:id="39" w:name="_Toc420072886"/>
      <w:r w:rsidRPr="00B45853">
        <w:rPr>
          <w:rFonts w:ascii="Times New Roman" w:hAnsi="Times New Roman" w:cs="Times New Roman"/>
          <w:lang w:val="pl-PL"/>
        </w:rPr>
        <w:lastRenderedPageBreak/>
        <w:t xml:space="preserve">WSPÓLNA </w:t>
      </w:r>
      <w:r w:rsidR="00272F1C" w:rsidRPr="00B45853">
        <w:rPr>
          <w:rFonts w:ascii="Times New Roman" w:hAnsi="Times New Roman" w:cs="Times New Roman"/>
          <w:lang w:val="pl-PL"/>
        </w:rPr>
        <w:t>ZGODNA</w:t>
      </w:r>
      <w:r w:rsidRPr="00B45853">
        <w:rPr>
          <w:rFonts w:ascii="Times New Roman" w:hAnsi="Times New Roman" w:cs="Times New Roman"/>
          <w:lang w:val="pl-PL"/>
        </w:rPr>
        <w:t xml:space="preserve"> OPINIA SĘDZIÓW</w:t>
      </w:r>
      <w:r w:rsidR="00B413BF" w:rsidRPr="00B45853">
        <w:rPr>
          <w:rFonts w:ascii="Times New Roman" w:hAnsi="Times New Roman" w:cs="Times New Roman"/>
          <w:lang w:val="pl-PL"/>
        </w:rPr>
        <w:t xml:space="preserve"> RAIMONDI, KARAKAS, DE GAETANO AND KJØLBRO</w:t>
      </w:r>
      <w:bookmarkEnd w:id="39"/>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FA3B63" w:rsidRPr="00B45853">
        <w:rPr>
          <w:rFonts w:ascii="Times New Roman" w:hAnsi="Times New Roman" w:cs="Times New Roman"/>
          <w:lang w:val="pl-PL"/>
        </w:rPr>
        <w:instrText xml:space="preserve"> SEQ level0 \*arabic \r1</w:instrText>
      </w: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w:instrText>
      </w:r>
      <w:r w:rsidR="00FA3B63" w:rsidRPr="00B45853">
        <w:rPr>
          <w:rFonts w:ascii="Times New Roman" w:hAnsi="Times New Roman" w:cs="Times New Roman"/>
          <w:lang w:val="pl-PL"/>
        </w:rPr>
        <w:instrText>.  </w:instrText>
      </w:r>
      <w:r w:rsidR="00B918FA" w:rsidRPr="00B45853">
        <w:rPr>
          <w:rFonts w:ascii="Times New Roman" w:hAnsi="Times New Roman" w:cs="Times New Roman"/>
          <w:lang w:val="pl-PL"/>
        </w:rPr>
        <w:instrText xml:space="preserve">SEQ level0 \*arabic </w:instrText>
      </w:r>
      <w:r w:rsidRPr="00B45853">
        <w:rPr>
          <w:rFonts w:ascii="Times New Roman" w:hAnsi="Times New Roman" w:cs="Times New Roman"/>
          <w:lang w:val="en-GB"/>
        </w:rPr>
        <w:fldChar w:fldCharType="separate"/>
      </w:r>
      <w:r w:rsidR="00CE4E01" w:rsidRPr="00B45853">
        <w:rPr>
          <w:rFonts w:ascii="Times New Roman" w:hAnsi="Times New Roman" w:cs="Times New Roman"/>
          <w:noProof/>
          <w:lang w:val="pl-PL"/>
        </w:rPr>
        <w:instrText>163</w:instrText>
      </w:r>
      <w:r w:rsidRPr="00B45853">
        <w:rPr>
          <w:rFonts w:ascii="Times New Roman" w:hAnsi="Times New Roman" w:cs="Times New Roman"/>
          <w:lang w:val="en-GB"/>
        </w:rPr>
        <w:fldChar w:fldCharType="end"/>
      </w:r>
      <w:r w:rsidR="00FA3B63" w:rsidRPr="00B45853">
        <w:rPr>
          <w:rFonts w:ascii="Times New Roman" w:hAnsi="Times New Roman" w:cs="Times New Roman"/>
          <w:lang w:val="pl-PL"/>
        </w:rPr>
        <w:instrText xml:space="preserve">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w:t>
      </w:r>
      <w:r w:rsidR="00D26921" w:rsidRPr="00B45853">
        <w:rPr>
          <w:rFonts w:ascii="Times New Roman" w:hAnsi="Times New Roman" w:cs="Times New Roman"/>
          <w:lang w:val="pl-PL"/>
        </w:rPr>
        <w:t> </w:t>
      </w:r>
      <w:r w:rsidR="00B918FA" w:rsidRPr="00B45853">
        <w:rPr>
          <w:rFonts w:ascii="Times New Roman" w:hAnsi="Times New Roman" w:cs="Times New Roman"/>
          <w:lang w:val="pl-PL"/>
        </w:rPr>
        <w:t> </w:t>
      </w:r>
      <w:r w:rsidR="00AD3218" w:rsidRPr="00B45853">
        <w:rPr>
          <w:rFonts w:ascii="Times New Roman" w:hAnsi="Times New Roman" w:cs="Times New Roman"/>
          <w:lang w:val="pl-PL"/>
        </w:rPr>
        <w:t>Zgadzamy się, że nie doszło do naruszenia Artykułu 10 Konwencji. Jednak chcielibyśmy wyjaśnić nasze stanowisko w odniesieniu do dwóch kwestii: (1) odczytu przez Trybunał wyroku Sądu Najwyżs</w:t>
      </w:r>
      <w:r w:rsidR="00887A51" w:rsidRPr="00B45853">
        <w:rPr>
          <w:rFonts w:ascii="Times New Roman" w:hAnsi="Times New Roman" w:cs="Times New Roman"/>
          <w:lang w:val="pl-PL"/>
        </w:rPr>
        <w:t>zego</w:t>
      </w:r>
      <w:r w:rsidR="009056B5" w:rsidRPr="00B45853">
        <w:rPr>
          <w:rFonts w:ascii="Times New Roman" w:hAnsi="Times New Roman" w:cs="Times New Roman"/>
          <w:lang w:val="pl-PL"/>
        </w:rPr>
        <w:t xml:space="preserve"> oraz (2) podstawowych</w:t>
      </w:r>
      <w:r w:rsidR="00AD3218" w:rsidRPr="00B45853">
        <w:rPr>
          <w:rFonts w:ascii="Times New Roman" w:hAnsi="Times New Roman" w:cs="Times New Roman"/>
          <w:lang w:val="pl-PL"/>
        </w:rPr>
        <w:t xml:space="preserve"> zasad oceny skargi przez Trybunał</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2</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AD3218" w:rsidRPr="00B45853">
        <w:rPr>
          <w:rFonts w:ascii="Times New Roman" w:hAnsi="Times New Roman" w:cs="Times New Roman"/>
          <w:lang w:val="pl-PL"/>
        </w:rPr>
        <w:t xml:space="preserve">Po pierwsze, </w:t>
      </w:r>
      <w:r w:rsidR="002D1C29">
        <w:rPr>
          <w:rFonts w:ascii="Times New Roman" w:hAnsi="Times New Roman" w:cs="Times New Roman"/>
          <w:lang w:val="pl-PL"/>
        </w:rPr>
        <w:t>interpretacja</w:t>
      </w:r>
      <w:r w:rsidR="00AD3218" w:rsidRPr="00B45853">
        <w:rPr>
          <w:rFonts w:ascii="Times New Roman" w:hAnsi="Times New Roman" w:cs="Times New Roman"/>
          <w:lang w:val="pl-PL"/>
        </w:rPr>
        <w:t xml:space="preserve"> przez Trybunał wyroku Sądu Najwyższego </w:t>
      </w:r>
      <w:r w:rsidR="00B918FA" w:rsidRPr="00B45853">
        <w:rPr>
          <w:rFonts w:ascii="Times New Roman" w:hAnsi="Times New Roman" w:cs="Times New Roman"/>
          <w:lang w:val="pl-PL"/>
        </w:rPr>
        <w:t>(</w:t>
      </w:r>
      <w:r w:rsidR="00AD3218" w:rsidRPr="00B45853">
        <w:rPr>
          <w:rFonts w:ascii="Times New Roman" w:hAnsi="Times New Roman" w:cs="Times New Roman"/>
          <w:lang w:val="pl-PL"/>
        </w:rPr>
        <w:t>zobacz</w:t>
      </w:r>
      <w:r w:rsidR="00B918FA" w:rsidRPr="00B45853">
        <w:rPr>
          <w:rFonts w:ascii="Times New Roman" w:hAnsi="Times New Roman" w:cs="Times New Roman"/>
          <w:lang w:val="pl-PL"/>
        </w:rPr>
        <w:t xml:space="preserve"> </w:t>
      </w:r>
      <w:r w:rsidR="00AD3218" w:rsidRPr="00B45853">
        <w:rPr>
          <w:rFonts w:ascii="Times New Roman" w:hAnsi="Times New Roman" w:cs="Times New Roman"/>
          <w:lang w:val="pl-PL"/>
        </w:rPr>
        <w:t>paragrafy</w:t>
      </w:r>
      <w:r w:rsidR="00B918FA" w:rsidRPr="00B45853">
        <w:rPr>
          <w:rFonts w:ascii="Times New Roman" w:hAnsi="Times New Roman" w:cs="Times New Roman"/>
          <w:lang w:val="pl-PL"/>
        </w:rPr>
        <w:t xml:space="preserve"> 153-154) </w:t>
      </w:r>
      <w:r w:rsidR="00AD3218" w:rsidRPr="00B45853">
        <w:rPr>
          <w:rFonts w:ascii="Times New Roman" w:hAnsi="Times New Roman" w:cs="Times New Roman"/>
          <w:lang w:val="pl-PL"/>
        </w:rPr>
        <w:t>ma decydujące znaczenie dla oceny sprawy</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3</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AD3218" w:rsidRPr="00B45853">
        <w:rPr>
          <w:rFonts w:ascii="Times New Roman" w:hAnsi="Times New Roman" w:cs="Times New Roman"/>
          <w:lang w:val="pl-PL"/>
        </w:rPr>
        <w:t xml:space="preserve">Przy podejmowaniu decyzji Sąd Najwyższy stwierdził między innymi, że z obowiązku, aby uniknąć wyrządzenia szkody, </w:t>
      </w:r>
      <w:proofErr w:type="spellStart"/>
      <w:r w:rsidR="00AD3218" w:rsidRPr="00B45853">
        <w:rPr>
          <w:rFonts w:ascii="Times New Roman" w:hAnsi="Times New Roman" w:cs="Times New Roman"/>
          <w:lang w:val="pl-PL"/>
        </w:rPr>
        <w:t>Delfi</w:t>
      </w:r>
      <w:proofErr w:type="spellEnd"/>
      <w:r w:rsidR="00AD3218" w:rsidRPr="00B45853">
        <w:rPr>
          <w:rFonts w:ascii="Times New Roman" w:hAnsi="Times New Roman" w:cs="Times New Roman"/>
          <w:lang w:val="pl-PL"/>
        </w:rPr>
        <w:t xml:space="preserve"> "powinna zapobiec publikacji komentarzy z wyraźnie nielegalną treścią". Ponadto, Sąd Najwyższy stwierdził, że </w:t>
      </w:r>
      <w:proofErr w:type="spellStart"/>
      <w:r w:rsidR="00AD3218" w:rsidRPr="00B45853">
        <w:rPr>
          <w:rFonts w:ascii="Times New Roman" w:hAnsi="Times New Roman" w:cs="Times New Roman"/>
          <w:lang w:val="pl-PL"/>
        </w:rPr>
        <w:t>Delfi</w:t>
      </w:r>
      <w:proofErr w:type="spellEnd"/>
      <w:r w:rsidR="00AD3218" w:rsidRPr="00B45853">
        <w:rPr>
          <w:rFonts w:ascii="Times New Roman" w:hAnsi="Times New Roman" w:cs="Times New Roman"/>
          <w:lang w:val="pl-PL"/>
        </w:rPr>
        <w:t>, po ujawnieniu uwag, o których mowa, "nie udało s</w:t>
      </w:r>
      <w:r w:rsidR="00887A51" w:rsidRPr="00B45853">
        <w:rPr>
          <w:rFonts w:ascii="Times New Roman" w:hAnsi="Times New Roman" w:cs="Times New Roman"/>
          <w:lang w:val="pl-PL"/>
        </w:rPr>
        <w:t>ię usunąć komentarzy</w:t>
      </w:r>
      <w:r w:rsidR="008278BF">
        <w:rPr>
          <w:rFonts w:ascii="Times New Roman" w:hAnsi="Times New Roman" w:cs="Times New Roman"/>
          <w:lang w:val="pl-PL"/>
        </w:rPr>
        <w:t xml:space="preserve"> </w:t>
      </w:r>
      <w:r w:rsidR="00887A51" w:rsidRPr="00B45853">
        <w:rPr>
          <w:rFonts w:ascii="Times New Roman" w:hAnsi="Times New Roman" w:cs="Times New Roman"/>
          <w:lang w:val="pl-PL"/>
        </w:rPr>
        <w:t>-</w:t>
      </w:r>
      <w:r w:rsidR="008278BF">
        <w:rPr>
          <w:rFonts w:ascii="Times New Roman" w:hAnsi="Times New Roman" w:cs="Times New Roman"/>
          <w:lang w:val="pl-PL"/>
        </w:rPr>
        <w:t xml:space="preserve"> </w:t>
      </w:r>
      <w:r w:rsidR="00AD3218" w:rsidRPr="00B45853">
        <w:rPr>
          <w:rFonts w:ascii="Times New Roman" w:hAnsi="Times New Roman" w:cs="Times New Roman"/>
          <w:lang w:val="pl-PL"/>
        </w:rPr>
        <w:t>bezprawnej treści, której</w:t>
      </w:r>
      <w:r w:rsidR="00887A51" w:rsidRPr="00B45853">
        <w:rPr>
          <w:rFonts w:ascii="Times New Roman" w:hAnsi="Times New Roman" w:cs="Times New Roman"/>
          <w:lang w:val="pl-PL"/>
        </w:rPr>
        <w:t xml:space="preserve"> powinna być świadoma</w:t>
      </w:r>
      <w:r w:rsidR="008278BF">
        <w:rPr>
          <w:rFonts w:ascii="Times New Roman" w:hAnsi="Times New Roman" w:cs="Times New Roman"/>
          <w:lang w:val="pl-PL"/>
        </w:rPr>
        <w:t xml:space="preserve"> </w:t>
      </w:r>
      <w:r w:rsidR="00887A51" w:rsidRPr="00B45853">
        <w:rPr>
          <w:rFonts w:ascii="Times New Roman" w:hAnsi="Times New Roman" w:cs="Times New Roman"/>
          <w:lang w:val="pl-PL"/>
        </w:rPr>
        <w:t>-</w:t>
      </w:r>
      <w:r w:rsidR="008278BF">
        <w:rPr>
          <w:rFonts w:ascii="Times New Roman" w:hAnsi="Times New Roman" w:cs="Times New Roman"/>
          <w:lang w:val="pl-PL"/>
        </w:rPr>
        <w:t xml:space="preserve"> </w:t>
      </w:r>
      <w:r w:rsidR="00C11232" w:rsidRPr="00B45853">
        <w:rPr>
          <w:rFonts w:ascii="Times New Roman" w:hAnsi="Times New Roman" w:cs="Times New Roman"/>
          <w:lang w:val="pl-PL"/>
        </w:rPr>
        <w:t>z</w:t>
      </w:r>
      <w:r w:rsidR="00AD3218" w:rsidRPr="00B45853">
        <w:rPr>
          <w:rFonts w:ascii="Times New Roman" w:hAnsi="Times New Roman" w:cs="Times New Roman"/>
          <w:lang w:val="pl-PL"/>
        </w:rPr>
        <w:t xml:space="preserve"> portalu z własnej inicjatywy". Sąd Najwyższy stwierdził, że "bezczynność </w:t>
      </w:r>
      <w:proofErr w:type="spellStart"/>
      <w:r w:rsidR="00C11232" w:rsidRPr="00B45853">
        <w:rPr>
          <w:rFonts w:ascii="Times New Roman" w:hAnsi="Times New Roman" w:cs="Times New Roman"/>
          <w:lang w:val="pl-PL"/>
        </w:rPr>
        <w:t>Delfi</w:t>
      </w:r>
      <w:proofErr w:type="spellEnd"/>
      <w:r w:rsidR="00C11232" w:rsidRPr="00B45853">
        <w:rPr>
          <w:rFonts w:ascii="Times New Roman" w:hAnsi="Times New Roman" w:cs="Times New Roman"/>
          <w:lang w:val="pl-PL"/>
        </w:rPr>
        <w:t xml:space="preserve"> </w:t>
      </w:r>
      <w:r w:rsidR="00AD3218" w:rsidRPr="00B45853">
        <w:rPr>
          <w:rFonts w:ascii="Times New Roman" w:hAnsi="Times New Roman" w:cs="Times New Roman"/>
          <w:lang w:val="pl-PL"/>
        </w:rPr>
        <w:t>[była</w:t>
      </w:r>
      <w:r w:rsidR="00C11232" w:rsidRPr="00B45853">
        <w:rPr>
          <w:rFonts w:ascii="Times New Roman" w:hAnsi="Times New Roman" w:cs="Times New Roman"/>
          <w:lang w:val="pl-PL"/>
        </w:rPr>
        <w:t>] bezprawna</w:t>
      </w:r>
      <w:r w:rsidR="00887A51" w:rsidRPr="00B45853">
        <w:rPr>
          <w:rFonts w:ascii="Times New Roman" w:hAnsi="Times New Roman" w:cs="Times New Roman"/>
          <w:lang w:val="pl-PL"/>
        </w:rPr>
        <w:t>"</w:t>
      </w:r>
      <w:r w:rsidR="00AD3218" w:rsidRPr="00B45853">
        <w:rPr>
          <w:rFonts w:ascii="Times New Roman" w:hAnsi="Times New Roman" w:cs="Times New Roman"/>
          <w:lang w:val="pl-PL"/>
        </w:rPr>
        <w:t xml:space="preserve"> oraz że </w:t>
      </w:r>
      <w:proofErr w:type="spellStart"/>
      <w:r w:rsidR="00AD3218" w:rsidRPr="00B45853">
        <w:rPr>
          <w:rFonts w:ascii="Times New Roman" w:hAnsi="Times New Roman" w:cs="Times New Roman"/>
          <w:lang w:val="pl-PL"/>
        </w:rPr>
        <w:t>Delfi</w:t>
      </w:r>
      <w:proofErr w:type="spellEnd"/>
      <w:r w:rsidR="00AD3218" w:rsidRPr="00B45853">
        <w:rPr>
          <w:rFonts w:ascii="Times New Roman" w:hAnsi="Times New Roman" w:cs="Times New Roman"/>
          <w:lang w:val="pl-PL"/>
        </w:rPr>
        <w:t xml:space="preserve"> był</w:t>
      </w:r>
      <w:r w:rsidR="00C11232" w:rsidRPr="00B45853">
        <w:rPr>
          <w:rFonts w:ascii="Times New Roman" w:hAnsi="Times New Roman" w:cs="Times New Roman"/>
          <w:lang w:val="pl-PL"/>
        </w:rPr>
        <w:t>o odpowiedzialne</w:t>
      </w:r>
      <w:r w:rsidR="00AD3218" w:rsidRPr="00B45853">
        <w:rPr>
          <w:rFonts w:ascii="Times New Roman" w:hAnsi="Times New Roman" w:cs="Times New Roman"/>
          <w:lang w:val="pl-PL"/>
        </w:rPr>
        <w:t xml:space="preserve">, </w:t>
      </w:r>
      <w:r w:rsidR="00C11232" w:rsidRPr="00B45853">
        <w:rPr>
          <w:rFonts w:ascii="Times New Roman" w:hAnsi="Times New Roman" w:cs="Times New Roman"/>
          <w:lang w:val="pl-PL"/>
        </w:rPr>
        <w:t>ponieważ</w:t>
      </w:r>
      <w:r w:rsidR="00AD3218" w:rsidRPr="00B45853">
        <w:rPr>
          <w:rFonts w:ascii="Times New Roman" w:hAnsi="Times New Roman" w:cs="Times New Roman"/>
          <w:lang w:val="pl-PL"/>
        </w:rPr>
        <w:t xml:space="preserve"> "</w:t>
      </w:r>
      <w:r w:rsidR="00C11232" w:rsidRPr="00B45853">
        <w:rPr>
          <w:rFonts w:ascii="Times New Roman" w:hAnsi="Times New Roman" w:cs="Times New Roman"/>
          <w:lang w:val="pl-PL"/>
        </w:rPr>
        <w:t>nie wykazał</w:t>
      </w:r>
      <w:r w:rsidR="009056B5" w:rsidRPr="00B45853">
        <w:rPr>
          <w:rFonts w:ascii="Times New Roman" w:hAnsi="Times New Roman" w:cs="Times New Roman"/>
          <w:lang w:val="pl-PL"/>
        </w:rPr>
        <w:t>o</w:t>
      </w:r>
      <w:r w:rsidR="00C11232" w:rsidRPr="00B45853">
        <w:rPr>
          <w:rFonts w:ascii="Times New Roman" w:hAnsi="Times New Roman" w:cs="Times New Roman"/>
          <w:lang w:val="pl-PL"/>
        </w:rPr>
        <w:t xml:space="preserve"> braku winy</w:t>
      </w:r>
      <w:r w:rsidR="00AD3218" w:rsidRPr="00B45853">
        <w:rPr>
          <w:rFonts w:ascii="Times New Roman" w:hAnsi="Times New Roman" w:cs="Times New Roman"/>
          <w:lang w:val="pl-PL"/>
        </w:rPr>
        <w:t>" (</w:t>
      </w:r>
      <w:r w:rsidR="00C11232" w:rsidRPr="00B45853">
        <w:rPr>
          <w:rFonts w:ascii="Times New Roman" w:hAnsi="Times New Roman" w:cs="Times New Roman"/>
          <w:lang w:val="pl-PL"/>
        </w:rPr>
        <w:t>zobacz</w:t>
      </w:r>
      <w:r w:rsidR="00AD3218" w:rsidRPr="00B45853">
        <w:rPr>
          <w:rFonts w:ascii="Times New Roman" w:hAnsi="Times New Roman" w:cs="Times New Roman"/>
          <w:lang w:val="pl-PL"/>
        </w:rPr>
        <w:t xml:space="preserve"> </w:t>
      </w:r>
      <w:r w:rsidR="00311000">
        <w:rPr>
          <w:rFonts w:ascii="Times New Roman" w:hAnsi="Times New Roman" w:cs="Times New Roman"/>
          <w:lang w:val="pl-PL"/>
        </w:rPr>
        <w:t>fragment</w:t>
      </w:r>
      <w:r w:rsidR="00AD3218" w:rsidRPr="00B45853">
        <w:rPr>
          <w:rFonts w:ascii="Times New Roman" w:hAnsi="Times New Roman" w:cs="Times New Roman"/>
          <w:lang w:val="pl-PL"/>
        </w:rPr>
        <w:t xml:space="preserve"> cytowany w p</w:t>
      </w:r>
      <w:r w:rsidR="00C11232" w:rsidRPr="00B45853">
        <w:rPr>
          <w:rFonts w:ascii="Times New Roman" w:hAnsi="Times New Roman" w:cs="Times New Roman"/>
          <w:lang w:val="pl-PL"/>
        </w:rPr>
        <w:t xml:space="preserve">aragrafie </w:t>
      </w:r>
      <w:r w:rsidR="00AD3218" w:rsidRPr="00B45853">
        <w:rPr>
          <w:rFonts w:ascii="Times New Roman" w:hAnsi="Times New Roman" w:cs="Times New Roman"/>
          <w:lang w:val="pl-PL"/>
        </w:rPr>
        <w:t>31 wyroku).</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4</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C11232" w:rsidRPr="00024941">
        <w:rPr>
          <w:rFonts w:ascii="Times New Roman" w:hAnsi="Times New Roman" w:cs="Times New Roman"/>
          <w:lang w:val="pl-PL"/>
        </w:rPr>
        <w:t xml:space="preserve">Możliwe są </w:t>
      </w:r>
      <w:r w:rsidR="00024941">
        <w:rPr>
          <w:rFonts w:ascii="Times New Roman" w:hAnsi="Times New Roman" w:cs="Times New Roman"/>
          <w:lang w:val="pl-PL"/>
        </w:rPr>
        <w:t>dwie interpretacje</w:t>
      </w:r>
      <w:r w:rsidR="00C11232" w:rsidRPr="00024941">
        <w:rPr>
          <w:rFonts w:ascii="Times New Roman" w:hAnsi="Times New Roman" w:cs="Times New Roman"/>
          <w:lang w:val="pl-PL"/>
        </w:rPr>
        <w:t xml:space="preserve"> wyroku</w:t>
      </w:r>
      <w:r w:rsidR="00B918FA" w:rsidRPr="00024941">
        <w:rPr>
          <w:rFonts w:ascii="Times New Roman" w:hAnsi="Times New Roman" w:cs="Times New Roman"/>
          <w:lang w:val="pl-PL"/>
        </w:rPr>
        <w:t xml:space="preserve"> </w:t>
      </w:r>
      <w:r w:rsidR="00C11232" w:rsidRPr="00024941">
        <w:rPr>
          <w:rFonts w:ascii="Times New Roman" w:hAnsi="Times New Roman" w:cs="Times New Roman"/>
          <w:lang w:val="pl-PL"/>
        </w:rPr>
        <w:t>Sądu Najwyższego</w:t>
      </w:r>
      <w:r w:rsidR="00B918FA" w:rsidRPr="00B45853">
        <w:rPr>
          <w:rFonts w:ascii="Times New Roman" w:hAnsi="Times New Roman" w:cs="Times New Roman"/>
          <w:lang w:val="pl-PL"/>
        </w:rPr>
        <w:t>: (1) </w:t>
      </w:r>
      <w:proofErr w:type="spellStart"/>
      <w:r w:rsidR="00C11232" w:rsidRPr="00B45853">
        <w:rPr>
          <w:rFonts w:ascii="Times New Roman" w:hAnsi="Times New Roman" w:cs="Times New Roman"/>
          <w:lang w:val="pl-PL"/>
        </w:rPr>
        <w:t>Delfi</w:t>
      </w:r>
      <w:proofErr w:type="spellEnd"/>
      <w:r w:rsidR="00C11232" w:rsidRPr="00B45853">
        <w:rPr>
          <w:rFonts w:ascii="Times New Roman" w:hAnsi="Times New Roman" w:cs="Times New Roman"/>
          <w:lang w:val="pl-PL"/>
        </w:rPr>
        <w:t xml:space="preserve"> było odpowiedzialne, ponieważ nie "zapobiegło" publikacji niezgodnych z prawem komentarzy, a jego zobowiązanie zostało spotęgowane przez fakt, że później nie "usunęło" komentarzy; lub </w:t>
      </w:r>
      <w:r w:rsidR="00B918FA" w:rsidRPr="00B45853">
        <w:rPr>
          <w:rFonts w:ascii="Times New Roman" w:hAnsi="Times New Roman" w:cs="Times New Roman"/>
          <w:lang w:val="pl-PL"/>
        </w:rPr>
        <w:t xml:space="preserve"> (2) </w:t>
      </w:r>
      <w:proofErr w:type="spellStart"/>
      <w:r w:rsidR="00C11232" w:rsidRPr="00B45853">
        <w:rPr>
          <w:rFonts w:ascii="Times New Roman" w:hAnsi="Times New Roman" w:cs="Times New Roman"/>
          <w:lang w:val="pl-PL"/>
        </w:rPr>
        <w:t>Delfi</w:t>
      </w:r>
      <w:proofErr w:type="spellEnd"/>
      <w:r w:rsidR="00C11232" w:rsidRPr="00B45853">
        <w:rPr>
          <w:rFonts w:ascii="Times New Roman" w:hAnsi="Times New Roman" w:cs="Times New Roman"/>
          <w:lang w:val="pl-PL"/>
        </w:rPr>
        <w:t xml:space="preserve"> nie "powstrzymało" bezprawnych komentarzy przed publikacją, a ponieważ później nie "usunęło" komentarzy bez zwłoki, więc ponosi za nie odpowiedzialność.</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5</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C11232" w:rsidRPr="00B45853">
        <w:rPr>
          <w:rFonts w:ascii="Times New Roman" w:hAnsi="Times New Roman" w:cs="Times New Roman"/>
          <w:lang w:val="pl-PL"/>
        </w:rPr>
        <w:t xml:space="preserve">Trybunał postanowił </w:t>
      </w:r>
      <w:r w:rsidR="007B52D7" w:rsidRPr="00B45853">
        <w:rPr>
          <w:rFonts w:ascii="Times New Roman" w:hAnsi="Times New Roman" w:cs="Times New Roman"/>
          <w:lang w:val="pl-PL"/>
        </w:rPr>
        <w:t>odczytać</w:t>
      </w:r>
      <w:r w:rsidR="00C11232" w:rsidRPr="00B45853">
        <w:rPr>
          <w:rFonts w:ascii="Times New Roman" w:hAnsi="Times New Roman" w:cs="Times New Roman"/>
          <w:lang w:val="pl-PL"/>
        </w:rPr>
        <w:t xml:space="preserve"> orzeczenie Sądu Najwyższego w drugim znaczeniu, unikając w ten sposób trudnej kwestii ewentualnej odpowiedzialności portalu informacyjnego za brak "powstrzymania" publikacji bezprawnych komentarzy wygenerowanych przez użytkowników. Jednakże, gdyby Sąd przeczytał orzeczenie Sądu Najwyższego w pierwszym sensie wynik sprawy</w:t>
      </w:r>
      <w:r w:rsidR="00887A51" w:rsidRPr="00B45853">
        <w:rPr>
          <w:rFonts w:ascii="Times New Roman" w:hAnsi="Times New Roman" w:cs="Times New Roman"/>
          <w:lang w:val="pl-PL"/>
        </w:rPr>
        <w:t>,</w:t>
      </w:r>
      <w:r w:rsidR="00C11232" w:rsidRPr="00B45853">
        <w:rPr>
          <w:rFonts w:ascii="Times New Roman" w:hAnsi="Times New Roman" w:cs="Times New Roman"/>
          <w:lang w:val="pl-PL"/>
        </w:rPr>
        <w:t xml:space="preserve"> mógłby być inny.</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6</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170913" w:rsidRPr="00B45853">
        <w:rPr>
          <w:rFonts w:ascii="Times New Roman" w:hAnsi="Times New Roman" w:cs="Times New Roman"/>
          <w:lang w:val="pl-PL"/>
        </w:rPr>
        <w:t xml:space="preserve">Jeżeli orzeczenie Sądu Najwyższego należało rozumieć w pierwszym znaczeniu, to zapisano interpretację przepisów prawa krajowego, które wiązałoby się z ryzykiem nakładania nadmiernych obciążeń na portal informacyjny taki jak </w:t>
      </w:r>
      <w:proofErr w:type="spellStart"/>
      <w:r w:rsidR="00170913" w:rsidRPr="00B45853">
        <w:rPr>
          <w:rFonts w:ascii="Times New Roman" w:hAnsi="Times New Roman" w:cs="Times New Roman"/>
          <w:lang w:val="pl-PL"/>
        </w:rPr>
        <w:t>Delfi</w:t>
      </w:r>
      <w:proofErr w:type="spellEnd"/>
      <w:r w:rsidR="00170913" w:rsidRPr="00B45853">
        <w:rPr>
          <w:rFonts w:ascii="Times New Roman" w:hAnsi="Times New Roman" w:cs="Times New Roman"/>
          <w:lang w:val="pl-PL"/>
        </w:rPr>
        <w:t xml:space="preserve">. W rzeczywistości, w celu uniknięcia odpowiedzialności za komentarze pisane na swoich artykułach przez czytelników, portal informacyjny musiałby zapobiec takim komentarzom przed ich opublikowaniem </w:t>
      </w:r>
      <w:r w:rsidR="00B918FA" w:rsidRPr="00B45853">
        <w:rPr>
          <w:rFonts w:ascii="Times New Roman" w:hAnsi="Times New Roman" w:cs="Times New Roman"/>
          <w:lang w:val="pl-PL"/>
        </w:rPr>
        <w:t>(</w:t>
      </w:r>
      <w:r w:rsidR="00170913" w:rsidRPr="00B45853">
        <w:rPr>
          <w:rFonts w:ascii="Times New Roman" w:hAnsi="Times New Roman" w:cs="Times New Roman"/>
          <w:lang w:val="pl-PL"/>
        </w:rPr>
        <w:t>i musiałby także usunąć wszelkie takie komentarze, które zostały opublikowane</w:t>
      </w:r>
      <w:r w:rsidR="00B918FA" w:rsidRPr="00B45853">
        <w:rPr>
          <w:rFonts w:ascii="Times New Roman" w:hAnsi="Times New Roman" w:cs="Times New Roman"/>
          <w:lang w:val="pl-PL"/>
        </w:rPr>
        <w:t xml:space="preserve">). </w:t>
      </w:r>
      <w:r w:rsidR="00170913" w:rsidRPr="00B45853">
        <w:rPr>
          <w:rFonts w:ascii="Times New Roman" w:hAnsi="Times New Roman" w:cs="Times New Roman"/>
          <w:lang w:val="pl-PL"/>
        </w:rPr>
        <w:t>Mogło to, w praktyce, wymagać skutecznego systemu monitorowania, czy to automatycznego lub ręcznego. Innymi słowy, portal informacyjny może wstępn</w:t>
      </w:r>
      <w:r w:rsidR="007B52D7" w:rsidRPr="00B45853">
        <w:rPr>
          <w:rFonts w:ascii="Times New Roman" w:hAnsi="Times New Roman" w:cs="Times New Roman"/>
          <w:lang w:val="pl-PL"/>
        </w:rPr>
        <w:t>ie monitorować komentarze</w:t>
      </w:r>
      <w:r w:rsidR="00170913" w:rsidRPr="00B45853">
        <w:rPr>
          <w:rFonts w:ascii="Times New Roman" w:hAnsi="Times New Roman" w:cs="Times New Roman"/>
          <w:lang w:val="pl-PL"/>
        </w:rPr>
        <w:t xml:space="preserve"> w celu uniknięcia publikacji wyraźnie bezprawnych komentarzy. Ponadto, jeśli odpowiedzialność w portalu informacyjnym była ściśle związana z wyraźnie bezprawnym charakterem komentarzy, przy czym nie jest konieczne, aby powód musi</w:t>
      </w:r>
      <w:r w:rsidR="004D2C1B" w:rsidRPr="00B45853">
        <w:rPr>
          <w:rFonts w:ascii="Times New Roman" w:hAnsi="Times New Roman" w:cs="Times New Roman"/>
          <w:lang w:val="pl-PL"/>
        </w:rPr>
        <w:t>ał</w:t>
      </w:r>
      <w:r w:rsidR="00170913" w:rsidRPr="00B45853">
        <w:rPr>
          <w:rFonts w:ascii="Times New Roman" w:hAnsi="Times New Roman" w:cs="Times New Roman"/>
          <w:lang w:val="pl-PL"/>
        </w:rPr>
        <w:t xml:space="preserve"> udowodnić, że portal informacyjny wiedział </w:t>
      </w:r>
      <w:r w:rsidR="00170913" w:rsidRPr="00B45853">
        <w:rPr>
          <w:rFonts w:ascii="Times New Roman" w:hAnsi="Times New Roman" w:cs="Times New Roman"/>
          <w:lang w:val="pl-PL"/>
        </w:rPr>
        <w:lastRenderedPageBreak/>
        <w:t>lub powinien był wiedzieć, że komentarze będą lub</w:t>
      </w:r>
      <w:r w:rsidR="004D2C1B" w:rsidRPr="00B45853">
        <w:rPr>
          <w:rFonts w:ascii="Times New Roman" w:hAnsi="Times New Roman" w:cs="Times New Roman"/>
          <w:lang w:val="pl-PL"/>
        </w:rPr>
        <w:t xml:space="preserve"> już</w:t>
      </w:r>
      <w:r w:rsidR="00170913" w:rsidRPr="00B45853">
        <w:rPr>
          <w:rFonts w:ascii="Times New Roman" w:hAnsi="Times New Roman" w:cs="Times New Roman"/>
          <w:lang w:val="pl-PL"/>
        </w:rPr>
        <w:t xml:space="preserve"> zostały opublikowane </w:t>
      </w:r>
      <w:r w:rsidR="004D2C1B" w:rsidRPr="00B45853">
        <w:rPr>
          <w:rFonts w:ascii="Times New Roman" w:hAnsi="Times New Roman" w:cs="Times New Roman"/>
          <w:lang w:val="pl-PL"/>
        </w:rPr>
        <w:t>na</w:t>
      </w:r>
      <w:r w:rsidR="00170913" w:rsidRPr="00B45853">
        <w:rPr>
          <w:rFonts w:ascii="Times New Roman" w:hAnsi="Times New Roman" w:cs="Times New Roman"/>
          <w:lang w:val="pl-PL"/>
        </w:rPr>
        <w:t xml:space="preserve"> portal</w:t>
      </w:r>
      <w:r w:rsidR="004D2C1B" w:rsidRPr="00B45853">
        <w:rPr>
          <w:rFonts w:ascii="Times New Roman" w:hAnsi="Times New Roman" w:cs="Times New Roman"/>
          <w:lang w:val="pl-PL"/>
        </w:rPr>
        <w:t>u</w:t>
      </w:r>
      <w:r w:rsidR="00170913" w:rsidRPr="00B45853">
        <w:rPr>
          <w:rFonts w:ascii="Times New Roman" w:hAnsi="Times New Roman" w:cs="Times New Roman"/>
          <w:lang w:val="pl-PL"/>
        </w:rPr>
        <w:t xml:space="preserve">, portal w praktyce </w:t>
      </w:r>
      <w:r w:rsidR="004D2C1B" w:rsidRPr="00B45853">
        <w:rPr>
          <w:rFonts w:ascii="Times New Roman" w:hAnsi="Times New Roman" w:cs="Times New Roman"/>
          <w:lang w:val="pl-PL"/>
        </w:rPr>
        <w:t>jest zobowiązany</w:t>
      </w:r>
      <w:r w:rsidR="00170913" w:rsidRPr="00B45853">
        <w:rPr>
          <w:rFonts w:ascii="Times New Roman" w:hAnsi="Times New Roman" w:cs="Times New Roman"/>
          <w:lang w:val="pl-PL"/>
        </w:rPr>
        <w:t xml:space="preserve"> do działania </w:t>
      </w:r>
      <w:r w:rsidR="004D2C1B" w:rsidRPr="00B45853">
        <w:rPr>
          <w:rFonts w:ascii="Times New Roman" w:hAnsi="Times New Roman" w:cs="Times New Roman"/>
          <w:lang w:val="pl-PL"/>
        </w:rPr>
        <w:t>w</w:t>
      </w:r>
      <w:r w:rsidR="00170913" w:rsidRPr="00B45853">
        <w:rPr>
          <w:rFonts w:ascii="Times New Roman" w:hAnsi="Times New Roman" w:cs="Times New Roman"/>
          <w:lang w:val="pl-PL"/>
        </w:rPr>
        <w:t xml:space="preserve"> założeniu, że takie komentarze mogą zostać </w:t>
      </w:r>
      <w:r w:rsidR="004D2C1B" w:rsidRPr="00B45853">
        <w:rPr>
          <w:rFonts w:ascii="Times New Roman" w:hAnsi="Times New Roman" w:cs="Times New Roman"/>
          <w:lang w:val="pl-PL"/>
        </w:rPr>
        <w:t>stworzone</w:t>
      </w:r>
      <w:r w:rsidR="00170913" w:rsidRPr="00B45853">
        <w:rPr>
          <w:rFonts w:ascii="Times New Roman" w:hAnsi="Times New Roman" w:cs="Times New Roman"/>
          <w:lang w:val="pl-PL"/>
        </w:rPr>
        <w:t xml:space="preserve"> przez czytelników, a tym samym do podjęcia niezbędnych środków </w:t>
      </w:r>
      <w:r w:rsidR="004D2C1B" w:rsidRPr="00B45853">
        <w:rPr>
          <w:rFonts w:ascii="Times New Roman" w:hAnsi="Times New Roman" w:cs="Times New Roman"/>
          <w:lang w:val="pl-PL"/>
        </w:rPr>
        <w:t>w celu uniknięcia ich publikacji</w:t>
      </w:r>
      <w:r w:rsidR="00170913" w:rsidRPr="00B45853">
        <w:rPr>
          <w:rFonts w:ascii="Times New Roman" w:hAnsi="Times New Roman" w:cs="Times New Roman"/>
          <w:lang w:val="pl-PL"/>
        </w:rPr>
        <w:t>, co w praktyce wymagałoby wstępn</w:t>
      </w:r>
      <w:r w:rsidR="004D2C1B" w:rsidRPr="00B45853">
        <w:rPr>
          <w:rFonts w:ascii="Times New Roman" w:hAnsi="Times New Roman" w:cs="Times New Roman"/>
          <w:lang w:val="pl-PL"/>
        </w:rPr>
        <w:t xml:space="preserve">ego </w:t>
      </w:r>
      <w:r w:rsidR="00170913" w:rsidRPr="00B45853">
        <w:rPr>
          <w:rFonts w:ascii="Times New Roman" w:hAnsi="Times New Roman" w:cs="Times New Roman"/>
          <w:lang w:val="pl-PL"/>
        </w:rPr>
        <w:t>mon</w:t>
      </w:r>
      <w:r w:rsidR="004D2C1B" w:rsidRPr="00B45853">
        <w:rPr>
          <w:rFonts w:ascii="Times New Roman" w:hAnsi="Times New Roman" w:cs="Times New Roman"/>
          <w:lang w:val="pl-PL"/>
        </w:rPr>
        <w:t>itorowania</w:t>
      </w:r>
      <w:r w:rsidR="00170913" w:rsidRPr="00B45853">
        <w:rPr>
          <w:rFonts w:ascii="Times New Roman" w:hAnsi="Times New Roman" w:cs="Times New Roman"/>
          <w:lang w:val="pl-PL"/>
        </w:rPr>
        <w:t xml:space="preserve"> środków, które należy przyjąć</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7</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4D2C1B" w:rsidRPr="00B45853">
        <w:rPr>
          <w:rFonts w:ascii="Times New Roman" w:hAnsi="Times New Roman" w:cs="Times New Roman"/>
          <w:lang w:val="pl-PL"/>
        </w:rPr>
        <w:t>Dlatego, naszym zdaniem, pociągnięcie portalu informacyjnego do odpowiedzialności za nie "powstrzymanie" publikacji komentarzy generowanych przez użytkownika w praktyce oznaczałoby, że portal będzie musiał wstępnie monitorować każdy komentarz generowany przez użytkowników w celu uniknięcia odpowiedzialności za każdy bezprawny komentarz. To w praktyce może prowadzić do nieproporcjonalnej ingerencji w wolność wypowiedzi portalu informacyjnego zagwarantowanej w Artykule 10</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8</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4D2C1B" w:rsidRPr="00B45853">
        <w:rPr>
          <w:rFonts w:ascii="Times New Roman" w:hAnsi="Times New Roman" w:cs="Times New Roman"/>
          <w:lang w:val="pl-PL"/>
        </w:rPr>
        <w:t xml:space="preserve">Po drugie, </w:t>
      </w:r>
      <w:r w:rsidR="00F96D75">
        <w:rPr>
          <w:rFonts w:ascii="Times New Roman" w:hAnsi="Times New Roman" w:cs="Times New Roman"/>
          <w:lang w:val="pl-PL"/>
        </w:rPr>
        <w:t>Trybunał</w:t>
      </w:r>
      <w:r w:rsidR="004D2C1B" w:rsidRPr="00B45853">
        <w:rPr>
          <w:rFonts w:ascii="Times New Roman" w:hAnsi="Times New Roman" w:cs="Times New Roman"/>
          <w:lang w:val="pl-PL"/>
        </w:rPr>
        <w:t xml:space="preserve"> powinien był jaśniej stwierdzić zaistniałe zasady pozwalające mu stwierdzić naruszenie Artykułu 10. Zamiast tego, Trybunał przyjął uzasadnienie poszczególnych przypadków i jednocześnie pozostawił odpowiedni</w:t>
      </w:r>
      <w:r w:rsidR="00C2143F" w:rsidRPr="00B45853">
        <w:rPr>
          <w:rFonts w:ascii="Times New Roman" w:hAnsi="Times New Roman" w:cs="Times New Roman"/>
          <w:lang w:val="pl-PL"/>
        </w:rPr>
        <w:t>e</w:t>
      </w:r>
      <w:r w:rsidR="004D2C1B" w:rsidRPr="00B45853">
        <w:rPr>
          <w:rFonts w:ascii="Times New Roman" w:hAnsi="Times New Roman" w:cs="Times New Roman"/>
          <w:lang w:val="pl-PL"/>
        </w:rPr>
        <w:t xml:space="preserve"> zasad</w:t>
      </w:r>
      <w:r w:rsidR="00C2143F" w:rsidRPr="00B45853">
        <w:rPr>
          <w:rFonts w:ascii="Times New Roman" w:hAnsi="Times New Roman" w:cs="Times New Roman"/>
          <w:lang w:val="pl-PL"/>
        </w:rPr>
        <w:t>y</w:t>
      </w:r>
      <w:r w:rsidR="004D2C1B" w:rsidRPr="00B45853">
        <w:rPr>
          <w:rFonts w:ascii="Times New Roman" w:hAnsi="Times New Roman" w:cs="Times New Roman"/>
          <w:lang w:val="pl-PL"/>
        </w:rPr>
        <w:t xml:space="preserve">, </w:t>
      </w:r>
      <w:r w:rsidR="00C2143F" w:rsidRPr="00B45853">
        <w:rPr>
          <w:rFonts w:ascii="Times New Roman" w:hAnsi="Times New Roman" w:cs="Times New Roman"/>
          <w:lang w:val="pl-PL"/>
        </w:rPr>
        <w:t xml:space="preserve">do </w:t>
      </w:r>
      <w:r w:rsidR="004D2C1B" w:rsidRPr="00B45853">
        <w:rPr>
          <w:rFonts w:ascii="Times New Roman" w:hAnsi="Times New Roman" w:cs="Times New Roman"/>
          <w:lang w:val="pl-PL"/>
        </w:rPr>
        <w:t>wyraźniej</w:t>
      </w:r>
      <w:r w:rsidR="00C2143F" w:rsidRPr="00B45853">
        <w:rPr>
          <w:rFonts w:ascii="Times New Roman" w:hAnsi="Times New Roman" w:cs="Times New Roman"/>
          <w:lang w:val="pl-PL"/>
        </w:rPr>
        <w:t>szego</w:t>
      </w:r>
      <w:r w:rsidR="004D2C1B" w:rsidRPr="00B45853">
        <w:rPr>
          <w:rFonts w:ascii="Times New Roman" w:hAnsi="Times New Roman" w:cs="Times New Roman"/>
          <w:lang w:val="pl-PL"/>
        </w:rPr>
        <w:t xml:space="preserve"> opracowan</w:t>
      </w:r>
      <w:r w:rsidR="00C2143F" w:rsidRPr="00B45853">
        <w:rPr>
          <w:rFonts w:ascii="Times New Roman" w:hAnsi="Times New Roman" w:cs="Times New Roman"/>
          <w:lang w:val="pl-PL"/>
        </w:rPr>
        <w:t xml:space="preserve">ia </w:t>
      </w:r>
      <w:r w:rsidR="004D2C1B" w:rsidRPr="00B45853">
        <w:rPr>
          <w:rFonts w:ascii="Times New Roman" w:hAnsi="Times New Roman" w:cs="Times New Roman"/>
          <w:lang w:val="pl-PL"/>
        </w:rPr>
        <w:t>w przypadku późniejszego prawodawstwa</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9</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4D2C1B" w:rsidRPr="00B45853">
        <w:rPr>
          <w:rFonts w:ascii="Times New Roman" w:hAnsi="Times New Roman" w:cs="Times New Roman"/>
          <w:lang w:val="pl-PL"/>
        </w:rPr>
        <w:t>Naszym zdaniem, Trybunał powinien wykorzystać sposobność przedstawienia jaśniej zasady istotnej dla oceny sytuacji takiej jak w niniejszej sprawie</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10</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C2143F" w:rsidRPr="00B45853">
        <w:rPr>
          <w:rFonts w:ascii="Times New Roman" w:hAnsi="Times New Roman" w:cs="Times New Roman"/>
          <w:lang w:val="pl-PL"/>
        </w:rPr>
        <w:t xml:space="preserve">Portal informacyjny taki jak </w:t>
      </w:r>
      <w:proofErr w:type="spellStart"/>
      <w:r w:rsidR="00C2143F" w:rsidRPr="00B45853">
        <w:rPr>
          <w:rFonts w:ascii="Times New Roman" w:hAnsi="Times New Roman" w:cs="Times New Roman"/>
          <w:lang w:val="pl-PL"/>
        </w:rPr>
        <w:t>Delfi</w:t>
      </w:r>
      <w:proofErr w:type="spellEnd"/>
      <w:r w:rsidR="00C2143F" w:rsidRPr="00B45853">
        <w:rPr>
          <w:rFonts w:ascii="Times New Roman" w:hAnsi="Times New Roman" w:cs="Times New Roman"/>
          <w:lang w:val="pl-PL"/>
        </w:rPr>
        <w:t xml:space="preserve">, który zachęca czytelników artykułów do pisania komentarzy, które są publikowane na portalu, podejmuje się "obowiązków i odpowiedzialności", jak jest przewidziane w ustawodawstwie krajowym. Ponadto, jak wynika z Artykułu 8 Konwencji, Państwa członkowskie mają obowiązek skutecznie chronić reputację </w:t>
      </w:r>
      <w:r w:rsidR="00892C08">
        <w:rPr>
          <w:rFonts w:ascii="Times New Roman" w:hAnsi="Times New Roman" w:cs="Times New Roman"/>
          <w:lang w:val="pl-PL"/>
        </w:rPr>
        <w:br/>
      </w:r>
      <w:r w:rsidR="00C2143F" w:rsidRPr="00B45853">
        <w:rPr>
          <w:rFonts w:ascii="Times New Roman" w:hAnsi="Times New Roman" w:cs="Times New Roman"/>
          <w:lang w:val="pl-PL"/>
        </w:rPr>
        <w:t xml:space="preserve">i godność jednostki. W związku z tym Artykuł 10 Konwencji nie może być interpretowany jako zakazanie państwom członkowskim nakładania obowiązków na portale takie jak </w:t>
      </w:r>
      <w:proofErr w:type="spellStart"/>
      <w:r w:rsidR="00C2143F" w:rsidRPr="00B45853">
        <w:rPr>
          <w:rFonts w:ascii="Times New Roman" w:hAnsi="Times New Roman" w:cs="Times New Roman"/>
          <w:lang w:val="pl-PL"/>
        </w:rPr>
        <w:t>Delfi</w:t>
      </w:r>
      <w:proofErr w:type="spellEnd"/>
      <w:r w:rsidR="005D3583">
        <w:rPr>
          <w:rFonts w:ascii="Times New Roman" w:hAnsi="Times New Roman" w:cs="Times New Roman"/>
          <w:lang w:val="pl-PL"/>
        </w:rPr>
        <w:t>,</w:t>
      </w:r>
      <w:r w:rsidR="00C2143F" w:rsidRPr="00B45853">
        <w:rPr>
          <w:rFonts w:ascii="Times New Roman" w:hAnsi="Times New Roman" w:cs="Times New Roman"/>
          <w:lang w:val="pl-PL"/>
        </w:rPr>
        <w:t xml:space="preserve"> k</w:t>
      </w:r>
      <w:r w:rsidR="005D3583">
        <w:rPr>
          <w:rFonts w:ascii="Times New Roman" w:hAnsi="Times New Roman" w:cs="Times New Roman"/>
          <w:lang w:val="pl-PL"/>
        </w:rPr>
        <w:t>tóry</w:t>
      </w:r>
      <w:r w:rsidR="00C2143F" w:rsidRPr="00B45853">
        <w:rPr>
          <w:rFonts w:ascii="Times New Roman" w:hAnsi="Times New Roman" w:cs="Times New Roman"/>
          <w:lang w:val="pl-PL"/>
        </w:rPr>
        <w:t xml:space="preserve"> umożliwia czytelnikom pisanie komentarzy, które są upubliczniane. W rzeczywistości, Państwa członkowskie w pewnych okolicznościach mają obowiązek zrobić to w celu ochrony czci i dobrego imienia innych osób. W ten sposób Państwa członkowskie mogą zdecydować, </w:t>
      </w:r>
      <w:r w:rsidR="007B52D7" w:rsidRPr="00B45853">
        <w:rPr>
          <w:rFonts w:ascii="Times New Roman" w:hAnsi="Times New Roman" w:cs="Times New Roman"/>
          <w:lang w:val="pl-PL"/>
        </w:rPr>
        <w:t>czy</w:t>
      </w:r>
      <w:r w:rsidR="00C2143F" w:rsidRPr="00B45853">
        <w:rPr>
          <w:rFonts w:ascii="Times New Roman" w:hAnsi="Times New Roman" w:cs="Times New Roman"/>
          <w:lang w:val="pl-PL"/>
        </w:rPr>
        <w:t xml:space="preserve"> portal informacyjny ma być traktowany jako wydawca danych komentarzy. Co więcej, mogą ustalić, </w:t>
      </w:r>
      <w:r w:rsidR="007B52D7" w:rsidRPr="00B45853">
        <w:rPr>
          <w:rFonts w:ascii="Times New Roman" w:hAnsi="Times New Roman" w:cs="Times New Roman"/>
          <w:lang w:val="pl-PL"/>
        </w:rPr>
        <w:t>czy</w:t>
      </w:r>
      <w:r w:rsidR="00C2143F" w:rsidRPr="00B45853">
        <w:rPr>
          <w:rFonts w:ascii="Times New Roman" w:hAnsi="Times New Roman" w:cs="Times New Roman"/>
          <w:lang w:val="pl-PL"/>
        </w:rPr>
        <w:t xml:space="preserve"> portale informacyjne mogą być pociągnięte do odpowiedzialności za komentarze wyraźnie bezprawne, takie jak obelgi, groźby i mowa nienawiści, które są pisane przez użytkowników i podane do wiadomości publicznej na portalu. Jednakże przy wykonywaniu ich mocy, Państwa członkowskie muszą przestrzegać swoich zobowiązań wynikających z </w:t>
      </w:r>
      <w:r w:rsidR="00C2143F" w:rsidRPr="00B45853">
        <w:rPr>
          <w:rFonts w:ascii="Times New Roman" w:hAnsi="Times New Roman" w:cs="Times New Roman"/>
          <w:caps/>
          <w:lang w:val="pl-PL"/>
        </w:rPr>
        <w:t>A</w:t>
      </w:r>
      <w:r w:rsidR="00C2143F" w:rsidRPr="00B45853">
        <w:rPr>
          <w:rFonts w:ascii="Times New Roman" w:hAnsi="Times New Roman" w:cs="Times New Roman"/>
          <w:lang w:val="pl-PL"/>
        </w:rPr>
        <w:t>rtykułu 10 Konwencji. Dlatego też ustawodawstwo krajowe nie powinno ograniczać swobody wypowiedzi, nakładając nadmierne obciążenia na portale informacyjne</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lastRenderedPageBreak/>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11</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C2143F" w:rsidRPr="00B45853">
        <w:rPr>
          <w:rFonts w:ascii="Times New Roman" w:hAnsi="Times New Roman" w:cs="Times New Roman"/>
          <w:lang w:val="pl-PL"/>
        </w:rPr>
        <w:t xml:space="preserve">Z naszego punktu widzenia, państwa członkowskie mogą posiadać portale informacyjne, takie jak </w:t>
      </w:r>
      <w:proofErr w:type="spellStart"/>
      <w:r w:rsidR="00C2143F" w:rsidRPr="00B45853">
        <w:rPr>
          <w:rFonts w:ascii="Times New Roman" w:hAnsi="Times New Roman" w:cs="Times New Roman"/>
          <w:lang w:val="pl-PL"/>
        </w:rPr>
        <w:t>Delfi</w:t>
      </w:r>
      <w:proofErr w:type="spellEnd"/>
      <w:r w:rsidR="00C2143F" w:rsidRPr="00B45853">
        <w:rPr>
          <w:rFonts w:ascii="Times New Roman" w:hAnsi="Times New Roman" w:cs="Times New Roman"/>
          <w:lang w:val="pl-PL"/>
        </w:rPr>
        <w:t xml:space="preserve">, odpowiedzialne za jasno bezprawne komentarze takie jak obelgi, groźby i mowa nienawiści przez czytelników swoich artykułów, jeśli portal wiedział lub powinien był wiedzieć, że takie komentarze byłyby lub zostały opublikowane na portalu. Ponadto, Państwa członkowskie mogą pociągnąć portal informacyjny do odpowiedzialności w takich sytuacjach, jeśli nie działa on niezwłocznie, gdy był informowany o </w:t>
      </w:r>
      <w:r w:rsidR="007B52D7" w:rsidRPr="00B45853">
        <w:rPr>
          <w:rFonts w:ascii="Times New Roman" w:hAnsi="Times New Roman" w:cs="Times New Roman"/>
          <w:lang w:val="pl-PL"/>
        </w:rPr>
        <w:t xml:space="preserve">publikowaniu </w:t>
      </w:r>
      <w:r w:rsidR="00C2143F" w:rsidRPr="00B45853">
        <w:rPr>
          <w:rFonts w:ascii="Times New Roman" w:hAnsi="Times New Roman" w:cs="Times New Roman"/>
          <w:lang w:val="pl-PL"/>
        </w:rPr>
        <w:t>takich komentarzach na portalu</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12</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C2143F" w:rsidRPr="00B45853">
        <w:rPr>
          <w:rFonts w:ascii="Times New Roman" w:hAnsi="Times New Roman" w:cs="Times New Roman"/>
          <w:lang w:val="pl-PL"/>
        </w:rPr>
        <w:t>Oceniając, czy portal informacyjny wiedział lub powinien był wiedzieć, że wyraźnie bezprawne komentarze mogą być lub zostały opublikowane na portalu</w:t>
      </w:r>
      <w:r w:rsidR="007B52D7" w:rsidRPr="00B45853">
        <w:rPr>
          <w:rFonts w:ascii="Times New Roman" w:hAnsi="Times New Roman" w:cs="Times New Roman"/>
          <w:lang w:val="pl-PL"/>
        </w:rPr>
        <w:t>,</w:t>
      </w:r>
      <w:r w:rsidR="00C2143F" w:rsidRPr="00B45853">
        <w:rPr>
          <w:rFonts w:ascii="Times New Roman" w:hAnsi="Times New Roman" w:cs="Times New Roman"/>
          <w:lang w:val="pl-PL"/>
        </w:rPr>
        <w:t xml:space="preserve"> można brać pod uwagę wszystkie stosowne konkretne okoliczności sprawy, w tym naturę uwag, o których mowa, kontekst ich publikacji, przedmiot artykułu generującego komentarze, charakter portalu informacyjnego</w:t>
      </w:r>
      <w:r w:rsidR="00887A51" w:rsidRPr="00B45853">
        <w:rPr>
          <w:rFonts w:ascii="Times New Roman" w:hAnsi="Times New Roman" w:cs="Times New Roman"/>
          <w:lang w:val="pl-PL"/>
        </w:rPr>
        <w:t>,</w:t>
      </w:r>
      <w:r w:rsidR="00C2143F" w:rsidRPr="00B45853">
        <w:rPr>
          <w:rFonts w:ascii="Times New Roman" w:hAnsi="Times New Roman" w:cs="Times New Roman"/>
          <w:lang w:val="pl-PL"/>
        </w:rPr>
        <w:t xml:space="preserve"> o którym mowa, historia portalu, liczba komentarzy generowanych przez wyrób, aktywność na portalu, oraz jak długo komentarze </w:t>
      </w:r>
      <w:r w:rsidR="00D10F18" w:rsidRPr="00B45853">
        <w:rPr>
          <w:rFonts w:ascii="Times New Roman" w:hAnsi="Times New Roman" w:cs="Times New Roman"/>
          <w:lang w:val="pl-PL"/>
        </w:rPr>
        <w:t>były</w:t>
      </w:r>
      <w:r w:rsidR="00C2143F" w:rsidRPr="00B45853">
        <w:rPr>
          <w:rFonts w:ascii="Times New Roman" w:hAnsi="Times New Roman" w:cs="Times New Roman"/>
          <w:lang w:val="pl-PL"/>
        </w:rPr>
        <w:t xml:space="preserve"> na portalu</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13</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D10F18" w:rsidRPr="00B45853">
        <w:rPr>
          <w:rFonts w:ascii="Times New Roman" w:hAnsi="Times New Roman" w:cs="Times New Roman"/>
          <w:lang w:val="pl-PL"/>
        </w:rPr>
        <w:t xml:space="preserve">Dlatego, pociąganie portalu informacyjnego do odpowiedzialności za </w:t>
      </w:r>
      <w:r w:rsidR="00C62449">
        <w:rPr>
          <w:rFonts w:ascii="Times New Roman" w:hAnsi="Times New Roman" w:cs="Times New Roman"/>
          <w:lang w:val="pl-PL"/>
        </w:rPr>
        <w:t>oczywiście</w:t>
      </w:r>
      <w:r w:rsidR="00D10F18" w:rsidRPr="00B45853">
        <w:rPr>
          <w:rFonts w:ascii="Times New Roman" w:hAnsi="Times New Roman" w:cs="Times New Roman"/>
          <w:lang w:val="pl-PL"/>
        </w:rPr>
        <w:t xml:space="preserve"> bezprawne komentarze takie jak obelgi, groźby i mowę nienawiści</w:t>
      </w:r>
      <w:r w:rsidR="00427CF2">
        <w:rPr>
          <w:rFonts w:ascii="Times New Roman" w:hAnsi="Times New Roman" w:cs="Times New Roman"/>
          <w:lang w:val="pl-PL"/>
        </w:rPr>
        <w:t>,</w:t>
      </w:r>
      <w:r w:rsidR="00D10F18" w:rsidRPr="00B45853">
        <w:rPr>
          <w:rFonts w:ascii="Times New Roman" w:hAnsi="Times New Roman" w:cs="Times New Roman"/>
          <w:lang w:val="pl-PL"/>
        </w:rPr>
        <w:t xml:space="preserve"> w takich okolicznościach </w:t>
      </w:r>
      <w:r w:rsidR="00427CF2">
        <w:rPr>
          <w:rFonts w:ascii="Times New Roman" w:hAnsi="Times New Roman" w:cs="Times New Roman"/>
          <w:lang w:val="pl-PL"/>
        </w:rPr>
        <w:t xml:space="preserve">zasadniczo </w:t>
      </w:r>
      <w:r w:rsidR="00D10F18" w:rsidRPr="00B45853">
        <w:rPr>
          <w:rFonts w:ascii="Times New Roman" w:hAnsi="Times New Roman" w:cs="Times New Roman"/>
          <w:lang w:val="pl-PL"/>
        </w:rPr>
        <w:t>będzie zgodne z Artykułem 10 Konwencji. Ponadto państwa członkowskie mogą również pociągnąć portal informacyjny do odpowiedzialności, jeżeli nie udało się podjąć stosownych środków, aby zapobiec wyraźnie przed upublicznieniem bezprawnych komentarzy na portalu lub usunąć je, jeżeli zostały one upublicznione</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14</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D10F18" w:rsidRPr="00B45853">
        <w:rPr>
          <w:rFonts w:ascii="Times New Roman" w:hAnsi="Times New Roman" w:cs="Times New Roman"/>
          <w:lang w:val="pl-PL"/>
        </w:rPr>
        <w:t>Naszym zdaniem, te podstawowe zasady powinny</w:t>
      </w:r>
      <w:r w:rsidR="00887A51" w:rsidRPr="00B45853">
        <w:rPr>
          <w:rFonts w:ascii="Times New Roman" w:hAnsi="Times New Roman" w:cs="Times New Roman"/>
          <w:lang w:val="pl-PL"/>
        </w:rPr>
        <w:t>,</w:t>
      </w:r>
      <w:r w:rsidR="00D10F18" w:rsidRPr="00B45853">
        <w:rPr>
          <w:rFonts w:ascii="Times New Roman" w:hAnsi="Times New Roman" w:cs="Times New Roman"/>
          <w:lang w:val="pl-PL"/>
        </w:rPr>
        <w:t xml:space="preserve"> zosta</w:t>
      </w:r>
      <w:r w:rsidR="00887A51" w:rsidRPr="00B45853">
        <w:rPr>
          <w:rFonts w:ascii="Times New Roman" w:hAnsi="Times New Roman" w:cs="Times New Roman"/>
          <w:lang w:val="pl-PL"/>
        </w:rPr>
        <w:t>ć</w:t>
      </w:r>
      <w:r w:rsidR="00D10F18" w:rsidRPr="00B45853">
        <w:rPr>
          <w:rFonts w:ascii="Times New Roman" w:hAnsi="Times New Roman" w:cs="Times New Roman"/>
          <w:lang w:val="pl-PL"/>
        </w:rPr>
        <w:t xml:space="preserve"> określone jaśniej w wyroku Trybunału</w:t>
      </w:r>
      <w:r w:rsidR="00B918FA" w:rsidRPr="00B45853">
        <w:rPr>
          <w:rFonts w:ascii="Times New Roman" w:hAnsi="Times New Roman" w:cs="Times New Roman"/>
          <w:lang w:val="pl-PL"/>
        </w:rPr>
        <w:t>.</w:t>
      </w:r>
    </w:p>
    <w:p w:rsidR="00B918FA" w:rsidRPr="00B45853" w:rsidRDefault="00DD67A4" w:rsidP="00171A6F">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15</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D10F18" w:rsidRPr="00B45853">
        <w:rPr>
          <w:rFonts w:ascii="Times New Roman" w:hAnsi="Times New Roman" w:cs="Times New Roman"/>
          <w:lang w:val="pl-PL"/>
        </w:rPr>
        <w:t xml:space="preserve">Uwzględniając wyraźnie bezprawny charakter danych komentarzy, jak również fakt, że pozostały na portalu informacyjnym przez sześć tygodni, zanim zostały usunięte, to nie jest nieproporcjonalne </w:t>
      </w:r>
      <w:r w:rsidR="00CE31AF">
        <w:rPr>
          <w:rFonts w:ascii="Times New Roman" w:hAnsi="Times New Roman" w:cs="Times New Roman"/>
          <w:lang w:val="pl-PL"/>
        </w:rPr>
        <w:t>ze strony</w:t>
      </w:r>
      <w:r w:rsidR="00D10F18" w:rsidRPr="00B45853">
        <w:rPr>
          <w:rFonts w:ascii="Times New Roman" w:hAnsi="Times New Roman" w:cs="Times New Roman"/>
          <w:lang w:val="pl-PL"/>
        </w:rPr>
        <w:t xml:space="preserve"> Sądu Najwyższego, aby uznać </w:t>
      </w:r>
      <w:proofErr w:type="spellStart"/>
      <w:r w:rsidR="00D10F18" w:rsidRPr="00B45853">
        <w:rPr>
          <w:rFonts w:ascii="Times New Roman" w:hAnsi="Times New Roman" w:cs="Times New Roman"/>
          <w:lang w:val="pl-PL"/>
        </w:rPr>
        <w:t>Delfi</w:t>
      </w:r>
      <w:proofErr w:type="spellEnd"/>
      <w:r w:rsidR="00D10F18" w:rsidRPr="00B45853">
        <w:rPr>
          <w:rFonts w:ascii="Times New Roman" w:hAnsi="Times New Roman" w:cs="Times New Roman"/>
          <w:lang w:val="pl-PL"/>
        </w:rPr>
        <w:t xml:space="preserve"> za odpowiedzialną, </w:t>
      </w:r>
      <w:r w:rsidR="00CE31AF">
        <w:rPr>
          <w:rFonts w:ascii="Times New Roman" w:hAnsi="Times New Roman" w:cs="Times New Roman"/>
          <w:lang w:val="pl-PL"/>
        </w:rPr>
        <w:t>że</w:t>
      </w:r>
      <w:r w:rsidR="00D10F18" w:rsidRPr="00B45853">
        <w:rPr>
          <w:rFonts w:ascii="Times New Roman" w:hAnsi="Times New Roman" w:cs="Times New Roman"/>
          <w:lang w:val="pl-PL"/>
        </w:rPr>
        <w:t xml:space="preserve"> "nie udało s</w:t>
      </w:r>
      <w:r w:rsidR="00887A51" w:rsidRPr="00B45853">
        <w:rPr>
          <w:rFonts w:ascii="Times New Roman" w:hAnsi="Times New Roman" w:cs="Times New Roman"/>
          <w:lang w:val="pl-PL"/>
        </w:rPr>
        <w:t>ię usunąć komentarzy-</w:t>
      </w:r>
      <w:r w:rsidR="00D10F18" w:rsidRPr="00B45853">
        <w:rPr>
          <w:rFonts w:ascii="Times New Roman" w:hAnsi="Times New Roman" w:cs="Times New Roman"/>
          <w:lang w:val="pl-PL"/>
        </w:rPr>
        <w:t xml:space="preserve">bezprawnej treści, której </w:t>
      </w:r>
      <w:r w:rsidR="00887A51" w:rsidRPr="00B45853">
        <w:rPr>
          <w:rFonts w:ascii="Times New Roman" w:hAnsi="Times New Roman" w:cs="Times New Roman"/>
          <w:lang w:val="pl-PL"/>
        </w:rPr>
        <w:t xml:space="preserve">powinna być </w:t>
      </w:r>
      <w:r w:rsidR="00CE31AF">
        <w:rPr>
          <w:rFonts w:ascii="Times New Roman" w:hAnsi="Times New Roman" w:cs="Times New Roman"/>
          <w:lang w:val="pl-PL"/>
        </w:rPr>
        <w:t xml:space="preserve">znana </w:t>
      </w:r>
      <w:r w:rsidR="00887A51" w:rsidRPr="00B45853">
        <w:rPr>
          <w:rFonts w:ascii="Times New Roman" w:hAnsi="Times New Roman" w:cs="Times New Roman"/>
          <w:lang w:val="pl-PL"/>
        </w:rPr>
        <w:t>-</w:t>
      </w:r>
      <w:r w:rsidR="00CE31AF">
        <w:rPr>
          <w:rFonts w:ascii="Times New Roman" w:hAnsi="Times New Roman" w:cs="Times New Roman"/>
          <w:lang w:val="pl-PL"/>
        </w:rPr>
        <w:t xml:space="preserve"> </w:t>
      </w:r>
      <w:r w:rsidR="00D10F18" w:rsidRPr="00B45853">
        <w:rPr>
          <w:rFonts w:ascii="Times New Roman" w:hAnsi="Times New Roman" w:cs="Times New Roman"/>
          <w:lang w:val="pl-PL"/>
        </w:rPr>
        <w:t xml:space="preserve">z portalu z własnej inicjatywy". W rzeczywistości </w:t>
      </w:r>
      <w:r w:rsidR="00CE31AF">
        <w:rPr>
          <w:rFonts w:ascii="Times New Roman" w:hAnsi="Times New Roman" w:cs="Times New Roman"/>
          <w:lang w:val="pl-PL"/>
        </w:rPr>
        <w:t>okoliczność braku wiedzy o</w:t>
      </w:r>
      <w:r w:rsidR="00D10F18" w:rsidRPr="00B45853">
        <w:rPr>
          <w:rFonts w:ascii="Times New Roman" w:hAnsi="Times New Roman" w:cs="Times New Roman"/>
          <w:lang w:val="pl-PL"/>
        </w:rPr>
        <w:t xml:space="preserve"> tak wyraźnie bezprawnych komentarzy przez tak długi okres czasu</w:t>
      </w:r>
      <w:r w:rsidR="00887A51" w:rsidRPr="00B45853">
        <w:rPr>
          <w:rFonts w:ascii="Times New Roman" w:hAnsi="Times New Roman" w:cs="Times New Roman"/>
          <w:lang w:val="pl-PL"/>
        </w:rPr>
        <w:t>,</w:t>
      </w:r>
      <w:r w:rsidR="00D10F18" w:rsidRPr="00B45853">
        <w:rPr>
          <w:rFonts w:ascii="Times New Roman" w:hAnsi="Times New Roman" w:cs="Times New Roman"/>
          <w:lang w:val="pl-PL"/>
        </w:rPr>
        <w:t xml:space="preserve"> nosi znamiona prawie umyślnej ignorancji</w:t>
      </w:r>
      <w:r w:rsidR="00DC12E9">
        <w:rPr>
          <w:rFonts w:ascii="Times New Roman" w:hAnsi="Times New Roman" w:cs="Times New Roman"/>
          <w:lang w:val="pl-PL"/>
        </w:rPr>
        <w:t xml:space="preserve"> ze strony portalu</w:t>
      </w:r>
      <w:r w:rsidR="00D10F18" w:rsidRPr="00B45853">
        <w:rPr>
          <w:rFonts w:ascii="Times New Roman" w:hAnsi="Times New Roman" w:cs="Times New Roman"/>
          <w:lang w:val="pl-PL"/>
        </w:rPr>
        <w:t>, która nie może służyć jako podstawa do unikania odpowiedzialności cywilnej</w:t>
      </w:r>
      <w:r w:rsidR="00B918FA" w:rsidRPr="00B45853">
        <w:rPr>
          <w:rFonts w:ascii="Times New Roman" w:hAnsi="Times New Roman" w:cs="Times New Roman"/>
          <w:lang w:val="pl-PL"/>
        </w:rPr>
        <w:t>.</w:t>
      </w:r>
    </w:p>
    <w:p w:rsidR="00B413BF" w:rsidRPr="00B45853" w:rsidRDefault="00DD67A4" w:rsidP="002837DA">
      <w:pPr>
        <w:pStyle w:val="OpiPara"/>
        <w:rPr>
          <w:rFonts w:ascii="Times New Roman" w:hAnsi="Times New Roman" w:cs="Times New Roman"/>
          <w:lang w:val="pl-PL"/>
        </w:rPr>
      </w:pPr>
      <w:r w:rsidRPr="00B45853">
        <w:rPr>
          <w:rFonts w:ascii="Times New Roman" w:hAnsi="Times New Roman" w:cs="Times New Roman"/>
          <w:lang w:val="en-GB"/>
        </w:rPr>
        <w:fldChar w:fldCharType="begin"/>
      </w:r>
      <w:r w:rsidR="00B918FA" w:rsidRPr="00B45853">
        <w:rPr>
          <w:rFonts w:ascii="Times New Roman" w:hAnsi="Times New Roman" w:cs="Times New Roman"/>
          <w:lang w:val="pl-PL"/>
        </w:rPr>
        <w:instrText xml:space="preserve"> SEQ level0 \*arabic </w:instrText>
      </w:r>
      <w:r w:rsidRPr="00B45853">
        <w:rPr>
          <w:rFonts w:ascii="Times New Roman" w:hAnsi="Times New Roman" w:cs="Times New Roman"/>
          <w:lang w:val="en-GB"/>
        </w:rPr>
        <w:fldChar w:fldCharType="separate"/>
      </w:r>
      <w:r w:rsidR="002F0EE0" w:rsidRPr="00B45853">
        <w:rPr>
          <w:rFonts w:ascii="Times New Roman" w:hAnsi="Times New Roman" w:cs="Times New Roman"/>
          <w:noProof/>
          <w:lang w:val="pl-PL"/>
        </w:rPr>
        <w:t>16</w:t>
      </w:r>
      <w:r w:rsidRPr="00B45853">
        <w:rPr>
          <w:rFonts w:ascii="Times New Roman" w:hAnsi="Times New Roman" w:cs="Times New Roman"/>
          <w:lang w:val="en-GB"/>
        </w:rPr>
        <w:fldChar w:fldCharType="end"/>
      </w:r>
      <w:r w:rsidR="00B918FA" w:rsidRPr="00B45853">
        <w:rPr>
          <w:rFonts w:ascii="Times New Roman" w:hAnsi="Times New Roman" w:cs="Times New Roman"/>
          <w:lang w:val="pl-PL"/>
        </w:rPr>
        <w:t>.  </w:t>
      </w:r>
      <w:r w:rsidR="00887A51" w:rsidRPr="00B45853">
        <w:rPr>
          <w:rFonts w:ascii="Times New Roman" w:hAnsi="Times New Roman" w:cs="Times New Roman"/>
          <w:lang w:val="pl-PL"/>
        </w:rPr>
        <w:t>W związku z tym</w:t>
      </w:r>
      <w:r w:rsidR="00D10F18" w:rsidRPr="00B45853">
        <w:rPr>
          <w:rFonts w:ascii="Times New Roman" w:hAnsi="Times New Roman" w:cs="Times New Roman"/>
          <w:lang w:val="pl-PL"/>
        </w:rPr>
        <w:t xml:space="preserve"> nie mieliśmy żadnych problemów</w:t>
      </w:r>
      <w:r w:rsidR="00887A51" w:rsidRPr="00B45853">
        <w:rPr>
          <w:rFonts w:ascii="Times New Roman" w:hAnsi="Times New Roman" w:cs="Times New Roman"/>
          <w:lang w:val="pl-PL"/>
        </w:rPr>
        <w:t>,</w:t>
      </w:r>
      <w:r w:rsidR="00D10F18" w:rsidRPr="00B45853">
        <w:rPr>
          <w:rFonts w:ascii="Times New Roman" w:hAnsi="Times New Roman" w:cs="Times New Roman"/>
          <w:lang w:val="pl-PL"/>
        </w:rPr>
        <w:t xml:space="preserve"> głosując wraz z większością. Jednakże Trybunał, naszym zdaniem, nie skorzystał z okazji, aby wyjaśnić zasady leżące u jego oceny, bez względu na delikatny charak</w:t>
      </w:r>
      <w:r w:rsidR="0093538A">
        <w:rPr>
          <w:rFonts w:ascii="Times New Roman" w:hAnsi="Times New Roman" w:cs="Times New Roman"/>
          <w:lang w:val="pl-PL"/>
        </w:rPr>
        <w:t>ter kwestii podniesionych w skardze</w:t>
      </w:r>
      <w:r w:rsidR="00B918FA" w:rsidRPr="00B45853">
        <w:rPr>
          <w:rFonts w:ascii="Times New Roman" w:hAnsi="Times New Roman" w:cs="Times New Roman"/>
          <w:lang w:val="pl-PL"/>
        </w:rPr>
        <w:t>.</w:t>
      </w:r>
    </w:p>
    <w:p w:rsidR="00F310C7" w:rsidRPr="00B45853" w:rsidRDefault="00F310C7" w:rsidP="00C9531E">
      <w:pPr>
        <w:pStyle w:val="OpiPara"/>
        <w:ind w:firstLine="0"/>
        <w:rPr>
          <w:rFonts w:ascii="Times New Roman" w:hAnsi="Times New Roman" w:cs="Times New Roman"/>
          <w:lang w:val="pl-PL"/>
        </w:rPr>
        <w:sectPr w:rsidR="00F310C7" w:rsidRPr="00B45853" w:rsidSect="004F6262">
          <w:headerReference w:type="even" r:id="rId20"/>
          <w:headerReference w:type="default" r:id="rId21"/>
          <w:pgSz w:w="11906" w:h="16838" w:code="9"/>
          <w:pgMar w:top="2274" w:right="2274" w:bottom="2274" w:left="2274" w:header="1701" w:footer="720" w:gutter="0"/>
          <w:cols w:space="720"/>
          <w:docGrid w:linePitch="326"/>
        </w:sectPr>
      </w:pPr>
    </w:p>
    <w:p w:rsidR="00F310C7" w:rsidRPr="00B45853" w:rsidRDefault="00272F1C" w:rsidP="00171A6F">
      <w:pPr>
        <w:pStyle w:val="ECHRTitleCentre1"/>
        <w:rPr>
          <w:rFonts w:ascii="Times New Roman" w:hAnsi="Times New Roman" w:cs="Times New Roman"/>
          <w:lang w:val="pl-PL"/>
        </w:rPr>
      </w:pPr>
      <w:bookmarkStart w:id="40" w:name="_Toc420072887"/>
      <w:r w:rsidRPr="00B45853">
        <w:rPr>
          <w:rFonts w:ascii="Times New Roman" w:hAnsi="Times New Roman" w:cs="Times New Roman"/>
          <w:lang w:val="pl-PL"/>
        </w:rPr>
        <w:lastRenderedPageBreak/>
        <w:t xml:space="preserve">ZGODNA </w:t>
      </w:r>
      <w:r w:rsidR="00F310C7" w:rsidRPr="00B45853">
        <w:rPr>
          <w:rFonts w:ascii="Times New Roman" w:hAnsi="Times New Roman" w:cs="Times New Roman"/>
          <w:lang w:val="pl-PL"/>
        </w:rPr>
        <w:t>OPINI</w:t>
      </w:r>
      <w:r w:rsidR="007043CB" w:rsidRPr="00B45853">
        <w:rPr>
          <w:rFonts w:ascii="Times New Roman" w:hAnsi="Times New Roman" w:cs="Times New Roman"/>
          <w:lang w:val="pl-PL"/>
        </w:rPr>
        <w:t>A</w:t>
      </w:r>
      <w:r w:rsidR="00F310C7" w:rsidRPr="00B45853">
        <w:rPr>
          <w:rFonts w:ascii="Times New Roman" w:hAnsi="Times New Roman" w:cs="Times New Roman"/>
          <w:lang w:val="pl-PL"/>
        </w:rPr>
        <w:t xml:space="preserve"> </w:t>
      </w:r>
      <w:r w:rsidR="007043CB" w:rsidRPr="00B45853">
        <w:rPr>
          <w:rFonts w:ascii="Times New Roman" w:hAnsi="Times New Roman" w:cs="Times New Roman"/>
          <w:lang w:val="pl-PL"/>
        </w:rPr>
        <w:t>SĘDZIEGO</w:t>
      </w:r>
      <w:r w:rsidR="00F310C7" w:rsidRPr="00B45853">
        <w:rPr>
          <w:rFonts w:ascii="Times New Roman" w:hAnsi="Times New Roman" w:cs="Times New Roman"/>
          <w:lang w:val="pl-PL"/>
        </w:rPr>
        <w:t xml:space="preserve"> ZUPANČIČ</w:t>
      </w:r>
      <w:bookmarkEnd w:id="40"/>
    </w:p>
    <w:p w:rsidR="00F310C7" w:rsidRPr="00196363" w:rsidRDefault="00A60689" w:rsidP="00171A6F">
      <w:pPr>
        <w:pStyle w:val="OpiPara"/>
        <w:rPr>
          <w:rFonts w:ascii="Times New Roman" w:hAnsi="Times New Roman" w:cs="Times New Roman"/>
          <w:lang w:val="pl-PL"/>
        </w:rPr>
      </w:pPr>
      <w:r>
        <w:rPr>
          <w:rFonts w:ascii="Times New Roman" w:hAnsi="Times New Roman" w:cs="Times New Roman"/>
          <w:lang w:val="pl-PL"/>
        </w:rPr>
        <w:t xml:space="preserve">Generalnie zgadzam się </w:t>
      </w:r>
      <w:r w:rsidRPr="00196363">
        <w:rPr>
          <w:rFonts w:ascii="Times New Roman" w:hAnsi="Times New Roman" w:cs="Times New Roman"/>
          <w:lang w:val="pl-PL"/>
        </w:rPr>
        <w:t xml:space="preserve">z </w:t>
      </w:r>
      <w:r w:rsidR="005176DF">
        <w:rPr>
          <w:rFonts w:ascii="Times New Roman" w:hAnsi="Times New Roman" w:cs="Times New Roman"/>
          <w:lang w:val="pl-PL"/>
        </w:rPr>
        <w:t>rozstrzygnięciem</w:t>
      </w:r>
      <w:r w:rsidR="007043CB" w:rsidRPr="00196363">
        <w:rPr>
          <w:rFonts w:ascii="Times New Roman" w:hAnsi="Times New Roman" w:cs="Times New Roman"/>
          <w:lang w:val="pl-PL"/>
        </w:rPr>
        <w:t xml:space="preserve"> w tym przypadku. Jednak chciałbym dodać kilka uwag historycznych i prostych obserwacji natury etycznej</w:t>
      </w:r>
      <w:r w:rsidR="00F310C7" w:rsidRPr="00196363">
        <w:rPr>
          <w:rFonts w:ascii="Times New Roman" w:hAnsi="Times New Roman" w:cs="Times New Roman"/>
          <w:lang w:val="pl-PL"/>
        </w:rPr>
        <w:t>.</w:t>
      </w:r>
    </w:p>
    <w:p w:rsidR="00F310C7" w:rsidRPr="00196363" w:rsidRDefault="007043CB" w:rsidP="00171A6F">
      <w:pPr>
        <w:pStyle w:val="OpiPara"/>
        <w:rPr>
          <w:rFonts w:ascii="Times New Roman" w:hAnsi="Times New Roman" w:cs="Times New Roman"/>
          <w:lang w:val="pl-PL"/>
        </w:rPr>
      </w:pPr>
      <w:r w:rsidRPr="00196363">
        <w:rPr>
          <w:rFonts w:ascii="Times New Roman" w:hAnsi="Times New Roman" w:cs="Times New Roman"/>
          <w:lang w:val="pl-PL"/>
        </w:rPr>
        <w:t xml:space="preserve">Istota sprawy dotyczy ochrony integralności osobistej, czyli dóbr osobistych w Estonii, a także, po tym wypadku, gdziekolwiek indziej w Europie. Przez wiele lat dobra osobiste były, że tak powiem, dyskryminowanie vis-a-vis wolności wypowiedzi, a zwłaszcza </w:t>
      </w:r>
      <w:r w:rsidR="007B52D7" w:rsidRPr="00196363">
        <w:rPr>
          <w:rFonts w:ascii="Times New Roman" w:hAnsi="Times New Roman" w:cs="Times New Roman"/>
          <w:lang w:val="pl-PL"/>
        </w:rPr>
        <w:t>wolności prasy. W mojej opinii</w:t>
      </w:r>
      <w:r w:rsidRPr="00196363">
        <w:rPr>
          <w:rFonts w:ascii="Times New Roman" w:hAnsi="Times New Roman" w:cs="Times New Roman"/>
          <w:lang w:val="pl-PL"/>
        </w:rPr>
        <w:t xml:space="preserve"> </w:t>
      </w:r>
      <w:r w:rsidR="007B52D7" w:rsidRPr="00196363">
        <w:rPr>
          <w:rFonts w:ascii="Times New Roman" w:hAnsi="Times New Roman" w:cs="Times New Roman"/>
          <w:lang w:val="pl-PL"/>
        </w:rPr>
        <w:t>w załączonym</w:t>
      </w:r>
      <w:r w:rsidR="00F310C7" w:rsidRPr="00196363">
        <w:rPr>
          <w:rFonts w:ascii="Times New Roman" w:hAnsi="Times New Roman" w:cs="Times New Roman"/>
          <w:lang w:val="pl-PL"/>
        </w:rPr>
        <w:t xml:space="preserve"> </w:t>
      </w:r>
      <w:r w:rsidRPr="00196363">
        <w:rPr>
          <w:rFonts w:ascii="Times New Roman" w:hAnsi="Times New Roman" w:cs="Times New Roman"/>
          <w:i/>
          <w:lang w:val="pl-PL"/>
        </w:rPr>
        <w:t xml:space="preserve">von </w:t>
      </w:r>
      <w:proofErr w:type="spellStart"/>
      <w:r w:rsidRPr="00196363">
        <w:rPr>
          <w:rFonts w:ascii="Times New Roman" w:hAnsi="Times New Roman" w:cs="Times New Roman"/>
          <w:i/>
          <w:lang w:val="pl-PL"/>
        </w:rPr>
        <w:t>Hannover</w:t>
      </w:r>
      <w:proofErr w:type="spellEnd"/>
      <w:r w:rsidRPr="00196363">
        <w:rPr>
          <w:rFonts w:ascii="Times New Roman" w:hAnsi="Times New Roman" w:cs="Times New Roman"/>
          <w:i/>
          <w:lang w:val="pl-PL"/>
        </w:rPr>
        <w:t xml:space="preserve"> przeciwko</w:t>
      </w:r>
      <w:r w:rsidR="00F310C7" w:rsidRPr="00196363">
        <w:rPr>
          <w:rFonts w:ascii="Times New Roman" w:hAnsi="Times New Roman" w:cs="Times New Roman"/>
          <w:i/>
          <w:lang w:val="pl-PL"/>
        </w:rPr>
        <w:t xml:space="preserve"> </w:t>
      </w:r>
      <w:r w:rsidRPr="00196363">
        <w:rPr>
          <w:rFonts w:ascii="Times New Roman" w:hAnsi="Times New Roman" w:cs="Times New Roman"/>
          <w:i/>
          <w:lang w:val="pl-PL"/>
        </w:rPr>
        <w:t>Niemcom (nr</w:t>
      </w:r>
      <w:r w:rsidR="00F310C7" w:rsidRPr="00196363">
        <w:rPr>
          <w:rFonts w:ascii="Times New Roman" w:hAnsi="Times New Roman" w:cs="Times New Roman"/>
          <w:i/>
          <w:lang w:val="pl-PL"/>
        </w:rPr>
        <w:t xml:space="preserve"> 1)</w:t>
      </w:r>
      <w:r w:rsidR="00F310C7" w:rsidRPr="00196363">
        <w:rPr>
          <w:rFonts w:ascii="Times New Roman" w:hAnsi="Times New Roman" w:cs="Times New Roman"/>
          <w:lang w:val="pl-PL"/>
        </w:rPr>
        <w:t xml:space="preserve"> </w:t>
      </w:r>
      <w:r w:rsidRPr="00196363">
        <w:rPr>
          <w:rFonts w:ascii="Times New Roman" w:hAnsi="Times New Roman" w:cs="Times New Roman"/>
          <w:lang w:val="pl-PL"/>
        </w:rPr>
        <w:t>sprawa (nr</w:t>
      </w:r>
      <w:r w:rsidR="00F310C7" w:rsidRPr="00196363">
        <w:rPr>
          <w:rFonts w:ascii="Times New Roman" w:hAnsi="Times New Roman" w:cs="Times New Roman"/>
          <w:lang w:val="pl-PL"/>
        </w:rPr>
        <w:t xml:space="preserve"> 59320/00, ECHR 2004-VI), </w:t>
      </w:r>
      <w:r w:rsidRPr="00196363">
        <w:rPr>
          <w:rFonts w:ascii="Times New Roman" w:hAnsi="Times New Roman" w:cs="Times New Roman"/>
          <w:lang w:val="pl-PL"/>
        </w:rPr>
        <w:t xml:space="preserve">napisałem, że </w:t>
      </w:r>
      <w:r w:rsidR="00F310C7" w:rsidRPr="00196363">
        <w:rPr>
          <w:rFonts w:ascii="Times New Roman" w:hAnsi="Times New Roman" w:cs="Times New Roman"/>
          <w:lang w:val="pl-PL"/>
        </w:rPr>
        <w:t>“</w:t>
      </w:r>
      <w:r w:rsidRPr="00196363">
        <w:rPr>
          <w:rFonts w:ascii="Times New Roman" w:hAnsi="Times New Roman" w:cs="Times New Roman"/>
          <w:lang w:val="pl-PL"/>
        </w:rPr>
        <w:t>[d</w:t>
      </w:r>
      <w:r w:rsidR="00F310C7" w:rsidRPr="00196363">
        <w:rPr>
          <w:rFonts w:ascii="Times New Roman" w:hAnsi="Times New Roman" w:cs="Times New Roman"/>
          <w:lang w:val="pl-PL"/>
        </w:rPr>
        <w:t>]</w:t>
      </w:r>
      <w:proofErr w:type="spellStart"/>
      <w:r w:rsidRPr="00196363">
        <w:rPr>
          <w:rFonts w:ascii="Times New Roman" w:hAnsi="Times New Roman" w:cs="Times New Roman"/>
          <w:lang w:val="pl-PL"/>
        </w:rPr>
        <w:t>oktryna</w:t>
      </w:r>
      <w:proofErr w:type="spellEnd"/>
      <w:r w:rsidR="00F310C7" w:rsidRPr="00196363">
        <w:rPr>
          <w:rFonts w:ascii="Times New Roman" w:hAnsi="Times New Roman" w:cs="Times New Roman"/>
          <w:lang w:val="pl-PL"/>
        </w:rPr>
        <w:t xml:space="preserve"> </w:t>
      </w:r>
      <w:proofErr w:type="spellStart"/>
      <w:r w:rsidR="00F310C7" w:rsidRPr="00196363">
        <w:rPr>
          <w:rFonts w:ascii="Times New Roman" w:hAnsi="Times New Roman" w:cs="Times New Roman"/>
          <w:i/>
          <w:lang w:val="pl-PL"/>
        </w:rPr>
        <w:t>Persönlichkeitsrecht</w:t>
      </w:r>
      <w:proofErr w:type="spellEnd"/>
      <w:r w:rsidR="00F310C7" w:rsidRPr="00196363">
        <w:rPr>
          <w:rFonts w:ascii="Times New Roman" w:hAnsi="Times New Roman" w:cs="Times New Roman"/>
          <w:lang w:val="pl-PL"/>
        </w:rPr>
        <w:t xml:space="preserve"> </w:t>
      </w:r>
      <w:r w:rsidR="00887A51" w:rsidRPr="00196363">
        <w:rPr>
          <w:rFonts w:ascii="Times New Roman" w:hAnsi="Times New Roman" w:cs="Times New Roman"/>
          <w:lang w:val="pl-PL"/>
        </w:rPr>
        <w:t>n</w:t>
      </w:r>
      <w:r w:rsidRPr="00196363">
        <w:rPr>
          <w:rFonts w:ascii="Times New Roman" w:hAnsi="Times New Roman" w:cs="Times New Roman"/>
          <w:lang w:val="pl-PL"/>
        </w:rPr>
        <w:t>adaje wyższy poziom cywilizowanych manier interpersonalnych" i wierzę, że okoliczności bieżącej sprawy potwierdzają to odkrycie</w:t>
      </w:r>
      <w:r w:rsidR="00F310C7" w:rsidRPr="00196363">
        <w:rPr>
          <w:rFonts w:ascii="Times New Roman" w:hAnsi="Times New Roman" w:cs="Times New Roman"/>
          <w:lang w:val="pl-PL"/>
        </w:rPr>
        <w:t>.</w:t>
      </w:r>
    </w:p>
    <w:p w:rsidR="00F310C7" w:rsidRPr="00B45853" w:rsidRDefault="007043CB" w:rsidP="00171A6F">
      <w:pPr>
        <w:pStyle w:val="OpiPara"/>
        <w:rPr>
          <w:rFonts w:ascii="Times New Roman" w:hAnsi="Times New Roman" w:cs="Times New Roman"/>
          <w:lang w:val="pl-PL"/>
        </w:rPr>
      </w:pPr>
      <w:r w:rsidRPr="00196363">
        <w:rPr>
          <w:rFonts w:ascii="Times New Roman" w:hAnsi="Times New Roman" w:cs="Times New Roman"/>
          <w:lang w:val="pl-PL"/>
        </w:rPr>
        <w:t xml:space="preserve">Problem wynika z wielkiej odmienności pomiędzy </w:t>
      </w:r>
      <w:r w:rsidR="00A60689" w:rsidRPr="00196363">
        <w:rPr>
          <w:rFonts w:ascii="Times New Roman" w:hAnsi="Times New Roman" w:cs="Times New Roman"/>
          <w:lang w:val="pl-PL"/>
        </w:rPr>
        <w:t xml:space="preserve">prawem </w:t>
      </w:r>
      <w:proofErr w:type="spellStart"/>
      <w:r w:rsidR="00A60689" w:rsidRPr="00196363">
        <w:rPr>
          <w:rFonts w:ascii="Times New Roman" w:hAnsi="Times New Roman" w:cs="Times New Roman"/>
          <w:lang w:val="pl-PL"/>
        </w:rPr>
        <w:t>common</w:t>
      </w:r>
      <w:proofErr w:type="spellEnd"/>
      <w:r w:rsidR="00A60689" w:rsidRPr="00196363">
        <w:rPr>
          <w:rFonts w:ascii="Times New Roman" w:hAnsi="Times New Roman" w:cs="Times New Roman"/>
          <w:lang w:val="pl-PL"/>
        </w:rPr>
        <w:t xml:space="preserve"> law</w:t>
      </w:r>
      <w:r w:rsidRPr="00196363">
        <w:rPr>
          <w:rFonts w:ascii="Times New Roman" w:hAnsi="Times New Roman" w:cs="Times New Roman"/>
          <w:lang w:val="pl-PL"/>
        </w:rPr>
        <w:t xml:space="preserve">, z jednej strony, a Kontynentalnym systemem prawa z drugiej strony. Pojęcie prywatności w prawie amerykańskim, na przykład, tylko pochodzi z artykułu </w:t>
      </w:r>
      <w:proofErr w:type="spellStart"/>
      <w:r w:rsidRPr="00196363">
        <w:rPr>
          <w:rFonts w:ascii="Times New Roman" w:hAnsi="Times New Roman" w:cs="Times New Roman"/>
          <w:lang w:val="pl-PL"/>
        </w:rPr>
        <w:t>Warren</w:t>
      </w:r>
      <w:r w:rsidR="00887A51" w:rsidRPr="00196363">
        <w:rPr>
          <w:rFonts w:ascii="Times New Roman" w:hAnsi="Times New Roman" w:cs="Times New Roman"/>
          <w:lang w:val="pl-PL"/>
        </w:rPr>
        <w:t>’a</w:t>
      </w:r>
      <w:proofErr w:type="spellEnd"/>
      <w:r w:rsidR="00887A51" w:rsidRPr="00196363">
        <w:rPr>
          <w:rFonts w:ascii="Times New Roman" w:hAnsi="Times New Roman" w:cs="Times New Roman"/>
          <w:lang w:val="pl-PL"/>
        </w:rPr>
        <w:t xml:space="preserve"> i </w:t>
      </w:r>
      <w:proofErr w:type="spellStart"/>
      <w:r w:rsidR="00887A51" w:rsidRPr="00196363">
        <w:rPr>
          <w:rFonts w:ascii="Times New Roman" w:hAnsi="Times New Roman" w:cs="Times New Roman"/>
          <w:lang w:val="pl-PL"/>
        </w:rPr>
        <w:t>Brandeis</w:t>
      </w:r>
      <w:proofErr w:type="spellEnd"/>
      <w:r w:rsidR="007A337C" w:rsidRPr="00196363">
        <w:rPr>
          <w:rStyle w:val="Odwoanieprzypisudolnego"/>
          <w:rFonts w:ascii="Times New Roman" w:hAnsi="Times New Roman" w:cs="Times New Roman"/>
          <w:lang w:val="pl-PL"/>
        </w:rPr>
        <w:footnoteReference w:id="4"/>
      </w:r>
      <w:r w:rsidR="00A60689" w:rsidRPr="00196363">
        <w:rPr>
          <w:rFonts w:ascii="Times New Roman" w:hAnsi="Times New Roman" w:cs="Times New Roman"/>
          <w:lang w:val="pl-PL"/>
        </w:rPr>
        <w:t xml:space="preserve"> którzy</w:t>
      </w:r>
      <w:r w:rsidR="00887A51" w:rsidRPr="00196363">
        <w:rPr>
          <w:rFonts w:ascii="Times New Roman" w:hAnsi="Times New Roman" w:cs="Times New Roman"/>
          <w:lang w:val="pl-PL"/>
        </w:rPr>
        <w:t>, ponieważ</w:t>
      </w:r>
      <w:r w:rsidRPr="00196363">
        <w:rPr>
          <w:rFonts w:ascii="Times New Roman" w:hAnsi="Times New Roman" w:cs="Times New Roman"/>
          <w:lang w:val="pl-PL"/>
        </w:rPr>
        <w:t xml:space="preserve"> uczyli się w Niemczech, mogli nauczyć się na temat dóbr osobistych w języku niemieckim</w:t>
      </w:r>
      <w:r w:rsidR="00A60689" w:rsidRPr="00196363">
        <w:rPr>
          <w:rFonts w:ascii="Times New Roman" w:hAnsi="Times New Roman" w:cs="Times New Roman"/>
          <w:lang w:val="pl-PL"/>
        </w:rPr>
        <w:t>. Pojęcie prywatności jako prawa było</w:t>
      </w:r>
      <w:r w:rsidRPr="00196363">
        <w:rPr>
          <w:rFonts w:ascii="Times New Roman" w:hAnsi="Times New Roman" w:cs="Times New Roman"/>
          <w:lang w:val="pl-PL"/>
        </w:rPr>
        <w:t xml:space="preserve"> </w:t>
      </w:r>
      <w:r w:rsidR="00A60689" w:rsidRPr="00196363">
        <w:rPr>
          <w:rFonts w:ascii="Times New Roman" w:hAnsi="Times New Roman" w:cs="Times New Roman"/>
          <w:lang w:val="pl-PL"/>
        </w:rPr>
        <w:t>pozostawione na uboczu</w:t>
      </w:r>
      <w:r w:rsidRPr="00196363">
        <w:rPr>
          <w:rFonts w:ascii="Times New Roman" w:hAnsi="Times New Roman" w:cs="Times New Roman"/>
          <w:lang w:val="pl-PL"/>
        </w:rPr>
        <w:t xml:space="preserve">, zwłaszcza przez media, </w:t>
      </w:r>
      <w:r w:rsidR="00A60689" w:rsidRPr="00196363">
        <w:rPr>
          <w:rFonts w:ascii="Times New Roman" w:hAnsi="Times New Roman" w:cs="Times New Roman"/>
          <w:lang w:val="pl-PL"/>
        </w:rPr>
        <w:t>co było</w:t>
      </w:r>
      <w:r w:rsidRPr="00196363">
        <w:rPr>
          <w:rFonts w:ascii="Times New Roman" w:hAnsi="Times New Roman" w:cs="Times New Roman"/>
          <w:lang w:val="pl-PL"/>
        </w:rPr>
        <w:t xml:space="preserve"> do tego czasu, mniej lub bardziej </w:t>
      </w:r>
      <w:r w:rsidR="00245515" w:rsidRPr="00196363">
        <w:rPr>
          <w:rFonts w:ascii="Times New Roman" w:hAnsi="Times New Roman" w:cs="Times New Roman"/>
          <w:lang w:val="pl-PL"/>
        </w:rPr>
        <w:t>nietypowe dla</w:t>
      </w:r>
      <w:r w:rsidRPr="00196363">
        <w:rPr>
          <w:rFonts w:ascii="Times New Roman" w:hAnsi="Times New Roman" w:cs="Times New Roman"/>
          <w:lang w:val="pl-PL"/>
        </w:rPr>
        <w:t xml:space="preserve"> anglo-amerykańsk</w:t>
      </w:r>
      <w:r w:rsidR="00245515" w:rsidRPr="00196363">
        <w:rPr>
          <w:rFonts w:ascii="Times New Roman" w:hAnsi="Times New Roman" w:cs="Times New Roman"/>
          <w:lang w:val="pl-PL"/>
        </w:rPr>
        <w:t>iej</w:t>
      </w:r>
      <w:r w:rsidRPr="00196363">
        <w:rPr>
          <w:rFonts w:ascii="Times New Roman" w:hAnsi="Times New Roman" w:cs="Times New Roman"/>
          <w:lang w:val="pl-PL"/>
        </w:rPr>
        <w:t xml:space="preserve"> sfer</w:t>
      </w:r>
      <w:r w:rsidR="00245515" w:rsidRPr="00196363">
        <w:rPr>
          <w:rFonts w:ascii="Times New Roman" w:hAnsi="Times New Roman" w:cs="Times New Roman"/>
          <w:lang w:val="pl-PL"/>
        </w:rPr>
        <w:t>y</w:t>
      </w:r>
      <w:r w:rsidRPr="00196363">
        <w:rPr>
          <w:rFonts w:ascii="Times New Roman" w:hAnsi="Times New Roman" w:cs="Times New Roman"/>
          <w:lang w:val="pl-PL"/>
        </w:rPr>
        <w:t xml:space="preserve"> prawa. Sam artykuł odnosił się właśnie do kwestii </w:t>
      </w:r>
      <w:r w:rsidR="00A60689" w:rsidRPr="00196363">
        <w:rPr>
          <w:rFonts w:ascii="Times New Roman" w:hAnsi="Times New Roman" w:cs="Times New Roman"/>
          <w:lang w:val="pl-PL"/>
        </w:rPr>
        <w:t>nadużyć</w:t>
      </w:r>
      <w:r w:rsidR="00C719D5" w:rsidRPr="00196363">
        <w:rPr>
          <w:rFonts w:ascii="Times New Roman" w:hAnsi="Times New Roman" w:cs="Times New Roman"/>
          <w:lang w:val="pl-PL"/>
        </w:rPr>
        <w:t xml:space="preserve"> mediów</w:t>
      </w:r>
      <w:r w:rsidRPr="00196363">
        <w:rPr>
          <w:rFonts w:ascii="Times New Roman" w:hAnsi="Times New Roman" w:cs="Times New Roman"/>
          <w:lang w:val="pl-PL"/>
        </w:rPr>
        <w:t>. Oczywiście, w tamtym czasie były tylko drukowane</w:t>
      </w:r>
      <w:r w:rsidRPr="00B45853">
        <w:rPr>
          <w:rFonts w:ascii="Times New Roman" w:hAnsi="Times New Roman" w:cs="Times New Roman"/>
          <w:lang w:val="pl-PL"/>
        </w:rPr>
        <w:t xml:space="preserve"> media, ale to było wystarczające dla </w:t>
      </w:r>
      <w:proofErr w:type="spellStart"/>
      <w:r w:rsidRPr="00B45853">
        <w:rPr>
          <w:rFonts w:ascii="Times New Roman" w:hAnsi="Times New Roman" w:cs="Times New Roman"/>
          <w:lang w:val="pl-PL"/>
        </w:rPr>
        <w:t>Justice</w:t>
      </w:r>
      <w:proofErr w:type="spellEnd"/>
      <w:r w:rsidRPr="00B45853">
        <w:rPr>
          <w:rFonts w:ascii="Times New Roman" w:hAnsi="Times New Roman" w:cs="Times New Roman"/>
          <w:lang w:val="pl-PL"/>
        </w:rPr>
        <w:t xml:space="preserve"> </w:t>
      </w:r>
      <w:proofErr w:type="spellStart"/>
      <w:r w:rsidRPr="00B45853">
        <w:rPr>
          <w:rFonts w:ascii="Times New Roman" w:hAnsi="Times New Roman" w:cs="Times New Roman"/>
          <w:lang w:val="pl-PL"/>
        </w:rPr>
        <w:t>Brandeis</w:t>
      </w:r>
      <w:proofErr w:type="spellEnd"/>
      <w:r w:rsidRPr="00B45853">
        <w:rPr>
          <w:rFonts w:ascii="Times New Roman" w:hAnsi="Times New Roman" w:cs="Times New Roman"/>
          <w:lang w:val="pl-PL"/>
        </w:rPr>
        <w:t>, aby pokazać swoje ekstremalne oburzenie</w:t>
      </w:r>
      <w:r w:rsidR="00F310C7" w:rsidRPr="00B45853">
        <w:rPr>
          <w:rFonts w:ascii="Times New Roman" w:hAnsi="Times New Roman" w:cs="Times New Roman"/>
          <w:lang w:val="pl-PL"/>
        </w:rPr>
        <w:t>.</w:t>
      </w:r>
    </w:p>
    <w:p w:rsidR="00F310C7" w:rsidRPr="00196363" w:rsidRDefault="00245515" w:rsidP="00171A6F">
      <w:pPr>
        <w:pStyle w:val="OpiPara"/>
        <w:rPr>
          <w:rFonts w:ascii="Times New Roman" w:hAnsi="Times New Roman" w:cs="Times New Roman"/>
          <w:lang w:val="pl-PL"/>
        </w:rPr>
      </w:pPr>
      <w:r w:rsidRPr="00B45853">
        <w:rPr>
          <w:rFonts w:ascii="Times New Roman" w:hAnsi="Times New Roman" w:cs="Times New Roman"/>
          <w:lang w:val="pl-PL"/>
        </w:rPr>
        <w:t xml:space="preserve">Z drugiej strony, tradycja </w:t>
      </w:r>
      <w:r w:rsidRPr="00196363">
        <w:rPr>
          <w:rFonts w:ascii="Times New Roman" w:hAnsi="Times New Roman" w:cs="Times New Roman"/>
          <w:lang w:val="pl-PL"/>
        </w:rPr>
        <w:t>kontynentalna dotycząca dóbr osobistych wraca do</w:t>
      </w:r>
      <w:r w:rsidR="00C719D5" w:rsidRPr="00196363">
        <w:rPr>
          <w:rFonts w:ascii="Times New Roman" w:hAnsi="Times New Roman" w:cs="Times New Roman"/>
          <w:lang w:val="pl-PL"/>
        </w:rPr>
        <w:t xml:space="preserve"> </w:t>
      </w:r>
      <w:proofErr w:type="spellStart"/>
      <w:r w:rsidR="00F310C7" w:rsidRPr="00196363">
        <w:rPr>
          <w:rFonts w:ascii="Times New Roman" w:hAnsi="Times New Roman" w:cs="Times New Roman"/>
          <w:i/>
          <w:lang w:val="pl-PL"/>
        </w:rPr>
        <w:t>actio</w:t>
      </w:r>
      <w:proofErr w:type="spellEnd"/>
      <w:r w:rsidR="00F310C7" w:rsidRPr="00196363">
        <w:rPr>
          <w:rFonts w:ascii="Times New Roman" w:hAnsi="Times New Roman" w:cs="Times New Roman"/>
          <w:i/>
          <w:lang w:val="pl-PL"/>
        </w:rPr>
        <w:t xml:space="preserve"> </w:t>
      </w:r>
      <w:proofErr w:type="spellStart"/>
      <w:r w:rsidR="00F310C7" w:rsidRPr="00196363">
        <w:rPr>
          <w:rFonts w:ascii="Times New Roman" w:hAnsi="Times New Roman" w:cs="Times New Roman"/>
          <w:i/>
          <w:lang w:val="pl-PL"/>
        </w:rPr>
        <w:t>iniurirarum</w:t>
      </w:r>
      <w:proofErr w:type="spellEnd"/>
      <w:r w:rsidRPr="00196363">
        <w:rPr>
          <w:rFonts w:ascii="Times New Roman" w:hAnsi="Times New Roman" w:cs="Times New Roman"/>
          <w:i/>
          <w:lang w:val="pl-PL"/>
        </w:rPr>
        <w:t xml:space="preserve"> </w:t>
      </w:r>
      <w:r w:rsidRPr="00196363">
        <w:rPr>
          <w:rFonts w:ascii="Times New Roman" w:hAnsi="Times New Roman" w:cs="Times New Roman"/>
          <w:lang w:val="pl-PL"/>
        </w:rPr>
        <w:t>prawa rzymskiego</w:t>
      </w:r>
      <w:r w:rsidR="00F310C7" w:rsidRPr="00196363">
        <w:rPr>
          <w:rFonts w:ascii="Times New Roman" w:hAnsi="Times New Roman" w:cs="Times New Roman"/>
          <w:lang w:val="pl-PL"/>
        </w:rPr>
        <w:t xml:space="preserve">, </w:t>
      </w:r>
      <w:r w:rsidR="00C719D5" w:rsidRPr="00196363">
        <w:rPr>
          <w:rFonts w:ascii="Times New Roman" w:hAnsi="Times New Roman" w:cs="Times New Roman"/>
          <w:lang w:val="pl-PL"/>
        </w:rPr>
        <w:t>która chroniła</w:t>
      </w:r>
      <w:r w:rsidRPr="00196363">
        <w:rPr>
          <w:rFonts w:ascii="Times New Roman" w:hAnsi="Times New Roman" w:cs="Times New Roman"/>
          <w:lang w:val="pl-PL"/>
        </w:rPr>
        <w:t xml:space="preserve"> przed cielesnym us</w:t>
      </w:r>
      <w:r w:rsidR="00C719D5" w:rsidRPr="00196363">
        <w:rPr>
          <w:rFonts w:ascii="Times New Roman" w:hAnsi="Times New Roman" w:cs="Times New Roman"/>
          <w:lang w:val="pl-PL"/>
        </w:rPr>
        <w:t>zkodzeniem, ale także przed nie</w:t>
      </w:r>
      <w:r w:rsidRPr="00196363">
        <w:rPr>
          <w:rFonts w:ascii="Times New Roman" w:hAnsi="Times New Roman" w:cs="Times New Roman"/>
          <w:lang w:val="pl-PL"/>
        </w:rPr>
        <w:t xml:space="preserve">cielesnym </w:t>
      </w:r>
      <w:proofErr w:type="spellStart"/>
      <w:r w:rsidR="00F310C7" w:rsidRPr="00196363">
        <w:rPr>
          <w:rFonts w:ascii="Times New Roman" w:hAnsi="Times New Roman" w:cs="Times New Roman"/>
          <w:i/>
          <w:lang w:val="pl-PL"/>
        </w:rPr>
        <w:t>convicium</w:t>
      </w:r>
      <w:proofErr w:type="spellEnd"/>
      <w:r w:rsidR="00F310C7" w:rsidRPr="00196363">
        <w:rPr>
          <w:rFonts w:ascii="Times New Roman" w:hAnsi="Times New Roman" w:cs="Times New Roman"/>
          <w:lang w:val="pl-PL"/>
        </w:rPr>
        <w:t>,</w:t>
      </w:r>
      <w:r w:rsidR="00F310C7" w:rsidRPr="00196363">
        <w:rPr>
          <w:rFonts w:ascii="Times New Roman" w:hAnsi="Times New Roman" w:cs="Times New Roman"/>
          <w:i/>
          <w:lang w:val="pl-PL"/>
        </w:rPr>
        <w:t xml:space="preserve"> </w:t>
      </w:r>
      <w:proofErr w:type="spellStart"/>
      <w:r w:rsidR="00F310C7" w:rsidRPr="00196363">
        <w:rPr>
          <w:rFonts w:ascii="Times New Roman" w:hAnsi="Times New Roman" w:cs="Times New Roman"/>
          <w:i/>
          <w:lang w:val="pl-PL"/>
        </w:rPr>
        <w:t>adtemptata</w:t>
      </w:r>
      <w:proofErr w:type="spellEnd"/>
      <w:r w:rsidR="00F310C7" w:rsidRPr="00196363">
        <w:rPr>
          <w:rFonts w:ascii="Times New Roman" w:hAnsi="Times New Roman" w:cs="Times New Roman"/>
          <w:i/>
          <w:lang w:val="pl-PL"/>
        </w:rPr>
        <w:t xml:space="preserve"> </w:t>
      </w:r>
      <w:proofErr w:type="spellStart"/>
      <w:r w:rsidR="00F310C7" w:rsidRPr="00196363">
        <w:rPr>
          <w:rFonts w:ascii="Times New Roman" w:hAnsi="Times New Roman" w:cs="Times New Roman"/>
          <w:i/>
          <w:lang w:val="pl-PL"/>
        </w:rPr>
        <w:t>pudicitia</w:t>
      </w:r>
      <w:proofErr w:type="spellEnd"/>
      <w:r w:rsidR="00F310C7" w:rsidRPr="00196363">
        <w:rPr>
          <w:rFonts w:ascii="Times New Roman" w:hAnsi="Times New Roman" w:cs="Times New Roman"/>
          <w:lang w:val="pl-PL"/>
        </w:rPr>
        <w:t xml:space="preserve"> </w:t>
      </w:r>
      <w:r w:rsidR="007A337C" w:rsidRPr="00196363">
        <w:rPr>
          <w:rFonts w:ascii="Times New Roman" w:hAnsi="Times New Roman" w:cs="Times New Roman"/>
          <w:lang w:val="pl-PL"/>
        </w:rPr>
        <w:t>i</w:t>
      </w:r>
      <w:r w:rsidR="00F310C7" w:rsidRPr="00196363">
        <w:rPr>
          <w:rFonts w:ascii="Times New Roman" w:hAnsi="Times New Roman" w:cs="Times New Roman"/>
          <w:lang w:val="pl-PL"/>
        </w:rPr>
        <w:t xml:space="preserve"> </w:t>
      </w:r>
      <w:proofErr w:type="spellStart"/>
      <w:r w:rsidR="00F310C7" w:rsidRPr="00196363">
        <w:rPr>
          <w:rFonts w:ascii="Times New Roman" w:hAnsi="Times New Roman" w:cs="Times New Roman"/>
          <w:i/>
          <w:lang w:val="pl-PL"/>
        </w:rPr>
        <w:t>infamatio</w:t>
      </w:r>
      <w:proofErr w:type="spellEnd"/>
      <w:r w:rsidR="00F310C7" w:rsidRPr="00196363">
        <w:rPr>
          <w:rFonts w:ascii="Times New Roman" w:hAnsi="Times New Roman" w:cs="Times New Roman"/>
          <w:i/>
          <w:lang w:val="pl-PL"/>
        </w:rPr>
        <w:t>.</w:t>
      </w:r>
      <w:r w:rsidR="00F310C7" w:rsidRPr="00196363">
        <w:rPr>
          <w:rStyle w:val="Odwoanieprzypisudolnego"/>
          <w:rFonts w:ascii="Times New Roman" w:hAnsi="Times New Roman" w:cs="Times New Roman"/>
          <w:lang w:val="en-GB"/>
        </w:rPr>
        <w:footnoteReference w:id="5"/>
      </w:r>
      <w:r w:rsidR="00F310C7" w:rsidRPr="00196363">
        <w:rPr>
          <w:rFonts w:ascii="Times New Roman" w:hAnsi="Times New Roman" w:cs="Times New Roman"/>
          <w:lang w:val="pl-PL"/>
        </w:rPr>
        <w:t xml:space="preserve"> </w:t>
      </w:r>
      <w:r w:rsidRPr="00196363">
        <w:rPr>
          <w:rFonts w:ascii="Times New Roman" w:hAnsi="Times New Roman" w:cs="Times New Roman"/>
          <w:lang w:val="pl-PL"/>
        </w:rPr>
        <w:t xml:space="preserve">Zatem prawa </w:t>
      </w:r>
      <w:r w:rsidR="00C719D5" w:rsidRPr="00196363">
        <w:rPr>
          <w:rFonts w:ascii="Times New Roman" w:hAnsi="Times New Roman" w:cs="Times New Roman"/>
          <w:lang w:val="pl-PL"/>
        </w:rPr>
        <w:t>osobiste</w:t>
      </w:r>
      <w:r w:rsidRPr="00196363">
        <w:rPr>
          <w:rFonts w:ascii="Times New Roman" w:hAnsi="Times New Roman" w:cs="Times New Roman"/>
          <w:lang w:val="pl-PL"/>
        </w:rPr>
        <w:t xml:space="preserve"> mogą być postrzegane jako poprzednik i ekwiwalent prawa prywatnego praw człowieka. Ochrona na przykład przeciwko zniesławieniu i naruszeniu innych dóbr osobistych ma długą tradycję i bez względu na kontynent, natomiast </w:t>
      </w:r>
      <w:r w:rsidR="00C719D5" w:rsidRPr="00196363">
        <w:rPr>
          <w:rFonts w:ascii="Times New Roman" w:hAnsi="Times New Roman" w:cs="Times New Roman"/>
          <w:lang w:val="pl-PL"/>
        </w:rPr>
        <w:t>pomówienie</w:t>
      </w:r>
      <w:r w:rsidRPr="00196363">
        <w:rPr>
          <w:rFonts w:ascii="Times New Roman" w:hAnsi="Times New Roman" w:cs="Times New Roman"/>
          <w:lang w:val="pl-PL"/>
        </w:rPr>
        <w:t xml:space="preserve"> i </w:t>
      </w:r>
      <w:r w:rsidR="00C719D5" w:rsidRPr="00196363">
        <w:rPr>
          <w:rFonts w:ascii="Times New Roman" w:hAnsi="Times New Roman" w:cs="Times New Roman"/>
          <w:lang w:val="pl-PL"/>
        </w:rPr>
        <w:t>paszkwil</w:t>
      </w:r>
      <w:r w:rsidRPr="00196363">
        <w:rPr>
          <w:rFonts w:ascii="Times New Roman" w:hAnsi="Times New Roman" w:cs="Times New Roman"/>
          <w:lang w:val="pl-PL"/>
        </w:rPr>
        <w:t xml:space="preserve"> są słabo odpowiadającymi prawami w prawie anglo-amerykańskim</w:t>
      </w:r>
      <w:r w:rsidR="00F310C7" w:rsidRPr="00196363">
        <w:rPr>
          <w:rFonts w:ascii="Times New Roman" w:hAnsi="Times New Roman" w:cs="Times New Roman"/>
          <w:lang w:val="pl-PL"/>
        </w:rPr>
        <w:t>.</w:t>
      </w:r>
    </w:p>
    <w:p w:rsidR="00F310C7" w:rsidRPr="00C847A3" w:rsidRDefault="00245515" w:rsidP="00171A6F">
      <w:pPr>
        <w:pStyle w:val="OpiPara"/>
        <w:rPr>
          <w:rFonts w:ascii="Times New Roman" w:hAnsi="Times New Roman" w:cs="Times New Roman"/>
          <w:lang w:val="fr-BE"/>
        </w:rPr>
      </w:pPr>
      <w:proofErr w:type="spellStart"/>
      <w:r w:rsidRPr="00C847A3">
        <w:rPr>
          <w:rFonts w:ascii="Times New Roman" w:hAnsi="Times New Roman" w:cs="Times New Roman"/>
          <w:lang w:val="fr-BE"/>
        </w:rPr>
        <w:t>Według</w:t>
      </w:r>
      <w:proofErr w:type="spellEnd"/>
      <w:r w:rsidR="00F310C7" w:rsidRPr="00C847A3">
        <w:rPr>
          <w:rFonts w:ascii="Times New Roman" w:hAnsi="Times New Roman" w:cs="Times New Roman"/>
          <w:lang w:val="fr-BE"/>
        </w:rPr>
        <w:t xml:space="preserve"> Jean-Christophe Saint-Paul:</w:t>
      </w:r>
    </w:p>
    <w:p w:rsidR="00C57D6A" w:rsidRPr="00B45853" w:rsidRDefault="00F310C7" w:rsidP="00171A6F">
      <w:pPr>
        <w:pStyle w:val="OpiQuot"/>
        <w:rPr>
          <w:rFonts w:ascii="Times New Roman" w:hAnsi="Times New Roman" w:cs="Times New Roman"/>
          <w:lang w:val="fr-FR"/>
        </w:rPr>
      </w:pPr>
      <w:r w:rsidRPr="00196363">
        <w:rPr>
          <w:rFonts w:ascii="Times New Roman" w:hAnsi="Times New Roman" w:cs="Times New Roman"/>
          <w:lang w:val="fr-FR"/>
        </w:rPr>
        <w:lastRenderedPageBreak/>
        <w:t>“Les droits de la personnalité constituent l</w:t>
      </w:r>
      <w:r w:rsidR="008057EE" w:rsidRPr="00196363">
        <w:rPr>
          <w:rFonts w:ascii="Times New Roman" w:hAnsi="Times New Roman" w:cs="Times New Roman"/>
          <w:lang w:val="fr-FR"/>
        </w:rPr>
        <w:t>’</w:t>
      </w:r>
      <w:r w:rsidRPr="00196363">
        <w:rPr>
          <w:rFonts w:ascii="Times New Roman" w:hAnsi="Times New Roman" w:cs="Times New Roman"/>
          <w:lang w:val="fr-FR"/>
        </w:rPr>
        <w:t>ensemble des prérogatives</w:t>
      </w:r>
      <w:r w:rsidRPr="00B45853">
        <w:rPr>
          <w:rFonts w:ascii="Times New Roman" w:hAnsi="Times New Roman" w:cs="Times New Roman"/>
          <w:lang w:val="fr-FR"/>
        </w:rPr>
        <w:t xml:space="preserve"> juridiques portant sur des intérêts moraux (identité, vie privée, honneur) et le corps humain ou les moyens de leur réalisation (correspondances, domicile, image), exercés par des personnes juridiques (physiques ou morales) et qui sont sanctionnés par des actions en justice civiles (cessation du trouble, réparati</w:t>
      </w:r>
      <w:r w:rsidR="00C57D6A" w:rsidRPr="00B45853">
        <w:rPr>
          <w:rFonts w:ascii="Times New Roman" w:hAnsi="Times New Roman" w:cs="Times New Roman"/>
          <w:lang w:val="fr-FR"/>
        </w:rPr>
        <w:t>on des préjudices) et pénales.</w:t>
      </w:r>
    </w:p>
    <w:p w:rsidR="00F310C7" w:rsidRPr="00B45853" w:rsidRDefault="00F310C7" w:rsidP="00171A6F">
      <w:pPr>
        <w:pStyle w:val="OpiQuot"/>
        <w:rPr>
          <w:rFonts w:ascii="Times New Roman" w:hAnsi="Times New Roman" w:cs="Times New Roman"/>
          <w:lang w:val="fr-FR"/>
        </w:rPr>
      </w:pPr>
      <w:r w:rsidRPr="00B45853">
        <w:rPr>
          <w:rFonts w:ascii="Times New Roman" w:hAnsi="Times New Roman" w:cs="Times New Roman"/>
          <w:lang w:val="fr-FR"/>
        </w:rPr>
        <w:t>Au carrefour du droit civil (personnes, contrats, biens), du droit pénal et des droits de l</w:t>
      </w:r>
      <w:r w:rsidR="008057EE" w:rsidRPr="00B45853">
        <w:rPr>
          <w:rFonts w:ascii="Times New Roman" w:hAnsi="Times New Roman" w:cs="Times New Roman"/>
          <w:lang w:val="fr-FR"/>
        </w:rPr>
        <w:t>’</w:t>
      </w:r>
      <w:r w:rsidRPr="00B45853">
        <w:rPr>
          <w:rFonts w:ascii="Times New Roman" w:hAnsi="Times New Roman" w:cs="Times New Roman"/>
          <w:lang w:val="fr-FR"/>
        </w:rPr>
        <w:t>homme, et aussi des procédures civile et pénale, la matière fait l</w:t>
      </w:r>
      <w:r w:rsidR="008057EE" w:rsidRPr="00B45853">
        <w:rPr>
          <w:rFonts w:ascii="Times New Roman" w:hAnsi="Times New Roman" w:cs="Times New Roman"/>
          <w:lang w:val="fr-FR"/>
        </w:rPr>
        <w:t>’</w:t>
      </w:r>
      <w:r w:rsidRPr="00B45853">
        <w:rPr>
          <w:rFonts w:ascii="Times New Roman" w:hAnsi="Times New Roman" w:cs="Times New Roman"/>
          <w:lang w:val="fr-FR"/>
        </w:rPr>
        <w:t>objet d</w:t>
      </w:r>
      <w:r w:rsidR="008057EE" w:rsidRPr="00B45853">
        <w:rPr>
          <w:rFonts w:ascii="Times New Roman" w:hAnsi="Times New Roman" w:cs="Times New Roman"/>
          <w:lang w:val="fr-FR"/>
        </w:rPr>
        <w:t>’</w:t>
      </w:r>
      <w:r w:rsidRPr="00B45853">
        <w:rPr>
          <w:rFonts w:ascii="Times New Roman" w:hAnsi="Times New Roman" w:cs="Times New Roman"/>
          <w:lang w:val="fr-FR"/>
        </w:rPr>
        <w:t>une jurisprudence foisonnante, en droit interne et en droit européen, fondée sur des sources variées nationales (Code civil, Code pénal, Loi informatique et libertés, Loi relative à la liberté de la presse) et internationales (CESDH, PIDCP, DUDH, Charte des droits fondamentaux), qui opère une balance juridictionnelle entre la protection de la personne et d</w:t>
      </w:r>
      <w:r w:rsidR="008057EE" w:rsidRPr="00B45853">
        <w:rPr>
          <w:rFonts w:ascii="Times New Roman" w:hAnsi="Times New Roman" w:cs="Times New Roman"/>
          <w:lang w:val="fr-FR"/>
        </w:rPr>
        <w:t>’</w:t>
      </w:r>
      <w:r w:rsidRPr="00B45853">
        <w:rPr>
          <w:rFonts w:ascii="Times New Roman" w:hAnsi="Times New Roman" w:cs="Times New Roman"/>
          <w:lang w:val="fr-FR"/>
        </w:rPr>
        <w:t>autres valeurs telles que la liberté d</w:t>
      </w:r>
      <w:r w:rsidR="008057EE" w:rsidRPr="00B45853">
        <w:rPr>
          <w:rFonts w:ascii="Times New Roman" w:hAnsi="Times New Roman" w:cs="Times New Roman"/>
          <w:lang w:val="fr-FR"/>
        </w:rPr>
        <w:t>’</w:t>
      </w:r>
      <w:r w:rsidRPr="00B45853">
        <w:rPr>
          <w:rFonts w:ascii="Times New Roman" w:hAnsi="Times New Roman" w:cs="Times New Roman"/>
          <w:lang w:val="fr-FR"/>
        </w:rPr>
        <w:t>expression ou les nécessités de la preuve.”</w:t>
      </w:r>
      <w:r w:rsidRPr="00B45853">
        <w:rPr>
          <w:rStyle w:val="Odwoanieprzypisudolnego"/>
          <w:rFonts w:ascii="Times New Roman" w:hAnsi="Times New Roman" w:cs="Times New Roman"/>
          <w:lang w:val="en-GB"/>
        </w:rPr>
        <w:footnoteReference w:id="6"/>
      </w:r>
    </w:p>
    <w:p w:rsidR="00F310C7" w:rsidRPr="00B45853" w:rsidRDefault="00245515" w:rsidP="00171A6F">
      <w:pPr>
        <w:pStyle w:val="OpiPara"/>
        <w:rPr>
          <w:rFonts w:ascii="Times New Roman" w:hAnsi="Times New Roman" w:cs="Times New Roman"/>
          <w:lang w:val="pl-PL"/>
        </w:rPr>
      </w:pPr>
      <w:r w:rsidRPr="00B45853">
        <w:rPr>
          <w:rFonts w:ascii="Times New Roman" w:hAnsi="Times New Roman" w:cs="Times New Roman"/>
          <w:lang w:val="pl-PL"/>
        </w:rPr>
        <w:t>Sytuacja w Niemczech wygląda następująco</w:t>
      </w:r>
      <w:r w:rsidR="00F310C7" w:rsidRPr="00B45853">
        <w:rPr>
          <w:rFonts w:ascii="Times New Roman" w:hAnsi="Times New Roman" w:cs="Times New Roman"/>
          <w:lang w:val="pl-PL"/>
        </w:rPr>
        <w:t>:</w:t>
      </w:r>
    </w:p>
    <w:p w:rsidR="00F310C7" w:rsidRPr="00196363" w:rsidRDefault="00F310C7" w:rsidP="00171A6F">
      <w:pPr>
        <w:pStyle w:val="OpiQuot"/>
        <w:rPr>
          <w:rFonts w:ascii="Times New Roman" w:hAnsi="Times New Roman" w:cs="Times New Roman"/>
          <w:lang w:val="pl-PL"/>
        </w:rPr>
      </w:pPr>
      <w:r w:rsidRPr="00B45853">
        <w:rPr>
          <w:rFonts w:ascii="Times New Roman" w:hAnsi="Times New Roman" w:cs="Times New Roman"/>
          <w:lang w:val="pl-PL"/>
        </w:rPr>
        <w:t>“</w:t>
      </w:r>
      <w:r w:rsidR="00C719D5">
        <w:rPr>
          <w:rFonts w:ascii="Times New Roman" w:hAnsi="Times New Roman" w:cs="Times New Roman"/>
          <w:lang w:val="pl-PL"/>
        </w:rPr>
        <w:t>Ogólne</w:t>
      </w:r>
      <w:r w:rsidR="00887A51" w:rsidRPr="00B45853">
        <w:rPr>
          <w:rFonts w:ascii="Times New Roman" w:hAnsi="Times New Roman" w:cs="Times New Roman"/>
          <w:lang w:val="pl-PL"/>
        </w:rPr>
        <w:t xml:space="preserve"> </w:t>
      </w:r>
      <w:r w:rsidR="00887A51" w:rsidRPr="00196363">
        <w:rPr>
          <w:rFonts w:ascii="Times New Roman" w:hAnsi="Times New Roman" w:cs="Times New Roman"/>
          <w:lang w:val="pl-PL"/>
        </w:rPr>
        <w:t xml:space="preserve">prawa </w:t>
      </w:r>
      <w:r w:rsidR="00C719D5" w:rsidRPr="00196363">
        <w:rPr>
          <w:rFonts w:ascii="Times New Roman" w:hAnsi="Times New Roman" w:cs="Times New Roman"/>
          <w:lang w:val="pl-PL"/>
        </w:rPr>
        <w:t>osobiste</w:t>
      </w:r>
      <w:r w:rsidR="00887A51" w:rsidRPr="00196363">
        <w:rPr>
          <w:rFonts w:ascii="Times New Roman" w:hAnsi="Times New Roman" w:cs="Times New Roman"/>
          <w:lang w:val="pl-PL"/>
        </w:rPr>
        <w:t xml:space="preserve"> zostało uznane w orzecznictwie </w:t>
      </w:r>
      <w:proofErr w:type="spellStart"/>
      <w:r w:rsidRPr="00196363">
        <w:rPr>
          <w:rFonts w:ascii="Times New Roman" w:hAnsi="Times New Roman" w:cs="Times New Roman"/>
          <w:lang w:val="pl-PL"/>
        </w:rPr>
        <w:t>Bundesgerichtshof</w:t>
      </w:r>
      <w:proofErr w:type="spellEnd"/>
      <w:r w:rsidRPr="00196363">
        <w:rPr>
          <w:rFonts w:ascii="Times New Roman" w:hAnsi="Times New Roman" w:cs="Times New Roman"/>
          <w:lang w:val="pl-PL"/>
        </w:rPr>
        <w:t xml:space="preserve"> </w:t>
      </w:r>
      <w:r w:rsidR="00887A51" w:rsidRPr="00196363">
        <w:rPr>
          <w:rFonts w:ascii="Times New Roman" w:hAnsi="Times New Roman" w:cs="Times New Roman"/>
          <w:lang w:val="pl-PL"/>
        </w:rPr>
        <w:t>od</w:t>
      </w:r>
      <w:r w:rsidRPr="00196363">
        <w:rPr>
          <w:rFonts w:ascii="Times New Roman" w:hAnsi="Times New Roman" w:cs="Times New Roman"/>
          <w:lang w:val="pl-PL"/>
        </w:rPr>
        <w:t xml:space="preserve"> 1954</w:t>
      </w:r>
      <w:r w:rsidR="00887A51" w:rsidRPr="00196363">
        <w:rPr>
          <w:rFonts w:ascii="Times New Roman" w:hAnsi="Times New Roman" w:cs="Times New Roman"/>
          <w:lang w:val="pl-PL"/>
        </w:rPr>
        <w:t xml:space="preserve"> roku</w:t>
      </w:r>
      <w:r w:rsidRPr="00196363">
        <w:rPr>
          <w:rFonts w:ascii="Times New Roman" w:hAnsi="Times New Roman" w:cs="Times New Roman"/>
          <w:lang w:val="pl-PL"/>
        </w:rPr>
        <w:t xml:space="preserve"> </w:t>
      </w:r>
      <w:r w:rsidR="00887A51" w:rsidRPr="00196363">
        <w:rPr>
          <w:rFonts w:ascii="Times New Roman" w:hAnsi="Times New Roman" w:cs="Times New Roman"/>
          <w:lang w:val="pl-PL"/>
        </w:rPr>
        <w:t>jako podstawowe prawo konstytucyjnie zagwarantowane na mocy artykułów 1 i 2 ustawy zasadniczej, a jednocześnie jako "inne prawo" chronione w prawie cywilnym na podstawie § 823 (1) BGB [Niemieckiego Kodeksu Cywilnego] (stałe Orzecznictwo od BGHZ [Federalny Trybunał Konstytucyjny, sprawy cywilne] 13, 334, 338 ...). Gwarantuje wobec całego świata ochronę godności ludzkiej oraz prawa do swobodnego rozwoju osobowości. Szczególne formy manifestacji ogólnego prawa osobowości mają prawo do własneg</w:t>
      </w:r>
      <w:r w:rsidR="00DD1B10" w:rsidRPr="00196363">
        <w:rPr>
          <w:rFonts w:ascii="Times New Roman" w:hAnsi="Times New Roman" w:cs="Times New Roman"/>
          <w:lang w:val="pl-PL"/>
        </w:rPr>
        <w:t xml:space="preserve">o obrazu (§§ 22 nn. Z </w:t>
      </w:r>
      <w:proofErr w:type="spellStart"/>
      <w:r w:rsidR="00DD1B10" w:rsidRPr="00196363">
        <w:rPr>
          <w:rFonts w:ascii="Times New Roman" w:hAnsi="Times New Roman" w:cs="Times New Roman"/>
          <w:lang w:val="pl-PL"/>
        </w:rPr>
        <w:t>Kug</w:t>
      </w:r>
      <w:proofErr w:type="spellEnd"/>
      <w:r w:rsidR="00DD1B10" w:rsidRPr="00196363">
        <w:rPr>
          <w:rFonts w:ascii="Times New Roman" w:hAnsi="Times New Roman" w:cs="Times New Roman"/>
          <w:lang w:val="pl-PL"/>
        </w:rPr>
        <w:t xml:space="preserve"> [Akt A</w:t>
      </w:r>
      <w:r w:rsidR="00887A51" w:rsidRPr="00196363">
        <w:rPr>
          <w:rFonts w:ascii="Times New Roman" w:hAnsi="Times New Roman" w:cs="Times New Roman"/>
          <w:lang w:val="pl-PL"/>
        </w:rPr>
        <w:t>rtystyczn</w:t>
      </w:r>
      <w:r w:rsidR="00DD1B10" w:rsidRPr="00196363">
        <w:rPr>
          <w:rFonts w:ascii="Times New Roman" w:hAnsi="Times New Roman" w:cs="Times New Roman"/>
          <w:lang w:val="pl-PL"/>
        </w:rPr>
        <w:t>ego</w:t>
      </w:r>
      <w:r w:rsidR="00887A51" w:rsidRPr="00196363">
        <w:rPr>
          <w:rFonts w:ascii="Times New Roman" w:hAnsi="Times New Roman" w:cs="Times New Roman"/>
          <w:lang w:val="pl-PL"/>
        </w:rPr>
        <w:t xml:space="preserve"> </w:t>
      </w:r>
      <w:r w:rsidR="00DD1B10" w:rsidRPr="00196363">
        <w:rPr>
          <w:rFonts w:ascii="Times New Roman" w:hAnsi="Times New Roman" w:cs="Times New Roman"/>
          <w:lang w:val="pl-PL"/>
        </w:rPr>
        <w:t>Prawa A</w:t>
      </w:r>
      <w:r w:rsidR="00887A51" w:rsidRPr="00196363">
        <w:rPr>
          <w:rFonts w:ascii="Times New Roman" w:hAnsi="Times New Roman" w:cs="Times New Roman"/>
          <w:lang w:val="pl-PL"/>
        </w:rPr>
        <w:t>utorskie</w:t>
      </w:r>
      <w:r w:rsidR="00DD1B10" w:rsidRPr="00196363">
        <w:rPr>
          <w:rFonts w:ascii="Times New Roman" w:hAnsi="Times New Roman" w:cs="Times New Roman"/>
          <w:lang w:val="pl-PL"/>
        </w:rPr>
        <w:t>go</w:t>
      </w:r>
      <w:r w:rsidR="00887A51" w:rsidRPr="00196363">
        <w:rPr>
          <w:rFonts w:ascii="Times New Roman" w:hAnsi="Times New Roman" w:cs="Times New Roman"/>
          <w:lang w:val="pl-PL"/>
        </w:rPr>
        <w:t>]) oraz prawa do czyjegoś imienia (§ 12 BGB). Gwarantują one ochronę osobowości w dziedzinie regulowanej przez nich</w:t>
      </w:r>
      <w:r w:rsidRPr="00196363">
        <w:rPr>
          <w:rFonts w:ascii="Times New Roman" w:hAnsi="Times New Roman" w:cs="Times New Roman"/>
          <w:lang w:val="pl-PL"/>
        </w:rPr>
        <w:t>.”</w:t>
      </w:r>
      <w:r w:rsidRPr="00196363">
        <w:rPr>
          <w:rStyle w:val="Odwoanieprzypisudolnego"/>
          <w:rFonts w:ascii="Times New Roman" w:hAnsi="Times New Roman" w:cs="Times New Roman"/>
          <w:lang w:val="en-GB"/>
        </w:rPr>
        <w:footnoteReference w:id="7"/>
      </w:r>
    </w:p>
    <w:p w:rsidR="00F310C7" w:rsidRPr="00196363" w:rsidRDefault="00DD1B10" w:rsidP="00171A6F">
      <w:pPr>
        <w:pStyle w:val="OpiPara"/>
        <w:rPr>
          <w:rFonts w:ascii="Times New Roman" w:hAnsi="Times New Roman" w:cs="Times New Roman"/>
          <w:szCs w:val="24"/>
          <w:lang w:val="pl-PL"/>
        </w:rPr>
      </w:pPr>
      <w:r w:rsidRPr="00196363">
        <w:rPr>
          <w:rFonts w:ascii="Times New Roman" w:hAnsi="Times New Roman" w:cs="Times New Roman"/>
          <w:szCs w:val="24"/>
          <w:lang w:val="pl-PL"/>
        </w:rPr>
        <w:lastRenderedPageBreak/>
        <w:t>Tak więc</w:t>
      </w:r>
      <w:r w:rsidR="00245515" w:rsidRPr="00196363">
        <w:rPr>
          <w:rFonts w:ascii="Times New Roman" w:hAnsi="Times New Roman" w:cs="Times New Roman"/>
          <w:szCs w:val="24"/>
          <w:lang w:val="pl-PL"/>
        </w:rPr>
        <w:t xml:space="preserve"> trudno uwierzyć, że ta </w:t>
      </w:r>
      <w:r w:rsidR="00C719D5" w:rsidRPr="00196363">
        <w:rPr>
          <w:rFonts w:ascii="Times New Roman" w:hAnsi="Times New Roman" w:cs="Times New Roman"/>
          <w:szCs w:val="24"/>
          <w:lang w:val="pl-PL"/>
        </w:rPr>
        <w:t xml:space="preserve">prywatnoprawna paralela </w:t>
      </w:r>
      <w:r w:rsidR="00245515" w:rsidRPr="00196363">
        <w:rPr>
          <w:rFonts w:ascii="Times New Roman" w:hAnsi="Times New Roman" w:cs="Times New Roman"/>
          <w:szCs w:val="24"/>
          <w:lang w:val="pl-PL"/>
        </w:rPr>
        <w:t>do wyraźniejszego prawa konstytuc</w:t>
      </w:r>
      <w:r w:rsidR="00C719D5" w:rsidRPr="00196363">
        <w:rPr>
          <w:rFonts w:ascii="Times New Roman" w:hAnsi="Times New Roman" w:cs="Times New Roman"/>
          <w:szCs w:val="24"/>
          <w:lang w:val="pl-PL"/>
        </w:rPr>
        <w:t>yjnego i prawa międzynarodowego</w:t>
      </w:r>
      <w:r w:rsidR="00245515" w:rsidRPr="00196363">
        <w:rPr>
          <w:rFonts w:ascii="Times New Roman" w:hAnsi="Times New Roman" w:cs="Times New Roman"/>
          <w:szCs w:val="24"/>
          <w:lang w:val="pl-PL"/>
        </w:rPr>
        <w:t xml:space="preserve"> ochrony dóbr osobistych człowieka zostały nie tylko zignorowane, ale często po prostu zastępowane sprzecznymi rozważaniami</w:t>
      </w:r>
      <w:r w:rsidR="00F310C7" w:rsidRPr="00196363">
        <w:rPr>
          <w:rFonts w:ascii="Times New Roman" w:hAnsi="Times New Roman" w:cs="Times New Roman"/>
          <w:szCs w:val="24"/>
          <w:lang w:val="pl-PL"/>
        </w:rPr>
        <w:t>.</w:t>
      </w:r>
    </w:p>
    <w:p w:rsidR="00F310C7" w:rsidRPr="00196363" w:rsidRDefault="00245515" w:rsidP="00171A6F">
      <w:pPr>
        <w:pStyle w:val="OpiPara"/>
        <w:rPr>
          <w:rFonts w:ascii="Times New Roman" w:hAnsi="Times New Roman" w:cs="Times New Roman"/>
          <w:szCs w:val="24"/>
          <w:lang w:val="pl-PL"/>
        </w:rPr>
      </w:pPr>
      <w:r w:rsidRPr="00B45853">
        <w:rPr>
          <w:rFonts w:ascii="Times New Roman" w:hAnsi="Times New Roman" w:cs="Times New Roman"/>
          <w:szCs w:val="24"/>
          <w:lang w:val="pl-PL"/>
        </w:rPr>
        <w:t>Ponadto, moim zdaniem, jest całkowicie nie do przyjęcia, że portal internetowy lub innego rodzaju środki masowego przekazu powinny mieć prawo do publikowania jakichkolwiek anonimowych komentarzy. Wydaje się, że zapomnieliśmy, że "listy do redakcji", nie tak dawno temu, były dwukrotnie sprawdzane co do tożsamości autora, zanim zostały one kiedykolwiek uznane za warte o</w:t>
      </w:r>
      <w:r w:rsidR="00DD1B10" w:rsidRPr="00B45853">
        <w:rPr>
          <w:rFonts w:ascii="Times New Roman" w:hAnsi="Times New Roman" w:cs="Times New Roman"/>
          <w:szCs w:val="24"/>
          <w:lang w:val="pl-PL"/>
        </w:rPr>
        <w:t>publikowania. Rząd argumentował</w:t>
      </w:r>
      <w:r w:rsidRPr="00B45853">
        <w:rPr>
          <w:rFonts w:ascii="Times New Roman" w:hAnsi="Times New Roman" w:cs="Times New Roman"/>
          <w:szCs w:val="24"/>
          <w:lang w:val="pl-PL"/>
        </w:rPr>
        <w:t xml:space="preserve"> </w:t>
      </w:r>
      <w:r w:rsidR="00F310C7" w:rsidRPr="00B45853">
        <w:rPr>
          <w:rFonts w:ascii="Times New Roman" w:hAnsi="Times New Roman" w:cs="Times New Roman"/>
          <w:szCs w:val="24"/>
          <w:lang w:val="pl-PL"/>
        </w:rPr>
        <w:t>(</w:t>
      </w:r>
      <w:r w:rsidRPr="00B45853">
        <w:rPr>
          <w:rFonts w:ascii="Times New Roman" w:hAnsi="Times New Roman" w:cs="Times New Roman"/>
          <w:szCs w:val="24"/>
          <w:lang w:val="pl-PL"/>
        </w:rPr>
        <w:t>zobacz</w:t>
      </w:r>
      <w:r w:rsidR="00F310C7" w:rsidRPr="00B45853">
        <w:rPr>
          <w:rFonts w:ascii="Times New Roman" w:hAnsi="Times New Roman" w:cs="Times New Roman"/>
          <w:szCs w:val="24"/>
          <w:lang w:val="pl-PL"/>
        </w:rPr>
        <w:t xml:space="preserve"> paragra</w:t>
      </w:r>
      <w:r w:rsidRPr="00B45853">
        <w:rPr>
          <w:rFonts w:ascii="Times New Roman" w:hAnsi="Times New Roman" w:cs="Times New Roman"/>
          <w:szCs w:val="24"/>
          <w:lang w:val="pl-PL"/>
        </w:rPr>
        <w:t>f</w:t>
      </w:r>
      <w:r w:rsidR="00F310C7" w:rsidRPr="00B45853">
        <w:rPr>
          <w:rFonts w:ascii="Times New Roman" w:hAnsi="Times New Roman" w:cs="Times New Roman"/>
          <w:szCs w:val="24"/>
          <w:lang w:val="pl-PL"/>
        </w:rPr>
        <w:t xml:space="preserve"> 90 </w:t>
      </w:r>
      <w:r w:rsidRPr="00B45853">
        <w:rPr>
          <w:rFonts w:ascii="Times New Roman" w:hAnsi="Times New Roman" w:cs="Times New Roman"/>
          <w:szCs w:val="24"/>
          <w:lang w:val="pl-PL"/>
        </w:rPr>
        <w:t>wyroku</w:t>
      </w:r>
      <w:r w:rsidR="00F310C7" w:rsidRPr="00B45853">
        <w:rPr>
          <w:rFonts w:ascii="Times New Roman" w:hAnsi="Times New Roman" w:cs="Times New Roman"/>
          <w:szCs w:val="24"/>
          <w:lang w:val="pl-PL"/>
        </w:rPr>
        <w:t>)</w:t>
      </w:r>
      <w:r w:rsidR="00DD1B10" w:rsidRPr="00B45853">
        <w:rPr>
          <w:rFonts w:ascii="Times New Roman" w:hAnsi="Times New Roman" w:cs="Times New Roman"/>
          <w:szCs w:val="24"/>
          <w:lang w:val="pl-PL"/>
        </w:rPr>
        <w:t>,</w:t>
      </w:r>
      <w:r w:rsidR="00F310C7" w:rsidRPr="00B45853">
        <w:rPr>
          <w:rFonts w:ascii="Times New Roman" w:hAnsi="Times New Roman" w:cs="Times New Roman"/>
          <w:szCs w:val="24"/>
          <w:lang w:val="pl-PL"/>
        </w:rPr>
        <w:t xml:space="preserve"> </w:t>
      </w:r>
      <w:r w:rsidRPr="00B45853">
        <w:rPr>
          <w:rFonts w:ascii="Times New Roman" w:hAnsi="Times New Roman" w:cs="Times New Roman"/>
          <w:szCs w:val="24"/>
          <w:lang w:val="pl-PL"/>
        </w:rPr>
        <w:t xml:space="preserve">że </w:t>
      </w:r>
      <w:r w:rsidRPr="00196363">
        <w:rPr>
          <w:rFonts w:ascii="Times New Roman" w:hAnsi="Times New Roman" w:cs="Times New Roman"/>
          <w:szCs w:val="24"/>
          <w:lang w:val="pl-PL"/>
        </w:rPr>
        <w:t>największe światowe portale informacyjne nie pozwalają</w:t>
      </w:r>
      <w:r w:rsidR="006B0990" w:rsidRPr="00196363">
        <w:rPr>
          <w:rFonts w:ascii="Times New Roman" w:hAnsi="Times New Roman" w:cs="Times New Roman"/>
          <w:szCs w:val="24"/>
          <w:lang w:val="pl-PL"/>
        </w:rPr>
        <w:t xml:space="preserve"> na anonimowe</w:t>
      </w:r>
      <w:r w:rsidRPr="00196363">
        <w:rPr>
          <w:rFonts w:ascii="Times New Roman" w:hAnsi="Times New Roman" w:cs="Times New Roman"/>
          <w:szCs w:val="24"/>
          <w:lang w:val="pl-PL"/>
        </w:rPr>
        <w:t xml:space="preserve"> </w:t>
      </w:r>
      <w:r w:rsidR="00F310C7" w:rsidRPr="00196363">
        <w:rPr>
          <w:rFonts w:ascii="Times New Roman" w:hAnsi="Times New Roman" w:cs="Times New Roman"/>
          <w:szCs w:val="24"/>
          <w:lang w:val="pl-PL"/>
        </w:rPr>
        <w:t>(</w:t>
      </w:r>
      <w:r w:rsidR="006B0990" w:rsidRPr="00196363">
        <w:rPr>
          <w:rFonts w:ascii="Times New Roman" w:hAnsi="Times New Roman" w:cs="Times New Roman"/>
          <w:szCs w:val="24"/>
          <w:lang w:val="pl-PL"/>
        </w:rPr>
        <w:t>czyli</w:t>
      </w:r>
      <w:r w:rsidR="00F310C7" w:rsidRPr="00196363">
        <w:rPr>
          <w:rFonts w:ascii="Times New Roman" w:hAnsi="Times New Roman" w:cs="Times New Roman"/>
          <w:szCs w:val="24"/>
          <w:lang w:val="pl-PL"/>
        </w:rPr>
        <w:t xml:space="preserve">, </w:t>
      </w:r>
      <w:r w:rsidR="006B0990" w:rsidRPr="00196363">
        <w:rPr>
          <w:rFonts w:ascii="Times New Roman" w:hAnsi="Times New Roman" w:cs="Times New Roman"/>
          <w:szCs w:val="24"/>
          <w:lang w:val="pl-PL"/>
        </w:rPr>
        <w:t>niezarejestrowane</w:t>
      </w:r>
      <w:r w:rsidR="00F310C7" w:rsidRPr="00196363">
        <w:rPr>
          <w:rFonts w:ascii="Times New Roman" w:hAnsi="Times New Roman" w:cs="Times New Roman"/>
          <w:szCs w:val="24"/>
          <w:lang w:val="pl-PL"/>
        </w:rPr>
        <w:t xml:space="preserve">) </w:t>
      </w:r>
      <w:r w:rsidR="006B0990" w:rsidRPr="00196363">
        <w:rPr>
          <w:rFonts w:ascii="Times New Roman" w:hAnsi="Times New Roman" w:cs="Times New Roman"/>
          <w:szCs w:val="24"/>
          <w:lang w:val="pl-PL"/>
        </w:rPr>
        <w:t xml:space="preserve">komentarze i odniósł się do opinii, że istnieje tendencja </w:t>
      </w:r>
      <w:r w:rsidR="00B0419A" w:rsidRPr="00196363">
        <w:rPr>
          <w:rFonts w:ascii="Times New Roman" w:hAnsi="Times New Roman" w:cs="Times New Roman"/>
          <w:szCs w:val="24"/>
          <w:lang w:val="pl-PL"/>
        </w:rPr>
        <w:t xml:space="preserve">do rezygnacji z </w:t>
      </w:r>
      <w:r w:rsidR="006B0990" w:rsidRPr="00196363">
        <w:rPr>
          <w:rFonts w:ascii="Times New Roman" w:hAnsi="Times New Roman" w:cs="Times New Roman"/>
          <w:szCs w:val="24"/>
          <w:lang w:val="pl-PL"/>
        </w:rPr>
        <w:t xml:space="preserve">anonimowości. Jednocześnie, anonimowe komentarze mają tendencję do bycia bardziej obraźliwymi niż komentarze osób, które są zarejestrowane, i ostre komentarze przyciągają więcej czytelników. Rząd argumentował, że </w:t>
      </w:r>
      <w:proofErr w:type="spellStart"/>
      <w:r w:rsidR="006B0990" w:rsidRPr="00196363">
        <w:rPr>
          <w:rFonts w:ascii="Times New Roman" w:hAnsi="Times New Roman" w:cs="Times New Roman"/>
          <w:szCs w:val="24"/>
          <w:lang w:val="pl-PL"/>
        </w:rPr>
        <w:t>Delfi</w:t>
      </w:r>
      <w:proofErr w:type="spellEnd"/>
      <w:r w:rsidR="006B0990" w:rsidRPr="00196363">
        <w:rPr>
          <w:rFonts w:ascii="Times New Roman" w:hAnsi="Times New Roman" w:cs="Times New Roman"/>
          <w:szCs w:val="24"/>
          <w:lang w:val="pl-PL"/>
        </w:rPr>
        <w:t xml:space="preserve"> było </w:t>
      </w:r>
      <w:r w:rsidR="00ED10D5">
        <w:rPr>
          <w:rFonts w:ascii="Times New Roman" w:hAnsi="Times New Roman" w:cs="Times New Roman"/>
          <w:szCs w:val="24"/>
          <w:lang w:val="pl-PL"/>
        </w:rPr>
        <w:t>znane</w:t>
      </w:r>
      <w:r w:rsidR="006B0990" w:rsidRPr="00196363">
        <w:rPr>
          <w:rFonts w:ascii="Times New Roman" w:hAnsi="Times New Roman" w:cs="Times New Roman"/>
          <w:szCs w:val="24"/>
          <w:lang w:val="pl-PL"/>
        </w:rPr>
        <w:t xml:space="preserve"> z tego powodu</w:t>
      </w:r>
      <w:r w:rsidR="00F310C7" w:rsidRPr="00196363">
        <w:rPr>
          <w:rFonts w:ascii="Times New Roman" w:hAnsi="Times New Roman" w:cs="Times New Roman"/>
          <w:szCs w:val="24"/>
          <w:lang w:val="pl-PL"/>
        </w:rPr>
        <w:t>.</w:t>
      </w:r>
    </w:p>
    <w:p w:rsidR="00F310C7" w:rsidRPr="00196363" w:rsidRDefault="00AE6FFF" w:rsidP="00171A6F">
      <w:pPr>
        <w:pStyle w:val="OpiPara"/>
        <w:rPr>
          <w:rFonts w:ascii="Times New Roman" w:hAnsi="Times New Roman" w:cs="Times New Roman"/>
          <w:szCs w:val="24"/>
          <w:lang w:val="pl-PL"/>
        </w:rPr>
      </w:pPr>
      <w:r w:rsidRPr="00196363">
        <w:rPr>
          <w:rFonts w:ascii="Times New Roman" w:hAnsi="Times New Roman" w:cs="Times New Roman"/>
          <w:szCs w:val="24"/>
          <w:lang w:val="pl-PL"/>
        </w:rPr>
        <w:t xml:space="preserve">Z drugiej strony, w przypadku sprawy </w:t>
      </w:r>
      <w:proofErr w:type="spellStart"/>
      <w:r w:rsidRPr="00196363">
        <w:rPr>
          <w:rFonts w:ascii="Times New Roman" w:hAnsi="Times New Roman" w:cs="Times New Roman"/>
          <w:i/>
          <w:szCs w:val="24"/>
          <w:lang w:val="pl-PL"/>
        </w:rPr>
        <w:t>Print</w:t>
      </w:r>
      <w:proofErr w:type="spellEnd"/>
      <w:r w:rsidRPr="00196363">
        <w:rPr>
          <w:rFonts w:ascii="Times New Roman" w:hAnsi="Times New Roman" w:cs="Times New Roman"/>
          <w:i/>
          <w:szCs w:val="24"/>
          <w:lang w:val="pl-PL"/>
        </w:rPr>
        <w:t xml:space="preserve"> </w:t>
      </w:r>
      <w:proofErr w:type="spellStart"/>
      <w:r w:rsidRPr="00196363">
        <w:rPr>
          <w:rFonts w:ascii="Times New Roman" w:hAnsi="Times New Roman" w:cs="Times New Roman"/>
          <w:i/>
          <w:szCs w:val="24"/>
          <w:lang w:val="pl-PL"/>
        </w:rPr>
        <w:t>Zeitungverlag</w:t>
      </w:r>
      <w:proofErr w:type="spellEnd"/>
      <w:r w:rsidRPr="00196363">
        <w:rPr>
          <w:rFonts w:ascii="Times New Roman" w:hAnsi="Times New Roman" w:cs="Times New Roman"/>
          <w:i/>
          <w:szCs w:val="24"/>
          <w:lang w:val="pl-PL"/>
        </w:rPr>
        <w:t xml:space="preserve"> GmbH przeciwko</w:t>
      </w:r>
      <w:r w:rsidR="00F310C7" w:rsidRPr="00196363">
        <w:rPr>
          <w:rFonts w:ascii="Times New Roman" w:hAnsi="Times New Roman" w:cs="Times New Roman"/>
          <w:szCs w:val="24"/>
          <w:lang w:val="pl-PL"/>
        </w:rPr>
        <w:t xml:space="preserve"> </w:t>
      </w:r>
      <w:r w:rsidR="00F310C7" w:rsidRPr="00196363">
        <w:rPr>
          <w:rFonts w:ascii="Times New Roman" w:hAnsi="Times New Roman" w:cs="Times New Roman"/>
          <w:i/>
          <w:szCs w:val="24"/>
          <w:lang w:val="pl-PL"/>
        </w:rPr>
        <w:t>Austri</w:t>
      </w:r>
      <w:r w:rsidRPr="00196363">
        <w:rPr>
          <w:rFonts w:ascii="Times New Roman" w:hAnsi="Times New Roman" w:cs="Times New Roman"/>
          <w:i/>
          <w:szCs w:val="24"/>
          <w:lang w:val="pl-PL"/>
        </w:rPr>
        <w:t>i</w:t>
      </w:r>
      <w:r w:rsidRPr="00196363">
        <w:rPr>
          <w:rFonts w:ascii="Times New Roman" w:hAnsi="Times New Roman" w:cs="Times New Roman"/>
          <w:szCs w:val="24"/>
          <w:lang w:val="pl-PL"/>
        </w:rPr>
        <w:t xml:space="preserve"> (nr</w:t>
      </w:r>
      <w:r w:rsidR="00F310C7" w:rsidRPr="00196363">
        <w:rPr>
          <w:rFonts w:ascii="Times New Roman" w:hAnsi="Times New Roman" w:cs="Times New Roman"/>
          <w:szCs w:val="24"/>
          <w:lang w:val="pl-PL"/>
        </w:rPr>
        <w:t xml:space="preserve"> 26547/07, </w:t>
      </w:r>
      <w:r w:rsidRPr="00196363">
        <w:rPr>
          <w:rFonts w:ascii="Times New Roman" w:hAnsi="Times New Roman" w:cs="Times New Roman"/>
          <w:szCs w:val="24"/>
          <w:lang w:val="pl-PL"/>
        </w:rPr>
        <w:t>wyrok z dnia</w:t>
      </w:r>
      <w:r w:rsidR="00F310C7" w:rsidRPr="00196363">
        <w:rPr>
          <w:rFonts w:ascii="Times New Roman" w:hAnsi="Times New Roman" w:cs="Times New Roman"/>
          <w:szCs w:val="24"/>
          <w:lang w:val="pl-PL"/>
        </w:rPr>
        <w:t xml:space="preserve"> 10 </w:t>
      </w:r>
      <w:r w:rsidRPr="00196363">
        <w:rPr>
          <w:rFonts w:ascii="Times New Roman" w:hAnsi="Times New Roman" w:cs="Times New Roman"/>
          <w:szCs w:val="24"/>
          <w:lang w:val="pl-PL"/>
        </w:rPr>
        <w:t>Października</w:t>
      </w:r>
      <w:r w:rsidR="00F310C7" w:rsidRPr="00196363">
        <w:rPr>
          <w:rFonts w:ascii="Times New Roman" w:hAnsi="Times New Roman" w:cs="Times New Roman"/>
          <w:szCs w:val="24"/>
          <w:lang w:val="pl-PL"/>
        </w:rPr>
        <w:t xml:space="preserve"> 2013</w:t>
      </w:r>
      <w:r w:rsidRPr="00196363">
        <w:rPr>
          <w:rFonts w:ascii="Times New Roman" w:hAnsi="Times New Roman" w:cs="Times New Roman"/>
          <w:szCs w:val="24"/>
          <w:lang w:val="pl-PL"/>
        </w:rPr>
        <w:t xml:space="preserve"> roku</w:t>
      </w:r>
      <w:r w:rsidR="00F310C7" w:rsidRPr="00196363">
        <w:rPr>
          <w:rFonts w:ascii="Times New Roman" w:hAnsi="Times New Roman" w:cs="Times New Roman"/>
          <w:szCs w:val="24"/>
          <w:lang w:val="pl-PL"/>
        </w:rPr>
        <w:t xml:space="preserve">, </w:t>
      </w:r>
      <w:r w:rsidRPr="00196363">
        <w:rPr>
          <w:rFonts w:ascii="Times New Roman" w:hAnsi="Times New Roman" w:cs="Times New Roman"/>
          <w:szCs w:val="24"/>
          <w:lang w:val="pl-PL"/>
        </w:rPr>
        <w:t xml:space="preserve">tego samego dnia, co wyrok Izby w </w:t>
      </w:r>
      <w:proofErr w:type="spellStart"/>
      <w:r w:rsidRPr="00196363">
        <w:rPr>
          <w:rFonts w:ascii="Times New Roman" w:hAnsi="Times New Roman" w:cs="Times New Roman"/>
          <w:szCs w:val="24"/>
          <w:lang w:val="pl-PL"/>
        </w:rPr>
        <w:t>Delfi</w:t>
      </w:r>
      <w:proofErr w:type="spellEnd"/>
      <w:r w:rsidR="00F310C7" w:rsidRPr="00196363">
        <w:rPr>
          <w:rFonts w:ascii="Times New Roman" w:hAnsi="Times New Roman" w:cs="Times New Roman"/>
          <w:szCs w:val="24"/>
          <w:lang w:val="pl-PL"/>
        </w:rPr>
        <w:t xml:space="preserve">) </w:t>
      </w:r>
      <w:r w:rsidRPr="00196363">
        <w:rPr>
          <w:rFonts w:ascii="Times New Roman" w:hAnsi="Times New Roman" w:cs="Times New Roman"/>
          <w:szCs w:val="24"/>
          <w:lang w:val="pl-PL"/>
        </w:rPr>
        <w:t>Trybunał stwierdził, że przyznanie odszkodowania</w:t>
      </w:r>
      <w:r w:rsidR="00B0419A" w:rsidRPr="00196363">
        <w:rPr>
          <w:rFonts w:ascii="Times New Roman" w:hAnsi="Times New Roman" w:cs="Times New Roman"/>
          <w:szCs w:val="24"/>
          <w:lang w:val="pl-PL"/>
        </w:rPr>
        <w:t xml:space="preserve"> w wysokości 2.000 euro (EUR) za publikację</w:t>
      </w:r>
      <w:r w:rsidRPr="00196363">
        <w:rPr>
          <w:rFonts w:ascii="Times New Roman" w:hAnsi="Times New Roman" w:cs="Times New Roman"/>
          <w:szCs w:val="24"/>
          <w:lang w:val="pl-PL"/>
        </w:rPr>
        <w:t xml:space="preserve"> anonimowego listu w </w:t>
      </w:r>
      <w:r w:rsidR="00B0419A" w:rsidRPr="00196363">
        <w:rPr>
          <w:rFonts w:ascii="Times New Roman" w:hAnsi="Times New Roman" w:cs="Times New Roman"/>
          <w:szCs w:val="24"/>
          <w:lang w:val="pl-PL"/>
        </w:rPr>
        <w:t>prasie</w:t>
      </w:r>
      <w:r w:rsidR="00DD1B10" w:rsidRPr="00196363">
        <w:rPr>
          <w:rFonts w:ascii="Times New Roman" w:hAnsi="Times New Roman" w:cs="Times New Roman"/>
          <w:szCs w:val="24"/>
          <w:lang w:val="pl-PL"/>
        </w:rPr>
        <w:t xml:space="preserve"> było</w:t>
      </w:r>
      <w:r w:rsidR="002D1031">
        <w:rPr>
          <w:rFonts w:ascii="Times New Roman" w:hAnsi="Times New Roman" w:cs="Times New Roman"/>
          <w:szCs w:val="24"/>
          <w:lang w:val="pl-PL"/>
        </w:rPr>
        <w:t xml:space="preserve"> - </w:t>
      </w:r>
      <w:r w:rsidRPr="00196363">
        <w:rPr>
          <w:rFonts w:ascii="Times New Roman" w:hAnsi="Times New Roman" w:cs="Times New Roman"/>
          <w:szCs w:val="24"/>
          <w:lang w:val="pl-PL"/>
        </w:rPr>
        <w:t>i słusznie! - zgodne z dotychczasowym orzecznictwem.</w:t>
      </w:r>
      <w:r w:rsidR="00F310C7" w:rsidRPr="00196363">
        <w:rPr>
          <w:rStyle w:val="Odwoanieprzypisudolnego"/>
          <w:rFonts w:ascii="Times New Roman" w:hAnsi="Times New Roman" w:cs="Times New Roman"/>
          <w:szCs w:val="24"/>
          <w:lang w:val="en-GB"/>
        </w:rPr>
        <w:footnoteReference w:id="8"/>
      </w:r>
    </w:p>
    <w:p w:rsidR="00F310C7" w:rsidRPr="00196363" w:rsidRDefault="00AE6FFF" w:rsidP="00171A6F">
      <w:pPr>
        <w:pStyle w:val="OpiPara"/>
        <w:rPr>
          <w:rFonts w:ascii="Times New Roman" w:hAnsi="Times New Roman" w:cs="Times New Roman"/>
          <w:szCs w:val="24"/>
          <w:lang w:val="pl-PL"/>
        </w:rPr>
      </w:pPr>
      <w:r w:rsidRPr="00196363">
        <w:rPr>
          <w:rFonts w:ascii="Times New Roman" w:hAnsi="Times New Roman" w:cs="Times New Roman"/>
          <w:szCs w:val="24"/>
          <w:lang w:val="pl-PL"/>
        </w:rPr>
        <w:t>Wykorzystywane mass media działały zgodnie z oczywistą zasadą, że duża swoboda</w:t>
      </w:r>
      <w:r w:rsidR="00DD1B10" w:rsidRPr="00196363">
        <w:rPr>
          <w:rFonts w:ascii="Times New Roman" w:hAnsi="Times New Roman" w:cs="Times New Roman"/>
          <w:szCs w:val="24"/>
          <w:lang w:val="pl-PL"/>
        </w:rPr>
        <w:t>,</w:t>
      </w:r>
      <w:r w:rsidRPr="00196363">
        <w:rPr>
          <w:rFonts w:ascii="Times New Roman" w:hAnsi="Times New Roman" w:cs="Times New Roman"/>
          <w:szCs w:val="24"/>
          <w:lang w:val="pl-PL"/>
        </w:rPr>
        <w:t xml:space="preserve"> z której korzystała prasa</w:t>
      </w:r>
      <w:r w:rsidR="00DD1B10" w:rsidRPr="00196363">
        <w:rPr>
          <w:rFonts w:ascii="Times New Roman" w:hAnsi="Times New Roman" w:cs="Times New Roman"/>
          <w:szCs w:val="24"/>
          <w:lang w:val="pl-PL"/>
        </w:rPr>
        <w:t>,</w:t>
      </w:r>
      <w:r w:rsidRPr="00196363">
        <w:rPr>
          <w:rFonts w:ascii="Times New Roman" w:hAnsi="Times New Roman" w:cs="Times New Roman"/>
          <w:szCs w:val="24"/>
          <w:lang w:val="pl-PL"/>
        </w:rPr>
        <w:t xml:space="preserve"> </w:t>
      </w:r>
      <w:r w:rsidR="00B0419A" w:rsidRPr="00196363">
        <w:rPr>
          <w:rFonts w:ascii="Times New Roman" w:hAnsi="Times New Roman" w:cs="Times New Roman"/>
          <w:szCs w:val="24"/>
          <w:lang w:val="pl-PL"/>
        </w:rPr>
        <w:t>nakładała proporcjonalny poziom</w:t>
      </w:r>
      <w:r w:rsidRPr="00196363">
        <w:rPr>
          <w:rFonts w:ascii="Times New Roman" w:hAnsi="Times New Roman" w:cs="Times New Roman"/>
          <w:szCs w:val="24"/>
          <w:lang w:val="pl-PL"/>
        </w:rPr>
        <w:t xml:space="preserve"> odpowiedzialności. Aby technicznie umożliwić publikację bardzo agresywnych form zniesławienia, a wszystko to z powodu prymitywnego interesu handlowego, a potem wzruszyć ramionami, utrzymując, że usługodawca internetowy nie ponosi odpowiedzialności za te ataki na prawa osobiste innych osób, jest całkowicie nie do przyjęcia</w:t>
      </w:r>
      <w:r w:rsidR="00F310C7" w:rsidRPr="00196363">
        <w:rPr>
          <w:rFonts w:ascii="Times New Roman" w:hAnsi="Times New Roman" w:cs="Times New Roman"/>
          <w:szCs w:val="24"/>
          <w:lang w:val="pl-PL"/>
        </w:rPr>
        <w:t>.</w:t>
      </w:r>
    </w:p>
    <w:p w:rsidR="00F310C7" w:rsidRPr="00B45853" w:rsidRDefault="00AE6FFF" w:rsidP="00171A6F">
      <w:pPr>
        <w:pStyle w:val="OpiPara"/>
        <w:rPr>
          <w:rFonts w:ascii="Times New Roman" w:hAnsi="Times New Roman" w:cs="Times New Roman"/>
          <w:szCs w:val="24"/>
          <w:lang w:val="pl-PL"/>
        </w:rPr>
      </w:pPr>
      <w:r w:rsidRPr="00196363">
        <w:rPr>
          <w:rFonts w:ascii="Times New Roman" w:hAnsi="Times New Roman" w:cs="Times New Roman"/>
          <w:szCs w:val="24"/>
          <w:lang w:val="pl-PL"/>
        </w:rPr>
        <w:t>Zgodnie ze starą tradycją ochrony dóbr oso</w:t>
      </w:r>
      <w:r w:rsidR="00196363">
        <w:rPr>
          <w:rFonts w:ascii="Times New Roman" w:hAnsi="Times New Roman" w:cs="Times New Roman"/>
          <w:szCs w:val="24"/>
          <w:lang w:val="pl-PL"/>
        </w:rPr>
        <w:t>bistych, które</w:t>
      </w:r>
      <w:r w:rsidR="00B0419A" w:rsidRPr="00196363">
        <w:rPr>
          <w:rFonts w:ascii="Times New Roman" w:hAnsi="Times New Roman" w:cs="Times New Roman"/>
          <w:szCs w:val="24"/>
          <w:lang w:val="pl-PL"/>
        </w:rPr>
        <w:t xml:space="preserve"> wywodzi się z</w:t>
      </w:r>
      <w:r w:rsidRPr="00196363">
        <w:rPr>
          <w:rFonts w:ascii="Times New Roman" w:hAnsi="Times New Roman" w:cs="Times New Roman"/>
          <w:szCs w:val="24"/>
          <w:lang w:val="pl-PL"/>
        </w:rPr>
        <w:t xml:space="preserve"> prawa rzymskiego, kwota około 300 euro przyznana w ramach rekompensaty w niniejszej sprawie jest wyraźnie nieadekwatna</w:t>
      </w:r>
      <w:r w:rsidRPr="00B45853">
        <w:rPr>
          <w:rFonts w:ascii="Times New Roman" w:hAnsi="Times New Roman" w:cs="Times New Roman"/>
          <w:szCs w:val="24"/>
          <w:lang w:val="pl-PL"/>
        </w:rPr>
        <w:t xml:space="preserve"> wobec szkód</w:t>
      </w:r>
      <w:r w:rsidR="00DD1B10" w:rsidRPr="00B45853">
        <w:rPr>
          <w:rFonts w:ascii="Times New Roman" w:hAnsi="Times New Roman" w:cs="Times New Roman"/>
          <w:szCs w:val="24"/>
          <w:lang w:val="pl-PL"/>
        </w:rPr>
        <w:t>,</w:t>
      </w:r>
      <w:r w:rsidRPr="00B45853">
        <w:rPr>
          <w:rFonts w:ascii="Times New Roman" w:hAnsi="Times New Roman" w:cs="Times New Roman"/>
          <w:szCs w:val="24"/>
          <w:lang w:val="pl-PL"/>
        </w:rPr>
        <w:t xml:space="preserve"> które tyczą się poszkodowanych osób. Samo porównanie z wyżej wymienioną sprawą </w:t>
      </w:r>
      <w:proofErr w:type="spellStart"/>
      <w:r w:rsidR="00F310C7" w:rsidRPr="00B45853">
        <w:rPr>
          <w:rFonts w:ascii="Times New Roman" w:hAnsi="Times New Roman" w:cs="Times New Roman"/>
          <w:i/>
          <w:szCs w:val="24"/>
          <w:lang w:val="pl-PL"/>
        </w:rPr>
        <w:t>Print</w:t>
      </w:r>
      <w:proofErr w:type="spellEnd"/>
      <w:r w:rsidR="00F310C7" w:rsidRPr="00B45853">
        <w:rPr>
          <w:rFonts w:ascii="Times New Roman" w:hAnsi="Times New Roman" w:cs="Times New Roman"/>
          <w:i/>
          <w:szCs w:val="24"/>
          <w:lang w:val="pl-PL"/>
        </w:rPr>
        <w:t xml:space="preserve"> </w:t>
      </w:r>
      <w:proofErr w:type="spellStart"/>
      <w:r w:rsidR="00F310C7" w:rsidRPr="00B45853">
        <w:rPr>
          <w:rFonts w:ascii="Times New Roman" w:hAnsi="Times New Roman" w:cs="Times New Roman"/>
          <w:i/>
          <w:szCs w:val="24"/>
          <w:lang w:val="pl-PL"/>
        </w:rPr>
        <w:t>Zeitungverlag</w:t>
      </w:r>
      <w:proofErr w:type="spellEnd"/>
      <w:r w:rsidR="00F310C7" w:rsidRPr="00B45853">
        <w:rPr>
          <w:rFonts w:ascii="Times New Roman" w:hAnsi="Times New Roman" w:cs="Times New Roman"/>
          <w:i/>
          <w:szCs w:val="24"/>
          <w:lang w:val="pl-PL"/>
        </w:rPr>
        <w:t xml:space="preserve"> GmbH </w:t>
      </w:r>
      <w:r w:rsidRPr="00B45853">
        <w:rPr>
          <w:rFonts w:ascii="Times New Roman" w:hAnsi="Times New Roman" w:cs="Times New Roman"/>
          <w:i/>
          <w:szCs w:val="24"/>
          <w:lang w:val="pl-PL"/>
        </w:rPr>
        <w:t>przeciwko</w:t>
      </w:r>
      <w:r w:rsidR="00F310C7" w:rsidRPr="00B45853">
        <w:rPr>
          <w:rFonts w:ascii="Times New Roman" w:hAnsi="Times New Roman" w:cs="Times New Roman"/>
          <w:szCs w:val="24"/>
          <w:lang w:val="pl-PL"/>
        </w:rPr>
        <w:t xml:space="preserve"> </w:t>
      </w:r>
      <w:r w:rsidR="00F310C7" w:rsidRPr="00B45853">
        <w:rPr>
          <w:rFonts w:ascii="Times New Roman" w:hAnsi="Times New Roman" w:cs="Times New Roman"/>
          <w:i/>
          <w:szCs w:val="24"/>
          <w:lang w:val="pl-PL"/>
        </w:rPr>
        <w:t>Austri</w:t>
      </w:r>
      <w:r w:rsidRPr="00B45853">
        <w:rPr>
          <w:rFonts w:ascii="Times New Roman" w:hAnsi="Times New Roman" w:cs="Times New Roman"/>
          <w:i/>
          <w:szCs w:val="24"/>
          <w:lang w:val="pl-PL"/>
        </w:rPr>
        <w:t>i</w:t>
      </w:r>
      <w:r w:rsidR="00F310C7" w:rsidRPr="00B45853">
        <w:rPr>
          <w:rFonts w:ascii="Times New Roman" w:hAnsi="Times New Roman" w:cs="Times New Roman"/>
          <w:szCs w:val="24"/>
          <w:lang w:val="pl-PL"/>
        </w:rPr>
        <w:t xml:space="preserve">, </w:t>
      </w:r>
      <w:r w:rsidR="00062C32">
        <w:rPr>
          <w:rFonts w:ascii="Times New Roman" w:hAnsi="Times New Roman" w:cs="Times New Roman"/>
          <w:szCs w:val="24"/>
          <w:lang w:val="pl-PL"/>
        </w:rPr>
        <w:br/>
      </w:r>
      <w:r w:rsidR="000105EE" w:rsidRPr="00B45853">
        <w:rPr>
          <w:rFonts w:ascii="Times New Roman" w:hAnsi="Times New Roman" w:cs="Times New Roman"/>
          <w:szCs w:val="24"/>
          <w:lang w:val="pl-PL"/>
        </w:rPr>
        <w:t>w którym wzięły udział tylko dwie osoby poszkodowane i drukowany środek o bardzo ograniczonej dystrybucji, pokazuje, że</w:t>
      </w:r>
      <w:r w:rsidR="00062C32">
        <w:rPr>
          <w:rFonts w:ascii="Times New Roman" w:hAnsi="Times New Roman" w:cs="Times New Roman"/>
          <w:szCs w:val="24"/>
          <w:lang w:val="pl-PL"/>
        </w:rPr>
        <w:t xml:space="preserve"> uzasadnione</w:t>
      </w:r>
      <w:r w:rsidR="000105EE" w:rsidRPr="00B45853">
        <w:rPr>
          <w:rFonts w:ascii="Times New Roman" w:hAnsi="Times New Roman" w:cs="Times New Roman"/>
          <w:szCs w:val="24"/>
          <w:lang w:val="pl-PL"/>
        </w:rPr>
        <w:t xml:space="preserve"> było zabiegane o przyznanie znacznie wyższego odszkodowania w niniejszej sprawie.</w:t>
      </w:r>
    </w:p>
    <w:p w:rsidR="00F310C7" w:rsidRPr="00B45853" w:rsidRDefault="000105EE" w:rsidP="00171A6F">
      <w:pPr>
        <w:pStyle w:val="OpiPara"/>
        <w:rPr>
          <w:rFonts w:ascii="Times New Roman" w:hAnsi="Times New Roman" w:cs="Times New Roman"/>
          <w:szCs w:val="24"/>
          <w:lang w:val="pl-PL"/>
        </w:rPr>
      </w:pPr>
      <w:r w:rsidRPr="00B45853">
        <w:rPr>
          <w:rFonts w:ascii="Times New Roman" w:hAnsi="Times New Roman" w:cs="Times New Roman"/>
          <w:szCs w:val="24"/>
          <w:lang w:val="pl-PL"/>
        </w:rPr>
        <w:lastRenderedPageBreak/>
        <w:t>Nie wiem, dlaczego sądy krajowe wahają się podczas orzekania w tego rodzaju przypadkach i zapewniania ścisłej ochrony dóbr osobistych i godnej rekompensaty osobom, które zostały podd</w:t>
      </w:r>
      <w:r w:rsidR="00B0419A">
        <w:rPr>
          <w:rFonts w:ascii="Times New Roman" w:hAnsi="Times New Roman" w:cs="Times New Roman"/>
          <w:szCs w:val="24"/>
          <w:lang w:val="pl-PL"/>
        </w:rPr>
        <w:t>ane tego rodzaju nadużyciom  słownym</w:t>
      </w:r>
      <w:r w:rsidRPr="00B45853">
        <w:rPr>
          <w:rFonts w:ascii="Times New Roman" w:hAnsi="Times New Roman" w:cs="Times New Roman"/>
          <w:szCs w:val="24"/>
          <w:lang w:val="pl-PL"/>
        </w:rPr>
        <w:t>, ale podejrzewam, że nasze własne orzecznictwo musi coś z tym zrobić</w:t>
      </w:r>
      <w:r w:rsidR="00F310C7" w:rsidRPr="00B45853">
        <w:rPr>
          <w:rFonts w:ascii="Times New Roman" w:hAnsi="Times New Roman" w:cs="Times New Roman"/>
          <w:szCs w:val="24"/>
          <w:lang w:val="pl-PL"/>
        </w:rPr>
        <w:t>.</w:t>
      </w:r>
    </w:p>
    <w:p w:rsidR="00BC4BE7" w:rsidRDefault="000105EE" w:rsidP="00362468">
      <w:pPr>
        <w:pStyle w:val="OpiPara"/>
        <w:rPr>
          <w:rFonts w:ascii="Times New Roman" w:hAnsi="Times New Roman" w:cs="Times New Roman"/>
          <w:color w:val="FF0000"/>
          <w:szCs w:val="24"/>
          <w:lang w:val="pl-PL"/>
        </w:rPr>
      </w:pPr>
      <w:r w:rsidRPr="00B45853">
        <w:rPr>
          <w:rFonts w:ascii="Times New Roman" w:hAnsi="Times New Roman" w:cs="Times New Roman"/>
          <w:szCs w:val="24"/>
          <w:lang w:val="pl-PL"/>
        </w:rPr>
        <w:t xml:space="preserve">Jednak wolność słowa, podobnie jak </w:t>
      </w:r>
      <w:r w:rsidRPr="00BB4B46">
        <w:rPr>
          <w:rFonts w:ascii="Times New Roman" w:hAnsi="Times New Roman" w:cs="Times New Roman"/>
          <w:szCs w:val="24"/>
          <w:lang w:val="pl-PL"/>
        </w:rPr>
        <w:t>wszystk</w:t>
      </w:r>
      <w:r w:rsidR="00B0419A" w:rsidRPr="00BB4B46">
        <w:rPr>
          <w:rFonts w:ascii="Times New Roman" w:hAnsi="Times New Roman" w:cs="Times New Roman"/>
          <w:szCs w:val="24"/>
          <w:lang w:val="pl-PL"/>
        </w:rPr>
        <w:t>ie inne swobody</w:t>
      </w:r>
      <w:r w:rsidRPr="00BB4B46">
        <w:rPr>
          <w:rFonts w:ascii="Times New Roman" w:hAnsi="Times New Roman" w:cs="Times New Roman"/>
          <w:szCs w:val="24"/>
          <w:lang w:val="pl-PL"/>
        </w:rPr>
        <w:t xml:space="preserve">, musi kończyć się dokładnie w momencie, w którym wolność kogoś innego </w:t>
      </w:r>
      <w:r w:rsidR="00062C32">
        <w:rPr>
          <w:rFonts w:ascii="Times New Roman" w:hAnsi="Times New Roman" w:cs="Times New Roman"/>
          <w:szCs w:val="24"/>
          <w:lang w:val="pl-PL"/>
        </w:rPr>
        <w:br/>
      </w:r>
      <w:r w:rsidRPr="00BB4B46">
        <w:rPr>
          <w:rFonts w:ascii="Times New Roman" w:hAnsi="Times New Roman" w:cs="Times New Roman"/>
          <w:szCs w:val="24"/>
          <w:lang w:val="pl-PL"/>
        </w:rPr>
        <w:t>i integralność osobista</w:t>
      </w:r>
      <w:r w:rsidR="00B0419A" w:rsidRPr="00BB4B46">
        <w:rPr>
          <w:rFonts w:ascii="Times New Roman" w:hAnsi="Times New Roman" w:cs="Times New Roman"/>
          <w:szCs w:val="24"/>
          <w:lang w:val="pl-PL"/>
        </w:rPr>
        <w:t xml:space="preserve"> jest dotknięta w sposób negatywny</w:t>
      </w:r>
      <w:r w:rsidR="00B0419A">
        <w:rPr>
          <w:rFonts w:ascii="Times New Roman" w:hAnsi="Times New Roman" w:cs="Times New Roman"/>
          <w:color w:val="FF0000"/>
          <w:szCs w:val="24"/>
          <w:lang w:val="pl-PL"/>
        </w:rPr>
        <w:t>.</w:t>
      </w: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Default="00F76D75" w:rsidP="00362468">
      <w:pPr>
        <w:pStyle w:val="OpiPara"/>
        <w:rPr>
          <w:rFonts w:ascii="Times New Roman" w:hAnsi="Times New Roman" w:cs="Times New Roman"/>
          <w:color w:val="FF0000"/>
          <w:szCs w:val="24"/>
          <w:lang w:val="pl-PL"/>
        </w:rPr>
      </w:pPr>
    </w:p>
    <w:p w:rsidR="00F76D75" w:rsidRPr="00B0580F" w:rsidRDefault="00F76D75" w:rsidP="00F76D75">
      <w:pPr>
        <w:pStyle w:val="Standard"/>
        <w:jc w:val="center"/>
      </w:pPr>
      <w:r w:rsidRPr="00B0580F">
        <w:t xml:space="preserve">WSPÓLNA, </w:t>
      </w:r>
      <w:r w:rsidR="00631F4D">
        <w:t xml:space="preserve">ROZBIEŻNA </w:t>
      </w:r>
      <w:r w:rsidRPr="00B0580F">
        <w:t>OPINIA</w:t>
      </w:r>
    </w:p>
    <w:p w:rsidR="00F76D75" w:rsidRPr="00B0580F" w:rsidRDefault="00F76D75" w:rsidP="00F76D75">
      <w:pPr>
        <w:pStyle w:val="Standard"/>
        <w:jc w:val="center"/>
      </w:pPr>
      <w:r w:rsidRPr="00B0580F">
        <w:t>SĘDZIÓW SAJO I TSOTSORIA</w:t>
      </w:r>
    </w:p>
    <w:p w:rsidR="00F76D75" w:rsidRPr="00B0580F" w:rsidRDefault="00F76D75" w:rsidP="00F76D75">
      <w:pPr>
        <w:pStyle w:val="Standard"/>
        <w:jc w:val="both"/>
      </w:pPr>
    </w:p>
    <w:p w:rsidR="00F76D75" w:rsidRPr="00B0580F" w:rsidRDefault="00F76D75" w:rsidP="00F76D75">
      <w:pPr>
        <w:pStyle w:val="Standard"/>
        <w:jc w:val="both"/>
      </w:pPr>
      <w:r w:rsidRPr="00B0580F">
        <w:t>Aby wyjaśnić nasz sprzeciw, proponujemy szczegółową i tradycyjną analizę przypadku, zwykle praktykowaną przez Trybunał. Istnieją jednak pewne szersze kwestie, które są ważniejsze niż nasze niezadowolenie z niniejszego wyroku niepokojąco odchodzącego od dominującego rozumienia orzecznictwa. Te fundamentalne kwestie będą opisane w pierwszej kolejności.</w:t>
      </w:r>
    </w:p>
    <w:p w:rsidR="00F76D75" w:rsidRPr="00B0580F" w:rsidRDefault="00F76D75" w:rsidP="00F76D75">
      <w:pPr>
        <w:pStyle w:val="Standard"/>
        <w:jc w:val="both"/>
      </w:pPr>
    </w:p>
    <w:p w:rsidR="00F76D75" w:rsidRPr="00B0580F" w:rsidRDefault="00F76D75" w:rsidP="00F76D75">
      <w:pPr>
        <w:pStyle w:val="Standard"/>
        <w:jc w:val="center"/>
      </w:pPr>
      <w:r w:rsidRPr="00B0580F">
        <w:t>I</w:t>
      </w:r>
    </w:p>
    <w:p w:rsidR="00F76D75" w:rsidRPr="00B0580F" w:rsidRDefault="00F76D75" w:rsidP="00F76D75">
      <w:pPr>
        <w:pStyle w:val="Standard"/>
        <w:jc w:val="both"/>
      </w:pPr>
    </w:p>
    <w:p w:rsidR="00F76D75" w:rsidRPr="00B0580F" w:rsidRDefault="00F76D75" w:rsidP="00F76D75">
      <w:pPr>
        <w:pStyle w:val="Standard"/>
        <w:jc w:val="both"/>
        <w:rPr>
          <w:i/>
          <w:iCs/>
        </w:rPr>
      </w:pPr>
      <w:r w:rsidRPr="00B0580F">
        <w:rPr>
          <w:i/>
          <w:iCs/>
        </w:rPr>
        <w:t>Dodatkowa cenzura</w:t>
      </w:r>
    </w:p>
    <w:p w:rsidR="00F76D75" w:rsidRPr="00B0580F" w:rsidRDefault="00F76D75" w:rsidP="00F76D75">
      <w:pPr>
        <w:pStyle w:val="Textbody"/>
        <w:jc w:val="both"/>
      </w:pPr>
    </w:p>
    <w:p w:rsidR="00F76D75" w:rsidRPr="00B0580F" w:rsidRDefault="00F76D75" w:rsidP="00F76D75">
      <w:pPr>
        <w:pStyle w:val="Standard"/>
        <w:ind w:firstLine="709"/>
        <w:jc w:val="both"/>
      </w:pPr>
      <w:r w:rsidRPr="00B0580F">
        <w:t>1.W wyroku tym Trybunał zatwierdził system odpowiedzialności, który nakłada wymóg konstruktywnej wiedzy na aktywnych pośredników internetowych</w:t>
      </w:r>
      <w:r w:rsidRPr="00B0580F">
        <w:rPr>
          <w:rStyle w:val="Odwoanieprzypisudolnego"/>
        </w:rPr>
        <w:footnoteReference w:id="9"/>
      </w:r>
      <w:r w:rsidRPr="00B0580F">
        <w:t xml:space="preserve"> (czyli gospodarzy, którzy publikują swoje własne treści oraz umożliwiają osobom trzecim ich komentowanie). Uznajemy potencjalne konsekwencje takiej normy za niepokojące. Konsekwencje są łatwe do przewidzenia. Mając na celu zapobieg</w:t>
      </w:r>
      <w:r w:rsidR="00382DCD">
        <w:t>a</w:t>
      </w:r>
      <w:r w:rsidRPr="00B0580F">
        <w:t xml:space="preserve">nie wszelkiego rodzaju zniesławieniom, a może nawet wszystkim ewentualnym działaniom "nielegalnym", wszystkie komentarze będą musiały być monitorowane od momentu ich publikacji. W konsekwencji, dla aktywnych pośredników </w:t>
      </w:r>
      <w:r w:rsidR="00CF772F">
        <w:br/>
      </w:r>
      <w:r w:rsidRPr="00B0580F">
        <w:t>i operatorów  blogów będzie to stanowiło  znaczący bodziec  do zaprzestania oferowania przestrzeni przeznaczonej do publikacji komentarzy, a strach przed odpowiedzialnością może doprowadzić operatorów do dodatkowej autocenzury. Jest to zaproszenie do autocenzury w najgorszym wydaniu.</w:t>
      </w:r>
    </w:p>
    <w:p w:rsidR="00F76D75" w:rsidRPr="00B0580F" w:rsidRDefault="00F76D75" w:rsidP="00F76D75">
      <w:pPr>
        <w:pStyle w:val="Standard"/>
        <w:jc w:val="both"/>
      </w:pPr>
    </w:p>
    <w:p w:rsidR="00F76D75" w:rsidRPr="00B0580F" w:rsidRDefault="00F76D75" w:rsidP="00F76D75">
      <w:pPr>
        <w:pStyle w:val="Standard"/>
        <w:ind w:firstLine="709"/>
        <w:jc w:val="both"/>
      </w:pPr>
      <w:r w:rsidRPr="00B0580F">
        <w:t>2. Żałujemy, że Sąd nie wziął po uwagę proroczych ostrzeże</w:t>
      </w:r>
      <w:r w:rsidR="00D61371">
        <w:t>ń</w:t>
      </w:r>
      <w:r w:rsidRPr="00B0580F">
        <w:t xml:space="preserve"> profesora Jacka </w:t>
      </w:r>
      <w:proofErr w:type="spellStart"/>
      <w:r w:rsidRPr="00B0580F">
        <w:t>Balkina</w:t>
      </w:r>
      <w:proofErr w:type="spellEnd"/>
      <w:r w:rsidRPr="00B0580F">
        <w:rPr>
          <w:rStyle w:val="Odwoanieprzypisudolnego"/>
        </w:rPr>
        <w:footnoteReference w:id="10"/>
      </w:r>
      <w:r w:rsidRPr="00B0580F">
        <w:t xml:space="preserve">, który wykazał, że infrastruktura technologiczna kryjąca się za komunikacją cyfrową podlega mniej widocznej formie kontrolowania przez organy prywatne i publiczne, a Trybunał po prostu </w:t>
      </w:r>
      <w:r w:rsidRPr="00B0580F">
        <w:lastRenderedPageBreak/>
        <w:t>dodał kolejną taką formę kontroli do tegoż arsenału. Rządy nie zawsze mogą bezpośrednio cenzurować wypowiedzi, ale przez wywieranie nacisku i nakładanie odpowiedzialności na tych, którzy kontrolują infrastrukturę technologiczną (ISP, etc.) tworzą środowisko, w którym dodatkowa lub prywatna cenzura jest nieunikniona. Dodatkowa cenzura "występuje wtedy, gdy państwo czyni podmiot prywatny A odpowiedzialnym za wypowiedzi innego podmiotu prywatnego B, i A ma prawo</w:t>
      </w:r>
      <w:r w:rsidRPr="0025261C">
        <w:t xml:space="preserve"> do zablokowania, cenzorowania, lub w inny sposób </w:t>
      </w:r>
      <w:r w:rsidRPr="00B0580F">
        <w:t>kontrolowania dostępu do wypowiedzi B."</w:t>
      </w:r>
      <w:r w:rsidRPr="00B0580F">
        <w:rPr>
          <w:rStyle w:val="Odwoanieprzypisudolnego"/>
        </w:rPr>
        <w:footnoteReference w:id="11"/>
      </w:r>
      <w:r w:rsidRPr="00B0580F">
        <w:t>. Ponieważ A jest odpowiedzialna za czyjeś słowa, A ma silną motywację do nadmiernego cenzorowania, do ograniczania dostępu  oraz do odmawiania podmiotowi B możliwości komunikowania się za pomocą platformy, którą A kontroluje. W rezultacie, strach przed odpowiedzialnością powoduje uprzednie nałożenie ograniczeń na wypowiedzi podmiotu B i nawet wygłuszenie wypowiedzi  chronionych wolnością słowa. "Co wygląda na problem z punktu widzenia wolności słowa ... może wyglądać na szansę z punktu widzenia rządów, które nie mogą łatwo zlokalizować anonimowych internautów publikujących w sieci, a chcą mieć pewność, że szkodliwe lub nielegalne wypowiedzi nie będą propagowane"</w:t>
      </w:r>
      <w:r w:rsidRPr="00B0580F">
        <w:rPr>
          <w:rStyle w:val="Odwoanieprzypisudolnego"/>
        </w:rPr>
        <w:footnoteReference w:id="12"/>
      </w:r>
      <w:r w:rsidRPr="00B0580F">
        <w:t>. Te narzędzia technologiczne do przeglądu zawartości przed ich opublikowaniem w Internecie prowadzą (między innymi) do: celowego zakazu określonego zachowania z powodu zbyt szeroko sformułowanego zakazu, ograniczenia zabezpieczeń proceduralnych (akcja zostanie podjęta poza kontekstem procesu) i przesunięcia ciężaru kosztów błędów (podmiot odpowiedzialny za filtrowanie będzie plasować się po stronie ochrony własnej odpowiedzialności, zamiast ochrony wolności słowa).</w:t>
      </w:r>
    </w:p>
    <w:p w:rsidR="00F76D75" w:rsidRPr="00B0580F" w:rsidRDefault="00F76D75" w:rsidP="00F76D75">
      <w:pPr>
        <w:pStyle w:val="Standard"/>
        <w:ind w:firstLine="709"/>
        <w:jc w:val="both"/>
      </w:pPr>
      <w:r w:rsidRPr="00B0580F">
        <w:t xml:space="preserve">3. Nałożenie odpowiedzialności na pośredników było główną przeszkodą dla wolności słowa od wieków. To drukarz Harding i jego żona, zostali aresztowani za druk listów </w:t>
      </w:r>
      <w:proofErr w:type="spellStart"/>
      <w:r w:rsidRPr="00B0580F">
        <w:t>Drapiera</w:t>
      </w:r>
      <w:proofErr w:type="spellEnd"/>
      <w:r w:rsidRPr="00B0580F">
        <w:t>, a nie anonimowy autor (Jonathan Swift), który nadal bez przeszkód przemawiał. Właśnie z tego powodu, że zwolnienie od odpowiedzialności pośredników stało się kluczowym zagadnieniem w tworzeniu pierwszego trwałego dokumentu europejskiego konstytucjonalizmu, Belgijskiej Konstytucji z 1831 roku</w:t>
      </w:r>
      <w:r w:rsidRPr="00B0580F">
        <w:rPr>
          <w:rStyle w:val="Odwoanieprzypisudolnego"/>
        </w:rPr>
        <w:footnoteReference w:id="13"/>
      </w:r>
      <w:r w:rsidRPr="00B0580F">
        <w:t xml:space="preserve">.  Jest to dumna tradycja praw człowieka w Europie, i jesteśmy zobowiązani </w:t>
      </w:r>
      <w:r w:rsidRPr="00B0580F">
        <w:lastRenderedPageBreak/>
        <w:t>do jej utrzymania.</w:t>
      </w:r>
    </w:p>
    <w:p w:rsidR="00F76D75" w:rsidRPr="00B0580F" w:rsidRDefault="00F76D75" w:rsidP="00F76D75">
      <w:pPr>
        <w:pStyle w:val="Standard"/>
        <w:jc w:val="both"/>
      </w:pPr>
    </w:p>
    <w:p w:rsidR="00F76D75" w:rsidRPr="00B0580F" w:rsidRDefault="00F76D75" w:rsidP="00F76D75">
      <w:pPr>
        <w:pStyle w:val="Standard"/>
        <w:jc w:val="both"/>
        <w:rPr>
          <w:i/>
          <w:iCs/>
        </w:rPr>
      </w:pPr>
      <w:r w:rsidRPr="00B0580F">
        <w:rPr>
          <w:i/>
          <w:iCs/>
        </w:rPr>
        <w:t>Ogólny kontekst</w:t>
      </w:r>
    </w:p>
    <w:p w:rsidR="00F76D75" w:rsidRPr="00B0580F" w:rsidRDefault="00F76D75" w:rsidP="00F76D75">
      <w:pPr>
        <w:pStyle w:val="Standard"/>
        <w:jc w:val="both"/>
        <w:rPr>
          <w:i/>
          <w:iCs/>
        </w:rPr>
      </w:pPr>
      <w:r w:rsidRPr="00B0580F">
        <w:rPr>
          <w:i/>
          <w:iCs/>
        </w:rPr>
        <w:t xml:space="preserve"> </w:t>
      </w:r>
    </w:p>
    <w:p w:rsidR="00F76D75" w:rsidRPr="0025261C" w:rsidRDefault="00F76D75" w:rsidP="00F76D75">
      <w:pPr>
        <w:pStyle w:val="Standard"/>
        <w:ind w:firstLine="709"/>
        <w:jc w:val="both"/>
      </w:pPr>
      <w:r w:rsidRPr="00B0580F">
        <w:rPr>
          <w:i/>
          <w:iCs/>
        </w:rPr>
        <w:t xml:space="preserve"> </w:t>
      </w:r>
      <w:r w:rsidRPr="00B0580F">
        <w:t xml:space="preserve">4. W wyroku twierdzi się, że Trybunał jest wezwany do rozstrzygnięcia konkretnego przypadku, ale to tylko część naszej odpowiedzialności i taki argument jest niebezpieczny w swojej jednostronności. Jak Trybunału podsumował w sprawie </w:t>
      </w:r>
      <w:proofErr w:type="spellStart"/>
      <w:r w:rsidRPr="00B0580F">
        <w:rPr>
          <w:i/>
        </w:rPr>
        <w:t>Rantsev</w:t>
      </w:r>
      <w:proofErr w:type="spellEnd"/>
      <w:r w:rsidRPr="00B0580F">
        <w:rPr>
          <w:i/>
        </w:rPr>
        <w:t xml:space="preserve"> przeciw</w:t>
      </w:r>
      <w:r w:rsidRPr="006C487D">
        <w:rPr>
          <w:i/>
        </w:rPr>
        <w:t xml:space="preserve"> Cyprowi i Rosji</w:t>
      </w:r>
      <w:r>
        <w:t xml:space="preserve"> (n</w:t>
      </w:r>
      <w:r w:rsidRPr="0025261C">
        <w:t xml:space="preserve">r 25965/04, § 197, </w:t>
      </w:r>
      <w:r>
        <w:t>ETPCz</w:t>
      </w:r>
      <w:r w:rsidRPr="0025261C">
        <w:t xml:space="preserve"> 2010)</w:t>
      </w:r>
      <w:r>
        <w:t>:</w:t>
      </w:r>
      <w:r>
        <w:rPr>
          <w:rStyle w:val="Odwoanieprzypisudolnego"/>
        </w:rPr>
        <w:footnoteReference w:id="14"/>
      </w:r>
    </w:p>
    <w:p w:rsidR="00F76D75" w:rsidRPr="0025261C" w:rsidRDefault="00F76D75" w:rsidP="00F76D75">
      <w:pPr>
        <w:pStyle w:val="Standard"/>
        <w:jc w:val="both"/>
      </w:pPr>
    </w:p>
    <w:p w:rsidR="00F76D75" w:rsidRPr="00B0580F" w:rsidRDefault="00F76D75" w:rsidP="00F76D75">
      <w:pPr>
        <w:pStyle w:val="Standard"/>
        <w:spacing w:after="240"/>
        <w:ind w:left="709" w:hanging="709"/>
        <w:jc w:val="both"/>
        <w:rPr>
          <w:sz w:val="20"/>
          <w:szCs w:val="20"/>
        </w:rPr>
      </w:pPr>
      <w:r w:rsidRPr="0025261C">
        <w:rPr>
          <w:sz w:val="22"/>
          <w:szCs w:val="22"/>
        </w:rPr>
        <w:tab/>
      </w:r>
      <w:r>
        <w:rPr>
          <w:sz w:val="22"/>
          <w:szCs w:val="22"/>
        </w:rPr>
        <w:tab/>
      </w:r>
      <w:r w:rsidRPr="00FC7C44">
        <w:rPr>
          <w:sz w:val="20"/>
          <w:szCs w:val="20"/>
        </w:rPr>
        <w:t>"Wyroki [Trybunału] służyć mają nie tylko rozstrzyganiu spraw przed nim wniesionych, ale również w sposób bardziej ogólny wyjaśniać, chronić i rozwijać zasady usankcjonowan</w:t>
      </w:r>
      <w:r w:rsidR="00C340B7">
        <w:rPr>
          <w:sz w:val="20"/>
          <w:szCs w:val="20"/>
        </w:rPr>
        <w:t>e</w:t>
      </w:r>
      <w:r w:rsidRPr="00FC7C44">
        <w:rPr>
          <w:sz w:val="20"/>
          <w:szCs w:val="20"/>
        </w:rPr>
        <w:t xml:space="preserve"> przez Konwencję, przyczyniając się tym samym do przestrzegania przez państwa zobowiązań podjętych przez nie jako strony zawierające umowę (patrz </w:t>
      </w:r>
      <w:r w:rsidRPr="00FC7C44">
        <w:rPr>
          <w:i/>
          <w:sz w:val="20"/>
          <w:szCs w:val="20"/>
        </w:rPr>
        <w:t>Irlandia przeciwko Zjednoczonemu Królestwu</w:t>
      </w:r>
      <w:r w:rsidRPr="00FC7C44">
        <w:rPr>
          <w:sz w:val="20"/>
          <w:szCs w:val="20"/>
        </w:rPr>
        <w:t xml:space="preserve">, 18 stycznia 1978, § 154, Seria A nr 25; </w:t>
      </w:r>
      <w:proofErr w:type="spellStart"/>
      <w:r w:rsidRPr="00FC7C44">
        <w:rPr>
          <w:i/>
          <w:sz w:val="20"/>
          <w:szCs w:val="20"/>
        </w:rPr>
        <w:t>Guzzardi</w:t>
      </w:r>
      <w:proofErr w:type="spellEnd"/>
      <w:r w:rsidRPr="00FC7C44">
        <w:rPr>
          <w:i/>
          <w:sz w:val="20"/>
          <w:szCs w:val="20"/>
        </w:rPr>
        <w:t xml:space="preserve"> przeciwko Włochom</w:t>
      </w:r>
      <w:r w:rsidRPr="00FC7C44">
        <w:rPr>
          <w:sz w:val="20"/>
          <w:szCs w:val="20"/>
        </w:rPr>
        <w:t xml:space="preserve">, 6 listopada 1980, § 86, Seria A nr 39; i </w:t>
      </w:r>
      <w:proofErr w:type="spellStart"/>
      <w:r w:rsidRPr="00FC7C44">
        <w:rPr>
          <w:i/>
          <w:sz w:val="20"/>
          <w:szCs w:val="20"/>
        </w:rPr>
        <w:t>Karner</w:t>
      </w:r>
      <w:proofErr w:type="spellEnd"/>
      <w:r w:rsidRPr="00FC7C44">
        <w:rPr>
          <w:i/>
          <w:sz w:val="20"/>
          <w:szCs w:val="20"/>
        </w:rPr>
        <w:t xml:space="preserve"> przeciwko Austrii</w:t>
      </w:r>
      <w:r w:rsidRPr="00FC7C44">
        <w:rPr>
          <w:sz w:val="20"/>
          <w:szCs w:val="20"/>
        </w:rPr>
        <w:t>, nr 40016 / 98, § 26, ETPCz 2003-IX).</w:t>
      </w:r>
      <w:r w:rsidR="00066A35">
        <w:rPr>
          <w:sz w:val="20"/>
          <w:szCs w:val="20"/>
        </w:rPr>
        <w:t xml:space="preserve"> </w:t>
      </w:r>
      <w:r w:rsidRPr="00FC7C44">
        <w:rPr>
          <w:sz w:val="20"/>
          <w:szCs w:val="20"/>
        </w:rPr>
        <w:t xml:space="preserve">Chociaż głównym celem systemu Konwencji jest zapewnienie indywidualnej ulgi, jego zadaniem jest również zbadanie zagadnień porządku publicznego we </w:t>
      </w:r>
      <w:r w:rsidRPr="00B0580F">
        <w:rPr>
          <w:sz w:val="20"/>
          <w:szCs w:val="20"/>
        </w:rPr>
        <w:t xml:space="preserve">wspólnym interesie, a tym samym podniesienie ogólnych standardów ochrony praw człowieka i rozszerzenie orzecznictwa w zakresie praw człowieka w całej wspólnocie Państw Konwencji (patrz </w:t>
      </w:r>
      <w:proofErr w:type="spellStart"/>
      <w:r w:rsidRPr="00B0580F">
        <w:rPr>
          <w:i/>
          <w:sz w:val="20"/>
          <w:szCs w:val="20"/>
        </w:rPr>
        <w:t>Karner</w:t>
      </w:r>
      <w:proofErr w:type="spellEnd"/>
      <w:r w:rsidRPr="00B0580F">
        <w:rPr>
          <w:sz w:val="20"/>
          <w:szCs w:val="20"/>
        </w:rPr>
        <w:t xml:space="preserve">, cytowany powyżej, § 26 oraz </w:t>
      </w:r>
      <w:r w:rsidRPr="00B0580F">
        <w:rPr>
          <w:i/>
          <w:sz w:val="20"/>
          <w:szCs w:val="20"/>
        </w:rPr>
        <w:t>Capital Bank AD przeciwko Bułgarii</w:t>
      </w:r>
      <w:r w:rsidRPr="00B0580F">
        <w:rPr>
          <w:sz w:val="20"/>
          <w:szCs w:val="20"/>
        </w:rPr>
        <w:t>, nr 49429/99, §§ 78 do 79, ETPCz 2005-XII.). "</w:t>
      </w:r>
    </w:p>
    <w:p w:rsidR="00F76D75" w:rsidRPr="00B0580F" w:rsidRDefault="00F76D75" w:rsidP="00F76D75">
      <w:pPr>
        <w:pStyle w:val="Standard"/>
        <w:ind w:firstLine="709"/>
        <w:jc w:val="both"/>
        <w:rPr>
          <w:sz w:val="20"/>
          <w:szCs w:val="20"/>
        </w:rPr>
      </w:pPr>
      <w:r w:rsidRPr="00B0580F">
        <w:t xml:space="preserve">5. Ponadto, jak stwierdził Trybunał w </w:t>
      </w:r>
      <w:proofErr w:type="spellStart"/>
      <w:r w:rsidRPr="00B0580F">
        <w:rPr>
          <w:i/>
        </w:rPr>
        <w:t>Animal</w:t>
      </w:r>
      <w:proofErr w:type="spellEnd"/>
      <w:r w:rsidRPr="00B0580F">
        <w:rPr>
          <w:i/>
        </w:rPr>
        <w:t xml:space="preserve"> </w:t>
      </w:r>
      <w:proofErr w:type="spellStart"/>
      <w:r w:rsidRPr="00B0580F">
        <w:rPr>
          <w:i/>
        </w:rPr>
        <w:t>Defenders</w:t>
      </w:r>
      <w:proofErr w:type="spellEnd"/>
      <w:r w:rsidRPr="00B0580F">
        <w:rPr>
          <w:i/>
        </w:rPr>
        <w:t xml:space="preserve"> International przeciwko Wielkiej Brytanii </w:t>
      </w:r>
      <w:r w:rsidRPr="00B0580F">
        <w:t>([GC] nr 48876/08, § 108, ETPCz 2013):</w:t>
      </w:r>
      <w:r w:rsidRPr="00B0580F">
        <w:rPr>
          <w:sz w:val="21"/>
          <w:szCs w:val="21"/>
        </w:rPr>
        <w:tab/>
      </w:r>
    </w:p>
    <w:p w:rsidR="00F76D75" w:rsidRPr="00B0580F" w:rsidRDefault="00F76D75" w:rsidP="00F76D75">
      <w:pPr>
        <w:pStyle w:val="Standard"/>
        <w:spacing w:after="240"/>
        <w:ind w:left="709" w:firstLine="709"/>
        <w:jc w:val="both"/>
        <w:rPr>
          <w:sz w:val="20"/>
          <w:szCs w:val="20"/>
        </w:rPr>
      </w:pPr>
      <w:r w:rsidRPr="00B0580F">
        <w:rPr>
          <w:sz w:val="20"/>
          <w:szCs w:val="20"/>
        </w:rPr>
        <w:t>"To wynika z tego orzecznictwa, że w celu określenia proporcjonalności ogólnego przepisu, Trybunał musi przede wszystkim ocenić legislacyjne wybory leżące u jej podstaw (</w:t>
      </w:r>
      <w:r w:rsidRPr="00B0580F">
        <w:rPr>
          <w:i/>
          <w:sz w:val="20"/>
          <w:szCs w:val="20"/>
        </w:rPr>
        <w:t>James i inni</w:t>
      </w:r>
      <w:r w:rsidRPr="00B0580F">
        <w:rPr>
          <w:sz w:val="20"/>
          <w:szCs w:val="20"/>
        </w:rPr>
        <w:t>, § 36)."</w:t>
      </w:r>
    </w:p>
    <w:p w:rsidR="00F76D75" w:rsidRPr="0025261C" w:rsidRDefault="00F76D75" w:rsidP="00F76D75">
      <w:pPr>
        <w:pStyle w:val="Standard"/>
        <w:ind w:firstLine="709"/>
        <w:jc w:val="both"/>
        <w:rPr>
          <w:sz w:val="21"/>
        </w:rPr>
      </w:pPr>
      <w:r w:rsidRPr="00B0580F">
        <w:t xml:space="preserve">6. </w:t>
      </w:r>
      <w:r w:rsidRPr="009C42B9">
        <w:t xml:space="preserve">Niniejszy wyrok wyraźnie dotyczy </w:t>
      </w:r>
      <w:r w:rsidRPr="00B0580F">
        <w:t>ogólnego kontekstu (patrz sekcja "Uwagi wstępne" zaczynając od paragrafu 110), ale bez określenia</w:t>
      </w:r>
      <w:r w:rsidRPr="0025261C">
        <w:t xml:space="preserve"> "kwestii dotyczących podstaw porządku publicznego". Internet jest opisany jako "bezprecedensowa </w:t>
      </w:r>
      <w:r w:rsidRPr="00AE4BB4">
        <w:t>platforma</w:t>
      </w:r>
      <w:r w:rsidRPr="0025261C">
        <w:t>" i choć zawiera odniesienia do dobrych stron, jest ona opisana jako "stwarzająca pewne niebezpieczeństwo", korzyści są ledwie wspomniane. Nie zgadzamy. Internet to więcej niż wyjątkowo niebezpieczna nowość. Jest to strefa dla solidnej debaty publicznej z nowymi możliwościami rozszerzenia demokracji. Komentarze są kluczowym elementem tego nowego sposobu wzmożonej wymiany poglądów między obywatelami. Do tej pory w swym orzecznictwie Trybunał stosował takie właśnie</w:t>
      </w:r>
      <w:r w:rsidRPr="0025261C">
        <w:rPr>
          <w:color w:val="FF3333"/>
        </w:rPr>
        <w:t xml:space="preserve"> </w:t>
      </w:r>
      <w:r w:rsidRPr="0025261C">
        <w:rPr>
          <w:color w:val="000000"/>
        </w:rPr>
        <w:t>pojmowanie</w:t>
      </w:r>
      <w:r w:rsidRPr="0025261C">
        <w:rPr>
          <w:color w:val="FF3333"/>
        </w:rPr>
        <w:t xml:space="preserve"> </w:t>
      </w:r>
      <w:r w:rsidRPr="0025261C">
        <w:t>(</w:t>
      </w:r>
      <w:r>
        <w:t>patrz</w:t>
      </w:r>
      <w:r w:rsidRPr="0025261C">
        <w:t xml:space="preserve"> </w:t>
      </w:r>
      <w:proofErr w:type="spellStart"/>
      <w:r w:rsidRPr="000826C5">
        <w:rPr>
          <w:i/>
        </w:rPr>
        <w:t>Ashby</w:t>
      </w:r>
      <w:proofErr w:type="spellEnd"/>
      <w:r w:rsidRPr="000826C5">
        <w:rPr>
          <w:i/>
        </w:rPr>
        <w:t xml:space="preserve"> Donald i in.</w:t>
      </w:r>
      <w:r w:rsidR="00A8219F">
        <w:rPr>
          <w:i/>
        </w:rPr>
        <w:t xml:space="preserve"> </w:t>
      </w:r>
      <w:r>
        <w:rPr>
          <w:i/>
        </w:rPr>
        <w:lastRenderedPageBreak/>
        <w:t>przeciwko</w:t>
      </w:r>
      <w:r w:rsidRPr="000826C5">
        <w:rPr>
          <w:i/>
        </w:rPr>
        <w:t xml:space="preserve"> Francj</w:t>
      </w:r>
      <w:r>
        <w:rPr>
          <w:i/>
        </w:rPr>
        <w:t>i</w:t>
      </w:r>
      <w:r w:rsidRPr="0025261C">
        <w:t xml:space="preserve">, </w:t>
      </w:r>
      <w:r>
        <w:t>nr</w:t>
      </w:r>
      <w:r w:rsidRPr="0025261C">
        <w:t xml:space="preserve"> 36769/08, §34, 10 stycznia 2013, a także </w:t>
      </w:r>
      <w:r w:rsidRPr="000826C5">
        <w:rPr>
          <w:i/>
        </w:rPr>
        <w:t xml:space="preserve">Węgrzynowski i </w:t>
      </w:r>
      <w:proofErr w:type="spellStart"/>
      <w:r w:rsidRPr="000826C5">
        <w:rPr>
          <w:i/>
        </w:rPr>
        <w:t>Smolczewski</w:t>
      </w:r>
      <w:proofErr w:type="spellEnd"/>
      <w:r w:rsidRPr="000826C5">
        <w:rPr>
          <w:i/>
        </w:rPr>
        <w:t xml:space="preserve"> przeciwko Polsce</w:t>
      </w:r>
      <w:r>
        <w:t>, nr</w:t>
      </w:r>
      <w:r w:rsidR="00A8219F">
        <w:t xml:space="preserve"> 33846/07</w:t>
      </w:r>
      <w:r w:rsidRPr="0025261C">
        <w:t>, § 58, 16 lipca 2013 roku).</w:t>
      </w:r>
      <w:r>
        <w:rPr>
          <w:rStyle w:val="Odwoanieprzypisudolnego"/>
        </w:rPr>
        <w:footnoteReference w:id="15"/>
      </w:r>
    </w:p>
    <w:p w:rsidR="00F76D75" w:rsidRPr="0025261C" w:rsidRDefault="00F76D75" w:rsidP="00F76D75">
      <w:pPr>
        <w:pStyle w:val="Standard"/>
        <w:jc w:val="both"/>
      </w:pPr>
    </w:p>
    <w:p w:rsidR="00F76D75" w:rsidRPr="002C0080" w:rsidRDefault="00F76D75" w:rsidP="00F76D75">
      <w:pPr>
        <w:pStyle w:val="Standard"/>
        <w:ind w:firstLine="709"/>
        <w:jc w:val="both"/>
        <w:rPr>
          <w:sz w:val="21"/>
        </w:rPr>
      </w:pPr>
      <w:r w:rsidRPr="0025261C">
        <w:t>7. Warto zauważyć w tym kontekście, że trzynaście wierszy analizy porównawczej prawa w tym wyroku nie odnosi się do konkretnych praktyk krajowych. Chociaż kilka krajów europejskich ustanowiło ostatnio nowe ograni</w:t>
      </w:r>
      <w:r>
        <w:t>czenia  publikacji w Internecie</w:t>
      </w:r>
      <w:r w:rsidRPr="0025261C">
        <w:t>, estońskie podejście jest dość wyjątkowe. W zdecydowanej większości państw członkowskich Rady Europy, a także w przypadku prawdziwych demokracji na całym świecie, system regulacyjny (zgodnie z oczekiwaniami praworządności) opiera się na koncepcji faktycznej wiedzy.</w:t>
      </w:r>
      <w:r>
        <w:t xml:space="preserve"> </w:t>
      </w:r>
      <w:r w:rsidRPr="0025261C">
        <w:t>Bezpieczną jest reguła uprzedzania i działania  (przede wszystkim "uprzedzenia i zdejmowania"). Sąd ten nie był znany</w:t>
      </w:r>
      <w:r w:rsidRPr="0025261C">
        <w:rPr>
          <w:color w:val="FF3333"/>
        </w:rPr>
        <w:t xml:space="preserve"> </w:t>
      </w:r>
      <w:r w:rsidRPr="0025261C">
        <w:rPr>
          <w:color w:val="000000"/>
        </w:rPr>
        <w:t>z</w:t>
      </w:r>
      <w:r w:rsidRPr="0025261C">
        <w:t xml:space="preserve"> ograniczania praw, które są sprzeczne z obowiązującymi normami państw członkowskich gdzie niewielka większość stwierdziła, że głęboko </w:t>
      </w:r>
      <w:r w:rsidRPr="002C0080">
        <w:t>zakorzenione tradycje  uzasadniają takie wyjątki.</w:t>
      </w:r>
    </w:p>
    <w:p w:rsidR="00F76D75" w:rsidRPr="002C0080" w:rsidRDefault="00F76D75" w:rsidP="00F76D75">
      <w:pPr>
        <w:pStyle w:val="Standard"/>
        <w:jc w:val="both"/>
      </w:pPr>
    </w:p>
    <w:p w:rsidR="00F76D75" w:rsidRPr="002C0080" w:rsidRDefault="00F76D75" w:rsidP="00F76D75">
      <w:pPr>
        <w:pStyle w:val="Textbody"/>
        <w:jc w:val="both"/>
        <w:rPr>
          <w:i/>
          <w:iCs/>
        </w:rPr>
      </w:pPr>
      <w:r w:rsidRPr="002C0080">
        <w:rPr>
          <w:i/>
          <w:iCs/>
        </w:rPr>
        <w:t>Konsekwencje</w:t>
      </w:r>
    </w:p>
    <w:p w:rsidR="00F76D75" w:rsidRPr="002C0080" w:rsidRDefault="00F76D75" w:rsidP="00F76D75">
      <w:pPr>
        <w:pStyle w:val="Textbody"/>
        <w:ind w:firstLine="709"/>
        <w:jc w:val="both"/>
        <w:rPr>
          <w:sz w:val="20"/>
          <w:szCs w:val="20"/>
        </w:rPr>
      </w:pPr>
      <w:r w:rsidRPr="002C0080">
        <w:t xml:space="preserve">8. Trybunał zatwierdził standard estońskiego Sądu Najwyższego, a mianowicie, że aktywni pośrednicy muszą bezzwłocznie usuwać komentarze po publikacji (patrz paragraf  153 wyroku), a nie na podstawie zawiadomienia lub z innych przyczyn związanych z aktualną wiedzą. Aktywni pośrednicy zostają zatem zachęcani do </w:t>
      </w:r>
      <w:r w:rsidR="00A9254E" w:rsidRPr="002C0080">
        <w:t>korzystania</w:t>
      </w:r>
      <w:r w:rsidRPr="002C0080">
        <w:t xml:space="preserve"> </w:t>
      </w:r>
      <w:r w:rsidR="00A9254E">
        <w:t xml:space="preserve">z </w:t>
      </w:r>
      <w:r w:rsidRPr="002C0080">
        <w:t>uprzedniego nakładania ograniczenia. Ponadto państwa członkowskie będą zmuszone do wprowadzenia podobnego podejścia, ponieważ w przeciwnym razie, zgodnie z logiką niniejszego wyroku, nie ma odpowiedniej ochrony praw tych, którzy czują się zniesławieni komentarzem. Aby uniknąć kłopotów, dla aktywnych pośredników bezpiecznie będzie po prostu wyłączyć możliwość komentowania.</w:t>
      </w:r>
      <w:r w:rsidRPr="002C0080">
        <w:rPr>
          <w:rStyle w:val="Odwoanieprzypisudolnego"/>
        </w:rPr>
        <w:footnoteReference w:id="16"/>
      </w:r>
    </w:p>
    <w:p w:rsidR="00F76D75" w:rsidRPr="0025261C" w:rsidRDefault="00F76D75" w:rsidP="00F76D75">
      <w:pPr>
        <w:pStyle w:val="Textbody"/>
        <w:ind w:firstLine="709"/>
        <w:jc w:val="both"/>
      </w:pPr>
      <w:r w:rsidRPr="002C0080">
        <w:lastRenderedPageBreak/>
        <w:t xml:space="preserve">9. Trybunał jest świadomy nieszczęsnych następstw przyjęcia standardów, które mogą być zrealizowane tylko poprzez stały monitoring wszystkich komentarzy (i pośrednio, wszystkich treści generowanych przez użytkowników). Dla Trybunału, "sprawa nie dotyczy innych forów w Internecie ... lub mediów społecznościowych… [gdzie] dostawcą treści może być osoba fizyczna prowadząca stronę internetową lub bloga jako hobby " (patrz paragraf 116 wyroku). Trudno sobie wyobrazić, jak ta "kontrola szkód" </w:t>
      </w:r>
      <w:r w:rsidR="00BF2DFE">
        <w:t>może pomóc</w:t>
      </w:r>
      <w:r w:rsidRPr="002C0080">
        <w:t>. Wolność słowa nie może być kwestią hobby</w:t>
      </w:r>
      <w:r w:rsidRPr="0025261C">
        <w:t>.</w:t>
      </w:r>
    </w:p>
    <w:p w:rsidR="00F76D75" w:rsidRDefault="00F76D75" w:rsidP="00F76D75">
      <w:pPr>
        <w:pStyle w:val="Textbody"/>
        <w:jc w:val="center"/>
      </w:pPr>
    </w:p>
    <w:p w:rsidR="00F76D75" w:rsidRPr="0025261C" w:rsidRDefault="00F76D75" w:rsidP="00F76D75">
      <w:pPr>
        <w:pStyle w:val="Textbody"/>
        <w:jc w:val="center"/>
      </w:pPr>
      <w:r w:rsidRPr="0025261C">
        <w:t>II</w:t>
      </w:r>
    </w:p>
    <w:p w:rsidR="00F76D75" w:rsidRPr="0025261C" w:rsidRDefault="00F76D75" w:rsidP="00F76D75">
      <w:pPr>
        <w:pStyle w:val="Textbody"/>
        <w:jc w:val="both"/>
        <w:rPr>
          <w:i/>
          <w:iCs/>
          <w:color w:val="000000"/>
        </w:rPr>
      </w:pPr>
    </w:p>
    <w:p w:rsidR="00F76D75" w:rsidRPr="00236F9E" w:rsidRDefault="00F76D75" w:rsidP="00F76D75">
      <w:pPr>
        <w:pStyle w:val="Textbody"/>
        <w:jc w:val="both"/>
        <w:rPr>
          <w:i/>
          <w:iCs/>
          <w:color w:val="000000"/>
        </w:rPr>
      </w:pPr>
      <w:r w:rsidRPr="0025261C">
        <w:rPr>
          <w:i/>
          <w:iCs/>
          <w:color w:val="000000"/>
        </w:rPr>
        <w:t>Rola DELFI jako aktywnego pośrednika</w:t>
      </w:r>
    </w:p>
    <w:p w:rsidR="00F76D75" w:rsidRPr="0025261C" w:rsidRDefault="00F76D75" w:rsidP="00F76D75">
      <w:pPr>
        <w:pStyle w:val="Textbody"/>
        <w:ind w:firstLine="709"/>
        <w:jc w:val="both"/>
        <w:rPr>
          <w:color w:val="000000"/>
        </w:rPr>
      </w:pPr>
      <w:r w:rsidRPr="0025261C">
        <w:rPr>
          <w:color w:val="000000"/>
        </w:rPr>
        <w:t xml:space="preserve">10. Wracając do konkretnego przypadku, okazuje się, że estoński Sąd Najwyższy nie przedstawił odpowiednich i wystarczających powodów do bardzo intensywnej ingerencji w prawo skarżącej spółki i nie zastosował </w:t>
      </w:r>
      <w:r w:rsidR="00AA7D2F">
        <w:rPr>
          <w:color w:val="000000"/>
        </w:rPr>
        <w:t>odpowiednio zrównoważonych działań</w:t>
      </w:r>
      <w:r w:rsidRPr="0025261C">
        <w:rPr>
          <w:color w:val="000000"/>
        </w:rPr>
        <w:t>. Sprowadza się to do naruszenia Konwencji.</w:t>
      </w:r>
    </w:p>
    <w:p w:rsidR="00F76D75" w:rsidRDefault="00F76D75" w:rsidP="00F76D75">
      <w:pPr>
        <w:pStyle w:val="Textbody"/>
        <w:ind w:firstLine="709"/>
        <w:jc w:val="both"/>
        <w:rPr>
          <w:color w:val="000000"/>
        </w:rPr>
      </w:pPr>
      <w:r w:rsidRPr="0025261C">
        <w:rPr>
          <w:color w:val="000000"/>
        </w:rPr>
        <w:t xml:space="preserve">11. Sprawa ta dotyczy ingerencji w wolność słowa </w:t>
      </w:r>
      <w:proofErr w:type="spellStart"/>
      <w:r w:rsidRPr="0025261C">
        <w:rPr>
          <w:color w:val="000000"/>
        </w:rPr>
        <w:t>Delfi</w:t>
      </w:r>
      <w:proofErr w:type="spellEnd"/>
      <w:r w:rsidRPr="0025261C">
        <w:rPr>
          <w:color w:val="000000"/>
        </w:rPr>
        <w:t xml:space="preserve"> jako aktywnego pośrednika. </w:t>
      </w:r>
      <w:proofErr w:type="spellStart"/>
      <w:r w:rsidRPr="0025261C">
        <w:rPr>
          <w:color w:val="000000"/>
        </w:rPr>
        <w:t>Delfi</w:t>
      </w:r>
      <w:proofErr w:type="spellEnd"/>
      <w:r w:rsidRPr="0025261C">
        <w:rPr>
          <w:color w:val="000000"/>
        </w:rPr>
        <w:t xml:space="preserve"> opublikowało artykuł o niszczeniu dróg lodowych prze</w:t>
      </w:r>
      <w:r>
        <w:rPr>
          <w:color w:val="000000"/>
        </w:rPr>
        <w:t xml:space="preserve">z publicznego operatora promów </w:t>
      </w:r>
      <w:r w:rsidRPr="0025261C">
        <w:rPr>
          <w:color w:val="000000"/>
        </w:rPr>
        <w:t>na swoim portalu informacyjnym i umożliwiło komentowanie tego artykułu. Bezsporne jest, że w artykule  nie było nic nielegalnego. Zostało przyjęte przez sądy krajowe</w:t>
      </w:r>
      <w:r>
        <w:rPr>
          <w:color w:val="000000"/>
        </w:rPr>
        <w:t>,</w:t>
      </w:r>
      <w:r w:rsidRPr="0025261C">
        <w:rPr>
          <w:color w:val="000000"/>
        </w:rPr>
        <w:t xml:space="preserve"> że </w:t>
      </w:r>
      <w:proofErr w:type="spellStart"/>
      <w:r w:rsidRPr="0025261C">
        <w:rPr>
          <w:color w:val="000000"/>
        </w:rPr>
        <w:t>Delfi</w:t>
      </w:r>
      <w:proofErr w:type="spellEnd"/>
      <w:r w:rsidRPr="0025261C">
        <w:rPr>
          <w:color w:val="000000"/>
        </w:rPr>
        <w:t xml:space="preserve"> było zaangażowane w działalność dziennikarską i udostępnienie opcji publikowania komentarzy stanowiło część portalu informacyjnego, a my nie możemy się z tym nie zgodzić. Jednak to nie portal informacyjny był autorem nieedytowanych komentarzy. Ponadto, przynajmniej w opinii Izby (patrz </w:t>
      </w:r>
      <w:r>
        <w:rPr>
          <w:color w:val="000000"/>
        </w:rPr>
        <w:t>paragraf</w:t>
      </w:r>
      <w:r w:rsidRPr="0025261C">
        <w:rPr>
          <w:color w:val="000000"/>
        </w:rPr>
        <w:t xml:space="preserve"> 86 wyroku), debata dotyczyła sprawy "w pewnym stopniu" interesu publicznego. Wierzymy, że artykuł dotyczył kwestii interesu publicznego i że komentarze, nawet te zakwestionowane były częścią debaty, chociaż mogły być </w:t>
      </w:r>
      <w:r w:rsidRPr="009419B6">
        <w:t>przesadzone lub niedopuszczalne. Delf na podstawie kodeksu cywilnego Estonii zostało uznane za odpowiedzialne za zniesławienia pochodzące z komentarzy zamieszczonych w przestrzeni do tego przeznaczonej dołączonej</w:t>
      </w:r>
      <w:r w:rsidRPr="0025261C">
        <w:rPr>
          <w:color w:val="000000"/>
        </w:rPr>
        <w:t xml:space="preserve"> do wspomnianego artykułu. Dotyczyło to dwudziestu komentarzy.</w:t>
      </w:r>
    </w:p>
    <w:p w:rsidR="00F76D75" w:rsidRPr="0025261C" w:rsidRDefault="00F76D75" w:rsidP="00F76D75">
      <w:pPr>
        <w:pStyle w:val="Textbody"/>
        <w:ind w:firstLine="709"/>
        <w:jc w:val="both"/>
        <w:rPr>
          <w:color w:val="000000"/>
          <w:sz w:val="20"/>
          <w:szCs w:val="20"/>
        </w:rPr>
      </w:pPr>
    </w:p>
    <w:p w:rsidR="00F76D75" w:rsidRPr="00236F9E" w:rsidRDefault="00F76D75" w:rsidP="00F76D75">
      <w:pPr>
        <w:pStyle w:val="Textbody"/>
        <w:jc w:val="both"/>
        <w:rPr>
          <w:i/>
          <w:iCs/>
          <w:color w:val="000000"/>
        </w:rPr>
      </w:pPr>
      <w:r w:rsidRPr="0025261C">
        <w:rPr>
          <w:i/>
          <w:iCs/>
          <w:color w:val="000000"/>
        </w:rPr>
        <w:t>Charakter komentarzy</w:t>
      </w:r>
    </w:p>
    <w:p w:rsidR="00F76D75" w:rsidRPr="009419B6" w:rsidRDefault="00F76D75" w:rsidP="00F76D75">
      <w:pPr>
        <w:pStyle w:val="Textbody"/>
        <w:ind w:firstLine="709"/>
        <w:jc w:val="both"/>
      </w:pPr>
      <w:r w:rsidRPr="0025261C">
        <w:rPr>
          <w:color w:val="000000"/>
        </w:rPr>
        <w:t xml:space="preserve">12. Charakterystyka komentarzy zawarta w wyroku zmienia się i </w:t>
      </w:r>
      <w:r w:rsidRPr="0025261C">
        <w:rPr>
          <w:color w:val="000000"/>
        </w:rPr>
        <w:lastRenderedPageBreak/>
        <w:t xml:space="preserve">pozostaje niespecyficzna. Sąd Najwyższy Estonii ma swoją własną interpretację: odnosi się to do "zniewagi w celu degradacji" i "degradacji godności ludzkiej i kpienia z osoby zainteresowanej" uznając </w:t>
      </w:r>
      <w:proofErr w:type="spellStart"/>
      <w:r w:rsidRPr="0025261C">
        <w:rPr>
          <w:color w:val="000000"/>
        </w:rPr>
        <w:t>Delfi</w:t>
      </w:r>
      <w:proofErr w:type="spellEnd"/>
      <w:r w:rsidRPr="0025261C">
        <w:rPr>
          <w:color w:val="000000"/>
        </w:rPr>
        <w:t xml:space="preserve"> odpowiedzialną za brak szacunku, obrazę honoru i dobrego imienia osoby zainteresowanej</w:t>
      </w:r>
      <w:r>
        <w:rPr>
          <w:color w:val="000000"/>
        </w:rPr>
        <w:t xml:space="preserve">. </w:t>
      </w:r>
      <w:r w:rsidRPr="0025261C">
        <w:rPr>
          <w:color w:val="000000"/>
        </w:rPr>
        <w:t xml:space="preserve">Zgodnie z </w:t>
      </w:r>
      <w:r>
        <w:rPr>
          <w:color w:val="000000"/>
        </w:rPr>
        <w:t>paragrafem</w:t>
      </w:r>
      <w:r w:rsidRPr="0025261C">
        <w:rPr>
          <w:color w:val="000000"/>
        </w:rPr>
        <w:t xml:space="preserve"> 117 niniejszego wyroku, "</w:t>
      </w:r>
      <w:r>
        <w:rPr>
          <w:color w:val="000000"/>
        </w:rPr>
        <w:t>sporne komentarze ... w większoś</w:t>
      </w:r>
      <w:r w:rsidRPr="0025261C">
        <w:rPr>
          <w:color w:val="000000"/>
        </w:rPr>
        <w:t>ci stanowią te dotyczące mowy nienawiści oraz bezpośrednio popierające akty przemocy"</w:t>
      </w:r>
      <w:r>
        <w:rPr>
          <w:rStyle w:val="Odwoanieprzypisudolnego"/>
          <w:color w:val="000000"/>
        </w:rPr>
        <w:footnoteReference w:id="17"/>
      </w:r>
      <w:r w:rsidRPr="0025261C">
        <w:rPr>
          <w:color w:val="000000"/>
        </w:rPr>
        <w:t xml:space="preserve"> (patrz także </w:t>
      </w:r>
      <w:r>
        <w:rPr>
          <w:color w:val="000000"/>
        </w:rPr>
        <w:t>paragraf</w:t>
      </w:r>
      <w:r w:rsidRPr="0025261C">
        <w:rPr>
          <w:color w:val="000000"/>
        </w:rPr>
        <w:t xml:space="preserve"> 140). Jednakże, zgodnie z </w:t>
      </w:r>
      <w:r>
        <w:rPr>
          <w:color w:val="000000"/>
        </w:rPr>
        <w:t xml:space="preserve">paragrafem </w:t>
      </w:r>
      <w:r w:rsidRPr="009419B6">
        <w:t xml:space="preserve">130 ( "uzasadniony cel ochrony reputacji </w:t>
      </w:r>
      <w:r w:rsidR="004B329A">
        <w:br/>
      </w:r>
      <w:r w:rsidRPr="009419B6">
        <w:t>i praw innych osób"), sporne przestępstwo dotyczyło reputacji i praw osób nieokreślonych . Nie jest jasne, do której uwagi Trybunału odnosi się. Czy komentarz "dobry człowiek żyje długo, gówniany człowiek dzień lub dwa" (komentarz nr 9 - patrz paragraf 18 wyroku) promuje przemoc?</w:t>
      </w:r>
      <w:r w:rsidRPr="009419B6">
        <w:rPr>
          <w:rStyle w:val="Odwoanieprzypisudolnego"/>
        </w:rPr>
        <w:footnoteReference w:id="18"/>
      </w:r>
    </w:p>
    <w:p w:rsidR="00F76D75" w:rsidRPr="009419B6" w:rsidRDefault="00F76D75" w:rsidP="00F76D75">
      <w:pPr>
        <w:pStyle w:val="Textbody"/>
        <w:ind w:firstLine="709"/>
        <w:jc w:val="both"/>
      </w:pPr>
      <w:r w:rsidRPr="009419B6">
        <w:t>13. Szkoda, że charakterystyka komentarzy pozostaje mętna. To co jest w tym przypadku tak naprawdę niepokojące to przemilczenie faktu, że niektóre komentarze są rasistowskie. Komentarz nr 2 jest recitalem antysemickich stereotypów kończących się odniesieniem do zniszczenia adresata przez ogień jak Żyda.</w:t>
      </w:r>
    </w:p>
    <w:p w:rsidR="00F76D75" w:rsidRPr="009419B6" w:rsidRDefault="00F76D75" w:rsidP="00F76D75">
      <w:pPr>
        <w:pStyle w:val="Textbody"/>
        <w:ind w:firstLine="709"/>
        <w:jc w:val="both"/>
      </w:pPr>
      <w:r w:rsidRPr="009419B6">
        <w:t xml:space="preserve">14. Nie będziemy dyskutować, w jakim stopniu niektóre z odniesień spełniają surowe wymogi definicji podżegania do przemocy, ze względu na charakter Internetu. Czy wezwanie do przemocy lub życzenie komuś śmierci mają takie same skutki w Internecie jak podobnym oświadczeniu złożonym przy spotkaniu twarzą w twarz w sytuacji prezentowanej </w:t>
      </w:r>
      <w:r w:rsidR="004B329A">
        <w:br/>
      </w:r>
      <w:r w:rsidRPr="009419B6">
        <w:t xml:space="preserve">w niniejszej sprawie? Nie jest to wezwanie do broni przez grupy ekstremistów. Odpowiedź musi być ustalona </w:t>
      </w:r>
      <w:r w:rsidR="004B329A">
        <w:t>po przeprowadzeniu</w:t>
      </w:r>
      <w:r w:rsidRPr="009419B6">
        <w:t xml:space="preserve"> </w:t>
      </w:r>
      <w:r w:rsidRPr="009419B6">
        <w:lastRenderedPageBreak/>
        <w:t>odpowiedniego procesu sądowego. Żadne działania przestępcze nie zostały podjęte w stosunku do komentujących pomimo odniesienia do linczu.</w:t>
      </w:r>
      <w:r w:rsidRPr="009419B6">
        <w:rPr>
          <w:rStyle w:val="Odwoanieprzypisudolnego"/>
        </w:rPr>
        <w:footnoteReference w:id="19"/>
      </w:r>
      <w:r w:rsidRPr="009419B6">
        <w:t xml:space="preserve"> Pytanie, w jakim stopniu takie komentarze stanowią realne zagrożenie zasługuje na właściwą analizę. Jednak wyrok po prostu akceptuje ustalenia Sądu Najwyższego, który mówi jedynie, że nielegalność komentarzy jest wystarczającym manifestem (a potem, jak w orzeczeniu, cechuje je na różne sposoby).</w:t>
      </w:r>
    </w:p>
    <w:p w:rsidR="00F76D75" w:rsidRPr="0025261C" w:rsidRDefault="00F76D75" w:rsidP="00F76D75">
      <w:pPr>
        <w:pStyle w:val="Textbody"/>
        <w:ind w:firstLine="709"/>
        <w:jc w:val="both"/>
      </w:pPr>
      <w:r w:rsidRPr="009419B6">
        <w:t xml:space="preserve">15. Powstrzymamy się również od analizy wpływu nienawistnych wiadomości na ich zdolność  </w:t>
      </w:r>
      <w:r w:rsidRPr="009419B6">
        <w:tab/>
        <w:t>do podżegania</w:t>
      </w:r>
      <w:r w:rsidRPr="0025261C">
        <w:rPr>
          <w:color w:val="000000"/>
        </w:rPr>
        <w:t xml:space="preserve"> do przemocy  lub nawet budowania trwałej nienawiści s</w:t>
      </w:r>
      <w:r w:rsidR="003A6495">
        <w:rPr>
          <w:color w:val="000000"/>
        </w:rPr>
        <w:t xml:space="preserve">kutkującej </w:t>
      </w:r>
      <w:r w:rsidR="003A6495">
        <w:rPr>
          <w:color w:val="000000"/>
        </w:rPr>
        <w:tab/>
        <w:t xml:space="preserve">niepokojeniem lub </w:t>
      </w:r>
      <w:r w:rsidRPr="0025261C">
        <w:rPr>
          <w:color w:val="000000"/>
        </w:rPr>
        <w:t>rzeczywistym zagrożeniem. Rasizm i zmuszanie innych do ży</w:t>
      </w:r>
      <w:r>
        <w:rPr>
          <w:color w:val="000000"/>
        </w:rPr>
        <w:t>ci</w:t>
      </w:r>
      <w:r w:rsidR="003A6495">
        <w:rPr>
          <w:color w:val="000000"/>
        </w:rPr>
        <w:t xml:space="preserve">a w </w:t>
      </w:r>
      <w:r w:rsidRPr="0025261C">
        <w:rPr>
          <w:color w:val="000000"/>
        </w:rPr>
        <w:t xml:space="preserve">środowisku pełnym nienawiść oraz realne zagrożenie nie mogą znaleźć schronienia w </w:t>
      </w:r>
      <w:r w:rsidRPr="0025261C">
        <w:rPr>
          <w:color w:val="000000"/>
        </w:rPr>
        <w:tab/>
        <w:t xml:space="preserve">wolności słowa. Te uzasadnione obawy nie powinny jednak zaślepiać tych, którzy </w:t>
      </w:r>
      <w:r>
        <w:rPr>
          <w:color w:val="000000"/>
        </w:rPr>
        <w:t xml:space="preserve">są </w:t>
      </w:r>
      <w:r w:rsidRPr="0025261C">
        <w:rPr>
          <w:color w:val="000000"/>
        </w:rPr>
        <w:t>wezwani do podjęcia działań i muszą oni pamiętać</w:t>
      </w:r>
      <w:r>
        <w:rPr>
          <w:color w:val="000000"/>
        </w:rPr>
        <w:t xml:space="preserve">, że "przepisy dotyczące mowy </w:t>
      </w:r>
      <w:r w:rsidRPr="0025261C">
        <w:rPr>
          <w:color w:val="000000"/>
        </w:rPr>
        <w:t>nienawiści stawiają rzeczywiste uczucia, często te za</w:t>
      </w:r>
      <w:r>
        <w:rPr>
          <w:color w:val="000000"/>
        </w:rPr>
        <w:t xml:space="preserve">szczytne, ponad abstrakcyjnymi </w:t>
      </w:r>
      <w:r w:rsidRPr="0025261C">
        <w:rPr>
          <w:color w:val="000000"/>
        </w:rPr>
        <w:t>prawami - co wydaje się być przejawem zdrowego rozsąd</w:t>
      </w:r>
      <w:r>
        <w:rPr>
          <w:color w:val="000000"/>
        </w:rPr>
        <w:t xml:space="preserve">ku. Wymaga to czynnych starań, </w:t>
      </w:r>
      <w:r w:rsidRPr="0025261C">
        <w:rPr>
          <w:color w:val="000000"/>
        </w:rPr>
        <w:t>aby oprzeć się chęci  uciszenia idiotów</w:t>
      </w:r>
      <w:r>
        <w:rPr>
          <w:color w:val="000000"/>
        </w:rPr>
        <w:t>,</w:t>
      </w:r>
      <w:r w:rsidRPr="0025261C">
        <w:rPr>
          <w:color w:val="000000"/>
        </w:rPr>
        <w:t xml:space="preserve"> którzy cię obrazili ".</w:t>
      </w:r>
      <w:r>
        <w:rPr>
          <w:rStyle w:val="Odwoanieprzypisudolnego"/>
          <w:color w:val="000000"/>
        </w:rPr>
        <w:footnoteReference w:id="20"/>
      </w:r>
    </w:p>
    <w:p w:rsidR="00F76D75" w:rsidRPr="0025261C" w:rsidRDefault="00F76D75" w:rsidP="00F76D75">
      <w:pPr>
        <w:pStyle w:val="Textbody"/>
        <w:jc w:val="both"/>
        <w:rPr>
          <w:color w:val="000000"/>
        </w:rPr>
      </w:pPr>
    </w:p>
    <w:p w:rsidR="00F76D75" w:rsidRPr="00421843" w:rsidRDefault="00F76D75" w:rsidP="00F76D75">
      <w:pPr>
        <w:pStyle w:val="Textbody"/>
        <w:jc w:val="both"/>
        <w:rPr>
          <w:i/>
          <w:iCs/>
          <w:color w:val="000000"/>
        </w:rPr>
      </w:pPr>
      <w:r w:rsidRPr="0025261C">
        <w:rPr>
          <w:i/>
          <w:iCs/>
          <w:color w:val="000000"/>
        </w:rPr>
        <w:t>Ingerencja i prawo aktywnych pośredników</w:t>
      </w:r>
    </w:p>
    <w:p w:rsidR="00F76D75" w:rsidRDefault="00F76D75" w:rsidP="00F76D75">
      <w:pPr>
        <w:pStyle w:val="Textbody"/>
        <w:ind w:firstLine="709"/>
        <w:jc w:val="both"/>
        <w:rPr>
          <w:color w:val="000000"/>
        </w:rPr>
      </w:pPr>
      <w:r w:rsidRPr="0025261C">
        <w:rPr>
          <w:color w:val="000000"/>
        </w:rPr>
        <w:t xml:space="preserve">16. Panuje powszechna zgoda, że wyrok estońskiego Sądu Najwyższego ingerował w wolność  wypowiedzi </w:t>
      </w:r>
      <w:proofErr w:type="spellStart"/>
      <w:r w:rsidRPr="0025261C">
        <w:rPr>
          <w:color w:val="000000"/>
        </w:rPr>
        <w:t>Delfi</w:t>
      </w:r>
      <w:proofErr w:type="spellEnd"/>
      <w:r w:rsidRPr="0025261C">
        <w:rPr>
          <w:color w:val="000000"/>
        </w:rPr>
        <w:t>, choć charakter prawa pozostaje dość niespecyficzny. Naszym zdaniem mamy tu do czynienia z prawem prasowym. Komentarze użytkowników mogą wzbogacić artykuł. Prawa aktywnego pośrednika obejmują prawo do umożliwienia innym  nadawania i odbioru informacji.</w:t>
      </w:r>
    </w:p>
    <w:p w:rsidR="00F76D75" w:rsidRPr="0025261C" w:rsidRDefault="00F76D75" w:rsidP="00F76D75">
      <w:pPr>
        <w:pStyle w:val="Textbody"/>
        <w:jc w:val="both"/>
        <w:rPr>
          <w:color w:val="000000"/>
        </w:rPr>
      </w:pPr>
    </w:p>
    <w:p w:rsidR="00F76D75" w:rsidRPr="0025261C" w:rsidRDefault="00F76D75" w:rsidP="00F76D75">
      <w:pPr>
        <w:pStyle w:val="Textbody"/>
        <w:jc w:val="both"/>
      </w:pPr>
      <w:r w:rsidRPr="0025261C">
        <w:rPr>
          <w:i/>
          <w:iCs/>
          <w:color w:val="000000"/>
        </w:rPr>
        <w:t>Legalność ingerencji: problem przewidywalności</w:t>
      </w:r>
    </w:p>
    <w:p w:rsidR="00F76D75" w:rsidRPr="00421843" w:rsidRDefault="00F76D75" w:rsidP="00F76D75">
      <w:pPr>
        <w:pStyle w:val="Textbody"/>
        <w:ind w:firstLine="709"/>
        <w:jc w:val="both"/>
      </w:pPr>
      <w:r w:rsidRPr="0025261C">
        <w:t xml:space="preserve">17. Zgodnie z obowiązującą metodyką Trybunału, następne pytanie, które należy zadać dotyczy legalności tego środka. Wiąże się to przeglądem przewidywalności prawa. Zostało przyjęte </w:t>
      </w:r>
      <w:r w:rsidRPr="0025261C">
        <w:tab/>
        <w:t xml:space="preserve"> przez Sąd, że zas</w:t>
      </w:r>
      <w:r>
        <w:t xml:space="preserve">tosowany został Kodeks </w:t>
      </w:r>
      <w:r w:rsidRPr="009419B6">
        <w:t xml:space="preserve">Cywilny, a nie ustawa o usługach w społeczeństwie informacyjnym, która widocznie zwalnia usługodawców i stanowi "bezpieczną przystań" w tym sensie, że gdy usługodawca dowiaduje się o nielegalnej treści i natychmiast usuwa, to nie może być pociągnięty do </w:t>
      </w:r>
      <w:r w:rsidRPr="009419B6">
        <w:lastRenderedPageBreak/>
        <w:t xml:space="preserve">odpowiedzialności. Ani władze krajowe, ani Trybunał nie wyjaśnia, dlaczego przepis obowiązującego prawa europejskiego, które stanowi część krajowego porządku prawnego nie ma znaczenia, z wyjątkiem wzmianki, że niniejsza sprawa dotyczy kwestii publikacji a nie przechowywania danych. Oczywiście, nie jest kompetencją Trybunału dokonywane wykładni prawa Unii Europejskiej jako takiej. To nie znaczy, że nie </w:t>
      </w:r>
      <w:r w:rsidRPr="009419B6">
        <w:tab/>
        <w:t xml:space="preserve">należy traktować go jako części systemu krajowego, przypisując mu odpowiednią wagę konstytucyjną. Bądź co bądź, sekcja 10 (odpowiedzialność za przechowywanie) ustawy o </w:t>
      </w:r>
      <w:r w:rsidRPr="009419B6">
        <w:tab/>
        <w:t xml:space="preserve">usługach w społeczeństwie informacyjnym  zapewnia usługodawcom "bezpieczną przystań" </w:t>
      </w:r>
      <w:r w:rsidRPr="009419B6">
        <w:tab/>
        <w:t>czyli  regułę dla usługodawców w przypadku przechowywania. W tych okolicznościach rozsądne uzasadnienie powinno być wymagane dla wyboru wyższego poziomu odpowiedzialności na mocy kodeksu cywilnego. (Wysoce problematyczny) wybór odpowiedzialności wydawcy nie porusza kwestii</w:t>
      </w:r>
      <w:r w:rsidRPr="0025261C">
        <w:t xml:space="preserve"> nadrzędności prawa Unii Europejskiej lub problemu </w:t>
      </w:r>
      <w:r w:rsidRPr="00421843">
        <w:rPr>
          <w:i/>
        </w:rPr>
        <w:t xml:space="preserve">lex </w:t>
      </w:r>
      <w:proofErr w:type="spellStart"/>
      <w:r w:rsidRPr="00421843">
        <w:rPr>
          <w:i/>
        </w:rPr>
        <w:t>specialis</w:t>
      </w:r>
      <w:proofErr w:type="spellEnd"/>
      <w:r w:rsidRPr="0025261C">
        <w:t>. Możliwe jest, że w przypadku gdy usługodawca zape</w:t>
      </w:r>
      <w:r>
        <w:t>wnia przechowywanie informacji i</w:t>
      </w:r>
      <w:r w:rsidRPr="0025261C">
        <w:t xml:space="preserve"> generuje treści, usta</w:t>
      </w:r>
      <w:r>
        <w:t xml:space="preserve">wa o usługach w społeczeństwie </w:t>
      </w:r>
      <w:r w:rsidRPr="0025261C">
        <w:t xml:space="preserve">informacyjnym nie ma zastosowania, ale musi być to wykazane </w:t>
      </w:r>
      <w:r>
        <w:t>oraz  możliwe do przewidzenia. P</w:t>
      </w:r>
      <w:r w:rsidRPr="0025261C">
        <w:t>onadto usługodawca w niniejszej sprawie nie generował zaskarżonych treści</w:t>
      </w:r>
      <w:r>
        <w:t>,</w:t>
      </w:r>
      <w:r w:rsidRPr="0025261C">
        <w:t xml:space="preserve"> były one tworzone przez użytkowników. Argumento</w:t>
      </w:r>
      <w:r>
        <w:t xml:space="preserve">wanie, że komercyjny charakter </w:t>
      </w:r>
      <w:r w:rsidRPr="0025261C">
        <w:t>przechowywania danych pr</w:t>
      </w:r>
      <w:r>
        <w:t>owadzi do aktywności</w:t>
      </w:r>
      <w:r w:rsidRPr="0025261C">
        <w:t xml:space="preserve"> w r</w:t>
      </w:r>
      <w:r>
        <w:t xml:space="preserve">amach reżimu odpowiedzialności </w:t>
      </w:r>
      <w:r w:rsidRPr="0025261C">
        <w:t xml:space="preserve">właściwego dla wydawców, nie jest przekonujący. </w:t>
      </w:r>
      <w:r>
        <w:t xml:space="preserve">Przechowywanie jest uważane za </w:t>
      </w:r>
      <w:r w:rsidRPr="0025261C">
        <w:t xml:space="preserve">działalność gospodarczą, ale </w:t>
      </w:r>
      <w:r>
        <w:t>to nie zmieni</w:t>
      </w:r>
      <w:r w:rsidR="006374EC">
        <w:t>a</w:t>
      </w:r>
      <w:r>
        <w:t xml:space="preserve"> </w:t>
      </w:r>
      <w:r w:rsidR="006374EC">
        <w:t>oceny na podstawie</w:t>
      </w:r>
      <w:r>
        <w:t xml:space="preserve"> Ustawy o S</w:t>
      </w:r>
      <w:r w:rsidRPr="0025261C">
        <w:t xml:space="preserve">połeczeństwie </w:t>
      </w:r>
      <w:r>
        <w:t xml:space="preserve">Informacyjnym, co </w:t>
      </w:r>
      <w:r w:rsidRPr="0025261C">
        <w:t>pozwoliło na stosowanie zasady</w:t>
      </w:r>
      <w:r>
        <w:t xml:space="preserve"> </w:t>
      </w:r>
      <w:r w:rsidRPr="0025261C">
        <w:t>"bezpiecznej przystani".</w:t>
      </w:r>
    </w:p>
    <w:p w:rsidR="00F76D75" w:rsidRPr="0025261C" w:rsidRDefault="00F76D75" w:rsidP="00F76D75">
      <w:pPr>
        <w:pStyle w:val="Textbody"/>
        <w:jc w:val="both"/>
        <w:rPr>
          <w:color w:val="000000"/>
        </w:rPr>
      </w:pPr>
      <w:r w:rsidRPr="0025261C">
        <w:rPr>
          <w:color w:val="000000"/>
        </w:rPr>
        <w:t xml:space="preserve">18. </w:t>
      </w:r>
      <w:r w:rsidRPr="006374EC">
        <w:t xml:space="preserve">Jednym z wymogów </w:t>
      </w:r>
      <w:r w:rsidRPr="0025261C">
        <w:rPr>
          <w:color w:val="000000"/>
        </w:rPr>
        <w:t xml:space="preserve">wynikających z wyrażenia "przewidziana przez prawo" jest przewidywalność. Zatem norma nie może być traktowane jako "prawo" w rozumieniu artykułu 10 § 2, chyba że jest sformułowana wystarczająco precyzyjnie, aby umożliwić obywatelowi odpowiednie regulowanie swojego zachowania. Musi być </w:t>
      </w:r>
      <w:r w:rsidR="00A2165E" w:rsidRPr="0025261C">
        <w:rPr>
          <w:color w:val="000000"/>
        </w:rPr>
        <w:t xml:space="preserve">on </w:t>
      </w:r>
      <w:r w:rsidRPr="0025261C">
        <w:rPr>
          <w:color w:val="000000"/>
        </w:rPr>
        <w:t xml:space="preserve">w stanie - w razie potrzeby po otrzymaniu odpowiedniej porady - przewidzieć, w stopniu racjonalnym w danych okolicznościach, konsekwencje, które mogą pociągać za sobą dane sytuacje. Konsekwencje te nie muszą być przewidywalne z całkowitą pewnością (patrz </w:t>
      </w:r>
      <w:proofErr w:type="spellStart"/>
      <w:r w:rsidRPr="00421843">
        <w:rPr>
          <w:i/>
          <w:color w:val="000000"/>
        </w:rPr>
        <w:t>Lindon</w:t>
      </w:r>
      <w:proofErr w:type="spellEnd"/>
      <w:r w:rsidRPr="00421843">
        <w:rPr>
          <w:i/>
          <w:color w:val="000000"/>
        </w:rPr>
        <w:t xml:space="preserve">, </w:t>
      </w:r>
      <w:proofErr w:type="spellStart"/>
      <w:r w:rsidRPr="00421843">
        <w:rPr>
          <w:i/>
          <w:color w:val="000000"/>
        </w:rPr>
        <w:t>Otchakovsky-Laurens</w:t>
      </w:r>
      <w:proofErr w:type="spellEnd"/>
      <w:r w:rsidRPr="00421843">
        <w:rPr>
          <w:i/>
          <w:color w:val="000000"/>
        </w:rPr>
        <w:t xml:space="preserve"> i </w:t>
      </w:r>
      <w:proofErr w:type="spellStart"/>
      <w:r w:rsidRPr="00421843">
        <w:rPr>
          <w:i/>
          <w:color w:val="000000"/>
        </w:rPr>
        <w:t>July</w:t>
      </w:r>
      <w:proofErr w:type="spellEnd"/>
      <w:r w:rsidRPr="00421843">
        <w:rPr>
          <w:i/>
          <w:color w:val="000000"/>
        </w:rPr>
        <w:t xml:space="preserve"> kontra Francja</w:t>
      </w:r>
      <w:r>
        <w:rPr>
          <w:color w:val="000000"/>
        </w:rPr>
        <w:t xml:space="preserve"> [GC], nr</w:t>
      </w:r>
      <w:r w:rsidRPr="0025261C">
        <w:rPr>
          <w:color w:val="000000"/>
        </w:rPr>
        <w:t xml:space="preserve"> 21279/02 i 36448/02, § 41, </w:t>
      </w:r>
      <w:r>
        <w:rPr>
          <w:color w:val="000000"/>
        </w:rPr>
        <w:t>ETPCz</w:t>
      </w:r>
      <w:r w:rsidRPr="0025261C">
        <w:rPr>
          <w:color w:val="000000"/>
        </w:rPr>
        <w:t xml:space="preserve"> 2007 IV).</w:t>
      </w:r>
      <w:r>
        <w:rPr>
          <w:rStyle w:val="Odwoanieprzypisudolnego"/>
          <w:color w:val="000000"/>
        </w:rPr>
        <w:footnoteReference w:id="21"/>
      </w:r>
      <w:r w:rsidRPr="0025261C">
        <w:rPr>
          <w:color w:val="000000"/>
        </w:rPr>
        <w:t xml:space="preserve"> Radca prawny nie mógł </w:t>
      </w:r>
      <w:r w:rsidRPr="0025261C">
        <w:rPr>
          <w:color w:val="000000"/>
        </w:rPr>
        <w:lastRenderedPageBreak/>
        <w:t xml:space="preserve">poinformować </w:t>
      </w:r>
      <w:proofErr w:type="spellStart"/>
      <w:r w:rsidRPr="0025261C">
        <w:rPr>
          <w:color w:val="000000"/>
        </w:rPr>
        <w:t>Delfi</w:t>
      </w:r>
      <w:proofErr w:type="spellEnd"/>
      <w:r w:rsidRPr="0025261C">
        <w:rPr>
          <w:color w:val="000000"/>
        </w:rPr>
        <w:t xml:space="preserve"> z wystarczającą pewnością, że </w:t>
      </w:r>
      <w:r w:rsidR="00207428" w:rsidRPr="0025261C">
        <w:rPr>
          <w:color w:val="000000"/>
        </w:rPr>
        <w:t xml:space="preserve">nie stosuje się </w:t>
      </w:r>
      <w:r w:rsidRPr="0025261C">
        <w:rPr>
          <w:color w:val="000000"/>
        </w:rPr>
        <w:t xml:space="preserve">dyrektywy w sprawie aspektów prawnych Ustawy o usługach w społeczeństwie informacyjnym. Obowiązujące prawo nie było oczywiste, do tego stopnia, że nawet w 2013 roku sąd na Cyprze uznał za konieczne zwrócenie się do Trybunału Sprawiedliwości Unii Europejskiej o wydanie orzeczenia w pokrewnej dziedzinie, a mianowicie odpowiedzialności wydawców portali  informacyjnych (patrz przypadek C 291/13, </w:t>
      </w:r>
      <w:proofErr w:type="spellStart"/>
      <w:r w:rsidRPr="00421843">
        <w:rPr>
          <w:i/>
          <w:color w:val="000000"/>
        </w:rPr>
        <w:t>Papasawas</w:t>
      </w:r>
      <w:proofErr w:type="spellEnd"/>
      <w:r w:rsidRPr="0025261C">
        <w:rPr>
          <w:color w:val="000000"/>
        </w:rPr>
        <w:t>, TSUE). Jeśli istniała niepewność w 2013 roku w Unii  Europejskiej w przypadku podobnej, ale mniej skomplikowanej materii i zosta</w:t>
      </w:r>
      <w:r w:rsidR="003443E6">
        <w:rPr>
          <w:color w:val="000000"/>
        </w:rPr>
        <w:t>ła ona wyjaśniona w 2014 rok, zatem j</w:t>
      </w:r>
      <w:r>
        <w:rPr>
          <w:color w:val="000000"/>
        </w:rPr>
        <w:t>ak  doświadczon</w:t>
      </w:r>
      <w:r w:rsidR="003443E6">
        <w:rPr>
          <w:color w:val="000000"/>
        </w:rPr>
        <w:t xml:space="preserve">y pełnomocnik </w:t>
      </w:r>
      <w:r>
        <w:rPr>
          <w:color w:val="000000"/>
        </w:rPr>
        <w:t>m</w:t>
      </w:r>
      <w:r w:rsidR="003443E6">
        <w:rPr>
          <w:color w:val="000000"/>
        </w:rPr>
        <w:t>ógł</w:t>
      </w:r>
      <w:r>
        <w:rPr>
          <w:color w:val="000000"/>
        </w:rPr>
        <w:t xml:space="preserve"> </w:t>
      </w:r>
      <w:r w:rsidRPr="0025261C">
        <w:rPr>
          <w:color w:val="000000"/>
        </w:rPr>
        <w:t xml:space="preserve">być </w:t>
      </w:r>
      <w:r w:rsidR="003443E6">
        <w:rPr>
          <w:color w:val="000000"/>
        </w:rPr>
        <w:t>wystarczająco pewien</w:t>
      </w:r>
      <w:r w:rsidRPr="0025261C">
        <w:rPr>
          <w:color w:val="000000"/>
        </w:rPr>
        <w:t xml:space="preserve"> w 2006 roku?</w:t>
      </w:r>
    </w:p>
    <w:p w:rsidR="00F76D75" w:rsidRPr="0025261C" w:rsidRDefault="00F76D75" w:rsidP="00F76D75">
      <w:pPr>
        <w:pStyle w:val="Textbody"/>
        <w:jc w:val="both"/>
      </w:pPr>
      <w:r w:rsidRPr="0025261C">
        <w:rPr>
          <w:color w:val="000000"/>
        </w:rPr>
        <w:t xml:space="preserve">19. Co ważniejsze, nie można było przewidzieć, że spółka </w:t>
      </w:r>
      <w:r>
        <w:rPr>
          <w:color w:val="000000"/>
        </w:rPr>
        <w:t>skarżącego</w:t>
      </w:r>
      <w:r w:rsidRPr="0025261C">
        <w:rPr>
          <w:color w:val="000000"/>
        </w:rPr>
        <w:t xml:space="preserve"> będzie odpowiadać </w:t>
      </w:r>
      <w:r>
        <w:rPr>
          <w:color w:val="000000"/>
        </w:rPr>
        <w:t>z kodeksu cywilnego jako wydawca</w:t>
      </w:r>
      <w:r w:rsidRPr="0025261C">
        <w:rPr>
          <w:color w:val="000000"/>
        </w:rPr>
        <w:t xml:space="preserve">. Samo orzeczenie </w:t>
      </w:r>
      <w:r>
        <w:rPr>
          <w:color w:val="000000"/>
        </w:rPr>
        <w:t xml:space="preserve">Sądu Najwyższego odnosi się do </w:t>
      </w:r>
      <w:r w:rsidRPr="0025261C">
        <w:rPr>
          <w:color w:val="000000"/>
        </w:rPr>
        <w:t xml:space="preserve">innego wyroku Sądu Najwyższego z dnia 21 grudnia 2005 roku. Wyrok ten, może już </w:t>
      </w:r>
      <w:r w:rsidRPr="0025261C">
        <w:rPr>
          <w:color w:val="000000"/>
        </w:rPr>
        <w:tab/>
        <w:t xml:space="preserve">dostępny dla </w:t>
      </w:r>
      <w:proofErr w:type="spellStart"/>
      <w:r w:rsidRPr="0025261C">
        <w:rPr>
          <w:color w:val="000000"/>
        </w:rPr>
        <w:t>Delfi</w:t>
      </w:r>
      <w:proofErr w:type="spellEnd"/>
      <w:r w:rsidRPr="0025261C">
        <w:rPr>
          <w:color w:val="000000"/>
        </w:rPr>
        <w:t xml:space="preserve"> w dniu 24 stycznia 2006 roku (data artykułu</w:t>
      </w:r>
      <w:r w:rsidR="00F060E9">
        <w:rPr>
          <w:color w:val="000000"/>
        </w:rPr>
        <w:t xml:space="preserve">), został uzasadniony </w:t>
      </w:r>
      <w:r>
        <w:rPr>
          <w:color w:val="000000"/>
        </w:rPr>
        <w:t xml:space="preserve">przez </w:t>
      </w:r>
      <w:r w:rsidRPr="0025261C">
        <w:rPr>
          <w:color w:val="000000"/>
        </w:rPr>
        <w:t>Sąd Najwyższy w następujący sposób:</w:t>
      </w:r>
    </w:p>
    <w:p w:rsidR="00F76D75" w:rsidRPr="009419B6" w:rsidRDefault="00F76D75" w:rsidP="00F76D75">
      <w:pPr>
        <w:pStyle w:val="OpiQuot"/>
        <w:rPr>
          <w:rFonts w:ascii="Times New Roman" w:hAnsi="Times New Roman" w:cs="Times New Roman"/>
          <w:lang w:val="pl-PL"/>
        </w:rPr>
      </w:pPr>
      <w:r w:rsidRPr="000959E6">
        <w:rPr>
          <w:rFonts w:ascii="Times New Roman" w:hAnsi="Times New Roman" w:cs="Times New Roman"/>
          <w:lang w:val="pl-PL"/>
        </w:rPr>
        <w:t xml:space="preserve">"Dla lub </w:t>
      </w:r>
      <w:r w:rsidRPr="009419B6">
        <w:rPr>
          <w:rFonts w:ascii="Times New Roman" w:hAnsi="Times New Roman" w:cs="Times New Roman"/>
          <w:lang w:val="pl-PL"/>
        </w:rPr>
        <w:t>celów artykułu 1047 Prawa Zobowiązań ujawnienie [</w:t>
      </w:r>
      <w:proofErr w:type="spellStart"/>
      <w:r w:rsidRPr="009419B6">
        <w:rPr>
          <w:rFonts w:ascii="Times New Roman" w:hAnsi="Times New Roman" w:cs="Times New Roman"/>
          <w:i/>
          <w:lang w:val="pl-PL"/>
        </w:rPr>
        <w:t>avaldamine</w:t>
      </w:r>
      <w:proofErr w:type="spellEnd"/>
      <w:r w:rsidRPr="009419B6">
        <w:rPr>
          <w:rFonts w:ascii="Times New Roman" w:hAnsi="Times New Roman" w:cs="Times New Roman"/>
          <w:lang w:val="pl-PL"/>
        </w:rPr>
        <w:t>] oznacza przekazywania informacji osobom trzecim i ujawniającym jest osoba, która przekazuje informacje osobom trzecim. ... W przypadku publikacji [</w:t>
      </w:r>
      <w:proofErr w:type="spellStart"/>
      <w:r w:rsidRPr="009419B6">
        <w:rPr>
          <w:rFonts w:ascii="Times New Roman" w:hAnsi="Times New Roman" w:cs="Times New Roman"/>
          <w:i/>
          <w:lang w:val="pl-PL"/>
        </w:rPr>
        <w:t>avaldamine</w:t>
      </w:r>
      <w:proofErr w:type="spellEnd"/>
      <w:r w:rsidRPr="009419B6">
        <w:rPr>
          <w:rFonts w:ascii="Times New Roman" w:hAnsi="Times New Roman" w:cs="Times New Roman"/>
          <w:lang w:val="pl-PL"/>
        </w:rPr>
        <w:t>] informacji w mediach, Ujawniającym / wydawcą [</w:t>
      </w:r>
      <w:proofErr w:type="spellStart"/>
      <w:r w:rsidRPr="009419B6">
        <w:rPr>
          <w:rFonts w:ascii="Times New Roman" w:hAnsi="Times New Roman" w:cs="Times New Roman"/>
          <w:i/>
          <w:lang w:val="pl-PL"/>
        </w:rPr>
        <w:t>avaldaja</w:t>
      </w:r>
      <w:proofErr w:type="spellEnd"/>
      <w:r w:rsidRPr="009419B6">
        <w:rPr>
          <w:rFonts w:ascii="Times New Roman" w:hAnsi="Times New Roman" w:cs="Times New Roman"/>
          <w:lang w:val="pl-PL"/>
        </w:rPr>
        <w:t>] może być spółk</w:t>
      </w:r>
      <w:r w:rsidR="00D219C2">
        <w:rPr>
          <w:rFonts w:ascii="Times New Roman" w:hAnsi="Times New Roman" w:cs="Times New Roman"/>
          <w:lang w:val="pl-PL"/>
        </w:rPr>
        <w:t>a</w:t>
      </w:r>
      <w:r w:rsidRPr="009419B6">
        <w:rPr>
          <w:rFonts w:ascii="Times New Roman" w:hAnsi="Times New Roman" w:cs="Times New Roman"/>
          <w:lang w:val="pl-PL"/>
        </w:rPr>
        <w:t xml:space="preserve"> medialn</w:t>
      </w:r>
      <w:r w:rsidR="00D219C2">
        <w:rPr>
          <w:rFonts w:ascii="Times New Roman" w:hAnsi="Times New Roman" w:cs="Times New Roman"/>
          <w:lang w:val="pl-PL"/>
        </w:rPr>
        <w:t>a</w:t>
      </w:r>
      <w:r w:rsidRPr="009419B6">
        <w:rPr>
          <w:rFonts w:ascii="Times New Roman" w:hAnsi="Times New Roman" w:cs="Times New Roman"/>
          <w:lang w:val="pl-PL"/>
        </w:rPr>
        <w:t>, a także osoba, która przekazała informacje do publikacji w mediach. "</w:t>
      </w:r>
    </w:p>
    <w:p w:rsidR="00F76D75" w:rsidRPr="009419B6" w:rsidRDefault="00F76D75" w:rsidP="00F76D75">
      <w:pPr>
        <w:pStyle w:val="Textbody"/>
        <w:jc w:val="both"/>
      </w:pPr>
      <w:r w:rsidRPr="009419B6">
        <w:t>Sąd Najwyższy zastosował tę uwagę w następujący sposób:</w:t>
      </w:r>
    </w:p>
    <w:p w:rsidR="00F76D75" w:rsidRPr="001426CD" w:rsidRDefault="00F76D75" w:rsidP="00F76D75">
      <w:pPr>
        <w:pStyle w:val="OpiQuot"/>
        <w:rPr>
          <w:rFonts w:ascii="Times New Roman" w:hAnsi="Times New Roman" w:cs="Times New Roman"/>
          <w:lang w:val="pl-PL"/>
        </w:rPr>
      </w:pPr>
      <w:r w:rsidRPr="001426CD">
        <w:rPr>
          <w:rFonts w:ascii="Times New Roman" w:hAnsi="Times New Roman" w:cs="Times New Roman"/>
          <w:lang w:val="pl-PL"/>
        </w:rPr>
        <w:t xml:space="preserve">"Publikowanie wiadomości i komentarzy na portalu internetowym jest również działalnością dziennikarską. Jednocześnie, ze względu na charakter przekazu internetowego, nie może być wymagane od operatora portalu edytowanie komentarzy przed opublikowaniem ich w ten sam sposób, jak odnosi się to do publikacji drukowanych mediów. Podczas gdy wydawca jest poprzez edycje  inicjatorem publikacji komentarza, na portalu internetowym to inicjatorem samej </w:t>
      </w:r>
      <w:r>
        <w:rPr>
          <w:rFonts w:ascii="Times New Roman" w:hAnsi="Times New Roman" w:cs="Times New Roman"/>
          <w:lang w:val="pl-PL"/>
        </w:rPr>
        <w:t>publikacji</w:t>
      </w:r>
      <w:r w:rsidRPr="001426CD">
        <w:rPr>
          <w:rFonts w:ascii="Times New Roman" w:hAnsi="Times New Roman" w:cs="Times New Roman"/>
          <w:lang w:val="pl-PL"/>
        </w:rPr>
        <w:t xml:space="preserve"> jest autor komentarza, który czyni go dostępnym dla ogółu społeczeństwa za pośrednictwem portalu. W związku z tym operator portalu nie jest osoba, k</w:t>
      </w:r>
      <w:r>
        <w:rPr>
          <w:rFonts w:ascii="Times New Roman" w:hAnsi="Times New Roman" w:cs="Times New Roman"/>
          <w:lang w:val="pl-PL"/>
        </w:rPr>
        <w:t xml:space="preserve">tórej informacje są ujawniane. </w:t>
      </w:r>
      <w:r w:rsidRPr="001426CD">
        <w:rPr>
          <w:rFonts w:ascii="Times New Roman" w:hAnsi="Times New Roman" w:cs="Times New Roman"/>
          <w:lang w:val="pl-PL"/>
        </w:rPr>
        <w:t>Ze względu na [ich] interes ekonomiczny w publikacji komentarzy, zarówno wydawca [</w:t>
      </w:r>
      <w:proofErr w:type="spellStart"/>
      <w:r w:rsidRPr="001426CD">
        <w:rPr>
          <w:rFonts w:ascii="Times New Roman" w:hAnsi="Times New Roman" w:cs="Times New Roman"/>
          <w:i/>
          <w:lang w:val="pl-PL"/>
        </w:rPr>
        <w:t>väljaandja</w:t>
      </w:r>
      <w:proofErr w:type="spellEnd"/>
      <w:r w:rsidRPr="001426CD">
        <w:rPr>
          <w:rFonts w:ascii="Times New Roman" w:hAnsi="Times New Roman" w:cs="Times New Roman"/>
          <w:lang w:val="pl-PL"/>
        </w:rPr>
        <w:t>] mediów drukowanych i operator portalu internetowego są wydawcami / ujawniającymi [</w:t>
      </w:r>
      <w:proofErr w:type="spellStart"/>
      <w:r w:rsidRPr="001426CD">
        <w:rPr>
          <w:rFonts w:ascii="Times New Roman" w:hAnsi="Times New Roman" w:cs="Times New Roman"/>
          <w:i/>
          <w:lang w:val="pl-PL"/>
        </w:rPr>
        <w:t>avaldajad</w:t>
      </w:r>
      <w:proofErr w:type="spellEnd"/>
      <w:r w:rsidRPr="001426CD">
        <w:rPr>
          <w:rFonts w:ascii="Times New Roman" w:hAnsi="Times New Roman" w:cs="Times New Roman"/>
          <w:lang w:val="pl-PL"/>
        </w:rPr>
        <w:t>] jako przedsiębiorcy. "</w:t>
      </w:r>
    </w:p>
    <w:p w:rsidR="00F76D75" w:rsidRPr="009419B6" w:rsidRDefault="00F76D75" w:rsidP="00F76D75">
      <w:pPr>
        <w:pStyle w:val="Textbody"/>
        <w:ind w:firstLine="425"/>
        <w:jc w:val="both"/>
      </w:pPr>
      <w:r w:rsidRPr="0025261C">
        <w:rPr>
          <w:color w:val="000000"/>
        </w:rPr>
        <w:t xml:space="preserve">20. To (również) budzi poważne obawy co do przewidywalności kodeksu cywilnego, stosowanego w niniejszym przypadku. Sąd Najwyższy wyraźnie stwierdza, że "nie może być wymagane od operatora portalu edytowanie komentarzy przed opublikowaniem ich w ten sam sposób, jak odnosi się do publikacji mediów drukowanych". Operator portalu internetowego jest nazywany "wydawca / ujawniający" w tłumaczeniu na </w:t>
      </w:r>
      <w:r w:rsidRPr="0025261C">
        <w:rPr>
          <w:color w:val="000000"/>
        </w:rPr>
        <w:lastRenderedPageBreak/>
        <w:t>język angielski. Termin stosowany w oryginale estońskim nie wygląda tak samo jak ten określający wydawcę ( "</w:t>
      </w:r>
      <w:proofErr w:type="spellStart"/>
      <w:r w:rsidRPr="001426CD">
        <w:rPr>
          <w:i/>
          <w:color w:val="000000"/>
        </w:rPr>
        <w:t>väljaandja</w:t>
      </w:r>
      <w:proofErr w:type="spellEnd"/>
      <w:r w:rsidRPr="0025261C">
        <w:rPr>
          <w:color w:val="000000"/>
        </w:rPr>
        <w:t xml:space="preserve">") ale </w:t>
      </w:r>
      <w:r>
        <w:rPr>
          <w:color w:val="000000"/>
        </w:rPr>
        <w:t>wydaje się być innym terminem (</w:t>
      </w:r>
      <w:r w:rsidRPr="0025261C">
        <w:rPr>
          <w:color w:val="000000"/>
        </w:rPr>
        <w:t>"</w:t>
      </w:r>
      <w:proofErr w:type="spellStart"/>
      <w:r w:rsidRPr="001426CD">
        <w:rPr>
          <w:i/>
          <w:color w:val="000000"/>
        </w:rPr>
        <w:t>avaldajad</w:t>
      </w:r>
      <w:proofErr w:type="spellEnd"/>
      <w:r>
        <w:rPr>
          <w:color w:val="000000"/>
        </w:rPr>
        <w:t>")</w:t>
      </w:r>
      <w:r>
        <w:rPr>
          <w:color w:val="FF0000"/>
        </w:rPr>
        <w:t>.</w:t>
      </w:r>
      <w:r w:rsidRPr="0025261C">
        <w:rPr>
          <w:color w:val="000000"/>
        </w:rPr>
        <w:t xml:space="preserve"> Skarżąca spółka argumentowała, że inni "Ujawniający" lub rozpowszechniających (biblioteki, księgarnie) nie zostali uznani za wydawnictwa w ramach istniejących w prawie czynów niedozwolonych. Dlaczego ma być przyjęte, że operator Internetu podlega obowiązkowi staranności stosowanego do "</w:t>
      </w:r>
      <w:proofErr w:type="spellStart"/>
      <w:r w:rsidRPr="001426CD">
        <w:rPr>
          <w:i/>
          <w:color w:val="000000"/>
        </w:rPr>
        <w:t>väljaandja</w:t>
      </w:r>
      <w:proofErr w:type="spellEnd"/>
      <w:r w:rsidRPr="0025261C">
        <w:rPr>
          <w:color w:val="000000"/>
        </w:rPr>
        <w:t>" zamiast "</w:t>
      </w:r>
      <w:proofErr w:type="spellStart"/>
      <w:r w:rsidRPr="001426CD">
        <w:rPr>
          <w:i/>
          <w:color w:val="000000"/>
        </w:rPr>
        <w:t>avaldajad</w:t>
      </w:r>
      <w:proofErr w:type="spellEnd"/>
      <w:r w:rsidRPr="0025261C">
        <w:rPr>
          <w:color w:val="000000"/>
        </w:rPr>
        <w:t xml:space="preserve">"? Jest tu pewna sprzeczność, która utrudnia przewidywalność. Jak Izba słusznie uznała (patrz </w:t>
      </w:r>
      <w:r>
        <w:rPr>
          <w:color w:val="000000"/>
        </w:rPr>
        <w:t>paragraf</w:t>
      </w:r>
      <w:r w:rsidRPr="0025261C">
        <w:rPr>
          <w:color w:val="000000"/>
        </w:rPr>
        <w:t xml:space="preserve"> 75 wyroku), tekst odpowiednich postanowień Konstytucji, Kodeksu cywilnego (zasady ogólne) i Ustawy o prawie zobowiązań były "dość ogólne i brakowało w nich detali". Przepisy ustawy o prawie zobowiązań są wszystkie skierowane do osoby lub podmiotu, który zniesławia – sprawcy deliktu, w tym przypadku autora komentarzy, o których mowa na stronie skarżącej spółki - a nie bezpośrednio pośrednika dostarcz</w:t>
      </w:r>
      <w:r>
        <w:rPr>
          <w:color w:val="000000"/>
        </w:rPr>
        <w:t>a</w:t>
      </w:r>
      <w:r w:rsidRPr="0025261C">
        <w:rPr>
          <w:color w:val="000000"/>
        </w:rPr>
        <w:t>j</w:t>
      </w:r>
      <w:r>
        <w:rPr>
          <w:color w:val="000000"/>
        </w:rPr>
        <w:t>ą</w:t>
      </w:r>
      <w:r w:rsidRPr="0025261C">
        <w:rPr>
          <w:color w:val="000000"/>
        </w:rPr>
        <w:t>cego platformę przeznaczon</w:t>
      </w:r>
      <w:r w:rsidR="00531F1D">
        <w:rPr>
          <w:color w:val="000000"/>
        </w:rPr>
        <w:t>ą</w:t>
      </w:r>
      <w:r w:rsidRPr="0025261C">
        <w:rPr>
          <w:color w:val="000000"/>
        </w:rPr>
        <w:t xml:space="preserve"> do takiej właśnie ekspresyjnej aktywności i nie będącego autorem lub tradycyjnym wydawcą. </w:t>
      </w:r>
      <w:r w:rsidRPr="009419B6">
        <w:t xml:space="preserve">Tylko </w:t>
      </w:r>
      <w:r w:rsidR="00CC16F8">
        <w:t>obdarzony ,,cudownymi’’ zdolnościami</w:t>
      </w:r>
      <w:r w:rsidRPr="009419B6">
        <w:t xml:space="preserve"> </w:t>
      </w:r>
      <w:proofErr w:type="spellStart"/>
      <w:r w:rsidR="00CC16F8">
        <w:t>pełnomocnk</w:t>
      </w:r>
      <w:proofErr w:type="spellEnd"/>
      <w:r w:rsidRPr="009419B6">
        <w:t xml:space="preserve"> mógłby </w:t>
      </w:r>
      <w:r w:rsidR="00CC16F8">
        <w:t>przewidzieć</w:t>
      </w:r>
      <w:r w:rsidRPr="009419B6">
        <w:t xml:space="preserve">, że operator portalu będzie odpowiedzialny za komentarz, którego nie był świadomy, w ramach odpowiedzialności </w:t>
      </w:r>
      <w:r w:rsidR="00CC16F8">
        <w:t xml:space="preserve">deliktowej </w:t>
      </w:r>
      <w:r w:rsidRPr="009419B6">
        <w:t>na zasadzie ryzyka stosowanego w przypadku wydawców (redaktorów), którzy działali z pełną świadomością całej publikacji. Warto zauważyć, że trzy właściwe poziomy jurysdykcji stosują trzy różne teorie odpowiedzialności. Niejasno sformułowane, niejednoznaczne, a zatem nieprzewidywalne przepisy mają wpływ na obniżenie wolności wypowiedzi. Powoduje to niepokojącą niepewność.</w:t>
      </w:r>
      <w:r w:rsidRPr="009419B6">
        <w:rPr>
          <w:rStyle w:val="Odwoanieprzypisudolnego"/>
        </w:rPr>
        <w:footnoteReference w:id="22"/>
      </w:r>
    </w:p>
    <w:p w:rsidR="00F76D75" w:rsidRPr="0025261C" w:rsidRDefault="00F76D75" w:rsidP="00F76D75">
      <w:pPr>
        <w:pStyle w:val="Textbody"/>
        <w:ind w:firstLine="425"/>
        <w:jc w:val="both"/>
        <w:rPr>
          <w:color w:val="000000"/>
        </w:rPr>
      </w:pPr>
      <w:r w:rsidRPr="009419B6">
        <w:t xml:space="preserve">21.Trybunał orzekł już, że "zasady dotyczące reprodukcji materiału </w:t>
      </w:r>
      <w:r w:rsidR="00892EF6">
        <w:br/>
      </w:r>
      <w:r w:rsidRPr="009419B6">
        <w:t xml:space="preserve">z mediów drukowanych i Internetu mogą się różnić. Te ostatnie niezaprzeczalnie muszą być dostosowane do specyficznych cech technologicznych w celu zapewnienia ochrony oraz promocji praw </w:t>
      </w:r>
      <w:r w:rsidR="00892EF6">
        <w:br/>
      </w:r>
      <w:r w:rsidRPr="009419B6">
        <w:t xml:space="preserve">i wolności, których to dotyczy "(patrz </w:t>
      </w:r>
      <w:r w:rsidRPr="009419B6">
        <w:rPr>
          <w:i/>
        </w:rPr>
        <w:t xml:space="preserve">Zarząd Redakcyjny </w:t>
      </w:r>
      <w:proofErr w:type="spellStart"/>
      <w:r w:rsidRPr="009419B6">
        <w:t>Pravoye</w:t>
      </w:r>
      <w:proofErr w:type="spellEnd"/>
      <w:r w:rsidRPr="009419B6">
        <w:t xml:space="preserve"> Delo</w:t>
      </w:r>
      <w:r w:rsidRPr="009419B6">
        <w:rPr>
          <w:i/>
        </w:rPr>
        <w:t xml:space="preserve"> i </w:t>
      </w:r>
      <w:proofErr w:type="spellStart"/>
      <w:r w:rsidRPr="009419B6">
        <w:rPr>
          <w:i/>
        </w:rPr>
        <w:t>Shtekel</w:t>
      </w:r>
      <w:proofErr w:type="spellEnd"/>
      <w:r w:rsidRPr="009419B6">
        <w:rPr>
          <w:i/>
        </w:rPr>
        <w:t xml:space="preserve">, </w:t>
      </w:r>
      <w:r w:rsidR="00892EF6">
        <w:t xml:space="preserve">cytowany powyżej, § 63). </w:t>
      </w:r>
      <w:r w:rsidRPr="009419B6">
        <w:t>T</w:t>
      </w:r>
      <w:r w:rsidR="00D96E9B">
        <w:t>o</w:t>
      </w:r>
      <w:r w:rsidRPr="009419B6">
        <w:t xml:space="preserve"> zasadnicze prawo stanowi ważny punkt odniesienia przy badaniu, czy zastosowanie prawa krajowego w niniejszej sprawie było możliwe do przewidzenia przez skarżącą spółkę, jeśli chodzi o treści generowane przez użytkowników na jej stronie internetowej. W Zaleceniu CM / </w:t>
      </w:r>
      <w:proofErr w:type="spellStart"/>
      <w:r w:rsidRPr="009419B6">
        <w:t>Rec</w:t>
      </w:r>
      <w:proofErr w:type="spellEnd"/>
      <w:r w:rsidRPr="009419B6">
        <w:t xml:space="preserve"> (2011) 7 w sprawie nowej koncepcji mediów Komitet Ministrów zauważył, że "rola każdego podmiotu może się</w:t>
      </w:r>
      <w:r w:rsidRPr="0025261C">
        <w:rPr>
          <w:color w:val="000000"/>
        </w:rPr>
        <w:t xml:space="preserve"> </w:t>
      </w:r>
      <w:r w:rsidRPr="001426CD">
        <w:rPr>
          <w:color w:val="000000"/>
        </w:rPr>
        <w:lastRenderedPageBreak/>
        <w:t>łatwo zmienić lub płynnie i bezproblemowo  rozwijać " i zaapelował o "</w:t>
      </w:r>
      <w:r w:rsidRPr="00B8714B">
        <w:rPr>
          <w:b/>
          <w:bCs/>
        </w:rPr>
        <w:t>zróżnicowane i stopniowe podejście</w:t>
      </w:r>
      <w:r w:rsidRPr="001426CD">
        <w:rPr>
          <w:color w:val="000000"/>
        </w:rPr>
        <w:t>".</w:t>
      </w:r>
    </w:p>
    <w:p w:rsidR="00F76D75" w:rsidRPr="00B8714B" w:rsidRDefault="00F76D75" w:rsidP="00F76D75">
      <w:pPr>
        <w:pStyle w:val="Textbody"/>
        <w:jc w:val="both"/>
        <w:rPr>
          <w:iCs/>
          <w:color w:val="000000"/>
        </w:rPr>
      </w:pPr>
    </w:p>
    <w:p w:rsidR="00F76D75" w:rsidRPr="0025261C" w:rsidRDefault="00BC3392" w:rsidP="00F76D75">
      <w:pPr>
        <w:pStyle w:val="Textbody"/>
        <w:jc w:val="both"/>
        <w:rPr>
          <w:i/>
          <w:iCs/>
          <w:color w:val="000000"/>
        </w:rPr>
      </w:pPr>
      <w:r>
        <w:rPr>
          <w:i/>
          <w:iCs/>
          <w:color w:val="000000"/>
        </w:rPr>
        <w:t>Konieczność</w:t>
      </w:r>
      <w:r w:rsidR="00F76D75" w:rsidRPr="0025261C">
        <w:rPr>
          <w:i/>
          <w:iCs/>
          <w:color w:val="000000"/>
        </w:rPr>
        <w:t xml:space="preserve"> w demokratycznym społeczeństwie</w:t>
      </w:r>
    </w:p>
    <w:p w:rsidR="00F76D75" w:rsidRPr="0025261C" w:rsidRDefault="00D96E9B" w:rsidP="00F76D75">
      <w:pPr>
        <w:pStyle w:val="Textbody"/>
        <w:ind w:firstLine="709"/>
        <w:jc w:val="both"/>
        <w:rPr>
          <w:color w:val="000000"/>
          <w:sz w:val="20"/>
          <w:szCs w:val="20"/>
        </w:rPr>
      </w:pPr>
      <w:r>
        <w:rPr>
          <w:color w:val="000000"/>
        </w:rPr>
        <w:t>22. Kolejne pytanie na</w:t>
      </w:r>
      <w:r w:rsidR="00F76D75" w:rsidRPr="0025261C">
        <w:rPr>
          <w:color w:val="000000"/>
        </w:rPr>
        <w:t xml:space="preserve"> które należy odpowiedzieć jest, w jakim stopniu śr</w:t>
      </w:r>
      <w:r w:rsidR="00F76D75">
        <w:rPr>
          <w:color w:val="000000"/>
        </w:rPr>
        <w:t xml:space="preserve">odki zmierzające do uniknięcia </w:t>
      </w:r>
      <w:r w:rsidR="00F76D75" w:rsidRPr="0025261C">
        <w:rPr>
          <w:color w:val="000000"/>
        </w:rPr>
        <w:t>mowy nienawiści</w:t>
      </w:r>
      <w:r w:rsidR="00F76D75">
        <w:rPr>
          <w:rStyle w:val="Odwoanieprzypisudolnego"/>
          <w:color w:val="000000"/>
        </w:rPr>
        <w:footnoteReference w:id="23"/>
      </w:r>
      <w:r w:rsidR="00F76D75" w:rsidRPr="0025261C">
        <w:rPr>
          <w:color w:val="000000"/>
        </w:rPr>
        <w:t xml:space="preserve"> (co było najbardziej prawdopodobnym uzasadnieniem dla ingerencji, przynajmniej w opinii Trybunału, ale nie władz krajowych - patrz </w:t>
      </w:r>
      <w:r w:rsidR="00F76D75">
        <w:rPr>
          <w:color w:val="000000"/>
        </w:rPr>
        <w:t>paragraf</w:t>
      </w:r>
      <w:r w:rsidR="00F76D75" w:rsidRPr="0025261C">
        <w:rPr>
          <w:color w:val="000000"/>
        </w:rPr>
        <w:t xml:space="preserve"> 140 wyroku) były konieczne w demokratycznym społeczeństwie.</w:t>
      </w:r>
      <w:r w:rsidR="00F76D75">
        <w:rPr>
          <w:rStyle w:val="Odwoanieprzypisudolnego"/>
          <w:color w:val="000000"/>
        </w:rPr>
        <w:footnoteReference w:id="24"/>
      </w:r>
      <w:r w:rsidR="00F76D75" w:rsidRPr="0025261C">
        <w:rPr>
          <w:color w:val="000000"/>
        </w:rPr>
        <w:t xml:space="preserve"> Odniesienie do konfliktu między przepisami Artykułu 8 i Artykułu 10 w paragrafie 139 zwraca uwagę na stosowanie równowagi oraz szerszego zakresu swobodnej oceny</w:t>
      </w:r>
      <w:r w:rsidR="00F76D75">
        <w:rPr>
          <w:color w:val="000000"/>
        </w:rPr>
        <w:t>.</w:t>
      </w:r>
    </w:p>
    <w:p w:rsidR="00F76D75" w:rsidRPr="009419B6" w:rsidRDefault="00F76D75" w:rsidP="00F76D75">
      <w:pPr>
        <w:pStyle w:val="Textbody"/>
        <w:ind w:firstLine="709"/>
        <w:jc w:val="both"/>
      </w:pPr>
      <w:r w:rsidRPr="0025261C">
        <w:rPr>
          <w:color w:val="000000"/>
        </w:rPr>
        <w:t xml:space="preserve">23. Po pierwsze, Trybunał </w:t>
      </w:r>
      <w:r w:rsidRPr="009419B6">
        <w:t xml:space="preserve">stwierdza, i zgadzamy się z nim, że niektóre z kwestionowanych wypowiedzi nie są chronione przez Konwencję. To samo w sobie nie rozwiązuje problemu, ponieważ nikt nie może, w okolicznościach niniejszej sprawy, zrównać </w:t>
      </w:r>
      <w:r w:rsidR="003C6D65">
        <w:t>sformułowań</w:t>
      </w:r>
      <w:r w:rsidRPr="009419B6">
        <w:t xml:space="preserve"> używanych przez komentujących z działalnością aktywnego pośrednika.</w:t>
      </w:r>
    </w:p>
    <w:p w:rsidR="00F76D75" w:rsidRPr="009419B6" w:rsidRDefault="00F76D75" w:rsidP="00F76D75">
      <w:pPr>
        <w:pStyle w:val="Textbody"/>
        <w:jc w:val="both"/>
      </w:pPr>
    </w:p>
    <w:p w:rsidR="00F76D75" w:rsidRPr="009419B6" w:rsidRDefault="00F76D75" w:rsidP="00F76D75">
      <w:pPr>
        <w:pStyle w:val="Textbody"/>
        <w:jc w:val="both"/>
      </w:pPr>
      <w:r w:rsidRPr="009419B6">
        <w:rPr>
          <w:i/>
          <w:iCs/>
        </w:rPr>
        <w:t>Przejście do analizy "istotnych i wystarczających powodów"</w:t>
      </w:r>
    </w:p>
    <w:p w:rsidR="00F76D75" w:rsidRPr="009419B6" w:rsidRDefault="00F76D75" w:rsidP="00F76D75">
      <w:pPr>
        <w:pStyle w:val="Textbody"/>
        <w:ind w:firstLine="709"/>
        <w:jc w:val="both"/>
      </w:pPr>
      <w:r w:rsidRPr="009419B6">
        <w:t>24. Trybunał rozważa, w paragrafie 142 wyroku, że w ramach analizy proporcjonalności jego zadaniem jest zbadanie "w świet</w:t>
      </w:r>
      <w:r w:rsidR="00D10F6B">
        <w:t>le rozumowania Sądu Najwyższego</w:t>
      </w:r>
      <w:r w:rsidRPr="009419B6">
        <w:t xml:space="preserve">... czy wnioski sądów krajowych </w:t>
      </w:r>
      <w:r w:rsidR="00D10F6B">
        <w:br/>
      </w:r>
      <w:r w:rsidRPr="009419B6">
        <w:t xml:space="preserve">o odpowiedzialności strony skarżącej spółki było oparte na odpowiednich </w:t>
      </w:r>
      <w:r w:rsidR="00D10F6B">
        <w:br/>
      </w:r>
      <w:r w:rsidRPr="009419B6">
        <w:t>i wystarczających podstawach w szczególnych okolicznościach sprawy</w:t>
      </w:r>
      <w:r w:rsidRPr="0025261C">
        <w:rPr>
          <w:color w:val="000000"/>
        </w:rPr>
        <w:t xml:space="preserve"> (patrz </w:t>
      </w:r>
      <w:r>
        <w:rPr>
          <w:color w:val="000000"/>
        </w:rPr>
        <w:t>paragraf</w:t>
      </w:r>
      <w:r w:rsidRPr="0025261C">
        <w:rPr>
          <w:color w:val="000000"/>
        </w:rPr>
        <w:t xml:space="preserve"> 131) ".  Brak odniesienia się tutaj do ustalonej zasady, że Trybunał, w ramach wyko</w:t>
      </w:r>
      <w:r>
        <w:rPr>
          <w:color w:val="000000"/>
        </w:rPr>
        <w:t>nywania swej funkcji nadzorczej</w:t>
      </w:r>
      <w:r w:rsidRPr="0025261C">
        <w:rPr>
          <w:color w:val="000000"/>
        </w:rPr>
        <w:t xml:space="preserve"> nie jest usatysfakcjonowany</w:t>
      </w:r>
      <w:r w:rsidR="00E316B1">
        <w:rPr>
          <w:color w:val="000000"/>
        </w:rPr>
        <w:t xml:space="preserve"> </w:t>
      </w:r>
      <w:r w:rsidRPr="0025261C">
        <w:rPr>
          <w:color w:val="000000"/>
        </w:rPr>
        <w:t xml:space="preserve">działaniem </w:t>
      </w:r>
      <w:r w:rsidRPr="009419B6">
        <w:t xml:space="preserve">państwa pozwanego w ramach swych uprawnień </w:t>
      </w:r>
      <w:r w:rsidR="00E316B1">
        <w:t>które można określić jako wyłącznie rozsądne, ostrożn</w:t>
      </w:r>
      <w:r w:rsidRPr="009419B6">
        <w:t xml:space="preserve">e </w:t>
      </w:r>
      <w:r w:rsidR="00CF2D3C">
        <w:br/>
      </w:r>
      <w:r w:rsidRPr="009419B6">
        <w:t>i w dobrej wierze. Wystarczające powody są więcej niż po prostu rozsądne.</w:t>
      </w:r>
    </w:p>
    <w:p w:rsidR="00F76D75" w:rsidRPr="0025261C" w:rsidRDefault="00F76D75" w:rsidP="00F76D75">
      <w:pPr>
        <w:pStyle w:val="Textbody"/>
        <w:ind w:firstLine="709"/>
        <w:jc w:val="both"/>
        <w:rPr>
          <w:color w:val="000000"/>
        </w:rPr>
      </w:pPr>
      <w:r w:rsidRPr="009419B6">
        <w:t xml:space="preserve">25. Co ważniejsze, zbadanie "istotnych i wystarczających podstaw" </w:t>
      </w:r>
      <w:r w:rsidRPr="009419B6">
        <w:lastRenderedPageBreak/>
        <w:t>jest tylko częścią analizy proporcjonalności.</w:t>
      </w:r>
      <w:r w:rsidRPr="009419B6">
        <w:rPr>
          <w:rStyle w:val="Odwoanieprzypisudolnego"/>
        </w:rPr>
        <w:footnoteReference w:id="25"/>
      </w:r>
      <w:r w:rsidRPr="009419B6">
        <w:t xml:space="preserve"> Gdy Trybunał uznaje, że  podane podstawy są odpowiednie i wystarczające, analiza proporcjonalności </w:t>
      </w:r>
      <w:r w:rsidR="00CF2D3C">
        <w:t xml:space="preserve">raczej </w:t>
      </w:r>
      <w:r w:rsidRPr="009419B6">
        <w:t xml:space="preserve">się zaczyna zamiast kończyć. Sprawdzenie "istotnych </w:t>
      </w:r>
      <w:r w:rsidR="00CF2D3C">
        <w:br/>
      </w:r>
      <w:r w:rsidRPr="009419B6">
        <w:t xml:space="preserve">i wystarczających podstaw" jest warunkiem progowym do ustalenia, czy </w:t>
      </w:r>
      <w:r w:rsidR="003B5051">
        <w:br/>
      </w:r>
      <w:r w:rsidRPr="009419B6">
        <w:t xml:space="preserve">i jaki margines swobody ma być stosowany; jest to istotne przy ustalaniu istnienia pilnej potrzeby społecznej (patrz wszystkie </w:t>
      </w:r>
      <w:r w:rsidR="00AA5938">
        <w:t>źródła</w:t>
      </w:r>
      <w:r w:rsidRPr="009419B6">
        <w:t>, cytowane w paragrafie 131 wyroku). Dlaczego istnieje potrzeba określenia, że podstawy powołane</w:t>
      </w:r>
      <w:r w:rsidRPr="0025261C">
        <w:rPr>
          <w:color w:val="000000"/>
        </w:rPr>
        <w:t xml:space="preserve"> przez władze krajowe były właściwe i wystarczające (które są więcej niż tylko rozsądne - patrz wyżej). Ponieważ, jak Trybunał zawsze powtarzał, jak i powtarza również w tym przypadku (patrz </w:t>
      </w:r>
      <w:r>
        <w:rPr>
          <w:color w:val="000000"/>
        </w:rPr>
        <w:t>paragraf</w:t>
      </w:r>
      <w:r w:rsidRPr="0025261C">
        <w:rPr>
          <w:color w:val="000000"/>
        </w:rPr>
        <w:t xml:space="preserve"> 131), "Trybunał musi upewnić się, że władze krajowe zastosowały standardy, które były zgodne z zasadami zawartymi w artykule 10, a ponadto , że opierały się na możliwej do przyjęcia ocenie istotnych faktów ... "(Sąd nie wziął pod uwagę oceny odpowiednich faktów przedstawionych przez władze krajowe, choć taki wzgląd mógł być istotny).</w:t>
      </w:r>
    </w:p>
    <w:p w:rsidR="00F76D75" w:rsidRPr="009419B6" w:rsidRDefault="00F76D75" w:rsidP="00F76D75">
      <w:pPr>
        <w:pStyle w:val="Textbody"/>
        <w:ind w:firstLine="709"/>
        <w:jc w:val="both"/>
        <w:rPr>
          <w:sz w:val="20"/>
        </w:rPr>
      </w:pPr>
      <w:r w:rsidRPr="0025261C">
        <w:rPr>
          <w:color w:val="000000"/>
          <w:szCs w:val="20"/>
        </w:rPr>
        <w:t xml:space="preserve">26. </w:t>
      </w:r>
      <w:r w:rsidRPr="0025261C">
        <w:rPr>
          <w:color w:val="000000"/>
        </w:rPr>
        <w:t xml:space="preserve">Trybunał uznał, że estoński Sąd Najwyższy </w:t>
      </w:r>
      <w:r w:rsidR="00120713">
        <w:rPr>
          <w:color w:val="000000"/>
        </w:rPr>
        <w:t>przedstawił</w:t>
      </w:r>
      <w:r w:rsidRPr="0025261C">
        <w:rPr>
          <w:color w:val="000000"/>
        </w:rPr>
        <w:t xml:space="preserve"> odpowiednie i wystarczające </w:t>
      </w:r>
      <w:r w:rsidR="00120713">
        <w:rPr>
          <w:color w:val="000000"/>
        </w:rPr>
        <w:t>uzasadnienie</w:t>
      </w:r>
      <w:r w:rsidRPr="0025261C">
        <w:rPr>
          <w:color w:val="000000"/>
        </w:rPr>
        <w:t xml:space="preserve">, dla poziomu odpowiedzialności, który  zastosował. Doszedł do takiego wniosku po przeanalizowaniu następujących istotnych punktów: kontekstu komentarzy, środków stosowanych </w:t>
      </w:r>
      <w:r w:rsidRPr="009419B6">
        <w:t>przez skarżącego w celu zapobieżenia lub usunięcia oszczerczych komentarzy, odpowiedzialnoś</w:t>
      </w:r>
      <w:r w:rsidR="00BF7DD7">
        <w:t>ci</w:t>
      </w:r>
      <w:r w:rsidRPr="009419B6">
        <w:t xml:space="preserve"> rzeczywistych autorów komentarzy jako alternatywy dla skarżącej spółki, odpowiedzialnoś</w:t>
      </w:r>
      <w:r w:rsidR="00B23DCA">
        <w:t>ci</w:t>
      </w:r>
      <w:r w:rsidRPr="009419B6">
        <w:t xml:space="preserve"> </w:t>
      </w:r>
      <w:r w:rsidR="00B23DCA">
        <w:br/>
      </w:r>
      <w:r w:rsidRPr="009419B6">
        <w:t>i konsekwencj</w:t>
      </w:r>
      <w:r w:rsidR="00B23DCA">
        <w:t>i</w:t>
      </w:r>
      <w:r w:rsidRPr="009419B6">
        <w:t xml:space="preserve"> w postępowaniu krajowym dotyczącym skarżącej spółki. Oprócz tych istotnych punktów istnieją również inne istotne okoliczności. Zajmiemy się tylko </w:t>
      </w:r>
      <w:r w:rsidR="00B23DCA">
        <w:t>istotnością</w:t>
      </w:r>
      <w:r w:rsidRPr="009419B6">
        <w:t xml:space="preserve">  niektórych z tych elementów.</w:t>
      </w:r>
    </w:p>
    <w:p w:rsidR="00F76D75" w:rsidRPr="009419B6" w:rsidRDefault="00F76D75" w:rsidP="00F76D75">
      <w:pPr>
        <w:pStyle w:val="Textbody"/>
        <w:jc w:val="both"/>
        <w:rPr>
          <w:i/>
          <w:iCs/>
        </w:rPr>
      </w:pPr>
      <w:r w:rsidRPr="009419B6">
        <w:rPr>
          <w:i/>
          <w:iCs/>
        </w:rPr>
        <w:t xml:space="preserve"> </w:t>
      </w:r>
    </w:p>
    <w:p w:rsidR="00F76D75" w:rsidRPr="009419B6" w:rsidRDefault="00F76D75" w:rsidP="00F76D75">
      <w:pPr>
        <w:pStyle w:val="Textbody"/>
        <w:jc w:val="both"/>
        <w:rPr>
          <w:i/>
          <w:iCs/>
        </w:rPr>
      </w:pPr>
      <w:r w:rsidRPr="009419B6">
        <w:rPr>
          <w:i/>
          <w:iCs/>
        </w:rPr>
        <w:t>Rozszerzona odpowiedzialność wydawców: podstawa interesu gospodarczego</w:t>
      </w:r>
    </w:p>
    <w:p w:rsidR="00F76D75" w:rsidRPr="009419B6" w:rsidRDefault="00F76D75" w:rsidP="00F76D75">
      <w:pPr>
        <w:pStyle w:val="Textbody"/>
        <w:ind w:firstLine="709"/>
        <w:jc w:val="both"/>
      </w:pPr>
      <w:r w:rsidRPr="009419B6">
        <w:t xml:space="preserve">27. Wyrok estońskiego Sądu Najwyższego jest oparty na założeniu, że aktywny pośrednik jest wydawcą. Orzecznictwo Trybunału było dotąd </w:t>
      </w:r>
      <w:r w:rsidRPr="009419B6">
        <w:lastRenderedPageBreak/>
        <w:t>skierowane w przeciwnym kierunku.</w:t>
      </w:r>
      <w:r w:rsidRPr="009419B6">
        <w:rPr>
          <w:rStyle w:val="Odwoanieprzypisudolnego"/>
        </w:rPr>
        <w:footnoteReference w:id="26"/>
      </w:r>
      <w:r w:rsidRPr="009419B6">
        <w:t xml:space="preserve"> Międzynarodowe dokumenty prawne przytoczone przez Trybunał podkreślają znaczenie zróżnicowania ze względu na szczególny charakter technologii internetowej. Jak już wspomniano takie zróżnicowanie zostało uznane kilka miesięcy wcześniej przez Sąd Najwyższy w Estonii. Jednakże w niniejszej sprawie, Sąd Najwyższy Estonii utożsamia wydawców z aktywnymi pośrednikami: "Ze względu na interes ekonomiczny jaki mają w publikacji komentarzy, zarówno wydawcy mediów drukowanych jak i operatorzy porta</w:t>
      </w:r>
      <w:r w:rsidR="00A21A00">
        <w:t>lu internetowego są wydawcami/</w:t>
      </w:r>
      <w:r w:rsidRPr="009419B6">
        <w:t>ujawniającymi a czerpiąc z tych publikacji zyski są przedsiębiorcami" (cyt</w:t>
      </w:r>
      <w:r w:rsidR="007A6140">
        <w:t>.</w:t>
      </w:r>
      <w:r w:rsidRPr="009419B6">
        <w:t xml:space="preserve"> paragraf 112 wyroku). Trybunał nie widzi powodu, by kwestionować powyższe podejście, choć zauważa, że nastąpił "pewien rozwój na rzecz rozróżnienia pomiędzy zasadami prawnymi regulującymi działalność tradycyjnych mediów drukowanych </w:t>
      </w:r>
      <w:r w:rsidR="006139E5">
        <w:br/>
      </w:r>
      <w:r w:rsidRPr="009419B6">
        <w:t xml:space="preserve">i audiowizualnych z jednej strony oraz </w:t>
      </w:r>
      <w:r w:rsidR="00A21A00">
        <w:t>funkcjonowaniu</w:t>
      </w:r>
      <w:r w:rsidRPr="009419B6">
        <w:t xml:space="preserve"> mediów internetowych z drugiej. W związku z tym Trybunał uważa, że z uwagi na szczególny </w:t>
      </w:r>
      <w:r w:rsidRPr="0025261C">
        <w:rPr>
          <w:color w:val="000000"/>
        </w:rPr>
        <w:t>charakter Internetu,  "obowiązki i odpowiedzialność", które mają zostać przyznane internetowemu portalowi informacyjnemu d</w:t>
      </w:r>
      <w:r>
        <w:rPr>
          <w:color w:val="000000"/>
        </w:rPr>
        <w:t>la</w:t>
      </w:r>
      <w:r w:rsidRPr="0025261C">
        <w:rPr>
          <w:color w:val="000000"/>
        </w:rPr>
        <w:t xml:space="preserve"> celów artykułu 10 mogą różnić się w pewnym stopniu od tych obowiązujących tradycyjnego wydawcę, co dotyczy udziału osób </w:t>
      </w:r>
      <w:r>
        <w:rPr>
          <w:color w:val="000000"/>
        </w:rPr>
        <w:t>trzecich w publikowanej treści</w:t>
      </w:r>
      <w:r w:rsidRPr="0025261C">
        <w:rPr>
          <w:color w:val="000000"/>
        </w:rPr>
        <w:t>"</w:t>
      </w:r>
      <w:r>
        <w:rPr>
          <w:color w:val="000000"/>
        </w:rPr>
        <w:t xml:space="preserve"> </w:t>
      </w:r>
      <w:r w:rsidRPr="0025261C">
        <w:rPr>
          <w:color w:val="000000"/>
        </w:rPr>
        <w:t xml:space="preserve">(patrz </w:t>
      </w:r>
      <w:r>
        <w:rPr>
          <w:color w:val="000000"/>
        </w:rPr>
        <w:t>paragraf</w:t>
      </w:r>
      <w:r w:rsidRPr="0025261C">
        <w:rPr>
          <w:color w:val="000000"/>
        </w:rPr>
        <w:t xml:space="preserve"> 113). Nie możemy się nie zgodzić, jednak dla nas jest to niemożliwe, aby patrzeć, jak rozpoznawanie różnicy może spowodować pomijanie wydawców i pośredników wyłącznie na podstawie ich charakteru komercyjnego. Trybunał wydaje się przyjąć jako właściwe i wystarczające stano</w:t>
      </w:r>
      <w:r>
        <w:rPr>
          <w:color w:val="000000"/>
        </w:rPr>
        <w:t xml:space="preserve">wisko Sądu Najwyższego Estonii. </w:t>
      </w:r>
      <w:r w:rsidRPr="0025261C">
        <w:rPr>
          <w:color w:val="000000"/>
        </w:rPr>
        <w:t xml:space="preserve">W tym podejściu, interes ekonomiczny jest wystarczający do utożsamienia aktywnego pośrednika </w:t>
      </w:r>
      <w:r w:rsidR="00491304">
        <w:rPr>
          <w:color w:val="000000"/>
        </w:rPr>
        <w:br/>
      </w:r>
      <w:r w:rsidRPr="0025261C">
        <w:rPr>
          <w:color w:val="000000"/>
        </w:rPr>
        <w:t xml:space="preserve">z wydawcą, chociaż te dwa podmioty zostały uznane za odmienne tylko jedno zdanie wcześniej. Nie istnieje propozycja wyjaśnienia, jak jest to zgodne z punktem </w:t>
      </w:r>
      <w:r w:rsidRPr="009419B6">
        <w:t xml:space="preserve">odniesienia Trybunału, a mianowicie z Zaleceniem Komitetu Ministrów CM / </w:t>
      </w:r>
      <w:proofErr w:type="spellStart"/>
      <w:r w:rsidRPr="009419B6">
        <w:t>Rec</w:t>
      </w:r>
      <w:proofErr w:type="spellEnd"/>
      <w:r w:rsidRPr="009419B6">
        <w:t xml:space="preserve"> (2011)7 (cytowane w paragrafie 46 wyroku), który wzywa do stosowania "stopniowego podejścia” w stosunku do pośrednika. Dodatkowe powody, o których mowa w paragrafach 115-117</w:t>
      </w:r>
      <w:r w:rsidR="00B35276">
        <w:t>, dotyczą</w:t>
      </w:r>
      <w:r w:rsidRPr="009419B6">
        <w:t xml:space="preserve"> zaniepokojeni</w:t>
      </w:r>
      <w:r w:rsidR="00B35276">
        <w:t>a</w:t>
      </w:r>
      <w:r w:rsidRPr="009419B6">
        <w:t xml:space="preserve"> charakterem ekspresji i </w:t>
      </w:r>
      <w:r w:rsidR="005F4BCC">
        <w:t>rozmiarem pośrednictwa</w:t>
      </w:r>
      <w:r w:rsidRPr="009419B6">
        <w:t>, które nie są ani istotne, ani dostatecznie związane z odpowiedzialnością tradycyjnego wydawcy.</w:t>
      </w:r>
    </w:p>
    <w:p w:rsidR="00F76D75" w:rsidRPr="009419B6" w:rsidRDefault="00F76D75" w:rsidP="00F76D75">
      <w:pPr>
        <w:pStyle w:val="Textbody"/>
        <w:ind w:firstLine="709"/>
        <w:jc w:val="both"/>
      </w:pPr>
      <w:r w:rsidRPr="009419B6">
        <w:t xml:space="preserve">28. Aby stwierdzić, że odpowiedzialność prasy (lub jakiegokolwiek nośnika, dla tej sprawy) jest wzmocniona przez obecności interesu gospodarczego nie jest osadzone w orzecznictwie. Prawdą jest, że margines uznania jest szerszy w sferze komercyjnej (patrz </w:t>
      </w:r>
      <w:proofErr w:type="spellStart"/>
      <w:r w:rsidRPr="009419B6">
        <w:rPr>
          <w:i/>
        </w:rPr>
        <w:t>Mouvement</w:t>
      </w:r>
      <w:proofErr w:type="spellEnd"/>
      <w:r w:rsidRPr="009419B6">
        <w:rPr>
          <w:i/>
        </w:rPr>
        <w:t xml:space="preserve"> </w:t>
      </w:r>
      <w:proofErr w:type="spellStart"/>
      <w:r w:rsidRPr="009419B6">
        <w:rPr>
          <w:i/>
        </w:rPr>
        <w:t>raëlien</w:t>
      </w:r>
      <w:proofErr w:type="spellEnd"/>
      <w:r w:rsidRPr="009419B6">
        <w:rPr>
          <w:i/>
        </w:rPr>
        <w:t xml:space="preserve"> </w:t>
      </w:r>
      <w:proofErr w:type="spellStart"/>
      <w:r w:rsidRPr="009419B6">
        <w:rPr>
          <w:i/>
        </w:rPr>
        <w:t>suisse</w:t>
      </w:r>
      <w:proofErr w:type="spellEnd"/>
      <w:r w:rsidRPr="009419B6">
        <w:rPr>
          <w:i/>
        </w:rPr>
        <w:t xml:space="preserve"> </w:t>
      </w:r>
      <w:r w:rsidRPr="009419B6">
        <w:rPr>
          <w:i/>
        </w:rPr>
        <w:lastRenderedPageBreak/>
        <w:t>przeciwko Szwajcarii</w:t>
      </w:r>
      <w:r w:rsidRPr="009419B6">
        <w:t xml:space="preserve"> [GC], nr 16354/06, § 61, ETPCz 2012). "Jest to jednak konieczne, aby ograniczyć zakres marginesu uznania, gdy stawką są nie czysto" komercyjne "wypowiedzi danej osoby, ale jej udział w debacie wpływającej na interes ogólny". (Patrz </w:t>
      </w:r>
      <w:r w:rsidRPr="009419B6">
        <w:rPr>
          <w:i/>
        </w:rPr>
        <w:t>Hertel przeciwko Szwajcarii</w:t>
      </w:r>
      <w:r w:rsidRPr="009419B6">
        <w:t xml:space="preserve">, 25 sierpnia 1998, § 47, </w:t>
      </w:r>
      <w:r w:rsidRPr="009419B6">
        <w:rPr>
          <w:i/>
        </w:rPr>
        <w:t>Raporty orzeczeń i decyzji</w:t>
      </w:r>
      <w:r w:rsidRPr="009419B6">
        <w:t xml:space="preserve"> 1998-VI). Fakt, że oryginalny artykuł i przestrzeń na umieszczanie komentarzy (oferowanych ogółowi społeczeństwa za darmo!) jest częścią działalności gospodarczej operatora portalu informacyjnego nie zmienia </w:t>
      </w:r>
      <w:r w:rsidR="000C394D">
        <w:t>oceny</w:t>
      </w:r>
      <w:r w:rsidRPr="009419B6">
        <w:t xml:space="preserve">. Artykuł i związana </w:t>
      </w:r>
      <w:r w:rsidR="00491304">
        <w:br/>
      </w:r>
      <w:r w:rsidRPr="009419B6">
        <w:t>z nim przestrzeń przeznaczona do publikowania komentarzy są chronione, ponieważ ułatwiają one branie udziału w debacie na gruncie interesu publicznego.</w:t>
      </w:r>
    </w:p>
    <w:p w:rsidR="00F76D75" w:rsidRPr="009419B6" w:rsidRDefault="00F76D75" w:rsidP="00F76D75">
      <w:pPr>
        <w:pStyle w:val="Textbody"/>
        <w:ind w:firstLine="709"/>
        <w:jc w:val="both"/>
      </w:pPr>
      <w:r w:rsidRPr="009419B6">
        <w:t xml:space="preserve">29. W ciągu ostatnich trzystu lat, wiele pomysłów zostało zrodzonych dla pieniędzy, i  nigdy nie zostało to wykorzystane do zmniejszenia poziomu ochrony przyznanej wolności wypowiedzi. Nie żyjemy w świecie arystokracji rzymskich </w:t>
      </w:r>
      <w:proofErr w:type="spellStart"/>
      <w:r w:rsidRPr="009419B6">
        <w:rPr>
          <w:i/>
        </w:rPr>
        <w:t>auctorów</w:t>
      </w:r>
      <w:proofErr w:type="spellEnd"/>
      <w:r w:rsidRPr="009419B6">
        <w:t>,</w:t>
      </w:r>
      <w:r w:rsidRPr="0025261C">
        <w:rPr>
          <w:color w:val="000000"/>
        </w:rPr>
        <w:t xml:space="preserve"> którzy mogli sobie pozwolić, aby nie troszczyć się o </w:t>
      </w:r>
      <w:r w:rsidR="002D3EF6">
        <w:rPr>
          <w:color w:val="000000"/>
        </w:rPr>
        <w:t>finansowe konsekwencje</w:t>
      </w:r>
      <w:r w:rsidRPr="0025261C">
        <w:rPr>
          <w:color w:val="000000"/>
        </w:rPr>
        <w:t xml:space="preserve"> </w:t>
      </w:r>
      <w:r w:rsidR="002D3EF6">
        <w:rPr>
          <w:color w:val="000000"/>
        </w:rPr>
        <w:t>własnych</w:t>
      </w:r>
      <w:r w:rsidRPr="0025261C">
        <w:rPr>
          <w:color w:val="000000"/>
        </w:rPr>
        <w:t xml:space="preserve"> pomysł</w:t>
      </w:r>
      <w:r w:rsidR="002D3EF6">
        <w:rPr>
          <w:color w:val="000000"/>
        </w:rPr>
        <w:t>ów</w:t>
      </w:r>
      <w:r w:rsidRPr="0025261C">
        <w:rPr>
          <w:color w:val="000000"/>
        </w:rPr>
        <w:t xml:space="preserve"> (choć bardzo często byli uzależnieni od cesarskiego zadowolenia). Nie może być wykorzystany przeciwko gazecie lub wydawcy fakt, że działają one na </w:t>
      </w:r>
      <w:r w:rsidR="003C0911">
        <w:rPr>
          <w:color w:val="000000"/>
        </w:rPr>
        <w:t>komercyjnym rynku</w:t>
      </w:r>
      <w:r w:rsidRPr="0025261C">
        <w:rPr>
          <w:color w:val="000000"/>
        </w:rPr>
        <w:t xml:space="preserve"> jak przedsiębiorstwa handlowe. Nie można oczekiwać, materializowania pomysłów za darmo. Nie będzie generowania idei bez odpowiednich środków finansowych; nagroda materialna i komercyjny charakter </w:t>
      </w:r>
      <w:r w:rsidRPr="009419B6">
        <w:t>przedsięwzięcia prasowego nie jest (i nie może być) podstawą do zmniejszenia poziomu ochrony prasy. Informacja jest kosztowna; jej efektywna komunikacja nie jest zwykłym hobby. Ta sama platforma, która jest rozumiana jako komercyjna, a zatem podlegająca zwiększonej odpowiedzialności, jest również platformą dla wzmocnionej, interaktywnej dyskusji na gruncie interesu publicznego. Ten aspekt nie został wzięty pod uwagę przy bilansowaniu zagadnienia.</w:t>
      </w:r>
    </w:p>
    <w:p w:rsidR="00F76D75" w:rsidRPr="009419B6" w:rsidRDefault="00F76D75" w:rsidP="00F76D75">
      <w:pPr>
        <w:pStyle w:val="Textbody"/>
        <w:ind w:firstLine="709"/>
        <w:jc w:val="both"/>
      </w:pPr>
      <w:r w:rsidRPr="009419B6">
        <w:t>30. Jednakże Trybunał przewiduje co najmniej jeden istotny wzgląd dotyczący rozszerzenia odpowiedzialności aktywnego pośrednika. Prawdą jest, że aktywny pośrednik może sprawować kontrolę nad komentarzami, które pojawiają się na jego stronie. Jest również prawdą, że poprzez tworzenie przestrzeni dla komentarzy i zachęcając użytkowników do udziału w dyskusji, angaż</w:t>
      </w:r>
      <w:r w:rsidR="009B4C46">
        <w:t>uje się w ekspresyjną aktywność</w:t>
      </w:r>
      <w:r w:rsidRPr="009419B6">
        <w:t>, która pociąga za sobą odpowiedzialność. Jednak natura tej kontroli nie oznacza utożsamiania pośrednika  z tradycyjnym wydawcą.</w:t>
      </w:r>
    </w:p>
    <w:p w:rsidR="00F76D75" w:rsidRPr="0025261C" w:rsidRDefault="00F76D75" w:rsidP="00F76D75">
      <w:pPr>
        <w:pStyle w:val="Textbody"/>
        <w:ind w:firstLine="709"/>
        <w:jc w:val="both"/>
        <w:rPr>
          <w:color w:val="000000"/>
        </w:rPr>
      </w:pPr>
      <w:r w:rsidRPr="009419B6">
        <w:t>31. Istnieją dodatkowe różnice między wydawcą (rozumianym  tu jako redaktor gazety, ktoś, kto kontroluje zawartość) i</w:t>
      </w:r>
      <w:r w:rsidRPr="0025261C">
        <w:rPr>
          <w:color w:val="000000"/>
        </w:rPr>
        <w:t xml:space="preserve"> aktywnym pośrednikiem</w:t>
      </w:r>
      <w:r>
        <w:rPr>
          <w:color w:val="000000"/>
        </w:rPr>
        <w:t>:</w:t>
      </w:r>
    </w:p>
    <w:p w:rsidR="00F76D75" w:rsidRPr="0025261C" w:rsidRDefault="00F76D75" w:rsidP="00F76D75">
      <w:pPr>
        <w:pStyle w:val="Textbody"/>
        <w:ind w:left="567"/>
        <w:jc w:val="both"/>
        <w:rPr>
          <w:color w:val="000000"/>
        </w:rPr>
      </w:pPr>
      <w:r>
        <w:rPr>
          <w:color w:val="000000"/>
        </w:rPr>
        <w:t>(a</w:t>
      </w:r>
      <w:r w:rsidRPr="0025261C">
        <w:rPr>
          <w:color w:val="000000"/>
        </w:rPr>
        <w:t>) w gazecie dziennikarz jest zazwyczaj pracownikiem (chociaż istnieją powody, aby chronić dziennikarza przed  swoim wydawcą / pracodawcą);</w:t>
      </w:r>
    </w:p>
    <w:p w:rsidR="00F76D75" w:rsidRPr="0025261C" w:rsidRDefault="00F76D75" w:rsidP="00F76D75">
      <w:pPr>
        <w:pStyle w:val="Textbody"/>
        <w:ind w:left="567"/>
        <w:jc w:val="both"/>
        <w:rPr>
          <w:color w:val="000000"/>
        </w:rPr>
      </w:pPr>
      <w:r>
        <w:rPr>
          <w:color w:val="000000"/>
        </w:rPr>
        <w:lastRenderedPageBreak/>
        <w:t>(b</w:t>
      </w:r>
      <w:r w:rsidRPr="0025261C">
        <w:rPr>
          <w:color w:val="000000"/>
        </w:rPr>
        <w:t>) co do zasady, redaktor jest w stanie z góry przewidzieć treść artykułu do publikacji i ma moc decyzyjną oraz środki do kontrolowania publikacji z wyprzedzeniem.</w:t>
      </w:r>
    </w:p>
    <w:p w:rsidR="00F76D75" w:rsidRPr="009419B6" w:rsidRDefault="00F76D75" w:rsidP="00F76D75">
      <w:pPr>
        <w:pStyle w:val="Textbody"/>
        <w:ind w:firstLine="567"/>
        <w:jc w:val="both"/>
      </w:pPr>
      <w:r w:rsidRPr="0025261C">
        <w:rPr>
          <w:color w:val="000000"/>
        </w:rPr>
        <w:t xml:space="preserve">W przeciwieństwie do </w:t>
      </w:r>
      <w:r>
        <w:rPr>
          <w:color w:val="000000"/>
        </w:rPr>
        <w:t xml:space="preserve">przypadku wydawcy, elementy te tylko częściowo </w:t>
      </w:r>
      <w:r w:rsidRPr="009419B6">
        <w:t xml:space="preserve">występują w przypadku aktywnych pośredników, którzy “goszczą” własne treści i aktywnie monitorują wszystkie dane (to znaczy, są w stanie je odczytać i usunąć je po tym, jak dane są udostępnione), tak jak w przypadku </w:t>
      </w:r>
      <w:proofErr w:type="spellStart"/>
      <w:r w:rsidRPr="009419B6">
        <w:t>Delfi</w:t>
      </w:r>
      <w:proofErr w:type="spellEnd"/>
      <w:r w:rsidRPr="009419B6">
        <w:t>. Aktywny pośrednik ma możliwość uprzedniej kontroli tylko w takim stopniu, na jaki pozwala mechanizm filtrowania. Ma również prawo do usuwania wiadomości lub zablokowania dostępu do niej. Jednak w normalnych warunkach aktywny pośrednik nie ma osobistej kontroli nad osobą, która publikuje wiadomość. Autor komentarzy nie jest pracownikiem wydawcy i w większości przypadków nie jest znany wydawcy. Publikacja następuje bez decyzji redakcji. Stąd poziom wiedzy i kontroli różni się znacząco.</w:t>
      </w:r>
    </w:p>
    <w:p w:rsidR="00F76D75" w:rsidRPr="009419B6" w:rsidRDefault="00F76D75" w:rsidP="00F76D75">
      <w:pPr>
        <w:pStyle w:val="Textbody"/>
        <w:ind w:firstLine="567"/>
        <w:jc w:val="both"/>
      </w:pPr>
      <w:r w:rsidRPr="009419B6">
        <w:t xml:space="preserve">32.  Kontrola zakłada wiedzę. W związku </w:t>
      </w:r>
      <w:r w:rsidR="00C41BFE">
        <w:t>z tym różnica między redaktorem/</w:t>
      </w:r>
      <w:r w:rsidRPr="009419B6">
        <w:t>wydawcą i aktywnym pośrednikiem jest oczywista.</w:t>
      </w:r>
    </w:p>
    <w:p w:rsidR="00F76D75" w:rsidRPr="009419B6" w:rsidRDefault="00F76D75" w:rsidP="00F76D75">
      <w:pPr>
        <w:pStyle w:val="Textbody"/>
        <w:jc w:val="both"/>
      </w:pPr>
    </w:p>
    <w:p w:rsidR="009419B6" w:rsidRDefault="009419B6" w:rsidP="00F76D75">
      <w:pPr>
        <w:pStyle w:val="Textbody"/>
        <w:jc w:val="both"/>
        <w:rPr>
          <w:i/>
          <w:iCs/>
          <w:color w:val="000000"/>
        </w:rPr>
      </w:pPr>
    </w:p>
    <w:p w:rsidR="00F76D75" w:rsidRPr="0025261C" w:rsidRDefault="00F76D75" w:rsidP="00F76D75">
      <w:pPr>
        <w:pStyle w:val="Textbody"/>
        <w:jc w:val="both"/>
        <w:rPr>
          <w:i/>
          <w:iCs/>
          <w:color w:val="000000"/>
        </w:rPr>
      </w:pPr>
      <w:r w:rsidRPr="0025261C">
        <w:rPr>
          <w:i/>
          <w:iCs/>
          <w:color w:val="000000"/>
        </w:rPr>
        <w:t>Poziom odpowiedzialności</w:t>
      </w:r>
    </w:p>
    <w:p w:rsidR="00F76D75" w:rsidRPr="0025261C" w:rsidRDefault="00F76D75" w:rsidP="00F76D75">
      <w:pPr>
        <w:pStyle w:val="Textbody"/>
        <w:ind w:firstLine="709"/>
        <w:jc w:val="both"/>
        <w:rPr>
          <w:color w:val="000000"/>
        </w:rPr>
      </w:pPr>
      <w:r w:rsidRPr="0025261C">
        <w:rPr>
          <w:color w:val="000000"/>
        </w:rPr>
        <w:t xml:space="preserve">33. Podczas gdy spółka </w:t>
      </w:r>
      <w:proofErr w:type="spellStart"/>
      <w:r w:rsidRPr="0025261C">
        <w:rPr>
          <w:color w:val="000000"/>
        </w:rPr>
        <w:t>Delfi</w:t>
      </w:r>
      <w:proofErr w:type="spellEnd"/>
      <w:r w:rsidRPr="0025261C">
        <w:rPr>
          <w:color w:val="000000"/>
        </w:rPr>
        <w:t xml:space="preserve"> nie może być zdefiniowana jako wydawca, firma  dobrowolnie zapewnia przestrzeń do publikacji komentarzy i nawet jeśli działalność ta jest kwestią swobody wypowiedzi </w:t>
      </w:r>
      <w:r w:rsidR="00816D04">
        <w:rPr>
          <w:color w:val="000000"/>
        </w:rPr>
        <w:br/>
      </w:r>
      <w:r w:rsidRPr="0025261C">
        <w:rPr>
          <w:color w:val="000000"/>
        </w:rPr>
        <w:t>o charakterze publicystycznym, to nie zwalnia tej aktywności od odpowiedzialności. Ustawa o usługach Społeczeństwa Informacyjnego przewiduje taką odpowiedzialność, między innymi przechowywanie, jak to ma miejsce w tym przypadku. Ustawa opiera odpowiedzialności na "rzeczywistej wiedzy" i pociąga za sobą obowiązek szybkiego usunięcia komentarza. Trybunał uznał to za niewystarczające</w:t>
      </w:r>
      <w:r>
        <w:rPr>
          <w:color w:val="000000"/>
        </w:rPr>
        <w:t>.</w:t>
      </w:r>
    </w:p>
    <w:p w:rsidR="00F76D75" w:rsidRPr="0025261C" w:rsidRDefault="00F76D75" w:rsidP="00F76D75">
      <w:pPr>
        <w:pStyle w:val="Textbody"/>
        <w:ind w:firstLine="709"/>
        <w:jc w:val="both"/>
        <w:rPr>
          <w:color w:val="000000"/>
        </w:rPr>
      </w:pPr>
      <w:r w:rsidRPr="0025261C">
        <w:rPr>
          <w:color w:val="000000"/>
        </w:rPr>
        <w:t>34. Trybunał stwierdza, że jest to właściwe  i wystarczające, że Sąd Najwyższy ograniczył odpowiedzialność skarżącej spółki do odpowiedzialności</w:t>
      </w:r>
      <w:r>
        <w:rPr>
          <w:color w:val="000000"/>
        </w:rPr>
        <w:t xml:space="preserve"> za post-publikacje. </w:t>
      </w:r>
      <w:r w:rsidRPr="0025261C">
        <w:rPr>
          <w:color w:val="000000"/>
        </w:rPr>
        <w:t xml:space="preserve">W cytowanym </w:t>
      </w:r>
      <w:r>
        <w:rPr>
          <w:color w:val="000000"/>
        </w:rPr>
        <w:t>paragrafie</w:t>
      </w:r>
      <w:r w:rsidRPr="0025261C">
        <w:rPr>
          <w:color w:val="000000"/>
        </w:rPr>
        <w:t xml:space="preserve"> 153 tego wyroku Sąd Najwyższy stwierdził jednak, że skarżąca spółka "powinna </w:t>
      </w:r>
      <w:r w:rsidRPr="003A47F9">
        <w:rPr>
          <w:color w:val="000000"/>
          <w:u w:val="single"/>
        </w:rPr>
        <w:t>zapobiec</w:t>
      </w:r>
      <w:r w:rsidRPr="0025261C">
        <w:rPr>
          <w:color w:val="000000"/>
        </w:rPr>
        <w:t xml:space="preserve"> publikacji komentarzy". "Stwierdził również, iż</w:t>
      </w:r>
      <w:r>
        <w:rPr>
          <w:color w:val="000000"/>
        </w:rPr>
        <w:t xml:space="preserve"> "</w:t>
      </w:r>
      <w:r w:rsidRPr="0025261C">
        <w:rPr>
          <w:color w:val="000000"/>
        </w:rPr>
        <w:t>fakt  istnienia obowiązku usunięcia po ujawnieniu nie zmienia pierwszego oświadczenia.</w:t>
      </w:r>
      <w:r>
        <w:rPr>
          <w:color w:val="000000"/>
        </w:rPr>
        <w:t xml:space="preserve"> </w:t>
      </w:r>
      <w:r w:rsidRPr="0025261C">
        <w:rPr>
          <w:color w:val="000000"/>
        </w:rPr>
        <w:t>Zarówno odpowiedzialność przed i po ujawnieniu są tu popierane  i  nie można tego nie brać pod uwagę oceniając "wystarczające powody".</w:t>
      </w:r>
      <w:r>
        <w:rPr>
          <w:rStyle w:val="Odwoanieprzypisudolnego"/>
          <w:color w:val="000000"/>
        </w:rPr>
        <w:footnoteReference w:id="27"/>
      </w:r>
      <w:r w:rsidRPr="0025261C">
        <w:rPr>
          <w:color w:val="000000"/>
        </w:rPr>
        <w:t xml:space="preserve"> </w:t>
      </w:r>
      <w:r w:rsidRPr="0025261C">
        <w:rPr>
          <w:color w:val="000000"/>
        </w:rPr>
        <w:lastRenderedPageBreak/>
        <w:t xml:space="preserve">Zgodnie z tą normą spółka </w:t>
      </w:r>
      <w:proofErr w:type="spellStart"/>
      <w:r>
        <w:rPr>
          <w:color w:val="000000"/>
        </w:rPr>
        <w:t>Delfi</w:t>
      </w:r>
      <w:proofErr w:type="spellEnd"/>
      <w:r>
        <w:rPr>
          <w:color w:val="000000"/>
        </w:rPr>
        <w:t xml:space="preserve"> została uznana za winną</w:t>
      </w:r>
      <w:r w:rsidRPr="0025261C">
        <w:rPr>
          <w:color w:val="000000"/>
        </w:rPr>
        <w:t xml:space="preserve"> ujawniania informacji, które nie mogły być cofnięte przez usunięcie komentarza na życzenie.</w:t>
      </w:r>
    </w:p>
    <w:p w:rsidR="00F76D75" w:rsidRPr="009419B6" w:rsidRDefault="00F76D75" w:rsidP="00F76D75">
      <w:pPr>
        <w:pStyle w:val="Textbody"/>
        <w:ind w:firstLine="709"/>
        <w:jc w:val="both"/>
      </w:pPr>
      <w:r w:rsidRPr="0025261C">
        <w:rPr>
          <w:color w:val="000000"/>
        </w:rPr>
        <w:t xml:space="preserve">35. Obowiązek usunięcia obraźliwych komentarzy bez faktycznej wiedzy o ich istnieniu i natychmiast po ich publikacji oznacza, że aktywny pośrednik musi zapewnić nadzór 24/7. Ze względów praktycznych, jest to bezwzględna odpowiedzialność na zasadzie ryzyka, która w żadnym sensie nie różni się od ram uprzedniego ograniczenia. </w:t>
      </w:r>
      <w:r w:rsidRPr="009419B6">
        <w:t>Brak jest uzasadnienia, dlaczego tylko ten poziom odpowiedzialności spełnia ochronę istotnych interesów.</w:t>
      </w:r>
    </w:p>
    <w:p w:rsidR="00F76D75" w:rsidRPr="0025261C" w:rsidRDefault="00F76D75" w:rsidP="00F76D75">
      <w:pPr>
        <w:pStyle w:val="Textbody"/>
        <w:ind w:firstLine="709"/>
        <w:jc w:val="both"/>
        <w:rPr>
          <w:color w:val="000000"/>
        </w:rPr>
      </w:pPr>
      <w:r w:rsidRPr="009419B6">
        <w:t xml:space="preserve">36. </w:t>
      </w:r>
      <w:r w:rsidRPr="00DF1350">
        <w:t xml:space="preserve">Czy istnieją wystarczające </w:t>
      </w:r>
      <w:r w:rsidRPr="009419B6">
        <w:t>powody stosowania odpowiedzialności na zasadzie ryzyka,</w:t>
      </w:r>
      <w:r w:rsidRPr="009419B6">
        <w:rPr>
          <w:rStyle w:val="Odwoanieprzypisudolnego"/>
        </w:rPr>
        <w:footnoteReference w:id="28"/>
      </w:r>
      <w:r w:rsidRPr="009419B6">
        <w:t xml:space="preserve"> zawarte w przepisach kodeksu cywilnego? Trybunał dokonał przeglądu środków zapobiegawczych stosowanych przez </w:t>
      </w:r>
      <w:proofErr w:type="spellStart"/>
      <w:r w:rsidRPr="009419B6">
        <w:t>Delfi</w:t>
      </w:r>
      <w:proofErr w:type="spellEnd"/>
      <w:r w:rsidRPr="009419B6">
        <w:t xml:space="preserve"> i uznał je za niewystarczające. Były to dość</w:t>
      </w:r>
      <w:r w:rsidRPr="0025261C">
        <w:rPr>
          <w:color w:val="000000"/>
        </w:rPr>
        <w:t xml:space="preserve"> standardowe środki: zrzeczenie co do nielegalności, mechanizm filtrowania, oddzielanie przestrzeni przeznaczonej na komentarz od artykułu </w:t>
      </w:r>
      <w:r w:rsidR="007E739D">
        <w:rPr>
          <w:color w:val="000000"/>
        </w:rPr>
        <w:br/>
      </w:r>
      <w:r w:rsidRPr="0025261C">
        <w:rPr>
          <w:color w:val="000000"/>
        </w:rPr>
        <w:t>i natychmiastowe usunięcie po zawiadomieniu. Rozstrzygającym dla Trybunału był fakt, że mechanizm filtrowania zawiódł. Nie ma oceny adekwat</w:t>
      </w:r>
      <w:r>
        <w:rPr>
          <w:color w:val="000000"/>
        </w:rPr>
        <w:t>ności mechanizmu filtrującego (</w:t>
      </w:r>
      <w:r w:rsidRPr="0025261C">
        <w:rPr>
          <w:color w:val="000000"/>
        </w:rPr>
        <w:t>czy może istnieć obowiązek zastosowania nowoczesnych systemów. Czy jest jakiś powód do pociągnięcia do odpowiedzialności mimo nowoczesnych system</w:t>
      </w:r>
      <w:r>
        <w:rPr>
          <w:color w:val="000000"/>
        </w:rPr>
        <w:t xml:space="preserve">ów filtrowania?). Sam Trybunał </w:t>
      </w:r>
      <w:r w:rsidRPr="0025261C">
        <w:rPr>
          <w:color w:val="000000"/>
        </w:rPr>
        <w:t xml:space="preserve">twierdzi, że filtrowanie musiało być prostym zadaniem i że system zawiódł. Brak ekspertyzy oraz badań krzyżowych. Jesteśmy po prostu pewni, że utworzenie specjalnego zespołu moderatorów nie jest "prywatną cenzurą". Brak rozważenia możliwości środków mniej inwazyjnych; tylko usunięcie "niezwłocznie", czyli od momentu umieszczenia (patrz </w:t>
      </w:r>
      <w:r>
        <w:rPr>
          <w:color w:val="000000"/>
        </w:rPr>
        <w:t>paragraf</w:t>
      </w:r>
      <w:r w:rsidRPr="0025261C">
        <w:rPr>
          <w:color w:val="000000"/>
        </w:rPr>
        <w:t xml:space="preserve"> 159), spełnia cel wyeliminowania mowy nienawiści i jej skutków.</w:t>
      </w:r>
      <w:r>
        <w:rPr>
          <w:rStyle w:val="Odwoanieprzypisudolnego"/>
          <w:color w:val="000000"/>
        </w:rPr>
        <w:footnoteReference w:id="29"/>
      </w:r>
      <w:r w:rsidRPr="0025261C">
        <w:rPr>
          <w:color w:val="000000"/>
        </w:rPr>
        <w:t xml:space="preserve"> Ten nienasycony apetyt na ochronę </w:t>
      </w:r>
      <w:r w:rsidRPr="0025261C">
        <w:rPr>
          <w:color w:val="000000"/>
        </w:rPr>
        <w:lastRenderedPageBreak/>
        <w:t>zapobiegawczą skutkuje pokrętnym rozumowaniem: wydawca ponosi podobną odpowiedzialność, więc aktywny pośrednik jest jak wydawca.</w:t>
      </w:r>
    </w:p>
    <w:p w:rsidR="00F76D75" w:rsidRPr="009419B6" w:rsidRDefault="00F76D75" w:rsidP="00F76D75">
      <w:pPr>
        <w:pStyle w:val="Standard"/>
        <w:spacing w:after="240"/>
        <w:ind w:firstLine="709"/>
        <w:jc w:val="both"/>
      </w:pPr>
      <w:r w:rsidRPr="0025261C">
        <w:t xml:space="preserve">37. Ani sądy krajowe, ani </w:t>
      </w:r>
      <w:r w:rsidR="007E739D">
        <w:t>rozstrzygnięcie</w:t>
      </w:r>
      <w:r w:rsidRPr="0025261C">
        <w:t xml:space="preserve"> nie zapewnia wystarczającego i o</w:t>
      </w:r>
      <w:r>
        <w:t xml:space="preserve">dpowiedniego </w:t>
      </w:r>
      <w:r w:rsidRPr="009419B6">
        <w:t>uzasadnienia</w:t>
      </w:r>
      <w:r w:rsidR="00AE4910">
        <w:t xml:space="preserve"> dla</w:t>
      </w:r>
      <w:r w:rsidRPr="009419B6">
        <w:t xml:space="preserve"> </w:t>
      </w:r>
      <w:r w:rsidRPr="009419B6">
        <w:rPr>
          <w:i/>
        </w:rPr>
        <w:t xml:space="preserve">de facto </w:t>
      </w:r>
      <w:r w:rsidRPr="009419B6">
        <w:t xml:space="preserve">odpowiedzialności na zasadzie ryzyka. Trybunał był usatysfakcjonowany, że mógł znaleźć odpowiednie i wystarczające uzasadnienie w wyroku  </w:t>
      </w:r>
      <w:r w:rsidR="00AE4910">
        <w:t>e</w:t>
      </w:r>
      <w:r w:rsidRPr="009419B6">
        <w:t>stońskiego Sądu Najwyższego w obliczu skrajnego charakteru komentarzy. Charakter działalności handlowej, niedostatek środków stosowanych przez skarżącą spółkę, ko</w:t>
      </w:r>
      <w:r w:rsidR="00AE70B4">
        <w:t>rzyści wynikające z zapewnienia</w:t>
      </w:r>
      <w:r w:rsidRPr="009419B6">
        <w:t xml:space="preserve"> realistycznej perspektywy autorom takich komentarzy byc</w:t>
      </w:r>
      <w:r w:rsidR="00AE70B4">
        <w:t>ia</w:t>
      </w:r>
      <w:r w:rsidRPr="009419B6">
        <w:t xml:space="preserve"> pociągniętym do odpowiedzialności i łagodność sankcji. Najwyraźniej są to powody, które zmusiły Trybunał do poparcia konstruktywnej wiedzy. Trybunał stwierdził, że absolutny obowiązek  natychmi</w:t>
      </w:r>
      <w:r w:rsidRPr="00FA02F4">
        <w:t>a</w:t>
      </w:r>
      <w:r w:rsidRPr="009419B6">
        <w:t xml:space="preserve">stowego zdjęcia publikacji (środek stosowany w stosunku do spółki </w:t>
      </w:r>
      <w:r w:rsidRPr="00FA02F4">
        <w:t>skarżącej) był proporcjonalny do potrzeby ochrony jednostki przed mową nienaw</w:t>
      </w:r>
      <w:r w:rsidRPr="009419B6">
        <w:t>iści.</w:t>
      </w:r>
    </w:p>
    <w:p w:rsidR="00F76D75" w:rsidRPr="00A871D2" w:rsidRDefault="00F76D75" w:rsidP="00F76D75">
      <w:pPr>
        <w:pStyle w:val="Textbody"/>
        <w:ind w:firstLine="709"/>
        <w:jc w:val="both"/>
      </w:pPr>
      <w:r w:rsidRPr="0025261C">
        <w:t>38. T</w:t>
      </w:r>
      <w:r w:rsidR="00AE70B4">
        <w:t>wierdzimy, zgodnie z cytowanymi</w:t>
      </w:r>
      <w:r w:rsidRPr="0025261C">
        <w:t xml:space="preserve"> międzynarodowymi  dokumentami</w:t>
      </w:r>
      <w:r w:rsidRPr="00A871D2">
        <w:t xml:space="preserve">, że aktywny pośrednik, który zapewnia przestrzeń dla komentarzy nie może ponosić absolutnej odpowiedzialności </w:t>
      </w:r>
      <w:r w:rsidR="00AC094B">
        <w:t>–</w:t>
      </w:r>
      <w:r w:rsidRPr="00A871D2">
        <w:t xml:space="preserve"> </w:t>
      </w:r>
      <w:r w:rsidR="00AC094B">
        <w:t xml:space="preserve">polegającej na </w:t>
      </w:r>
      <w:r w:rsidRPr="00A871D2">
        <w:t>absolutny</w:t>
      </w:r>
      <w:r w:rsidR="00AC094B">
        <w:t>m</w:t>
      </w:r>
      <w:r w:rsidRPr="00A871D2">
        <w:t xml:space="preserve"> obowiąz</w:t>
      </w:r>
      <w:r w:rsidR="00AC094B">
        <w:t>ku</w:t>
      </w:r>
      <w:r w:rsidRPr="00A871D2">
        <w:t xml:space="preserve"> wiedzy lub w praktyce interpretowa</w:t>
      </w:r>
      <w:r w:rsidR="00343759">
        <w:t>ć</w:t>
      </w:r>
      <w:r w:rsidRPr="00A871D2">
        <w:t xml:space="preserve"> (konstruktywn</w:t>
      </w:r>
      <w:r w:rsidR="00343759">
        <w:t>ą) wiedzę</w:t>
      </w:r>
      <w:r w:rsidRPr="00A871D2">
        <w:t xml:space="preserve">. Ochrona wolności słowa nie może być w </w:t>
      </w:r>
      <w:r w:rsidR="00AC094B">
        <w:t>praktyce</w:t>
      </w:r>
      <w:r w:rsidRPr="00A871D2">
        <w:t xml:space="preserve"> przekształcona w nakładanie obowiązków. Klauzula o "obowiązkach i odpowiedzialności" z Artykuł 10 § 2, nie</w:t>
      </w:r>
      <w:r w:rsidRPr="0025261C">
        <w:t xml:space="preserve"> jest przepisem samodzielnym. </w:t>
      </w:r>
      <w:r w:rsidR="00BF424C">
        <w:br/>
      </w:r>
      <w:r w:rsidRPr="0025261C">
        <w:t xml:space="preserve">Jest tu umieszczona, aby wyjaśnić, dlaczego korzystanie z </w:t>
      </w:r>
      <w:r w:rsidRPr="00A871D2">
        <w:t>wolności o której mowa może podlegać ograniczeniom, które muszą być konieczne w demokratycznym społeczeństwie. To jest to tylko część równoważni, która jest wymagana przez artykuł 10 § 2.</w:t>
      </w:r>
    </w:p>
    <w:p w:rsidR="00F76D75" w:rsidRPr="0025261C" w:rsidRDefault="00F76D75" w:rsidP="00F76D75">
      <w:pPr>
        <w:pStyle w:val="Textbody"/>
        <w:ind w:firstLine="709"/>
        <w:jc w:val="both"/>
      </w:pPr>
    </w:p>
    <w:p w:rsidR="00F76D75" w:rsidRPr="0025261C" w:rsidRDefault="00F76D75" w:rsidP="00F76D75">
      <w:pPr>
        <w:pStyle w:val="Textbody"/>
        <w:jc w:val="both"/>
        <w:rPr>
          <w:i/>
          <w:iCs/>
        </w:rPr>
      </w:pPr>
      <w:r w:rsidRPr="0025261C">
        <w:rPr>
          <w:i/>
          <w:iCs/>
        </w:rPr>
        <w:t>Brak równowagi</w:t>
      </w:r>
    </w:p>
    <w:p w:rsidR="00F76D75" w:rsidRPr="0025261C" w:rsidRDefault="00F76D75" w:rsidP="00F76D75">
      <w:pPr>
        <w:pStyle w:val="Textbody"/>
        <w:ind w:firstLine="709"/>
        <w:jc w:val="both"/>
      </w:pPr>
      <w:r w:rsidRPr="0025261C">
        <w:t>39. Jeśli stosuje się podejście równowagi, wtedy również druga strona równowagi musi być brana pod uwagę. Zgodnie z orzecznictwem, musi istnieć odpowiednie uwzględnienie następujących czynników, między innymi:</w:t>
      </w:r>
    </w:p>
    <w:p w:rsidR="00F76D75" w:rsidRPr="0025261C" w:rsidRDefault="00F76D75" w:rsidP="00F76D75">
      <w:pPr>
        <w:pStyle w:val="Textbody"/>
        <w:ind w:left="567" w:firstLine="142"/>
        <w:jc w:val="both"/>
        <w:rPr>
          <w:sz w:val="20"/>
          <w:szCs w:val="20"/>
        </w:rPr>
      </w:pPr>
      <w:r w:rsidRPr="0025261C">
        <w:t xml:space="preserve">- </w:t>
      </w:r>
      <w:r>
        <w:t>i</w:t>
      </w:r>
      <w:r w:rsidRPr="0025261C">
        <w:t>ngerencja dotyczy prasy i dziennikarstw</w:t>
      </w:r>
      <w:r w:rsidR="002C4DC4">
        <w:t xml:space="preserve">a. </w:t>
      </w:r>
      <w:proofErr w:type="spellStart"/>
      <w:r w:rsidR="002C4DC4">
        <w:t>Delfi</w:t>
      </w:r>
      <w:proofErr w:type="spellEnd"/>
      <w:r w:rsidR="002C4DC4">
        <w:t xml:space="preserve"> prowadziła działalność</w:t>
      </w:r>
      <w:r w:rsidRPr="0025261C">
        <w:t xml:space="preserve"> dziennikarską, zarówno  dostarczając portal informacyjny oraz poprzez udostępnienie przestrzeni na publikację  komentarzy dotyczących artykułu. Dziennikarstwo nie jest zwolnione z odpowiedzialności, ale wyzwala ściślejszą kontrolę. "</w:t>
      </w:r>
      <w:r>
        <w:t>Art</w:t>
      </w:r>
      <w:r>
        <w:rPr>
          <w:color w:val="FF0000"/>
        </w:rPr>
        <w:t>.</w:t>
      </w:r>
      <w:r w:rsidRPr="0025261C">
        <w:t xml:space="preserve"> 10 chroni dziennikarzy, że w przypadku relacjonowania kwestii użyteczności publicznej zastrzega się, że działają w dobrej wierze i na podstawie stanu faktycznego i zapewniają" wiarygodne i dokładne "informacje zgodnie z etyką dziennikarską "(</w:t>
      </w:r>
      <w:proofErr w:type="spellStart"/>
      <w:r>
        <w:rPr>
          <w:i/>
        </w:rPr>
        <w:t>Stoll</w:t>
      </w:r>
      <w:proofErr w:type="spellEnd"/>
      <w:r>
        <w:rPr>
          <w:i/>
        </w:rPr>
        <w:t xml:space="preserve"> przeciwko</w:t>
      </w:r>
      <w:r w:rsidRPr="00882760">
        <w:rPr>
          <w:i/>
        </w:rPr>
        <w:t xml:space="preserve"> Szwajcari</w:t>
      </w:r>
      <w:r>
        <w:rPr>
          <w:i/>
        </w:rPr>
        <w:t>i</w:t>
      </w:r>
      <w:r w:rsidRPr="0025261C">
        <w:t xml:space="preserve"> [GC], no. </w:t>
      </w:r>
      <w:r w:rsidRPr="0025261C">
        <w:lastRenderedPageBreak/>
        <w:t xml:space="preserve">69698/01, § 103, </w:t>
      </w:r>
      <w:r>
        <w:t>ETPCz</w:t>
      </w:r>
      <w:r w:rsidRPr="0025261C">
        <w:t xml:space="preserve"> 2007 V).</w:t>
      </w:r>
      <w:r>
        <w:rPr>
          <w:rStyle w:val="Odwoanieprzypisudolnego"/>
        </w:rPr>
        <w:footnoteReference w:id="30"/>
      </w:r>
      <w:r w:rsidRPr="0025261C">
        <w:t xml:space="preserve"> Brak w wyroku uwzględnienia dobrej wiary. Ponadto, jeśli chodzi o dziennikarstwo internetowe  i odpowiedzialność aktywnego pośrednika, należną uwagę należy zwrócić na rolę samoregulacji zawodu;</w:t>
      </w:r>
    </w:p>
    <w:p w:rsidR="00F76D75" w:rsidRPr="0025261C" w:rsidRDefault="00F76D75" w:rsidP="00F76D75">
      <w:pPr>
        <w:pStyle w:val="Textbody"/>
        <w:ind w:left="567" w:firstLine="142"/>
        <w:jc w:val="both"/>
      </w:pPr>
      <w:r>
        <w:t>- T</w:t>
      </w:r>
      <w:r w:rsidRPr="0025261C">
        <w:t>rybunał orzekł, że "kara dla dziennikarza za pomoc w rozpowszechnianiu wypowiedzi udzielonej przez  inną osobę w wywiadzie poważnie utrudniłaby wkład prasy do dyskusji o sprawach leżących w interesie publicznym i nie powinna być przewidziana o ile nie są s</w:t>
      </w:r>
      <w:r>
        <w:t>zczególnie silne ku temu powody</w:t>
      </w:r>
      <w:r w:rsidRPr="0025261C">
        <w:t>"</w:t>
      </w:r>
      <w:r>
        <w:t xml:space="preserve"> </w:t>
      </w:r>
      <w:r w:rsidRPr="0025261C">
        <w:t xml:space="preserve">(patrz </w:t>
      </w:r>
      <w:proofErr w:type="spellStart"/>
      <w:r>
        <w:rPr>
          <w:i/>
        </w:rPr>
        <w:t>Jersild</w:t>
      </w:r>
      <w:proofErr w:type="spellEnd"/>
      <w:r>
        <w:rPr>
          <w:i/>
        </w:rPr>
        <w:t xml:space="preserve"> przeciwko</w:t>
      </w:r>
      <w:r w:rsidRPr="0070039E">
        <w:rPr>
          <w:i/>
        </w:rPr>
        <w:t xml:space="preserve"> Dani</w:t>
      </w:r>
      <w:r>
        <w:rPr>
          <w:i/>
        </w:rPr>
        <w:t>i</w:t>
      </w:r>
      <w:r w:rsidRPr="0025261C">
        <w:t>, 23 w</w:t>
      </w:r>
      <w:r>
        <w:t>rześnia 1994, § 35, Seria A, nr</w:t>
      </w:r>
      <w:r w:rsidRPr="0025261C">
        <w:t xml:space="preserve"> 298). Trybunał uznał to za odpowiednią zasadę i zgadzamy się, że jest to ważne dla prasy, w tym portali informacyjnych i aktywnych pośredników. Jednak zasada ta nie została po prostu  omówiona w wyroku;</w:t>
      </w:r>
    </w:p>
    <w:p w:rsidR="00F76D75" w:rsidRPr="0025261C" w:rsidRDefault="00F76D75" w:rsidP="00F76D75">
      <w:pPr>
        <w:pStyle w:val="Textbody"/>
        <w:ind w:left="567"/>
        <w:jc w:val="both"/>
      </w:pPr>
      <w:r w:rsidRPr="0025261C">
        <w:t xml:space="preserve"> </w:t>
      </w:r>
      <w:r>
        <w:t>-  o</w:t>
      </w:r>
      <w:r w:rsidRPr="0025261C">
        <w:t>twartość przestrzeni przeznaczonej na komentarze stanowi</w:t>
      </w:r>
      <w:r>
        <w:t xml:space="preserve"> forum </w:t>
      </w:r>
      <w:r w:rsidRPr="00A871D2">
        <w:t>do w</w:t>
      </w:r>
      <w:r w:rsidRPr="0025261C">
        <w:t xml:space="preserve">yrażania poglądów dotyczących spraw publicznych. Jako taka przyczynia się do bardziej szorstkich wypowiedzi i pozwala innym na odbieranie i przekazywanie informacji, które nie zależą od decyzji scentralizowanych mediów. Wszelkie ograniczenia nałożone na te narzędzia kolidują z prawem do otrzymywania i przekazywania informacji (patrz na przykład, </w:t>
      </w:r>
      <w:proofErr w:type="spellStart"/>
      <w:r w:rsidRPr="003A7A06">
        <w:rPr>
          <w:i/>
        </w:rPr>
        <w:t>Öztürk</w:t>
      </w:r>
      <w:proofErr w:type="spellEnd"/>
      <w:r w:rsidRPr="003A7A06">
        <w:rPr>
          <w:i/>
        </w:rPr>
        <w:t xml:space="preserve"> przeciwko Turcji</w:t>
      </w:r>
      <w:r w:rsidRPr="0025261C">
        <w:t xml:space="preserve"> [GC], n</w:t>
      </w:r>
      <w:r>
        <w:t>r 22479/93, § 49, ECHR 1999-VI</w:t>
      </w:r>
      <w:r w:rsidRPr="0025261C">
        <w:t>);</w:t>
      </w:r>
    </w:p>
    <w:p w:rsidR="00F76D75" w:rsidRPr="0025261C" w:rsidRDefault="00F76D75" w:rsidP="00F76D75">
      <w:pPr>
        <w:pStyle w:val="Textbody"/>
        <w:ind w:left="567"/>
        <w:jc w:val="both"/>
      </w:pPr>
      <w:r>
        <w:t>- d</w:t>
      </w:r>
      <w:r w:rsidRPr="0025261C">
        <w:t>ebata dotyczyła kwestii interesu publicznego. Komentarze dotyczyły bardzo kontrowersyjnego zachowania dużej korporacji.</w:t>
      </w:r>
    </w:p>
    <w:p w:rsidR="00F76D75" w:rsidRPr="0025261C" w:rsidRDefault="00F76D75" w:rsidP="00F76D75">
      <w:pPr>
        <w:pStyle w:val="Textbody"/>
        <w:ind w:firstLine="567"/>
        <w:jc w:val="both"/>
      </w:pPr>
      <w:r w:rsidRPr="0025261C">
        <w:t xml:space="preserve">40. Trybunał nie jest skłonny rozważyć możliwości mniej inwazyjnych środków, ale naszym zdaniem </w:t>
      </w:r>
      <w:r>
        <w:t xml:space="preserve">przynajmniej jakieś </w:t>
      </w:r>
      <w:r w:rsidRPr="00A871D2">
        <w:t>uzasadnienie jest potrzebne, aby wyjaśnić, dlaczego tylko ekwiwalent uprzedniej powściągliwości i odpowiedzialności</w:t>
      </w:r>
      <w:r w:rsidRPr="0025261C">
        <w:t xml:space="preserve"> absolutnej spełnia niespecyficzne obowiązki i zakres odpowiedzialności aktywnych </w:t>
      </w:r>
      <w:r w:rsidRPr="0025261C">
        <w:lastRenderedPageBreak/>
        <w:t>pośredników.</w:t>
      </w:r>
    </w:p>
    <w:p w:rsidR="00F76D75" w:rsidRPr="00A871D2" w:rsidRDefault="00F76D75" w:rsidP="00F76D75">
      <w:pPr>
        <w:pStyle w:val="Textbody"/>
        <w:ind w:firstLine="567"/>
        <w:jc w:val="both"/>
      </w:pPr>
      <w:r w:rsidRPr="0025261C">
        <w:t xml:space="preserve">41. Pomijając spekulacje na temat wyników analizy </w:t>
      </w:r>
      <w:r w:rsidR="008D3BAB">
        <w:t>właściwej równowagi</w:t>
      </w:r>
      <w:r w:rsidRPr="0025261C">
        <w:t xml:space="preserve">, możemy zauważyć, że </w:t>
      </w:r>
      <w:r w:rsidRPr="00A871D2">
        <w:t>rozważania te zostały pominięte. Jeżeli część wymaganych względów nie została uwzględnione w ramach wykonywania testu bilansującego przeprowadzonego przez sąd krajowy, należy stwierdzić naruszenie.</w:t>
      </w:r>
    </w:p>
    <w:p w:rsidR="00F76D75" w:rsidRPr="0025261C" w:rsidRDefault="00F76D75" w:rsidP="00F76D75">
      <w:pPr>
        <w:pStyle w:val="Textbody"/>
        <w:ind w:firstLine="567"/>
        <w:jc w:val="both"/>
      </w:pPr>
      <w:r w:rsidRPr="00A871D2">
        <w:t>42. Nie zamierzamy zamykać oczu na problem rasistowskich wypowiedzi. Fakt, że</w:t>
      </w:r>
      <w:r w:rsidR="008D3BAB">
        <w:t xml:space="preserve"> w</w:t>
      </w:r>
      <w:r w:rsidRPr="00A871D2">
        <w:t xml:space="preserve"> przestrze</w:t>
      </w:r>
      <w:r w:rsidR="008D3BAB">
        <w:t>ni</w:t>
      </w:r>
      <w:r w:rsidRPr="00A871D2">
        <w:t xml:space="preserve"> przeznaczon</w:t>
      </w:r>
      <w:r w:rsidR="008D3BAB">
        <w:t>ej</w:t>
      </w:r>
      <w:r w:rsidRPr="00A871D2">
        <w:t xml:space="preserve"> na komentarze</w:t>
      </w:r>
      <w:r w:rsidR="008D3BAB">
        <w:t>,</w:t>
      </w:r>
      <w:r w:rsidRPr="00A871D2">
        <w:t xml:space="preserve"> technicznie ułatwion</w:t>
      </w:r>
      <w:r w:rsidR="008D3BAB">
        <w:t>o było</w:t>
      </w:r>
      <w:r w:rsidRPr="00A871D2">
        <w:t xml:space="preserve"> rozpowszechnianie rasizmu</w:t>
      </w:r>
      <w:r w:rsidR="008D3BAB">
        <w:t>,</w:t>
      </w:r>
      <w:r w:rsidRPr="00A871D2">
        <w:t xml:space="preserve"> powinien być częścią analizy proporcjonalności. W rzeczywistości, przestrzeń</w:t>
      </w:r>
      <w:r w:rsidRPr="0025261C">
        <w:t xml:space="preserve"> przeznaczona do publikacji komentarzy ułatwia rozpowszechnianie wszystkich poglądów jednakowo. Jednak możemy przyjąć, nawet bez konkretnych dowodów, że im więcej komentarzy, tym większe prawdopodobieństwo, że rasistowskie komentarze </w:t>
      </w:r>
      <w:r w:rsidR="00BB21A9" w:rsidRPr="0025261C">
        <w:t>się</w:t>
      </w:r>
      <w:r w:rsidRPr="0025261C">
        <w:t xml:space="preserve"> pojawią. Akceptujemy to, choć tylko jako hipotezę, ponieważ żaden dowód w tej sprawie nie został przedstawiony w toku postępowania, ani do żadnego nie odniósł się Trybunał.</w:t>
      </w:r>
    </w:p>
    <w:p w:rsidR="00F76D75" w:rsidRPr="0025261C" w:rsidRDefault="00F76D75" w:rsidP="00F76D75">
      <w:pPr>
        <w:pStyle w:val="Textbody"/>
        <w:ind w:firstLine="567"/>
        <w:jc w:val="both"/>
      </w:pPr>
      <w:r w:rsidRPr="0025261C">
        <w:t>43. Nawet przy założeniu, że istnieje zwiększone prawdopodobieństwo rasistowskich komentarzy na stronach internetowych (po raz kolejny, sprawa zależy od dowodu), nadal należy rozważyć jaki jest odpowiedni poziom ochrony w obliczu takiego zagrożenia. Być może mechanizm filtrowania był niewystarczający, aby sprostać temu wyzwaniu. Było to stanowisko zajęte przez Trybunał, bez określenia, co do odpowiedni</w:t>
      </w:r>
      <w:r>
        <w:t xml:space="preserve">ego poziomu ochrony wypowiedzi </w:t>
      </w:r>
      <w:r w:rsidRPr="005F731E">
        <w:t>jaki istniał</w:t>
      </w:r>
      <w:r w:rsidRPr="0025261C">
        <w:t xml:space="preserve"> w 2006 roku </w:t>
      </w:r>
      <w:r w:rsidR="00B840C1">
        <w:br/>
      </w:r>
      <w:r w:rsidRPr="0025261C">
        <w:t>w Estonii. Nie wiemy i nie możemy wiedzieć. Trybunał nie może zastąpić braku krajowej analizy własną analizą. Co więcej, nie jest kompetencją Tryb</w:t>
      </w:r>
      <w:r>
        <w:t>unału  przyjęcie roli ustawodaw</w:t>
      </w:r>
      <w:r w:rsidRPr="0025261C">
        <w:t>cy krajowego. Nie możemy wykluczyć, że potrzeba walki</w:t>
      </w:r>
      <w:r>
        <w:t xml:space="preserve"> z rasistowskimi wypowiedziami </w:t>
      </w:r>
      <w:r w:rsidRPr="0025261C">
        <w:t>(sprawa porządku publicznego, a nie tylko osobiste prawo) może dyktować obowiązek ochrony, który nakłada obowiązki p</w:t>
      </w:r>
      <w:r>
        <w:t xml:space="preserve">rzekraczające środki stosowane </w:t>
      </w:r>
      <w:r w:rsidRPr="0025261C">
        <w:t xml:space="preserve">przez spółkę </w:t>
      </w:r>
      <w:proofErr w:type="spellStart"/>
      <w:r w:rsidRPr="0025261C">
        <w:t>Delfi</w:t>
      </w:r>
      <w:proofErr w:type="spellEnd"/>
      <w:r w:rsidRPr="0025261C">
        <w:t>. Ale zadaniem Trybunału jest określenie, czy ingeren</w:t>
      </w:r>
      <w:r>
        <w:t xml:space="preserve">cja władz krajowych faktycznie </w:t>
      </w:r>
      <w:r w:rsidRPr="0025261C">
        <w:t>była oparta na odpowiednich i wiarygodnych podstawach, które nie są tu uwzględnione. Dlatego też doszło do naruszenia Konwencji.</w:t>
      </w:r>
    </w:p>
    <w:p w:rsidR="00F76D75" w:rsidRPr="0025261C" w:rsidRDefault="00F76D75" w:rsidP="00F76D75">
      <w:pPr>
        <w:pStyle w:val="Textbody"/>
        <w:jc w:val="both"/>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F76D75">
      <w:pPr>
        <w:pStyle w:val="Textbody"/>
        <w:jc w:val="center"/>
      </w:pPr>
    </w:p>
    <w:p w:rsidR="00F76D75" w:rsidRDefault="00F76D75" w:rsidP="00A871D2">
      <w:pPr>
        <w:pStyle w:val="Textbody"/>
      </w:pPr>
    </w:p>
    <w:p w:rsidR="00F76D75" w:rsidRDefault="00F76D75" w:rsidP="00F76D75">
      <w:pPr>
        <w:pStyle w:val="Textbody"/>
        <w:jc w:val="center"/>
      </w:pPr>
    </w:p>
    <w:p w:rsidR="00F76D75" w:rsidRDefault="00F76D75" w:rsidP="00F76D75">
      <w:pPr>
        <w:pStyle w:val="Textbody"/>
        <w:jc w:val="center"/>
      </w:pPr>
    </w:p>
    <w:p w:rsidR="00F76D75" w:rsidRPr="0025261C" w:rsidRDefault="00F76D75" w:rsidP="00F76D75">
      <w:pPr>
        <w:pStyle w:val="Textbody"/>
        <w:jc w:val="center"/>
      </w:pPr>
      <w:r w:rsidRPr="0025261C">
        <w:t>ANEKS</w:t>
      </w:r>
    </w:p>
    <w:p w:rsidR="00F76D75" w:rsidRPr="00A871D2" w:rsidRDefault="00F76D75" w:rsidP="00F76D75">
      <w:pPr>
        <w:pStyle w:val="Textbody"/>
        <w:jc w:val="both"/>
      </w:pPr>
      <w:r w:rsidRPr="0025261C">
        <w:tab/>
        <w:t xml:space="preserve">Ufamy, że to nie </w:t>
      </w:r>
      <w:r w:rsidRPr="00A871D2">
        <w:t xml:space="preserve">jest początek (lub wzmocnienie i przyspieszenie) kolejnego rozdziału wyciszania i że nie ograniczy to </w:t>
      </w:r>
      <w:r w:rsidR="005F0D87">
        <w:t xml:space="preserve">wzmacniającego demokrację </w:t>
      </w:r>
      <w:r w:rsidRPr="00A871D2">
        <w:t>potencjału nowych mediów. Nowe technologie często przezwyciężają najbardziej wnikliwe i uporczywe politycznie lub sądownie nałożone na nie bariery. Ale historia oferuje zniechęcające przykłady trwałych efektów cenzury pośredników. Jako przypomnienie podajemy tu krótkie podsumowanie krytycznej  próby cenzury ukierunkowanej na pośredników.</w:t>
      </w:r>
    </w:p>
    <w:p w:rsidR="00F76D75" w:rsidRPr="0025261C" w:rsidRDefault="00F76D75" w:rsidP="00F76D75">
      <w:pPr>
        <w:pStyle w:val="Textbody"/>
        <w:jc w:val="both"/>
      </w:pPr>
      <w:r w:rsidRPr="0025261C">
        <w:tab/>
        <w:t>W czasach  reformacji w Anglii, system licencjonowania Kościoła Katolickiego został przejęty przez państwo i stał się narzędziem państwa do kontroli wszystkich drukowanych publikacj</w:t>
      </w:r>
      <w:r w:rsidR="003C0CFD">
        <w:t>i</w:t>
      </w:r>
      <w:r w:rsidRPr="0025261C">
        <w:t>. Lic</w:t>
      </w:r>
      <w:r w:rsidR="001B3180">
        <w:t xml:space="preserve">encjonowanie zapewniło Koronie </w:t>
      </w:r>
      <w:r w:rsidRPr="0025261C">
        <w:t>"</w:t>
      </w:r>
      <w:r w:rsidRPr="001B3180">
        <w:rPr>
          <w:i/>
        </w:rPr>
        <w:t>cenzorowanie przed publikacją i łatwość skazywania przestępców</w:t>
      </w:r>
      <w:r w:rsidRPr="0025261C">
        <w:t>".</w:t>
      </w:r>
      <w:r>
        <w:rPr>
          <w:rStyle w:val="Odwoanieprzypisudolnego"/>
        </w:rPr>
        <w:footnoteReference w:id="31"/>
      </w:r>
      <w:r w:rsidRPr="0025261C">
        <w:t xml:space="preserve"> Przepisy te eliminowały materiały  wywrotowe  w miejscu </w:t>
      </w:r>
      <w:r w:rsidRPr="0025261C">
        <w:lastRenderedPageBreak/>
        <w:t xml:space="preserve">produkcji masowej - drukarni. Początkowo z udziałem Izby </w:t>
      </w:r>
      <w:r>
        <w:t>Gwia</w:t>
      </w:r>
      <w:r w:rsidRPr="0025261C">
        <w:t xml:space="preserve">ździstej jako oskarżyciela, system zezwoleń dawał możliwość karania dowolnej drukarni, która nie otrzymała licencji na materiały, które zamierzała drukować (licencje uzależnione były od zatwierdzenia królewskiego). Wraz ze zniesieniem Izby </w:t>
      </w:r>
      <w:r>
        <w:t>Gwia</w:t>
      </w:r>
      <w:r w:rsidRPr="0025261C">
        <w:t xml:space="preserve">ździstej nastąpił szybki  koniec  praw licencyjnych podczas angielskiej wojny domowej. Parlament </w:t>
      </w:r>
      <w:r w:rsidRPr="00A871D2">
        <w:t xml:space="preserve">jednak nie polubił szerzenia radykalnych idei religijnych i politycznych. Postanowił więc  zastąpić Królewską cenzurę własną, a także w celu ochrony określonych interesów biznesowych cechu drukarzy. Zaowocowało to Nakazem Licencyjnym z dnia 14 czerwca 1643 roku, który przywrócił na rzecz Parlamentu korzyści wcześniej pogardzanego nakazu dekretu Izby Gwiaździstej (licencji sprzed publikacji; rejestracja wszystkich drukowanych materiałów z nazwiskami autora, drukarza i wydawcy, ujawnianiu, odszukiwaniu i niszczeniu wszelkich książek obrażających  rząd, kary dla drukarzy i wydawców). </w:t>
      </w:r>
      <w:r w:rsidR="00C9615D">
        <w:br/>
      </w:r>
      <w:r w:rsidRPr="00A871D2">
        <w:t xml:space="preserve">Po rewolucji, ludzie mieli tendencję do odnawiania tych samych narzędzi ucisku, którym przeciwstawiali się rewolucjoniści. (Patrz również: </w:t>
      </w:r>
      <w:proofErr w:type="spellStart"/>
      <w:r w:rsidRPr="00A871D2">
        <w:t>Alien</w:t>
      </w:r>
      <w:proofErr w:type="spellEnd"/>
      <w:r w:rsidRPr="00A871D2">
        <w:t xml:space="preserve"> i ustawa o buncie uchwalona w Stanach Zjednoc</w:t>
      </w:r>
      <w:r w:rsidR="00C9615D">
        <w:t xml:space="preserve">zonych). Firmie </w:t>
      </w:r>
      <w:r w:rsidR="00C9615D" w:rsidRPr="00A03B92">
        <w:rPr>
          <w:i/>
        </w:rPr>
        <w:t xml:space="preserve">The </w:t>
      </w:r>
      <w:proofErr w:type="spellStart"/>
      <w:r w:rsidR="00C9615D" w:rsidRPr="00A03B92">
        <w:rPr>
          <w:i/>
        </w:rPr>
        <w:t>Stationers</w:t>
      </w:r>
      <w:proofErr w:type="spellEnd"/>
      <w:r w:rsidR="00C9615D" w:rsidRPr="00A03B92">
        <w:rPr>
          <w:i/>
        </w:rPr>
        <w:t>’</w:t>
      </w:r>
      <w:r w:rsidR="00C9615D">
        <w:t xml:space="preserve"> </w:t>
      </w:r>
      <w:r w:rsidRPr="00A871D2">
        <w:t>nadano kompetencje i odpowiedzialność  cenzora, w zamian za monopol w branży drukarskiej. System połączenia licencjonowania z korzyściami finansow</w:t>
      </w:r>
      <w:r w:rsidR="009B672B">
        <w:t>ymi cechów drukarzy i wydawców</w:t>
      </w:r>
      <w:r w:rsidRPr="00A871D2">
        <w:t xml:space="preserve"> był bardziej</w:t>
      </w:r>
      <w:r w:rsidRPr="0025261C">
        <w:t xml:space="preserve"> skuteczny niż wywrotowe  przepisy </w:t>
      </w:r>
      <w:r w:rsidR="002D07B3">
        <w:t>o zniesławieniu</w:t>
      </w:r>
      <w:r w:rsidRPr="0025261C">
        <w:t>.</w:t>
      </w:r>
    </w:p>
    <w:p w:rsidR="00F76D75" w:rsidRPr="00A871D2" w:rsidRDefault="00F76D75" w:rsidP="00F76D75">
      <w:pPr>
        <w:pStyle w:val="Textbody"/>
        <w:jc w:val="both"/>
      </w:pPr>
      <w:r w:rsidRPr="0025261C">
        <w:tab/>
        <w:t xml:space="preserve">Ten odnowiony system licencjonowania stał </w:t>
      </w:r>
      <w:r w:rsidR="00C9615D" w:rsidRPr="0025261C">
        <w:t>się</w:t>
      </w:r>
      <w:r w:rsidRPr="0025261C">
        <w:t xml:space="preserve"> celem </w:t>
      </w:r>
      <w:r w:rsidRPr="002F5A76">
        <w:t>Johna Miltona w</w:t>
      </w:r>
      <w:r w:rsidRPr="003B76EA">
        <w:rPr>
          <w:i/>
        </w:rPr>
        <w:t xml:space="preserve"> </w:t>
      </w:r>
      <w:proofErr w:type="spellStart"/>
      <w:r w:rsidRPr="003B76EA">
        <w:rPr>
          <w:i/>
        </w:rPr>
        <w:t>Areopagitice</w:t>
      </w:r>
      <w:proofErr w:type="spellEnd"/>
      <w:r w:rsidRPr="003B76EA">
        <w:rPr>
          <w:i/>
        </w:rPr>
        <w:t>: przemówienie dotyczące Wolno</w:t>
      </w:r>
      <w:r w:rsidR="002D07B3">
        <w:rPr>
          <w:i/>
        </w:rPr>
        <w:t>ści</w:t>
      </w:r>
      <w:r w:rsidRPr="003B76EA">
        <w:rPr>
          <w:i/>
        </w:rPr>
        <w:t xml:space="preserve"> </w:t>
      </w:r>
      <w:proofErr w:type="spellStart"/>
      <w:r w:rsidRPr="003B76EA">
        <w:rPr>
          <w:i/>
        </w:rPr>
        <w:t>Bezlicencyjnego</w:t>
      </w:r>
      <w:proofErr w:type="spellEnd"/>
      <w:r w:rsidRPr="003B76EA">
        <w:rPr>
          <w:i/>
        </w:rPr>
        <w:t xml:space="preserve"> Drukarstwa</w:t>
      </w:r>
      <w:r w:rsidRPr="0025261C">
        <w:t xml:space="preserve"> w listopadzie 1644. Był to opór wobec autocenzury nałożonej na pośredników (drukarnie), które publikowały </w:t>
      </w:r>
      <w:proofErr w:type="spellStart"/>
      <w:r w:rsidRPr="0025261C">
        <w:t>Areopagityk</w:t>
      </w:r>
      <w:r w:rsidR="0005439F">
        <w:t>ę</w:t>
      </w:r>
      <w:proofErr w:type="spellEnd"/>
      <w:r w:rsidRPr="0025261C">
        <w:t xml:space="preserve">, pierwszy i najważniejszy manifest wolności wypowiedzi. W </w:t>
      </w:r>
      <w:proofErr w:type="spellStart"/>
      <w:r w:rsidRPr="0025261C">
        <w:t>Areopagityce</w:t>
      </w:r>
      <w:proofErr w:type="spellEnd"/>
      <w:r w:rsidRPr="0025261C">
        <w:t xml:space="preserve"> próbowano przekonać Parlament, że nie ma miejsca na licencjonowanie w wolnym poszukiwaniu prawdy. Twierdził</w:t>
      </w:r>
      <w:r>
        <w:t>o</w:t>
      </w:r>
      <w:r w:rsidRPr="0025261C">
        <w:t xml:space="preserve"> się, że </w:t>
      </w:r>
      <w:r w:rsidRPr="00A871D2">
        <w:t>nielicencjonowana prasa doprowadziłaby do panowania prawdy na rynku idei. Nie mogło to cofnąć fanatyzmu Parlamentu. Mamy nadzieję, że idea ta odniesie dziś większy sukces.</w:t>
      </w:r>
    </w:p>
    <w:p w:rsidR="00F76D75" w:rsidRPr="0025261C" w:rsidRDefault="00F76D75" w:rsidP="00F76D75">
      <w:pPr>
        <w:pStyle w:val="Textbody"/>
        <w:jc w:val="both"/>
      </w:pPr>
      <w:r w:rsidRPr="0025261C">
        <w:t xml:space="preserve"> </w:t>
      </w:r>
    </w:p>
    <w:p w:rsidR="00F76D75" w:rsidRPr="0025261C" w:rsidRDefault="00F76D75" w:rsidP="00F76D75">
      <w:pPr>
        <w:pStyle w:val="Textbody"/>
        <w:jc w:val="both"/>
      </w:pPr>
    </w:p>
    <w:p w:rsidR="00F76D75" w:rsidRPr="0025261C" w:rsidRDefault="00F76D75" w:rsidP="00F76D75">
      <w:pPr>
        <w:pStyle w:val="Textbody"/>
        <w:jc w:val="both"/>
      </w:pPr>
    </w:p>
    <w:p w:rsidR="00F76D75" w:rsidRPr="0025261C" w:rsidRDefault="00F76D75" w:rsidP="00F76D75">
      <w:pPr>
        <w:pStyle w:val="Textbody"/>
        <w:jc w:val="both"/>
      </w:pPr>
    </w:p>
    <w:p w:rsidR="00F76D75" w:rsidRPr="0025261C" w:rsidRDefault="00F76D75" w:rsidP="00F76D75">
      <w:pPr>
        <w:pStyle w:val="Textbody"/>
        <w:jc w:val="both"/>
      </w:pPr>
    </w:p>
    <w:p w:rsidR="00F76D75" w:rsidRPr="0025261C" w:rsidRDefault="00F76D75" w:rsidP="00F76D75">
      <w:pPr>
        <w:pStyle w:val="Textbody"/>
        <w:jc w:val="both"/>
      </w:pPr>
    </w:p>
    <w:p w:rsidR="00F76D75" w:rsidRPr="0025261C" w:rsidRDefault="00F76D75" w:rsidP="00F76D75">
      <w:pPr>
        <w:pStyle w:val="Textbody"/>
        <w:jc w:val="both"/>
      </w:pPr>
    </w:p>
    <w:p w:rsidR="00F76D75" w:rsidRPr="0025261C" w:rsidRDefault="00F76D75" w:rsidP="00F76D75">
      <w:pPr>
        <w:pStyle w:val="Textbody"/>
        <w:jc w:val="both"/>
      </w:pPr>
    </w:p>
    <w:p w:rsidR="00F76D75" w:rsidRPr="0025261C" w:rsidRDefault="00F76D75" w:rsidP="00F76D75">
      <w:pPr>
        <w:pStyle w:val="Textbody"/>
        <w:jc w:val="both"/>
      </w:pPr>
    </w:p>
    <w:p w:rsidR="00F76D75" w:rsidRPr="00B45853" w:rsidRDefault="00F76D75" w:rsidP="00362468">
      <w:pPr>
        <w:pStyle w:val="OpiPara"/>
        <w:rPr>
          <w:rFonts w:ascii="Times New Roman" w:hAnsi="Times New Roman" w:cs="Times New Roman"/>
          <w:lang w:val="pl-PL"/>
        </w:rPr>
      </w:pPr>
    </w:p>
    <w:sectPr w:rsidR="00F76D75" w:rsidRPr="00B45853" w:rsidSect="005B77AA">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B76" w:rsidRDefault="00BB5B76" w:rsidP="00D4692B">
      <w:r>
        <w:separator/>
      </w:r>
    </w:p>
  </w:endnote>
  <w:endnote w:type="continuationSeparator" w:id="0">
    <w:p w:rsidR="00BB5B76" w:rsidRDefault="00BB5B76" w:rsidP="00D4692B">
      <w:r>
        <w:continuationSeparator/>
      </w:r>
    </w:p>
  </w:endnote>
  <w:endnote w:type="continuationNotice" w:id="1">
    <w:p w:rsidR="00BB5B76" w:rsidRDefault="00BB5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80" w:rsidRDefault="0042628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80" w:rsidRDefault="0042628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80" w:rsidRDefault="004262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B76" w:rsidRDefault="00BB5B76" w:rsidP="00D4692B">
      <w:r>
        <w:separator/>
      </w:r>
    </w:p>
  </w:footnote>
  <w:footnote w:type="continuationSeparator" w:id="0">
    <w:p w:rsidR="00BB5B76" w:rsidRDefault="00BB5B76" w:rsidP="00D4692B">
      <w:r>
        <w:continuationSeparator/>
      </w:r>
    </w:p>
  </w:footnote>
  <w:footnote w:type="continuationNotice" w:id="1">
    <w:p w:rsidR="00BB5B76" w:rsidRDefault="00BB5B76"/>
  </w:footnote>
  <w:footnote w:id="2">
    <w:p w:rsidR="005F0D87" w:rsidRPr="006B477E" w:rsidRDefault="005F0D87">
      <w:pPr>
        <w:pStyle w:val="Tekstprzypisudolnego"/>
        <w:rPr>
          <w:lang w:val="pl-PL"/>
        </w:rPr>
      </w:pPr>
      <w:r>
        <w:rPr>
          <w:rStyle w:val="Odwoanieprzypisudolnego"/>
        </w:rPr>
        <w:footnoteRef/>
      </w:r>
      <w:r w:rsidRPr="00F87B03">
        <w:rPr>
          <w:lang w:val="pl-PL"/>
        </w:rPr>
        <w:t xml:space="preserve"> </w:t>
      </w:r>
      <w:r w:rsidRPr="006B477E">
        <w:rPr>
          <w:lang w:val="pl-PL"/>
        </w:rPr>
        <w:t xml:space="preserve">Jest to aluzja do estońskiego powiedzenie "każdy baran ma swojego </w:t>
      </w:r>
      <w:proofErr w:type="spellStart"/>
      <w:r w:rsidRPr="006B477E">
        <w:rPr>
          <w:lang w:val="pl-PL"/>
        </w:rPr>
        <w:t>Michaelmas</w:t>
      </w:r>
      <w:r>
        <w:rPr>
          <w:lang w:val="pl-PL"/>
        </w:rPr>
        <w:t>a</w:t>
      </w:r>
      <w:proofErr w:type="spellEnd"/>
      <w:r w:rsidRPr="006B477E">
        <w:rPr>
          <w:lang w:val="pl-PL"/>
        </w:rPr>
        <w:t xml:space="preserve">", który historycznie odnosi się do uboju wykastrowanych baranów jesienią w obrębie dnia </w:t>
      </w:r>
      <w:proofErr w:type="spellStart"/>
      <w:r w:rsidRPr="006B477E">
        <w:rPr>
          <w:lang w:val="pl-PL"/>
        </w:rPr>
        <w:t>Michaelmas</w:t>
      </w:r>
      <w:proofErr w:type="spellEnd"/>
      <w:r w:rsidRPr="006B477E">
        <w:rPr>
          <w:lang w:val="pl-PL"/>
        </w:rPr>
        <w:t xml:space="preserve"> (29 września), ale obecnie jest używane by określić sytuacje, w której  nie można uniknąć przeznaczenia.</w:t>
      </w:r>
    </w:p>
  </w:footnote>
  <w:footnote w:id="3">
    <w:p w:rsidR="005F0D87" w:rsidRPr="00B92944" w:rsidRDefault="005F0D87" w:rsidP="00A220C6">
      <w:pPr>
        <w:pStyle w:val="Tekstprzypisudolnego"/>
        <w:rPr>
          <w:lang w:val="pl-PL"/>
        </w:rPr>
      </w:pPr>
      <w:r w:rsidRPr="00B63392">
        <w:rPr>
          <w:rStyle w:val="Odwoanieprzypisudolnego"/>
          <w:vertAlign w:val="baseline"/>
        </w:rPr>
        <w:footnoteRef/>
      </w:r>
      <w:r w:rsidRPr="00887A51">
        <w:rPr>
          <w:lang w:val="pl-PL"/>
        </w:rPr>
        <w:t>.  </w:t>
      </w:r>
      <w:r w:rsidRPr="00B92944">
        <w:rPr>
          <w:lang w:val="pl-PL"/>
        </w:rPr>
        <w:t xml:space="preserve">Estońskie słowa </w:t>
      </w:r>
      <w:proofErr w:type="spellStart"/>
      <w:r w:rsidRPr="00B92944">
        <w:rPr>
          <w:i/>
          <w:lang w:val="pl-PL"/>
        </w:rPr>
        <w:t>avaldama</w:t>
      </w:r>
      <w:proofErr w:type="spellEnd"/>
      <w:r w:rsidRPr="00B92944">
        <w:rPr>
          <w:i/>
          <w:lang w:val="pl-PL"/>
        </w:rPr>
        <w:t>/</w:t>
      </w:r>
      <w:proofErr w:type="spellStart"/>
      <w:r w:rsidRPr="00B92944">
        <w:rPr>
          <w:i/>
          <w:lang w:val="pl-PL"/>
        </w:rPr>
        <w:t>avaldaja</w:t>
      </w:r>
      <w:proofErr w:type="spellEnd"/>
      <w:r w:rsidRPr="00B92944">
        <w:rPr>
          <w:i/>
          <w:lang w:val="pl-PL"/>
        </w:rPr>
        <w:t xml:space="preserve"> </w:t>
      </w:r>
      <w:r w:rsidRPr="00B92944">
        <w:rPr>
          <w:lang w:val="pl-PL"/>
        </w:rPr>
        <w:t xml:space="preserve">oznaczają zarówno publikować/publikujący </w:t>
      </w:r>
      <w:r>
        <w:rPr>
          <w:lang w:val="pl-PL"/>
        </w:rPr>
        <w:t>jak i</w:t>
      </w:r>
      <w:r w:rsidRPr="00B92944">
        <w:rPr>
          <w:lang w:val="pl-PL"/>
        </w:rPr>
        <w:t xml:space="preserve"> </w:t>
      </w:r>
      <w:r>
        <w:rPr>
          <w:lang w:val="pl-PL"/>
        </w:rPr>
        <w:t>ujawniać</w:t>
      </w:r>
      <w:r w:rsidRPr="00B92944">
        <w:rPr>
          <w:lang w:val="pl-PL"/>
        </w:rPr>
        <w:t>/</w:t>
      </w:r>
      <w:r>
        <w:rPr>
          <w:lang w:val="pl-PL"/>
        </w:rPr>
        <w:t>ujawniający</w:t>
      </w:r>
      <w:r w:rsidRPr="00B92944">
        <w:rPr>
          <w:lang w:val="pl-PL"/>
        </w:rPr>
        <w:t>.</w:t>
      </w:r>
    </w:p>
  </w:footnote>
  <w:footnote w:id="4">
    <w:p w:rsidR="005F0D87" w:rsidRPr="007A337C" w:rsidRDefault="005F0D87">
      <w:pPr>
        <w:pStyle w:val="Tekstprzypisudolnego"/>
        <w:rPr>
          <w:lang w:val="pl-PL"/>
        </w:rPr>
      </w:pPr>
      <w:r>
        <w:rPr>
          <w:rStyle w:val="Odwoanieprzypisudolnego"/>
        </w:rPr>
        <w:footnoteRef/>
      </w:r>
      <w:r w:rsidRPr="00F87B03">
        <w:rPr>
          <w:lang w:val="pl-PL"/>
        </w:rPr>
        <w:t xml:space="preserve"> Samuel D. Warren and Louis D. </w:t>
      </w:r>
      <w:proofErr w:type="spellStart"/>
      <w:r w:rsidRPr="00F87B03">
        <w:rPr>
          <w:lang w:val="pl-PL"/>
        </w:rPr>
        <w:t>Brandeis</w:t>
      </w:r>
      <w:proofErr w:type="spellEnd"/>
      <w:r w:rsidRPr="00F87B03">
        <w:rPr>
          <w:lang w:val="pl-PL"/>
        </w:rPr>
        <w:t xml:space="preserve">, Artykuł ten został opublikowany w: 4(5) </w:t>
      </w:r>
      <w:r w:rsidRPr="00F87B03">
        <w:rPr>
          <w:i/>
          <w:lang w:val="pl-PL"/>
        </w:rPr>
        <w:t xml:space="preserve">Harvard Law </w:t>
      </w:r>
      <w:proofErr w:type="spellStart"/>
      <w:r w:rsidRPr="00F87B03">
        <w:rPr>
          <w:i/>
          <w:lang w:val="pl-PL"/>
        </w:rPr>
        <w:t>Review</w:t>
      </w:r>
      <w:proofErr w:type="spellEnd"/>
      <w:r w:rsidRPr="00F87B03">
        <w:rPr>
          <w:lang w:val="pl-PL"/>
        </w:rPr>
        <w:t xml:space="preserve"> 193-201 (1890). </w:t>
      </w:r>
      <w:r w:rsidRPr="00F87B03">
        <w:rPr>
          <w:rStyle w:val="shorttext"/>
          <w:lang w:val="pl-PL"/>
        </w:rPr>
        <w:t xml:space="preserve">Artykuł jest dostępny w całości na stronie </w:t>
      </w:r>
      <w:hyperlink r:id="rId1" w:anchor="page_scan_tab_contents" w:history="1">
        <w:r w:rsidRPr="00B35276">
          <w:rPr>
            <w:rStyle w:val="Hipercze"/>
            <w:color w:val="auto"/>
            <w:lang w:val="pl-PL"/>
          </w:rPr>
          <w:t>http://www.jstor.org/stable/1321160?origin=JSTOR-pdf&amp;seq=1#page_scan_tab_contents</w:t>
        </w:r>
      </w:hyperlink>
      <w:r w:rsidRPr="00B35276">
        <w:rPr>
          <w:lang w:val="pl-PL"/>
        </w:rPr>
        <w:t xml:space="preserve"> </w:t>
      </w:r>
      <w:r w:rsidRPr="00F87B03">
        <w:rPr>
          <w:lang w:val="pl-PL"/>
        </w:rPr>
        <w:t>(Zaktualizowano dnia 23 marca 2015)</w:t>
      </w:r>
    </w:p>
  </w:footnote>
  <w:footnote w:id="5">
    <w:p w:rsidR="005F0D87" w:rsidRPr="00C847A3" w:rsidRDefault="005F0D87" w:rsidP="00F310C7">
      <w:pPr>
        <w:pStyle w:val="Tekstprzypisudolnego"/>
        <w:rPr>
          <w:rFonts w:cstheme="minorHAnsi"/>
          <w:lang w:val="pl-PL"/>
        </w:rPr>
      </w:pPr>
      <w:r w:rsidRPr="00E94767">
        <w:rPr>
          <w:rStyle w:val="Odwoanieprzypisudolnego"/>
          <w:vertAlign w:val="baseline"/>
          <w:lang w:val="en-GB"/>
        </w:rPr>
        <w:footnoteRef/>
      </w:r>
      <w:r w:rsidRPr="00C847A3">
        <w:rPr>
          <w:lang w:val="pl-PL"/>
        </w:rPr>
        <w:t>.  </w:t>
      </w:r>
      <w:r w:rsidRPr="00C847A3">
        <w:rPr>
          <w:rFonts w:cstheme="minorHAnsi"/>
          <w:lang w:val="pl-PL"/>
        </w:rPr>
        <w:t xml:space="preserve">Zobacz </w:t>
      </w:r>
      <w:proofErr w:type="spellStart"/>
      <w:r w:rsidRPr="00C847A3">
        <w:rPr>
          <w:rFonts w:cstheme="minorHAnsi"/>
          <w:smallCaps/>
          <w:lang w:val="pl-PL"/>
        </w:rPr>
        <w:t>Personality</w:t>
      </w:r>
      <w:proofErr w:type="spellEnd"/>
      <w:r w:rsidRPr="00C847A3">
        <w:rPr>
          <w:rFonts w:cstheme="minorHAnsi"/>
          <w:smallCaps/>
          <w:lang w:val="pl-PL"/>
        </w:rPr>
        <w:t xml:space="preserve"> </w:t>
      </w:r>
      <w:proofErr w:type="spellStart"/>
      <w:r w:rsidRPr="00C847A3">
        <w:rPr>
          <w:rFonts w:cstheme="minorHAnsi"/>
          <w:smallCaps/>
          <w:lang w:val="pl-PL"/>
        </w:rPr>
        <w:t>Rights</w:t>
      </w:r>
      <w:proofErr w:type="spellEnd"/>
      <w:r w:rsidRPr="00C847A3">
        <w:rPr>
          <w:rFonts w:cstheme="minorHAnsi"/>
          <w:smallCaps/>
          <w:lang w:val="pl-PL"/>
        </w:rPr>
        <w:t xml:space="preserve"> in </w:t>
      </w:r>
      <w:proofErr w:type="spellStart"/>
      <w:r w:rsidRPr="00C847A3">
        <w:rPr>
          <w:rFonts w:cstheme="minorHAnsi"/>
          <w:smallCaps/>
          <w:lang w:val="pl-PL"/>
        </w:rPr>
        <w:t>European</w:t>
      </w:r>
      <w:proofErr w:type="spellEnd"/>
      <w:r w:rsidRPr="00C847A3">
        <w:rPr>
          <w:rFonts w:cstheme="minorHAnsi"/>
          <w:smallCaps/>
          <w:lang w:val="pl-PL"/>
        </w:rPr>
        <w:t xml:space="preserve"> </w:t>
      </w:r>
      <w:proofErr w:type="spellStart"/>
      <w:r w:rsidRPr="00C847A3">
        <w:rPr>
          <w:rFonts w:cstheme="minorHAnsi"/>
          <w:smallCaps/>
          <w:lang w:val="pl-PL"/>
        </w:rPr>
        <w:t>Torts</w:t>
      </w:r>
      <w:proofErr w:type="spellEnd"/>
      <w:r w:rsidRPr="00C847A3">
        <w:rPr>
          <w:rFonts w:cstheme="minorHAnsi"/>
          <w:smallCaps/>
          <w:lang w:val="pl-PL"/>
        </w:rPr>
        <w:t xml:space="preserve"> Law</w:t>
      </w:r>
      <w:r w:rsidRPr="00C847A3">
        <w:rPr>
          <w:rFonts w:cstheme="minorHAnsi"/>
          <w:lang w:val="pl-PL"/>
        </w:rPr>
        <w:t>,</w:t>
      </w:r>
      <w:r w:rsidRPr="00C847A3">
        <w:rPr>
          <w:rFonts w:cstheme="minorHAnsi"/>
          <w:shd w:val="clear" w:color="auto" w:fill="FFFFFF"/>
          <w:lang w:val="pl-PL"/>
        </w:rPr>
        <w:t xml:space="preserve"> Gert </w:t>
      </w:r>
      <w:proofErr w:type="spellStart"/>
      <w:r w:rsidRPr="00C847A3">
        <w:rPr>
          <w:rFonts w:cstheme="minorHAnsi"/>
          <w:shd w:val="clear" w:color="auto" w:fill="FFFFFF"/>
          <w:lang w:val="pl-PL"/>
        </w:rPr>
        <w:t>Brüggemeier</w:t>
      </w:r>
      <w:proofErr w:type="spellEnd"/>
      <w:r w:rsidRPr="00C847A3">
        <w:rPr>
          <w:rFonts w:cstheme="minorHAnsi"/>
          <w:shd w:val="clear" w:color="auto" w:fill="FFFFFF"/>
          <w:lang w:val="pl-PL"/>
        </w:rPr>
        <w:t xml:space="preserve">, Aurelia </w:t>
      </w:r>
      <w:proofErr w:type="spellStart"/>
      <w:r w:rsidRPr="00C847A3">
        <w:rPr>
          <w:rFonts w:cstheme="minorHAnsi"/>
          <w:shd w:val="clear" w:color="auto" w:fill="FFFFFF"/>
          <w:lang w:val="pl-PL"/>
        </w:rPr>
        <w:t>Colombi</w:t>
      </w:r>
      <w:proofErr w:type="spellEnd"/>
      <w:r w:rsidRPr="00C847A3">
        <w:rPr>
          <w:rFonts w:cstheme="minorHAnsi"/>
          <w:shd w:val="clear" w:color="auto" w:fill="FFFFFF"/>
          <w:lang w:val="pl-PL"/>
        </w:rPr>
        <w:t xml:space="preserve"> </w:t>
      </w:r>
      <w:proofErr w:type="spellStart"/>
      <w:r w:rsidRPr="00C847A3">
        <w:rPr>
          <w:rFonts w:cstheme="minorHAnsi"/>
          <w:shd w:val="clear" w:color="auto" w:fill="FFFFFF"/>
          <w:lang w:val="pl-PL"/>
        </w:rPr>
        <w:t>Ciacchi</w:t>
      </w:r>
      <w:proofErr w:type="spellEnd"/>
      <w:r w:rsidRPr="00C847A3">
        <w:rPr>
          <w:rFonts w:cstheme="minorHAnsi"/>
          <w:shd w:val="clear" w:color="auto" w:fill="FFFFFF"/>
          <w:lang w:val="pl-PL"/>
        </w:rPr>
        <w:t xml:space="preserve">, Patrick </w:t>
      </w:r>
      <w:proofErr w:type="spellStart"/>
      <w:r w:rsidRPr="00C847A3">
        <w:rPr>
          <w:rFonts w:cstheme="minorHAnsi"/>
          <w:shd w:val="clear" w:color="auto" w:fill="FFFFFF"/>
          <w:lang w:val="pl-PL"/>
        </w:rPr>
        <w:t>O'Callaghan</w:t>
      </w:r>
      <w:proofErr w:type="spellEnd"/>
      <w:r w:rsidRPr="00C847A3">
        <w:rPr>
          <w:rFonts w:cstheme="minorHAnsi"/>
          <w:shd w:val="clear" w:color="auto" w:fill="FFFFFF"/>
          <w:lang w:val="pl-PL"/>
        </w:rPr>
        <w:t xml:space="preserve"> (</w:t>
      </w:r>
      <w:proofErr w:type="spellStart"/>
      <w:r w:rsidRPr="00C847A3">
        <w:rPr>
          <w:rFonts w:cstheme="minorHAnsi"/>
          <w:shd w:val="clear" w:color="auto" w:fill="FFFFFF"/>
          <w:lang w:val="pl-PL"/>
        </w:rPr>
        <w:t>eds</w:t>
      </w:r>
      <w:proofErr w:type="spellEnd"/>
      <w:r w:rsidRPr="00C847A3">
        <w:rPr>
          <w:rFonts w:cstheme="minorHAnsi"/>
          <w:shd w:val="clear" w:color="auto" w:fill="FFFFFF"/>
          <w:lang w:val="pl-PL"/>
        </w:rPr>
        <w:t>.), Cambridge University Press, Cambridge 2010, strona 18 i notatka 51.</w:t>
      </w:r>
    </w:p>
  </w:footnote>
  <w:footnote w:id="6">
    <w:p w:rsidR="005F0D87" w:rsidRPr="006B0990" w:rsidRDefault="005F0D87" w:rsidP="00F310C7">
      <w:pPr>
        <w:pStyle w:val="Tekstprzypisudolnego"/>
        <w:rPr>
          <w:rFonts w:cstheme="minorHAnsi"/>
          <w:lang w:val="pl-PL"/>
        </w:rPr>
      </w:pPr>
      <w:r w:rsidRPr="00E94767">
        <w:rPr>
          <w:rStyle w:val="Odwoanieprzypisudolnego"/>
          <w:rFonts w:cstheme="minorHAnsi"/>
          <w:vertAlign w:val="baseline"/>
          <w:lang w:val="en-GB"/>
        </w:rPr>
        <w:footnoteRef/>
      </w:r>
      <w:r w:rsidRPr="00C847A3">
        <w:rPr>
          <w:rFonts w:cstheme="minorHAnsi"/>
          <w:lang w:val="fr-BE"/>
        </w:rPr>
        <w:t>.  </w:t>
      </w:r>
      <w:proofErr w:type="spellStart"/>
      <w:r w:rsidRPr="00C847A3">
        <w:rPr>
          <w:rFonts w:cstheme="minorHAnsi"/>
          <w:lang w:val="fr-BE"/>
        </w:rPr>
        <w:t>Zobacz</w:t>
      </w:r>
      <w:proofErr w:type="spellEnd"/>
      <w:r w:rsidRPr="00C847A3">
        <w:rPr>
          <w:rFonts w:cstheme="minorHAnsi"/>
          <w:lang w:val="fr-BE"/>
        </w:rPr>
        <w:t xml:space="preserve"> </w:t>
      </w:r>
      <w:r w:rsidRPr="00C847A3">
        <w:rPr>
          <w:rFonts w:cstheme="minorHAnsi"/>
          <w:smallCaps/>
          <w:lang w:val="fr-BE"/>
        </w:rPr>
        <w:t>Droits de la personnalité</w:t>
      </w:r>
      <w:r w:rsidRPr="00C847A3">
        <w:rPr>
          <w:rFonts w:cstheme="minorHAnsi"/>
          <w:lang w:val="fr-BE"/>
        </w:rPr>
        <w:t>, Jean-Christophe Saint-Paul (</w:t>
      </w:r>
      <w:proofErr w:type="spellStart"/>
      <w:r w:rsidRPr="00C847A3">
        <w:rPr>
          <w:rFonts w:cstheme="minorHAnsi"/>
          <w:lang w:val="fr-BE"/>
        </w:rPr>
        <w:t>ed</w:t>
      </w:r>
      <w:proofErr w:type="spellEnd"/>
      <w:r w:rsidRPr="00C847A3">
        <w:rPr>
          <w:rFonts w:cstheme="minorHAnsi"/>
          <w:lang w:val="fr-BE"/>
        </w:rPr>
        <w:t xml:space="preserve">.), 2013 na </w:t>
      </w:r>
      <w:proofErr w:type="spellStart"/>
      <w:r w:rsidRPr="00C847A3">
        <w:rPr>
          <w:rFonts w:cstheme="minorHAnsi"/>
          <w:lang w:val="fr-BE"/>
        </w:rPr>
        <w:t>stronie</w:t>
      </w:r>
      <w:proofErr w:type="spellEnd"/>
      <w:r w:rsidRPr="00C847A3">
        <w:rPr>
          <w:rFonts w:cstheme="minorHAnsi"/>
          <w:lang w:val="fr-BE"/>
        </w:rPr>
        <w:t xml:space="preserve"> </w:t>
      </w:r>
      <w:hyperlink r:id="rId2" w:history="1">
        <w:r w:rsidRPr="00C847A3">
          <w:rPr>
            <w:rStyle w:val="Hipercze"/>
            <w:rFonts w:cstheme="minorHAnsi"/>
            <w:lang w:val="fr-BE"/>
          </w:rPr>
          <w:t>http://boutique.lexisnexis.fr/jcshop3/355401/fiche_produit.htm</w:t>
        </w:r>
      </w:hyperlink>
      <w:r w:rsidRPr="00C847A3">
        <w:rPr>
          <w:rFonts w:cstheme="minorHAnsi"/>
          <w:lang w:val="fr-BE"/>
        </w:rPr>
        <w:t xml:space="preserve"> (</w:t>
      </w:r>
      <w:proofErr w:type="spellStart"/>
      <w:r w:rsidRPr="00C847A3">
        <w:rPr>
          <w:rFonts w:cstheme="minorHAnsi"/>
          <w:lang w:val="fr-BE"/>
        </w:rPr>
        <w:t>Aktualizowane</w:t>
      </w:r>
      <w:proofErr w:type="spellEnd"/>
      <w:r w:rsidRPr="00C847A3">
        <w:rPr>
          <w:rFonts w:cstheme="minorHAnsi"/>
          <w:lang w:val="fr-BE"/>
        </w:rPr>
        <w:t xml:space="preserve"> 23 Marca 2015 </w:t>
      </w:r>
      <w:proofErr w:type="spellStart"/>
      <w:r w:rsidRPr="00C847A3">
        <w:rPr>
          <w:rFonts w:cstheme="minorHAnsi"/>
          <w:lang w:val="fr-BE"/>
        </w:rPr>
        <w:t>roku</w:t>
      </w:r>
      <w:proofErr w:type="spellEnd"/>
      <w:r w:rsidRPr="00C847A3">
        <w:rPr>
          <w:rFonts w:cstheme="minorHAnsi"/>
          <w:lang w:val="fr-BE"/>
        </w:rPr>
        <w:t xml:space="preserve">). </w:t>
      </w:r>
      <w:r w:rsidRPr="006B0990">
        <w:rPr>
          <w:rFonts w:cstheme="minorHAnsi"/>
          <w:lang w:val="pl-PL"/>
        </w:rPr>
        <w:t>Tłumaczenie: “</w:t>
      </w:r>
      <w:r>
        <w:rPr>
          <w:rFonts w:cstheme="minorHAnsi"/>
          <w:lang w:val="pl-PL"/>
        </w:rPr>
        <w:t>Prawa osobiste</w:t>
      </w:r>
      <w:r w:rsidRPr="006B0990">
        <w:rPr>
          <w:rFonts w:cstheme="minorHAnsi"/>
          <w:lang w:val="pl-PL"/>
        </w:rPr>
        <w:t xml:space="preserve"> są zbiorem prerogatyw prawnych dotyczących interesów moralnych (tożsamość, życie prywatne, cześć) oraz ciała ludzkiego lub środków ich (korespondencja, dom, zdjęcie) realizacji; są one wykonywane przez osoby posiadające osobowość prawną (osoby fizyczne lub osoby prawne) i są egzekwowane poprzez działania w sądach cywilnych (nakazy do zaniechania, roszczenia o odszkodowanie) i sądów karnych.</w:t>
      </w:r>
    </w:p>
    <w:p w:rsidR="005F0D87" w:rsidRPr="006B0990" w:rsidRDefault="005F0D87" w:rsidP="00F310C7">
      <w:pPr>
        <w:pStyle w:val="Tekstprzypisudolnego"/>
        <w:rPr>
          <w:rFonts w:cstheme="minorHAnsi"/>
          <w:lang w:val="pl-PL"/>
        </w:rPr>
      </w:pPr>
      <w:r w:rsidRPr="006B0990">
        <w:rPr>
          <w:rFonts w:cstheme="minorHAnsi"/>
          <w:lang w:val="pl-PL"/>
        </w:rPr>
        <w:t xml:space="preserve">Kwestia ta, na skrzyżowaniu prawa cywilnego (osoby, umowy, nieruchomości), prawa karnego i prawa praw </w:t>
      </w:r>
      <w:r w:rsidRPr="00196363">
        <w:rPr>
          <w:rFonts w:cstheme="minorHAnsi"/>
          <w:lang w:val="pl-PL"/>
        </w:rPr>
        <w:t>człowieka i także cywilnej i karnej procedury, doprowadziła do znacznego materiału orzecznictwa na szczeblu krajowym i europejskim, w oparciu o różne źródła prawa krajowego (Kodeks Cywilny, Kodeks Karny, Ustawa o Przetwarzaniu</w:t>
      </w:r>
      <w:r>
        <w:rPr>
          <w:rFonts w:cstheme="minorHAnsi"/>
          <w:lang w:val="pl-PL"/>
        </w:rPr>
        <w:t xml:space="preserve"> Danych i Wolnościach Obywatelskich</w:t>
      </w:r>
      <w:r w:rsidRPr="006B0990">
        <w:rPr>
          <w:rFonts w:cstheme="minorHAnsi"/>
          <w:lang w:val="pl-PL"/>
        </w:rPr>
        <w:t xml:space="preserve">, </w:t>
      </w:r>
      <w:r>
        <w:rPr>
          <w:rFonts w:cstheme="minorHAnsi"/>
          <w:lang w:val="pl-PL"/>
        </w:rPr>
        <w:t>Ustawa o Wolności Prasy</w:t>
      </w:r>
      <w:r w:rsidRPr="006B0990">
        <w:rPr>
          <w:rFonts w:cstheme="minorHAnsi"/>
          <w:lang w:val="pl-PL"/>
        </w:rPr>
        <w:t>) oraz prawa międzynarodowego (Europejska Konwencja Praw Człowieka, Międzynarodowy Pakt Praw Obywatelsk</w:t>
      </w:r>
      <w:r>
        <w:rPr>
          <w:rFonts w:cstheme="minorHAnsi"/>
          <w:lang w:val="pl-PL"/>
        </w:rPr>
        <w:t>ich i Politycznych, Powszechna Deklaracja Praw Człowieka, Karta Fundamentalnych Praw</w:t>
      </w:r>
      <w:r w:rsidRPr="006B0990">
        <w:rPr>
          <w:rFonts w:cstheme="minorHAnsi"/>
          <w:lang w:val="pl-PL"/>
        </w:rPr>
        <w:t xml:space="preserve">), obejmujące </w:t>
      </w:r>
      <w:r>
        <w:rPr>
          <w:rFonts w:cstheme="minorHAnsi"/>
          <w:lang w:val="pl-PL"/>
        </w:rPr>
        <w:t>wykonywanie</w:t>
      </w:r>
      <w:r w:rsidRPr="006B0990">
        <w:rPr>
          <w:rFonts w:cstheme="minorHAnsi"/>
          <w:lang w:val="pl-PL"/>
        </w:rPr>
        <w:t xml:space="preserve"> </w:t>
      </w:r>
      <w:r>
        <w:rPr>
          <w:rFonts w:cstheme="minorHAnsi"/>
          <w:lang w:val="pl-PL"/>
        </w:rPr>
        <w:t>sądowego</w:t>
      </w:r>
      <w:r w:rsidRPr="006B0990">
        <w:rPr>
          <w:rFonts w:cstheme="minorHAnsi"/>
          <w:lang w:val="pl-PL"/>
        </w:rPr>
        <w:t xml:space="preserve"> równoważenia między ochroną człowieka i inny</w:t>
      </w:r>
      <w:r>
        <w:rPr>
          <w:rFonts w:cstheme="minorHAnsi"/>
          <w:lang w:val="pl-PL"/>
        </w:rPr>
        <w:t>mi</w:t>
      </w:r>
      <w:r w:rsidRPr="006B0990">
        <w:rPr>
          <w:rFonts w:cstheme="minorHAnsi"/>
          <w:lang w:val="pl-PL"/>
        </w:rPr>
        <w:t xml:space="preserve"> wartości</w:t>
      </w:r>
      <w:r>
        <w:rPr>
          <w:rFonts w:cstheme="minorHAnsi"/>
          <w:lang w:val="pl-PL"/>
        </w:rPr>
        <w:t>ami, takimi</w:t>
      </w:r>
      <w:r w:rsidRPr="006B0990">
        <w:rPr>
          <w:rFonts w:cstheme="minorHAnsi"/>
          <w:lang w:val="pl-PL"/>
        </w:rPr>
        <w:t xml:space="preserve"> jak wolność wypowiedzi lub potrzeb</w:t>
      </w:r>
      <w:r>
        <w:rPr>
          <w:rFonts w:cstheme="minorHAnsi"/>
          <w:lang w:val="pl-PL"/>
        </w:rPr>
        <w:t>y</w:t>
      </w:r>
      <w:r w:rsidRPr="006B0990">
        <w:rPr>
          <w:rFonts w:cstheme="minorHAnsi"/>
          <w:lang w:val="pl-PL"/>
        </w:rPr>
        <w:t xml:space="preserve"> </w:t>
      </w:r>
      <w:r>
        <w:rPr>
          <w:rFonts w:cstheme="minorHAnsi"/>
          <w:lang w:val="pl-PL"/>
        </w:rPr>
        <w:t>dowodowe</w:t>
      </w:r>
      <w:r w:rsidRPr="006B0990">
        <w:rPr>
          <w:rFonts w:cstheme="minorHAnsi"/>
          <w:lang w:val="pl-PL"/>
        </w:rPr>
        <w:t>.”</w:t>
      </w:r>
    </w:p>
  </w:footnote>
  <w:footnote w:id="7">
    <w:p w:rsidR="005F0D87" w:rsidRPr="006B0990" w:rsidRDefault="005F0D87" w:rsidP="00F310C7">
      <w:pPr>
        <w:pStyle w:val="Tekstprzypisudolnego"/>
        <w:rPr>
          <w:rFonts w:cstheme="minorHAnsi"/>
          <w:shd w:val="clear" w:color="auto" w:fill="FFFFFF"/>
          <w:lang w:val="pl-PL"/>
        </w:rPr>
      </w:pPr>
      <w:r w:rsidRPr="00173E19">
        <w:rPr>
          <w:rStyle w:val="Odwoanieprzypisudolnego"/>
          <w:rFonts w:cstheme="minorHAnsi"/>
          <w:vertAlign w:val="baseline"/>
          <w:lang w:val="en-GB"/>
        </w:rPr>
        <w:footnoteRef/>
      </w:r>
      <w:r w:rsidRPr="00272F1C">
        <w:rPr>
          <w:rFonts w:cstheme="minorHAnsi"/>
          <w:lang w:val="pl-PL"/>
        </w:rPr>
        <w:t>.  </w:t>
      </w:r>
      <w:r w:rsidRPr="006B0990">
        <w:rPr>
          <w:rFonts w:cstheme="minorHAnsi"/>
          <w:lang w:val="pl-PL"/>
        </w:rPr>
        <w:t xml:space="preserve">Zobacz </w:t>
      </w:r>
      <w:r>
        <w:rPr>
          <w:rFonts w:cstheme="minorHAnsi"/>
          <w:i/>
          <w:shd w:val="clear" w:color="auto" w:fill="FFFFFF"/>
          <w:lang w:val="pl-PL"/>
        </w:rPr>
        <w:t>Sprawa</w:t>
      </w:r>
      <w:r w:rsidRPr="006B0990">
        <w:rPr>
          <w:rFonts w:cstheme="minorHAnsi"/>
          <w:i/>
          <w:shd w:val="clear" w:color="auto" w:fill="FFFFFF"/>
          <w:lang w:val="pl-PL"/>
        </w:rPr>
        <w:t xml:space="preserve"> Marlene Dietrich</w:t>
      </w:r>
      <w:r w:rsidRPr="006B0990">
        <w:rPr>
          <w:rFonts w:cstheme="minorHAnsi"/>
          <w:shd w:val="clear" w:color="auto" w:fill="FFFFFF"/>
          <w:lang w:val="pl-PL"/>
        </w:rPr>
        <w:t xml:space="preserve">, BGH 1 ZR 49/97, w Instytucie Prawa Międzynarodowego – Tłumaczenia Prawa Zagranicznego, </w:t>
      </w:r>
      <w:r>
        <w:rPr>
          <w:rFonts w:cstheme="minorHAnsi"/>
          <w:shd w:val="clear" w:color="auto" w:fill="FFFFFF"/>
          <w:lang w:val="pl-PL"/>
        </w:rPr>
        <w:t>Szkoła Prawa Uniwersytetu w Teksasie</w:t>
      </w:r>
      <w:r w:rsidRPr="006B0990">
        <w:rPr>
          <w:rFonts w:cstheme="minorHAnsi"/>
          <w:shd w:val="clear" w:color="auto" w:fill="FFFFFF"/>
          <w:lang w:val="pl-PL"/>
        </w:rPr>
        <w:t xml:space="preserve">, </w:t>
      </w:r>
      <w:r>
        <w:rPr>
          <w:rFonts w:cstheme="minorHAnsi"/>
          <w:shd w:val="clear" w:color="auto" w:fill="FFFFFF"/>
          <w:lang w:val="pl-PL"/>
        </w:rPr>
        <w:t xml:space="preserve">na </w:t>
      </w:r>
      <w:hyperlink r:id="rId3" w:history="1">
        <w:r w:rsidRPr="006B0990">
          <w:rPr>
            <w:rStyle w:val="Hipercze"/>
            <w:rFonts w:cstheme="minorHAnsi"/>
            <w:shd w:val="clear" w:color="auto" w:fill="FFFFFF"/>
            <w:lang w:val="pl-PL"/>
          </w:rPr>
          <w:t>http://www.utexas.edu/law/academics/centers/transnational/work_new/german/case.php?id=726</w:t>
        </w:r>
      </w:hyperlink>
      <w:r w:rsidRPr="006B0990">
        <w:rPr>
          <w:rFonts w:cstheme="minorHAnsi"/>
          <w:color w:val="484646"/>
          <w:shd w:val="clear" w:color="auto" w:fill="FFFFFF"/>
          <w:lang w:val="pl-PL"/>
        </w:rPr>
        <w:t xml:space="preserve"> </w:t>
      </w:r>
      <w:r w:rsidRPr="006B0990">
        <w:rPr>
          <w:rFonts w:cstheme="minorHAnsi"/>
          <w:shd w:val="clear" w:color="auto" w:fill="FFFFFF"/>
          <w:lang w:val="pl-PL"/>
        </w:rPr>
        <w:t>(</w:t>
      </w:r>
      <w:r>
        <w:rPr>
          <w:rFonts w:cstheme="minorHAnsi"/>
          <w:shd w:val="clear" w:color="auto" w:fill="FFFFFF"/>
          <w:lang w:val="pl-PL"/>
        </w:rPr>
        <w:t>Aktualizowane</w:t>
      </w:r>
      <w:r w:rsidRPr="006B0990">
        <w:rPr>
          <w:rFonts w:cstheme="minorHAnsi"/>
          <w:shd w:val="clear" w:color="auto" w:fill="FFFFFF"/>
          <w:lang w:val="pl-PL"/>
        </w:rPr>
        <w:t xml:space="preserve"> 23 Mar</w:t>
      </w:r>
      <w:r>
        <w:rPr>
          <w:rFonts w:cstheme="minorHAnsi"/>
          <w:shd w:val="clear" w:color="auto" w:fill="FFFFFF"/>
          <w:lang w:val="pl-PL"/>
        </w:rPr>
        <w:t>ca</w:t>
      </w:r>
      <w:r w:rsidRPr="006B0990">
        <w:rPr>
          <w:rFonts w:cstheme="minorHAnsi"/>
          <w:shd w:val="clear" w:color="auto" w:fill="FFFFFF"/>
          <w:lang w:val="pl-PL"/>
        </w:rPr>
        <w:t xml:space="preserve"> 2015</w:t>
      </w:r>
      <w:r>
        <w:rPr>
          <w:rFonts w:cstheme="minorHAnsi"/>
          <w:shd w:val="clear" w:color="auto" w:fill="FFFFFF"/>
          <w:lang w:val="pl-PL"/>
        </w:rPr>
        <w:t xml:space="preserve"> roku</w:t>
      </w:r>
      <w:r w:rsidRPr="006B0990">
        <w:rPr>
          <w:rFonts w:cstheme="minorHAnsi"/>
          <w:shd w:val="clear" w:color="auto" w:fill="FFFFFF"/>
          <w:lang w:val="pl-PL"/>
        </w:rPr>
        <w:t>)</w:t>
      </w:r>
    </w:p>
    <w:p w:rsidR="005F0D87" w:rsidRPr="006B0990" w:rsidRDefault="005F0D87" w:rsidP="00F310C7">
      <w:pPr>
        <w:pStyle w:val="Tekstprzypisudolnego"/>
        <w:rPr>
          <w:rFonts w:ascii="Georgia" w:hAnsi="Georgia"/>
          <w:color w:val="484646"/>
          <w:sz w:val="21"/>
          <w:szCs w:val="21"/>
          <w:shd w:val="clear" w:color="auto" w:fill="FFFFFF"/>
          <w:lang w:val="pl-PL"/>
        </w:rPr>
      </w:pPr>
    </w:p>
  </w:footnote>
  <w:footnote w:id="8">
    <w:p w:rsidR="005F0D87" w:rsidRPr="000105EE" w:rsidRDefault="005F0D87" w:rsidP="00F310C7">
      <w:pPr>
        <w:pStyle w:val="Tekstprzypisudolnego"/>
        <w:rPr>
          <w:lang w:val="pl-PL"/>
        </w:rPr>
      </w:pPr>
      <w:r w:rsidRPr="00E94767">
        <w:rPr>
          <w:rStyle w:val="Odwoanieprzypisudolnego"/>
          <w:vertAlign w:val="baseline"/>
          <w:lang w:val="en-GB"/>
        </w:rPr>
        <w:footnoteRef/>
      </w:r>
      <w:r w:rsidRPr="00272F1C">
        <w:rPr>
          <w:lang w:val="pl-PL"/>
        </w:rPr>
        <w:t>.  </w:t>
      </w:r>
      <w:r w:rsidRPr="000105EE">
        <w:rPr>
          <w:lang w:val="pl-PL"/>
        </w:rPr>
        <w:t xml:space="preserve">Zobacz </w:t>
      </w:r>
      <w:hyperlink r:id="rId4" w:history="1">
        <w:r w:rsidRPr="000105EE">
          <w:rPr>
            <w:rStyle w:val="Hipercze"/>
            <w:lang w:val="pl-PL"/>
          </w:rPr>
          <w:t>http://hudoc.echr.coe.int/sites/eng/pages/search.aspx?i=001-126629</w:t>
        </w:r>
      </w:hyperlink>
      <w:r w:rsidRPr="000105EE">
        <w:rPr>
          <w:lang w:val="pl-PL"/>
        </w:rPr>
        <w:t xml:space="preserve"> (Aktualizowane  24 Mar</w:t>
      </w:r>
      <w:r>
        <w:rPr>
          <w:lang w:val="pl-PL"/>
        </w:rPr>
        <w:t>ca</w:t>
      </w:r>
      <w:r w:rsidRPr="000105EE">
        <w:rPr>
          <w:lang w:val="pl-PL"/>
        </w:rPr>
        <w:t xml:space="preserve"> 2015</w:t>
      </w:r>
      <w:r>
        <w:rPr>
          <w:lang w:val="pl-PL"/>
        </w:rPr>
        <w:t xml:space="preserve"> roku</w:t>
      </w:r>
      <w:r w:rsidRPr="000105EE">
        <w:rPr>
          <w:lang w:val="pl-PL"/>
        </w:rPr>
        <w:t>)</w:t>
      </w:r>
    </w:p>
  </w:footnote>
  <w:footnote w:id="9">
    <w:p w:rsidR="005F0D87" w:rsidRPr="0025261C" w:rsidRDefault="005F0D87" w:rsidP="00F76D75">
      <w:pPr>
        <w:pStyle w:val="Standard"/>
        <w:jc w:val="both"/>
        <w:rPr>
          <w:sz w:val="20"/>
          <w:szCs w:val="20"/>
        </w:rPr>
      </w:pPr>
      <w:r>
        <w:rPr>
          <w:rStyle w:val="Odwoanieprzypisudolnego"/>
        </w:rPr>
        <w:footnoteRef/>
      </w:r>
      <w:r>
        <w:t xml:space="preserve"> </w:t>
      </w:r>
      <w:r w:rsidRPr="0025261C">
        <w:rPr>
          <w:sz w:val="20"/>
          <w:szCs w:val="20"/>
        </w:rPr>
        <w:t xml:space="preserve">Termin ten jest używany w literaturze: patrz Justin Hurwitz, "Zaufanie i interakcja w Internecie", University of </w:t>
      </w:r>
      <w:proofErr w:type="spellStart"/>
      <w:r w:rsidRPr="0025261C">
        <w:rPr>
          <w:sz w:val="20"/>
          <w:szCs w:val="20"/>
        </w:rPr>
        <w:t>Pennsylvania</w:t>
      </w:r>
      <w:proofErr w:type="spellEnd"/>
      <w:r w:rsidRPr="0025261C">
        <w:rPr>
          <w:sz w:val="20"/>
          <w:szCs w:val="20"/>
        </w:rPr>
        <w:t xml:space="preserve"> Law </w:t>
      </w:r>
      <w:proofErr w:type="spellStart"/>
      <w:r w:rsidRPr="0025261C">
        <w:rPr>
          <w:sz w:val="20"/>
          <w:szCs w:val="20"/>
        </w:rPr>
        <w:t>Review</w:t>
      </w:r>
      <w:proofErr w:type="spellEnd"/>
      <w:r w:rsidRPr="0025261C">
        <w:rPr>
          <w:sz w:val="20"/>
          <w:szCs w:val="20"/>
        </w:rPr>
        <w:t>, Vol. 161: 1579.</w:t>
      </w:r>
    </w:p>
  </w:footnote>
  <w:footnote w:id="10">
    <w:p w:rsidR="005F0D87" w:rsidRPr="000959E6" w:rsidRDefault="005F0D87" w:rsidP="00F76D75">
      <w:pPr>
        <w:pStyle w:val="Standard"/>
        <w:jc w:val="both"/>
        <w:rPr>
          <w:sz w:val="20"/>
          <w:szCs w:val="20"/>
          <w:lang w:val="en-US"/>
        </w:rPr>
      </w:pPr>
      <w:r>
        <w:rPr>
          <w:rStyle w:val="Odwoanieprzypisudolnego"/>
        </w:rPr>
        <w:footnoteRef/>
      </w:r>
      <w:r w:rsidRPr="000959E6">
        <w:rPr>
          <w:lang w:val="en-US"/>
        </w:rPr>
        <w:t xml:space="preserve"> </w:t>
      </w:r>
      <w:r w:rsidRPr="000959E6">
        <w:rPr>
          <w:sz w:val="20"/>
          <w:szCs w:val="20"/>
          <w:lang w:val="en-US"/>
        </w:rPr>
        <w:t xml:space="preserve">Jack M. </w:t>
      </w:r>
      <w:proofErr w:type="spellStart"/>
      <w:r w:rsidRPr="000959E6">
        <w:rPr>
          <w:sz w:val="20"/>
          <w:szCs w:val="20"/>
          <w:lang w:val="en-US"/>
        </w:rPr>
        <w:t>Balkin</w:t>
      </w:r>
      <w:proofErr w:type="spellEnd"/>
      <w:r w:rsidRPr="000959E6">
        <w:rPr>
          <w:sz w:val="20"/>
          <w:szCs w:val="20"/>
          <w:lang w:val="en-US"/>
        </w:rPr>
        <w:t xml:space="preserve"> "Old-school / New-school </w:t>
      </w:r>
      <w:proofErr w:type="spellStart"/>
      <w:r w:rsidRPr="000959E6">
        <w:rPr>
          <w:sz w:val="20"/>
          <w:szCs w:val="20"/>
          <w:lang w:val="en-US"/>
        </w:rPr>
        <w:t>Speach</w:t>
      </w:r>
      <w:proofErr w:type="spellEnd"/>
      <w:r w:rsidRPr="000959E6">
        <w:rPr>
          <w:sz w:val="20"/>
          <w:szCs w:val="20"/>
          <w:lang w:val="en-US"/>
        </w:rPr>
        <w:t xml:space="preserve"> Regulation", 127 Harvard Law Review 2296 (2014).</w:t>
      </w:r>
    </w:p>
  </w:footnote>
  <w:footnote w:id="11">
    <w:p w:rsidR="005F0D87" w:rsidRPr="00262588" w:rsidRDefault="005F0D87" w:rsidP="00F76D75">
      <w:pPr>
        <w:pStyle w:val="Tekstprzypisudolnego"/>
        <w:rPr>
          <w:lang w:val="pl-PL"/>
        </w:rPr>
      </w:pPr>
      <w:r>
        <w:rPr>
          <w:rStyle w:val="Odwoanieprzypisudolnego"/>
        </w:rPr>
        <w:footnoteRef/>
      </w:r>
      <w:r w:rsidRPr="00262588">
        <w:rPr>
          <w:lang w:val="pl-PL"/>
        </w:rPr>
        <w:t xml:space="preserve"> Jak wyżej w 2309</w:t>
      </w:r>
    </w:p>
  </w:footnote>
  <w:footnote w:id="12">
    <w:p w:rsidR="005F0D87" w:rsidRPr="00FC7C44" w:rsidRDefault="005F0D87" w:rsidP="00F76D75">
      <w:pPr>
        <w:pStyle w:val="Standard"/>
        <w:jc w:val="both"/>
        <w:rPr>
          <w:sz w:val="20"/>
          <w:szCs w:val="20"/>
        </w:rPr>
      </w:pPr>
      <w:r>
        <w:rPr>
          <w:rStyle w:val="Odwoanieprzypisudolnego"/>
        </w:rPr>
        <w:footnoteRef/>
      </w:r>
      <w:r>
        <w:t xml:space="preserve"> </w:t>
      </w:r>
      <w:r w:rsidRPr="0025261C">
        <w:rPr>
          <w:sz w:val="20"/>
          <w:szCs w:val="20"/>
        </w:rPr>
        <w:t>Jak wyżej w 2311.</w:t>
      </w:r>
    </w:p>
  </w:footnote>
  <w:footnote w:id="13">
    <w:p w:rsidR="005F0D87" w:rsidRPr="0025261C" w:rsidRDefault="005F0D87" w:rsidP="00F76D75">
      <w:pPr>
        <w:pStyle w:val="Standard"/>
        <w:jc w:val="both"/>
        <w:rPr>
          <w:sz w:val="20"/>
          <w:szCs w:val="20"/>
        </w:rPr>
      </w:pPr>
      <w:r>
        <w:rPr>
          <w:rStyle w:val="Odwoanieprzypisudolnego"/>
        </w:rPr>
        <w:footnoteRef/>
      </w:r>
      <w:r w:rsidRPr="00C847A3">
        <w:rPr>
          <w:lang w:val="fr-BE"/>
        </w:rPr>
        <w:t xml:space="preserve"> </w:t>
      </w:r>
      <w:proofErr w:type="spellStart"/>
      <w:r w:rsidRPr="00C847A3">
        <w:rPr>
          <w:sz w:val="20"/>
          <w:szCs w:val="20"/>
          <w:lang w:val="fr-BE"/>
        </w:rPr>
        <w:t>Zobacz</w:t>
      </w:r>
      <w:proofErr w:type="spellEnd"/>
      <w:r w:rsidRPr="00C847A3">
        <w:rPr>
          <w:sz w:val="20"/>
          <w:szCs w:val="20"/>
          <w:lang w:val="fr-BE"/>
        </w:rPr>
        <w:t xml:space="preserve"> E. Chevalier </w:t>
      </w:r>
      <w:proofErr w:type="spellStart"/>
      <w:r w:rsidRPr="00C847A3">
        <w:rPr>
          <w:sz w:val="20"/>
          <w:szCs w:val="20"/>
          <w:lang w:val="fr-BE"/>
        </w:rPr>
        <w:t>Huyttens</w:t>
      </w:r>
      <w:proofErr w:type="spellEnd"/>
      <w:r w:rsidRPr="00C847A3">
        <w:rPr>
          <w:sz w:val="20"/>
          <w:szCs w:val="20"/>
          <w:lang w:val="fr-BE"/>
        </w:rPr>
        <w:t xml:space="preserve"> (</w:t>
      </w:r>
      <w:proofErr w:type="spellStart"/>
      <w:r w:rsidRPr="00C847A3">
        <w:rPr>
          <w:sz w:val="20"/>
          <w:szCs w:val="20"/>
          <w:lang w:val="fr-BE"/>
        </w:rPr>
        <w:t>red</w:t>
      </w:r>
      <w:proofErr w:type="spellEnd"/>
      <w:r w:rsidRPr="00C847A3">
        <w:rPr>
          <w:sz w:val="20"/>
          <w:szCs w:val="20"/>
          <w:lang w:val="fr-BE"/>
        </w:rPr>
        <w:t xml:space="preserve">.), Forum du </w:t>
      </w:r>
      <w:proofErr w:type="spellStart"/>
      <w:r w:rsidRPr="00C847A3">
        <w:rPr>
          <w:sz w:val="20"/>
          <w:szCs w:val="20"/>
          <w:lang w:val="fr-BE"/>
        </w:rPr>
        <w:t>Congres</w:t>
      </w:r>
      <w:proofErr w:type="spellEnd"/>
      <w:r w:rsidRPr="00C847A3">
        <w:rPr>
          <w:sz w:val="20"/>
          <w:szCs w:val="20"/>
          <w:lang w:val="fr-BE"/>
        </w:rPr>
        <w:t xml:space="preserve"> National de Belgique 1830/31 (Tome Premier, 10 Novembre-31 décembre 1830), </w:t>
      </w:r>
      <w:proofErr w:type="spellStart"/>
      <w:r w:rsidRPr="00C847A3">
        <w:rPr>
          <w:sz w:val="20"/>
          <w:szCs w:val="20"/>
          <w:lang w:val="fr-BE"/>
        </w:rPr>
        <w:t>Bruksela</w:t>
      </w:r>
      <w:proofErr w:type="spellEnd"/>
      <w:r w:rsidRPr="00C847A3">
        <w:rPr>
          <w:sz w:val="20"/>
          <w:szCs w:val="20"/>
          <w:lang w:val="fr-BE"/>
        </w:rPr>
        <w:t xml:space="preserve">, </w:t>
      </w:r>
      <w:proofErr w:type="spellStart"/>
      <w:r w:rsidRPr="00C847A3">
        <w:rPr>
          <w:sz w:val="20"/>
          <w:szCs w:val="20"/>
          <w:lang w:val="fr-BE"/>
        </w:rPr>
        <w:t>Societe</w:t>
      </w:r>
      <w:proofErr w:type="spellEnd"/>
      <w:r w:rsidRPr="00C847A3">
        <w:rPr>
          <w:sz w:val="20"/>
          <w:szCs w:val="20"/>
          <w:lang w:val="fr-BE"/>
        </w:rPr>
        <w:t xml:space="preserve"> typographique belge Adolphe </w:t>
      </w:r>
      <w:proofErr w:type="spellStart"/>
      <w:r w:rsidRPr="00C847A3">
        <w:rPr>
          <w:sz w:val="20"/>
          <w:szCs w:val="20"/>
          <w:lang w:val="fr-BE"/>
        </w:rPr>
        <w:t>wählen</w:t>
      </w:r>
      <w:proofErr w:type="spellEnd"/>
      <w:r w:rsidRPr="00C847A3">
        <w:rPr>
          <w:sz w:val="20"/>
          <w:szCs w:val="20"/>
          <w:lang w:val="fr-BE"/>
        </w:rPr>
        <w:t xml:space="preserve"> et Cie (1844). </w:t>
      </w:r>
      <w:r>
        <w:rPr>
          <w:sz w:val="20"/>
          <w:szCs w:val="20"/>
        </w:rPr>
        <w:t xml:space="preserve">Patrz </w:t>
      </w:r>
      <w:r w:rsidRPr="0025261C">
        <w:rPr>
          <w:sz w:val="20"/>
          <w:szCs w:val="20"/>
        </w:rPr>
        <w:t xml:space="preserve"> </w:t>
      </w:r>
      <w:proofErr w:type="spellStart"/>
      <w:r w:rsidRPr="0025261C">
        <w:rPr>
          <w:sz w:val="20"/>
          <w:szCs w:val="20"/>
        </w:rPr>
        <w:t>Nothomb</w:t>
      </w:r>
      <w:proofErr w:type="spellEnd"/>
      <w:r w:rsidRPr="0025261C">
        <w:rPr>
          <w:sz w:val="20"/>
          <w:szCs w:val="20"/>
        </w:rPr>
        <w:t xml:space="preserve"> Speech, ss. 651-652.</w:t>
      </w:r>
    </w:p>
    <w:p w:rsidR="005F0D87" w:rsidRPr="00FC7C44" w:rsidRDefault="005F0D87" w:rsidP="00F76D75">
      <w:pPr>
        <w:pStyle w:val="Standard"/>
        <w:jc w:val="both"/>
        <w:rPr>
          <w:sz w:val="20"/>
          <w:szCs w:val="20"/>
        </w:rPr>
      </w:pPr>
      <w:r w:rsidRPr="0025261C">
        <w:rPr>
          <w:sz w:val="20"/>
          <w:szCs w:val="20"/>
        </w:rPr>
        <w:t>Specyficzny język 1831 konstytucji był kompromisem i nie odzwierciedlał pryncypialnego podejścia liberałów, którzy stali za konstytucjonalizmem (duży zasięg), ale nawet ten kompromis, który do dzisiaj jest powielany w artykule 25 konstytucji belgijskiej, stwierdza, że " Gdy autor jest znany i zamieszkuje w Belgii, ani wydawca, drukarnia, ani dystrybutor nie może być ścigany ". Powrót do 1830 roku?</w:t>
      </w:r>
    </w:p>
  </w:footnote>
  <w:footnote w:id="14">
    <w:p w:rsidR="005F0D87" w:rsidRPr="00262588" w:rsidRDefault="005F0D87" w:rsidP="00F76D75">
      <w:pPr>
        <w:pStyle w:val="Tekstprzypisudolnego"/>
        <w:rPr>
          <w:lang w:val="pl-PL"/>
        </w:rPr>
      </w:pPr>
      <w:r>
        <w:rPr>
          <w:rStyle w:val="Odwoanieprzypisudolnego"/>
        </w:rPr>
        <w:footnoteRef/>
      </w:r>
      <w:r w:rsidRPr="00262588">
        <w:rPr>
          <w:lang w:val="pl-PL"/>
        </w:rPr>
        <w:t xml:space="preserve"> Potwierdzone ostatnio przez Wielką Izbę w Konstantin Markin v. Rosja [GC], nr 30078/06, § 89, ECHR 2012</w:t>
      </w:r>
    </w:p>
  </w:footnote>
  <w:footnote w:id="15">
    <w:p w:rsidR="005F0D87" w:rsidRPr="003E335A" w:rsidRDefault="005F0D87" w:rsidP="003E335A">
      <w:pPr>
        <w:pStyle w:val="Textbody"/>
        <w:jc w:val="both"/>
        <w:rPr>
          <w:sz w:val="20"/>
          <w:szCs w:val="20"/>
        </w:rPr>
      </w:pPr>
      <w:r>
        <w:rPr>
          <w:rStyle w:val="Odwoanieprzypisudolnego"/>
        </w:rPr>
        <w:footnoteRef/>
      </w:r>
      <w:r>
        <w:t xml:space="preserve"> </w:t>
      </w:r>
      <w:r w:rsidRPr="0025261C">
        <w:rPr>
          <w:sz w:val="20"/>
          <w:szCs w:val="20"/>
        </w:rPr>
        <w:t xml:space="preserve">Chociaż ustęp ze sprawy </w:t>
      </w:r>
      <w:proofErr w:type="spellStart"/>
      <w:r w:rsidRPr="00A8219F">
        <w:rPr>
          <w:i/>
          <w:sz w:val="20"/>
          <w:szCs w:val="20"/>
        </w:rPr>
        <w:t>Pravoye</w:t>
      </w:r>
      <w:proofErr w:type="spellEnd"/>
      <w:r w:rsidRPr="00A8219F">
        <w:rPr>
          <w:i/>
          <w:sz w:val="20"/>
          <w:szCs w:val="20"/>
        </w:rPr>
        <w:t xml:space="preserve"> Delo</w:t>
      </w:r>
      <w:r w:rsidRPr="0025261C">
        <w:rPr>
          <w:sz w:val="20"/>
          <w:szCs w:val="20"/>
        </w:rPr>
        <w:t xml:space="preserve"> cytowany w wyroku (patrz </w:t>
      </w:r>
      <w:r>
        <w:rPr>
          <w:sz w:val="20"/>
          <w:szCs w:val="20"/>
        </w:rPr>
        <w:t>paragraf</w:t>
      </w:r>
      <w:r w:rsidRPr="0025261C">
        <w:rPr>
          <w:sz w:val="20"/>
          <w:szCs w:val="20"/>
        </w:rPr>
        <w:t xml:space="preserve"> 128) wydaje się </w:t>
      </w:r>
      <w:r w:rsidRPr="00B0580F">
        <w:rPr>
          <w:sz w:val="20"/>
          <w:szCs w:val="20"/>
        </w:rPr>
        <w:t xml:space="preserve">zająć neutralne stanowisko w sprawie równowagi między </w:t>
      </w:r>
      <w:r>
        <w:rPr>
          <w:sz w:val="20"/>
          <w:szCs w:val="20"/>
        </w:rPr>
        <w:t>pozytywnymi</w:t>
      </w:r>
      <w:r w:rsidRPr="00B0580F">
        <w:rPr>
          <w:sz w:val="20"/>
          <w:szCs w:val="20"/>
        </w:rPr>
        <w:t xml:space="preserve"> i </w:t>
      </w:r>
      <w:r>
        <w:rPr>
          <w:sz w:val="20"/>
          <w:szCs w:val="20"/>
        </w:rPr>
        <w:t>negatywnymi</w:t>
      </w:r>
      <w:r w:rsidRPr="00B0580F">
        <w:rPr>
          <w:sz w:val="20"/>
          <w:szCs w:val="20"/>
        </w:rPr>
        <w:t xml:space="preserve"> stronami Internetu, ważne jest, aby pamiętać, że w </w:t>
      </w:r>
      <w:proofErr w:type="spellStart"/>
      <w:r w:rsidRPr="00A8219F">
        <w:rPr>
          <w:i/>
          <w:sz w:val="20"/>
          <w:szCs w:val="20"/>
        </w:rPr>
        <w:t>Pravoye</w:t>
      </w:r>
      <w:proofErr w:type="spellEnd"/>
      <w:r w:rsidRPr="00A8219F">
        <w:rPr>
          <w:i/>
          <w:sz w:val="20"/>
          <w:szCs w:val="20"/>
        </w:rPr>
        <w:t xml:space="preserve"> Delo</w:t>
      </w:r>
      <w:r w:rsidRPr="00B0580F">
        <w:rPr>
          <w:sz w:val="20"/>
          <w:szCs w:val="20"/>
        </w:rPr>
        <w:t xml:space="preserve"> negatywne aspekty nie przeważają, a argument ten "mimo wszystko" został poprzedzony przez "ryzyko szkodliwego"  , decydując się na rzecz wolności internetowych (</w:t>
      </w:r>
      <w:r w:rsidRPr="00B0580F">
        <w:rPr>
          <w:i/>
          <w:sz w:val="20"/>
          <w:szCs w:val="20"/>
        </w:rPr>
        <w:t>Redakcyjnego</w:t>
      </w:r>
      <w:r w:rsidRPr="00B0580F">
        <w:rPr>
          <w:sz w:val="20"/>
          <w:szCs w:val="20"/>
        </w:rPr>
        <w:t xml:space="preserve"> </w:t>
      </w:r>
      <w:proofErr w:type="spellStart"/>
      <w:r w:rsidRPr="00B0580F">
        <w:rPr>
          <w:sz w:val="20"/>
          <w:szCs w:val="20"/>
        </w:rPr>
        <w:t>Pravoye</w:t>
      </w:r>
      <w:proofErr w:type="spellEnd"/>
      <w:r w:rsidRPr="00B0580F">
        <w:rPr>
          <w:sz w:val="20"/>
          <w:szCs w:val="20"/>
        </w:rPr>
        <w:t xml:space="preserve"> Delo i </w:t>
      </w:r>
      <w:proofErr w:type="spellStart"/>
      <w:r w:rsidRPr="00B0580F">
        <w:rPr>
          <w:sz w:val="20"/>
          <w:szCs w:val="20"/>
        </w:rPr>
        <w:t>Shtekel</w:t>
      </w:r>
      <w:proofErr w:type="spellEnd"/>
      <w:r w:rsidRPr="00B0580F">
        <w:rPr>
          <w:sz w:val="20"/>
          <w:szCs w:val="20"/>
        </w:rPr>
        <w:t xml:space="preserve"> </w:t>
      </w:r>
      <w:r w:rsidRPr="00B0580F">
        <w:rPr>
          <w:i/>
          <w:sz w:val="20"/>
          <w:szCs w:val="20"/>
        </w:rPr>
        <w:t>przeciwko Ukrainie</w:t>
      </w:r>
      <w:r w:rsidRPr="00B0580F">
        <w:rPr>
          <w:sz w:val="20"/>
          <w:szCs w:val="20"/>
        </w:rPr>
        <w:t>, nr 33014/05, §§ 63-64, ETPCz 2011).</w:t>
      </w:r>
    </w:p>
  </w:footnote>
  <w:footnote w:id="16">
    <w:p w:rsidR="005F0D87" w:rsidRPr="0025261C" w:rsidRDefault="005F0D87" w:rsidP="00F76D75">
      <w:pPr>
        <w:pStyle w:val="Textbody"/>
        <w:jc w:val="both"/>
        <w:rPr>
          <w:color w:val="000000"/>
          <w:sz w:val="20"/>
          <w:szCs w:val="20"/>
        </w:rPr>
      </w:pPr>
      <w:r>
        <w:rPr>
          <w:rStyle w:val="Odwoanieprzypisudolnego"/>
        </w:rPr>
        <w:footnoteRef/>
      </w:r>
      <w:r>
        <w:t xml:space="preserve"> </w:t>
      </w:r>
      <w:r w:rsidRPr="0025261C">
        <w:rPr>
          <w:color w:val="000000"/>
          <w:sz w:val="20"/>
          <w:szCs w:val="20"/>
        </w:rPr>
        <w:t>Operatorzy mediów społecznościowych już zinstytucjonalizowali cenz</w:t>
      </w:r>
      <w:r>
        <w:rPr>
          <w:color w:val="000000"/>
          <w:sz w:val="20"/>
          <w:szCs w:val="20"/>
        </w:rPr>
        <w:t xml:space="preserve">ury pozwalając politykę zakazu, blokowania </w:t>
      </w:r>
      <w:r w:rsidRPr="0025261C">
        <w:rPr>
          <w:color w:val="000000"/>
          <w:sz w:val="20"/>
          <w:szCs w:val="20"/>
        </w:rPr>
        <w:t>witryn i postów, które zostały "zgłoszone", bez przeprowadzenia poważnego śledztwa w tej sprawie. Zasady przyjęte przez Facebook są</w:t>
      </w:r>
      <w:r>
        <w:rPr>
          <w:color w:val="000000"/>
          <w:sz w:val="20"/>
          <w:szCs w:val="20"/>
        </w:rPr>
        <w:t xml:space="preserve"> kolejnym zwycięstwem </w:t>
      </w:r>
      <w:proofErr w:type="spellStart"/>
      <w:r>
        <w:rPr>
          <w:color w:val="000000"/>
          <w:sz w:val="20"/>
          <w:szCs w:val="20"/>
        </w:rPr>
        <w:t>trollowej</w:t>
      </w:r>
      <w:proofErr w:type="spellEnd"/>
      <w:r w:rsidRPr="0025261C">
        <w:rPr>
          <w:color w:val="000000"/>
          <w:sz w:val="20"/>
          <w:szCs w:val="20"/>
        </w:rPr>
        <w:t xml:space="preserve"> mentalności. Zauważyć należy, że Facebook wymaga od (wszystkich) użytkowników narzuconej cenzury </w:t>
      </w:r>
      <w:r>
        <w:rPr>
          <w:color w:val="000000"/>
          <w:sz w:val="20"/>
          <w:szCs w:val="20"/>
        </w:rPr>
        <w:t>w ramach prawa, które przyznaje</w:t>
      </w:r>
      <w:r w:rsidRPr="0025261C">
        <w:rPr>
          <w:color w:val="000000"/>
          <w:sz w:val="20"/>
          <w:szCs w:val="20"/>
        </w:rPr>
        <w:t xml:space="preserve"> swego rodzaju immunitet usługodawcom na mocy Ustawy o zasadach przyzwoitości w komunikacj</w:t>
      </w:r>
      <w:r>
        <w:rPr>
          <w:color w:val="000000"/>
          <w:sz w:val="20"/>
          <w:szCs w:val="20"/>
        </w:rPr>
        <w:t xml:space="preserve">i </w:t>
      </w:r>
      <w:r w:rsidRPr="0025261C">
        <w:rPr>
          <w:color w:val="000000"/>
          <w:sz w:val="20"/>
          <w:szCs w:val="20"/>
        </w:rPr>
        <w:t xml:space="preserve"> 230 (a). Wyobraźmy sobie, co się stanie, gdyby nie było immunitetu.</w:t>
      </w:r>
    </w:p>
    <w:p w:rsidR="005F0D87" w:rsidRPr="00262588" w:rsidRDefault="005F0D87" w:rsidP="00F76D75">
      <w:pPr>
        <w:pStyle w:val="Tekstprzypisudolnego"/>
        <w:rPr>
          <w:lang w:val="pl-PL"/>
        </w:rPr>
      </w:pPr>
    </w:p>
  </w:footnote>
  <w:footnote w:id="17">
    <w:p w:rsidR="005F0D87" w:rsidRPr="009419B6" w:rsidRDefault="005F0D87" w:rsidP="00F76D75">
      <w:pPr>
        <w:pStyle w:val="Textbody"/>
        <w:spacing w:after="0"/>
        <w:jc w:val="both"/>
        <w:rPr>
          <w:color w:val="000000"/>
        </w:rPr>
      </w:pPr>
      <w:r>
        <w:rPr>
          <w:rStyle w:val="Odwoanieprzypisudolnego"/>
        </w:rPr>
        <w:footnoteRef/>
      </w:r>
      <w:r>
        <w:t xml:space="preserve"> </w:t>
      </w:r>
      <w:r w:rsidRPr="0025261C">
        <w:rPr>
          <w:color w:val="000000"/>
          <w:sz w:val="20"/>
          <w:szCs w:val="20"/>
        </w:rPr>
        <w:t xml:space="preserve">"Mowa nienawiści" pozostaje niezdefiniowana. "Nie ma powszechnie przyjętej definicji" mowy nienawiści ". Termin ten obejmuje szeroki wachlarz nienawistnych wiadomości, począwszy od obraźliwych, uwłaczających, obraźliwych i negatywnych stereotypowych uwag i komentarzy, do zastraszenia, podżegania do przemocy wobec </w:t>
      </w:r>
      <w:r w:rsidRPr="009419B6">
        <w:rPr>
          <w:color w:val="000000"/>
          <w:sz w:val="20"/>
          <w:szCs w:val="20"/>
        </w:rPr>
        <w:t xml:space="preserve">konkretnych osób i grup. Tylko najpoważniejsze formy mowy nienawiści, a mianowicie te, stanowiące podżeganie do dyskryminacji, wrogości i przemocy, są na ogół uważane za niezgodne z prawem "(Raport specjalnego sprawozdawcy w kwestiach mniejszości, Rita </w:t>
      </w:r>
      <w:proofErr w:type="spellStart"/>
      <w:r w:rsidRPr="009419B6">
        <w:rPr>
          <w:color w:val="000000"/>
          <w:sz w:val="20"/>
          <w:szCs w:val="20"/>
        </w:rPr>
        <w:t>Izsák</w:t>
      </w:r>
      <w:proofErr w:type="spellEnd"/>
      <w:r w:rsidRPr="009419B6">
        <w:rPr>
          <w:color w:val="000000"/>
          <w:sz w:val="20"/>
          <w:szCs w:val="20"/>
        </w:rPr>
        <w:t xml:space="preserve"> (A / HRC / 28/64), Rada Praw Człowieka sesja dwudziesty ósmy).</w:t>
      </w:r>
    </w:p>
    <w:p w:rsidR="005F0D87" w:rsidRPr="009419B6" w:rsidRDefault="005F0D87" w:rsidP="00F76D75">
      <w:pPr>
        <w:pStyle w:val="Textbody"/>
        <w:spacing w:after="0"/>
        <w:jc w:val="both"/>
        <w:rPr>
          <w:color w:val="000000"/>
          <w:sz w:val="20"/>
          <w:szCs w:val="20"/>
        </w:rPr>
      </w:pPr>
      <w:r w:rsidRPr="009419B6">
        <w:rPr>
          <w:color w:val="000000"/>
          <w:sz w:val="20"/>
          <w:szCs w:val="20"/>
        </w:rPr>
        <w:t xml:space="preserve">Zobacz więcej na: </w:t>
      </w:r>
      <w:hyperlink r:id="rId5" w:anchor="sthash.XYM1WUqO.dpuf" w:history="1">
        <w:r w:rsidRPr="009419B6">
          <w:rPr>
            <w:color w:val="000000"/>
            <w:sz w:val="20"/>
            <w:szCs w:val="20"/>
          </w:rPr>
          <w:t>http://www.ohchr.org/EN/NewsEvents/Pages/DisplayNews.aspx?NewsID=15716&amp;LangID=E#sthash.XYM1WUqO.dpuf</w:t>
        </w:r>
      </w:hyperlink>
    </w:p>
    <w:p w:rsidR="005F0D87" w:rsidRPr="009419B6" w:rsidRDefault="005F0D87" w:rsidP="00F76D75">
      <w:pPr>
        <w:pStyle w:val="Textbody"/>
        <w:spacing w:after="0"/>
        <w:jc w:val="both"/>
        <w:rPr>
          <w:color w:val="000000"/>
          <w:sz w:val="20"/>
          <w:szCs w:val="20"/>
        </w:rPr>
      </w:pPr>
      <w:r w:rsidRPr="009419B6">
        <w:rPr>
          <w:color w:val="000000"/>
          <w:sz w:val="20"/>
          <w:szCs w:val="20"/>
        </w:rPr>
        <w:t>Brak możliwej do zidentyfikowania koncepcji dwudziestu bardzo różnych opinii sprawia, że stosowanie wyroku  jest nieprzewidywalne.</w:t>
      </w:r>
    </w:p>
  </w:footnote>
  <w:footnote w:id="18">
    <w:p w:rsidR="005F0D87" w:rsidRPr="009419B6" w:rsidRDefault="005F0D87" w:rsidP="00F76D75">
      <w:pPr>
        <w:pStyle w:val="Textbody"/>
        <w:spacing w:after="0"/>
        <w:jc w:val="both"/>
        <w:rPr>
          <w:color w:val="000000"/>
        </w:rPr>
      </w:pPr>
      <w:r w:rsidRPr="009419B6">
        <w:rPr>
          <w:rStyle w:val="Odwoanieprzypisudolnego"/>
        </w:rPr>
        <w:footnoteRef/>
      </w:r>
      <w:r w:rsidRPr="009419B6">
        <w:rPr>
          <w:color w:val="000000"/>
          <w:sz w:val="20"/>
          <w:szCs w:val="20"/>
        </w:rPr>
        <w:t xml:space="preserve">Trybunał ma raczej jasne wymagania co do tego, czym jest niedopuszczalne wezwanie do przemocy (patrz </w:t>
      </w:r>
      <w:proofErr w:type="spellStart"/>
      <w:r w:rsidRPr="009419B6">
        <w:rPr>
          <w:i/>
          <w:color w:val="000000"/>
          <w:sz w:val="20"/>
          <w:szCs w:val="20"/>
        </w:rPr>
        <w:t>Sürek</w:t>
      </w:r>
      <w:proofErr w:type="spellEnd"/>
      <w:r w:rsidRPr="009419B6">
        <w:rPr>
          <w:i/>
          <w:color w:val="000000"/>
          <w:sz w:val="20"/>
          <w:szCs w:val="20"/>
        </w:rPr>
        <w:t xml:space="preserve"> przeciwko Turcji</w:t>
      </w:r>
      <w:r w:rsidRPr="009419B6">
        <w:rPr>
          <w:color w:val="000000"/>
          <w:sz w:val="20"/>
          <w:szCs w:val="20"/>
        </w:rPr>
        <w:t xml:space="preserve"> (nr 1) [GC], nr 26682/95, § 62, ETPCz 1999 IV; </w:t>
      </w:r>
      <w:proofErr w:type="spellStart"/>
      <w:r w:rsidRPr="009419B6">
        <w:rPr>
          <w:i/>
          <w:color w:val="000000"/>
          <w:sz w:val="20"/>
          <w:szCs w:val="20"/>
        </w:rPr>
        <w:t>Dağtekin</w:t>
      </w:r>
      <w:proofErr w:type="spellEnd"/>
      <w:r w:rsidRPr="009419B6">
        <w:rPr>
          <w:i/>
          <w:color w:val="000000"/>
          <w:sz w:val="20"/>
          <w:szCs w:val="20"/>
        </w:rPr>
        <w:t xml:space="preserve"> przeciwko Turcji</w:t>
      </w:r>
      <w:r w:rsidRPr="009419B6">
        <w:rPr>
          <w:color w:val="000000"/>
          <w:sz w:val="20"/>
          <w:szCs w:val="20"/>
        </w:rPr>
        <w:t xml:space="preserve">, nr 36215/97, 13 stycznia 2005 r. </w:t>
      </w:r>
      <w:proofErr w:type="spellStart"/>
      <w:r w:rsidRPr="009419B6">
        <w:rPr>
          <w:i/>
          <w:color w:val="000000"/>
          <w:sz w:val="20"/>
          <w:szCs w:val="20"/>
        </w:rPr>
        <w:t>Erbakan</w:t>
      </w:r>
      <w:proofErr w:type="spellEnd"/>
      <w:r w:rsidRPr="009419B6">
        <w:rPr>
          <w:i/>
          <w:color w:val="000000"/>
          <w:sz w:val="20"/>
          <w:szCs w:val="20"/>
        </w:rPr>
        <w:t xml:space="preserve"> przeciwko Turcji</w:t>
      </w:r>
      <w:r w:rsidRPr="009419B6">
        <w:rPr>
          <w:color w:val="000000"/>
          <w:sz w:val="20"/>
          <w:szCs w:val="20"/>
        </w:rPr>
        <w:t xml:space="preserve">, nr 59405/00, § 56, 6 lipca 2006; </w:t>
      </w:r>
      <w:proofErr w:type="spellStart"/>
      <w:r w:rsidRPr="009419B6">
        <w:rPr>
          <w:i/>
          <w:color w:val="000000"/>
          <w:sz w:val="20"/>
          <w:szCs w:val="20"/>
        </w:rPr>
        <w:t>Lindon</w:t>
      </w:r>
      <w:proofErr w:type="spellEnd"/>
      <w:r w:rsidRPr="009419B6">
        <w:rPr>
          <w:i/>
          <w:color w:val="000000"/>
          <w:sz w:val="20"/>
          <w:szCs w:val="20"/>
        </w:rPr>
        <w:t xml:space="preserve">, </w:t>
      </w:r>
      <w:proofErr w:type="spellStart"/>
      <w:r w:rsidRPr="009419B6">
        <w:rPr>
          <w:i/>
          <w:color w:val="000000"/>
          <w:sz w:val="20"/>
          <w:szCs w:val="20"/>
        </w:rPr>
        <w:t>Otchakovsky-Laurens</w:t>
      </w:r>
      <w:proofErr w:type="spellEnd"/>
      <w:r w:rsidRPr="009419B6">
        <w:rPr>
          <w:i/>
          <w:color w:val="000000"/>
          <w:sz w:val="20"/>
          <w:szCs w:val="20"/>
        </w:rPr>
        <w:t xml:space="preserve"> i </w:t>
      </w:r>
      <w:proofErr w:type="spellStart"/>
      <w:r w:rsidRPr="009419B6">
        <w:rPr>
          <w:i/>
          <w:color w:val="000000"/>
          <w:sz w:val="20"/>
          <w:szCs w:val="20"/>
        </w:rPr>
        <w:t>July</w:t>
      </w:r>
      <w:proofErr w:type="spellEnd"/>
      <w:r w:rsidRPr="009419B6">
        <w:rPr>
          <w:i/>
          <w:color w:val="000000"/>
          <w:sz w:val="20"/>
          <w:szCs w:val="20"/>
        </w:rPr>
        <w:t xml:space="preserve"> przeciwko Francji</w:t>
      </w:r>
      <w:r w:rsidRPr="009419B6">
        <w:rPr>
          <w:color w:val="000000"/>
          <w:sz w:val="20"/>
          <w:szCs w:val="20"/>
        </w:rPr>
        <w:t xml:space="preserve"> [GC], nr 21279/02 i 36448/02 , § 56-58, ETPCz 2007 IV; </w:t>
      </w:r>
      <w:proofErr w:type="spellStart"/>
      <w:r w:rsidRPr="009419B6">
        <w:rPr>
          <w:i/>
          <w:color w:val="000000"/>
          <w:sz w:val="20"/>
          <w:szCs w:val="20"/>
        </w:rPr>
        <w:t>Otegi</w:t>
      </w:r>
      <w:proofErr w:type="spellEnd"/>
      <w:r w:rsidRPr="009419B6">
        <w:rPr>
          <w:i/>
          <w:color w:val="000000"/>
          <w:sz w:val="20"/>
          <w:szCs w:val="20"/>
        </w:rPr>
        <w:t xml:space="preserve"> </w:t>
      </w:r>
      <w:proofErr w:type="spellStart"/>
      <w:r w:rsidRPr="009419B6">
        <w:rPr>
          <w:i/>
          <w:color w:val="000000"/>
          <w:sz w:val="20"/>
          <w:szCs w:val="20"/>
        </w:rPr>
        <w:t>Mondragon</w:t>
      </w:r>
      <w:proofErr w:type="spellEnd"/>
      <w:r w:rsidRPr="009419B6">
        <w:rPr>
          <w:i/>
          <w:color w:val="000000"/>
          <w:sz w:val="20"/>
          <w:szCs w:val="20"/>
        </w:rPr>
        <w:t xml:space="preserve"> przeciwko Hiszpanii</w:t>
      </w:r>
      <w:r w:rsidRPr="009419B6">
        <w:rPr>
          <w:color w:val="000000"/>
          <w:sz w:val="20"/>
          <w:szCs w:val="20"/>
        </w:rPr>
        <w:t xml:space="preserve">, nr 2034/07, § 54, ETPCz 2011;... i </w:t>
      </w:r>
      <w:proofErr w:type="spellStart"/>
      <w:r w:rsidRPr="009419B6">
        <w:rPr>
          <w:i/>
          <w:color w:val="000000"/>
          <w:sz w:val="20"/>
          <w:szCs w:val="20"/>
        </w:rPr>
        <w:t>Vejdeland</w:t>
      </w:r>
      <w:proofErr w:type="spellEnd"/>
      <w:r w:rsidRPr="009419B6">
        <w:rPr>
          <w:i/>
          <w:color w:val="000000"/>
          <w:sz w:val="20"/>
          <w:szCs w:val="20"/>
        </w:rPr>
        <w:t xml:space="preserve"> przeciwko Szwecji</w:t>
      </w:r>
      <w:r w:rsidRPr="009419B6">
        <w:rPr>
          <w:color w:val="000000"/>
          <w:sz w:val="20"/>
          <w:szCs w:val="20"/>
        </w:rPr>
        <w:t>, nr 1813/07, § 55, 9 lutego 2012).</w:t>
      </w:r>
    </w:p>
  </w:footnote>
  <w:footnote w:id="19">
    <w:p w:rsidR="005F0D87" w:rsidRPr="00262588" w:rsidRDefault="005F0D87" w:rsidP="00F76D75">
      <w:pPr>
        <w:pStyle w:val="Tekstprzypisudolnego"/>
        <w:rPr>
          <w:lang w:val="pl-PL"/>
        </w:rPr>
      </w:pPr>
      <w:r w:rsidRPr="009419B6">
        <w:rPr>
          <w:rStyle w:val="Odwoanieprzypisudolnego"/>
          <w:lang w:val="pl-PL"/>
        </w:rPr>
        <w:footnoteRef/>
      </w:r>
      <w:r w:rsidRPr="009419B6">
        <w:rPr>
          <w:lang w:val="pl-PL"/>
        </w:rPr>
        <w:t xml:space="preserve"> Było to istotne w </w:t>
      </w:r>
      <w:proofErr w:type="spellStart"/>
      <w:r w:rsidRPr="009419B6">
        <w:rPr>
          <w:i/>
          <w:lang w:val="pl-PL"/>
        </w:rPr>
        <w:t>Stoll</w:t>
      </w:r>
      <w:proofErr w:type="spellEnd"/>
      <w:r w:rsidRPr="009419B6">
        <w:rPr>
          <w:i/>
          <w:lang w:val="pl-PL"/>
        </w:rPr>
        <w:t xml:space="preserve"> przeciwko </w:t>
      </w:r>
      <w:proofErr w:type="spellStart"/>
      <w:r w:rsidRPr="009419B6">
        <w:rPr>
          <w:i/>
          <w:lang w:val="pl-PL"/>
        </w:rPr>
        <w:t>Szwajcari</w:t>
      </w:r>
      <w:proofErr w:type="spellEnd"/>
      <w:r w:rsidRPr="009419B6">
        <w:rPr>
          <w:lang w:val="pl-PL"/>
        </w:rPr>
        <w:t xml:space="preserve"> [GC], nr 69698/01, § 54-56, ETPCz 2007 V), przy ustalaniu interesu rządu, że żadne działania  karne nie zostały podjęte w stosunku do skarżącego; Stąd argument odnoszący się do ochrony bezpieczeństwa narodowego okazał się być bez znaczenia.</w:t>
      </w:r>
    </w:p>
  </w:footnote>
  <w:footnote w:id="20">
    <w:p w:rsidR="005F0D87" w:rsidRPr="000959E6" w:rsidRDefault="005F0D87" w:rsidP="00F76D75">
      <w:pPr>
        <w:pStyle w:val="Tekstprzypisudolnego"/>
      </w:pPr>
      <w:r>
        <w:rPr>
          <w:rStyle w:val="Odwoanieprzypisudolnego"/>
        </w:rPr>
        <w:footnoteRef/>
      </w:r>
      <w:r w:rsidRPr="000959E6">
        <w:t xml:space="preserve"> </w:t>
      </w:r>
      <w:r w:rsidRPr="00442B11">
        <w:rPr>
          <w:rFonts w:cs="Times New Roman"/>
          <w:lang w:val="en-GB"/>
        </w:rPr>
        <w:t xml:space="preserve">George Packer, “Mute Button”, </w:t>
      </w:r>
      <w:r w:rsidRPr="00442B11">
        <w:rPr>
          <w:rFonts w:cs="Times New Roman"/>
          <w:i/>
          <w:lang w:val="en-GB"/>
        </w:rPr>
        <w:t>The New Yorker</w:t>
      </w:r>
      <w:r w:rsidRPr="00442B11">
        <w:rPr>
          <w:rFonts w:cs="Times New Roman"/>
          <w:lang w:val="en-GB"/>
        </w:rPr>
        <w:t xml:space="preserve">, 13 </w:t>
      </w:r>
      <w:proofErr w:type="spellStart"/>
      <w:r>
        <w:rPr>
          <w:rFonts w:cs="Times New Roman"/>
          <w:lang w:val="en-GB"/>
        </w:rPr>
        <w:t>kwietnia</w:t>
      </w:r>
      <w:proofErr w:type="spellEnd"/>
      <w:r w:rsidRPr="00442B11">
        <w:rPr>
          <w:rFonts w:cs="Times New Roman"/>
          <w:lang w:val="en-GB"/>
        </w:rPr>
        <w:t xml:space="preserve"> 2015.</w:t>
      </w:r>
    </w:p>
  </w:footnote>
  <w:footnote w:id="21">
    <w:p w:rsidR="005F0D87" w:rsidRPr="009419B6" w:rsidRDefault="005F0D87" w:rsidP="00F76D75">
      <w:pPr>
        <w:pStyle w:val="Textbody"/>
        <w:jc w:val="both"/>
        <w:rPr>
          <w:sz w:val="20"/>
        </w:rPr>
      </w:pPr>
      <w:r>
        <w:rPr>
          <w:rStyle w:val="Odwoanieprzypisudolnego"/>
        </w:rPr>
        <w:footnoteRef/>
      </w:r>
      <w:r>
        <w:t xml:space="preserve"> </w:t>
      </w:r>
      <w:r w:rsidRPr="0025261C">
        <w:rPr>
          <w:color w:val="000000"/>
          <w:sz w:val="20"/>
          <w:szCs w:val="20"/>
        </w:rPr>
        <w:t xml:space="preserve">Istotne jest, aby pamiętać, że reszta tego cytatu nie jest brana pod uwagę w tym wyroku. Oryginalny paragraf zawiera ważną kwalifikację: "W związku z tym wiele ustaw jest sformułowanych w sposób, który w większym lub mniejszym stopniu, jest niejasny, a ich wykładnia i stosowanie są kwestionowane w praktyce". W tym przypadku jednak problemem </w:t>
      </w:r>
      <w:r w:rsidRPr="009419B6">
        <w:rPr>
          <w:sz w:val="20"/>
          <w:szCs w:val="20"/>
        </w:rPr>
        <w:t xml:space="preserve">nie  jest stosowanie pojęć niejasnych, na przykład faktu, że dyrektywa stosuje mgliste pojęcie, które odnosi się do "usługodawcy". Problemem było to, że były dwie ustawy, a skarżąca </w:t>
      </w:r>
      <w:r w:rsidR="00631F4D" w:rsidRPr="009419B6">
        <w:rPr>
          <w:sz w:val="20"/>
          <w:szCs w:val="20"/>
        </w:rPr>
        <w:t>spółka</w:t>
      </w:r>
      <w:r w:rsidRPr="009419B6">
        <w:rPr>
          <w:sz w:val="20"/>
          <w:szCs w:val="20"/>
        </w:rPr>
        <w:t xml:space="preserve"> uważała, że dyrektywa miała zastosowanie jako prawo Unii i prawo specjalne, natomiast Sąd Najwyższy uznał, że drugie prawo było stosowane, ponieważ usługodawca był wydawcą.</w:t>
      </w:r>
    </w:p>
    <w:p w:rsidR="005F0D87" w:rsidRPr="00262588" w:rsidRDefault="005F0D87" w:rsidP="00F76D75">
      <w:pPr>
        <w:pStyle w:val="Tekstprzypisudolnego"/>
        <w:rPr>
          <w:lang w:val="pl-PL"/>
        </w:rPr>
      </w:pPr>
    </w:p>
  </w:footnote>
  <w:footnote w:id="22">
    <w:p w:rsidR="005F0D87" w:rsidRPr="001426CD" w:rsidRDefault="005F0D87" w:rsidP="00F76D75">
      <w:pPr>
        <w:pStyle w:val="Textbody"/>
        <w:spacing w:after="0"/>
        <w:jc w:val="both"/>
        <w:rPr>
          <w:color w:val="000000"/>
          <w:sz w:val="20"/>
          <w:szCs w:val="20"/>
        </w:rPr>
      </w:pPr>
      <w:r>
        <w:rPr>
          <w:rStyle w:val="Odwoanieprzypisudolnego"/>
        </w:rPr>
        <w:footnoteRef/>
      </w:r>
      <w:r>
        <w:t xml:space="preserve"> </w:t>
      </w:r>
      <w:r w:rsidRPr="0025261C">
        <w:rPr>
          <w:color w:val="000000"/>
          <w:sz w:val="20"/>
          <w:szCs w:val="20"/>
        </w:rPr>
        <w:t xml:space="preserve">W przypadku  </w:t>
      </w:r>
      <w:r w:rsidRPr="001426CD">
        <w:rPr>
          <w:i/>
          <w:color w:val="000000"/>
          <w:sz w:val="20"/>
          <w:szCs w:val="20"/>
        </w:rPr>
        <w:t>Zarządu Reda</w:t>
      </w:r>
      <w:r>
        <w:rPr>
          <w:i/>
          <w:color w:val="000000"/>
          <w:sz w:val="20"/>
          <w:szCs w:val="20"/>
        </w:rPr>
        <w:t xml:space="preserve">kcyjnego </w:t>
      </w:r>
      <w:proofErr w:type="spellStart"/>
      <w:r>
        <w:rPr>
          <w:i/>
          <w:color w:val="000000"/>
          <w:sz w:val="20"/>
          <w:szCs w:val="20"/>
        </w:rPr>
        <w:t>Pravoye</w:t>
      </w:r>
      <w:proofErr w:type="spellEnd"/>
      <w:r>
        <w:rPr>
          <w:i/>
          <w:color w:val="000000"/>
          <w:sz w:val="20"/>
          <w:szCs w:val="20"/>
        </w:rPr>
        <w:t xml:space="preserve"> Delo i </w:t>
      </w:r>
      <w:proofErr w:type="spellStart"/>
      <w:r>
        <w:rPr>
          <w:i/>
          <w:color w:val="000000"/>
          <w:sz w:val="20"/>
          <w:szCs w:val="20"/>
        </w:rPr>
        <w:t>Shtekel</w:t>
      </w:r>
      <w:proofErr w:type="spellEnd"/>
      <w:r>
        <w:rPr>
          <w:i/>
          <w:color w:val="000000"/>
          <w:sz w:val="20"/>
          <w:szCs w:val="20"/>
        </w:rPr>
        <w:t xml:space="preserve"> przeciwko Ukrainie</w:t>
      </w:r>
      <w:r w:rsidRPr="0025261C">
        <w:rPr>
          <w:color w:val="000000"/>
          <w:sz w:val="20"/>
          <w:szCs w:val="20"/>
        </w:rPr>
        <w:t xml:space="preserve"> (cytowane powyżej), dotyczących sporów związanych z Internetem na mocy artykułu 10, chociaż różni się od prezentowanego tutaj, Trybunał stwierdził naruszenie artykułu 10 wyłącznie na podstawie tego, że ingerencja nie była odpowiednio określona przez prawo, biorąc pod uwagę, między innymi, szczególne problemy pojawiających się w dobie Internetu</w:t>
      </w:r>
    </w:p>
  </w:footnote>
  <w:footnote w:id="23">
    <w:p w:rsidR="005F0D87" w:rsidRPr="001426CD" w:rsidRDefault="005F0D87" w:rsidP="00F76D75">
      <w:pPr>
        <w:pStyle w:val="Textbody"/>
        <w:spacing w:after="0"/>
        <w:jc w:val="both"/>
        <w:rPr>
          <w:color w:val="000000"/>
          <w:sz w:val="20"/>
          <w:szCs w:val="20"/>
        </w:rPr>
      </w:pPr>
      <w:r>
        <w:rPr>
          <w:rStyle w:val="Odwoanieprzypisudolnego"/>
        </w:rPr>
        <w:footnoteRef/>
      </w:r>
      <w:r>
        <w:t xml:space="preserve"> </w:t>
      </w:r>
      <w:r w:rsidRPr="0025261C">
        <w:rPr>
          <w:color w:val="000000"/>
          <w:sz w:val="20"/>
          <w:szCs w:val="20"/>
        </w:rPr>
        <w:t xml:space="preserve">Czasami podżeganie do </w:t>
      </w:r>
      <w:r>
        <w:rPr>
          <w:color w:val="000000"/>
          <w:sz w:val="20"/>
          <w:szCs w:val="20"/>
        </w:rPr>
        <w:t xml:space="preserve">przemocy jest również wymieniane. </w:t>
      </w:r>
    </w:p>
  </w:footnote>
  <w:footnote w:id="24">
    <w:p w:rsidR="005F0D87" w:rsidRPr="003C6D65" w:rsidRDefault="005F0D87" w:rsidP="003C6D65">
      <w:pPr>
        <w:pStyle w:val="Textbody"/>
        <w:jc w:val="both"/>
        <w:rPr>
          <w:color w:val="000000"/>
          <w:sz w:val="20"/>
        </w:rPr>
      </w:pPr>
      <w:r>
        <w:rPr>
          <w:rStyle w:val="Odwoanieprzypisudolnego"/>
        </w:rPr>
        <w:footnoteRef/>
      </w:r>
      <w:r>
        <w:t xml:space="preserve"> </w:t>
      </w:r>
      <w:r w:rsidRPr="0025261C">
        <w:rPr>
          <w:color w:val="000000"/>
          <w:sz w:val="20"/>
          <w:szCs w:val="20"/>
        </w:rPr>
        <w:t>Gdzie równowaga pomiędzy tymi dwoma przepisami została podjęta przez władze krajowe zgodnie z kryteriami określonymi w orzecznictwie Trybunału, Trybunał wymaga silnych powodów, aby zastąpić swój pogląd na ten sądów krajowych (</w:t>
      </w:r>
      <w:r>
        <w:rPr>
          <w:color w:val="000000"/>
          <w:sz w:val="20"/>
          <w:szCs w:val="20"/>
        </w:rPr>
        <w:t>patrz</w:t>
      </w:r>
      <w:r w:rsidRPr="0025261C">
        <w:rPr>
          <w:color w:val="000000"/>
          <w:sz w:val="20"/>
          <w:szCs w:val="20"/>
        </w:rPr>
        <w:t xml:space="preserve"> </w:t>
      </w:r>
      <w:r>
        <w:rPr>
          <w:i/>
          <w:color w:val="000000"/>
          <w:sz w:val="20"/>
          <w:szCs w:val="20"/>
        </w:rPr>
        <w:t>Axel Springer AG przeciwko Niemcom</w:t>
      </w:r>
      <w:r>
        <w:rPr>
          <w:color w:val="000000"/>
          <w:sz w:val="20"/>
          <w:szCs w:val="20"/>
        </w:rPr>
        <w:t xml:space="preserve"> [GC], nr</w:t>
      </w:r>
      <w:r w:rsidRPr="0025261C">
        <w:rPr>
          <w:color w:val="000000"/>
          <w:sz w:val="20"/>
          <w:szCs w:val="20"/>
        </w:rPr>
        <w:t xml:space="preserve"> 39954/08, § 88, dnia 7 lutego</w:t>
      </w:r>
      <w:r>
        <w:rPr>
          <w:color w:val="000000"/>
          <w:sz w:val="20"/>
          <w:szCs w:val="20"/>
        </w:rPr>
        <w:t xml:space="preserve"> 2012, oraz</w:t>
      </w:r>
      <w:r w:rsidRPr="0025261C">
        <w:rPr>
          <w:color w:val="000000"/>
          <w:sz w:val="20"/>
          <w:szCs w:val="20"/>
        </w:rPr>
        <w:t xml:space="preserve"> </w:t>
      </w:r>
      <w:r w:rsidRPr="001426CD">
        <w:rPr>
          <w:i/>
          <w:color w:val="000000"/>
          <w:sz w:val="20"/>
          <w:szCs w:val="20"/>
        </w:rPr>
        <w:t>V</w:t>
      </w:r>
      <w:r>
        <w:rPr>
          <w:i/>
          <w:color w:val="000000"/>
          <w:sz w:val="20"/>
          <w:szCs w:val="20"/>
        </w:rPr>
        <w:t xml:space="preserve">on </w:t>
      </w:r>
      <w:proofErr w:type="spellStart"/>
      <w:r>
        <w:rPr>
          <w:i/>
          <w:color w:val="000000"/>
          <w:sz w:val="20"/>
          <w:szCs w:val="20"/>
        </w:rPr>
        <w:t>Hannover</w:t>
      </w:r>
      <w:proofErr w:type="spellEnd"/>
      <w:r>
        <w:rPr>
          <w:i/>
          <w:color w:val="000000"/>
          <w:sz w:val="20"/>
          <w:szCs w:val="20"/>
        </w:rPr>
        <w:t xml:space="preserve"> przeciwko </w:t>
      </w:r>
      <w:r w:rsidRPr="001426CD">
        <w:rPr>
          <w:i/>
          <w:color w:val="000000"/>
          <w:sz w:val="20"/>
          <w:szCs w:val="20"/>
        </w:rPr>
        <w:t>Niemc</w:t>
      </w:r>
      <w:r>
        <w:rPr>
          <w:i/>
          <w:color w:val="000000"/>
          <w:sz w:val="20"/>
          <w:szCs w:val="20"/>
        </w:rPr>
        <w:t>om</w:t>
      </w:r>
      <w:r w:rsidRPr="0025261C">
        <w:rPr>
          <w:color w:val="000000"/>
          <w:sz w:val="20"/>
          <w:szCs w:val="20"/>
        </w:rPr>
        <w:t xml:space="preserve"> (nr</w:t>
      </w:r>
      <w:r>
        <w:rPr>
          <w:color w:val="000000"/>
          <w:sz w:val="20"/>
          <w:szCs w:val="20"/>
        </w:rPr>
        <w:t xml:space="preserve"> 2) [GC], nr</w:t>
      </w:r>
      <w:r w:rsidRPr="0025261C">
        <w:rPr>
          <w:color w:val="000000"/>
          <w:sz w:val="20"/>
          <w:szCs w:val="20"/>
        </w:rPr>
        <w:t xml:space="preserve"> 40660/08 i 60641/08, § 107, </w:t>
      </w:r>
      <w:r>
        <w:rPr>
          <w:color w:val="000000"/>
          <w:sz w:val="20"/>
          <w:szCs w:val="20"/>
        </w:rPr>
        <w:t>ETPCz</w:t>
      </w:r>
      <w:r w:rsidRPr="0025261C">
        <w:rPr>
          <w:color w:val="000000"/>
          <w:sz w:val="20"/>
          <w:szCs w:val="20"/>
        </w:rPr>
        <w:t xml:space="preserve"> 2012 ). Jest to prawdopodobnie z tego powodu, że analiza Trybunału w niniejszej sprawie koncentruje się na wystarczającej ilości powodów przedstawionych przez sądy krajowe. Jednakże sądy krajowe </w:t>
      </w:r>
      <w:r w:rsidRPr="00350B33">
        <w:rPr>
          <w:color w:val="000000"/>
          <w:sz w:val="20"/>
          <w:szCs w:val="20"/>
          <w:u w:val="single"/>
        </w:rPr>
        <w:t>tylko wybiórczo</w:t>
      </w:r>
      <w:r w:rsidRPr="0025261C">
        <w:rPr>
          <w:color w:val="000000"/>
          <w:sz w:val="20"/>
          <w:szCs w:val="20"/>
        </w:rPr>
        <w:t xml:space="preserve"> uznały kryteria ustanowione w orzecznictwie Trybunału.</w:t>
      </w:r>
    </w:p>
  </w:footnote>
  <w:footnote w:id="25">
    <w:p w:rsidR="005F0D87" w:rsidRPr="009419B6" w:rsidRDefault="005F0D87" w:rsidP="00F76D75">
      <w:pPr>
        <w:pStyle w:val="Textbody"/>
        <w:jc w:val="both"/>
        <w:rPr>
          <w:sz w:val="20"/>
          <w:szCs w:val="20"/>
        </w:rPr>
      </w:pPr>
      <w:r>
        <w:rPr>
          <w:rStyle w:val="Odwoanieprzypisudolnego"/>
        </w:rPr>
        <w:footnoteRef/>
      </w:r>
      <w:r>
        <w:t xml:space="preserve"> </w:t>
      </w:r>
      <w:r w:rsidRPr="0025261C">
        <w:rPr>
          <w:color w:val="000000"/>
          <w:sz w:val="20"/>
          <w:szCs w:val="20"/>
        </w:rPr>
        <w:t xml:space="preserve">Zasady podane w wyroku odnoszą się do odpowiednich i </w:t>
      </w:r>
      <w:r w:rsidRPr="009419B6">
        <w:rPr>
          <w:sz w:val="20"/>
          <w:szCs w:val="20"/>
        </w:rPr>
        <w:t>wystarczających podstaw jako część deliberacji na temat marginesu uznania. Ma to sens, na przykład, gdy władze krajowe przedstawią uzasadnieni</w:t>
      </w:r>
      <w:r>
        <w:rPr>
          <w:sz w:val="20"/>
          <w:szCs w:val="20"/>
        </w:rPr>
        <w:t>e</w:t>
      </w:r>
      <w:r w:rsidRPr="009419B6">
        <w:rPr>
          <w:sz w:val="20"/>
          <w:szCs w:val="20"/>
        </w:rPr>
        <w:t xml:space="preserve"> co do stosowności środków i celów; jeżeli są one istotne, margines uznania może się zmienić, a poziom kontroli może się zmniejszać. W niniejszym przypadku jednak wymóg, aby mieć odpowiednie i wystarczające podstawy zostaje odłączony od marginesu uznania. Ograniczenia praw Konwencji, gdzie podstawy ograniczenia nie są przewidziane, jest arbitralne, a zatem nie mogą być uznane za konieczne w demokratycznym społeczeństwie. Jest to ważne dla rządów prawa i wykonywania praw w przypadku których sam środek restrykcyjny zawiera uzasadnienie </w:t>
      </w:r>
      <w:r>
        <w:rPr>
          <w:sz w:val="20"/>
          <w:szCs w:val="20"/>
        </w:rPr>
        <w:t>oraz</w:t>
      </w:r>
      <w:r w:rsidRPr="009419B6">
        <w:rPr>
          <w:sz w:val="20"/>
          <w:szCs w:val="20"/>
        </w:rPr>
        <w:t xml:space="preserve"> nie są one wykonane </w:t>
      </w:r>
      <w:r w:rsidRPr="009419B6">
        <w:rPr>
          <w:i/>
          <w:sz w:val="20"/>
          <w:szCs w:val="20"/>
        </w:rPr>
        <w:t>ex post facto</w:t>
      </w:r>
      <w:r w:rsidRPr="009419B6">
        <w:rPr>
          <w:sz w:val="20"/>
          <w:szCs w:val="20"/>
        </w:rPr>
        <w:t xml:space="preserve">. Byłoby to jeszcze bardziej nie do przyjęcia, aby pozwolić </w:t>
      </w:r>
      <w:r>
        <w:rPr>
          <w:sz w:val="20"/>
          <w:szCs w:val="20"/>
        </w:rPr>
        <w:t>Trybunałowi</w:t>
      </w:r>
      <w:r w:rsidRPr="009419B6">
        <w:rPr>
          <w:sz w:val="20"/>
          <w:szCs w:val="20"/>
        </w:rPr>
        <w:t xml:space="preserve"> z urzędu na spekulacje na temat możliwych przyczyn.</w:t>
      </w:r>
    </w:p>
    <w:p w:rsidR="005F0D87" w:rsidRPr="00262588" w:rsidRDefault="005F0D87" w:rsidP="00F76D75">
      <w:pPr>
        <w:pStyle w:val="Tekstprzypisudolnego"/>
        <w:rPr>
          <w:lang w:val="pl-PL"/>
        </w:rPr>
      </w:pPr>
    </w:p>
  </w:footnote>
  <w:footnote w:id="26">
    <w:p w:rsidR="005F0D87" w:rsidRPr="0025261C" w:rsidRDefault="005F0D87" w:rsidP="00F76D75">
      <w:pPr>
        <w:pStyle w:val="Textbody"/>
        <w:jc w:val="both"/>
        <w:rPr>
          <w:color w:val="000000"/>
          <w:sz w:val="20"/>
          <w:szCs w:val="20"/>
        </w:rPr>
      </w:pPr>
      <w:r>
        <w:rPr>
          <w:rStyle w:val="Odwoanieprzypisudolnego"/>
        </w:rPr>
        <w:footnoteRef/>
      </w:r>
      <w:r>
        <w:t xml:space="preserve"> </w:t>
      </w:r>
      <w:r>
        <w:rPr>
          <w:color w:val="000000"/>
          <w:sz w:val="20"/>
          <w:szCs w:val="20"/>
        </w:rPr>
        <w:t>Patrz</w:t>
      </w:r>
      <w:r w:rsidRPr="0025261C">
        <w:rPr>
          <w:color w:val="000000"/>
          <w:sz w:val="20"/>
          <w:szCs w:val="20"/>
        </w:rPr>
        <w:t xml:space="preserve"> </w:t>
      </w:r>
      <w:proofErr w:type="spellStart"/>
      <w:r w:rsidRPr="00350B33">
        <w:rPr>
          <w:i/>
          <w:color w:val="000000"/>
          <w:sz w:val="20"/>
          <w:szCs w:val="20"/>
        </w:rPr>
        <w:t>Ashby</w:t>
      </w:r>
      <w:proofErr w:type="spellEnd"/>
      <w:r w:rsidRPr="00350B33">
        <w:rPr>
          <w:i/>
          <w:color w:val="000000"/>
          <w:sz w:val="20"/>
          <w:szCs w:val="20"/>
        </w:rPr>
        <w:t xml:space="preserve"> Donald i Inni</w:t>
      </w:r>
      <w:r w:rsidRPr="0025261C">
        <w:rPr>
          <w:color w:val="000000"/>
          <w:sz w:val="20"/>
          <w:szCs w:val="20"/>
        </w:rPr>
        <w:t xml:space="preserve">, cytowany powyżej, § 34 oraz </w:t>
      </w:r>
      <w:r w:rsidRPr="00350B33">
        <w:rPr>
          <w:i/>
          <w:color w:val="000000"/>
          <w:sz w:val="20"/>
          <w:szCs w:val="20"/>
        </w:rPr>
        <w:t xml:space="preserve">Węgrzynowski i </w:t>
      </w:r>
      <w:proofErr w:type="spellStart"/>
      <w:r w:rsidRPr="00350B33">
        <w:rPr>
          <w:i/>
          <w:color w:val="000000"/>
          <w:sz w:val="20"/>
          <w:szCs w:val="20"/>
        </w:rPr>
        <w:t>Smolczewski</w:t>
      </w:r>
      <w:proofErr w:type="spellEnd"/>
      <w:r w:rsidRPr="0025261C">
        <w:rPr>
          <w:color w:val="000000"/>
          <w:sz w:val="20"/>
          <w:szCs w:val="20"/>
        </w:rPr>
        <w:t>, cytowany powyżej, § 58.</w:t>
      </w:r>
    </w:p>
    <w:p w:rsidR="005F0D87" w:rsidRPr="00262588" w:rsidRDefault="005F0D87" w:rsidP="00F76D75">
      <w:pPr>
        <w:pStyle w:val="Tekstprzypisudolnego"/>
        <w:rPr>
          <w:lang w:val="pl-PL"/>
        </w:rPr>
      </w:pPr>
    </w:p>
  </w:footnote>
  <w:footnote w:id="27">
    <w:p w:rsidR="005F0D87" w:rsidRPr="009419B6" w:rsidRDefault="005F0D87" w:rsidP="00F76D75">
      <w:pPr>
        <w:pStyle w:val="Standard"/>
        <w:jc w:val="both"/>
        <w:rPr>
          <w:sz w:val="20"/>
          <w:szCs w:val="20"/>
        </w:rPr>
      </w:pPr>
      <w:r>
        <w:rPr>
          <w:rStyle w:val="Odwoanieprzypisudolnego"/>
        </w:rPr>
        <w:footnoteRef/>
      </w:r>
      <w:r>
        <w:t xml:space="preserve"> </w:t>
      </w:r>
      <w:r w:rsidRPr="0025261C">
        <w:rPr>
          <w:sz w:val="20"/>
          <w:szCs w:val="20"/>
        </w:rPr>
        <w:t>Odczytujemy ocenę przedstawioną przez Trybunał jako deklarację braku jasności w odniesieniu do wyroku Sądu Najwyższego: "W związku z tym Sąd Najwyższy nie jednoznacznie określił, czy wnioskodawca był zobowiązany do zapobiegania publikowania komentarzy na stronie internetowej czy wystarczyłoby na mocy prawa krajowego stosowaneg</w:t>
      </w:r>
      <w:r>
        <w:rPr>
          <w:sz w:val="20"/>
          <w:szCs w:val="20"/>
        </w:rPr>
        <w:t xml:space="preserve">o w stosunku do </w:t>
      </w:r>
      <w:r w:rsidRPr="009419B6">
        <w:rPr>
          <w:sz w:val="20"/>
          <w:szCs w:val="20"/>
        </w:rPr>
        <w:t>skarżącej spółki  usunąć obraźliwe komentarze niezwłocznie po ich opublikowaniu, aby uciec od odpowiedzialności na mocy ustawy o zobowiązaniach"  (patrz paragraf 153 wyroku).</w:t>
      </w:r>
    </w:p>
  </w:footnote>
  <w:footnote w:id="28">
    <w:p w:rsidR="005F0D87" w:rsidRPr="0025261C" w:rsidRDefault="005F0D87" w:rsidP="00F76D75">
      <w:pPr>
        <w:pStyle w:val="Textbody"/>
        <w:jc w:val="both"/>
        <w:rPr>
          <w:sz w:val="20"/>
          <w:szCs w:val="20"/>
        </w:rPr>
      </w:pPr>
      <w:r w:rsidRPr="009419B6">
        <w:rPr>
          <w:rStyle w:val="Odwoanieprzypisudolnego"/>
        </w:rPr>
        <w:footnoteRef/>
      </w:r>
      <w:r w:rsidRPr="009419B6">
        <w:t xml:space="preserve"> </w:t>
      </w:r>
      <w:r w:rsidRPr="009419B6">
        <w:rPr>
          <w:sz w:val="20"/>
          <w:szCs w:val="20"/>
        </w:rPr>
        <w:t>Usprawiedliwianie aktywnego pośrednika, że powinien był wiedzieć</w:t>
      </w:r>
      <w:r w:rsidRPr="0025261C">
        <w:rPr>
          <w:sz w:val="20"/>
          <w:szCs w:val="20"/>
        </w:rPr>
        <w:t xml:space="preserve"> o nielegalności wysłanych treści, które powinny być usuwane natychmiast nie ma racji bytu.</w:t>
      </w:r>
    </w:p>
    <w:p w:rsidR="005F0D87" w:rsidRPr="00262588" w:rsidRDefault="005F0D87" w:rsidP="00F76D75">
      <w:pPr>
        <w:pStyle w:val="Tekstprzypisudolnego"/>
        <w:rPr>
          <w:lang w:val="pl-PL"/>
        </w:rPr>
      </w:pPr>
    </w:p>
  </w:footnote>
  <w:footnote w:id="29">
    <w:p w:rsidR="005F0D87" w:rsidRPr="0025261C" w:rsidRDefault="005F0D87" w:rsidP="00F76D75">
      <w:pPr>
        <w:pStyle w:val="Textbody"/>
        <w:jc w:val="both"/>
        <w:rPr>
          <w:sz w:val="20"/>
          <w:szCs w:val="20"/>
        </w:rPr>
      </w:pPr>
      <w:r>
        <w:rPr>
          <w:rStyle w:val="Odwoanieprzypisudolnego"/>
        </w:rPr>
        <w:footnoteRef/>
      </w:r>
      <w:r>
        <w:t xml:space="preserve"> </w:t>
      </w:r>
      <w:r w:rsidRPr="0025261C">
        <w:rPr>
          <w:sz w:val="20"/>
          <w:szCs w:val="20"/>
        </w:rPr>
        <w:t xml:space="preserve">W standardowej sprawie dotyczącej odpowiedzialności </w:t>
      </w:r>
      <w:r w:rsidRPr="00A871D2">
        <w:rPr>
          <w:sz w:val="20"/>
          <w:szCs w:val="20"/>
        </w:rPr>
        <w:t xml:space="preserve">wkład poszkodowanego jest kwestią do rozpatrzenia. Spółka </w:t>
      </w:r>
      <w:proofErr w:type="spellStart"/>
      <w:r w:rsidRPr="00A871D2">
        <w:rPr>
          <w:sz w:val="20"/>
          <w:szCs w:val="20"/>
        </w:rPr>
        <w:t>Delfi</w:t>
      </w:r>
      <w:proofErr w:type="spellEnd"/>
      <w:r w:rsidRPr="00A871D2">
        <w:rPr>
          <w:sz w:val="20"/>
          <w:szCs w:val="20"/>
        </w:rPr>
        <w:t xml:space="preserve"> była oskarżana o to, że nielegalne treści pozostawały w Internecie przez sześć tygodni. Dlaczego L. i jego firma nie śledziła artykułu na bardzo ważnym portalu informacyjnym dotyczącym ich działalności gospodarczej i nie zgłosiła</w:t>
      </w:r>
      <w:r w:rsidRPr="0025261C">
        <w:rPr>
          <w:sz w:val="20"/>
          <w:szCs w:val="20"/>
        </w:rPr>
        <w:t xml:space="preserve"> tych komentarzy wcześniej?</w:t>
      </w:r>
    </w:p>
    <w:p w:rsidR="005F0D87" w:rsidRPr="00262588" w:rsidRDefault="005F0D87" w:rsidP="00F76D75">
      <w:pPr>
        <w:pStyle w:val="Tekstprzypisudolnego"/>
        <w:rPr>
          <w:lang w:val="pl-PL"/>
        </w:rPr>
      </w:pPr>
    </w:p>
  </w:footnote>
  <w:footnote w:id="30">
    <w:p w:rsidR="005F0D87" w:rsidRPr="00A871D2" w:rsidRDefault="005F0D87" w:rsidP="00F76D75">
      <w:pPr>
        <w:pStyle w:val="Textbody"/>
        <w:jc w:val="both"/>
        <w:rPr>
          <w:sz w:val="20"/>
          <w:szCs w:val="20"/>
        </w:rPr>
      </w:pPr>
      <w:r w:rsidRPr="00A871D2">
        <w:rPr>
          <w:rStyle w:val="Odwoanieprzypisudolnego"/>
        </w:rPr>
        <w:footnoteRef/>
      </w:r>
      <w:r w:rsidRPr="00A871D2">
        <w:rPr>
          <w:sz w:val="20"/>
          <w:szCs w:val="20"/>
        </w:rPr>
        <w:t xml:space="preserve">Trybunał nie objął tej części utrwalonym orzecznictwem w ramach analizy dziennikarskich obowiązków w paragrafie 132, gdzie mówi, że obowiązkiem prasy "jest jednak komunikowanie - w sposób zgodny z jej obowiązkami i odpowiedzialnością - informacji i pomysłów we wszystkich sprawach będących przedmiotem zainteresowania publicznego ". Tutaj Trybunał rozpatruje sprawę z udziałem debaty na gruncie interesu publicznego. To nie jest miejsce, aby wyrazić nasze wątpliwości co do konstrukcji prawa prasowego jako obowiązków, ale zauważmy, że alternatywny język jest również używany w naszym orzecznictwie: "Nie tylko media mają za zadanie przekazywania takich informacji i idei; społeczeństwo ma również prawo je otrzymywać "(patrz </w:t>
      </w:r>
      <w:r w:rsidRPr="00A871D2">
        <w:rPr>
          <w:i/>
          <w:sz w:val="20"/>
          <w:szCs w:val="20"/>
        </w:rPr>
        <w:t xml:space="preserve">News </w:t>
      </w:r>
      <w:proofErr w:type="spellStart"/>
      <w:r w:rsidRPr="00A871D2">
        <w:rPr>
          <w:i/>
          <w:sz w:val="20"/>
          <w:szCs w:val="20"/>
        </w:rPr>
        <w:t>Verlags</w:t>
      </w:r>
      <w:proofErr w:type="spellEnd"/>
      <w:r w:rsidRPr="00A871D2">
        <w:rPr>
          <w:i/>
          <w:sz w:val="20"/>
          <w:szCs w:val="20"/>
        </w:rPr>
        <w:t xml:space="preserve"> GmbH &amp; Co.</w:t>
      </w:r>
      <w:r w:rsidRPr="00A871D2">
        <w:rPr>
          <w:i/>
          <w:szCs w:val="20"/>
        </w:rPr>
        <w:t xml:space="preserve"> </w:t>
      </w:r>
      <w:r w:rsidRPr="00A871D2">
        <w:rPr>
          <w:i/>
          <w:sz w:val="20"/>
          <w:szCs w:val="20"/>
        </w:rPr>
        <w:t>KG przeciwko Austrii</w:t>
      </w:r>
      <w:r w:rsidRPr="00A871D2">
        <w:rPr>
          <w:sz w:val="20"/>
          <w:szCs w:val="20"/>
        </w:rPr>
        <w:t xml:space="preserve">, nr 31457/96, § 56, ETPCz 2000-I;. </w:t>
      </w:r>
      <w:proofErr w:type="spellStart"/>
      <w:r w:rsidRPr="00A871D2">
        <w:rPr>
          <w:i/>
          <w:sz w:val="20"/>
          <w:szCs w:val="20"/>
        </w:rPr>
        <w:t>Dupuis</w:t>
      </w:r>
      <w:proofErr w:type="spellEnd"/>
      <w:r w:rsidRPr="00A871D2">
        <w:rPr>
          <w:i/>
          <w:sz w:val="20"/>
          <w:szCs w:val="20"/>
        </w:rPr>
        <w:t xml:space="preserve"> i Inni przeciwko Francji</w:t>
      </w:r>
      <w:r w:rsidRPr="00A871D2">
        <w:rPr>
          <w:sz w:val="20"/>
          <w:szCs w:val="20"/>
        </w:rPr>
        <w:t xml:space="preserve">, nr 1914/02 § 35, 07 czerwca 2007; i </w:t>
      </w:r>
      <w:r w:rsidRPr="00A871D2">
        <w:rPr>
          <w:i/>
          <w:sz w:val="20"/>
          <w:szCs w:val="20"/>
        </w:rPr>
        <w:t xml:space="preserve">Campos </w:t>
      </w:r>
      <w:proofErr w:type="spellStart"/>
      <w:r w:rsidRPr="00A871D2">
        <w:rPr>
          <w:i/>
          <w:sz w:val="20"/>
          <w:szCs w:val="20"/>
        </w:rPr>
        <w:t>Dâmaso</w:t>
      </w:r>
      <w:proofErr w:type="spellEnd"/>
      <w:r w:rsidRPr="00A871D2">
        <w:rPr>
          <w:i/>
          <w:sz w:val="20"/>
          <w:szCs w:val="20"/>
        </w:rPr>
        <w:t xml:space="preserve"> przeciwko Portugalii</w:t>
      </w:r>
      <w:r w:rsidRPr="00A871D2">
        <w:rPr>
          <w:sz w:val="20"/>
          <w:szCs w:val="20"/>
        </w:rPr>
        <w:t xml:space="preserve">, nr 17107/05, § 31, 24 kwietnia 2008), "Patrz także </w:t>
      </w:r>
      <w:r w:rsidRPr="00A871D2">
        <w:rPr>
          <w:i/>
          <w:sz w:val="20"/>
          <w:szCs w:val="20"/>
        </w:rPr>
        <w:t>Axel Springer AG</w:t>
      </w:r>
      <w:r w:rsidRPr="00A871D2">
        <w:rPr>
          <w:sz w:val="20"/>
          <w:szCs w:val="20"/>
        </w:rPr>
        <w:t xml:space="preserve"> (cytowane powyżej), §§ 80 i 79.</w:t>
      </w:r>
    </w:p>
    <w:p w:rsidR="005F0D87" w:rsidRPr="00262588" w:rsidRDefault="005F0D87" w:rsidP="00F76D75">
      <w:pPr>
        <w:pStyle w:val="Tekstprzypisudolnego"/>
        <w:rPr>
          <w:lang w:val="pl-PL"/>
        </w:rPr>
      </w:pPr>
    </w:p>
  </w:footnote>
  <w:footnote w:id="31">
    <w:p w:rsidR="005F0D87" w:rsidRPr="000959E6" w:rsidRDefault="005F0D87" w:rsidP="00F76D75">
      <w:pPr>
        <w:pStyle w:val="Textbody"/>
        <w:jc w:val="both"/>
        <w:rPr>
          <w:i/>
          <w:sz w:val="20"/>
          <w:szCs w:val="20"/>
          <w:lang w:val="en-US"/>
        </w:rPr>
      </w:pPr>
      <w:r>
        <w:rPr>
          <w:rStyle w:val="Odwoanieprzypisudolnego"/>
        </w:rPr>
        <w:footnoteRef/>
      </w:r>
      <w:r>
        <w:t xml:space="preserve"> </w:t>
      </w:r>
      <w:r w:rsidRPr="0025261C">
        <w:rPr>
          <w:sz w:val="20"/>
          <w:szCs w:val="20"/>
        </w:rPr>
        <w:t xml:space="preserve">Philip Hamburger, "Rozwój Ustawy o zniesławieniu i Kontroli Prasy", 37 </w:t>
      </w:r>
      <w:r w:rsidRPr="003B76EA">
        <w:rPr>
          <w:i/>
          <w:sz w:val="20"/>
          <w:szCs w:val="20"/>
        </w:rPr>
        <w:t xml:space="preserve">Stanford Law </w:t>
      </w:r>
      <w:proofErr w:type="spellStart"/>
      <w:r w:rsidRPr="003B76EA">
        <w:rPr>
          <w:i/>
          <w:sz w:val="20"/>
          <w:szCs w:val="20"/>
        </w:rPr>
        <w:t>Review</w:t>
      </w:r>
      <w:proofErr w:type="spellEnd"/>
      <w:r w:rsidRPr="0025261C">
        <w:rPr>
          <w:sz w:val="20"/>
          <w:szCs w:val="20"/>
        </w:rPr>
        <w:t xml:space="preserve"> 661, 673 (1985). </w:t>
      </w:r>
      <w:proofErr w:type="spellStart"/>
      <w:r w:rsidRPr="000959E6">
        <w:rPr>
          <w:sz w:val="20"/>
          <w:szCs w:val="20"/>
          <w:lang w:val="en-US"/>
        </w:rPr>
        <w:t>Patrz</w:t>
      </w:r>
      <w:proofErr w:type="spellEnd"/>
      <w:r w:rsidRPr="000959E6">
        <w:rPr>
          <w:sz w:val="20"/>
          <w:szCs w:val="20"/>
          <w:lang w:val="en-US"/>
        </w:rPr>
        <w:t xml:space="preserve"> </w:t>
      </w:r>
      <w:proofErr w:type="spellStart"/>
      <w:r w:rsidRPr="000959E6">
        <w:rPr>
          <w:sz w:val="20"/>
          <w:szCs w:val="20"/>
          <w:lang w:val="en-US"/>
        </w:rPr>
        <w:t>też</w:t>
      </w:r>
      <w:proofErr w:type="spellEnd"/>
      <w:r w:rsidRPr="000959E6">
        <w:rPr>
          <w:sz w:val="20"/>
          <w:szCs w:val="20"/>
          <w:lang w:val="en-US"/>
        </w:rPr>
        <w:t xml:space="preserve"> John Feather, </w:t>
      </w:r>
      <w:r w:rsidRPr="000959E6">
        <w:rPr>
          <w:i/>
          <w:sz w:val="20"/>
          <w:szCs w:val="20"/>
          <w:lang w:val="en-US"/>
        </w:rPr>
        <w:t xml:space="preserve">A History of British Publishing, Routledge, </w:t>
      </w:r>
      <w:proofErr w:type="spellStart"/>
      <w:r w:rsidRPr="000959E6">
        <w:rPr>
          <w:i/>
          <w:sz w:val="20"/>
          <w:szCs w:val="20"/>
          <w:lang w:val="en-US"/>
        </w:rPr>
        <w:t>wydanie</w:t>
      </w:r>
      <w:proofErr w:type="spellEnd"/>
      <w:r w:rsidRPr="000959E6">
        <w:rPr>
          <w:i/>
          <w:sz w:val="20"/>
          <w:szCs w:val="20"/>
          <w:lang w:val="en-US"/>
        </w:rPr>
        <w:t xml:space="preserve"> </w:t>
      </w:r>
      <w:proofErr w:type="spellStart"/>
      <w:r w:rsidRPr="000959E6">
        <w:rPr>
          <w:i/>
          <w:sz w:val="20"/>
          <w:szCs w:val="20"/>
          <w:lang w:val="en-US"/>
        </w:rPr>
        <w:t>drugie</w:t>
      </w:r>
      <w:proofErr w:type="spellEnd"/>
      <w:r w:rsidRPr="000959E6">
        <w:rPr>
          <w:i/>
          <w:sz w:val="20"/>
          <w:szCs w:val="20"/>
          <w:lang w:val="en-US"/>
        </w:rPr>
        <w:t xml:space="preserve"> (2002).</w:t>
      </w:r>
    </w:p>
    <w:p w:rsidR="005F0D87" w:rsidRPr="000959E6" w:rsidRDefault="005F0D87" w:rsidP="00F76D75">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80" w:rsidRDefault="0042628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7" w:rsidRPr="00A45145" w:rsidRDefault="005F0D87" w:rsidP="00B5677E">
    <w:pPr>
      <w:jc w:val="center"/>
    </w:pPr>
    <w:r>
      <w:rPr>
        <w:noProof/>
        <w:lang w:val="pl-PL" w:eastAsia="pl-PL"/>
      </w:rPr>
      <w:drawing>
        <wp:inline distT="0" distB="0" distL="0" distR="0" wp14:anchorId="4F2066F2" wp14:editId="291A4382">
          <wp:extent cx="2962275" cy="1219200"/>
          <wp:effectExtent l="0" t="0" r="9525" b="0"/>
          <wp:docPr id="105" name="Picture 10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F0D87" w:rsidRPr="006513E9" w:rsidRDefault="005F0D87" w:rsidP="00B5677E">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80" w:rsidRDefault="00426280">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7" w:rsidRPr="002218F9" w:rsidRDefault="005F0D87" w:rsidP="00AC70D0">
    <w:pPr>
      <w:pStyle w:val="ECHRHeader"/>
      <w:rPr>
        <w:lang w:val="en-GB"/>
      </w:rPr>
    </w:pPr>
    <w:r>
      <w:rPr>
        <w:rStyle w:val="Numerstrony"/>
        <w:lang w:val="en-GB"/>
      </w:rPr>
      <w:fldChar w:fldCharType="begin"/>
    </w:r>
    <w:r>
      <w:rPr>
        <w:rStyle w:val="Numerstrony"/>
        <w:lang w:val="en-GB"/>
      </w:rPr>
      <w:instrText xml:space="preserve"> PAGE </w:instrText>
    </w:r>
    <w:r>
      <w:rPr>
        <w:rStyle w:val="Numerstrony"/>
        <w:lang w:val="en-GB"/>
      </w:rPr>
      <w:fldChar w:fldCharType="separate"/>
    </w:r>
    <w:r w:rsidR="00AE6CEE">
      <w:rPr>
        <w:rStyle w:val="Numerstrony"/>
        <w:noProof/>
        <w:lang w:val="en-GB"/>
      </w:rPr>
      <w:t>64</w:t>
    </w:r>
    <w:r>
      <w:rPr>
        <w:rStyle w:val="Numerstrony"/>
        <w:lang w:val="en-GB"/>
      </w:rPr>
      <w:fldChar w:fldCharType="end"/>
    </w:r>
    <w:r w:rsidRPr="002218F9">
      <w:rPr>
        <w:lang w:val="en-GB"/>
      </w:rPr>
      <w:tab/>
    </w:r>
    <w:r>
      <w:rPr>
        <w:lang w:val="en-GB"/>
      </w:rPr>
      <w:t>WYROK DELFI AS PRZECIWKO ESTONII</w:t>
    </w:r>
  </w:p>
  <w:p w:rsidR="005F0D87" w:rsidRPr="00596455" w:rsidRDefault="005F0D87" w:rsidP="00596455">
    <w:pPr>
      <w:pStyle w:val="ECHRHeader"/>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7" w:rsidRPr="008A3237" w:rsidRDefault="005F0D87" w:rsidP="008A3237">
    <w:pPr>
      <w:pStyle w:val="ECHRHeader"/>
      <w:rPr>
        <w:rStyle w:val="Numerstrony"/>
        <w:szCs w:val="18"/>
        <w:lang w:val="en-GB"/>
      </w:rPr>
    </w:pPr>
    <w:r w:rsidRPr="008A3237">
      <w:rPr>
        <w:lang w:val="en-GB"/>
      </w:rPr>
      <w:tab/>
    </w:r>
    <w:r>
      <w:rPr>
        <w:lang w:val="en-GB"/>
      </w:rPr>
      <w:t>WYROK DELFI AS PRZECIWKO ESTONII</w:t>
    </w:r>
    <w:r w:rsidRPr="008A3237">
      <w:rPr>
        <w:lang w:val="en-GB"/>
      </w:rPr>
      <w:tab/>
    </w:r>
    <w:r>
      <w:rPr>
        <w:rStyle w:val="Numerstrony"/>
        <w:szCs w:val="18"/>
        <w:lang w:val="en-GB"/>
      </w:rPr>
      <w:fldChar w:fldCharType="begin"/>
    </w:r>
    <w:r>
      <w:rPr>
        <w:rStyle w:val="Numerstrony"/>
        <w:szCs w:val="18"/>
        <w:lang w:val="en-GB"/>
      </w:rPr>
      <w:instrText xml:space="preserve"> PAGE </w:instrText>
    </w:r>
    <w:r>
      <w:rPr>
        <w:rStyle w:val="Numerstrony"/>
        <w:szCs w:val="18"/>
        <w:lang w:val="en-GB"/>
      </w:rPr>
      <w:fldChar w:fldCharType="separate"/>
    </w:r>
    <w:r w:rsidR="00AE6CEE">
      <w:rPr>
        <w:rStyle w:val="Numerstrony"/>
        <w:noProof/>
        <w:szCs w:val="18"/>
        <w:lang w:val="en-GB"/>
      </w:rPr>
      <w:t>1</w:t>
    </w:r>
    <w:r>
      <w:rPr>
        <w:rStyle w:val="Numerstrony"/>
        <w:szCs w:val="18"/>
        <w:lang w:val="en-G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7" w:rsidRPr="00272F1C" w:rsidRDefault="005F0D87" w:rsidP="00AC70D0">
    <w:pPr>
      <w:pStyle w:val="ECHRHeader"/>
      <w:rPr>
        <w:lang w:val="pl-PL"/>
      </w:rPr>
    </w:pPr>
    <w:r>
      <w:rPr>
        <w:rStyle w:val="Numerstrony"/>
        <w:lang w:val="en-GB"/>
      </w:rPr>
      <w:fldChar w:fldCharType="begin"/>
    </w:r>
    <w:r w:rsidRPr="00272F1C">
      <w:rPr>
        <w:rStyle w:val="Numerstrony"/>
        <w:lang w:val="pl-PL"/>
      </w:rPr>
      <w:instrText xml:space="preserve"> PAGE </w:instrText>
    </w:r>
    <w:r>
      <w:rPr>
        <w:rStyle w:val="Numerstrony"/>
        <w:lang w:val="en-GB"/>
      </w:rPr>
      <w:fldChar w:fldCharType="separate"/>
    </w:r>
    <w:r w:rsidR="00AE6CEE">
      <w:rPr>
        <w:rStyle w:val="Numerstrony"/>
        <w:noProof/>
        <w:lang w:val="pl-PL"/>
      </w:rPr>
      <w:t>92</w:t>
    </w:r>
    <w:r>
      <w:rPr>
        <w:rStyle w:val="Numerstrony"/>
        <w:lang w:val="en-GB"/>
      </w:rPr>
      <w:fldChar w:fldCharType="end"/>
    </w:r>
    <w:r w:rsidRPr="00272F1C">
      <w:rPr>
        <w:lang w:val="pl-PL"/>
      </w:rPr>
      <w:tab/>
      <w:t>WYROK DELFI AS PRZECIWKO ESTONII –</w:t>
    </w:r>
    <w:r w:rsidR="00631F4D">
      <w:rPr>
        <w:lang w:val="pl-PL"/>
      </w:rPr>
      <w:t xml:space="preserve"> </w:t>
    </w:r>
    <w:r>
      <w:rPr>
        <w:lang w:val="pl-PL"/>
      </w:rPr>
      <w:t>OPINIE</w:t>
    </w:r>
    <w:r w:rsidR="00631F4D">
      <w:rPr>
        <w:lang w:val="pl-PL"/>
      </w:rPr>
      <w:t xml:space="preserve"> ODRĘBNE</w:t>
    </w:r>
  </w:p>
  <w:p w:rsidR="005F0D87" w:rsidRPr="00272F1C" w:rsidRDefault="005F0D87" w:rsidP="00596455">
    <w:pPr>
      <w:pStyle w:val="ECHRHeader"/>
      <w:rPr>
        <w:lang w:val="pl-P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7" w:rsidRPr="00272F1C" w:rsidRDefault="005F0D87" w:rsidP="008A3237">
    <w:pPr>
      <w:pStyle w:val="ECHRHeader"/>
      <w:rPr>
        <w:rStyle w:val="Numerstrony"/>
        <w:szCs w:val="18"/>
        <w:lang w:val="pl-PL"/>
      </w:rPr>
    </w:pPr>
    <w:r w:rsidRPr="008A3237">
      <w:rPr>
        <w:lang w:val="en-GB"/>
      </w:rPr>
      <w:tab/>
    </w:r>
    <w:r w:rsidRPr="00272F1C">
      <w:rPr>
        <w:lang w:val="pl-PL"/>
      </w:rPr>
      <w:t xml:space="preserve">WYROK DELFI AS PRZECIWKO ESTONII – </w:t>
    </w:r>
    <w:r w:rsidR="00631F4D">
      <w:rPr>
        <w:lang w:val="pl-PL"/>
      </w:rPr>
      <w:t>OPINIE ODRĘBNE</w:t>
    </w:r>
    <w:r w:rsidRPr="00272F1C">
      <w:rPr>
        <w:lang w:val="pl-PL"/>
      </w:rPr>
      <w:tab/>
    </w:r>
    <w:r>
      <w:rPr>
        <w:rStyle w:val="Numerstrony"/>
        <w:szCs w:val="18"/>
        <w:lang w:val="en-GB"/>
      </w:rPr>
      <w:fldChar w:fldCharType="begin"/>
    </w:r>
    <w:r w:rsidRPr="00272F1C">
      <w:rPr>
        <w:rStyle w:val="Numerstrony"/>
        <w:szCs w:val="18"/>
        <w:lang w:val="pl-PL"/>
      </w:rPr>
      <w:instrText xml:space="preserve"> PAGE </w:instrText>
    </w:r>
    <w:r>
      <w:rPr>
        <w:rStyle w:val="Numerstrony"/>
        <w:szCs w:val="18"/>
        <w:lang w:val="en-GB"/>
      </w:rPr>
      <w:fldChar w:fldCharType="separate"/>
    </w:r>
    <w:r w:rsidR="00AE6CEE">
      <w:rPr>
        <w:rStyle w:val="Numerstrony"/>
        <w:noProof/>
        <w:szCs w:val="18"/>
        <w:lang w:val="pl-PL"/>
      </w:rPr>
      <w:t>93</w:t>
    </w:r>
    <w:r>
      <w:rPr>
        <w:rStyle w:val="Numerstrony"/>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6AA84C"/>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6B98220E"/>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7870CE54"/>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A7DC2DAE"/>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F396486E"/>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nsid w:val="FFFFFF81"/>
    <w:multiLevelType w:val="singleLevel"/>
    <w:tmpl w:val="E96A0A7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2C96EA5A"/>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nsid w:val="FFFFFF83"/>
    <w:multiLevelType w:val="singleLevel"/>
    <w:tmpl w:val="7AC8EAE6"/>
    <w:lvl w:ilvl="0">
      <w:start w:val="1"/>
      <w:numFmt w:val="bullet"/>
      <w:pStyle w:val="Listapunktowana2"/>
      <w:lvlText w:val=""/>
      <w:lvlJc w:val="left"/>
      <w:pPr>
        <w:tabs>
          <w:tab w:val="num" w:pos="720"/>
        </w:tabs>
        <w:ind w:left="720" w:hanging="360"/>
      </w:pPr>
      <w:rPr>
        <w:rFonts w:ascii="Symbol" w:hAnsi="Symbol" w:hint="default"/>
      </w:rPr>
    </w:lvl>
  </w:abstractNum>
  <w:abstractNum w:abstractNumId="8">
    <w:nsid w:val="16254E95"/>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2002A7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78E5BD8"/>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6"/>
  </w:num>
  <w:num w:numId="3">
    <w:abstractNumId w:val="4"/>
  </w:num>
  <w:num w:numId="4">
    <w:abstractNumId w:val="10"/>
  </w:num>
  <w:num w:numId="5">
    <w:abstractNumId w:val="9"/>
  </w:num>
  <w:num w:numId="6">
    <w:abstractNumId w:val="8"/>
  </w:num>
  <w:num w:numId="7">
    <w:abstractNumId w:val="12"/>
  </w:num>
  <w:num w:numId="8">
    <w:abstractNumId w:val="5"/>
  </w:num>
  <w:num w:numId="9">
    <w:abstractNumId w:val="3"/>
  </w:num>
  <w:num w:numId="10">
    <w:abstractNumId w:val="2"/>
  </w:num>
  <w:num w:numId="11">
    <w:abstractNumId w:val="1"/>
  </w:num>
  <w:num w:numId="12">
    <w:abstractNumId w:val="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B72335"/>
    <w:rsid w:val="000008D6"/>
    <w:rsid w:val="00003FA9"/>
    <w:rsid w:val="000041F8"/>
    <w:rsid w:val="000042A8"/>
    <w:rsid w:val="00004308"/>
    <w:rsid w:val="00004797"/>
    <w:rsid w:val="00005BF0"/>
    <w:rsid w:val="00007154"/>
    <w:rsid w:val="000103AE"/>
    <w:rsid w:val="000105EE"/>
    <w:rsid w:val="00011D69"/>
    <w:rsid w:val="000128F8"/>
    <w:rsid w:val="00012AD3"/>
    <w:rsid w:val="0001527B"/>
    <w:rsid w:val="00015C2D"/>
    <w:rsid w:val="00015F00"/>
    <w:rsid w:val="00021F5D"/>
    <w:rsid w:val="00022C1D"/>
    <w:rsid w:val="00023366"/>
    <w:rsid w:val="00024941"/>
    <w:rsid w:val="000279AB"/>
    <w:rsid w:val="00027EB6"/>
    <w:rsid w:val="00030779"/>
    <w:rsid w:val="000327B5"/>
    <w:rsid w:val="00034186"/>
    <w:rsid w:val="00034987"/>
    <w:rsid w:val="00034C7B"/>
    <w:rsid w:val="00047012"/>
    <w:rsid w:val="000476AA"/>
    <w:rsid w:val="000479EE"/>
    <w:rsid w:val="000500A7"/>
    <w:rsid w:val="0005439F"/>
    <w:rsid w:val="00054F93"/>
    <w:rsid w:val="000602DF"/>
    <w:rsid w:val="00060334"/>
    <w:rsid w:val="00061B05"/>
    <w:rsid w:val="00062C32"/>
    <w:rsid w:val="000632D5"/>
    <w:rsid w:val="00063672"/>
    <w:rsid w:val="000644EE"/>
    <w:rsid w:val="00066A35"/>
    <w:rsid w:val="0006781E"/>
    <w:rsid w:val="00067E4E"/>
    <w:rsid w:val="000702B6"/>
    <w:rsid w:val="0007208F"/>
    <w:rsid w:val="000731F2"/>
    <w:rsid w:val="0007325C"/>
    <w:rsid w:val="00074255"/>
    <w:rsid w:val="00076354"/>
    <w:rsid w:val="0008408E"/>
    <w:rsid w:val="00087A13"/>
    <w:rsid w:val="00091833"/>
    <w:rsid w:val="00091C32"/>
    <w:rsid w:val="000925AD"/>
    <w:rsid w:val="000936B1"/>
    <w:rsid w:val="000A24EB"/>
    <w:rsid w:val="000A6545"/>
    <w:rsid w:val="000B48F1"/>
    <w:rsid w:val="000B6923"/>
    <w:rsid w:val="000C2447"/>
    <w:rsid w:val="000C394D"/>
    <w:rsid w:val="000C5F3C"/>
    <w:rsid w:val="000C68D6"/>
    <w:rsid w:val="000C6DCC"/>
    <w:rsid w:val="000D422A"/>
    <w:rsid w:val="000D47AA"/>
    <w:rsid w:val="000D721F"/>
    <w:rsid w:val="000E069B"/>
    <w:rsid w:val="000E0E82"/>
    <w:rsid w:val="000E1DC5"/>
    <w:rsid w:val="000E223F"/>
    <w:rsid w:val="000E6769"/>
    <w:rsid w:val="000E7D45"/>
    <w:rsid w:val="000F6531"/>
    <w:rsid w:val="000F7851"/>
    <w:rsid w:val="000F7A97"/>
    <w:rsid w:val="000F7C39"/>
    <w:rsid w:val="00100217"/>
    <w:rsid w:val="00104E23"/>
    <w:rsid w:val="00111B0C"/>
    <w:rsid w:val="00113BEA"/>
    <w:rsid w:val="00120713"/>
    <w:rsid w:val="00120D6C"/>
    <w:rsid w:val="0012398C"/>
    <w:rsid w:val="00125297"/>
    <w:rsid w:val="001257EC"/>
    <w:rsid w:val="0012684B"/>
    <w:rsid w:val="001272FE"/>
    <w:rsid w:val="00131A7A"/>
    <w:rsid w:val="00133D33"/>
    <w:rsid w:val="00134250"/>
    <w:rsid w:val="00134D64"/>
    <w:rsid w:val="00135A30"/>
    <w:rsid w:val="0013612C"/>
    <w:rsid w:val="00137FF6"/>
    <w:rsid w:val="00141650"/>
    <w:rsid w:val="00151AC1"/>
    <w:rsid w:val="00154F89"/>
    <w:rsid w:val="00157CBE"/>
    <w:rsid w:val="001611A6"/>
    <w:rsid w:val="00162A12"/>
    <w:rsid w:val="00166530"/>
    <w:rsid w:val="00170913"/>
    <w:rsid w:val="00171A6F"/>
    <w:rsid w:val="00173E19"/>
    <w:rsid w:val="00176D16"/>
    <w:rsid w:val="00177D81"/>
    <w:rsid w:val="00180BF1"/>
    <w:rsid w:val="00181EC0"/>
    <w:rsid w:val="001832BD"/>
    <w:rsid w:val="00184DB7"/>
    <w:rsid w:val="0019239D"/>
    <w:rsid w:val="00192B85"/>
    <w:rsid w:val="001943B5"/>
    <w:rsid w:val="00195134"/>
    <w:rsid w:val="00195ED1"/>
    <w:rsid w:val="00196363"/>
    <w:rsid w:val="001A145B"/>
    <w:rsid w:val="001A36CF"/>
    <w:rsid w:val="001A39AC"/>
    <w:rsid w:val="001A46FC"/>
    <w:rsid w:val="001A6447"/>
    <w:rsid w:val="001A674C"/>
    <w:rsid w:val="001B19B1"/>
    <w:rsid w:val="001B3180"/>
    <w:rsid w:val="001B3B24"/>
    <w:rsid w:val="001B6E06"/>
    <w:rsid w:val="001C093E"/>
    <w:rsid w:val="001C0F98"/>
    <w:rsid w:val="001C2A42"/>
    <w:rsid w:val="001C4A3F"/>
    <w:rsid w:val="001C653E"/>
    <w:rsid w:val="001C7A57"/>
    <w:rsid w:val="001D1CC9"/>
    <w:rsid w:val="001D63ED"/>
    <w:rsid w:val="001D7348"/>
    <w:rsid w:val="001E035B"/>
    <w:rsid w:val="001E0961"/>
    <w:rsid w:val="001E15D3"/>
    <w:rsid w:val="001E1FBC"/>
    <w:rsid w:val="001E3EAE"/>
    <w:rsid w:val="001E6F32"/>
    <w:rsid w:val="001F2145"/>
    <w:rsid w:val="001F24AB"/>
    <w:rsid w:val="001F3B4B"/>
    <w:rsid w:val="001F413B"/>
    <w:rsid w:val="001F4D1F"/>
    <w:rsid w:val="001F5F5D"/>
    <w:rsid w:val="001F6262"/>
    <w:rsid w:val="001F67B0"/>
    <w:rsid w:val="001F76EA"/>
    <w:rsid w:val="001F7B3D"/>
    <w:rsid w:val="00201917"/>
    <w:rsid w:val="002034DF"/>
    <w:rsid w:val="00205F9F"/>
    <w:rsid w:val="00207428"/>
    <w:rsid w:val="00207ED4"/>
    <w:rsid w:val="00210338"/>
    <w:rsid w:val="002115FC"/>
    <w:rsid w:val="00213BD5"/>
    <w:rsid w:val="0021423C"/>
    <w:rsid w:val="0022084F"/>
    <w:rsid w:val="00220EAF"/>
    <w:rsid w:val="0022496B"/>
    <w:rsid w:val="0022762C"/>
    <w:rsid w:val="00230D00"/>
    <w:rsid w:val="00231DF7"/>
    <w:rsid w:val="00231FD1"/>
    <w:rsid w:val="002339E0"/>
    <w:rsid w:val="00233CF8"/>
    <w:rsid w:val="0023575D"/>
    <w:rsid w:val="00237148"/>
    <w:rsid w:val="0024222D"/>
    <w:rsid w:val="00242B46"/>
    <w:rsid w:val="00244B0E"/>
    <w:rsid w:val="00244F6C"/>
    <w:rsid w:val="00245515"/>
    <w:rsid w:val="00250225"/>
    <w:rsid w:val="00250AF7"/>
    <w:rsid w:val="002532C5"/>
    <w:rsid w:val="00257523"/>
    <w:rsid w:val="00260C03"/>
    <w:rsid w:val="00262588"/>
    <w:rsid w:val="00263A14"/>
    <w:rsid w:val="0026540E"/>
    <w:rsid w:val="002664C6"/>
    <w:rsid w:val="00270A22"/>
    <w:rsid w:val="00272F1C"/>
    <w:rsid w:val="0027456A"/>
    <w:rsid w:val="00275123"/>
    <w:rsid w:val="002751A3"/>
    <w:rsid w:val="0027543B"/>
    <w:rsid w:val="00275A8C"/>
    <w:rsid w:val="0027708F"/>
    <w:rsid w:val="00282240"/>
    <w:rsid w:val="002837DA"/>
    <w:rsid w:val="0029328A"/>
    <w:rsid w:val="002948AD"/>
    <w:rsid w:val="002A01CC"/>
    <w:rsid w:val="002A279B"/>
    <w:rsid w:val="002A61B1"/>
    <w:rsid w:val="002A64E4"/>
    <w:rsid w:val="002A663C"/>
    <w:rsid w:val="002B444B"/>
    <w:rsid w:val="002B4CD0"/>
    <w:rsid w:val="002B4DFA"/>
    <w:rsid w:val="002B5887"/>
    <w:rsid w:val="002B5FD6"/>
    <w:rsid w:val="002B7DF9"/>
    <w:rsid w:val="002C0080"/>
    <w:rsid w:val="002C0E27"/>
    <w:rsid w:val="002C3040"/>
    <w:rsid w:val="002C4DC4"/>
    <w:rsid w:val="002C4DFD"/>
    <w:rsid w:val="002C5E51"/>
    <w:rsid w:val="002D0197"/>
    <w:rsid w:val="002D022D"/>
    <w:rsid w:val="002D03B1"/>
    <w:rsid w:val="002D07B3"/>
    <w:rsid w:val="002D1031"/>
    <w:rsid w:val="002D1C29"/>
    <w:rsid w:val="002D24BB"/>
    <w:rsid w:val="002D2555"/>
    <w:rsid w:val="002D3EF6"/>
    <w:rsid w:val="002D789A"/>
    <w:rsid w:val="002E1E91"/>
    <w:rsid w:val="002F0DF3"/>
    <w:rsid w:val="002F0EE0"/>
    <w:rsid w:val="002F2AF7"/>
    <w:rsid w:val="002F5A76"/>
    <w:rsid w:val="002F67ED"/>
    <w:rsid w:val="002F7E1C"/>
    <w:rsid w:val="00300B6D"/>
    <w:rsid w:val="00301A75"/>
    <w:rsid w:val="00302F70"/>
    <w:rsid w:val="0030336F"/>
    <w:rsid w:val="0030375E"/>
    <w:rsid w:val="003071E4"/>
    <w:rsid w:val="00310DB1"/>
    <w:rsid w:val="00311000"/>
    <w:rsid w:val="00312A30"/>
    <w:rsid w:val="00320C45"/>
    <w:rsid w:val="00320F72"/>
    <w:rsid w:val="00323A6E"/>
    <w:rsid w:val="0032463E"/>
    <w:rsid w:val="00325C3C"/>
    <w:rsid w:val="00326224"/>
    <w:rsid w:val="003264A7"/>
    <w:rsid w:val="00326F5B"/>
    <w:rsid w:val="00334509"/>
    <w:rsid w:val="0033647E"/>
    <w:rsid w:val="003368F6"/>
    <w:rsid w:val="00337240"/>
    <w:rsid w:val="003373AE"/>
    <w:rsid w:val="00337E1B"/>
    <w:rsid w:val="00337EE4"/>
    <w:rsid w:val="00340FFD"/>
    <w:rsid w:val="00341ABE"/>
    <w:rsid w:val="00343759"/>
    <w:rsid w:val="003443E6"/>
    <w:rsid w:val="0034491A"/>
    <w:rsid w:val="003476A7"/>
    <w:rsid w:val="003506B1"/>
    <w:rsid w:val="00355FE1"/>
    <w:rsid w:val="00356AC7"/>
    <w:rsid w:val="003609FA"/>
    <w:rsid w:val="00360A0B"/>
    <w:rsid w:val="00362468"/>
    <w:rsid w:val="00364DC9"/>
    <w:rsid w:val="003710C8"/>
    <w:rsid w:val="00372DF7"/>
    <w:rsid w:val="003750BE"/>
    <w:rsid w:val="00375B23"/>
    <w:rsid w:val="00382DCD"/>
    <w:rsid w:val="00383661"/>
    <w:rsid w:val="00387B9D"/>
    <w:rsid w:val="0039341A"/>
    <w:rsid w:val="0039364F"/>
    <w:rsid w:val="00393C2E"/>
    <w:rsid w:val="0039459E"/>
    <w:rsid w:val="003955A7"/>
    <w:rsid w:val="00396686"/>
    <w:rsid w:val="00396F95"/>
    <w:rsid w:val="0039778E"/>
    <w:rsid w:val="00397938"/>
    <w:rsid w:val="003A2B7F"/>
    <w:rsid w:val="003A2BFE"/>
    <w:rsid w:val="003A58C9"/>
    <w:rsid w:val="003A6495"/>
    <w:rsid w:val="003B4941"/>
    <w:rsid w:val="003B4B14"/>
    <w:rsid w:val="003B5051"/>
    <w:rsid w:val="003B6287"/>
    <w:rsid w:val="003B7464"/>
    <w:rsid w:val="003C0911"/>
    <w:rsid w:val="003C0CFD"/>
    <w:rsid w:val="003C5714"/>
    <w:rsid w:val="003C5AF3"/>
    <w:rsid w:val="003C6980"/>
    <w:rsid w:val="003C6B9F"/>
    <w:rsid w:val="003C6D65"/>
    <w:rsid w:val="003C6E2A"/>
    <w:rsid w:val="003C6EE2"/>
    <w:rsid w:val="003D0299"/>
    <w:rsid w:val="003D106D"/>
    <w:rsid w:val="003D1790"/>
    <w:rsid w:val="003D7777"/>
    <w:rsid w:val="003D7BED"/>
    <w:rsid w:val="003E02FD"/>
    <w:rsid w:val="003E335A"/>
    <w:rsid w:val="003E35F3"/>
    <w:rsid w:val="003E6D80"/>
    <w:rsid w:val="003F04E1"/>
    <w:rsid w:val="003F05FA"/>
    <w:rsid w:val="003F0D12"/>
    <w:rsid w:val="003F244A"/>
    <w:rsid w:val="003F30B8"/>
    <w:rsid w:val="003F4C45"/>
    <w:rsid w:val="003F5817"/>
    <w:rsid w:val="003F59BB"/>
    <w:rsid w:val="003F5F7B"/>
    <w:rsid w:val="003F7D64"/>
    <w:rsid w:val="00401DEA"/>
    <w:rsid w:val="0040205E"/>
    <w:rsid w:val="00403441"/>
    <w:rsid w:val="00405A98"/>
    <w:rsid w:val="004103C7"/>
    <w:rsid w:val="0041190F"/>
    <w:rsid w:val="00411C4A"/>
    <w:rsid w:val="00412836"/>
    <w:rsid w:val="00414300"/>
    <w:rsid w:val="0041733F"/>
    <w:rsid w:val="00420BB8"/>
    <w:rsid w:val="0042287D"/>
    <w:rsid w:val="004228CA"/>
    <w:rsid w:val="00425C67"/>
    <w:rsid w:val="004260A6"/>
    <w:rsid w:val="00426280"/>
    <w:rsid w:val="00427CF2"/>
    <w:rsid w:val="00427E7A"/>
    <w:rsid w:val="00430CB1"/>
    <w:rsid w:val="0043207E"/>
    <w:rsid w:val="00435BBC"/>
    <w:rsid w:val="00436C49"/>
    <w:rsid w:val="004377B5"/>
    <w:rsid w:val="004377D5"/>
    <w:rsid w:val="00440580"/>
    <w:rsid w:val="00445366"/>
    <w:rsid w:val="004474C7"/>
    <w:rsid w:val="00447F5B"/>
    <w:rsid w:val="0045005C"/>
    <w:rsid w:val="00451808"/>
    <w:rsid w:val="00461DB0"/>
    <w:rsid w:val="00463926"/>
    <w:rsid w:val="00464C9A"/>
    <w:rsid w:val="004660A4"/>
    <w:rsid w:val="00467E7D"/>
    <w:rsid w:val="00474F3D"/>
    <w:rsid w:val="00477E3A"/>
    <w:rsid w:val="0048247D"/>
    <w:rsid w:val="00482D01"/>
    <w:rsid w:val="00483E5F"/>
    <w:rsid w:val="00485FF9"/>
    <w:rsid w:val="004907F0"/>
    <w:rsid w:val="0049106A"/>
    <w:rsid w:val="00491304"/>
    <w:rsid w:val="0049140B"/>
    <w:rsid w:val="004914E5"/>
    <w:rsid w:val="004923A5"/>
    <w:rsid w:val="00496BFB"/>
    <w:rsid w:val="00497359"/>
    <w:rsid w:val="004A15C7"/>
    <w:rsid w:val="004A15F7"/>
    <w:rsid w:val="004A1E6C"/>
    <w:rsid w:val="004B013B"/>
    <w:rsid w:val="004B112B"/>
    <w:rsid w:val="004B329A"/>
    <w:rsid w:val="004B353F"/>
    <w:rsid w:val="004B468F"/>
    <w:rsid w:val="004B69BF"/>
    <w:rsid w:val="004C01E4"/>
    <w:rsid w:val="004C086C"/>
    <w:rsid w:val="004C1F56"/>
    <w:rsid w:val="004C27BC"/>
    <w:rsid w:val="004C4405"/>
    <w:rsid w:val="004C5267"/>
    <w:rsid w:val="004D15F3"/>
    <w:rsid w:val="004D2C1B"/>
    <w:rsid w:val="004D377E"/>
    <w:rsid w:val="004D5311"/>
    <w:rsid w:val="004D5DCC"/>
    <w:rsid w:val="004E0616"/>
    <w:rsid w:val="004E387F"/>
    <w:rsid w:val="004E3A47"/>
    <w:rsid w:val="004E69D8"/>
    <w:rsid w:val="004F10AF"/>
    <w:rsid w:val="004F11A4"/>
    <w:rsid w:val="004F2389"/>
    <w:rsid w:val="004F304D"/>
    <w:rsid w:val="004F61BE"/>
    <w:rsid w:val="004F6262"/>
    <w:rsid w:val="004F66B1"/>
    <w:rsid w:val="0050196D"/>
    <w:rsid w:val="005033E8"/>
    <w:rsid w:val="0050379B"/>
    <w:rsid w:val="00505B21"/>
    <w:rsid w:val="005064C9"/>
    <w:rsid w:val="005116A6"/>
    <w:rsid w:val="00511C07"/>
    <w:rsid w:val="0051702C"/>
    <w:rsid w:val="005173A6"/>
    <w:rsid w:val="005176DF"/>
    <w:rsid w:val="00520BAA"/>
    <w:rsid w:val="00522A4B"/>
    <w:rsid w:val="00524680"/>
    <w:rsid w:val="00525208"/>
    <w:rsid w:val="005257A5"/>
    <w:rsid w:val="005264C0"/>
    <w:rsid w:val="00526A8A"/>
    <w:rsid w:val="00531DF2"/>
    <w:rsid w:val="00531F1D"/>
    <w:rsid w:val="00540193"/>
    <w:rsid w:val="00541B38"/>
    <w:rsid w:val="005442EE"/>
    <w:rsid w:val="00544A7B"/>
    <w:rsid w:val="005463FD"/>
    <w:rsid w:val="0054702A"/>
    <w:rsid w:val="00547353"/>
    <w:rsid w:val="005474E7"/>
    <w:rsid w:val="00547BB5"/>
    <w:rsid w:val="005512A3"/>
    <w:rsid w:val="005578CE"/>
    <w:rsid w:val="00562781"/>
    <w:rsid w:val="00566316"/>
    <w:rsid w:val="0057271C"/>
    <w:rsid w:val="00572845"/>
    <w:rsid w:val="00575849"/>
    <w:rsid w:val="0057679F"/>
    <w:rsid w:val="0058226C"/>
    <w:rsid w:val="0058283A"/>
    <w:rsid w:val="00584194"/>
    <w:rsid w:val="005861B9"/>
    <w:rsid w:val="005865E4"/>
    <w:rsid w:val="00592772"/>
    <w:rsid w:val="00592E7A"/>
    <w:rsid w:val="0059311F"/>
    <w:rsid w:val="0059574A"/>
    <w:rsid w:val="00596455"/>
    <w:rsid w:val="005A0E08"/>
    <w:rsid w:val="005A1B9B"/>
    <w:rsid w:val="005A4236"/>
    <w:rsid w:val="005A6751"/>
    <w:rsid w:val="005B009A"/>
    <w:rsid w:val="005B092E"/>
    <w:rsid w:val="005B152C"/>
    <w:rsid w:val="005B1EE0"/>
    <w:rsid w:val="005B2B24"/>
    <w:rsid w:val="005B359B"/>
    <w:rsid w:val="005B35F9"/>
    <w:rsid w:val="005B4425"/>
    <w:rsid w:val="005B4B94"/>
    <w:rsid w:val="005B77AA"/>
    <w:rsid w:val="005C0203"/>
    <w:rsid w:val="005C3EE8"/>
    <w:rsid w:val="005C69D1"/>
    <w:rsid w:val="005D0D3E"/>
    <w:rsid w:val="005D34F9"/>
    <w:rsid w:val="005D3583"/>
    <w:rsid w:val="005D4190"/>
    <w:rsid w:val="005D4F81"/>
    <w:rsid w:val="005D67A3"/>
    <w:rsid w:val="005E12E0"/>
    <w:rsid w:val="005E2988"/>
    <w:rsid w:val="005E3085"/>
    <w:rsid w:val="005E6A6A"/>
    <w:rsid w:val="005F0D87"/>
    <w:rsid w:val="005F4BCC"/>
    <w:rsid w:val="005F51E1"/>
    <w:rsid w:val="005F7348"/>
    <w:rsid w:val="005F7DB5"/>
    <w:rsid w:val="00600DB5"/>
    <w:rsid w:val="00602249"/>
    <w:rsid w:val="0060603F"/>
    <w:rsid w:val="006101F3"/>
    <w:rsid w:val="00611C80"/>
    <w:rsid w:val="006139E5"/>
    <w:rsid w:val="00620692"/>
    <w:rsid w:val="006242CA"/>
    <w:rsid w:val="00627507"/>
    <w:rsid w:val="00631F4D"/>
    <w:rsid w:val="00632DFF"/>
    <w:rsid w:val="00633717"/>
    <w:rsid w:val="006344E1"/>
    <w:rsid w:val="006345EC"/>
    <w:rsid w:val="006374EC"/>
    <w:rsid w:val="00644CFC"/>
    <w:rsid w:val="006462CA"/>
    <w:rsid w:val="00647527"/>
    <w:rsid w:val="00652D67"/>
    <w:rsid w:val="006545C4"/>
    <w:rsid w:val="0065712A"/>
    <w:rsid w:val="0066171A"/>
    <w:rsid w:val="00661971"/>
    <w:rsid w:val="00661CE8"/>
    <w:rsid w:val="006623D9"/>
    <w:rsid w:val="0066550C"/>
    <w:rsid w:val="006709EB"/>
    <w:rsid w:val="006712B8"/>
    <w:rsid w:val="006716F2"/>
    <w:rsid w:val="00672542"/>
    <w:rsid w:val="00676D68"/>
    <w:rsid w:val="00682BF2"/>
    <w:rsid w:val="00683647"/>
    <w:rsid w:val="006859CE"/>
    <w:rsid w:val="0068650F"/>
    <w:rsid w:val="00687AEF"/>
    <w:rsid w:val="00691270"/>
    <w:rsid w:val="00691629"/>
    <w:rsid w:val="00691A37"/>
    <w:rsid w:val="006927B6"/>
    <w:rsid w:val="00692C43"/>
    <w:rsid w:val="00694BA8"/>
    <w:rsid w:val="006A037C"/>
    <w:rsid w:val="006A36F4"/>
    <w:rsid w:val="006A406F"/>
    <w:rsid w:val="006A5D3A"/>
    <w:rsid w:val="006B0990"/>
    <w:rsid w:val="006B1CAF"/>
    <w:rsid w:val="006B333F"/>
    <w:rsid w:val="006B477E"/>
    <w:rsid w:val="006B7115"/>
    <w:rsid w:val="006C23D4"/>
    <w:rsid w:val="006C7BB0"/>
    <w:rsid w:val="006D115E"/>
    <w:rsid w:val="006D3237"/>
    <w:rsid w:val="006D33A5"/>
    <w:rsid w:val="006D4BE6"/>
    <w:rsid w:val="006D53C3"/>
    <w:rsid w:val="006D7895"/>
    <w:rsid w:val="006D7BD9"/>
    <w:rsid w:val="006E2E37"/>
    <w:rsid w:val="006E36A1"/>
    <w:rsid w:val="006E3CF1"/>
    <w:rsid w:val="006E6BB9"/>
    <w:rsid w:val="006E74C7"/>
    <w:rsid w:val="006E7E80"/>
    <w:rsid w:val="006F2188"/>
    <w:rsid w:val="006F3710"/>
    <w:rsid w:val="006F383A"/>
    <w:rsid w:val="006F48CA"/>
    <w:rsid w:val="006F54C3"/>
    <w:rsid w:val="006F64DD"/>
    <w:rsid w:val="006F7252"/>
    <w:rsid w:val="007010C2"/>
    <w:rsid w:val="007011B5"/>
    <w:rsid w:val="00703563"/>
    <w:rsid w:val="007043CB"/>
    <w:rsid w:val="007056C6"/>
    <w:rsid w:val="007127E1"/>
    <w:rsid w:val="00715127"/>
    <w:rsid w:val="00715E8E"/>
    <w:rsid w:val="00721A23"/>
    <w:rsid w:val="00722087"/>
    <w:rsid w:val="00722328"/>
    <w:rsid w:val="00723580"/>
    <w:rsid w:val="00723755"/>
    <w:rsid w:val="0072412A"/>
    <w:rsid w:val="0073136C"/>
    <w:rsid w:val="00731F0F"/>
    <w:rsid w:val="00732194"/>
    <w:rsid w:val="00733250"/>
    <w:rsid w:val="00733598"/>
    <w:rsid w:val="00741404"/>
    <w:rsid w:val="007449E5"/>
    <w:rsid w:val="007464BD"/>
    <w:rsid w:val="00746FF7"/>
    <w:rsid w:val="00747FF0"/>
    <w:rsid w:val="0075186B"/>
    <w:rsid w:val="0075203B"/>
    <w:rsid w:val="00753B00"/>
    <w:rsid w:val="00764D4E"/>
    <w:rsid w:val="00765A1F"/>
    <w:rsid w:val="00765A96"/>
    <w:rsid w:val="007757EE"/>
    <w:rsid w:val="00775B6D"/>
    <w:rsid w:val="00776D68"/>
    <w:rsid w:val="00781CD9"/>
    <w:rsid w:val="007850EE"/>
    <w:rsid w:val="00785B95"/>
    <w:rsid w:val="00790E96"/>
    <w:rsid w:val="007915FD"/>
    <w:rsid w:val="00793366"/>
    <w:rsid w:val="007962B3"/>
    <w:rsid w:val="007A00D9"/>
    <w:rsid w:val="007A1895"/>
    <w:rsid w:val="007A337C"/>
    <w:rsid w:val="007A6140"/>
    <w:rsid w:val="007A716F"/>
    <w:rsid w:val="007B06C6"/>
    <w:rsid w:val="007B0BC0"/>
    <w:rsid w:val="007B270A"/>
    <w:rsid w:val="007B52D7"/>
    <w:rsid w:val="007B6BB6"/>
    <w:rsid w:val="007C0156"/>
    <w:rsid w:val="007C0695"/>
    <w:rsid w:val="007C0846"/>
    <w:rsid w:val="007C419A"/>
    <w:rsid w:val="007C4CC8"/>
    <w:rsid w:val="007C5058"/>
    <w:rsid w:val="007C5426"/>
    <w:rsid w:val="007C5798"/>
    <w:rsid w:val="007D4832"/>
    <w:rsid w:val="007E21B2"/>
    <w:rsid w:val="007E2C4E"/>
    <w:rsid w:val="007E739D"/>
    <w:rsid w:val="007F1905"/>
    <w:rsid w:val="007F396A"/>
    <w:rsid w:val="007F3EC8"/>
    <w:rsid w:val="00802C64"/>
    <w:rsid w:val="0080397E"/>
    <w:rsid w:val="008057EE"/>
    <w:rsid w:val="00805E52"/>
    <w:rsid w:val="008061D0"/>
    <w:rsid w:val="00807AC3"/>
    <w:rsid w:val="0081042A"/>
    <w:rsid w:val="00810845"/>
    <w:rsid w:val="00810B38"/>
    <w:rsid w:val="008117DF"/>
    <w:rsid w:val="00812FD1"/>
    <w:rsid w:val="00815B6F"/>
    <w:rsid w:val="00816D04"/>
    <w:rsid w:val="00816D20"/>
    <w:rsid w:val="008204C7"/>
    <w:rsid w:val="00820992"/>
    <w:rsid w:val="00822B5E"/>
    <w:rsid w:val="00823602"/>
    <w:rsid w:val="00824D96"/>
    <w:rsid w:val="008255F5"/>
    <w:rsid w:val="00825A54"/>
    <w:rsid w:val="008278BF"/>
    <w:rsid w:val="0083014E"/>
    <w:rsid w:val="00830C01"/>
    <w:rsid w:val="00831D41"/>
    <w:rsid w:val="0083214A"/>
    <w:rsid w:val="00834220"/>
    <w:rsid w:val="00836051"/>
    <w:rsid w:val="00842028"/>
    <w:rsid w:val="00845723"/>
    <w:rsid w:val="00851675"/>
    <w:rsid w:val="00851EF9"/>
    <w:rsid w:val="0085223C"/>
    <w:rsid w:val="00852A61"/>
    <w:rsid w:val="00853E55"/>
    <w:rsid w:val="0085475E"/>
    <w:rsid w:val="00857507"/>
    <w:rsid w:val="008577FD"/>
    <w:rsid w:val="00860B03"/>
    <w:rsid w:val="00861F95"/>
    <w:rsid w:val="0086344D"/>
    <w:rsid w:val="0086497A"/>
    <w:rsid w:val="008713A1"/>
    <w:rsid w:val="0087204D"/>
    <w:rsid w:val="008754AB"/>
    <w:rsid w:val="00875CB6"/>
    <w:rsid w:val="0088060C"/>
    <w:rsid w:val="0088061C"/>
    <w:rsid w:val="00887799"/>
    <w:rsid w:val="00887A51"/>
    <w:rsid w:val="008902D4"/>
    <w:rsid w:val="00890875"/>
    <w:rsid w:val="0089100F"/>
    <w:rsid w:val="00892C08"/>
    <w:rsid w:val="00892EF6"/>
    <w:rsid w:val="00893576"/>
    <w:rsid w:val="00893E73"/>
    <w:rsid w:val="008A162F"/>
    <w:rsid w:val="008A3237"/>
    <w:rsid w:val="008B02DC"/>
    <w:rsid w:val="008B3C5D"/>
    <w:rsid w:val="008B57CE"/>
    <w:rsid w:val="008C0215"/>
    <w:rsid w:val="008C13E9"/>
    <w:rsid w:val="008C26DE"/>
    <w:rsid w:val="008C3BFD"/>
    <w:rsid w:val="008C4750"/>
    <w:rsid w:val="008D2225"/>
    <w:rsid w:val="008D2BD1"/>
    <w:rsid w:val="008D3BAB"/>
    <w:rsid w:val="008D4752"/>
    <w:rsid w:val="008E271C"/>
    <w:rsid w:val="008E418E"/>
    <w:rsid w:val="008E4F35"/>
    <w:rsid w:val="008E5BC6"/>
    <w:rsid w:val="008E6A25"/>
    <w:rsid w:val="008E77E9"/>
    <w:rsid w:val="008F2E7E"/>
    <w:rsid w:val="008F3CE9"/>
    <w:rsid w:val="008F5193"/>
    <w:rsid w:val="009013A7"/>
    <w:rsid w:val="009017FB"/>
    <w:rsid w:val="009017FC"/>
    <w:rsid w:val="00904E9E"/>
    <w:rsid w:val="0090506B"/>
    <w:rsid w:val="009050C9"/>
    <w:rsid w:val="009056B5"/>
    <w:rsid w:val="009066FC"/>
    <w:rsid w:val="00906C73"/>
    <w:rsid w:val="00907115"/>
    <w:rsid w:val="00907E3E"/>
    <w:rsid w:val="00911A06"/>
    <w:rsid w:val="00911F6A"/>
    <w:rsid w:val="0091377A"/>
    <w:rsid w:val="009140A3"/>
    <w:rsid w:val="009144A2"/>
    <w:rsid w:val="00914F13"/>
    <w:rsid w:val="0091510C"/>
    <w:rsid w:val="00920922"/>
    <w:rsid w:val="00920B44"/>
    <w:rsid w:val="009227CF"/>
    <w:rsid w:val="00922F69"/>
    <w:rsid w:val="00925373"/>
    <w:rsid w:val="009259AC"/>
    <w:rsid w:val="00926F38"/>
    <w:rsid w:val="0093256D"/>
    <w:rsid w:val="00934301"/>
    <w:rsid w:val="0093538A"/>
    <w:rsid w:val="00936CD1"/>
    <w:rsid w:val="009404DE"/>
    <w:rsid w:val="00941466"/>
    <w:rsid w:val="00941747"/>
    <w:rsid w:val="009419B6"/>
    <w:rsid w:val="00941EFB"/>
    <w:rsid w:val="00947AFB"/>
    <w:rsid w:val="00951D7D"/>
    <w:rsid w:val="00956724"/>
    <w:rsid w:val="00957239"/>
    <w:rsid w:val="009615CB"/>
    <w:rsid w:val="009630C7"/>
    <w:rsid w:val="0096551C"/>
    <w:rsid w:val="00970BCA"/>
    <w:rsid w:val="00971925"/>
    <w:rsid w:val="00971A11"/>
    <w:rsid w:val="00972B55"/>
    <w:rsid w:val="009743B7"/>
    <w:rsid w:val="0098228B"/>
    <w:rsid w:val="009828DA"/>
    <w:rsid w:val="009829D1"/>
    <w:rsid w:val="00985AD9"/>
    <w:rsid w:val="00985BAB"/>
    <w:rsid w:val="00986A33"/>
    <w:rsid w:val="009971FF"/>
    <w:rsid w:val="00997EC0"/>
    <w:rsid w:val="009A0C0B"/>
    <w:rsid w:val="009A21D4"/>
    <w:rsid w:val="009A6155"/>
    <w:rsid w:val="009B1B5F"/>
    <w:rsid w:val="009B2E3E"/>
    <w:rsid w:val="009B4C46"/>
    <w:rsid w:val="009B625A"/>
    <w:rsid w:val="009B6673"/>
    <w:rsid w:val="009B672B"/>
    <w:rsid w:val="009C191B"/>
    <w:rsid w:val="009C2BD6"/>
    <w:rsid w:val="009C42B9"/>
    <w:rsid w:val="009C4C51"/>
    <w:rsid w:val="009E1F32"/>
    <w:rsid w:val="009E509C"/>
    <w:rsid w:val="009E5E45"/>
    <w:rsid w:val="009E776C"/>
    <w:rsid w:val="009F1612"/>
    <w:rsid w:val="009F1D05"/>
    <w:rsid w:val="009F2AEF"/>
    <w:rsid w:val="00A03B92"/>
    <w:rsid w:val="00A04162"/>
    <w:rsid w:val="00A11E3D"/>
    <w:rsid w:val="00A1215E"/>
    <w:rsid w:val="00A1726E"/>
    <w:rsid w:val="00A175F5"/>
    <w:rsid w:val="00A204CF"/>
    <w:rsid w:val="00A2165E"/>
    <w:rsid w:val="00A21A00"/>
    <w:rsid w:val="00A220C6"/>
    <w:rsid w:val="00A23341"/>
    <w:rsid w:val="00A23D49"/>
    <w:rsid w:val="00A27004"/>
    <w:rsid w:val="00A30C29"/>
    <w:rsid w:val="00A34DD6"/>
    <w:rsid w:val="00A35C7E"/>
    <w:rsid w:val="00A36819"/>
    <w:rsid w:val="00A36989"/>
    <w:rsid w:val="00A36B3B"/>
    <w:rsid w:val="00A3721C"/>
    <w:rsid w:val="00A421FC"/>
    <w:rsid w:val="00A43628"/>
    <w:rsid w:val="00A43C52"/>
    <w:rsid w:val="00A46E16"/>
    <w:rsid w:val="00A5162C"/>
    <w:rsid w:val="00A54192"/>
    <w:rsid w:val="00A57006"/>
    <w:rsid w:val="00A6035E"/>
    <w:rsid w:val="00A60689"/>
    <w:rsid w:val="00A6144C"/>
    <w:rsid w:val="00A623D1"/>
    <w:rsid w:val="00A64C6B"/>
    <w:rsid w:val="00A64E7C"/>
    <w:rsid w:val="00A65FA6"/>
    <w:rsid w:val="00A66617"/>
    <w:rsid w:val="00A671F8"/>
    <w:rsid w:val="00A673A4"/>
    <w:rsid w:val="00A7055B"/>
    <w:rsid w:val="00A71400"/>
    <w:rsid w:val="00A724AE"/>
    <w:rsid w:val="00A73329"/>
    <w:rsid w:val="00A7405A"/>
    <w:rsid w:val="00A74213"/>
    <w:rsid w:val="00A74BFF"/>
    <w:rsid w:val="00A75F9F"/>
    <w:rsid w:val="00A8219F"/>
    <w:rsid w:val="00A82359"/>
    <w:rsid w:val="00A835B3"/>
    <w:rsid w:val="00A83F10"/>
    <w:rsid w:val="00A865D2"/>
    <w:rsid w:val="00A871D2"/>
    <w:rsid w:val="00A90B6A"/>
    <w:rsid w:val="00A9254E"/>
    <w:rsid w:val="00A9404E"/>
    <w:rsid w:val="00A94C20"/>
    <w:rsid w:val="00AA1789"/>
    <w:rsid w:val="00AA227F"/>
    <w:rsid w:val="00AA3BC7"/>
    <w:rsid w:val="00AA44DF"/>
    <w:rsid w:val="00AA5938"/>
    <w:rsid w:val="00AA694E"/>
    <w:rsid w:val="00AA754A"/>
    <w:rsid w:val="00AA78DD"/>
    <w:rsid w:val="00AA7A6B"/>
    <w:rsid w:val="00AA7D2F"/>
    <w:rsid w:val="00AB099E"/>
    <w:rsid w:val="00AB4328"/>
    <w:rsid w:val="00AC02B2"/>
    <w:rsid w:val="00AC094B"/>
    <w:rsid w:val="00AC5F8C"/>
    <w:rsid w:val="00AC70D0"/>
    <w:rsid w:val="00AD0CF6"/>
    <w:rsid w:val="00AD3218"/>
    <w:rsid w:val="00AD41F7"/>
    <w:rsid w:val="00AD49B7"/>
    <w:rsid w:val="00AD5925"/>
    <w:rsid w:val="00AD66A1"/>
    <w:rsid w:val="00AD6898"/>
    <w:rsid w:val="00AE0A2E"/>
    <w:rsid w:val="00AE354C"/>
    <w:rsid w:val="00AE35EC"/>
    <w:rsid w:val="00AE4910"/>
    <w:rsid w:val="00AE60A1"/>
    <w:rsid w:val="00AE6933"/>
    <w:rsid w:val="00AE6CEE"/>
    <w:rsid w:val="00AE6FFF"/>
    <w:rsid w:val="00AE70B4"/>
    <w:rsid w:val="00AF2EB1"/>
    <w:rsid w:val="00AF419A"/>
    <w:rsid w:val="00AF4B07"/>
    <w:rsid w:val="00AF6186"/>
    <w:rsid w:val="00AF7A3A"/>
    <w:rsid w:val="00B00735"/>
    <w:rsid w:val="00B0419A"/>
    <w:rsid w:val="00B0580F"/>
    <w:rsid w:val="00B0606C"/>
    <w:rsid w:val="00B1021A"/>
    <w:rsid w:val="00B11533"/>
    <w:rsid w:val="00B160DB"/>
    <w:rsid w:val="00B17460"/>
    <w:rsid w:val="00B20836"/>
    <w:rsid w:val="00B20DA1"/>
    <w:rsid w:val="00B235BB"/>
    <w:rsid w:val="00B23BBD"/>
    <w:rsid w:val="00B23DCA"/>
    <w:rsid w:val="00B27A44"/>
    <w:rsid w:val="00B30BBF"/>
    <w:rsid w:val="00B3155C"/>
    <w:rsid w:val="00B33114"/>
    <w:rsid w:val="00B33C03"/>
    <w:rsid w:val="00B35276"/>
    <w:rsid w:val="00B377B8"/>
    <w:rsid w:val="00B413BF"/>
    <w:rsid w:val="00B44E56"/>
    <w:rsid w:val="00B45206"/>
    <w:rsid w:val="00B454DA"/>
    <w:rsid w:val="00B45853"/>
    <w:rsid w:val="00B46543"/>
    <w:rsid w:val="00B47D33"/>
    <w:rsid w:val="00B52BE0"/>
    <w:rsid w:val="00B53062"/>
    <w:rsid w:val="00B54133"/>
    <w:rsid w:val="00B5677E"/>
    <w:rsid w:val="00B63392"/>
    <w:rsid w:val="00B643DE"/>
    <w:rsid w:val="00B64F00"/>
    <w:rsid w:val="00B67B17"/>
    <w:rsid w:val="00B701ED"/>
    <w:rsid w:val="00B72335"/>
    <w:rsid w:val="00B8086C"/>
    <w:rsid w:val="00B840C1"/>
    <w:rsid w:val="00B847E2"/>
    <w:rsid w:val="00B84B32"/>
    <w:rsid w:val="00B84C08"/>
    <w:rsid w:val="00B861B4"/>
    <w:rsid w:val="00B86DFE"/>
    <w:rsid w:val="00B90990"/>
    <w:rsid w:val="00B918FA"/>
    <w:rsid w:val="00B91C00"/>
    <w:rsid w:val="00B91C3E"/>
    <w:rsid w:val="00B922FF"/>
    <w:rsid w:val="00B9281E"/>
    <w:rsid w:val="00B92944"/>
    <w:rsid w:val="00B93925"/>
    <w:rsid w:val="00B95187"/>
    <w:rsid w:val="00B97043"/>
    <w:rsid w:val="00BA2D55"/>
    <w:rsid w:val="00BA2FDB"/>
    <w:rsid w:val="00BA71B1"/>
    <w:rsid w:val="00BB0637"/>
    <w:rsid w:val="00BB15C8"/>
    <w:rsid w:val="00BB1953"/>
    <w:rsid w:val="00BB21A9"/>
    <w:rsid w:val="00BB345F"/>
    <w:rsid w:val="00BB420E"/>
    <w:rsid w:val="00BB4B46"/>
    <w:rsid w:val="00BB5B76"/>
    <w:rsid w:val="00BB68EA"/>
    <w:rsid w:val="00BC1908"/>
    <w:rsid w:val="00BC1C27"/>
    <w:rsid w:val="00BC3392"/>
    <w:rsid w:val="00BC4BE7"/>
    <w:rsid w:val="00BC4FB3"/>
    <w:rsid w:val="00BC6BBF"/>
    <w:rsid w:val="00BD09D4"/>
    <w:rsid w:val="00BD1572"/>
    <w:rsid w:val="00BD4E8C"/>
    <w:rsid w:val="00BE14E3"/>
    <w:rsid w:val="00BE3774"/>
    <w:rsid w:val="00BE41E5"/>
    <w:rsid w:val="00BE42E9"/>
    <w:rsid w:val="00BF0A47"/>
    <w:rsid w:val="00BF2DFE"/>
    <w:rsid w:val="00BF3C60"/>
    <w:rsid w:val="00BF4109"/>
    <w:rsid w:val="00BF424C"/>
    <w:rsid w:val="00BF4CC3"/>
    <w:rsid w:val="00BF51DD"/>
    <w:rsid w:val="00BF628C"/>
    <w:rsid w:val="00BF6CE5"/>
    <w:rsid w:val="00BF7DD7"/>
    <w:rsid w:val="00C038A5"/>
    <w:rsid w:val="00C04238"/>
    <w:rsid w:val="00C054C7"/>
    <w:rsid w:val="00C057B5"/>
    <w:rsid w:val="00C06A2A"/>
    <w:rsid w:val="00C11232"/>
    <w:rsid w:val="00C14476"/>
    <w:rsid w:val="00C168B2"/>
    <w:rsid w:val="00C2143F"/>
    <w:rsid w:val="00C222C3"/>
    <w:rsid w:val="00C22687"/>
    <w:rsid w:val="00C23CDC"/>
    <w:rsid w:val="00C2519A"/>
    <w:rsid w:val="00C25B61"/>
    <w:rsid w:val="00C31381"/>
    <w:rsid w:val="00C32440"/>
    <w:rsid w:val="00C32E4D"/>
    <w:rsid w:val="00C333A0"/>
    <w:rsid w:val="00C340B7"/>
    <w:rsid w:val="00C35A15"/>
    <w:rsid w:val="00C36A81"/>
    <w:rsid w:val="00C41974"/>
    <w:rsid w:val="00C41BFE"/>
    <w:rsid w:val="00C42BA3"/>
    <w:rsid w:val="00C44C93"/>
    <w:rsid w:val="00C466BB"/>
    <w:rsid w:val="00C538FB"/>
    <w:rsid w:val="00C53F4A"/>
    <w:rsid w:val="00C54125"/>
    <w:rsid w:val="00C54AFF"/>
    <w:rsid w:val="00C55B54"/>
    <w:rsid w:val="00C57D6A"/>
    <w:rsid w:val="00C6098E"/>
    <w:rsid w:val="00C6152C"/>
    <w:rsid w:val="00C61696"/>
    <w:rsid w:val="00C62449"/>
    <w:rsid w:val="00C62846"/>
    <w:rsid w:val="00C640B9"/>
    <w:rsid w:val="00C6538A"/>
    <w:rsid w:val="00C66436"/>
    <w:rsid w:val="00C66DBD"/>
    <w:rsid w:val="00C7090A"/>
    <w:rsid w:val="00C719D5"/>
    <w:rsid w:val="00C74810"/>
    <w:rsid w:val="00C74930"/>
    <w:rsid w:val="00C756F4"/>
    <w:rsid w:val="00C847A3"/>
    <w:rsid w:val="00C86AF0"/>
    <w:rsid w:val="00C90D68"/>
    <w:rsid w:val="00C939FE"/>
    <w:rsid w:val="00C93C2F"/>
    <w:rsid w:val="00C9531E"/>
    <w:rsid w:val="00C9615D"/>
    <w:rsid w:val="00C966E8"/>
    <w:rsid w:val="00CA44D1"/>
    <w:rsid w:val="00CA4BDA"/>
    <w:rsid w:val="00CB1F66"/>
    <w:rsid w:val="00CB2951"/>
    <w:rsid w:val="00CB59CB"/>
    <w:rsid w:val="00CB6553"/>
    <w:rsid w:val="00CB7E83"/>
    <w:rsid w:val="00CC12E3"/>
    <w:rsid w:val="00CC16F8"/>
    <w:rsid w:val="00CC1799"/>
    <w:rsid w:val="00CC2F50"/>
    <w:rsid w:val="00CC4B66"/>
    <w:rsid w:val="00CC666F"/>
    <w:rsid w:val="00CD1255"/>
    <w:rsid w:val="00CD282B"/>
    <w:rsid w:val="00CD4C35"/>
    <w:rsid w:val="00CD7369"/>
    <w:rsid w:val="00CE0B0E"/>
    <w:rsid w:val="00CE31AF"/>
    <w:rsid w:val="00CE3831"/>
    <w:rsid w:val="00CE4E01"/>
    <w:rsid w:val="00CF0D80"/>
    <w:rsid w:val="00CF0F79"/>
    <w:rsid w:val="00CF2D3C"/>
    <w:rsid w:val="00CF5F32"/>
    <w:rsid w:val="00CF6DFA"/>
    <w:rsid w:val="00CF772F"/>
    <w:rsid w:val="00CF7E80"/>
    <w:rsid w:val="00D00ABB"/>
    <w:rsid w:val="00D02EEC"/>
    <w:rsid w:val="00D03551"/>
    <w:rsid w:val="00D0457B"/>
    <w:rsid w:val="00D04C5E"/>
    <w:rsid w:val="00D06A63"/>
    <w:rsid w:val="00D07E0E"/>
    <w:rsid w:val="00D10F18"/>
    <w:rsid w:val="00D10F6B"/>
    <w:rsid w:val="00D11478"/>
    <w:rsid w:val="00D14527"/>
    <w:rsid w:val="00D15ED0"/>
    <w:rsid w:val="00D16046"/>
    <w:rsid w:val="00D219C2"/>
    <w:rsid w:val="00D21B3E"/>
    <w:rsid w:val="00D21FED"/>
    <w:rsid w:val="00D24251"/>
    <w:rsid w:val="00D26100"/>
    <w:rsid w:val="00D26921"/>
    <w:rsid w:val="00D2786C"/>
    <w:rsid w:val="00D32563"/>
    <w:rsid w:val="00D343E2"/>
    <w:rsid w:val="00D361A2"/>
    <w:rsid w:val="00D367F5"/>
    <w:rsid w:val="00D402BB"/>
    <w:rsid w:val="00D4032A"/>
    <w:rsid w:val="00D44C2E"/>
    <w:rsid w:val="00D45414"/>
    <w:rsid w:val="00D462F5"/>
    <w:rsid w:val="00D4692B"/>
    <w:rsid w:val="00D53CAC"/>
    <w:rsid w:val="00D55018"/>
    <w:rsid w:val="00D5551B"/>
    <w:rsid w:val="00D566BD"/>
    <w:rsid w:val="00D56D49"/>
    <w:rsid w:val="00D57A4D"/>
    <w:rsid w:val="00D6095D"/>
    <w:rsid w:val="00D60AA7"/>
    <w:rsid w:val="00D61371"/>
    <w:rsid w:val="00D617AD"/>
    <w:rsid w:val="00D619A7"/>
    <w:rsid w:val="00D6277E"/>
    <w:rsid w:val="00D6435F"/>
    <w:rsid w:val="00D659DD"/>
    <w:rsid w:val="00D66BE1"/>
    <w:rsid w:val="00D7382C"/>
    <w:rsid w:val="00D75707"/>
    <w:rsid w:val="00D75E28"/>
    <w:rsid w:val="00D772C2"/>
    <w:rsid w:val="00D8008E"/>
    <w:rsid w:val="00D8197D"/>
    <w:rsid w:val="00D82C45"/>
    <w:rsid w:val="00D86575"/>
    <w:rsid w:val="00D908A8"/>
    <w:rsid w:val="00D96E9B"/>
    <w:rsid w:val="00D977B6"/>
    <w:rsid w:val="00D978B2"/>
    <w:rsid w:val="00DA11BE"/>
    <w:rsid w:val="00DA1755"/>
    <w:rsid w:val="00DA4A31"/>
    <w:rsid w:val="00DA4E48"/>
    <w:rsid w:val="00DA649F"/>
    <w:rsid w:val="00DA7B04"/>
    <w:rsid w:val="00DB195C"/>
    <w:rsid w:val="00DB36C2"/>
    <w:rsid w:val="00DC12E9"/>
    <w:rsid w:val="00DC169B"/>
    <w:rsid w:val="00DC1A22"/>
    <w:rsid w:val="00DC1FC2"/>
    <w:rsid w:val="00DC2AB9"/>
    <w:rsid w:val="00DC63F0"/>
    <w:rsid w:val="00DC79F3"/>
    <w:rsid w:val="00DD1B10"/>
    <w:rsid w:val="00DD3245"/>
    <w:rsid w:val="00DD5338"/>
    <w:rsid w:val="00DD67A4"/>
    <w:rsid w:val="00DD6EE5"/>
    <w:rsid w:val="00DE0E68"/>
    <w:rsid w:val="00DE386C"/>
    <w:rsid w:val="00DE4D35"/>
    <w:rsid w:val="00DF098B"/>
    <w:rsid w:val="00DF11C4"/>
    <w:rsid w:val="00DF1350"/>
    <w:rsid w:val="00DF210C"/>
    <w:rsid w:val="00DF4B6A"/>
    <w:rsid w:val="00DF657A"/>
    <w:rsid w:val="00E0003C"/>
    <w:rsid w:val="00E013CB"/>
    <w:rsid w:val="00E02C09"/>
    <w:rsid w:val="00E04D59"/>
    <w:rsid w:val="00E05084"/>
    <w:rsid w:val="00E07DA1"/>
    <w:rsid w:val="00E07FDF"/>
    <w:rsid w:val="00E123CB"/>
    <w:rsid w:val="00E14CB5"/>
    <w:rsid w:val="00E20E13"/>
    <w:rsid w:val="00E21DBC"/>
    <w:rsid w:val="00E22075"/>
    <w:rsid w:val="00E23D45"/>
    <w:rsid w:val="00E25104"/>
    <w:rsid w:val="00E275D7"/>
    <w:rsid w:val="00E27DBE"/>
    <w:rsid w:val="00E30BE3"/>
    <w:rsid w:val="00E314CA"/>
    <w:rsid w:val="00E316B1"/>
    <w:rsid w:val="00E32AB1"/>
    <w:rsid w:val="00E36C71"/>
    <w:rsid w:val="00E40404"/>
    <w:rsid w:val="00E40F44"/>
    <w:rsid w:val="00E42B03"/>
    <w:rsid w:val="00E43F25"/>
    <w:rsid w:val="00E459C6"/>
    <w:rsid w:val="00E462EE"/>
    <w:rsid w:val="00E47589"/>
    <w:rsid w:val="00E56754"/>
    <w:rsid w:val="00E60573"/>
    <w:rsid w:val="00E6109B"/>
    <w:rsid w:val="00E64915"/>
    <w:rsid w:val="00E661D4"/>
    <w:rsid w:val="00E70091"/>
    <w:rsid w:val="00E70BA1"/>
    <w:rsid w:val="00E720F5"/>
    <w:rsid w:val="00E72836"/>
    <w:rsid w:val="00E76B27"/>
    <w:rsid w:val="00E76D47"/>
    <w:rsid w:val="00E77166"/>
    <w:rsid w:val="00E849F7"/>
    <w:rsid w:val="00E8623A"/>
    <w:rsid w:val="00E87D1B"/>
    <w:rsid w:val="00E90302"/>
    <w:rsid w:val="00E91812"/>
    <w:rsid w:val="00E94767"/>
    <w:rsid w:val="00E95F0C"/>
    <w:rsid w:val="00E97396"/>
    <w:rsid w:val="00E97589"/>
    <w:rsid w:val="00EA185E"/>
    <w:rsid w:val="00EA1CCC"/>
    <w:rsid w:val="00EA592A"/>
    <w:rsid w:val="00EA70C6"/>
    <w:rsid w:val="00EA7E99"/>
    <w:rsid w:val="00EB14E4"/>
    <w:rsid w:val="00EB32A5"/>
    <w:rsid w:val="00EB34ED"/>
    <w:rsid w:val="00EB447C"/>
    <w:rsid w:val="00EB666E"/>
    <w:rsid w:val="00EB7BE0"/>
    <w:rsid w:val="00EC315E"/>
    <w:rsid w:val="00EC4DC6"/>
    <w:rsid w:val="00EC620A"/>
    <w:rsid w:val="00EC7150"/>
    <w:rsid w:val="00ED077C"/>
    <w:rsid w:val="00ED10D5"/>
    <w:rsid w:val="00ED1190"/>
    <w:rsid w:val="00ED60D4"/>
    <w:rsid w:val="00ED6385"/>
    <w:rsid w:val="00ED6544"/>
    <w:rsid w:val="00EE0277"/>
    <w:rsid w:val="00EE21B9"/>
    <w:rsid w:val="00EE3577"/>
    <w:rsid w:val="00EE3E00"/>
    <w:rsid w:val="00EE5DD2"/>
    <w:rsid w:val="00EE67BD"/>
    <w:rsid w:val="00EF3293"/>
    <w:rsid w:val="00EF71B9"/>
    <w:rsid w:val="00EF77E4"/>
    <w:rsid w:val="00F00474"/>
    <w:rsid w:val="00F006D4"/>
    <w:rsid w:val="00F00A79"/>
    <w:rsid w:val="00F00E86"/>
    <w:rsid w:val="00F03B39"/>
    <w:rsid w:val="00F060E9"/>
    <w:rsid w:val="00F07C1E"/>
    <w:rsid w:val="00F07CD3"/>
    <w:rsid w:val="00F105DB"/>
    <w:rsid w:val="00F132BC"/>
    <w:rsid w:val="00F13D80"/>
    <w:rsid w:val="00F166C1"/>
    <w:rsid w:val="00F16AAA"/>
    <w:rsid w:val="00F20D1F"/>
    <w:rsid w:val="00F21161"/>
    <w:rsid w:val="00F218EF"/>
    <w:rsid w:val="00F21BC7"/>
    <w:rsid w:val="00F21E9C"/>
    <w:rsid w:val="00F266A2"/>
    <w:rsid w:val="00F310C7"/>
    <w:rsid w:val="00F32269"/>
    <w:rsid w:val="00F36C23"/>
    <w:rsid w:val="00F37B88"/>
    <w:rsid w:val="00F40A67"/>
    <w:rsid w:val="00F41EEC"/>
    <w:rsid w:val="00F42967"/>
    <w:rsid w:val="00F43A9C"/>
    <w:rsid w:val="00F44F08"/>
    <w:rsid w:val="00F51B6D"/>
    <w:rsid w:val="00F5276E"/>
    <w:rsid w:val="00F545FD"/>
    <w:rsid w:val="00F54A42"/>
    <w:rsid w:val="00F56A6F"/>
    <w:rsid w:val="00F5709C"/>
    <w:rsid w:val="00F5725E"/>
    <w:rsid w:val="00F61F68"/>
    <w:rsid w:val="00F63663"/>
    <w:rsid w:val="00F642F8"/>
    <w:rsid w:val="00F64BBD"/>
    <w:rsid w:val="00F64EAB"/>
    <w:rsid w:val="00F64EF1"/>
    <w:rsid w:val="00F66280"/>
    <w:rsid w:val="00F67435"/>
    <w:rsid w:val="00F76D75"/>
    <w:rsid w:val="00F8765F"/>
    <w:rsid w:val="00F87B03"/>
    <w:rsid w:val="00F90767"/>
    <w:rsid w:val="00F96D75"/>
    <w:rsid w:val="00FA02F4"/>
    <w:rsid w:val="00FA0363"/>
    <w:rsid w:val="00FA0AA9"/>
    <w:rsid w:val="00FA161B"/>
    <w:rsid w:val="00FA33AA"/>
    <w:rsid w:val="00FA3B63"/>
    <w:rsid w:val="00FA4E16"/>
    <w:rsid w:val="00FA685B"/>
    <w:rsid w:val="00FB0C01"/>
    <w:rsid w:val="00FB54D5"/>
    <w:rsid w:val="00FC18F2"/>
    <w:rsid w:val="00FC39E5"/>
    <w:rsid w:val="00FC3A78"/>
    <w:rsid w:val="00FC6825"/>
    <w:rsid w:val="00FC6E22"/>
    <w:rsid w:val="00FD1005"/>
    <w:rsid w:val="00FD3495"/>
    <w:rsid w:val="00FD6C36"/>
    <w:rsid w:val="00FD6C75"/>
    <w:rsid w:val="00FE0FCD"/>
    <w:rsid w:val="00FE2863"/>
    <w:rsid w:val="00FE4D17"/>
    <w:rsid w:val="00FE66EF"/>
    <w:rsid w:val="00FE71B3"/>
    <w:rsid w:val="00FF3E1A"/>
    <w:rsid w:val="00FF42C5"/>
    <w:rsid w:val="00FF47EB"/>
    <w:rsid w:val="00FF61B0"/>
    <w:rsid w:val="00FF7424"/>
    <w:rsid w:val="00FF7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FollowedHyperlink" w:uiPriority="0"/>
    <w:lsdException w:name="Strong" w:semiHidden="0"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rsid w:val="00171A6F"/>
    <w:pPr>
      <w:jc w:val="both"/>
    </w:pPr>
    <w:rPr>
      <w:rFonts w:eastAsiaTheme="minorEastAsia"/>
      <w:sz w:val="24"/>
    </w:rPr>
  </w:style>
  <w:style w:type="paragraph" w:styleId="Nagwek1">
    <w:name w:val="heading 1"/>
    <w:basedOn w:val="Normalny"/>
    <w:next w:val="Normalny"/>
    <w:link w:val="Nagwek1Znak"/>
    <w:uiPriority w:val="99"/>
    <w:semiHidden/>
    <w:rsid w:val="00171A6F"/>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171A6F"/>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171A6F"/>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171A6F"/>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171A6F"/>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171A6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171A6F"/>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171A6F"/>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171A6F"/>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171A6F"/>
    <w:rPr>
      <w:rFonts w:ascii="Tahoma" w:hAnsi="Tahoma" w:cs="Tahoma"/>
      <w:sz w:val="16"/>
      <w:szCs w:val="16"/>
    </w:rPr>
  </w:style>
  <w:style w:type="character" w:customStyle="1" w:styleId="TekstdymkaZnak">
    <w:name w:val="Tekst dymka Znak"/>
    <w:basedOn w:val="Domylnaczcionkaakapitu"/>
    <w:link w:val="Tekstdymka"/>
    <w:uiPriority w:val="99"/>
    <w:semiHidden/>
    <w:rsid w:val="00171A6F"/>
    <w:rPr>
      <w:rFonts w:ascii="Tahoma" w:eastAsiaTheme="minorEastAsia" w:hAnsi="Tahoma" w:cs="Tahoma"/>
      <w:sz w:val="16"/>
      <w:szCs w:val="16"/>
    </w:rPr>
  </w:style>
  <w:style w:type="character" w:styleId="Tytuksiki">
    <w:name w:val="Book Title"/>
    <w:uiPriority w:val="99"/>
    <w:semiHidden/>
    <w:qFormat/>
    <w:rsid w:val="00171A6F"/>
    <w:rPr>
      <w:i/>
      <w:iCs/>
      <w:smallCaps/>
      <w:spacing w:val="5"/>
    </w:rPr>
  </w:style>
  <w:style w:type="paragraph" w:customStyle="1" w:styleId="ECHRHeader">
    <w:name w:val="ECHR_Header"/>
    <w:aliases w:val="Ju_Header"/>
    <w:basedOn w:val="Nagwek"/>
    <w:uiPriority w:val="4"/>
    <w:qFormat/>
    <w:rsid w:val="00171A6F"/>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171A6F"/>
  </w:style>
  <w:style w:type="character" w:styleId="Pogrubienie">
    <w:name w:val="Strong"/>
    <w:uiPriority w:val="99"/>
    <w:semiHidden/>
    <w:qFormat/>
    <w:rsid w:val="00171A6F"/>
    <w:rPr>
      <w:b/>
      <w:bCs/>
    </w:rPr>
  </w:style>
  <w:style w:type="paragraph" w:styleId="Bezodstpw">
    <w:name w:val="No Spacing"/>
    <w:basedOn w:val="Normalny"/>
    <w:link w:val="BezodstpwZnak"/>
    <w:semiHidden/>
    <w:qFormat/>
    <w:rsid w:val="00171A6F"/>
  </w:style>
  <w:style w:type="character" w:customStyle="1" w:styleId="BezodstpwZnak">
    <w:name w:val="Bez odstępów Znak"/>
    <w:basedOn w:val="Domylnaczcionkaakapitu"/>
    <w:link w:val="Bezodstpw"/>
    <w:semiHidden/>
    <w:rsid w:val="00171A6F"/>
    <w:rPr>
      <w:rFonts w:eastAsiaTheme="minorEastAsia"/>
      <w:sz w:val="24"/>
    </w:rPr>
  </w:style>
  <w:style w:type="paragraph" w:customStyle="1" w:styleId="JuAppQuestion">
    <w:name w:val="Ju_App_Question"/>
    <w:basedOn w:val="Normalny"/>
    <w:uiPriority w:val="5"/>
    <w:qFormat/>
    <w:rsid w:val="00171A6F"/>
    <w:pPr>
      <w:numPr>
        <w:numId w:val="13"/>
      </w:numPr>
      <w:jc w:val="left"/>
    </w:pPr>
    <w:rPr>
      <w:b/>
    </w:rPr>
  </w:style>
  <w:style w:type="paragraph" w:customStyle="1" w:styleId="OpiParaSub">
    <w:name w:val="Opi_Para_Sub"/>
    <w:basedOn w:val="JuParaSub"/>
    <w:uiPriority w:val="47"/>
    <w:qFormat/>
    <w:rsid w:val="00171A6F"/>
  </w:style>
  <w:style w:type="paragraph" w:customStyle="1" w:styleId="OpiQuot">
    <w:name w:val="Opi_Quot"/>
    <w:basedOn w:val="ECHRParaQuote"/>
    <w:uiPriority w:val="48"/>
    <w:qFormat/>
    <w:rsid w:val="00171A6F"/>
  </w:style>
  <w:style w:type="paragraph" w:customStyle="1" w:styleId="JuParaSub">
    <w:name w:val="Ju_Para_Sub"/>
    <w:basedOn w:val="ECHRPara"/>
    <w:uiPriority w:val="13"/>
    <w:qFormat/>
    <w:rsid w:val="00171A6F"/>
    <w:pPr>
      <w:ind w:left="284"/>
    </w:pPr>
  </w:style>
  <w:style w:type="paragraph" w:customStyle="1" w:styleId="ECHRTitleCentre3">
    <w:name w:val="ECHR_Title_Centre_3"/>
    <w:aliases w:val="Ju_H_Article"/>
    <w:basedOn w:val="Normalny"/>
    <w:next w:val="ECHRParaQuote"/>
    <w:uiPriority w:val="27"/>
    <w:qFormat/>
    <w:rsid w:val="00171A6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Title_C_1"/>
    <w:basedOn w:val="Normalny"/>
    <w:next w:val="OpiPara"/>
    <w:uiPriority w:val="39"/>
    <w:qFormat/>
    <w:rsid w:val="00171A6F"/>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semiHidden/>
    <w:qFormat/>
    <w:rsid w:val="00171A6F"/>
  </w:style>
  <w:style w:type="paragraph" w:customStyle="1" w:styleId="JuTitle">
    <w:name w:val="Ju_Title"/>
    <w:basedOn w:val="Normalny"/>
    <w:next w:val="ECHRPara"/>
    <w:uiPriority w:val="3"/>
    <w:qFormat/>
    <w:rsid w:val="00171A6F"/>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171A6F"/>
    <w:pPr>
      <w:ind w:left="567"/>
    </w:pPr>
  </w:style>
  <w:style w:type="paragraph" w:customStyle="1" w:styleId="OpiHA">
    <w:name w:val="Opi_H_A"/>
    <w:basedOn w:val="ECHRHeading1"/>
    <w:next w:val="OpiPara"/>
    <w:uiPriority w:val="41"/>
    <w:semiHidden/>
    <w:qFormat/>
    <w:rsid w:val="00171A6F"/>
    <w:pPr>
      <w:tabs>
        <w:tab w:val="clear" w:pos="357"/>
      </w:tabs>
      <w:outlineLvl w:val="1"/>
    </w:pPr>
    <w:rPr>
      <w:b/>
    </w:rPr>
  </w:style>
  <w:style w:type="paragraph" w:customStyle="1" w:styleId="ECHRHeading4">
    <w:name w:val="ECHR_Heading_4"/>
    <w:aliases w:val="Ju_H_a"/>
    <w:basedOn w:val="Nagwek4"/>
    <w:next w:val="ECHRPara"/>
    <w:uiPriority w:val="22"/>
    <w:qFormat/>
    <w:rsid w:val="00171A6F"/>
    <w:pPr>
      <w:keepNext/>
      <w:keepLines/>
      <w:tabs>
        <w:tab w:val="left" w:pos="975"/>
      </w:tabs>
      <w:spacing w:before="240" w:after="120"/>
      <w:ind w:left="975" w:hanging="340"/>
    </w:pPr>
    <w:rPr>
      <w:i w:val="0"/>
      <w:color w:val="auto"/>
      <w:sz w:val="20"/>
    </w:rPr>
  </w:style>
  <w:style w:type="paragraph" w:styleId="Tytu">
    <w:name w:val="Title"/>
    <w:basedOn w:val="Normalny"/>
    <w:next w:val="Normalny"/>
    <w:link w:val="TytuZnak"/>
    <w:uiPriority w:val="99"/>
    <w:semiHidden/>
    <w:qFormat/>
    <w:rsid w:val="00171A6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171A6F"/>
    <w:rPr>
      <w:rFonts w:asciiTheme="majorHAnsi" w:eastAsiaTheme="majorEastAsia" w:hAnsiTheme="majorHAnsi" w:cstheme="majorBidi"/>
      <w:spacing w:val="5"/>
      <w:sz w:val="52"/>
      <w:szCs w:val="52"/>
      <w:lang w:bidi="en-US"/>
    </w:rPr>
  </w:style>
  <w:style w:type="paragraph" w:customStyle="1" w:styleId="ECHRHeading5">
    <w:name w:val="ECHR_Heading_5"/>
    <w:aliases w:val="Ju_H_i"/>
    <w:basedOn w:val="Nagwek5"/>
    <w:next w:val="ECHRPara"/>
    <w:uiPriority w:val="23"/>
    <w:qFormat/>
    <w:rsid w:val="00171A6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171A6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171A6F"/>
    <w:pPr>
      <w:keepNext/>
      <w:keepLines/>
      <w:spacing w:before="240" w:after="120"/>
      <w:ind w:left="1236"/>
    </w:pPr>
    <w:rPr>
      <w:sz w:val="20"/>
    </w:rPr>
  </w:style>
  <w:style w:type="paragraph" w:customStyle="1" w:styleId="ECHRDecisionBody">
    <w:name w:val="ECHR_Decision_Body"/>
    <w:aliases w:val="Ju_Judges"/>
    <w:basedOn w:val="Normalny"/>
    <w:link w:val="JuJudgesChar"/>
    <w:uiPriority w:val="11"/>
    <w:qFormat/>
    <w:rsid w:val="00171A6F"/>
    <w:pPr>
      <w:tabs>
        <w:tab w:val="left" w:pos="567"/>
        <w:tab w:val="left" w:pos="1134"/>
      </w:tabs>
      <w:jc w:val="left"/>
    </w:pPr>
  </w:style>
  <w:style w:type="paragraph" w:customStyle="1" w:styleId="OpiH1">
    <w:name w:val="Opi_H_1"/>
    <w:basedOn w:val="ECHRHeading2"/>
    <w:uiPriority w:val="42"/>
    <w:qFormat/>
    <w:rsid w:val="00171A6F"/>
    <w:pPr>
      <w:ind w:left="635" w:hanging="357"/>
      <w:outlineLvl w:val="2"/>
    </w:pPr>
  </w:style>
  <w:style w:type="character" w:customStyle="1" w:styleId="JUNAMES">
    <w:name w:val="JU_NAMES"/>
    <w:uiPriority w:val="17"/>
    <w:qFormat/>
    <w:rsid w:val="00171A6F"/>
    <w:rPr>
      <w:caps w:val="0"/>
      <w:smallCaps/>
    </w:rPr>
  </w:style>
  <w:style w:type="character" w:customStyle="1" w:styleId="JuITMark">
    <w:name w:val="Ju_ITMark"/>
    <w:basedOn w:val="Domylnaczcionkaakapitu"/>
    <w:uiPriority w:val="38"/>
    <w:qFormat/>
    <w:rsid w:val="00171A6F"/>
    <w:rPr>
      <w:vanish w:val="0"/>
      <w:color w:val="auto"/>
      <w:sz w:val="14"/>
    </w:rPr>
  </w:style>
  <w:style w:type="paragraph" w:customStyle="1" w:styleId="OpiTranslation">
    <w:name w:val="Opi_Translation"/>
    <w:basedOn w:val="Normalny"/>
    <w:next w:val="OpiPara"/>
    <w:uiPriority w:val="40"/>
    <w:semiHidden/>
    <w:qFormat/>
    <w:rsid w:val="00171A6F"/>
    <w:pPr>
      <w:jc w:val="center"/>
      <w:outlineLvl w:val="0"/>
    </w:pPr>
    <w:rPr>
      <w:i/>
    </w:rPr>
  </w:style>
  <w:style w:type="paragraph" w:styleId="Nagwek">
    <w:name w:val="header"/>
    <w:basedOn w:val="Normalny"/>
    <w:link w:val="NagwekZnak"/>
    <w:uiPriority w:val="99"/>
    <w:rsid w:val="00171A6F"/>
    <w:pPr>
      <w:tabs>
        <w:tab w:val="center" w:pos="4536"/>
        <w:tab w:val="right" w:pos="9072"/>
      </w:tabs>
    </w:pPr>
    <w:rPr>
      <w:rFonts w:eastAsiaTheme="minorHAnsi"/>
    </w:rPr>
  </w:style>
  <w:style w:type="character" w:customStyle="1" w:styleId="NagwekZnak">
    <w:name w:val="Nagłówek Znak"/>
    <w:basedOn w:val="Domylnaczcionkaakapitu"/>
    <w:link w:val="Nagwek"/>
    <w:uiPriority w:val="99"/>
    <w:rsid w:val="00171A6F"/>
    <w:rPr>
      <w:sz w:val="24"/>
    </w:rPr>
  </w:style>
  <w:style w:type="character" w:customStyle="1" w:styleId="Nagwek1Znak">
    <w:name w:val="Nagłówek 1 Znak"/>
    <w:basedOn w:val="Domylnaczcionkaakapitu"/>
    <w:link w:val="Nagwek1"/>
    <w:uiPriority w:val="99"/>
    <w:semiHidden/>
    <w:rsid w:val="00171A6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171A6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171A6F"/>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171A6F"/>
    <w:rPr>
      <w:rFonts w:asciiTheme="majorHAnsi" w:eastAsiaTheme="majorEastAsia" w:hAnsiTheme="majorHAnsi" w:cstheme="majorBidi"/>
      <w:b/>
      <w:bCs/>
      <w:color w:val="4D4D4D"/>
      <w:sz w:val="26"/>
      <w:szCs w:val="26"/>
    </w:rPr>
  </w:style>
  <w:style w:type="paragraph" w:customStyle="1" w:styleId="ECHRHeading3">
    <w:name w:val="ECHR_Heading_3"/>
    <w:aliases w:val="Ju_H_1."/>
    <w:basedOn w:val="Nagwek3"/>
    <w:next w:val="ECHRPara"/>
    <w:uiPriority w:val="21"/>
    <w:qFormat/>
    <w:rsid w:val="00171A6F"/>
    <w:pPr>
      <w:keepNext/>
      <w:keepLines/>
      <w:tabs>
        <w:tab w:val="left" w:pos="731"/>
      </w:tabs>
      <w:spacing w:before="240" w:after="120" w:line="240" w:lineRule="auto"/>
      <w:ind w:left="732" w:hanging="301"/>
    </w:pPr>
    <w:rPr>
      <w:b w:val="0"/>
      <w:i/>
      <w:color w:val="auto"/>
    </w:rPr>
  </w:style>
  <w:style w:type="paragraph" w:customStyle="1" w:styleId="ECHRPara">
    <w:name w:val="ECHR_Para"/>
    <w:aliases w:val="Ju_Para"/>
    <w:basedOn w:val="Normalny"/>
    <w:link w:val="ECHRParaChar"/>
    <w:uiPriority w:val="12"/>
    <w:qFormat/>
    <w:rsid w:val="00171A6F"/>
    <w:pPr>
      <w:ind w:firstLine="284"/>
    </w:pPr>
  </w:style>
  <w:style w:type="character" w:customStyle="1" w:styleId="Nagwek3Znak">
    <w:name w:val="Nagłówek 3 Znak"/>
    <w:basedOn w:val="Domylnaczcionkaakapitu"/>
    <w:link w:val="Nagwek3"/>
    <w:uiPriority w:val="99"/>
    <w:semiHidden/>
    <w:rsid w:val="00171A6F"/>
    <w:rPr>
      <w:rFonts w:asciiTheme="majorHAnsi" w:eastAsiaTheme="majorEastAsia" w:hAnsiTheme="majorHAnsi" w:cstheme="majorBidi"/>
      <w:b/>
      <w:bCs/>
      <w:color w:val="5F5F5F"/>
      <w:sz w:val="24"/>
    </w:rPr>
  </w:style>
  <w:style w:type="paragraph" w:customStyle="1" w:styleId="JuList">
    <w:name w:val="Ju_List"/>
    <w:basedOn w:val="Normalny"/>
    <w:uiPriority w:val="28"/>
    <w:qFormat/>
    <w:rsid w:val="00171A6F"/>
    <w:pPr>
      <w:ind w:left="340" w:hanging="340"/>
    </w:pPr>
  </w:style>
  <w:style w:type="paragraph" w:customStyle="1" w:styleId="JuSigned">
    <w:name w:val="Ju_Signed"/>
    <w:basedOn w:val="Normalny"/>
    <w:next w:val="JuParaLast"/>
    <w:uiPriority w:val="32"/>
    <w:qFormat/>
    <w:rsid w:val="00171A6F"/>
    <w:pPr>
      <w:tabs>
        <w:tab w:val="center" w:pos="851"/>
        <w:tab w:val="center" w:pos="6407"/>
      </w:tabs>
      <w:spacing w:before="720"/>
      <w:jc w:val="left"/>
    </w:pPr>
  </w:style>
  <w:style w:type="character" w:customStyle="1" w:styleId="Nagwek4Znak">
    <w:name w:val="Nagłówek 4 Znak"/>
    <w:basedOn w:val="Domylnaczcionkaakapitu"/>
    <w:link w:val="Nagwek4"/>
    <w:uiPriority w:val="99"/>
    <w:semiHidden/>
    <w:rsid w:val="00171A6F"/>
    <w:rPr>
      <w:rFonts w:asciiTheme="majorHAnsi" w:eastAsiaTheme="majorEastAsia" w:hAnsiTheme="majorHAnsi" w:cstheme="majorBidi"/>
      <w:b/>
      <w:bCs/>
      <w:i/>
      <w:iCs/>
      <w:color w:val="777777"/>
      <w:sz w:val="24"/>
    </w:rPr>
  </w:style>
  <w:style w:type="paragraph" w:styleId="Poprawka">
    <w:name w:val="Revision"/>
    <w:hidden/>
    <w:uiPriority w:val="99"/>
    <w:semiHidden/>
    <w:rsid w:val="008A3237"/>
    <w:rPr>
      <w:rFonts w:eastAsiaTheme="minorEastAsia"/>
      <w:sz w:val="24"/>
    </w:rPr>
  </w:style>
  <w:style w:type="character" w:customStyle="1" w:styleId="Nagwek5Znak">
    <w:name w:val="Nagłówek 5 Znak"/>
    <w:basedOn w:val="Domylnaczcionkaakapitu"/>
    <w:link w:val="Nagwek5"/>
    <w:uiPriority w:val="99"/>
    <w:semiHidden/>
    <w:rsid w:val="00171A6F"/>
    <w:rPr>
      <w:rFonts w:asciiTheme="majorHAnsi" w:eastAsiaTheme="majorEastAsia" w:hAnsiTheme="majorHAnsi" w:cstheme="majorBidi"/>
      <w:b/>
      <w:bCs/>
      <w:color w:val="808080"/>
      <w:sz w:val="24"/>
    </w:rPr>
  </w:style>
  <w:style w:type="character" w:styleId="Wyrnieniedelikatne">
    <w:name w:val="Subtle Emphasis"/>
    <w:uiPriority w:val="99"/>
    <w:semiHidden/>
    <w:qFormat/>
    <w:rsid w:val="00171A6F"/>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171A6F"/>
    <w:pPr>
      <w:keepNext/>
      <w:keepLines/>
      <w:spacing w:before="720" w:after="240"/>
      <w:outlineLvl w:val="0"/>
    </w:pPr>
    <w:rPr>
      <w:rFonts w:asciiTheme="majorHAnsi" w:hAnsiTheme="majorHAnsi"/>
      <w:sz w:val="28"/>
    </w:rPr>
  </w:style>
  <w:style w:type="character" w:styleId="Uwydatnienie">
    <w:name w:val="Emphasis"/>
    <w:uiPriority w:val="99"/>
    <w:semiHidden/>
    <w:qFormat/>
    <w:rsid w:val="00171A6F"/>
    <w:rPr>
      <w:b/>
      <w:bCs/>
      <w:i/>
      <w:iCs/>
      <w:spacing w:val="10"/>
      <w:bdr w:val="none" w:sz="0" w:space="0" w:color="auto"/>
      <w:shd w:val="clear" w:color="auto" w:fill="auto"/>
    </w:rPr>
  </w:style>
  <w:style w:type="paragraph" w:styleId="Stopka">
    <w:name w:val="footer"/>
    <w:basedOn w:val="Normalny"/>
    <w:link w:val="StopkaZnak"/>
    <w:uiPriority w:val="99"/>
    <w:rsid w:val="00171A6F"/>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99"/>
    <w:rsid w:val="00171A6F"/>
    <w:rPr>
      <w:sz w:val="24"/>
    </w:rPr>
  </w:style>
  <w:style w:type="character" w:styleId="Odwoanieprzypisudolnego">
    <w:name w:val="footnote reference"/>
    <w:basedOn w:val="Domylnaczcionkaakapitu"/>
    <w:uiPriority w:val="99"/>
    <w:semiHidden/>
    <w:rsid w:val="00171A6F"/>
    <w:rPr>
      <w:vertAlign w:val="superscript"/>
    </w:rPr>
  </w:style>
  <w:style w:type="paragraph" w:styleId="Tekstprzypisudolnego">
    <w:name w:val="footnote text"/>
    <w:basedOn w:val="Normalny"/>
    <w:link w:val="TekstprzypisudolnegoZnak"/>
    <w:uiPriority w:val="99"/>
    <w:semiHidden/>
    <w:rsid w:val="00171A6F"/>
    <w:rPr>
      <w:sz w:val="20"/>
      <w:szCs w:val="20"/>
    </w:rPr>
  </w:style>
  <w:style w:type="character" w:customStyle="1" w:styleId="TekstprzypisudolnegoZnak">
    <w:name w:val="Tekst przypisu dolnego Znak"/>
    <w:basedOn w:val="Domylnaczcionkaakapitu"/>
    <w:link w:val="Tekstprzypisudolnego"/>
    <w:uiPriority w:val="99"/>
    <w:semiHidden/>
    <w:rsid w:val="00171A6F"/>
    <w:rPr>
      <w:rFonts w:eastAsiaTheme="minorEastAsia"/>
      <w:sz w:val="20"/>
      <w:szCs w:val="20"/>
    </w:rPr>
  </w:style>
  <w:style w:type="character" w:customStyle="1" w:styleId="Nagwek6Znak">
    <w:name w:val="Nagłówek 6 Znak"/>
    <w:basedOn w:val="Domylnaczcionkaakapitu"/>
    <w:link w:val="Nagwek6"/>
    <w:uiPriority w:val="99"/>
    <w:semiHidden/>
    <w:rsid w:val="00171A6F"/>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171A6F"/>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171A6F"/>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171A6F"/>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rsid w:val="00171A6F"/>
    <w:rPr>
      <w:color w:val="0072BC" w:themeColor="hyperlink"/>
      <w:u w:val="single"/>
    </w:rPr>
  </w:style>
  <w:style w:type="character" w:styleId="Wyrnienieintensywne">
    <w:name w:val="Intense Emphasis"/>
    <w:uiPriority w:val="99"/>
    <w:semiHidden/>
    <w:qFormat/>
    <w:rsid w:val="00171A6F"/>
    <w:rPr>
      <w:b/>
      <w:bCs/>
    </w:rPr>
  </w:style>
  <w:style w:type="paragraph" w:styleId="Cytatintensywny">
    <w:name w:val="Intense Quote"/>
    <w:basedOn w:val="Normalny"/>
    <w:next w:val="Normalny"/>
    <w:link w:val="CytatintensywnyZnak"/>
    <w:uiPriority w:val="99"/>
    <w:semiHidden/>
    <w:qFormat/>
    <w:rsid w:val="00171A6F"/>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171A6F"/>
    <w:rPr>
      <w:rFonts w:eastAsiaTheme="minorEastAsia"/>
      <w:b/>
      <w:bCs/>
      <w:i/>
      <w:iCs/>
      <w:sz w:val="24"/>
      <w:lang w:bidi="en-US"/>
    </w:rPr>
  </w:style>
  <w:style w:type="character" w:styleId="Odwoanieintensywne">
    <w:name w:val="Intense Reference"/>
    <w:uiPriority w:val="99"/>
    <w:semiHidden/>
    <w:qFormat/>
    <w:rsid w:val="00171A6F"/>
    <w:rPr>
      <w:smallCaps/>
      <w:spacing w:val="5"/>
      <w:u w:val="single"/>
    </w:rPr>
  </w:style>
  <w:style w:type="paragraph" w:styleId="Akapitzlist">
    <w:name w:val="List Paragraph"/>
    <w:basedOn w:val="Normalny"/>
    <w:uiPriority w:val="99"/>
    <w:semiHidden/>
    <w:qFormat/>
    <w:rsid w:val="00171A6F"/>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171A6F"/>
    <w:pPr>
      <w:spacing w:before="200"/>
      <w:ind w:left="360" w:right="360"/>
    </w:pPr>
    <w:rPr>
      <w:i/>
      <w:iCs/>
      <w:lang w:bidi="en-US"/>
    </w:rPr>
  </w:style>
  <w:style w:type="character" w:customStyle="1" w:styleId="CytatZnak">
    <w:name w:val="Cytat Znak"/>
    <w:basedOn w:val="Domylnaczcionkaakapitu"/>
    <w:link w:val="Cytat"/>
    <w:uiPriority w:val="99"/>
    <w:semiHidden/>
    <w:rsid w:val="00171A6F"/>
    <w:rPr>
      <w:rFonts w:eastAsiaTheme="minorEastAsia"/>
      <w:i/>
      <w:iCs/>
      <w:sz w:val="24"/>
      <w:lang w:bidi="en-US"/>
    </w:rPr>
  </w:style>
  <w:style w:type="character" w:styleId="Odwoaniedelikatne">
    <w:name w:val="Subtle Reference"/>
    <w:uiPriority w:val="99"/>
    <w:semiHidden/>
    <w:qFormat/>
    <w:rsid w:val="00171A6F"/>
    <w:rPr>
      <w:smallCaps/>
    </w:rPr>
  </w:style>
  <w:style w:type="table" w:styleId="Tabela-Siatka">
    <w:name w:val="Table Grid"/>
    <w:basedOn w:val="Standardowy"/>
    <w:uiPriority w:val="59"/>
    <w:rsid w:val="00171A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rsid w:val="00171A6F"/>
    <w:pPr>
      <w:spacing w:before="120" w:after="60"/>
      <w:ind w:left="340" w:right="340" w:hanging="340"/>
    </w:pPr>
    <w:rPr>
      <w:color w:val="0D0D0D" w:themeColor="text1" w:themeTint="F2"/>
    </w:rPr>
  </w:style>
  <w:style w:type="paragraph" w:styleId="Spistreci2">
    <w:name w:val="toc 2"/>
    <w:basedOn w:val="Normalny"/>
    <w:next w:val="Normalny"/>
    <w:autoRedefine/>
    <w:uiPriority w:val="99"/>
    <w:rsid w:val="00171A6F"/>
    <w:pPr>
      <w:spacing w:after="60"/>
      <w:ind w:left="680" w:right="340" w:hanging="340"/>
    </w:pPr>
  </w:style>
  <w:style w:type="paragraph" w:styleId="Spistreci3">
    <w:name w:val="toc 3"/>
    <w:basedOn w:val="Normalny"/>
    <w:next w:val="Normalny"/>
    <w:autoRedefine/>
    <w:uiPriority w:val="99"/>
    <w:rsid w:val="00171A6F"/>
    <w:pPr>
      <w:spacing w:after="60"/>
      <w:ind w:left="1020" w:right="340" w:hanging="340"/>
    </w:pPr>
  </w:style>
  <w:style w:type="paragraph" w:styleId="Spistreci4">
    <w:name w:val="toc 4"/>
    <w:basedOn w:val="Normalny"/>
    <w:next w:val="Normalny"/>
    <w:autoRedefine/>
    <w:uiPriority w:val="99"/>
    <w:semiHidden/>
    <w:rsid w:val="00171A6F"/>
    <w:pPr>
      <w:tabs>
        <w:tab w:val="right" w:leader="dot" w:pos="9017"/>
      </w:tabs>
      <w:spacing w:after="60"/>
      <w:ind w:left="1361" w:right="340" w:hanging="340"/>
    </w:pPr>
  </w:style>
  <w:style w:type="paragraph" w:styleId="Spistreci5">
    <w:name w:val="toc 5"/>
    <w:basedOn w:val="Normalny"/>
    <w:next w:val="Normalny"/>
    <w:autoRedefine/>
    <w:uiPriority w:val="99"/>
    <w:semiHidden/>
    <w:rsid w:val="00171A6F"/>
    <w:pPr>
      <w:spacing w:after="60"/>
      <w:ind w:left="1701" w:right="340" w:hanging="340"/>
    </w:pPr>
  </w:style>
  <w:style w:type="paragraph" w:styleId="Nagwekspisutreci">
    <w:name w:val="TOC Heading"/>
    <w:basedOn w:val="Nagwek1"/>
    <w:next w:val="Normalny"/>
    <w:uiPriority w:val="99"/>
    <w:semiHidden/>
    <w:qFormat/>
    <w:rsid w:val="00171A6F"/>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171A6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171A6F"/>
    <w:pPr>
      <w:spacing w:before="120" w:after="120"/>
      <w:ind w:left="425" w:firstLine="142"/>
    </w:pPr>
    <w:rPr>
      <w:sz w:val="20"/>
    </w:r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171A6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0">
    <w:name w:val="Ju_Names"/>
    <w:rsid w:val="00D4692B"/>
    <w:rPr>
      <w:smallCaps/>
    </w:rPr>
  </w:style>
  <w:style w:type="paragraph" w:customStyle="1" w:styleId="JuParaLast">
    <w:name w:val="Ju_Para_Last"/>
    <w:basedOn w:val="Normalny"/>
    <w:next w:val="ECHRPara"/>
    <w:uiPriority w:val="30"/>
    <w:qFormat/>
    <w:rsid w:val="00171A6F"/>
    <w:pPr>
      <w:keepNext/>
      <w:keepLines/>
      <w:spacing w:before="240"/>
      <w:ind w:firstLine="284"/>
    </w:pPr>
  </w:style>
  <w:style w:type="paragraph" w:customStyle="1" w:styleId="JuCase">
    <w:name w:val="Ju_Case"/>
    <w:basedOn w:val="Normalny"/>
    <w:next w:val="ECHRPara"/>
    <w:uiPriority w:val="10"/>
    <w:rsid w:val="00171A6F"/>
    <w:pPr>
      <w:ind w:firstLine="284"/>
    </w:pPr>
    <w:rPr>
      <w:b/>
    </w:rPr>
  </w:style>
  <w:style w:type="paragraph" w:styleId="Tekstkomentarza">
    <w:name w:val="annotation text"/>
    <w:basedOn w:val="Normalny"/>
    <w:link w:val="TekstkomentarzaZnak"/>
    <w:semiHidden/>
    <w:rsid w:val="00D4692B"/>
    <w:rPr>
      <w:sz w:val="20"/>
      <w:szCs w:val="20"/>
    </w:rPr>
  </w:style>
  <w:style w:type="character" w:customStyle="1" w:styleId="TekstkomentarzaZnak">
    <w:name w:val="Tekst komentarza Znak"/>
    <w:basedOn w:val="Domylnaczcionkaakapitu"/>
    <w:link w:val="Tekstkomentarza"/>
    <w:uiPriority w:val="99"/>
    <w:semiHidden/>
    <w:rsid w:val="00D4692B"/>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D4692B"/>
    <w:rPr>
      <w:b/>
      <w:bCs/>
      <w:szCs w:val="22"/>
    </w:rPr>
  </w:style>
  <w:style w:type="character" w:customStyle="1" w:styleId="TematkomentarzaZnak">
    <w:name w:val="Temat komentarza Znak"/>
    <w:basedOn w:val="TekstkomentarzaZnak"/>
    <w:link w:val="Tematkomentarza"/>
    <w:uiPriority w:val="99"/>
    <w:semiHidden/>
    <w:rsid w:val="00D4692B"/>
    <w:rPr>
      <w:rFonts w:eastAsiaTheme="minorEastAsia"/>
      <w:b/>
      <w:bCs/>
      <w:sz w:val="20"/>
      <w:szCs w:val="20"/>
    </w:rPr>
  </w:style>
  <w:style w:type="paragraph" w:customStyle="1" w:styleId="JuCourt">
    <w:name w:val="Ju_Court"/>
    <w:basedOn w:val="Normalny"/>
    <w:next w:val="Normalny"/>
    <w:uiPriority w:val="16"/>
    <w:qFormat/>
    <w:rsid w:val="00171A6F"/>
    <w:pPr>
      <w:tabs>
        <w:tab w:val="left" w:pos="907"/>
        <w:tab w:val="left" w:pos="1701"/>
        <w:tab w:val="right" w:pos="7371"/>
      </w:tabs>
      <w:spacing w:before="240"/>
      <w:ind w:left="397" w:hanging="397"/>
      <w:jc w:val="left"/>
    </w:pPr>
    <w:rPr>
      <w:lang w:bidi="en-US"/>
    </w:rPr>
  </w:style>
  <w:style w:type="character" w:styleId="Numerstrony">
    <w:name w:val="page number"/>
    <w:semiHidden/>
    <w:rsid w:val="00D4692B"/>
    <w:rPr>
      <w:sz w:val="18"/>
    </w:rPr>
  </w:style>
  <w:style w:type="paragraph" w:customStyle="1" w:styleId="DecHTitle">
    <w:name w:val="Dec_H_Title"/>
    <w:basedOn w:val="ECHRTitleCentre1"/>
    <w:uiPriority w:val="7"/>
    <w:qFormat/>
    <w:rsid w:val="00171A6F"/>
  </w:style>
  <w:style w:type="paragraph" w:customStyle="1" w:styleId="DecList">
    <w:name w:val="Dec_List"/>
    <w:basedOn w:val="Normalny"/>
    <w:uiPriority w:val="9"/>
    <w:qFormat/>
    <w:rsid w:val="00171A6F"/>
    <w:pPr>
      <w:spacing w:before="240"/>
      <w:ind w:left="284"/>
    </w:pPr>
  </w:style>
  <w:style w:type="character" w:styleId="Odwoaniedokomentarza">
    <w:name w:val="annotation reference"/>
    <w:semiHidden/>
    <w:rsid w:val="00D4692B"/>
    <w:rPr>
      <w:sz w:val="16"/>
    </w:rPr>
  </w:style>
  <w:style w:type="paragraph" w:customStyle="1" w:styleId="JuInitialled">
    <w:name w:val="Ju_Initialled"/>
    <w:basedOn w:val="Normalny"/>
    <w:uiPriority w:val="31"/>
    <w:qFormat/>
    <w:rsid w:val="00171A6F"/>
    <w:pPr>
      <w:tabs>
        <w:tab w:val="center" w:pos="6407"/>
      </w:tabs>
      <w:spacing w:before="720"/>
      <w:jc w:val="right"/>
    </w:pPr>
  </w:style>
  <w:style w:type="character" w:styleId="Odwoanieprzypisukocowego">
    <w:name w:val="endnote reference"/>
    <w:semiHidden/>
    <w:rsid w:val="00D4692B"/>
    <w:rPr>
      <w:vertAlign w:val="superscript"/>
    </w:rPr>
  </w:style>
  <w:style w:type="paragraph" w:styleId="Tekstprzypisukocowego">
    <w:name w:val="endnote text"/>
    <w:basedOn w:val="Normalny"/>
    <w:link w:val="TekstprzypisukocowegoZnak"/>
    <w:semiHidden/>
    <w:rsid w:val="00D4692B"/>
    <w:rPr>
      <w:sz w:val="20"/>
    </w:rPr>
  </w:style>
  <w:style w:type="character" w:customStyle="1" w:styleId="TekstprzypisukocowegoZnak">
    <w:name w:val="Tekst przypisu końcowego Znak"/>
    <w:basedOn w:val="Domylnaczcionkaakapitu"/>
    <w:link w:val="Tekstprzypisukocowego"/>
    <w:uiPriority w:val="99"/>
    <w:semiHidden/>
    <w:rsid w:val="00D4692B"/>
    <w:rPr>
      <w:rFonts w:eastAsiaTheme="minorEastAsia"/>
      <w:sz w:val="20"/>
    </w:rPr>
  </w:style>
  <w:style w:type="character" w:styleId="UyteHipercze">
    <w:name w:val="FollowedHyperlink"/>
    <w:semiHidden/>
    <w:rsid w:val="00D4692B"/>
    <w:rPr>
      <w:color w:val="800080"/>
      <w:u w:val="single"/>
    </w:rPr>
  </w:style>
  <w:style w:type="paragraph" w:styleId="Mapadokumentu">
    <w:name w:val="Document Map"/>
    <w:basedOn w:val="Normalny"/>
    <w:link w:val="MapadokumentuZnak"/>
    <w:semiHidden/>
    <w:rsid w:val="00D4692B"/>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D4692B"/>
    <w:rPr>
      <w:rFonts w:ascii="Tahoma" w:eastAsiaTheme="minorEastAsia" w:hAnsi="Tahoma" w:cs="Tahoma"/>
      <w:sz w:val="20"/>
      <w:shd w:val="clear" w:color="auto" w:fill="000080"/>
    </w:rPr>
  </w:style>
  <w:style w:type="paragraph" w:styleId="Listapunktowana">
    <w:name w:val="List Bullet"/>
    <w:basedOn w:val="Normalny"/>
    <w:semiHidden/>
    <w:rsid w:val="00D4692B"/>
    <w:pPr>
      <w:numPr>
        <w:numId w:val="4"/>
      </w:numPr>
    </w:pPr>
  </w:style>
  <w:style w:type="paragraph" w:customStyle="1" w:styleId="JuLista">
    <w:name w:val="Ju_List_a"/>
    <w:basedOn w:val="JuList"/>
    <w:uiPriority w:val="28"/>
    <w:qFormat/>
    <w:rsid w:val="00171A6F"/>
    <w:pPr>
      <w:ind w:left="346" w:firstLine="0"/>
    </w:pPr>
  </w:style>
  <w:style w:type="paragraph" w:styleId="Podtytu">
    <w:name w:val="Subtitle"/>
    <w:basedOn w:val="Normalny"/>
    <w:next w:val="Normalny"/>
    <w:link w:val="PodtytuZnak"/>
    <w:uiPriority w:val="99"/>
    <w:semiHidden/>
    <w:qFormat/>
    <w:rsid w:val="00171A6F"/>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171A6F"/>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D4692B"/>
    <w:pPr>
      <w:numPr>
        <w:numId w:val="5"/>
      </w:numPr>
    </w:pPr>
  </w:style>
  <w:style w:type="numbering" w:styleId="1ai">
    <w:name w:val="Outline List 1"/>
    <w:basedOn w:val="Bezlisty"/>
    <w:uiPriority w:val="99"/>
    <w:semiHidden/>
    <w:rsid w:val="00D4692B"/>
    <w:pPr>
      <w:numPr>
        <w:numId w:val="6"/>
      </w:numPr>
    </w:pPr>
  </w:style>
  <w:style w:type="numbering" w:styleId="Artykusekcja">
    <w:name w:val="Outline List 3"/>
    <w:basedOn w:val="Bezlisty"/>
    <w:uiPriority w:val="99"/>
    <w:semiHidden/>
    <w:rsid w:val="00D4692B"/>
    <w:pPr>
      <w:numPr>
        <w:numId w:val="7"/>
      </w:numPr>
    </w:pPr>
  </w:style>
  <w:style w:type="paragraph" w:styleId="Bibliografia">
    <w:name w:val="Bibliography"/>
    <w:basedOn w:val="Normalny"/>
    <w:next w:val="Normalny"/>
    <w:uiPriority w:val="99"/>
    <w:semiHidden/>
    <w:unhideWhenUsed/>
    <w:rsid w:val="00D4692B"/>
  </w:style>
  <w:style w:type="paragraph" w:styleId="Tekstblokowy">
    <w:name w:val="Block Text"/>
    <w:basedOn w:val="Normalny"/>
    <w:uiPriority w:val="99"/>
    <w:semiHidden/>
    <w:rsid w:val="00D4692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D4692B"/>
    <w:pPr>
      <w:spacing w:after="120"/>
    </w:pPr>
  </w:style>
  <w:style w:type="character" w:customStyle="1" w:styleId="TekstpodstawowyZnak">
    <w:name w:val="Tekst podstawowy Znak"/>
    <w:basedOn w:val="Domylnaczcionkaakapitu"/>
    <w:link w:val="Tekstpodstawowy"/>
    <w:uiPriority w:val="99"/>
    <w:semiHidden/>
    <w:rsid w:val="00D4692B"/>
    <w:rPr>
      <w:rFonts w:eastAsiaTheme="minorEastAsia"/>
      <w:sz w:val="24"/>
    </w:rPr>
  </w:style>
  <w:style w:type="paragraph" w:styleId="Tekstpodstawowy2">
    <w:name w:val="Body Text 2"/>
    <w:basedOn w:val="Normalny"/>
    <w:link w:val="Tekstpodstawowy2Znak"/>
    <w:uiPriority w:val="99"/>
    <w:semiHidden/>
    <w:rsid w:val="00D4692B"/>
    <w:pPr>
      <w:spacing w:after="120" w:line="480" w:lineRule="auto"/>
    </w:pPr>
  </w:style>
  <w:style w:type="character" w:customStyle="1" w:styleId="Tekstpodstawowy2Znak">
    <w:name w:val="Tekst podstawowy 2 Znak"/>
    <w:basedOn w:val="Domylnaczcionkaakapitu"/>
    <w:link w:val="Tekstpodstawowy2"/>
    <w:uiPriority w:val="99"/>
    <w:semiHidden/>
    <w:rsid w:val="00D4692B"/>
    <w:rPr>
      <w:rFonts w:eastAsiaTheme="minorEastAsia"/>
      <w:sz w:val="24"/>
    </w:rPr>
  </w:style>
  <w:style w:type="paragraph" w:styleId="Tekstpodstawowy3">
    <w:name w:val="Body Text 3"/>
    <w:basedOn w:val="Normalny"/>
    <w:link w:val="Tekstpodstawowy3Znak"/>
    <w:uiPriority w:val="99"/>
    <w:semiHidden/>
    <w:rsid w:val="00D4692B"/>
    <w:pPr>
      <w:spacing w:after="120"/>
    </w:pPr>
    <w:rPr>
      <w:sz w:val="16"/>
      <w:szCs w:val="16"/>
    </w:rPr>
  </w:style>
  <w:style w:type="character" w:customStyle="1" w:styleId="Tekstpodstawowy3Znak">
    <w:name w:val="Tekst podstawowy 3 Znak"/>
    <w:basedOn w:val="Domylnaczcionkaakapitu"/>
    <w:link w:val="Tekstpodstawowy3"/>
    <w:uiPriority w:val="99"/>
    <w:semiHidden/>
    <w:rsid w:val="00D4692B"/>
    <w:rPr>
      <w:rFonts w:eastAsiaTheme="minorEastAsia"/>
      <w:sz w:val="16"/>
      <w:szCs w:val="16"/>
    </w:rPr>
  </w:style>
  <w:style w:type="paragraph" w:styleId="Tekstpodstawowyzwciciem">
    <w:name w:val="Body Text First Indent"/>
    <w:basedOn w:val="Tekstpodstawowy"/>
    <w:link w:val="TekstpodstawowyzwciciemZnak"/>
    <w:uiPriority w:val="99"/>
    <w:semiHidden/>
    <w:rsid w:val="00D4692B"/>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D4692B"/>
    <w:rPr>
      <w:rFonts w:eastAsiaTheme="minorEastAsia"/>
      <w:sz w:val="24"/>
    </w:rPr>
  </w:style>
  <w:style w:type="paragraph" w:styleId="Tekstpodstawowywcity">
    <w:name w:val="Body Text Indent"/>
    <w:basedOn w:val="Normalny"/>
    <w:link w:val="TekstpodstawowywcityZnak"/>
    <w:uiPriority w:val="99"/>
    <w:semiHidden/>
    <w:rsid w:val="00D4692B"/>
    <w:pPr>
      <w:spacing w:after="120"/>
      <w:ind w:left="283"/>
    </w:pPr>
  </w:style>
  <w:style w:type="character" w:customStyle="1" w:styleId="TekstpodstawowywcityZnak">
    <w:name w:val="Tekst podstawowy wcięty Znak"/>
    <w:basedOn w:val="Domylnaczcionkaakapitu"/>
    <w:link w:val="Tekstpodstawowywcity"/>
    <w:uiPriority w:val="99"/>
    <w:semiHidden/>
    <w:rsid w:val="00D4692B"/>
    <w:rPr>
      <w:rFonts w:eastAsiaTheme="minorEastAsia"/>
      <w:sz w:val="24"/>
    </w:rPr>
  </w:style>
  <w:style w:type="paragraph" w:styleId="Tekstpodstawowyzwciciem2">
    <w:name w:val="Body Text First Indent 2"/>
    <w:basedOn w:val="Tekstpodstawowywcity"/>
    <w:link w:val="Tekstpodstawowyzwciciem2Znak"/>
    <w:uiPriority w:val="99"/>
    <w:semiHidden/>
    <w:rsid w:val="00D4692B"/>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D4692B"/>
    <w:rPr>
      <w:rFonts w:eastAsiaTheme="minorEastAsia"/>
      <w:sz w:val="24"/>
    </w:rPr>
  </w:style>
  <w:style w:type="paragraph" w:styleId="Tekstpodstawowywcity2">
    <w:name w:val="Body Text Indent 2"/>
    <w:basedOn w:val="Normalny"/>
    <w:link w:val="Tekstpodstawowywcity2Znak"/>
    <w:uiPriority w:val="99"/>
    <w:semiHidden/>
    <w:rsid w:val="00D469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4692B"/>
    <w:rPr>
      <w:rFonts w:eastAsiaTheme="minorEastAsia"/>
      <w:sz w:val="24"/>
    </w:rPr>
  </w:style>
  <w:style w:type="paragraph" w:styleId="Tekstpodstawowywcity3">
    <w:name w:val="Body Text Indent 3"/>
    <w:basedOn w:val="Normalny"/>
    <w:link w:val="Tekstpodstawowywcity3Znak"/>
    <w:uiPriority w:val="99"/>
    <w:semiHidden/>
    <w:rsid w:val="00D4692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4692B"/>
    <w:rPr>
      <w:rFonts w:eastAsiaTheme="minorEastAsia"/>
      <w:sz w:val="16"/>
      <w:szCs w:val="16"/>
    </w:rPr>
  </w:style>
  <w:style w:type="paragraph" w:styleId="Legenda">
    <w:name w:val="caption"/>
    <w:basedOn w:val="Normalny"/>
    <w:next w:val="Normalny"/>
    <w:uiPriority w:val="99"/>
    <w:semiHidden/>
    <w:qFormat/>
    <w:rsid w:val="00D4692B"/>
    <w:pPr>
      <w:spacing w:after="200"/>
    </w:pPr>
    <w:rPr>
      <w:b/>
      <w:bCs/>
      <w:color w:val="0072BC" w:themeColor="accent1"/>
      <w:sz w:val="18"/>
      <w:szCs w:val="18"/>
    </w:rPr>
  </w:style>
  <w:style w:type="paragraph" w:styleId="Zwrotpoegnalny">
    <w:name w:val="Closing"/>
    <w:basedOn w:val="Normalny"/>
    <w:link w:val="ZwrotpoegnalnyZnak"/>
    <w:uiPriority w:val="99"/>
    <w:semiHidden/>
    <w:rsid w:val="00D4692B"/>
    <w:pPr>
      <w:ind w:left="4252"/>
    </w:pPr>
  </w:style>
  <w:style w:type="character" w:customStyle="1" w:styleId="ZwrotpoegnalnyZnak">
    <w:name w:val="Zwrot pożegnalny Znak"/>
    <w:basedOn w:val="Domylnaczcionkaakapitu"/>
    <w:link w:val="Zwrotpoegnalny"/>
    <w:uiPriority w:val="99"/>
    <w:semiHidden/>
    <w:rsid w:val="00D4692B"/>
    <w:rPr>
      <w:rFonts w:eastAsiaTheme="minorEastAsia"/>
      <w:sz w:val="24"/>
    </w:rPr>
  </w:style>
  <w:style w:type="table" w:customStyle="1" w:styleId="Kolorowasiatka1">
    <w:name w:val="Kolorowa siatka1"/>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D4692B"/>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D4692B"/>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D4692B"/>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D4692B"/>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D4692B"/>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D4692B"/>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D4692B"/>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D4692B"/>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D4692B"/>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D4692B"/>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D4692B"/>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D4692B"/>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D4692B"/>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D4692B"/>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customStyle="1" w:styleId="Ciemnalista1">
    <w:name w:val="Ciemna lista1"/>
    <w:basedOn w:val="Standardowy"/>
    <w:uiPriority w:val="99"/>
    <w:semiHidden/>
    <w:rsid w:val="00D4692B"/>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D4692B"/>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D4692B"/>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D4692B"/>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D4692B"/>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D4692B"/>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D4692B"/>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D4692B"/>
  </w:style>
  <w:style w:type="character" w:customStyle="1" w:styleId="DataZnak">
    <w:name w:val="Data Znak"/>
    <w:basedOn w:val="Domylnaczcionkaakapitu"/>
    <w:link w:val="Data"/>
    <w:uiPriority w:val="99"/>
    <w:semiHidden/>
    <w:rsid w:val="00D4692B"/>
    <w:rPr>
      <w:rFonts w:eastAsiaTheme="minorEastAsia"/>
      <w:sz w:val="24"/>
    </w:rPr>
  </w:style>
  <w:style w:type="paragraph" w:styleId="Podpise-mail">
    <w:name w:val="E-mail Signature"/>
    <w:basedOn w:val="Normalny"/>
    <w:link w:val="Podpise-mailZnak"/>
    <w:uiPriority w:val="99"/>
    <w:semiHidden/>
    <w:rsid w:val="00D4692B"/>
  </w:style>
  <w:style w:type="character" w:customStyle="1" w:styleId="Podpise-mailZnak">
    <w:name w:val="Podpis e-mail Znak"/>
    <w:basedOn w:val="Domylnaczcionkaakapitu"/>
    <w:link w:val="Podpise-mail"/>
    <w:uiPriority w:val="99"/>
    <w:semiHidden/>
    <w:rsid w:val="00D4692B"/>
    <w:rPr>
      <w:rFonts w:eastAsiaTheme="minorEastAsia"/>
      <w:sz w:val="24"/>
    </w:rPr>
  </w:style>
  <w:style w:type="paragraph" w:styleId="Adresnakopercie">
    <w:name w:val="envelope address"/>
    <w:basedOn w:val="Normalny"/>
    <w:uiPriority w:val="99"/>
    <w:semiHidden/>
    <w:rsid w:val="00D4692B"/>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D4692B"/>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D4692B"/>
  </w:style>
  <w:style w:type="paragraph" w:styleId="HTML-adres">
    <w:name w:val="HTML Address"/>
    <w:basedOn w:val="Normalny"/>
    <w:link w:val="HTML-adresZnak"/>
    <w:uiPriority w:val="99"/>
    <w:semiHidden/>
    <w:rsid w:val="00D4692B"/>
    <w:rPr>
      <w:i/>
      <w:iCs/>
    </w:rPr>
  </w:style>
  <w:style w:type="character" w:customStyle="1" w:styleId="HTML-adresZnak">
    <w:name w:val="HTML - adres Znak"/>
    <w:basedOn w:val="Domylnaczcionkaakapitu"/>
    <w:link w:val="HTML-adres"/>
    <w:uiPriority w:val="99"/>
    <w:semiHidden/>
    <w:rsid w:val="00D4692B"/>
    <w:rPr>
      <w:rFonts w:eastAsiaTheme="minorEastAsia"/>
      <w:i/>
      <w:iCs/>
      <w:sz w:val="24"/>
    </w:rPr>
  </w:style>
  <w:style w:type="character" w:styleId="HTML-cytat">
    <w:name w:val="HTML Cite"/>
    <w:basedOn w:val="Domylnaczcionkaakapitu"/>
    <w:uiPriority w:val="99"/>
    <w:semiHidden/>
    <w:rsid w:val="00D4692B"/>
    <w:rPr>
      <w:i/>
      <w:iCs/>
    </w:rPr>
  </w:style>
  <w:style w:type="character" w:styleId="HTML-kod">
    <w:name w:val="HTML Code"/>
    <w:basedOn w:val="Domylnaczcionkaakapitu"/>
    <w:uiPriority w:val="99"/>
    <w:semiHidden/>
    <w:rsid w:val="00D4692B"/>
    <w:rPr>
      <w:rFonts w:ascii="Consolas" w:hAnsi="Consolas" w:cs="Consolas"/>
      <w:sz w:val="20"/>
      <w:szCs w:val="20"/>
    </w:rPr>
  </w:style>
  <w:style w:type="character" w:styleId="HTML-definicja">
    <w:name w:val="HTML Definition"/>
    <w:basedOn w:val="Domylnaczcionkaakapitu"/>
    <w:uiPriority w:val="99"/>
    <w:semiHidden/>
    <w:rsid w:val="00D4692B"/>
    <w:rPr>
      <w:i/>
      <w:iCs/>
    </w:rPr>
  </w:style>
  <w:style w:type="character" w:styleId="HTML-klawiatura">
    <w:name w:val="HTML Keyboard"/>
    <w:basedOn w:val="Domylnaczcionkaakapitu"/>
    <w:uiPriority w:val="99"/>
    <w:semiHidden/>
    <w:rsid w:val="00D4692B"/>
    <w:rPr>
      <w:rFonts w:ascii="Consolas" w:hAnsi="Consolas" w:cs="Consolas"/>
      <w:sz w:val="20"/>
      <w:szCs w:val="20"/>
    </w:rPr>
  </w:style>
  <w:style w:type="paragraph" w:styleId="HTML-wstpniesformatowany">
    <w:name w:val="HTML Preformatted"/>
    <w:basedOn w:val="Normalny"/>
    <w:link w:val="HTML-wstpniesformatowanyZnak"/>
    <w:uiPriority w:val="99"/>
    <w:semiHidden/>
    <w:rsid w:val="00D4692B"/>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4692B"/>
    <w:rPr>
      <w:rFonts w:ascii="Consolas" w:eastAsiaTheme="minorEastAsia" w:hAnsi="Consolas" w:cs="Consolas"/>
      <w:sz w:val="20"/>
      <w:szCs w:val="20"/>
    </w:rPr>
  </w:style>
  <w:style w:type="character" w:styleId="HTML-przykad">
    <w:name w:val="HTML Sample"/>
    <w:basedOn w:val="Domylnaczcionkaakapitu"/>
    <w:uiPriority w:val="99"/>
    <w:semiHidden/>
    <w:rsid w:val="00D4692B"/>
    <w:rPr>
      <w:rFonts w:ascii="Consolas" w:hAnsi="Consolas" w:cs="Consolas"/>
      <w:sz w:val="24"/>
      <w:szCs w:val="24"/>
    </w:rPr>
  </w:style>
  <w:style w:type="character" w:styleId="HTML-staaszeroko">
    <w:name w:val="HTML Typewriter"/>
    <w:basedOn w:val="Domylnaczcionkaakapitu"/>
    <w:uiPriority w:val="99"/>
    <w:semiHidden/>
    <w:rsid w:val="00D4692B"/>
    <w:rPr>
      <w:rFonts w:ascii="Consolas" w:hAnsi="Consolas" w:cs="Consolas"/>
      <w:sz w:val="20"/>
      <w:szCs w:val="20"/>
    </w:rPr>
  </w:style>
  <w:style w:type="character" w:styleId="HTML-zmienna">
    <w:name w:val="HTML Variable"/>
    <w:basedOn w:val="Domylnaczcionkaakapitu"/>
    <w:uiPriority w:val="99"/>
    <w:semiHidden/>
    <w:rsid w:val="00D4692B"/>
    <w:rPr>
      <w:i/>
      <w:iCs/>
    </w:rPr>
  </w:style>
  <w:style w:type="paragraph" w:styleId="Indeks1">
    <w:name w:val="index 1"/>
    <w:basedOn w:val="Normalny"/>
    <w:next w:val="Normalny"/>
    <w:autoRedefine/>
    <w:uiPriority w:val="99"/>
    <w:semiHidden/>
    <w:rsid w:val="00D4692B"/>
    <w:pPr>
      <w:ind w:left="240" w:hanging="240"/>
    </w:pPr>
  </w:style>
  <w:style w:type="paragraph" w:styleId="Indeks2">
    <w:name w:val="index 2"/>
    <w:basedOn w:val="Normalny"/>
    <w:next w:val="Normalny"/>
    <w:autoRedefine/>
    <w:uiPriority w:val="99"/>
    <w:semiHidden/>
    <w:rsid w:val="00D4692B"/>
    <w:pPr>
      <w:ind w:left="480" w:hanging="240"/>
    </w:pPr>
  </w:style>
  <w:style w:type="paragraph" w:styleId="Indeks3">
    <w:name w:val="index 3"/>
    <w:basedOn w:val="Normalny"/>
    <w:next w:val="Normalny"/>
    <w:autoRedefine/>
    <w:uiPriority w:val="99"/>
    <w:semiHidden/>
    <w:rsid w:val="00D4692B"/>
    <w:pPr>
      <w:ind w:left="720" w:hanging="240"/>
    </w:pPr>
  </w:style>
  <w:style w:type="paragraph" w:styleId="Indeks4">
    <w:name w:val="index 4"/>
    <w:basedOn w:val="Normalny"/>
    <w:next w:val="Normalny"/>
    <w:autoRedefine/>
    <w:uiPriority w:val="99"/>
    <w:semiHidden/>
    <w:rsid w:val="00D4692B"/>
    <w:pPr>
      <w:ind w:left="960" w:hanging="240"/>
    </w:pPr>
  </w:style>
  <w:style w:type="paragraph" w:styleId="Indeks5">
    <w:name w:val="index 5"/>
    <w:basedOn w:val="Normalny"/>
    <w:next w:val="Normalny"/>
    <w:autoRedefine/>
    <w:uiPriority w:val="99"/>
    <w:semiHidden/>
    <w:rsid w:val="00D4692B"/>
    <w:pPr>
      <w:ind w:left="1200" w:hanging="240"/>
    </w:pPr>
  </w:style>
  <w:style w:type="paragraph" w:styleId="Indeks6">
    <w:name w:val="index 6"/>
    <w:basedOn w:val="Normalny"/>
    <w:next w:val="Normalny"/>
    <w:autoRedefine/>
    <w:uiPriority w:val="99"/>
    <w:semiHidden/>
    <w:rsid w:val="00D4692B"/>
    <w:pPr>
      <w:ind w:left="1440" w:hanging="240"/>
    </w:pPr>
  </w:style>
  <w:style w:type="paragraph" w:styleId="Indeks7">
    <w:name w:val="index 7"/>
    <w:basedOn w:val="Normalny"/>
    <w:next w:val="Normalny"/>
    <w:autoRedefine/>
    <w:uiPriority w:val="99"/>
    <w:semiHidden/>
    <w:rsid w:val="00D4692B"/>
    <w:pPr>
      <w:ind w:left="1680" w:hanging="240"/>
    </w:pPr>
  </w:style>
  <w:style w:type="paragraph" w:styleId="Indeks8">
    <w:name w:val="index 8"/>
    <w:basedOn w:val="Normalny"/>
    <w:next w:val="Normalny"/>
    <w:autoRedefine/>
    <w:uiPriority w:val="99"/>
    <w:semiHidden/>
    <w:rsid w:val="00D4692B"/>
    <w:pPr>
      <w:ind w:left="1920" w:hanging="240"/>
    </w:pPr>
  </w:style>
  <w:style w:type="paragraph" w:styleId="Indeks9">
    <w:name w:val="index 9"/>
    <w:basedOn w:val="Normalny"/>
    <w:next w:val="Normalny"/>
    <w:autoRedefine/>
    <w:uiPriority w:val="99"/>
    <w:semiHidden/>
    <w:rsid w:val="00D4692B"/>
    <w:pPr>
      <w:ind w:left="2160" w:hanging="240"/>
    </w:pPr>
  </w:style>
  <w:style w:type="paragraph" w:styleId="Nagwekindeksu">
    <w:name w:val="index heading"/>
    <w:basedOn w:val="Normalny"/>
    <w:next w:val="Indeks1"/>
    <w:uiPriority w:val="99"/>
    <w:semiHidden/>
    <w:rsid w:val="00D4692B"/>
    <w:rPr>
      <w:rFonts w:asciiTheme="majorHAnsi" w:eastAsiaTheme="majorEastAsia" w:hAnsiTheme="majorHAnsi" w:cstheme="majorBidi"/>
      <w:b/>
      <w:bCs/>
    </w:rPr>
  </w:style>
  <w:style w:type="table" w:customStyle="1" w:styleId="Jasnasiatka1">
    <w:name w:val="Jasna siatka1"/>
    <w:basedOn w:val="Standardowy"/>
    <w:uiPriority w:val="99"/>
    <w:semiHidden/>
    <w:rsid w:val="00D4692B"/>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D4692B"/>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D4692B"/>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D4692B"/>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D4692B"/>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D4692B"/>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D4692B"/>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D4692B"/>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D4692B"/>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D4692B"/>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D4692B"/>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D4692B"/>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D4692B"/>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D4692B"/>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D4692B"/>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D4692B"/>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D4692B"/>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D4692B"/>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D4692B"/>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D4692B"/>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D4692B"/>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D4692B"/>
  </w:style>
  <w:style w:type="paragraph" w:styleId="Lista">
    <w:name w:val="List"/>
    <w:basedOn w:val="Normalny"/>
    <w:uiPriority w:val="99"/>
    <w:semiHidden/>
    <w:rsid w:val="00D4692B"/>
    <w:pPr>
      <w:ind w:left="283" w:hanging="283"/>
      <w:contextualSpacing/>
    </w:pPr>
  </w:style>
  <w:style w:type="paragraph" w:styleId="Lista2">
    <w:name w:val="List 2"/>
    <w:basedOn w:val="Normalny"/>
    <w:uiPriority w:val="99"/>
    <w:semiHidden/>
    <w:rsid w:val="00D4692B"/>
    <w:pPr>
      <w:ind w:left="566" w:hanging="283"/>
      <w:contextualSpacing/>
    </w:pPr>
  </w:style>
  <w:style w:type="paragraph" w:styleId="Lista3">
    <w:name w:val="List 3"/>
    <w:basedOn w:val="Normalny"/>
    <w:uiPriority w:val="99"/>
    <w:semiHidden/>
    <w:rsid w:val="00D4692B"/>
    <w:pPr>
      <w:ind w:left="849" w:hanging="283"/>
      <w:contextualSpacing/>
    </w:pPr>
  </w:style>
  <w:style w:type="paragraph" w:styleId="Lista4">
    <w:name w:val="List 4"/>
    <w:basedOn w:val="Normalny"/>
    <w:uiPriority w:val="99"/>
    <w:semiHidden/>
    <w:rsid w:val="00D4692B"/>
    <w:pPr>
      <w:ind w:left="1132" w:hanging="283"/>
      <w:contextualSpacing/>
    </w:pPr>
  </w:style>
  <w:style w:type="paragraph" w:styleId="Lista5">
    <w:name w:val="List 5"/>
    <w:basedOn w:val="Normalny"/>
    <w:uiPriority w:val="99"/>
    <w:semiHidden/>
    <w:rsid w:val="00D4692B"/>
    <w:pPr>
      <w:ind w:left="1415" w:hanging="283"/>
      <w:contextualSpacing/>
    </w:pPr>
  </w:style>
  <w:style w:type="paragraph" w:styleId="Listapunktowana2">
    <w:name w:val="List Bullet 2"/>
    <w:basedOn w:val="Normalny"/>
    <w:uiPriority w:val="99"/>
    <w:semiHidden/>
    <w:rsid w:val="00D4692B"/>
    <w:pPr>
      <w:numPr>
        <w:numId w:val="1"/>
      </w:numPr>
      <w:contextualSpacing/>
    </w:pPr>
  </w:style>
  <w:style w:type="paragraph" w:styleId="Listapunktowana3">
    <w:name w:val="List Bullet 3"/>
    <w:basedOn w:val="Normalny"/>
    <w:uiPriority w:val="99"/>
    <w:semiHidden/>
    <w:rsid w:val="00D4692B"/>
    <w:pPr>
      <w:numPr>
        <w:numId w:val="2"/>
      </w:numPr>
      <w:contextualSpacing/>
    </w:pPr>
  </w:style>
  <w:style w:type="paragraph" w:styleId="Listapunktowana4">
    <w:name w:val="List Bullet 4"/>
    <w:basedOn w:val="Normalny"/>
    <w:uiPriority w:val="99"/>
    <w:semiHidden/>
    <w:rsid w:val="00D4692B"/>
    <w:pPr>
      <w:numPr>
        <w:numId w:val="8"/>
      </w:numPr>
      <w:contextualSpacing/>
    </w:pPr>
  </w:style>
  <w:style w:type="paragraph" w:styleId="Listapunktowana5">
    <w:name w:val="List Bullet 5"/>
    <w:basedOn w:val="Normalny"/>
    <w:uiPriority w:val="99"/>
    <w:semiHidden/>
    <w:rsid w:val="00D4692B"/>
    <w:pPr>
      <w:numPr>
        <w:numId w:val="3"/>
      </w:numPr>
      <w:contextualSpacing/>
    </w:pPr>
  </w:style>
  <w:style w:type="paragraph" w:styleId="Lista-kontynuacja">
    <w:name w:val="List Continue"/>
    <w:basedOn w:val="Normalny"/>
    <w:uiPriority w:val="99"/>
    <w:semiHidden/>
    <w:rsid w:val="00D4692B"/>
    <w:pPr>
      <w:spacing w:after="120"/>
      <w:ind w:left="283"/>
      <w:contextualSpacing/>
    </w:pPr>
  </w:style>
  <w:style w:type="paragraph" w:styleId="Lista-kontynuacja2">
    <w:name w:val="List Continue 2"/>
    <w:basedOn w:val="Normalny"/>
    <w:uiPriority w:val="99"/>
    <w:semiHidden/>
    <w:rsid w:val="00D4692B"/>
    <w:pPr>
      <w:spacing w:after="120"/>
      <w:ind w:left="566"/>
      <w:contextualSpacing/>
    </w:pPr>
  </w:style>
  <w:style w:type="paragraph" w:styleId="Lista-kontynuacja3">
    <w:name w:val="List Continue 3"/>
    <w:basedOn w:val="Normalny"/>
    <w:uiPriority w:val="99"/>
    <w:semiHidden/>
    <w:rsid w:val="00D4692B"/>
    <w:pPr>
      <w:spacing w:after="120"/>
      <w:ind w:left="849"/>
      <w:contextualSpacing/>
    </w:pPr>
  </w:style>
  <w:style w:type="paragraph" w:styleId="Lista-kontynuacja4">
    <w:name w:val="List Continue 4"/>
    <w:basedOn w:val="Normalny"/>
    <w:uiPriority w:val="99"/>
    <w:semiHidden/>
    <w:rsid w:val="00D4692B"/>
    <w:pPr>
      <w:spacing w:after="120"/>
      <w:ind w:left="1132"/>
      <w:contextualSpacing/>
    </w:pPr>
  </w:style>
  <w:style w:type="paragraph" w:styleId="Lista-kontynuacja5">
    <w:name w:val="List Continue 5"/>
    <w:basedOn w:val="Normalny"/>
    <w:uiPriority w:val="99"/>
    <w:semiHidden/>
    <w:rsid w:val="00D4692B"/>
    <w:pPr>
      <w:spacing w:after="120"/>
      <w:ind w:left="1415"/>
      <w:contextualSpacing/>
    </w:pPr>
  </w:style>
  <w:style w:type="paragraph" w:styleId="Listanumerowana">
    <w:name w:val="List Number"/>
    <w:basedOn w:val="Normalny"/>
    <w:uiPriority w:val="99"/>
    <w:semiHidden/>
    <w:rsid w:val="00D4692B"/>
    <w:pPr>
      <w:tabs>
        <w:tab w:val="num" w:pos="360"/>
      </w:tabs>
      <w:ind w:left="360" w:hanging="360"/>
      <w:contextualSpacing/>
    </w:pPr>
  </w:style>
  <w:style w:type="paragraph" w:styleId="Listanumerowana2">
    <w:name w:val="List Number 2"/>
    <w:basedOn w:val="Normalny"/>
    <w:uiPriority w:val="99"/>
    <w:semiHidden/>
    <w:rsid w:val="00D4692B"/>
    <w:pPr>
      <w:numPr>
        <w:numId w:val="9"/>
      </w:numPr>
      <w:contextualSpacing/>
    </w:pPr>
  </w:style>
  <w:style w:type="paragraph" w:styleId="Listanumerowana3">
    <w:name w:val="List Number 3"/>
    <w:basedOn w:val="Normalny"/>
    <w:uiPriority w:val="99"/>
    <w:semiHidden/>
    <w:rsid w:val="00D4692B"/>
    <w:pPr>
      <w:numPr>
        <w:numId w:val="10"/>
      </w:numPr>
      <w:contextualSpacing/>
    </w:pPr>
  </w:style>
  <w:style w:type="paragraph" w:styleId="Listanumerowana4">
    <w:name w:val="List Number 4"/>
    <w:basedOn w:val="Normalny"/>
    <w:uiPriority w:val="99"/>
    <w:semiHidden/>
    <w:rsid w:val="00D4692B"/>
    <w:pPr>
      <w:numPr>
        <w:numId w:val="11"/>
      </w:numPr>
      <w:contextualSpacing/>
    </w:pPr>
  </w:style>
  <w:style w:type="paragraph" w:styleId="Listanumerowana5">
    <w:name w:val="List Number 5"/>
    <w:basedOn w:val="Normalny"/>
    <w:uiPriority w:val="99"/>
    <w:semiHidden/>
    <w:rsid w:val="00D4692B"/>
    <w:pPr>
      <w:numPr>
        <w:numId w:val="12"/>
      </w:numPr>
      <w:contextualSpacing/>
    </w:pPr>
  </w:style>
  <w:style w:type="paragraph" w:styleId="Tekstmakra">
    <w:name w:val="macro"/>
    <w:link w:val="TekstmakraZnak"/>
    <w:uiPriority w:val="99"/>
    <w:semiHidden/>
    <w:rsid w:val="00D4692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D4692B"/>
    <w:rPr>
      <w:rFonts w:ascii="Consolas" w:hAnsi="Consolas" w:cs="Consolas"/>
      <w:sz w:val="20"/>
      <w:szCs w:val="20"/>
      <w:lang w:val="en-GB" w:eastAsia="fr-FR"/>
    </w:rPr>
  </w:style>
  <w:style w:type="table" w:customStyle="1" w:styleId="redniasiatka11">
    <w:name w:val="Średnia siatka 11"/>
    <w:basedOn w:val="Standardowy"/>
    <w:uiPriority w:val="99"/>
    <w:semiHidden/>
    <w:rsid w:val="00D4692B"/>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D4692B"/>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D4692B"/>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D4692B"/>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D4692B"/>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D4692B"/>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D4692B"/>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D4692B"/>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D4692B"/>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D4692B"/>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D4692B"/>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D4692B"/>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D4692B"/>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D4692B"/>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D4692B"/>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D4692B"/>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D4692B"/>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D4692B"/>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D4692B"/>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D4692B"/>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D4692B"/>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D469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D4692B"/>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D4692B"/>
    <w:rPr>
      <w:rFonts w:ascii="Times New Roman" w:hAnsi="Times New Roman" w:cs="Times New Roman"/>
      <w:szCs w:val="24"/>
    </w:rPr>
  </w:style>
  <w:style w:type="paragraph" w:styleId="Wcicienormalne">
    <w:name w:val="Normal Indent"/>
    <w:basedOn w:val="Normalny"/>
    <w:uiPriority w:val="99"/>
    <w:semiHidden/>
    <w:rsid w:val="00D4692B"/>
    <w:pPr>
      <w:ind w:left="720"/>
    </w:pPr>
  </w:style>
  <w:style w:type="paragraph" w:styleId="Nagweknotatki">
    <w:name w:val="Note Heading"/>
    <w:basedOn w:val="Normalny"/>
    <w:next w:val="Normalny"/>
    <w:link w:val="NagweknotatkiZnak"/>
    <w:uiPriority w:val="99"/>
    <w:semiHidden/>
    <w:rsid w:val="00D4692B"/>
  </w:style>
  <w:style w:type="character" w:customStyle="1" w:styleId="NagweknotatkiZnak">
    <w:name w:val="Nagłówek notatki Znak"/>
    <w:basedOn w:val="Domylnaczcionkaakapitu"/>
    <w:link w:val="Nagweknotatki"/>
    <w:uiPriority w:val="99"/>
    <w:semiHidden/>
    <w:rsid w:val="00D4692B"/>
    <w:rPr>
      <w:rFonts w:eastAsiaTheme="minorEastAsia"/>
      <w:sz w:val="24"/>
    </w:rPr>
  </w:style>
  <w:style w:type="character" w:styleId="Tekstzastpczy">
    <w:name w:val="Placeholder Text"/>
    <w:basedOn w:val="Domylnaczcionkaakapitu"/>
    <w:uiPriority w:val="99"/>
    <w:semiHidden/>
    <w:rsid w:val="00D4692B"/>
    <w:rPr>
      <w:color w:val="808080"/>
    </w:rPr>
  </w:style>
  <w:style w:type="paragraph" w:styleId="Zwykytekst">
    <w:name w:val="Plain Text"/>
    <w:basedOn w:val="Normalny"/>
    <w:link w:val="ZwykytekstZnak"/>
    <w:uiPriority w:val="99"/>
    <w:semiHidden/>
    <w:rsid w:val="00D4692B"/>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D4692B"/>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D4692B"/>
  </w:style>
  <w:style w:type="character" w:customStyle="1" w:styleId="ZwrotgrzecznociowyZnak">
    <w:name w:val="Zwrot grzecznościowy Znak"/>
    <w:basedOn w:val="Domylnaczcionkaakapitu"/>
    <w:link w:val="Zwrotgrzecznociowy"/>
    <w:uiPriority w:val="99"/>
    <w:semiHidden/>
    <w:rsid w:val="00D4692B"/>
    <w:rPr>
      <w:rFonts w:eastAsiaTheme="minorEastAsia"/>
      <w:sz w:val="24"/>
    </w:rPr>
  </w:style>
  <w:style w:type="paragraph" w:styleId="Podpis">
    <w:name w:val="Signature"/>
    <w:basedOn w:val="Normalny"/>
    <w:link w:val="PodpisZnak"/>
    <w:uiPriority w:val="99"/>
    <w:semiHidden/>
    <w:rsid w:val="00D4692B"/>
    <w:pPr>
      <w:ind w:left="4252"/>
    </w:pPr>
  </w:style>
  <w:style w:type="character" w:customStyle="1" w:styleId="PodpisZnak">
    <w:name w:val="Podpis Znak"/>
    <w:basedOn w:val="Domylnaczcionkaakapitu"/>
    <w:link w:val="Podpis"/>
    <w:uiPriority w:val="99"/>
    <w:semiHidden/>
    <w:rsid w:val="00D4692B"/>
    <w:rPr>
      <w:rFonts w:eastAsiaTheme="minorEastAsia"/>
      <w:sz w:val="24"/>
    </w:rPr>
  </w:style>
  <w:style w:type="table" w:styleId="Tabela-Efekty3W1">
    <w:name w:val="Table 3D effects 1"/>
    <w:basedOn w:val="Standardowy"/>
    <w:uiPriority w:val="99"/>
    <w:semiHidden/>
    <w:rsid w:val="00D4692B"/>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D4692B"/>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D4692B"/>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D4692B"/>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D4692B"/>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D4692B"/>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D4692B"/>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D4692B"/>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D4692B"/>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D4692B"/>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D4692B"/>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D4692B"/>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D4692B"/>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D4692B"/>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D4692B"/>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D4692B"/>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D4692B"/>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D4692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D4692B"/>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D4692B"/>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D4692B"/>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D4692B"/>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D4692B"/>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D4692B"/>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D4692B"/>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D4692B"/>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D4692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D4692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D4692B"/>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D4692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D4692B"/>
    <w:pPr>
      <w:ind w:left="240" w:hanging="240"/>
    </w:pPr>
  </w:style>
  <w:style w:type="paragraph" w:styleId="Spisilustracji">
    <w:name w:val="table of figures"/>
    <w:basedOn w:val="Normalny"/>
    <w:next w:val="Normalny"/>
    <w:uiPriority w:val="99"/>
    <w:semiHidden/>
    <w:rsid w:val="00D4692B"/>
  </w:style>
  <w:style w:type="table" w:styleId="Tabela-Profesjonalny">
    <w:name w:val="Table Professional"/>
    <w:basedOn w:val="Standardowy"/>
    <w:uiPriority w:val="99"/>
    <w:semiHidden/>
    <w:rsid w:val="00D4692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D4692B"/>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D4692B"/>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D4692B"/>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D4692B"/>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D4692B"/>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D4692B"/>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D4692B"/>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D4692B"/>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D4692B"/>
    <w:pPr>
      <w:spacing w:after="100"/>
      <w:ind w:left="1200"/>
    </w:pPr>
  </w:style>
  <w:style w:type="paragraph" w:styleId="Spistreci7">
    <w:name w:val="toc 7"/>
    <w:basedOn w:val="Normalny"/>
    <w:next w:val="Normalny"/>
    <w:autoRedefine/>
    <w:uiPriority w:val="99"/>
    <w:semiHidden/>
    <w:rsid w:val="00D4692B"/>
    <w:pPr>
      <w:spacing w:after="100"/>
      <w:ind w:left="1440"/>
    </w:pPr>
  </w:style>
  <w:style w:type="paragraph" w:styleId="Spistreci8">
    <w:name w:val="toc 8"/>
    <w:basedOn w:val="Normalny"/>
    <w:next w:val="Normalny"/>
    <w:autoRedefine/>
    <w:uiPriority w:val="99"/>
    <w:semiHidden/>
    <w:rsid w:val="00D4692B"/>
    <w:pPr>
      <w:spacing w:after="100"/>
      <w:ind w:left="1680"/>
    </w:pPr>
  </w:style>
  <w:style w:type="paragraph" w:styleId="Spistreci9">
    <w:name w:val="toc 9"/>
    <w:basedOn w:val="Normalny"/>
    <w:next w:val="Normalny"/>
    <w:autoRedefine/>
    <w:uiPriority w:val="99"/>
    <w:semiHidden/>
    <w:rsid w:val="00D4692B"/>
    <w:pPr>
      <w:spacing w:after="100"/>
      <w:ind w:left="1920"/>
    </w:pPr>
  </w:style>
  <w:style w:type="character" w:customStyle="1" w:styleId="ECHRParaChar">
    <w:name w:val="ECHR_Para Char"/>
    <w:aliases w:val="Ju_Para Char"/>
    <w:link w:val="ECHRPara"/>
    <w:uiPriority w:val="12"/>
    <w:rsid w:val="00A220C6"/>
    <w:rPr>
      <w:rFonts w:eastAsiaTheme="minorEastAsia"/>
      <w:sz w:val="24"/>
    </w:rPr>
  </w:style>
  <w:style w:type="character" w:customStyle="1" w:styleId="JuParaCar">
    <w:name w:val="Ju_Para Car"/>
    <w:uiPriority w:val="12"/>
    <w:rsid w:val="00A220C6"/>
    <w:rPr>
      <w:rFonts w:eastAsiaTheme="minorEastAsia"/>
      <w:sz w:val="24"/>
    </w:rPr>
  </w:style>
  <w:style w:type="character" w:customStyle="1" w:styleId="JuJudgesChar">
    <w:name w:val="Ju_Judges Char"/>
    <w:link w:val="ECHRDecisionBody"/>
    <w:uiPriority w:val="11"/>
    <w:locked/>
    <w:rsid w:val="00A220C6"/>
    <w:rPr>
      <w:rFonts w:eastAsiaTheme="minorEastAsia"/>
      <w:sz w:val="24"/>
    </w:rPr>
  </w:style>
  <w:style w:type="paragraph" w:customStyle="1" w:styleId="ECHRParaSpaced">
    <w:name w:val="ECHR_Para_Spaced"/>
    <w:aliases w:val="Para_Spaced"/>
    <w:basedOn w:val="Normalny"/>
    <w:uiPriority w:val="5"/>
    <w:qFormat/>
    <w:rsid w:val="00B413BF"/>
    <w:pPr>
      <w:spacing w:before="120" w:after="120"/>
    </w:pPr>
    <w:rPr>
      <w:rFonts w:eastAsiaTheme="minorHAnsi"/>
      <w:sz w:val="22"/>
    </w:rPr>
  </w:style>
  <w:style w:type="paragraph" w:customStyle="1" w:styleId="JuListi">
    <w:name w:val="Ju_List_i"/>
    <w:basedOn w:val="Normalny"/>
    <w:next w:val="JuLista"/>
    <w:uiPriority w:val="28"/>
    <w:qFormat/>
    <w:rsid w:val="00171A6F"/>
    <w:pPr>
      <w:ind w:left="794"/>
    </w:pPr>
  </w:style>
  <w:style w:type="paragraph" w:customStyle="1" w:styleId="OpiHa0">
    <w:name w:val="Opi_H_a"/>
    <w:basedOn w:val="ECHRHeading3"/>
    <w:uiPriority w:val="43"/>
    <w:semiHidden/>
    <w:qFormat/>
    <w:rsid w:val="00171A6F"/>
    <w:pPr>
      <w:ind w:left="833" w:hanging="357"/>
      <w:outlineLvl w:val="3"/>
    </w:pPr>
    <w:rPr>
      <w:b/>
      <w:i w:val="0"/>
      <w:sz w:val="20"/>
    </w:rPr>
  </w:style>
  <w:style w:type="paragraph" w:customStyle="1" w:styleId="OpiHi">
    <w:name w:val="Opi_H_i"/>
    <w:basedOn w:val="ECHRHeading4"/>
    <w:uiPriority w:val="44"/>
    <w:semiHidden/>
    <w:qFormat/>
    <w:rsid w:val="00171A6F"/>
    <w:pPr>
      <w:ind w:left="1037" w:hanging="357"/>
      <w:outlineLvl w:val="4"/>
    </w:pPr>
    <w:rPr>
      <w:b w:val="0"/>
      <w:i/>
    </w:rPr>
  </w:style>
  <w:style w:type="paragraph" w:customStyle="1" w:styleId="DummyStyle">
    <w:name w:val="Dummy_Style"/>
    <w:basedOn w:val="Normalny"/>
    <w:semiHidden/>
    <w:qFormat/>
    <w:rsid w:val="00171A6F"/>
    <w:rPr>
      <w:color w:val="00B050"/>
      <w:lang w:bidi="en-US"/>
    </w:rPr>
  </w:style>
  <w:style w:type="paragraph" w:customStyle="1" w:styleId="ECHRFooter">
    <w:name w:val="ECHR_Footer"/>
    <w:aliases w:val="Footer_ECHR"/>
    <w:basedOn w:val="Stopka"/>
    <w:uiPriority w:val="57"/>
    <w:semiHidden/>
    <w:rsid w:val="00171A6F"/>
    <w:pPr>
      <w:jc w:val="left"/>
    </w:pPr>
    <w:rPr>
      <w:sz w:val="8"/>
    </w:rPr>
  </w:style>
  <w:style w:type="paragraph" w:customStyle="1" w:styleId="ECHRFooterLine">
    <w:name w:val="ECHR_Footer_Line"/>
    <w:aliases w:val="Footer_Line"/>
    <w:basedOn w:val="Normalny"/>
    <w:next w:val="ECHRFooter"/>
    <w:uiPriority w:val="57"/>
    <w:semiHidden/>
    <w:rsid w:val="00171A6F"/>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ny"/>
    <w:next w:val="ECHRPara"/>
    <w:uiPriority w:val="8"/>
    <w:qFormat/>
    <w:rsid w:val="00171A6F"/>
    <w:pPr>
      <w:spacing w:after="240"/>
      <w:jc w:val="center"/>
      <w:outlineLvl w:val="0"/>
    </w:pPr>
    <w:rPr>
      <w:rFonts w:asciiTheme="majorHAnsi" w:hAnsiTheme="majorHAnsi"/>
    </w:rPr>
  </w:style>
  <w:style w:type="character" w:customStyle="1" w:styleId="shorttext">
    <w:name w:val="short_text"/>
    <w:basedOn w:val="Domylnaczcionkaakapitu"/>
    <w:rsid w:val="007A337C"/>
  </w:style>
  <w:style w:type="paragraph" w:customStyle="1" w:styleId="Standard">
    <w:name w:val="Standard"/>
    <w:rsid w:val="00F76D75"/>
    <w:pPr>
      <w:widowControl w:val="0"/>
      <w:suppressAutoHyphens/>
      <w:autoSpaceDN w:val="0"/>
      <w:textAlignment w:val="baseline"/>
    </w:pPr>
    <w:rPr>
      <w:rFonts w:ascii="Times New Roman" w:eastAsia="SimSun" w:hAnsi="Times New Roman" w:cs="Mangal"/>
      <w:kern w:val="3"/>
      <w:sz w:val="24"/>
      <w:szCs w:val="24"/>
      <w:lang w:val="pl-PL" w:eastAsia="zh-CN" w:bidi="hi-IN"/>
    </w:rPr>
  </w:style>
  <w:style w:type="paragraph" w:customStyle="1" w:styleId="Textbody">
    <w:name w:val="Text body"/>
    <w:basedOn w:val="Standard"/>
    <w:rsid w:val="00F76D75"/>
    <w:pPr>
      <w:spacing w:after="120"/>
    </w:pPr>
  </w:style>
  <w:style w:type="character" w:customStyle="1" w:styleId="s4f807e54">
    <w:name w:val="s4f807e54"/>
    <w:basedOn w:val="Domylnaczcionkaakapitu"/>
    <w:uiPriority w:val="99"/>
    <w:rsid w:val="00482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caption"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FollowedHyperlink" w:uiPriority="0"/>
    <w:lsdException w:name="Strong" w:semiHidden="0" w:unhideWhenUsed="0" w:qFormat="1"/>
    <w:lsdException w:name="Emphasis" w:semiHidden="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rsid w:val="00171A6F"/>
    <w:pPr>
      <w:jc w:val="both"/>
    </w:pPr>
    <w:rPr>
      <w:rFonts w:eastAsiaTheme="minorEastAsia"/>
      <w:sz w:val="24"/>
    </w:rPr>
  </w:style>
  <w:style w:type="paragraph" w:styleId="Nagwek1">
    <w:name w:val="heading 1"/>
    <w:basedOn w:val="Normalny"/>
    <w:next w:val="Normalny"/>
    <w:link w:val="Nagwek1Znak"/>
    <w:uiPriority w:val="99"/>
    <w:semiHidden/>
    <w:rsid w:val="00171A6F"/>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171A6F"/>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171A6F"/>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171A6F"/>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171A6F"/>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171A6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171A6F"/>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171A6F"/>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171A6F"/>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171A6F"/>
    <w:rPr>
      <w:rFonts w:ascii="Tahoma" w:hAnsi="Tahoma" w:cs="Tahoma"/>
      <w:sz w:val="16"/>
      <w:szCs w:val="16"/>
    </w:rPr>
  </w:style>
  <w:style w:type="character" w:customStyle="1" w:styleId="TekstdymkaZnak">
    <w:name w:val="Tekst dymka Znak"/>
    <w:basedOn w:val="Domylnaczcionkaakapitu"/>
    <w:link w:val="Tekstdymka"/>
    <w:uiPriority w:val="99"/>
    <w:semiHidden/>
    <w:rsid w:val="00171A6F"/>
    <w:rPr>
      <w:rFonts w:ascii="Tahoma" w:eastAsiaTheme="minorEastAsia" w:hAnsi="Tahoma" w:cs="Tahoma"/>
      <w:sz w:val="16"/>
      <w:szCs w:val="16"/>
    </w:rPr>
  </w:style>
  <w:style w:type="character" w:styleId="Tytuksiki">
    <w:name w:val="Book Title"/>
    <w:uiPriority w:val="99"/>
    <w:semiHidden/>
    <w:qFormat/>
    <w:rsid w:val="00171A6F"/>
    <w:rPr>
      <w:i/>
      <w:iCs/>
      <w:smallCaps/>
      <w:spacing w:val="5"/>
    </w:rPr>
  </w:style>
  <w:style w:type="paragraph" w:customStyle="1" w:styleId="ECHRHeader">
    <w:name w:val="ECHR_Header"/>
    <w:aliases w:val="Ju_Header"/>
    <w:basedOn w:val="Nagwek"/>
    <w:uiPriority w:val="4"/>
    <w:qFormat/>
    <w:rsid w:val="00171A6F"/>
    <w:pPr>
      <w:tabs>
        <w:tab w:val="clear" w:pos="4536"/>
        <w:tab w:val="clear" w:pos="9072"/>
        <w:tab w:val="center" w:pos="3686"/>
        <w:tab w:val="right" w:pos="7371"/>
      </w:tabs>
      <w:jc w:val="left"/>
    </w:pPr>
    <w:rPr>
      <w:sz w:val="18"/>
    </w:rPr>
  </w:style>
  <w:style w:type="paragraph" w:customStyle="1" w:styleId="OpiPara">
    <w:name w:val="Opi_Para"/>
    <w:basedOn w:val="ECHRPara"/>
    <w:uiPriority w:val="46"/>
    <w:qFormat/>
    <w:rsid w:val="00171A6F"/>
  </w:style>
  <w:style w:type="character" w:styleId="Pogrubienie">
    <w:name w:val="Strong"/>
    <w:uiPriority w:val="99"/>
    <w:semiHidden/>
    <w:qFormat/>
    <w:rsid w:val="00171A6F"/>
    <w:rPr>
      <w:b/>
      <w:bCs/>
    </w:rPr>
  </w:style>
  <w:style w:type="paragraph" w:styleId="Bezodstpw">
    <w:name w:val="No Spacing"/>
    <w:basedOn w:val="Normalny"/>
    <w:link w:val="BezodstpwZnak"/>
    <w:semiHidden/>
    <w:qFormat/>
    <w:rsid w:val="00171A6F"/>
  </w:style>
  <w:style w:type="character" w:customStyle="1" w:styleId="BezodstpwZnak">
    <w:name w:val="Bez odstępów Znak"/>
    <w:basedOn w:val="Domylnaczcionkaakapitu"/>
    <w:link w:val="Bezodstpw"/>
    <w:semiHidden/>
    <w:rsid w:val="00171A6F"/>
    <w:rPr>
      <w:rFonts w:eastAsiaTheme="minorEastAsia"/>
      <w:sz w:val="24"/>
    </w:rPr>
  </w:style>
  <w:style w:type="paragraph" w:customStyle="1" w:styleId="JuAppQuestion">
    <w:name w:val="Ju_App_Question"/>
    <w:basedOn w:val="Normalny"/>
    <w:uiPriority w:val="5"/>
    <w:qFormat/>
    <w:rsid w:val="00171A6F"/>
    <w:pPr>
      <w:numPr>
        <w:numId w:val="13"/>
      </w:numPr>
      <w:jc w:val="left"/>
    </w:pPr>
    <w:rPr>
      <w:b/>
    </w:rPr>
  </w:style>
  <w:style w:type="paragraph" w:customStyle="1" w:styleId="OpiParaSub">
    <w:name w:val="Opi_Para_Sub"/>
    <w:basedOn w:val="JuParaSub"/>
    <w:uiPriority w:val="47"/>
    <w:qFormat/>
    <w:rsid w:val="00171A6F"/>
  </w:style>
  <w:style w:type="paragraph" w:customStyle="1" w:styleId="OpiQuot">
    <w:name w:val="Opi_Quot"/>
    <w:basedOn w:val="ECHRParaQuote"/>
    <w:uiPriority w:val="48"/>
    <w:qFormat/>
    <w:rsid w:val="00171A6F"/>
  </w:style>
  <w:style w:type="paragraph" w:customStyle="1" w:styleId="JuParaSub">
    <w:name w:val="Ju_Para_Sub"/>
    <w:basedOn w:val="ECHRPara"/>
    <w:uiPriority w:val="13"/>
    <w:qFormat/>
    <w:rsid w:val="00171A6F"/>
    <w:pPr>
      <w:ind w:left="284"/>
    </w:pPr>
  </w:style>
  <w:style w:type="paragraph" w:customStyle="1" w:styleId="ECHRTitleCentre3">
    <w:name w:val="ECHR_Title_Centre_3"/>
    <w:aliases w:val="Ju_H_Article"/>
    <w:basedOn w:val="Normalny"/>
    <w:next w:val="ECHRParaQuote"/>
    <w:uiPriority w:val="27"/>
    <w:qFormat/>
    <w:rsid w:val="00171A6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Title_C_1"/>
    <w:basedOn w:val="Normalny"/>
    <w:next w:val="OpiPara"/>
    <w:uiPriority w:val="39"/>
    <w:qFormat/>
    <w:rsid w:val="00171A6F"/>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semiHidden/>
    <w:qFormat/>
    <w:rsid w:val="00171A6F"/>
  </w:style>
  <w:style w:type="paragraph" w:customStyle="1" w:styleId="JuTitle">
    <w:name w:val="Ju_Title"/>
    <w:basedOn w:val="Normalny"/>
    <w:next w:val="ECHRPara"/>
    <w:uiPriority w:val="3"/>
    <w:qFormat/>
    <w:rsid w:val="00171A6F"/>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171A6F"/>
    <w:pPr>
      <w:ind w:left="567"/>
    </w:pPr>
  </w:style>
  <w:style w:type="paragraph" w:customStyle="1" w:styleId="OpiHA">
    <w:name w:val="Opi_H_A"/>
    <w:basedOn w:val="ECHRHeading1"/>
    <w:next w:val="OpiPara"/>
    <w:uiPriority w:val="41"/>
    <w:semiHidden/>
    <w:qFormat/>
    <w:rsid w:val="00171A6F"/>
    <w:pPr>
      <w:tabs>
        <w:tab w:val="clear" w:pos="357"/>
      </w:tabs>
      <w:outlineLvl w:val="1"/>
    </w:pPr>
    <w:rPr>
      <w:b/>
    </w:rPr>
  </w:style>
  <w:style w:type="paragraph" w:customStyle="1" w:styleId="ECHRHeading4">
    <w:name w:val="ECHR_Heading_4"/>
    <w:aliases w:val="Ju_H_a"/>
    <w:basedOn w:val="Nagwek4"/>
    <w:next w:val="ECHRPara"/>
    <w:uiPriority w:val="22"/>
    <w:qFormat/>
    <w:rsid w:val="00171A6F"/>
    <w:pPr>
      <w:keepNext/>
      <w:keepLines/>
      <w:tabs>
        <w:tab w:val="left" w:pos="975"/>
      </w:tabs>
      <w:spacing w:before="240" w:after="120"/>
      <w:ind w:left="975" w:hanging="340"/>
    </w:pPr>
    <w:rPr>
      <w:i w:val="0"/>
      <w:color w:val="auto"/>
      <w:sz w:val="20"/>
    </w:rPr>
  </w:style>
  <w:style w:type="paragraph" w:styleId="Tytu">
    <w:name w:val="Title"/>
    <w:basedOn w:val="Normalny"/>
    <w:next w:val="Normalny"/>
    <w:link w:val="TytuZnak"/>
    <w:uiPriority w:val="99"/>
    <w:semiHidden/>
    <w:qFormat/>
    <w:rsid w:val="00171A6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171A6F"/>
    <w:rPr>
      <w:rFonts w:asciiTheme="majorHAnsi" w:eastAsiaTheme="majorEastAsia" w:hAnsiTheme="majorHAnsi" w:cstheme="majorBidi"/>
      <w:spacing w:val="5"/>
      <w:sz w:val="52"/>
      <w:szCs w:val="52"/>
      <w:lang w:bidi="en-US"/>
    </w:rPr>
  </w:style>
  <w:style w:type="paragraph" w:customStyle="1" w:styleId="ECHRHeading5">
    <w:name w:val="ECHR_Heading_5"/>
    <w:aliases w:val="Ju_H_i"/>
    <w:basedOn w:val="Nagwek5"/>
    <w:next w:val="ECHRPara"/>
    <w:uiPriority w:val="23"/>
    <w:qFormat/>
    <w:rsid w:val="00171A6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171A6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171A6F"/>
    <w:pPr>
      <w:keepNext/>
      <w:keepLines/>
      <w:spacing w:before="240" w:after="120"/>
      <w:ind w:left="1236"/>
    </w:pPr>
    <w:rPr>
      <w:sz w:val="20"/>
    </w:rPr>
  </w:style>
  <w:style w:type="paragraph" w:customStyle="1" w:styleId="ECHRDecisionBody">
    <w:name w:val="ECHR_Decision_Body"/>
    <w:aliases w:val="Ju_Judges"/>
    <w:basedOn w:val="Normalny"/>
    <w:link w:val="JuJudgesChar"/>
    <w:uiPriority w:val="11"/>
    <w:qFormat/>
    <w:rsid w:val="00171A6F"/>
    <w:pPr>
      <w:tabs>
        <w:tab w:val="left" w:pos="567"/>
        <w:tab w:val="left" w:pos="1134"/>
      </w:tabs>
      <w:jc w:val="left"/>
    </w:pPr>
  </w:style>
  <w:style w:type="paragraph" w:customStyle="1" w:styleId="OpiH1">
    <w:name w:val="Opi_H_1"/>
    <w:basedOn w:val="ECHRHeading2"/>
    <w:uiPriority w:val="42"/>
    <w:qFormat/>
    <w:rsid w:val="00171A6F"/>
    <w:pPr>
      <w:ind w:left="635" w:hanging="357"/>
      <w:outlineLvl w:val="2"/>
    </w:pPr>
  </w:style>
  <w:style w:type="character" w:customStyle="1" w:styleId="JUNAMES">
    <w:name w:val="JU_NAMES"/>
    <w:uiPriority w:val="17"/>
    <w:qFormat/>
    <w:rsid w:val="00171A6F"/>
    <w:rPr>
      <w:caps w:val="0"/>
      <w:smallCaps/>
    </w:rPr>
  </w:style>
  <w:style w:type="character" w:customStyle="1" w:styleId="JuITMark">
    <w:name w:val="Ju_ITMark"/>
    <w:basedOn w:val="Domylnaczcionkaakapitu"/>
    <w:uiPriority w:val="38"/>
    <w:qFormat/>
    <w:rsid w:val="00171A6F"/>
    <w:rPr>
      <w:vanish w:val="0"/>
      <w:color w:val="auto"/>
      <w:sz w:val="14"/>
    </w:rPr>
  </w:style>
  <w:style w:type="paragraph" w:customStyle="1" w:styleId="OpiTranslation">
    <w:name w:val="Opi_Translation"/>
    <w:basedOn w:val="Normalny"/>
    <w:next w:val="OpiPara"/>
    <w:uiPriority w:val="40"/>
    <w:semiHidden/>
    <w:qFormat/>
    <w:rsid w:val="00171A6F"/>
    <w:pPr>
      <w:jc w:val="center"/>
      <w:outlineLvl w:val="0"/>
    </w:pPr>
    <w:rPr>
      <w:i/>
    </w:rPr>
  </w:style>
  <w:style w:type="paragraph" w:styleId="Nagwek">
    <w:name w:val="header"/>
    <w:basedOn w:val="Normalny"/>
    <w:link w:val="NagwekZnak"/>
    <w:uiPriority w:val="99"/>
    <w:rsid w:val="00171A6F"/>
    <w:pPr>
      <w:tabs>
        <w:tab w:val="center" w:pos="4536"/>
        <w:tab w:val="right" w:pos="9072"/>
      </w:tabs>
    </w:pPr>
    <w:rPr>
      <w:rFonts w:eastAsiaTheme="minorHAnsi"/>
    </w:rPr>
  </w:style>
  <w:style w:type="character" w:customStyle="1" w:styleId="NagwekZnak">
    <w:name w:val="Nagłówek Znak"/>
    <w:basedOn w:val="Domylnaczcionkaakapitu"/>
    <w:link w:val="Nagwek"/>
    <w:uiPriority w:val="99"/>
    <w:rsid w:val="00171A6F"/>
    <w:rPr>
      <w:sz w:val="24"/>
    </w:rPr>
  </w:style>
  <w:style w:type="character" w:customStyle="1" w:styleId="Nagwek1Znak">
    <w:name w:val="Nagłówek 1 Znak"/>
    <w:basedOn w:val="Domylnaczcionkaakapitu"/>
    <w:link w:val="Nagwek1"/>
    <w:uiPriority w:val="99"/>
    <w:semiHidden/>
    <w:rsid w:val="00171A6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171A6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171A6F"/>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171A6F"/>
    <w:rPr>
      <w:rFonts w:asciiTheme="majorHAnsi" w:eastAsiaTheme="majorEastAsia" w:hAnsiTheme="majorHAnsi" w:cstheme="majorBidi"/>
      <w:b/>
      <w:bCs/>
      <w:color w:val="4D4D4D"/>
      <w:sz w:val="26"/>
      <w:szCs w:val="26"/>
    </w:rPr>
  </w:style>
  <w:style w:type="paragraph" w:customStyle="1" w:styleId="ECHRHeading3">
    <w:name w:val="ECHR_Heading_3"/>
    <w:aliases w:val="Ju_H_1."/>
    <w:basedOn w:val="Nagwek3"/>
    <w:next w:val="ECHRPara"/>
    <w:uiPriority w:val="21"/>
    <w:qFormat/>
    <w:rsid w:val="00171A6F"/>
    <w:pPr>
      <w:keepNext/>
      <w:keepLines/>
      <w:tabs>
        <w:tab w:val="left" w:pos="731"/>
      </w:tabs>
      <w:spacing w:before="240" w:after="120" w:line="240" w:lineRule="auto"/>
      <w:ind w:left="732" w:hanging="301"/>
    </w:pPr>
    <w:rPr>
      <w:b w:val="0"/>
      <w:i/>
      <w:color w:val="auto"/>
    </w:rPr>
  </w:style>
  <w:style w:type="paragraph" w:customStyle="1" w:styleId="ECHRPara">
    <w:name w:val="ECHR_Para"/>
    <w:aliases w:val="Ju_Para"/>
    <w:basedOn w:val="Normalny"/>
    <w:link w:val="ECHRParaChar"/>
    <w:uiPriority w:val="12"/>
    <w:qFormat/>
    <w:rsid w:val="00171A6F"/>
    <w:pPr>
      <w:ind w:firstLine="284"/>
    </w:pPr>
  </w:style>
  <w:style w:type="character" w:customStyle="1" w:styleId="Nagwek3Znak">
    <w:name w:val="Nagłówek 3 Znak"/>
    <w:basedOn w:val="Domylnaczcionkaakapitu"/>
    <w:link w:val="Nagwek3"/>
    <w:uiPriority w:val="99"/>
    <w:semiHidden/>
    <w:rsid w:val="00171A6F"/>
    <w:rPr>
      <w:rFonts w:asciiTheme="majorHAnsi" w:eastAsiaTheme="majorEastAsia" w:hAnsiTheme="majorHAnsi" w:cstheme="majorBidi"/>
      <w:b/>
      <w:bCs/>
      <w:color w:val="5F5F5F"/>
      <w:sz w:val="24"/>
    </w:rPr>
  </w:style>
  <w:style w:type="paragraph" w:customStyle="1" w:styleId="JuList">
    <w:name w:val="Ju_List"/>
    <w:basedOn w:val="Normalny"/>
    <w:uiPriority w:val="28"/>
    <w:qFormat/>
    <w:rsid w:val="00171A6F"/>
    <w:pPr>
      <w:ind w:left="340" w:hanging="340"/>
    </w:pPr>
  </w:style>
  <w:style w:type="paragraph" w:customStyle="1" w:styleId="JuSigned">
    <w:name w:val="Ju_Signed"/>
    <w:basedOn w:val="Normalny"/>
    <w:next w:val="JuParaLast"/>
    <w:uiPriority w:val="32"/>
    <w:qFormat/>
    <w:rsid w:val="00171A6F"/>
    <w:pPr>
      <w:tabs>
        <w:tab w:val="center" w:pos="851"/>
        <w:tab w:val="center" w:pos="6407"/>
      </w:tabs>
      <w:spacing w:before="720"/>
      <w:jc w:val="left"/>
    </w:pPr>
  </w:style>
  <w:style w:type="character" w:customStyle="1" w:styleId="Nagwek4Znak">
    <w:name w:val="Nagłówek 4 Znak"/>
    <w:basedOn w:val="Domylnaczcionkaakapitu"/>
    <w:link w:val="Nagwek4"/>
    <w:uiPriority w:val="99"/>
    <w:semiHidden/>
    <w:rsid w:val="00171A6F"/>
    <w:rPr>
      <w:rFonts w:asciiTheme="majorHAnsi" w:eastAsiaTheme="majorEastAsia" w:hAnsiTheme="majorHAnsi" w:cstheme="majorBidi"/>
      <w:b/>
      <w:bCs/>
      <w:i/>
      <w:iCs/>
      <w:color w:val="777777"/>
      <w:sz w:val="24"/>
    </w:rPr>
  </w:style>
  <w:style w:type="paragraph" w:styleId="Poprawka">
    <w:name w:val="Revision"/>
    <w:hidden/>
    <w:uiPriority w:val="99"/>
    <w:semiHidden/>
    <w:rsid w:val="008A3237"/>
    <w:rPr>
      <w:rFonts w:eastAsiaTheme="minorEastAsia"/>
      <w:sz w:val="24"/>
    </w:rPr>
  </w:style>
  <w:style w:type="character" w:customStyle="1" w:styleId="Nagwek5Znak">
    <w:name w:val="Nagłówek 5 Znak"/>
    <w:basedOn w:val="Domylnaczcionkaakapitu"/>
    <w:link w:val="Nagwek5"/>
    <w:uiPriority w:val="99"/>
    <w:semiHidden/>
    <w:rsid w:val="00171A6F"/>
    <w:rPr>
      <w:rFonts w:asciiTheme="majorHAnsi" w:eastAsiaTheme="majorEastAsia" w:hAnsiTheme="majorHAnsi" w:cstheme="majorBidi"/>
      <w:b/>
      <w:bCs/>
      <w:color w:val="808080"/>
      <w:sz w:val="24"/>
    </w:rPr>
  </w:style>
  <w:style w:type="character" w:styleId="Wyrnieniedelikatne">
    <w:name w:val="Subtle Emphasis"/>
    <w:uiPriority w:val="99"/>
    <w:semiHidden/>
    <w:qFormat/>
    <w:rsid w:val="00171A6F"/>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171A6F"/>
    <w:pPr>
      <w:keepNext/>
      <w:keepLines/>
      <w:spacing w:before="720" w:after="240"/>
      <w:outlineLvl w:val="0"/>
    </w:pPr>
    <w:rPr>
      <w:rFonts w:asciiTheme="majorHAnsi" w:hAnsiTheme="majorHAnsi"/>
      <w:sz w:val="28"/>
    </w:rPr>
  </w:style>
  <w:style w:type="character" w:styleId="Uwydatnienie">
    <w:name w:val="Emphasis"/>
    <w:uiPriority w:val="99"/>
    <w:semiHidden/>
    <w:qFormat/>
    <w:rsid w:val="00171A6F"/>
    <w:rPr>
      <w:b/>
      <w:bCs/>
      <w:i/>
      <w:iCs/>
      <w:spacing w:val="10"/>
      <w:bdr w:val="none" w:sz="0" w:space="0" w:color="auto"/>
      <w:shd w:val="clear" w:color="auto" w:fill="auto"/>
    </w:rPr>
  </w:style>
  <w:style w:type="paragraph" w:styleId="Stopka">
    <w:name w:val="footer"/>
    <w:basedOn w:val="Normalny"/>
    <w:link w:val="StopkaZnak"/>
    <w:uiPriority w:val="99"/>
    <w:rsid w:val="00171A6F"/>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99"/>
    <w:rsid w:val="00171A6F"/>
    <w:rPr>
      <w:sz w:val="24"/>
    </w:rPr>
  </w:style>
  <w:style w:type="character" w:styleId="Odwoanieprzypisudolnego">
    <w:name w:val="footnote reference"/>
    <w:basedOn w:val="Domylnaczcionkaakapitu"/>
    <w:uiPriority w:val="99"/>
    <w:semiHidden/>
    <w:rsid w:val="00171A6F"/>
    <w:rPr>
      <w:vertAlign w:val="superscript"/>
    </w:rPr>
  </w:style>
  <w:style w:type="paragraph" w:styleId="Tekstprzypisudolnego">
    <w:name w:val="footnote text"/>
    <w:basedOn w:val="Normalny"/>
    <w:link w:val="TekstprzypisudolnegoZnak"/>
    <w:uiPriority w:val="99"/>
    <w:semiHidden/>
    <w:rsid w:val="00171A6F"/>
    <w:rPr>
      <w:sz w:val="20"/>
      <w:szCs w:val="20"/>
    </w:rPr>
  </w:style>
  <w:style w:type="character" w:customStyle="1" w:styleId="TekstprzypisudolnegoZnak">
    <w:name w:val="Tekst przypisu dolnego Znak"/>
    <w:basedOn w:val="Domylnaczcionkaakapitu"/>
    <w:link w:val="Tekstprzypisudolnego"/>
    <w:uiPriority w:val="99"/>
    <w:semiHidden/>
    <w:rsid w:val="00171A6F"/>
    <w:rPr>
      <w:rFonts w:eastAsiaTheme="minorEastAsia"/>
      <w:sz w:val="20"/>
      <w:szCs w:val="20"/>
    </w:rPr>
  </w:style>
  <w:style w:type="character" w:customStyle="1" w:styleId="Nagwek6Znak">
    <w:name w:val="Nagłówek 6 Znak"/>
    <w:basedOn w:val="Domylnaczcionkaakapitu"/>
    <w:link w:val="Nagwek6"/>
    <w:uiPriority w:val="99"/>
    <w:semiHidden/>
    <w:rsid w:val="00171A6F"/>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171A6F"/>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171A6F"/>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171A6F"/>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rsid w:val="00171A6F"/>
    <w:rPr>
      <w:color w:val="0072BC" w:themeColor="hyperlink"/>
      <w:u w:val="single"/>
    </w:rPr>
  </w:style>
  <w:style w:type="character" w:styleId="Wyrnienieintensywne">
    <w:name w:val="Intense Emphasis"/>
    <w:uiPriority w:val="99"/>
    <w:semiHidden/>
    <w:qFormat/>
    <w:rsid w:val="00171A6F"/>
    <w:rPr>
      <w:b/>
      <w:bCs/>
    </w:rPr>
  </w:style>
  <w:style w:type="paragraph" w:styleId="Cytatintensywny">
    <w:name w:val="Intense Quote"/>
    <w:basedOn w:val="Normalny"/>
    <w:next w:val="Normalny"/>
    <w:link w:val="CytatintensywnyZnak"/>
    <w:uiPriority w:val="99"/>
    <w:semiHidden/>
    <w:qFormat/>
    <w:rsid w:val="00171A6F"/>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171A6F"/>
    <w:rPr>
      <w:rFonts w:eastAsiaTheme="minorEastAsia"/>
      <w:b/>
      <w:bCs/>
      <w:i/>
      <w:iCs/>
      <w:sz w:val="24"/>
      <w:lang w:bidi="en-US"/>
    </w:rPr>
  </w:style>
  <w:style w:type="character" w:styleId="Odwoanieintensywne">
    <w:name w:val="Intense Reference"/>
    <w:uiPriority w:val="99"/>
    <w:semiHidden/>
    <w:qFormat/>
    <w:rsid w:val="00171A6F"/>
    <w:rPr>
      <w:smallCaps/>
      <w:spacing w:val="5"/>
      <w:u w:val="single"/>
    </w:rPr>
  </w:style>
  <w:style w:type="paragraph" w:styleId="Akapitzlist">
    <w:name w:val="List Paragraph"/>
    <w:basedOn w:val="Normalny"/>
    <w:uiPriority w:val="99"/>
    <w:semiHidden/>
    <w:qFormat/>
    <w:rsid w:val="00171A6F"/>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171A6F"/>
    <w:pPr>
      <w:spacing w:before="200"/>
      <w:ind w:left="360" w:right="360"/>
    </w:pPr>
    <w:rPr>
      <w:i/>
      <w:iCs/>
      <w:lang w:bidi="en-US"/>
    </w:rPr>
  </w:style>
  <w:style w:type="character" w:customStyle="1" w:styleId="CytatZnak">
    <w:name w:val="Cytat Znak"/>
    <w:basedOn w:val="Domylnaczcionkaakapitu"/>
    <w:link w:val="Cytat"/>
    <w:uiPriority w:val="99"/>
    <w:semiHidden/>
    <w:rsid w:val="00171A6F"/>
    <w:rPr>
      <w:rFonts w:eastAsiaTheme="minorEastAsia"/>
      <w:i/>
      <w:iCs/>
      <w:sz w:val="24"/>
      <w:lang w:bidi="en-US"/>
    </w:rPr>
  </w:style>
  <w:style w:type="character" w:styleId="Odwoaniedelikatne">
    <w:name w:val="Subtle Reference"/>
    <w:uiPriority w:val="99"/>
    <w:semiHidden/>
    <w:qFormat/>
    <w:rsid w:val="00171A6F"/>
    <w:rPr>
      <w:smallCaps/>
    </w:rPr>
  </w:style>
  <w:style w:type="table" w:styleId="Tabela-Siatka">
    <w:name w:val="Table Grid"/>
    <w:basedOn w:val="Standardowy"/>
    <w:uiPriority w:val="59"/>
    <w:rsid w:val="00171A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rsid w:val="00171A6F"/>
    <w:pPr>
      <w:spacing w:before="120" w:after="60"/>
      <w:ind w:left="340" w:right="340" w:hanging="340"/>
    </w:pPr>
    <w:rPr>
      <w:color w:val="0D0D0D" w:themeColor="text1" w:themeTint="F2"/>
    </w:rPr>
  </w:style>
  <w:style w:type="paragraph" w:styleId="Spistreci2">
    <w:name w:val="toc 2"/>
    <w:basedOn w:val="Normalny"/>
    <w:next w:val="Normalny"/>
    <w:autoRedefine/>
    <w:uiPriority w:val="99"/>
    <w:rsid w:val="00171A6F"/>
    <w:pPr>
      <w:spacing w:after="60"/>
      <w:ind w:left="680" w:right="340" w:hanging="340"/>
    </w:pPr>
  </w:style>
  <w:style w:type="paragraph" w:styleId="Spistreci3">
    <w:name w:val="toc 3"/>
    <w:basedOn w:val="Normalny"/>
    <w:next w:val="Normalny"/>
    <w:autoRedefine/>
    <w:uiPriority w:val="99"/>
    <w:rsid w:val="00171A6F"/>
    <w:pPr>
      <w:spacing w:after="60"/>
      <w:ind w:left="1020" w:right="340" w:hanging="340"/>
    </w:pPr>
  </w:style>
  <w:style w:type="paragraph" w:styleId="Spistreci4">
    <w:name w:val="toc 4"/>
    <w:basedOn w:val="Normalny"/>
    <w:next w:val="Normalny"/>
    <w:autoRedefine/>
    <w:uiPriority w:val="99"/>
    <w:semiHidden/>
    <w:rsid w:val="00171A6F"/>
    <w:pPr>
      <w:tabs>
        <w:tab w:val="right" w:leader="dot" w:pos="9017"/>
      </w:tabs>
      <w:spacing w:after="60"/>
      <w:ind w:left="1361" w:right="340" w:hanging="340"/>
    </w:pPr>
  </w:style>
  <w:style w:type="paragraph" w:styleId="Spistreci5">
    <w:name w:val="toc 5"/>
    <w:basedOn w:val="Normalny"/>
    <w:next w:val="Normalny"/>
    <w:autoRedefine/>
    <w:uiPriority w:val="99"/>
    <w:semiHidden/>
    <w:rsid w:val="00171A6F"/>
    <w:pPr>
      <w:spacing w:after="60"/>
      <w:ind w:left="1701" w:right="340" w:hanging="340"/>
    </w:pPr>
  </w:style>
  <w:style w:type="paragraph" w:styleId="Nagwekspisutreci">
    <w:name w:val="TOC Heading"/>
    <w:basedOn w:val="Nagwek1"/>
    <w:next w:val="Normalny"/>
    <w:uiPriority w:val="99"/>
    <w:semiHidden/>
    <w:qFormat/>
    <w:rsid w:val="00171A6F"/>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171A6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171A6F"/>
    <w:pPr>
      <w:spacing w:before="120" w:after="120"/>
      <w:ind w:left="425" w:firstLine="142"/>
    </w:pPr>
    <w:rPr>
      <w:sz w:val="20"/>
    </w:r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171A6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0">
    <w:name w:val="Ju_Names"/>
    <w:rsid w:val="00D4692B"/>
    <w:rPr>
      <w:smallCaps/>
    </w:rPr>
  </w:style>
  <w:style w:type="paragraph" w:customStyle="1" w:styleId="JuParaLast">
    <w:name w:val="Ju_Para_Last"/>
    <w:basedOn w:val="Normalny"/>
    <w:next w:val="ECHRPara"/>
    <w:uiPriority w:val="30"/>
    <w:qFormat/>
    <w:rsid w:val="00171A6F"/>
    <w:pPr>
      <w:keepNext/>
      <w:keepLines/>
      <w:spacing w:before="240"/>
      <w:ind w:firstLine="284"/>
    </w:pPr>
  </w:style>
  <w:style w:type="paragraph" w:customStyle="1" w:styleId="JuCase">
    <w:name w:val="Ju_Case"/>
    <w:basedOn w:val="Normalny"/>
    <w:next w:val="ECHRPara"/>
    <w:uiPriority w:val="10"/>
    <w:rsid w:val="00171A6F"/>
    <w:pPr>
      <w:ind w:firstLine="284"/>
    </w:pPr>
    <w:rPr>
      <w:b/>
    </w:rPr>
  </w:style>
  <w:style w:type="paragraph" w:styleId="Tekstkomentarza">
    <w:name w:val="annotation text"/>
    <w:basedOn w:val="Normalny"/>
    <w:link w:val="TekstkomentarzaZnak"/>
    <w:semiHidden/>
    <w:rsid w:val="00D4692B"/>
    <w:rPr>
      <w:sz w:val="20"/>
      <w:szCs w:val="20"/>
    </w:rPr>
  </w:style>
  <w:style w:type="character" w:customStyle="1" w:styleId="TekstkomentarzaZnak">
    <w:name w:val="Tekst komentarza Znak"/>
    <w:basedOn w:val="Domylnaczcionkaakapitu"/>
    <w:link w:val="Tekstkomentarza"/>
    <w:uiPriority w:val="99"/>
    <w:semiHidden/>
    <w:rsid w:val="00D4692B"/>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D4692B"/>
    <w:rPr>
      <w:b/>
      <w:bCs/>
      <w:szCs w:val="22"/>
    </w:rPr>
  </w:style>
  <w:style w:type="character" w:customStyle="1" w:styleId="TematkomentarzaZnak">
    <w:name w:val="Temat komentarza Znak"/>
    <w:basedOn w:val="TekstkomentarzaZnak"/>
    <w:link w:val="Tematkomentarza"/>
    <w:uiPriority w:val="99"/>
    <w:semiHidden/>
    <w:rsid w:val="00D4692B"/>
    <w:rPr>
      <w:rFonts w:eastAsiaTheme="minorEastAsia"/>
      <w:b/>
      <w:bCs/>
      <w:sz w:val="20"/>
      <w:szCs w:val="20"/>
    </w:rPr>
  </w:style>
  <w:style w:type="paragraph" w:customStyle="1" w:styleId="JuCourt">
    <w:name w:val="Ju_Court"/>
    <w:basedOn w:val="Normalny"/>
    <w:next w:val="Normalny"/>
    <w:uiPriority w:val="16"/>
    <w:qFormat/>
    <w:rsid w:val="00171A6F"/>
    <w:pPr>
      <w:tabs>
        <w:tab w:val="left" w:pos="907"/>
        <w:tab w:val="left" w:pos="1701"/>
        <w:tab w:val="right" w:pos="7371"/>
      </w:tabs>
      <w:spacing w:before="240"/>
      <w:ind w:left="397" w:hanging="397"/>
      <w:jc w:val="left"/>
    </w:pPr>
    <w:rPr>
      <w:lang w:bidi="en-US"/>
    </w:rPr>
  </w:style>
  <w:style w:type="character" w:styleId="Numerstrony">
    <w:name w:val="page number"/>
    <w:semiHidden/>
    <w:rsid w:val="00D4692B"/>
    <w:rPr>
      <w:sz w:val="18"/>
    </w:rPr>
  </w:style>
  <w:style w:type="paragraph" w:customStyle="1" w:styleId="DecHTitle">
    <w:name w:val="Dec_H_Title"/>
    <w:basedOn w:val="ECHRTitleCentre1"/>
    <w:uiPriority w:val="7"/>
    <w:qFormat/>
    <w:rsid w:val="00171A6F"/>
  </w:style>
  <w:style w:type="paragraph" w:customStyle="1" w:styleId="DecList">
    <w:name w:val="Dec_List"/>
    <w:basedOn w:val="Normalny"/>
    <w:uiPriority w:val="9"/>
    <w:qFormat/>
    <w:rsid w:val="00171A6F"/>
    <w:pPr>
      <w:spacing w:before="240"/>
      <w:ind w:left="284"/>
    </w:pPr>
  </w:style>
  <w:style w:type="character" w:styleId="Odwoaniedokomentarza">
    <w:name w:val="annotation reference"/>
    <w:semiHidden/>
    <w:rsid w:val="00D4692B"/>
    <w:rPr>
      <w:sz w:val="16"/>
    </w:rPr>
  </w:style>
  <w:style w:type="paragraph" w:customStyle="1" w:styleId="JuInitialled">
    <w:name w:val="Ju_Initialled"/>
    <w:basedOn w:val="Normalny"/>
    <w:uiPriority w:val="31"/>
    <w:qFormat/>
    <w:rsid w:val="00171A6F"/>
    <w:pPr>
      <w:tabs>
        <w:tab w:val="center" w:pos="6407"/>
      </w:tabs>
      <w:spacing w:before="720"/>
      <w:jc w:val="right"/>
    </w:pPr>
  </w:style>
  <w:style w:type="character" w:styleId="Odwoanieprzypisukocowego">
    <w:name w:val="endnote reference"/>
    <w:semiHidden/>
    <w:rsid w:val="00D4692B"/>
    <w:rPr>
      <w:vertAlign w:val="superscript"/>
    </w:rPr>
  </w:style>
  <w:style w:type="paragraph" w:styleId="Tekstprzypisukocowego">
    <w:name w:val="endnote text"/>
    <w:basedOn w:val="Normalny"/>
    <w:link w:val="TekstprzypisukocowegoZnak"/>
    <w:semiHidden/>
    <w:rsid w:val="00D4692B"/>
    <w:rPr>
      <w:sz w:val="20"/>
    </w:rPr>
  </w:style>
  <w:style w:type="character" w:customStyle="1" w:styleId="TekstprzypisukocowegoZnak">
    <w:name w:val="Tekst przypisu końcowego Znak"/>
    <w:basedOn w:val="Domylnaczcionkaakapitu"/>
    <w:link w:val="Tekstprzypisukocowego"/>
    <w:uiPriority w:val="99"/>
    <w:semiHidden/>
    <w:rsid w:val="00D4692B"/>
    <w:rPr>
      <w:rFonts w:eastAsiaTheme="minorEastAsia"/>
      <w:sz w:val="20"/>
    </w:rPr>
  </w:style>
  <w:style w:type="character" w:styleId="UyteHipercze">
    <w:name w:val="FollowedHyperlink"/>
    <w:semiHidden/>
    <w:rsid w:val="00D4692B"/>
    <w:rPr>
      <w:color w:val="800080"/>
      <w:u w:val="single"/>
    </w:rPr>
  </w:style>
  <w:style w:type="paragraph" w:styleId="Mapadokumentu">
    <w:name w:val="Document Map"/>
    <w:basedOn w:val="Normalny"/>
    <w:link w:val="MapadokumentuZnak"/>
    <w:semiHidden/>
    <w:rsid w:val="00D4692B"/>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D4692B"/>
    <w:rPr>
      <w:rFonts w:ascii="Tahoma" w:eastAsiaTheme="minorEastAsia" w:hAnsi="Tahoma" w:cs="Tahoma"/>
      <w:sz w:val="20"/>
      <w:shd w:val="clear" w:color="auto" w:fill="000080"/>
    </w:rPr>
  </w:style>
  <w:style w:type="paragraph" w:styleId="Listapunktowana">
    <w:name w:val="List Bullet"/>
    <w:basedOn w:val="Normalny"/>
    <w:semiHidden/>
    <w:rsid w:val="00D4692B"/>
    <w:pPr>
      <w:numPr>
        <w:numId w:val="4"/>
      </w:numPr>
    </w:pPr>
  </w:style>
  <w:style w:type="paragraph" w:customStyle="1" w:styleId="JuLista">
    <w:name w:val="Ju_List_a"/>
    <w:basedOn w:val="JuList"/>
    <w:uiPriority w:val="28"/>
    <w:qFormat/>
    <w:rsid w:val="00171A6F"/>
    <w:pPr>
      <w:ind w:left="346" w:firstLine="0"/>
    </w:pPr>
  </w:style>
  <w:style w:type="paragraph" w:styleId="Podtytu">
    <w:name w:val="Subtitle"/>
    <w:basedOn w:val="Normalny"/>
    <w:next w:val="Normalny"/>
    <w:link w:val="PodtytuZnak"/>
    <w:uiPriority w:val="99"/>
    <w:semiHidden/>
    <w:qFormat/>
    <w:rsid w:val="00171A6F"/>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171A6F"/>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D4692B"/>
    <w:pPr>
      <w:numPr>
        <w:numId w:val="5"/>
      </w:numPr>
    </w:pPr>
  </w:style>
  <w:style w:type="numbering" w:styleId="1ai">
    <w:name w:val="Outline List 1"/>
    <w:basedOn w:val="Bezlisty"/>
    <w:uiPriority w:val="99"/>
    <w:semiHidden/>
    <w:rsid w:val="00D4692B"/>
    <w:pPr>
      <w:numPr>
        <w:numId w:val="6"/>
      </w:numPr>
    </w:pPr>
  </w:style>
  <w:style w:type="numbering" w:styleId="Artykusekcja">
    <w:name w:val="Outline List 3"/>
    <w:basedOn w:val="Bezlisty"/>
    <w:uiPriority w:val="99"/>
    <w:semiHidden/>
    <w:rsid w:val="00D4692B"/>
    <w:pPr>
      <w:numPr>
        <w:numId w:val="7"/>
      </w:numPr>
    </w:pPr>
  </w:style>
  <w:style w:type="paragraph" w:styleId="Bibliografia">
    <w:name w:val="Bibliography"/>
    <w:basedOn w:val="Normalny"/>
    <w:next w:val="Normalny"/>
    <w:uiPriority w:val="99"/>
    <w:semiHidden/>
    <w:unhideWhenUsed/>
    <w:rsid w:val="00D4692B"/>
  </w:style>
  <w:style w:type="paragraph" w:styleId="Tekstblokowy">
    <w:name w:val="Block Text"/>
    <w:basedOn w:val="Normalny"/>
    <w:uiPriority w:val="99"/>
    <w:semiHidden/>
    <w:rsid w:val="00D4692B"/>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D4692B"/>
    <w:pPr>
      <w:spacing w:after="120"/>
    </w:pPr>
  </w:style>
  <w:style w:type="character" w:customStyle="1" w:styleId="TekstpodstawowyZnak">
    <w:name w:val="Tekst podstawowy Znak"/>
    <w:basedOn w:val="Domylnaczcionkaakapitu"/>
    <w:link w:val="Tekstpodstawowy"/>
    <w:uiPriority w:val="99"/>
    <w:semiHidden/>
    <w:rsid w:val="00D4692B"/>
    <w:rPr>
      <w:rFonts w:eastAsiaTheme="minorEastAsia"/>
      <w:sz w:val="24"/>
    </w:rPr>
  </w:style>
  <w:style w:type="paragraph" w:styleId="Tekstpodstawowy2">
    <w:name w:val="Body Text 2"/>
    <w:basedOn w:val="Normalny"/>
    <w:link w:val="Tekstpodstawowy2Znak"/>
    <w:uiPriority w:val="99"/>
    <w:semiHidden/>
    <w:rsid w:val="00D4692B"/>
    <w:pPr>
      <w:spacing w:after="120" w:line="480" w:lineRule="auto"/>
    </w:pPr>
  </w:style>
  <w:style w:type="character" w:customStyle="1" w:styleId="Tekstpodstawowy2Znak">
    <w:name w:val="Tekst podstawowy 2 Znak"/>
    <w:basedOn w:val="Domylnaczcionkaakapitu"/>
    <w:link w:val="Tekstpodstawowy2"/>
    <w:uiPriority w:val="99"/>
    <w:semiHidden/>
    <w:rsid w:val="00D4692B"/>
    <w:rPr>
      <w:rFonts w:eastAsiaTheme="minorEastAsia"/>
      <w:sz w:val="24"/>
    </w:rPr>
  </w:style>
  <w:style w:type="paragraph" w:styleId="Tekstpodstawowy3">
    <w:name w:val="Body Text 3"/>
    <w:basedOn w:val="Normalny"/>
    <w:link w:val="Tekstpodstawowy3Znak"/>
    <w:uiPriority w:val="99"/>
    <w:semiHidden/>
    <w:rsid w:val="00D4692B"/>
    <w:pPr>
      <w:spacing w:after="120"/>
    </w:pPr>
    <w:rPr>
      <w:sz w:val="16"/>
      <w:szCs w:val="16"/>
    </w:rPr>
  </w:style>
  <w:style w:type="character" w:customStyle="1" w:styleId="Tekstpodstawowy3Znak">
    <w:name w:val="Tekst podstawowy 3 Znak"/>
    <w:basedOn w:val="Domylnaczcionkaakapitu"/>
    <w:link w:val="Tekstpodstawowy3"/>
    <w:uiPriority w:val="99"/>
    <w:semiHidden/>
    <w:rsid w:val="00D4692B"/>
    <w:rPr>
      <w:rFonts w:eastAsiaTheme="minorEastAsia"/>
      <w:sz w:val="16"/>
      <w:szCs w:val="16"/>
    </w:rPr>
  </w:style>
  <w:style w:type="paragraph" w:styleId="Tekstpodstawowyzwciciem">
    <w:name w:val="Body Text First Indent"/>
    <w:basedOn w:val="Tekstpodstawowy"/>
    <w:link w:val="TekstpodstawowyzwciciemZnak"/>
    <w:uiPriority w:val="99"/>
    <w:semiHidden/>
    <w:rsid w:val="00D4692B"/>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D4692B"/>
    <w:rPr>
      <w:rFonts w:eastAsiaTheme="minorEastAsia"/>
      <w:sz w:val="24"/>
    </w:rPr>
  </w:style>
  <w:style w:type="paragraph" w:styleId="Tekstpodstawowywcity">
    <w:name w:val="Body Text Indent"/>
    <w:basedOn w:val="Normalny"/>
    <w:link w:val="TekstpodstawowywcityZnak"/>
    <w:uiPriority w:val="99"/>
    <w:semiHidden/>
    <w:rsid w:val="00D4692B"/>
    <w:pPr>
      <w:spacing w:after="120"/>
      <w:ind w:left="283"/>
    </w:pPr>
  </w:style>
  <w:style w:type="character" w:customStyle="1" w:styleId="TekstpodstawowywcityZnak">
    <w:name w:val="Tekst podstawowy wcięty Znak"/>
    <w:basedOn w:val="Domylnaczcionkaakapitu"/>
    <w:link w:val="Tekstpodstawowywcity"/>
    <w:uiPriority w:val="99"/>
    <w:semiHidden/>
    <w:rsid w:val="00D4692B"/>
    <w:rPr>
      <w:rFonts w:eastAsiaTheme="minorEastAsia"/>
      <w:sz w:val="24"/>
    </w:rPr>
  </w:style>
  <w:style w:type="paragraph" w:styleId="Tekstpodstawowyzwciciem2">
    <w:name w:val="Body Text First Indent 2"/>
    <w:basedOn w:val="Tekstpodstawowywcity"/>
    <w:link w:val="Tekstpodstawowyzwciciem2Znak"/>
    <w:uiPriority w:val="99"/>
    <w:semiHidden/>
    <w:rsid w:val="00D4692B"/>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D4692B"/>
    <w:rPr>
      <w:rFonts w:eastAsiaTheme="minorEastAsia"/>
      <w:sz w:val="24"/>
    </w:rPr>
  </w:style>
  <w:style w:type="paragraph" w:styleId="Tekstpodstawowywcity2">
    <w:name w:val="Body Text Indent 2"/>
    <w:basedOn w:val="Normalny"/>
    <w:link w:val="Tekstpodstawowywcity2Znak"/>
    <w:uiPriority w:val="99"/>
    <w:semiHidden/>
    <w:rsid w:val="00D469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4692B"/>
    <w:rPr>
      <w:rFonts w:eastAsiaTheme="minorEastAsia"/>
      <w:sz w:val="24"/>
    </w:rPr>
  </w:style>
  <w:style w:type="paragraph" w:styleId="Tekstpodstawowywcity3">
    <w:name w:val="Body Text Indent 3"/>
    <w:basedOn w:val="Normalny"/>
    <w:link w:val="Tekstpodstawowywcity3Znak"/>
    <w:uiPriority w:val="99"/>
    <w:semiHidden/>
    <w:rsid w:val="00D4692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4692B"/>
    <w:rPr>
      <w:rFonts w:eastAsiaTheme="minorEastAsia"/>
      <w:sz w:val="16"/>
      <w:szCs w:val="16"/>
    </w:rPr>
  </w:style>
  <w:style w:type="paragraph" w:styleId="Legenda">
    <w:name w:val="caption"/>
    <w:basedOn w:val="Normalny"/>
    <w:next w:val="Normalny"/>
    <w:uiPriority w:val="99"/>
    <w:semiHidden/>
    <w:qFormat/>
    <w:rsid w:val="00D4692B"/>
    <w:pPr>
      <w:spacing w:after="200"/>
    </w:pPr>
    <w:rPr>
      <w:b/>
      <w:bCs/>
      <w:color w:val="0072BC" w:themeColor="accent1"/>
      <w:sz w:val="18"/>
      <w:szCs w:val="18"/>
    </w:rPr>
  </w:style>
  <w:style w:type="paragraph" w:styleId="Zwrotpoegnalny">
    <w:name w:val="Closing"/>
    <w:basedOn w:val="Normalny"/>
    <w:link w:val="ZwrotpoegnalnyZnak"/>
    <w:uiPriority w:val="99"/>
    <w:semiHidden/>
    <w:rsid w:val="00D4692B"/>
    <w:pPr>
      <w:ind w:left="4252"/>
    </w:pPr>
  </w:style>
  <w:style w:type="character" w:customStyle="1" w:styleId="ZwrotpoegnalnyZnak">
    <w:name w:val="Zwrot pożegnalny Znak"/>
    <w:basedOn w:val="Domylnaczcionkaakapitu"/>
    <w:link w:val="Zwrotpoegnalny"/>
    <w:uiPriority w:val="99"/>
    <w:semiHidden/>
    <w:rsid w:val="00D4692B"/>
    <w:rPr>
      <w:rFonts w:eastAsiaTheme="minorEastAsia"/>
      <w:sz w:val="24"/>
    </w:rPr>
  </w:style>
  <w:style w:type="table" w:customStyle="1" w:styleId="Kolorowasiatka1">
    <w:name w:val="Kolorowa siatka1"/>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D4692B"/>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D4692B"/>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D4692B"/>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D4692B"/>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D4692B"/>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D4692B"/>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D4692B"/>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D4692B"/>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D4692B"/>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D4692B"/>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D4692B"/>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D4692B"/>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D4692B"/>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D4692B"/>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D4692B"/>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customStyle="1" w:styleId="Ciemnalista1">
    <w:name w:val="Ciemna lista1"/>
    <w:basedOn w:val="Standardowy"/>
    <w:uiPriority w:val="99"/>
    <w:semiHidden/>
    <w:rsid w:val="00D4692B"/>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D4692B"/>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D4692B"/>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D4692B"/>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D4692B"/>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D4692B"/>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D4692B"/>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D4692B"/>
  </w:style>
  <w:style w:type="character" w:customStyle="1" w:styleId="DataZnak">
    <w:name w:val="Data Znak"/>
    <w:basedOn w:val="Domylnaczcionkaakapitu"/>
    <w:link w:val="Data"/>
    <w:uiPriority w:val="99"/>
    <w:semiHidden/>
    <w:rsid w:val="00D4692B"/>
    <w:rPr>
      <w:rFonts w:eastAsiaTheme="minorEastAsia"/>
      <w:sz w:val="24"/>
    </w:rPr>
  </w:style>
  <w:style w:type="paragraph" w:styleId="Podpise-mail">
    <w:name w:val="E-mail Signature"/>
    <w:basedOn w:val="Normalny"/>
    <w:link w:val="Podpise-mailZnak"/>
    <w:uiPriority w:val="99"/>
    <w:semiHidden/>
    <w:rsid w:val="00D4692B"/>
  </w:style>
  <w:style w:type="character" w:customStyle="1" w:styleId="Podpise-mailZnak">
    <w:name w:val="Podpis e-mail Znak"/>
    <w:basedOn w:val="Domylnaczcionkaakapitu"/>
    <w:link w:val="Podpise-mail"/>
    <w:uiPriority w:val="99"/>
    <w:semiHidden/>
    <w:rsid w:val="00D4692B"/>
    <w:rPr>
      <w:rFonts w:eastAsiaTheme="minorEastAsia"/>
      <w:sz w:val="24"/>
    </w:rPr>
  </w:style>
  <w:style w:type="paragraph" w:styleId="Adresnakopercie">
    <w:name w:val="envelope address"/>
    <w:basedOn w:val="Normalny"/>
    <w:uiPriority w:val="99"/>
    <w:semiHidden/>
    <w:rsid w:val="00D4692B"/>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D4692B"/>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D4692B"/>
  </w:style>
  <w:style w:type="paragraph" w:styleId="HTML-adres">
    <w:name w:val="HTML Address"/>
    <w:basedOn w:val="Normalny"/>
    <w:link w:val="HTML-adresZnak"/>
    <w:uiPriority w:val="99"/>
    <w:semiHidden/>
    <w:rsid w:val="00D4692B"/>
    <w:rPr>
      <w:i/>
      <w:iCs/>
    </w:rPr>
  </w:style>
  <w:style w:type="character" w:customStyle="1" w:styleId="HTML-adresZnak">
    <w:name w:val="HTML - adres Znak"/>
    <w:basedOn w:val="Domylnaczcionkaakapitu"/>
    <w:link w:val="HTML-adres"/>
    <w:uiPriority w:val="99"/>
    <w:semiHidden/>
    <w:rsid w:val="00D4692B"/>
    <w:rPr>
      <w:rFonts w:eastAsiaTheme="minorEastAsia"/>
      <w:i/>
      <w:iCs/>
      <w:sz w:val="24"/>
    </w:rPr>
  </w:style>
  <w:style w:type="character" w:styleId="HTML-cytat">
    <w:name w:val="HTML Cite"/>
    <w:basedOn w:val="Domylnaczcionkaakapitu"/>
    <w:uiPriority w:val="99"/>
    <w:semiHidden/>
    <w:rsid w:val="00D4692B"/>
    <w:rPr>
      <w:i/>
      <w:iCs/>
    </w:rPr>
  </w:style>
  <w:style w:type="character" w:styleId="HTML-kod">
    <w:name w:val="HTML Code"/>
    <w:basedOn w:val="Domylnaczcionkaakapitu"/>
    <w:uiPriority w:val="99"/>
    <w:semiHidden/>
    <w:rsid w:val="00D4692B"/>
    <w:rPr>
      <w:rFonts w:ascii="Consolas" w:hAnsi="Consolas" w:cs="Consolas"/>
      <w:sz w:val="20"/>
      <w:szCs w:val="20"/>
    </w:rPr>
  </w:style>
  <w:style w:type="character" w:styleId="HTML-definicja">
    <w:name w:val="HTML Definition"/>
    <w:basedOn w:val="Domylnaczcionkaakapitu"/>
    <w:uiPriority w:val="99"/>
    <w:semiHidden/>
    <w:rsid w:val="00D4692B"/>
    <w:rPr>
      <w:i/>
      <w:iCs/>
    </w:rPr>
  </w:style>
  <w:style w:type="character" w:styleId="HTML-klawiatura">
    <w:name w:val="HTML Keyboard"/>
    <w:basedOn w:val="Domylnaczcionkaakapitu"/>
    <w:uiPriority w:val="99"/>
    <w:semiHidden/>
    <w:rsid w:val="00D4692B"/>
    <w:rPr>
      <w:rFonts w:ascii="Consolas" w:hAnsi="Consolas" w:cs="Consolas"/>
      <w:sz w:val="20"/>
      <w:szCs w:val="20"/>
    </w:rPr>
  </w:style>
  <w:style w:type="paragraph" w:styleId="HTML-wstpniesformatowany">
    <w:name w:val="HTML Preformatted"/>
    <w:basedOn w:val="Normalny"/>
    <w:link w:val="HTML-wstpniesformatowanyZnak"/>
    <w:uiPriority w:val="99"/>
    <w:semiHidden/>
    <w:rsid w:val="00D4692B"/>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4692B"/>
    <w:rPr>
      <w:rFonts w:ascii="Consolas" w:eastAsiaTheme="minorEastAsia" w:hAnsi="Consolas" w:cs="Consolas"/>
      <w:sz w:val="20"/>
      <w:szCs w:val="20"/>
    </w:rPr>
  </w:style>
  <w:style w:type="character" w:styleId="HTML-przykad">
    <w:name w:val="HTML Sample"/>
    <w:basedOn w:val="Domylnaczcionkaakapitu"/>
    <w:uiPriority w:val="99"/>
    <w:semiHidden/>
    <w:rsid w:val="00D4692B"/>
    <w:rPr>
      <w:rFonts w:ascii="Consolas" w:hAnsi="Consolas" w:cs="Consolas"/>
      <w:sz w:val="24"/>
      <w:szCs w:val="24"/>
    </w:rPr>
  </w:style>
  <w:style w:type="character" w:styleId="HTML-staaszeroko">
    <w:name w:val="HTML Typewriter"/>
    <w:basedOn w:val="Domylnaczcionkaakapitu"/>
    <w:uiPriority w:val="99"/>
    <w:semiHidden/>
    <w:rsid w:val="00D4692B"/>
    <w:rPr>
      <w:rFonts w:ascii="Consolas" w:hAnsi="Consolas" w:cs="Consolas"/>
      <w:sz w:val="20"/>
      <w:szCs w:val="20"/>
    </w:rPr>
  </w:style>
  <w:style w:type="character" w:styleId="HTML-zmienna">
    <w:name w:val="HTML Variable"/>
    <w:basedOn w:val="Domylnaczcionkaakapitu"/>
    <w:uiPriority w:val="99"/>
    <w:semiHidden/>
    <w:rsid w:val="00D4692B"/>
    <w:rPr>
      <w:i/>
      <w:iCs/>
    </w:rPr>
  </w:style>
  <w:style w:type="paragraph" w:styleId="Indeks1">
    <w:name w:val="index 1"/>
    <w:basedOn w:val="Normalny"/>
    <w:next w:val="Normalny"/>
    <w:autoRedefine/>
    <w:uiPriority w:val="99"/>
    <w:semiHidden/>
    <w:rsid w:val="00D4692B"/>
    <w:pPr>
      <w:ind w:left="240" w:hanging="240"/>
    </w:pPr>
  </w:style>
  <w:style w:type="paragraph" w:styleId="Indeks2">
    <w:name w:val="index 2"/>
    <w:basedOn w:val="Normalny"/>
    <w:next w:val="Normalny"/>
    <w:autoRedefine/>
    <w:uiPriority w:val="99"/>
    <w:semiHidden/>
    <w:rsid w:val="00D4692B"/>
    <w:pPr>
      <w:ind w:left="480" w:hanging="240"/>
    </w:pPr>
  </w:style>
  <w:style w:type="paragraph" w:styleId="Indeks3">
    <w:name w:val="index 3"/>
    <w:basedOn w:val="Normalny"/>
    <w:next w:val="Normalny"/>
    <w:autoRedefine/>
    <w:uiPriority w:val="99"/>
    <w:semiHidden/>
    <w:rsid w:val="00D4692B"/>
    <w:pPr>
      <w:ind w:left="720" w:hanging="240"/>
    </w:pPr>
  </w:style>
  <w:style w:type="paragraph" w:styleId="Indeks4">
    <w:name w:val="index 4"/>
    <w:basedOn w:val="Normalny"/>
    <w:next w:val="Normalny"/>
    <w:autoRedefine/>
    <w:uiPriority w:val="99"/>
    <w:semiHidden/>
    <w:rsid w:val="00D4692B"/>
    <w:pPr>
      <w:ind w:left="960" w:hanging="240"/>
    </w:pPr>
  </w:style>
  <w:style w:type="paragraph" w:styleId="Indeks5">
    <w:name w:val="index 5"/>
    <w:basedOn w:val="Normalny"/>
    <w:next w:val="Normalny"/>
    <w:autoRedefine/>
    <w:uiPriority w:val="99"/>
    <w:semiHidden/>
    <w:rsid w:val="00D4692B"/>
    <w:pPr>
      <w:ind w:left="1200" w:hanging="240"/>
    </w:pPr>
  </w:style>
  <w:style w:type="paragraph" w:styleId="Indeks6">
    <w:name w:val="index 6"/>
    <w:basedOn w:val="Normalny"/>
    <w:next w:val="Normalny"/>
    <w:autoRedefine/>
    <w:uiPriority w:val="99"/>
    <w:semiHidden/>
    <w:rsid w:val="00D4692B"/>
    <w:pPr>
      <w:ind w:left="1440" w:hanging="240"/>
    </w:pPr>
  </w:style>
  <w:style w:type="paragraph" w:styleId="Indeks7">
    <w:name w:val="index 7"/>
    <w:basedOn w:val="Normalny"/>
    <w:next w:val="Normalny"/>
    <w:autoRedefine/>
    <w:uiPriority w:val="99"/>
    <w:semiHidden/>
    <w:rsid w:val="00D4692B"/>
    <w:pPr>
      <w:ind w:left="1680" w:hanging="240"/>
    </w:pPr>
  </w:style>
  <w:style w:type="paragraph" w:styleId="Indeks8">
    <w:name w:val="index 8"/>
    <w:basedOn w:val="Normalny"/>
    <w:next w:val="Normalny"/>
    <w:autoRedefine/>
    <w:uiPriority w:val="99"/>
    <w:semiHidden/>
    <w:rsid w:val="00D4692B"/>
    <w:pPr>
      <w:ind w:left="1920" w:hanging="240"/>
    </w:pPr>
  </w:style>
  <w:style w:type="paragraph" w:styleId="Indeks9">
    <w:name w:val="index 9"/>
    <w:basedOn w:val="Normalny"/>
    <w:next w:val="Normalny"/>
    <w:autoRedefine/>
    <w:uiPriority w:val="99"/>
    <w:semiHidden/>
    <w:rsid w:val="00D4692B"/>
    <w:pPr>
      <w:ind w:left="2160" w:hanging="240"/>
    </w:pPr>
  </w:style>
  <w:style w:type="paragraph" w:styleId="Nagwekindeksu">
    <w:name w:val="index heading"/>
    <w:basedOn w:val="Normalny"/>
    <w:next w:val="Indeks1"/>
    <w:uiPriority w:val="99"/>
    <w:semiHidden/>
    <w:rsid w:val="00D4692B"/>
    <w:rPr>
      <w:rFonts w:asciiTheme="majorHAnsi" w:eastAsiaTheme="majorEastAsia" w:hAnsiTheme="majorHAnsi" w:cstheme="majorBidi"/>
      <w:b/>
      <w:bCs/>
    </w:rPr>
  </w:style>
  <w:style w:type="table" w:customStyle="1" w:styleId="Jasnasiatka1">
    <w:name w:val="Jasna siatka1"/>
    <w:basedOn w:val="Standardowy"/>
    <w:uiPriority w:val="99"/>
    <w:semiHidden/>
    <w:rsid w:val="00D4692B"/>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D4692B"/>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D4692B"/>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D4692B"/>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D4692B"/>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D4692B"/>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D4692B"/>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D4692B"/>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D4692B"/>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D4692B"/>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D4692B"/>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D4692B"/>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D4692B"/>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D4692B"/>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D4692B"/>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D4692B"/>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D4692B"/>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D4692B"/>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D4692B"/>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D4692B"/>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D4692B"/>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D4692B"/>
  </w:style>
  <w:style w:type="paragraph" w:styleId="Lista">
    <w:name w:val="List"/>
    <w:basedOn w:val="Normalny"/>
    <w:uiPriority w:val="99"/>
    <w:semiHidden/>
    <w:rsid w:val="00D4692B"/>
    <w:pPr>
      <w:ind w:left="283" w:hanging="283"/>
      <w:contextualSpacing/>
    </w:pPr>
  </w:style>
  <w:style w:type="paragraph" w:styleId="Lista2">
    <w:name w:val="List 2"/>
    <w:basedOn w:val="Normalny"/>
    <w:uiPriority w:val="99"/>
    <w:semiHidden/>
    <w:rsid w:val="00D4692B"/>
    <w:pPr>
      <w:ind w:left="566" w:hanging="283"/>
      <w:contextualSpacing/>
    </w:pPr>
  </w:style>
  <w:style w:type="paragraph" w:styleId="Lista3">
    <w:name w:val="List 3"/>
    <w:basedOn w:val="Normalny"/>
    <w:uiPriority w:val="99"/>
    <w:semiHidden/>
    <w:rsid w:val="00D4692B"/>
    <w:pPr>
      <w:ind w:left="849" w:hanging="283"/>
      <w:contextualSpacing/>
    </w:pPr>
  </w:style>
  <w:style w:type="paragraph" w:styleId="Lista4">
    <w:name w:val="List 4"/>
    <w:basedOn w:val="Normalny"/>
    <w:uiPriority w:val="99"/>
    <w:semiHidden/>
    <w:rsid w:val="00D4692B"/>
    <w:pPr>
      <w:ind w:left="1132" w:hanging="283"/>
      <w:contextualSpacing/>
    </w:pPr>
  </w:style>
  <w:style w:type="paragraph" w:styleId="Lista5">
    <w:name w:val="List 5"/>
    <w:basedOn w:val="Normalny"/>
    <w:uiPriority w:val="99"/>
    <w:semiHidden/>
    <w:rsid w:val="00D4692B"/>
    <w:pPr>
      <w:ind w:left="1415" w:hanging="283"/>
      <w:contextualSpacing/>
    </w:pPr>
  </w:style>
  <w:style w:type="paragraph" w:styleId="Listapunktowana2">
    <w:name w:val="List Bullet 2"/>
    <w:basedOn w:val="Normalny"/>
    <w:uiPriority w:val="99"/>
    <w:semiHidden/>
    <w:rsid w:val="00D4692B"/>
    <w:pPr>
      <w:numPr>
        <w:numId w:val="1"/>
      </w:numPr>
      <w:contextualSpacing/>
    </w:pPr>
  </w:style>
  <w:style w:type="paragraph" w:styleId="Listapunktowana3">
    <w:name w:val="List Bullet 3"/>
    <w:basedOn w:val="Normalny"/>
    <w:uiPriority w:val="99"/>
    <w:semiHidden/>
    <w:rsid w:val="00D4692B"/>
    <w:pPr>
      <w:numPr>
        <w:numId w:val="2"/>
      </w:numPr>
      <w:contextualSpacing/>
    </w:pPr>
  </w:style>
  <w:style w:type="paragraph" w:styleId="Listapunktowana4">
    <w:name w:val="List Bullet 4"/>
    <w:basedOn w:val="Normalny"/>
    <w:uiPriority w:val="99"/>
    <w:semiHidden/>
    <w:rsid w:val="00D4692B"/>
    <w:pPr>
      <w:numPr>
        <w:numId w:val="8"/>
      </w:numPr>
      <w:contextualSpacing/>
    </w:pPr>
  </w:style>
  <w:style w:type="paragraph" w:styleId="Listapunktowana5">
    <w:name w:val="List Bullet 5"/>
    <w:basedOn w:val="Normalny"/>
    <w:uiPriority w:val="99"/>
    <w:semiHidden/>
    <w:rsid w:val="00D4692B"/>
    <w:pPr>
      <w:numPr>
        <w:numId w:val="3"/>
      </w:numPr>
      <w:contextualSpacing/>
    </w:pPr>
  </w:style>
  <w:style w:type="paragraph" w:styleId="Lista-kontynuacja">
    <w:name w:val="List Continue"/>
    <w:basedOn w:val="Normalny"/>
    <w:uiPriority w:val="99"/>
    <w:semiHidden/>
    <w:rsid w:val="00D4692B"/>
    <w:pPr>
      <w:spacing w:after="120"/>
      <w:ind w:left="283"/>
      <w:contextualSpacing/>
    </w:pPr>
  </w:style>
  <w:style w:type="paragraph" w:styleId="Lista-kontynuacja2">
    <w:name w:val="List Continue 2"/>
    <w:basedOn w:val="Normalny"/>
    <w:uiPriority w:val="99"/>
    <w:semiHidden/>
    <w:rsid w:val="00D4692B"/>
    <w:pPr>
      <w:spacing w:after="120"/>
      <w:ind w:left="566"/>
      <w:contextualSpacing/>
    </w:pPr>
  </w:style>
  <w:style w:type="paragraph" w:styleId="Lista-kontynuacja3">
    <w:name w:val="List Continue 3"/>
    <w:basedOn w:val="Normalny"/>
    <w:uiPriority w:val="99"/>
    <w:semiHidden/>
    <w:rsid w:val="00D4692B"/>
    <w:pPr>
      <w:spacing w:after="120"/>
      <w:ind w:left="849"/>
      <w:contextualSpacing/>
    </w:pPr>
  </w:style>
  <w:style w:type="paragraph" w:styleId="Lista-kontynuacja4">
    <w:name w:val="List Continue 4"/>
    <w:basedOn w:val="Normalny"/>
    <w:uiPriority w:val="99"/>
    <w:semiHidden/>
    <w:rsid w:val="00D4692B"/>
    <w:pPr>
      <w:spacing w:after="120"/>
      <w:ind w:left="1132"/>
      <w:contextualSpacing/>
    </w:pPr>
  </w:style>
  <w:style w:type="paragraph" w:styleId="Lista-kontynuacja5">
    <w:name w:val="List Continue 5"/>
    <w:basedOn w:val="Normalny"/>
    <w:uiPriority w:val="99"/>
    <w:semiHidden/>
    <w:rsid w:val="00D4692B"/>
    <w:pPr>
      <w:spacing w:after="120"/>
      <w:ind w:left="1415"/>
      <w:contextualSpacing/>
    </w:pPr>
  </w:style>
  <w:style w:type="paragraph" w:styleId="Listanumerowana">
    <w:name w:val="List Number"/>
    <w:basedOn w:val="Normalny"/>
    <w:uiPriority w:val="99"/>
    <w:semiHidden/>
    <w:rsid w:val="00D4692B"/>
    <w:pPr>
      <w:tabs>
        <w:tab w:val="num" w:pos="360"/>
      </w:tabs>
      <w:ind w:left="360" w:hanging="360"/>
      <w:contextualSpacing/>
    </w:pPr>
  </w:style>
  <w:style w:type="paragraph" w:styleId="Listanumerowana2">
    <w:name w:val="List Number 2"/>
    <w:basedOn w:val="Normalny"/>
    <w:uiPriority w:val="99"/>
    <w:semiHidden/>
    <w:rsid w:val="00D4692B"/>
    <w:pPr>
      <w:numPr>
        <w:numId w:val="9"/>
      </w:numPr>
      <w:contextualSpacing/>
    </w:pPr>
  </w:style>
  <w:style w:type="paragraph" w:styleId="Listanumerowana3">
    <w:name w:val="List Number 3"/>
    <w:basedOn w:val="Normalny"/>
    <w:uiPriority w:val="99"/>
    <w:semiHidden/>
    <w:rsid w:val="00D4692B"/>
    <w:pPr>
      <w:numPr>
        <w:numId w:val="10"/>
      </w:numPr>
      <w:contextualSpacing/>
    </w:pPr>
  </w:style>
  <w:style w:type="paragraph" w:styleId="Listanumerowana4">
    <w:name w:val="List Number 4"/>
    <w:basedOn w:val="Normalny"/>
    <w:uiPriority w:val="99"/>
    <w:semiHidden/>
    <w:rsid w:val="00D4692B"/>
    <w:pPr>
      <w:numPr>
        <w:numId w:val="11"/>
      </w:numPr>
      <w:contextualSpacing/>
    </w:pPr>
  </w:style>
  <w:style w:type="paragraph" w:styleId="Listanumerowana5">
    <w:name w:val="List Number 5"/>
    <w:basedOn w:val="Normalny"/>
    <w:uiPriority w:val="99"/>
    <w:semiHidden/>
    <w:rsid w:val="00D4692B"/>
    <w:pPr>
      <w:numPr>
        <w:numId w:val="12"/>
      </w:numPr>
      <w:contextualSpacing/>
    </w:pPr>
  </w:style>
  <w:style w:type="paragraph" w:styleId="Tekstmakra">
    <w:name w:val="macro"/>
    <w:link w:val="TekstmakraZnak"/>
    <w:uiPriority w:val="99"/>
    <w:semiHidden/>
    <w:rsid w:val="00D4692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D4692B"/>
    <w:rPr>
      <w:rFonts w:ascii="Consolas" w:hAnsi="Consolas" w:cs="Consolas"/>
      <w:sz w:val="20"/>
      <w:szCs w:val="20"/>
      <w:lang w:val="en-GB" w:eastAsia="fr-FR"/>
    </w:rPr>
  </w:style>
  <w:style w:type="table" w:customStyle="1" w:styleId="redniasiatka11">
    <w:name w:val="Średnia siatka 11"/>
    <w:basedOn w:val="Standardowy"/>
    <w:uiPriority w:val="99"/>
    <w:semiHidden/>
    <w:rsid w:val="00D4692B"/>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D4692B"/>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D4692B"/>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D4692B"/>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D4692B"/>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D4692B"/>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D4692B"/>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D4692B"/>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D4692B"/>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D4692B"/>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D4692B"/>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D4692B"/>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D4692B"/>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D4692B"/>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D4692B"/>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D4692B"/>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D4692B"/>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D4692B"/>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D4692B"/>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D4692B"/>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D4692B"/>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D4692B"/>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D4692B"/>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D4692B"/>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D469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D4692B"/>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D4692B"/>
    <w:rPr>
      <w:rFonts w:ascii="Times New Roman" w:hAnsi="Times New Roman" w:cs="Times New Roman"/>
      <w:szCs w:val="24"/>
    </w:rPr>
  </w:style>
  <w:style w:type="paragraph" w:styleId="Wcicienormalne">
    <w:name w:val="Normal Indent"/>
    <w:basedOn w:val="Normalny"/>
    <w:uiPriority w:val="99"/>
    <w:semiHidden/>
    <w:rsid w:val="00D4692B"/>
    <w:pPr>
      <w:ind w:left="720"/>
    </w:pPr>
  </w:style>
  <w:style w:type="paragraph" w:styleId="Nagweknotatki">
    <w:name w:val="Note Heading"/>
    <w:basedOn w:val="Normalny"/>
    <w:next w:val="Normalny"/>
    <w:link w:val="NagweknotatkiZnak"/>
    <w:uiPriority w:val="99"/>
    <w:semiHidden/>
    <w:rsid w:val="00D4692B"/>
  </w:style>
  <w:style w:type="character" w:customStyle="1" w:styleId="NagweknotatkiZnak">
    <w:name w:val="Nagłówek notatki Znak"/>
    <w:basedOn w:val="Domylnaczcionkaakapitu"/>
    <w:link w:val="Nagweknotatki"/>
    <w:uiPriority w:val="99"/>
    <w:semiHidden/>
    <w:rsid w:val="00D4692B"/>
    <w:rPr>
      <w:rFonts w:eastAsiaTheme="minorEastAsia"/>
      <w:sz w:val="24"/>
    </w:rPr>
  </w:style>
  <w:style w:type="character" w:styleId="Tekstzastpczy">
    <w:name w:val="Placeholder Text"/>
    <w:basedOn w:val="Domylnaczcionkaakapitu"/>
    <w:uiPriority w:val="99"/>
    <w:semiHidden/>
    <w:rsid w:val="00D4692B"/>
    <w:rPr>
      <w:color w:val="808080"/>
    </w:rPr>
  </w:style>
  <w:style w:type="paragraph" w:styleId="Zwykytekst">
    <w:name w:val="Plain Text"/>
    <w:basedOn w:val="Normalny"/>
    <w:link w:val="ZwykytekstZnak"/>
    <w:uiPriority w:val="99"/>
    <w:semiHidden/>
    <w:rsid w:val="00D4692B"/>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D4692B"/>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D4692B"/>
  </w:style>
  <w:style w:type="character" w:customStyle="1" w:styleId="ZwrotgrzecznociowyZnak">
    <w:name w:val="Zwrot grzecznościowy Znak"/>
    <w:basedOn w:val="Domylnaczcionkaakapitu"/>
    <w:link w:val="Zwrotgrzecznociowy"/>
    <w:uiPriority w:val="99"/>
    <w:semiHidden/>
    <w:rsid w:val="00D4692B"/>
    <w:rPr>
      <w:rFonts w:eastAsiaTheme="minorEastAsia"/>
      <w:sz w:val="24"/>
    </w:rPr>
  </w:style>
  <w:style w:type="paragraph" w:styleId="Podpis">
    <w:name w:val="Signature"/>
    <w:basedOn w:val="Normalny"/>
    <w:link w:val="PodpisZnak"/>
    <w:uiPriority w:val="99"/>
    <w:semiHidden/>
    <w:rsid w:val="00D4692B"/>
    <w:pPr>
      <w:ind w:left="4252"/>
    </w:pPr>
  </w:style>
  <w:style w:type="character" w:customStyle="1" w:styleId="PodpisZnak">
    <w:name w:val="Podpis Znak"/>
    <w:basedOn w:val="Domylnaczcionkaakapitu"/>
    <w:link w:val="Podpis"/>
    <w:uiPriority w:val="99"/>
    <w:semiHidden/>
    <w:rsid w:val="00D4692B"/>
    <w:rPr>
      <w:rFonts w:eastAsiaTheme="minorEastAsia"/>
      <w:sz w:val="24"/>
    </w:rPr>
  </w:style>
  <w:style w:type="table" w:styleId="Tabela-Efekty3W1">
    <w:name w:val="Table 3D effects 1"/>
    <w:basedOn w:val="Standardowy"/>
    <w:uiPriority w:val="99"/>
    <w:semiHidden/>
    <w:rsid w:val="00D4692B"/>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D4692B"/>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D4692B"/>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D4692B"/>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D4692B"/>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D4692B"/>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D4692B"/>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D4692B"/>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D4692B"/>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D4692B"/>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D4692B"/>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D4692B"/>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D4692B"/>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D4692B"/>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D4692B"/>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D4692B"/>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D4692B"/>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D4692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D4692B"/>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D4692B"/>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D4692B"/>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D4692B"/>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D4692B"/>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D4692B"/>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D4692B"/>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D4692B"/>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D4692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D4692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D4692B"/>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D4692B"/>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D4692B"/>
    <w:pPr>
      <w:ind w:left="240" w:hanging="240"/>
    </w:pPr>
  </w:style>
  <w:style w:type="paragraph" w:styleId="Spisilustracji">
    <w:name w:val="table of figures"/>
    <w:basedOn w:val="Normalny"/>
    <w:next w:val="Normalny"/>
    <w:uiPriority w:val="99"/>
    <w:semiHidden/>
    <w:rsid w:val="00D4692B"/>
  </w:style>
  <w:style w:type="table" w:styleId="Tabela-Profesjonalny">
    <w:name w:val="Table Professional"/>
    <w:basedOn w:val="Standardowy"/>
    <w:uiPriority w:val="99"/>
    <w:semiHidden/>
    <w:rsid w:val="00D4692B"/>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D4692B"/>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D4692B"/>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D4692B"/>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D4692B"/>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D4692B"/>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D4692B"/>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D4692B"/>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D4692B"/>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D4692B"/>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D4692B"/>
    <w:pPr>
      <w:spacing w:after="100"/>
      <w:ind w:left="1200"/>
    </w:pPr>
  </w:style>
  <w:style w:type="paragraph" w:styleId="Spistreci7">
    <w:name w:val="toc 7"/>
    <w:basedOn w:val="Normalny"/>
    <w:next w:val="Normalny"/>
    <w:autoRedefine/>
    <w:uiPriority w:val="99"/>
    <w:semiHidden/>
    <w:rsid w:val="00D4692B"/>
    <w:pPr>
      <w:spacing w:after="100"/>
      <w:ind w:left="1440"/>
    </w:pPr>
  </w:style>
  <w:style w:type="paragraph" w:styleId="Spistreci8">
    <w:name w:val="toc 8"/>
    <w:basedOn w:val="Normalny"/>
    <w:next w:val="Normalny"/>
    <w:autoRedefine/>
    <w:uiPriority w:val="99"/>
    <w:semiHidden/>
    <w:rsid w:val="00D4692B"/>
    <w:pPr>
      <w:spacing w:after="100"/>
      <w:ind w:left="1680"/>
    </w:pPr>
  </w:style>
  <w:style w:type="paragraph" w:styleId="Spistreci9">
    <w:name w:val="toc 9"/>
    <w:basedOn w:val="Normalny"/>
    <w:next w:val="Normalny"/>
    <w:autoRedefine/>
    <w:uiPriority w:val="99"/>
    <w:semiHidden/>
    <w:rsid w:val="00D4692B"/>
    <w:pPr>
      <w:spacing w:after="100"/>
      <w:ind w:left="1920"/>
    </w:pPr>
  </w:style>
  <w:style w:type="character" w:customStyle="1" w:styleId="ECHRParaChar">
    <w:name w:val="ECHR_Para Char"/>
    <w:aliases w:val="Ju_Para Char"/>
    <w:link w:val="ECHRPara"/>
    <w:uiPriority w:val="12"/>
    <w:rsid w:val="00A220C6"/>
    <w:rPr>
      <w:rFonts w:eastAsiaTheme="minorEastAsia"/>
      <w:sz w:val="24"/>
    </w:rPr>
  </w:style>
  <w:style w:type="character" w:customStyle="1" w:styleId="JuParaCar">
    <w:name w:val="Ju_Para Car"/>
    <w:uiPriority w:val="12"/>
    <w:rsid w:val="00A220C6"/>
    <w:rPr>
      <w:rFonts w:eastAsiaTheme="minorEastAsia"/>
      <w:sz w:val="24"/>
    </w:rPr>
  </w:style>
  <w:style w:type="character" w:customStyle="1" w:styleId="JuJudgesChar">
    <w:name w:val="Ju_Judges Char"/>
    <w:link w:val="ECHRDecisionBody"/>
    <w:uiPriority w:val="11"/>
    <w:locked/>
    <w:rsid w:val="00A220C6"/>
    <w:rPr>
      <w:rFonts w:eastAsiaTheme="minorEastAsia"/>
      <w:sz w:val="24"/>
    </w:rPr>
  </w:style>
  <w:style w:type="paragraph" w:customStyle="1" w:styleId="ECHRParaSpaced">
    <w:name w:val="ECHR_Para_Spaced"/>
    <w:aliases w:val="Para_Spaced"/>
    <w:basedOn w:val="Normalny"/>
    <w:uiPriority w:val="5"/>
    <w:qFormat/>
    <w:rsid w:val="00B413BF"/>
    <w:pPr>
      <w:spacing w:before="120" w:after="120"/>
    </w:pPr>
    <w:rPr>
      <w:rFonts w:eastAsiaTheme="minorHAnsi"/>
      <w:sz w:val="22"/>
    </w:rPr>
  </w:style>
  <w:style w:type="paragraph" w:customStyle="1" w:styleId="JuListi">
    <w:name w:val="Ju_List_i"/>
    <w:basedOn w:val="Normalny"/>
    <w:next w:val="JuLista"/>
    <w:uiPriority w:val="28"/>
    <w:qFormat/>
    <w:rsid w:val="00171A6F"/>
    <w:pPr>
      <w:ind w:left="794"/>
    </w:pPr>
  </w:style>
  <w:style w:type="paragraph" w:customStyle="1" w:styleId="OpiHa0">
    <w:name w:val="Opi_H_a"/>
    <w:basedOn w:val="ECHRHeading3"/>
    <w:uiPriority w:val="43"/>
    <w:semiHidden/>
    <w:qFormat/>
    <w:rsid w:val="00171A6F"/>
    <w:pPr>
      <w:ind w:left="833" w:hanging="357"/>
      <w:outlineLvl w:val="3"/>
    </w:pPr>
    <w:rPr>
      <w:b/>
      <w:i w:val="0"/>
      <w:sz w:val="20"/>
    </w:rPr>
  </w:style>
  <w:style w:type="paragraph" w:customStyle="1" w:styleId="OpiHi">
    <w:name w:val="Opi_H_i"/>
    <w:basedOn w:val="ECHRHeading4"/>
    <w:uiPriority w:val="44"/>
    <w:semiHidden/>
    <w:qFormat/>
    <w:rsid w:val="00171A6F"/>
    <w:pPr>
      <w:ind w:left="1037" w:hanging="357"/>
      <w:outlineLvl w:val="4"/>
    </w:pPr>
    <w:rPr>
      <w:b w:val="0"/>
      <w:i/>
    </w:rPr>
  </w:style>
  <w:style w:type="paragraph" w:customStyle="1" w:styleId="DummyStyle">
    <w:name w:val="Dummy_Style"/>
    <w:basedOn w:val="Normalny"/>
    <w:semiHidden/>
    <w:qFormat/>
    <w:rsid w:val="00171A6F"/>
    <w:rPr>
      <w:color w:val="00B050"/>
      <w:lang w:bidi="en-US"/>
    </w:rPr>
  </w:style>
  <w:style w:type="paragraph" w:customStyle="1" w:styleId="ECHRFooter">
    <w:name w:val="ECHR_Footer"/>
    <w:aliases w:val="Footer_ECHR"/>
    <w:basedOn w:val="Stopka"/>
    <w:uiPriority w:val="57"/>
    <w:semiHidden/>
    <w:rsid w:val="00171A6F"/>
    <w:pPr>
      <w:jc w:val="left"/>
    </w:pPr>
    <w:rPr>
      <w:sz w:val="8"/>
    </w:rPr>
  </w:style>
  <w:style w:type="paragraph" w:customStyle="1" w:styleId="ECHRFooterLine">
    <w:name w:val="ECHR_Footer_Line"/>
    <w:aliases w:val="Footer_Line"/>
    <w:basedOn w:val="Normalny"/>
    <w:next w:val="ECHRFooter"/>
    <w:uiPriority w:val="57"/>
    <w:semiHidden/>
    <w:rsid w:val="00171A6F"/>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ny"/>
    <w:next w:val="ECHRPara"/>
    <w:uiPriority w:val="8"/>
    <w:qFormat/>
    <w:rsid w:val="00171A6F"/>
    <w:pPr>
      <w:spacing w:after="240"/>
      <w:jc w:val="center"/>
      <w:outlineLvl w:val="0"/>
    </w:pPr>
    <w:rPr>
      <w:rFonts w:asciiTheme="majorHAnsi" w:hAnsiTheme="majorHAnsi"/>
    </w:rPr>
  </w:style>
  <w:style w:type="character" w:customStyle="1" w:styleId="shorttext">
    <w:name w:val="short_text"/>
    <w:basedOn w:val="Domylnaczcionkaakapitu"/>
    <w:rsid w:val="007A337C"/>
  </w:style>
  <w:style w:type="paragraph" w:customStyle="1" w:styleId="Standard">
    <w:name w:val="Standard"/>
    <w:rsid w:val="00F76D75"/>
    <w:pPr>
      <w:widowControl w:val="0"/>
      <w:suppressAutoHyphens/>
      <w:autoSpaceDN w:val="0"/>
      <w:textAlignment w:val="baseline"/>
    </w:pPr>
    <w:rPr>
      <w:rFonts w:ascii="Times New Roman" w:eastAsia="SimSun" w:hAnsi="Times New Roman" w:cs="Mangal"/>
      <w:kern w:val="3"/>
      <w:sz w:val="24"/>
      <w:szCs w:val="24"/>
      <w:lang w:val="pl-PL" w:eastAsia="zh-CN" w:bidi="hi-IN"/>
    </w:rPr>
  </w:style>
  <w:style w:type="paragraph" w:customStyle="1" w:styleId="Textbody">
    <w:name w:val="Text body"/>
    <w:basedOn w:val="Standard"/>
    <w:rsid w:val="00F76D75"/>
    <w:pPr>
      <w:spacing w:after="120"/>
    </w:pPr>
  </w:style>
  <w:style w:type="character" w:customStyle="1" w:styleId="s4f807e54">
    <w:name w:val="s4f807e54"/>
    <w:basedOn w:val="Domylnaczcionkaakapitu"/>
    <w:uiPriority w:val="99"/>
    <w:rsid w:val="0048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85761">
      <w:bodyDiv w:val="1"/>
      <w:marLeft w:val="0"/>
      <w:marRight w:val="0"/>
      <w:marTop w:val="0"/>
      <w:marBottom w:val="0"/>
      <w:divBdr>
        <w:top w:val="none" w:sz="0" w:space="0" w:color="auto"/>
        <w:left w:val="none" w:sz="0" w:space="0" w:color="auto"/>
        <w:bottom w:val="none" w:sz="0" w:space="0" w:color="auto"/>
        <w:right w:val="none" w:sz="0" w:space="0" w:color="auto"/>
      </w:divBdr>
      <w:divsChild>
        <w:div w:id="1714308510">
          <w:marLeft w:val="0"/>
          <w:marRight w:val="0"/>
          <w:marTop w:val="0"/>
          <w:marBottom w:val="0"/>
          <w:divBdr>
            <w:top w:val="none" w:sz="0" w:space="0" w:color="auto"/>
            <w:left w:val="none" w:sz="0" w:space="0" w:color="auto"/>
            <w:bottom w:val="none" w:sz="0" w:space="0" w:color="auto"/>
            <w:right w:val="none" w:sz="0" w:space="0" w:color="auto"/>
          </w:divBdr>
          <w:divsChild>
            <w:div w:id="639192896">
              <w:marLeft w:val="0"/>
              <w:marRight w:val="60"/>
              <w:marTop w:val="0"/>
              <w:marBottom w:val="0"/>
              <w:divBdr>
                <w:top w:val="none" w:sz="0" w:space="0" w:color="auto"/>
                <w:left w:val="none" w:sz="0" w:space="0" w:color="auto"/>
                <w:bottom w:val="none" w:sz="0" w:space="0" w:color="auto"/>
                <w:right w:val="none" w:sz="0" w:space="0" w:color="auto"/>
              </w:divBdr>
              <w:divsChild>
                <w:div w:id="476144544">
                  <w:marLeft w:val="0"/>
                  <w:marRight w:val="0"/>
                  <w:marTop w:val="0"/>
                  <w:marBottom w:val="120"/>
                  <w:divBdr>
                    <w:top w:val="single" w:sz="6" w:space="0" w:color="C0C0C0"/>
                    <w:left w:val="single" w:sz="6" w:space="0" w:color="D9D9D9"/>
                    <w:bottom w:val="single" w:sz="6" w:space="0" w:color="D9D9D9"/>
                    <w:right w:val="single" w:sz="6" w:space="0" w:color="D9D9D9"/>
                  </w:divBdr>
                  <w:divsChild>
                    <w:div w:id="1475760374">
                      <w:marLeft w:val="0"/>
                      <w:marRight w:val="0"/>
                      <w:marTop w:val="0"/>
                      <w:marBottom w:val="0"/>
                      <w:divBdr>
                        <w:top w:val="none" w:sz="0" w:space="0" w:color="auto"/>
                        <w:left w:val="none" w:sz="0" w:space="0" w:color="auto"/>
                        <w:bottom w:val="none" w:sz="0" w:space="0" w:color="auto"/>
                        <w:right w:val="none" w:sz="0" w:space="0" w:color="auto"/>
                      </w:divBdr>
                    </w:div>
                    <w:div w:id="5212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3117">
          <w:marLeft w:val="0"/>
          <w:marRight w:val="0"/>
          <w:marTop w:val="0"/>
          <w:marBottom w:val="0"/>
          <w:divBdr>
            <w:top w:val="none" w:sz="0" w:space="0" w:color="auto"/>
            <w:left w:val="none" w:sz="0" w:space="0" w:color="auto"/>
            <w:bottom w:val="none" w:sz="0" w:space="0" w:color="auto"/>
            <w:right w:val="none" w:sz="0" w:space="0" w:color="auto"/>
          </w:divBdr>
          <w:divsChild>
            <w:div w:id="1923444097">
              <w:marLeft w:val="60"/>
              <w:marRight w:val="0"/>
              <w:marTop w:val="0"/>
              <w:marBottom w:val="0"/>
              <w:divBdr>
                <w:top w:val="none" w:sz="0" w:space="0" w:color="auto"/>
                <w:left w:val="none" w:sz="0" w:space="0" w:color="auto"/>
                <w:bottom w:val="none" w:sz="0" w:space="0" w:color="auto"/>
                <w:right w:val="none" w:sz="0" w:space="0" w:color="auto"/>
              </w:divBdr>
              <w:divsChild>
                <w:div w:id="736511624">
                  <w:marLeft w:val="0"/>
                  <w:marRight w:val="0"/>
                  <w:marTop w:val="0"/>
                  <w:marBottom w:val="0"/>
                  <w:divBdr>
                    <w:top w:val="none" w:sz="0" w:space="0" w:color="auto"/>
                    <w:left w:val="none" w:sz="0" w:space="0" w:color="auto"/>
                    <w:bottom w:val="none" w:sz="0" w:space="0" w:color="auto"/>
                    <w:right w:val="none" w:sz="0" w:space="0" w:color="auto"/>
                  </w:divBdr>
                  <w:divsChild>
                    <w:div w:id="787309369">
                      <w:marLeft w:val="0"/>
                      <w:marRight w:val="0"/>
                      <w:marTop w:val="0"/>
                      <w:marBottom w:val="750"/>
                      <w:divBdr>
                        <w:top w:val="single" w:sz="6" w:space="0" w:color="F5F5F5"/>
                        <w:left w:val="single" w:sz="6" w:space="0" w:color="F5F5F5"/>
                        <w:bottom w:val="single" w:sz="6" w:space="0" w:color="F5F5F5"/>
                        <w:right w:val="single" w:sz="6" w:space="0" w:color="F5F5F5"/>
                      </w:divBdr>
                      <w:divsChild>
                        <w:div w:id="1866557672">
                          <w:marLeft w:val="0"/>
                          <w:marRight w:val="0"/>
                          <w:marTop w:val="0"/>
                          <w:marBottom w:val="0"/>
                          <w:divBdr>
                            <w:top w:val="none" w:sz="0" w:space="0" w:color="auto"/>
                            <w:left w:val="none" w:sz="0" w:space="0" w:color="auto"/>
                            <w:bottom w:val="none" w:sz="0" w:space="0" w:color="auto"/>
                            <w:right w:val="none" w:sz="0" w:space="0" w:color="auto"/>
                          </w:divBdr>
                          <w:divsChild>
                            <w:div w:id="17425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6755">
      <w:bodyDiv w:val="1"/>
      <w:marLeft w:val="0"/>
      <w:marRight w:val="0"/>
      <w:marTop w:val="0"/>
      <w:marBottom w:val="0"/>
      <w:divBdr>
        <w:top w:val="none" w:sz="0" w:space="0" w:color="auto"/>
        <w:left w:val="none" w:sz="0" w:space="0" w:color="auto"/>
        <w:bottom w:val="none" w:sz="0" w:space="0" w:color="auto"/>
        <w:right w:val="none" w:sz="0" w:space="0" w:color="auto"/>
      </w:divBdr>
      <w:divsChild>
        <w:div w:id="1563102573">
          <w:marLeft w:val="0"/>
          <w:marRight w:val="0"/>
          <w:marTop w:val="0"/>
          <w:marBottom w:val="0"/>
          <w:divBdr>
            <w:top w:val="none" w:sz="0" w:space="0" w:color="auto"/>
            <w:left w:val="none" w:sz="0" w:space="0" w:color="auto"/>
            <w:bottom w:val="none" w:sz="0" w:space="0" w:color="auto"/>
            <w:right w:val="none" w:sz="0" w:space="0" w:color="auto"/>
          </w:divBdr>
        </w:div>
        <w:div w:id="592662838">
          <w:marLeft w:val="0"/>
          <w:marRight w:val="0"/>
          <w:marTop w:val="0"/>
          <w:marBottom w:val="0"/>
          <w:divBdr>
            <w:top w:val="none" w:sz="0" w:space="0" w:color="auto"/>
            <w:left w:val="none" w:sz="0" w:space="0" w:color="auto"/>
            <w:bottom w:val="none" w:sz="0" w:space="0" w:color="auto"/>
            <w:right w:val="none" w:sz="0" w:space="0" w:color="auto"/>
          </w:divBdr>
        </w:div>
      </w:divsChild>
    </w:div>
    <w:div w:id="1088112446">
      <w:bodyDiv w:val="1"/>
      <w:marLeft w:val="0"/>
      <w:marRight w:val="0"/>
      <w:marTop w:val="0"/>
      <w:marBottom w:val="0"/>
      <w:divBdr>
        <w:top w:val="none" w:sz="0" w:space="0" w:color="auto"/>
        <w:left w:val="none" w:sz="0" w:space="0" w:color="auto"/>
        <w:bottom w:val="none" w:sz="0" w:space="0" w:color="auto"/>
        <w:right w:val="none" w:sz="0" w:space="0" w:color="auto"/>
      </w:divBdr>
      <w:divsChild>
        <w:div w:id="887759508">
          <w:marLeft w:val="0"/>
          <w:marRight w:val="0"/>
          <w:marTop w:val="0"/>
          <w:marBottom w:val="0"/>
          <w:divBdr>
            <w:top w:val="none" w:sz="0" w:space="0" w:color="auto"/>
            <w:left w:val="none" w:sz="0" w:space="0" w:color="auto"/>
            <w:bottom w:val="none" w:sz="0" w:space="0" w:color="auto"/>
            <w:right w:val="none" w:sz="0" w:space="0" w:color="auto"/>
          </w:divBdr>
          <w:divsChild>
            <w:div w:id="69546946">
              <w:marLeft w:val="0"/>
              <w:marRight w:val="60"/>
              <w:marTop w:val="0"/>
              <w:marBottom w:val="0"/>
              <w:divBdr>
                <w:top w:val="none" w:sz="0" w:space="0" w:color="auto"/>
                <w:left w:val="none" w:sz="0" w:space="0" w:color="auto"/>
                <w:bottom w:val="none" w:sz="0" w:space="0" w:color="auto"/>
                <w:right w:val="none" w:sz="0" w:space="0" w:color="auto"/>
              </w:divBdr>
              <w:divsChild>
                <w:div w:id="2086954878">
                  <w:marLeft w:val="0"/>
                  <w:marRight w:val="0"/>
                  <w:marTop w:val="0"/>
                  <w:marBottom w:val="120"/>
                  <w:divBdr>
                    <w:top w:val="single" w:sz="6" w:space="0" w:color="C0C0C0"/>
                    <w:left w:val="single" w:sz="6" w:space="0" w:color="D9D9D9"/>
                    <w:bottom w:val="single" w:sz="6" w:space="0" w:color="D9D9D9"/>
                    <w:right w:val="single" w:sz="6" w:space="0" w:color="D9D9D9"/>
                  </w:divBdr>
                  <w:divsChild>
                    <w:div w:id="428162377">
                      <w:marLeft w:val="0"/>
                      <w:marRight w:val="0"/>
                      <w:marTop w:val="0"/>
                      <w:marBottom w:val="0"/>
                      <w:divBdr>
                        <w:top w:val="none" w:sz="0" w:space="0" w:color="auto"/>
                        <w:left w:val="none" w:sz="0" w:space="0" w:color="auto"/>
                        <w:bottom w:val="none" w:sz="0" w:space="0" w:color="auto"/>
                        <w:right w:val="none" w:sz="0" w:space="0" w:color="auto"/>
                      </w:divBdr>
                    </w:div>
                    <w:div w:id="8388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6248">
          <w:marLeft w:val="0"/>
          <w:marRight w:val="0"/>
          <w:marTop w:val="0"/>
          <w:marBottom w:val="0"/>
          <w:divBdr>
            <w:top w:val="none" w:sz="0" w:space="0" w:color="auto"/>
            <w:left w:val="none" w:sz="0" w:space="0" w:color="auto"/>
            <w:bottom w:val="none" w:sz="0" w:space="0" w:color="auto"/>
            <w:right w:val="none" w:sz="0" w:space="0" w:color="auto"/>
          </w:divBdr>
          <w:divsChild>
            <w:div w:id="1143348858">
              <w:marLeft w:val="60"/>
              <w:marRight w:val="0"/>
              <w:marTop w:val="0"/>
              <w:marBottom w:val="0"/>
              <w:divBdr>
                <w:top w:val="none" w:sz="0" w:space="0" w:color="auto"/>
                <w:left w:val="none" w:sz="0" w:space="0" w:color="auto"/>
                <w:bottom w:val="none" w:sz="0" w:space="0" w:color="auto"/>
                <w:right w:val="none" w:sz="0" w:space="0" w:color="auto"/>
              </w:divBdr>
              <w:divsChild>
                <w:div w:id="955646244">
                  <w:marLeft w:val="0"/>
                  <w:marRight w:val="0"/>
                  <w:marTop w:val="0"/>
                  <w:marBottom w:val="0"/>
                  <w:divBdr>
                    <w:top w:val="none" w:sz="0" w:space="0" w:color="auto"/>
                    <w:left w:val="none" w:sz="0" w:space="0" w:color="auto"/>
                    <w:bottom w:val="none" w:sz="0" w:space="0" w:color="auto"/>
                    <w:right w:val="none" w:sz="0" w:space="0" w:color="auto"/>
                  </w:divBdr>
                  <w:divsChild>
                    <w:div w:id="749351511">
                      <w:marLeft w:val="0"/>
                      <w:marRight w:val="0"/>
                      <w:marTop w:val="0"/>
                      <w:marBottom w:val="750"/>
                      <w:divBdr>
                        <w:top w:val="single" w:sz="6" w:space="0" w:color="F5F5F5"/>
                        <w:left w:val="single" w:sz="6" w:space="0" w:color="F5F5F5"/>
                        <w:bottom w:val="single" w:sz="6" w:space="0" w:color="F5F5F5"/>
                        <w:right w:val="single" w:sz="6" w:space="0" w:color="F5F5F5"/>
                      </w:divBdr>
                      <w:divsChild>
                        <w:div w:id="743990720">
                          <w:marLeft w:val="0"/>
                          <w:marRight w:val="0"/>
                          <w:marTop w:val="0"/>
                          <w:marBottom w:val="0"/>
                          <w:divBdr>
                            <w:top w:val="none" w:sz="0" w:space="0" w:color="auto"/>
                            <w:left w:val="none" w:sz="0" w:space="0" w:color="auto"/>
                            <w:bottom w:val="none" w:sz="0" w:space="0" w:color="auto"/>
                            <w:right w:val="none" w:sz="0" w:space="0" w:color="auto"/>
                          </w:divBdr>
                          <w:divsChild>
                            <w:div w:id="3628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087944">
      <w:bodyDiv w:val="1"/>
      <w:marLeft w:val="0"/>
      <w:marRight w:val="0"/>
      <w:marTop w:val="0"/>
      <w:marBottom w:val="0"/>
      <w:divBdr>
        <w:top w:val="none" w:sz="0" w:space="0" w:color="auto"/>
        <w:left w:val="none" w:sz="0" w:space="0" w:color="auto"/>
        <w:bottom w:val="none" w:sz="0" w:space="0" w:color="auto"/>
        <w:right w:val="none" w:sz="0" w:space="0" w:color="auto"/>
      </w:divBdr>
      <w:divsChild>
        <w:div w:id="571935338">
          <w:marLeft w:val="0"/>
          <w:marRight w:val="0"/>
          <w:marTop w:val="0"/>
          <w:marBottom w:val="0"/>
          <w:divBdr>
            <w:top w:val="none" w:sz="0" w:space="0" w:color="auto"/>
            <w:left w:val="none" w:sz="0" w:space="0" w:color="auto"/>
            <w:bottom w:val="none" w:sz="0" w:space="0" w:color="auto"/>
            <w:right w:val="none" w:sz="0" w:space="0" w:color="auto"/>
          </w:divBdr>
          <w:divsChild>
            <w:div w:id="951402872">
              <w:marLeft w:val="0"/>
              <w:marRight w:val="60"/>
              <w:marTop w:val="0"/>
              <w:marBottom w:val="0"/>
              <w:divBdr>
                <w:top w:val="none" w:sz="0" w:space="0" w:color="auto"/>
                <w:left w:val="none" w:sz="0" w:space="0" w:color="auto"/>
                <w:bottom w:val="none" w:sz="0" w:space="0" w:color="auto"/>
                <w:right w:val="none" w:sz="0" w:space="0" w:color="auto"/>
              </w:divBdr>
              <w:divsChild>
                <w:div w:id="449128949">
                  <w:marLeft w:val="0"/>
                  <w:marRight w:val="0"/>
                  <w:marTop w:val="0"/>
                  <w:marBottom w:val="120"/>
                  <w:divBdr>
                    <w:top w:val="single" w:sz="6" w:space="0" w:color="C0C0C0"/>
                    <w:left w:val="single" w:sz="6" w:space="0" w:color="D9D9D9"/>
                    <w:bottom w:val="single" w:sz="6" w:space="0" w:color="D9D9D9"/>
                    <w:right w:val="single" w:sz="6" w:space="0" w:color="D9D9D9"/>
                  </w:divBdr>
                  <w:divsChild>
                    <w:div w:id="2034724471">
                      <w:marLeft w:val="0"/>
                      <w:marRight w:val="0"/>
                      <w:marTop w:val="0"/>
                      <w:marBottom w:val="0"/>
                      <w:divBdr>
                        <w:top w:val="none" w:sz="0" w:space="0" w:color="auto"/>
                        <w:left w:val="none" w:sz="0" w:space="0" w:color="auto"/>
                        <w:bottom w:val="none" w:sz="0" w:space="0" w:color="auto"/>
                        <w:right w:val="none" w:sz="0" w:space="0" w:color="auto"/>
                      </w:divBdr>
                    </w:div>
                    <w:div w:id="17858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22829">
          <w:marLeft w:val="0"/>
          <w:marRight w:val="0"/>
          <w:marTop w:val="0"/>
          <w:marBottom w:val="0"/>
          <w:divBdr>
            <w:top w:val="none" w:sz="0" w:space="0" w:color="auto"/>
            <w:left w:val="none" w:sz="0" w:space="0" w:color="auto"/>
            <w:bottom w:val="none" w:sz="0" w:space="0" w:color="auto"/>
            <w:right w:val="none" w:sz="0" w:space="0" w:color="auto"/>
          </w:divBdr>
          <w:divsChild>
            <w:div w:id="726537457">
              <w:marLeft w:val="60"/>
              <w:marRight w:val="0"/>
              <w:marTop w:val="0"/>
              <w:marBottom w:val="0"/>
              <w:divBdr>
                <w:top w:val="none" w:sz="0" w:space="0" w:color="auto"/>
                <w:left w:val="none" w:sz="0" w:space="0" w:color="auto"/>
                <w:bottom w:val="none" w:sz="0" w:space="0" w:color="auto"/>
                <w:right w:val="none" w:sz="0" w:space="0" w:color="auto"/>
              </w:divBdr>
              <w:divsChild>
                <w:div w:id="1452162744">
                  <w:marLeft w:val="0"/>
                  <w:marRight w:val="0"/>
                  <w:marTop w:val="0"/>
                  <w:marBottom w:val="0"/>
                  <w:divBdr>
                    <w:top w:val="none" w:sz="0" w:space="0" w:color="auto"/>
                    <w:left w:val="none" w:sz="0" w:space="0" w:color="auto"/>
                    <w:bottom w:val="none" w:sz="0" w:space="0" w:color="auto"/>
                    <w:right w:val="none" w:sz="0" w:space="0" w:color="auto"/>
                  </w:divBdr>
                  <w:divsChild>
                    <w:div w:id="593517426">
                      <w:marLeft w:val="0"/>
                      <w:marRight w:val="0"/>
                      <w:marTop w:val="0"/>
                      <w:marBottom w:val="750"/>
                      <w:divBdr>
                        <w:top w:val="single" w:sz="6" w:space="0" w:color="F5F5F5"/>
                        <w:left w:val="single" w:sz="6" w:space="0" w:color="F5F5F5"/>
                        <w:bottom w:val="single" w:sz="6" w:space="0" w:color="F5F5F5"/>
                        <w:right w:val="single" w:sz="6" w:space="0" w:color="F5F5F5"/>
                      </w:divBdr>
                      <w:divsChild>
                        <w:div w:id="1181507528">
                          <w:marLeft w:val="0"/>
                          <w:marRight w:val="0"/>
                          <w:marTop w:val="0"/>
                          <w:marBottom w:val="0"/>
                          <w:divBdr>
                            <w:top w:val="none" w:sz="0" w:space="0" w:color="auto"/>
                            <w:left w:val="none" w:sz="0" w:space="0" w:color="auto"/>
                            <w:bottom w:val="none" w:sz="0" w:space="0" w:color="auto"/>
                            <w:right w:val="none" w:sz="0" w:space="0" w:color="auto"/>
                          </w:divBdr>
                          <w:divsChild>
                            <w:div w:id="2307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896503248">
      <w:bodyDiv w:val="1"/>
      <w:marLeft w:val="0"/>
      <w:marRight w:val="0"/>
      <w:marTop w:val="0"/>
      <w:marBottom w:val="0"/>
      <w:divBdr>
        <w:top w:val="none" w:sz="0" w:space="0" w:color="auto"/>
        <w:left w:val="none" w:sz="0" w:space="0" w:color="auto"/>
        <w:bottom w:val="none" w:sz="0" w:space="0" w:color="auto"/>
        <w:right w:val="none" w:sz="0" w:space="0" w:color="auto"/>
      </w:divBdr>
      <w:divsChild>
        <w:div w:id="2012642293">
          <w:marLeft w:val="0"/>
          <w:marRight w:val="0"/>
          <w:marTop w:val="0"/>
          <w:marBottom w:val="0"/>
          <w:divBdr>
            <w:top w:val="none" w:sz="0" w:space="0" w:color="auto"/>
            <w:left w:val="none" w:sz="0" w:space="0" w:color="auto"/>
            <w:bottom w:val="none" w:sz="0" w:space="0" w:color="auto"/>
            <w:right w:val="none" w:sz="0" w:space="0" w:color="auto"/>
          </w:divBdr>
        </w:div>
        <w:div w:id="160893530">
          <w:marLeft w:val="0"/>
          <w:marRight w:val="0"/>
          <w:marTop w:val="0"/>
          <w:marBottom w:val="0"/>
          <w:divBdr>
            <w:top w:val="none" w:sz="0" w:space="0" w:color="auto"/>
            <w:left w:val="none" w:sz="0" w:space="0" w:color="auto"/>
            <w:bottom w:val="none" w:sz="0" w:space="0" w:color="auto"/>
            <w:right w:val="none" w:sz="0" w:space="0" w:color="auto"/>
          </w:divBdr>
        </w:div>
        <w:div w:id="414397735">
          <w:marLeft w:val="0"/>
          <w:marRight w:val="0"/>
          <w:marTop w:val="0"/>
          <w:marBottom w:val="0"/>
          <w:divBdr>
            <w:top w:val="none" w:sz="0" w:space="0" w:color="auto"/>
            <w:left w:val="none" w:sz="0" w:space="0" w:color="auto"/>
            <w:bottom w:val="none" w:sz="0" w:space="0" w:color="auto"/>
            <w:right w:val="none" w:sz="0" w:space="0" w:color="auto"/>
          </w:divBdr>
        </w:div>
        <w:div w:id="1024093665">
          <w:marLeft w:val="0"/>
          <w:marRight w:val="0"/>
          <w:marTop w:val="0"/>
          <w:marBottom w:val="0"/>
          <w:divBdr>
            <w:top w:val="none" w:sz="0" w:space="0" w:color="auto"/>
            <w:left w:val="none" w:sz="0" w:space="0" w:color="auto"/>
            <w:bottom w:val="none" w:sz="0" w:space="0" w:color="auto"/>
            <w:right w:val="none" w:sz="0" w:space="0" w:color="auto"/>
          </w:divBdr>
        </w:div>
        <w:div w:id="9725099">
          <w:marLeft w:val="0"/>
          <w:marRight w:val="0"/>
          <w:marTop w:val="0"/>
          <w:marBottom w:val="0"/>
          <w:divBdr>
            <w:top w:val="none" w:sz="0" w:space="0" w:color="auto"/>
            <w:left w:val="none" w:sz="0" w:space="0" w:color="auto"/>
            <w:bottom w:val="none" w:sz="0" w:space="0" w:color="auto"/>
            <w:right w:val="none" w:sz="0" w:space="0" w:color="auto"/>
          </w:divBdr>
        </w:div>
        <w:div w:id="568418324">
          <w:marLeft w:val="0"/>
          <w:marRight w:val="0"/>
          <w:marTop w:val="0"/>
          <w:marBottom w:val="0"/>
          <w:divBdr>
            <w:top w:val="none" w:sz="0" w:space="0" w:color="auto"/>
            <w:left w:val="none" w:sz="0" w:space="0" w:color="auto"/>
            <w:bottom w:val="none" w:sz="0" w:space="0" w:color="auto"/>
            <w:right w:val="none" w:sz="0" w:space="0" w:color="auto"/>
          </w:divBdr>
        </w:div>
      </w:divsChild>
    </w:div>
    <w:div w:id="1914779395">
      <w:bodyDiv w:val="1"/>
      <w:marLeft w:val="0"/>
      <w:marRight w:val="0"/>
      <w:marTop w:val="0"/>
      <w:marBottom w:val="0"/>
      <w:divBdr>
        <w:top w:val="none" w:sz="0" w:space="0" w:color="auto"/>
        <w:left w:val="none" w:sz="0" w:space="0" w:color="auto"/>
        <w:bottom w:val="none" w:sz="0" w:space="0" w:color="auto"/>
        <w:right w:val="none" w:sz="0" w:space="0" w:color="auto"/>
      </w:divBdr>
      <w:divsChild>
        <w:div w:id="2114664668">
          <w:marLeft w:val="0"/>
          <w:marRight w:val="0"/>
          <w:marTop w:val="0"/>
          <w:marBottom w:val="0"/>
          <w:divBdr>
            <w:top w:val="none" w:sz="0" w:space="0" w:color="auto"/>
            <w:left w:val="none" w:sz="0" w:space="0" w:color="auto"/>
            <w:bottom w:val="none" w:sz="0" w:space="0" w:color="auto"/>
            <w:right w:val="none" w:sz="0" w:space="0" w:color="auto"/>
          </w:divBdr>
          <w:divsChild>
            <w:div w:id="1355300621">
              <w:marLeft w:val="0"/>
              <w:marRight w:val="60"/>
              <w:marTop w:val="0"/>
              <w:marBottom w:val="0"/>
              <w:divBdr>
                <w:top w:val="none" w:sz="0" w:space="0" w:color="auto"/>
                <w:left w:val="none" w:sz="0" w:space="0" w:color="auto"/>
                <w:bottom w:val="none" w:sz="0" w:space="0" w:color="auto"/>
                <w:right w:val="none" w:sz="0" w:space="0" w:color="auto"/>
              </w:divBdr>
              <w:divsChild>
                <w:div w:id="1578007456">
                  <w:marLeft w:val="0"/>
                  <w:marRight w:val="0"/>
                  <w:marTop w:val="0"/>
                  <w:marBottom w:val="120"/>
                  <w:divBdr>
                    <w:top w:val="single" w:sz="6" w:space="0" w:color="C0C0C0"/>
                    <w:left w:val="single" w:sz="6" w:space="0" w:color="D9D9D9"/>
                    <w:bottom w:val="single" w:sz="6" w:space="0" w:color="D9D9D9"/>
                    <w:right w:val="single" w:sz="6" w:space="0" w:color="D9D9D9"/>
                  </w:divBdr>
                  <w:divsChild>
                    <w:div w:id="1123380839">
                      <w:marLeft w:val="0"/>
                      <w:marRight w:val="0"/>
                      <w:marTop w:val="0"/>
                      <w:marBottom w:val="0"/>
                      <w:divBdr>
                        <w:top w:val="none" w:sz="0" w:space="0" w:color="auto"/>
                        <w:left w:val="none" w:sz="0" w:space="0" w:color="auto"/>
                        <w:bottom w:val="none" w:sz="0" w:space="0" w:color="auto"/>
                        <w:right w:val="none" w:sz="0" w:space="0" w:color="auto"/>
                      </w:divBdr>
                    </w:div>
                    <w:div w:id="34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50243">
          <w:marLeft w:val="0"/>
          <w:marRight w:val="0"/>
          <w:marTop w:val="0"/>
          <w:marBottom w:val="0"/>
          <w:divBdr>
            <w:top w:val="none" w:sz="0" w:space="0" w:color="auto"/>
            <w:left w:val="none" w:sz="0" w:space="0" w:color="auto"/>
            <w:bottom w:val="none" w:sz="0" w:space="0" w:color="auto"/>
            <w:right w:val="none" w:sz="0" w:space="0" w:color="auto"/>
          </w:divBdr>
          <w:divsChild>
            <w:div w:id="122971161">
              <w:marLeft w:val="60"/>
              <w:marRight w:val="0"/>
              <w:marTop w:val="0"/>
              <w:marBottom w:val="0"/>
              <w:divBdr>
                <w:top w:val="none" w:sz="0" w:space="0" w:color="auto"/>
                <w:left w:val="none" w:sz="0" w:space="0" w:color="auto"/>
                <w:bottom w:val="none" w:sz="0" w:space="0" w:color="auto"/>
                <w:right w:val="none" w:sz="0" w:space="0" w:color="auto"/>
              </w:divBdr>
              <w:divsChild>
                <w:div w:id="158235537">
                  <w:marLeft w:val="0"/>
                  <w:marRight w:val="0"/>
                  <w:marTop w:val="0"/>
                  <w:marBottom w:val="0"/>
                  <w:divBdr>
                    <w:top w:val="none" w:sz="0" w:space="0" w:color="auto"/>
                    <w:left w:val="none" w:sz="0" w:space="0" w:color="auto"/>
                    <w:bottom w:val="none" w:sz="0" w:space="0" w:color="auto"/>
                    <w:right w:val="none" w:sz="0" w:space="0" w:color="auto"/>
                  </w:divBdr>
                  <w:divsChild>
                    <w:div w:id="997613071">
                      <w:marLeft w:val="0"/>
                      <w:marRight w:val="0"/>
                      <w:marTop w:val="0"/>
                      <w:marBottom w:val="750"/>
                      <w:divBdr>
                        <w:top w:val="single" w:sz="6" w:space="0" w:color="F5F5F5"/>
                        <w:left w:val="single" w:sz="6" w:space="0" w:color="F5F5F5"/>
                        <w:bottom w:val="single" w:sz="6" w:space="0" w:color="F5F5F5"/>
                        <w:right w:val="single" w:sz="6" w:space="0" w:color="F5F5F5"/>
                      </w:divBdr>
                      <w:divsChild>
                        <w:div w:id="488331595">
                          <w:marLeft w:val="0"/>
                          <w:marRight w:val="0"/>
                          <w:marTop w:val="0"/>
                          <w:marBottom w:val="0"/>
                          <w:divBdr>
                            <w:top w:val="none" w:sz="0" w:space="0" w:color="auto"/>
                            <w:left w:val="none" w:sz="0" w:space="0" w:color="auto"/>
                            <w:bottom w:val="none" w:sz="0" w:space="0" w:color="auto"/>
                            <w:right w:val="none" w:sz="0" w:space="0" w:color="auto"/>
                          </w:divBdr>
                          <w:divsChild>
                            <w:div w:id="18208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texas.edu/law/academics/centers/transnational/work_new/german/case.php?id=726" TargetMode="External"/><Relationship Id="rId2" Type="http://schemas.openxmlformats.org/officeDocument/2006/relationships/hyperlink" Target="http://boutique.lexisnexis.fr/jcshop3/355401/fiche_produit.htm" TargetMode="External"/><Relationship Id="rId1" Type="http://schemas.openxmlformats.org/officeDocument/2006/relationships/hyperlink" Target="http://www.jstor.org/stable/1321160?origin=JSTOR-pdf&amp;seq=1" TargetMode="External"/><Relationship Id="rId5" Type="http://schemas.openxmlformats.org/officeDocument/2006/relationships/hyperlink" Target="http://www.ohchr.org/EN/NewsEvents/Pages/DisplayNews.aspx?NewsID=15716&amp;LangID=E" TargetMode="External"/><Relationship Id="rId4" Type="http://schemas.openxmlformats.org/officeDocument/2006/relationships/hyperlink" Target="http://hudoc.echr.coe.int/sites/eng/pages/search.aspx?i=001-1266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6439-7DE8-43C3-BDA8-813725C9D8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491D97-7FFE-4128-AC23-C1B2B185CD06}">
  <ds:schemaRefs>
    <ds:schemaRef ds:uri="http://schemas.microsoft.com/sharepoint/v3/contenttype/forms"/>
  </ds:schemaRefs>
</ds:datastoreItem>
</file>

<file path=customXml/itemProps3.xml><?xml version="1.0" encoding="utf-8"?>
<ds:datastoreItem xmlns:ds="http://schemas.openxmlformats.org/officeDocument/2006/customXml" ds:itemID="{0F0070E1-E06B-47EA-A586-93C0FBAA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6D34FF-F2E3-4507-A5E6-13C8D42B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33373</Words>
  <Characters>200243</Characters>
  <Application>Microsoft Office Word</Application>
  <DocSecurity>0</DocSecurity>
  <Lines>1668</Lines>
  <Paragraphs>466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233150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2017-06-23T09:51:00Z</dcterms:created>
  <dcterms:modified xsi:type="dcterms:W3CDTF">2017-06-26T09:33:00Z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