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1769" w14:textId="77777777" w:rsidR="00931C85" w:rsidRPr="003407AD" w:rsidRDefault="00931C85" w:rsidP="00B82641">
      <w:pPr>
        <w:spacing w:after="0" w:line="276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8101824" wp14:editId="0C7AE430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311CD" w14:textId="77777777" w:rsidR="00931C85" w:rsidRPr="00EF342E" w:rsidRDefault="00931C85" w:rsidP="00B82641">
      <w:pPr>
        <w:spacing w:after="0" w:line="276" w:lineRule="auto"/>
        <w:jc w:val="center"/>
        <w:rPr>
          <w:rFonts w:ascii="Times New Roman" w:hAnsi="Times New Roman" w:cs="Times New Roman"/>
          <w:b/>
          <w:spacing w:val="120"/>
          <w:sz w:val="36"/>
          <w:szCs w:val="36"/>
        </w:rPr>
      </w:pPr>
      <w:r w:rsidRPr="00EF342E">
        <w:rPr>
          <w:rFonts w:ascii="Times New Roman" w:hAnsi="Times New Roman" w:cs="Times New Roman"/>
          <w:b/>
          <w:spacing w:val="120"/>
          <w:sz w:val="36"/>
          <w:szCs w:val="36"/>
        </w:rPr>
        <w:t>ZAPYTANIE OFERTOWE</w:t>
      </w:r>
    </w:p>
    <w:p w14:paraId="331ECC93" w14:textId="77777777" w:rsidR="00931C85" w:rsidRPr="003407AD" w:rsidRDefault="00931C85" w:rsidP="00B8264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9AFAD8" w14:textId="77777777" w:rsidR="00931C85" w:rsidRPr="005C253E" w:rsidRDefault="00931C85" w:rsidP="00B8264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37960956" w14:textId="77777777" w:rsidR="00931C85" w:rsidRPr="005C253E" w:rsidRDefault="00931C85" w:rsidP="00921015">
      <w:pPr>
        <w:pStyle w:val="Default"/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 xml:space="preserve">ówień publicznych (Dz. U. z 2023 r. poz. 1605, </w:t>
      </w:r>
      <w:r w:rsidRPr="007C6A83">
        <w:rPr>
          <w:rFonts w:ascii="Times New Roman" w:hAnsi="Times New Roman" w:cs="Times New Roman"/>
          <w:sz w:val="22"/>
          <w:szCs w:val="22"/>
        </w:rPr>
        <w:t>1720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11F0EC0E" w14:textId="77777777" w:rsidR="00931C85" w:rsidRPr="00250695" w:rsidRDefault="00931C85" w:rsidP="00921015">
      <w:pPr>
        <w:pStyle w:val="Default"/>
        <w:numPr>
          <w:ilvl w:val="0"/>
          <w:numId w:val="16"/>
        </w:num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629C9752" w14:textId="77777777" w:rsidR="00931C85" w:rsidRPr="005C253E" w:rsidRDefault="00931C85" w:rsidP="00B8264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2C661482" w14:textId="667AC702" w:rsidR="00A72F39" w:rsidRPr="00921015" w:rsidRDefault="00E823AE" w:rsidP="0092101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zamówienia jest świadczenie usług telefonii komórkowej i </w:t>
      </w:r>
      <w:r w:rsidR="00A72F39"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>Internetu</w:t>
      </w:r>
      <w:r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bezprzewodowego oraz dostawa kart SIM przeznaczonych do aparatów telefonicznych, pakietowej transmisji danych (Internetu bezprzewodowego) dla Generalnej Dyrekcji Ochrony Środowiska. </w:t>
      </w:r>
    </w:p>
    <w:p w14:paraId="632D9265" w14:textId="3635FDA2" w:rsidR="00931C85" w:rsidRPr="00921015" w:rsidRDefault="00E823AE" w:rsidP="0092101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Opis Przedmiotu Zamówienia stanowi załącznik nr 2 do Zapytania </w:t>
      </w:r>
      <w:r w:rsidR="00B82641"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>o</w:t>
      </w:r>
      <w:r w:rsidRPr="00921015">
        <w:rPr>
          <w:rFonts w:ascii="Times New Roman" w:hAnsi="Times New Roman" w:cs="Times New Roman"/>
          <w:bCs/>
          <w:snapToGrid w:val="0"/>
          <w:shd w:val="clear" w:color="auto" w:fill="FFFFFF"/>
        </w:rPr>
        <w:t>fertowego.</w:t>
      </w:r>
    </w:p>
    <w:p w14:paraId="66561E5B" w14:textId="77777777" w:rsidR="00931C85" w:rsidRPr="003407AD" w:rsidRDefault="00931C85" w:rsidP="00B8264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0D777F5" w14:textId="78ACDC8A" w:rsidR="00931C85" w:rsidRPr="00B82641" w:rsidRDefault="00E823AE" w:rsidP="00921015">
      <w:pPr>
        <w:pStyle w:val="Akapitzlist"/>
        <w:numPr>
          <w:ilvl w:val="0"/>
          <w:numId w:val="25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82641">
        <w:rPr>
          <w:rFonts w:ascii="Times New Roman" w:hAnsi="Times New Roman" w:cs="Times New Roman"/>
        </w:rPr>
        <w:t>Usługi świadczone będą od 1 września 2024 r. do 31 sierpnia 2026 r. albo do czasu wyczerpania kwoty wynagrodzenia maksymalnego, o której mowa w § 4 ust. 1</w:t>
      </w:r>
      <w:r w:rsidR="004F4AE6">
        <w:rPr>
          <w:rFonts w:ascii="Times New Roman" w:hAnsi="Times New Roman" w:cs="Times New Roman"/>
        </w:rPr>
        <w:t xml:space="preserve"> P</w:t>
      </w:r>
      <w:r w:rsidR="00250695" w:rsidRPr="00B82641">
        <w:rPr>
          <w:rFonts w:ascii="Times New Roman" w:hAnsi="Times New Roman" w:cs="Times New Roman"/>
        </w:rPr>
        <w:t>PU</w:t>
      </w:r>
      <w:r w:rsidRPr="00B82641">
        <w:rPr>
          <w:rFonts w:ascii="Times New Roman" w:hAnsi="Times New Roman" w:cs="Times New Roman"/>
        </w:rPr>
        <w:t>.</w:t>
      </w:r>
    </w:p>
    <w:p w14:paraId="05AC852E" w14:textId="48CEA047" w:rsidR="00B82641" w:rsidRPr="00B82641" w:rsidRDefault="00B82641" w:rsidP="00921015">
      <w:pPr>
        <w:pStyle w:val="Akapitzlist"/>
        <w:numPr>
          <w:ilvl w:val="0"/>
          <w:numId w:val="25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82641">
        <w:rPr>
          <w:rFonts w:ascii="Times New Roman" w:hAnsi="Times New Roman" w:cs="Times New Roman"/>
        </w:rPr>
        <w:t>Zamawiający zastrzega sobie, w ramach prawa opcji możliwość przedłużenia terminu realizacji Usług o maksymalnie dwa lata w sto</w:t>
      </w:r>
      <w:r>
        <w:rPr>
          <w:rFonts w:ascii="Times New Roman" w:hAnsi="Times New Roman" w:cs="Times New Roman"/>
        </w:rPr>
        <w:t xml:space="preserve">sunku do terminu wskazanego w </w:t>
      </w:r>
      <w:r w:rsidRPr="00B82641">
        <w:rPr>
          <w:rFonts w:ascii="Times New Roman" w:hAnsi="Times New Roman" w:cs="Times New Roman"/>
        </w:rPr>
        <w:t>ust. 1.</w:t>
      </w:r>
    </w:p>
    <w:p w14:paraId="65D93CBC" w14:textId="125E8629" w:rsidR="00931C85" w:rsidRPr="00921015" w:rsidRDefault="00931C85" w:rsidP="0092101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Warunki udziału w postępowaniu:</w:t>
      </w:r>
    </w:p>
    <w:p w14:paraId="59FBE312" w14:textId="35F53498" w:rsidR="00931C85" w:rsidRPr="0034566C" w:rsidRDefault="00931C85" w:rsidP="00921015">
      <w:pPr>
        <w:pStyle w:val="Akapitzlist"/>
        <w:numPr>
          <w:ilvl w:val="3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129AE">
        <w:rPr>
          <w:rFonts w:ascii="Times New Roman" w:hAnsi="Times New Roman" w:cs="Times New Roman"/>
        </w:rPr>
        <w:t xml:space="preserve">W postępowaniu mogą wziąć udział </w:t>
      </w:r>
      <w:r>
        <w:rPr>
          <w:rFonts w:ascii="Times New Roman" w:hAnsi="Times New Roman" w:cs="Times New Roman"/>
        </w:rPr>
        <w:t>w</w:t>
      </w:r>
      <w:r w:rsidRPr="00C129AE">
        <w:rPr>
          <w:rFonts w:ascii="Times New Roman" w:hAnsi="Times New Roman" w:cs="Times New Roman"/>
        </w:rPr>
        <w:t>ykonawcy, któ</w:t>
      </w:r>
      <w:r w:rsidR="00921015">
        <w:rPr>
          <w:rFonts w:ascii="Times New Roman" w:hAnsi="Times New Roman" w:cs="Times New Roman"/>
        </w:rPr>
        <w:t>rzy spełniają warunki dotyczące</w:t>
      </w:r>
      <w:r w:rsidR="00E823AE">
        <w:rPr>
          <w:rFonts w:ascii="Times New Roman" w:hAnsi="Times New Roman" w:cs="Times New Roman"/>
        </w:rPr>
        <w:t xml:space="preserve"> </w:t>
      </w:r>
      <w:r w:rsidRPr="00E823AE">
        <w:rPr>
          <w:rFonts w:ascii="Times New Roman" w:hAnsi="Times New Roman" w:cs="Times New Roman"/>
        </w:rPr>
        <w:t xml:space="preserve">uprawnień do prowadzenia określonej działalności gospodarczej </w:t>
      </w:r>
      <w:r w:rsidR="00E823AE">
        <w:rPr>
          <w:rFonts w:ascii="Times New Roman" w:hAnsi="Times New Roman" w:cs="Times New Roman"/>
        </w:rPr>
        <w:t xml:space="preserve">– </w:t>
      </w:r>
      <w:r w:rsidR="00E823AE" w:rsidRPr="00E823AE">
        <w:rPr>
          <w:rFonts w:ascii="Times New Roman" w:hAnsi="Times New Roman" w:cs="Times New Roman"/>
          <w:b/>
        </w:rPr>
        <w:t>posiadają wpis do rejestru przedsiębiorców telekomunikacyjnych prowadzonego przez Prezesa UKE, zgodnie z art. 10 ust. 1 ustawy z dnia 16 lipca 200</w:t>
      </w:r>
      <w:r w:rsidR="0034566C">
        <w:rPr>
          <w:rFonts w:ascii="Times New Roman" w:hAnsi="Times New Roman" w:cs="Times New Roman"/>
          <w:b/>
        </w:rPr>
        <w:t>4 r. Prawo telekomunikacyjne (</w:t>
      </w:r>
      <w:r w:rsidR="00E823AE" w:rsidRPr="00E823AE">
        <w:rPr>
          <w:rFonts w:ascii="Times New Roman" w:hAnsi="Times New Roman" w:cs="Times New Roman"/>
          <w:b/>
          <w:bCs/>
        </w:rPr>
        <w:t>Dz.U. 2024 poz. 34</w:t>
      </w:r>
      <w:r w:rsidR="00E823AE" w:rsidRPr="0034566C">
        <w:rPr>
          <w:rFonts w:ascii="Times New Roman" w:hAnsi="Times New Roman" w:cs="Times New Roman"/>
          <w:b/>
        </w:rPr>
        <w:t>)</w:t>
      </w:r>
      <w:r w:rsidR="00E823AE" w:rsidRPr="0034566C">
        <w:rPr>
          <w:rFonts w:ascii="Times New Roman" w:hAnsi="Times New Roman" w:cs="Times New Roman"/>
        </w:rPr>
        <w:t>;</w:t>
      </w:r>
    </w:p>
    <w:p w14:paraId="2F42FD29" w14:textId="77777777" w:rsidR="00931C85" w:rsidRPr="00250695" w:rsidRDefault="0034566C" w:rsidP="00921015">
      <w:pPr>
        <w:pStyle w:val="Akapitzlist"/>
        <w:numPr>
          <w:ilvl w:val="3"/>
          <w:numId w:val="17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dokona weryfikacji spełnienia warunku wskazanego w ust. 1 na podstawie </w:t>
      </w:r>
      <w:r w:rsidRPr="0034566C">
        <w:rPr>
          <w:rFonts w:ascii="Times New Roman" w:hAnsi="Times New Roman" w:cs="Times New Roman"/>
          <w:b/>
          <w:bCs/>
        </w:rPr>
        <w:t>Rejestr</w:t>
      </w:r>
      <w:r>
        <w:rPr>
          <w:rFonts w:ascii="Times New Roman" w:hAnsi="Times New Roman" w:cs="Times New Roman"/>
          <w:b/>
          <w:bCs/>
        </w:rPr>
        <w:t>u</w:t>
      </w:r>
      <w:r w:rsidRPr="0034566C">
        <w:rPr>
          <w:rFonts w:ascii="Times New Roman" w:hAnsi="Times New Roman" w:cs="Times New Roman"/>
          <w:b/>
          <w:bCs/>
        </w:rPr>
        <w:t xml:space="preserve"> przedsiębiorców telekomunikacyjnych</w:t>
      </w:r>
      <w:r>
        <w:rPr>
          <w:rFonts w:ascii="Times New Roman" w:hAnsi="Times New Roman" w:cs="Times New Roman"/>
          <w:b/>
          <w:bCs/>
        </w:rPr>
        <w:t xml:space="preserve"> udostępnionego przez Urząd Komunikacji Elektronicznej.</w:t>
      </w:r>
    </w:p>
    <w:p w14:paraId="37F6DCA5" w14:textId="77777777" w:rsidR="00931C85" w:rsidRPr="003407AD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605513AA" w14:textId="77777777" w:rsidR="00931C85" w:rsidRPr="00C129AE" w:rsidRDefault="00931C85" w:rsidP="00921015">
      <w:pPr>
        <w:pStyle w:val="Default"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306D02">
        <w:rPr>
          <w:rFonts w:ascii="Times New Roman" w:hAnsi="Times New Roman" w:cs="Times New Roman"/>
          <w:sz w:val="22"/>
          <w:szCs w:val="22"/>
        </w:rPr>
        <w:t xml:space="preserve">85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 i </w:t>
      </w:r>
      <w:r w:rsidR="00306D02" w:rsidRPr="00306D02">
        <w:rPr>
          <w:rFonts w:ascii="Times New Roman" w:hAnsi="Times New Roman" w:cs="Times New Roman"/>
          <w:sz w:val="22"/>
          <w:szCs w:val="22"/>
        </w:rPr>
        <w:t>Miesięczny limit transferu danych</w:t>
      </w:r>
      <w:r w:rsidR="00306D02">
        <w:rPr>
          <w:rFonts w:ascii="Times New Roman" w:hAnsi="Times New Roman" w:cs="Times New Roman"/>
          <w:sz w:val="22"/>
          <w:szCs w:val="22"/>
        </w:rPr>
        <w:t xml:space="preserve"> (LT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306D02">
        <w:rPr>
          <w:rFonts w:ascii="Times New Roman" w:hAnsi="Times New Roman" w:cs="Times New Roman"/>
          <w:sz w:val="22"/>
          <w:szCs w:val="22"/>
        </w:rPr>
        <w:t xml:space="preserve">15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punktów. </w:t>
      </w:r>
    </w:p>
    <w:p w14:paraId="3AE04443" w14:textId="77777777" w:rsidR="00931C85" w:rsidRDefault="00931C85" w:rsidP="00921015">
      <w:pPr>
        <w:pStyle w:val="Default"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 xml:space="preserve">ykonawcę, którego oferta uzyskała największą łączną liczbę punktów </w:t>
      </w:r>
      <w:r>
        <w:rPr>
          <w:rFonts w:ascii="Times New Roman" w:hAnsi="Times New Roman" w:cs="Times New Roman"/>
          <w:sz w:val="22"/>
          <w:szCs w:val="22"/>
        </w:rPr>
        <w:br/>
      </w:r>
      <w:r w:rsidRPr="00C129AE">
        <w:rPr>
          <w:rFonts w:ascii="Times New Roman" w:hAnsi="Times New Roman" w:cs="Times New Roman"/>
          <w:sz w:val="22"/>
          <w:szCs w:val="22"/>
        </w:rPr>
        <w:t xml:space="preserve">w obu kryteriach. </w:t>
      </w:r>
    </w:p>
    <w:p w14:paraId="48A7A092" w14:textId="77777777" w:rsidR="00306D02" w:rsidRPr="00306D02" w:rsidRDefault="00306D02" w:rsidP="00921015">
      <w:pPr>
        <w:pStyle w:val="Default"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Zasady oceny według kryterium Cena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>:</w:t>
      </w:r>
    </w:p>
    <w:p w14:paraId="61C7DFE6" w14:textId="77777777" w:rsidR="00306D02" w:rsidRPr="00306D02" w:rsidRDefault="00306D02" w:rsidP="00921015">
      <w:pPr>
        <w:pStyle w:val="Default"/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Ocena w kryterium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Cena będzie dokonywana na podstawie ceny łącznej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 brutto za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24 miesią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ce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realizacji usługi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,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obejmującej wszystkie pakiety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, wskazanej w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Formularzu ofertowym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 oraz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Szczegółowej kalkulacji kosztów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>;</w:t>
      </w:r>
    </w:p>
    <w:p w14:paraId="4BE552BF" w14:textId="77777777" w:rsidR="00306D02" w:rsidRPr="00306D02" w:rsidRDefault="00306D02" w:rsidP="00921015">
      <w:pPr>
        <w:pStyle w:val="Default"/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  <w:lang w:bidi="pl-PL"/>
        </w:rPr>
      </w:pP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lastRenderedPageBreak/>
        <w:t>Cena określa łączną wartość brutto (z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 podatkiem VAT)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 xml:space="preserve">złożonej przez Wykonawcę </w:t>
      </w:r>
      <w:r w:rsidRPr="00306D02">
        <w:rPr>
          <w:rFonts w:ascii="Times New Roman" w:hAnsi="Times New Roman" w:cs="Times New Roman"/>
          <w:sz w:val="22"/>
          <w:szCs w:val="22"/>
          <w:lang w:bidi="pl-PL"/>
        </w:rPr>
        <w:t xml:space="preserve">oferty, </w:t>
      </w:r>
      <w:r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wynikającą z uwzględnienia wszystkich kosztów, jakie Wykonawca poniesie w związku z realizacją przedmiotu zamówienia;</w:t>
      </w:r>
    </w:p>
    <w:p w14:paraId="37A43B36" w14:textId="77777777" w:rsidR="00931C85" w:rsidRDefault="00931C85" w:rsidP="00921015">
      <w:pPr>
        <w:pStyle w:val="Default"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32804795" w14:textId="77777777" w:rsidR="00931C85" w:rsidRDefault="00931C85" w:rsidP="00B82641">
      <w:pPr>
        <w:pStyle w:val="Default"/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E46E51C" w14:textId="77777777" w:rsidR="00306D02" w:rsidRPr="00306D02" w:rsidRDefault="00306D02" w:rsidP="00B82641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>C min</w:t>
      </w:r>
    </w:p>
    <w:p w14:paraId="00D0560B" w14:textId="77777777" w:rsidR="00306D02" w:rsidRPr="00306D02" w:rsidRDefault="00306D02" w:rsidP="00B82641">
      <w:pPr>
        <w:widowControl w:val="0"/>
        <w:tabs>
          <w:tab w:val="left" w:leader="hyphen" w:pos="1128"/>
        </w:tabs>
        <w:spacing w:after="0" w:line="276" w:lineRule="auto"/>
        <w:jc w:val="center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 xml:space="preserve">C = </w:t>
      </w:r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ab/>
        <w:t xml:space="preserve"> x 85</w:t>
      </w:r>
    </w:p>
    <w:p w14:paraId="538182A4" w14:textId="77777777" w:rsidR="00306D02" w:rsidRPr="00306D02" w:rsidRDefault="00306D02" w:rsidP="00B82641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Arial" w:hAnsi="Times New Roman" w:cs="Times New Roman"/>
          <w:b/>
          <w:bCs/>
          <w:lang w:eastAsia="pl-PL" w:bidi="pl-PL"/>
        </w:rPr>
      </w:pPr>
      <w:bookmarkStart w:id="0" w:name="bookmark10"/>
      <w:bookmarkStart w:id="1" w:name="bookmark11"/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>Ci</w:t>
      </w:r>
      <w:bookmarkEnd w:id="0"/>
      <w:bookmarkEnd w:id="1"/>
    </w:p>
    <w:p w14:paraId="2A7DB296" w14:textId="77777777" w:rsidR="00306D02" w:rsidRPr="00306D02" w:rsidRDefault="00306D02" w:rsidP="00B82641">
      <w:pPr>
        <w:widowControl w:val="0"/>
        <w:spacing w:after="240" w:line="276" w:lineRule="auto"/>
        <w:ind w:left="284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gdzie:</w:t>
      </w:r>
    </w:p>
    <w:p w14:paraId="3338DDBD" w14:textId="77777777" w:rsidR="00306D02" w:rsidRPr="00306D02" w:rsidRDefault="00306D02" w:rsidP="00B82641">
      <w:pPr>
        <w:widowControl w:val="0"/>
        <w:spacing w:after="0" w:line="276" w:lineRule="auto"/>
        <w:ind w:left="284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 xml:space="preserve">C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- liczba punktów w kryterium Cena</w:t>
      </w:r>
      <w:r w:rsidRPr="00306D02">
        <w:rPr>
          <w:rFonts w:ascii="Times New Roman" w:eastAsia="Arial" w:hAnsi="Times New Roman" w:cs="Times New Roman"/>
          <w:lang w:eastAsia="pl-PL" w:bidi="pl-PL"/>
        </w:rPr>
        <w:t>;</w:t>
      </w:r>
    </w:p>
    <w:p w14:paraId="279F6CCF" w14:textId="77777777" w:rsidR="00306D02" w:rsidRPr="00306D02" w:rsidRDefault="00306D02" w:rsidP="00B82641">
      <w:pPr>
        <w:widowControl w:val="0"/>
        <w:spacing w:after="0" w:line="276" w:lineRule="auto"/>
        <w:ind w:left="284"/>
        <w:jc w:val="both"/>
        <w:rPr>
          <w:rFonts w:ascii="Times New Roman" w:eastAsia="Arial" w:hAnsi="Times New Roman" w:cs="Times New Roman"/>
          <w:lang w:eastAsia="pl-PL" w:bidi="pl-PL"/>
        </w:rPr>
      </w:pPr>
      <w:proofErr w:type="spellStart"/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>Cmin</w:t>
      </w:r>
      <w:proofErr w:type="spellEnd"/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 xml:space="preserve">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- oznacza najniższą cenę brutto wykonania przedmiotu zamówienia spośród ważnych i nie odrzuconych ofert,</w:t>
      </w:r>
    </w:p>
    <w:p w14:paraId="2A1E102D" w14:textId="77777777" w:rsidR="00306D02" w:rsidRPr="00306D02" w:rsidRDefault="00306D02" w:rsidP="00B82641">
      <w:pPr>
        <w:widowControl w:val="0"/>
        <w:spacing w:after="120" w:line="276" w:lineRule="auto"/>
        <w:ind w:left="284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b/>
          <w:bCs/>
          <w:lang w:eastAsia="pl-PL" w:bidi="pl-PL"/>
        </w:rPr>
        <w:t xml:space="preserve">Ci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-</w:t>
      </w:r>
      <w:r w:rsidRPr="00306D02">
        <w:rPr>
          <w:rFonts w:ascii="Times New Roman" w:eastAsia="Arial" w:hAnsi="Times New Roman" w:cs="Times New Roman"/>
          <w:lang w:eastAsia="pl-PL" w:bidi="pl-PL"/>
        </w:rPr>
        <w:t xml:space="preserve"> oznacza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cenę brutto oferty badanej</w:t>
      </w:r>
      <w:r w:rsidRPr="00306D02">
        <w:rPr>
          <w:rFonts w:ascii="Times New Roman" w:eastAsia="Arial" w:hAnsi="Times New Roman" w:cs="Times New Roman"/>
          <w:lang w:eastAsia="pl-PL" w:bidi="pl-PL"/>
        </w:rPr>
        <w:t>.</w:t>
      </w:r>
    </w:p>
    <w:p w14:paraId="5E5F530E" w14:textId="77777777" w:rsidR="00931C85" w:rsidRPr="00306D02" w:rsidRDefault="00931C85" w:rsidP="00B82641">
      <w:pPr>
        <w:pStyle w:val="Default"/>
        <w:numPr>
          <w:ilvl w:val="0"/>
          <w:numId w:val="12"/>
        </w:numPr>
        <w:spacing w:after="22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</w:t>
      </w:r>
      <w:r w:rsidRPr="00306D02">
        <w:rPr>
          <w:rFonts w:ascii="Times New Roman" w:hAnsi="Times New Roman" w:cs="Times New Roman"/>
          <w:sz w:val="22"/>
          <w:szCs w:val="22"/>
        </w:rPr>
        <w:t xml:space="preserve">ramach kryterium </w:t>
      </w:r>
      <w:r w:rsidR="00306D02" w:rsidRPr="00306D02">
        <w:rPr>
          <w:rFonts w:ascii="Times New Roman" w:hAnsi="Times New Roman" w:cs="Times New Roman"/>
          <w:iCs/>
          <w:sz w:val="22"/>
          <w:szCs w:val="22"/>
          <w:lang w:bidi="pl-PL"/>
        </w:rPr>
        <w:t>Miesięczny limit transferu danych</w:t>
      </w:r>
      <w:r w:rsidR="00306D02" w:rsidRPr="00306D02">
        <w:rPr>
          <w:rFonts w:ascii="Times New Roman" w:hAnsi="Times New Roman" w:cs="Times New Roman"/>
          <w:sz w:val="22"/>
          <w:szCs w:val="22"/>
        </w:rPr>
        <w:t xml:space="preserve"> </w:t>
      </w:r>
      <w:r w:rsidR="00306D02">
        <w:rPr>
          <w:rFonts w:ascii="Times New Roman" w:hAnsi="Times New Roman" w:cs="Times New Roman"/>
          <w:sz w:val="22"/>
          <w:szCs w:val="22"/>
        </w:rPr>
        <w:t>(LT</w:t>
      </w:r>
      <w:r w:rsidRPr="00306D02">
        <w:rPr>
          <w:rFonts w:ascii="Times New Roman" w:hAnsi="Times New Roman" w:cs="Times New Roman"/>
          <w:sz w:val="22"/>
          <w:szCs w:val="22"/>
        </w:rPr>
        <w:t xml:space="preserve">) punkty zostaną przyznane </w:t>
      </w:r>
      <w:r w:rsidR="00250695">
        <w:rPr>
          <w:rFonts w:ascii="Times New Roman" w:hAnsi="Times New Roman" w:cs="Times New Roman"/>
          <w:sz w:val="22"/>
          <w:szCs w:val="22"/>
        </w:rPr>
        <w:br/>
      </w:r>
      <w:r w:rsidRPr="00306D02">
        <w:rPr>
          <w:rFonts w:ascii="Times New Roman" w:hAnsi="Times New Roman" w:cs="Times New Roman"/>
          <w:sz w:val="22"/>
          <w:szCs w:val="22"/>
        </w:rPr>
        <w:t>w następujący sposób:</w:t>
      </w:r>
    </w:p>
    <w:p w14:paraId="0A022F95" w14:textId="77777777" w:rsidR="00306D02" w:rsidRPr="00306D02" w:rsidRDefault="00306D02" w:rsidP="00B82641">
      <w:pPr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 xml:space="preserve">Ocena w kryterium będzie dokonywana na podstawie wypełnionej przez Wykonawcę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Szczegółowej kalkulacji kosztów</w:t>
      </w:r>
      <w:r w:rsidRPr="00306D02">
        <w:rPr>
          <w:rFonts w:ascii="Times New Roman" w:eastAsia="Arial" w:hAnsi="Times New Roman" w:cs="Times New Roman"/>
          <w:lang w:eastAsia="pl-PL" w:bidi="pl-PL"/>
        </w:rPr>
        <w:t>;</w:t>
      </w:r>
    </w:p>
    <w:p w14:paraId="10E82566" w14:textId="77777777" w:rsidR="00306D02" w:rsidRPr="00306D02" w:rsidRDefault="00306D02" w:rsidP="00B82641">
      <w:pPr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 xml:space="preserve">Zamawiający przydzieli każdej badanej ofercie w kryterium </w:t>
      </w:r>
      <w:r w:rsidRPr="00306D02">
        <w:rPr>
          <w:rFonts w:ascii="Times New Roman" w:eastAsia="Arial" w:hAnsi="Times New Roman" w:cs="Times New Roman"/>
          <w:iCs/>
          <w:lang w:eastAsia="pl-PL" w:bidi="pl-PL"/>
        </w:rPr>
        <w:t>Miesięczny limit transferu danych</w:t>
      </w:r>
      <w:r w:rsidRPr="00306D02">
        <w:rPr>
          <w:rFonts w:ascii="Times New Roman" w:eastAsia="Arial" w:hAnsi="Times New Roman" w:cs="Times New Roman"/>
          <w:lang w:eastAsia="pl-PL" w:bidi="pl-PL"/>
        </w:rPr>
        <w:t xml:space="preserve"> odpowiednią liczbę punktów;</w:t>
      </w:r>
    </w:p>
    <w:p w14:paraId="34EF6B5C" w14:textId="77777777" w:rsidR="00306D02" w:rsidRPr="00306D02" w:rsidRDefault="00306D02" w:rsidP="00B82641">
      <w:pPr>
        <w:widowControl w:val="0"/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Wykonawca, który zaproponuje najwyższe limity transferu danych dla numeru w poszczególnych pakietach otrzyma 10 punktów, natomiast pozostali odpowiednio mniej punktów według następującej skali punktowej:</w:t>
      </w:r>
    </w:p>
    <w:p w14:paraId="5FF66FD4" w14:textId="77777777" w:rsidR="00306D02" w:rsidRPr="00306D02" w:rsidRDefault="00306D02" w:rsidP="00B82641">
      <w:pPr>
        <w:widowControl w:val="0"/>
        <w:numPr>
          <w:ilvl w:val="0"/>
          <w:numId w:val="20"/>
        </w:numPr>
        <w:spacing w:after="0" w:line="276" w:lineRule="auto"/>
        <w:ind w:left="851" w:hanging="204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u w:val="single"/>
          <w:lang w:eastAsia="pl-PL" w:bidi="pl-PL"/>
        </w:rPr>
        <w:t>Pakiet danych dla numeru dla Pakietu nr 1:</w:t>
      </w:r>
    </w:p>
    <w:p w14:paraId="0C2CF5D4" w14:textId="77777777" w:rsidR="00306D02" w:rsidRPr="00306D02" w:rsidRDefault="00306D02" w:rsidP="00B82641">
      <w:pPr>
        <w:widowControl w:val="0"/>
        <w:spacing w:after="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do 30 GB - 0 pkt</w:t>
      </w:r>
    </w:p>
    <w:p w14:paraId="33DF8961" w14:textId="77777777" w:rsidR="00306D02" w:rsidRPr="00306D02" w:rsidRDefault="00306D02" w:rsidP="00B82641">
      <w:pPr>
        <w:widowControl w:val="0"/>
        <w:spacing w:after="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od 31 - 39 GB - 3 pkt</w:t>
      </w:r>
    </w:p>
    <w:p w14:paraId="21A60D08" w14:textId="77777777" w:rsidR="00306D02" w:rsidRPr="00306D02" w:rsidRDefault="00306D02" w:rsidP="00B82641">
      <w:pPr>
        <w:widowControl w:val="0"/>
        <w:spacing w:after="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40 GB i więcej - 5 pkt</w:t>
      </w:r>
    </w:p>
    <w:p w14:paraId="7A4EA79F" w14:textId="77777777" w:rsidR="00306D02" w:rsidRPr="00306D02" w:rsidRDefault="00306D02" w:rsidP="00B82641">
      <w:pPr>
        <w:widowControl w:val="0"/>
        <w:numPr>
          <w:ilvl w:val="0"/>
          <w:numId w:val="20"/>
        </w:numPr>
        <w:spacing w:after="0" w:line="276" w:lineRule="auto"/>
        <w:ind w:left="851" w:hanging="204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u w:val="single"/>
          <w:lang w:eastAsia="pl-PL" w:bidi="pl-PL"/>
        </w:rPr>
        <w:t>Pakiet danych dla numeru dla Pakietu nr 2:</w:t>
      </w:r>
    </w:p>
    <w:p w14:paraId="3681760C" w14:textId="77777777" w:rsidR="00306D02" w:rsidRPr="00306D02" w:rsidRDefault="00306D02" w:rsidP="00B82641">
      <w:pPr>
        <w:widowControl w:val="0"/>
        <w:spacing w:after="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do 40 GB - 0 pkt</w:t>
      </w:r>
    </w:p>
    <w:p w14:paraId="1F9A8ACB" w14:textId="77777777" w:rsidR="00306D02" w:rsidRPr="00306D02" w:rsidRDefault="00306D02" w:rsidP="00B82641">
      <w:pPr>
        <w:widowControl w:val="0"/>
        <w:spacing w:after="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od 41 do 49 GB - 3 pkt</w:t>
      </w:r>
    </w:p>
    <w:p w14:paraId="06CB5ED3" w14:textId="77777777" w:rsidR="00306D02" w:rsidRDefault="00306D02" w:rsidP="00B82641">
      <w:pPr>
        <w:widowControl w:val="0"/>
        <w:spacing w:after="120" w:line="276" w:lineRule="auto"/>
        <w:ind w:left="1843" w:hanging="1196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50 GB i więcej - 5 pkt</w:t>
      </w:r>
    </w:p>
    <w:p w14:paraId="4301664C" w14:textId="77777777" w:rsidR="00306D02" w:rsidRPr="00306D02" w:rsidRDefault="00306D02" w:rsidP="0092101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284" w:hanging="284"/>
        <w:contextualSpacing w:val="0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Łączna liczba punktów dla oferty zostanie obliczona zgodnie z poniższym wzorem:</w:t>
      </w:r>
    </w:p>
    <w:p w14:paraId="27BE3A71" w14:textId="77777777" w:rsidR="00306D02" w:rsidRPr="00306D02" w:rsidRDefault="00306D02" w:rsidP="00B82641">
      <w:pPr>
        <w:pStyle w:val="Akapitzlist"/>
        <w:widowControl w:val="0"/>
        <w:spacing w:before="120" w:after="120" w:line="276" w:lineRule="auto"/>
        <w:contextualSpacing w:val="0"/>
        <w:jc w:val="center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LP = C + LT</w:t>
      </w:r>
    </w:p>
    <w:p w14:paraId="47D4C9CE" w14:textId="77777777" w:rsidR="00306D02" w:rsidRPr="00306D02" w:rsidRDefault="00306D02" w:rsidP="00B82641">
      <w:pPr>
        <w:pStyle w:val="Akapitzlist"/>
        <w:widowControl w:val="0"/>
        <w:spacing w:after="240" w:line="276" w:lineRule="auto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gdzie:</w:t>
      </w:r>
    </w:p>
    <w:p w14:paraId="494ECBFC" w14:textId="77777777" w:rsidR="00306D02" w:rsidRPr="00306D02" w:rsidRDefault="00306D02" w:rsidP="00B82641">
      <w:pPr>
        <w:pStyle w:val="Akapitzlist"/>
        <w:widowControl w:val="0"/>
        <w:spacing w:after="240" w:line="276" w:lineRule="auto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LP - łączna liczba punktów przyznanych ofercie;</w:t>
      </w:r>
    </w:p>
    <w:p w14:paraId="6EF46ED1" w14:textId="77777777" w:rsidR="00306D02" w:rsidRPr="00306D02" w:rsidRDefault="00306D02" w:rsidP="00B82641">
      <w:pPr>
        <w:pStyle w:val="Akapitzlist"/>
        <w:widowControl w:val="0"/>
        <w:spacing w:after="240" w:line="276" w:lineRule="auto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C - liczba punktów przyznanych ofercie w kryterium Cena;</w:t>
      </w:r>
    </w:p>
    <w:p w14:paraId="324C33D3" w14:textId="77777777" w:rsidR="00931C85" w:rsidRPr="00306D02" w:rsidRDefault="00306D02" w:rsidP="00B82641">
      <w:pPr>
        <w:pStyle w:val="Akapitzlist"/>
        <w:widowControl w:val="0"/>
        <w:spacing w:after="240" w:line="276" w:lineRule="auto"/>
        <w:contextualSpacing w:val="0"/>
        <w:rPr>
          <w:rFonts w:ascii="Times New Roman" w:eastAsia="Arial" w:hAnsi="Times New Roman" w:cs="Times New Roman"/>
          <w:lang w:eastAsia="pl-PL" w:bidi="pl-PL"/>
        </w:rPr>
      </w:pPr>
      <w:r w:rsidRPr="00306D02">
        <w:rPr>
          <w:rFonts w:ascii="Times New Roman" w:eastAsia="Arial" w:hAnsi="Times New Roman" w:cs="Times New Roman"/>
          <w:lang w:eastAsia="pl-PL" w:bidi="pl-PL"/>
        </w:rPr>
        <w:t>LT - liczba punktów przyznanych ofercie w kryterium Mi</w:t>
      </w:r>
      <w:r>
        <w:rPr>
          <w:rFonts w:ascii="Times New Roman" w:eastAsia="Arial" w:hAnsi="Times New Roman" w:cs="Times New Roman"/>
          <w:lang w:eastAsia="pl-PL" w:bidi="pl-PL"/>
        </w:rPr>
        <w:t>esięczny limit transferu danych.</w:t>
      </w:r>
    </w:p>
    <w:p w14:paraId="306CEEB5" w14:textId="77777777" w:rsidR="00931C85" w:rsidRPr="003407AD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5E0E736A" w14:textId="77777777" w:rsidR="00931C85" w:rsidRDefault="00931C85" w:rsidP="00B82641">
      <w:pPr>
        <w:pStyle w:val="Akapitzlist"/>
        <w:widowControl w:val="0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6B6E854B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9FC7BA5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wraz z załącznikami </w:t>
      </w:r>
      <w:r w:rsidRPr="00B77FDD">
        <w:rPr>
          <w:rFonts w:ascii="Times New Roman" w:hAnsi="Times New Roman" w:cs="Times New Roman"/>
        </w:rPr>
        <w:t>należy złożyć w postaci elektronicznej opatrzonej podpisem osoby</w:t>
      </w:r>
      <w:r>
        <w:rPr>
          <w:rFonts w:ascii="Times New Roman" w:hAnsi="Times New Roman" w:cs="Times New Roman"/>
        </w:rPr>
        <w:t xml:space="preserve">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362023E9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0A0E799D" w14:textId="77777777" w:rsidR="008F1F38" w:rsidRDefault="008F1F38" w:rsidP="00B82641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</w:rPr>
        <w:t>Formularz ofertowy</w:t>
      </w:r>
      <w:r w:rsidR="00931C85" w:rsidRPr="008F1F38">
        <w:rPr>
          <w:rFonts w:ascii="Times New Roman" w:hAnsi="Times New Roman" w:cs="Times New Roman"/>
        </w:rPr>
        <w:t xml:space="preserve"> </w:t>
      </w:r>
      <w:r w:rsidRPr="008F1F38">
        <w:rPr>
          <w:rFonts w:ascii="Times New Roman" w:hAnsi="Times New Roman" w:cs="Times New Roman"/>
          <w:lang w:bidi="pl-PL"/>
        </w:rPr>
        <w:t>stanowi</w:t>
      </w:r>
      <w:r>
        <w:rPr>
          <w:rFonts w:ascii="Times New Roman" w:hAnsi="Times New Roman" w:cs="Times New Roman"/>
          <w:lang w:bidi="pl-PL"/>
        </w:rPr>
        <w:t>ący</w:t>
      </w:r>
      <w:r w:rsidRPr="008F1F38">
        <w:rPr>
          <w:rFonts w:ascii="Times New Roman" w:hAnsi="Times New Roman" w:cs="Times New Roman"/>
          <w:lang w:bidi="pl-PL"/>
        </w:rPr>
        <w:t xml:space="preserve"> załącznik nr 3 do Zapytania Ofertowego. </w:t>
      </w:r>
    </w:p>
    <w:p w14:paraId="685C38F3" w14:textId="77777777" w:rsidR="00931C85" w:rsidRPr="008F1F38" w:rsidRDefault="008F1F38" w:rsidP="00B82641">
      <w:pPr>
        <w:pStyle w:val="Akapitzlist"/>
        <w:numPr>
          <w:ilvl w:val="0"/>
          <w:numId w:val="9"/>
        </w:numPr>
        <w:suppressAutoHyphens/>
        <w:spacing w:after="0" w:line="276" w:lineRule="auto"/>
        <w:ind w:left="851" w:hanging="284"/>
        <w:rPr>
          <w:rFonts w:ascii="Times New Roman" w:hAnsi="Times New Roman" w:cs="Times New Roman"/>
          <w:lang w:bidi="pl-PL"/>
        </w:rPr>
      </w:pPr>
      <w:r w:rsidRPr="008F1F38">
        <w:rPr>
          <w:rFonts w:ascii="Times New Roman" w:hAnsi="Times New Roman" w:cs="Times New Roman"/>
          <w:iCs/>
          <w:lang w:bidi="pl-PL"/>
        </w:rPr>
        <w:lastRenderedPageBreak/>
        <w:t>Szczegółow</w:t>
      </w:r>
      <w:r>
        <w:rPr>
          <w:rFonts w:ascii="Times New Roman" w:hAnsi="Times New Roman" w:cs="Times New Roman"/>
          <w:iCs/>
          <w:lang w:bidi="pl-PL"/>
        </w:rPr>
        <w:t>ą</w:t>
      </w:r>
      <w:r w:rsidRPr="008F1F38">
        <w:rPr>
          <w:rFonts w:ascii="Times New Roman" w:hAnsi="Times New Roman" w:cs="Times New Roman"/>
          <w:iCs/>
          <w:lang w:bidi="pl-PL"/>
        </w:rPr>
        <w:t xml:space="preserve"> kalkulacj</w:t>
      </w:r>
      <w:r>
        <w:rPr>
          <w:rFonts w:ascii="Times New Roman" w:hAnsi="Times New Roman" w:cs="Times New Roman"/>
          <w:iCs/>
          <w:lang w:bidi="pl-PL"/>
        </w:rPr>
        <w:t>ę</w:t>
      </w:r>
      <w:r w:rsidRPr="008F1F38">
        <w:rPr>
          <w:rFonts w:ascii="Times New Roman" w:hAnsi="Times New Roman" w:cs="Times New Roman"/>
          <w:iCs/>
          <w:lang w:bidi="pl-PL"/>
        </w:rPr>
        <w:t xml:space="preserve"> kosztów</w:t>
      </w:r>
      <w:r>
        <w:rPr>
          <w:rFonts w:ascii="Times New Roman" w:hAnsi="Times New Roman" w:cs="Times New Roman"/>
          <w:lang w:bidi="pl-PL"/>
        </w:rPr>
        <w:t xml:space="preserve"> stanowiącą załącznik nr 1 do Z</w:t>
      </w:r>
      <w:r w:rsidRPr="008F1F38">
        <w:rPr>
          <w:rFonts w:ascii="Times New Roman" w:hAnsi="Times New Roman" w:cs="Times New Roman"/>
          <w:lang w:bidi="pl-PL"/>
        </w:rPr>
        <w:t>apytania Ofertowego.</w:t>
      </w:r>
    </w:p>
    <w:p w14:paraId="3501B5F8" w14:textId="346DB672" w:rsidR="00931C85" w:rsidRPr="008C33BA" w:rsidRDefault="00931C85" w:rsidP="00B82641">
      <w:pPr>
        <w:pStyle w:val="Akapitzlist"/>
        <w:widowControl w:val="0"/>
        <w:numPr>
          <w:ilvl w:val="0"/>
          <w:numId w:val="9"/>
        </w:numPr>
        <w:suppressAutoHyphens/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pełnomo</w:t>
      </w:r>
      <w:r w:rsidR="008F1F38">
        <w:rPr>
          <w:rFonts w:ascii="Times New Roman" w:hAnsi="Times New Roman" w:cs="Times New Roman"/>
        </w:rPr>
        <w:t>cnictwo, w przypadku gdy ofertę</w:t>
      </w:r>
      <w:r w:rsidR="0009033C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 xml:space="preserve">lub załączone do niej </w:t>
      </w:r>
      <w:r w:rsidR="008F1F38">
        <w:rPr>
          <w:rFonts w:ascii="Times New Roman" w:hAnsi="Times New Roman" w:cs="Times New Roman"/>
        </w:rPr>
        <w:t>dokumenty podpisuje pełnomocnik.</w:t>
      </w:r>
    </w:p>
    <w:p w14:paraId="1DAEAFF5" w14:textId="6DFA33F5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r w:rsidR="0009033C">
        <w:rPr>
          <w:rFonts w:ascii="Times New Roman" w:hAnsi="Times New Roman" w:cs="Times New Roman"/>
          <w:b/>
          <w:bCs/>
          <w:u w:val="single"/>
        </w:rPr>
        <w:t>adam.prasek</w:t>
      </w:r>
      <w:r w:rsidR="008F1F38" w:rsidRPr="008F1F38">
        <w:rPr>
          <w:rFonts w:ascii="Times New Roman" w:hAnsi="Times New Roman" w:cs="Times New Roman"/>
          <w:b/>
          <w:bCs/>
          <w:u w:val="single"/>
        </w:rPr>
        <w:t>@gdos.gov.pl</w:t>
      </w:r>
      <w:r w:rsidR="008F1F38" w:rsidRPr="008F1F38">
        <w:rPr>
          <w:rFonts w:ascii="Times New Roman" w:hAnsi="Times New Roman" w:cs="Times New Roman"/>
          <w:b/>
          <w:bCs/>
        </w:rPr>
        <w:t>,</w:t>
      </w:r>
    </w:p>
    <w:p w14:paraId="51A0FAB5" w14:textId="2989B240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09033C" w:rsidRPr="00222A61">
        <w:rPr>
          <w:rFonts w:ascii="Times New Roman" w:hAnsi="Times New Roman" w:cs="Times New Roman"/>
          <w:b/>
          <w:bCs/>
        </w:rPr>
        <w:t>31</w:t>
      </w:r>
      <w:r w:rsidR="008F1F38" w:rsidRPr="00222A61">
        <w:rPr>
          <w:rFonts w:ascii="Times New Roman" w:hAnsi="Times New Roman" w:cs="Times New Roman"/>
          <w:b/>
          <w:bCs/>
        </w:rPr>
        <w:t xml:space="preserve"> lipca 2024 r.</w:t>
      </w:r>
    </w:p>
    <w:p w14:paraId="27BECE24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5DF7137E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6AB3AF7F" w14:textId="77777777" w:rsidR="00931C85" w:rsidRPr="008C33BA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375F4857" w14:textId="05A10365" w:rsidR="00931C85" w:rsidRPr="00921015" w:rsidRDefault="00931C85" w:rsidP="00921015">
      <w:pPr>
        <w:pStyle w:val="Akapitzlist"/>
        <w:widowControl w:val="0"/>
        <w:numPr>
          <w:ilvl w:val="0"/>
          <w:numId w:val="8"/>
        </w:numPr>
        <w:suppressAutoHyphens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250695">
        <w:rPr>
          <w:rFonts w:ascii="Times New Roman" w:hAnsi="Times New Roman" w:cs="Times New Roman"/>
        </w:rPr>
        <w:t>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że pierwszym dniem jest dzień składania ofert.</w:t>
      </w:r>
    </w:p>
    <w:p w14:paraId="5D66F38A" w14:textId="77777777" w:rsidR="00931C85" w:rsidRPr="003407AD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197FC043" w14:textId="0A8FCCCD" w:rsidR="00931C85" w:rsidRPr="003407AD" w:rsidRDefault="00931C85" w:rsidP="00921015">
      <w:pPr>
        <w:pStyle w:val="Akapitzlist"/>
        <w:widowControl w:val="0"/>
        <w:numPr>
          <w:ilvl w:val="2"/>
          <w:numId w:val="1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8F1F38" w:rsidRPr="008F1F38">
        <w:rPr>
          <w:rFonts w:ascii="Times New Roman" w:hAnsi="Times New Roman" w:cs="Times New Roman"/>
        </w:rPr>
        <w:t xml:space="preserve"> </w:t>
      </w:r>
      <w:r w:rsidR="00222A61">
        <w:rPr>
          <w:rFonts w:ascii="Times New Roman" w:hAnsi="Times New Roman" w:cs="Times New Roman"/>
          <w:u w:val="single"/>
        </w:rPr>
        <w:t>adam.prasek@</w:t>
      </w:r>
      <w:r w:rsidR="008F1F38" w:rsidRPr="00250695">
        <w:rPr>
          <w:rFonts w:ascii="Times New Roman" w:hAnsi="Times New Roman" w:cs="Times New Roman"/>
          <w:u w:val="single"/>
        </w:rPr>
        <w:t>gdos.gov.pl</w:t>
      </w:r>
      <w:r w:rsidRPr="003407AD">
        <w:rPr>
          <w:rFonts w:ascii="Times New Roman" w:hAnsi="Times New Roman" w:cs="Times New Roman"/>
        </w:rPr>
        <w:t>.</w:t>
      </w:r>
    </w:p>
    <w:p w14:paraId="54FF9425" w14:textId="77777777" w:rsidR="00931C85" w:rsidRPr="003407AD" w:rsidRDefault="00931C85" w:rsidP="00921015">
      <w:pPr>
        <w:pStyle w:val="Akapitzlist"/>
        <w:numPr>
          <w:ilvl w:val="2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6BE3260E" w14:textId="77777777" w:rsidR="00931C85" w:rsidRPr="003407AD" w:rsidRDefault="00931C85" w:rsidP="00921015">
      <w:pPr>
        <w:pStyle w:val="Akapitzlist"/>
        <w:numPr>
          <w:ilvl w:val="2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0437E665" w14:textId="77777777" w:rsidR="00931C85" w:rsidRPr="003407AD" w:rsidRDefault="00931C85" w:rsidP="00921015">
      <w:pPr>
        <w:pStyle w:val="Akapitzlist"/>
        <w:numPr>
          <w:ilvl w:val="2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6F8E552E" w14:textId="2B5553EF" w:rsidR="008F1F38" w:rsidRPr="008F1F38" w:rsidRDefault="00931C85" w:rsidP="00921015">
      <w:pPr>
        <w:pStyle w:val="Akapitzlist"/>
        <w:widowControl w:val="0"/>
        <w:numPr>
          <w:ilvl w:val="2"/>
          <w:numId w:val="1"/>
        </w:numPr>
        <w:suppressAutoHyphens/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="00250695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t>p</w:t>
      </w:r>
      <w:r w:rsidR="008F1F38">
        <w:rPr>
          <w:rFonts w:ascii="Times New Roman" w:hAnsi="Times New Roman" w:cs="Times New Roman"/>
        </w:rPr>
        <w:t xml:space="preserve">. </w:t>
      </w:r>
      <w:r w:rsidR="00222A61">
        <w:rPr>
          <w:rFonts w:ascii="Times New Roman" w:hAnsi="Times New Roman" w:cs="Times New Roman"/>
        </w:rPr>
        <w:t>Adam Prasek</w:t>
      </w:r>
      <w:r w:rsidR="008F1F38">
        <w:rPr>
          <w:rFonts w:ascii="Times New Roman" w:hAnsi="Times New Roman" w:cs="Times New Roman"/>
        </w:rPr>
        <w:t>.</w:t>
      </w:r>
    </w:p>
    <w:p w14:paraId="78A737A6" w14:textId="77777777" w:rsidR="00931C85" w:rsidRPr="003407AD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4FA5F4EF" w14:textId="77777777" w:rsidR="00931C85" w:rsidRPr="003407AD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 w:rsidR="008F1F38">
        <w:rPr>
          <w:rFonts w:ascii="Times New Roman" w:hAnsi="Times New Roman" w:cs="Times New Roman"/>
        </w:rPr>
        <w:t xml:space="preserve">wybranymi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</w:t>
      </w:r>
    </w:p>
    <w:p w14:paraId="2CB25FAC" w14:textId="77777777" w:rsidR="00931C85" w:rsidRPr="003407AD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520D2412" w14:textId="77777777" w:rsidR="00931C85" w:rsidRPr="003407AD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5D2DB788" w14:textId="77777777" w:rsidR="00931C85" w:rsidRPr="003407AD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14:paraId="3DE6B2F3" w14:textId="77777777" w:rsidR="00931C85" w:rsidRPr="003407AD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566BE63F" w14:textId="77777777" w:rsidR="00931C85" w:rsidRPr="003407AD" w:rsidRDefault="00931C85" w:rsidP="00921015">
      <w:pPr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046CF427" w14:textId="77777777" w:rsidR="00931C85" w:rsidRPr="003407AD" w:rsidRDefault="00931C85" w:rsidP="00921015">
      <w:pPr>
        <w:spacing w:before="120"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62DF39E8" w14:textId="77777777" w:rsidR="00931C85" w:rsidRPr="003407AD" w:rsidRDefault="00931C85" w:rsidP="00921015">
      <w:pPr>
        <w:spacing w:before="120"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28BD6CE6" w14:textId="77777777" w:rsidR="00931C85" w:rsidRPr="003407AD" w:rsidRDefault="00931C85" w:rsidP="00921015">
      <w:pPr>
        <w:spacing w:before="120"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06077173" w14:textId="77777777" w:rsidR="00931C85" w:rsidRPr="003407AD" w:rsidRDefault="00931C85" w:rsidP="00921015">
      <w:pPr>
        <w:spacing w:before="120"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6697FD9A" w14:textId="77777777" w:rsidR="00931C85" w:rsidRPr="003407AD" w:rsidRDefault="00931C85" w:rsidP="00921015">
      <w:pPr>
        <w:numPr>
          <w:ilvl w:val="0"/>
          <w:numId w:val="11"/>
        </w:numPr>
        <w:tabs>
          <w:tab w:val="clear" w:pos="1440"/>
        </w:tabs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6FE8D8F4" w14:textId="77777777" w:rsidR="00931C85" w:rsidRPr="003407AD" w:rsidRDefault="00931C85" w:rsidP="00921015">
      <w:pPr>
        <w:numPr>
          <w:ilvl w:val="0"/>
          <w:numId w:val="11"/>
        </w:numPr>
        <w:tabs>
          <w:tab w:val="clear" w:pos="1440"/>
        </w:tabs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52D80AF1" w14:textId="77777777" w:rsidR="00931C85" w:rsidRPr="003407AD" w:rsidRDefault="00931C85" w:rsidP="00921015">
      <w:pPr>
        <w:spacing w:before="120" w:after="0" w:line="276" w:lineRule="auto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45289498" w14:textId="77777777" w:rsidR="00931C85" w:rsidRPr="00527DFE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40D96B47" w14:textId="77777777" w:rsidR="00931C85" w:rsidRPr="00527DFE" w:rsidRDefault="00931C85" w:rsidP="00921015">
      <w:pPr>
        <w:pStyle w:val="Akapitzlist"/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6FF55762" w14:textId="77777777" w:rsidR="00931C85" w:rsidRPr="00527DFE" w:rsidRDefault="00931C85" w:rsidP="00921015">
      <w:pPr>
        <w:pStyle w:val="Akapitzlist"/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32264D94" w14:textId="77777777" w:rsidR="00931C85" w:rsidRPr="00527DFE" w:rsidRDefault="00931C85" w:rsidP="00921015">
      <w:pPr>
        <w:pStyle w:val="Akapitzlist"/>
        <w:spacing w:before="120"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027AEDBA" w14:textId="77777777" w:rsidR="00931C85" w:rsidRPr="008F1F38" w:rsidRDefault="00931C85" w:rsidP="00921015">
      <w:pPr>
        <w:pStyle w:val="Akapitzlist"/>
        <w:widowControl w:val="0"/>
        <w:numPr>
          <w:ilvl w:val="2"/>
          <w:numId w:val="4"/>
        </w:numPr>
        <w:suppressAutoHyphens/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Zamawiający dopuszcza możliwość unieważnienia postępowania </w:t>
      </w:r>
      <w:r w:rsidR="008F1F38">
        <w:rPr>
          <w:rFonts w:ascii="Times New Roman" w:hAnsi="Times New Roman" w:cs="Times New Roman"/>
        </w:rPr>
        <w:t>bez podania przyczyny</w:t>
      </w:r>
      <w:r w:rsidRPr="008F1F38">
        <w:rPr>
          <w:rFonts w:ascii="Times New Roman" w:hAnsi="Times New Roman" w:cs="Times New Roman"/>
        </w:rPr>
        <w:t>.</w:t>
      </w:r>
    </w:p>
    <w:p w14:paraId="40FEAC92" w14:textId="77777777" w:rsidR="00931C85" w:rsidRDefault="00931C85" w:rsidP="00B82641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052F3922" w14:textId="1F53E840" w:rsidR="00931C85" w:rsidRPr="00C34789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 w:rsidR="00921015">
        <w:rPr>
          <w:rFonts w:ascii="Times New Roman" w:hAnsi="Times New Roman" w:cs="Times New Roman"/>
          <w:b/>
          <w:bCs/>
        </w:rPr>
        <w:t xml:space="preserve"> </w:t>
      </w:r>
    </w:p>
    <w:p w14:paraId="7FAF7A88" w14:textId="77777777" w:rsidR="00931C85" w:rsidRDefault="00931C85" w:rsidP="00B82641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09FCA18E" w14:textId="77777777" w:rsidR="00931C85" w:rsidRDefault="00931C85" w:rsidP="00B82641">
      <w:pPr>
        <w:widowControl w:val="0"/>
        <w:suppressAutoHyphens/>
        <w:spacing w:after="0" w:line="276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3BCE78A9" w14:textId="77777777" w:rsidR="00931C85" w:rsidRPr="002B6C08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7AF7CE72" w14:textId="77777777" w:rsidR="00931C85" w:rsidRPr="002B6C08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B7F091" w14:textId="77777777" w:rsidR="00931C85" w:rsidRPr="002B6C08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94959D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453C5E95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38055CF6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40CC133F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700B3578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790F37C6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57DB9872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1E742E73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6A26ADDE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68E91169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504DDB56" w14:textId="77777777" w:rsidR="00931C85" w:rsidRDefault="00931C85" w:rsidP="00B82641">
      <w:pPr>
        <w:pStyle w:val="Default"/>
        <w:numPr>
          <w:ilvl w:val="1"/>
          <w:numId w:val="15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55E44530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313F1F33" w14:textId="77777777" w:rsidR="00931C85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5D9CBC6B" w14:textId="77777777" w:rsidR="00931C85" w:rsidRPr="00C67662" w:rsidRDefault="00931C85" w:rsidP="00B82641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60F54D5B" w14:textId="77777777" w:rsidR="00931C85" w:rsidRPr="00C34789" w:rsidRDefault="00931C85" w:rsidP="00B82641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DA578E5" w14:textId="77777777" w:rsidR="00931C85" w:rsidRPr="00250695" w:rsidRDefault="00931C85" w:rsidP="00B82641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101BC50F" w14:textId="77777777" w:rsidR="00250695" w:rsidRPr="00250695" w:rsidRDefault="00250695" w:rsidP="00B82641">
      <w:pPr>
        <w:spacing w:before="120" w:after="0" w:line="276" w:lineRule="auto"/>
        <w:rPr>
          <w:rFonts w:ascii="Times New Roman" w:hAnsi="Times New Roman" w:cs="Times New Roman"/>
        </w:rPr>
      </w:pPr>
      <w:r w:rsidRPr="00250695">
        <w:rPr>
          <w:rFonts w:ascii="Times New Roman" w:hAnsi="Times New Roman" w:cs="Times New Roman"/>
        </w:rPr>
        <w:t>Załącznik nr 1 - Szczegółowa kalkulacja kosztów;</w:t>
      </w:r>
    </w:p>
    <w:p w14:paraId="14637817" w14:textId="77777777" w:rsidR="00250695" w:rsidRPr="00250695" w:rsidRDefault="00250695" w:rsidP="00B82641">
      <w:pPr>
        <w:spacing w:after="0" w:line="276" w:lineRule="auto"/>
        <w:rPr>
          <w:rFonts w:ascii="Times New Roman" w:hAnsi="Times New Roman" w:cs="Times New Roman"/>
        </w:rPr>
      </w:pPr>
      <w:r w:rsidRPr="00250695">
        <w:rPr>
          <w:rFonts w:ascii="Times New Roman" w:hAnsi="Times New Roman" w:cs="Times New Roman"/>
        </w:rPr>
        <w:t>Załącznik nr 2 - Opis Przedmiotu Zamówienia;</w:t>
      </w:r>
    </w:p>
    <w:p w14:paraId="4702C134" w14:textId="77777777" w:rsidR="00250695" w:rsidRPr="00250695" w:rsidRDefault="00250695" w:rsidP="00B82641">
      <w:pPr>
        <w:spacing w:after="0" w:line="276" w:lineRule="auto"/>
        <w:rPr>
          <w:rFonts w:ascii="Times New Roman" w:hAnsi="Times New Roman" w:cs="Times New Roman"/>
        </w:rPr>
      </w:pPr>
      <w:r w:rsidRPr="00250695">
        <w:rPr>
          <w:rFonts w:ascii="Times New Roman" w:hAnsi="Times New Roman" w:cs="Times New Roman"/>
        </w:rPr>
        <w:lastRenderedPageBreak/>
        <w:t>Załącznik nr 3 - Formularz ofertowy;</w:t>
      </w:r>
    </w:p>
    <w:p w14:paraId="4FBAC03B" w14:textId="23ACF3D8" w:rsidR="00250695" w:rsidRPr="00250695" w:rsidRDefault="00250695" w:rsidP="00B82641">
      <w:pPr>
        <w:spacing w:after="0" w:line="276" w:lineRule="auto"/>
        <w:rPr>
          <w:rFonts w:ascii="Times New Roman" w:hAnsi="Times New Roman" w:cs="Times New Roman"/>
        </w:rPr>
      </w:pPr>
      <w:r w:rsidRPr="00250695">
        <w:rPr>
          <w:rFonts w:ascii="Times New Roman" w:hAnsi="Times New Roman" w:cs="Times New Roman"/>
        </w:rPr>
        <w:t xml:space="preserve">Załącznik nr 4 - </w:t>
      </w:r>
      <w:r w:rsidR="006572A7">
        <w:rPr>
          <w:rFonts w:ascii="Times New Roman" w:hAnsi="Times New Roman" w:cs="Times New Roman"/>
        </w:rPr>
        <w:t>Projektowane</w:t>
      </w:r>
      <w:r w:rsidRPr="00250695">
        <w:rPr>
          <w:rFonts w:ascii="Times New Roman" w:hAnsi="Times New Roman" w:cs="Times New Roman"/>
        </w:rPr>
        <w:t xml:space="preserve"> Postanowienia Umowy.</w:t>
      </w:r>
    </w:p>
    <w:p w14:paraId="4A6D7731" w14:textId="17247A43" w:rsidR="00931C85" w:rsidRPr="003407AD" w:rsidRDefault="00931C85" w:rsidP="00B82641">
      <w:pPr>
        <w:spacing w:line="276" w:lineRule="auto"/>
        <w:rPr>
          <w:rFonts w:ascii="Times New Roman" w:hAnsi="Times New Roman" w:cs="Times New Roman"/>
        </w:rPr>
      </w:pPr>
    </w:p>
    <w:sectPr w:rsidR="00931C85" w:rsidRPr="0034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0AC3" w14:textId="77777777" w:rsidR="008B7368" w:rsidRDefault="008B7368" w:rsidP="00931C85">
      <w:pPr>
        <w:spacing w:after="0" w:line="240" w:lineRule="auto"/>
      </w:pPr>
      <w:r>
        <w:separator/>
      </w:r>
    </w:p>
  </w:endnote>
  <w:endnote w:type="continuationSeparator" w:id="0">
    <w:p w14:paraId="40077C9D" w14:textId="77777777" w:rsidR="008B7368" w:rsidRDefault="008B7368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32A78" w14:textId="77777777" w:rsidR="008B7368" w:rsidRDefault="008B7368" w:rsidP="00931C85">
      <w:pPr>
        <w:spacing w:after="0" w:line="240" w:lineRule="auto"/>
      </w:pPr>
      <w:r>
        <w:separator/>
      </w:r>
    </w:p>
  </w:footnote>
  <w:footnote w:type="continuationSeparator" w:id="0">
    <w:p w14:paraId="4C636223" w14:textId="77777777" w:rsidR="008B7368" w:rsidRDefault="008B7368" w:rsidP="00931C85">
      <w:pPr>
        <w:spacing w:after="0" w:line="240" w:lineRule="auto"/>
      </w:pPr>
      <w:r>
        <w:continuationSeparator/>
      </w:r>
    </w:p>
  </w:footnote>
  <w:footnote w:id="1">
    <w:p w14:paraId="29524A16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2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2"/>
      <w:r w:rsidRPr="00E34AB0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35DEDFE4"/>
    <w:lvl w:ilvl="0" w:tplc="CCF205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C14E71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317B3B"/>
    <w:multiLevelType w:val="hybridMultilevel"/>
    <w:tmpl w:val="BE8EFD04"/>
    <w:lvl w:ilvl="0" w:tplc="4B2E75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096E2E"/>
    <w:multiLevelType w:val="multilevel"/>
    <w:tmpl w:val="073288FA"/>
    <w:lvl w:ilvl="0">
      <w:start w:val="1"/>
      <w:numFmt w:val="low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4636B"/>
    <w:multiLevelType w:val="multilevel"/>
    <w:tmpl w:val="77E4E84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7DA49C88"/>
    <w:lvl w:ilvl="0" w:tplc="988261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7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33E9E"/>
    <w:multiLevelType w:val="multilevel"/>
    <w:tmpl w:val="EB106FC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370279"/>
    <w:multiLevelType w:val="multilevel"/>
    <w:tmpl w:val="E8DCBBD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225D5"/>
    <w:multiLevelType w:val="hybridMultilevel"/>
    <w:tmpl w:val="269EC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1BA768D"/>
    <w:multiLevelType w:val="hybridMultilevel"/>
    <w:tmpl w:val="4AECD47C"/>
    <w:lvl w:ilvl="0" w:tplc="2BE696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459"/>
    <w:multiLevelType w:val="multilevel"/>
    <w:tmpl w:val="901290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8D469A"/>
    <w:multiLevelType w:val="multilevel"/>
    <w:tmpl w:val="789C92CA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6426622">
    <w:abstractNumId w:val="8"/>
  </w:num>
  <w:num w:numId="2" w16cid:durableId="1317805525">
    <w:abstractNumId w:val="5"/>
  </w:num>
  <w:num w:numId="3" w16cid:durableId="1762599228">
    <w:abstractNumId w:val="23"/>
  </w:num>
  <w:num w:numId="4" w16cid:durableId="1536887084">
    <w:abstractNumId w:val="17"/>
  </w:num>
  <w:num w:numId="5" w16cid:durableId="930313618">
    <w:abstractNumId w:val="6"/>
  </w:num>
  <w:num w:numId="6" w16cid:durableId="450056329">
    <w:abstractNumId w:val="20"/>
  </w:num>
  <w:num w:numId="7" w16cid:durableId="1947228101">
    <w:abstractNumId w:val="1"/>
  </w:num>
  <w:num w:numId="8" w16cid:durableId="799107485">
    <w:abstractNumId w:val="11"/>
  </w:num>
  <w:num w:numId="9" w16cid:durableId="1116830424">
    <w:abstractNumId w:val="15"/>
  </w:num>
  <w:num w:numId="10" w16cid:durableId="275799435">
    <w:abstractNumId w:val="4"/>
  </w:num>
  <w:num w:numId="11" w16cid:durableId="1428499995">
    <w:abstractNumId w:val="7"/>
  </w:num>
  <w:num w:numId="12" w16cid:durableId="810094450">
    <w:abstractNumId w:val="13"/>
  </w:num>
  <w:num w:numId="13" w16cid:durableId="343017635">
    <w:abstractNumId w:val="10"/>
  </w:num>
  <w:num w:numId="14" w16cid:durableId="1061445480">
    <w:abstractNumId w:val="14"/>
  </w:num>
  <w:num w:numId="15" w16cid:durableId="836845121">
    <w:abstractNumId w:val="0"/>
  </w:num>
  <w:num w:numId="16" w16cid:durableId="1172528177">
    <w:abstractNumId w:val="12"/>
  </w:num>
  <w:num w:numId="17" w16cid:durableId="743184493">
    <w:abstractNumId w:val="19"/>
  </w:num>
  <w:num w:numId="18" w16cid:durableId="1771510170">
    <w:abstractNumId w:val="16"/>
  </w:num>
  <w:num w:numId="19" w16cid:durableId="1096709655">
    <w:abstractNumId w:val="9"/>
  </w:num>
  <w:num w:numId="20" w16cid:durableId="856700345">
    <w:abstractNumId w:val="3"/>
  </w:num>
  <w:num w:numId="21" w16cid:durableId="184367444">
    <w:abstractNumId w:val="24"/>
  </w:num>
  <w:num w:numId="22" w16cid:durableId="59863422">
    <w:abstractNumId w:val="18"/>
  </w:num>
  <w:num w:numId="23" w16cid:durableId="636763804">
    <w:abstractNumId w:val="21"/>
  </w:num>
  <w:num w:numId="24" w16cid:durableId="1841702462">
    <w:abstractNumId w:val="25"/>
  </w:num>
  <w:num w:numId="25" w16cid:durableId="119616096">
    <w:abstractNumId w:val="22"/>
  </w:num>
  <w:num w:numId="26" w16cid:durableId="184242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9033C"/>
    <w:rsid w:val="000B2AE1"/>
    <w:rsid w:val="00100ABE"/>
    <w:rsid w:val="00222A61"/>
    <w:rsid w:val="00247DBD"/>
    <w:rsid w:val="00250695"/>
    <w:rsid w:val="00306D02"/>
    <w:rsid w:val="0034566C"/>
    <w:rsid w:val="00402BC6"/>
    <w:rsid w:val="004F4AE6"/>
    <w:rsid w:val="005A7A5F"/>
    <w:rsid w:val="006572A7"/>
    <w:rsid w:val="00745A09"/>
    <w:rsid w:val="008B7368"/>
    <w:rsid w:val="008F1F38"/>
    <w:rsid w:val="00900F1A"/>
    <w:rsid w:val="00921015"/>
    <w:rsid w:val="00931C85"/>
    <w:rsid w:val="00997E43"/>
    <w:rsid w:val="00A72F39"/>
    <w:rsid w:val="00B21965"/>
    <w:rsid w:val="00B569A2"/>
    <w:rsid w:val="00B77FDD"/>
    <w:rsid w:val="00B82641"/>
    <w:rsid w:val="00CA0C81"/>
    <w:rsid w:val="00DD0153"/>
    <w:rsid w:val="00DE6E58"/>
    <w:rsid w:val="00E823AE"/>
    <w:rsid w:val="00E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87F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paragraph" w:styleId="Nagwek1">
    <w:name w:val="heading 1"/>
    <w:basedOn w:val="Normalny"/>
    <w:next w:val="Normalny"/>
    <w:link w:val="Nagwek1Znak"/>
    <w:uiPriority w:val="9"/>
    <w:qFormat/>
    <w:rsid w:val="00E82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3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6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F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6979-2C87-4EAA-AF99-EDC855CF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Adam Prasek</cp:lastModifiedBy>
  <cp:revision>2</cp:revision>
  <dcterms:created xsi:type="dcterms:W3CDTF">2024-07-23T11:09:00Z</dcterms:created>
  <dcterms:modified xsi:type="dcterms:W3CDTF">2024-07-23T11:09:00Z</dcterms:modified>
</cp:coreProperties>
</file>