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81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7087F787" wp14:editId="2B2FE3E4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3AF" w:rsidRPr="003A13AF" w:rsidRDefault="003A13AF" w:rsidP="003A13A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3A13AF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3A13AF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mallCaps/>
          <w:sz w:val="24"/>
          <w:szCs w:val="24"/>
        </w:rPr>
        <w:t>Ochrony Ś</w:t>
      </w:r>
      <w:bookmarkStart w:id="0" w:name="_GoBack"/>
      <w:bookmarkEnd w:id="0"/>
      <w:r w:rsidRPr="003A13AF">
        <w:rPr>
          <w:rFonts w:asciiTheme="minorHAnsi" w:hAnsiTheme="minorHAnsi" w:cstheme="minorHAnsi"/>
          <w:smallCaps/>
          <w:sz w:val="24"/>
          <w:szCs w:val="24"/>
        </w:rPr>
        <w:t>rodowiska</w:t>
      </w:r>
      <w:r w:rsidRPr="003A13A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60F62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1" w:name="ezdDataPodpisu"/>
      <w:r w:rsidRPr="003A13AF">
        <w:rPr>
          <w:rFonts w:asciiTheme="minorHAnsi" w:hAnsiTheme="minorHAnsi" w:cstheme="minorHAnsi"/>
          <w:sz w:val="24"/>
          <w:szCs w:val="24"/>
        </w:rPr>
        <w:t>17 września 2025</w:t>
      </w:r>
      <w:bookmarkEnd w:id="1"/>
      <w:r w:rsidRPr="003A13AF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40F25" w:rsidRPr="003A13AF" w:rsidRDefault="003A13AF" w:rsidP="003A13AF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A13AF">
        <w:rPr>
          <w:rFonts w:asciiTheme="minorHAnsi" w:hAnsiTheme="minorHAnsi" w:cstheme="minorHAnsi"/>
          <w:sz w:val="24"/>
          <w:szCs w:val="24"/>
        </w:rPr>
        <w:t>DOOŚ-WDŚI.420.23.2025.MD.2</w:t>
      </w:r>
    </w:p>
    <w:p w:rsidR="00C40F25" w:rsidRPr="003A13AF" w:rsidRDefault="003A13AF" w:rsidP="003A13A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C40F25" w:rsidRPr="003A13AF" w:rsidRDefault="003A13AF" w:rsidP="003A13A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A13A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C40F25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3A13AF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Szczecinie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 z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7 lipca 2025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 r., znak: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WONS.420.5.2024.KK.24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odmawiającej zgody na realizację przedsięwzięcia pn. „Budowa i eksploatacja farmy wiatrowej „Lubiatowo II” wraz z niezbędną infrastrukturą towarzyszącą w gminie Warnice, Dolice i Przelewice, powiat stargardzki i pyrzycki, województwo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 zachodniopomorskie</w:t>
      </w:r>
      <w:r w:rsidRPr="003A13AF">
        <w:rPr>
          <w:rFonts w:asciiTheme="minorHAnsi" w:hAnsiTheme="minorHAnsi" w:cstheme="minorHAnsi"/>
          <w:iCs/>
          <w:sz w:val="24"/>
          <w:szCs w:val="24"/>
        </w:rPr>
        <w:t>”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3A13A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wskazuje nowy termin załatwienia sprawy na </w:t>
      </w:r>
      <w:r w:rsidRPr="003A13AF">
        <w:rPr>
          <w:rFonts w:asciiTheme="minorHAnsi" w:hAnsiTheme="minorHAnsi" w:cstheme="minorHAnsi"/>
          <w:bCs/>
          <w:color w:val="000000"/>
          <w:sz w:val="24"/>
          <w:szCs w:val="24"/>
        </w:rPr>
        <w:t>17 listopada</w:t>
      </w:r>
      <w:r w:rsidRPr="003A13A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2025 r.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C40F25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informuje, 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że stronie służy prawo do wniesienia ponaglenia. Ponaglenie wnosi się do Generalnego Dyrektora Ochrony Środowiska, w formie papierowej – na adres siedziby Generalnej Dyrekcji Ochrony Środowiska: Al.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 xml:space="preserve"> elektron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icznej – na adres do e</w:t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3A13AF">
        <w:rPr>
          <w:rFonts w:asciiTheme="minorHAnsi" w:hAnsiTheme="minorHAnsi" w:cstheme="minorHAnsi"/>
          <w:color w:val="000000"/>
          <w:sz w:val="24"/>
          <w:szCs w:val="24"/>
        </w:rPr>
        <w:t>Doręczeń: AE:PL-14966-78422-TRCJH-21 albo adres ePUAP: /gdosgovpl/SkrytkaESP.</w:t>
      </w:r>
    </w:p>
    <w:p w:rsidR="00C40F25" w:rsidRPr="003A13AF" w:rsidRDefault="003A13AF" w:rsidP="003A13A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C40F25" w:rsidRPr="003A13AF" w:rsidRDefault="003A13AF" w:rsidP="003A13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>Z upoważnienia</w:t>
      </w:r>
    </w:p>
    <w:p w:rsidR="00C40F25" w:rsidRPr="003A13AF" w:rsidRDefault="003A13AF" w:rsidP="003A13AF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C40F25" w:rsidRPr="003A13AF" w:rsidRDefault="003A13AF" w:rsidP="003A13AF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>MARCIN KOŁODYŃSKI</w:t>
      </w:r>
    </w:p>
    <w:p w:rsidR="00C40F25" w:rsidRPr="003A13AF" w:rsidRDefault="003A13AF" w:rsidP="003A13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>Naczelnik Wydziału</w:t>
      </w:r>
    </w:p>
    <w:p w:rsidR="00C40F25" w:rsidRPr="003A13AF" w:rsidRDefault="003A13AF" w:rsidP="003A13A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C40F25" w:rsidRPr="003A13AF" w:rsidRDefault="003A13AF" w:rsidP="003A13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 xml:space="preserve">/podpis </w:t>
      </w:r>
      <w:r w:rsidRPr="003A13AF">
        <w:rPr>
          <w:rFonts w:asciiTheme="minorHAnsi" w:hAnsiTheme="minorHAnsi" w:cstheme="minorHAnsi"/>
          <w:sz w:val="24"/>
          <w:szCs w:val="24"/>
        </w:rPr>
        <w:t>elektroniczny/</w:t>
      </w:r>
    </w:p>
    <w:p w:rsidR="00C40F25" w:rsidRPr="003A13AF" w:rsidRDefault="003A13AF" w:rsidP="003A13A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C40F25" w:rsidRPr="003A13AF" w:rsidRDefault="003A13AF" w:rsidP="003A13A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C40F25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2" w:name="_Hlk205579832"/>
      <w:r w:rsidRPr="003A13AF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22.09.2025 r.</w:t>
      </w:r>
      <w:r w:rsidRPr="003A13AF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07.10.2025 r.</w:t>
      </w:r>
    </w:p>
    <w:p w:rsidR="00C40F25" w:rsidRPr="003A13AF" w:rsidRDefault="003A13AF" w:rsidP="003A13A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A13AF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2"/>
    </w:p>
    <w:p w:rsidR="00C40F25" w:rsidRPr="003A13AF" w:rsidRDefault="003A13AF" w:rsidP="003A13AF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C40F25" w:rsidRPr="003A13AF" w:rsidRDefault="003A13AF" w:rsidP="003A13AF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C40F25" w:rsidRPr="003A13AF" w:rsidRDefault="003A13AF" w:rsidP="003A13AF">
      <w:pPr>
        <w:pStyle w:val="Bezodstpw1"/>
        <w:spacing w:after="60"/>
        <w:rPr>
          <w:rFonts w:asciiTheme="minorHAnsi" w:hAnsiTheme="minorHAnsi" w:cstheme="minorHAnsi"/>
        </w:rPr>
      </w:pPr>
      <w:r w:rsidRPr="003A13AF">
        <w:rPr>
          <w:rFonts w:asciiTheme="minorHAnsi" w:hAnsiTheme="minorHAnsi" w:cstheme="minorHAnsi"/>
        </w:rPr>
        <w:lastRenderedPageBreak/>
        <w:t xml:space="preserve">Art. 36 ustawy z dnia 14 czerwca 1960 r. – Kodeks postępowania administracyjnego (Dz. U. z 2024 r. poz. 572, ze zm.), dalej </w:t>
      </w:r>
      <w:r w:rsidRPr="003A13AF">
        <w:rPr>
          <w:rFonts w:asciiTheme="minorHAnsi" w:hAnsiTheme="minorHAnsi" w:cstheme="minorHAnsi"/>
          <w:iCs/>
        </w:rPr>
        <w:t>k.p.a.:</w:t>
      </w:r>
      <w:r w:rsidRPr="003A13AF">
        <w:rPr>
          <w:rFonts w:asciiTheme="minorHAnsi" w:hAnsiTheme="minorHAnsi" w:cstheme="minorHAnsi"/>
        </w:rPr>
        <w:t xml:space="preserve"> </w:t>
      </w:r>
      <w:r w:rsidRPr="003A13AF">
        <w:rPr>
          <w:rFonts w:asciiTheme="minorHAnsi" w:hAnsiTheme="minorHAnsi" w:cstheme="minorHAnsi"/>
        </w:rPr>
        <w:t xml:space="preserve">O </w:t>
      </w:r>
      <w:r w:rsidRPr="003A13AF">
        <w:rPr>
          <w:rFonts w:asciiTheme="minorHAnsi" w:hAnsiTheme="minorHAnsi" w:cstheme="minorHAnsi"/>
        </w:rPr>
        <w:t>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3A13AF">
        <w:rPr>
          <w:rFonts w:asciiTheme="minorHAnsi" w:hAnsiTheme="minorHAnsi" w:cstheme="minorHAnsi"/>
        </w:rPr>
        <w:t>§ 1</w:t>
      </w:r>
      <w:r w:rsidRPr="003A13AF">
        <w:rPr>
          <w:rFonts w:asciiTheme="minorHAnsi" w:hAnsiTheme="minorHAnsi" w:cstheme="minorHAnsi"/>
        </w:rPr>
        <w:t>). Ten sam obowiązek</w:t>
      </w:r>
      <w:r w:rsidRPr="003A13AF">
        <w:rPr>
          <w:rFonts w:asciiTheme="minorHAnsi" w:hAnsiTheme="minorHAnsi" w:cstheme="minorHAnsi"/>
        </w:rPr>
        <w:t xml:space="preserve"> ciąży na organie administracji publicznej również w przypadku zwłoki w załatwieniu sprawy z przyczyn niezależnych od organu (</w:t>
      </w:r>
      <w:r w:rsidRPr="003A13AF">
        <w:rPr>
          <w:rFonts w:asciiTheme="minorHAnsi" w:hAnsiTheme="minorHAnsi" w:cstheme="minorHAnsi"/>
        </w:rPr>
        <w:t>§ 2</w:t>
      </w:r>
      <w:r w:rsidRPr="003A13AF">
        <w:rPr>
          <w:rFonts w:asciiTheme="minorHAnsi" w:hAnsiTheme="minorHAnsi" w:cstheme="minorHAnsi"/>
        </w:rPr>
        <w:t>).</w:t>
      </w:r>
    </w:p>
    <w:p w:rsidR="00C40F25" w:rsidRPr="003A13AF" w:rsidRDefault="003A13AF" w:rsidP="003A13AF">
      <w:pPr>
        <w:pStyle w:val="Bezodstpw1"/>
        <w:spacing w:after="60"/>
        <w:rPr>
          <w:rFonts w:asciiTheme="minorHAnsi" w:hAnsiTheme="minorHAnsi" w:cstheme="minorHAnsi"/>
        </w:rPr>
      </w:pPr>
      <w:r w:rsidRPr="003A13AF">
        <w:rPr>
          <w:rFonts w:asciiTheme="minorHAnsi" w:hAnsiTheme="minorHAnsi" w:cstheme="minorHAnsi"/>
        </w:rPr>
        <w:t xml:space="preserve">Art. 37 § 1 </w:t>
      </w:r>
      <w:r w:rsidRPr="003A13AF">
        <w:rPr>
          <w:rFonts w:asciiTheme="minorHAnsi" w:hAnsiTheme="minorHAnsi" w:cstheme="minorHAnsi"/>
          <w:iCs/>
        </w:rPr>
        <w:t>k.p.a.:</w:t>
      </w:r>
      <w:r w:rsidRPr="003A13AF">
        <w:rPr>
          <w:rFonts w:asciiTheme="minorHAnsi" w:hAnsiTheme="minorHAnsi" w:cstheme="minorHAnsi"/>
        </w:rPr>
        <w:t xml:space="preserve"> Stronie służy prawo do wniesienia ponaglenia, jeżeli: </w:t>
      </w:r>
      <w:r w:rsidRPr="003A13AF">
        <w:rPr>
          <w:rFonts w:asciiTheme="minorHAnsi" w:hAnsiTheme="minorHAnsi" w:cstheme="minorHAnsi"/>
        </w:rPr>
        <w:t>1)</w:t>
      </w:r>
      <w:r w:rsidRPr="003A13AF">
        <w:rPr>
          <w:rFonts w:asciiTheme="minorHAnsi" w:hAnsiTheme="minorHAnsi" w:cstheme="minorHAnsi"/>
        </w:rPr>
        <w:t xml:space="preserve"> nie załatwiono sprawy w terminie określonym w a</w:t>
      </w:r>
      <w:r w:rsidRPr="003A13AF">
        <w:rPr>
          <w:rFonts w:asciiTheme="minorHAnsi" w:hAnsiTheme="minorHAnsi" w:cstheme="minorHAnsi"/>
        </w:rPr>
        <w:t xml:space="preserve">rt. 35 lub przepisach szczególnych ani w terminie wskazanym zgodnie z art. 36 § 1 (bezczynność); </w:t>
      </w:r>
      <w:r w:rsidRPr="003A13AF">
        <w:rPr>
          <w:rFonts w:asciiTheme="minorHAnsi" w:hAnsiTheme="minorHAnsi" w:cstheme="minorHAnsi"/>
        </w:rPr>
        <w:t>2)</w:t>
      </w:r>
      <w:r w:rsidRPr="003A13AF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C40F25" w:rsidRPr="003A13AF" w:rsidRDefault="003A13AF" w:rsidP="003A13AF">
      <w:pPr>
        <w:pStyle w:val="Bezodstpw1"/>
        <w:spacing w:after="60"/>
        <w:rPr>
          <w:rFonts w:asciiTheme="minorHAnsi" w:hAnsiTheme="minorHAnsi" w:cstheme="minorHAnsi"/>
        </w:rPr>
      </w:pPr>
      <w:r w:rsidRPr="003A13AF">
        <w:rPr>
          <w:rFonts w:asciiTheme="minorHAnsi" w:hAnsiTheme="minorHAnsi" w:cstheme="minorHAnsi"/>
          <w:bCs/>
        </w:rPr>
        <w:t xml:space="preserve">Art. 37 § 1 pkt 2 k.p.a.: </w:t>
      </w:r>
      <w:r w:rsidRPr="003A13AF">
        <w:rPr>
          <w:rFonts w:asciiTheme="minorHAnsi" w:hAnsiTheme="minorHAnsi" w:cstheme="minorHAnsi"/>
        </w:rPr>
        <w:t>Ponaglenie wnosi się do organu pro</w:t>
      </w:r>
      <w:r w:rsidRPr="003A13AF">
        <w:rPr>
          <w:rFonts w:asciiTheme="minorHAnsi" w:hAnsiTheme="minorHAnsi" w:cstheme="minorHAnsi"/>
        </w:rPr>
        <w:t>wadzącego postępowanie - jeżeli nie ma organu wyższego stopnia.</w:t>
      </w:r>
    </w:p>
    <w:p w:rsidR="00C40F25" w:rsidRPr="003A13AF" w:rsidRDefault="003A13AF" w:rsidP="003A13AF">
      <w:pPr>
        <w:pStyle w:val="Bezodstpw1"/>
        <w:spacing w:after="60"/>
        <w:rPr>
          <w:rFonts w:asciiTheme="minorHAnsi" w:hAnsiTheme="minorHAnsi" w:cstheme="minorHAnsi"/>
        </w:rPr>
      </w:pPr>
      <w:r w:rsidRPr="003A13AF">
        <w:rPr>
          <w:rFonts w:asciiTheme="minorHAnsi" w:hAnsiTheme="minorHAnsi" w:cstheme="minorHAnsi"/>
        </w:rPr>
        <w:t xml:space="preserve">Art. 49 § 1 </w:t>
      </w:r>
      <w:r w:rsidRPr="003A13AF">
        <w:rPr>
          <w:rFonts w:asciiTheme="minorHAnsi" w:hAnsiTheme="minorHAnsi" w:cstheme="minorHAnsi"/>
          <w:iCs/>
        </w:rPr>
        <w:t>k.p.a.</w:t>
      </w:r>
      <w:r w:rsidRPr="003A13AF">
        <w:rPr>
          <w:rFonts w:asciiTheme="minorHAnsi" w:hAnsiTheme="minorHAnsi" w:cstheme="minorHAnsi"/>
        </w:rPr>
        <w:t xml:space="preserve"> </w:t>
      </w:r>
      <w:r w:rsidRPr="003A13AF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</w:t>
      </w:r>
      <w:r w:rsidRPr="003A13AF">
        <w:rPr>
          <w:rFonts w:asciiTheme="minorHAnsi" w:hAnsiTheme="minorHAnsi" w:cstheme="minorHAnsi"/>
        </w:rPr>
        <w:t>, w innej formie publicznego ogłoszenia zwyczajowo przyjętej w danej miejscowości lub przez udostępnienie pisma w Biuletynie Informacji Publicznej na stronie podmiotowej właściwego organu administracji publicznej.</w:t>
      </w:r>
    </w:p>
    <w:p w:rsidR="00C40F25" w:rsidRPr="003A13AF" w:rsidRDefault="003A13AF" w:rsidP="003A13AF">
      <w:pPr>
        <w:pStyle w:val="Bezodstpw1"/>
        <w:rPr>
          <w:rFonts w:asciiTheme="minorHAnsi" w:hAnsiTheme="minorHAnsi" w:cstheme="minorHAnsi"/>
        </w:rPr>
      </w:pPr>
      <w:r w:rsidRPr="003A13AF">
        <w:rPr>
          <w:rFonts w:asciiTheme="minorHAnsi" w:hAnsiTheme="minorHAnsi" w:cstheme="minorHAnsi"/>
        </w:rPr>
        <w:t xml:space="preserve">Art. 74 ust. 3 </w:t>
      </w:r>
      <w:r w:rsidRPr="003A13AF">
        <w:rPr>
          <w:rFonts w:asciiTheme="minorHAnsi" w:hAnsiTheme="minorHAnsi" w:cstheme="minorHAnsi"/>
          <w:iCs/>
        </w:rPr>
        <w:t>ustawy z dnia 3 październik</w:t>
      </w:r>
      <w:r w:rsidRPr="003A13AF">
        <w:rPr>
          <w:rFonts w:asciiTheme="minorHAnsi" w:hAnsiTheme="minorHAnsi" w:cstheme="minorHAnsi"/>
          <w:iCs/>
        </w:rPr>
        <w:t>a 2008 r. o udostępnianiu informacji o środowisku i jego ochronie, udziale społeczeństwa w ochronie środowiska oraz o ocenach oddziaływania na środowisko (Dz. U. z 2024 r. poz. 1112, ze zm.):</w:t>
      </w:r>
      <w:r w:rsidRPr="003A13AF">
        <w:rPr>
          <w:rFonts w:asciiTheme="minorHAnsi" w:hAnsiTheme="minorHAnsi" w:cstheme="minorHAnsi"/>
        </w:rPr>
        <w:t xml:space="preserve"> </w:t>
      </w:r>
      <w:r w:rsidRPr="003A13AF">
        <w:rPr>
          <w:rFonts w:asciiTheme="minorHAnsi" w:hAnsiTheme="minorHAnsi" w:cstheme="minorHAnsi"/>
          <w:bCs/>
        </w:rPr>
        <w:t>Jeżeli liczba stron postępowania w sprawie wydania decyzji o śro</w:t>
      </w:r>
      <w:r w:rsidRPr="003A13AF">
        <w:rPr>
          <w:rFonts w:asciiTheme="minorHAnsi" w:hAnsiTheme="minorHAnsi" w:cstheme="minorHAnsi"/>
          <w:bCs/>
        </w:rPr>
        <w:t>dowiskowych uwarunkowaniach lub innego postępowania dotyczącego tej decyzji przekracza 10, do zawiadomienia stron innych niż podmiot planujący podjęcie realizacji przedsięwzięcia stosuje się przepisy art. 49 Kodeksu postępowania administracyjnego, z tym że</w:t>
      </w:r>
      <w:r w:rsidRPr="003A13AF">
        <w:rPr>
          <w:rFonts w:asciiTheme="minorHAnsi" w:hAnsiTheme="minorHAnsi" w:cstheme="minorHAnsi"/>
          <w:bCs/>
        </w:rPr>
        <w:t xml:space="preserve"> zawiadomienie to następuje w formie publicznego obwieszczenia w siedzibie organu właściwego w sprawie oraz przez udostępnienie pisma w Biuletynie Informacji Publicznej na stronie podmiotowej tego organu.</w:t>
      </w:r>
    </w:p>
    <w:p w:rsidR="00260F62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133194" w:rsidRPr="003A13AF" w:rsidRDefault="003A13AF" w:rsidP="003A13A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133194" w:rsidRPr="003A13AF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13AF">
      <w:pPr>
        <w:spacing w:after="0" w:line="240" w:lineRule="auto"/>
      </w:pPr>
      <w:r>
        <w:separator/>
      </w:r>
    </w:p>
  </w:endnote>
  <w:endnote w:type="continuationSeparator" w:id="0">
    <w:p w:rsidR="00000000" w:rsidRDefault="003A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3A1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3A13A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13AF">
      <w:pPr>
        <w:spacing w:after="0" w:line="240" w:lineRule="auto"/>
      </w:pPr>
      <w:r>
        <w:separator/>
      </w:r>
    </w:p>
  </w:footnote>
  <w:footnote w:type="continuationSeparator" w:id="0">
    <w:p w:rsidR="00000000" w:rsidRDefault="003A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3A13A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89578B" w:rsidTr="00D34181">
      <w:trPr>
        <w:trHeight w:val="470"/>
      </w:trPr>
      <w:tc>
        <w:tcPr>
          <w:tcW w:w="4641" w:type="dxa"/>
          <w:vAlign w:val="center"/>
        </w:tcPr>
        <w:p w:rsidR="00260F62" w:rsidRPr="00C40F25" w:rsidRDefault="003A13AF" w:rsidP="003A13A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3A13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8B"/>
    <w:rsid w:val="003A13AF"/>
    <w:rsid w:val="0080219E"/>
    <w:rsid w:val="008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6064"/>
  <w15:docId w15:val="{8A9D67A4-CCB4-402A-B391-DE1C7E43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40F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F136-6D1F-4B8C-B299-3B1F0CBE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2025-09-22T08:58:00Z</dcterms:created>
  <dcterms:modified xsi:type="dcterms:W3CDTF">2025-09-22T09:01:00Z</dcterms:modified>
</cp:coreProperties>
</file>