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94CCC" w14:textId="5A881D6E" w:rsidR="008C0E92" w:rsidRPr="001A28EB" w:rsidRDefault="008C0E92" w:rsidP="008C0E92">
      <w:pPr>
        <w:jc w:val="right"/>
        <w:rPr>
          <w:rFonts w:ascii="Lato" w:hAnsi="Lato"/>
          <w:b/>
          <w:bCs/>
          <w:color w:val="00B0F0"/>
          <w:sz w:val="28"/>
          <w:szCs w:val="28"/>
        </w:rPr>
      </w:pPr>
    </w:p>
    <w:p w14:paraId="3D3399D2" w14:textId="79DE329C" w:rsidR="002F43BB" w:rsidRPr="001A28EB" w:rsidRDefault="002F43BB" w:rsidP="002F43BB">
      <w:pPr>
        <w:jc w:val="center"/>
        <w:rPr>
          <w:rFonts w:ascii="Lato" w:hAnsi="Lato"/>
          <w:b/>
          <w:bCs/>
          <w:color w:val="00B0F0"/>
          <w:sz w:val="36"/>
          <w:szCs w:val="36"/>
          <w:u w:val="single"/>
        </w:rPr>
      </w:pPr>
      <w:r w:rsidRPr="001A28EB">
        <w:rPr>
          <w:rFonts w:ascii="Lato" w:hAnsi="Lato"/>
          <w:b/>
          <w:bCs/>
          <w:color w:val="00B0F0"/>
          <w:sz w:val="36"/>
          <w:szCs w:val="36"/>
          <w:u w:val="single"/>
        </w:rPr>
        <w:t>PROJEKT OBWIESZCZENIA REFUNDACYJNEGO NR 7</w:t>
      </w:r>
      <w:r w:rsidR="00D079C9" w:rsidRPr="001A28EB">
        <w:rPr>
          <w:rFonts w:ascii="Lato" w:hAnsi="Lato"/>
          <w:b/>
          <w:bCs/>
          <w:color w:val="00B0F0"/>
          <w:sz w:val="36"/>
          <w:szCs w:val="36"/>
          <w:u w:val="single"/>
        </w:rPr>
        <w:t>3</w:t>
      </w:r>
      <w:r w:rsidRPr="001A28EB">
        <w:rPr>
          <w:rFonts w:ascii="Lato" w:hAnsi="Lato"/>
          <w:b/>
          <w:bCs/>
          <w:color w:val="00B0F0"/>
          <w:sz w:val="36"/>
          <w:szCs w:val="36"/>
          <w:u w:val="single"/>
        </w:rPr>
        <w:t xml:space="preserve"> (1 </w:t>
      </w:r>
      <w:r w:rsidR="00D079C9" w:rsidRPr="001A28EB">
        <w:rPr>
          <w:rFonts w:ascii="Lato" w:hAnsi="Lato"/>
          <w:b/>
          <w:bCs/>
          <w:color w:val="00B0F0"/>
          <w:sz w:val="36"/>
          <w:szCs w:val="36"/>
          <w:u w:val="single"/>
        </w:rPr>
        <w:t>STYCZNIA</w:t>
      </w:r>
      <w:r w:rsidR="0028225A" w:rsidRPr="001A28EB">
        <w:rPr>
          <w:rFonts w:ascii="Lato" w:hAnsi="Lato"/>
          <w:b/>
          <w:bCs/>
          <w:color w:val="00B0F0"/>
          <w:sz w:val="36"/>
          <w:szCs w:val="36"/>
          <w:u w:val="single"/>
        </w:rPr>
        <w:t xml:space="preserve"> </w:t>
      </w:r>
      <w:r w:rsidRPr="001A28EB">
        <w:rPr>
          <w:rFonts w:ascii="Lato" w:hAnsi="Lato"/>
          <w:b/>
          <w:bCs/>
          <w:color w:val="00B0F0"/>
          <w:sz w:val="36"/>
          <w:szCs w:val="36"/>
          <w:u w:val="single"/>
        </w:rPr>
        <w:t>202</w:t>
      </w:r>
      <w:r w:rsidR="00D079C9" w:rsidRPr="001A28EB">
        <w:rPr>
          <w:rFonts w:ascii="Lato" w:hAnsi="Lato"/>
          <w:b/>
          <w:bCs/>
          <w:color w:val="00B0F0"/>
          <w:sz w:val="36"/>
          <w:szCs w:val="36"/>
          <w:u w:val="single"/>
        </w:rPr>
        <w:t xml:space="preserve">4 </w:t>
      </w:r>
      <w:r w:rsidRPr="001A28EB">
        <w:rPr>
          <w:rFonts w:ascii="Lato" w:hAnsi="Lato"/>
          <w:b/>
          <w:bCs/>
          <w:color w:val="00B0F0"/>
          <w:sz w:val="36"/>
          <w:szCs w:val="36"/>
          <w:u w:val="single"/>
        </w:rPr>
        <w:t>r.)</w:t>
      </w:r>
    </w:p>
    <w:p w14:paraId="7FA0DE22" w14:textId="686D3AE8" w:rsidR="002F43BB" w:rsidRPr="001A28EB" w:rsidRDefault="002F43BB" w:rsidP="002F43BB">
      <w:pPr>
        <w:spacing w:before="240" w:after="120" w:line="360" w:lineRule="auto"/>
        <w:jc w:val="both"/>
        <w:rPr>
          <w:rFonts w:ascii="Lato" w:hAnsi="Lato"/>
        </w:rPr>
      </w:pPr>
      <w:r w:rsidRPr="001A28EB">
        <w:rPr>
          <w:rFonts w:ascii="Lato" w:hAnsi="Lato"/>
        </w:rPr>
        <w:t>Prezentowane podsumowanie projektu obwieszczenia refundacyjnego nr 7</w:t>
      </w:r>
      <w:r w:rsidR="00D079C9" w:rsidRPr="001A28EB">
        <w:rPr>
          <w:rFonts w:ascii="Lato" w:hAnsi="Lato"/>
        </w:rPr>
        <w:t>3</w:t>
      </w:r>
      <w:r w:rsidRPr="001A28EB">
        <w:rPr>
          <w:rFonts w:ascii="Lato" w:hAnsi="Lato"/>
        </w:rPr>
        <w:t xml:space="preserve"> </w:t>
      </w:r>
      <w:r w:rsidRPr="001A28EB">
        <w:rPr>
          <w:rFonts w:ascii="Lato" w:hAnsi="Lato"/>
          <w:b/>
          <w:bCs/>
        </w:rPr>
        <w:t>nie stanowi jego ostatecznej wersji</w:t>
      </w:r>
      <w:r w:rsidRPr="001A28EB">
        <w:rPr>
          <w:rFonts w:ascii="Lato" w:hAnsi="Lato"/>
        </w:rPr>
        <w:t xml:space="preserve">, bowiem nadal trwają prace administracyjne nad finalnym wykazem refundowanych leków, środków spożywczych specjalnego przeznaczenia żywieniowego oraz wyrobów medycznych obowiązującym od 1 </w:t>
      </w:r>
      <w:r w:rsidR="00D079C9" w:rsidRPr="001A28EB">
        <w:rPr>
          <w:rFonts w:ascii="Lato" w:hAnsi="Lato"/>
        </w:rPr>
        <w:t>stycznia</w:t>
      </w:r>
      <w:r w:rsidRPr="001A28EB">
        <w:rPr>
          <w:rFonts w:ascii="Lato" w:hAnsi="Lato"/>
        </w:rPr>
        <w:t xml:space="preserve"> 202</w:t>
      </w:r>
      <w:r w:rsidR="00D079C9" w:rsidRPr="001A28EB">
        <w:rPr>
          <w:rFonts w:ascii="Lato" w:hAnsi="Lato"/>
        </w:rPr>
        <w:t>4</w:t>
      </w:r>
      <w:r w:rsidRPr="001A28EB">
        <w:rPr>
          <w:rFonts w:ascii="Lato" w:hAnsi="Lato"/>
        </w:rPr>
        <w:t xml:space="preserve"> r. </w:t>
      </w:r>
    </w:p>
    <w:p w14:paraId="5976BE2E" w14:textId="306B56B0" w:rsidR="002F43BB" w:rsidRPr="001A28EB" w:rsidRDefault="002F43BB" w:rsidP="002F43BB">
      <w:pPr>
        <w:spacing w:after="120" w:line="360" w:lineRule="auto"/>
        <w:jc w:val="both"/>
        <w:rPr>
          <w:rFonts w:ascii="Lato" w:hAnsi="Lato"/>
        </w:rPr>
      </w:pPr>
      <w:r w:rsidRPr="001A28EB">
        <w:rPr>
          <w:rFonts w:ascii="Lato" w:hAnsi="Lato"/>
        </w:rPr>
        <w:t xml:space="preserve">Uwzględniając niniejszy projekt, </w:t>
      </w:r>
      <w:r w:rsidR="00D079C9" w:rsidRPr="001A28EB">
        <w:rPr>
          <w:rFonts w:ascii="Lato" w:hAnsi="Lato"/>
        </w:rPr>
        <w:t>w pierwszym wykazie w</w:t>
      </w:r>
      <w:r w:rsidRPr="001A28EB">
        <w:rPr>
          <w:rFonts w:ascii="Lato" w:hAnsi="Lato"/>
        </w:rPr>
        <w:t xml:space="preserve"> roku 202</w:t>
      </w:r>
      <w:r w:rsidR="00D079C9" w:rsidRPr="001A28EB">
        <w:rPr>
          <w:rFonts w:ascii="Lato" w:hAnsi="Lato"/>
        </w:rPr>
        <w:t>4</w:t>
      </w:r>
      <w:r w:rsidRPr="001A28EB">
        <w:rPr>
          <w:rFonts w:ascii="Lato" w:hAnsi="Lato"/>
        </w:rPr>
        <w:t xml:space="preserve">, finansowaniem ze środków publicznych zostanie objętych </w:t>
      </w:r>
      <w:r w:rsidR="00937B3C">
        <w:rPr>
          <w:rFonts w:ascii="Lato" w:hAnsi="Lato"/>
          <w:b/>
          <w:bCs/>
        </w:rPr>
        <w:t>19</w:t>
      </w:r>
      <w:r w:rsidR="00D079C9" w:rsidRPr="001A28EB">
        <w:rPr>
          <w:rFonts w:ascii="Lato" w:hAnsi="Lato"/>
          <w:b/>
          <w:bCs/>
        </w:rPr>
        <w:t xml:space="preserve"> </w:t>
      </w:r>
      <w:r w:rsidRPr="001A28EB">
        <w:rPr>
          <w:rFonts w:ascii="Lato" w:hAnsi="Lato"/>
          <w:b/>
          <w:bCs/>
        </w:rPr>
        <w:t xml:space="preserve">nowych </w:t>
      </w:r>
      <w:r w:rsidRPr="001A28EB">
        <w:rPr>
          <w:rFonts w:ascii="Lato" w:hAnsi="Lato"/>
          <w:b/>
          <w:bCs/>
        </w:rPr>
        <w:br/>
        <w:t>cząsteczko – wskazań</w:t>
      </w:r>
      <w:r w:rsidRPr="001A28EB">
        <w:rPr>
          <w:rFonts w:ascii="Lato" w:hAnsi="Lato"/>
        </w:rPr>
        <w:t>, w tym:</w:t>
      </w:r>
    </w:p>
    <w:p w14:paraId="3B6AC00E" w14:textId="38263925" w:rsidR="002F43BB" w:rsidRPr="001A28EB" w:rsidRDefault="00937B3C" w:rsidP="002F43BB">
      <w:pPr>
        <w:pStyle w:val="Akapitzlist"/>
        <w:numPr>
          <w:ilvl w:val="0"/>
          <w:numId w:val="41"/>
        </w:numPr>
        <w:spacing w:after="120" w:line="360" w:lineRule="auto"/>
        <w:jc w:val="both"/>
        <w:textAlignment w:val="auto"/>
        <w:rPr>
          <w:rFonts w:ascii="Lato" w:hAnsi="Lato"/>
        </w:rPr>
      </w:pPr>
      <w:r>
        <w:rPr>
          <w:rFonts w:ascii="Lato" w:hAnsi="Lato"/>
        </w:rPr>
        <w:t>8</w:t>
      </w:r>
      <w:r w:rsidR="002F43BB" w:rsidRPr="001A28EB">
        <w:rPr>
          <w:rFonts w:ascii="Lato" w:hAnsi="Lato"/>
        </w:rPr>
        <w:t xml:space="preserve"> cząsteczko – wskazań onkologicznych,</w:t>
      </w:r>
    </w:p>
    <w:p w14:paraId="0956AEA8" w14:textId="32748C38" w:rsidR="002F43BB" w:rsidRPr="001A28EB" w:rsidRDefault="00937B3C" w:rsidP="002F43BB">
      <w:pPr>
        <w:pStyle w:val="Akapitzlist"/>
        <w:numPr>
          <w:ilvl w:val="0"/>
          <w:numId w:val="41"/>
        </w:numPr>
        <w:spacing w:after="120" w:line="360" w:lineRule="auto"/>
        <w:jc w:val="both"/>
        <w:textAlignment w:val="auto"/>
        <w:rPr>
          <w:rFonts w:ascii="Lato" w:hAnsi="Lato"/>
        </w:rPr>
      </w:pPr>
      <w:r>
        <w:rPr>
          <w:rFonts w:ascii="Lato" w:hAnsi="Lato"/>
        </w:rPr>
        <w:t>11</w:t>
      </w:r>
      <w:r w:rsidR="0028225A" w:rsidRPr="001A28EB">
        <w:rPr>
          <w:rFonts w:ascii="Lato" w:hAnsi="Lato"/>
        </w:rPr>
        <w:t xml:space="preserve"> </w:t>
      </w:r>
      <w:r w:rsidR="002F43BB" w:rsidRPr="001A28EB">
        <w:rPr>
          <w:rFonts w:ascii="Lato" w:hAnsi="Lato"/>
        </w:rPr>
        <w:t>cząsteczko - wskaza</w:t>
      </w:r>
      <w:r>
        <w:rPr>
          <w:rFonts w:ascii="Lato" w:hAnsi="Lato"/>
        </w:rPr>
        <w:t>ń</w:t>
      </w:r>
      <w:r w:rsidR="002F43BB" w:rsidRPr="001A28EB">
        <w:rPr>
          <w:rFonts w:ascii="Lato" w:hAnsi="Lato"/>
        </w:rPr>
        <w:t xml:space="preserve"> nieonkologiczn</w:t>
      </w:r>
      <w:r>
        <w:rPr>
          <w:rFonts w:ascii="Lato" w:hAnsi="Lato"/>
        </w:rPr>
        <w:t>ych</w:t>
      </w:r>
      <w:r w:rsidR="002F43BB" w:rsidRPr="001A28EB">
        <w:rPr>
          <w:rFonts w:ascii="Lato" w:hAnsi="Lato"/>
        </w:rPr>
        <w:t>,</w:t>
      </w:r>
    </w:p>
    <w:p w14:paraId="5D772724" w14:textId="0BD4994F" w:rsidR="002F43BB" w:rsidRPr="0075176D" w:rsidRDefault="00937B3C" w:rsidP="002F43BB">
      <w:pPr>
        <w:pStyle w:val="Akapitzlist"/>
        <w:numPr>
          <w:ilvl w:val="0"/>
          <w:numId w:val="41"/>
        </w:numPr>
        <w:spacing w:after="120" w:line="360" w:lineRule="auto"/>
        <w:jc w:val="both"/>
        <w:textAlignment w:val="auto"/>
        <w:rPr>
          <w:rFonts w:ascii="Lato" w:hAnsi="Lato"/>
        </w:rPr>
      </w:pPr>
      <w:r w:rsidRPr="0075176D">
        <w:rPr>
          <w:rFonts w:ascii="Lato" w:hAnsi="Lato"/>
        </w:rPr>
        <w:t>10</w:t>
      </w:r>
      <w:r w:rsidR="0028225A" w:rsidRPr="0075176D">
        <w:rPr>
          <w:rFonts w:ascii="Lato" w:hAnsi="Lato"/>
        </w:rPr>
        <w:t xml:space="preserve"> </w:t>
      </w:r>
      <w:r w:rsidR="002F43BB" w:rsidRPr="0075176D">
        <w:rPr>
          <w:rFonts w:ascii="Lato" w:hAnsi="Lato"/>
        </w:rPr>
        <w:t>cząsteczko - wskaza</w:t>
      </w:r>
      <w:r w:rsidRPr="0075176D">
        <w:rPr>
          <w:rFonts w:ascii="Lato" w:hAnsi="Lato"/>
        </w:rPr>
        <w:t>ń</w:t>
      </w:r>
      <w:r w:rsidR="002F43BB" w:rsidRPr="0075176D">
        <w:rPr>
          <w:rFonts w:ascii="Lato" w:hAnsi="Lato"/>
        </w:rPr>
        <w:t xml:space="preserve"> dedykowan</w:t>
      </w:r>
      <w:r w:rsidRPr="0075176D">
        <w:rPr>
          <w:rFonts w:ascii="Lato" w:hAnsi="Lato"/>
        </w:rPr>
        <w:t>ych</w:t>
      </w:r>
      <w:r w:rsidR="002F43BB" w:rsidRPr="0075176D">
        <w:rPr>
          <w:rFonts w:ascii="Lato" w:hAnsi="Lato"/>
        </w:rPr>
        <w:t xml:space="preserve"> chorobom rzadkim.</w:t>
      </w:r>
    </w:p>
    <w:p w14:paraId="16B85B2E" w14:textId="094AA891" w:rsidR="00B447A5" w:rsidRPr="0075176D" w:rsidRDefault="002F43BB" w:rsidP="002F43BB">
      <w:pPr>
        <w:autoSpaceDE w:val="0"/>
        <w:spacing w:after="0" w:line="360" w:lineRule="auto"/>
        <w:jc w:val="both"/>
        <w:rPr>
          <w:rFonts w:ascii="Lato" w:hAnsi="Lato" w:cs="Arial"/>
        </w:rPr>
      </w:pPr>
      <w:r w:rsidRPr="0075176D">
        <w:rPr>
          <w:rFonts w:ascii="Lato" w:hAnsi="Lato" w:cs="Arial"/>
        </w:rPr>
        <w:t>Najwięcej nowych cząsteczko - wskazań onkologicznych w 2023 r. obserwujemy w hematoonkologii (</w:t>
      </w:r>
      <w:r w:rsidR="00937B3C" w:rsidRPr="0075176D">
        <w:rPr>
          <w:rFonts w:ascii="Lato" w:hAnsi="Lato" w:cs="Arial"/>
        </w:rPr>
        <w:t>5</w:t>
      </w:r>
      <w:r w:rsidRPr="0075176D">
        <w:rPr>
          <w:rFonts w:ascii="Lato" w:hAnsi="Lato" w:cs="Arial"/>
        </w:rPr>
        <w:t xml:space="preserve">), w nowotworach </w:t>
      </w:r>
      <w:r w:rsidR="00937B3C" w:rsidRPr="0075176D">
        <w:rPr>
          <w:rFonts w:ascii="Lato" w:hAnsi="Lato" w:cs="Arial"/>
        </w:rPr>
        <w:t>urologicznych</w:t>
      </w:r>
      <w:r w:rsidR="00B447A5" w:rsidRPr="0075176D">
        <w:rPr>
          <w:rFonts w:ascii="Lato" w:hAnsi="Lato" w:cs="Arial"/>
        </w:rPr>
        <w:t xml:space="preserve"> (1) oraz nowotworach </w:t>
      </w:r>
      <w:r w:rsidRPr="0075176D">
        <w:rPr>
          <w:rFonts w:ascii="Lato" w:hAnsi="Lato" w:cs="Arial"/>
        </w:rPr>
        <w:t xml:space="preserve">układu </w:t>
      </w:r>
      <w:r w:rsidR="00937B3C" w:rsidRPr="0075176D">
        <w:rPr>
          <w:rFonts w:ascii="Lato" w:hAnsi="Lato" w:cs="Arial"/>
        </w:rPr>
        <w:t>endokrynnego</w:t>
      </w:r>
      <w:r w:rsidRPr="0075176D">
        <w:rPr>
          <w:rFonts w:ascii="Lato" w:hAnsi="Lato" w:cs="Arial"/>
        </w:rPr>
        <w:t xml:space="preserve"> (</w:t>
      </w:r>
      <w:r w:rsidR="00B447A5" w:rsidRPr="0075176D">
        <w:rPr>
          <w:rFonts w:ascii="Lato" w:hAnsi="Lato" w:cs="Arial"/>
        </w:rPr>
        <w:t>1</w:t>
      </w:r>
      <w:r w:rsidRPr="0075176D">
        <w:rPr>
          <w:rFonts w:ascii="Lato" w:hAnsi="Lato" w:cs="Arial"/>
        </w:rPr>
        <w:t xml:space="preserve">). </w:t>
      </w:r>
    </w:p>
    <w:p w14:paraId="3F256E30" w14:textId="18BEDD1B" w:rsidR="002F43BB" w:rsidRPr="001A28EB" w:rsidRDefault="002F43BB" w:rsidP="002F43BB">
      <w:pPr>
        <w:autoSpaceDE w:val="0"/>
        <w:spacing w:after="0" w:line="360" w:lineRule="auto"/>
        <w:jc w:val="both"/>
        <w:rPr>
          <w:rFonts w:ascii="Lato" w:hAnsi="Lato" w:cs="Arial"/>
        </w:rPr>
      </w:pPr>
      <w:r w:rsidRPr="0075176D">
        <w:rPr>
          <w:rFonts w:ascii="Lato" w:hAnsi="Lato" w:cs="Arial"/>
        </w:rPr>
        <w:t xml:space="preserve">Najwięcej nowych cząsteczko - wskazań nieonkologicznych w 2023 r. obserwujemy w </w:t>
      </w:r>
      <w:r w:rsidR="0075176D" w:rsidRPr="0075176D">
        <w:rPr>
          <w:rFonts w:ascii="Lato" w:hAnsi="Lato" w:cs="Arial"/>
        </w:rPr>
        <w:t>okulistyce</w:t>
      </w:r>
      <w:r w:rsidRPr="0075176D">
        <w:rPr>
          <w:rFonts w:ascii="Lato" w:hAnsi="Lato" w:cs="Arial"/>
        </w:rPr>
        <w:t xml:space="preserve"> (</w:t>
      </w:r>
      <w:r w:rsidR="0075176D" w:rsidRPr="0075176D">
        <w:rPr>
          <w:rFonts w:ascii="Lato" w:hAnsi="Lato" w:cs="Arial"/>
        </w:rPr>
        <w:t>2</w:t>
      </w:r>
      <w:r w:rsidRPr="0075176D">
        <w:rPr>
          <w:rFonts w:ascii="Lato" w:hAnsi="Lato" w:cs="Arial"/>
        </w:rPr>
        <w:t xml:space="preserve">), </w:t>
      </w:r>
      <w:r w:rsidR="0075176D" w:rsidRPr="0075176D">
        <w:rPr>
          <w:rFonts w:ascii="Lato" w:hAnsi="Lato" w:cs="Arial"/>
        </w:rPr>
        <w:t>nefrologii</w:t>
      </w:r>
      <w:r w:rsidRPr="0075176D">
        <w:rPr>
          <w:rFonts w:ascii="Lato" w:hAnsi="Lato" w:cs="Arial"/>
        </w:rPr>
        <w:t xml:space="preserve"> (</w:t>
      </w:r>
      <w:r w:rsidR="0075176D" w:rsidRPr="0075176D">
        <w:rPr>
          <w:rFonts w:ascii="Lato" w:hAnsi="Lato" w:cs="Arial"/>
        </w:rPr>
        <w:t>2</w:t>
      </w:r>
      <w:r w:rsidRPr="0075176D">
        <w:rPr>
          <w:rFonts w:ascii="Lato" w:hAnsi="Lato" w:cs="Arial"/>
        </w:rPr>
        <w:t>)</w:t>
      </w:r>
      <w:r w:rsidR="0075176D" w:rsidRPr="0075176D">
        <w:rPr>
          <w:rFonts w:ascii="Lato" w:hAnsi="Lato" w:cs="Arial"/>
        </w:rPr>
        <w:t xml:space="preserve"> oraz</w:t>
      </w:r>
      <w:r w:rsidRPr="0075176D">
        <w:rPr>
          <w:rFonts w:ascii="Lato" w:hAnsi="Lato" w:cs="Arial"/>
        </w:rPr>
        <w:t xml:space="preserve"> </w:t>
      </w:r>
      <w:r w:rsidR="0075176D" w:rsidRPr="0075176D">
        <w:rPr>
          <w:rFonts w:ascii="Lato" w:hAnsi="Lato" w:cs="Arial"/>
        </w:rPr>
        <w:t>neurologii</w:t>
      </w:r>
      <w:r w:rsidRPr="0075176D">
        <w:rPr>
          <w:rFonts w:ascii="Lato" w:hAnsi="Lato" w:cs="Arial"/>
        </w:rPr>
        <w:t xml:space="preserve"> (</w:t>
      </w:r>
      <w:r w:rsidR="0075176D" w:rsidRPr="0075176D">
        <w:rPr>
          <w:rFonts w:ascii="Lato" w:hAnsi="Lato" w:cs="Arial"/>
        </w:rPr>
        <w:t>2</w:t>
      </w:r>
      <w:r w:rsidRPr="0075176D">
        <w:rPr>
          <w:rFonts w:ascii="Lato" w:hAnsi="Lato" w:cs="Arial"/>
        </w:rPr>
        <w:t>).</w:t>
      </w:r>
    </w:p>
    <w:p w14:paraId="4F261486" w14:textId="5269927F" w:rsidR="002241C0" w:rsidRPr="001A28EB" w:rsidRDefault="002241C0" w:rsidP="002241C0">
      <w:pPr>
        <w:suppressAutoHyphens w:val="0"/>
        <w:spacing w:line="276" w:lineRule="auto"/>
        <w:jc w:val="both"/>
        <w:textAlignment w:val="auto"/>
        <w:rPr>
          <w:rFonts w:ascii="Lato" w:hAnsi="Lato"/>
        </w:rPr>
      </w:pPr>
    </w:p>
    <w:p w14:paraId="4D8309EF" w14:textId="63946893" w:rsidR="0075176D" w:rsidRDefault="002241C0" w:rsidP="000B65F8">
      <w:pPr>
        <w:suppressAutoHyphens w:val="0"/>
        <w:autoSpaceDE w:val="0"/>
        <w:spacing w:after="0" w:line="360" w:lineRule="auto"/>
        <w:rPr>
          <w:rFonts w:ascii="Lato" w:hAnsi="Lato"/>
          <w:sz w:val="24"/>
          <w:szCs w:val="24"/>
        </w:rPr>
      </w:pPr>
      <w:r w:rsidRPr="001A28EB">
        <w:rPr>
          <w:rFonts w:ascii="Lato" w:hAnsi="Lato"/>
          <w:sz w:val="24"/>
          <w:szCs w:val="24"/>
        </w:rPr>
        <w:br w:type="page"/>
      </w:r>
    </w:p>
    <w:p w14:paraId="525453A4" w14:textId="76778024" w:rsidR="0075176D" w:rsidRDefault="0075176D" w:rsidP="000B65F8">
      <w:pPr>
        <w:suppressAutoHyphens w:val="0"/>
        <w:autoSpaceDE w:val="0"/>
        <w:spacing w:after="0" w:line="360" w:lineRule="auto"/>
        <w:rPr>
          <w:rFonts w:ascii="Lato" w:hAnsi="Lato"/>
          <w:sz w:val="24"/>
          <w:szCs w:val="24"/>
        </w:rPr>
      </w:pPr>
      <w:r>
        <w:rPr>
          <w:noProof/>
        </w:rPr>
        <w:lastRenderedPageBreak/>
        <w:drawing>
          <wp:inline distT="0" distB="0" distL="0" distR="0" wp14:anchorId="757DB389" wp14:editId="4DC548CE">
            <wp:extent cx="4448175" cy="2659380"/>
            <wp:effectExtent l="0" t="0" r="9525" b="7620"/>
            <wp:docPr id="1471505528" name="Wykres 1">
              <a:extLst xmlns:a="http://schemas.openxmlformats.org/drawingml/2006/main">
                <a:ext uri="{FF2B5EF4-FFF2-40B4-BE49-F238E27FC236}">
                  <a16:creationId xmlns:a16="http://schemas.microsoft.com/office/drawing/2014/main" id="{FC6074ED-C953-414E-8657-6D9838D8DB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0B65F8" w:rsidRPr="001A28EB">
        <w:rPr>
          <w:rFonts w:ascii="Lato" w:hAnsi="Lato"/>
          <w:sz w:val="24"/>
          <w:szCs w:val="24"/>
        </w:rPr>
        <w:t xml:space="preserve"> </w:t>
      </w:r>
      <w:r>
        <w:rPr>
          <w:noProof/>
        </w:rPr>
        <w:drawing>
          <wp:inline distT="0" distB="0" distL="0" distR="0" wp14:anchorId="617BE341" wp14:editId="6AB586CA">
            <wp:extent cx="4400550" cy="2657475"/>
            <wp:effectExtent l="0" t="0" r="0" b="9525"/>
            <wp:docPr id="2038963007" name="Wykres 1">
              <a:extLst xmlns:a="http://schemas.openxmlformats.org/drawingml/2006/main">
                <a:ext uri="{FF2B5EF4-FFF2-40B4-BE49-F238E27FC236}">
                  <a16:creationId xmlns:a16="http://schemas.microsoft.com/office/drawing/2014/main" id="{F3EEC769-7086-49DE-8BAD-8CC35BDC1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C758C3" w14:textId="3543DE6A" w:rsidR="002241C0" w:rsidRPr="001A28EB" w:rsidRDefault="0075176D">
      <w:pPr>
        <w:suppressAutoHyphens w:val="0"/>
        <w:rPr>
          <w:rFonts w:ascii="Lato" w:hAnsi="Lato"/>
          <w:b/>
          <w:bCs/>
          <w:color w:val="00B0F0"/>
          <w:sz w:val="36"/>
          <w:szCs w:val="36"/>
          <w:u w:val="single"/>
        </w:rPr>
      </w:pPr>
      <w:r>
        <w:rPr>
          <w:noProof/>
        </w:rPr>
        <w:drawing>
          <wp:inline distT="0" distB="0" distL="0" distR="0" wp14:anchorId="2DE8B3CA" wp14:editId="4B3CF4BD">
            <wp:extent cx="4438650" cy="2990850"/>
            <wp:effectExtent l="0" t="0" r="0" b="0"/>
            <wp:docPr id="1444665057" name="Wykres 1">
              <a:extLst xmlns:a="http://schemas.openxmlformats.org/drawingml/2006/main">
                <a:ext uri="{FF2B5EF4-FFF2-40B4-BE49-F238E27FC236}">
                  <a16:creationId xmlns:a16="http://schemas.microsoft.com/office/drawing/2014/main" id="{EA79078D-806F-4958-9948-92A3449EF9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Lato" w:hAnsi="Lato"/>
          <w:noProof/>
        </w:rPr>
        <w:t xml:space="preserve"> </w:t>
      </w:r>
      <w:r w:rsidR="00614693">
        <w:rPr>
          <w:noProof/>
        </w:rPr>
        <w:drawing>
          <wp:inline distT="0" distB="0" distL="0" distR="0" wp14:anchorId="4FD38D7F" wp14:editId="7A69E32B">
            <wp:extent cx="4419600" cy="2981325"/>
            <wp:effectExtent l="0" t="0" r="0" b="9525"/>
            <wp:docPr id="644985510" name="Wykres 1">
              <a:extLst xmlns:a="http://schemas.openxmlformats.org/drawingml/2006/main">
                <a:ext uri="{FF2B5EF4-FFF2-40B4-BE49-F238E27FC236}">
                  <a16:creationId xmlns:a16="http://schemas.microsoft.com/office/drawing/2014/main" id="{8E0023C9-8891-4322-B9CF-5D2C6FA255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B65F8" w:rsidRPr="001A28EB">
        <w:rPr>
          <w:rFonts w:ascii="Lato" w:hAnsi="Lato"/>
          <w:noProof/>
        </w:rPr>
        <w:t xml:space="preserve"> </w:t>
      </w:r>
      <w:r w:rsidR="002241C0" w:rsidRPr="001A28EB">
        <w:rPr>
          <w:rFonts w:ascii="Lato" w:hAnsi="Lato"/>
          <w:sz w:val="24"/>
          <w:szCs w:val="24"/>
        </w:rPr>
        <w:t xml:space="preserve"> </w:t>
      </w:r>
      <w:r w:rsidR="002241C0" w:rsidRPr="001A28EB">
        <w:rPr>
          <w:rFonts w:ascii="Lato" w:hAnsi="Lato"/>
          <w:b/>
          <w:bCs/>
          <w:color w:val="00B0F0"/>
          <w:sz w:val="36"/>
          <w:szCs w:val="36"/>
          <w:u w:val="single"/>
        </w:rPr>
        <w:br w:type="page"/>
      </w:r>
    </w:p>
    <w:p w14:paraId="6C2BC407" w14:textId="77777777" w:rsidR="002F43BB" w:rsidRPr="001A28EB" w:rsidRDefault="002F43BB" w:rsidP="008C0E92">
      <w:pPr>
        <w:jc w:val="center"/>
        <w:rPr>
          <w:rFonts w:ascii="Lato" w:hAnsi="Lato"/>
          <w:b/>
          <w:bCs/>
          <w:color w:val="00B0F0"/>
          <w:sz w:val="36"/>
          <w:szCs w:val="36"/>
          <w:u w:val="single"/>
        </w:rPr>
      </w:pPr>
    </w:p>
    <w:p w14:paraId="6B466A0C" w14:textId="6A2ABAF6" w:rsidR="004D093B" w:rsidRPr="001A28EB" w:rsidRDefault="004D093B">
      <w:pPr>
        <w:suppressAutoHyphens w:val="0"/>
        <w:rPr>
          <w:rFonts w:ascii="Lato" w:hAnsi="Lato"/>
          <w:sz w:val="24"/>
          <w:szCs w:val="24"/>
        </w:rPr>
      </w:pPr>
    </w:p>
    <w:p w14:paraId="06A06678" w14:textId="7D136BFD" w:rsidR="00AD08C5" w:rsidRPr="001A28EB" w:rsidRDefault="006A7DCE" w:rsidP="005058F2">
      <w:pPr>
        <w:jc w:val="center"/>
        <w:rPr>
          <w:rFonts w:ascii="Lato" w:hAnsi="Lato"/>
          <w:b/>
          <w:bCs/>
          <w:color w:val="00B0F0"/>
          <w:sz w:val="28"/>
          <w:szCs w:val="28"/>
        </w:rPr>
      </w:pPr>
      <w:r w:rsidRPr="001A28EB">
        <w:rPr>
          <w:rFonts w:ascii="Lato" w:hAnsi="Lato"/>
          <w:b/>
          <w:bCs/>
          <w:color w:val="00B0F0"/>
          <w:sz w:val="28"/>
          <w:szCs w:val="28"/>
        </w:rPr>
        <w:t>NOWE WSKAZANIA ORAZ ZMIANY W PROGRA</w:t>
      </w:r>
      <w:bookmarkStart w:id="0" w:name="_Hlk95686308"/>
      <w:r w:rsidRPr="001A28EB">
        <w:rPr>
          <w:rFonts w:ascii="Lato" w:hAnsi="Lato"/>
          <w:b/>
          <w:bCs/>
          <w:color w:val="00B0F0"/>
          <w:sz w:val="28"/>
          <w:szCs w:val="28"/>
        </w:rPr>
        <w:t>M</w:t>
      </w:r>
      <w:bookmarkEnd w:id="0"/>
      <w:r w:rsidRPr="001A28EB">
        <w:rPr>
          <w:rFonts w:ascii="Lato" w:hAnsi="Lato"/>
          <w:b/>
          <w:bCs/>
          <w:color w:val="00B0F0"/>
          <w:sz w:val="28"/>
          <w:szCs w:val="28"/>
        </w:rPr>
        <w:t>ACH LEKOWYCH</w:t>
      </w:r>
      <w:r w:rsidR="0056748F" w:rsidRPr="001A28EB">
        <w:rPr>
          <w:rFonts w:ascii="Lato" w:hAnsi="Lato"/>
          <w:b/>
          <w:bCs/>
          <w:color w:val="00B0F0"/>
          <w:sz w:val="28"/>
          <w:szCs w:val="28"/>
        </w:rPr>
        <w:t xml:space="preserve"> i CHEMIOTERAPII</w:t>
      </w:r>
    </w:p>
    <w:tbl>
      <w:tblPr>
        <w:tblW w:w="5000" w:type="pct"/>
        <w:tblCellMar>
          <w:top w:w="113" w:type="dxa"/>
          <w:left w:w="10" w:type="dxa"/>
          <w:bottom w:w="113" w:type="dxa"/>
          <w:right w:w="10" w:type="dxa"/>
        </w:tblCellMar>
        <w:tblLook w:val="0000" w:firstRow="0" w:lastRow="0" w:firstColumn="0" w:lastColumn="0" w:noHBand="0" w:noVBand="0"/>
      </w:tblPr>
      <w:tblGrid>
        <w:gridCol w:w="710"/>
        <w:gridCol w:w="1502"/>
        <w:gridCol w:w="2255"/>
        <w:gridCol w:w="1867"/>
        <w:gridCol w:w="2730"/>
        <w:gridCol w:w="4924"/>
      </w:tblGrid>
      <w:tr w:rsidR="005058F2" w:rsidRPr="001A28EB" w14:paraId="7E2E9B6A" w14:textId="77777777" w:rsidTr="004D093B">
        <w:trPr>
          <w:cantSplit/>
          <w:trHeight w:val="186"/>
        </w:trPr>
        <w:tc>
          <w:tcPr>
            <w:tcW w:w="5000" w:type="pct"/>
            <w:gridSpan w:val="6"/>
            <w:tcBorders>
              <w:top w:val="single" w:sz="6" w:space="0" w:color="000000"/>
              <w:left w:val="single" w:sz="6" w:space="0" w:color="000000"/>
              <w:bottom w:val="single" w:sz="6" w:space="0" w:color="000000"/>
              <w:right w:val="single" w:sz="6" w:space="0" w:color="000000"/>
            </w:tcBorders>
            <w:shd w:val="clear" w:color="auto" w:fill="0094C8"/>
            <w:tcMar>
              <w:top w:w="0" w:type="dxa"/>
              <w:left w:w="108" w:type="dxa"/>
              <w:bottom w:w="0" w:type="dxa"/>
              <w:right w:w="108" w:type="dxa"/>
            </w:tcMar>
            <w:vAlign w:val="center"/>
          </w:tcPr>
          <w:p w14:paraId="5287C9CE" w14:textId="77777777" w:rsidR="005058F2" w:rsidRPr="001A28EB" w:rsidRDefault="005058F2" w:rsidP="007B043E">
            <w:pPr>
              <w:spacing w:before="60" w:after="60" w:line="240" w:lineRule="auto"/>
              <w:jc w:val="center"/>
              <w:rPr>
                <w:rFonts w:ascii="Lato" w:hAnsi="Lato" w:cstheme="majorHAnsi"/>
                <w:b/>
                <w:bCs/>
                <w:color w:val="FFFFFF"/>
              </w:rPr>
            </w:pPr>
            <w:r w:rsidRPr="001A28EB">
              <w:rPr>
                <w:rFonts w:ascii="Lato" w:hAnsi="Lato" w:cstheme="majorHAnsi"/>
                <w:b/>
                <w:bCs/>
                <w:color w:val="FFFFFF"/>
              </w:rPr>
              <w:t>Programy lekowe i chemioterapia</w:t>
            </w:r>
          </w:p>
        </w:tc>
      </w:tr>
      <w:tr w:rsidR="005058F2" w:rsidRPr="001A28EB" w14:paraId="1C096482" w14:textId="77777777" w:rsidTr="004D093B">
        <w:trPr>
          <w:cantSplit/>
          <w:trHeight w:val="206"/>
        </w:trPr>
        <w:tc>
          <w:tcPr>
            <w:tcW w:w="5000" w:type="pct"/>
            <w:gridSpan w:val="6"/>
            <w:tcBorders>
              <w:left w:val="single" w:sz="6" w:space="0" w:color="000000"/>
              <w:bottom w:val="single" w:sz="6" w:space="0" w:color="000000"/>
              <w:right w:val="single" w:sz="6" w:space="0" w:color="000000"/>
            </w:tcBorders>
            <w:shd w:val="clear" w:color="auto" w:fill="00B0F0"/>
            <w:tcMar>
              <w:top w:w="0" w:type="dxa"/>
              <w:left w:w="108" w:type="dxa"/>
              <w:bottom w:w="0" w:type="dxa"/>
              <w:right w:w="108" w:type="dxa"/>
            </w:tcMar>
            <w:vAlign w:val="center"/>
          </w:tcPr>
          <w:p w14:paraId="5D0D3F6C" w14:textId="047D7715" w:rsidR="005058F2" w:rsidRPr="001A28EB" w:rsidRDefault="005058F2" w:rsidP="007B043E">
            <w:pPr>
              <w:spacing w:before="60" w:after="60" w:line="240" w:lineRule="auto"/>
              <w:jc w:val="center"/>
              <w:rPr>
                <w:rFonts w:ascii="Lato" w:hAnsi="Lato" w:cstheme="majorHAnsi"/>
                <w:b/>
                <w:bCs/>
                <w:color w:val="FFFFFF"/>
              </w:rPr>
            </w:pPr>
            <w:r w:rsidRPr="001A28EB">
              <w:rPr>
                <w:rFonts w:ascii="Lato" w:hAnsi="Lato" w:cstheme="majorHAnsi"/>
                <w:b/>
                <w:bCs/>
                <w:color w:val="FFFFFF"/>
              </w:rPr>
              <w:t>Nowe wskazania onkologiczne</w:t>
            </w:r>
          </w:p>
        </w:tc>
      </w:tr>
      <w:tr w:rsidR="006D7964" w:rsidRPr="001A28EB" w14:paraId="60CDF2D4"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2F618D0B" w14:textId="77777777" w:rsidR="005058F2" w:rsidRPr="001A28EB" w:rsidRDefault="005058F2" w:rsidP="007B043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Lp.</w:t>
            </w:r>
          </w:p>
        </w:tc>
        <w:tc>
          <w:tcPr>
            <w:tcW w:w="537"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4C6CB337" w14:textId="77777777" w:rsidR="005058F2" w:rsidRPr="001A28EB" w:rsidRDefault="005058F2" w:rsidP="007B043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Nazwa leku</w:t>
            </w:r>
          </w:p>
        </w:tc>
        <w:tc>
          <w:tcPr>
            <w:tcW w:w="806"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0124251E" w14:textId="77777777" w:rsidR="005058F2" w:rsidRPr="001A28EB" w:rsidRDefault="005058F2" w:rsidP="007B043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Substancja czynna</w:t>
            </w:r>
          </w:p>
        </w:tc>
        <w:tc>
          <w:tcPr>
            <w:tcW w:w="667"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62B0A519" w14:textId="77777777" w:rsidR="005058F2" w:rsidRPr="001A28EB" w:rsidRDefault="005058F2" w:rsidP="007B043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Numer programu lekowego/załącznika chemioterapii</w:t>
            </w:r>
          </w:p>
        </w:tc>
        <w:tc>
          <w:tcPr>
            <w:tcW w:w="976"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2DBA8893" w14:textId="77777777" w:rsidR="005058F2" w:rsidRPr="001A28EB" w:rsidRDefault="005058F2" w:rsidP="007B043E">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Nazwa programu lekowego/ Załącznika chemioterapii</w:t>
            </w:r>
          </w:p>
        </w:tc>
        <w:tc>
          <w:tcPr>
            <w:tcW w:w="1760"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68164232" w14:textId="77777777" w:rsidR="005058F2" w:rsidRPr="001A28EB" w:rsidRDefault="005058F2" w:rsidP="007B043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Doprecyzowanie wskazania</w:t>
            </w:r>
          </w:p>
        </w:tc>
      </w:tr>
      <w:tr w:rsidR="006804BE" w:rsidRPr="001A28EB" w14:paraId="78AD09CB"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45B0B8" w14:textId="4E9AF342"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sz w:val="18"/>
                <w:szCs w:val="18"/>
              </w:rPr>
              <w:t>1.</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993CFC" w14:textId="1E139091" w:rsidR="006804BE" w:rsidRPr="001A28EB" w:rsidRDefault="006804BE" w:rsidP="006804BE">
            <w:pPr>
              <w:spacing w:before="60" w:after="60" w:line="240" w:lineRule="auto"/>
              <w:jc w:val="center"/>
              <w:rPr>
                <w:rFonts w:ascii="Lato" w:hAnsi="Lato" w:cstheme="majorHAnsi"/>
                <w:b/>
                <w:bCs/>
                <w:sz w:val="18"/>
                <w:szCs w:val="18"/>
              </w:rPr>
            </w:pPr>
            <w:r w:rsidRPr="001A28EB">
              <w:rPr>
                <w:rFonts w:ascii="Lato" w:hAnsi="Lato" w:cstheme="majorHAnsi"/>
                <w:b/>
                <w:bCs/>
                <w:color w:val="000000"/>
                <w:sz w:val="18"/>
                <w:szCs w:val="18"/>
              </w:rPr>
              <w:t>Polivy</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C58DF4" w14:textId="6F9DD753" w:rsidR="006804BE" w:rsidRPr="001A28EB" w:rsidRDefault="006804BE" w:rsidP="006804BE">
            <w:pPr>
              <w:spacing w:before="60" w:after="60" w:line="240" w:lineRule="auto"/>
              <w:jc w:val="center"/>
              <w:rPr>
                <w:rFonts w:ascii="Lato" w:hAnsi="Lato" w:cstheme="majorHAnsi"/>
                <w:i/>
                <w:iCs/>
                <w:sz w:val="18"/>
                <w:szCs w:val="18"/>
              </w:rPr>
            </w:pPr>
            <w:r w:rsidRPr="001A28EB">
              <w:rPr>
                <w:rFonts w:ascii="Lato" w:hAnsi="Lato" w:cstheme="majorHAnsi"/>
                <w:i/>
                <w:iCs/>
                <w:color w:val="000000"/>
                <w:sz w:val="18"/>
                <w:szCs w:val="18"/>
              </w:rPr>
              <w:t>polatuzumab vedotin</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E38D9A" w14:textId="155A8464"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B.12.FM</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BC1D1F" w14:textId="4C959FE8"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sz w:val="18"/>
                <w:szCs w:val="18"/>
              </w:rPr>
              <w:t>LECZENIE CHORYCH NA CHŁONIAKI B-KOMÓRKOWE (ICD-10: C82, C83, C85)</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46E3C" w14:textId="41E01AA5" w:rsidR="006804BE" w:rsidRPr="001A28EB" w:rsidRDefault="00BA760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I linii</w:t>
            </w:r>
            <w:r w:rsidR="006804BE" w:rsidRPr="001A28EB">
              <w:rPr>
                <w:rFonts w:ascii="Lato" w:hAnsi="Lato" w:cstheme="majorHAnsi"/>
                <w:color w:val="000000"/>
                <w:sz w:val="18"/>
                <w:szCs w:val="18"/>
              </w:rPr>
              <w:t xml:space="preserve"> dorosłych chorych na chłoniaka rozlanego z dużych komórek B (DLBCL), z międzynarodowym indeksem prognostycznym (IPI): 3-5 polatuzumabem vedotin w skojarzeniu z rytuksymabem, cyklofosfamidem, doksorubicyną i prednizonem</w:t>
            </w:r>
            <w:r w:rsidRPr="001A28EB">
              <w:rPr>
                <w:rFonts w:ascii="Lato" w:hAnsi="Lato" w:cstheme="majorHAnsi"/>
                <w:color w:val="000000"/>
                <w:sz w:val="18"/>
                <w:szCs w:val="18"/>
              </w:rPr>
              <w:t>.</w:t>
            </w:r>
          </w:p>
          <w:p w14:paraId="62B5EF5F" w14:textId="47A5BD4D"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6804BE" w:rsidRPr="001A28EB" w14:paraId="71CF2711"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947ACB" w14:textId="3A986E1A"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sz w:val="18"/>
                <w:szCs w:val="18"/>
              </w:rPr>
              <w:t>2.</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DA2989" w14:textId="77777777" w:rsidR="006804BE" w:rsidRPr="001A28EB" w:rsidRDefault="006804BE"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 xml:space="preserve">Darzalex </w:t>
            </w:r>
          </w:p>
          <w:p w14:paraId="7E37CD4E" w14:textId="4883AEEA" w:rsidR="006804BE" w:rsidRPr="001A28EB" w:rsidRDefault="006804BE" w:rsidP="006804BE">
            <w:pPr>
              <w:spacing w:before="60" w:after="60" w:line="240" w:lineRule="auto"/>
              <w:jc w:val="center"/>
              <w:rPr>
                <w:rFonts w:ascii="Lato" w:hAnsi="Lato" w:cstheme="majorHAnsi"/>
                <w:b/>
                <w:bCs/>
                <w:color w:val="000000"/>
                <w:sz w:val="18"/>
                <w:szCs w:val="18"/>
              </w:rPr>
            </w:pPr>
            <w:r w:rsidRPr="001A28EB">
              <w:rPr>
                <w:rFonts w:ascii="Lato" w:hAnsi="Lato" w:cstheme="majorHAnsi"/>
                <w:color w:val="000000"/>
                <w:sz w:val="18"/>
                <w:szCs w:val="18"/>
              </w:rPr>
              <w:t>(forma podskórna)</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CC2A70" w14:textId="337B2CB1" w:rsidR="006804BE" w:rsidRPr="001A28EB" w:rsidRDefault="006804BE" w:rsidP="006804BE">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daratumumab</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84E354" w14:textId="176E4B95"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B.54</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11E2C8" w14:textId="7D565F54"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CHORYCH NA SZPICZAKA PLAZMOCYTOWEGO (ICD-10: C90.0)</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940F4D" w14:textId="3E44B88F" w:rsidR="006804BE" w:rsidRPr="001A28EB" w:rsidRDefault="00BA760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I linii</w:t>
            </w:r>
            <w:r w:rsidR="006804BE" w:rsidRPr="001A28EB">
              <w:rPr>
                <w:rFonts w:ascii="Lato" w:hAnsi="Lato" w:cstheme="majorHAnsi"/>
                <w:color w:val="000000"/>
                <w:sz w:val="18"/>
                <w:szCs w:val="18"/>
              </w:rPr>
              <w:t xml:space="preserve"> dorosłych chorych na szpiczaka plazmocytowego, niekwalifikujących się do przeszczepienia autologicznych krwiotwórczych komórek macierzystych daratumumabem (w formie do podania podskórnego) w skojarzeniu z lenalidomidem i deksametazonem (schemat DRd)</w:t>
            </w:r>
            <w:r w:rsidRPr="001A28EB">
              <w:rPr>
                <w:rFonts w:ascii="Lato" w:hAnsi="Lato" w:cstheme="majorHAnsi"/>
                <w:color w:val="000000"/>
                <w:sz w:val="18"/>
                <w:szCs w:val="18"/>
              </w:rPr>
              <w:t>.</w:t>
            </w:r>
          </w:p>
          <w:p w14:paraId="5636079E" w14:textId="4C1BEB7E"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6804BE" w:rsidRPr="001A28EB" w14:paraId="531B9990"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8C6B3F" w14:textId="07941868"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sz w:val="18"/>
                <w:szCs w:val="18"/>
              </w:rPr>
              <w:t>3.</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FB36D7" w14:textId="6626179D" w:rsidR="006804BE" w:rsidRPr="001A28EB" w:rsidRDefault="006804BE"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Adcetris</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739FC2" w14:textId="5E64CFE1" w:rsidR="006804BE" w:rsidRPr="001A28EB" w:rsidRDefault="006804BE" w:rsidP="006804BE">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brentuksymab vedotin</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C4C486" w14:textId="5C87CF84"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B.77</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B4037F" w14:textId="6130E08E"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CHORYCH NA KLASYCZNEGO CHŁONIAKA HODGKINA (ICD-10: C81)</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238D1E" w14:textId="1675BF9D" w:rsidR="006804BE" w:rsidRPr="001A28EB" w:rsidRDefault="00BA760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I linii</w:t>
            </w:r>
            <w:r w:rsidR="006804BE" w:rsidRPr="001A28EB">
              <w:rPr>
                <w:rFonts w:ascii="Lato" w:hAnsi="Lato" w:cstheme="majorHAnsi"/>
                <w:color w:val="000000"/>
                <w:sz w:val="18"/>
                <w:szCs w:val="18"/>
              </w:rPr>
              <w:t xml:space="preserve"> dorosłych chorych na klasycznego chłoniak Hodgkina w IV stadium zaawansowania brentuksymabem vedotin w skojarzeniu z doksorubicyną, winblastyną i dakarbazyną</w:t>
            </w:r>
            <w:r w:rsidRPr="001A28EB">
              <w:rPr>
                <w:rFonts w:ascii="Lato" w:hAnsi="Lato" w:cstheme="majorHAnsi"/>
                <w:color w:val="000000"/>
                <w:sz w:val="18"/>
                <w:szCs w:val="18"/>
              </w:rPr>
              <w:t>.</w:t>
            </w:r>
          </w:p>
          <w:p w14:paraId="5AF70F87" w14:textId="0DE97019"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6804BE" w:rsidRPr="001A28EB" w14:paraId="71DF152B"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137C66" w14:textId="55ED6CC5"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sz w:val="18"/>
                <w:szCs w:val="18"/>
              </w:rPr>
              <w:t>4.</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984C57" w14:textId="4F7E2B66" w:rsidR="006804BE" w:rsidRPr="001A28EB" w:rsidRDefault="006804BE"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Brukinsa</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B58609" w14:textId="3653CA5D" w:rsidR="006804BE" w:rsidRPr="001A28EB" w:rsidRDefault="006804BE" w:rsidP="006804BE">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zanubrutynib</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E3FEB4" w14:textId="47871140"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B.79</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AF2DE8" w14:textId="23AD9852"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CHORYCH NA PRZEWLEKŁĄ BIAŁACZKĘ LIMFOCYTOWĄ (ICD-10: C91.1)</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B953FC" w14:textId="58474E6A" w:rsidR="006804BE" w:rsidRPr="001A28EB" w:rsidRDefault="00BA760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I i kolejnych linii</w:t>
            </w:r>
            <w:r w:rsidR="006804BE" w:rsidRPr="001A28EB">
              <w:rPr>
                <w:rFonts w:ascii="Lato" w:hAnsi="Lato" w:cstheme="majorHAnsi"/>
                <w:color w:val="000000"/>
                <w:sz w:val="18"/>
                <w:szCs w:val="18"/>
              </w:rPr>
              <w:t xml:space="preserve"> dorosłych chorych na przewlekłą białaczkę limfocytową zanubrutynibem w monoterapii</w:t>
            </w:r>
            <w:r w:rsidRPr="001A28EB">
              <w:rPr>
                <w:rFonts w:ascii="Lato" w:hAnsi="Lato" w:cstheme="majorHAnsi"/>
                <w:color w:val="000000"/>
                <w:sz w:val="18"/>
                <w:szCs w:val="18"/>
              </w:rPr>
              <w:t>.</w:t>
            </w:r>
          </w:p>
          <w:p w14:paraId="16811A6A" w14:textId="41D7CE5A"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6804BE" w:rsidRPr="001A28EB" w14:paraId="2F304C7B"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F3EF10" w14:textId="3179CC02"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sz w:val="18"/>
                <w:szCs w:val="18"/>
              </w:rPr>
              <w:lastRenderedPageBreak/>
              <w:t>5.</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270B9C" w14:textId="0F142A71" w:rsidR="006804BE" w:rsidRPr="001A28EB" w:rsidRDefault="006804BE" w:rsidP="006804BE">
            <w:pPr>
              <w:spacing w:before="60" w:after="60" w:line="240" w:lineRule="auto"/>
              <w:jc w:val="center"/>
              <w:rPr>
                <w:rFonts w:ascii="Lato" w:hAnsi="Lato" w:cstheme="majorHAnsi"/>
                <w:b/>
                <w:bCs/>
                <w:sz w:val="18"/>
                <w:szCs w:val="18"/>
              </w:rPr>
            </w:pPr>
            <w:r w:rsidRPr="001A28EB">
              <w:rPr>
                <w:rFonts w:ascii="Lato" w:hAnsi="Lato" w:cstheme="majorHAnsi"/>
                <w:b/>
                <w:bCs/>
                <w:color w:val="000000"/>
                <w:sz w:val="18"/>
                <w:szCs w:val="18"/>
              </w:rPr>
              <w:t>Venclyxto</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F52E7F" w14:textId="13ACD911" w:rsidR="006804BE" w:rsidRPr="001A28EB" w:rsidRDefault="006804BE" w:rsidP="006804BE">
            <w:pPr>
              <w:spacing w:before="60" w:after="60" w:line="240" w:lineRule="auto"/>
              <w:jc w:val="center"/>
              <w:rPr>
                <w:rFonts w:ascii="Lato" w:hAnsi="Lato" w:cstheme="majorHAnsi"/>
                <w:i/>
                <w:iCs/>
                <w:sz w:val="18"/>
                <w:szCs w:val="18"/>
              </w:rPr>
            </w:pPr>
            <w:r w:rsidRPr="001A28EB">
              <w:rPr>
                <w:rFonts w:ascii="Lato" w:hAnsi="Lato" w:cstheme="majorHAnsi"/>
                <w:i/>
                <w:iCs/>
                <w:color w:val="000000"/>
                <w:sz w:val="18"/>
                <w:szCs w:val="18"/>
              </w:rPr>
              <w:t>wenetoklaks</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059B47" w14:textId="69101480"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B.79</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229DCD" w14:textId="28EF5C9A"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LECZENIE CHORYCH NA PRZEWLEKŁĄ BIAŁACZKĘ LIMFOCYTOWĄ (ICD-10: C91.1)</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C03B38" w14:textId="46D29977" w:rsidR="006804BE" w:rsidRPr="001A28EB" w:rsidRDefault="00BA760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I linii</w:t>
            </w:r>
            <w:r w:rsidR="006804BE" w:rsidRPr="001A28EB">
              <w:rPr>
                <w:rFonts w:ascii="Lato" w:hAnsi="Lato" w:cstheme="majorHAnsi"/>
                <w:color w:val="000000"/>
                <w:sz w:val="18"/>
                <w:szCs w:val="18"/>
              </w:rPr>
              <w:t xml:space="preserve"> populacji FIT dorosłych chorych na przewlekłą białaczkę limfocytową wenetoklaksem w skojarzeniu z obinutuzumabem (rozszerzenie aktualnie refundowanego wskazania o populację FIT)</w:t>
            </w:r>
            <w:r w:rsidRPr="001A28EB">
              <w:rPr>
                <w:rFonts w:ascii="Lato" w:hAnsi="Lato" w:cstheme="majorHAnsi"/>
                <w:color w:val="000000"/>
                <w:sz w:val="18"/>
                <w:szCs w:val="18"/>
              </w:rPr>
              <w:t>.</w:t>
            </w:r>
          </w:p>
          <w:p w14:paraId="7B0CA559" w14:textId="46AC7A75"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BA7602" w:rsidRPr="001A28EB" w14:paraId="41B567AC"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30FECB" w14:textId="22D9C9DF" w:rsidR="00BA7602" w:rsidRPr="001A28EB" w:rsidRDefault="00BA7602" w:rsidP="00BA7602">
            <w:pPr>
              <w:spacing w:before="60" w:after="60" w:line="240" w:lineRule="auto"/>
              <w:jc w:val="center"/>
              <w:rPr>
                <w:rFonts w:ascii="Lato" w:hAnsi="Lato" w:cstheme="majorHAnsi"/>
                <w:sz w:val="18"/>
                <w:szCs w:val="18"/>
              </w:rPr>
            </w:pPr>
            <w:r w:rsidRPr="001A28EB">
              <w:rPr>
                <w:rFonts w:ascii="Lato" w:hAnsi="Lato" w:cstheme="majorHAnsi"/>
                <w:sz w:val="18"/>
                <w:szCs w:val="18"/>
              </w:rPr>
              <w:t xml:space="preserve">6. </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ABA0DD" w14:textId="0BC7C761" w:rsidR="00BA7602" w:rsidRPr="001A28EB" w:rsidRDefault="00BA7602" w:rsidP="00BA7602">
            <w:pPr>
              <w:spacing w:before="60" w:after="60" w:line="240" w:lineRule="auto"/>
              <w:jc w:val="center"/>
              <w:rPr>
                <w:rFonts w:ascii="Lato" w:hAnsi="Lato" w:cstheme="majorHAnsi"/>
                <w:b/>
                <w:bCs/>
                <w:color w:val="000000"/>
                <w:sz w:val="18"/>
                <w:szCs w:val="18"/>
              </w:rPr>
            </w:pPr>
            <w:r w:rsidRPr="001A28EB">
              <w:rPr>
                <w:rFonts w:ascii="Lato" w:hAnsi="Lato" w:cstheme="majorHAnsi"/>
                <w:b/>
                <w:bCs/>
                <w:sz w:val="18"/>
                <w:szCs w:val="18"/>
              </w:rPr>
              <w:t>Cabometyx</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472683" w14:textId="0A38920F" w:rsidR="00BA7602" w:rsidRPr="001A28EB" w:rsidRDefault="00BA7602" w:rsidP="00BA7602">
            <w:pPr>
              <w:spacing w:before="60" w:after="60" w:line="240" w:lineRule="auto"/>
              <w:jc w:val="center"/>
              <w:rPr>
                <w:rFonts w:ascii="Lato" w:hAnsi="Lato" w:cstheme="majorHAnsi"/>
                <w:i/>
                <w:iCs/>
                <w:color w:val="000000"/>
                <w:sz w:val="18"/>
                <w:szCs w:val="18"/>
              </w:rPr>
            </w:pPr>
            <w:r w:rsidRPr="001A28EB">
              <w:rPr>
                <w:rFonts w:ascii="Lato" w:hAnsi="Lato" w:cstheme="majorHAnsi"/>
                <w:i/>
                <w:iCs/>
                <w:sz w:val="18"/>
                <w:szCs w:val="18"/>
              </w:rPr>
              <w:t>kabozantynib</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9D3C78" w14:textId="3747F74E" w:rsidR="00BA7602" w:rsidRPr="001A28EB" w:rsidRDefault="00BA7602" w:rsidP="00BA7602">
            <w:pPr>
              <w:spacing w:before="60" w:after="60" w:line="240" w:lineRule="auto"/>
              <w:jc w:val="center"/>
              <w:rPr>
                <w:rFonts w:ascii="Lato" w:hAnsi="Lato" w:cstheme="majorHAnsi"/>
                <w:color w:val="000000"/>
                <w:sz w:val="18"/>
                <w:szCs w:val="18"/>
              </w:rPr>
            </w:pPr>
            <w:r w:rsidRPr="001A28EB">
              <w:rPr>
                <w:rFonts w:ascii="Lato" w:hAnsi="Lato" w:cstheme="majorHAnsi"/>
                <w:sz w:val="18"/>
                <w:szCs w:val="18"/>
              </w:rPr>
              <w:t>B.119</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258902" w14:textId="5EE74B78" w:rsidR="00BA7602" w:rsidRPr="001A28EB" w:rsidRDefault="00BA7602" w:rsidP="00BA7602">
            <w:pPr>
              <w:spacing w:before="60" w:after="60" w:line="240" w:lineRule="auto"/>
              <w:jc w:val="center"/>
              <w:rPr>
                <w:rFonts w:ascii="Lato" w:hAnsi="Lato" w:cstheme="majorHAnsi"/>
                <w:color w:val="000000"/>
                <w:sz w:val="18"/>
                <w:szCs w:val="18"/>
              </w:rPr>
            </w:pPr>
            <w:r w:rsidRPr="001A28EB">
              <w:rPr>
                <w:rFonts w:ascii="Lato" w:hAnsi="Lato" w:cstheme="majorHAnsi"/>
                <w:sz w:val="18"/>
                <w:szCs w:val="18"/>
              </w:rPr>
              <w:t>LECZENIE PACJENTÓW ZE ZRÓŻNICOWANYM RAKIEM TARCZYCY (ICD-10 C 73)</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05DB27" w14:textId="4347B4D7" w:rsidR="00BA7602" w:rsidRPr="001A28EB" w:rsidRDefault="00BA7602" w:rsidP="00BA760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Leczenie II linii </w:t>
            </w:r>
            <w:r w:rsidR="00596E33">
              <w:rPr>
                <w:rFonts w:ascii="Lato" w:hAnsi="Lato" w:cstheme="majorHAnsi"/>
                <w:color w:val="000000"/>
                <w:sz w:val="18"/>
                <w:szCs w:val="18"/>
              </w:rPr>
              <w:t xml:space="preserve">dorosłych chorych na </w:t>
            </w:r>
            <w:r w:rsidRPr="001A28EB">
              <w:rPr>
                <w:rFonts w:ascii="Lato" w:hAnsi="Lato" w:cstheme="majorHAnsi"/>
                <w:color w:val="000000"/>
                <w:sz w:val="18"/>
                <w:szCs w:val="18"/>
              </w:rPr>
              <w:t>zróżnicowanego raka tarczycy opornego na terapię radiojodem.</w:t>
            </w:r>
          </w:p>
        </w:tc>
      </w:tr>
      <w:tr w:rsidR="001778F7" w:rsidRPr="001A28EB" w14:paraId="47FAC6A7"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1186A9" w14:textId="42817FE2" w:rsidR="001778F7" w:rsidRPr="001A28EB" w:rsidRDefault="001778F7" w:rsidP="001778F7">
            <w:pPr>
              <w:spacing w:before="60" w:after="60" w:line="240" w:lineRule="auto"/>
              <w:jc w:val="center"/>
              <w:rPr>
                <w:rFonts w:ascii="Lato" w:hAnsi="Lato" w:cstheme="majorHAnsi"/>
                <w:sz w:val="18"/>
                <w:szCs w:val="18"/>
              </w:rPr>
            </w:pPr>
            <w:r>
              <w:rPr>
                <w:rFonts w:ascii="Lato" w:hAnsi="Lato" w:cstheme="majorHAnsi"/>
                <w:sz w:val="18"/>
                <w:szCs w:val="18"/>
              </w:rPr>
              <w:t>7.</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67EA5F" w14:textId="480A3423" w:rsidR="001778F7" w:rsidRPr="001A28EB" w:rsidRDefault="001778F7" w:rsidP="001778F7">
            <w:pPr>
              <w:spacing w:before="60" w:after="60" w:line="240" w:lineRule="auto"/>
              <w:jc w:val="center"/>
              <w:rPr>
                <w:rFonts w:ascii="Lato" w:hAnsi="Lato" w:cstheme="majorHAnsi"/>
                <w:b/>
                <w:bCs/>
                <w:sz w:val="18"/>
                <w:szCs w:val="18"/>
              </w:rPr>
            </w:pPr>
            <w:r w:rsidRPr="001A28EB">
              <w:rPr>
                <w:rFonts w:ascii="Lato" w:hAnsi="Lato" w:cstheme="majorHAnsi"/>
                <w:b/>
                <w:bCs/>
                <w:sz w:val="18"/>
                <w:szCs w:val="18"/>
              </w:rPr>
              <w:t>Koselugo</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970459" w14:textId="4A7F034C" w:rsidR="001778F7" w:rsidRPr="001A28EB" w:rsidRDefault="001778F7" w:rsidP="001778F7">
            <w:pPr>
              <w:spacing w:before="60" w:after="60" w:line="240" w:lineRule="auto"/>
              <w:jc w:val="center"/>
              <w:rPr>
                <w:rFonts w:ascii="Lato" w:hAnsi="Lato" w:cstheme="majorHAnsi"/>
                <w:i/>
                <w:iCs/>
                <w:sz w:val="18"/>
                <w:szCs w:val="18"/>
              </w:rPr>
            </w:pPr>
            <w:r w:rsidRPr="001A28EB">
              <w:rPr>
                <w:rFonts w:ascii="Lato" w:hAnsi="Lato" w:cstheme="majorHAnsi"/>
                <w:i/>
                <w:iCs/>
                <w:sz w:val="18"/>
                <w:szCs w:val="18"/>
              </w:rPr>
              <w:t>selumetynib</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8E88E6" w14:textId="05AE599F" w:rsidR="001778F7" w:rsidRPr="001A28EB" w:rsidRDefault="001778F7" w:rsidP="001778F7">
            <w:pPr>
              <w:spacing w:before="60" w:after="60" w:line="240" w:lineRule="auto"/>
              <w:jc w:val="center"/>
              <w:rPr>
                <w:rFonts w:ascii="Lato" w:hAnsi="Lato" w:cstheme="majorHAnsi"/>
                <w:sz w:val="18"/>
                <w:szCs w:val="18"/>
              </w:rPr>
            </w:pPr>
            <w:r w:rsidRPr="001A28EB">
              <w:rPr>
                <w:rFonts w:ascii="Lato" w:hAnsi="Lato" w:cstheme="majorHAnsi"/>
                <w:sz w:val="18"/>
                <w:szCs w:val="18"/>
              </w:rPr>
              <w:t>B.</w:t>
            </w:r>
            <w:r>
              <w:rPr>
                <w:rFonts w:ascii="Lato" w:hAnsi="Lato" w:cstheme="majorHAnsi"/>
                <w:sz w:val="18"/>
                <w:szCs w:val="18"/>
              </w:rPr>
              <w:t>155</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26ACBB" w14:textId="0CB0E887" w:rsidR="001778F7" w:rsidRPr="001A28EB" w:rsidRDefault="001778F7" w:rsidP="001778F7">
            <w:pPr>
              <w:spacing w:before="60" w:after="60" w:line="240" w:lineRule="auto"/>
              <w:jc w:val="center"/>
              <w:rPr>
                <w:rFonts w:ascii="Lato" w:hAnsi="Lato" w:cstheme="majorHAnsi"/>
                <w:sz w:val="18"/>
                <w:szCs w:val="18"/>
              </w:rPr>
            </w:pPr>
            <w:r w:rsidRPr="001A28EB">
              <w:rPr>
                <w:rFonts w:ascii="Lato" w:hAnsi="Lato" w:cstheme="majorHAnsi"/>
                <w:sz w:val="18"/>
                <w:szCs w:val="18"/>
              </w:rPr>
              <w:t>LECZENIE CHORYCH Z NERWIAKOWŁÓKNIAKAMI SPLOTOWATYMI W PRZEBIEGU NEUROFIBROMATOZY TYPU 1 (NF1) (ICD-10: Q85.0)</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D54C9F" w14:textId="77777777" w:rsidR="001778F7" w:rsidRPr="001A28EB" w:rsidRDefault="001778F7" w:rsidP="001778F7">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objawowych, nieoperacyjnych nerwiakowłókniaków splotowych (PN) u dzieci i młodzieży w wieku 3 lat i starszych z neurofibromatozą typu 1 (NF1).</w:t>
            </w:r>
          </w:p>
          <w:p w14:paraId="3CBD5F38" w14:textId="06E957D7" w:rsidR="001778F7" w:rsidRPr="001A28EB" w:rsidRDefault="001778F7" w:rsidP="001778F7">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bl>
    <w:p w14:paraId="7F9CCF36" w14:textId="51B74B46" w:rsidR="004D093B" w:rsidRPr="001A28EB" w:rsidRDefault="004D093B">
      <w:pPr>
        <w:rPr>
          <w:rFonts w:ascii="Lato" w:hAnsi="Lato"/>
        </w:rPr>
      </w:pPr>
    </w:p>
    <w:p w14:paraId="7FCF9A29" w14:textId="77777777" w:rsidR="004D093B" w:rsidRPr="001A28EB" w:rsidRDefault="004D093B">
      <w:pPr>
        <w:suppressAutoHyphens w:val="0"/>
        <w:rPr>
          <w:rFonts w:ascii="Lato" w:hAnsi="Lato"/>
        </w:rPr>
      </w:pPr>
      <w:r w:rsidRPr="001A28EB">
        <w:rPr>
          <w:rFonts w:ascii="Lato" w:hAnsi="Lato"/>
        </w:rPr>
        <w:br w:type="page"/>
      </w:r>
    </w:p>
    <w:tbl>
      <w:tblPr>
        <w:tblW w:w="5000" w:type="pct"/>
        <w:tblCellMar>
          <w:top w:w="113" w:type="dxa"/>
          <w:left w:w="10" w:type="dxa"/>
          <w:bottom w:w="113" w:type="dxa"/>
          <w:right w:w="10" w:type="dxa"/>
        </w:tblCellMar>
        <w:tblLook w:val="0000" w:firstRow="0" w:lastRow="0" w:firstColumn="0" w:lastColumn="0" w:noHBand="0" w:noVBand="0"/>
      </w:tblPr>
      <w:tblGrid>
        <w:gridCol w:w="607"/>
        <w:gridCol w:w="1586"/>
        <w:gridCol w:w="1807"/>
        <w:gridCol w:w="1872"/>
        <w:gridCol w:w="3335"/>
        <w:gridCol w:w="4781"/>
      </w:tblGrid>
      <w:tr w:rsidR="002D6ED9" w:rsidRPr="001A28EB" w14:paraId="4C9C4901" w14:textId="77777777" w:rsidTr="004D093B">
        <w:trPr>
          <w:cantSplit/>
          <w:trHeight w:val="183"/>
        </w:trPr>
        <w:tc>
          <w:tcPr>
            <w:tcW w:w="5000" w:type="pct"/>
            <w:gridSpan w:val="6"/>
            <w:tcBorders>
              <w:top w:val="single" w:sz="6" w:space="0" w:color="000000"/>
              <w:left w:val="single" w:sz="6" w:space="0" w:color="000000"/>
              <w:bottom w:val="single" w:sz="6" w:space="0" w:color="000000"/>
              <w:right w:val="single" w:sz="6" w:space="0" w:color="000000"/>
            </w:tcBorders>
            <w:shd w:val="clear" w:color="auto" w:fill="00B0F0"/>
            <w:tcMar>
              <w:top w:w="0" w:type="dxa"/>
              <w:left w:w="108" w:type="dxa"/>
              <w:bottom w:w="0" w:type="dxa"/>
              <w:right w:w="108" w:type="dxa"/>
            </w:tcMar>
            <w:vAlign w:val="center"/>
          </w:tcPr>
          <w:p w14:paraId="72A390A7" w14:textId="5C4E25DC" w:rsidR="002D6ED9" w:rsidRPr="001A28EB" w:rsidRDefault="002D6ED9" w:rsidP="002D6ED9">
            <w:pPr>
              <w:spacing w:before="60" w:after="60" w:line="240" w:lineRule="auto"/>
              <w:jc w:val="center"/>
              <w:rPr>
                <w:rFonts w:ascii="Lato" w:hAnsi="Lato" w:cstheme="majorHAnsi"/>
                <w:b/>
                <w:bCs/>
                <w:color w:val="FFFFFF"/>
              </w:rPr>
            </w:pPr>
            <w:r w:rsidRPr="001A28EB">
              <w:rPr>
                <w:rFonts w:ascii="Lato" w:hAnsi="Lato" w:cstheme="majorHAnsi"/>
                <w:b/>
                <w:bCs/>
                <w:color w:val="FFFFFF"/>
              </w:rPr>
              <w:lastRenderedPageBreak/>
              <w:t>Nowe wskazania nieonkologiczne</w:t>
            </w:r>
          </w:p>
        </w:tc>
      </w:tr>
      <w:tr w:rsidR="002D6ED9" w:rsidRPr="001A28EB" w14:paraId="1394CD71" w14:textId="77777777" w:rsidTr="004D093B">
        <w:trPr>
          <w:cantSplit/>
          <w:trHeight w:val="628"/>
        </w:trPr>
        <w:tc>
          <w:tcPr>
            <w:tcW w:w="217"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22A979BE"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Lp.</w:t>
            </w:r>
          </w:p>
        </w:tc>
        <w:tc>
          <w:tcPr>
            <w:tcW w:w="567"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5AB02159"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Nazwa leku</w:t>
            </w:r>
          </w:p>
        </w:tc>
        <w:tc>
          <w:tcPr>
            <w:tcW w:w="646"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31FC3D6F"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Substancja czynna</w:t>
            </w:r>
          </w:p>
        </w:tc>
        <w:tc>
          <w:tcPr>
            <w:tcW w:w="669"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34CD8698"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Numer programu lekowego/załącznika chemioterapii</w:t>
            </w:r>
          </w:p>
        </w:tc>
        <w:tc>
          <w:tcPr>
            <w:tcW w:w="1192"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4BB142B2"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Nazwa programu lekowego/ Załącznika chemioterapii</w:t>
            </w:r>
          </w:p>
        </w:tc>
        <w:tc>
          <w:tcPr>
            <w:tcW w:w="1709"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6A587975"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Doprecyzowanie wskazania</w:t>
            </w:r>
          </w:p>
        </w:tc>
      </w:tr>
      <w:tr w:rsidR="00AB2C7E" w:rsidRPr="001A28EB" w14:paraId="221C45C7"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B9CB5B" w14:textId="54B4CF55" w:rsidR="00AB2C7E" w:rsidRPr="001A28EB" w:rsidRDefault="00AB2C7E" w:rsidP="00AB2C7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1.</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BB2E6A" w14:textId="587FF703" w:rsidR="00AB2C7E" w:rsidRPr="001A28EB" w:rsidRDefault="00AB2C7E" w:rsidP="00AB2C7E">
            <w:pPr>
              <w:spacing w:before="60" w:after="60" w:line="240" w:lineRule="auto"/>
              <w:jc w:val="center"/>
              <w:rPr>
                <w:rFonts w:ascii="Lato" w:hAnsi="Lato" w:cstheme="majorHAnsi"/>
                <w:b/>
                <w:bCs/>
                <w:sz w:val="18"/>
                <w:szCs w:val="18"/>
              </w:rPr>
            </w:pPr>
            <w:r w:rsidRPr="001A28EB">
              <w:rPr>
                <w:rFonts w:ascii="Lato" w:hAnsi="Lato" w:cstheme="majorHAnsi"/>
                <w:b/>
                <w:bCs/>
                <w:color w:val="000000"/>
                <w:sz w:val="18"/>
                <w:szCs w:val="18"/>
              </w:rPr>
              <w:t>Nexviadyme</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F04F82" w14:textId="40341C16" w:rsidR="00AB2C7E" w:rsidRPr="001A28EB" w:rsidRDefault="00AB2C7E" w:rsidP="00AB2C7E">
            <w:pPr>
              <w:spacing w:before="60" w:after="60" w:line="240" w:lineRule="auto"/>
              <w:jc w:val="center"/>
              <w:rPr>
                <w:rFonts w:ascii="Lato" w:hAnsi="Lato" w:cstheme="majorHAnsi"/>
                <w:i/>
                <w:iCs/>
                <w:sz w:val="18"/>
                <w:szCs w:val="18"/>
              </w:rPr>
            </w:pPr>
            <w:r w:rsidRPr="001A28EB">
              <w:rPr>
                <w:rFonts w:ascii="Lato" w:hAnsi="Lato" w:cstheme="majorHAnsi"/>
                <w:i/>
                <w:iCs/>
                <w:color w:val="000000"/>
                <w:sz w:val="18"/>
                <w:szCs w:val="18"/>
              </w:rPr>
              <w:t>awalglukozydaza alfa</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26EE25" w14:textId="2A265B59" w:rsidR="00AB2C7E" w:rsidRPr="001A28EB" w:rsidRDefault="00AB2C7E" w:rsidP="00AB2C7E">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B.22</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8AB298" w14:textId="1C8B39A1" w:rsidR="00AB2C7E" w:rsidRPr="001A28EB" w:rsidRDefault="00AB2C7E" w:rsidP="00AB2C7E">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LECZENIE PACJENTÓW Z CHOROBĄ POMPEGO (ICD-10: E74.0)</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2E963A" w14:textId="77777777" w:rsidR="00AB2C7E" w:rsidRPr="001A28EB" w:rsidRDefault="00AB2C7E" w:rsidP="00AB2C7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chorych</w:t>
            </w:r>
            <w:r w:rsidRPr="001A28EB">
              <w:rPr>
                <w:rFonts w:ascii="Lato" w:hAnsi="Lato"/>
              </w:rPr>
              <w:t xml:space="preserve"> z</w:t>
            </w:r>
            <w:r w:rsidRPr="001A28EB">
              <w:rPr>
                <w:rFonts w:ascii="Lato" w:hAnsi="Lato" w:cstheme="majorHAnsi"/>
                <w:color w:val="000000"/>
                <w:sz w:val="18"/>
                <w:szCs w:val="18"/>
              </w:rPr>
              <w:t xml:space="preserve"> rozpoznaniem choroby Pompego na podstawie udokumentowanego braku lub głębokiego niedoboru aktywności alfa-glukozydazy w leukocytach krwi obwodowej lub fibroblastach skóry.</w:t>
            </w:r>
          </w:p>
          <w:p w14:paraId="3A5665D9" w14:textId="75FB0DFB" w:rsidR="00AB2C7E" w:rsidRPr="001A28EB" w:rsidRDefault="00AB2C7E" w:rsidP="00AB2C7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Druga opcja terapeutyczna stanowiąca enzymatyczną terapię zastępczą obok obecnej już w programie alglukozydazy alfa</w:t>
            </w:r>
            <w:r w:rsidR="00BA7602" w:rsidRPr="001A28EB">
              <w:rPr>
                <w:rFonts w:ascii="Lato" w:hAnsi="Lato" w:cstheme="majorHAnsi"/>
                <w:color w:val="000000"/>
                <w:sz w:val="18"/>
                <w:szCs w:val="18"/>
              </w:rPr>
              <w:t>.</w:t>
            </w:r>
          </w:p>
          <w:p w14:paraId="23F2510E" w14:textId="693F3EBA" w:rsidR="00AB2C7E" w:rsidRPr="001A28EB" w:rsidRDefault="00AB2C7E" w:rsidP="00AB2C7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AB2C7E" w:rsidRPr="001A28EB" w14:paraId="7522F87A"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7D592E" w14:textId="3782DBC7" w:rsidR="00AB2C7E" w:rsidRPr="001A28EB" w:rsidRDefault="00AB2C7E" w:rsidP="00AB2C7E">
            <w:pPr>
              <w:spacing w:before="60" w:after="60" w:line="240" w:lineRule="auto"/>
              <w:jc w:val="center"/>
              <w:rPr>
                <w:rFonts w:ascii="Lato" w:hAnsi="Lato" w:cstheme="majorHAnsi"/>
                <w:color w:val="000000" w:themeColor="text1"/>
                <w:sz w:val="18"/>
                <w:szCs w:val="18"/>
              </w:rPr>
            </w:pPr>
            <w:r w:rsidRPr="001A28EB">
              <w:rPr>
                <w:rFonts w:ascii="Lato" w:hAnsi="Lato" w:cstheme="majorHAnsi"/>
                <w:color w:val="000000" w:themeColor="text1"/>
                <w:sz w:val="18"/>
                <w:szCs w:val="18"/>
              </w:rPr>
              <w:t>2.</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D2FB93" w14:textId="4D6C11E3" w:rsidR="00AB2C7E" w:rsidRPr="001A28EB" w:rsidRDefault="00AB2C7E" w:rsidP="00AB2C7E">
            <w:pPr>
              <w:spacing w:before="60" w:after="60" w:line="240" w:lineRule="auto"/>
              <w:jc w:val="center"/>
              <w:rPr>
                <w:rFonts w:ascii="Lato" w:hAnsi="Lato" w:cstheme="majorHAnsi"/>
                <w:b/>
                <w:bCs/>
                <w:color w:val="FF0000"/>
                <w:sz w:val="18"/>
                <w:szCs w:val="18"/>
              </w:rPr>
            </w:pPr>
            <w:r w:rsidRPr="001A28EB">
              <w:rPr>
                <w:rFonts w:ascii="Lato" w:hAnsi="Lato" w:cstheme="majorHAnsi"/>
                <w:b/>
                <w:bCs/>
                <w:sz w:val="18"/>
                <w:szCs w:val="18"/>
              </w:rPr>
              <w:t>Beovu</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0A0348" w14:textId="45F701B7" w:rsidR="00AB2C7E" w:rsidRPr="001A28EB" w:rsidRDefault="00AB2C7E" w:rsidP="00AB2C7E">
            <w:pPr>
              <w:spacing w:before="60" w:after="60" w:line="240" w:lineRule="auto"/>
              <w:jc w:val="center"/>
              <w:rPr>
                <w:rFonts w:ascii="Lato" w:hAnsi="Lato" w:cstheme="majorHAnsi"/>
                <w:i/>
                <w:iCs/>
                <w:color w:val="FF0000"/>
                <w:sz w:val="18"/>
                <w:szCs w:val="18"/>
              </w:rPr>
            </w:pPr>
            <w:r w:rsidRPr="001A28EB">
              <w:rPr>
                <w:rFonts w:ascii="Lato" w:hAnsi="Lato" w:cstheme="majorHAnsi"/>
                <w:i/>
                <w:iCs/>
                <w:sz w:val="18"/>
                <w:szCs w:val="18"/>
              </w:rPr>
              <w:t>brolucizumab</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2CA292" w14:textId="30099190"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sz w:val="18"/>
                <w:szCs w:val="18"/>
              </w:rPr>
              <w:t>B.70</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658478" w14:textId="7A22111C"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sz w:val="18"/>
                <w:szCs w:val="18"/>
              </w:rPr>
              <w:t>LECZENIE PACJENTÓW Z CHOROBAMI SIATKÓWKI (ICD-10: H35.3, H36.0)</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97C9BB" w14:textId="07F74A2C"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color w:val="000000"/>
                <w:sz w:val="18"/>
                <w:szCs w:val="18"/>
              </w:rPr>
              <w:t>Leczenie cukrzycowego obrzęku plamki (DME), po fazie początkowej pięciu dawek bewacyzumabu.</w:t>
            </w:r>
          </w:p>
        </w:tc>
      </w:tr>
      <w:tr w:rsidR="00AB2C7E" w:rsidRPr="001A28EB" w14:paraId="5ED86F3E"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19B444" w14:textId="32362A59" w:rsidR="00AB2C7E" w:rsidRPr="001A28EB" w:rsidRDefault="00AB2C7E" w:rsidP="00AB2C7E">
            <w:pPr>
              <w:spacing w:before="60" w:after="60" w:line="240" w:lineRule="auto"/>
              <w:jc w:val="center"/>
              <w:rPr>
                <w:rFonts w:ascii="Lato" w:hAnsi="Lato" w:cstheme="majorHAnsi"/>
                <w:color w:val="000000" w:themeColor="text1"/>
                <w:sz w:val="18"/>
                <w:szCs w:val="18"/>
              </w:rPr>
            </w:pPr>
            <w:r w:rsidRPr="001A28EB">
              <w:rPr>
                <w:rFonts w:ascii="Lato" w:hAnsi="Lato" w:cstheme="majorHAnsi"/>
                <w:color w:val="000000" w:themeColor="text1"/>
                <w:sz w:val="18"/>
                <w:szCs w:val="18"/>
              </w:rPr>
              <w:t>3.</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255631" w14:textId="34E53C26" w:rsidR="00AB2C7E" w:rsidRPr="001A28EB" w:rsidRDefault="00AB2C7E" w:rsidP="00AB2C7E">
            <w:pPr>
              <w:spacing w:before="60" w:after="60" w:line="240" w:lineRule="auto"/>
              <w:jc w:val="center"/>
              <w:rPr>
                <w:rFonts w:ascii="Lato" w:hAnsi="Lato" w:cstheme="majorHAnsi"/>
                <w:b/>
                <w:bCs/>
                <w:color w:val="FF0000"/>
                <w:sz w:val="18"/>
                <w:szCs w:val="18"/>
              </w:rPr>
            </w:pPr>
            <w:r w:rsidRPr="001A28EB">
              <w:rPr>
                <w:rFonts w:ascii="Lato" w:hAnsi="Lato" w:cstheme="majorHAnsi"/>
                <w:b/>
                <w:bCs/>
                <w:color w:val="000000"/>
                <w:sz w:val="18"/>
                <w:szCs w:val="18"/>
              </w:rPr>
              <w:t>Vabysmo</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686633" w14:textId="59414031" w:rsidR="00AB2C7E" w:rsidRPr="001A28EB" w:rsidRDefault="00AB2C7E" w:rsidP="00AB2C7E">
            <w:pPr>
              <w:spacing w:before="60" w:after="60" w:line="240" w:lineRule="auto"/>
              <w:jc w:val="center"/>
              <w:rPr>
                <w:rFonts w:ascii="Lato" w:hAnsi="Lato" w:cstheme="majorHAnsi"/>
                <w:i/>
                <w:iCs/>
                <w:color w:val="FF0000"/>
                <w:sz w:val="18"/>
                <w:szCs w:val="18"/>
              </w:rPr>
            </w:pPr>
            <w:r w:rsidRPr="001A28EB">
              <w:rPr>
                <w:rFonts w:ascii="Lato" w:hAnsi="Lato" w:cstheme="majorHAnsi"/>
                <w:i/>
                <w:iCs/>
                <w:color w:val="000000"/>
                <w:sz w:val="18"/>
                <w:szCs w:val="18"/>
              </w:rPr>
              <w:t>farycymab</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25888C" w14:textId="37486F18"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color w:val="000000"/>
                <w:sz w:val="18"/>
                <w:szCs w:val="18"/>
              </w:rPr>
              <w:t>B.70</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F42A6A" w14:textId="70DAB6A5"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sz w:val="18"/>
                <w:szCs w:val="18"/>
              </w:rPr>
              <w:t>LECZENIE PACJENTÓW Z CHOROBAMI SIATKÓWKI (ICD-10: H35.3, H36.0)</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0C1040" w14:textId="119DCA5C"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color w:val="000000"/>
                <w:sz w:val="18"/>
                <w:szCs w:val="18"/>
              </w:rPr>
              <w:t>Leczenie wysiękowej postaci zwyrodnienia plamki związanego z wiekiem (AMD) oraz leczenie cukrzycowego obrzęku plamki (DME), po fazie początkowej pięciu dawek bewacyzumabu.</w:t>
            </w:r>
          </w:p>
        </w:tc>
      </w:tr>
      <w:tr w:rsidR="006804BE" w:rsidRPr="001A28EB" w14:paraId="5043EC11"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EC41C5" w14:textId="5244D1FD" w:rsidR="007B72B2" w:rsidRPr="001A28EB" w:rsidRDefault="007B72B2" w:rsidP="007B72B2">
            <w:pPr>
              <w:spacing w:before="60" w:after="60" w:line="240" w:lineRule="auto"/>
              <w:jc w:val="center"/>
              <w:rPr>
                <w:rFonts w:ascii="Lato" w:hAnsi="Lato" w:cstheme="majorHAnsi"/>
                <w:color w:val="000000" w:themeColor="text1"/>
                <w:sz w:val="18"/>
                <w:szCs w:val="18"/>
              </w:rPr>
            </w:pPr>
            <w:r w:rsidRPr="001A28EB">
              <w:rPr>
                <w:rFonts w:ascii="Lato" w:hAnsi="Lato" w:cstheme="majorHAnsi"/>
                <w:color w:val="000000" w:themeColor="text1"/>
                <w:sz w:val="18"/>
                <w:szCs w:val="18"/>
              </w:rPr>
              <w:t>4.</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A41A02" w14:textId="5FFC7330" w:rsidR="006804BE" w:rsidRPr="001A28EB" w:rsidRDefault="007B72B2"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Bylvay</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866085" w14:textId="1280A16C" w:rsidR="006804BE" w:rsidRPr="001A28EB" w:rsidRDefault="007B72B2" w:rsidP="006804BE">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odewiksybat</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31A516" w14:textId="7121FC49" w:rsidR="006804BE" w:rsidRPr="001A28EB" w:rsidRDefault="007B72B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B.152.FM</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96FD81" w14:textId="235CAF9D" w:rsidR="006804BE" w:rsidRPr="001A28EB" w:rsidRDefault="007B72B2" w:rsidP="006804BE">
            <w:pPr>
              <w:spacing w:before="60" w:after="60" w:line="240" w:lineRule="auto"/>
              <w:jc w:val="center"/>
              <w:rPr>
                <w:rFonts w:ascii="Lato" w:hAnsi="Lato" w:cstheme="majorHAnsi"/>
                <w:color w:val="000000"/>
                <w:sz w:val="18"/>
                <w:szCs w:val="18"/>
              </w:rPr>
            </w:pPr>
            <w:bookmarkStart w:id="1" w:name="_Hlk104807004"/>
            <w:r w:rsidRPr="001A28EB">
              <w:rPr>
                <w:rFonts w:ascii="Lato" w:hAnsi="Lato" w:cstheme="majorHAnsi"/>
                <w:sz w:val="18"/>
                <w:szCs w:val="18"/>
              </w:rPr>
              <w:t>LECZENIE PACJENTÓW Z POSTĘPUJĄCĄ RODZINNĄ CHOLESTAZĄ WEWNĄTRZWĄTROBOWĄ (PFIC) (ICD-10: K76.8</w:t>
            </w:r>
            <w:bookmarkEnd w:id="1"/>
            <w:r w:rsidRPr="001A28EB">
              <w:rPr>
                <w:rFonts w:ascii="Lato" w:hAnsi="Lato" w:cstheme="majorHAnsi"/>
                <w:sz w:val="18"/>
                <w:szCs w:val="18"/>
              </w:rPr>
              <w:t>)</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3F70FD" w14:textId="5E85FFF0" w:rsidR="006804BE" w:rsidRPr="001A28EB" w:rsidRDefault="00F97A9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Leczenie pacjentów z postępującą rodzinną cholestazą wewnątrzwątrobową (PFIC) typu 1 lub </w:t>
            </w:r>
            <w:r w:rsidR="0020378B" w:rsidRPr="001A28EB">
              <w:rPr>
                <w:rFonts w:ascii="Lato" w:hAnsi="Lato" w:cstheme="majorHAnsi"/>
                <w:color w:val="000000"/>
                <w:sz w:val="18"/>
                <w:szCs w:val="18"/>
              </w:rPr>
              <w:t>2,</w:t>
            </w:r>
            <w:r w:rsidRPr="001A28EB">
              <w:rPr>
                <w:rFonts w:ascii="Lato" w:hAnsi="Lato" w:cstheme="majorHAnsi"/>
                <w:color w:val="000000"/>
                <w:sz w:val="18"/>
                <w:szCs w:val="18"/>
              </w:rPr>
              <w:t xml:space="preserve"> u których nieskuteczne jest leczenie kwasem ursodeoksycholowym oraz stwierdzono brak odpowiedzi na jeden z leków stosowanych w leczeniu świądu.</w:t>
            </w:r>
          </w:p>
          <w:p w14:paraId="67F80A63" w14:textId="77777777" w:rsidR="00F97A92" w:rsidRPr="001A28EB" w:rsidRDefault="00F97A92"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(TLI - Technologia lekowa o wysokim stopniu innowacyjności)</w:t>
            </w:r>
          </w:p>
          <w:p w14:paraId="268826C4" w14:textId="31B3563A" w:rsidR="00F97A92" w:rsidRPr="001A28EB" w:rsidRDefault="00F97A92"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6804BE" w:rsidRPr="001A28EB" w14:paraId="5E535D2A"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64199E" w14:textId="5A2C6F91" w:rsidR="006804BE" w:rsidRPr="001A28EB" w:rsidRDefault="007B72B2" w:rsidP="006804BE">
            <w:pPr>
              <w:spacing w:before="60" w:after="60" w:line="240" w:lineRule="auto"/>
              <w:jc w:val="center"/>
              <w:rPr>
                <w:rFonts w:ascii="Lato" w:hAnsi="Lato" w:cstheme="majorHAnsi"/>
                <w:color w:val="000000" w:themeColor="text1"/>
                <w:sz w:val="18"/>
                <w:szCs w:val="18"/>
              </w:rPr>
            </w:pPr>
            <w:r w:rsidRPr="001A28EB">
              <w:rPr>
                <w:rFonts w:ascii="Lato" w:hAnsi="Lato" w:cstheme="majorHAnsi"/>
                <w:color w:val="000000" w:themeColor="text1"/>
                <w:sz w:val="18"/>
                <w:szCs w:val="18"/>
              </w:rPr>
              <w:t>5.</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37907A" w14:textId="4F3D7DD2" w:rsidR="006804BE" w:rsidRPr="001A28EB" w:rsidRDefault="006804BE"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Epidyolex</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AE5622" w14:textId="171E43E5" w:rsidR="006804BE" w:rsidRPr="001A28EB" w:rsidRDefault="006804BE" w:rsidP="006804BE">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kan</w:t>
            </w:r>
            <w:r w:rsidR="00614693">
              <w:rPr>
                <w:rFonts w:ascii="Lato" w:hAnsi="Lato" w:cstheme="majorHAnsi"/>
                <w:i/>
                <w:iCs/>
                <w:color w:val="000000"/>
                <w:sz w:val="18"/>
                <w:szCs w:val="18"/>
              </w:rPr>
              <w:t>n</w:t>
            </w:r>
            <w:r w:rsidRPr="001A28EB">
              <w:rPr>
                <w:rFonts w:ascii="Lato" w:hAnsi="Lato" w:cstheme="majorHAnsi"/>
                <w:i/>
                <w:iCs/>
                <w:color w:val="000000"/>
                <w:sz w:val="18"/>
                <w:szCs w:val="18"/>
              </w:rPr>
              <w:t>abidiol</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2B50EF" w14:textId="6CCFAADB"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B.153</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CCC0F6" w14:textId="4872E64F"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PACJENTÓW Z NAPADAMI PADACZKOWYMI W PRZEBIEGU ZESPOŁU STWARDNIENIA GUZOWATEGO (ICD-10: G40.4)</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FA2E5A" w14:textId="77777777"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chorych w wieku 2 lat i powyżej, u których napady padaczkowe w przebiegu stwardnienia guzowatego nie są w pełni kontrolowane pomimo zastosowania co najmniej trzech leków przeciwpadaczkowych.</w:t>
            </w:r>
          </w:p>
          <w:p w14:paraId="76135290" w14:textId="51759CA6" w:rsidR="006804BE" w:rsidRPr="001A28EB" w:rsidRDefault="00F97A92"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7B72B2" w:rsidRPr="001A28EB" w14:paraId="0657CB89"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94056A" w14:textId="2EEC8B49" w:rsidR="007B72B2" w:rsidRPr="001A28EB" w:rsidRDefault="007B72B2" w:rsidP="007B72B2">
            <w:pPr>
              <w:spacing w:before="60" w:after="60" w:line="240" w:lineRule="auto"/>
              <w:jc w:val="center"/>
              <w:rPr>
                <w:rFonts w:ascii="Lato" w:hAnsi="Lato" w:cstheme="majorHAnsi"/>
                <w:color w:val="000000" w:themeColor="text1"/>
                <w:sz w:val="18"/>
                <w:szCs w:val="18"/>
              </w:rPr>
            </w:pPr>
            <w:r w:rsidRPr="001A28EB">
              <w:rPr>
                <w:rFonts w:ascii="Lato" w:hAnsi="Lato" w:cstheme="majorHAnsi"/>
                <w:color w:val="000000" w:themeColor="text1"/>
                <w:sz w:val="18"/>
                <w:szCs w:val="18"/>
              </w:rPr>
              <w:lastRenderedPageBreak/>
              <w:t>6.</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A0A71F" w14:textId="4D0FD136" w:rsidR="007B72B2" w:rsidRPr="001A28EB" w:rsidRDefault="007B72B2" w:rsidP="007B72B2">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Epidyolex</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383498" w14:textId="7F1F6BC6" w:rsidR="007B72B2" w:rsidRPr="001A28EB" w:rsidRDefault="007B72B2" w:rsidP="007B72B2">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kan</w:t>
            </w:r>
            <w:r w:rsidR="00614693">
              <w:rPr>
                <w:rFonts w:ascii="Lato" w:hAnsi="Lato" w:cstheme="majorHAnsi"/>
                <w:i/>
                <w:iCs/>
                <w:color w:val="000000"/>
                <w:sz w:val="18"/>
                <w:szCs w:val="18"/>
              </w:rPr>
              <w:t>n</w:t>
            </w:r>
            <w:r w:rsidRPr="001A28EB">
              <w:rPr>
                <w:rFonts w:ascii="Lato" w:hAnsi="Lato" w:cstheme="majorHAnsi"/>
                <w:i/>
                <w:iCs/>
                <w:color w:val="000000"/>
                <w:sz w:val="18"/>
                <w:szCs w:val="18"/>
              </w:rPr>
              <w:t>abidiol</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466702" w14:textId="29101902"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B.154.FM</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EAB5FA" w14:textId="699C2CE1"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PACJENTÓW Z ZESPOŁEM LENNOXA-GASTAUTA LUB Z ZESPOŁEM DRAVET (ICD-10: G40.4)</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7294B3" w14:textId="77777777"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pacjentów z zespołem Lennoxa-Gastauta lub z zespołem Dravet w wieku 2 lat i powyżej, u których napady padaczkowe nie są w pełni kontrolowane pomimo zastosowania co najmniej trzech leków przeciwpadaczkowych.</w:t>
            </w:r>
          </w:p>
          <w:p w14:paraId="71BF4C26" w14:textId="77777777"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Terapia wspomagająca w skojarzeniu z klobazamem.</w:t>
            </w:r>
          </w:p>
          <w:p w14:paraId="6B41B675" w14:textId="2FB0F247" w:rsidR="00F97A92" w:rsidRPr="001A28EB" w:rsidRDefault="00F97A92" w:rsidP="00F97A92">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(TL</w:t>
            </w:r>
            <w:r w:rsidR="00271983">
              <w:rPr>
                <w:rFonts w:ascii="Lato" w:hAnsi="Lato" w:cstheme="majorHAnsi"/>
                <w:b/>
                <w:bCs/>
                <w:color w:val="000000"/>
                <w:sz w:val="18"/>
                <w:szCs w:val="18"/>
              </w:rPr>
              <w:t>K</w:t>
            </w:r>
            <w:r w:rsidRPr="001A28EB">
              <w:rPr>
                <w:rFonts w:ascii="Lato" w:hAnsi="Lato" w:cstheme="majorHAnsi"/>
                <w:b/>
                <w:bCs/>
                <w:color w:val="000000"/>
                <w:sz w:val="18"/>
                <w:szCs w:val="18"/>
              </w:rPr>
              <w:t xml:space="preserve"> - Technologia lekowa o wysoki</w:t>
            </w:r>
            <w:r w:rsidR="00271983">
              <w:rPr>
                <w:rFonts w:ascii="Lato" w:hAnsi="Lato" w:cstheme="majorHAnsi"/>
                <w:b/>
                <w:bCs/>
                <w:color w:val="000000"/>
                <w:sz w:val="18"/>
                <w:szCs w:val="18"/>
              </w:rPr>
              <w:t>ej wartości klinicznej</w:t>
            </w:r>
            <w:r w:rsidRPr="001A28EB">
              <w:rPr>
                <w:rFonts w:ascii="Lato" w:hAnsi="Lato" w:cstheme="majorHAnsi"/>
                <w:b/>
                <w:bCs/>
                <w:color w:val="000000"/>
                <w:sz w:val="18"/>
                <w:szCs w:val="18"/>
              </w:rPr>
              <w:t>)</w:t>
            </w:r>
          </w:p>
          <w:p w14:paraId="3C543A92" w14:textId="5301A582" w:rsidR="007B72B2" w:rsidRPr="001A28EB" w:rsidRDefault="00F97A92" w:rsidP="00F97A92">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bl>
    <w:p w14:paraId="169C5300" w14:textId="64238082" w:rsidR="004D093B" w:rsidRPr="001A28EB" w:rsidRDefault="004D093B">
      <w:pPr>
        <w:suppressAutoHyphens w:val="0"/>
        <w:rPr>
          <w:rFonts w:ascii="Lato" w:hAnsi="Lato"/>
        </w:rPr>
      </w:pPr>
    </w:p>
    <w:p w14:paraId="10214C14" w14:textId="77777777" w:rsidR="00694E14" w:rsidRPr="001A28EB" w:rsidRDefault="00694E14">
      <w:pPr>
        <w:suppressAutoHyphens w:val="0"/>
        <w:rPr>
          <w:rFonts w:ascii="Lato" w:hAnsi="Lato"/>
        </w:rPr>
      </w:pPr>
    </w:p>
    <w:p w14:paraId="363C2FB3" w14:textId="2F0075F1" w:rsidR="001A28EB" w:rsidRDefault="001A28EB">
      <w:pPr>
        <w:suppressAutoHyphens w:val="0"/>
        <w:rPr>
          <w:rFonts w:ascii="Lato" w:hAnsi="Lato"/>
        </w:rPr>
      </w:pPr>
      <w:r>
        <w:rPr>
          <w:rFonts w:ascii="Lato" w:hAnsi="Lato"/>
        </w:rPr>
        <w:br w:type="page"/>
      </w:r>
    </w:p>
    <w:p w14:paraId="3FB95D7E" w14:textId="77777777" w:rsidR="00694E14" w:rsidRPr="001A28EB" w:rsidRDefault="00694E14">
      <w:pPr>
        <w:suppressAutoHyphens w:val="0"/>
        <w:rPr>
          <w:rFonts w:ascii="Lato" w:hAnsi="Lato"/>
        </w:rPr>
      </w:pPr>
    </w:p>
    <w:tbl>
      <w:tblPr>
        <w:tblW w:w="6304" w:type="pct"/>
        <w:tblCellMar>
          <w:top w:w="113" w:type="dxa"/>
          <w:left w:w="10" w:type="dxa"/>
          <w:bottom w:w="113" w:type="dxa"/>
          <w:right w:w="10" w:type="dxa"/>
        </w:tblCellMar>
        <w:tblLook w:val="0000" w:firstRow="0" w:lastRow="0" w:firstColumn="0" w:lastColumn="0" w:noHBand="0" w:noVBand="0"/>
      </w:tblPr>
      <w:tblGrid>
        <w:gridCol w:w="639"/>
        <w:gridCol w:w="1644"/>
        <w:gridCol w:w="2504"/>
        <w:gridCol w:w="9202"/>
        <w:gridCol w:w="3647"/>
      </w:tblGrid>
      <w:tr w:rsidR="00A434EB" w:rsidRPr="001A28EB" w14:paraId="0B833808" w14:textId="77777777" w:rsidTr="009104F7">
        <w:trPr>
          <w:gridAfter w:val="1"/>
          <w:wAfter w:w="1034" w:type="pct"/>
          <w:cantSplit/>
          <w:trHeight w:val="20"/>
        </w:trPr>
        <w:tc>
          <w:tcPr>
            <w:tcW w:w="3966" w:type="pct"/>
            <w:gridSpan w:val="4"/>
            <w:tcBorders>
              <w:top w:val="single" w:sz="6" w:space="0" w:color="000000"/>
              <w:left w:val="single" w:sz="6" w:space="0" w:color="000000"/>
              <w:bottom w:val="single" w:sz="6" w:space="0" w:color="000000"/>
              <w:right w:val="single" w:sz="6" w:space="0" w:color="000000"/>
            </w:tcBorders>
            <w:shd w:val="clear" w:color="auto" w:fill="00B0F0"/>
            <w:tcMar>
              <w:top w:w="0" w:type="dxa"/>
              <w:left w:w="108" w:type="dxa"/>
              <w:bottom w:w="0" w:type="dxa"/>
              <w:right w:w="108" w:type="dxa"/>
            </w:tcMar>
            <w:vAlign w:val="center"/>
          </w:tcPr>
          <w:p w14:paraId="094B9EA6" w14:textId="428F8CF7" w:rsidR="00A434EB" w:rsidRPr="001A28EB" w:rsidRDefault="00A434EB" w:rsidP="00A434EB">
            <w:pPr>
              <w:spacing w:before="60" w:after="60" w:line="240" w:lineRule="auto"/>
              <w:jc w:val="center"/>
              <w:rPr>
                <w:rFonts w:ascii="Lato" w:hAnsi="Lato" w:cstheme="majorHAnsi"/>
              </w:rPr>
            </w:pPr>
            <w:r w:rsidRPr="001A28EB">
              <w:rPr>
                <w:rFonts w:ascii="Lato" w:hAnsi="Lato" w:cstheme="majorHAnsi"/>
                <w:b/>
                <w:bCs/>
                <w:color w:val="FFFFFF"/>
              </w:rPr>
              <w:t>Zmiany w programach lekowych i chemioterapii</w:t>
            </w:r>
          </w:p>
        </w:tc>
      </w:tr>
      <w:tr w:rsidR="00A434EB" w:rsidRPr="001A28EB" w14:paraId="2BCC5E80" w14:textId="77777777" w:rsidTr="009104F7">
        <w:trPr>
          <w:gridAfter w:val="1"/>
          <w:wAfter w:w="1034" w:type="pct"/>
          <w:cantSplit/>
          <w:trHeight w:val="20"/>
        </w:trPr>
        <w:tc>
          <w:tcPr>
            <w:tcW w:w="181"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349385C7" w14:textId="77777777" w:rsidR="00A434EB" w:rsidRPr="001A28EB" w:rsidRDefault="00A434EB" w:rsidP="00A434EB">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Lp.</w:t>
            </w:r>
          </w:p>
        </w:tc>
        <w:tc>
          <w:tcPr>
            <w:tcW w:w="466"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1A800381" w14:textId="7E0E9907" w:rsidR="00A434EB" w:rsidRPr="001A28EB" w:rsidRDefault="00A434EB" w:rsidP="00A434EB">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Numer programu lekowego lub numeru załącznika</w:t>
            </w:r>
          </w:p>
        </w:tc>
        <w:tc>
          <w:tcPr>
            <w:tcW w:w="710"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3C132808" w14:textId="70920D05" w:rsidR="00A434EB" w:rsidRPr="001A28EB" w:rsidRDefault="00A434EB" w:rsidP="00A434EB">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Nazwa programu lekowego lub załącznika chemioterapii</w:t>
            </w:r>
          </w:p>
        </w:tc>
        <w:tc>
          <w:tcPr>
            <w:tcW w:w="2609"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45F38F47" w14:textId="14B18ED3" w:rsidR="00A434EB" w:rsidRPr="001A28EB" w:rsidRDefault="00A434EB" w:rsidP="00A434EB">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Krótki opis zmian dokonanych w obrębie programu lekowego / załącznika chemioterapii</w:t>
            </w:r>
          </w:p>
        </w:tc>
      </w:tr>
      <w:tr w:rsidR="00895AF1" w:rsidRPr="001A28EB" w14:paraId="47C906BC" w14:textId="77777777" w:rsidTr="009104F7">
        <w:trPr>
          <w:cantSplit/>
          <w:trHeight w:val="20"/>
        </w:trPr>
        <w:tc>
          <w:tcPr>
            <w:tcW w:w="18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2E3BC5" w14:textId="532BF157" w:rsidR="00895AF1" w:rsidRPr="001A28EB" w:rsidRDefault="00895AF1" w:rsidP="00895AF1">
            <w:pPr>
              <w:spacing w:before="60" w:after="60" w:line="240" w:lineRule="auto"/>
              <w:jc w:val="center"/>
              <w:rPr>
                <w:rFonts w:ascii="Lato" w:hAnsi="Lato" w:cstheme="majorHAnsi"/>
                <w:sz w:val="18"/>
                <w:szCs w:val="18"/>
              </w:rPr>
            </w:pPr>
            <w:r w:rsidRPr="001A28EB">
              <w:rPr>
                <w:rFonts w:ascii="Lato" w:hAnsi="Lato" w:cstheme="majorHAnsi"/>
                <w:sz w:val="18"/>
                <w:szCs w:val="18"/>
              </w:rPr>
              <w:t>1.</w:t>
            </w:r>
          </w:p>
        </w:tc>
        <w:tc>
          <w:tcPr>
            <w:tcW w:w="46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B7C543" w14:textId="2D3D7BAC" w:rsidR="00895AF1" w:rsidRPr="001A28EB" w:rsidRDefault="00895AF1" w:rsidP="00895AF1">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B.15</w:t>
            </w:r>
          </w:p>
        </w:tc>
        <w:tc>
          <w:tcPr>
            <w:tcW w:w="71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178D3C" w14:textId="2ABE3D91" w:rsidR="00895AF1" w:rsidRPr="001A28EB" w:rsidRDefault="00895AF1" w:rsidP="00895AF1">
            <w:pPr>
              <w:spacing w:before="60" w:after="60" w:line="240" w:lineRule="auto"/>
              <w:jc w:val="center"/>
              <w:rPr>
                <w:rFonts w:ascii="Lato" w:hAnsi="Lato"/>
                <w:bCs/>
                <w:sz w:val="18"/>
                <w:szCs w:val="18"/>
              </w:rPr>
            </w:pPr>
            <w:r w:rsidRPr="001A28EB">
              <w:rPr>
                <w:rFonts w:ascii="Lato" w:hAnsi="Lato"/>
                <w:bCs/>
                <w:sz w:val="18"/>
                <w:szCs w:val="18"/>
              </w:rPr>
              <w:t>ZAPOBIEGANIE KRWAWIENIOM U DZIECI Z HEMOFILIĄ A I B (ICD-10: D66, D67)</w:t>
            </w:r>
          </w:p>
        </w:tc>
        <w:tc>
          <w:tcPr>
            <w:tcW w:w="26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91EDDE" w14:textId="5F4CB379" w:rsidR="00895AF1" w:rsidRPr="001A28EB" w:rsidRDefault="00895AF1" w:rsidP="00895AF1">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Zniesienie limitu wiekowego do stosowania rurioctocogu alfa pegol.</w:t>
            </w:r>
          </w:p>
        </w:tc>
        <w:tc>
          <w:tcPr>
            <w:tcW w:w="1034" w:type="pct"/>
            <w:vAlign w:val="center"/>
          </w:tcPr>
          <w:p w14:paraId="295F4AE5" w14:textId="77777777" w:rsidR="00895AF1" w:rsidRPr="001A28EB" w:rsidRDefault="00895AF1" w:rsidP="00895AF1">
            <w:pPr>
              <w:suppressAutoHyphens w:val="0"/>
              <w:rPr>
                <w:rFonts w:ascii="Lato" w:hAnsi="Lato"/>
              </w:rPr>
            </w:pPr>
          </w:p>
        </w:tc>
      </w:tr>
      <w:tr w:rsidR="00895AF1" w:rsidRPr="001A28EB" w14:paraId="4C7F1C85" w14:textId="77777777" w:rsidTr="009104F7">
        <w:trPr>
          <w:cantSplit/>
          <w:trHeight w:val="20"/>
        </w:trPr>
        <w:tc>
          <w:tcPr>
            <w:tcW w:w="18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1472CE" w14:textId="5B130D1C" w:rsidR="00895AF1" w:rsidRPr="001A28EB" w:rsidRDefault="00895AF1" w:rsidP="00895AF1">
            <w:pPr>
              <w:spacing w:before="60" w:after="60" w:line="240" w:lineRule="auto"/>
              <w:jc w:val="center"/>
              <w:rPr>
                <w:rFonts w:ascii="Lato" w:hAnsi="Lato" w:cstheme="majorHAnsi"/>
                <w:sz w:val="18"/>
                <w:szCs w:val="18"/>
              </w:rPr>
            </w:pPr>
            <w:r w:rsidRPr="001A28EB">
              <w:rPr>
                <w:rFonts w:ascii="Lato" w:hAnsi="Lato" w:cstheme="majorHAnsi"/>
                <w:sz w:val="18"/>
                <w:szCs w:val="18"/>
              </w:rPr>
              <w:t>2.</w:t>
            </w:r>
          </w:p>
        </w:tc>
        <w:tc>
          <w:tcPr>
            <w:tcW w:w="46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852333" w14:textId="42A02EA7" w:rsidR="00895AF1" w:rsidRPr="001A28EB" w:rsidRDefault="00895AF1" w:rsidP="00895AF1">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B.70</w:t>
            </w:r>
          </w:p>
        </w:tc>
        <w:tc>
          <w:tcPr>
            <w:tcW w:w="71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A4379C" w14:textId="162A97B5" w:rsidR="00895AF1" w:rsidRPr="001A28EB" w:rsidRDefault="00895AF1" w:rsidP="00895AF1">
            <w:pPr>
              <w:spacing w:before="60" w:after="60" w:line="240" w:lineRule="auto"/>
              <w:jc w:val="center"/>
              <w:rPr>
                <w:rFonts w:ascii="Lato" w:hAnsi="Lato"/>
                <w:bCs/>
                <w:sz w:val="18"/>
                <w:szCs w:val="18"/>
              </w:rPr>
            </w:pPr>
            <w:r w:rsidRPr="001A28EB">
              <w:rPr>
                <w:rFonts w:ascii="Lato" w:hAnsi="Lato"/>
                <w:bCs/>
                <w:sz w:val="18"/>
                <w:szCs w:val="18"/>
              </w:rPr>
              <w:t>LECZENIE PACJENTÓW Z CHOROBAMI SIATKÓWKI (ICD-10: H35.5, H36.0)</w:t>
            </w:r>
          </w:p>
        </w:tc>
        <w:tc>
          <w:tcPr>
            <w:tcW w:w="26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0AC8D3" w14:textId="77777777" w:rsidR="00895AF1" w:rsidRPr="001A28EB" w:rsidRDefault="00895AF1" w:rsidP="00895AF1">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Kompleksowe zmiany porządkujące dla obu części programu zainicjowane wprowadzeniem dwóch nowych leków, tj. brolucizumabu i farycymabu.</w:t>
            </w:r>
          </w:p>
          <w:p w14:paraId="67C75131" w14:textId="77777777" w:rsidR="00895AF1" w:rsidRPr="001A28EB" w:rsidRDefault="00895AF1" w:rsidP="00895AF1">
            <w:pPr>
              <w:suppressAutoHyphens w:val="0"/>
              <w:spacing w:before="60" w:after="60" w:line="240" w:lineRule="auto"/>
              <w:jc w:val="center"/>
              <w:textAlignment w:val="auto"/>
              <w:rPr>
                <w:rFonts w:ascii="Lato" w:hAnsi="Lato" w:cstheme="majorHAnsi"/>
                <w:i/>
                <w:iCs/>
                <w:sz w:val="18"/>
                <w:szCs w:val="18"/>
              </w:rPr>
            </w:pPr>
            <w:r w:rsidRPr="001A28EB">
              <w:rPr>
                <w:rFonts w:ascii="Lato" w:hAnsi="Lato" w:cstheme="majorHAnsi"/>
                <w:sz w:val="18"/>
                <w:szCs w:val="18"/>
              </w:rPr>
              <w:t xml:space="preserve">Zmiana dawkowania dla deksametazonu w postaci implantu doszklistkowego na wniosek konsultanta krajowego ds. okulistyki – dodanie zapisu </w:t>
            </w:r>
            <w:r w:rsidRPr="001A28EB">
              <w:rPr>
                <w:rFonts w:ascii="Lato" w:hAnsi="Lato" w:cstheme="majorHAnsi"/>
                <w:i/>
                <w:iCs/>
                <w:sz w:val="18"/>
                <w:szCs w:val="18"/>
              </w:rPr>
              <w:t>„w przypadku nawrotu aktywności choroby schemat dawkowania ustala lekarz prowadzący stosując lek nie częściej niż w odstępach co 4 miesiące (tj. nie częściej niż co 124 dni) z możliwością wydłużenia odstępów między wstrzyknięciami do 9 miesięcy (tj. do 279 dni)”.</w:t>
            </w:r>
          </w:p>
          <w:p w14:paraId="08F664F2" w14:textId="6482BF75" w:rsidR="00895AF1" w:rsidRPr="001A28EB" w:rsidRDefault="00895AF1" w:rsidP="00895AF1">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Dodanie zapisu o rozpoczęciu leczenia cukrzycowego obrzęku plamki deksametazonem w postaci implantu u pacjentów, u których w ostatnich 6 miesiącach wystąpił incydent sercowo-naczyniowy i istnieje ryzyko zaostrzenia przebiegu stanu ogólnego w przypadku rozpoczęcia leczenia lekami z grupy anty-VEGF.</w:t>
            </w:r>
          </w:p>
        </w:tc>
        <w:tc>
          <w:tcPr>
            <w:tcW w:w="1034" w:type="pct"/>
            <w:vAlign w:val="center"/>
          </w:tcPr>
          <w:p w14:paraId="6F8B4265" w14:textId="77777777" w:rsidR="00895AF1" w:rsidRPr="001A28EB" w:rsidRDefault="00895AF1" w:rsidP="00895AF1">
            <w:pPr>
              <w:suppressAutoHyphens w:val="0"/>
              <w:rPr>
                <w:rFonts w:ascii="Lato" w:hAnsi="Lato"/>
              </w:rPr>
            </w:pPr>
          </w:p>
        </w:tc>
      </w:tr>
      <w:tr w:rsidR="00895AF1" w:rsidRPr="001A28EB" w14:paraId="484C0D65" w14:textId="77777777" w:rsidTr="009104F7">
        <w:trPr>
          <w:cantSplit/>
          <w:trHeight w:val="20"/>
        </w:trPr>
        <w:tc>
          <w:tcPr>
            <w:tcW w:w="18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14AFA7" w14:textId="41F5E353" w:rsidR="00895AF1" w:rsidRPr="001A28EB" w:rsidRDefault="00895AF1" w:rsidP="00895AF1">
            <w:pPr>
              <w:spacing w:before="60" w:after="60" w:line="240" w:lineRule="auto"/>
              <w:jc w:val="center"/>
              <w:rPr>
                <w:rFonts w:ascii="Lato" w:hAnsi="Lato" w:cstheme="majorHAnsi"/>
                <w:sz w:val="18"/>
                <w:szCs w:val="18"/>
              </w:rPr>
            </w:pPr>
            <w:r w:rsidRPr="001A28EB">
              <w:rPr>
                <w:rFonts w:ascii="Lato" w:hAnsi="Lato" w:cstheme="majorHAnsi"/>
                <w:sz w:val="18"/>
                <w:szCs w:val="18"/>
              </w:rPr>
              <w:t>3.</w:t>
            </w:r>
          </w:p>
        </w:tc>
        <w:tc>
          <w:tcPr>
            <w:tcW w:w="46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A35708" w14:textId="34DFEFD2" w:rsidR="00895AF1" w:rsidRPr="001A28EB" w:rsidRDefault="00895AF1" w:rsidP="00895AF1">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B.113</w:t>
            </w:r>
          </w:p>
        </w:tc>
        <w:tc>
          <w:tcPr>
            <w:tcW w:w="71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4EC50B" w14:textId="1A85E8DE" w:rsidR="00895AF1" w:rsidRPr="001A28EB" w:rsidRDefault="00895AF1" w:rsidP="00895AF1">
            <w:pPr>
              <w:spacing w:before="60" w:after="60" w:line="240" w:lineRule="auto"/>
              <w:jc w:val="center"/>
              <w:rPr>
                <w:rFonts w:ascii="Lato" w:hAnsi="Lato"/>
                <w:bCs/>
                <w:sz w:val="18"/>
                <w:szCs w:val="18"/>
              </w:rPr>
            </w:pPr>
            <w:r w:rsidRPr="001A28EB">
              <w:rPr>
                <w:rFonts w:ascii="Lato" w:hAnsi="Lato"/>
                <w:sz w:val="18"/>
                <w:szCs w:val="18"/>
              </w:rPr>
              <w:t>LECZENIE PACJENTÓW Z CHOROBAMI NEREK (ICD-10 N18)</w:t>
            </w:r>
          </w:p>
        </w:tc>
        <w:tc>
          <w:tcPr>
            <w:tcW w:w="26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EA09A4" w14:textId="0B380896" w:rsidR="00895AF1" w:rsidRPr="001A28EB" w:rsidRDefault="00895AF1" w:rsidP="00895AF1">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Najistotniejsze zmiany dotyczą możliwości zastosowania ketoanalogów aminokwasów u pacjentów również z BMI poza normą (BMI do 30 kg/m</w:t>
            </w:r>
            <w:r w:rsidRPr="001A28EB">
              <w:rPr>
                <w:rFonts w:ascii="Lato" w:hAnsi="Lato" w:cstheme="majorHAnsi"/>
                <w:sz w:val="18"/>
                <w:szCs w:val="18"/>
                <w:vertAlign w:val="superscript"/>
              </w:rPr>
              <w:t>2</w:t>
            </w:r>
            <w:r w:rsidRPr="001A28EB">
              <w:rPr>
                <w:rFonts w:ascii="Lato" w:hAnsi="Lato" w:cstheme="majorHAnsi"/>
                <w:sz w:val="18"/>
                <w:szCs w:val="18"/>
              </w:rPr>
              <w:t>) oraz z wyższym niż dotychczas poziomem białkomoczu (&lt;2,0 g/g kreatyniny/dobę) oraz umożliwienie udziału w PL pacjentom z kontrolowaną cukrzycą.</w:t>
            </w:r>
          </w:p>
        </w:tc>
        <w:tc>
          <w:tcPr>
            <w:tcW w:w="1034" w:type="pct"/>
            <w:vAlign w:val="center"/>
          </w:tcPr>
          <w:p w14:paraId="4A80BFD4" w14:textId="77777777" w:rsidR="00895AF1" w:rsidRPr="001A28EB" w:rsidRDefault="00895AF1" w:rsidP="00895AF1">
            <w:pPr>
              <w:suppressAutoHyphens w:val="0"/>
              <w:rPr>
                <w:rFonts w:ascii="Lato" w:hAnsi="Lato"/>
              </w:rPr>
            </w:pPr>
          </w:p>
        </w:tc>
      </w:tr>
    </w:tbl>
    <w:p w14:paraId="08AE375A" w14:textId="43C53898" w:rsidR="0056748F" w:rsidRPr="001A28EB" w:rsidRDefault="0056748F">
      <w:pPr>
        <w:suppressAutoHyphens w:val="0"/>
        <w:rPr>
          <w:rFonts w:ascii="Lato" w:hAnsi="Lato"/>
          <w:b/>
          <w:bCs/>
          <w:color w:val="00B0F0"/>
          <w:sz w:val="28"/>
          <w:szCs w:val="28"/>
        </w:rPr>
      </w:pPr>
    </w:p>
    <w:p w14:paraId="13C8E853" w14:textId="77777777" w:rsidR="0009112E" w:rsidRPr="001A28EB" w:rsidRDefault="0009112E" w:rsidP="0056748F">
      <w:pPr>
        <w:jc w:val="center"/>
        <w:rPr>
          <w:rFonts w:ascii="Lato" w:hAnsi="Lato"/>
          <w:b/>
          <w:bCs/>
          <w:color w:val="00B0F0"/>
          <w:sz w:val="28"/>
          <w:szCs w:val="28"/>
        </w:rPr>
      </w:pPr>
      <w:bookmarkStart w:id="2" w:name="_Hlk90283710"/>
    </w:p>
    <w:p w14:paraId="242DFDC3" w14:textId="77777777" w:rsidR="0009112E" w:rsidRPr="001A28EB" w:rsidRDefault="0009112E" w:rsidP="0056748F">
      <w:pPr>
        <w:jc w:val="center"/>
        <w:rPr>
          <w:rFonts w:ascii="Lato" w:hAnsi="Lato"/>
          <w:b/>
          <w:bCs/>
          <w:color w:val="00B0F0"/>
          <w:sz w:val="28"/>
          <w:szCs w:val="28"/>
        </w:rPr>
      </w:pPr>
    </w:p>
    <w:p w14:paraId="052EAE3A" w14:textId="77777777" w:rsidR="004D093B" w:rsidRPr="001A28EB" w:rsidRDefault="004D093B">
      <w:pPr>
        <w:suppressAutoHyphens w:val="0"/>
        <w:rPr>
          <w:rFonts w:ascii="Lato" w:hAnsi="Lato"/>
          <w:b/>
          <w:bCs/>
          <w:color w:val="00B0F0"/>
          <w:sz w:val="28"/>
          <w:szCs w:val="28"/>
        </w:rPr>
      </w:pPr>
      <w:r w:rsidRPr="001A28EB">
        <w:rPr>
          <w:rFonts w:ascii="Lato" w:hAnsi="Lato"/>
          <w:b/>
          <w:bCs/>
          <w:color w:val="00B0F0"/>
          <w:sz w:val="28"/>
          <w:szCs w:val="28"/>
        </w:rPr>
        <w:br w:type="page"/>
      </w:r>
    </w:p>
    <w:p w14:paraId="703841AA" w14:textId="36DADBCA" w:rsidR="0056748F" w:rsidRPr="001A28EB" w:rsidRDefault="0056748F" w:rsidP="0056748F">
      <w:pPr>
        <w:jc w:val="center"/>
        <w:rPr>
          <w:rFonts w:ascii="Lato" w:hAnsi="Lato"/>
          <w:b/>
          <w:bCs/>
          <w:color w:val="00B0F0"/>
          <w:sz w:val="28"/>
          <w:szCs w:val="28"/>
        </w:rPr>
      </w:pPr>
      <w:r w:rsidRPr="001A28EB">
        <w:rPr>
          <w:rFonts w:ascii="Lato" w:hAnsi="Lato"/>
          <w:b/>
          <w:bCs/>
          <w:color w:val="00B0F0"/>
          <w:sz w:val="28"/>
          <w:szCs w:val="28"/>
        </w:rPr>
        <w:lastRenderedPageBreak/>
        <w:t>NOWE WSKAZANIA ORAZ ZMIANY W REFUNDACJI APTECZNEJ</w:t>
      </w:r>
    </w:p>
    <w:tbl>
      <w:tblPr>
        <w:tblW w:w="5000" w:type="pct"/>
        <w:tblCellMar>
          <w:top w:w="57" w:type="dxa"/>
          <w:left w:w="10" w:type="dxa"/>
          <w:bottom w:w="57" w:type="dxa"/>
          <w:right w:w="10" w:type="dxa"/>
        </w:tblCellMar>
        <w:tblLook w:val="0000" w:firstRow="0" w:lastRow="0" w:firstColumn="0" w:lastColumn="0" w:noHBand="0" w:noVBand="0"/>
      </w:tblPr>
      <w:tblGrid>
        <w:gridCol w:w="460"/>
        <w:gridCol w:w="1787"/>
        <w:gridCol w:w="1585"/>
        <w:gridCol w:w="4815"/>
        <w:gridCol w:w="5341"/>
      </w:tblGrid>
      <w:tr w:rsidR="00AD08C5" w:rsidRPr="001A28EB" w14:paraId="2CD1B9F9" w14:textId="77777777" w:rsidTr="004D093B">
        <w:trPr>
          <w:cantSplit/>
          <w:trHeight w:val="549"/>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0094C8"/>
            <w:tcMar>
              <w:top w:w="0" w:type="dxa"/>
              <w:left w:w="108" w:type="dxa"/>
              <w:bottom w:w="0" w:type="dxa"/>
              <w:right w:w="108" w:type="dxa"/>
            </w:tcMar>
            <w:vAlign w:val="center"/>
          </w:tcPr>
          <w:bookmarkEnd w:id="2"/>
          <w:p w14:paraId="05E7E891" w14:textId="77777777" w:rsidR="00AD08C5" w:rsidRPr="001A28EB" w:rsidRDefault="006A7DCE" w:rsidP="007B043E">
            <w:pPr>
              <w:spacing w:before="60" w:after="60" w:line="240" w:lineRule="auto"/>
              <w:jc w:val="center"/>
              <w:rPr>
                <w:rFonts w:ascii="Lato" w:hAnsi="Lato" w:cstheme="majorHAnsi"/>
                <w:b/>
                <w:bCs/>
                <w:color w:val="FFFFFF"/>
              </w:rPr>
            </w:pPr>
            <w:r w:rsidRPr="001A28EB">
              <w:rPr>
                <w:rFonts w:ascii="Lato" w:hAnsi="Lato" w:cstheme="majorHAnsi"/>
                <w:b/>
                <w:bCs/>
                <w:color w:val="FFFFFF"/>
              </w:rPr>
              <w:t>Apteka</w:t>
            </w:r>
          </w:p>
        </w:tc>
      </w:tr>
      <w:tr w:rsidR="00AD08C5" w:rsidRPr="001A28EB" w14:paraId="7C1774EA" w14:textId="77777777" w:rsidTr="004D093B">
        <w:trPr>
          <w:cantSplit/>
          <w:trHeight w:val="328"/>
        </w:trPr>
        <w:tc>
          <w:tcPr>
            <w:tcW w:w="5000" w:type="pct"/>
            <w:gridSpan w:val="5"/>
            <w:tcBorders>
              <w:left w:val="single" w:sz="6" w:space="0" w:color="000000"/>
              <w:bottom w:val="single" w:sz="6" w:space="0" w:color="000000"/>
              <w:right w:val="single" w:sz="6" w:space="0" w:color="000000"/>
            </w:tcBorders>
            <w:shd w:val="clear" w:color="auto" w:fill="00B0F0"/>
            <w:tcMar>
              <w:top w:w="0" w:type="dxa"/>
              <w:left w:w="108" w:type="dxa"/>
              <w:bottom w:w="0" w:type="dxa"/>
              <w:right w:w="108" w:type="dxa"/>
            </w:tcMar>
            <w:vAlign w:val="center"/>
          </w:tcPr>
          <w:p w14:paraId="04D86140" w14:textId="77777777" w:rsidR="00AD08C5" w:rsidRPr="001A28EB" w:rsidRDefault="006A7DCE" w:rsidP="007B043E">
            <w:pPr>
              <w:spacing w:before="60" w:after="60" w:line="240" w:lineRule="auto"/>
              <w:jc w:val="center"/>
              <w:rPr>
                <w:rFonts w:ascii="Lato" w:hAnsi="Lato" w:cstheme="majorHAnsi"/>
                <w:b/>
                <w:bCs/>
                <w:color w:val="FFFFFF"/>
              </w:rPr>
            </w:pPr>
            <w:r w:rsidRPr="001A28EB">
              <w:rPr>
                <w:rFonts w:ascii="Lato" w:hAnsi="Lato" w:cstheme="majorHAnsi"/>
                <w:b/>
                <w:bCs/>
                <w:color w:val="FFFFFF"/>
              </w:rPr>
              <w:t>Nowe wskazania refundacyjne</w:t>
            </w:r>
          </w:p>
        </w:tc>
      </w:tr>
      <w:tr w:rsidR="0056748F" w:rsidRPr="001A28EB" w14:paraId="7D53B9E1"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2AED3CB4" w14:textId="77777777" w:rsidR="00AD08C5" w:rsidRPr="001A28EB" w:rsidRDefault="006A7DCE" w:rsidP="007B043E">
            <w:pPr>
              <w:spacing w:before="60" w:after="60" w:line="240" w:lineRule="auto"/>
              <w:jc w:val="center"/>
              <w:rPr>
                <w:rFonts w:ascii="Lato" w:hAnsi="Lato" w:cstheme="majorHAnsi"/>
                <w:b/>
                <w:bCs/>
                <w:color w:val="000000"/>
                <w:sz w:val="19"/>
                <w:szCs w:val="19"/>
              </w:rPr>
            </w:pPr>
            <w:r w:rsidRPr="001A28EB">
              <w:rPr>
                <w:rFonts w:ascii="Lato" w:hAnsi="Lato" w:cstheme="majorHAnsi"/>
                <w:b/>
                <w:bCs/>
                <w:color w:val="000000"/>
                <w:sz w:val="19"/>
                <w:szCs w:val="19"/>
              </w:rPr>
              <w:t>Lp.</w:t>
            </w:r>
          </w:p>
        </w:tc>
        <w:tc>
          <w:tcPr>
            <w:tcW w:w="639"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6A3E9D6E" w14:textId="70C49D87" w:rsidR="00AD08C5" w:rsidRPr="001A28EB" w:rsidRDefault="00A118F0" w:rsidP="007B043E">
            <w:pPr>
              <w:spacing w:before="60" w:after="60" w:line="240" w:lineRule="auto"/>
              <w:jc w:val="center"/>
              <w:rPr>
                <w:rFonts w:ascii="Lato" w:hAnsi="Lato" w:cstheme="majorHAnsi"/>
                <w:b/>
                <w:bCs/>
                <w:color w:val="000000"/>
                <w:sz w:val="19"/>
                <w:szCs w:val="19"/>
              </w:rPr>
            </w:pPr>
            <w:r w:rsidRPr="001A28EB">
              <w:rPr>
                <w:rFonts w:ascii="Lato" w:hAnsi="Lato" w:cstheme="majorHAnsi"/>
                <w:b/>
                <w:bCs/>
                <w:color w:val="000000"/>
                <w:sz w:val="19"/>
                <w:szCs w:val="19"/>
              </w:rPr>
              <w:t xml:space="preserve">Nazwa leku, środka spożywczego specjalnego przeznaczenia lub wyrobu </w:t>
            </w:r>
            <w:r w:rsidRPr="001A28EB">
              <w:rPr>
                <w:rFonts w:ascii="Lato" w:hAnsi="Lato" w:cstheme="majorHAnsi"/>
                <w:b/>
                <w:bCs/>
                <w:sz w:val="19"/>
                <w:szCs w:val="19"/>
              </w:rPr>
              <w:t>medycznego</w:t>
            </w:r>
          </w:p>
        </w:tc>
        <w:tc>
          <w:tcPr>
            <w:tcW w:w="567"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7F2A6F35" w14:textId="77777777" w:rsidR="00AD08C5" w:rsidRPr="001A28EB" w:rsidRDefault="006A7DCE" w:rsidP="007B043E">
            <w:pPr>
              <w:spacing w:before="60" w:after="60" w:line="240" w:lineRule="auto"/>
              <w:jc w:val="center"/>
              <w:rPr>
                <w:rFonts w:ascii="Lato" w:hAnsi="Lato" w:cstheme="majorHAnsi"/>
                <w:b/>
                <w:bCs/>
                <w:color w:val="000000"/>
                <w:sz w:val="19"/>
                <w:szCs w:val="19"/>
              </w:rPr>
            </w:pPr>
            <w:r w:rsidRPr="001A28EB">
              <w:rPr>
                <w:rFonts w:ascii="Lato" w:hAnsi="Lato" w:cstheme="majorHAnsi"/>
                <w:b/>
                <w:bCs/>
                <w:color w:val="000000"/>
                <w:sz w:val="19"/>
                <w:szCs w:val="19"/>
              </w:rPr>
              <w:t>Substancja czynna</w:t>
            </w:r>
          </w:p>
        </w:tc>
        <w:tc>
          <w:tcPr>
            <w:tcW w:w="1721"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19F933D3" w14:textId="77777777" w:rsidR="00AD08C5" w:rsidRPr="001A28EB" w:rsidRDefault="006A7DCE" w:rsidP="007B043E">
            <w:pPr>
              <w:spacing w:before="60" w:after="60" w:line="240" w:lineRule="auto"/>
              <w:jc w:val="center"/>
              <w:rPr>
                <w:rFonts w:ascii="Lato" w:hAnsi="Lato" w:cstheme="majorHAnsi"/>
                <w:b/>
                <w:bCs/>
                <w:color w:val="000000"/>
                <w:sz w:val="19"/>
                <w:szCs w:val="19"/>
              </w:rPr>
            </w:pPr>
            <w:r w:rsidRPr="001A28EB">
              <w:rPr>
                <w:rFonts w:ascii="Lato" w:hAnsi="Lato" w:cstheme="majorHAnsi"/>
                <w:b/>
                <w:bCs/>
                <w:color w:val="000000"/>
                <w:sz w:val="19"/>
                <w:szCs w:val="19"/>
              </w:rPr>
              <w:t>Wskazanie refundacyjne</w:t>
            </w:r>
          </w:p>
        </w:tc>
        <w:tc>
          <w:tcPr>
            <w:tcW w:w="1909"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0845EAF7" w14:textId="77777777" w:rsidR="00AD08C5" w:rsidRPr="001A28EB" w:rsidRDefault="006A7DCE" w:rsidP="007B043E">
            <w:pPr>
              <w:spacing w:before="60" w:after="60" w:line="240" w:lineRule="auto"/>
              <w:jc w:val="center"/>
              <w:rPr>
                <w:rFonts w:ascii="Lato" w:hAnsi="Lato" w:cstheme="majorHAnsi"/>
                <w:b/>
                <w:bCs/>
                <w:color w:val="000000"/>
                <w:sz w:val="19"/>
                <w:szCs w:val="19"/>
              </w:rPr>
            </w:pPr>
            <w:r w:rsidRPr="001A28EB">
              <w:rPr>
                <w:rFonts w:ascii="Lato" w:hAnsi="Lato" w:cstheme="majorHAnsi"/>
                <w:b/>
                <w:bCs/>
                <w:color w:val="000000"/>
                <w:sz w:val="19"/>
                <w:szCs w:val="19"/>
              </w:rPr>
              <w:t>Doprecyzowanie wskazania</w:t>
            </w:r>
          </w:p>
        </w:tc>
      </w:tr>
      <w:tr w:rsidR="007B72B2" w:rsidRPr="001A28EB" w14:paraId="0C276518"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BAF0A7" w14:textId="63575624"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1.</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AF24A9" w14:textId="2A25ED19" w:rsidR="007B72B2" w:rsidRPr="001A28EB" w:rsidRDefault="007B72B2" w:rsidP="007B72B2">
            <w:pPr>
              <w:spacing w:before="60" w:after="60" w:line="240" w:lineRule="auto"/>
              <w:jc w:val="center"/>
              <w:rPr>
                <w:rFonts w:ascii="Lato" w:hAnsi="Lato" w:cstheme="majorHAnsi"/>
                <w:b/>
                <w:bCs/>
                <w:color w:val="000000"/>
                <w:sz w:val="18"/>
                <w:szCs w:val="18"/>
                <w:highlight w:val="yellow"/>
              </w:rPr>
            </w:pPr>
            <w:r w:rsidRPr="001A28EB">
              <w:rPr>
                <w:rFonts w:ascii="Lato" w:hAnsi="Lato" w:cstheme="majorHAnsi"/>
                <w:b/>
                <w:bCs/>
                <w:color w:val="000000"/>
                <w:sz w:val="18"/>
                <w:szCs w:val="18"/>
              </w:rPr>
              <w:t>Forxiga</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1E5A1D" w14:textId="0C05A556" w:rsidR="007B72B2" w:rsidRPr="001A28EB" w:rsidRDefault="007B72B2" w:rsidP="007B72B2">
            <w:pPr>
              <w:spacing w:before="60" w:after="60" w:line="240" w:lineRule="auto"/>
              <w:jc w:val="center"/>
              <w:rPr>
                <w:rFonts w:ascii="Lato" w:hAnsi="Lato" w:cstheme="majorHAnsi"/>
                <w:i/>
                <w:iCs/>
                <w:color w:val="000000"/>
                <w:sz w:val="18"/>
                <w:szCs w:val="18"/>
                <w:highlight w:val="yellow"/>
              </w:rPr>
            </w:pPr>
            <w:r w:rsidRPr="001A28EB">
              <w:rPr>
                <w:rFonts w:ascii="Lato" w:hAnsi="Lato" w:cstheme="majorHAnsi"/>
                <w:i/>
                <w:iCs/>
                <w:color w:val="000000"/>
                <w:sz w:val="18"/>
                <w:szCs w:val="18"/>
              </w:rPr>
              <w:t>dapagliflozyna</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73C189" w14:textId="4FA49222"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Cukrzyca typu 2 u pacjentów leczonych </w:t>
            </w:r>
            <w:r w:rsidRPr="001A28EB">
              <w:rPr>
                <w:rFonts w:ascii="Lato" w:hAnsi="Lato" w:cstheme="majorHAnsi"/>
                <w:b/>
                <w:bCs/>
                <w:color w:val="000000"/>
                <w:sz w:val="18"/>
                <w:szCs w:val="18"/>
              </w:rPr>
              <w:t>co najmniej dwoma lekami hipoglikemizującymi, z HbA1c ≥ 7,5%</w:t>
            </w:r>
            <w:r w:rsidRPr="001A28EB">
              <w:rPr>
                <w:rFonts w:ascii="Lato" w:hAnsi="Lato" w:cstheme="majorHAnsi"/>
                <w:color w:val="000000"/>
                <w:sz w:val="18"/>
                <w:szCs w:val="18"/>
              </w:rPr>
              <w:t xml:space="preserve"> oraz bardzo wysokim ryzykiem sercowo-naczyniowym rozumianym jako: 1)potwierdzona choroba sercowo-naczyniowa, lub 2)uszkodzenie innych narządów objawiające się poprzez: białkomocz lub przerost lewej komory lub retinopatię, lub 3)obecność 3 lub więcej głównych czynników ryzyka spośród wymienionych poniżej: -wiek ≥ 55 lat dla mężczyzn, ≥60 lat dla kobiet, -dyslipidemia, -nadciśnienie tętnicze, -palenie tytoniu, -otyłość.</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D464AF" w14:textId="7786FD89" w:rsidR="007B72B2" w:rsidRPr="001A28EB" w:rsidRDefault="007B72B2" w:rsidP="007B72B2">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Powrót na wykaz leków refundowanych po dwumiesięcznej nieobecności. Wskazanie diabetologiczne pozostaje bez zmian w stosunku do wskazania obowiązującego do 31 października br.</w:t>
            </w:r>
          </w:p>
        </w:tc>
      </w:tr>
      <w:tr w:rsidR="007B72B2" w:rsidRPr="001A28EB" w14:paraId="46BBA744"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545F2C" w14:textId="25963FD2"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2.</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D40861" w14:textId="10B97326" w:rsidR="007B72B2" w:rsidRPr="001A28EB" w:rsidRDefault="007B72B2" w:rsidP="007B72B2">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Forxiga</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525292" w14:textId="173D9CA6" w:rsidR="007B72B2" w:rsidRPr="001A28EB" w:rsidRDefault="007B72B2" w:rsidP="007B72B2">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dapagliflozyna</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DE0E6F"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Przewlekła niewydolność serca u dorosłych pacjentów z </w:t>
            </w:r>
            <w:r w:rsidRPr="00596E33">
              <w:rPr>
                <w:rFonts w:ascii="Lato" w:hAnsi="Lato" w:cstheme="majorHAnsi"/>
                <w:b/>
                <w:bCs/>
                <w:i/>
                <w:iCs/>
                <w:color w:val="000000"/>
                <w:sz w:val="18"/>
                <w:szCs w:val="18"/>
              </w:rPr>
              <w:t>LVEF≤50%</w:t>
            </w:r>
            <w:r w:rsidRPr="00596E33">
              <w:rPr>
                <w:rFonts w:ascii="Lato" w:hAnsi="Lato" w:cstheme="majorHAnsi"/>
                <w:i/>
                <w:iCs/>
                <w:color w:val="000000"/>
                <w:sz w:val="18"/>
                <w:szCs w:val="18"/>
              </w:rPr>
              <w:t xml:space="preserve"> oraz utrzymującymi się objawami choroby w klasie II-IV NYHA:</w:t>
            </w:r>
          </w:p>
          <w:p w14:paraId="04DCA726"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            pomimo zastosowania terapii opartej na ACEi (lub ARB/ARNi) i lekach z grupy betaadrenolityków oraz jeśli wskazane antagonistach receptora mineralokortykoidów (z frakcją wyrzutową z LVEF ≤40%) </w:t>
            </w:r>
          </w:p>
          <w:p w14:paraId="200502CC"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lub </w:t>
            </w:r>
          </w:p>
          <w:p w14:paraId="32368302" w14:textId="7B49031A" w:rsidR="007B72B2" w:rsidRPr="001A28EB"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pomimo zastosowania terapii opartej na ACEi (lub ARB/ARNi) i lekach z grupy betaadrenolityków oraz jeśli wskazane diuretykach (z frakcją wyrzutową z LVEF 41-50%).</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4CA0A4" w14:textId="32EF0E58" w:rsidR="007B72B2" w:rsidRPr="001A28EB" w:rsidRDefault="007B72B2" w:rsidP="007B72B2">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 xml:space="preserve">Powrót do refundacji po dwumiesięcznej nieobecności z jednoczesnym rozszerzeniem wskazania do stosowania dapagliflozyny u chorych z niewydolnością serca, poprzez zmianę wymaganej do rozpoczęcia leczenia frakcji wyrzutowej lewej komory serca z poziomu ≤40% na ≤50%. </w:t>
            </w:r>
          </w:p>
        </w:tc>
      </w:tr>
      <w:tr w:rsidR="007B72B2" w:rsidRPr="001A28EB" w14:paraId="3A9F8BCC"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808B75" w14:textId="101B15BD"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lastRenderedPageBreak/>
              <w:t>3.</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72E7EF" w14:textId="18061EB0" w:rsidR="007B72B2" w:rsidRPr="001A28EB" w:rsidRDefault="007B72B2" w:rsidP="007B72B2">
            <w:pPr>
              <w:spacing w:before="60" w:after="60" w:line="240" w:lineRule="auto"/>
              <w:jc w:val="center"/>
              <w:rPr>
                <w:rFonts w:ascii="Lato" w:hAnsi="Lato" w:cstheme="majorHAnsi"/>
                <w:b/>
                <w:bCs/>
                <w:color w:val="000000"/>
                <w:sz w:val="18"/>
                <w:szCs w:val="18"/>
                <w:highlight w:val="yellow"/>
              </w:rPr>
            </w:pPr>
            <w:r w:rsidRPr="001A28EB">
              <w:rPr>
                <w:rFonts w:ascii="Lato" w:hAnsi="Lato" w:cstheme="majorHAnsi"/>
                <w:b/>
                <w:bCs/>
                <w:color w:val="000000"/>
                <w:sz w:val="18"/>
                <w:szCs w:val="18"/>
              </w:rPr>
              <w:t>Forxiga</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38B342" w14:textId="3DD3FBD0" w:rsidR="007B72B2" w:rsidRPr="001A28EB" w:rsidRDefault="007B72B2" w:rsidP="007B72B2">
            <w:pPr>
              <w:spacing w:before="60" w:after="60" w:line="240" w:lineRule="auto"/>
              <w:jc w:val="center"/>
              <w:rPr>
                <w:rFonts w:ascii="Lato" w:hAnsi="Lato" w:cstheme="majorHAnsi"/>
                <w:i/>
                <w:iCs/>
                <w:color w:val="000000"/>
                <w:sz w:val="18"/>
                <w:szCs w:val="18"/>
                <w:highlight w:val="yellow"/>
              </w:rPr>
            </w:pPr>
            <w:r w:rsidRPr="001A28EB">
              <w:rPr>
                <w:rFonts w:ascii="Lato" w:hAnsi="Lato" w:cstheme="majorHAnsi"/>
                <w:i/>
                <w:iCs/>
                <w:color w:val="000000"/>
                <w:sz w:val="18"/>
                <w:szCs w:val="18"/>
              </w:rPr>
              <w:t>dapagliflozyna</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41D97F" w14:textId="2254C60D"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Przewlekła choroba nerek u dorosłych pacjentów z eGFR &lt;60 ml/min/1.73m2, </w:t>
            </w:r>
            <w:r w:rsidRPr="001A28EB">
              <w:rPr>
                <w:rFonts w:ascii="Lato" w:hAnsi="Lato" w:cstheme="majorHAnsi"/>
                <w:b/>
                <w:bCs/>
                <w:color w:val="000000"/>
                <w:sz w:val="18"/>
                <w:szCs w:val="18"/>
              </w:rPr>
              <w:t xml:space="preserve">albuminurią </w:t>
            </w:r>
            <w:r w:rsidR="00F87D05">
              <w:rPr>
                <w:rFonts w:ascii="Lato" w:hAnsi="Lato" w:cstheme="majorHAnsi"/>
                <w:b/>
                <w:bCs/>
                <w:color w:val="000000"/>
                <w:sz w:val="18"/>
                <w:szCs w:val="18"/>
              </w:rPr>
              <w:t>lub</w:t>
            </w:r>
            <w:r w:rsidRPr="001A28EB">
              <w:rPr>
                <w:rFonts w:ascii="Lato" w:hAnsi="Lato" w:cstheme="majorHAnsi"/>
                <w:b/>
                <w:bCs/>
                <w:color w:val="000000"/>
                <w:sz w:val="18"/>
                <w:szCs w:val="18"/>
              </w:rPr>
              <w:t xml:space="preserve"> białkomoczem</w:t>
            </w:r>
            <w:r w:rsidRPr="001A28EB">
              <w:rPr>
                <w:rFonts w:ascii="Lato" w:hAnsi="Lato" w:cstheme="majorHAnsi"/>
                <w:color w:val="000000"/>
                <w:sz w:val="18"/>
                <w:szCs w:val="18"/>
              </w:rPr>
              <w:t xml:space="preserve"> oraz leczonych terapią opartą na ACE-i/ARB nie krócej niż 4 tygodnie lub z przeciwskazaniami do tych terapii.</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41B3E7" w14:textId="3FC32387" w:rsidR="007B72B2" w:rsidRPr="001A28EB" w:rsidRDefault="007B72B2" w:rsidP="007B72B2">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 xml:space="preserve">Powrót na wykaz leków refundowanych po dwumiesięcznej nieobecności z jednoczesny rozszerzeniem wskazania do stosowania dapagliflozyny u chorych z przewlekłą chorobą nerek, poprzez zmianę z uprzednio obowiązującego kryterium „albuminuria ≥200 mg/g” na „albuminuria </w:t>
            </w:r>
            <w:r w:rsidR="00F87D05">
              <w:rPr>
                <w:rFonts w:ascii="Lato" w:hAnsi="Lato" w:cstheme="majorHAnsi"/>
                <w:sz w:val="18"/>
                <w:szCs w:val="18"/>
              </w:rPr>
              <w:t>lub</w:t>
            </w:r>
            <w:r w:rsidRPr="001A28EB">
              <w:rPr>
                <w:rFonts w:ascii="Lato" w:hAnsi="Lato" w:cstheme="majorHAnsi"/>
                <w:sz w:val="18"/>
                <w:szCs w:val="18"/>
              </w:rPr>
              <w:t xml:space="preserve"> białkomocz”. </w:t>
            </w:r>
          </w:p>
        </w:tc>
      </w:tr>
      <w:tr w:rsidR="00544696" w:rsidRPr="001A28EB" w14:paraId="7038156D"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586760" w14:textId="702CE985" w:rsidR="00544696" w:rsidRPr="001A28EB" w:rsidRDefault="00544696" w:rsidP="00544696">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4.</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82B01C" w14:textId="3EF3F661" w:rsidR="00544696" w:rsidRPr="001A28EB" w:rsidRDefault="00544696" w:rsidP="00544696">
            <w:pPr>
              <w:spacing w:before="60" w:after="60" w:line="240" w:lineRule="auto"/>
              <w:jc w:val="center"/>
              <w:rPr>
                <w:rFonts w:ascii="Lato" w:hAnsi="Lato" w:cstheme="majorHAnsi"/>
                <w:b/>
                <w:bCs/>
                <w:color w:val="000000"/>
                <w:sz w:val="18"/>
                <w:szCs w:val="18"/>
              </w:rPr>
            </w:pPr>
            <w:r>
              <w:rPr>
                <w:rFonts w:ascii="Lato" w:hAnsi="Lato" w:cstheme="majorHAnsi"/>
                <w:b/>
                <w:bCs/>
                <w:color w:val="000000"/>
                <w:sz w:val="18"/>
                <w:szCs w:val="18"/>
              </w:rPr>
              <w:t>Kerendia</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AADAAB" w14:textId="10E435B9" w:rsidR="00544696" w:rsidRPr="001A28EB" w:rsidRDefault="00544696" w:rsidP="00544696">
            <w:pPr>
              <w:spacing w:before="60" w:after="60" w:line="240" w:lineRule="auto"/>
              <w:jc w:val="center"/>
              <w:rPr>
                <w:rFonts w:ascii="Lato" w:hAnsi="Lato" w:cstheme="majorHAnsi"/>
                <w:i/>
                <w:iCs/>
                <w:color w:val="000000"/>
                <w:sz w:val="18"/>
                <w:szCs w:val="18"/>
              </w:rPr>
            </w:pPr>
            <w:r>
              <w:rPr>
                <w:rFonts w:ascii="Lato" w:hAnsi="Lato" w:cstheme="majorHAnsi"/>
                <w:i/>
                <w:iCs/>
                <w:color w:val="000000"/>
                <w:sz w:val="18"/>
                <w:szCs w:val="18"/>
              </w:rPr>
              <w:t>finerenon</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93AA51" w14:textId="23A8E6CA" w:rsidR="00544696" w:rsidRPr="001A28EB" w:rsidRDefault="00544696" w:rsidP="00544696">
            <w:pPr>
              <w:spacing w:before="60" w:after="60" w:line="240" w:lineRule="auto"/>
              <w:jc w:val="center"/>
              <w:rPr>
                <w:rFonts w:ascii="Lato" w:hAnsi="Lato" w:cstheme="majorHAnsi"/>
                <w:color w:val="000000"/>
                <w:sz w:val="18"/>
                <w:szCs w:val="18"/>
              </w:rPr>
            </w:pPr>
            <w:r w:rsidRPr="00544696">
              <w:rPr>
                <w:rFonts w:ascii="Lato" w:hAnsi="Lato" w:cstheme="majorHAnsi"/>
                <w:color w:val="000000"/>
                <w:sz w:val="18"/>
                <w:szCs w:val="18"/>
              </w:rPr>
              <w:t>Przewlekła choroba nerek (stadium 3 i 4, z albuminurią) w przebiegu cukrzycy typu 2, u dorosłych pacjentów leczonych insuliną</w:t>
            </w:r>
            <w:r>
              <w:rPr>
                <w:rFonts w:ascii="Lato" w:hAnsi="Lato" w:cstheme="majorHAnsi"/>
                <w:color w:val="000000"/>
                <w:sz w:val="18"/>
                <w:szCs w:val="18"/>
              </w:rPr>
              <w:t>.</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F990E3" w14:textId="3594D93B" w:rsidR="00544696" w:rsidRPr="001A28EB" w:rsidRDefault="00544696" w:rsidP="00544696">
            <w:pPr>
              <w:suppressAutoHyphens w:val="0"/>
              <w:spacing w:before="60" w:after="60" w:line="240" w:lineRule="auto"/>
              <w:jc w:val="center"/>
              <w:textAlignment w:val="auto"/>
              <w:rPr>
                <w:rFonts w:ascii="Lato" w:hAnsi="Lato" w:cstheme="majorHAnsi"/>
                <w:sz w:val="18"/>
                <w:szCs w:val="18"/>
              </w:rPr>
            </w:pPr>
            <w:r>
              <w:rPr>
                <w:rFonts w:ascii="Lato" w:hAnsi="Lato" w:cstheme="majorHAnsi"/>
                <w:sz w:val="18"/>
                <w:szCs w:val="18"/>
              </w:rPr>
              <w:t xml:space="preserve">Pierwszy lek z finerenonem </w:t>
            </w:r>
            <w:r w:rsidRPr="001A28EB">
              <w:rPr>
                <w:rFonts w:ascii="Lato" w:hAnsi="Lato" w:cstheme="majorHAnsi"/>
                <w:sz w:val="18"/>
                <w:szCs w:val="18"/>
              </w:rPr>
              <w:t>w ramach aptecznej kategorii dostępności.</w:t>
            </w:r>
            <w:r>
              <w:rPr>
                <w:rFonts w:ascii="Lato" w:hAnsi="Lato" w:cstheme="majorHAnsi"/>
                <w:sz w:val="18"/>
                <w:szCs w:val="18"/>
              </w:rPr>
              <w:t xml:space="preserve"> </w:t>
            </w:r>
            <w:r w:rsidRPr="00544696">
              <w:rPr>
                <w:rFonts w:ascii="Lato" w:hAnsi="Lato" w:cstheme="majorHAnsi"/>
                <w:sz w:val="18"/>
                <w:szCs w:val="18"/>
              </w:rPr>
              <w:t>Finerenon jest niesteroidowym, selektywnym antagonistą receptora mineralokortykoidowego</w:t>
            </w:r>
            <w:r>
              <w:rPr>
                <w:rFonts w:ascii="Lato" w:hAnsi="Lato" w:cstheme="majorHAnsi"/>
                <w:sz w:val="18"/>
                <w:szCs w:val="18"/>
              </w:rPr>
              <w:t xml:space="preserve"> stosowanym w leczeniu przewlekłej choroby nerek.</w:t>
            </w:r>
          </w:p>
        </w:tc>
      </w:tr>
      <w:tr w:rsidR="00544696" w:rsidRPr="001A28EB" w14:paraId="56C43699"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F550DD" w14:textId="06079552" w:rsidR="00544696" w:rsidRPr="001A28EB" w:rsidRDefault="00544696" w:rsidP="00544696">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5.</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2C0A4C" w14:textId="1A13F129" w:rsidR="00544696" w:rsidRPr="001A28EB" w:rsidRDefault="00544696" w:rsidP="00544696">
            <w:pPr>
              <w:spacing w:before="60" w:after="60" w:line="240" w:lineRule="auto"/>
              <w:jc w:val="center"/>
              <w:rPr>
                <w:rFonts w:ascii="Lato" w:hAnsi="Lato" w:cstheme="majorHAnsi"/>
                <w:b/>
                <w:bCs/>
                <w:color w:val="000000"/>
                <w:sz w:val="18"/>
                <w:szCs w:val="18"/>
                <w:highlight w:val="yellow"/>
              </w:rPr>
            </w:pPr>
            <w:r w:rsidRPr="001A28EB">
              <w:rPr>
                <w:rFonts w:ascii="Lato" w:hAnsi="Lato" w:cstheme="majorHAnsi"/>
                <w:b/>
                <w:bCs/>
                <w:color w:val="000000"/>
                <w:sz w:val="18"/>
                <w:szCs w:val="18"/>
              </w:rPr>
              <w:t>Orgovyx</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93E18C" w14:textId="0A17800C" w:rsidR="00544696" w:rsidRPr="001A28EB" w:rsidRDefault="00544696" w:rsidP="00544696">
            <w:pPr>
              <w:spacing w:before="60" w:after="60" w:line="240" w:lineRule="auto"/>
              <w:jc w:val="center"/>
              <w:rPr>
                <w:rFonts w:ascii="Lato" w:hAnsi="Lato" w:cstheme="majorHAnsi"/>
                <w:i/>
                <w:iCs/>
                <w:color w:val="000000"/>
                <w:sz w:val="18"/>
                <w:szCs w:val="18"/>
                <w:highlight w:val="yellow"/>
              </w:rPr>
            </w:pPr>
            <w:r w:rsidRPr="001A28EB">
              <w:rPr>
                <w:rFonts w:ascii="Lato" w:hAnsi="Lato" w:cstheme="majorHAnsi"/>
                <w:i/>
                <w:iCs/>
                <w:color w:val="000000"/>
                <w:sz w:val="18"/>
                <w:szCs w:val="18"/>
              </w:rPr>
              <w:t>relugoliks</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408CD3" w14:textId="42981125" w:rsidR="00544696" w:rsidRPr="001A28EB" w:rsidRDefault="00544696" w:rsidP="00544696">
            <w:pPr>
              <w:spacing w:before="60" w:after="60" w:line="240" w:lineRule="auto"/>
              <w:jc w:val="center"/>
              <w:rPr>
                <w:rFonts w:ascii="Lato" w:hAnsi="Lato" w:cstheme="majorHAnsi"/>
                <w:color w:val="000000"/>
                <w:sz w:val="18"/>
                <w:szCs w:val="18"/>
              </w:rPr>
            </w:pPr>
            <w:r w:rsidRPr="001A28EB">
              <w:rPr>
                <w:rFonts w:ascii="Lato" w:hAnsi="Lato" w:cstheme="majorHAnsi"/>
                <w:sz w:val="18"/>
                <w:szCs w:val="18"/>
              </w:rPr>
              <w:t>Nowotwory złośliwe - zaawansowana postać hormonozależnego raka gruczołu krokowego u pacjentów dorosłych.</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677A1C" w14:textId="5F434AA6" w:rsidR="00544696" w:rsidRPr="001A28EB" w:rsidRDefault="00544696" w:rsidP="00544696">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 xml:space="preserve">Nowa substancja czynna refundowana w leczeniu raka gruczołu krokowego w ramach aptecznej kategorii dostępności. Relugoliks jest niepeptydowym antagonistą receptora GnRH. </w:t>
            </w:r>
          </w:p>
        </w:tc>
      </w:tr>
      <w:tr w:rsidR="00544696" w:rsidRPr="001A28EB" w14:paraId="40292090"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6CE864" w14:textId="29885E8C" w:rsidR="00544696" w:rsidRPr="001A28EB" w:rsidRDefault="00544696" w:rsidP="00544696">
            <w:pPr>
              <w:spacing w:before="60" w:after="60" w:line="240" w:lineRule="auto"/>
              <w:jc w:val="center"/>
              <w:rPr>
                <w:rFonts w:ascii="Lato" w:hAnsi="Lato" w:cstheme="majorHAnsi"/>
                <w:color w:val="000000"/>
                <w:sz w:val="18"/>
                <w:szCs w:val="18"/>
              </w:rPr>
            </w:pPr>
            <w:r>
              <w:rPr>
                <w:rFonts w:ascii="Lato" w:hAnsi="Lato" w:cstheme="majorHAnsi"/>
                <w:color w:val="000000"/>
                <w:sz w:val="18"/>
                <w:szCs w:val="18"/>
              </w:rPr>
              <w:t>6.</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1C3672" w14:textId="2A674781" w:rsidR="00544696" w:rsidRPr="001A28EB" w:rsidRDefault="00544696" w:rsidP="00544696">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Shingrix</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617F78" w14:textId="572EEDF0" w:rsidR="00544696" w:rsidRPr="001A28EB" w:rsidRDefault="00544696" w:rsidP="00544696">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szczepionka przeciw półpaścowi (rekombinowana, z adiuwantem)</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63E016" w14:textId="282D8E5F" w:rsidR="00544696" w:rsidRPr="001A28EB" w:rsidRDefault="00544696" w:rsidP="00544696">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Profilaktyka półpaśca i neuralgii półpaścowej u pacjentów w wieku 65 lat i starszych o zwiększonym ryzyku zachorowania na półpasiec tj. z: przewlekłą chorobą serca, przewlekłą chorobą płuc, cukrzycą, przewlekłą niewydolnością nerek, wrodzonym lub nabytym niedoborem odporności, uogólnioną chorobą nowotworową, zakażeniem wirusem HIV, chorobą Hodgkina, jatrogenną immunosupresją, białaczką, szpiczakiem mnogim, przeszczepem narządu litego, reumatoidalnym zapaleniem stawów, łuszczycą, łuszczycowym zapaleniem stawów, nieswoistym zapaleniem jelit, zesztywniającym zapaleniem stawów kręgosłupa, stwardnieniem rozsianym, toczniem układowym.</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985608" w14:textId="140181B9" w:rsidR="00544696" w:rsidRPr="001A28EB" w:rsidRDefault="00544696" w:rsidP="00544696">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color w:val="000000"/>
                <w:sz w:val="18"/>
                <w:szCs w:val="18"/>
              </w:rPr>
              <w:t xml:space="preserve">Pierwsza szczepionka przeciw półpaścowi w refundacji do stosowania u pacjentów powyżej 65 roku życia, u których występuje wyższe ryzyko zachorowania oraz powikłań. </w:t>
            </w:r>
          </w:p>
        </w:tc>
      </w:tr>
    </w:tbl>
    <w:p w14:paraId="6B996492" w14:textId="0986F7C0" w:rsidR="009D10B8" w:rsidRPr="001A28EB" w:rsidRDefault="009D10B8" w:rsidP="0068046C">
      <w:pPr>
        <w:suppressAutoHyphens w:val="0"/>
        <w:rPr>
          <w:rFonts w:ascii="Lato" w:hAnsi="Lato"/>
          <w:b/>
          <w:bCs/>
          <w:color w:val="00B0F0"/>
        </w:rPr>
      </w:pPr>
    </w:p>
    <w:p w14:paraId="6DCB6C8F" w14:textId="77777777" w:rsidR="005B41EF" w:rsidRPr="001A28EB" w:rsidRDefault="005B41EF" w:rsidP="0068046C">
      <w:pPr>
        <w:suppressAutoHyphens w:val="0"/>
        <w:rPr>
          <w:rFonts w:ascii="Lato" w:hAnsi="Lato"/>
          <w:b/>
          <w:bCs/>
          <w:color w:val="00B0F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 w:type="dxa"/>
          <w:bottom w:w="57" w:type="dxa"/>
          <w:right w:w="10" w:type="dxa"/>
        </w:tblCellMar>
        <w:tblLook w:val="04A0" w:firstRow="1" w:lastRow="0" w:firstColumn="1" w:lastColumn="0" w:noHBand="0" w:noVBand="1"/>
      </w:tblPr>
      <w:tblGrid>
        <w:gridCol w:w="691"/>
        <w:gridCol w:w="2421"/>
        <w:gridCol w:w="5673"/>
        <w:gridCol w:w="5209"/>
      </w:tblGrid>
      <w:tr w:rsidR="005B41EF" w:rsidRPr="001A28EB" w14:paraId="789CC5EF" w14:textId="77777777" w:rsidTr="00F2760C">
        <w:trPr>
          <w:trHeight w:val="328"/>
        </w:trPr>
        <w:tc>
          <w:tcPr>
            <w:tcW w:w="5000" w:type="pct"/>
            <w:gridSpan w:val="4"/>
            <w:shd w:val="clear" w:color="auto" w:fill="00B0F0"/>
            <w:tcMar>
              <w:top w:w="0" w:type="dxa"/>
              <w:left w:w="108" w:type="dxa"/>
              <w:bottom w:w="0" w:type="dxa"/>
              <w:right w:w="108" w:type="dxa"/>
            </w:tcMar>
            <w:vAlign w:val="center"/>
            <w:hideMark/>
          </w:tcPr>
          <w:p w14:paraId="1A52E15F" w14:textId="77777777" w:rsidR="005B41EF" w:rsidRPr="001A28EB" w:rsidRDefault="005B41EF" w:rsidP="00F2760C">
            <w:pPr>
              <w:spacing w:before="60" w:after="60" w:line="240" w:lineRule="auto"/>
              <w:jc w:val="center"/>
              <w:rPr>
                <w:rFonts w:ascii="Lato" w:hAnsi="Lato" w:cstheme="majorHAnsi"/>
                <w:b/>
                <w:bCs/>
                <w:color w:val="FFFFFF"/>
              </w:rPr>
            </w:pPr>
            <w:bookmarkStart w:id="3" w:name="_Hlk148004033"/>
            <w:r w:rsidRPr="001A28EB">
              <w:rPr>
                <w:rFonts w:ascii="Lato" w:hAnsi="Lato" w:cstheme="majorHAnsi"/>
                <w:b/>
                <w:bCs/>
                <w:color w:val="FFFFFF"/>
              </w:rPr>
              <w:t>Zmiany na liście 65+</w:t>
            </w:r>
          </w:p>
        </w:tc>
      </w:tr>
      <w:tr w:rsidR="005B41EF" w:rsidRPr="001A28EB" w14:paraId="16B93F47" w14:textId="77777777" w:rsidTr="00F2760C">
        <w:tc>
          <w:tcPr>
            <w:tcW w:w="247" w:type="pct"/>
            <w:shd w:val="clear" w:color="auto" w:fill="A7E8FF"/>
            <w:tcMar>
              <w:top w:w="0" w:type="dxa"/>
              <w:left w:w="108" w:type="dxa"/>
              <w:bottom w:w="0" w:type="dxa"/>
              <w:right w:w="108" w:type="dxa"/>
            </w:tcMar>
            <w:vAlign w:val="center"/>
            <w:hideMark/>
          </w:tcPr>
          <w:p w14:paraId="31626C85" w14:textId="77777777" w:rsidR="005B41EF" w:rsidRPr="001A28EB" w:rsidRDefault="005B41EF" w:rsidP="00F2760C">
            <w:pPr>
              <w:spacing w:before="60" w:after="60" w:line="240" w:lineRule="auto"/>
              <w:jc w:val="center"/>
              <w:rPr>
                <w:rFonts w:ascii="Lato" w:hAnsi="Lato" w:cstheme="majorHAnsi"/>
                <w:b/>
                <w:bCs/>
                <w:color w:val="000000"/>
                <w:sz w:val="20"/>
                <w:szCs w:val="20"/>
              </w:rPr>
            </w:pPr>
            <w:r w:rsidRPr="001A28EB">
              <w:rPr>
                <w:rFonts w:ascii="Lato" w:hAnsi="Lato" w:cstheme="majorHAnsi"/>
                <w:b/>
                <w:bCs/>
                <w:color w:val="000000"/>
                <w:sz w:val="20"/>
                <w:szCs w:val="20"/>
              </w:rPr>
              <w:t>Lp.</w:t>
            </w:r>
          </w:p>
        </w:tc>
        <w:tc>
          <w:tcPr>
            <w:tcW w:w="865" w:type="pct"/>
            <w:shd w:val="clear" w:color="auto" w:fill="A7E8FF"/>
            <w:tcMar>
              <w:top w:w="0" w:type="dxa"/>
              <w:left w:w="108" w:type="dxa"/>
              <w:bottom w:w="0" w:type="dxa"/>
              <w:right w:w="108" w:type="dxa"/>
            </w:tcMar>
            <w:vAlign w:val="center"/>
            <w:hideMark/>
          </w:tcPr>
          <w:p w14:paraId="27E9E630" w14:textId="77777777" w:rsidR="005B41EF" w:rsidRPr="001A28EB" w:rsidRDefault="005B41EF" w:rsidP="00F2760C">
            <w:pPr>
              <w:spacing w:before="60" w:after="60" w:line="240" w:lineRule="auto"/>
              <w:jc w:val="center"/>
              <w:rPr>
                <w:rFonts w:ascii="Lato" w:hAnsi="Lato" w:cstheme="majorHAnsi"/>
                <w:b/>
                <w:bCs/>
                <w:color w:val="000000"/>
                <w:sz w:val="20"/>
                <w:szCs w:val="20"/>
              </w:rPr>
            </w:pPr>
            <w:r w:rsidRPr="001A28EB">
              <w:rPr>
                <w:rFonts w:ascii="Lato" w:hAnsi="Lato" w:cstheme="majorHAnsi"/>
                <w:b/>
                <w:bCs/>
                <w:color w:val="000000"/>
                <w:sz w:val="20"/>
                <w:szCs w:val="20"/>
              </w:rPr>
              <w:t>Substancja czynna</w:t>
            </w:r>
          </w:p>
        </w:tc>
        <w:tc>
          <w:tcPr>
            <w:tcW w:w="2027" w:type="pct"/>
            <w:shd w:val="clear" w:color="auto" w:fill="A7E8FF"/>
            <w:tcMar>
              <w:top w:w="0" w:type="dxa"/>
              <w:left w:w="108" w:type="dxa"/>
              <w:bottom w:w="0" w:type="dxa"/>
              <w:right w:w="108" w:type="dxa"/>
            </w:tcMar>
            <w:vAlign w:val="center"/>
            <w:hideMark/>
          </w:tcPr>
          <w:p w14:paraId="533077EF" w14:textId="77777777" w:rsidR="005B41EF" w:rsidRPr="001A28EB" w:rsidRDefault="005B41EF" w:rsidP="00F2760C">
            <w:pPr>
              <w:spacing w:before="60" w:after="60" w:line="240" w:lineRule="auto"/>
              <w:jc w:val="center"/>
              <w:rPr>
                <w:rFonts w:ascii="Lato" w:hAnsi="Lato" w:cstheme="majorHAnsi"/>
                <w:b/>
                <w:bCs/>
                <w:color w:val="000000"/>
                <w:sz w:val="20"/>
                <w:szCs w:val="20"/>
              </w:rPr>
            </w:pPr>
            <w:r w:rsidRPr="001A28EB">
              <w:rPr>
                <w:rFonts w:ascii="Lato" w:hAnsi="Lato" w:cstheme="majorHAnsi"/>
                <w:b/>
                <w:bCs/>
                <w:color w:val="000000"/>
                <w:sz w:val="20"/>
                <w:szCs w:val="20"/>
              </w:rPr>
              <w:t>Wskazanie refundacyjne</w:t>
            </w:r>
          </w:p>
        </w:tc>
        <w:tc>
          <w:tcPr>
            <w:tcW w:w="1861" w:type="pct"/>
            <w:shd w:val="clear" w:color="auto" w:fill="A7E8FF"/>
            <w:tcMar>
              <w:top w:w="0" w:type="dxa"/>
              <w:left w:w="108" w:type="dxa"/>
              <w:bottom w:w="0" w:type="dxa"/>
              <w:right w:w="108" w:type="dxa"/>
            </w:tcMar>
            <w:vAlign w:val="center"/>
            <w:hideMark/>
          </w:tcPr>
          <w:p w14:paraId="0575E405" w14:textId="77777777" w:rsidR="005B41EF" w:rsidRPr="001A28EB" w:rsidRDefault="005B41EF" w:rsidP="00F2760C">
            <w:pPr>
              <w:spacing w:before="60" w:after="60" w:line="240" w:lineRule="auto"/>
              <w:jc w:val="center"/>
              <w:rPr>
                <w:rFonts w:ascii="Lato" w:hAnsi="Lato" w:cstheme="majorHAnsi"/>
                <w:b/>
                <w:bCs/>
                <w:color w:val="000000"/>
                <w:sz w:val="20"/>
                <w:szCs w:val="20"/>
              </w:rPr>
            </w:pPr>
            <w:r w:rsidRPr="001A28EB">
              <w:rPr>
                <w:rFonts w:ascii="Lato" w:hAnsi="Lato" w:cstheme="majorHAnsi"/>
                <w:b/>
                <w:bCs/>
                <w:color w:val="000000"/>
                <w:sz w:val="20"/>
                <w:szCs w:val="20"/>
              </w:rPr>
              <w:t>Dodatkowe informacje</w:t>
            </w:r>
          </w:p>
        </w:tc>
      </w:tr>
      <w:tr w:rsidR="00AE1F43" w:rsidRPr="001A28EB" w14:paraId="347A1273" w14:textId="77777777" w:rsidTr="00AB2C7E">
        <w:tc>
          <w:tcPr>
            <w:tcW w:w="247" w:type="pct"/>
            <w:tcMar>
              <w:top w:w="0" w:type="dxa"/>
              <w:left w:w="108" w:type="dxa"/>
              <w:bottom w:w="0" w:type="dxa"/>
              <w:right w:w="108" w:type="dxa"/>
            </w:tcMar>
            <w:vAlign w:val="center"/>
            <w:hideMark/>
          </w:tcPr>
          <w:p w14:paraId="5BBD47C1" w14:textId="77777777" w:rsidR="00AE1F43" w:rsidRPr="001A28EB" w:rsidRDefault="00AE1F43" w:rsidP="00AE1F43">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1.</w:t>
            </w:r>
          </w:p>
        </w:tc>
        <w:tc>
          <w:tcPr>
            <w:tcW w:w="865" w:type="pct"/>
            <w:tcMar>
              <w:top w:w="0" w:type="dxa"/>
              <w:left w:w="108" w:type="dxa"/>
              <w:bottom w:w="0" w:type="dxa"/>
              <w:right w:w="108" w:type="dxa"/>
            </w:tcMar>
            <w:vAlign w:val="center"/>
          </w:tcPr>
          <w:p w14:paraId="0776A377" w14:textId="255D4EE9" w:rsidR="00AE1F43" w:rsidRPr="001A28EB" w:rsidRDefault="00AE1F43" w:rsidP="00AE1F43">
            <w:pPr>
              <w:spacing w:before="60" w:after="60" w:line="240" w:lineRule="auto"/>
              <w:jc w:val="center"/>
              <w:rPr>
                <w:rFonts w:ascii="Lato" w:hAnsi="Lato" w:cstheme="majorHAnsi"/>
                <w:color w:val="000000"/>
              </w:rPr>
            </w:pPr>
            <w:r w:rsidRPr="001A28EB">
              <w:rPr>
                <w:rFonts w:ascii="Lato" w:hAnsi="Lato" w:cstheme="majorHAnsi"/>
                <w:i/>
                <w:iCs/>
                <w:color w:val="000000"/>
                <w:sz w:val="18"/>
                <w:szCs w:val="18"/>
              </w:rPr>
              <w:t>dapagliflozyna</w:t>
            </w:r>
          </w:p>
        </w:tc>
        <w:tc>
          <w:tcPr>
            <w:tcW w:w="2027" w:type="pct"/>
            <w:tcMar>
              <w:top w:w="0" w:type="dxa"/>
              <w:left w:w="108" w:type="dxa"/>
              <w:bottom w:w="0" w:type="dxa"/>
              <w:right w:w="108" w:type="dxa"/>
            </w:tcMar>
            <w:vAlign w:val="center"/>
          </w:tcPr>
          <w:p w14:paraId="6D69B25E" w14:textId="2D720B32" w:rsidR="00AE1F43" w:rsidRPr="001A28EB" w:rsidRDefault="00AE1F43" w:rsidP="00AE1F43">
            <w:pPr>
              <w:spacing w:before="60" w:after="60" w:line="240" w:lineRule="auto"/>
              <w:jc w:val="center"/>
              <w:rPr>
                <w:rFonts w:ascii="Lato" w:hAnsi="Lato" w:cstheme="majorHAnsi"/>
                <w:color w:val="000000"/>
              </w:rPr>
            </w:pPr>
            <w:r w:rsidRPr="001A28EB">
              <w:rPr>
                <w:rFonts w:ascii="Lato" w:hAnsi="Lato" w:cstheme="majorHAnsi"/>
                <w:color w:val="000000"/>
                <w:sz w:val="18"/>
                <w:szCs w:val="18"/>
              </w:rPr>
              <w:t xml:space="preserve">Cukrzyca typu 2 u pacjentów leczonych </w:t>
            </w:r>
            <w:r w:rsidRPr="001A28EB">
              <w:rPr>
                <w:rFonts w:ascii="Lato" w:hAnsi="Lato" w:cstheme="majorHAnsi"/>
                <w:b/>
                <w:bCs/>
                <w:color w:val="000000"/>
                <w:sz w:val="18"/>
                <w:szCs w:val="18"/>
              </w:rPr>
              <w:t>co najmniej dwoma lekami hipoglikemizującymi, z HbA1c ≥ 7,5%</w:t>
            </w:r>
            <w:r w:rsidRPr="001A28EB">
              <w:rPr>
                <w:rFonts w:ascii="Lato" w:hAnsi="Lato" w:cstheme="majorHAnsi"/>
                <w:color w:val="000000"/>
                <w:sz w:val="18"/>
                <w:szCs w:val="18"/>
              </w:rPr>
              <w:t xml:space="preserve"> oraz bardzo wysokim ryzykiem sercowo-naczyniowym rozumianym jako: 1)potwierdzona choroba sercowo-naczyniowa, lub 2)uszkodzenie innych narządów objawiające się poprzez: białkomocz lub przerost lewej komory lub </w:t>
            </w:r>
            <w:r w:rsidRPr="001A28EB">
              <w:rPr>
                <w:rFonts w:ascii="Lato" w:hAnsi="Lato" w:cstheme="majorHAnsi"/>
                <w:color w:val="000000"/>
                <w:sz w:val="18"/>
                <w:szCs w:val="18"/>
              </w:rPr>
              <w:lastRenderedPageBreak/>
              <w:t>retinopatię, lub 3)obecność 3 lub więcej głównych czynników ryzyka spośród wymienionych poniżej: -wiek ≥ 55 lat dla mężczyzn, ≥60 lat dla kobiet, -dyslipidemia, -nadciśnienie tętnicze, -palenie tytoniu, -otyłość.</w:t>
            </w:r>
          </w:p>
        </w:tc>
        <w:tc>
          <w:tcPr>
            <w:tcW w:w="1861" w:type="pct"/>
            <w:tcMar>
              <w:top w:w="0" w:type="dxa"/>
              <w:left w:w="108" w:type="dxa"/>
              <w:bottom w:w="0" w:type="dxa"/>
              <w:right w:w="108" w:type="dxa"/>
            </w:tcMar>
            <w:vAlign w:val="center"/>
          </w:tcPr>
          <w:p w14:paraId="0AECAB73" w14:textId="0CEEE317" w:rsidR="00AE1F43" w:rsidRPr="001A28EB" w:rsidRDefault="00AE1F43" w:rsidP="00AE1F43">
            <w:pPr>
              <w:suppressAutoHyphens w:val="0"/>
              <w:spacing w:before="60" w:after="60" w:line="240" w:lineRule="auto"/>
              <w:jc w:val="center"/>
              <w:textAlignment w:val="auto"/>
              <w:rPr>
                <w:rFonts w:ascii="Lato" w:hAnsi="Lato" w:cstheme="majorHAnsi"/>
                <w:color w:val="000000"/>
                <w:sz w:val="18"/>
                <w:szCs w:val="18"/>
              </w:rPr>
            </w:pPr>
            <w:r w:rsidRPr="001A28EB">
              <w:rPr>
                <w:rFonts w:ascii="Lato" w:hAnsi="Lato" w:cstheme="majorHAnsi"/>
                <w:color w:val="000000"/>
                <w:sz w:val="18"/>
                <w:szCs w:val="18"/>
              </w:rPr>
              <w:lastRenderedPageBreak/>
              <w:t>Druga flozyna na liście leków 65+. Powrót na listę</w:t>
            </w:r>
            <w:r w:rsidR="001A28EB">
              <w:rPr>
                <w:rFonts w:ascii="Lato" w:hAnsi="Lato" w:cstheme="majorHAnsi"/>
                <w:color w:val="000000"/>
                <w:sz w:val="18"/>
                <w:szCs w:val="18"/>
              </w:rPr>
              <w:t xml:space="preserve"> bezpłatnych leków dla seniorów</w:t>
            </w:r>
            <w:r w:rsidRPr="001A28EB">
              <w:rPr>
                <w:rFonts w:ascii="Lato" w:hAnsi="Lato" w:cstheme="majorHAnsi"/>
                <w:color w:val="000000"/>
                <w:sz w:val="18"/>
                <w:szCs w:val="18"/>
              </w:rPr>
              <w:t xml:space="preserve"> po dwumiesięcznej nieobecności.</w:t>
            </w:r>
          </w:p>
        </w:tc>
      </w:tr>
      <w:tr w:rsidR="00AE1F43" w:rsidRPr="001A28EB" w14:paraId="1C5F85F2" w14:textId="77777777" w:rsidTr="00F2760C">
        <w:tc>
          <w:tcPr>
            <w:tcW w:w="247" w:type="pct"/>
            <w:tcMar>
              <w:top w:w="0" w:type="dxa"/>
              <w:left w:w="108" w:type="dxa"/>
              <w:bottom w:w="0" w:type="dxa"/>
              <w:right w:w="108" w:type="dxa"/>
            </w:tcMar>
            <w:vAlign w:val="center"/>
          </w:tcPr>
          <w:p w14:paraId="4A229E0B" w14:textId="77777777" w:rsidR="00AE1F43" w:rsidRPr="001A28EB" w:rsidRDefault="00AE1F43" w:rsidP="00AE1F43">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2.</w:t>
            </w:r>
          </w:p>
        </w:tc>
        <w:tc>
          <w:tcPr>
            <w:tcW w:w="865" w:type="pct"/>
            <w:tcMar>
              <w:top w:w="0" w:type="dxa"/>
              <w:left w:w="108" w:type="dxa"/>
              <w:bottom w:w="0" w:type="dxa"/>
              <w:right w:w="108" w:type="dxa"/>
            </w:tcMar>
            <w:vAlign w:val="center"/>
          </w:tcPr>
          <w:p w14:paraId="2D15E4CA" w14:textId="6F544C69" w:rsidR="00AE1F43" w:rsidRPr="001A28EB" w:rsidRDefault="00AE1F43" w:rsidP="00AE1F43">
            <w:pPr>
              <w:spacing w:before="60" w:after="60" w:line="240" w:lineRule="auto"/>
              <w:jc w:val="center"/>
              <w:rPr>
                <w:rFonts w:ascii="Lato" w:hAnsi="Lato" w:cstheme="majorHAnsi"/>
                <w:color w:val="000000"/>
              </w:rPr>
            </w:pPr>
            <w:r w:rsidRPr="001A28EB">
              <w:rPr>
                <w:rFonts w:ascii="Lato" w:hAnsi="Lato" w:cstheme="majorHAnsi"/>
                <w:i/>
                <w:iCs/>
                <w:color w:val="000000"/>
                <w:sz w:val="18"/>
                <w:szCs w:val="18"/>
              </w:rPr>
              <w:t>dapagliflozyna</w:t>
            </w:r>
          </w:p>
        </w:tc>
        <w:tc>
          <w:tcPr>
            <w:tcW w:w="2027" w:type="pct"/>
            <w:tcMar>
              <w:top w:w="0" w:type="dxa"/>
              <w:left w:w="108" w:type="dxa"/>
              <w:bottom w:w="0" w:type="dxa"/>
              <w:right w:w="108" w:type="dxa"/>
            </w:tcMar>
            <w:vAlign w:val="center"/>
          </w:tcPr>
          <w:p w14:paraId="56FED9EF"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Przewlekła niewydolność serca u dorosłych pacjentów z </w:t>
            </w:r>
            <w:r w:rsidRPr="00596E33">
              <w:rPr>
                <w:rFonts w:ascii="Lato" w:hAnsi="Lato" w:cstheme="majorHAnsi"/>
                <w:b/>
                <w:bCs/>
                <w:i/>
                <w:iCs/>
                <w:color w:val="000000"/>
                <w:sz w:val="18"/>
                <w:szCs w:val="18"/>
              </w:rPr>
              <w:t>LVEF≤50%</w:t>
            </w:r>
            <w:r w:rsidRPr="00596E33">
              <w:rPr>
                <w:rFonts w:ascii="Lato" w:hAnsi="Lato" w:cstheme="majorHAnsi"/>
                <w:i/>
                <w:iCs/>
                <w:color w:val="000000"/>
                <w:sz w:val="18"/>
                <w:szCs w:val="18"/>
              </w:rPr>
              <w:t xml:space="preserve"> oraz utrzymującymi się objawami choroby w klasie II-IV NYHA:</w:t>
            </w:r>
          </w:p>
          <w:p w14:paraId="09FB898F"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            pomimo zastosowania terapii opartej na ACEi (lub ARB/ARNi) i lekach z grupy betaadrenolityków oraz jeśli wskazane antagonistach receptora mineralokortykoidów (z frakcją wyrzutową z LVEF ≤40%) </w:t>
            </w:r>
          </w:p>
          <w:p w14:paraId="11D8DD5D"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lub </w:t>
            </w:r>
          </w:p>
          <w:p w14:paraId="3BF6D63A" w14:textId="4607C673" w:rsidR="00AE1F43" w:rsidRPr="00596E33" w:rsidRDefault="00596E33" w:rsidP="00596E33">
            <w:pPr>
              <w:spacing w:before="60" w:after="60" w:line="240" w:lineRule="auto"/>
              <w:jc w:val="center"/>
              <w:rPr>
                <w:rFonts w:cstheme="majorHAnsi"/>
                <w:i/>
                <w:iCs/>
                <w:color w:val="000000"/>
                <w:sz w:val="18"/>
                <w:szCs w:val="18"/>
              </w:rPr>
            </w:pPr>
            <w:r w:rsidRPr="00596E33">
              <w:rPr>
                <w:rFonts w:ascii="Lato" w:hAnsi="Lato" w:cstheme="majorHAnsi"/>
                <w:i/>
                <w:iCs/>
                <w:color w:val="000000"/>
                <w:sz w:val="18"/>
                <w:szCs w:val="18"/>
              </w:rPr>
              <w:t>•          pomimo zastosowania terapii opartej na ACEi (lub ARB/ARNi) i lekach z grupy betaadrenolityków oraz jeśli wskazane diuretykach (z frakcją wyrzutową z LVEF 41-50%).</w:t>
            </w:r>
          </w:p>
        </w:tc>
        <w:tc>
          <w:tcPr>
            <w:tcW w:w="1861" w:type="pct"/>
            <w:tcMar>
              <w:top w:w="0" w:type="dxa"/>
              <w:left w:w="108" w:type="dxa"/>
              <w:bottom w:w="0" w:type="dxa"/>
              <w:right w:w="108" w:type="dxa"/>
            </w:tcMar>
            <w:vAlign w:val="center"/>
          </w:tcPr>
          <w:p w14:paraId="0785356F" w14:textId="338FCE50" w:rsidR="00AE1F43" w:rsidRPr="001A28EB" w:rsidRDefault="00AE1F43" w:rsidP="00AE1F43">
            <w:pPr>
              <w:spacing w:before="60" w:after="60" w:line="240" w:lineRule="auto"/>
              <w:jc w:val="center"/>
              <w:rPr>
                <w:rFonts w:ascii="Lato" w:hAnsi="Lato" w:cstheme="majorHAnsi"/>
                <w:color w:val="000000"/>
              </w:rPr>
            </w:pPr>
            <w:r w:rsidRPr="001A28EB">
              <w:rPr>
                <w:rFonts w:ascii="Lato" w:hAnsi="Lato" w:cstheme="majorHAnsi"/>
                <w:color w:val="000000"/>
                <w:sz w:val="18"/>
                <w:szCs w:val="18"/>
              </w:rPr>
              <w:t>Druga flozyna na liście leków 65+. Powrót na listę</w:t>
            </w:r>
            <w:r w:rsidR="001A28EB">
              <w:rPr>
                <w:rFonts w:ascii="Lato" w:hAnsi="Lato" w:cstheme="majorHAnsi"/>
                <w:color w:val="000000"/>
                <w:sz w:val="18"/>
                <w:szCs w:val="18"/>
              </w:rPr>
              <w:t xml:space="preserve"> bezpłatnych leków dla seniorów</w:t>
            </w:r>
            <w:r w:rsidRPr="001A28EB">
              <w:rPr>
                <w:rFonts w:ascii="Lato" w:hAnsi="Lato" w:cstheme="majorHAnsi"/>
                <w:color w:val="000000"/>
                <w:sz w:val="18"/>
                <w:szCs w:val="18"/>
              </w:rPr>
              <w:t xml:space="preserve"> po dwumiesięcznej nieobecności </w:t>
            </w:r>
            <w:r w:rsidRPr="001A28EB">
              <w:rPr>
                <w:rFonts w:ascii="Lato" w:hAnsi="Lato" w:cstheme="majorHAnsi"/>
                <w:sz w:val="18"/>
                <w:szCs w:val="18"/>
              </w:rPr>
              <w:t>z jednoczesnym rozszerzeniem wskazania refundacyjnego dla pacjentów z niewydolnością serca.</w:t>
            </w:r>
          </w:p>
        </w:tc>
      </w:tr>
      <w:tr w:rsidR="00AE1F43" w:rsidRPr="001A28EB" w14:paraId="3F0E4ED7" w14:textId="77777777" w:rsidTr="00F2760C">
        <w:tc>
          <w:tcPr>
            <w:tcW w:w="247" w:type="pct"/>
            <w:tcMar>
              <w:top w:w="0" w:type="dxa"/>
              <w:left w:w="108" w:type="dxa"/>
              <w:bottom w:w="0" w:type="dxa"/>
              <w:right w:w="108" w:type="dxa"/>
            </w:tcMar>
            <w:vAlign w:val="center"/>
          </w:tcPr>
          <w:p w14:paraId="17A2453F" w14:textId="77777777" w:rsidR="00AE1F43" w:rsidRPr="001A28EB" w:rsidRDefault="00AE1F43" w:rsidP="00AE1F43">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3.</w:t>
            </w:r>
          </w:p>
        </w:tc>
        <w:tc>
          <w:tcPr>
            <w:tcW w:w="865" w:type="pct"/>
            <w:tcMar>
              <w:top w:w="0" w:type="dxa"/>
              <w:left w:w="108" w:type="dxa"/>
              <w:bottom w:w="0" w:type="dxa"/>
              <w:right w:w="108" w:type="dxa"/>
            </w:tcMar>
            <w:vAlign w:val="center"/>
          </w:tcPr>
          <w:p w14:paraId="47473B6E" w14:textId="100439DB" w:rsidR="00AE1F43" w:rsidRPr="001A28EB" w:rsidRDefault="00AE1F43" w:rsidP="00AE1F43">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dapagliflozyna</w:t>
            </w:r>
          </w:p>
        </w:tc>
        <w:tc>
          <w:tcPr>
            <w:tcW w:w="2027" w:type="pct"/>
            <w:tcMar>
              <w:top w:w="0" w:type="dxa"/>
              <w:left w:w="108" w:type="dxa"/>
              <w:bottom w:w="0" w:type="dxa"/>
              <w:right w:w="108" w:type="dxa"/>
            </w:tcMar>
            <w:vAlign w:val="center"/>
          </w:tcPr>
          <w:p w14:paraId="12BFD7FC" w14:textId="782FD7B4" w:rsidR="00AE1F43" w:rsidRPr="001A28EB" w:rsidRDefault="00AE1F43" w:rsidP="00AE1F43">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Przewlekła choroba nerek u dorosłych pacjentów z eGFR &lt;60 ml/min/1.73m2, </w:t>
            </w:r>
            <w:r w:rsidRPr="001A28EB">
              <w:rPr>
                <w:rFonts w:ascii="Lato" w:hAnsi="Lato" w:cstheme="majorHAnsi"/>
                <w:b/>
                <w:bCs/>
                <w:color w:val="000000"/>
                <w:sz w:val="18"/>
                <w:szCs w:val="18"/>
              </w:rPr>
              <w:t xml:space="preserve">albuminurią </w:t>
            </w:r>
            <w:r w:rsidR="00F87D05">
              <w:rPr>
                <w:rFonts w:ascii="Lato" w:hAnsi="Lato" w:cstheme="majorHAnsi"/>
                <w:b/>
                <w:bCs/>
                <w:color w:val="000000"/>
                <w:sz w:val="18"/>
                <w:szCs w:val="18"/>
              </w:rPr>
              <w:t>lub</w:t>
            </w:r>
            <w:r w:rsidRPr="001A28EB">
              <w:rPr>
                <w:rFonts w:ascii="Lato" w:hAnsi="Lato" w:cstheme="majorHAnsi"/>
                <w:b/>
                <w:bCs/>
                <w:color w:val="000000"/>
                <w:sz w:val="18"/>
                <w:szCs w:val="18"/>
              </w:rPr>
              <w:t xml:space="preserve"> białkomoczem</w:t>
            </w:r>
            <w:r w:rsidRPr="001A28EB">
              <w:rPr>
                <w:rFonts w:ascii="Lato" w:hAnsi="Lato" w:cstheme="majorHAnsi"/>
                <w:color w:val="000000"/>
                <w:sz w:val="18"/>
                <w:szCs w:val="18"/>
              </w:rPr>
              <w:t xml:space="preserve"> oraz leczonych terapią opartą na ACE-i/ARB nie krócej niż 4 tygodnie lub z przeciwskazaniami do tych terapii.</w:t>
            </w:r>
          </w:p>
        </w:tc>
        <w:tc>
          <w:tcPr>
            <w:tcW w:w="1861" w:type="pct"/>
            <w:tcMar>
              <w:top w:w="0" w:type="dxa"/>
              <w:left w:w="108" w:type="dxa"/>
              <w:bottom w:w="0" w:type="dxa"/>
              <w:right w:w="108" w:type="dxa"/>
            </w:tcMar>
            <w:vAlign w:val="center"/>
          </w:tcPr>
          <w:p w14:paraId="64CD9D09" w14:textId="1F10DBB5" w:rsidR="00AE1F43" w:rsidRPr="001A28EB" w:rsidRDefault="00AE1F43" w:rsidP="00AE1F43">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Druga flozyna na liście leków 65+. Powrót na listę </w:t>
            </w:r>
            <w:r w:rsidR="001A28EB">
              <w:rPr>
                <w:rFonts w:ascii="Lato" w:hAnsi="Lato" w:cstheme="majorHAnsi"/>
                <w:color w:val="000000"/>
                <w:sz w:val="18"/>
                <w:szCs w:val="18"/>
              </w:rPr>
              <w:t xml:space="preserve">bezpłatnych leków dla seniorów </w:t>
            </w:r>
            <w:r w:rsidRPr="001A28EB">
              <w:rPr>
                <w:rFonts w:ascii="Lato" w:hAnsi="Lato" w:cstheme="majorHAnsi"/>
                <w:color w:val="000000"/>
                <w:sz w:val="18"/>
                <w:szCs w:val="18"/>
              </w:rPr>
              <w:t xml:space="preserve">po dwumiesięcznej nieobecności </w:t>
            </w:r>
            <w:r w:rsidRPr="001A28EB">
              <w:rPr>
                <w:rFonts w:ascii="Lato" w:hAnsi="Lato" w:cstheme="majorHAnsi"/>
                <w:sz w:val="18"/>
                <w:szCs w:val="18"/>
              </w:rPr>
              <w:t>z jednoczesnym rozszerzeniem wskazania refundacyjnego dla pacjentów z przewlekłą niewydolnością nerek.</w:t>
            </w:r>
          </w:p>
        </w:tc>
      </w:tr>
      <w:bookmarkEnd w:id="3"/>
    </w:tbl>
    <w:p w14:paraId="3B4E4833" w14:textId="77777777" w:rsidR="008B5033" w:rsidRPr="001A28EB" w:rsidRDefault="008B5033" w:rsidP="008B5033">
      <w:pPr>
        <w:jc w:val="center"/>
        <w:rPr>
          <w:rFonts w:ascii="Lato" w:hAnsi="Lato"/>
          <w:b/>
          <w:bCs/>
          <w:color w:val="00B0F0"/>
          <w:sz w:val="28"/>
          <w:szCs w:val="28"/>
        </w:rPr>
      </w:pPr>
    </w:p>
    <w:p w14:paraId="479334FD" w14:textId="77777777" w:rsidR="00C404D9" w:rsidRPr="00C404D9" w:rsidRDefault="00C404D9" w:rsidP="00C404D9">
      <w:pPr>
        <w:jc w:val="center"/>
        <w:rPr>
          <w:rFonts w:ascii="Lato" w:hAnsi="Lato"/>
          <w:b/>
          <w:bCs/>
          <w:color w:val="00B0F0"/>
          <w:sz w:val="28"/>
          <w:szCs w:val="28"/>
        </w:rPr>
      </w:pPr>
      <w:r w:rsidRPr="00C404D9">
        <w:rPr>
          <w:rFonts w:ascii="Lato" w:hAnsi="Lato"/>
          <w:b/>
          <w:bCs/>
          <w:color w:val="00B0F0"/>
          <w:sz w:val="28"/>
          <w:szCs w:val="28"/>
        </w:rPr>
        <w:t>Informacja dotycząca wyznaczania limitów na listach A1, A2 i A3</w:t>
      </w:r>
    </w:p>
    <w:p w14:paraId="7564A3B3" w14:textId="77777777" w:rsidR="00C404D9" w:rsidRPr="00C404D9" w:rsidRDefault="00C404D9" w:rsidP="00C404D9">
      <w:pPr>
        <w:spacing w:after="0" w:line="360" w:lineRule="auto"/>
        <w:jc w:val="both"/>
        <w:rPr>
          <w:rFonts w:ascii="Lato" w:hAnsi="Lato"/>
        </w:rPr>
      </w:pPr>
      <w:r w:rsidRPr="00C404D9">
        <w:rPr>
          <w:rFonts w:ascii="Lato" w:hAnsi="Lato"/>
        </w:rPr>
        <w:t>W związku z wejściem w życie ustawy o zmianie ustawy o refundacji  (tzw. DNUR) znacząco został uproszczony algorytm apteczny, tj. poszczególne etapy wyznaczania cen hurtowych i detalicznych oraz limitów finansowania:</w:t>
      </w:r>
    </w:p>
    <w:p w14:paraId="30E90968" w14:textId="77777777" w:rsidR="00C404D9" w:rsidRPr="00C404D9" w:rsidRDefault="00C404D9" w:rsidP="00C404D9">
      <w:pPr>
        <w:pStyle w:val="Akapitzlist"/>
        <w:numPr>
          <w:ilvl w:val="0"/>
          <w:numId w:val="42"/>
        </w:numPr>
        <w:spacing w:after="0" w:line="360" w:lineRule="auto"/>
        <w:ind w:left="567"/>
        <w:jc w:val="both"/>
        <w:rPr>
          <w:rFonts w:ascii="Lato" w:hAnsi="Lato"/>
        </w:rPr>
      </w:pPr>
      <w:r w:rsidRPr="00C404D9">
        <w:rPr>
          <w:rFonts w:ascii="Lato" w:hAnsi="Lato"/>
        </w:rPr>
        <w:t>sortowanie listy wg CZN/DDD (art. 15 ust. 4 ),</w:t>
      </w:r>
    </w:p>
    <w:p w14:paraId="771AAC86" w14:textId="77777777" w:rsidR="00C404D9" w:rsidRPr="00C404D9" w:rsidRDefault="00C404D9" w:rsidP="00C404D9">
      <w:pPr>
        <w:pStyle w:val="Akapitzlist"/>
        <w:numPr>
          <w:ilvl w:val="0"/>
          <w:numId w:val="42"/>
        </w:numPr>
        <w:spacing w:after="0" w:line="360" w:lineRule="auto"/>
        <w:ind w:left="567"/>
        <w:jc w:val="both"/>
        <w:rPr>
          <w:rFonts w:ascii="Lato" w:hAnsi="Lato"/>
        </w:rPr>
      </w:pPr>
      <w:r w:rsidRPr="00C404D9">
        <w:rPr>
          <w:rFonts w:ascii="Lato" w:hAnsi="Lato"/>
        </w:rPr>
        <w:t>wprowadzenie ceny hurtowej (CH, art. 2 ust. 5 ) wyznaczanej jako CZN + marża (art. 7 ust. 1 ),</w:t>
      </w:r>
    </w:p>
    <w:p w14:paraId="55599766" w14:textId="77777777" w:rsidR="00C404D9" w:rsidRPr="00C404D9" w:rsidRDefault="00C404D9" w:rsidP="00C404D9">
      <w:pPr>
        <w:pStyle w:val="Akapitzlist"/>
        <w:numPr>
          <w:ilvl w:val="0"/>
          <w:numId w:val="42"/>
        </w:numPr>
        <w:spacing w:after="0" w:line="360" w:lineRule="auto"/>
        <w:ind w:left="567"/>
        <w:jc w:val="both"/>
        <w:rPr>
          <w:rFonts w:ascii="Lato" w:hAnsi="Lato"/>
        </w:rPr>
      </w:pPr>
      <w:r w:rsidRPr="00C404D9">
        <w:rPr>
          <w:rFonts w:ascii="Lato" w:hAnsi="Lato"/>
        </w:rPr>
        <w:t>wprowadzenie ceny hurtowej brutto (CHB, art. 2 ust. 5a), wyznaczanej jako CH+VAT,</w:t>
      </w:r>
    </w:p>
    <w:p w14:paraId="691214AB" w14:textId="40C0BEED" w:rsidR="00C404D9" w:rsidRPr="00C404D9" w:rsidRDefault="00C404D9" w:rsidP="00C404D9">
      <w:pPr>
        <w:pStyle w:val="Akapitzlist"/>
        <w:numPr>
          <w:ilvl w:val="0"/>
          <w:numId w:val="42"/>
        </w:numPr>
        <w:spacing w:after="0" w:line="360" w:lineRule="auto"/>
        <w:ind w:left="567"/>
        <w:jc w:val="both"/>
        <w:rPr>
          <w:rFonts w:ascii="Lato" w:hAnsi="Lato"/>
        </w:rPr>
      </w:pPr>
      <w:r w:rsidRPr="00C404D9">
        <w:rPr>
          <w:rFonts w:ascii="Lato" w:hAnsi="Lato"/>
        </w:rPr>
        <w:t>wprowadzenie nowych marż aptecznych (art. 7 ust. 4 )</w:t>
      </w:r>
      <w:r w:rsidR="002C02B6">
        <w:rPr>
          <w:rFonts w:ascii="Lato" w:hAnsi="Lato"/>
        </w:rPr>
        <w:t>.</w:t>
      </w:r>
    </w:p>
    <w:p w14:paraId="75AFE48C" w14:textId="0EFDC1EF" w:rsidR="00C404D9" w:rsidRPr="00C404D9" w:rsidRDefault="00C404D9" w:rsidP="00C404D9">
      <w:pPr>
        <w:spacing w:after="0" w:line="360" w:lineRule="auto"/>
        <w:jc w:val="both"/>
        <w:rPr>
          <w:rFonts w:ascii="Lato" w:hAnsi="Lato"/>
        </w:rPr>
      </w:pPr>
      <w:r w:rsidRPr="00C404D9">
        <w:rPr>
          <w:rFonts w:ascii="Lato" w:hAnsi="Lato"/>
        </w:rPr>
        <w:lastRenderedPageBreak/>
        <w:t>Wszystkie powyższe zmiany zostały zaimplementowane już na obwieszczenie obowiązujące od 1 listopada 2023 r. Wraz z napływającymi uwagami została podjęta decyzja o dalszych uproszczeniach algorytmu, tj. zmianie sposobu wyznaczania tzw. podstawy limitu służącej do wyznaczania marży detalicznej. Od 1 stycznia 202</w:t>
      </w:r>
      <w:r w:rsidR="002C02B6">
        <w:rPr>
          <w:rFonts w:ascii="Lato" w:hAnsi="Lato"/>
        </w:rPr>
        <w:t>4</w:t>
      </w:r>
      <w:r w:rsidRPr="00C404D9">
        <w:rPr>
          <w:rFonts w:ascii="Lato" w:hAnsi="Lato"/>
        </w:rPr>
        <w:t xml:space="preserve"> r. wartość </w:t>
      </w:r>
      <w:r w:rsidRPr="00C404D9">
        <w:rPr>
          <w:rFonts w:ascii="Lato" w:hAnsi="Lato"/>
          <w:i/>
          <w:iCs/>
        </w:rPr>
        <w:t>x</w:t>
      </w:r>
      <w:r w:rsidRPr="00C404D9">
        <w:rPr>
          <w:rStyle w:val="Odwoanieprzypisudolnego"/>
          <w:rFonts w:ascii="Lato" w:hAnsi="Lato"/>
        </w:rPr>
        <w:footnoteReference w:id="1"/>
      </w:r>
      <w:r w:rsidRPr="00C404D9">
        <w:rPr>
          <w:rFonts w:ascii="Lato" w:hAnsi="Lato"/>
        </w:rPr>
        <w:t xml:space="preserve"> będzie wyliczana jako: </w:t>
      </w:r>
      <m:oMath>
        <m:r>
          <w:rPr>
            <w:rStyle w:val="pismamzZnak"/>
            <w:rFonts w:ascii="Cambria Math" w:hAnsi="Cambria Math"/>
          </w:rPr>
          <m:t>x=</m:t>
        </m:r>
        <m:sSub>
          <m:sSubPr>
            <m:ctrlPr>
              <w:rPr>
                <w:rStyle w:val="pismamzZnak"/>
                <w:rFonts w:ascii="Cambria Math" w:hAnsi="Cambria Math"/>
                <w:i/>
              </w:rPr>
            </m:ctrlPr>
          </m:sSubPr>
          <m:e>
            <m:r>
              <w:rPr>
                <w:rStyle w:val="pismamzZnak"/>
                <w:rFonts w:ascii="Cambria Math" w:hAnsi="Cambria Math"/>
              </w:rPr>
              <m:t>CHB</m:t>
            </m:r>
          </m:e>
          <m:sub>
            <m:r>
              <w:rPr>
                <w:rStyle w:val="pismamzZnak"/>
                <w:rFonts w:ascii="Cambria Math" w:hAnsi="Cambria Math"/>
              </w:rPr>
              <m:t>podstawy</m:t>
            </m:r>
          </m:sub>
        </m:sSub>
        <m:r>
          <w:rPr>
            <w:rStyle w:val="pismamzZnak"/>
            <w:rFonts w:ascii="Cambria Math" w:hAnsi="Cambria Math"/>
          </w:rPr>
          <m:t>×</m:t>
        </m:r>
        <m:f>
          <m:fPr>
            <m:ctrlPr>
              <w:rPr>
                <w:rStyle w:val="pismamzZnak"/>
                <w:rFonts w:ascii="Cambria Math" w:hAnsi="Cambria Math"/>
                <w:i/>
              </w:rPr>
            </m:ctrlPr>
          </m:fPr>
          <m:num>
            <m:sSub>
              <m:sSubPr>
                <m:ctrlPr>
                  <w:rPr>
                    <w:rStyle w:val="pismamzZnak"/>
                    <w:rFonts w:ascii="Cambria Math" w:hAnsi="Cambria Math"/>
                    <w:i/>
                  </w:rPr>
                </m:ctrlPr>
              </m:sSubPr>
              <m:e>
                <m:r>
                  <w:rPr>
                    <w:rStyle w:val="pismamzZnak"/>
                    <w:rFonts w:ascii="Cambria Math" w:hAnsi="Cambria Math"/>
                  </w:rPr>
                  <m:t>DDD</m:t>
                </m:r>
              </m:e>
              <m:sub>
                <m:r>
                  <w:rPr>
                    <w:rStyle w:val="pismamzZnak"/>
                    <w:rFonts w:ascii="Cambria Math" w:hAnsi="Cambria Math"/>
                  </w:rPr>
                  <m:t>leku</m:t>
                </m:r>
              </m:sub>
            </m:sSub>
          </m:num>
          <m:den>
            <m:sSub>
              <m:sSubPr>
                <m:ctrlPr>
                  <w:rPr>
                    <w:rStyle w:val="pismamzZnak"/>
                    <w:rFonts w:ascii="Cambria Math" w:hAnsi="Cambria Math"/>
                    <w:i/>
                  </w:rPr>
                </m:ctrlPr>
              </m:sSubPr>
              <m:e>
                <m:r>
                  <w:rPr>
                    <w:rStyle w:val="pismamzZnak"/>
                    <w:rFonts w:ascii="Cambria Math" w:hAnsi="Cambria Math"/>
                  </w:rPr>
                  <m:t>DDD</m:t>
                </m:r>
              </m:e>
              <m:sub>
                <m:r>
                  <w:rPr>
                    <w:rStyle w:val="pismamzZnak"/>
                    <w:rFonts w:ascii="Cambria Math" w:hAnsi="Cambria Math"/>
                  </w:rPr>
                  <m:t>podstawy</m:t>
                </m:r>
              </m:sub>
            </m:sSub>
          </m:den>
        </m:f>
      </m:oMath>
      <w:r w:rsidRPr="00C404D9">
        <w:rPr>
          <w:rStyle w:val="pismamzZnak"/>
          <w:rFonts w:ascii="Lato" w:hAnsi="Lato"/>
        </w:rPr>
        <w:t xml:space="preserve"> </w:t>
      </w:r>
      <w:r w:rsidRPr="00C404D9">
        <w:rPr>
          <w:rFonts w:ascii="Lato" w:hAnsi="Lato"/>
        </w:rPr>
        <w:t>i zaokrąglana do 6 miejsc po przecinku.</w:t>
      </w:r>
    </w:p>
    <w:p w14:paraId="77DFB56F" w14:textId="77777777" w:rsidR="00C404D9" w:rsidRPr="00C404D9" w:rsidRDefault="00C404D9" w:rsidP="00C404D9">
      <w:pPr>
        <w:spacing w:before="240" w:after="120" w:line="360" w:lineRule="auto"/>
        <w:jc w:val="both"/>
        <w:rPr>
          <w:rFonts w:ascii="Lato" w:hAnsi="Lato"/>
        </w:rPr>
      </w:pPr>
      <w:r w:rsidRPr="00C404D9">
        <w:rPr>
          <w:rFonts w:ascii="Lato" w:hAnsi="Lato"/>
        </w:rPr>
        <w:t>Wprowadzenie omawianej modyfikacji spowoduje groszowe zmiany w cenach detalicznych i opłatach pacjentów.</w:t>
      </w:r>
    </w:p>
    <w:p w14:paraId="65A980CE" w14:textId="77777777" w:rsidR="005B41EF" w:rsidRPr="001A28EB" w:rsidRDefault="005B41EF" w:rsidP="00AE1F43">
      <w:pPr>
        <w:rPr>
          <w:rFonts w:ascii="Lato" w:hAnsi="Lato"/>
          <w:b/>
          <w:bCs/>
          <w:color w:val="00B0F0"/>
          <w:sz w:val="28"/>
          <w:szCs w:val="28"/>
        </w:rPr>
      </w:pPr>
    </w:p>
    <w:p w14:paraId="5B95BBCF" w14:textId="77777777" w:rsidR="005B41EF" w:rsidRPr="001A28EB" w:rsidRDefault="005B41EF" w:rsidP="00AE1F43">
      <w:pPr>
        <w:rPr>
          <w:rFonts w:ascii="Lato" w:hAnsi="Lato"/>
          <w:b/>
          <w:bCs/>
          <w:color w:val="00B0F0"/>
          <w:sz w:val="28"/>
          <w:szCs w:val="28"/>
        </w:rPr>
      </w:pPr>
    </w:p>
    <w:p w14:paraId="543E9E27" w14:textId="4597E72E" w:rsidR="00D76F69" w:rsidRPr="001A28EB" w:rsidRDefault="00D76F69" w:rsidP="00F727B3">
      <w:pPr>
        <w:spacing w:line="360" w:lineRule="auto"/>
        <w:jc w:val="both"/>
        <w:textAlignment w:val="auto"/>
        <w:rPr>
          <w:rFonts w:ascii="Lato" w:hAnsi="Lato"/>
          <w:sz w:val="28"/>
          <w:szCs w:val="28"/>
        </w:rPr>
      </w:pPr>
      <w:r w:rsidRPr="001A28EB">
        <w:rPr>
          <w:rFonts w:ascii="Lato" w:hAnsi="Lato" w:cs="Calibri Light"/>
        </w:rPr>
        <w:t xml:space="preserve"> </w:t>
      </w:r>
    </w:p>
    <w:sectPr w:rsidR="00D76F69" w:rsidRPr="001A28EB" w:rsidSect="005058F2">
      <w:headerReference w:type="first" r:id="rId11"/>
      <w:pgSz w:w="16838" w:h="11906" w:orient="landscape"/>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9B25A" w14:textId="77777777" w:rsidR="007B1557" w:rsidRDefault="007B1557">
      <w:pPr>
        <w:spacing w:after="0" w:line="240" w:lineRule="auto"/>
      </w:pPr>
      <w:r>
        <w:separator/>
      </w:r>
    </w:p>
  </w:endnote>
  <w:endnote w:type="continuationSeparator" w:id="0">
    <w:p w14:paraId="3ED73847" w14:textId="77777777" w:rsidR="007B1557" w:rsidRDefault="007B1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72BBA" w14:textId="77777777" w:rsidR="007B1557" w:rsidRDefault="007B1557">
      <w:pPr>
        <w:spacing w:after="0" w:line="240" w:lineRule="auto"/>
      </w:pPr>
      <w:r>
        <w:rPr>
          <w:color w:val="000000"/>
        </w:rPr>
        <w:separator/>
      </w:r>
    </w:p>
  </w:footnote>
  <w:footnote w:type="continuationSeparator" w:id="0">
    <w:p w14:paraId="2615CE69" w14:textId="77777777" w:rsidR="007B1557" w:rsidRDefault="007B1557">
      <w:pPr>
        <w:spacing w:after="0" w:line="240" w:lineRule="auto"/>
      </w:pPr>
      <w:r>
        <w:continuationSeparator/>
      </w:r>
    </w:p>
  </w:footnote>
  <w:footnote w:id="1">
    <w:p w14:paraId="5C4056CA" w14:textId="77777777" w:rsidR="00C404D9" w:rsidRPr="00415F5C" w:rsidRDefault="00C404D9" w:rsidP="00C404D9">
      <w:pPr>
        <w:pStyle w:val="Tekstprzypisudolnego"/>
        <w:rPr>
          <w:rFonts w:ascii="Lato" w:hAnsi="Lato"/>
          <w:sz w:val="16"/>
          <w:szCs w:val="16"/>
        </w:rPr>
      </w:pPr>
      <w:r w:rsidRPr="00415F5C">
        <w:rPr>
          <w:rStyle w:val="Odwoanieprzypisudolnego"/>
          <w:rFonts w:ascii="Lato" w:hAnsi="Lato"/>
          <w:sz w:val="16"/>
          <w:szCs w:val="16"/>
        </w:rPr>
        <w:footnoteRef/>
      </w:r>
      <w:r w:rsidRPr="00415F5C">
        <w:rPr>
          <w:rFonts w:ascii="Lato" w:hAnsi="Lato"/>
          <w:sz w:val="16"/>
          <w:szCs w:val="16"/>
        </w:rPr>
        <w:t xml:space="preserve"> Art. 7 ust. 4. Ustala się urzędową marżę detaliczną naliczaną od ceny hurtowej brutto leku (…) stanowiącego podstawę limitu w danej grupie limitowej, w wysokości: &lt;tabela&gt;, gdzie </w:t>
      </w:r>
      <w:r w:rsidRPr="00415F5C">
        <w:rPr>
          <w:rFonts w:ascii="Lato" w:hAnsi="Lato"/>
          <w:i/>
          <w:iCs/>
          <w:sz w:val="16"/>
          <w:szCs w:val="16"/>
        </w:rPr>
        <w:t>x</w:t>
      </w:r>
      <w:r w:rsidRPr="00415F5C">
        <w:rPr>
          <w:rFonts w:ascii="Lato" w:hAnsi="Lato"/>
          <w:sz w:val="16"/>
          <w:szCs w:val="16"/>
        </w:rPr>
        <w:t xml:space="preserve"> oznacza cenę hurtową brutto leku (…) stanowiącego podstawę limitu, uwzględniającą liczbę DDD leku (…) w opakowaniu albo liczbę jednostkowych wyrobów medycznych, albo liczbę jednostek wyrobu medycznego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36CF" w14:textId="4633511D" w:rsidR="005058F2" w:rsidRDefault="00143D0B">
    <w:pPr>
      <w:pStyle w:val="Nagwek"/>
    </w:pPr>
    <w:bookmarkStart w:id="4" w:name="_Hlk74147372"/>
    <w:bookmarkEnd w:id="4"/>
    <w:r>
      <w:rPr>
        <w:noProof/>
        <w:lang w:eastAsia="pl-PL"/>
      </w:rPr>
      <w:drawing>
        <wp:inline distT="0" distB="0" distL="0" distR="0" wp14:anchorId="39BB8D04" wp14:editId="6B1DB73B">
          <wp:extent cx="2381885" cy="106172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81885" cy="106172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405"/>
    <w:multiLevelType w:val="hybridMultilevel"/>
    <w:tmpl w:val="B308D3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217CF6"/>
    <w:multiLevelType w:val="hybridMultilevel"/>
    <w:tmpl w:val="11287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F621D5"/>
    <w:multiLevelType w:val="hybridMultilevel"/>
    <w:tmpl w:val="CED09C14"/>
    <w:lvl w:ilvl="0" w:tplc="41943DD6">
      <w:start w:val="1"/>
      <w:numFmt w:val="lowerLetter"/>
      <w:lvlText w:val="%1)"/>
      <w:lvlJc w:val="left"/>
      <w:pPr>
        <w:ind w:left="567" w:hanging="207"/>
      </w:pPr>
      <w:rPr>
        <w:rFonts w:ascii="Lato" w:eastAsiaTheme="minorHAnsi" w:hAnsi="Lato" w:cs="Arial" w:hint="default"/>
      </w:rPr>
    </w:lvl>
    <w:lvl w:ilvl="1" w:tplc="252C51DC">
      <w:numFmt w:val="bullet"/>
      <w:lvlText w:val=""/>
      <w:lvlJc w:val="left"/>
      <w:pPr>
        <w:ind w:left="1440" w:hanging="360"/>
      </w:pPr>
      <w:rPr>
        <w:rFonts w:ascii="Symbol" w:eastAsia="Calibri" w:hAnsi="Symbol"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3163CA"/>
    <w:multiLevelType w:val="hybridMultilevel"/>
    <w:tmpl w:val="0DE0BC64"/>
    <w:lvl w:ilvl="0" w:tplc="CEC4EFEE">
      <w:start w:val="1"/>
      <w:numFmt w:val="bullet"/>
      <w:lvlText w:val="•"/>
      <w:lvlJc w:val="left"/>
      <w:pPr>
        <w:ind w:left="1049" w:firstLine="227"/>
      </w:pPr>
      <w:rPr>
        <w:rFonts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4" w15:restartNumberingAfterBreak="0">
    <w:nsid w:val="0D2743CD"/>
    <w:multiLevelType w:val="hybridMultilevel"/>
    <w:tmpl w:val="C2FA7544"/>
    <w:lvl w:ilvl="0" w:tplc="04150001">
      <w:start w:val="1"/>
      <w:numFmt w:val="bullet"/>
      <w:lvlText w:val=""/>
      <w:lvlJc w:val="left"/>
      <w:pPr>
        <w:ind w:left="-13" w:hanging="360"/>
      </w:pPr>
      <w:rPr>
        <w:rFonts w:ascii="Symbol" w:hAnsi="Symbol" w:hint="default"/>
      </w:rPr>
    </w:lvl>
    <w:lvl w:ilvl="1" w:tplc="04150003" w:tentative="1">
      <w:start w:val="1"/>
      <w:numFmt w:val="bullet"/>
      <w:lvlText w:val="o"/>
      <w:lvlJc w:val="left"/>
      <w:pPr>
        <w:ind w:left="707" w:hanging="360"/>
      </w:pPr>
      <w:rPr>
        <w:rFonts w:ascii="Courier New" w:hAnsi="Courier New" w:cs="Courier New" w:hint="default"/>
      </w:rPr>
    </w:lvl>
    <w:lvl w:ilvl="2" w:tplc="04150005" w:tentative="1">
      <w:start w:val="1"/>
      <w:numFmt w:val="bullet"/>
      <w:lvlText w:val=""/>
      <w:lvlJc w:val="left"/>
      <w:pPr>
        <w:ind w:left="1427" w:hanging="360"/>
      </w:pPr>
      <w:rPr>
        <w:rFonts w:ascii="Wingdings" w:hAnsi="Wingdings" w:hint="default"/>
      </w:rPr>
    </w:lvl>
    <w:lvl w:ilvl="3" w:tplc="04150001" w:tentative="1">
      <w:start w:val="1"/>
      <w:numFmt w:val="bullet"/>
      <w:lvlText w:val=""/>
      <w:lvlJc w:val="left"/>
      <w:pPr>
        <w:ind w:left="2147" w:hanging="360"/>
      </w:pPr>
      <w:rPr>
        <w:rFonts w:ascii="Symbol" w:hAnsi="Symbol" w:hint="default"/>
      </w:rPr>
    </w:lvl>
    <w:lvl w:ilvl="4" w:tplc="04150003" w:tentative="1">
      <w:start w:val="1"/>
      <w:numFmt w:val="bullet"/>
      <w:lvlText w:val="o"/>
      <w:lvlJc w:val="left"/>
      <w:pPr>
        <w:ind w:left="2867" w:hanging="360"/>
      </w:pPr>
      <w:rPr>
        <w:rFonts w:ascii="Courier New" w:hAnsi="Courier New" w:cs="Courier New" w:hint="default"/>
      </w:rPr>
    </w:lvl>
    <w:lvl w:ilvl="5" w:tplc="04150005" w:tentative="1">
      <w:start w:val="1"/>
      <w:numFmt w:val="bullet"/>
      <w:lvlText w:val=""/>
      <w:lvlJc w:val="left"/>
      <w:pPr>
        <w:ind w:left="3587" w:hanging="360"/>
      </w:pPr>
      <w:rPr>
        <w:rFonts w:ascii="Wingdings" w:hAnsi="Wingdings" w:hint="default"/>
      </w:rPr>
    </w:lvl>
    <w:lvl w:ilvl="6" w:tplc="04150001" w:tentative="1">
      <w:start w:val="1"/>
      <w:numFmt w:val="bullet"/>
      <w:lvlText w:val=""/>
      <w:lvlJc w:val="left"/>
      <w:pPr>
        <w:ind w:left="4307" w:hanging="360"/>
      </w:pPr>
      <w:rPr>
        <w:rFonts w:ascii="Symbol" w:hAnsi="Symbol" w:hint="default"/>
      </w:rPr>
    </w:lvl>
    <w:lvl w:ilvl="7" w:tplc="04150003" w:tentative="1">
      <w:start w:val="1"/>
      <w:numFmt w:val="bullet"/>
      <w:lvlText w:val="o"/>
      <w:lvlJc w:val="left"/>
      <w:pPr>
        <w:ind w:left="5027" w:hanging="360"/>
      </w:pPr>
      <w:rPr>
        <w:rFonts w:ascii="Courier New" w:hAnsi="Courier New" w:cs="Courier New" w:hint="default"/>
      </w:rPr>
    </w:lvl>
    <w:lvl w:ilvl="8" w:tplc="04150005" w:tentative="1">
      <w:start w:val="1"/>
      <w:numFmt w:val="bullet"/>
      <w:lvlText w:val=""/>
      <w:lvlJc w:val="left"/>
      <w:pPr>
        <w:ind w:left="5747" w:hanging="360"/>
      </w:pPr>
      <w:rPr>
        <w:rFonts w:ascii="Wingdings" w:hAnsi="Wingdings" w:hint="default"/>
      </w:rPr>
    </w:lvl>
  </w:abstractNum>
  <w:abstractNum w:abstractNumId="5" w15:restartNumberingAfterBreak="0">
    <w:nsid w:val="12197AB9"/>
    <w:multiLevelType w:val="hybridMultilevel"/>
    <w:tmpl w:val="A650B3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FE0EDD"/>
    <w:multiLevelType w:val="hybridMultilevel"/>
    <w:tmpl w:val="AD006D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0F2875"/>
    <w:multiLevelType w:val="hybridMultilevel"/>
    <w:tmpl w:val="1EC49BCA"/>
    <w:lvl w:ilvl="0" w:tplc="5A3E6A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E83431"/>
    <w:multiLevelType w:val="hybridMultilevel"/>
    <w:tmpl w:val="ABB6E3FC"/>
    <w:lvl w:ilvl="0" w:tplc="FC02698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A42910"/>
    <w:multiLevelType w:val="hybridMultilevel"/>
    <w:tmpl w:val="10004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757CAC"/>
    <w:multiLevelType w:val="multilevel"/>
    <w:tmpl w:val="0A84EA68"/>
    <w:lvl w:ilvl="0">
      <w:start w:val="1"/>
      <w:numFmt w:val="decimal"/>
      <w:suff w:val="space"/>
      <w:lvlText w:val="%1."/>
      <w:lvlJc w:val="left"/>
      <w:pPr>
        <w:ind w:left="227" w:hanging="227"/>
      </w:pPr>
      <w:rPr>
        <w:rFonts w:hint="default"/>
        <w:b/>
      </w:rPr>
    </w:lvl>
    <w:lvl w:ilvl="1">
      <w:start w:val="1"/>
      <w:numFmt w:val="decimal"/>
      <w:suff w:val="space"/>
      <w:lvlText w:val="%1.%2."/>
      <w:lvlJc w:val="left"/>
      <w:pPr>
        <w:ind w:left="227" w:hanging="227"/>
      </w:pPr>
      <w:rPr>
        <w:rFonts w:hint="default"/>
        <w:b/>
        <w:bCs/>
      </w:rPr>
    </w:lvl>
    <w:lvl w:ilvl="2">
      <w:start w:val="1"/>
      <w:numFmt w:val="decimal"/>
      <w:suff w:val="space"/>
      <w:lvlText w:val="%1.%2.%3."/>
      <w:lvlJc w:val="left"/>
      <w:pPr>
        <w:ind w:left="227" w:hanging="227"/>
      </w:pPr>
      <w:rPr>
        <w:rFonts w:hint="default"/>
        <w:b/>
        <w:bCs/>
        <w:i w:val="0"/>
      </w:rPr>
    </w:lvl>
    <w:lvl w:ilvl="3">
      <w:start w:val="1"/>
      <w:numFmt w:val="decimal"/>
      <w:suff w:val="space"/>
      <w:lvlText w:val="%4)"/>
      <w:lvlJc w:val="left"/>
      <w:pPr>
        <w:ind w:left="454" w:hanging="227"/>
      </w:pPr>
      <w:rPr>
        <w:rFonts w:hint="default"/>
        <w:b w:val="0"/>
        <w:bCs w:val="0"/>
      </w:rPr>
    </w:lvl>
    <w:lvl w:ilvl="4">
      <w:start w:val="1"/>
      <w:numFmt w:val="lowerLetter"/>
      <w:suff w:val="space"/>
      <w:lvlText w:val="%5)"/>
      <w:lvlJc w:val="left"/>
      <w:pPr>
        <w:ind w:left="680" w:hanging="226"/>
      </w:pPr>
      <w:rPr>
        <w:rFonts w:hint="default"/>
        <w:b w:val="0"/>
        <w:bCs/>
      </w:r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rPr>
        <w:rFonts w:hint="default"/>
      </w:rPr>
    </w:lvl>
    <w:lvl w:ilvl="7">
      <w:start w:val="1"/>
      <w:numFmt w:val="decimal"/>
      <w:lvlText w:val="%1.%2.%3.%4.%5.%6.%7.%8."/>
      <w:lvlJc w:val="left"/>
      <w:pPr>
        <w:ind w:left="3950" w:hanging="1224"/>
      </w:pPr>
      <w:rPr>
        <w:rFonts w:hint="default"/>
      </w:rPr>
    </w:lvl>
    <w:lvl w:ilvl="8">
      <w:start w:val="1"/>
      <w:numFmt w:val="decimal"/>
      <w:lvlText w:val="%1.%2.%3.%4.%5.%6.%7.%8.%9."/>
      <w:lvlJc w:val="left"/>
      <w:pPr>
        <w:ind w:left="4526" w:hanging="1440"/>
      </w:pPr>
      <w:rPr>
        <w:rFonts w:hint="default"/>
      </w:rPr>
    </w:lvl>
  </w:abstractNum>
  <w:abstractNum w:abstractNumId="11" w15:restartNumberingAfterBreak="0">
    <w:nsid w:val="1E346ADB"/>
    <w:multiLevelType w:val="multilevel"/>
    <w:tmpl w:val="887C7392"/>
    <w:lvl w:ilvl="0">
      <w:start w:val="1"/>
      <w:numFmt w:val="decimal"/>
      <w:suff w:val="space"/>
      <w:lvlText w:val="%1."/>
      <w:lvlJc w:val="left"/>
      <w:pPr>
        <w:ind w:left="227" w:hanging="227"/>
      </w:pPr>
      <w:rPr>
        <w:rFonts w:hint="default"/>
        <w:b/>
      </w:rPr>
    </w:lvl>
    <w:lvl w:ilvl="1">
      <w:start w:val="1"/>
      <w:numFmt w:val="decimal"/>
      <w:suff w:val="space"/>
      <w:lvlText w:val="%1.%2."/>
      <w:lvlJc w:val="left"/>
      <w:pPr>
        <w:ind w:left="227" w:hanging="227"/>
      </w:pPr>
      <w:rPr>
        <w:rFonts w:hint="default"/>
        <w:b/>
        <w:bCs/>
      </w:rPr>
    </w:lvl>
    <w:lvl w:ilvl="2">
      <w:start w:val="1"/>
      <w:numFmt w:val="decimal"/>
      <w:suff w:val="space"/>
      <w:lvlText w:val="%1.%2.%3."/>
      <w:lvlJc w:val="left"/>
      <w:pPr>
        <w:ind w:left="227" w:hanging="227"/>
      </w:pPr>
      <w:rPr>
        <w:rFonts w:hint="default"/>
        <w:b/>
        <w:bCs/>
        <w:i w:val="0"/>
      </w:rPr>
    </w:lvl>
    <w:lvl w:ilvl="3">
      <w:start w:val="1"/>
      <w:numFmt w:val="decimal"/>
      <w:suff w:val="space"/>
      <w:lvlText w:val="%4)"/>
      <w:lvlJc w:val="left"/>
      <w:pPr>
        <w:ind w:left="454" w:hanging="227"/>
      </w:pPr>
      <w:rPr>
        <w:rFonts w:hint="default"/>
        <w:b w:val="0"/>
        <w:bCs w:val="0"/>
      </w:rPr>
    </w:lvl>
    <w:lvl w:ilvl="4">
      <w:start w:val="1"/>
      <w:numFmt w:val="lowerLetter"/>
      <w:suff w:val="space"/>
      <w:lvlText w:val="%5)"/>
      <w:lvlJc w:val="left"/>
      <w:pPr>
        <w:ind w:left="680" w:hanging="226"/>
      </w:pPr>
      <w:rPr>
        <w:rFonts w:hint="default"/>
      </w:r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rPr>
        <w:rFonts w:hint="default"/>
      </w:rPr>
    </w:lvl>
    <w:lvl w:ilvl="7">
      <w:start w:val="1"/>
      <w:numFmt w:val="decimal"/>
      <w:lvlText w:val="%1.%2.%3.%4.%5.%6.%7.%8."/>
      <w:lvlJc w:val="left"/>
      <w:pPr>
        <w:ind w:left="3950" w:hanging="1224"/>
      </w:pPr>
      <w:rPr>
        <w:rFonts w:hint="default"/>
      </w:rPr>
    </w:lvl>
    <w:lvl w:ilvl="8">
      <w:start w:val="1"/>
      <w:numFmt w:val="decimal"/>
      <w:lvlText w:val="%1.%2.%3.%4.%5.%6.%7.%8.%9."/>
      <w:lvlJc w:val="left"/>
      <w:pPr>
        <w:ind w:left="4526" w:hanging="1440"/>
      </w:pPr>
      <w:rPr>
        <w:rFonts w:hint="default"/>
      </w:rPr>
    </w:lvl>
  </w:abstractNum>
  <w:abstractNum w:abstractNumId="12" w15:restartNumberingAfterBreak="0">
    <w:nsid w:val="2754095A"/>
    <w:multiLevelType w:val="hybridMultilevel"/>
    <w:tmpl w:val="E8244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C47F2B"/>
    <w:multiLevelType w:val="hybridMultilevel"/>
    <w:tmpl w:val="5E207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F91E53"/>
    <w:multiLevelType w:val="hybridMultilevel"/>
    <w:tmpl w:val="E0781596"/>
    <w:lvl w:ilvl="0" w:tplc="FC02698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7D3FDC"/>
    <w:multiLevelType w:val="multilevel"/>
    <w:tmpl w:val="887C7392"/>
    <w:lvl w:ilvl="0">
      <w:start w:val="1"/>
      <w:numFmt w:val="decimal"/>
      <w:suff w:val="space"/>
      <w:lvlText w:val="%1."/>
      <w:lvlJc w:val="left"/>
      <w:pPr>
        <w:ind w:left="227" w:hanging="227"/>
      </w:pPr>
      <w:rPr>
        <w:rFonts w:hint="default"/>
        <w:b/>
      </w:rPr>
    </w:lvl>
    <w:lvl w:ilvl="1">
      <w:start w:val="1"/>
      <w:numFmt w:val="decimal"/>
      <w:suff w:val="space"/>
      <w:lvlText w:val="%1.%2."/>
      <w:lvlJc w:val="left"/>
      <w:pPr>
        <w:ind w:left="227" w:hanging="227"/>
      </w:pPr>
      <w:rPr>
        <w:rFonts w:hint="default"/>
        <w:b/>
        <w:bCs/>
      </w:rPr>
    </w:lvl>
    <w:lvl w:ilvl="2">
      <w:start w:val="1"/>
      <w:numFmt w:val="decimal"/>
      <w:suff w:val="space"/>
      <w:lvlText w:val="%1.%2.%3."/>
      <w:lvlJc w:val="left"/>
      <w:pPr>
        <w:ind w:left="227" w:hanging="227"/>
      </w:pPr>
      <w:rPr>
        <w:rFonts w:hint="default"/>
        <w:b/>
        <w:bCs/>
        <w:i w:val="0"/>
      </w:rPr>
    </w:lvl>
    <w:lvl w:ilvl="3">
      <w:start w:val="1"/>
      <w:numFmt w:val="decimal"/>
      <w:suff w:val="space"/>
      <w:lvlText w:val="%4)"/>
      <w:lvlJc w:val="left"/>
      <w:pPr>
        <w:ind w:left="454" w:hanging="227"/>
      </w:pPr>
      <w:rPr>
        <w:rFonts w:hint="default"/>
        <w:b w:val="0"/>
        <w:bCs w:val="0"/>
      </w:rPr>
    </w:lvl>
    <w:lvl w:ilvl="4">
      <w:start w:val="1"/>
      <w:numFmt w:val="lowerLetter"/>
      <w:suff w:val="space"/>
      <w:lvlText w:val="%5)"/>
      <w:lvlJc w:val="left"/>
      <w:pPr>
        <w:ind w:left="680" w:hanging="226"/>
      </w:pPr>
      <w:rPr>
        <w:rFonts w:hint="default"/>
      </w:r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rPr>
        <w:rFonts w:hint="default"/>
      </w:rPr>
    </w:lvl>
    <w:lvl w:ilvl="7">
      <w:start w:val="1"/>
      <w:numFmt w:val="decimal"/>
      <w:lvlText w:val="%1.%2.%3.%4.%5.%6.%7.%8."/>
      <w:lvlJc w:val="left"/>
      <w:pPr>
        <w:ind w:left="3950" w:hanging="1224"/>
      </w:pPr>
      <w:rPr>
        <w:rFonts w:hint="default"/>
      </w:rPr>
    </w:lvl>
    <w:lvl w:ilvl="8">
      <w:start w:val="1"/>
      <w:numFmt w:val="decimal"/>
      <w:lvlText w:val="%1.%2.%3.%4.%5.%6.%7.%8.%9."/>
      <w:lvlJc w:val="left"/>
      <w:pPr>
        <w:ind w:left="4526" w:hanging="1440"/>
      </w:pPr>
      <w:rPr>
        <w:rFonts w:hint="default"/>
      </w:rPr>
    </w:lvl>
  </w:abstractNum>
  <w:abstractNum w:abstractNumId="16" w15:restartNumberingAfterBreak="0">
    <w:nsid w:val="364F3043"/>
    <w:multiLevelType w:val="hybridMultilevel"/>
    <w:tmpl w:val="7F041AF0"/>
    <w:lvl w:ilvl="0" w:tplc="07E64A30">
      <w:start w:val="1"/>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7" w15:restartNumberingAfterBreak="0">
    <w:nsid w:val="37CD012E"/>
    <w:multiLevelType w:val="hybridMultilevel"/>
    <w:tmpl w:val="8FFC63CA"/>
    <w:lvl w:ilvl="0" w:tplc="C1569FCA">
      <w:start w:val="1"/>
      <w:numFmt w:val="bullet"/>
      <w:lvlText w:val="o"/>
      <w:lvlJc w:val="left"/>
      <w:pPr>
        <w:ind w:left="1068" w:hanging="217"/>
      </w:pPr>
      <w:rPr>
        <w:rFonts w:ascii="Courier New" w:hAnsi="Courier New"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o"/>
      <w:lvlJc w:val="left"/>
      <w:pPr>
        <w:ind w:left="1068"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3F60CD"/>
    <w:multiLevelType w:val="hybridMultilevel"/>
    <w:tmpl w:val="758009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BCE0B82"/>
    <w:multiLevelType w:val="hybridMultilevel"/>
    <w:tmpl w:val="386CFB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DAC42D8"/>
    <w:multiLevelType w:val="hybridMultilevel"/>
    <w:tmpl w:val="154C5C5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150003">
      <w:start w:val="1"/>
      <w:numFmt w:val="bullet"/>
      <w:lvlText w:val="o"/>
      <w:lvlJc w:val="left"/>
      <w:pPr>
        <w:ind w:left="1068"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3C6885"/>
    <w:multiLevelType w:val="hybridMultilevel"/>
    <w:tmpl w:val="0B8EC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7025CDC"/>
    <w:multiLevelType w:val="hybridMultilevel"/>
    <w:tmpl w:val="23BA0A4E"/>
    <w:lvl w:ilvl="0" w:tplc="0415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49340582"/>
    <w:multiLevelType w:val="hybridMultilevel"/>
    <w:tmpl w:val="19703E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1076C3"/>
    <w:multiLevelType w:val="hybridMultilevel"/>
    <w:tmpl w:val="ED3224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D5F6E8B"/>
    <w:multiLevelType w:val="multilevel"/>
    <w:tmpl w:val="C32AD0A0"/>
    <w:lvl w:ilvl="0">
      <w:start w:val="1"/>
      <w:numFmt w:val="decimal"/>
      <w:suff w:val="space"/>
      <w:lvlText w:val="%1."/>
      <w:lvlJc w:val="left"/>
      <w:pPr>
        <w:ind w:left="227" w:hanging="227"/>
      </w:pPr>
      <w:rPr>
        <w:b/>
      </w:rPr>
    </w:lvl>
    <w:lvl w:ilvl="1">
      <w:start w:val="1"/>
      <w:numFmt w:val="decimal"/>
      <w:suff w:val="space"/>
      <w:lvlText w:val="%1.%2."/>
      <w:lvlJc w:val="left"/>
      <w:pPr>
        <w:ind w:left="227" w:hanging="227"/>
      </w:pPr>
      <w:rPr>
        <w:b/>
        <w:bCs/>
      </w:rPr>
    </w:lvl>
    <w:lvl w:ilvl="2">
      <w:start w:val="1"/>
      <w:numFmt w:val="decimal"/>
      <w:suff w:val="space"/>
      <w:lvlText w:val="%1.%2.%3."/>
      <w:lvlJc w:val="left"/>
      <w:pPr>
        <w:ind w:left="227" w:hanging="227"/>
      </w:pPr>
      <w:rPr>
        <w:b/>
        <w:bCs/>
        <w:i w:val="0"/>
      </w:rPr>
    </w:lvl>
    <w:lvl w:ilvl="3">
      <w:start w:val="1"/>
      <w:numFmt w:val="decimal"/>
      <w:suff w:val="space"/>
      <w:lvlText w:val="%4)"/>
      <w:lvlJc w:val="left"/>
      <w:pPr>
        <w:ind w:left="454" w:hanging="227"/>
      </w:pPr>
      <w:rPr>
        <w:b w:val="0"/>
        <w:bCs/>
        <w:strike w:val="0"/>
      </w:rPr>
    </w:lvl>
    <w:lvl w:ilvl="4">
      <w:start w:val="1"/>
      <w:numFmt w:val="lowerLetter"/>
      <w:suff w:val="space"/>
      <w:lvlText w:val="%5)"/>
      <w:lvlJc w:val="left"/>
      <w:pPr>
        <w:ind w:left="680" w:hanging="226"/>
      </w:p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lvl>
    <w:lvl w:ilvl="7">
      <w:start w:val="1"/>
      <w:numFmt w:val="decimal"/>
      <w:lvlText w:val="%1.%2.%3.%4.%5.%6.%7.%8."/>
      <w:lvlJc w:val="left"/>
      <w:pPr>
        <w:ind w:left="3950" w:hanging="1224"/>
      </w:pPr>
    </w:lvl>
    <w:lvl w:ilvl="8">
      <w:start w:val="1"/>
      <w:numFmt w:val="decimal"/>
      <w:lvlText w:val="%1.%2.%3.%4.%5.%6.%7.%8.%9."/>
      <w:lvlJc w:val="left"/>
      <w:pPr>
        <w:ind w:left="4526" w:hanging="1440"/>
      </w:pPr>
    </w:lvl>
  </w:abstractNum>
  <w:abstractNum w:abstractNumId="26" w15:restartNumberingAfterBreak="0">
    <w:nsid w:val="4EBA728E"/>
    <w:multiLevelType w:val="hybridMultilevel"/>
    <w:tmpl w:val="1748AC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072792B"/>
    <w:multiLevelType w:val="hybridMultilevel"/>
    <w:tmpl w:val="75AA86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5EB6498"/>
    <w:multiLevelType w:val="hybridMultilevel"/>
    <w:tmpl w:val="F1366E56"/>
    <w:lvl w:ilvl="0" w:tplc="0CEC034A">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5BB03E5C"/>
    <w:multiLevelType w:val="hybridMultilevel"/>
    <w:tmpl w:val="FF32B6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CFF5C7F"/>
    <w:multiLevelType w:val="hybridMultilevel"/>
    <w:tmpl w:val="5AF279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F4348AE"/>
    <w:multiLevelType w:val="hybridMultilevel"/>
    <w:tmpl w:val="FDF40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6230E35"/>
    <w:multiLevelType w:val="hybridMultilevel"/>
    <w:tmpl w:val="4F46BCC6"/>
    <w:lvl w:ilvl="0" w:tplc="EE4685BA">
      <w:start w:val="1"/>
      <w:numFmt w:val="bullet"/>
      <w:lvlText w:val="o"/>
      <w:lvlJc w:val="left"/>
      <w:pPr>
        <w:ind w:left="1418" w:hanging="284"/>
      </w:pPr>
      <w:rPr>
        <w:rFonts w:ascii="Courier New" w:hAnsi="Courier New"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o"/>
      <w:lvlJc w:val="left"/>
      <w:pPr>
        <w:ind w:left="1068"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3F0D0B"/>
    <w:multiLevelType w:val="hybridMultilevel"/>
    <w:tmpl w:val="3A2E6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D594C8D"/>
    <w:multiLevelType w:val="hybridMultilevel"/>
    <w:tmpl w:val="10004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547E04"/>
    <w:multiLevelType w:val="hybridMultilevel"/>
    <w:tmpl w:val="5CC0CF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D4478E"/>
    <w:multiLevelType w:val="hybridMultilevel"/>
    <w:tmpl w:val="AF20E10E"/>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1108AF"/>
    <w:multiLevelType w:val="hybridMultilevel"/>
    <w:tmpl w:val="C63A44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FE6242"/>
    <w:multiLevelType w:val="hybridMultilevel"/>
    <w:tmpl w:val="A3463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D324C5B"/>
    <w:multiLevelType w:val="hybridMultilevel"/>
    <w:tmpl w:val="01F6A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32068946">
    <w:abstractNumId w:val="9"/>
  </w:num>
  <w:num w:numId="2" w16cid:durableId="983047750">
    <w:abstractNumId w:val="7"/>
  </w:num>
  <w:num w:numId="3" w16cid:durableId="912206815">
    <w:abstractNumId w:val="10"/>
  </w:num>
  <w:num w:numId="4" w16cid:durableId="19192415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3262071">
    <w:abstractNumId w:val="34"/>
  </w:num>
  <w:num w:numId="6" w16cid:durableId="1164782895">
    <w:abstractNumId w:val="8"/>
  </w:num>
  <w:num w:numId="7" w16cid:durableId="1764568987">
    <w:abstractNumId w:val="14"/>
  </w:num>
  <w:num w:numId="8" w16cid:durableId="1605840971">
    <w:abstractNumId w:val="16"/>
  </w:num>
  <w:num w:numId="9" w16cid:durableId="969629549">
    <w:abstractNumId w:val="30"/>
  </w:num>
  <w:num w:numId="10" w16cid:durableId="1576276737">
    <w:abstractNumId w:val="4"/>
  </w:num>
  <w:num w:numId="11" w16cid:durableId="409036424">
    <w:abstractNumId w:val="39"/>
  </w:num>
  <w:num w:numId="12" w16cid:durableId="1526747669">
    <w:abstractNumId w:val="6"/>
  </w:num>
  <w:num w:numId="13" w16cid:durableId="1746950255">
    <w:abstractNumId w:val="18"/>
  </w:num>
  <w:num w:numId="14" w16cid:durableId="329715522">
    <w:abstractNumId w:val="21"/>
  </w:num>
  <w:num w:numId="15" w16cid:durableId="1837842867">
    <w:abstractNumId w:val="19"/>
  </w:num>
  <w:num w:numId="16" w16cid:durableId="1970238000">
    <w:abstractNumId w:val="33"/>
  </w:num>
  <w:num w:numId="17" w16cid:durableId="485172914">
    <w:abstractNumId w:val="25"/>
  </w:num>
  <w:num w:numId="18" w16cid:durableId="338780148">
    <w:abstractNumId w:val="11"/>
  </w:num>
  <w:num w:numId="19" w16cid:durableId="1977641737">
    <w:abstractNumId w:val="4"/>
  </w:num>
  <w:num w:numId="20" w16cid:durableId="1099830501">
    <w:abstractNumId w:val="3"/>
  </w:num>
  <w:num w:numId="21" w16cid:durableId="1796680411">
    <w:abstractNumId w:val="27"/>
  </w:num>
  <w:num w:numId="22" w16cid:durableId="1157845039">
    <w:abstractNumId w:val="26"/>
  </w:num>
  <w:num w:numId="23" w16cid:durableId="1318220489">
    <w:abstractNumId w:val="23"/>
  </w:num>
  <w:num w:numId="24" w16cid:durableId="791442922">
    <w:abstractNumId w:val="29"/>
  </w:num>
  <w:num w:numId="25" w16cid:durableId="1530946489">
    <w:abstractNumId w:val="0"/>
  </w:num>
  <w:num w:numId="26" w16cid:durableId="1890258346">
    <w:abstractNumId w:val="2"/>
  </w:num>
  <w:num w:numId="27" w16cid:durableId="1649245800">
    <w:abstractNumId w:val="31"/>
  </w:num>
  <w:num w:numId="28" w16cid:durableId="611791289">
    <w:abstractNumId w:val="1"/>
  </w:num>
  <w:num w:numId="29" w16cid:durableId="1781562961">
    <w:abstractNumId w:val="38"/>
  </w:num>
  <w:num w:numId="30" w16cid:durableId="270279854">
    <w:abstractNumId w:val="28"/>
  </w:num>
  <w:num w:numId="31" w16cid:durableId="1770471421">
    <w:abstractNumId w:val="13"/>
  </w:num>
  <w:num w:numId="32" w16cid:durableId="1010982881">
    <w:abstractNumId w:val="37"/>
  </w:num>
  <w:num w:numId="33" w16cid:durableId="1406343733">
    <w:abstractNumId w:val="36"/>
  </w:num>
  <w:num w:numId="34" w16cid:durableId="1826360189">
    <w:abstractNumId w:val="15"/>
  </w:num>
  <w:num w:numId="35" w16cid:durableId="594823733">
    <w:abstractNumId w:val="22"/>
  </w:num>
  <w:num w:numId="36" w16cid:durableId="179323471">
    <w:abstractNumId w:val="20"/>
  </w:num>
  <w:num w:numId="37" w16cid:durableId="1776514804">
    <w:abstractNumId w:val="17"/>
  </w:num>
  <w:num w:numId="38" w16cid:durableId="653799481">
    <w:abstractNumId w:val="32"/>
  </w:num>
  <w:num w:numId="39" w16cid:durableId="757291277">
    <w:abstractNumId w:val="35"/>
  </w:num>
  <w:num w:numId="40" w16cid:durableId="481896344">
    <w:abstractNumId w:val="12"/>
  </w:num>
  <w:num w:numId="41" w16cid:durableId="65421285">
    <w:abstractNumId w:val="24"/>
  </w:num>
  <w:num w:numId="42" w16cid:durableId="1615136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8C5"/>
    <w:rsid w:val="00000ECC"/>
    <w:rsid w:val="00003F3A"/>
    <w:rsid w:val="00006AE8"/>
    <w:rsid w:val="00006BD6"/>
    <w:rsid w:val="00026DCC"/>
    <w:rsid w:val="00031E9F"/>
    <w:rsid w:val="00033ED5"/>
    <w:rsid w:val="0004009C"/>
    <w:rsid w:val="0004482C"/>
    <w:rsid w:val="0005011B"/>
    <w:rsid w:val="00052E44"/>
    <w:rsid w:val="0006066F"/>
    <w:rsid w:val="000702E4"/>
    <w:rsid w:val="00070A13"/>
    <w:rsid w:val="00070A89"/>
    <w:rsid w:val="00077F0C"/>
    <w:rsid w:val="0008118E"/>
    <w:rsid w:val="00084C5D"/>
    <w:rsid w:val="00084DF3"/>
    <w:rsid w:val="00086074"/>
    <w:rsid w:val="0009112E"/>
    <w:rsid w:val="00097B17"/>
    <w:rsid w:val="000A4576"/>
    <w:rsid w:val="000A688D"/>
    <w:rsid w:val="000A6B96"/>
    <w:rsid w:val="000B21F0"/>
    <w:rsid w:val="000B32C4"/>
    <w:rsid w:val="000B65F8"/>
    <w:rsid w:val="000B7075"/>
    <w:rsid w:val="000D02C0"/>
    <w:rsid w:val="000D2FED"/>
    <w:rsid w:val="000E3BBE"/>
    <w:rsid w:val="000E649C"/>
    <w:rsid w:val="000F077F"/>
    <w:rsid w:val="000F3ED2"/>
    <w:rsid w:val="000F5E24"/>
    <w:rsid w:val="000F76DC"/>
    <w:rsid w:val="001030B2"/>
    <w:rsid w:val="00116B73"/>
    <w:rsid w:val="001204EA"/>
    <w:rsid w:val="00125F02"/>
    <w:rsid w:val="001275D1"/>
    <w:rsid w:val="00134135"/>
    <w:rsid w:val="001377DD"/>
    <w:rsid w:val="00137D33"/>
    <w:rsid w:val="0014120D"/>
    <w:rsid w:val="001426A8"/>
    <w:rsid w:val="00143D0B"/>
    <w:rsid w:val="00144B55"/>
    <w:rsid w:val="00155C8E"/>
    <w:rsid w:val="00157EBF"/>
    <w:rsid w:val="00161605"/>
    <w:rsid w:val="00170D7F"/>
    <w:rsid w:val="00172790"/>
    <w:rsid w:val="00173D8E"/>
    <w:rsid w:val="00175C1F"/>
    <w:rsid w:val="001778F7"/>
    <w:rsid w:val="00180F5C"/>
    <w:rsid w:val="00181288"/>
    <w:rsid w:val="00186CB7"/>
    <w:rsid w:val="00190358"/>
    <w:rsid w:val="001933DE"/>
    <w:rsid w:val="00194CB4"/>
    <w:rsid w:val="00197FA2"/>
    <w:rsid w:val="001A1A5B"/>
    <w:rsid w:val="001A28EB"/>
    <w:rsid w:val="001A7E82"/>
    <w:rsid w:val="001B010E"/>
    <w:rsid w:val="001B0859"/>
    <w:rsid w:val="001B354B"/>
    <w:rsid w:val="001B440C"/>
    <w:rsid w:val="001B7475"/>
    <w:rsid w:val="001D026F"/>
    <w:rsid w:val="001D6485"/>
    <w:rsid w:val="001E2320"/>
    <w:rsid w:val="001E610A"/>
    <w:rsid w:val="001E721F"/>
    <w:rsid w:val="0020378B"/>
    <w:rsid w:val="00205C55"/>
    <w:rsid w:val="00206C0B"/>
    <w:rsid w:val="00221A2A"/>
    <w:rsid w:val="002241C0"/>
    <w:rsid w:val="002270E2"/>
    <w:rsid w:val="00230BB7"/>
    <w:rsid w:val="00237DE2"/>
    <w:rsid w:val="0024697E"/>
    <w:rsid w:val="00255E53"/>
    <w:rsid w:val="00267DD2"/>
    <w:rsid w:val="00271983"/>
    <w:rsid w:val="00275115"/>
    <w:rsid w:val="00280311"/>
    <w:rsid w:val="00281BE7"/>
    <w:rsid w:val="0028225A"/>
    <w:rsid w:val="00284294"/>
    <w:rsid w:val="00286651"/>
    <w:rsid w:val="00287196"/>
    <w:rsid w:val="0029287B"/>
    <w:rsid w:val="0029403F"/>
    <w:rsid w:val="002977E1"/>
    <w:rsid w:val="002C02B6"/>
    <w:rsid w:val="002C0340"/>
    <w:rsid w:val="002C19DE"/>
    <w:rsid w:val="002D55B8"/>
    <w:rsid w:val="002D6ED9"/>
    <w:rsid w:val="002E3000"/>
    <w:rsid w:val="002E46AC"/>
    <w:rsid w:val="002F0FB2"/>
    <w:rsid w:val="002F43BB"/>
    <w:rsid w:val="002F61E3"/>
    <w:rsid w:val="003051DF"/>
    <w:rsid w:val="0031104C"/>
    <w:rsid w:val="003130CA"/>
    <w:rsid w:val="00326537"/>
    <w:rsid w:val="003357D9"/>
    <w:rsid w:val="00337B00"/>
    <w:rsid w:val="00355899"/>
    <w:rsid w:val="00356E75"/>
    <w:rsid w:val="0035733E"/>
    <w:rsid w:val="00372855"/>
    <w:rsid w:val="00374DBE"/>
    <w:rsid w:val="00376E69"/>
    <w:rsid w:val="0037704D"/>
    <w:rsid w:val="0037714E"/>
    <w:rsid w:val="003841AB"/>
    <w:rsid w:val="003935E8"/>
    <w:rsid w:val="00395A36"/>
    <w:rsid w:val="003975D4"/>
    <w:rsid w:val="003A0F16"/>
    <w:rsid w:val="003A5B7D"/>
    <w:rsid w:val="003A6433"/>
    <w:rsid w:val="003B46BF"/>
    <w:rsid w:val="003C4FDD"/>
    <w:rsid w:val="003C6D56"/>
    <w:rsid w:val="003D2AE2"/>
    <w:rsid w:val="003D71C6"/>
    <w:rsid w:val="003E315D"/>
    <w:rsid w:val="003F072E"/>
    <w:rsid w:val="00401DF0"/>
    <w:rsid w:val="00404F9B"/>
    <w:rsid w:val="00411C64"/>
    <w:rsid w:val="004156E6"/>
    <w:rsid w:val="00415707"/>
    <w:rsid w:val="00416F70"/>
    <w:rsid w:val="0041703B"/>
    <w:rsid w:val="00425E4A"/>
    <w:rsid w:val="004403B4"/>
    <w:rsid w:val="00446466"/>
    <w:rsid w:val="00447CE9"/>
    <w:rsid w:val="00453B55"/>
    <w:rsid w:val="0045419D"/>
    <w:rsid w:val="00457779"/>
    <w:rsid w:val="00466FE8"/>
    <w:rsid w:val="0047073D"/>
    <w:rsid w:val="004744CD"/>
    <w:rsid w:val="0048011A"/>
    <w:rsid w:val="004850DC"/>
    <w:rsid w:val="00490715"/>
    <w:rsid w:val="00491267"/>
    <w:rsid w:val="00491300"/>
    <w:rsid w:val="00492285"/>
    <w:rsid w:val="004A1EAC"/>
    <w:rsid w:val="004A2F20"/>
    <w:rsid w:val="004A2F45"/>
    <w:rsid w:val="004A5135"/>
    <w:rsid w:val="004A6973"/>
    <w:rsid w:val="004B2F38"/>
    <w:rsid w:val="004C35E7"/>
    <w:rsid w:val="004D093B"/>
    <w:rsid w:val="004D2191"/>
    <w:rsid w:val="004D3DF8"/>
    <w:rsid w:val="004D7DDC"/>
    <w:rsid w:val="004E219F"/>
    <w:rsid w:val="004E4723"/>
    <w:rsid w:val="004F3FEF"/>
    <w:rsid w:val="004F78B7"/>
    <w:rsid w:val="005058F2"/>
    <w:rsid w:val="00505CD2"/>
    <w:rsid w:val="00512C38"/>
    <w:rsid w:val="00512C7C"/>
    <w:rsid w:val="005130EF"/>
    <w:rsid w:val="005143E4"/>
    <w:rsid w:val="00533C14"/>
    <w:rsid w:val="00544696"/>
    <w:rsid w:val="0055182D"/>
    <w:rsid w:val="0056033C"/>
    <w:rsid w:val="0056748F"/>
    <w:rsid w:val="00574D83"/>
    <w:rsid w:val="00585FA9"/>
    <w:rsid w:val="005871C9"/>
    <w:rsid w:val="00596E33"/>
    <w:rsid w:val="005B06B3"/>
    <w:rsid w:val="005B41EF"/>
    <w:rsid w:val="005B598A"/>
    <w:rsid w:val="005C1959"/>
    <w:rsid w:val="005C27EF"/>
    <w:rsid w:val="005C499F"/>
    <w:rsid w:val="005C608D"/>
    <w:rsid w:val="005C6551"/>
    <w:rsid w:val="005D269A"/>
    <w:rsid w:val="005D3140"/>
    <w:rsid w:val="005D5D31"/>
    <w:rsid w:val="005E0E08"/>
    <w:rsid w:val="005E4CF5"/>
    <w:rsid w:val="005E6B7D"/>
    <w:rsid w:val="005E7898"/>
    <w:rsid w:val="005F70FE"/>
    <w:rsid w:val="006008CD"/>
    <w:rsid w:val="00611BBA"/>
    <w:rsid w:val="00614693"/>
    <w:rsid w:val="00626EE9"/>
    <w:rsid w:val="00633806"/>
    <w:rsid w:val="00633883"/>
    <w:rsid w:val="00634434"/>
    <w:rsid w:val="0064109C"/>
    <w:rsid w:val="0064487F"/>
    <w:rsid w:val="006648F3"/>
    <w:rsid w:val="00670C14"/>
    <w:rsid w:val="0068046C"/>
    <w:rsid w:val="006804BE"/>
    <w:rsid w:val="00680B0E"/>
    <w:rsid w:val="00685293"/>
    <w:rsid w:val="00687B5F"/>
    <w:rsid w:val="00687E5A"/>
    <w:rsid w:val="006905E7"/>
    <w:rsid w:val="00694E14"/>
    <w:rsid w:val="006967BC"/>
    <w:rsid w:val="006A03EB"/>
    <w:rsid w:val="006A0DB9"/>
    <w:rsid w:val="006A533F"/>
    <w:rsid w:val="006A7DCE"/>
    <w:rsid w:val="006B1374"/>
    <w:rsid w:val="006C1B62"/>
    <w:rsid w:val="006C452F"/>
    <w:rsid w:val="006C4ED5"/>
    <w:rsid w:val="006D079B"/>
    <w:rsid w:val="006D183E"/>
    <w:rsid w:val="006D336E"/>
    <w:rsid w:val="006D7964"/>
    <w:rsid w:val="006F33D9"/>
    <w:rsid w:val="006F498A"/>
    <w:rsid w:val="006F5BEB"/>
    <w:rsid w:val="007135A8"/>
    <w:rsid w:val="007156F6"/>
    <w:rsid w:val="00715B91"/>
    <w:rsid w:val="0071620E"/>
    <w:rsid w:val="00716C8C"/>
    <w:rsid w:val="007321D8"/>
    <w:rsid w:val="00733AF9"/>
    <w:rsid w:val="00734732"/>
    <w:rsid w:val="007374BE"/>
    <w:rsid w:val="00740ABA"/>
    <w:rsid w:val="0074295D"/>
    <w:rsid w:val="0075176D"/>
    <w:rsid w:val="00755E27"/>
    <w:rsid w:val="00760E62"/>
    <w:rsid w:val="0078723A"/>
    <w:rsid w:val="00793222"/>
    <w:rsid w:val="00795A57"/>
    <w:rsid w:val="007A4FB5"/>
    <w:rsid w:val="007B043E"/>
    <w:rsid w:val="007B1557"/>
    <w:rsid w:val="007B25FE"/>
    <w:rsid w:val="007B72B2"/>
    <w:rsid w:val="007C4332"/>
    <w:rsid w:val="007C4C95"/>
    <w:rsid w:val="007D0493"/>
    <w:rsid w:val="007D1551"/>
    <w:rsid w:val="007D273D"/>
    <w:rsid w:val="007D6A3A"/>
    <w:rsid w:val="007D6B6F"/>
    <w:rsid w:val="007D74C7"/>
    <w:rsid w:val="007D74E2"/>
    <w:rsid w:val="007F016E"/>
    <w:rsid w:val="008008F6"/>
    <w:rsid w:val="008017A7"/>
    <w:rsid w:val="00823875"/>
    <w:rsid w:val="00827817"/>
    <w:rsid w:val="00827986"/>
    <w:rsid w:val="008279BD"/>
    <w:rsid w:val="0084154E"/>
    <w:rsid w:val="00843352"/>
    <w:rsid w:val="00844624"/>
    <w:rsid w:val="008462C0"/>
    <w:rsid w:val="00861524"/>
    <w:rsid w:val="0087118E"/>
    <w:rsid w:val="00872947"/>
    <w:rsid w:val="00874D78"/>
    <w:rsid w:val="008771C8"/>
    <w:rsid w:val="00882DCA"/>
    <w:rsid w:val="0088727A"/>
    <w:rsid w:val="00895AF1"/>
    <w:rsid w:val="00896D35"/>
    <w:rsid w:val="008B00C4"/>
    <w:rsid w:val="008B43B0"/>
    <w:rsid w:val="008B5033"/>
    <w:rsid w:val="008C0493"/>
    <w:rsid w:val="008C0E92"/>
    <w:rsid w:val="008D3759"/>
    <w:rsid w:val="008D45C3"/>
    <w:rsid w:val="008E18D7"/>
    <w:rsid w:val="008E33C7"/>
    <w:rsid w:val="008F1D35"/>
    <w:rsid w:val="009002AC"/>
    <w:rsid w:val="009066C7"/>
    <w:rsid w:val="009104F7"/>
    <w:rsid w:val="00912B91"/>
    <w:rsid w:val="0092099E"/>
    <w:rsid w:val="0092216D"/>
    <w:rsid w:val="00933339"/>
    <w:rsid w:val="00937B3C"/>
    <w:rsid w:val="00953B84"/>
    <w:rsid w:val="00954927"/>
    <w:rsid w:val="00973F6D"/>
    <w:rsid w:val="00982754"/>
    <w:rsid w:val="009943F4"/>
    <w:rsid w:val="00995FDD"/>
    <w:rsid w:val="00996389"/>
    <w:rsid w:val="00997231"/>
    <w:rsid w:val="009A2234"/>
    <w:rsid w:val="009A6D46"/>
    <w:rsid w:val="009B2F99"/>
    <w:rsid w:val="009B4D11"/>
    <w:rsid w:val="009B7A4D"/>
    <w:rsid w:val="009C1F01"/>
    <w:rsid w:val="009C573D"/>
    <w:rsid w:val="009D10B8"/>
    <w:rsid w:val="009D185F"/>
    <w:rsid w:val="009D43CC"/>
    <w:rsid w:val="009E2331"/>
    <w:rsid w:val="009F413F"/>
    <w:rsid w:val="009F550A"/>
    <w:rsid w:val="009F7497"/>
    <w:rsid w:val="00A01F60"/>
    <w:rsid w:val="00A118F0"/>
    <w:rsid w:val="00A159DA"/>
    <w:rsid w:val="00A22494"/>
    <w:rsid w:val="00A22A7B"/>
    <w:rsid w:val="00A242D8"/>
    <w:rsid w:val="00A248A1"/>
    <w:rsid w:val="00A434EB"/>
    <w:rsid w:val="00A5351C"/>
    <w:rsid w:val="00A54C06"/>
    <w:rsid w:val="00A633F0"/>
    <w:rsid w:val="00A6481E"/>
    <w:rsid w:val="00A66140"/>
    <w:rsid w:val="00A66626"/>
    <w:rsid w:val="00A7064A"/>
    <w:rsid w:val="00A7345A"/>
    <w:rsid w:val="00A75027"/>
    <w:rsid w:val="00A76AA7"/>
    <w:rsid w:val="00A84589"/>
    <w:rsid w:val="00A90397"/>
    <w:rsid w:val="00A90CB0"/>
    <w:rsid w:val="00A9374D"/>
    <w:rsid w:val="00A94461"/>
    <w:rsid w:val="00A960EA"/>
    <w:rsid w:val="00AA4608"/>
    <w:rsid w:val="00AA6179"/>
    <w:rsid w:val="00AB1235"/>
    <w:rsid w:val="00AB2C7E"/>
    <w:rsid w:val="00AB2D5E"/>
    <w:rsid w:val="00AC0511"/>
    <w:rsid w:val="00AD08C5"/>
    <w:rsid w:val="00AE069A"/>
    <w:rsid w:val="00AE1F43"/>
    <w:rsid w:val="00AF1EBC"/>
    <w:rsid w:val="00AF7CEB"/>
    <w:rsid w:val="00B0050A"/>
    <w:rsid w:val="00B1467F"/>
    <w:rsid w:val="00B31928"/>
    <w:rsid w:val="00B326A9"/>
    <w:rsid w:val="00B41D27"/>
    <w:rsid w:val="00B447A5"/>
    <w:rsid w:val="00B45ED3"/>
    <w:rsid w:val="00B5393C"/>
    <w:rsid w:val="00B543E9"/>
    <w:rsid w:val="00B57127"/>
    <w:rsid w:val="00B65EA0"/>
    <w:rsid w:val="00B71266"/>
    <w:rsid w:val="00B76B2B"/>
    <w:rsid w:val="00B8251D"/>
    <w:rsid w:val="00B94288"/>
    <w:rsid w:val="00B9538B"/>
    <w:rsid w:val="00BA15A9"/>
    <w:rsid w:val="00BA7602"/>
    <w:rsid w:val="00BB30C0"/>
    <w:rsid w:val="00BB4FF5"/>
    <w:rsid w:val="00BC376D"/>
    <w:rsid w:val="00BD18E8"/>
    <w:rsid w:val="00BD1D9A"/>
    <w:rsid w:val="00BD20BC"/>
    <w:rsid w:val="00C15673"/>
    <w:rsid w:val="00C15E6F"/>
    <w:rsid w:val="00C210A9"/>
    <w:rsid w:val="00C22821"/>
    <w:rsid w:val="00C243BF"/>
    <w:rsid w:val="00C25F63"/>
    <w:rsid w:val="00C276AE"/>
    <w:rsid w:val="00C404D9"/>
    <w:rsid w:val="00C4237C"/>
    <w:rsid w:val="00C552AA"/>
    <w:rsid w:val="00C55C85"/>
    <w:rsid w:val="00C60868"/>
    <w:rsid w:val="00C6097A"/>
    <w:rsid w:val="00C64DAA"/>
    <w:rsid w:val="00C65204"/>
    <w:rsid w:val="00C70530"/>
    <w:rsid w:val="00C77217"/>
    <w:rsid w:val="00C816A5"/>
    <w:rsid w:val="00C83BE1"/>
    <w:rsid w:val="00C964C8"/>
    <w:rsid w:val="00C97315"/>
    <w:rsid w:val="00CA1AD2"/>
    <w:rsid w:val="00CA2878"/>
    <w:rsid w:val="00CA3038"/>
    <w:rsid w:val="00CA7D06"/>
    <w:rsid w:val="00CB2BB1"/>
    <w:rsid w:val="00CB2E2B"/>
    <w:rsid w:val="00CB3D33"/>
    <w:rsid w:val="00CC0463"/>
    <w:rsid w:val="00CC13E2"/>
    <w:rsid w:val="00CC7F58"/>
    <w:rsid w:val="00CD47C3"/>
    <w:rsid w:val="00CE099F"/>
    <w:rsid w:val="00CE73E2"/>
    <w:rsid w:val="00CF402D"/>
    <w:rsid w:val="00CF5E4F"/>
    <w:rsid w:val="00CF7674"/>
    <w:rsid w:val="00D079C9"/>
    <w:rsid w:val="00D17D3E"/>
    <w:rsid w:val="00D25F43"/>
    <w:rsid w:val="00D25FC6"/>
    <w:rsid w:val="00D44A5D"/>
    <w:rsid w:val="00D510E8"/>
    <w:rsid w:val="00D554A2"/>
    <w:rsid w:val="00D5628B"/>
    <w:rsid w:val="00D63F4F"/>
    <w:rsid w:val="00D6426A"/>
    <w:rsid w:val="00D66456"/>
    <w:rsid w:val="00D76F69"/>
    <w:rsid w:val="00D77CD0"/>
    <w:rsid w:val="00D9306F"/>
    <w:rsid w:val="00DB0B88"/>
    <w:rsid w:val="00DC3784"/>
    <w:rsid w:val="00DD18C6"/>
    <w:rsid w:val="00DD6D00"/>
    <w:rsid w:val="00DE00F0"/>
    <w:rsid w:val="00DE1894"/>
    <w:rsid w:val="00DE5079"/>
    <w:rsid w:val="00DF6B3A"/>
    <w:rsid w:val="00E10271"/>
    <w:rsid w:val="00E34DF7"/>
    <w:rsid w:val="00E35DF6"/>
    <w:rsid w:val="00E50D44"/>
    <w:rsid w:val="00E52765"/>
    <w:rsid w:val="00E55290"/>
    <w:rsid w:val="00E64133"/>
    <w:rsid w:val="00E66456"/>
    <w:rsid w:val="00E67C4E"/>
    <w:rsid w:val="00E738D5"/>
    <w:rsid w:val="00E8288D"/>
    <w:rsid w:val="00E8348C"/>
    <w:rsid w:val="00E900DE"/>
    <w:rsid w:val="00E90D87"/>
    <w:rsid w:val="00E91E64"/>
    <w:rsid w:val="00EA326D"/>
    <w:rsid w:val="00EA39DF"/>
    <w:rsid w:val="00EB1B3E"/>
    <w:rsid w:val="00EB5A68"/>
    <w:rsid w:val="00EB77EA"/>
    <w:rsid w:val="00EC0C4F"/>
    <w:rsid w:val="00EC2B8F"/>
    <w:rsid w:val="00EC74BA"/>
    <w:rsid w:val="00ED15F0"/>
    <w:rsid w:val="00ED4931"/>
    <w:rsid w:val="00ED51E7"/>
    <w:rsid w:val="00EE4384"/>
    <w:rsid w:val="00EE4BD7"/>
    <w:rsid w:val="00EF3551"/>
    <w:rsid w:val="00F017D6"/>
    <w:rsid w:val="00F0779F"/>
    <w:rsid w:val="00F12CF6"/>
    <w:rsid w:val="00F147FC"/>
    <w:rsid w:val="00F15BD4"/>
    <w:rsid w:val="00F25A2F"/>
    <w:rsid w:val="00F31A79"/>
    <w:rsid w:val="00F42214"/>
    <w:rsid w:val="00F5061B"/>
    <w:rsid w:val="00F61A7D"/>
    <w:rsid w:val="00F63AA8"/>
    <w:rsid w:val="00F67CA2"/>
    <w:rsid w:val="00F727B3"/>
    <w:rsid w:val="00F763E5"/>
    <w:rsid w:val="00F859A8"/>
    <w:rsid w:val="00F87D05"/>
    <w:rsid w:val="00F9203E"/>
    <w:rsid w:val="00F957B7"/>
    <w:rsid w:val="00F97A92"/>
    <w:rsid w:val="00FA2B57"/>
    <w:rsid w:val="00FA53DF"/>
    <w:rsid w:val="00FB2364"/>
    <w:rsid w:val="00FB30AC"/>
    <w:rsid w:val="00FB3B6F"/>
    <w:rsid w:val="00FC712D"/>
    <w:rsid w:val="00FD39E3"/>
    <w:rsid w:val="00FD48BC"/>
    <w:rsid w:val="00FE1242"/>
    <w:rsid w:val="00FE6E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1808D"/>
  <w15:docId w15:val="{9907FBD6-CEC2-42E2-A88E-10EDFCF3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6466"/>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1,Styl moj,aotm_załączniki,Akapit z listą11,Table Legend,Dot pt,F5 List Paragraph,List Paragraph1,No Spacing1,List Paragraph Char Char Char,Indicator Text,Colorful List - Accent 11,Numbered Para 1,Bullet 1,Bullet Points,MAIN CONTENT"/>
    <w:basedOn w:val="Normalny"/>
    <w:link w:val="AkapitzlistZnak"/>
    <w:uiPriority w:val="34"/>
    <w:qFormat/>
    <w:rsid w:val="008C0E92"/>
    <w:pPr>
      <w:ind w:left="720"/>
      <w:contextualSpacing/>
    </w:pPr>
  </w:style>
  <w:style w:type="paragraph" w:styleId="Nagwek">
    <w:name w:val="header"/>
    <w:basedOn w:val="Normalny"/>
    <w:link w:val="NagwekZnak"/>
    <w:uiPriority w:val="99"/>
    <w:unhideWhenUsed/>
    <w:rsid w:val="008C0E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0E92"/>
  </w:style>
  <w:style w:type="paragraph" w:styleId="Stopka">
    <w:name w:val="footer"/>
    <w:basedOn w:val="Normalny"/>
    <w:link w:val="StopkaZnak"/>
    <w:uiPriority w:val="99"/>
    <w:unhideWhenUsed/>
    <w:rsid w:val="008C0E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0E92"/>
  </w:style>
  <w:style w:type="paragraph" w:customStyle="1" w:styleId="Style2">
    <w:name w:val="Style2"/>
    <w:basedOn w:val="Normalny"/>
    <w:uiPriority w:val="99"/>
    <w:rsid w:val="00230BB7"/>
    <w:pPr>
      <w:widowControl w:val="0"/>
      <w:suppressAutoHyphens w:val="0"/>
      <w:autoSpaceDE w:val="0"/>
      <w:adjustRightInd w:val="0"/>
      <w:spacing w:after="0" w:line="331" w:lineRule="exact"/>
      <w:jc w:val="both"/>
      <w:textAlignment w:val="auto"/>
    </w:pPr>
    <w:rPr>
      <w:rFonts w:ascii="Times New Roman" w:eastAsia="Times New Roman" w:hAnsi="Times New Roman"/>
      <w:sz w:val="24"/>
      <w:szCs w:val="24"/>
      <w:lang w:eastAsia="pl-PL"/>
    </w:rPr>
  </w:style>
  <w:style w:type="character" w:customStyle="1" w:styleId="FontStyle19">
    <w:name w:val="Font Style19"/>
    <w:basedOn w:val="Domylnaczcionkaakapitu"/>
    <w:uiPriority w:val="99"/>
    <w:rsid w:val="00230BB7"/>
    <w:rPr>
      <w:rFonts w:ascii="Times New Roman" w:hAnsi="Times New Roman" w:cs="Times New Roman"/>
      <w:b/>
      <w:bCs/>
      <w:color w:val="000000"/>
      <w:sz w:val="26"/>
      <w:szCs w:val="26"/>
    </w:rPr>
  </w:style>
  <w:style w:type="character" w:customStyle="1" w:styleId="FontStyle20">
    <w:name w:val="Font Style20"/>
    <w:basedOn w:val="Domylnaczcionkaakapitu"/>
    <w:uiPriority w:val="99"/>
    <w:rsid w:val="00230BB7"/>
    <w:rPr>
      <w:rFonts w:ascii="Times New Roman" w:hAnsi="Times New Roman" w:cs="Times New Roman"/>
      <w:b/>
      <w:bCs/>
      <w:color w:val="000000"/>
      <w:sz w:val="26"/>
      <w:szCs w:val="26"/>
    </w:rPr>
  </w:style>
  <w:style w:type="paragraph" w:styleId="NormalnyWeb">
    <w:name w:val="Normal (Web)"/>
    <w:basedOn w:val="Normalny"/>
    <w:uiPriority w:val="99"/>
    <w:unhideWhenUsed/>
    <w:rsid w:val="006C1B62"/>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val="en-US"/>
    </w:rPr>
  </w:style>
  <w:style w:type="character" w:styleId="Odwoaniedokomentarza">
    <w:name w:val="annotation reference"/>
    <w:basedOn w:val="Domylnaczcionkaakapitu"/>
    <w:uiPriority w:val="99"/>
    <w:semiHidden/>
    <w:unhideWhenUsed/>
    <w:rsid w:val="00031E9F"/>
    <w:rPr>
      <w:sz w:val="16"/>
      <w:szCs w:val="16"/>
    </w:rPr>
  </w:style>
  <w:style w:type="paragraph" w:styleId="Tekstkomentarza">
    <w:name w:val="annotation text"/>
    <w:basedOn w:val="Normalny"/>
    <w:link w:val="TekstkomentarzaZnak"/>
    <w:uiPriority w:val="99"/>
    <w:unhideWhenUsed/>
    <w:rsid w:val="00031E9F"/>
    <w:pPr>
      <w:spacing w:line="240" w:lineRule="auto"/>
    </w:pPr>
    <w:rPr>
      <w:sz w:val="20"/>
      <w:szCs w:val="20"/>
    </w:rPr>
  </w:style>
  <w:style w:type="character" w:customStyle="1" w:styleId="TekstkomentarzaZnak">
    <w:name w:val="Tekst komentarza Znak"/>
    <w:basedOn w:val="Domylnaczcionkaakapitu"/>
    <w:link w:val="Tekstkomentarza"/>
    <w:uiPriority w:val="99"/>
    <w:rsid w:val="00031E9F"/>
    <w:rPr>
      <w:sz w:val="20"/>
      <w:szCs w:val="20"/>
    </w:rPr>
  </w:style>
  <w:style w:type="paragraph" w:styleId="Tematkomentarza">
    <w:name w:val="annotation subject"/>
    <w:basedOn w:val="Tekstkomentarza"/>
    <w:next w:val="Tekstkomentarza"/>
    <w:link w:val="TematkomentarzaZnak"/>
    <w:uiPriority w:val="99"/>
    <w:semiHidden/>
    <w:unhideWhenUsed/>
    <w:rsid w:val="00031E9F"/>
    <w:rPr>
      <w:b/>
      <w:bCs/>
    </w:rPr>
  </w:style>
  <w:style w:type="character" w:customStyle="1" w:styleId="TematkomentarzaZnak">
    <w:name w:val="Temat komentarza Znak"/>
    <w:basedOn w:val="TekstkomentarzaZnak"/>
    <w:link w:val="Tematkomentarza"/>
    <w:uiPriority w:val="99"/>
    <w:semiHidden/>
    <w:rsid w:val="00031E9F"/>
    <w:rPr>
      <w:b/>
      <w:bCs/>
      <w:sz w:val="20"/>
      <w:szCs w:val="20"/>
    </w:rPr>
  </w:style>
  <w:style w:type="character" w:customStyle="1" w:styleId="AkapitzlistZnak">
    <w:name w:val="Akapit z listą Znak"/>
    <w:aliases w:val="Bullet1 Znak,Styl moj Znak,aotm_załączniki Znak,Akapit z listą11 Znak,Table Legend Znak,Dot pt Znak,F5 List Paragraph Znak,List Paragraph1 Znak,No Spacing1 Znak,List Paragraph Char Char Char Znak,Indicator Text Znak,Bullet 1 Znak"/>
    <w:basedOn w:val="Domylnaczcionkaakapitu"/>
    <w:link w:val="Akapitzlist"/>
    <w:uiPriority w:val="34"/>
    <w:qFormat/>
    <w:rsid w:val="001933DE"/>
  </w:style>
  <w:style w:type="paragraph" w:styleId="Poprawka">
    <w:name w:val="Revision"/>
    <w:hidden/>
    <w:uiPriority w:val="99"/>
    <w:semiHidden/>
    <w:rsid w:val="002F43BB"/>
    <w:pPr>
      <w:autoSpaceDN/>
      <w:spacing w:after="0" w:line="240" w:lineRule="auto"/>
      <w:textAlignment w:val="auto"/>
    </w:pPr>
  </w:style>
  <w:style w:type="character" w:styleId="Pogrubienie">
    <w:name w:val="Strong"/>
    <w:basedOn w:val="Domylnaczcionkaakapitu"/>
    <w:uiPriority w:val="22"/>
    <w:qFormat/>
    <w:rsid w:val="00FA2B57"/>
    <w:rPr>
      <w:b/>
      <w:bCs/>
    </w:rPr>
  </w:style>
  <w:style w:type="character" w:customStyle="1" w:styleId="ui-provider">
    <w:name w:val="ui-provider"/>
    <w:basedOn w:val="Domylnaczcionkaakapitu"/>
    <w:rsid w:val="006F33D9"/>
  </w:style>
  <w:style w:type="paragraph" w:customStyle="1" w:styleId="v1msonormal">
    <w:name w:val="v1msonormal"/>
    <w:basedOn w:val="Normalny"/>
    <w:rsid w:val="00596E33"/>
    <w:pPr>
      <w:suppressAutoHyphens w:val="0"/>
      <w:autoSpaceDN/>
      <w:spacing w:before="100" w:beforeAutospacing="1" w:after="100" w:afterAutospacing="1" w:line="240" w:lineRule="auto"/>
      <w:textAlignment w:val="auto"/>
    </w:pPr>
    <w:rPr>
      <w:rFonts w:eastAsiaTheme="minorHAnsi" w:cs="Calibri"/>
      <w:lang w:eastAsia="pl-PL"/>
    </w:rPr>
  </w:style>
  <w:style w:type="character" w:styleId="Uwydatnienie">
    <w:name w:val="Emphasis"/>
    <w:basedOn w:val="Domylnaczcionkaakapitu"/>
    <w:uiPriority w:val="20"/>
    <w:qFormat/>
    <w:rsid w:val="00596E33"/>
    <w:rPr>
      <w:i/>
      <w:iCs/>
    </w:rPr>
  </w:style>
  <w:style w:type="paragraph" w:styleId="Tekstprzypisudolnego">
    <w:name w:val="footnote text"/>
    <w:basedOn w:val="Normalny"/>
    <w:link w:val="TekstprzypisudolnegoZnak"/>
    <w:uiPriority w:val="99"/>
    <w:unhideWhenUsed/>
    <w:rsid w:val="00C404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C404D9"/>
    <w:rPr>
      <w:sz w:val="20"/>
      <w:szCs w:val="20"/>
    </w:rPr>
  </w:style>
  <w:style w:type="character" w:styleId="Odwoanieprzypisudolnego">
    <w:name w:val="footnote reference"/>
    <w:basedOn w:val="Domylnaczcionkaakapitu"/>
    <w:uiPriority w:val="99"/>
    <w:semiHidden/>
    <w:unhideWhenUsed/>
    <w:rsid w:val="00C404D9"/>
    <w:rPr>
      <w:vertAlign w:val="superscript"/>
    </w:rPr>
  </w:style>
  <w:style w:type="paragraph" w:customStyle="1" w:styleId="pismamz">
    <w:name w:val="pisma_mz"/>
    <w:basedOn w:val="Normalny"/>
    <w:link w:val="pismamzZnak"/>
    <w:qFormat/>
    <w:rsid w:val="00C404D9"/>
    <w:pPr>
      <w:suppressAutoHyphens w:val="0"/>
      <w:autoSpaceDN/>
      <w:spacing w:after="0" w:line="360" w:lineRule="auto"/>
      <w:contextualSpacing/>
      <w:jc w:val="both"/>
      <w:textAlignment w:val="auto"/>
    </w:pPr>
    <w:rPr>
      <w:rFonts w:ascii="Arial" w:hAnsi="Arial"/>
    </w:rPr>
  </w:style>
  <w:style w:type="character" w:customStyle="1" w:styleId="pismamzZnak">
    <w:name w:val="pisma_mz Znak"/>
    <w:link w:val="pismamz"/>
    <w:rsid w:val="00C404D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1904">
      <w:bodyDiv w:val="1"/>
      <w:marLeft w:val="0"/>
      <w:marRight w:val="0"/>
      <w:marTop w:val="0"/>
      <w:marBottom w:val="0"/>
      <w:divBdr>
        <w:top w:val="none" w:sz="0" w:space="0" w:color="auto"/>
        <w:left w:val="none" w:sz="0" w:space="0" w:color="auto"/>
        <w:bottom w:val="none" w:sz="0" w:space="0" w:color="auto"/>
        <w:right w:val="none" w:sz="0" w:space="0" w:color="auto"/>
      </w:divBdr>
    </w:div>
    <w:div w:id="248001087">
      <w:bodyDiv w:val="1"/>
      <w:marLeft w:val="0"/>
      <w:marRight w:val="0"/>
      <w:marTop w:val="0"/>
      <w:marBottom w:val="0"/>
      <w:divBdr>
        <w:top w:val="none" w:sz="0" w:space="0" w:color="auto"/>
        <w:left w:val="none" w:sz="0" w:space="0" w:color="auto"/>
        <w:bottom w:val="none" w:sz="0" w:space="0" w:color="auto"/>
        <w:right w:val="none" w:sz="0" w:space="0" w:color="auto"/>
      </w:divBdr>
    </w:div>
    <w:div w:id="1757481077">
      <w:bodyDiv w:val="1"/>
      <w:marLeft w:val="0"/>
      <w:marRight w:val="0"/>
      <w:marTop w:val="0"/>
      <w:marBottom w:val="0"/>
      <w:divBdr>
        <w:top w:val="none" w:sz="0" w:space="0" w:color="auto"/>
        <w:left w:val="none" w:sz="0" w:space="0" w:color="auto"/>
        <w:bottom w:val="none" w:sz="0" w:space="0" w:color="auto"/>
        <w:right w:val="none" w:sz="0" w:space="0" w:color="auto"/>
      </w:divBdr>
    </w:div>
    <w:div w:id="1761750943">
      <w:bodyDiv w:val="1"/>
      <w:marLeft w:val="0"/>
      <w:marRight w:val="0"/>
      <w:marTop w:val="0"/>
      <w:marBottom w:val="0"/>
      <w:divBdr>
        <w:top w:val="none" w:sz="0" w:space="0" w:color="auto"/>
        <w:left w:val="none" w:sz="0" w:space="0" w:color="auto"/>
        <w:bottom w:val="none" w:sz="0" w:space="0" w:color="auto"/>
        <w:right w:val="none" w:sz="0" w:space="0" w:color="auto"/>
      </w:divBdr>
    </w:div>
    <w:div w:id="1793287762">
      <w:bodyDiv w:val="1"/>
      <w:marLeft w:val="0"/>
      <w:marRight w:val="0"/>
      <w:marTop w:val="0"/>
      <w:marBottom w:val="0"/>
      <w:divBdr>
        <w:top w:val="none" w:sz="0" w:space="0" w:color="auto"/>
        <w:left w:val="none" w:sz="0" w:space="0" w:color="auto"/>
        <w:bottom w:val="none" w:sz="0" w:space="0" w:color="auto"/>
        <w:right w:val="none" w:sz="0" w:space="0" w:color="auto"/>
      </w:divBdr>
    </w:div>
    <w:div w:id="1796678890">
      <w:bodyDiv w:val="1"/>
      <w:marLeft w:val="0"/>
      <w:marRight w:val="0"/>
      <w:marTop w:val="0"/>
      <w:marBottom w:val="0"/>
      <w:divBdr>
        <w:top w:val="none" w:sz="0" w:space="0" w:color="auto"/>
        <w:left w:val="none" w:sz="0" w:space="0" w:color="auto"/>
        <w:bottom w:val="none" w:sz="0" w:space="0" w:color="auto"/>
        <w:right w:val="none" w:sz="0" w:space="0" w:color="auto"/>
      </w:divBdr>
    </w:div>
    <w:div w:id="2122874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universe\wric$\09_Pracownicy\1_39_Wilk_J\Nowe%20obj&#281;cia\stycze&#324;%202024%20Wykresy%20od%20201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niverse\wric$\09_Pracownicy\1_39_Wilk_J\Nowe%20obj&#281;cia\stycze&#324;%202024%20Wykresy%20od%20201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niverse\wric$\09_Pracownicy\1_39_Wilk_J\Nowe%20obj&#281;cia\stycze&#324;%202024%20Wykresy%20wskazania%20od%20201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niverse\wric$\09_Pracownicy\1_39_Wilk_J\Nowe%20obj&#281;cia\stycze&#324;%202024%20Wykresy%20wskazania%20od%20201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baseline="0">
                <a:solidFill>
                  <a:sysClr val="windowText" lastClr="000000"/>
                </a:solidFill>
                <a:latin typeface="Lato" panose="020F0502020204030203" pitchFamily="34" charset="-18"/>
                <a:ea typeface="+mn-ea"/>
                <a:cs typeface="+mn-cs"/>
              </a:defRPr>
            </a:pPr>
            <a:r>
              <a:rPr lang="pl-PL" sz="800" b="1" i="0" baseline="0">
                <a:solidFill>
                  <a:sysClr val="windowText" lastClr="000000"/>
                </a:solidFill>
                <a:effectLst/>
                <a:latin typeface="Lato" panose="020F0502020204030203" pitchFamily="34" charset="-18"/>
              </a:rPr>
              <a:t>Liczba nowych cząsteczko-wskazań w 2024 r.</a:t>
            </a:r>
            <a:endParaRPr lang="pl-PL" sz="800">
              <a:solidFill>
                <a:sysClr val="windowText" lastClr="000000"/>
              </a:solidFill>
              <a:effectLst/>
              <a:latin typeface="Lato" panose="020F0502020204030203" pitchFamily="34" charset="-18"/>
            </a:endParaRP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title>
    <c:autoTitleDeleted val="0"/>
    <c:plotArea>
      <c:layout>
        <c:manualLayout>
          <c:layoutTarget val="inner"/>
          <c:xMode val="edge"/>
          <c:yMode val="edge"/>
          <c:x val="7.7692038495188118E-2"/>
          <c:y val="0.13625000000000001"/>
          <c:w val="0.90286351706036749"/>
          <c:h val="0.67805957655647753"/>
        </c:manualLayout>
      </c:layout>
      <c:barChart>
        <c:barDir val="col"/>
        <c:grouping val="clustered"/>
        <c:varyColors val="0"/>
        <c:ser>
          <c:idx val="0"/>
          <c:order val="0"/>
          <c:tx>
            <c:strRef>
              <c:f>'miesiące 2024'!$A$3</c:f>
              <c:strCache>
                <c:ptCount val="1"/>
                <c:pt idx="0">
                  <c:v>Wskazania onkologiczne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'miesiące 2024'!$B$1:$E$2</c:f>
              <c:strCache>
                <c:ptCount val="4"/>
                <c:pt idx="0">
                  <c:v>styczeń</c:v>
                </c:pt>
                <c:pt idx="1">
                  <c:v>kwiecień</c:v>
                </c:pt>
                <c:pt idx="2">
                  <c:v>lipiec</c:v>
                </c:pt>
                <c:pt idx="3">
                  <c:v>październik</c:v>
                </c:pt>
              </c:strCache>
            </c:strRef>
          </c:cat>
          <c:val>
            <c:numRef>
              <c:f>'miesiące 2024'!$B$3:$E$3</c:f>
              <c:numCache>
                <c:formatCode>General</c:formatCode>
                <c:ptCount val="4"/>
                <c:pt idx="0">
                  <c:v>8</c:v>
                </c:pt>
              </c:numCache>
            </c:numRef>
          </c:val>
          <c:extLst>
            <c:ext xmlns:c16="http://schemas.microsoft.com/office/drawing/2014/chart" uri="{C3380CC4-5D6E-409C-BE32-E72D297353CC}">
              <c16:uniqueId val="{00000000-BB4F-4BFA-9BA6-88F2400CC991}"/>
            </c:ext>
          </c:extLst>
        </c:ser>
        <c:ser>
          <c:idx val="1"/>
          <c:order val="1"/>
          <c:tx>
            <c:strRef>
              <c:f>'miesiące 2024'!$A$4</c:f>
              <c:strCache>
                <c:ptCount val="1"/>
                <c:pt idx="0">
                  <c:v>Wskazania nieonkologiczne</c:v>
                </c:pt>
              </c:strCache>
            </c:strRef>
          </c:tx>
          <c:spPr>
            <a:solidFill>
              <a:srgbClr val="4F93D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'miesiące 2024'!$B$1:$E$2</c:f>
              <c:strCache>
                <c:ptCount val="4"/>
                <c:pt idx="0">
                  <c:v>styczeń</c:v>
                </c:pt>
                <c:pt idx="1">
                  <c:v>kwiecień</c:v>
                </c:pt>
                <c:pt idx="2">
                  <c:v>lipiec</c:v>
                </c:pt>
                <c:pt idx="3">
                  <c:v>październik</c:v>
                </c:pt>
              </c:strCache>
            </c:strRef>
          </c:cat>
          <c:val>
            <c:numRef>
              <c:f>'miesiące 2024'!$B$4:$E$4</c:f>
              <c:numCache>
                <c:formatCode>General</c:formatCode>
                <c:ptCount val="4"/>
                <c:pt idx="0">
                  <c:v>11</c:v>
                </c:pt>
              </c:numCache>
            </c:numRef>
          </c:val>
          <c:extLst>
            <c:ext xmlns:c16="http://schemas.microsoft.com/office/drawing/2014/chart" uri="{C3380CC4-5D6E-409C-BE32-E72D297353CC}">
              <c16:uniqueId val="{00000001-BB4F-4BFA-9BA6-88F2400CC991}"/>
            </c:ext>
          </c:extLst>
        </c:ser>
        <c:dLbls>
          <c:showLegendKey val="0"/>
          <c:showVal val="1"/>
          <c:showCatName val="0"/>
          <c:showSerName val="0"/>
          <c:showPercent val="0"/>
          <c:showBubbleSize val="0"/>
        </c:dLbls>
        <c:gapWidth val="150"/>
        <c:axId val="703835919"/>
        <c:axId val="703834671"/>
      </c:barChart>
      <c:catAx>
        <c:axId val="70383591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crossAx val="703834671"/>
        <c:crosses val="autoZero"/>
        <c:auto val="1"/>
        <c:lblAlgn val="ctr"/>
        <c:lblOffset val="100"/>
        <c:noMultiLvlLbl val="0"/>
      </c:catAx>
      <c:valAx>
        <c:axId val="7038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crossAx val="703835919"/>
        <c:crosses val="autoZero"/>
        <c:crossBetween val="between"/>
      </c:valAx>
      <c:spPr>
        <a:noFill/>
        <a:ln>
          <a:noFill/>
        </a:ln>
        <a:effectLst/>
      </c:spPr>
    </c:plotArea>
    <c:legend>
      <c:legendPos val="b"/>
      <c:layout>
        <c:manualLayout>
          <c:xMode val="edge"/>
          <c:yMode val="edge"/>
          <c:x val="0.1527996690383307"/>
          <c:y val="0.921184637020659"/>
          <c:w val="0.69440043398830464"/>
          <c:h val="7.4039813791184406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baseline="0">
                <a:solidFill>
                  <a:sysClr val="windowText" lastClr="000000"/>
                </a:solidFill>
                <a:latin typeface="Lato" panose="020F0502020204030203" pitchFamily="34" charset="-18"/>
                <a:ea typeface="+mn-ea"/>
                <a:cs typeface="+mn-cs"/>
              </a:defRPr>
            </a:pPr>
            <a:r>
              <a:rPr lang="pl-PL" sz="800" b="1" i="0" baseline="0">
                <a:solidFill>
                  <a:sysClr val="windowText" lastClr="000000"/>
                </a:solidFill>
                <a:effectLst/>
                <a:latin typeface="Lato" panose="020F0502020204030203" pitchFamily="34" charset="-18"/>
              </a:rPr>
              <a:t>Liczba nowych cząsteczko-wskazań w 2024 r. - choroby rzadkie</a:t>
            </a:r>
            <a:endParaRPr lang="pl-PL" sz="800">
              <a:solidFill>
                <a:sysClr val="windowText" lastClr="000000"/>
              </a:solidFill>
              <a:effectLst/>
              <a:latin typeface="Lato" panose="020F0502020204030203" pitchFamily="34" charset="-18"/>
            </a:endParaRP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title>
    <c:autoTitleDeleted val="0"/>
    <c:plotArea>
      <c:layout>
        <c:manualLayout>
          <c:layoutTarget val="inner"/>
          <c:xMode val="edge"/>
          <c:yMode val="edge"/>
          <c:x val="7.7692038495188118E-2"/>
          <c:y val="0.13625000000000001"/>
          <c:w val="0.90286351706036749"/>
          <c:h val="0.67829429975099265"/>
        </c:manualLayout>
      </c:layout>
      <c:barChart>
        <c:barDir val="col"/>
        <c:grouping val="clustered"/>
        <c:varyColors val="0"/>
        <c:ser>
          <c:idx val="0"/>
          <c:order val="0"/>
          <c:tx>
            <c:strRef>
              <c:f>'miesiące 2024'!$A$18</c:f>
              <c:strCache>
                <c:ptCount val="1"/>
                <c:pt idx="0">
                  <c:v>Wskazania rzadkie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'miesiące 2024'!$B$16:$E$17</c:f>
              <c:strCache>
                <c:ptCount val="4"/>
                <c:pt idx="0">
                  <c:v>styczeń</c:v>
                </c:pt>
                <c:pt idx="1">
                  <c:v>kwiecień</c:v>
                </c:pt>
                <c:pt idx="2">
                  <c:v>lipiec</c:v>
                </c:pt>
                <c:pt idx="3">
                  <c:v>październik</c:v>
                </c:pt>
              </c:strCache>
            </c:strRef>
          </c:cat>
          <c:val>
            <c:numRef>
              <c:f>'miesiące 2024'!$B$18:$E$18</c:f>
              <c:numCache>
                <c:formatCode>General</c:formatCode>
                <c:ptCount val="4"/>
                <c:pt idx="0">
                  <c:v>10</c:v>
                </c:pt>
              </c:numCache>
            </c:numRef>
          </c:val>
          <c:extLst>
            <c:ext xmlns:c16="http://schemas.microsoft.com/office/drawing/2014/chart" uri="{C3380CC4-5D6E-409C-BE32-E72D297353CC}">
              <c16:uniqueId val="{00000000-7A84-4332-AA3D-BC40CBC43C5B}"/>
            </c:ext>
          </c:extLst>
        </c:ser>
        <c:ser>
          <c:idx val="1"/>
          <c:order val="1"/>
          <c:tx>
            <c:strRef>
              <c:f>'miesiące 2024'!$A$19</c:f>
              <c:strCache>
                <c:ptCount val="1"/>
                <c:pt idx="0">
                  <c:v>Pozostałe</c:v>
                </c:pt>
              </c:strCache>
            </c:strRef>
          </c:tx>
          <c:spPr>
            <a:solidFill>
              <a:srgbClr val="4F93D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'miesiące 2024'!$B$16:$E$17</c:f>
              <c:strCache>
                <c:ptCount val="4"/>
                <c:pt idx="0">
                  <c:v>styczeń</c:v>
                </c:pt>
                <c:pt idx="1">
                  <c:v>kwiecień</c:v>
                </c:pt>
                <c:pt idx="2">
                  <c:v>lipiec</c:v>
                </c:pt>
                <c:pt idx="3">
                  <c:v>październik</c:v>
                </c:pt>
              </c:strCache>
            </c:strRef>
          </c:cat>
          <c:val>
            <c:numRef>
              <c:f>'miesiące 2024'!$B$19:$E$19</c:f>
              <c:numCache>
                <c:formatCode>General</c:formatCode>
                <c:ptCount val="4"/>
                <c:pt idx="0">
                  <c:v>9</c:v>
                </c:pt>
              </c:numCache>
            </c:numRef>
          </c:val>
          <c:extLst>
            <c:ext xmlns:c16="http://schemas.microsoft.com/office/drawing/2014/chart" uri="{C3380CC4-5D6E-409C-BE32-E72D297353CC}">
              <c16:uniqueId val="{00000001-7A84-4332-AA3D-BC40CBC43C5B}"/>
            </c:ext>
          </c:extLst>
        </c:ser>
        <c:dLbls>
          <c:showLegendKey val="0"/>
          <c:showVal val="1"/>
          <c:showCatName val="0"/>
          <c:showSerName val="0"/>
          <c:showPercent val="0"/>
          <c:showBubbleSize val="0"/>
        </c:dLbls>
        <c:gapWidth val="150"/>
        <c:axId val="703835919"/>
        <c:axId val="703834671"/>
      </c:barChart>
      <c:catAx>
        <c:axId val="70383591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crossAx val="703834671"/>
        <c:crosses val="autoZero"/>
        <c:auto val="1"/>
        <c:lblAlgn val="ctr"/>
        <c:lblOffset val="100"/>
        <c:noMultiLvlLbl val="0"/>
      </c:catAx>
      <c:valAx>
        <c:axId val="703834671"/>
        <c:scaling>
          <c:orientation val="minMax"/>
          <c:max val="12"/>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crossAx val="703835919"/>
        <c:crosses val="autoZero"/>
        <c:crossBetween val="between"/>
        <c:majorUnit val="2"/>
      </c:valAx>
      <c:spPr>
        <a:noFill/>
        <a:ln>
          <a:noFill/>
        </a:ln>
        <a:effectLst/>
      </c:spPr>
    </c:plotArea>
    <c:legend>
      <c:legendPos val="b"/>
      <c:layout>
        <c:manualLayout>
          <c:xMode val="edge"/>
          <c:yMode val="edge"/>
          <c:x val="0.29631955096522028"/>
          <c:y val="0.91634916603166539"/>
          <c:w val="0.40736067082523775"/>
          <c:h val="7.4092888926518594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800" b="1" i="0" u="none" strike="noStrike" kern="1200" spc="0" baseline="0">
                <a:solidFill>
                  <a:sysClr val="windowText" lastClr="000000"/>
                </a:solidFill>
                <a:latin typeface="Lato" panose="020F0502020204030203" pitchFamily="34" charset="-18"/>
                <a:ea typeface="+mn-ea"/>
                <a:cs typeface="+mn-cs"/>
              </a:defRPr>
            </a:pPr>
            <a:r>
              <a:rPr lang="pl-PL" sz="800" b="1">
                <a:solidFill>
                  <a:sysClr val="windowText" lastClr="000000"/>
                </a:solidFill>
                <a:latin typeface="Lato" panose="020F0502020204030203" pitchFamily="34" charset="-18"/>
              </a:rPr>
              <a:t>Cząsteczko-wskazania onkologiczne w 2024 r. (stan na styczeń) </a:t>
            </a:r>
          </a:p>
        </c:rich>
      </c:tx>
      <c:layout>
        <c:manualLayout>
          <c:xMode val="edge"/>
          <c:yMode val="edge"/>
          <c:x val="0.20432428779020648"/>
          <c:y val="1.7697644482337797E-2"/>
        </c:manualLayout>
      </c:layout>
      <c:overlay val="0"/>
      <c:spPr>
        <a:noFill/>
        <a:ln>
          <a:noFill/>
        </a:ln>
        <a:effectLst/>
      </c:spPr>
      <c:txPr>
        <a:bodyPr rot="0" spcFirstLastPara="1" vertOverflow="ellipsis" vert="horz" wrap="square" anchor="ctr" anchorCtr="1"/>
        <a:lstStyle/>
        <a:p>
          <a:pPr algn="ctr">
            <a:defRPr sz="800" b="1" i="0" u="none" strike="noStrike" kern="1200" spc="0" baseline="0">
              <a:solidFill>
                <a:sysClr val="windowText" lastClr="000000"/>
              </a:solidFill>
              <a:latin typeface="Lato" panose="020F0502020204030203" pitchFamily="34" charset="-18"/>
              <a:ea typeface="+mn-ea"/>
              <a:cs typeface="+mn-cs"/>
            </a:defRPr>
          </a:pPr>
          <a:endParaRPr lang="pl-PL"/>
        </a:p>
      </c:txPr>
    </c:title>
    <c:autoTitleDeleted val="0"/>
    <c:plotArea>
      <c:layout>
        <c:manualLayout>
          <c:layoutTarget val="inner"/>
          <c:xMode val="edge"/>
          <c:yMode val="edge"/>
          <c:x val="0.19019341466436868"/>
          <c:y val="0.10928921047031283"/>
          <c:w val="0.78573327475696442"/>
          <c:h val="0.8086234659856707"/>
        </c:manualLayout>
      </c:layout>
      <c:barChart>
        <c:barDir val="bar"/>
        <c:grouping val="clustered"/>
        <c:varyColors val="0"/>
        <c:ser>
          <c:idx val="10"/>
          <c:order val="0"/>
          <c:tx>
            <c:strRef>
              <c:f>'miesiące 2024'!$B$2</c:f>
              <c:strCache>
                <c:ptCount val="1"/>
                <c:pt idx="0">
                  <c:v>2024
(stan na styczeń)</c:v>
                </c:pt>
              </c:strCache>
            </c:strRef>
          </c:tx>
          <c:spPr>
            <a:solidFill>
              <a:srgbClr val="4F93D1"/>
            </a:solidFill>
            <a:ln>
              <a:noFill/>
            </a:ln>
            <a:effectLst/>
          </c:spPr>
          <c:invertIfNegative val="0"/>
          <c:cat>
            <c:strRef>
              <c:f>('miesiące 2024'!$A$3:$A$4,'miesiące 2024'!$A$11:$A$12)</c:f>
              <c:strCache>
                <c:ptCount val="4"/>
                <c:pt idx="0">
                  <c:v>Inne</c:v>
                </c:pt>
                <c:pt idx="1">
                  <c:v>Nowotwory układu 
urologicznego</c:v>
                </c:pt>
                <c:pt idx="2">
                  <c:v>Nowotwory układu 
endokrynnego</c:v>
                </c:pt>
                <c:pt idx="3">
                  <c:v>Hematoonkologia</c:v>
                </c:pt>
              </c:strCache>
              <c:extLst/>
            </c:strRef>
          </c:cat>
          <c:val>
            <c:numRef>
              <c:f>('miesiące 2024'!$B$3:$B$4,'miesiące 2024'!$B$11:$B$12)</c:f>
              <c:numCache>
                <c:formatCode>General</c:formatCode>
                <c:ptCount val="4"/>
                <c:pt idx="0">
                  <c:v>1</c:v>
                </c:pt>
                <c:pt idx="1">
                  <c:v>1</c:v>
                </c:pt>
                <c:pt idx="2">
                  <c:v>1</c:v>
                </c:pt>
                <c:pt idx="3">
                  <c:v>5</c:v>
                </c:pt>
              </c:numCache>
              <c:extLst/>
            </c:numRef>
          </c:val>
          <c:extLst>
            <c:ext xmlns:c16="http://schemas.microsoft.com/office/drawing/2014/chart" uri="{C3380CC4-5D6E-409C-BE32-E72D297353CC}">
              <c16:uniqueId val="{00000000-5449-42B1-A0E7-D4C788E75688}"/>
            </c:ext>
          </c:extLst>
        </c:ser>
        <c:dLbls>
          <c:showLegendKey val="0"/>
          <c:showVal val="0"/>
          <c:showCatName val="0"/>
          <c:showSerName val="0"/>
          <c:showPercent val="0"/>
          <c:showBubbleSize val="0"/>
        </c:dLbls>
        <c:gapWidth val="150"/>
        <c:axId val="751046271"/>
        <c:axId val="751054175"/>
      </c:barChart>
      <c:valAx>
        <c:axId val="7510541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Lato" panose="020F0502020204030203" pitchFamily="34" charset="-18"/>
                <a:ea typeface="+mn-ea"/>
                <a:cs typeface="+mn-cs"/>
              </a:defRPr>
            </a:pPr>
            <a:endParaRPr lang="pl-PL"/>
          </a:p>
        </c:txPr>
        <c:crossAx val="751046271"/>
        <c:crosses val="autoZero"/>
        <c:crossBetween val="between"/>
        <c:majorUnit val="1"/>
      </c:valAx>
      <c:catAx>
        <c:axId val="751046271"/>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Lato" panose="020F0502020204030203" pitchFamily="34" charset="-18"/>
                <a:ea typeface="+mn-ea"/>
                <a:cs typeface="+mn-cs"/>
              </a:defRPr>
            </a:pPr>
            <a:endParaRPr lang="pl-PL"/>
          </a:p>
        </c:txPr>
        <c:crossAx val="751054175"/>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Lato" panose="020F0502020204030203" pitchFamily="34" charset="-18"/>
                <a:ea typeface="+mn-ea"/>
                <a:cs typeface="+mn-cs"/>
              </a:defRPr>
            </a:pPr>
            <a:r>
              <a:rPr lang="pl-PL" sz="800" b="1">
                <a:latin typeface="Lato" panose="020F0502020204030203" pitchFamily="34" charset="-18"/>
              </a:rPr>
              <a:t>Cząsteczko-wskazania nieonkologiczne w 2024 r. (stan na styczeń) </a:t>
            </a:r>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Lato" panose="020F0502020204030203" pitchFamily="34" charset="-18"/>
              <a:ea typeface="+mn-ea"/>
              <a:cs typeface="+mn-cs"/>
            </a:defRPr>
          </a:pPr>
          <a:endParaRPr lang="pl-PL"/>
        </a:p>
      </c:txPr>
    </c:title>
    <c:autoTitleDeleted val="0"/>
    <c:plotArea>
      <c:layout>
        <c:manualLayout>
          <c:layoutTarget val="inner"/>
          <c:xMode val="edge"/>
          <c:yMode val="edge"/>
          <c:x val="0.23286654900896006"/>
          <c:y val="0.1117124097506981"/>
          <c:w val="0.74306679337496617"/>
          <c:h val="0.82649157673182228"/>
        </c:manualLayout>
      </c:layout>
      <c:barChart>
        <c:barDir val="bar"/>
        <c:grouping val="clustered"/>
        <c:varyColors val="0"/>
        <c:ser>
          <c:idx val="0"/>
          <c:order val="0"/>
          <c:tx>
            <c:strRef>
              <c:f>'miesiące 2024'!$B$19</c:f>
              <c:strCache>
                <c:ptCount val="1"/>
                <c:pt idx="0">
                  <c:v>2024
(stan na styczeń)</c:v>
                </c:pt>
              </c:strCache>
            </c:strRef>
          </c:tx>
          <c:spPr>
            <a:solidFill>
              <a:srgbClr val="4F93D1"/>
            </a:solidFill>
            <a:ln>
              <a:noFill/>
            </a:ln>
            <a:effectLst/>
          </c:spPr>
          <c:invertIfNegative val="0"/>
          <c:cat>
            <c:strRef>
              <c:f>('miesiące 2024'!$A$24:$A$29,'miesiące 2024'!$A$34,'miesiące 2024'!$A$36)</c:f>
              <c:strCache>
                <c:ptCount val="8"/>
                <c:pt idx="0">
                  <c:v>Okulistyka</c:v>
                </c:pt>
                <c:pt idx="1">
                  <c:v>Neurologia</c:v>
                </c:pt>
                <c:pt idx="2">
                  <c:v>Nefrologia </c:v>
                </c:pt>
                <c:pt idx="3">
                  <c:v>Kardiologia</c:v>
                </c:pt>
                <c:pt idx="4">
                  <c:v>Immunologia</c:v>
                </c:pt>
                <c:pt idx="5">
                  <c:v>Hepatologia</c:v>
                </c:pt>
                <c:pt idx="6">
                  <c:v>Diabetologia</c:v>
                </c:pt>
                <c:pt idx="7">
                  <c:v>Choroby metaboliczne</c:v>
                </c:pt>
              </c:strCache>
              <c:extLst/>
            </c:strRef>
          </c:cat>
          <c:val>
            <c:numRef>
              <c:f>('miesiące 2024'!$B$24:$B$29,'miesiące 2024'!$B$34,'miesiące 2024'!$B$36)</c:f>
              <c:numCache>
                <c:formatCode>General</c:formatCode>
                <c:ptCount val="8"/>
                <c:pt idx="0">
                  <c:v>2</c:v>
                </c:pt>
                <c:pt idx="1">
                  <c:v>2</c:v>
                </c:pt>
                <c:pt idx="2">
                  <c:v>2</c:v>
                </c:pt>
                <c:pt idx="3">
                  <c:v>1</c:v>
                </c:pt>
                <c:pt idx="4">
                  <c:v>1</c:v>
                </c:pt>
                <c:pt idx="5">
                  <c:v>1</c:v>
                </c:pt>
                <c:pt idx="6">
                  <c:v>1</c:v>
                </c:pt>
                <c:pt idx="7">
                  <c:v>1</c:v>
                </c:pt>
              </c:numCache>
              <c:extLst/>
            </c:numRef>
          </c:val>
          <c:extLst>
            <c:ext xmlns:c16="http://schemas.microsoft.com/office/drawing/2014/chart" uri="{C3380CC4-5D6E-409C-BE32-E72D297353CC}">
              <c16:uniqueId val="{00000000-B4C9-480D-B561-4D7CFA7AE389}"/>
            </c:ext>
          </c:extLst>
        </c:ser>
        <c:dLbls>
          <c:showLegendKey val="0"/>
          <c:showVal val="0"/>
          <c:showCatName val="0"/>
          <c:showSerName val="0"/>
          <c:showPercent val="0"/>
          <c:showBubbleSize val="0"/>
        </c:dLbls>
        <c:gapWidth val="150"/>
        <c:axId val="241296495"/>
        <c:axId val="241294831"/>
      </c:barChart>
      <c:valAx>
        <c:axId val="2412948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Lato" panose="020F0502020204030203" pitchFamily="34" charset="-18"/>
                <a:ea typeface="+mn-ea"/>
                <a:cs typeface="+mn-cs"/>
              </a:defRPr>
            </a:pPr>
            <a:endParaRPr lang="pl-PL"/>
          </a:p>
        </c:txPr>
        <c:crossAx val="241296495"/>
        <c:crosses val="autoZero"/>
        <c:crossBetween val="between"/>
        <c:majorUnit val="1"/>
      </c:valAx>
      <c:catAx>
        <c:axId val="24129649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Lato" panose="020F0502020204030203" pitchFamily="34" charset="-18"/>
                <a:ea typeface="+mn-ea"/>
                <a:cs typeface="+mn-cs"/>
              </a:defRPr>
            </a:pPr>
            <a:endParaRPr lang="pl-PL"/>
          </a:p>
        </c:txPr>
        <c:crossAx val="241294831"/>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11</Pages>
  <Words>2029</Words>
  <Characters>12179</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Oczkowski Mateusz</dc:creator>
  <dc:description/>
  <cp:lastModifiedBy>Tobiaszewski Paweł</cp:lastModifiedBy>
  <cp:revision>29</cp:revision>
  <dcterms:created xsi:type="dcterms:W3CDTF">2023-10-12T08:41:00Z</dcterms:created>
  <dcterms:modified xsi:type="dcterms:W3CDTF">2023-12-08T10:15:00Z</dcterms:modified>
</cp:coreProperties>
</file>