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7C4" w:rsidRDefault="005E57C4" w:rsidP="005E57C4">
      <w:pPr>
        <w:jc w:val="both"/>
      </w:pPr>
      <w:r>
        <w:t>Na po</w:t>
      </w:r>
      <w:r w:rsidR="00C75D6D">
        <w:t>d</w:t>
      </w:r>
      <w:r>
        <w:t>stawie art. 13 Rozporządzenia Parlamentu Europejskiego i Rady (UE) 2016/679 z dnia 27 kwietnia</w:t>
      </w:r>
      <w:r w:rsidR="00A82BBE">
        <w:t> </w:t>
      </w:r>
      <w:r>
        <w:t>2016 r. w sprawie ochrony osób fizycznych w związku z przetwarzaniem danych osobowych i</w:t>
      </w:r>
      <w:r w:rsidR="00A82BBE">
        <w:t> </w:t>
      </w:r>
      <w:r>
        <w:t>w sprawie swobodnego przepływu tych danych oraz uchylenia dyrektywy 95/46/WE (ogólne rozporządzenie o ochronie danych osobowych), zwanego dalej „Rozporządzeniem”, informujemy, że Szef Urzędu do Spraw Cudzoziemców z siedzibą w Warszawie przy ul. Koszykowej 16, 00-564 Warszawa, jest administratorem danych osób, które:</w:t>
      </w:r>
    </w:p>
    <w:p w:rsidR="005E57C4" w:rsidRDefault="005E57C4" w:rsidP="005E57C4">
      <w:pPr>
        <w:pStyle w:val="Akapitzlist"/>
        <w:numPr>
          <w:ilvl w:val="0"/>
          <w:numId w:val="1"/>
        </w:numPr>
        <w:jc w:val="both"/>
      </w:pPr>
      <w:r>
        <w:t>złożyły wniosek w sprawie podlegającej rejestracji w krajowym zbiorze rejestrów ewidencji i</w:t>
      </w:r>
      <w:r w:rsidR="00A82BBE">
        <w:t> </w:t>
      </w:r>
      <w:r>
        <w:t>wykazu w sprawach cudzoziemców</w:t>
      </w:r>
      <w:r>
        <w:rPr>
          <w:rStyle w:val="Odwoanieprzypisudolnego"/>
        </w:rPr>
        <w:footnoteReference w:id="1"/>
      </w:r>
      <w:r>
        <w:t>;</w:t>
      </w:r>
    </w:p>
    <w:p w:rsidR="005E57C4" w:rsidRDefault="005E57C4" w:rsidP="005E57C4">
      <w:pPr>
        <w:pStyle w:val="Akapitzlist"/>
        <w:numPr>
          <w:ilvl w:val="0"/>
          <w:numId w:val="1"/>
        </w:numPr>
        <w:jc w:val="both"/>
      </w:pPr>
      <w:r>
        <w:t>są stroną postępowania administracyjnego prowadzone</w:t>
      </w:r>
      <w:r w:rsidR="00C75D6D">
        <w:t>go</w:t>
      </w:r>
      <w:r>
        <w:t xml:space="preserve"> przez Szefa Urzędu do Spraw Cudzoziemców;</w:t>
      </w:r>
    </w:p>
    <w:p w:rsidR="005E57C4" w:rsidRDefault="005E57C4" w:rsidP="005E57C4">
      <w:pPr>
        <w:pStyle w:val="Akapitzlist"/>
        <w:numPr>
          <w:ilvl w:val="0"/>
          <w:numId w:val="1"/>
        </w:numPr>
        <w:jc w:val="both"/>
      </w:pPr>
      <w:r>
        <w:t xml:space="preserve">zwróciły się do </w:t>
      </w:r>
      <w:r w:rsidR="00DE02C2">
        <w:t>Urzędu</w:t>
      </w:r>
      <w:r>
        <w:t xml:space="preserve"> do Spraw Cudzoziemców w innej sprawie i prowadzona jest z nimi korespondencja w tej sprawie</w:t>
      </w:r>
      <w:r w:rsidR="00DE02C2">
        <w:t>.</w:t>
      </w:r>
    </w:p>
    <w:p w:rsidR="00A82BBE" w:rsidRDefault="00A82BBE" w:rsidP="00A82BBE">
      <w:pPr>
        <w:pStyle w:val="Akapitzlist"/>
        <w:ind w:left="426"/>
        <w:jc w:val="both"/>
      </w:pPr>
    </w:p>
    <w:p w:rsidR="00DE02C2" w:rsidRDefault="00DE02C2" w:rsidP="00DE02C2">
      <w:pPr>
        <w:pStyle w:val="Akapitzlist"/>
        <w:numPr>
          <w:ilvl w:val="0"/>
          <w:numId w:val="2"/>
        </w:numPr>
        <w:ind w:left="426"/>
        <w:jc w:val="both"/>
      </w:pPr>
      <w:r>
        <w:t>Pytania w sprawach dotyczących Pana/Pani danych osobowych można kierować na adres</w:t>
      </w:r>
      <w:r w:rsidR="00C75D6D">
        <w:t>:</w:t>
      </w:r>
      <w:r>
        <w:t xml:space="preserve"> ul.</w:t>
      </w:r>
      <w:r w:rsidR="00A82BBE">
        <w:t> </w:t>
      </w:r>
      <w:r>
        <w:t xml:space="preserve">Taborowa 33, Warszawa (02-699), lub adres e-mail: </w:t>
      </w:r>
      <w:hyperlink r:id="rId7" w:history="1">
        <w:r w:rsidRPr="0022483C">
          <w:rPr>
            <w:rStyle w:val="Hipercze"/>
          </w:rPr>
          <w:t>rodo@udsc.gov.pl</w:t>
        </w:r>
      </w:hyperlink>
      <w:r>
        <w:t>.</w:t>
      </w:r>
    </w:p>
    <w:p w:rsidR="00A82BBE" w:rsidRDefault="00A82BBE" w:rsidP="00A82BBE">
      <w:pPr>
        <w:pStyle w:val="Akapitzlist"/>
        <w:ind w:left="426"/>
        <w:jc w:val="both"/>
      </w:pPr>
    </w:p>
    <w:p w:rsidR="00DE02C2" w:rsidRDefault="00DE02C2" w:rsidP="00DE02C2">
      <w:pPr>
        <w:pStyle w:val="Akapitzlist"/>
        <w:numPr>
          <w:ilvl w:val="0"/>
          <w:numId w:val="2"/>
        </w:numPr>
        <w:ind w:left="426"/>
        <w:jc w:val="both"/>
      </w:pPr>
      <w:r>
        <w:t>W sprawach dotyczących Pana/Pani danych osobowych można kontaktować się także z</w:t>
      </w:r>
      <w:r w:rsidR="00A82BBE">
        <w:t> </w:t>
      </w:r>
      <w:r>
        <w:t xml:space="preserve">Inspektorem Ochrony Danych w Urzędzie do Spraw Cudzoziemców, pisząc na adres e-mail: </w:t>
      </w:r>
      <w:hyperlink r:id="rId8" w:history="1">
        <w:r w:rsidRPr="0022483C">
          <w:rPr>
            <w:rStyle w:val="Hipercze"/>
          </w:rPr>
          <w:t>iod@udsc.gov.pl</w:t>
        </w:r>
      </w:hyperlink>
      <w:r>
        <w:t>.</w:t>
      </w:r>
    </w:p>
    <w:p w:rsidR="00A82BBE" w:rsidRDefault="00A82BBE" w:rsidP="00A82BBE">
      <w:pPr>
        <w:pStyle w:val="Akapitzlist"/>
        <w:ind w:left="426"/>
        <w:jc w:val="both"/>
      </w:pPr>
    </w:p>
    <w:p w:rsidR="00DE02C2" w:rsidRDefault="00DE02C2" w:rsidP="00DE02C2">
      <w:pPr>
        <w:pStyle w:val="Akapitzlist"/>
        <w:numPr>
          <w:ilvl w:val="0"/>
          <w:numId w:val="2"/>
        </w:numPr>
        <w:ind w:left="426"/>
        <w:jc w:val="both"/>
      </w:pPr>
      <w:r>
        <w:t>Podanie przez Pana/Panią danych osobowych jest wymogiem wynikającym z przepisów ustawowych regulujących postępowania administracyjne prowadzone przez Szefa Urzędu do Spraw Cudzoziemców i jest niezbędne do jego przeprowadzenia. W przypadku zwrócenia się do Urzędu w innej sprawie, podanie danych jest dobrowolne, ale niezbędne do jej rozpatrzenia.</w:t>
      </w:r>
    </w:p>
    <w:p w:rsidR="00A82BBE" w:rsidRDefault="00A82BBE" w:rsidP="00A82BBE">
      <w:pPr>
        <w:pStyle w:val="Akapitzlist"/>
        <w:ind w:left="426"/>
        <w:jc w:val="both"/>
      </w:pPr>
    </w:p>
    <w:p w:rsidR="00DE02C2" w:rsidRDefault="00DE02C2" w:rsidP="00DE02C2">
      <w:pPr>
        <w:pStyle w:val="Akapitzlist"/>
        <w:numPr>
          <w:ilvl w:val="0"/>
          <w:numId w:val="2"/>
        </w:numPr>
        <w:ind w:left="426"/>
        <w:jc w:val="both"/>
      </w:pPr>
      <w:r>
        <w:t>Pana/Pani dane osobowe przetwarzane są w celu wypełnienia obowiązku prawnego ciążącego na</w:t>
      </w:r>
      <w:r w:rsidR="00A82BBE">
        <w:t> </w:t>
      </w:r>
      <w:r>
        <w:t>administratorze danych oraz wykonania zadań realizowanych w ramach władzy publicznej powierzonej administratorowi. Przetwarzanie danych może być niezbędne do ochrony żywotnych interesów osoby, której dane dotyczą, lub innej osoby fizycznej (art. 6 ust. 1 lit. c, d oraz e Rozporządzenia).</w:t>
      </w:r>
    </w:p>
    <w:p w:rsidR="00A82BBE" w:rsidRDefault="00A82BBE" w:rsidP="00A82BBE">
      <w:pPr>
        <w:pStyle w:val="Akapitzlist"/>
        <w:ind w:left="426"/>
        <w:jc w:val="both"/>
      </w:pPr>
    </w:p>
    <w:p w:rsidR="00DE02C2" w:rsidRDefault="00DE02C2" w:rsidP="00DE02C2">
      <w:pPr>
        <w:pStyle w:val="Akapitzlist"/>
        <w:numPr>
          <w:ilvl w:val="0"/>
          <w:numId w:val="2"/>
        </w:numPr>
        <w:ind w:left="426"/>
        <w:jc w:val="both"/>
      </w:pPr>
      <w:r>
        <w:t>Jeżeli Pana/Pani dane osobowe ujawniają pochodzenie rasowe lub etniczne, poglądy polityczne, przekonania religijne lub światopoglądowe, przynależność do związków zawodowych, są danymi ge</w:t>
      </w:r>
      <w:r w:rsidR="00673B19">
        <w:t>netycznymi, danymi biometrycznymi, danymi dotyczącymi zdrowia, seksualności lub orientacji seksualnej, przetwarzane są w przypadku, gdy jest to niezbędne ze względów związanych z</w:t>
      </w:r>
      <w:r w:rsidR="00E35E2D">
        <w:t> </w:t>
      </w:r>
      <w:r w:rsidR="00673B19">
        <w:t>ważnym interesem publicznym, w tym interesem publicznym w dziedzinie zdrowia publicznego, gdy jest to niezbędne w celu zapewnienia opieki zdrowotnej i zarządzania systemami lub usługami opieki zdrowotnej, a także gdy jest to niezbędn</w:t>
      </w:r>
      <w:r w:rsidR="00C75D6D">
        <w:t>e</w:t>
      </w:r>
      <w:r w:rsidR="00673B19">
        <w:t xml:space="preserve"> do celów archiwalnych w interesie publicznym (art. 9 ust. 2 lit. g, h, i oraz j Rozporządzenia).</w:t>
      </w:r>
    </w:p>
    <w:p w:rsidR="00A82BBE" w:rsidRDefault="00A82BBE" w:rsidP="00A82BBE">
      <w:pPr>
        <w:pStyle w:val="Akapitzlist"/>
        <w:ind w:left="426"/>
        <w:jc w:val="both"/>
      </w:pPr>
    </w:p>
    <w:p w:rsidR="00673B19" w:rsidRDefault="00673B19" w:rsidP="00DE02C2">
      <w:pPr>
        <w:pStyle w:val="Akapitzlist"/>
        <w:numPr>
          <w:ilvl w:val="0"/>
          <w:numId w:val="2"/>
        </w:numPr>
        <w:ind w:left="426"/>
        <w:jc w:val="both"/>
      </w:pPr>
      <w:r>
        <w:t>Pana/Pani dane osobowe mogą być udostępnianie wyłącznie podmiotom uprawnionym na</w:t>
      </w:r>
      <w:r w:rsidR="00E35E2D">
        <w:t> </w:t>
      </w:r>
      <w:r>
        <w:t>podstawie przepisów prawa, a także podmiotom, z którymi Urząd do Spraw Cudzoziemców zawarł umowy powierzenia przetwarzania Pana/Pani danych osobowych.</w:t>
      </w:r>
    </w:p>
    <w:p w:rsidR="00A82BBE" w:rsidRDefault="00A82BBE" w:rsidP="00A82BBE">
      <w:pPr>
        <w:pStyle w:val="Akapitzlist"/>
        <w:ind w:left="426"/>
        <w:jc w:val="both"/>
      </w:pPr>
    </w:p>
    <w:p w:rsidR="00673B19" w:rsidRDefault="00673B19" w:rsidP="00DE02C2">
      <w:pPr>
        <w:pStyle w:val="Akapitzlist"/>
        <w:numPr>
          <w:ilvl w:val="0"/>
          <w:numId w:val="2"/>
        </w:numPr>
        <w:ind w:left="426"/>
        <w:jc w:val="both"/>
      </w:pPr>
      <w:r>
        <w:t>Pana/Pani dane osobowe mogą być udostępniane do państwa trzeciego (tj. poza terytorium Europejskiego Obszaru Gospodarczego) lub organizacji międzynarodowych na zasadach określonych w przepisach prawa, wyłącznie gdy państwa te oraz organizacje międzynarodowe zapewnią odpowiednie zabezpieczenia i pod warunkiem, że obowiązują w państwach tych i</w:t>
      </w:r>
      <w:r w:rsidR="00E35E2D">
        <w:t> </w:t>
      </w:r>
      <w:r>
        <w:t>organizacjach międzynarodowych egzekwowalne prawa osób, których dane dotyczą oraz skuteczne środki ochrony prawnej.</w:t>
      </w:r>
    </w:p>
    <w:p w:rsidR="00673B19" w:rsidRDefault="00673B19" w:rsidP="00673B19">
      <w:pPr>
        <w:pStyle w:val="Akapitzlist"/>
        <w:ind w:left="426"/>
        <w:jc w:val="both"/>
      </w:pPr>
      <w:r>
        <w:lastRenderedPageBreak/>
        <w:t>Nie mogą być udostępniane ani pozyskiwane od podmiotów, wobec których istnieje uzasadnione domniemanie, że dopuszczają się prześladowań lub wyrządzają poważną krzywdę, Pana/Pani dane</w:t>
      </w:r>
      <w:r w:rsidR="00D47C09">
        <w:t>, na podstawie których jest możliwe ustalenie, że:</w:t>
      </w:r>
    </w:p>
    <w:p w:rsidR="00D47C09" w:rsidRDefault="00D47C09" w:rsidP="00D47C09">
      <w:pPr>
        <w:pStyle w:val="Akapitzlist"/>
        <w:numPr>
          <w:ilvl w:val="0"/>
          <w:numId w:val="3"/>
        </w:numPr>
        <w:ind w:left="567" w:hanging="141"/>
        <w:jc w:val="both"/>
      </w:pPr>
      <w:r>
        <w:t>jest w toku lub zakończyło się postępowanie w sprawie:</w:t>
      </w:r>
    </w:p>
    <w:p w:rsidR="00D47C09" w:rsidRDefault="00D47C09" w:rsidP="00D47C09">
      <w:pPr>
        <w:pStyle w:val="Akapitzlist"/>
        <w:numPr>
          <w:ilvl w:val="1"/>
          <w:numId w:val="3"/>
        </w:numPr>
        <w:ind w:left="993" w:hanging="219"/>
        <w:jc w:val="both"/>
      </w:pPr>
      <w:r>
        <w:t>udzielenia ochrony międzynarodowej albo pozbawienia statusu uchodźcy lub ochrony uzupełniającej,</w:t>
      </w:r>
    </w:p>
    <w:p w:rsidR="00D47C09" w:rsidRDefault="00D47C09" w:rsidP="00D47C09">
      <w:pPr>
        <w:pStyle w:val="Akapitzlist"/>
        <w:numPr>
          <w:ilvl w:val="1"/>
          <w:numId w:val="3"/>
        </w:numPr>
        <w:ind w:left="993" w:hanging="219"/>
        <w:jc w:val="both"/>
      </w:pPr>
      <w:r>
        <w:t>udzielenia albo pozbawienia azylu wobec cudzoziemca,</w:t>
      </w:r>
    </w:p>
    <w:p w:rsidR="00D47C09" w:rsidRDefault="00D47C09" w:rsidP="00D47C09">
      <w:pPr>
        <w:pStyle w:val="Akapitzlist"/>
        <w:numPr>
          <w:ilvl w:val="0"/>
          <w:numId w:val="3"/>
        </w:numPr>
        <w:ind w:left="567" w:hanging="141"/>
        <w:jc w:val="both"/>
      </w:pPr>
      <w:r>
        <w:t>cudzoziemcowi nadano albo odmówiono nadania statusu uchodźcy,</w:t>
      </w:r>
    </w:p>
    <w:p w:rsidR="00D47C09" w:rsidRDefault="00D47C09" w:rsidP="00D47C09">
      <w:pPr>
        <w:pStyle w:val="Akapitzlist"/>
        <w:numPr>
          <w:ilvl w:val="0"/>
          <w:numId w:val="3"/>
        </w:numPr>
        <w:ind w:left="567" w:hanging="141"/>
        <w:jc w:val="both"/>
      </w:pPr>
      <w:r>
        <w:t>cudzoziemcowi udzielono albo odmówiono udzielenia azylu,</w:t>
      </w:r>
    </w:p>
    <w:p w:rsidR="00D47C09" w:rsidRDefault="00D47C09" w:rsidP="00D47C09">
      <w:pPr>
        <w:pStyle w:val="Akapitzlist"/>
        <w:numPr>
          <w:ilvl w:val="0"/>
          <w:numId w:val="3"/>
        </w:numPr>
        <w:ind w:left="567" w:hanging="141"/>
        <w:jc w:val="both"/>
      </w:pPr>
      <w:r>
        <w:t>cudzoziemcowi udzielono albo odmówiono udzielenia ochrony uzupełniającej.</w:t>
      </w:r>
    </w:p>
    <w:p w:rsidR="00A82BBE" w:rsidRDefault="00A82BBE" w:rsidP="00A82BBE">
      <w:pPr>
        <w:pStyle w:val="Akapitzlist"/>
        <w:ind w:left="426"/>
        <w:jc w:val="both"/>
      </w:pPr>
    </w:p>
    <w:p w:rsidR="00D47C09" w:rsidRDefault="00D47C09" w:rsidP="00D47C09">
      <w:pPr>
        <w:pStyle w:val="Akapitzlist"/>
        <w:numPr>
          <w:ilvl w:val="0"/>
          <w:numId w:val="2"/>
        </w:numPr>
        <w:ind w:left="426"/>
        <w:jc w:val="both"/>
      </w:pPr>
      <w:r>
        <w:t>Przysługuje Panu/Pani prawo dostępu do swoich danych osobowych, tj. prawo do uzyskania potwierdzenia, czy administrator przetwarza te dane oraz informacji dotyczących takiego przetwarzania, a ponadto prawo do sprostowania danych, jeżeli dane przetwarzane przez administratora są nieprawidłowe lub niekompletne, prawo do wniesienia sprzeciwu wobec przetwarzania danych oraz prawo do ograniczenia przetwarzania danych. W przypadku skorzystania z prawa do ograniczenia przetwarzania, dane osobowe można będzie przetwarzać w</w:t>
      </w:r>
      <w:r w:rsidR="00E35E2D">
        <w:t> </w:t>
      </w:r>
      <w:r>
        <w:t>celu ochrony praw innej osoby fizycznej lub prawnej lub z uwagi na ważne względy interesu publicznego Unii lub państwa członkowskiego.</w:t>
      </w:r>
    </w:p>
    <w:p w:rsidR="00A82BBE" w:rsidRDefault="00A82BBE" w:rsidP="00A82BBE">
      <w:pPr>
        <w:pStyle w:val="Akapitzlist"/>
        <w:ind w:left="426"/>
        <w:jc w:val="both"/>
      </w:pPr>
    </w:p>
    <w:p w:rsidR="00D47C09" w:rsidRDefault="00A82BBE" w:rsidP="00D47C09">
      <w:pPr>
        <w:pStyle w:val="Akapitzlist"/>
        <w:numPr>
          <w:ilvl w:val="0"/>
          <w:numId w:val="2"/>
        </w:numPr>
        <w:ind w:left="426"/>
        <w:jc w:val="both"/>
      </w:pPr>
      <w:r>
        <w:t>Pana/Pani dane osobowe nie będą podlegały zautomatyzowanemu przetwarzaniu, decyzje w</w:t>
      </w:r>
      <w:r w:rsidR="00E35E2D">
        <w:t> </w:t>
      </w:r>
      <w:r>
        <w:t>Pana/Pani sprawie nie będą zapadały w sposób zautomatyzowany, a Pani/Pana dane nie będą podlegały profilowaniu.</w:t>
      </w:r>
    </w:p>
    <w:p w:rsidR="00A82BBE" w:rsidRDefault="00A82BBE" w:rsidP="00A82BBE">
      <w:pPr>
        <w:pStyle w:val="Akapitzlist"/>
        <w:ind w:left="426"/>
        <w:jc w:val="both"/>
      </w:pPr>
    </w:p>
    <w:p w:rsidR="00A82BBE" w:rsidRDefault="00A82BBE" w:rsidP="00D47C09">
      <w:pPr>
        <w:pStyle w:val="Akapitzlist"/>
        <w:numPr>
          <w:ilvl w:val="0"/>
          <w:numId w:val="2"/>
        </w:numPr>
        <w:ind w:left="426"/>
        <w:jc w:val="both"/>
      </w:pPr>
      <w:r>
        <w:t>Pana/Pani dane osobowe nie podlegają usunięciu w przypadku, gdy sprawa została zarejestrowana w krajowym zbiorze rejestrów ewidencji i wykazu w sprawach cudzoziemców oraz gdy są przetwarzane w związku z postępowaniem administracyjnym, w którym jest Pan/Pani stroną. W pozostałych przypadkach przetwarzane są przez okres niezbędny do realizacji celu ich przetwarzania.</w:t>
      </w:r>
    </w:p>
    <w:p w:rsidR="00A82BBE" w:rsidRDefault="00A82BBE" w:rsidP="00A82BBE">
      <w:pPr>
        <w:pStyle w:val="Akapitzlist"/>
        <w:ind w:left="426"/>
        <w:jc w:val="both"/>
      </w:pPr>
    </w:p>
    <w:p w:rsidR="00A82BBE" w:rsidRDefault="00A82BBE" w:rsidP="00D47C09">
      <w:pPr>
        <w:pStyle w:val="Akapitzlist"/>
        <w:numPr>
          <w:ilvl w:val="0"/>
          <w:numId w:val="2"/>
        </w:numPr>
        <w:ind w:left="426"/>
        <w:jc w:val="both"/>
      </w:pPr>
      <w:r>
        <w:t xml:space="preserve">W przypadku uznania, iż przetwarzanie Pana/Pani danych osobowych narusza przepisy Rozporządzenia, przysługuje Panu/Pani prawo wniesienia skargi do organu nadzorczego, którym jest Prezes Urzędu Ochrony Danych Osobowych.  </w:t>
      </w:r>
    </w:p>
    <w:sectPr w:rsidR="00A82BBE" w:rsidSect="00A82BBE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D7C" w:rsidRDefault="003D5D7C" w:rsidP="005E57C4">
      <w:pPr>
        <w:spacing w:after="0" w:line="240" w:lineRule="auto"/>
      </w:pPr>
      <w:r>
        <w:separator/>
      </w:r>
    </w:p>
  </w:endnote>
  <w:endnote w:type="continuationSeparator" w:id="0">
    <w:p w:rsidR="003D5D7C" w:rsidRDefault="003D5D7C" w:rsidP="005E5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D7C" w:rsidRDefault="003D5D7C" w:rsidP="005E57C4">
      <w:pPr>
        <w:spacing w:after="0" w:line="240" w:lineRule="auto"/>
      </w:pPr>
      <w:r>
        <w:separator/>
      </w:r>
    </w:p>
  </w:footnote>
  <w:footnote w:type="continuationSeparator" w:id="0">
    <w:p w:rsidR="003D5D7C" w:rsidRDefault="003D5D7C" w:rsidP="005E57C4">
      <w:pPr>
        <w:spacing w:after="0" w:line="240" w:lineRule="auto"/>
      </w:pPr>
      <w:r>
        <w:continuationSeparator/>
      </w:r>
    </w:p>
  </w:footnote>
  <w:footnote w:id="1">
    <w:p w:rsidR="005E57C4" w:rsidRDefault="005E57C4" w:rsidP="00A82BB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Krajowy zbiór rejestrów, ewidencji i wykazu, o którym mowa w art. 449 ust. 1 i 2 ustawy z dnia 12 grudnia 2013</w:t>
      </w:r>
      <w:r w:rsidR="00E62DAF">
        <w:t> </w:t>
      </w:r>
      <w:r>
        <w:t>r. o cudzoziemcach (</w:t>
      </w:r>
      <w:proofErr w:type="spellStart"/>
      <w:r w:rsidR="00E62DAF">
        <w:t>t.j</w:t>
      </w:r>
      <w:proofErr w:type="spellEnd"/>
      <w:r w:rsidR="00E62DAF">
        <w:t xml:space="preserve">. </w:t>
      </w:r>
      <w:r>
        <w:t xml:space="preserve">Dz.U. z </w:t>
      </w:r>
      <w:r w:rsidR="00003655">
        <w:t>2023</w:t>
      </w:r>
      <w:r>
        <w:t xml:space="preserve"> r., poz. </w:t>
      </w:r>
      <w:r w:rsidR="00003655">
        <w:t>519</w:t>
      </w:r>
      <w:bookmarkStart w:id="0" w:name="_GoBack"/>
      <w:bookmarkEnd w:id="0"/>
      <w:r>
        <w:t xml:space="preserve">, z </w:t>
      </w:r>
      <w:proofErr w:type="spellStart"/>
      <w:r>
        <w:t>późn</w:t>
      </w:r>
      <w:proofErr w:type="spellEnd"/>
      <w:r>
        <w:t>. zm.)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945FF"/>
    <w:multiLevelType w:val="hybridMultilevel"/>
    <w:tmpl w:val="F8A22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14BDC"/>
    <w:multiLevelType w:val="hybridMultilevel"/>
    <w:tmpl w:val="1C30CDE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81043"/>
    <w:multiLevelType w:val="hybridMultilevel"/>
    <w:tmpl w:val="FB1AD0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7C4"/>
    <w:rsid w:val="00003655"/>
    <w:rsid w:val="00020963"/>
    <w:rsid w:val="003D5D7C"/>
    <w:rsid w:val="004A16BA"/>
    <w:rsid w:val="005E57C4"/>
    <w:rsid w:val="00673B19"/>
    <w:rsid w:val="008F480E"/>
    <w:rsid w:val="00A82BBE"/>
    <w:rsid w:val="00C713CE"/>
    <w:rsid w:val="00C75D6D"/>
    <w:rsid w:val="00D47C09"/>
    <w:rsid w:val="00D70A6A"/>
    <w:rsid w:val="00DE02C2"/>
    <w:rsid w:val="00E35E2D"/>
    <w:rsid w:val="00E6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894B5"/>
  <w15:chartTrackingRefBased/>
  <w15:docId w15:val="{93685CEC-DFC1-4476-8355-A3B790A7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57C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57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57C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57C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7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7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7C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E02C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E02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dsc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do@udsc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779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Kordian Broda</dc:creator>
  <cp:keywords/>
  <dc:description/>
  <cp:lastModifiedBy>Kordian Broda</cp:lastModifiedBy>
  <cp:revision>6</cp:revision>
  <dcterms:created xsi:type="dcterms:W3CDTF">2019-06-26T19:43:00Z</dcterms:created>
  <dcterms:modified xsi:type="dcterms:W3CDTF">2023-07-18T13:39:00Z</dcterms:modified>
</cp:coreProperties>
</file>