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2E99D24F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pn. </w:t>
      </w:r>
      <w:r w:rsidR="00E61C62" w:rsidRPr="008E2293">
        <w:rPr>
          <w:rFonts w:eastAsia="Times New Roman" w:cstheme="minorHAnsi"/>
          <w:b/>
          <w:i/>
          <w:lang w:eastAsia="pl-PL"/>
        </w:rPr>
        <w:t>„</w:t>
      </w:r>
      <w:r w:rsidR="008E2293" w:rsidRPr="008E2293">
        <w:rPr>
          <w:rFonts w:eastAsia="Times New Roman" w:cstheme="minorHAnsi"/>
          <w:b/>
          <w:i/>
          <w:lang w:eastAsia="pl-PL"/>
        </w:rPr>
        <w:t>Z</w:t>
      </w:r>
      <w:r w:rsidR="008E2293" w:rsidRPr="008E2293">
        <w:rPr>
          <w:rFonts w:eastAsia="Times New Roman" w:cstheme="minorHAnsi"/>
          <w:b/>
          <w:i/>
          <w:lang w:eastAsia="pl-PL"/>
        </w:rPr>
        <w:t>akup artykułów biurowych na potrzeby Prokuratury Okręgowej w Krakowie oraz jednostek podległych</w:t>
      </w:r>
      <w:r w:rsidR="00E61C62" w:rsidRPr="008E2293">
        <w:rPr>
          <w:rFonts w:eastAsia="Times New Roman" w:cstheme="minorHAnsi"/>
          <w:b/>
          <w:i/>
          <w:lang w:eastAsia="pl-PL"/>
        </w:rPr>
        <w:t>”</w:t>
      </w:r>
      <w:r w:rsidRPr="008E2293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B24BD"/>
    <w:rsid w:val="003414ED"/>
    <w:rsid w:val="0038149B"/>
    <w:rsid w:val="003D717D"/>
    <w:rsid w:val="003F11F2"/>
    <w:rsid w:val="00492CD8"/>
    <w:rsid w:val="00610453"/>
    <w:rsid w:val="006F4011"/>
    <w:rsid w:val="00751E54"/>
    <w:rsid w:val="007C73F1"/>
    <w:rsid w:val="00876A0D"/>
    <w:rsid w:val="008E2293"/>
    <w:rsid w:val="008F4936"/>
    <w:rsid w:val="00B95A40"/>
    <w:rsid w:val="00C34CAC"/>
    <w:rsid w:val="00CD587D"/>
    <w:rsid w:val="00D7633F"/>
    <w:rsid w:val="00D82484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29</cp:revision>
  <dcterms:created xsi:type="dcterms:W3CDTF">2024-07-23T08:18:00Z</dcterms:created>
  <dcterms:modified xsi:type="dcterms:W3CDTF">2024-11-18T08:04:00Z</dcterms:modified>
</cp:coreProperties>
</file>