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A94F" w14:textId="6DDE3CC3" w:rsidR="00EB7E26" w:rsidRPr="001357D3" w:rsidRDefault="00DF0B5D" w:rsidP="007B3949">
      <w:pPr>
        <w:pStyle w:val="Pagedecouverture"/>
        <w:rPr>
          <w:noProof/>
        </w:rPr>
      </w:pPr>
      <w:r>
        <w:rPr>
          <w:noProof/>
        </w:rPr>
        <w:drawing>
          <wp:inline distT="0" distB="0" distL="0" distR="0" wp14:anchorId="1360B57F" wp14:editId="18C237AA">
            <wp:extent cx="5781675" cy="4695825"/>
            <wp:effectExtent l="0" t="0" r="0" b="9525"/>
            <wp:docPr id="1" name="Obraz 1" descr="6B228E5B-C60D-4915-A923-DEF5C8F00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B228E5B-C60D-4915-A923-DEF5C8F004E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4695825"/>
                    </a:xfrm>
                    <a:prstGeom prst="rect">
                      <a:avLst/>
                    </a:prstGeom>
                    <a:noFill/>
                    <a:ln>
                      <a:noFill/>
                    </a:ln>
                  </pic:spPr>
                </pic:pic>
              </a:graphicData>
            </a:graphic>
          </wp:inline>
        </w:drawing>
      </w:r>
    </w:p>
    <w:p w14:paraId="44CA1A55" w14:textId="77777777" w:rsidR="00EB7E26" w:rsidRPr="001357D3" w:rsidRDefault="00EB7E26" w:rsidP="00EB7E26">
      <w:pPr>
        <w:rPr>
          <w:noProof/>
        </w:rPr>
        <w:sectPr w:rsidR="00EB7E26" w:rsidRPr="001357D3" w:rsidSect="007B3949">
          <w:footerReference w:type="even" r:id="rId12"/>
          <w:footerReference w:type="default" r:id="rId13"/>
          <w:pgSz w:w="11907" w:h="16839"/>
          <w:pgMar w:top="1134" w:right="1417" w:bottom="1134" w:left="1417" w:header="709" w:footer="709" w:gutter="0"/>
          <w:pgNumType w:start="1"/>
          <w:cols w:space="720"/>
          <w:docGrid w:linePitch="360"/>
        </w:sectPr>
      </w:pPr>
    </w:p>
    <w:p w14:paraId="00377F1E" w14:textId="39426887" w:rsidR="00C5603D" w:rsidRPr="001357D3" w:rsidRDefault="00C5603D" w:rsidP="008A4B4E">
      <w:pPr>
        <w:pStyle w:val="Exposdesmotifstitre"/>
        <w:spacing w:before="0"/>
        <w:rPr>
          <w:noProof/>
        </w:rPr>
      </w:pPr>
      <w:r w:rsidRPr="001357D3">
        <w:rPr>
          <w:noProof/>
        </w:rPr>
        <w:lastRenderedPageBreak/>
        <w:t>UZASADNIENIE</w:t>
      </w:r>
    </w:p>
    <w:p w14:paraId="1380048C" w14:textId="7568B59C" w:rsidR="008871FE" w:rsidRPr="001357D3" w:rsidRDefault="000D4BE4" w:rsidP="000D4BE4">
      <w:pPr>
        <w:pStyle w:val="ManualHeading1"/>
        <w:rPr>
          <w:noProof/>
        </w:rPr>
      </w:pPr>
      <w:bookmarkStart w:id="0" w:name="_Toc205221083"/>
      <w:bookmarkStart w:id="1" w:name="_Toc210923246"/>
      <w:r w:rsidRPr="000D4BE4">
        <w:rPr>
          <w:noProof/>
        </w:rPr>
        <w:t>1.</w:t>
      </w:r>
      <w:r w:rsidRPr="000D4BE4">
        <w:rPr>
          <w:noProof/>
        </w:rPr>
        <w:tab/>
      </w:r>
      <w:r w:rsidR="004852D0" w:rsidRPr="001357D3">
        <w:rPr>
          <w:noProof/>
        </w:rPr>
        <w:t>KONTEKST WNIOSKU</w:t>
      </w:r>
      <w:bookmarkEnd w:id="0"/>
      <w:bookmarkEnd w:id="1"/>
    </w:p>
    <w:p w14:paraId="3DDF97AA" w14:textId="415421DC" w:rsidR="013BD295" w:rsidRPr="001357D3" w:rsidRDefault="013BD295" w:rsidP="008A4B4E">
      <w:pPr>
        <w:spacing w:before="0"/>
        <w:rPr>
          <w:noProof/>
        </w:rPr>
      </w:pPr>
      <w:r w:rsidRPr="001357D3">
        <w:rPr>
          <w:noProof/>
        </w:rPr>
        <w:t>Niniejszy wniosek przewiduje datę rozpoczęcia stosowania od dnia 1 stycznia 20</w:t>
      </w:r>
      <w:r w:rsidRPr="001C6403">
        <w:rPr>
          <w:noProof/>
        </w:rPr>
        <w:t>28</w:t>
      </w:r>
      <w:r w:rsidR="001C6403" w:rsidRPr="001C6403">
        <w:rPr>
          <w:noProof/>
        </w:rPr>
        <w:t> </w:t>
      </w:r>
      <w:r w:rsidRPr="001C6403">
        <w:rPr>
          <w:noProof/>
        </w:rPr>
        <w:t>r.</w:t>
      </w:r>
      <w:r w:rsidR="001C6403" w:rsidRPr="001357D3">
        <w:rPr>
          <w:noProof/>
        </w:rPr>
        <w:t xml:space="preserve"> i</w:t>
      </w:r>
      <w:r w:rsidR="001C6403">
        <w:rPr>
          <w:noProof/>
        </w:rPr>
        <w:t> </w:t>
      </w:r>
      <w:r w:rsidR="001C6403" w:rsidRPr="001357D3">
        <w:rPr>
          <w:noProof/>
        </w:rPr>
        <w:t>jes</w:t>
      </w:r>
      <w:r w:rsidRPr="001357D3">
        <w:rPr>
          <w:noProof/>
        </w:rPr>
        <w:t>t przedstawiany Unii składającej się</w:t>
      </w:r>
      <w:r w:rsidR="001C6403" w:rsidRPr="001357D3">
        <w:rPr>
          <w:noProof/>
        </w:rPr>
        <w:t xml:space="preserve"> z</w:t>
      </w:r>
      <w:r w:rsidR="001C6403">
        <w:rPr>
          <w:noProof/>
        </w:rPr>
        <w:t> </w:t>
      </w:r>
      <w:r w:rsidR="001C6403" w:rsidRPr="001357D3">
        <w:rPr>
          <w:noProof/>
        </w:rPr>
        <w:t>2</w:t>
      </w:r>
      <w:r w:rsidRPr="001357D3">
        <w:rPr>
          <w:noProof/>
        </w:rPr>
        <w:t>5 państw członkowskich</w:t>
      </w:r>
      <w:r w:rsidR="001C6403" w:rsidRPr="001357D3">
        <w:rPr>
          <w:noProof/>
        </w:rPr>
        <w:t>. W</w:t>
      </w:r>
      <w:r w:rsidR="001C6403">
        <w:rPr>
          <w:noProof/>
        </w:rPr>
        <w:t> </w:t>
      </w:r>
      <w:r w:rsidR="001C6403" w:rsidRPr="001357D3">
        <w:rPr>
          <w:noProof/>
        </w:rPr>
        <w:t>prz</w:t>
      </w:r>
      <w:r w:rsidRPr="001357D3">
        <w:rPr>
          <w:noProof/>
        </w:rPr>
        <w:t>ypadku Irlandii</w:t>
      </w:r>
      <w:r w:rsidR="001C6403" w:rsidRPr="001357D3">
        <w:rPr>
          <w:noProof/>
        </w:rPr>
        <w:t xml:space="preserve"> i</w:t>
      </w:r>
      <w:r w:rsidR="001C6403">
        <w:rPr>
          <w:noProof/>
        </w:rPr>
        <w:t> </w:t>
      </w:r>
      <w:r w:rsidR="001C6403" w:rsidRPr="001357D3">
        <w:rPr>
          <w:noProof/>
        </w:rPr>
        <w:t>Dan</w:t>
      </w:r>
      <w:r w:rsidRPr="001357D3">
        <w:rPr>
          <w:noProof/>
        </w:rPr>
        <w:t>ii zastosowanie mają postanowienia protokołów nr 21</w:t>
      </w:r>
      <w:r w:rsidR="001C6403" w:rsidRPr="001357D3">
        <w:rPr>
          <w:noProof/>
        </w:rPr>
        <w:t xml:space="preserve"> i</w:t>
      </w:r>
      <w:r w:rsidR="001C6403">
        <w:rPr>
          <w:noProof/>
        </w:rPr>
        <w:t> </w:t>
      </w:r>
      <w:r w:rsidR="001C6403" w:rsidRPr="001357D3">
        <w:rPr>
          <w:noProof/>
        </w:rPr>
        <w:t>2</w:t>
      </w:r>
      <w:r w:rsidRPr="001357D3">
        <w:rPr>
          <w:noProof/>
        </w:rPr>
        <w:t>2 załączonych do Traktatu</w:t>
      </w:r>
      <w:r w:rsidR="001C6403" w:rsidRPr="001357D3">
        <w:rPr>
          <w:noProof/>
        </w:rPr>
        <w:t xml:space="preserve"> o</w:t>
      </w:r>
      <w:r w:rsidR="001C6403">
        <w:rPr>
          <w:noProof/>
        </w:rPr>
        <w:t> </w:t>
      </w:r>
      <w:r w:rsidR="001C6403" w:rsidRPr="001357D3">
        <w:rPr>
          <w:noProof/>
        </w:rPr>
        <w:t>Uni</w:t>
      </w:r>
      <w:r w:rsidRPr="001357D3">
        <w:rPr>
          <w:noProof/>
        </w:rPr>
        <w:t>i Europejskiej (TUE) i do Traktatu</w:t>
      </w:r>
      <w:r w:rsidR="001C6403" w:rsidRPr="001357D3">
        <w:rPr>
          <w:noProof/>
        </w:rPr>
        <w:t xml:space="preserve"> o</w:t>
      </w:r>
      <w:r w:rsidR="001C6403">
        <w:rPr>
          <w:noProof/>
        </w:rPr>
        <w:t> </w:t>
      </w:r>
      <w:r w:rsidR="001C6403" w:rsidRPr="001357D3">
        <w:rPr>
          <w:noProof/>
        </w:rPr>
        <w:t>fun</w:t>
      </w:r>
      <w:r w:rsidRPr="001357D3">
        <w:rPr>
          <w:noProof/>
        </w:rPr>
        <w:t>kcjonowaniu Unii Europejskiej (TFUE), jak przedstawiono</w:t>
      </w:r>
      <w:r w:rsidR="001C6403" w:rsidRPr="001357D3">
        <w:rPr>
          <w:noProof/>
        </w:rPr>
        <w:t xml:space="preserve"> w</w:t>
      </w:r>
      <w:r w:rsidR="001C6403">
        <w:rPr>
          <w:noProof/>
        </w:rPr>
        <w:t> </w:t>
      </w:r>
      <w:r w:rsidR="001C6403" w:rsidRPr="001357D3">
        <w:rPr>
          <w:noProof/>
        </w:rPr>
        <w:t>sek</w:t>
      </w:r>
      <w:r w:rsidRPr="001357D3">
        <w:rPr>
          <w:noProof/>
        </w:rPr>
        <w:t>cji dotyczącej zmiennej geometrii na stronie 8.</w:t>
      </w:r>
    </w:p>
    <w:p w14:paraId="00377F23" w14:textId="799CF337" w:rsidR="00C5603D" w:rsidRPr="001357D3" w:rsidRDefault="4627C568" w:rsidP="008A4B4E">
      <w:pPr>
        <w:pStyle w:val="Listapunktowana"/>
        <w:spacing w:before="0"/>
        <w:contextualSpacing w:val="0"/>
        <w:rPr>
          <w:b/>
          <w:bCs/>
          <w:noProof/>
        </w:rPr>
      </w:pPr>
      <w:bookmarkStart w:id="2" w:name="_Toc205221084"/>
      <w:r w:rsidRPr="001357D3">
        <w:rPr>
          <w:b/>
          <w:noProof/>
        </w:rPr>
        <w:t>Przyczyny</w:t>
      </w:r>
      <w:r w:rsidR="001C6403" w:rsidRPr="001357D3">
        <w:rPr>
          <w:b/>
          <w:noProof/>
        </w:rPr>
        <w:t xml:space="preserve"> i</w:t>
      </w:r>
      <w:r w:rsidR="001C6403">
        <w:rPr>
          <w:b/>
          <w:noProof/>
        </w:rPr>
        <w:t> </w:t>
      </w:r>
      <w:r w:rsidR="001C6403" w:rsidRPr="001357D3">
        <w:rPr>
          <w:b/>
          <w:noProof/>
        </w:rPr>
        <w:t>cel</w:t>
      </w:r>
      <w:r w:rsidRPr="001357D3">
        <w:rPr>
          <w:b/>
          <w:noProof/>
        </w:rPr>
        <w:t>e</w:t>
      </w:r>
      <w:bookmarkEnd w:id="2"/>
    </w:p>
    <w:p w14:paraId="6A8743A7" w14:textId="39A5776C" w:rsidR="5202BDE2" w:rsidRPr="001357D3" w:rsidRDefault="2AE6BFB7" w:rsidP="008A4B4E">
      <w:pPr>
        <w:spacing w:before="0"/>
        <w:rPr>
          <w:noProof/>
        </w:rPr>
      </w:pPr>
      <w:r w:rsidRPr="001357D3">
        <w:rPr>
          <w:noProof/>
        </w:rPr>
        <w:t>Art. 3 TUE stanowi, że „Unia zapewnia swoim obywatelom przestrzeń wolności, bezpieczeństwa</w:t>
      </w:r>
      <w:r w:rsidR="001C6403" w:rsidRPr="001357D3">
        <w:rPr>
          <w:noProof/>
        </w:rPr>
        <w:t xml:space="preserve"> i</w:t>
      </w:r>
      <w:r w:rsidR="001C6403">
        <w:rPr>
          <w:noProof/>
        </w:rPr>
        <w:t> </w:t>
      </w:r>
      <w:r w:rsidR="001C6403" w:rsidRPr="001357D3">
        <w:rPr>
          <w:noProof/>
        </w:rPr>
        <w:t>spr</w:t>
      </w:r>
      <w:r w:rsidRPr="001357D3">
        <w:rPr>
          <w:noProof/>
        </w:rPr>
        <w:t>awiedliwości”. Sprawiedliwość jest ściśle powiązana</w:t>
      </w:r>
      <w:r w:rsidR="001C6403" w:rsidRPr="001357D3">
        <w:rPr>
          <w:noProof/>
        </w:rPr>
        <w:t xml:space="preserve"> z</w:t>
      </w:r>
      <w:r w:rsidR="001C6403">
        <w:rPr>
          <w:noProof/>
        </w:rPr>
        <w:t> </w:t>
      </w:r>
      <w:r w:rsidR="001C6403" w:rsidRPr="001357D3">
        <w:rPr>
          <w:noProof/>
        </w:rPr>
        <w:t>war</w:t>
      </w:r>
      <w:r w:rsidRPr="001357D3">
        <w:rPr>
          <w:noProof/>
        </w:rPr>
        <w:t>tościami Unii zapisanymi</w:t>
      </w:r>
      <w:r w:rsidR="001C6403" w:rsidRPr="001357D3">
        <w:rPr>
          <w:noProof/>
        </w:rPr>
        <w:t xml:space="preserve"> w</w:t>
      </w:r>
      <w:r w:rsidR="001C6403">
        <w:rPr>
          <w:noProof/>
        </w:rPr>
        <w:t> </w:t>
      </w:r>
      <w:r w:rsidR="001C6403" w:rsidRPr="001357D3">
        <w:rPr>
          <w:noProof/>
        </w:rPr>
        <w:t>art</w:t>
      </w:r>
      <w:r w:rsidRPr="001357D3">
        <w:rPr>
          <w:noProof/>
        </w:rPr>
        <w:t>. 2 TUE. Te podstawowe wartości zakładają konieczność istnienia niezależnych organów sądowych działających</w:t>
      </w:r>
      <w:r w:rsidR="001C6403" w:rsidRPr="001357D3">
        <w:rPr>
          <w:noProof/>
        </w:rPr>
        <w:t xml:space="preserve"> w</w:t>
      </w:r>
      <w:r w:rsidR="001C6403">
        <w:rPr>
          <w:noProof/>
        </w:rPr>
        <w:t> </w:t>
      </w:r>
      <w:r w:rsidR="001C6403" w:rsidRPr="001357D3">
        <w:rPr>
          <w:noProof/>
        </w:rPr>
        <w:t>ram</w:t>
      </w:r>
      <w:r w:rsidRPr="001357D3">
        <w:rPr>
          <w:noProof/>
        </w:rPr>
        <w:t>ach skutecznych</w:t>
      </w:r>
      <w:r w:rsidR="001C6403" w:rsidRPr="001357D3">
        <w:rPr>
          <w:noProof/>
        </w:rPr>
        <w:t xml:space="preserve"> i</w:t>
      </w:r>
      <w:r w:rsidR="001C6403">
        <w:rPr>
          <w:noProof/>
        </w:rPr>
        <w:t> </w:t>
      </w:r>
      <w:r w:rsidR="001C6403" w:rsidRPr="001357D3">
        <w:rPr>
          <w:noProof/>
        </w:rPr>
        <w:t>wys</w:t>
      </w:r>
      <w:r w:rsidRPr="001357D3">
        <w:rPr>
          <w:noProof/>
        </w:rPr>
        <w:t>okiej jakości systemów wymiaru sprawiedliwości zdolnych do ochrony praw podstawowych</w:t>
      </w:r>
      <w:r w:rsidR="001C6403" w:rsidRPr="001357D3">
        <w:rPr>
          <w:noProof/>
        </w:rPr>
        <w:t xml:space="preserve"> i</w:t>
      </w:r>
      <w:r w:rsidR="001C6403">
        <w:rPr>
          <w:noProof/>
        </w:rPr>
        <w:t> </w:t>
      </w:r>
      <w:r w:rsidR="001C6403" w:rsidRPr="001357D3">
        <w:rPr>
          <w:noProof/>
        </w:rPr>
        <w:t>wol</w:t>
      </w:r>
      <w:r w:rsidRPr="001357D3">
        <w:rPr>
          <w:noProof/>
        </w:rPr>
        <w:t>ności gwarantowanych przez prawo Unii,</w:t>
      </w:r>
      <w:r w:rsidR="001C6403" w:rsidRPr="001357D3">
        <w:rPr>
          <w:noProof/>
        </w:rPr>
        <w:t xml:space="preserve"> w</w:t>
      </w:r>
      <w:r w:rsidR="001C6403">
        <w:rPr>
          <w:noProof/>
        </w:rPr>
        <w:t> </w:t>
      </w:r>
      <w:r w:rsidR="001C6403" w:rsidRPr="001357D3">
        <w:rPr>
          <w:noProof/>
        </w:rPr>
        <w:t>szc</w:t>
      </w:r>
      <w:r w:rsidRPr="001357D3">
        <w:rPr>
          <w:noProof/>
        </w:rPr>
        <w:t>zególności poprzez zapewnienie dostępu do wymiaru sprawiedliwości osobom podejrzanym, oskarżonym, osobom, których dotyczy wniosek</w:t>
      </w:r>
      <w:r w:rsidR="001C6403" w:rsidRPr="001357D3">
        <w:rPr>
          <w:noProof/>
        </w:rPr>
        <w:t xml:space="preserve"> w</w:t>
      </w:r>
      <w:r w:rsidR="001C6403">
        <w:rPr>
          <w:noProof/>
        </w:rPr>
        <w:t> </w:t>
      </w:r>
      <w:r w:rsidR="001C6403" w:rsidRPr="001357D3">
        <w:rPr>
          <w:noProof/>
        </w:rPr>
        <w:t>pos</w:t>
      </w:r>
      <w:r w:rsidRPr="001357D3">
        <w:rPr>
          <w:noProof/>
        </w:rPr>
        <w:t>tępowaniu dotyczącym europejskiego nakazu aresztowania (ENA), oraz ofiarom przestępstw. Sama niezależność sądownictwa wynika ze wspólnych tradycji konstytucyjnych wszystkich państw członkowskich,</w:t>
      </w:r>
      <w:r w:rsidR="001C6403" w:rsidRPr="001357D3">
        <w:rPr>
          <w:noProof/>
        </w:rPr>
        <w:t xml:space="preserve"> z</w:t>
      </w:r>
      <w:r w:rsidR="001C6403">
        <w:rPr>
          <w:noProof/>
        </w:rPr>
        <w:t> </w:t>
      </w:r>
      <w:r w:rsidR="001C6403" w:rsidRPr="001357D3">
        <w:rPr>
          <w:noProof/>
        </w:rPr>
        <w:t>zas</w:t>
      </w:r>
      <w:r w:rsidRPr="001357D3">
        <w:rPr>
          <w:noProof/>
        </w:rPr>
        <w:t>ady państwa prawnego,</w:t>
      </w:r>
      <w:r w:rsidR="001C6403" w:rsidRPr="001357D3">
        <w:rPr>
          <w:noProof/>
        </w:rPr>
        <w:t xml:space="preserve"> o</w:t>
      </w:r>
      <w:r w:rsidR="001C6403">
        <w:rPr>
          <w:noProof/>
        </w:rPr>
        <w:t> </w:t>
      </w:r>
      <w:r w:rsidR="001C6403" w:rsidRPr="001357D3">
        <w:rPr>
          <w:noProof/>
        </w:rPr>
        <w:t>któ</w:t>
      </w:r>
      <w:r w:rsidRPr="001357D3">
        <w:rPr>
          <w:noProof/>
        </w:rPr>
        <w:t>rej mowa</w:t>
      </w:r>
      <w:r w:rsidR="001C6403" w:rsidRPr="001357D3">
        <w:rPr>
          <w:noProof/>
        </w:rPr>
        <w:t xml:space="preserve"> w</w:t>
      </w:r>
      <w:r w:rsidR="001C6403">
        <w:rPr>
          <w:noProof/>
        </w:rPr>
        <w:t> </w:t>
      </w:r>
      <w:r w:rsidR="001C6403" w:rsidRPr="001357D3">
        <w:rPr>
          <w:noProof/>
        </w:rPr>
        <w:t>art</w:t>
      </w:r>
      <w:r w:rsidRPr="001357D3">
        <w:rPr>
          <w:noProof/>
        </w:rPr>
        <w:t>. 2 TUE, obowiązku ustanowienia przez państwa członkowskie środków niezbędnych do zapewnienia skutecznej ochrony prawnej</w:t>
      </w:r>
      <w:r w:rsidR="001C6403" w:rsidRPr="001357D3">
        <w:rPr>
          <w:noProof/>
        </w:rPr>
        <w:t xml:space="preserve"> w</w:t>
      </w:r>
      <w:r w:rsidR="001C6403">
        <w:rPr>
          <w:noProof/>
        </w:rPr>
        <w:t> </w:t>
      </w:r>
      <w:r w:rsidR="001C6403" w:rsidRPr="001357D3">
        <w:rPr>
          <w:noProof/>
        </w:rPr>
        <w:t>dzi</w:t>
      </w:r>
      <w:r w:rsidRPr="001357D3">
        <w:rPr>
          <w:noProof/>
        </w:rPr>
        <w:t>edzinach objętych prawem Unii zgodnie</w:t>
      </w:r>
      <w:r w:rsidR="001C6403" w:rsidRPr="001357D3">
        <w:rPr>
          <w:noProof/>
        </w:rPr>
        <w:t xml:space="preserve"> z</w:t>
      </w:r>
      <w:r w:rsidR="001C6403">
        <w:rPr>
          <w:noProof/>
        </w:rPr>
        <w:t> </w:t>
      </w:r>
      <w:r w:rsidR="001C6403" w:rsidRPr="001357D3">
        <w:rPr>
          <w:noProof/>
        </w:rPr>
        <w:t>art</w:t>
      </w:r>
      <w:r w:rsidRPr="001357D3">
        <w:rPr>
          <w:noProof/>
        </w:rPr>
        <w:t>. 19 TUE, oraz</w:t>
      </w:r>
      <w:r w:rsidR="001C6403" w:rsidRPr="001357D3">
        <w:rPr>
          <w:noProof/>
        </w:rPr>
        <w:t xml:space="preserve"> z</w:t>
      </w:r>
      <w:r w:rsidR="001C6403">
        <w:rPr>
          <w:noProof/>
        </w:rPr>
        <w:t> </w:t>
      </w:r>
      <w:r w:rsidR="001C6403" w:rsidRPr="001357D3">
        <w:rPr>
          <w:noProof/>
        </w:rPr>
        <w:t>pra</w:t>
      </w:r>
      <w:r w:rsidRPr="001357D3">
        <w:rPr>
          <w:noProof/>
        </w:rPr>
        <w:t>wa podstawowego do skutecznego środka prawnego przed sądem, zapisanego</w:t>
      </w:r>
      <w:r w:rsidR="001C6403" w:rsidRPr="001357D3">
        <w:rPr>
          <w:noProof/>
        </w:rPr>
        <w:t xml:space="preserve"> w</w:t>
      </w:r>
      <w:r w:rsidR="001C6403">
        <w:rPr>
          <w:noProof/>
        </w:rPr>
        <w:t> </w:t>
      </w:r>
      <w:r w:rsidR="001C6403" w:rsidRPr="001357D3">
        <w:rPr>
          <w:noProof/>
        </w:rPr>
        <w:t>art</w:t>
      </w:r>
      <w:r w:rsidRPr="001357D3">
        <w:rPr>
          <w:noProof/>
        </w:rPr>
        <w:t>. 47 Karty praw podstawowych Unii Europejskiej (zwanej dalej „Kartą”). Dobrze funkcjonująca unijna przestrzeń sprawiedliwości – oparta na skutecznych, wydajnych</w:t>
      </w:r>
      <w:r w:rsidR="001C6403" w:rsidRPr="001357D3">
        <w:rPr>
          <w:noProof/>
        </w:rPr>
        <w:t xml:space="preserve"> i</w:t>
      </w:r>
      <w:r w:rsidR="001C6403">
        <w:rPr>
          <w:noProof/>
        </w:rPr>
        <w:t> </w:t>
      </w:r>
      <w:r w:rsidR="001C6403" w:rsidRPr="001357D3">
        <w:rPr>
          <w:noProof/>
        </w:rPr>
        <w:t>odp</w:t>
      </w:r>
      <w:r w:rsidRPr="001357D3">
        <w:rPr>
          <w:noProof/>
        </w:rPr>
        <w:t>ornych krajowych systemach wymiaru sprawiedliwości – jest nie tylko zgodna</w:t>
      </w:r>
      <w:r w:rsidR="001C6403" w:rsidRPr="001357D3">
        <w:rPr>
          <w:noProof/>
        </w:rPr>
        <w:t xml:space="preserve"> z</w:t>
      </w:r>
      <w:r w:rsidR="001C6403">
        <w:rPr>
          <w:noProof/>
        </w:rPr>
        <w:t> </w:t>
      </w:r>
      <w:r w:rsidR="001C6403" w:rsidRPr="001357D3">
        <w:rPr>
          <w:noProof/>
        </w:rPr>
        <w:t>war</w:t>
      </w:r>
      <w:r w:rsidRPr="001357D3">
        <w:rPr>
          <w:noProof/>
        </w:rPr>
        <w:t>tościami Unii, ale również niezbędna do zapewnienia prosperującego rynku wewnętrznego,</w:t>
      </w:r>
      <w:r w:rsidR="001C6403" w:rsidRPr="001357D3">
        <w:rPr>
          <w:noProof/>
        </w:rPr>
        <w:t xml:space="preserve"> a</w:t>
      </w:r>
      <w:r w:rsidR="001C6403">
        <w:rPr>
          <w:noProof/>
        </w:rPr>
        <w:t> </w:t>
      </w:r>
      <w:r w:rsidR="001C6403" w:rsidRPr="001357D3">
        <w:rPr>
          <w:noProof/>
        </w:rPr>
        <w:t>pon</w:t>
      </w:r>
      <w:r w:rsidRPr="001357D3">
        <w:rPr>
          <w:noProof/>
        </w:rPr>
        <w:t>adto jest warunkiem koniecznym wzrostu gospodarczego</w:t>
      </w:r>
      <w:r w:rsidR="001C6403" w:rsidRPr="001357D3">
        <w:rPr>
          <w:noProof/>
        </w:rPr>
        <w:t xml:space="preserve"> i</w:t>
      </w:r>
      <w:r w:rsidR="001C6403">
        <w:rPr>
          <w:noProof/>
        </w:rPr>
        <w:t> </w:t>
      </w:r>
      <w:r w:rsidR="001C6403" w:rsidRPr="001357D3">
        <w:rPr>
          <w:noProof/>
        </w:rPr>
        <w:t>kon</w:t>
      </w:r>
      <w:r w:rsidRPr="001357D3">
        <w:rPr>
          <w:noProof/>
        </w:rPr>
        <w:t>kurencyjności.</w:t>
      </w:r>
    </w:p>
    <w:p w14:paraId="0A5B40DF" w14:textId="0B42746A" w:rsidR="5202BDE2" w:rsidRPr="001357D3" w:rsidRDefault="703CEE6A" w:rsidP="008A4B4E">
      <w:pPr>
        <w:spacing w:before="0"/>
        <w:rPr>
          <w:noProof/>
        </w:rPr>
      </w:pPr>
      <w:r w:rsidRPr="001357D3">
        <w:rPr>
          <w:noProof/>
        </w:rPr>
        <w:t>W ostatnich latach UE połączyła szereg instrumentów</w:t>
      </w:r>
      <w:r w:rsidR="001C6403" w:rsidRPr="001357D3">
        <w:rPr>
          <w:noProof/>
        </w:rPr>
        <w:t xml:space="preserve"> w</w:t>
      </w:r>
      <w:r w:rsidR="001C6403">
        <w:rPr>
          <w:noProof/>
        </w:rPr>
        <w:t> </w:t>
      </w:r>
      <w:r w:rsidR="001C6403" w:rsidRPr="001357D3">
        <w:rPr>
          <w:noProof/>
        </w:rPr>
        <w:t>cel</w:t>
      </w:r>
      <w:r w:rsidRPr="001357D3">
        <w:rPr>
          <w:noProof/>
        </w:rPr>
        <w:t>u stworzenia unijnej przestrzeni sprawiedliwości opartej na wzajemnym zaufaniu. Przyjęto</w:t>
      </w:r>
      <w:r w:rsidR="001C6403" w:rsidRPr="001357D3">
        <w:rPr>
          <w:noProof/>
        </w:rPr>
        <w:t xml:space="preserve"> i</w:t>
      </w:r>
      <w:r w:rsidR="001C6403">
        <w:rPr>
          <w:noProof/>
        </w:rPr>
        <w:t> </w:t>
      </w:r>
      <w:r w:rsidR="001C6403" w:rsidRPr="001357D3">
        <w:rPr>
          <w:noProof/>
        </w:rPr>
        <w:t>pop</w:t>
      </w:r>
      <w:r w:rsidRPr="001357D3">
        <w:rPr>
          <w:noProof/>
        </w:rPr>
        <w:t>arto szereg inicjatyw ustawodawczych</w:t>
      </w:r>
      <w:r w:rsidR="001C6403" w:rsidRPr="001357D3">
        <w:rPr>
          <w:noProof/>
        </w:rPr>
        <w:t xml:space="preserve"> i</w:t>
      </w:r>
      <w:r w:rsidR="001C6403">
        <w:rPr>
          <w:noProof/>
        </w:rPr>
        <w:t> </w:t>
      </w:r>
      <w:r w:rsidR="001C6403" w:rsidRPr="001357D3">
        <w:rPr>
          <w:noProof/>
        </w:rPr>
        <w:t>pol</w:t>
      </w:r>
      <w:r w:rsidRPr="001357D3">
        <w:rPr>
          <w:noProof/>
        </w:rPr>
        <w:t>itycznych</w:t>
      </w:r>
      <w:r w:rsidRPr="001357D3">
        <w:rPr>
          <w:rStyle w:val="Odwoanieprzypisudolnego"/>
          <w:rFonts w:eastAsia="Times New Roman"/>
          <w:noProof/>
          <w:szCs w:val="24"/>
        </w:rPr>
        <w:footnoteReference w:id="2"/>
      </w:r>
      <w:r w:rsidRPr="001357D3">
        <w:rPr>
          <w:noProof/>
        </w:rPr>
        <w:t xml:space="preserve"> – również dzięki specjalnemu finansowaniu unijnemu. </w:t>
      </w:r>
    </w:p>
    <w:p w14:paraId="30F613A4" w14:textId="64F3C040" w:rsidR="5202BDE2" w:rsidRPr="001357D3" w:rsidRDefault="703CEE6A" w:rsidP="008A4B4E">
      <w:pPr>
        <w:spacing w:before="0"/>
        <w:rPr>
          <w:noProof/>
        </w:rPr>
      </w:pPr>
      <w:r w:rsidRPr="001357D3">
        <w:rPr>
          <w:noProof/>
        </w:rPr>
        <w:t>W 2014 r. zapoczątkowano program „Sprawiedliwość”, który od tego czasu aktywnie wspiera tworzenie przestrzeni wolności, bezpieczeństwa</w:t>
      </w:r>
      <w:r w:rsidR="001C6403" w:rsidRPr="001357D3">
        <w:rPr>
          <w:noProof/>
        </w:rPr>
        <w:t xml:space="preserve"> i</w:t>
      </w:r>
      <w:r w:rsidR="001C6403">
        <w:rPr>
          <w:noProof/>
        </w:rPr>
        <w:t> </w:t>
      </w:r>
      <w:r w:rsidR="001C6403" w:rsidRPr="001357D3">
        <w:rPr>
          <w:noProof/>
        </w:rPr>
        <w:t>spr</w:t>
      </w:r>
      <w:r w:rsidRPr="001357D3">
        <w:rPr>
          <w:noProof/>
        </w:rPr>
        <w:t>awiedliwości poprzez rozwijanie współpracy sądowej opartej na wzajemnym uznawaniu</w:t>
      </w:r>
      <w:r w:rsidR="001C6403" w:rsidRPr="001357D3">
        <w:rPr>
          <w:noProof/>
        </w:rPr>
        <w:t xml:space="preserve"> i</w:t>
      </w:r>
      <w:r w:rsidR="001C6403">
        <w:rPr>
          <w:noProof/>
        </w:rPr>
        <w:t> </w:t>
      </w:r>
      <w:r w:rsidR="001C6403" w:rsidRPr="001357D3">
        <w:rPr>
          <w:noProof/>
        </w:rPr>
        <w:t>wyk</w:t>
      </w:r>
      <w:r w:rsidRPr="001357D3">
        <w:rPr>
          <w:noProof/>
        </w:rPr>
        <w:t>onywaniu orzeczeń sądowych. Program sprzyja również przestrzeganiu przez państwa członkowskie zasady praworządności</w:t>
      </w:r>
      <w:r w:rsidR="001C6403" w:rsidRPr="001357D3">
        <w:rPr>
          <w:noProof/>
        </w:rPr>
        <w:t xml:space="preserve"> i</w:t>
      </w:r>
      <w:r w:rsidR="001C6403">
        <w:rPr>
          <w:noProof/>
        </w:rPr>
        <w:t> </w:t>
      </w:r>
      <w:r w:rsidR="001C6403" w:rsidRPr="001357D3">
        <w:rPr>
          <w:noProof/>
        </w:rPr>
        <w:t>pra</w:t>
      </w:r>
      <w:r w:rsidRPr="001357D3">
        <w:rPr>
          <w:noProof/>
        </w:rPr>
        <w:t>w podstawowych oraz wspiera właściwe funkcjonowanie niezależnych systemów sądowych. Dzięki temu</w:t>
      </w:r>
      <w:r w:rsidR="001C6403" w:rsidRPr="001357D3">
        <w:rPr>
          <w:noProof/>
        </w:rPr>
        <w:t xml:space="preserve"> w</w:t>
      </w:r>
      <w:r w:rsidR="001C6403">
        <w:rPr>
          <w:noProof/>
        </w:rPr>
        <w:t> </w:t>
      </w:r>
      <w:r w:rsidR="001C6403" w:rsidRPr="001357D3">
        <w:rPr>
          <w:noProof/>
        </w:rPr>
        <w:t>cał</w:t>
      </w:r>
      <w:r w:rsidRPr="001357D3">
        <w:rPr>
          <w:noProof/>
        </w:rPr>
        <w:t>ej UE odnotowano wymierne postępy: wzrosła na przykład skuteczność krajowych systemów wymiaru sprawiedliwości,</w:t>
      </w:r>
      <w:r w:rsidR="001C6403" w:rsidRPr="001357D3">
        <w:rPr>
          <w:noProof/>
        </w:rPr>
        <w:t xml:space="preserve"> a</w:t>
      </w:r>
      <w:r w:rsidR="001C6403">
        <w:rPr>
          <w:noProof/>
        </w:rPr>
        <w:t> </w:t>
      </w:r>
      <w:r w:rsidR="001C6403" w:rsidRPr="001357D3">
        <w:rPr>
          <w:noProof/>
        </w:rPr>
        <w:t>pra</w:t>
      </w:r>
      <w:r w:rsidRPr="001357D3">
        <w:rPr>
          <w:noProof/>
        </w:rPr>
        <w:t>wnicy praktycy są obecnie lepiej poinformowani</w:t>
      </w:r>
      <w:r w:rsidR="001C6403" w:rsidRPr="001357D3">
        <w:rPr>
          <w:noProof/>
        </w:rPr>
        <w:t xml:space="preserve"> i</w:t>
      </w:r>
      <w:r w:rsidR="001C6403">
        <w:rPr>
          <w:noProof/>
        </w:rPr>
        <w:t> </w:t>
      </w:r>
      <w:r w:rsidR="001C6403" w:rsidRPr="001357D3">
        <w:rPr>
          <w:noProof/>
        </w:rPr>
        <w:t>prz</w:t>
      </w:r>
      <w:r w:rsidRPr="001357D3">
        <w:rPr>
          <w:noProof/>
        </w:rPr>
        <w:t>ygotowani do stosowania odpowiedniego dorobku prawnego UE, np.</w:t>
      </w:r>
      <w:r w:rsidR="001C6403" w:rsidRPr="001357D3">
        <w:rPr>
          <w:noProof/>
        </w:rPr>
        <w:t xml:space="preserve"> w</w:t>
      </w:r>
      <w:r w:rsidR="001C6403">
        <w:rPr>
          <w:noProof/>
        </w:rPr>
        <w:t> </w:t>
      </w:r>
      <w:r w:rsidR="001C6403" w:rsidRPr="001357D3">
        <w:rPr>
          <w:noProof/>
        </w:rPr>
        <w:t>zak</w:t>
      </w:r>
      <w:r w:rsidRPr="001357D3">
        <w:rPr>
          <w:noProof/>
        </w:rPr>
        <w:t>resie stosowania procedur</w:t>
      </w:r>
      <w:r w:rsidR="001C6403" w:rsidRPr="001357D3">
        <w:rPr>
          <w:noProof/>
        </w:rPr>
        <w:t xml:space="preserve"> i</w:t>
      </w:r>
      <w:r w:rsidR="001C6403">
        <w:rPr>
          <w:noProof/>
        </w:rPr>
        <w:t> </w:t>
      </w:r>
      <w:r w:rsidR="001C6403" w:rsidRPr="001357D3">
        <w:rPr>
          <w:noProof/>
        </w:rPr>
        <w:t>mec</w:t>
      </w:r>
      <w:r w:rsidRPr="001357D3">
        <w:rPr>
          <w:noProof/>
        </w:rPr>
        <w:t xml:space="preserve">hanizmów transgranicznej współpracy sądowej. </w:t>
      </w:r>
      <w:r w:rsidRPr="001357D3">
        <w:rPr>
          <w:noProof/>
        </w:rPr>
        <w:lastRenderedPageBreak/>
        <w:t>Jednocześnie stale poprawia się praktyczna ochrona</w:t>
      </w:r>
      <w:r w:rsidR="001C6403" w:rsidRPr="001357D3">
        <w:rPr>
          <w:noProof/>
        </w:rPr>
        <w:t xml:space="preserve"> i</w:t>
      </w:r>
      <w:r w:rsidR="001C6403">
        <w:rPr>
          <w:noProof/>
        </w:rPr>
        <w:t> </w:t>
      </w:r>
      <w:r w:rsidR="001C6403" w:rsidRPr="001357D3">
        <w:rPr>
          <w:noProof/>
        </w:rPr>
        <w:t>pro</w:t>
      </w:r>
      <w:r w:rsidRPr="001357D3">
        <w:rPr>
          <w:noProof/>
        </w:rPr>
        <w:t>pagowanie praw dziecka oraz innych grup szczególnie wrażliwych (takich jak osoby</w:t>
      </w:r>
      <w:r w:rsidR="001C6403" w:rsidRPr="001357D3">
        <w:rPr>
          <w:noProof/>
        </w:rPr>
        <w:t xml:space="preserve"> z</w:t>
      </w:r>
      <w:r w:rsidR="001C6403">
        <w:rPr>
          <w:noProof/>
        </w:rPr>
        <w:t> </w:t>
      </w:r>
      <w:r w:rsidR="001C6403" w:rsidRPr="001357D3">
        <w:rPr>
          <w:noProof/>
        </w:rPr>
        <w:t>nie</w:t>
      </w:r>
      <w:r w:rsidRPr="001357D3">
        <w:rPr>
          <w:noProof/>
        </w:rPr>
        <w:t>pełnosprawnościami) uczestniczących</w:t>
      </w:r>
      <w:r w:rsidR="001C6403" w:rsidRPr="001357D3">
        <w:rPr>
          <w:noProof/>
        </w:rPr>
        <w:t xml:space="preserve"> w</w:t>
      </w:r>
      <w:r w:rsidR="001C6403">
        <w:rPr>
          <w:noProof/>
        </w:rPr>
        <w:t> </w:t>
      </w:r>
      <w:r w:rsidR="001C6403" w:rsidRPr="001357D3">
        <w:rPr>
          <w:noProof/>
        </w:rPr>
        <w:t>pos</w:t>
      </w:r>
      <w:r w:rsidRPr="001357D3">
        <w:rPr>
          <w:noProof/>
        </w:rPr>
        <w:t>tępowaniach sądowych.</w:t>
      </w:r>
    </w:p>
    <w:p w14:paraId="1FC1EA66" w14:textId="361BFEC8" w:rsidR="5202BDE2" w:rsidRPr="001357D3" w:rsidRDefault="703CEE6A" w:rsidP="008A4B4E">
      <w:pPr>
        <w:spacing w:before="0"/>
        <w:rPr>
          <w:noProof/>
        </w:rPr>
      </w:pPr>
      <w:r w:rsidRPr="001357D3">
        <w:rPr>
          <w:noProof/>
        </w:rPr>
        <w:t>Poczyniono znaczne postępy</w:t>
      </w:r>
      <w:r w:rsidRPr="001357D3">
        <w:rPr>
          <w:rStyle w:val="Odwoanieprzypisudolnego"/>
          <w:rFonts w:eastAsia="Times New Roman"/>
          <w:noProof/>
          <w:szCs w:val="24"/>
        </w:rPr>
        <w:footnoteReference w:id="3"/>
      </w:r>
      <w:r w:rsidRPr="001357D3">
        <w:rPr>
          <w:noProof/>
        </w:rPr>
        <w:t>, jednak stworzenie skutecznej, wydajnej, dostępnej, odpornej</w:t>
      </w:r>
      <w:r w:rsidR="001C6403" w:rsidRPr="001357D3">
        <w:rPr>
          <w:noProof/>
        </w:rPr>
        <w:t xml:space="preserve"> i</w:t>
      </w:r>
      <w:r w:rsidR="001C6403">
        <w:rPr>
          <w:noProof/>
        </w:rPr>
        <w:t> </w:t>
      </w:r>
      <w:r w:rsidR="001C6403" w:rsidRPr="001357D3">
        <w:rPr>
          <w:noProof/>
        </w:rPr>
        <w:t>cyf</w:t>
      </w:r>
      <w:r w:rsidRPr="001357D3">
        <w:rPr>
          <w:noProof/>
        </w:rPr>
        <w:t>rowej unijnej przestrzeni sprawiedliwości, opartej na zasadzie praworządności, nadal pozostaje wyzwaniem. Konieczne są</w:t>
      </w:r>
      <w:r w:rsidR="001C6403" w:rsidRPr="001357D3">
        <w:rPr>
          <w:noProof/>
        </w:rPr>
        <w:t xml:space="preserve"> w</w:t>
      </w:r>
      <w:r w:rsidR="001C6403">
        <w:rPr>
          <w:noProof/>
        </w:rPr>
        <w:t> </w:t>
      </w:r>
      <w:r w:rsidR="001C6403" w:rsidRPr="001357D3">
        <w:rPr>
          <w:noProof/>
        </w:rPr>
        <w:t>zwi</w:t>
      </w:r>
      <w:r w:rsidRPr="001357D3">
        <w:rPr>
          <w:noProof/>
        </w:rPr>
        <w:t>ązku</w:t>
      </w:r>
      <w:r w:rsidR="001C6403" w:rsidRPr="001357D3">
        <w:rPr>
          <w:noProof/>
        </w:rPr>
        <w:t xml:space="preserve"> z</w:t>
      </w:r>
      <w:r w:rsidR="001C6403">
        <w:rPr>
          <w:noProof/>
        </w:rPr>
        <w:t> </w:t>
      </w:r>
      <w:r w:rsidR="001C6403" w:rsidRPr="001357D3">
        <w:rPr>
          <w:noProof/>
        </w:rPr>
        <w:t>tym</w:t>
      </w:r>
      <w:r w:rsidRPr="001357D3">
        <w:rPr>
          <w:noProof/>
        </w:rPr>
        <w:t xml:space="preserve"> dalsze skoordynowane działania ze strony UE</w:t>
      </w:r>
      <w:r w:rsidR="001C6403" w:rsidRPr="001357D3">
        <w:rPr>
          <w:noProof/>
        </w:rPr>
        <w:t xml:space="preserve"> i</w:t>
      </w:r>
      <w:r w:rsidR="001C6403">
        <w:rPr>
          <w:noProof/>
        </w:rPr>
        <w:t> </w:t>
      </w:r>
      <w:r w:rsidR="001C6403" w:rsidRPr="001357D3">
        <w:rPr>
          <w:noProof/>
        </w:rPr>
        <w:t>jej</w:t>
      </w:r>
      <w:r w:rsidRPr="001357D3">
        <w:rPr>
          <w:noProof/>
        </w:rPr>
        <w:t xml:space="preserve"> państw członkowskich</w:t>
      </w:r>
      <w:r w:rsidR="001C6403" w:rsidRPr="001357D3">
        <w:rPr>
          <w:noProof/>
        </w:rPr>
        <w:t>. W</w:t>
      </w:r>
      <w:r w:rsidR="001C6403">
        <w:rPr>
          <w:noProof/>
        </w:rPr>
        <w:t> </w:t>
      </w:r>
      <w:r w:rsidR="001C6403" w:rsidRPr="001357D3">
        <w:rPr>
          <w:noProof/>
        </w:rPr>
        <w:t>wyt</w:t>
      </w:r>
      <w:r w:rsidRPr="001357D3">
        <w:rPr>
          <w:noProof/>
        </w:rPr>
        <w:t>ycznych politycznych na następną kadencję Komisji Europejskiej 2024–2029 przewodnicząca Ursula von der Leyen podkreśliła, że poszanowanie praworządności powinno pozostać „warunkiem koniecznym wykorzystywania funduszy UE”</w:t>
      </w:r>
      <w:r w:rsidRPr="001357D3">
        <w:rPr>
          <w:rStyle w:val="Odwoanieprzypisudolnego"/>
          <w:rFonts w:eastAsia="Times New Roman"/>
          <w:noProof/>
          <w:szCs w:val="24"/>
        </w:rPr>
        <w:footnoteReference w:id="4"/>
      </w:r>
      <w:r w:rsidRPr="001357D3">
        <w:rPr>
          <w:noProof/>
        </w:rPr>
        <w:t>. Podkreśla to kluczową rolę, jaką finansowanie UE odgrywa</w:t>
      </w:r>
      <w:r w:rsidR="001C6403" w:rsidRPr="001357D3">
        <w:rPr>
          <w:noProof/>
        </w:rPr>
        <w:t xml:space="preserve"> w</w:t>
      </w:r>
      <w:r w:rsidR="001C6403">
        <w:rPr>
          <w:noProof/>
        </w:rPr>
        <w:t> </w:t>
      </w:r>
      <w:r w:rsidR="001C6403" w:rsidRPr="001357D3">
        <w:rPr>
          <w:noProof/>
        </w:rPr>
        <w:t>sta</w:t>
      </w:r>
      <w:r w:rsidRPr="001357D3">
        <w:rPr>
          <w:noProof/>
        </w:rPr>
        <w:t>wianiu czoła utrzymującym się wyzwaniom.</w:t>
      </w:r>
    </w:p>
    <w:p w14:paraId="7B8B92EE" w14:textId="1B6F778B" w:rsidR="5202BDE2" w:rsidRPr="001357D3" w:rsidRDefault="5202BDE2" w:rsidP="008A4B4E">
      <w:pPr>
        <w:spacing w:before="0"/>
        <w:rPr>
          <w:noProof/>
        </w:rPr>
      </w:pPr>
      <w:r w:rsidRPr="001357D3">
        <w:rPr>
          <w:noProof/>
        </w:rPr>
        <w:t>Mimo zaangażowania UE, nieustannym wyzwaniem pozostaje ochrona</w:t>
      </w:r>
      <w:r w:rsidR="001C6403" w:rsidRPr="001357D3">
        <w:rPr>
          <w:noProof/>
        </w:rPr>
        <w:t xml:space="preserve"> i</w:t>
      </w:r>
      <w:r w:rsidR="001C6403">
        <w:rPr>
          <w:noProof/>
        </w:rPr>
        <w:t> </w:t>
      </w:r>
      <w:r w:rsidR="001C6403" w:rsidRPr="001357D3">
        <w:rPr>
          <w:noProof/>
        </w:rPr>
        <w:t>pro</w:t>
      </w:r>
      <w:r w:rsidRPr="001357D3">
        <w:rPr>
          <w:noProof/>
        </w:rPr>
        <w:t>pagowanie praw podstawowych</w:t>
      </w:r>
      <w:r w:rsidRPr="001357D3">
        <w:rPr>
          <w:rStyle w:val="Odwoanieprzypisudolnego"/>
          <w:rFonts w:eastAsia="Times New Roman"/>
          <w:noProof/>
          <w:szCs w:val="24"/>
        </w:rPr>
        <w:footnoteReference w:id="5"/>
      </w:r>
      <w:r w:rsidRPr="001357D3">
        <w:rPr>
          <w:noProof/>
        </w:rPr>
        <w:t>. Prawa te – takie jak prawo do skutecznego środka prawnego</w:t>
      </w:r>
      <w:r w:rsidR="001C6403" w:rsidRPr="001357D3">
        <w:rPr>
          <w:noProof/>
        </w:rPr>
        <w:t xml:space="preserve"> i</w:t>
      </w:r>
      <w:r w:rsidR="001C6403">
        <w:rPr>
          <w:noProof/>
        </w:rPr>
        <w:t> </w:t>
      </w:r>
      <w:r w:rsidR="001C6403" w:rsidRPr="001357D3">
        <w:rPr>
          <w:noProof/>
        </w:rPr>
        <w:t>dos</w:t>
      </w:r>
      <w:r w:rsidRPr="001357D3">
        <w:rPr>
          <w:noProof/>
        </w:rPr>
        <w:t>tępu do bezstronnego sądu,</w:t>
      </w:r>
      <w:r w:rsidR="001C6403" w:rsidRPr="001357D3">
        <w:rPr>
          <w:noProof/>
        </w:rPr>
        <w:t xml:space="preserve"> a</w:t>
      </w:r>
      <w:r w:rsidR="001C6403">
        <w:rPr>
          <w:noProof/>
        </w:rPr>
        <w:t> </w:t>
      </w:r>
      <w:r w:rsidR="001C6403" w:rsidRPr="001357D3">
        <w:rPr>
          <w:noProof/>
        </w:rPr>
        <w:t>tak</w:t>
      </w:r>
      <w:r w:rsidRPr="001357D3">
        <w:rPr>
          <w:noProof/>
        </w:rPr>
        <w:t>że ochrona sygnalistów</w:t>
      </w:r>
      <w:r w:rsidR="001C6403" w:rsidRPr="001357D3">
        <w:rPr>
          <w:noProof/>
        </w:rPr>
        <w:t xml:space="preserve"> i</w:t>
      </w:r>
      <w:r w:rsidR="001C6403">
        <w:rPr>
          <w:noProof/>
        </w:rPr>
        <w:t> </w:t>
      </w:r>
      <w:r w:rsidR="001C6403" w:rsidRPr="001357D3">
        <w:rPr>
          <w:noProof/>
        </w:rPr>
        <w:t>ich</w:t>
      </w:r>
      <w:r w:rsidRPr="001357D3">
        <w:rPr>
          <w:noProof/>
        </w:rPr>
        <w:t xml:space="preserve"> prawa do wolności wypowiedzi, związane</w:t>
      </w:r>
      <w:r w:rsidR="001C6403" w:rsidRPr="001357D3">
        <w:rPr>
          <w:noProof/>
        </w:rPr>
        <w:t xml:space="preserve"> z</w:t>
      </w:r>
      <w:r w:rsidR="001C6403">
        <w:rPr>
          <w:noProof/>
        </w:rPr>
        <w:t> </w:t>
      </w:r>
      <w:r w:rsidR="001C6403" w:rsidRPr="001357D3">
        <w:rPr>
          <w:noProof/>
        </w:rPr>
        <w:t>tym</w:t>
      </w:r>
      <w:r w:rsidRPr="001357D3">
        <w:rPr>
          <w:noProof/>
        </w:rPr>
        <w:t xml:space="preserve"> gwarancje proceduralne dla podejrzanych</w:t>
      </w:r>
      <w:r w:rsidR="001C6403" w:rsidRPr="001357D3">
        <w:rPr>
          <w:noProof/>
        </w:rPr>
        <w:t xml:space="preserve"> i</w:t>
      </w:r>
      <w:r w:rsidR="001C6403">
        <w:rPr>
          <w:noProof/>
        </w:rPr>
        <w:t> </w:t>
      </w:r>
      <w:r w:rsidR="001C6403" w:rsidRPr="001357D3">
        <w:rPr>
          <w:noProof/>
        </w:rPr>
        <w:t>osk</w:t>
      </w:r>
      <w:r w:rsidRPr="001357D3">
        <w:rPr>
          <w:noProof/>
        </w:rPr>
        <w:t>arżonych,</w:t>
      </w:r>
      <w:r w:rsidR="001C6403" w:rsidRPr="001357D3">
        <w:rPr>
          <w:noProof/>
        </w:rPr>
        <w:t xml:space="preserve"> a</w:t>
      </w:r>
      <w:r w:rsidR="001C6403">
        <w:rPr>
          <w:noProof/>
        </w:rPr>
        <w:t> </w:t>
      </w:r>
      <w:r w:rsidR="001C6403" w:rsidRPr="001357D3">
        <w:rPr>
          <w:noProof/>
        </w:rPr>
        <w:t>tak</w:t>
      </w:r>
      <w:r w:rsidRPr="001357D3">
        <w:rPr>
          <w:noProof/>
        </w:rPr>
        <w:t>że osób, których dotyczy wniosek</w:t>
      </w:r>
      <w:r w:rsidR="001C6403" w:rsidRPr="001357D3">
        <w:rPr>
          <w:noProof/>
        </w:rPr>
        <w:t xml:space="preserve"> w</w:t>
      </w:r>
      <w:r w:rsidR="001C6403">
        <w:rPr>
          <w:noProof/>
        </w:rPr>
        <w:t> </w:t>
      </w:r>
      <w:r w:rsidR="001C6403" w:rsidRPr="001357D3">
        <w:rPr>
          <w:noProof/>
        </w:rPr>
        <w:t>pos</w:t>
      </w:r>
      <w:r w:rsidRPr="001357D3">
        <w:rPr>
          <w:noProof/>
        </w:rPr>
        <w:t>tępowaniu dotyczącym ENA, oraz prawa ofiar – mają kluczowe znaczenie dla wymiaru sprawiedliwości</w:t>
      </w:r>
      <w:r w:rsidR="001C6403" w:rsidRPr="001357D3">
        <w:rPr>
          <w:noProof/>
        </w:rPr>
        <w:t xml:space="preserve"> i</w:t>
      </w:r>
      <w:r w:rsidR="001C6403">
        <w:rPr>
          <w:noProof/>
        </w:rPr>
        <w:t> </w:t>
      </w:r>
      <w:r w:rsidR="001C6403" w:rsidRPr="001357D3">
        <w:rPr>
          <w:noProof/>
        </w:rPr>
        <w:t>pra</w:t>
      </w:r>
      <w:r w:rsidRPr="001357D3">
        <w:rPr>
          <w:noProof/>
        </w:rPr>
        <w:t>worządności. Ich skuteczne wdrażanie ma zasadnicze znaczenie dla budowania zaufania do systemu wymiaru sprawiedliwości</w:t>
      </w:r>
      <w:r w:rsidR="001C6403" w:rsidRPr="001357D3">
        <w:rPr>
          <w:noProof/>
        </w:rPr>
        <w:t xml:space="preserve"> i</w:t>
      </w:r>
      <w:r w:rsidR="001C6403">
        <w:rPr>
          <w:noProof/>
        </w:rPr>
        <w:t> </w:t>
      </w:r>
      <w:r w:rsidR="001C6403" w:rsidRPr="001357D3">
        <w:rPr>
          <w:noProof/>
        </w:rPr>
        <w:t>zap</w:t>
      </w:r>
      <w:r w:rsidRPr="001357D3">
        <w:rPr>
          <w:noProof/>
        </w:rPr>
        <w:t>ewnienia wszystkim,</w:t>
      </w:r>
      <w:r w:rsidR="001C6403" w:rsidRPr="001357D3">
        <w:rPr>
          <w:noProof/>
        </w:rPr>
        <w:t xml:space="preserve"> w</w:t>
      </w:r>
      <w:r w:rsidR="001C6403">
        <w:rPr>
          <w:noProof/>
        </w:rPr>
        <w:t> </w:t>
      </w:r>
      <w:r w:rsidR="001C6403" w:rsidRPr="001357D3">
        <w:rPr>
          <w:noProof/>
        </w:rPr>
        <w:t>tym</w:t>
      </w:r>
      <w:r w:rsidRPr="001357D3">
        <w:rPr>
          <w:noProof/>
        </w:rPr>
        <w:t xml:space="preserve"> osobom znajdującym się</w:t>
      </w:r>
      <w:r w:rsidR="001C6403" w:rsidRPr="001357D3">
        <w:rPr>
          <w:noProof/>
        </w:rPr>
        <w:t xml:space="preserve"> w</w:t>
      </w:r>
      <w:r w:rsidR="001C6403">
        <w:rPr>
          <w:noProof/>
        </w:rPr>
        <w:t> </w:t>
      </w:r>
      <w:r w:rsidR="001C6403" w:rsidRPr="001357D3">
        <w:rPr>
          <w:noProof/>
        </w:rPr>
        <w:t>naj</w:t>
      </w:r>
      <w:r w:rsidRPr="001357D3">
        <w:rPr>
          <w:noProof/>
        </w:rPr>
        <w:t>trudniejszej sytuacji, możliwości skutecznego korzystania ze swoich praw w UE jako przestrzeni sprawiedliwości. Jak wynika jednak również</w:t>
      </w:r>
      <w:r w:rsidR="001C6403" w:rsidRPr="001357D3">
        <w:rPr>
          <w:noProof/>
        </w:rPr>
        <w:t xml:space="preserve"> z</w:t>
      </w:r>
      <w:r w:rsidR="001C6403">
        <w:rPr>
          <w:noProof/>
        </w:rPr>
        <w:t> </w:t>
      </w:r>
      <w:r w:rsidR="001C6403" w:rsidRPr="001357D3">
        <w:rPr>
          <w:noProof/>
        </w:rPr>
        <w:t>roc</w:t>
      </w:r>
      <w:r w:rsidRPr="001357D3">
        <w:rPr>
          <w:noProof/>
        </w:rPr>
        <w:t xml:space="preserve">znego sprawozdania ze stosowania Karty </w:t>
      </w:r>
      <w:r w:rsidRPr="001C6403">
        <w:rPr>
          <w:noProof/>
        </w:rPr>
        <w:t>za</w:t>
      </w:r>
      <w:r w:rsidR="001C6403" w:rsidRPr="001C6403">
        <w:rPr>
          <w:noProof/>
        </w:rPr>
        <w:t> </w:t>
      </w:r>
      <w:r w:rsidRPr="001C6403">
        <w:rPr>
          <w:noProof/>
        </w:rPr>
        <w:t>2</w:t>
      </w:r>
      <w:r w:rsidRPr="001357D3">
        <w:rPr>
          <w:noProof/>
        </w:rPr>
        <w:t>021 r., fragmentaryczne stosowanie prawa Unii</w:t>
      </w:r>
      <w:r w:rsidR="001C6403" w:rsidRPr="001357D3">
        <w:rPr>
          <w:noProof/>
        </w:rPr>
        <w:t xml:space="preserve"> i</w:t>
      </w:r>
      <w:r w:rsidR="001C6403">
        <w:rPr>
          <w:noProof/>
        </w:rPr>
        <w:t> </w:t>
      </w:r>
      <w:r w:rsidR="001C6403" w:rsidRPr="001357D3">
        <w:rPr>
          <w:noProof/>
        </w:rPr>
        <w:t>luk</w:t>
      </w:r>
      <w:r w:rsidRPr="001357D3">
        <w:rPr>
          <w:noProof/>
        </w:rPr>
        <w:t>i</w:t>
      </w:r>
      <w:r w:rsidR="001C6403" w:rsidRPr="001357D3">
        <w:rPr>
          <w:noProof/>
        </w:rPr>
        <w:t xml:space="preserve"> w</w:t>
      </w:r>
      <w:r w:rsidR="001C6403">
        <w:rPr>
          <w:noProof/>
        </w:rPr>
        <w:t> </w:t>
      </w:r>
      <w:r w:rsidR="001C6403" w:rsidRPr="001357D3">
        <w:rPr>
          <w:noProof/>
        </w:rPr>
        <w:t>och</w:t>
      </w:r>
      <w:r w:rsidRPr="001357D3">
        <w:rPr>
          <w:noProof/>
        </w:rPr>
        <w:t>ronie prawnej</w:t>
      </w:r>
      <w:r w:rsidRPr="001357D3">
        <w:rPr>
          <w:rStyle w:val="Odwoanieprzypisudolnego"/>
          <w:rFonts w:eastAsia="Times New Roman"/>
          <w:noProof/>
          <w:szCs w:val="24"/>
        </w:rPr>
        <w:footnoteReference w:id="6"/>
      </w:r>
      <w:r w:rsidRPr="001357D3">
        <w:rPr>
          <w:noProof/>
        </w:rPr>
        <w:t xml:space="preserve"> odzwierciedlają bieżące wyzwania</w:t>
      </w:r>
      <w:r w:rsidR="001C6403" w:rsidRPr="001357D3">
        <w:rPr>
          <w:noProof/>
        </w:rPr>
        <w:t xml:space="preserve"> w</w:t>
      </w:r>
      <w:r w:rsidR="001C6403">
        <w:rPr>
          <w:noProof/>
        </w:rPr>
        <w:t> </w:t>
      </w:r>
      <w:r w:rsidR="001C6403" w:rsidRPr="001357D3">
        <w:rPr>
          <w:noProof/>
        </w:rPr>
        <w:t>tym</w:t>
      </w:r>
      <w:r w:rsidRPr="001357D3">
        <w:rPr>
          <w:noProof/>
        </w:rPr>
        <w:t xml:space="preserve"> obszarze</w:t>
      </w:r>
      <w:r w:rsidRPr="001357D3">
        <w:rPr>
          <w:rStyle w:val="Odwoanieprzypisudolnego"/>
          <w:rFonts w:eastAsia="Times New Roman"/>
          <w:noProof/>
          <w:szCs w:val="24"/>
        </w:rPr>
        <w:footnoteReference w:id="7"/>
      </w:r>
      <w:r w:rsidRPr="001357D3">
        <w:rPr>
          <w:noProof/>
        </w:rPr>
        <w:t>.</w:t>
      </w:r>
    </w:p>
    <w:p w14:paraId="5C85ADA4" w14:textId="3F733710" w:rsidR="48EB2A83" w:rsidRPr="001357D3" w:rsidRDefault="48EB2A83" w:rsidP="008A4B4E">
      <w:pPr>
        <w:spacing w:before="0"/>
        <w:rPr>
          <w:noProof/>
        </w:rPr>
      </w:pPr>
      <w:r w:rsidRPr="001357D3">
        <w:rPr>
          <w:noProof/>
        </w:rPr>
        <w:t>W całej UE nierównomierne są postępy</w:t>
      </w:r>
      <w:r w:rsidR="001C6403" w:rsidRPr="001357D3">
        <w:rPr>
          <w:noProof/>
        </w:rPr>
        <w:t xml:space="preserve"> w</w:t>
      </w:r>
      <w:r w:rsidR="001C6403">
        <w:rPr>
          <w:noProof/>
        </w:rPr>
        <w:t> </w:t>
      </w:r>
      <w:r w:rsidR="001C6403" w:rsidRPr="001357D3">
        <w:rPr>
          <w:noProof/>
        </w:rPr>
        <w:t>zak</w:t>
      </w:r>
      <w:r w:rsidRPr="001357D3">
        <w:rPr>
          <w:noProof/>
        </w:rPr>
        <w:t>resie cyfryzacji. Od cyfryzacji,</w:t>
      </w:r>
      <w:r w:rsidR="001C6403" w:rsidRPr="001357D3">
        <w:rPr>
          <w:noProof/>
        </w:rPr>
        <w:t xml:space="preserve"> w</w:t>
      </w:r>
      <w:r w:rsidR="001C6403">
        <w:rPr>
          <w:noProof/>
        </w:rPr>
        <w:t> </w:t>
      </w:r>
      <w:r w:rsidR="001C6403" w:rsidRPr="001357D3">
        <w:rPr>
          <w:noProof/>
        </w:rPr>
        <w:t>tym w</w:t>
      </w:r>
      <w:r w:rsidR="001C6403">
        <w:rPr>
          <w:noProof/>
        </w:rPr>
        <w:t> </w:t>
      </w:r>
      <w:r w:rsidR="001C6403" w:rsidRPr="001357D3">
        <w:rPr>
          <w:noProof/>
        </w:rPr>
        <w:t>sek</w:t>
      </w:r>
      <w:r w:rsidRPr="001357D3">
        <w:rPr>
          <w:noProof/>
        </w:rPr>
        <w:t>torze wymiaru sprawiedliwości,</w:t>
      </w:r>
      <w:r w:rsidR="001C6403" w:rsidRPr="001357D3">
        <w:rPr>
          <w:noProof/>
        </w:rPr>
        <w:t xml:space="preserve"> w</w:t>
      </w:r>
      <w:r w:rsidR="001C6403">
        <w:rPr>
          <w:noProof/>
        </w:rPr>
        <w:t> </w:t>
      </w:r>
      <w:r w:rsidR="001C6403" w:rsidRPr="001357D3">
        <w:rPr>
          <w:noProof/>
        </w:rPr>
        <w:t>cor</w:t>
      </w:r>
      <w:r w:rsidRPr="001357D3">
        <w:rPr>
          <w:noProof/>
        </w:rPr>
        <w:t>az większym stopniu uzależnione są wzrost gospodarczy</w:t>
      </w:r>
      <w:r w:rsidR="001C6403" w:rsidRPr="001357D3">
        <w:rPr>
          <w:noProof/>
        </w:rPr>
        <w:t xml:space="preserve"> i</w:t>
      </w:r>
      <w:r w:rsidR="001C6403">
        <w:rPr>
          <w:noProof/>
        </w:rPr>
        <w:t> </w:t>
      </w:r>
      <w:r w:rsidR="001C6403" w:rsidRPr="001357D3">
        <w:rPr>
          <w:noProof/>
        </w:rPr>
        <w:t>kon</w:t>
      </w:r>
      <w:r w:rsidRPr="001357D3">
        <w:rPr>
          <w:noProof/>
        </w:rPr>
        <w:t>kurencyjność UE. Narzędzia cyfrowe</w:t>
      </w:r>
      <w:r w:rsidR="001C6403" w:rsidRPr="001357D3">
        <w:rPr>
          <w:noProof/>
        </w:rPr>
        <w:t xml:space="preserve"> i</w:t>
      </w:r>
      <w:r w:rsidR="001C6403">
        <w:rPr>
          <w:noProof/>
        </w:rPr>
        <w:t> </w:t>
      </w:r>
      <w:r w:rsidR="001C6403" w:rsidRPr="001357D3">
        <w:rPr>
          <w:noProof/>
        </w:rPr>
        <w:t>szt</w:t>
      </w:r>
      <w:r w:rsidRPr="001357D3">
        <w:rPr>
          <w:noProof/>
        </w:rPr>
        <w:t>uczna inteligencja (AI) mogą pomóc administracjom publicznym,</w:t>
      </w:r>
      <w:r w:rsidR="001C6403" w:rsidRPr="001357D3">
        <w:rPr>
          <w:noProof/>
        </w:rPr>
        <w:t xml:space="preserve"> w</w:t>
      </w:r>
      <w:r w:rsidR="001C6403">
        <w:rPr>
          <w:noProof/>
        </w:rPr>
        <w:t> </w:t>
      </w:r>
      <w:r w:rsidR="001C6403" w:rsidRPr="001357D3">
        <w:rPr>
          <w:noProof/>
        </w:rPr>
        <w:t>tym</w:t>
      </w:r>
      <w:r w:rsidRPr="001357D3">
        <w:rPr>
          <w:noProof/>
        </w:rPr>
        <w:t xml:space="preserve"> sądom,</w:t>
      </w:r>
      <w:r w:rsidR="001C6403" w:rsidRPr="001357D3">
        <w:rPr>
          <w:noProof/>
        </w:rPr>
        <w:t xml:space="preserve"> w</w:t>
      </w:r>
      <w:r w:rsidR="001C6403">
        <w:rPr>
          <w:noProof/>
        </w:rPr>
        <w:t> </w:t>
      </w:r>
      <w:r w:rsidR="001C6403" w:rsidRPr="001357D3">
        <w:rPr>
          <w:noProof/>
        </w:rPr>
        <w:t>świ</w:t>
      </w:r>
      <w:r w:rsidRPr="001357D3">
        <w:rPr>
          <w:noProof/>
        </w:rPr>
        <w:t>adczeniu szybszych, bardziej dostępnych</w:t>
      </w:r>
      <w:r w:rsidR="001C6403" w:rsidRPr="001357D3">
        <w:rPr>
          <w:noProof/>
        </w:rPr>
        <w:t xml:space="preserve"> i</w:t>
      </w:r>
      <w:r w:rsidR="001C6403">
        <w:rPr>
          <w:noProof/>
        </w:rPr>
        <w:t> </w:t>
      </w:r>
      <w:r w:rsidR="001C6403" w:rsidRPr="001357D3">
        <w:rPr>
          <w:noProof/>
        </w:rPr>
        <w:t>opł</w:t>
      </w:r>
      <w:r w:rsidRPr="001357D3">
        <w:rPr>
          <w:noProof/>
        </w:rPr>
        <w:t>acalnych usług. Jednocześnie korzyści pod względem wygody</w:t>
      </w:r>
      <w:r w:rsidR="001C6403" w:rsidRPr="001357D3">
        <w:rPr>
          <w:noProof/>
        </w:rPr>
        <w:t xml:space="preserve"> i</w:t>
      </w:r>
      <w:r w:rsidR="001C6403">
        <w:rPr>
          <w:noProof/>
        </w:rPr>
        <w:t> </w:t>
      </w:r>
      <w:r w:rsidR="001C6403" w:rsidRPr="001357D3">
        <w:rPr>
          <w:noProof/>
        </w:rPr>
        <w:t>pew</w:t>
      </w:r>
      <w:r w:rsidRPr="001357D3">
        <w:rPr>
          <w:noProof/>
        </w:rPr>
        <w:t>ności prawa</w:t>
      </w:r>
      <w:r w:rsidR="001C6403" w:rsidRPr="001357D3">
        <w:rPr>
          <w:noProof/>
        </w:rPr>
        <w:t xml:space="preserve"> w</w:t>
      </w:r>
      <w:r w:rsidR="001C6403">
        <w:rPr>
          <w:noProof/>
        </w:rPr>
        <w:t> </w:t>
      </w:r>
      <w:r w:rsidR="001C6403" w:rsidRPr="001357D3">
        <w:rPr>
          <w:noProof/>
        </w:rPr>
        <w:t>kon</w:t>
      </w:r>
      <w:r w:rsidRPr="001357D3">
        <w:rPr>
          <w:noProof/>
        </w:rPr>
        <w:t>tekście transakcji transgranicznych przynosi korzystanie</w:t>
      </w:r>
      <w:r w:rsidR="001C6403" w:rsidRPr="001357D3">
        <w:rPr>
          <w:noProof/>
        </w:rPr>
        <w:t xml:space="preserve"> z</w:t>
      </w:r>
      <w:r w:rsidR="001C6403">
        <w:rPr>
          <w:noProof/>
        </w:rPr>
        <w:t> </w:t>
      </w:r>
      <w:r w:rsidR="001C6403" w:rsidRPr="001357D3">
        <w:rPr>
          <w:noProof/>
        </w:rPr>
        <w:t>kwa</w:t>
      </w:r>
      <w:r w:rsidRPr="001357D3">
        <w:rPr>
          <w:noProof/>
        </w:rPr>
        <w:t>lifikowanych usług zaufania, takich jak podpisy</w:t>
      </w:r>
      <w:r w:rsidR="001C6403" w:rsidRPr="001357D3">
        <w:rPr>
          <w:noProof/>
        </w:rPr>
        <w:t xml:space="preserve"> i</w:t>
      </w:r>
      <w:r w:rsidR="001C6403">
        <w:rPr>
          <w:noProof/>
        </w:rPr>
        <w:t> </w:t>
      </w:r>
      <w:r w:rsidR="001C6403" w:rsidRPr="001357D3">
        <w:rPr>
          <w:noProof/>
        </w:rPr>
        <w:t>pie</w:t>
      </w:r>
      <w:r w:rsidRPr="001357D3">
        <w:rPr>
          <w:noProof/>
        </w:rPr>
        <w:t>częcie elektroniczne. Staje się ono coraz bardziej istotne</w:t>
      </w:r>
      <w:r w:rsidR="001C6403" w:rsidRPr="001357D3">
        <w:rPr>
          <w:noProof/>
        </w:rPr>
        <w:t xml:space="preserve"> z</w:t>
      </w:r>
      <w:r w:rsidR="001C6403">
        <w:rPr>
          <w:noProof/>
        </w:rPr>
        <w:t> </w:t>
      </w:r>
      <w:r w:rsidR="001C6403" w:rsidRPr="001357D3">
        <w:rPr>
          <w:noProof/>
        </w:rPr>
        <w:t>pun</w:t>
      </w:r>
      <w:r w:rsidRPr="001357D3">
        <w:rPr>
          <w:noProof/>
        </w:rPr>
        <w:t>ktu widzenia przejrzystych</w:t>
      </w:r>
      <w:r w:rsidR="001C6403" w:rsidRPr="001357D3">
        <w:rPr>
          <w:noProof/>
        </w:rPr>
        <w:t xml:space="preserve"> i</w:t>
      </w:r>
      <w:r w:rsidR="001C6403">
        <w:rPr>
          <w:noProof/>
        </w:rPr>
        <w:t> </w:t>
      </w:r>
      <w:r w:rsidR="001C6403" w:rsidRPr="001357D3">
        <w:rPr>
          <w:noProof/>
        </w:rPr>
        <w:t>wia</w:t>
      </w:r>
      <w:r w:rsidRPr="001357D3">
        <w:rPr>
          <w:noProof/>
        </w:rPr>
        <w:t>rygodnych systemów wymiaru sprawiedliwości. Oczekuje się, że do dalszego wspierania cyfryzacji</w:t>
      </w:r>
      <w:r w:rsidR="001C6403" w:rsidRPr="001357D3">
        <w:rPr>
          <w:noProof/>
        </w:rPr>
        <w:t xml:space="preserve"> i</w:t>
      </w:r>
      <w:r w:rsidR="001C6403">
        <w:rPr>
          <w:noProof/>
        </w:rPr>
        <w:t> </w:t>
      </w:r>
      <w:r w:rsidR="001C6403" w:rsidRPr="001357D3">
        <w:rPr>
          <w:noProof/>
        </w:rPr>
        <w:t>bud</w:t>
      </w:r>
      <w:r w:rsidRPr="001357D3">
        <w:rPr>
          <w:noProof/>
        </w:rPr>
        <w:t>owania zaufania przyczyni się zapowiedziane wprowadzenie unijnych ram tożsamości cyfrowej oraz planowane europejskie portfele biznesowe. Skuteczne</w:t>
      </w:r>
      <w:r w:rsidR="001C6403" w:rsidRPr="001357D3">
        <w:rPr>
          <w:noProof/>
        </w:rPr>
        <w:t xml:space="preserve"> i</w:t>
      </w:r>
      <w:r w:rsidR="001C6403">
        <w:rPr>
          <w:noProof/>
        </w:rPr>
        <w:t> </w:t>
      </w:r>
      <w:r w:rsidR="001C6403" w:rsidRPr="001357D3">
        <w:rPr>
          <w:noProof/>
        </w:rPr>
        <w:t>prz</w:t>
      </w:r>
      <w:r w:rsidRPr="001357D3">
        <w:rPr>
          <w:noProof/>
        </w:rPr>
        <w:t xml:space="preserve">ejrzyste systemy wymiaru sprawiedliwości zwiększają </w:t>
      </w:r>
      <w:r w:rsidRPr="001357D3">
        <w:rPr>
          <w:noProof/>
        </w:rPr>
        <w:lastRenderedPageBreak/>
        <w:t>pewność prawa, przyciągają inwestycje</w:t>
      </w:r>
      <w:r w:rsidR="001C6403" w:rsidRPr="001357D3">
        <w:rPr>
          <w:noProof/>
        </w:rPr>
        <w:t xml:space="preserve"> i</w:t>
      </w:r>
      <w:r w:rsidR="001C6403">
        <w:rPr>
          <w:noProof/>
        </w:rPr>
        <w:t> </w:t>
      </w:r>
      <w:r w:rsidR="001C6403" w:rsidRPr="001357D3">
        <w:rPr>
          <w:noProof/>
        </w:rPr>
        <w:t>wzm</w:t>
      </w:r>
      <w:r w:rsidRPr="001357D3">
        <w:rPr>
          <w:noProof/>
        </w:rPr>
        <w:t>acniają współpracę transgraniczną</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Cyfryzacja zmniejsza obciążenia pracowników wymiaru sprawiedliwości, ułatwia dostęp do akt sądowych oraz umożliwia obywatelom</w:t>
      </w:r>
      <w:r w:rsidR="001C6403" w:rsidRPr="001357D3">
        <w:rPr>
          <w:noProof/>
        </w:rPr>
        <w:t xml:space="preserve"> i</w:t>
      </w:r>
      <w:r w:rsidR="001C6403">
        <w:rPr>
          <w:noProof/>
        </w:rPr>
        <w:t> </w:t>
      </w:r>
      <w:r w:rsidR="001C6403" w:rsidRPr="001357D3">
        <w:rPr>
          <w:noProof/>
        </w:rPr>
        <w:t>prz</w:t>
      </w:r>
      <w:r w:rsidRPr="001357D3">
        <w:rPr>
          <w:noProof/>
        </w:rPr>
        <w:t>edsiębiorstwom zdalny kontakt</w:t>
      </w:r>
      <w:r w:rsidR="001C6403" w:rsidRPr="001357D3">
        <w:rPr>
          <w:noProof/>
        </w:rPr>
        <w:t xml:space="preserve"> z</w:t>
      </w:r>
      <w:r w:rsidR="001C6403">
        <w:rPr>
          <w:noProof/>
        </w:rPr>
        <w:t> </w:t>
      </w:r>
      <w:r w:rsidR="001C6403" w:rsidRPr="001357D3">
        <w:rPr>
          <w:noProof/>
        </w:rPr>
        <w:t>sąd</w:t>
      </w:r>
      <w:r w:rsidRPr="001357D3">
        <w:rPr>
          <w:noProof/>
        </w:rPr>
        <w:t>ami. Zwiększa to przejrzystość, oszczędza koszty</w:t>
      </w:r>
      <w:r w:rsidR="001C6403" w:rsidRPr="001357D3">
        <w:rPr>
          <w:noProof/>
        </w:rPr>
        <w:t xml:space="preserve"> i</w:t>
      </w:r>
      <w:r w:rsidR="001C6403">
        <w:rPr>
          <w:noProof/>
        </w:rPr>
        <w:t> </w:t>
      </w:r>
      <w:r w:rsidR="001C6403" w:rsidRPr="001357D3">
        <w:rPr>
          <w:noProof/>
        </w:rPr>
        <w:t>wsp</w:t>
      </w:r>
      <w:r w:rsidRPr="001357D3">
        <w:rPr>
          <w:noProof/>
        </w:rPr>
        <w:t>iera wydajność gospodarki. Cyfrowe systemy wymiaru sprawiedliwości są również bardziej odporne na kryzysy, co zapewnia ciągłość</w:t>
      </w:r>
      <w:r w:rsidR="001C6403" w:rsidRPr="001357D3">
        <w:rPr>
          <w:noProof/>
        </w:rPr>
        <w:t xml:space="preserve"> i</w:t>
      </w:r>
      <w:r w:rsidR="001C6403">
        <w:rPr>
          <w:noProof/>
        </w:rPr>
        <w:t> </w:t>
      </w:r>
      <w:r w:rsidR="001C6403" w:rsidRPr="001357D3">
        <w:rPr>
          <w:noProof/>
        </w:rPr>
        <w:t>wzm</w:t>
      </w:r>
      <w:r w:rsidRPr="001357D3">
        <w:rPr>
          <w:noProof/>
        </w:rPr>
        <w:t>acnia zaufanie publiczne.</w:t>
      </w:r>
    </w:p>
    <w:p w14:paraId="35E3A60E" w14:textId="5D419501" w:rsidR="003B1357" w:rsidRPr="001357D3" w:rsidRDefault="00C3254B" w:rsidP="008A4B4E">
      <w:pPr>
        <w:tabs>
          <w:tab w:val="left" w:pos="504"/>
        </w:tabs>
        <w:spacing w:before="0"/>
        <w:rPr>
          <w:rFonts w:eastAsia="Times New Roman"/>
          <w:noProof/>
          <w:szCs w:val="24"/>
        </w:rPr>
      </w:pPr>
      <w:r w:rsidRPr="001357D3">
        <w:rPr>
          <w:noProof/>
        </w:rPr>
        <w:t>Szybko zmieniające się otoczenie gospodarcze, społeczne</w:t>
      </w:r>
      <w:r w:rsidR="001C6403" w:rsidRPr="001357D3">
        <w:rPr>
          <w:noProof/>
        </w:rPr>
        <w:t xml:space="preserve"> i</w:t>
      </w:r>
      <w:r w:rsidR="001C6403">
        <w:rPr>
          <w:noProof/>
        </w:rPr>
        <w:t> </w:t>
      </w:r>
      <w:r w:rsidR="001C6403" w:rsidRPr="001357D3">
        <w:rPr>
          <w:noProof/>
        </w:rPr>
        <w:t>geo</w:t>
      </w:r>
      <w:r w:rsidRPr="001357D3">
        <w:rPr>
          <w:noProof/>
        </w:rPr>
        <w:t>polityczne,</w:t>
      </w:r>
      <w:r w:rsidR="001C6403" w:rsidRPr="001357D3">
        <w:rPr>
          <w:noProof/>
        </w:rPr>
        <w:t xml:space="preserve"> w</w:t>
      </w:r>
      <w:r w:rsidR="001C6403">
        <w:rPr>
          <w:noProof/>
        </w:rPr>
        <w:t> </w:t>
      </w:r>
      <w:r w:rsidR="001C6403" w:rsidRPr="001357D3">
        <w:rPr>
          <w:noProof/>
        </w:rPr>
        <w:t>tym</w:t>
      </w:r>
      <w:r w:rsidRPr="001357D3">
        <w:rPr>
          <w:noProof/>
        </w:rPr>
        <w:t xml:space="preserve"> pełnoskalowa wojna Rosji przeciwko Ukrainie, tworzy atmosferę niepewności</w:t>
      </w:r>
      <w:r w:rsidR="001C6403" w:rsidRPr="001357D3">
        <w:rPr>
          <w:noProof/>
        </w:rPr>
        <w:t xml:space="preserve"> i</w:t>
      </w:r>
      <w:r w:rsidR="001C6403">
        <w:rPr>
          <w:noProof/>
        </w:rPr>
        <w:t> </w:t>
      </w:r>
      <w:r w:rsidR="001C6403" w:rsidRPr="001357D3">
        <w:rPr>
          <w:noProof/>
        </w:rPr>
        <w:t>kre</w:t>
      </w:r>
      <w:r w:rsidRPr="001357D3">
        <w:rPr>
          <w:noProof/>
        </w:rPr>
        <w:t>uje nowe wyzwania. Wyzwania, które dotyczą</w:t>
      </w:r>
      <w:r w:rsidR="001C6403" w:rsidRPr="001357D3">
        <w:rPr>
          <w:noProof/>
        </w:rPr>
        <w:t xml:space="preserve"> w</w:t>
      </w:r>
      <w:r w:rsidR="001C6403">
        <w:rPr>
          <w:noProof/>
        </w:rPr>
        <w:t> </w:t>
      </w:r>
      <w:r w:rsidR="001C6403" w:rsidRPr="001357D3">
        <w:rPr>
          <w:noProof/>
        </w:rPr>
        <w:t>szc</w:t>
      </w:r>
      <w:r w:rsidRPr="001357D3">
        <w:rPr>
          <w:noProof/>
        </w:rPr>
        <w:t>zególności unijnej przestrzeni sprawiedliwości, obejmują rosnące zagrożenia dla praworządności, różne formy poważnej przestępczości oraz przeszkody</w:t>
      </w:r>
      <w:r w:rsidR="001C6403" w:rsidRPr="001357D3">
        <w:rPr>
          <w:noProof/>
        </w:rPr>
        <w:t xml:space="preserve"> w</w:t>
      </w:r>
      <w:r w:rsidR="001C6403">
        <w:rPr>
          <w:noProof/>
        </w:rPr>
        <w:t> </w:t>
      </w:r>
      <w:r w:rsidR="001C6403" w:rsidRPr="001357D3">
        <w:rPr>
          <w:noProof/>
        </w:rPr>
        <w:t>dos</w:t>
      </w:r>
      <w:r w:rsidRPr="001357D3">
        <w:rPr>
          <w:noProof/>
        </w:rPr>
        <w:t>tępie do wymiaru sprawiedliwości</w:t>
      </w:r>
      <w:r w:rsidR="001C6403" w:rsidRPr="001357D3">
        <w:rPr>
          <w:noProof/>
        </w:rPr>
        <w:t xml:space="preserve"> i</w:t>
      </w:r>
      <w:r w:rsidR="001C6403">
        <w:rPr>
          <w:noProof/>
        </w:rPr>
        <w:t> </w:t>
      </w:r>
      <w:r w:rsidR="001C6403" w:rsidRPr="001357D3">
        <w:rPr>
          <w:noProof/>
        </w:rPr>
        <w:t>wsp</w:t>
      </w:r>
      <w:r w:rsidRPr="001357D3">
        <w:rPr>
          <w:noProof/>
        </w:rPr>
        <w:t>ółpracy sądowej. Poszanowanie praworządności jest kluczowym wyznacznikiem przewidywalnego otoczenia biznesowego, które stymuluje inwestycje</w:t>
      </w:r>
      <w:r w:rsidR="001C6403" w:rsidRPr="001357D3">
        <w:rPr>
          <w:noProof/>
        </w:rPr>
        <w:t xml:space="preserve"> i</w:t>
      </w:r>
      <w:r w:rsidR="001C6403">
        <w:rPr>
          <w:noProof/>
        </w:rPr>
        <w:t> </w:t>
      </w:r>
      <w:r w:rsidR="001C6403" w:rsidRPr="001357D3">
        <w:rPr>
          <w:noProof/>
        </w:rPr>
        <w:t>inn</w:t>
      </w:r>
      <w:r w:rsidRPr="001357D3">
        <w:rPr>
          <w:noProof/>
        </w:rPr>
        <w:t>owacje, oraz istotnym czynnikiem branym pod uwagę przez przedsiębiorstwa prowadzące działalność transgraniczną. Poszanowanie praworządności zapewnia właściwe funkcjonowanie</w:t>
      </w:r>
      <w:r w:rsidR="001C6403" w:rsidRPr="001357D3">
        <w:rPr>
          <w:noProof/>
        </w:rPr>
        <w:t xml:space="preserve"> i</w:t>
      </w:r>
      <w:r w:rsidR="001C6403">
        <w:rPr>
          <w:noProof/>
        </w:rPr>
        <w:t> </w:t>
      </w:r>
      <w:r w:rsidR="001C6403" w:rsidRPr="001357D3">
        <w:rPr>
          <w:noProof/>
        </w:rPr>
        <w:t>odp</w:t>
      </w:r>
      <w:r w:rsidRPr="001357D3">
        <w:rPr>
          <w:noProof/>
        </w:rPr>
        <w:t>orność rynku wewnętrznego, umożliwia współpracę</w:t>
      </w:r>
      <w:r w:rsidR="001C6403" w:rsidRPr="001357D3">
        <w:rPr>
          <w:noProof/>
        </w:rPr>
        <w:t xml:space="preserve"> w</w:t>
      </w:r>
      <w:r w:rsidR="001C6403">
        <w:rPr>
          <w:noProof/>
        </w:rPr>
        <w:t> </w:t>
      </w:r>
      <w:r w:rsidR="001C6403" w:rsidRPr="001357D3">
        <w:rPr>
          <w:noProof/>
        </w:rPr>
        <w:t>dzi</w:t>
      </w:r>
      <w:r w:rsidRPr="001357D3">
        <w:rPr>
          <w:noProof/>
        </w:rPr>
        <w:t>edzinie wymiaru sprawiedliwości opartą na wzajemnym zaufaniu</w:t>
      </w:r>
      <w:r w:rsidR="001C6403" w:rsidRPr="001357D3">
        <w:rPr>
          <w:noProof/>
        </w:rPr>
        <w:t xml:space="preserve"> i</w:t>
      </w:r>
      <w:r w:rsidR="001C6403">
        <w:rPr>
          <w:noProof/>
        </w:rPr>
        <w:t> </w:t>
      </w:r>
      <w:r w:rsidR="001C6403" w:rsidRPr="001357D3">
        <w:rPr>
          <w:noProof/>
        </w:rPr>
        <w:t>uzn</w:t>
      </w:r>
      <w:r w:rsidRPr="001357D3">
        <w:rPr>
          <w:noProof/>
        </w:rPr>
        <w:t>awaniu oraz jest warunkiem niezbędnym do uzyskania zgodności</w:t>
      </w:r>
      <w:r w:rsidR="001C6403" w:rsidRPr="001357D3">
        <w:rPr>
          <w:noProof/>
        </w:rPr>
        <w:t xml:space="preserve"> z</w:t>
      </w:r>
      <w:r w:rsidR="001C6403">
        <w:rPr>
          <w:noProof/>
        </w:rPr>
        <w:t> </w:t>
      </w:r>
      <w:r w:rsidR="001C6403" w:rsidRPr="001357D3">
        <w:rPr>
          <w:noProof/>
        </w:rPr>
        <w:t>zas</w:t>
      </w:r>
      <w:r w:rsidRPr="001357D3">
        <w:rPr>
          <w:noProof/>
        </w:rPr>
        <w:t>adami należytego zarządzania finansami</w:t>
      </w:r>
      <w:r w:rsidR="001C6403" w:rsidRPr="001357D3">
        <w:rPr>
          <w:noProof/>
        </w:rPr>
        <w:t xml:space="preserve"> w</w:t>
      </w:r>
      <w:r w:rsidR="001C6403">
        <w:rPr>
          <w:noProof/>
        </w:rPr>
        <w:t> </w:t>
      </w:r>
      <w:r w:rsidR="001C6403" w:rsidRPr="001357D3">
        <w:rPr>
          <w:noProof/>
        </w:rPr>
        <w:t>ram</w:t>
      </w:r>
      <w:r w:rsidRPr="001357D3">
        <w:rPr>
          <w:noProof/>
        </w:rPr>
        <w:t>ach budżetu Unii. Poszanowanie praworządności jest niezbędne do skutecznego, jednolitego</w:t>
      </w:r>
      <w:r w:rsidR="001C6403" w:rsidRPr="001357D3">
        <w:rPr>
          <w:noProof/>
        </w:rPr>
        <w:t xml:space="preserve"> i</w:t>
      </w:r>
      <w:r w:rsidR="001C6403">
        <w:rPr>
          <w:noProof/>
        </w:rPr>
        <w:t> </w:t>
      </w:r>
      <w:r w:rsidR="001C6403" w:rsidRPr="001357D3">
        <w:rPr>
          <w:noProof/>
        </w:rPr>
        <w:t>prz</w:t>
      </w:r>
      <w:r w:rsidRPr="001357D3">
        <w:rPr>
          <w:noProof/>
        </w:rPr>
        <w:t>ejrzystego stosowania prawa Unii oraz do zapewnienia równego dostępu do wymiaru sprawiedliwości. Ułatwianie współpracy</w:t>
      </w:r>
      <w:r w:rsidR="001C6403" w:rsidRPr="001357D3">
        <w:rPr>
          <w:noProof/>
        </w:rPr>
        <w:t xml:space="preserve"> w</w:t>
      </w:r>
      <w:r w:rsidR="001C6403">
        <w:rPr>
          <w:noProof/>
        </w:rPr>
        <w:t> </w:t>
      </w:r>
      <w:r w:rsidR="001C6403" w:rsidRPr="001357D3">
        <w:rPr>
          <w:noProof/>
        </w:rPr>
        <w:t>odn</w:t>
      </w:r>
      <w:r w:rsidRPr="001357D3">
        <w:rPr>
          <w:noProof/>
        </w:rPr>
        <w:t xml:space="preserve">iesieniu do poszczególnych form </w:t>
      </w:r>
      <w:bookmarkStart w:id="3" w:name="_Hlk205024006"/>
      <w:r w:rsidRPr="001357D3">
        <w:rPr>
          <w:noProof/>
        </w:rPr>
        <w:t xml:space="preserve">poważnej </w:t>
      </w:r>
      <w:bookmarkEnd w:id="3"/>
      <w:r w:rsidRPr="001357D3">
        <w:rPr>
          <w:noProof/>
        </w:rPr>
        <w:t>przestępczości, takich jak korupcja, terroryzm</w:t>
      </w:r>
      <w:r w:rsidR="001C6403" w:rsidRPr="001357D3">
        <w:rPr>
          <w:noProof/>
        </w:rPr>
        <w:t xml:space="preserve"> i</w:t>
      </w:r>
      <w:r w:rsidR="001C6403">
        <w:rPr>
          <w:noProof/>
        </w:rPr>
        <w:t> </w:t>
      </w:r>
      <w:r w:rsidR="001C6403" w:rsidRPr="001357D3">
        <w:rPr>
          <w:noProof/>
        </w:rPr>
        <w:t>prz</w:t>
      </w:r>
      <w:r w:rsidRPr="001357D3">
        <w:rPr>
          <w:noProof/>
        </w:rPr>
        <w:t>estępstwa przeciwko środowisku, ma zasadnicze znaczenie dla utrzymania praworządności</w:t>
      </w:r>
      <w:r w:rsidR="001C6403" w:rsidRPr="001357D3">
        <w:rPr>
          <w:noProof/>
        </w:rPr>
        <w:t xml:space="preserve"> i</w:t>
      </w:r>
      <w:r w:rsidR="001C6403">
        <w:rPr>
          <w:noProof/>
        </w:rPr>
        <w:t> </w:t>
      </w:r>
      <w:r w:rsidR="001C6403" w:rsidRPr="001357D3">
        <w:rPr>
          <w:noProof/>
        </w:rPr>
        <w:t>zau</w:t>
      </w:r>
      <w:r w:rsidRPr="001357D3">
        <w:rPr>
          <w:noProof/>
        </w:rPr>
        <w:t>fania do podmiotów zarządzających instytucjami publicznymi.</w:t>
      </w:r>
    </w:p>
    <w:p w14:paraId="06D2E9A2" w14:textId="242D3D5A" w:rsidR="003B1357" w:rsidRPr="001357D3" w:rsidRDefault="48EB2A83" w:rsidP="008A4B4E">
      <w:pPr>
        <w:tabs>
          <w:tab w:val="left" w:pos="504"/>
        </w:tabs>
        <w:spacing w:before="0"/>
        <w:rPr>
          <w:rFonts w:eastAsia="Times New Roman"/>
          <w:noProof/>
          <w:szCs w:val="24"/>
        </w:rPr>
      </w:pPr>
      <w:r w:rsidRPr="001357D3">
        <w:rPr>
          <w:noProof/>
        </w:rPr>
        <w:t>Inne wyzwania obejmują utrzymujące się przeszkody we współpracy sądowej oraz</w:t>
      </w:r>
      <w:r w:rsidR="001C6403" w:rsidRPr="001357D3">
        <w:rPr>
          <w:noProof/>
        </w:rPr>
        <w:t xml:space="preserve"> w</w:t>
      </w:r>
      <w:r w:rsidR="001C6403">
        <w:rPr>
          <w:noProof/>
        </w:rPr>
        <w:t> </w:t>
      </w:r>
      <w:r w:rsidR="001C6403" w:rsidRPr="001357D3">
        <w:rPr>
          <w:noProof/>
        </w:rPr>
        <w:t>dos</w:t>
      </w:r>
      <w:r w:rsidRPr="001357D3">
        <w:rPr>
          <w:noProof/>
        </w:rPr>
        <w:t>tępie do wymiaru sprawiedliwości. Skuteczny dostęp do wymiaru sprawiedliwości,</w:t>
      </w:r>
      <w:r w:rsidR="001C6403" w:rsidRPr="001357D3">
        <w:rPr>
          <w:noProof/>
        </w:rPr>
        <w:t xml:space="preserve"> w</w:t>
      </w:r>
      <w:r w:rsidR="001C6403">
        <w:rPr>
          <w:noProof/>
        </w:rPr>
        <w:t> </w:t>
      </w:r>
      <w:r w:rsidR="001C6403" w:rsidRPr="001357D3">
        <w:rPr>
          <w:noProof/>
        </w:rPr>
        <w:t>tym</w:t>
      </w:r>
      <w:r w:rsidRPr="001357D3">
        <w:rPr>
          <w:noProof/>
        </w:rPr>
        <w:t xml:space="preserve"> za pośrednictwem środków cyfrowych, jest warunkiem wzrostu gospodarczego. Brak skutecznego dostępu do wymiaru sprawiedliwości wpływa na rozwój zarówno obywateli, jak</w:t>
      </w:r>
      <w:r w:rsidR="001C6403" w:rsidRPr="001357D3">
        <w:rPr>
          <w:noProof/>
        </w:rPr>
        <w:t xml:space="preserve"> i</w:t>
      </w:r>
      <w:r w:rsidR="001C6403">
        <w:rPr>
          <w:noProof/>
        </w:rPr>
        <w:t> </w:t>
      </w:r>
      <w:r w:rsidR="001C6403" w:rsidRPr="001357D3">
        <w:rPr>
          <w:noProof/>
        </w:rPr>
        <w:t>prz</w:t>
      </w:r>
      <w:r w:rsidRPr="001357D3">
        <w:rPr>
          <w:noProof/>
        </w:rPr>
        <w:t>edsiębiorstw, zwłaszcza małych</w:t>
      </w:r>
      <w:r w:rsidR="001C6403" w:rsidRPr="001357D3">
        <w:rPr>
          <w:noProof/>
        </w:rPr>
        <w:t xml:space="preserve"> i</w:t>
      </w:r>
      <w:r w:rsidR="001C6403">
        <w:rPr>
          <w:noProof/>
        </w:rPr>
        <w:t> </w:t>
      </w:r>
      <w:r w:rsidR="001C6403" w:rsidRPr="001357D3">
        <w:rPr>
          <w:noProof/>
        </w:rPr>
        <w:t>śre</w:t>
      </w:r>
      <w:r w:rsidRPr="001357D3">
        <w:rPr>
          <w:noProof/>
        </w:rPr>
        <w:t>dnich przedsiębiorstw (MŚP). Źle funkcjonujące systemy wymiaru sprawiedliwości, charakteryzujące się nieskutecznością lub wysokimi kosztami, zniechęcają do prowadzenia działalności gospodarczej, utrudniając tym samym wzrost gospodarczy</w:t>
      </w:r>
      <w:r w:rsidRPr="001357D3">
        <w:rPr>
          <w:rStyle w:val="Odwoanieprzypisudolnego"/>
          <w:rFonts w:eastAsia="Times New Roman"/>
          <w:noProof/>
        </w:rPr>
        <w:footnoteReference w:id="8"/>
      </w:r>
      <w:r w:rsidRPr="001357D3">
        <w:rPr>
          <w:noProof/>
        </w:rPr>
        <w:t>. Jedną</w:t>
      </w:r>
      <w:r w:rsidR="001C6403" w:rsidRPr="001357D3">
        <w:rPr>
          <w:noProof/>
        </w:rPr>
        <w:t xml:space="preserve"> z</w:t>
      </w:r>
      <w:r w:rsidR="001C6403">
        <w:rPr>
          <w:noProof/>
        </w:rPr>
        <w:t> </w:t>
      </w:r>
      <w:r w:rsidR="001C6403" w:rsidRPr="001357D3">
        <w:rPr>
          <w:noProof/>
        </w:rPr>
        <w:t>głó</w:t>
      </w:r>
      <w:r w:rsidRPr="001357D3">
        <w:rPr>
          <w:noProof/>
        </w:rPr>
        <w:t>wnych przeszkód jest fakt, że komunikacja</w:t>
      </w:r>
      <w:r w:rsidR="001C6403" w:rsidRPr="001357D3">
        <w:rPr>
          <w:noProof/>
        </w:rPr>
        <w:t xml:space="preserve"> w</w:t>
      </w:r>
      <w:r w:rsidR="001C6403">
        <w:rPr>
          <w:noProof/>
        </w:rPr>
        <w:t> </w:t>
      </w:r>
      <w:r w:rsidR="001C6403" w:rsidRPr="001357D3">
        <w:rPr>
          <w:noProof/>
        </w:rPr>
        <w:t>tra</w:t>
      </w:r>
      <w:r w:rsidRPr="001357D3">
        <w:rPr>
          <w:noProof/>
        </w:rPr>
        <w:t>nsgranicznych postępowaniach sądowych nadal bardzo często odbywa się</w:t>
      </w:r>
      <w:r w:rsidR="001C6403" w:rsidRPr="001357D3">
        <w:rPr>
          <w:noProof/>
        </w:rPr>
        <w:t xml:space="preserve"> w</w:t>
      </w:r>
      <w:r w:rsidR="001C6403">
        <w:rPr>
          <w:noProof/>
        </w:rPr>
        <w:t> </w:t>
      </w:r>
      <w:r w:rsidR="001C6403" w:rsidRPr="001357D3">
        <w:rPr>
          <w:noProof/>
        </w:rPr>
        <w:t>for</w:t>
      </w:r>
      <w:r w:rsidRPr="001357D3">
        <w:rPr>
          <w:noProof/>
        </w:rPr>
        <w:t>mie papierowej, co prowadzi do niepotrzebnych opóźnień</w:t>
      </w:r>
      <w:r w:rsidR="001C6403" w:rsidRPr="001357D3">
        <w:rPr>
          <w:noProof/>
        </w:rPr>
        <w:t xml:space="preserve"> i</w:t>
      </w:r>
      <w:r w:rsidR="001C6403">
        <w:rPr>
          <w:noProof/>
        </w:rPr>
        <w:t> </w:t>
      </w:r>
      <w:r w:rsidR="001C6403" w:rsidRPr="001357D3">
        <w:rPr>
          <w:noProof/>
        </w:rPr>
        <w:t>kos</w:t>
      </w:r>
      <w:r w:rsidRPr="001357D3">
        <w:rPr>
          <w:noProof/>
        </w:rPr>
        <w:t>ztów. Jedną</w:t>
      </w:r>
      <w:r w:rsidR="001C6403" w:rsidRPr="001357D3">
        <w:rPr>
          <w:noProof/>
        </w:rPr>
        <w:t xml:space="preserve"> z</w:t>
      </w:r>
      <w:r w:rsidR="001C6403">
        <w:rPr>
          <w:noProof/>
        </w:rPr>
        <w:t> </w:t>
      </w:r>
      <w:r w:rsidR="001C6403" w:rsidRPr="001357D3">
        <w:rPr>
          <w:noProof/>
        </w:rPr>
        <w:t>prz</w:t>
      </w:r>
      <w:r w:rsidRPr="001357D3">
        <w:rPr>
          <w:noProof/>
        </w:rPr>
        <w:t>yczyn jest różne tempo cyfryzacji krajowych systemów wymiaru sprawiedliwości oraz niedostateczna interoperacyjność krajowych systemów informatycznych państw członkowskich,</w:t>
      </w:r>
      <w:r w:rsidR="001C6403" w:rsidRPr="001357D3">
        <w:rPr>
          <w:noProof/>
        </w:rPr>
        <w:t xml:space="preserve"> a</w:t>
      </w:r>
      <w:r w:rsidR="001C6403">
        <w:rPr>
          <w:noProof/>
        </w:rPr>
        <w:t> </w:t>
      </w:r>
      <w:r w:rsidR="001C6403" w:rsidRPr="001357D3">
        <w:rPr>
          <w:noProof/>
        </w:rPr>
        <w:t>tak</w:t>
      </w:r>
      <w:r w:rsidRPr="001357D3">
        <w:rPr>
          <w:noProof/>
        </w:rPr>
        <w:t>że systemów krajowych oraz agencji</w:t>
      </w:r>
      <w:r w:rsidR="001C6403" w:rsidRPr="001357D3">
        <w:rPr>
          <w:noProof/>
        </w:rPr>
        <w:t xml:space="preserve"> i</w:t>
      </w:r>
      <w:r w:rsidR="001C6403">
        <w:rPr>
          <w:noProof/>
        </w:rPr>
        <w:t> </w:t>
      </w:r>
      <w:r w:rsidR="001C6403" w:rsidRPr="001357D3">
        <w:rPr>
          <w:noProof/>
        </w:rPr>
        <w:t>org</w:t>
      </w:r>
      <w:r w:rsidRPr="001357D3">
        <w:rPr>
          <w:noProof/>
        </w:rPr>
        <w:t>anów UE</w:t>
      </w:r>
      <w:r w:rsidR="001C6403" w:rsidRPr="001357D3">
        <w:rPr>
          <w:noProof/>
        </w:rPr>
        <w:t xml:space="preserve"> w</w:t>
      </w:r>
      <w:r w:rsidR="001C6403">
        <w:rPr>
          <w:noProof/>
        </w:rPr>
        <w:t> </w:t>
      </w:r>
      <w:r w:rsidR="001C6403" w:rsidRPr="001357D3">
        <w:rPr>
          <w:noProof/>
        </w:rPr>
        <w:t>dzi</w:t>
      </w:r>
      <w:r w:rsidRPr="001357D3">
        <w:rPr>
          <w:noProof/>
        </w:rPr>
        <w:t>edzinie wymiaru sprawiedliwości</w:t>
      </w:r>
      <w:r w:rsidR="001C6403" w:rsidRPr="001357D3">
        <w:rPr>
          <w:noProof/>
        </w:rPr>
        <w:t xml:space="preserve"> i</w:t>
      </w:r>
      <w:r w:rsidR="001C6403">
        <w:rPr>
          <w:noProof/>
        </w:rPr>
        <w:t> </w:t>
      </w:r>
      <w:r w:rsidR="001C6403" w:rsidRPr="001357D3">
        <w:rPr>
          <w:noProof/>
        </w:rPr>
        <w:t>spr</w:t>
      </w:r>
      <w:r w:rsidRPr="001357D3">
        <w:rPr>
          <w:noProof/>
        </w:rPr>
        <w:t>aw wewnętrznych (WSiSW). Niezależnie od tego aspektu, nadal występują opóźnienia</w:t>
      </w:r>
      <w:r w:rsidR="001C6403" w:rsidRPr="001357D3">
        <w:rPr>
          <w:noProof/>
        </w:rPr>
        <w:t xml:space="preserve"> i</w:t>
      </w:r>
      <w:r w:rsidR="001C6403">
        <w:rPr>
          <w:noProof/>
        </w:rPr>
        <w:t> </w:t>
      </w:r>
      <w:r w:rsidR="001C6403" w:rsidRPr="001357D3">
        <w:rPr>
          <w:noProof/>
        </w:rPr>
        <w:t>nie</w:t>
      </w:r>
      <w:r w:rsidRPr="001357D3">
        <w:rPr>
          <w:noProof/>
        </w:rPr>
        <w:t>dociągnięcia</w:t>
      </w:r>
      <w:r w:rsidR="001C6403" w:rsidRPr="001357D3">
        <w:rPr>
          <w:noProof/>
        </w:rPr>
        <w:t xml:space="preserve"> w</w:t>
      </w:r>
      <w:r w:rsidR="001C6403">
        <w:rPr>
          <w:noProof/>
        </w:rPr>
        <w:t> </w:t>
      </w:r>
      <w:r w:rsidR="001C6403" w:rsidRPr="001357D3">
        <w:rPr>
          <w:noProof/>
        </w:rPr>
        <w:t>pro</w:t>
      </w:r>
      <w:r w:rsidRPr="001357D3">
        <w:rPr>
          <w:noProof/>
        </w:rPr>
        <w:t>cedurach transgranicznej współpracy sądowej. Problemem, zwłaszcza</w:t>
      </w:r>
      <w:r w:rsidR="001C6403" w:rsidRPr="001357D3">
        <w:rPr>
          <w:noProof/>
        </w:rPr>
        <w:t xml:space="preserve"> w</w:t>
      </w:r>
      <w:r w:rsidR="001C6403">
        <w:rPr>
          <w:noProof/>
        </w:rPr>
        <w:t> </w:t>
      </w:r>
      <w:r w:rsidR="001C6403" w:rsidRPr="001357D3">
        <w:rPr>
          <w:noProof/>
        </w:rPr>
        <w:t>kon</w:t>
      </w:r>
      <w:r w:rsidRPr="001357D3">
        <w:rPr>
          <w:noProof/>
        </w:rPr>
        <w:t>tekście transgranicznym, nadal jest dostęp do wymiaru sprawiedliwości – tj. możliwość każdej osoby do poszukiwania</w:t>
      </w:r>
      <w:r w:rsidR="001C6403" w:rsidRPr="001357D3">
        <w:rPr>
          <w:noProof/>
        </w:rPr>
        <w:t xml:space="preserve"> i</w:t>
      </w:r>
      <w:r w:rsidR="001C6403">
        <w:rPr>
          <w:noProof/>
        </w:rPr>
        <w:t> </w:t>
      </w:r>
      <w:r w:rsidR="001C6403" w:rsidRPr="001357D3">
        <w:rPr>
          <w:noProof/>
        </w:rPr>
        <w:t>uzy</w:t>
      </w:r>
      <w:r w:rsidRPr="001357D3">
        <w:rPr>
          <w:noProof/>
        </w:rPr>
        <w:t>skania sprawiedliwego rozwiązania problemów prawnych za pośrednictwem szeregu usług prawnych</w:t>
      </w:r>
      <w:r w:rsidR="001C6403" w:rsidRPr="001357D3">
        <w:rPr>
          <w:noProof/>
        </w:rPr>
        <w:t xml:space="preserve"> i</w:t>
      </w:r>
      <w:r w:rsidR="001C6403">
        <w:rPr>
          <w:noProof/>
        </w:rPr>
        <w:t> </w:t>
      </w:r>
      <w:r w:rsidR="001C6403" w:rsidRPr="001357D3">
        <w:rPr>
          <w:noProof/>
        </w:rPr>
        <w:t>sąd</w:t>
      </w:r>
      <w:r w:rsidRPr="001357D3">
        <w:rPr>
          <w:noProof/>
        </w:rPr>
        <w:t>owych,</w:t>
      </w:r>
      <w:r w:rsidR="001C6403" w:rsidRPr="001357D3">
        <w:rPr>
          <w:noProof/>
        </w:rPr>
        <w:t xml:space="preserve"> w</w:t>
      </w:r>
      <w:r w:rsidR="001C6403">
        <w:rPr>
          <w:noProof/>
        </w:rPr>
        <w:t> </w:t>
      </w:r>
      <w:r w:rsidR="001C6403" w:rsidRPr="001357D3">
        <w:rPr>
          <w:noProof/>
        </w:rPr>
        <w:t>spo</w:t>
      </w:r>
      <w:r w:rsidRPr="001357D3">
        <w:rPr>
          <w:noProof/>
        </w:rPr>
        <w:t>sób zgodny</w:t>
      </w:r>
      <w:r w:rsidR="001C6403" w:rsidRPr="001357D3">
        <w:rPr>
          <w:noProof/>
        </w:rPr>
        <w:t xml:space="preserve"> z</w:t>
      </w:r>
      <w:r w:rsidR="001C6403">
        <w:rPr>
          <w:noProof/>
        </w:rPr>
        <w:t> </w:t>
      </w:r>
      <w:r w:rsidR="001C6403" w:rsidRPr="001357D3">
        <w:rPr>
          <w:noProof/>
        </w:rPr>
        <w:t>pra</w:t>
      </w:r>
      <w:r w:rsidRPr="001357D3">
        <w:rPr>
          <w:noProof/>
        </w:rPr>
        <w:t>wami podstawowymi,</w:t>
      </w:r>
      <w:r w:rsidR="001C6403" w:rsidRPr="001357D3">
        <w:rPr>
          <w:noProof/>
        </w:rPr>
        <w:t xml:space="preserve"> w</w:t>
      </w:r>
      <w:r w:rsidR="001C6403">
        <w:rPr>
          <w:noProof/>
        </w:rPr>
        <w:t> </w:t>
      </w:r>
      <w:r w:rsidR="001C6403" w:rsidRPr="001357D3">
        <w:rPr>
          <w:noProof/>
        </w:rPr>
        <w:t>tym</w:t>
      </w:r>
      <w:r w:rsidRPr="001357D3">
        <w:rPr>
          <w:noProof/>
        </w:rPr>
        <w:t xml:space="preserve"> dostęp do wiarygodnych informacji prawnych</w:t>
      </w:r>
      <w:r w:rsidR="001C6403" w:rsidRPr="001357D3">
        <w:rPr>
          <w:noProof/>
        </w:rPr>
        <w:t xml:space="preserve"> i</w:t>
      </w:r>
      <w:r w:rsidR="001C6403">
        <w:rPr>
          <w:noProof/>
        </w:rPr>
        <w:t> </w:t>
      </w:r>
      <w:r w:rsidR="001C6403" w:rsidRPr="001357D3">
        <w:rPr>
          <w:noProof/>
        </w:rPr>
        <w:t>sku</w:t>
      </w:r>
      <w:r w:rsidRPr="001357D3">
        <w:rPr>
          <w:noProof/>
        </w:rPr>
        <w:t>teczne korzystanie</w:t>
      </w:r>
      <w:r w:rsidR="001C6403" w:rsidRPr="001357D3">
        <w:rPr>
          <w:noProof/>
        </w:rPr>
        <w:t xml:space="preserve"> z</w:t>
      </w:r>
      <w:r w:rsidR="001C6403">
        <w:rPr>
          <w:noProof/>
        </w:rPr>
        <w:t> </w:t>
      </w:r>
      <w:r w:rsidR="001C6403" w:rsidRPr="001357D3">
        <w:rPr>
          <w:noProof/>
        </w:rPr>
        <w:t>gwa</w:t>
      </w:r>
      <w:r w:rsidRPr="001357D3">
        <w:rPr>
          <w:noProof/>
        </w:rPr>
        <w:t>rancji proceduralnych. Dotyczy to osób fizycznych, takich jak ofiary</w:t>
      </w:r>
      <w:r w:rsidR="001C6403" w:rsidRPr="001357D3">
        <w:rPr>
          <w:noProof/>
        </w:rPr>
        <w:t xml:space="preserve"> i</w:t>
      </w:r>
      <w:r w:rsidR="001C6403">
        <w:rPr>
          <w:noProof/>
        </w:rPr>
        <w:t> </w:t>
      </w:r>
      <w:r w:rsidR="001C6403" w:rsidRPr="001357D3">
        <w:rPr>
          <w:noProof/>
        </w:rPr>
        <w:t>oso</w:t>
      </w:r>
      <w:r w:rsidRPr="001357D3">
        <w:rPr>
          <w:noProof/>
        </w:rPr>
        <w:t>by podejrzane lub oskarżone</w:t>
      </w:r>
      <w:r w:rsidR="001C6403" w:rsidRPr="001357D3">
        <w:rPr>
          <w:noProof/>
        </w:rPr>
        <w:t xml:space="preserve"> o</w:t>
      </w:r>
      <w:r w:rsidR="001C6403">
        <w:rPr>
          <w:noProof/>
        </w:rPr>
        <w:t> </w:t>
      </w:r>
      <w:r w:rsidR="001C6403" w:rsidRPr="001357D3">
        <w:rPr>
          <w:noProof/>
        </w:rPr>
        <w:t>pop</w:t>
      </w:r>
      <w:r w:rsidRPr="001357D3">
        <w:rPr>
          <w:noProof/>
        </w:rPr>
        <w:t>ełnienie przestępstwa, oraz przedsiębiorstw. Ponadto istniejące narzędzia służące do gromadzenia informacji porównawczych na temat jakości, niezależności</w:t>
      </w:r>
      <w:r w:rsidR="001C6403" w:rsidRPr="001357D3">
        <w:rPr>
          <w:noProof/>
        </w:rPr>
        <w:t xml:space="preserve"> i</w:t>
      </w:r>
      <w:r w:rsidR="001C6403">
        <w:rPr>
          <w:noProof/>
        </w:rPr>
        <w:t> </w:t>
      </w:r>
      <w:r w:rsidR="001C6403" w:rsidRPr="001357D3">
        <w:rPr>
          <w:noProof/>
        </w:rPr>
        <w:t>sku</w:t>
      </w:r>
      <w:r w:rsidRPr="001357D3">
        <w:rPr>
          <w:noProof/>
        </w:rPr>
        <w:t xml:space="preserve">teczności systemów wymiaru sprawiedliwości państw członkowskich nadal są niewystarczające. Wszystkie te czynniki mogą podważać wzajemne zaufanie państw </w:t>
      </w:r>
      <w:r w:rsidRPr="001357D3">
        <w:rPr>
          <w:noProof/>
        </w:rPr>
        <w:lastRenderedPageBreak/>
        <w:t>członkowskich do systemów wymiaru sprawiedliwości,</w:t>
      </w:r>
      <w:r w:rsidR="001C6403" w:rsidRPr="001357D3">
        <w:rPr>
          <w:noProof/>
        </w:rPr>
        <w:t xml:space="preserve"> a</w:t>
      </w:r>
      <w:r w:rsidR="001C6403">
        <w:rPr>
          <w:noProof/>
        </w:rPr>
        <w:t> </w:t>
      </w:r>
      <w:r w:rsidR="001C6403" w:rsidRPr="001357D3">
        <w:rPr>
          <w:noProof/>
        </w:rPr>
        <w:t>zat</w:t>
      </w:r>
      <w:r w:rsidRPr="001357D3">
        <w:rPr>
          <w:noProof/>
        </w:rPr>
        <w:t>em mogą utrudniać prawidłowe funkcjonowanie unijnej przestrzeni wolności, bezpieczeństwa</w:t>
      </w:r>
      <w:r w:rsidR="001C6403" w:rsidRPr="001357D3">
        <w:rPr>
          <w:noProof/>
        </w:rPr>
        <w:t xml:space="preserve"> i</w:t>
      </w:r>
      <w:r w:rsidR="001C6403">
        <w:rPr>
          <w:noProof/>
        </w:rPr>
        <w:t> </w:t>
      </w:r>
      <w:r w:rsidR="001C6403" w:rsidRPr="001357D3">
        <w:rPr>
          <w:noProof/>
        </w:rPr>
        <w:t>spr</w:t>
      </w:r>
      <w:r w:rsidRPr="001357D3">
        <w:rPr>
          <w:noProof/>
        </w:rPr>
        <w:t xml:space="preserve">awiedliwości. </w:t>
      </w:r>
    </w:p>
    <w:p w14:paraId="6849CFD1" w14:textId="2DFD56BA" w:rsidR="48EB2A83" w:rsidRPr="001357D3" w:rsidRDefault="00790F1E" w:rsidP="008A4B4E">
      <w:pPr>
        <w:tabs>
          <w:tab w:val="left" w:pos="504"/>
        </w:tabs>
        <w:spacing w:before="0"/>
        <w:rPr>
          <w:rFonts w:eastAsia="Times New Roman"/>
          <w:noProof/>
          <w:szCs w:val="24"/>
        </w:rPr>
      </w:pPr>
      <w:r w:rsidRPr="001357D3">
        <w:rPr>
          <w:noProof/>
        </w:rPr>
        <w:t>Ponadto często niewystarczający jest poziom wiedzy, umiejętności oraz świadomości praktyków</w:t>
      </w:r>
      <w:r w:rsidR="001C6403" w:rsidRPr="001357D3">
        <w:rPr>
          <w:noProof/>
        </w:rPr>
        <w:t xml:space="preserve"> w</w:t>
      </w:r>
      <w:r w:rsidR="001C6403">
        <w:rPr>
          <w:noProof/>
        </w:rPr>
        <w:t> </w:t>
      </w:r>
      <w:r w:rsidR="001C6403" w:rsidRPr="001357D3">
        <w:rPr>
          <w:noProof/>
        </w:rPr>
        <w:t>obs</w:t>
      </w:r>
      <w:r w:rsidRPr="001357D3">
        <w:rPr>
          <w:noProof/>
        </w:rPr>
        <w:t>zarze wymiaru sprawiedliwości, jeżeli chodzi</w:t>
      </w:r>
      <w:r w:rsidR="001C6403" w:rsidRPr="001357D3">
        <w:rPr>
          <w:noProof/>
        </w:rPr>
        <w:t xml:space="preserve"> o</w:t>
      </w:r>
      <w:r w:rsidR="001C6403">
        <w:rPr>
          <w:noProof/>
        </w:rPr>
        <w:t> </w:t>
      </w:r>
      <w:r w:rsidR="001C6403" w:rsidRPr="001357D3">
        <w:rPr>
          <w:noProof/>
        </w:rPr>
        <w:t>dor</w:t>
      </w:r>
      <w:r w:rsidRPr="001357D3">
        <w:rPr>
          <w:noProof/>
        </w:rPr>
        <w:t>obek prawny UE</w:t>
      </w:r>
      <w:r w:rsidR="001C6403" w:rsidRPr="001357D3">
        <w:rPr>
          <w:noProof/>
        </w:rPr>
        <w:t xml:space="preserve"> i</w:t>
      </w:r>
      <w:r w:rsidR="001C6403">
        <w:rPr>
          <w:noProof/>
        </w:rPr>
        <w:t> </w:t>
      </w:r>
      <w:r w:rsidR="001C6403" w:rsidRPr="001357D3">
        <w:rPr>
          <w:noProof/>
        </w:rPr>
        <w:t>uni</w:t>
      </w:r>
      <w:r w:rsidRPr="001357D3">
        <w:rPr>
          <w:noProof/>
        </w:rPr>
        <w:t>jne narzędzia cyfrowe. Pomimo poczynionych postępów</w:t>
      </w:r>
      <w:r w:rsidRPr="001357D3">
        <w:rPr>
          <w:rStyle w:val="Odwoanieprzypisudolnego"/>
          <w:rFonts w:eastAsia="Times New Roman"/>
          <w:noProof/>
          <w:szCs w:val="24"/>
        </w:rPr>
        <w:footnoteReference w:id="9"/>
      </w:r>
      <w:r w:rsidRPr="001357D3">
        <w:rPr>
          <w:noProof/>
        </w:rPr>
        <w:t xml:space="preserve"> nadal znacznie się różni poziom uczestnictwa</w:t>
      </w:r>
      <w:r w:rsidR="001C6403" w:rsidRPr="001357D3">
        <w:rPr>
          <w:noProof/>
        </w:rPr>
        <w:t xml:space="preserve"> w</w:t>
      </w:r>
      <w:r w:rsidR="001C6403">
        <w:rPr>
          <w:noProof/>
        </w:rPr>
        <w:t> </w:t>
      </w:r>
      <w:r w:rsidR="001C6403" w:rsidRPr="001357D3">
        <w:rPr>
          <w:noProof/>
        </w:rPr>
        <w:t>szk</w:t>
      </w:r>
      <w:r w:rsidRPr="001357D3">
        <w:rPr>
          <w:noProof/>
        </w:rPr>
        <w:t>oleniach,</w:t>
      </w:r>
      <w:r w:rsidR="001C6403" w:rsidRPr="001357D3">
        <w:rPr>
          <w:noProof/>
        </w:rPr>
        <w:t xml:space="preserve"> w</w:t>
      </w:r>
      <w:r w:rsidR="001C6403">
        <w:rPr>
          <w:noProof/>
        </w:rPr>
        <w:t> </w:t>
      </w:r>
      <w:r w:rsidR="001C6403" w:rsidRPr="001357D3">
        <w:rPr>
          <w:noProof/>
        </w:rPr>
        <w:t>zal</w:t>
      </w:r>
      <w:r w:rsidRPr="001357D3">
        <w:rPr>
          <w:noProof/>
        </w:rPr>
        <w:t>eżności od państwa członkowskiego oraz zawodu związanego</w:t>
      </w:r>
      <w:r w:rsidR="001C6403" w:rsidRPr="001357D3">
        <w:rPr>
          <w:noProof/>
        </w:rPr>
        <w:t xml:space="preserve"> z</w:t>
      </w:r>
      <w:r w:rsidR="001C6403">
        <w:rPr>
          <w:noProof/>
        </w:rPr>
        <w:t> </w:t>
      </w:r>
      <w:r w:rsidR="001C6403" w:rsidRPr="001357D3">
        <w:rPr>
          <w:noProof/>
        </w:rPr>
        <w:t>wym</w:t>
      </w:r>
      <w:r w:rsidRPr="001357D3">
        <w:rPr>
          <w:noProof/>
        </w:rPr>
        <w:t>iarem sprawiedliwości. Ma to negatywny wpływ na rozwój wspólnej europejskiej kultury sądowej, ponieważ dobrze wyszkoleni praktycy odgrywają kluczową rolę</w:t>
      </w:r>
      <w:r w:rsidR="001C6403" w:rsidRPr="001357D3">
        <w:rPr>
          <w:noProof/>
        </w:rPr>
        <w:t xml:space="preserve"> w</w:t>
      </w:r>
      <w:r w:rsidR="001C6403">
        <w:rPr>
          <w:noProof/>
        </w:rPr>
        <w:t> </w:t>
      </w:r>
      <w:r w:rsidR="001C6403" w:rsidRPr="001357D3">
        <w:rPr>
          <w:noProof/>
        </w:rPr>
        <w:t>zap</w:t>
      </w:r>
      <w:r w:rsidRPr="001357D3">
        <w:rPr>
          <w:noProof/>
        </w:rPr>
        <w:t>ewnianiu prawidłowego</w:t>
      </w:r>
      <w:r w:rsidR="001C6403" w:rsidRPr="001357D3">
        <w:rPr>
          <w:noProof/>
        </w:rPr>
        <w:t xml:space="preserve"> i</w:t>
      </w:r>
      <w:r w:rsidR="001C6403">
        <w:rPr>
          <w:noProof/>
        </w:rPr>
        <w:t> </w:t>
      </w:r>
      <w:r w:rsidR="001C6403" w:rsidRPr="001357D3">
        <w:rPr>
          <w:noProof/>
        </w:rPr>
        <w:t>spó</w:t>
      </w:r>
      <w:r w:rsidRPr="001357D3">
        <w:rPr>
          <w:noProof/>
        </w:rPr>
        <w:t>jnego wdrażania dorobku prawnego UE</w:t>
      </w:r>
      <w:r w:rsidR="001C6403" w:rsidRPr="001357D3">
        <w:rPr>
          <w:noProof/>
        </w:rPr>
        <w:t xml:space="preserve"> w</w:t>
      </w:r>
      <w:r w:rsidR="001C6403">
        <w:rPr>
          <w:noProof/>
        </w:rPr>
        <w:t> </w:t>
      </w:r>
      <w:r w:rsidR="001C6403" w:rsidRPr="001357D3">
        <w:rPr>
          <w:noProof/>
        </w:rPr>
        <w:t>cał</w:t>
      </w:r>
      <w:r w:rsidRPr="001357D3">
        <w:rPr>
          <w:noProof/>
        </w:rPr>
        <w:t>ej UE. Pracownicy wymiaru sprawiedliwości nie posiadają również niezbędnych umiejętności cyfrowych</w:t>
      </w:r>
      <w:r w:rsidR="001C6403" w:rsidRPr="001357D3">
        <w:rPr>
          <w:noProof/>
        </w:rPr>
        <w:t xml:space="preserve"> i</w:t>
      </w:r>
      <w:r w:rsidR="001C6403">
        <w:rPr>
          <w:noProof/>
        </w:rPr>
        <w:t> </w:t>
      </w:r>
      <w:r w:rsidR="001C6403" w:rsidRPr="001357D3">
        <w:rPr>
          <w:noProof/>
        </w:rPr>
        <w:t>nie</w:t>
      </w:r>
      <w:r w:rsidRPr="001357D3">
        <w:rPr>
          <w:noProof/>
        </w:rPr>
        <w:t xml:space="preserve"> są odpowiednio przygotowani do korzystania</w:t>
      </w:r>
      <w:r w:rsidR="001C6403" w:rsidRPr="001357D3">
        <w:rPr>
          <w:noProof/>
        </w:rPr>
        <w:t xml:space="preserve"> z</w:t>
      </w:r>
      <w:r w:rsidR="001C6403">
        <w:rPr>
          <w:noProof/>
        </w:rPr>
        <w:t> </w:t>
      </w:r>
      <w:r w:rsidR="001C6403" w:rsidRPr="001357D3">
        <w:rPr>
          <w:noProof/>
        </w:rPr>
        <w:t>nar</w:t>
      </w:r>
      <w:r w:rsidRPr="001357D3">
        <w:rPr>
          <w:noProof/>
        </w:rPr>
        <w:t>zędzi cyfrowych</w:t>
      </w:r>
      <w:r w:rsidR="001C6403" w:rsidRPr="001357D3">
        <w:rPr>
          <w:noProof/>
        </w:rPr>
        <w:t xml:space="preserve"> i</w:t>
      </w:r>
      <w:r w:rsidR="001C6403">
        <w:rPr>
          <w:noProof/>
        </w:rPr>
        <w:t> </w:t>
      </w:r>
      <w:r w:rsidR="001C6403" w:rsidRPr="001357D3">
        <w:rPr>
          <w:noProof/>
        </w:rPr>
        <w:t>inf</w:t>
      </w:r>
      <w:r w:rsidRPr="001357D3">
        <w:rPr>
          <w:noProof/>
        </w:rPr>
        <w:t>rastruktury cyfrowej. Szczególnie istotne są szkolenia</w:t>
      </w:r>
      <w:r w:rsidR="001C6403" w:rsidRPr="001357D3">
        <w:rPr>
          <w:noProof/>
        </w:rPr>
        <w:t xml:space="preserve"> w</w:t>
      </w:r>
      <w:r w:rsidR="001C6403">
        <w:rPr>
          <w:noProof/>
        </w:rPr>
        <w:t> </w:t>
      </w:r>
      <w:r w:rsidR="001C6403" w:rsidRPr="001357D3">
        <w:rPr>
          <w:noProof/>
        </w:rPr>
        <w:t>zak</w:t>
      </w:r>
      <w:r w:rsidRPr="001357D3">
        <w:rPr>
          <w:noProof/>
        </w:rPr>
        <w:t>resie prawa Unii, a to ze względu na następujące czynniki: (i) pogorszenie sytuacji</w:t>
      </w:r>
      <w:r w:rsidR="001C6403" w:rsidRPr="001357D3">
        <w:rPr>
          <w:noProof/>
        </w:rPr>
        <w:t xml:space="preserve"> w</w:t>
      </w:r>
      <w:r w:rsidR="001C6403">
        <w:rPr>
          <w:noProof/>
        </w:rPr>
        <w:t> </w:t>
      </w:r>
      <w:r w:rsidR="001C6403" w:rsidRPr="001357D3">
        <w:rPr>
          <w:noProof/>
        </w:rPr>
        <w:t>zak</w:t>
      </w:r>
      <w:r w:rsidRPr="001357D3">
        <w:rPr>
          <w:noProof/>
        </w:rPr>
        <w:t>resie praworządności</w:t>
      </w:r>
      <w:r w:rsidR="001C6403" w:rsidRPr="001357D3">
        <w:rPr>
          <w:noProof/>
        </w:rPr>
        <w:t xml:space="preserve"> i</w:t>
      </w:r>
      <w:r w:rsidR="001C6403">
        <w:rPr>
          <w:noProof/>
        </w:rPr>
        <w:t> </w:t>
      </w:r>
      <w:r w:rsidR="001C6403" w:rsidRPr="001357D3">
        <w:rPr>
          <w:noProof/>
        </w:rPr>
        <w:t>pod</w:t>
      </w:r>
      <w:r w:rsidRPr="001357D3">
        <w:rPr>
          <w:noProof/>
        </w:rPr>
        <w:t>ważanie praw podstawowych</w:t>
      </w:r>
      <w:r w:rsidR="001C6403" w:rsidRPr="001357D3">
        <w:rPr>
          <w:noProof/>
        </w:rPr>
        <w:t xml:space="preserve"> w</w:t>
      </w:r>
      <w:r w:rsidR="001C6403">
        <w:rPr>
          <w:noProof/>
        </w:rPr>
        <w:t> </w:t>
      </w:r>
      <w:r w:rsidR="001C6403" w:rsidRPr="001357D3">
        <w:rPr>
          <w:noProof/>
        </w:rPr>
        <w:t>nie</w:t>
      </w:r>
      <w:r w:rsidRPr="001357D3">
        <w:rPr>
          <w:noProof/>
        </w:rPr>
        <w:t>których państwach członkowskich; (ii) potrzeba zapobiegania poszczególnym formom poważnych przestępstw,</w:t>
      </w:r>
      <w:r w:rsidR="001C6403" w:rsidRPr="001357D3">
        <w:rPr>
          <w:noProof/>
        </w:rPr>
        <w:t xml:space="preserve"> w</w:t>
      </w:r>
      <w:r w:rsidR="001C6403">
        <w:rPr>
          <w:noProof/>
        </w:rPr>
        <w:t> </w:t>
      </w:r>
      <w:r w:rsidR="001C6403" w:rsidRPr="001357D3">
        <w:rPr>
          <w:noProof/>
        </w:rPr>
        <w:t>tym</w:t>
      </w:r>
      <w:r w:rsidRPr="001357D3">
        <w:rPr>
          <w:noProof/>
        </w:rPr>
        <w:t xml:space="preserve"> korupcji, oraz ich zwalczania; (iii) rosnące znaczenie cyfryzacji; oraz (iv) fakt, że coraz więcej osób korzysta</w:t>
      </w:r>
      <w:r w:rsidR="001C6403" w:rsidRPr="001357D3">
        <w:rPr>
          <w:noProof/>
        </w:rPr>
        <w:t xml:space="preserve"> z</w:t>
      </w:r>
      <w:r w:rsidR="001C6403">
        <w:rPr>
          <w:noProof/>
        </w:rPr>
        <w:t> </w:t>
      </w:r>
      <w:r w:rsidR="001C6403" w:rsidRPr="001357D3">
        <w:rPr>
          <w:noProof/>
        </w:rPr>
        <w:t>pra</w:t>
      </w:r>
      <w:r w:rsidRPr="001357D3">
        <w:rPr>
          <w:noProof/>
        </w:rPr>
        <w:t>wa do mieszkania</w:t>
      </w:r>
      <w:r w:rsidR="001C6403" w:rsidRPr="001357D3">
        <w:rPr>
          <w:noProof/>
        </w:rPr>
        <w:t xml:space="preserve"> i</w:t>
      </w:r>
      <w:r w:rsidR="001C6403">
        <w:rPr>
          <w:noProof/>
        </w:rPr>
        <w:t> </w:t>
      </w:r>
      <w:r w:rsidR="001C6403" w:rsidRPr="001357D3">
        <w:rPr>
          <w:noProof/>
        </w:rPr>
        <w:t>pra</w:t>
      </w:r>
      <w:r w:rsidRPr="001357D3">
        <w:rPr>
          <w:noProof/>
        </w:rPr>
        <w:t>cy</w:t>
      </w:r>
      <w:r w:rsidR="001C6403" w:rsidRPr="001357D3">
        <w:rPr>
          <w:noProof/>
        </w:rPr>
        <w:t xml:space="preserve"> w</w:t>
      </w:r>
      <w:r w:rsidR="001C6403">
        <w:rPr>
          <w:noProof/>
        </w:rPr>
        <w:t> </w:t>
      </w:r>
      <w:r w:rsidR="001C6403" w:rsidRPr="001357D3">
        <w:rPr>
          <w:noProof/>
        </w:rPr>
        <w:t>inn</w:t>
      </w:r>
      <w:r w:rsidRPr="001357D3">
        <w:rPr>
          <w:noProof/>
        </w:rPr>
        <w:t>ym państwie członkowskim</w:t>
      </w:r>
      <w:r w:rsidRPr="001357D3">
        <w:rPr>
          <w:rStyle w:val="Odwoanieprzypisudolnego"/>
          <w:rFonts w:eastAsia="Times New Roman"/>
          <w:noProof/>
          <w:szCs w:val="24"/>
        </w:rPr>
        <w:footnoteReference w:id="10"/>
      </w:r>
      <w:r w:rsidRPr="001357D3">
        <w:rPr>
          <w:noProof/>
        </w:rPr>
        <w:t>.</w:t>
      </w:r>
    </w:p>
    <w:p w14:paraId="5842D556" w14:textId="3BF72A44" w:rsidR="04EE1123" w:rsidRPr="001357D3" w:rsidRDefault="20784059" w:rsidP="008A4B4E">
      <w:pPr>
        <w:spacing w:before="0"/>
        <w:rPr>
          <w:noProof/>
        </w:rPr>
      </w:pPr>
      <w:r w:rsidRPr="001357D3">
        <w:rPr>
          <w:noProof/>
        </w:rPr>
        <w:t>Brak reakcji na te wyzwania będzie miał poważne konsekwencje, ponieważ większość</w:t>
      </w:r>
      <w:r w:rsidR="001C6403" w:rsidRPr="001357D3">
        <w:rPr>
          <w:noProof/>
        </w:rPr>
        <w:t xml:space="preserve"> z</w:t>
      </w:r>
      <w:r w:rsidR="001C6403">
        <w:rPr>
          <w:noProof/>
        </w:rPr>
        <w:t> </w:t>
      </w:r>
      <w:r w:rsidR="001C6403" w:rsidRPr="001357D3">
        <w:rPr>
          <w:noProof/>
        </w:rPr>
        <w:t>tyc</w:t>
      </w:r>
      <w:r w:rsidRPr="001357D3">
        <w:rPr>
          <w:noProof/>
        </w:rPr>
        <w:t>h kwestii ma wyraźny wymiar ponadnarodowy</w:t>
      </w:r>
      <w:r w:rsidR="001C6403" w:rsidRPr="001357D3">
        <w:rPr>
          <w:noProof/>
        </w:rPr>
        <w:t xml:space="preserve"> i</w:t>
      </w:r>
      <w:r w:rsidR="001C6403">
        <w:rPr>
          <w:noProof/>
        </w:rPr>
        <w:t> </w:t>
      </w:r>
      <w:r w:rsidR="001C6403" w:rsidRPr="001357D3">
        <w:rPr>
          <w:noProof/>
        </w:rPr>
        <w:t>nie</w:t>
      </w:r>
      <w:r w:rsidRPr="001357D3">
        <w:rPr>
          <w:noProof/>
        </w:rPr>
        <w:t xml:space="preserve"> może zostać skutecznie rozwiązana przez państwa członkowskie działające samodzielnie. Stworzenie skutecznej unijnej przestrzeni sprawiedliwości ma ogromny wpływ na życie polityczne, społeczne</w:t>
      </w:r>
      <w:r w:rsidR="001C6403" w:rsidRPr="001357D3">
        <w:rPr>
          <w:noProof/>
        </w:rPr>
        <w:t xml:space="preserve"> i</w:t>
      </w:r>
      <w:r w:rsidR="001C6403">
        <w:rPr>
          <w:noProof/>
        </w:rPr>
        <w:t> </w:t>
      </w:r>
      <w:r w:rsidR="001C6403" w:rsidRPr="001357D3">
        <w:rPr>
          <w:noProof/>
        </w:rPr>
        <w:t>gos</w:t>
      </w:r>
      <w:r w:rsidRPr="001357D3">
        <w:rPr>
          <w:noProof/>
        </w:rPr>
        <w:t>podarcze UE. Przynosi również wymierne korzyści</w:t>
      </w:r>
      <w:r w:rsidR="001C6403" w:rsidRPr="001357D3">
        <w:rPr>
          <w:noProof/>
        </w:rPr>
        <w:t xml:space="preserve"> z</w:t>
      </w:r>
      <w:r w:rsidR="001C6403">
        <w:rPr>
          <w:noProof/>
        </w:rPr>
        <w:t> </w:t>
      </w:r>
      <w:r w:rsidR="001C6403" w:rsidRPr="001357D3">
        <w:rPr>
          <w:noProof/>
        </w:rPr>
        <w:t>pun</w:t>
      </w:r>
      <w:r w:rsidRPr="001357D3">
        <w:rPr>
          <w:noProof/>
        </w:rPr>
        <w:t>ktu widzenia codziennego życia obywateli</w:t>
      </w:r>
      <w:r w:rsidR="001C6403" w:rsidRPr="001357D3">
        <w:rPr>
          <w:noProof/>
        </w:rPr>
        <w:t xml:space="preserve"> i</w:t>
      </w:r>
      <w:r w:rsidR="001C6403">
        <w:rPr>
          <w:noProof/>
        </w:rPr>
        <w:t> </w:t>
      </w:r>
      <w:r w:rsidR="001C6403" w:rsidRPr="001357D3">
        <w:rPr>
          <w:noProof/>
        </w:rPr>
        <w:t>pro</w:t>
      </w:r>
      <w:r w:rsidRPr="001357D3">
        <w:rPr>
          <w:noProof/>
        </w:rPr>
        <w:t>wadzenia działalności gospodarczej. Program „Sprawiedliwość” na lata 2028–2034 będzie wspierał dalszy rozwój unijnej przestrzeni sprawiedliwości opartej na wartościach Unii, praworządności, wzajemnym uznawaniu</w:t>
      </w:r>
      <w:r w:rsidR="001C6403" w:rsidRPr="001357D3">
        <w:rPr>
          <w:noProof/>
        </w:rPr>
        <w:t xml:space="preserve"> i</w:t>
      </w:r>
      <w:r w:rsidR="001C6403">
        <w:rPr>
          <w:noProof/>
        </w:rPr>
        <w:t> </w:t>
      </w:r>
      <w:r w:rsidR="001C6403" w:rsidRPr="001357D3">
        <w:rPr>
          <w:noProof/>
        </w:rPr>
        <w:t>zau</w:t>
      </w:r>
      <w:r w:rsidRPr="001357D3">
        <w:rPr>
          <w:noProof/>
        </w:rPr>
        <w:t>faniu,</w:t>
      </w:r>
      <w:r w:rsidR="001C6403" w:rsidRPr="001357D3">
        <w:rPr>
          <w:noProof/>
        </w:rPr>
        <w:t xml:space="preserve"> a</w:t>
      </w:r>
      <w:r w:rsidR="001C6403">
        <w:rPr>
          <w:noProof/>
        </w:rPr>
        <w:t> </w:t>
      </w:r>
      <w:r w:rsidR="001C6403" w:rsidRPr="001357D3">
        <w:rPr>
          <w:noProof/>
        </w:rPr>
        <w:t>tak</w:t>
      </w:r>
      <w:r w:rsidRPr="001357D3">
        <w:rPr>
          <w:noProof/>
        </w:rPr>
        <w:t>że na skutecznych, inkluzywnych, dostępnych</w:t>
      </w:r>
      <w:r w:rsidR="001C6403" w:rsidRPr="001357D3">
        <w:rPr>
          <w:noProof/>
        </w:rPr>
        <w:t xml:space="preserve"> i</w:t>
      </w:r>
      <w:r w:rsidR="001C6403">
        <w:rPr>
          <w:noProof/>
        </w:rPr>
        <w:t> </w:t>
      </w:r>
      <w:r w:rsidR="001C6403" w:rsidRPr="001357D3">
        <w:rPr>
          <w:noProof/>
        </w:rPr>
        <w:t>odp</w:t>
      </w:r>
      <w:r w:rsidRPr="001357D3">
        <w:rPr>
          <w:noProof/>
        </w:rPr>
        <w:t>ornych systemach wymiaru sprawiedliwości, które są warunkiem wzrostu gospodarczego</w:t>
      </w:r>
      <w:r w:rsidR="001C6403" w:rsidRPr="001357D3">
        <w:rPr>
          <w:noProof/>
        </w:rPr>
        <w:t xml:space="preserve"> i</w:t>
      </w:r>
      <w:r w:rsidR="001C6403">
        <w:rPr>
          <w:noProof/>
        </w:rPr>
        <w:t> </w:t>
      </w:r>
      <w:r w:rsidR="001C6403" w:rsidRPr="001357D3">
        <w:rPr>
          <w:noProof/>
        </w:rPr>
        <w:t>kon</w:t>
      </w:r>
      <w:r w:rsidRPr="001357D3">
        <w:rPr>
          <w:noProof/>
        </w:rPr>
        <w:t>kurencyjności. Nowy program ułatwi również dostęp do wymiaru sprawiedliwości, będzie wspierać współpracę sądową</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oraz propagować szkolenia kadr wymiaru sprawiedliwości, kładąc większy nacisk na cyfryzację wymiaru sprawiedliwości. Obszary polityki objęte niniejszym wnioskiem ustawodawczym mają solidne umocowanie</w:t>
      </w:r>
      <w:r w:rsidR="001C6403" w:rsidRPr="001357D3">
        <w:rPr>
          <w:noProof/>
        </w:rPr>
        <w:t xml:space="preserve"> w</w:t>
      </w:r>
      <w:r w:rsidR="001C6403">
        <w:rPr>
          <w:noProof/>
        </w:rPr>
        <w:t> </w:t>
      </w:r>
      <w:r w:rsidR="001C6403" w:rsidRPr="001357D3">
        <w:rPr>
          <w:noProof/>
        </w:rPr>
        <w:t>tra</w:t>
      </w:r>
      <w:r w:rsidRPr="001357D3">
        <w:rPr>
          <w:noProof/>
        </w:rPr>
        <w:t>ktatach UE, które stanowią podstawę prawną działań UE</w:t>
      </w:r>
      <w:r w:rsidR="001C6403" w:rsidRPr="001357D3">
        <w:rPr>
          <w:noProof/>
        </w:rPr>
        <w:t xml:space="preserve"> w</w:t>
      </w:r>
      <w:r w:rsidR="001C6403">
        <w:rPr>
          <w:noProof/>
        </w:rPr>
        <w:t> </w:t>
      </w:r>
      <w:r w:rsidR="001C6403" w:rsidRPr="001357D3">
        <w:rPr>
          <w:noProof/>
        </w:rPr>
        <w:t>dro</w:t>
      </w:r>
      <w:r w:rsidRPr="001357D3">
        <w:rPr>
          <w:noProof/>
        </w:rPr>
        <w:t>dze interwencji finansowych</w:t>
      </w:r>
      <w:r w:rsidR="001C6403" w:rsidRPr="001357D3">
        <w:rPr>
          <w:noProof/>
        </w:rPr>
        <w:t>. W</w:t>
      </w:r>
      <w:r w:rsidR="001C6403">
        <w:rPr>
          <w:noProof/>
        </w:rPr>
        <w:t> </w:t>
      </w:r>
      <w:r w:rsidR="001C6403" w:rsidRPr="001357D3">
        <w:rPr>
          <w:noProof/>
        </w:rPr>
        <w:t>ram</w:t>
      </w:r>
      <w:r w:rsidRPr="001357D3">
        <w:rPr>
          <w:noProof/>
        </w:rPr>
        <w:t>ach kolejnych wieloletnich ram finansowych (2028–2034) program „Sprawiedliwość” będzie</w:t>
      </w:r>
      <w:r w:rsidR="001C6403" w:rsidRPr="001357D3">
        <w:rPr>
          <w:noProof/>
        </w:rPr>
        <w:t xml:space="preserve"> w</w:t>
      </w:r>
      <w:r w:rsidR="001C6403">
        <w:rPr>
          <w:noProof/>
        </w:rPr>
        <w:t> </w:t>
      </w:r>
      <w:r w:rsidR="001C6403" w:rsidRPr="001357D3">
        <w:rPr>
          <w:noProof/>
        </w:rPr>
        <w:t>dal</w:t>
      </w:r>
      <w:r w:rsidRPr="001357D3">
        <w:rPr>
          <w:noProof/>
        </w:rPr>
        <w:t>szym ciągu służył utrzymaniu otwartych, demokratycznych, pluralistycznych społeczeństw,</w:t>
      </w:r>
      <w:r w:rsidR="001C6403" w:rsidRPr="001357D3">
        <w:rPr>
          <w:noProof/>
        </w:rPr>
        <w:t xml:space="preserve"> w</w:t>
      </w:r>
      <w:r w:rsidR="001C6403">
        <w:rPr>
          <w:noProof/>
        </w:rPr>
        <w:t> </w:t>
      </w:r>
      <w:r w:rsidR="001C6403" w:rsidRPr="001357D3">
        <w:rPr>
          <w:noProof/>
        </w:rPr>
        <w:t>któ</w:t>
      </w:r>
      <w:r w:rsidRPr="001357D3">
        <w:rPr>
          <w:noProof/>
        </w:rPr>
        <w:t>rych coraz powszechniejsze są równość</w:t>
      </w:r>
      <w:r w:rsidR="001C6403" w:rsidRPr="001357D3">
        <w:rPr>
          <w:noProof/>
        </w:rPr>
        <w:t xml:space="preserve"> i</w:t>
      </w:r>
      <w:r w:rsidR="001C6403">
        <w:rPr>
          <w:noProof/>
        </w:rPr>
        <w:t> </w:t>
      </w:r>
      <w:r w:rsidR="001C6403" w:rsidRPr="001357D3">
        <w:rPr>
          <w:noProof/>
        </w:rPr>
        <w:t>włą</w:t>
      </w:r>
      <w:r w:rsidRPr="001357D3">
        <w:rPr>
          <w:noProof/>
        </w:rPr>
        <w:t>czenie społeczne.</w:t>
      </w:r>
    </w:p>
    <w:p w14:paraId="00377F26" w14:textId="702733D6" w:rsidR="00C5603D" w:rsidRPr="001357D3" w:rsidRDefault="00C5603D" w:rsidP="008A4B4E">
      <w:pPr>
        <w:pStyle w:val="Listapunktowana"/>
        <w:spacing w:before="0"/>
        <w:contextualSpacing w:val="0"/>
        <w:rPr>
          <w:b/>
          <w:bCs/>
          <w:noProof/>
        </w:rPr>
      </w:pPr>
      <w:bookmarkStart w:id="4" w:name="_Toc205221085"/>
      <w:bookmarkStart w:id="5" w:name="_Hlk205115488"/>
      <w:r w:rsidRPr="001357D3">
        <w:rPr>
          <w:b/>
          <w:noProof/>
        </w:rPr>
        <w:t>Spójność</w:t>
      </w:r>
      <w:r w:rsidR="001C6403" w:rsidRPr="001357D3">
        <w:rPr>
          <w:b/>
          <w:noProof/>
        </w:rPr>
        <w:t xml:space="preserve"> z</w:t>
      </w:r>
      <w:r w:rsidR="001C6403">
        <w:rPr>
          <w:b/>
          <w:noProof/>
        </w:rPr>
        <w:t> </w:t>
      </w:r>
      <w:r w:rsidR="001C6403" w:rsidRPr="001357D3">
        <w:rPr>
          <w:b/>
          <w:noProof/>
        </w:rPr>
        <w:t>prz</w:t>
      </w:r>
      <w:r w:rsidRPr="001357D3">
        <w:rPr>
          <w:b/>
          <w:noProof/>
        </w:rPr>
        <w:t>episami obowiązującymi</w:t>
      </w:r>
      <w:r w:rsidR="001C6403" w:rsidRPr="001357D3">
        <w:rPr>
          <w:b/>
          <w:noProof/>
        </w:rPr>
        <w:t xml:space="preserve"> w</w:t>
      </w:r>
      <w:r w:rsidR="001C6403">
        <w:rPr>
          <w:b/>
          <w:noProof/>
        </w:rPr>
        <w:t> </w:t>
      </w:r>
      <w:r w:rsidR="001C6403" w:rsidRPr="001357D3">
        <w:rPr>
          <w:b/>
          <w:noProof/>
        </w:rPr>
        <w:t>tej</w:t>
      </w:r>
      <w:r w:rsidRPr="001357D3">
        <w:rPr>
          <w:b/>
          <w:noProof/>
        </w:rPr>
        <w:t xml:space="preserve"> dziedzinie polityki</w:t>
      </w:r>
      <w:bookmarkEnd w:id="4"/>
    </w:p>
    <w:bookmarkEnd w:id="5"/>
    <w:p w14:paraId="3D4F62B8" w14:textId="2A8C3F91" w:rsidR="004D2948" w:rsidRPr="001357D3" w:rsidRDefault="33FED5F7" w:rsidP="008A4B4E">
      <w:pPr>
        <w:spacing w:before="0"/>
        <w:rPr>
          <w:rFonts w:eastAsia="Times New Roman"/>
          <w:noProof/>
          <w:szCs w:val="24"/>
        </w:rPr>
      </w:pPr>
      <w:r w:rsidRPr="001357D3">
        <w:rPr>
          <w:noProof/>
        </w:rPr>
        <w:t>W ostatnich latach</w:t>
      </w:r>
      <w:r w:rsidR="001C6403" w:rsidRPr="001357D3">
        <w:rPr>
          <w:noProof/>
        </w:rPr>
        <w:t xml:space="preserve"> w</w:t>
      </w:r>
      <w:r w:rsidR="001C6403">
        <w:rPr>
          <w:noProof/>
        </w:rPr>
        <w:t> </w:t>
      </w:r>
      <w:r w:rsidR="001C6403" w:rsidRPr="001357D3">
        <w:rPr>
          <w:noProof/>
        </w:rPr>
        <w:t>ram</w:t>
      </w:r>
      <w:r w:rsidRPr="001357D3">
        <w:rPr>
          <w:noProof/>
        </w:rPr>
        <w:t>ach programu „Sprawiedliwość” wsparto szereg inicjatyw ustawodawczych</w:t>
      </w:r>
      <w:r w:rsidR="001C6403" w:rsidRPr="001357D3">
        <w:rPr>
          <w:noProof/>
        </w:rPr>
        <w:t xml:space="preserve"> i</w:t>
      </w:r>
      <w:r w:rsidR="001C6403">
        <w:rPr>
          <w:noProof/>
        </w:rPr>
        <w:t> </w:t>
      </w:r>
      <w:r w:rsidR="001C6403" w:rsidRPr="001357D3">
        <w:rPr>
          <w:noProof/>
        </w:rPr>
        <w:t>pol</w:t>
      </w:r>
      <w:r w:rsidRPr="001357D3">
        <w:rPr>
          <w:noProof/>
        </w:rPr>
        <w:t xml:space="preserve">itycznych; program ten bezpośrednio przyczynił się ponadto do </w:t>
      </w:r>
      <w:r w:rsidRPr="001357D3">
        <w:rPr>
          <w:noProof/>
        </w:rPr>
        <w:lastRenderedPageBreak/>
        <w:t>realizacji szeregu priorytetów Komisji</w:t>
      </w:r>
      <w:r w:rsidRPr="001357D3">
        <w:rPr>
          <w:rStyle w:val="Odwoanieprzypisudolnego"/>
          <w:rFonts w:eastAsia="Times New Roman"/>
          <w:noProof/>
          <w:szCs w:val="24"/>
        </w:rPr>
        <w:footnoteReference w:id="11"/>
      </w:r>
      <w:r w:rsidRPr="001357D3">
        <w:rPr>
          <w:noProof/>
        </w:rPr>
        <w:t>. Wymienione poniżej priorytety mają znaczenie</w:t>
      </w:r>
      <w:r w:rsidR="001C6403" w:rsidRPr="001357D3">
        <w:rPr>
          <w:noProof/>
        </w:rPr>
        <w:t xml:space="preserve"> w</w:t>
      </w:r>
      <w:r w:rsidR="001C6403">
        <w:rPr>
          <w:noProof/>
        </w:rPr>
        <w:t> </w:t>
      </w:r>
      <w:r w:rsidR="001C6403" w:rsidRPr="001357D3">
        <w:rPr>
          <w:noProof/>
        </w:rPr>
        <w:t>kon</w:t>
      </w:r>
      <w:r w:rsidRPr="001357D3">
        <w:rPr>
          <w:noProof/>
        </w:rPr>
        <w:t xml:space="preserve">tekście programu „Sprawiedliwość”; przewiduje się, że to znaczenie dalej wzrośnie: </w:t>
      </w:r>
    </w:p>
    <w:p w14:paraId="298AFBD2" w14:textId="55BBEE3B" w:rsidR="004D2948" w:rsidRPr="001357D3" w:rsidRDefault="004D2948" w:rsidP="008A4B4E">
      <w:pPr>
        <w:spacing w:before="0"/>
        <w:rPr>
          <w:rFonts w:eastAsia="Times New Roman"/>
          <w:noProof/>
          <w:szCs w:val="24"/>
        </w:rPr>
      </w:pPr>
      <w:r w:rsidRPr="001357D3">
        <w:rPr>
          <w:noProof/>
        </w:rPr>
        <w:t>1. „Ochrona demokracji</w:t>
      </w:r>
      <w:r w:rsidR="001C6403" w:rsidRPr="001357D3">
        <w:rPr>
          <w:noProof/>
        </w:rPr>
        <w:t xml:space="preserve"> i</w:t>
      </w:r>
      <w:r w:rsidR="001C6403">
        <w:rPr>
          <w:noProof/>
        </w:rPr>
        <w:t> </w:t>
      </w:r>
      <w:r w:rsidR="001C6403" w:rsidRPr="001357D3">
        <w:rPr>
          <w:noProof/>
        </w:rPr>
        <w:t>war</w:t>
      </w:r>
      <w:r w:rsidRPr="001357D3">
        <w:rPr>
          <w:noProof/>
        </w:rPr>
        <w:t>tości europejskich”. Program „Sprawiedliwość” będzie wspierał współpracę sądową</w:t>
      </w:r>
      <w:r w:rsidR="001C6403" w:rsidRPr="001357D3">
        <w:rPr>
          <w:noProof/>
        </w:rPr>
        <w:t xml:space="preserve"> i</w:t>
      </w:r>
      <w:r w:rsidR="001C6403">
        <w:rPr>
          <w:noProof/>
        </w:rPr>
        <w:t> </w:t>
      </w:r>
      <w:r w:rsidR="001C6403" w:rsidRPr="001357D3">
        <w:rPr>
          <w:noProof/>
        </w:rPr>
        <w:t>dos</w:t>
      </w:r>
      <w:r w:rsidRPr="001357D3">
        <w:rPr>
          <w:noProof/>
        </w:rPr>
        <w:t>tęp do wymiaru sprawiedliwości poprzez wzmocnienie praworządności</w:t>
      </w:r>
      <w:r w:rsidR="001C6403" w:rsidRPr="001357D3">
        <w:rPr>
          <w:noProof/>
        </w:rPr>
        <w:t xml:space="preserve"> i</w:t>
      </w:r>
      <w:r w:rsidR="001C6403">
        <w:rPr>
          <w:noProof/>
        </w:rPr>
        <w:t> </w:t>
      </w:r>
      <w:r w:rsidR="001C6403" w:rsidRPr="001357D3">
        <w:rPr>
          <w:noProof/>
        </w:rPr>
        <w:t>pra</w:t>
      </w:r>
      <w:r w:rsidRPr="001357D3">
        <w:rPr>
          <w:noProof/>
        </w:rPr>
        <w:t>w podstawowych jako demokratycznej podstawy UE. Nowe, silniejsze ukierunkowanie programu na cyfryzację sprawi, że systemy wymiaru sprawiedliwości staną się skuteczniejsze, umożliwiając szybszy dostęp do ochrony prawnej. To nowe ukierunkowanie stanowi bezpośrednie uzupełnienie działań na rzecz ochrony demokracji</w:t>
      </w:r>
      <w:r w:rsidR="001C6403" w:rsidRPr="001357D3">
        <w:rPr>
          <w:noProof/>
        </w:rPr>
        <w:t xml:space="preserve"> i</w:t>
      </w:r>
      <w:r w:rsidR="001C6403">
        <w:rPr>
          <w:noProof/>
        </w:rPr>
        <w:t> </w:t>
      </w:r>
      <w:r w:rsidR="001C6403" w:rsidRPr="001357D3">
        <w:rPr>
          <w:noProof/>
        </w:rPr>
        <w:t>pra</w:t>
      </w:r>
      <w:r w:rsidRPr="001357D3">
        <w:rPr>
          <w:noProof/>
        </w:rPr>
        <w:t>w podstawowych oraz zwiększenia pewności prawa, ochrony inwestycji, sprawiedliwości proceduralnej oraz zaufania publicznego do instytucji demokratycznych. Program „Sprawiedliwość” na lata 2028–2034 będzie wspierać niezależność sądownictwa oraz zwiększać zdolność do egzekwowania przepisów,</w:t>
      </w:r>
      <w:r w:rsidR="001C6403" w:rsidRPr="001357D3">
        <w:rPr>
          <w:noProof/>
        </w:rPr>
        <w:t xml:space="preserve"> w</w:t>
      </w:r>
      <w:r w:rsidR="001C6403">
        <w:rPr>
          <w:noProof/>
        </w:rPr>
        <w:t> </w:t>
      </w:r>
      <w:r w:rsidR="001C6403" w:rsidRPr="001357D3">
        <w:rPr>
          <w:noProof/>
        </w:rPr>
        <w:t>tym</w:t>
      </w:r>
      <w:r w:rsidRPr="001357D3">
        <w:rPr>
          <w:noProof/>
        </w:rPr>
        <w:t xml:space="preserve"> odpowiednich przepisów chroniących demokrację. Umożliwi on transgraniczną współpracę sądową mającą na celu zwalczanie transgranicznej cyberprzestępczości oraz będzie wspierać wdrażanie narzędzi cyfrowych, które są zgodne</w:t>
      </w:r>
      <w:r w:rsidR="001C6403" w:rsidRPr="001357D3">
        <w:rPr>
          <w:noProof/>
        </w:rPr>
        <w:t xml:space="preserve"> z</w:t>
      </w:r>
      <w:r w:rsidR="001C6403">
        <w:rPr>
          <w:noProof/>
        </w:rPr>
        <w:t> </w:t>
      </w:r>
      <w:r w:rsidR="001C6403" w:rsidRPr="001357D3">
        <w:rPr>
          <w:noProof/>
        </w:rPr>
        <w:t>sze</w:t>
      </w:r>
      <w:r w:rsidRPr="001357D3">
        <w:rPr>
          <w:noProof/>
        </w:rPr>
        <w:t>rszą polityką egzekwowania przepisów</w:t>
      </w:r>
      <w:r w:rsidR="001C6403" w:rsidRPr="001357D3">
        <w:rPr>
          <w:noProof/>
        </w:rPr>
        <w:t xml:space="preserve"> w</w:t>
      </w:r>
      <w:r w:rsidR="001C6403">
        <w:rPr>
          <w:noProof/>
        </w:rPr>
        <w:t> </w:t>
      </w:r>
      <w:r w:rsidR="001C6403" w:rsidRPr="001357D3">
        <w:rPr>
          <w:noProof/>
        </w:rPr>
        <w:t>obs</w:t>
      </w:r>
      <w:r w:rsidRPr="001357D3">
        <w:rPr>
          <w:noProof/>
        </w:rPr>
        <w:t>zarze cyfrowym, takich jak akt</w:t>
      </w:r>
      <w:r w:rsidR="001C6403" w:rsidRPr="001357D3">
        <w:rPr>
          <w:noProof/>
        </w:rPr>
        <w:t xml:space="preserve"> o</w:t>
      </w:r>
      <w:r w:rsidR="001C6403">
        <w:rPr>
          <w:noProof/>
        </w:rPr>
        <w:t> </w:t>
      </w:r>
      <w:r w:rsidR="001C6403" w:rsidRPr="001357D3">
        <w:rPr>
          <w:noProof/>
        </w:rPr>
        <w:t>usł</w:t>
      </w:r>
      <w:r w:rsidRPr="001357D3">
        <w:rPr>
          <w:noProof/>
        </w:rPr>
        <w:t>ugach cyfrowych</w:t>
      </w:r>
      <w:r w:rsidRPr="001357D3">
        <w:rPr>
          <w:rStyle w:val="Odwoanieprzypisudolnego"/>
          <w:rFonts w:eastAsia="Times New Roman"/>
          <w:noProof/>
          <w:szCs w:val="24"/>
        </w:rPr>
        <w:footnoteReference w:id="12"/>
      </w:r>
      <w:r w:rsidRPr="001357D3">
        <w:rPr>
          <w:noProof/>
        </w:rPr>
        <w:t>, akt</w:t>
      </w:r>
      <w:r w:rsidR="001C6403" w:rsidRPr="001357D3">
        <w:rPr>
          <w:noProof/>
        </w:rPr>
        <w:t xml:space="preserve"> w</w:t>
      </w:r>
      <w:r w:rsidR="001C6403">
        <w:rPr>
          <w:noProof/>
        </w:rPr>
        <w:t> </w:t>
      </w:r>
      <w:r w:rsidR="001C6403" w:rsidRPr="001357D3">
        <w:rPr>
          <w:noProof/>
        </w:rPr>
        <w:t>spr</w:t>
      </w:r>
      <w:r w:rsidRPr="001357D3">
        <w:rPr>
          <w:noProof/>
        </w:rPr>
        <w:t>awie AI</w:t>
      </w:r>
      <w:r w:rsidRPr="001357D3">
        <w:rPr>
          <w:rStyle w:val="Odwoanieprzypisudolnego"/>
          <w:rFonts w:eastAsia="Times New Roman"/>
          <w:noProof/>
          <w:szCs w:val="24"/>
        </w:rPr>
        <w:footnoteReference w:id="13"/>
      </w:r>
      <w:r w:rsidRPr="001357D3">
        <w:rPr>
          <w:noProof/>
        </w:rPr>
        <w:t xml:space="preserve"> oraz europejski akt prawny</w:t>
      </w:r>
      <w:r w:rsidR="001C6403" w:rsidRPr="001357D3">
        <w:rPr>
          <w:noProof/>
        </w:rPr>
        <w:t xml:space="preserve"> w</w:t>
      </w:r>
      <w:r w:rsidR="001C6403">
        <w:rPr>
          <w:noProof/>
        </w:rPr>
        <w:t> </w:t>
      </w:r>
      <w:r w:rsidR="001C6403" w:rsidRPr="001357D3">
        <w:rPr>
          <w:noProof/>
        </w:rPr>
        <w:t>spr</w:t>
      </w:r>
      <w:r w:rsidRPr="001357D3">
        <w:rPr>
          <w:noProof/>
        </w:rPr>
        <w:t>awie dostępności</w:t>
      </w:r>
      <w:r w:rsidRPr="001357D3">
        <w:rPr>
          <w:rStyle w:val="Odwoanieprzypisudolnego"/>
          <w:rFonts w:eastAsia="Times New Roman"/>
          <w:noProof/>
          <w:szCs w:val="24"/>
        </w:rPr>
        <w:footnoteReference w:id="14"/>
      </w:r>
      <w:r w:rsidRPr="001357D3">
        <w:rPr>
          <w:noProof/>
        </w:rPr>
        <w:t>. Przyczyni się do stosowania Karty, a to za sprawą wspierania szkoleń dla przedstawicieli zawodów prawniczych</w:t>
      </w:r>
      <w:r w:rsidR="001C6403" w:rsidRPr="001357D3">
        <w:rPr>
          <w:noProof/>
        </w:rPr>
        <w:t xml:space="preserve"> w</w:t>
      </w:r>
      <w:r w:rsidR="001C6403">
        <w:rPr>
          <w:noProof/>
        </w:rPr>
        <w:t> </w:t>
      </w:r>
      <w:r w:rsidR="001C6403" w:rsidRPr="001357D3">
        <w:rPr>
          <w:noProof/>
        </w:rPr>
        <w:t>zak</w:t>
      </w:r>
      <w:r w:rsidRPr="001357D3">
        <w:rPr>
          <w:noProof/>
        </w:rPr>
        <w:t>resie praw podstawowych</w:t>
      </w:r>
      <w:r w:rsidR="001C6403" w:rsidRPr="001357D3">
        <w:rPr>
          <w:noProof/>
        </w:rPr>
        <w:t>. W</w:t>
      </w:r>
      <w:r w:rsidR="001C6403">
        <w:rPr>
          <w:noProof/>
        </w:rPr>
        <w:t> </w:t>
      </w:r>
      <w:r w:rsidR="001C6403" w:rsidRPr="001357D3">
        <w:rPr>
          <w:noProof/>
        </w:rPr>
        <w:t>tym</w:t>
      </w:r>
      <w:r w:rsidRPr="001357D3">
        <w:rPr>
          <w:noProof/>
        </w:rPr>
        <w:t xml:space="preserve"> celu wspierane będą synergie,</w:t>
      </w:r>
      <w:r w:rsidR="001C6403" w:rsidRPr="001357D3">
        <w:rPr>
          <w:noProof/>
        </w:rPr>
        <w:t xml:space="preserve"> w</w:t>
      </w:r>
      <w:r w:rsidR="001C6403">
        <w:rPr>
          <w:noProof/>
        </w:rPr>
        <w:t> </w:t>
      </w:r>
      <w:r w:rsidR="001C6403" w:rsidRPr="001357D3">
        <w:rPr>
          <w:noProof/>
        </w:rPr>
        <w:t>szc</w:t>
      </w:r>
      <w:r w:rsidRPr="001357D3">
        <w:rPr>
          <w:noProof/>
        </w:rPr>
        <w:t>zególności</w:t>
      </w:r>
      <w:r w:rsidR="001C6403" w:rsidRPr="001357D3">
        <w:rPr>
          <w:noProof/>
        </w:rPr>
        <w:t xml:space="preserve"> z</w:t>
      </w:r>
      <w:r w:rsidR="001C6403">
        <w:rPr>
          <w:noProof/>
        </w:rPr>
        <w:t> </w:t>
      </w:r>
      <w:r w:rsidR="001C6403" w:rsidRPr="001357D3">
        <w:rPr>
          <w:noProof/>
        </w:rPr>
        <w:t>pro</w:t>
      </w:r>
      <w:r w:rsidRPr="001357D3">
        <w:rPr>
          <w:noProof/>
        </w:rPr>
        <w:t>gramem AgoraEU</w:t>
      </w:r>
      <w:r w:rsidRPr="001357D3">
        <w:rPr>
          <w:rStyle w:val="Odwoanieprzypisudolnego"/>
          <w:rFonts w:eastAsia="Times New Roman"/>
          <w:noProof/>
          <w:szCs w:val="24"/>
        </w:rPr>
        <w:footnoteReference w:id="15"/>
      </w:r>
      <w:r w:rsidRPr="001357D3">
        <w:rPr>
          <w:noProof/>
        </w:rPr>
        <w:t>.</w:t>
      </w:r>
    </w:p>
    <w:p w14:paraId="74689756" w14:textId="2A60F23D" w:rsidR="00511110" w:rsidRPr="001357D3" w:rsidRDefault="00511110" w:rsidP="008A4B4E">
      <w:pPr>
        <w:spacing w:before="0"/>
        <w:rPr>
          <w:noProof/>
        </w:rPr>
      </w:pPr>
      <w:r w:rsidRPr="001357D3">
        <w:rPr>
          <w:noProof/>
        </w:rPr>
        <w:t>2. „Wspieranie ludzi, wzmacnianie naszych społeczeństw</w:t>
      </w:r>
      <w:r w:rsidR="001C6403" w:rsidRPr="001357D3">
        <w:rPr>
          <w:noProof/>
        </w:rPr>
        <w:t xml:space="preserve"> i</w:t>
      </w:r>
      <w:r w:rsidR="001C6403">
        <w:rPr>
          <w:noProof/>
        </w:rPr>
        <w:t> </w:t>
      </w:r>
      <w:r w:rsidR="001C6403" w:rsidRPr="001357D3">
        <w:rPr>
          <w:noProof/>
        </w:rPr>
        <w:t>nas</w:t>
      </w:r>
      <w:r w:rsidRPr="001357D3">
        <w:rPr>
          <w:noProof/>
        </w:rPr>
        <w:t>z model społeczny”. Program „Sprawiedliwość” przyczyni się do przestrzegania praw podstawowych, na przykład poprzez propagowanie szkolenia kadr wymiaru sprawiedliwości</w:t>
      </w:r>
      <w:r w:rsidR="001C6403" w:rsidRPr="001357D3">
        <w:rPr>
          <w:noProof/>
        </w:rPr>
        <w:t xml:space="preserve"> w</w:t>
      </w:r>
      <w:r w:rsidR="001C6403">
        <w:rPr>
          <w:noProof/>
        </w:rPr>
        <w:t> </w:t>
      </w:r>
      <w:r w:rsidR="001C6403" w:rsidRPr="001357D3">
        <w:rPr>
          <w:noProof/>
        </w:rPr>
        <w:t>zak</w:t>
      </w:r>
      <w:r w:rsidRPr="001357D3">
        <w:rPr>
          <w:noProof/>
        </w:rPr>
        <w:t>resie niedyskryminacji</w:t>
      </w:r>
      <w:r w:rsidR="001C6403" w:rsidRPr="001357D3">
        <w:rPr>
          <w:noProof/>
        </w:rPr>
        <w:t xml:space="preserve"> i</w:t>
      </w:r>
      <w:r w:rsidR="001C6403">
        <w:rPr>
          <w:noProof/>
        </w:rPr>
        <w:t> </w:t>
      </w:r>
      <w:r w:rsidR="001C6403" w:rsidRPr="001357D3">
        <w:rPr>
          <w:noProof/>
        </w:rPr>
        <w:t>sto</w:t>
      </w:r>
      <w:r w:rsidRPr="001357D3">
        <w:rPr>
          <w:noProof/>
        </w:rPr>
        <w:t>sowania Karty,</w:t>
      </w:r>
      <w:r w:rsidR="001C6403" w:rsidRPr="001357D3">
        <w:rPr>
          <w:noProof/>
        </w:rPr>
        <w:t xml:space="preserve"> a</w:t>
      </w:r>
      <w:r w:rsidR="001C6403">
        <w:rPr>
          <w:noProof/>
        </w:rPr>
        <w:t> </w:t>
      </w:r>
      <w:r w:rsidR="001C6403" w:rsidRPr="001357D3">
        <w:rPr>
          <w:noProof/>
        </w:rPr>
        <w:t>tak</w:t>
      </w:r>
      <w:r w:rsidRPr="001357D3">
        <w:rPr>
          <w:noProof/>
        </w:rPr>
        <w:t>że stworzy powiązania</w:t>
      </w:r>
      <w:r w:rsidR="001C6403" w:rsidRPr="001357D3">
        <w:rPr>
          <w:noProof/>
        </w:rPr>
        <w:t xml:space="preserve"> z</w:t>
      </w:r>
      <w:r w:rsidR="001C6403">
        <w:rPr>
          <w:noProof/>
        </w:rPr>
        <w:t> </w:t>
      </w:r>
      <w:r w:rsidR="001C6403" w:rsidRPr="001357D3">
        <w:rPr>
          <w:noProof/>
        </w:rPr>
        <w:t>pol</w:t>
      </w:r>
      <w:r w:rsidRPr="001357D3">
        <w:rPr>
          <w:noProof/>
        </w:rPr>
        <w:t>ityką spójności społecznej poprzez wspieranie spójnej ochrony prawnej we wszystkich państwach członkowskich. Program będzie również wspierał wdrażanie Europejskiego filaru praw socjalnych</w:t>
      </w:r>
      <w:r w:rsidRPr="001357D3">
        <w:rPr>
          <w:rStyle w:val="Odwoanieprzypisudolnego"/>
          <w:rFonts w:eastAsia="Times New Roman"/>
          <w:noProof/>
          <w:szCs w:val="24"/>
        </w:rPr>
        <w:footnoteReference w:id="16"/>
      </w:r>
      <w:r w:rsidRPr="001357D3">
        <w:rPr>
          <w:noProof/>
        </w:rPr>
        <w:t>, zapewniając egzekwowanie tych praw dzięki bardziej dostępnym mechanizmom wymiaru sprawiedliwości. Ponadto cyfrowe systemy wymiaru sprawiedliwości, utworzone</w:t>
      </w:r>
      <w:r w:rsidR="001C6403" w:rsidRPr="001357D3">
        <w:rPr>
          <w:noProof/>
        </w:rPr>
        <w:t xml:space="preserve"> z</w:t>
      </w:r>
      <w:r w:rsidR="001C6403">
        <w:rPr>
          <w:noProof/>
        </w:rPr>
        <w:t> </w:t>
      </w:r>
      <w:r w:rsidR="001C6403" w:rsidRPr="001357D3">
        <w:rPr>
          <w:noProof/>
        </w:rPr>
        <w:t>nal</w:t>
      </w:r>
      <w:r w:rsidRPr="001357D3">
        <w:rPr>
          <w:noProof/>
        </w:rPr>
        <w:t>eżytym uwzględnieniem zagrożeń dla bezpieczeństwa</w:t>
      </w:r>
      <w:r w:rsidR="001C6403" w:rsidRPr="001357D3">
        <w:rPr>
          <w:noProof/>
        </w:rPr>
        <w:t xml:space="preserve"> i</w:t>
      </w:r>
      <w:r w:rsidR="001C6403">
        <w:rPr>
          <w:noProof/>
        </w:rPr>
        <w:t> </w:t>
      </w:r>
      <w:r w:rsidR="001C6403" w:rsidRPr="001357D3">
        <w:rPr>
          <w:noProof/>
        </w:rPr>
        <w:t>pot</w:t>
      </w:r>
      <w:r w:rsidRPr="001357D3">
        <w:rPr>
          <w:noProof/>
        </w:rPr>
        <w:t>rzeb wszystkich zainteresowanych osób, mogą poprawić dostęp do wymiaru sprawiedliwości,</w:t>
      </w:r>
      <w:r w:rsidR="001C6403" w:rsidRPr="001357D3">
        <w:rPr>
          <w:noProof/>
        </w:rPr>
        <w:t xml:space="preserve"> w</w:t>
      </w:r>
      <w:r w:rsidR="001C6403">
        <w:rPr>
          <w:noProof/>
        </w:rPr>
        <w:t> </w:t>
      </w:r>
      <w:r w:rsidR="001C6403" w:rsidRPr="001357D3">
        <w:rPr>
          <w:noProof/>
        </w:rPr>
        <w:t>tym</w:t>
      </w:r>
      <w:r w:rsidRPr="001357D3">
        <w:rPr>
          <w:noProof/>
        </w:rPr>
        <w:t xml:space="preserve"> poprzez zmniejszenie barier, zwłaszcza</w:t>
      </w:r>
      <w:r w:rsidR="001C6403" w:rsidRPr="001357D3">
        <w:rPr>
          <w:noProof/>
        </w:rPr>
        <w:t xml:space="preserve"> w</w:t>
      </w:r>
      <w:r w:rsidR="001C6403">
        <w:rPr>
          <w:noProof/>
        </w:rPr>
        <w:t> </w:t>
      </w:r>
      <w:r w:rsidR="001C6403" w:rsidRPr="001357D3">
        <w:rPr>
          <w:noProof/>
        </w:rPr>
        <w:t>prz</w:t>
      </w:r>
      <w:r w:rsidRPr="001357D3">
        <w:rPr>
          <w:noProof/>
        </w:rPr>
        <w:t>ypadku dzieci</w:t>
      </w:r>
      <w:r w:rsidR="001C6403" w:rsidRPr="001357D3">
        <w:rPr>
          <w:noProof/>
        </w:rPr>
        <w:t xml:space="preserve"> i</w:t>
      </w:r>
      <w:r w:rsidR="001C6403">
        <w:rPr>
          <w:noProof/>
        </w:rPr>
        <w:t> </w:t>
      </w:r>
      <w:r w:rsidR="001C6403" w:rsidRPr="001357D3">
        <w:rPr>
          <w:noProof/>
        </w:rPr>
        <w:t>inn</w:t>
      </w:r>
      <w:r w:rsidRPr="001357D3">
        <w:rPr>
          <w:noProof/>
        </w:rPr>
        <w:t>ych słabszych grup społecznych, takich jak osoby</w:t>
      </w:r>
      <w:r w:rsidR="001C6403" w:rsidRPr="001357D3">
        <w:rPr>
          <w:noProof/>
        </w:rPr>
        <w:t xml:space="preserve"> z</w:t>
      </w:r>
      <w:r w:rsidR="001C6403">
        <w:rPr>
          <w:noProof/>
        </w:rPr>
        <w:t> </w:t>
      </w:r>
      <w:r w:rsidR="001C6403" w:rsidRPr="001357D3">
        <w:rPr>
          <w:noProof/>
        </w:rPr>
        <w:t>nie</w:t>
      </w:r>
      <w:r w:rsidRPr="001357D3">
        <w:rPr>
          <w:noProof/>
        </w:rPr>
        <w:t>pełnosprawnościami, Romowie oraz inne społeczności zmarginalizowane</w:t>
      </w:r>
      <w:r w:rsidR="001C6403" w:rsidRPr="001357D3">
        <w:rPr>
          <w:noProof/>
        </w:rPr>
        <w:t>. W</w:t>
      </w:r>
      <w:r w:rsidR="001C6403">
        <w:rPr>
          <w:noProof/>
        </w:rPr>
        <w:t> </w:t>
      </w:r>
      <w:r w:rsidR="001C6403" w:rsidRPr="001357D3">
        <w:rPr>
          <w:noProof/>
        </w:rPr>
        <w:t>tym</w:t>
      </w:r>
      <w:r w:rsidRPr="001357D3">
        <w:rPr>
          <w:noProof/>
        </w:rPr>
        <w:t xml:space="preserve"> względzie wspierane będą synergie</w:t>
      </w:r>
      <w:r w:rsidR="001C6403" w:rsidRPr="001357D3">
        <w:rPr>
          <w:noProof/>
        </w:rPr>
        <w:t xml:space="preserve"> z</w:t>
      </w:r>
      <w:r w:rsidR="001C6403">
        <w:rPr>
          <w:noProof/>
        </w:rPr>
        <w:t> </w:t>
      </w:r>
      <w:r w:rsidR="001C6403" w:rsidRPr="001357D3">
        <w:rPr>
          <w:noProof/>
        </w:rPr>
        <w:t>pro</w:t>
      </w:r>
      <w:r w:rsidRPr="001357D3">
        <w:rPr>
          <w:noProof/>
        </w:rPr>
        <w:t>gramem Erasmus+</w:t>
      </w:r>
      <w:r w:rsidRPr="001357D3">
        <w:rPr>
          <w:rStyle w:val="Odwoanieprzypisudolnego"/>
          <w:rFonts w:eastAsia="Times New Roman"/>
          <w:noProof/>
        </w:rPr>
        <w:footnoteReference w:id="17"/>
      </w:r>
      <w:r w:rsidRPr="001357D3">
        <w:rPr>
          <w:noProof/>
        </w:rPr>
        <w:t xml:space="preserve"> oraz </w:t>
      </w:r>
      <w:r w:rsidRPr="001357D3">
        <w:rPr>
          <w:rStyle w:val="Pogrubienie"/>
          <w:b w:val="0"/>
          <w:noProof/>
        </w:rPr>
        <w:t xml:space="preserve">planami partnerstwa </w:t>
      </w:r>
      <w:r w:rsidRPr="001357D3">
        <w:rPr>
          <w:rStyle w:val="Pogrubienie"/>
          <w:b w:val="0"/>
          <w:noProof/>
        </w:rPr>
        <w:lastRenderedPageBreak/>
        <w:t>krajowego</w:t>
      </w:r>
      <w:r w:rsidR="001C6403" w:rsidRPr="001357D3">
        <w:rPr>
          <w:rStyle w:val="Pogrubienie"/>
          <w:b w:val="0"/>
          <w:noProof/>
        </w:rPr>
        <w:t xml:space="preserve"> i</w:t>
      </w:r>
      <w:r w:rsidR="001C6403">
        <w:rPr>
          <w:rStyle w:val="Pogrubienie"/>
          <w:b w:val="0"/>
          <w:noProof/>
        </w:rPr>
        <w:t> </w:t>
      </w:r>
      <w:r w:rsidR="001C6403" w:rsidRPr="001357D3">
        <w:rPr>
          <w:rStyle w:val="Pogrubienie"/>
          <w:b w:val="0"/>
          <w:noProof/>
        </w:rPr>
        <w:t>reg</w:t>
      </w:r>
      <w:r w:rsidRPr="001357D3">
        <w:rPr>
          <w:rStyle w:val="Pogrubienie"/>
          <w:b w:val="0"/>
          <w:noProof/>
        </w:rPr>
        <w:t>ionalnego</w:t>
      </w:r>
      <w:r w:rsidRPr="001357D3">
        <w:rPr>
          <w:rStyle w:val="Odwoanieprzypisudolnego"/>
          <w:noProof/>
          <w:szCs w:val="24"/>
        </w:rPr>
        <w:footnoteReference w:id="18"/>
      </w:r>
      <w:r w:rsidRPr="001357D3">
        <w:rPr>
          <w:rStyle w:val="Pogrubienie"/>
          <w:b w:val="0"/>
          <w:noProof/>
        </w:rPr>
        <w:t>,</w:t>
      </w:r>
      <w:r w:rsidR="001C6403" w:rsidRPr="001357D3">
        <w:rPr>
          <w:rStyle w:val="Pogrubienie"/>
          <w:b w:val="0"/>
          <w:noProof/>
        </w:rPr>
        <w:t xml:space="preserve"> w</w:t>
      </w:r>
      <w:r w:rsidR="001C6403">
        <w:rPr>
          <w:rStyle w:val="Pogrubienie"/>
          <w:b w:val="0"/>
          <w:noProof/>
        </w:rPr>
        <w:t> </w:t>
      </w:r>
      <w:r w:rsidR="001C6403" w:rsidRPr="001357D3">
        <w:rPr>
          <w:rStyle w:val="Pogrubienie"/>
          <w:b w:val="0"/>
          <w:noProof/>
        </w:rPr>
        <w:t>tym w</w:t>
      </w:r>
      <w:r w:rsidR="001C6403">
        <w:rPr>
          <w:rStyle w:val="Pogrubienie"/>
          <w:b w:val="0"/>
          <w:noProof/>
        </w:rPr>
        <w:t> </w:t>
      </w:r>
      <w:r w:rsidR="001C6403" w:rsidRPr="001357D3">
        <w:rPr>
          <w:rStyle w:val="Pogrubienie"/>
          <w:b w:val="0"/>
          <w:noProof/>
        </w:rPr>
        <w:t>szc</w:t>
      </w:r>
      <w:r w:rsidRPr="001357D3">
        <w:rPr>
          <w:rStyle w:val="Pogrubienie"/>
          <w:b w:val="0"/>
          <w:noProof/>
        </w:rPr>
        <w:t>zególności</w:t>
      </w:r>
      <w:r w:rsidR="001C6403" w:rsidRPr="001357D3">
        <w:rPr>
          <w:rStyle w:val="Pogrubienie"/>
          <w:b w:val="0"/>
          <w:noProof/>
        </w:rPr>
        <w:t xml:space="preserve"> w</w:t>
      </w:r>
      <w:r w:rsidR="001C6403">
        <w:rPr>
          <w:rStyle w:val="Pogrubienie"/>
          <w:b w:val="0"/>
          <w:noProof/>
        </w:rPr>
        <w:t> </w:t>
      </w:r>
      <w:r w:rsidR="001C6403" w:rsidRPr="001357D3">
        <w:rPr>
          <w:rStyle w:val="Pogrubienie"/>
          <w:b w:val="0"/>
          <w:noProof/>
        </w:rPr>
        <w:t>ram</w:t>
      </w:r>
      <w:r w:rsidRPr="001357D3">
        <w:rPr>
          <w:rStyle w:val="Pogrubienie"/>
          <w:b w:val="0"/>
          <w:noProof/>
        </w:rPr>
        <w:t xml:space="preserve">ach </w:t>
      </w:r>
      <w:r w:rsidRPr="001357D3">
        <w:rPr>
          <w:noProof/>
          <w:shd w:val="clear" w:color="auto" w:fill="FFFFFF"/>
        </w:rPr>
        <w:t>Europejskiego Funduszu Społecznego</w:t>
      </w:r>
      <w:r w:rsidRPr="001357D3">
        <w:rPr>
          <w:rStyle w:val="Odwoanieprzypisudolnego"/>
          <w:noProof/>
          <w:szCs w:val="24"/>
          <w:shd w:val="clear" w:color="auto" w:fill="FFFFFF"/>
        </w:rPr>
        <w:footnoteReference w:id="19"/>
      </w:r>
      <w:r w:rsidRPr="001357D3">
        <w:rPr>
          <w:rStyle w:val="Pogrubienie"/>
          <w:b w:val="0"/>
          <w:noProof/>
        </w:rPr>
        <w:t xml:space="preserve">. </w:t>
      </w:r>
      <w:r w:rsidRPr="001357D3">
        <w:rPr>
          <w:noProof/>
        </w:rPr>
        <w:t>Dzięki zwiększeniu dostępności</w:t>
      </w:r>
      <w:r w:rsidR="001C6403" w:rsidRPr="001357D3">
        <w:rPr>
          <w:noProof/>
        </w:rPr>
        <w:t xml:space="preserve"> i</w:t>
      </w:r>
      <w:r w:rsidR="001C6403">
        <w:rPr>
          <w:noProof/>
        </w:rPr>
        <w:t> </w:t>
      </w:r>
      <w:r w:rsidR="001C6403" w:rsidRPr="001357D3">
        <w:rPr>
          <w:noProof/>
        </w:rPr>
        <w:t>prz</w:t>
      </w:r>
      <w:r w:rsidRPr="001357D3">
        <w:rPr>
          <w:noProof/>
        </w:rPr>
        <w:t>ystępności cenowej (np. wideokonferencje, elektroniczne składanie dokumentów) cyfrowy wymiar sprawiedliwości może sprawić, że zainteresowane strony będą lepiej poinformowane, potrzeby wielu osób fizycznych</w:t>
      </w:r>
      <w:r w:rsidR="001C6403" w:rsidRPr="001357D3">
        <w:rPr>
          <w:noProof/>
        </w:rPr>
        <w:t xml:space="preserve"> i</w:t>
      </w:r>
      <w:r w:rsidR="001C6403">
        <w:rPr>
          <w:noProof/>
        </w:rPr>
        <w:t> </w:t>
      </w:r>
      <w:r w:rsidR="001C6403" w:rsidRPr="001357D3">
        <w:rPr>
          <w:noProof/>
        </w:rPr>
        <w:t>prz</w:t>
      </w:r>
      <w:r w:rsidRPr="001357D3">
        <w:rPr>
          <w:noProof/>
        </w:rPr>
        <w:t>edsiębiorstw skuteczniej zaspokojone,</w:t>
      </w:r>
      <w:r w:rsidR="001C6403" w:rsidRPr="001357D3">
        <w:rPr>
          <w:noProof/>
        </w:rPr>
        <w:t xml:space="preserve"> a</w:t>
      </w:r>
      <w:r w:rsidR="001C6403">
        <w:rPr>
          <w:noProof/>
        </w:rPr>
        <w:t> </w:t>
      </w:r>
      <w:r w:rsidR="001C6403" w:rsidRPr="001357D3">
        <w:rPr>
          <w:noProof/>
        </w:rPr>
        <w:t>nie</w:t>
      </w:r>
      <w:r w:rsidRPr="001357D3">
        <w:rPr>
          <w:noProof/>
        </w:rPr>
        <w:t>równości</w:t>
      </w:r>
      <w:r w:rsidR="001C6403" w:rsidRPr="001357D3">
        <w:rPr>
          <w:noProof/>
        </w:rPr>
        <w:t xml:space="preserve"> w</w:t>
      </w:r>
      <w:r w:rsidR="001C6403">
        <w:rPr>
          <w:noProof/>
        </w:rPr>
        <w:t> </w:t>
      </w:r>
      <w:r w:rsidR="001C6403" w:rsidRPr="001357D3">
        <w:rPr>
          <w:noProof/>
        </w:rPr>
        <w:t>dos</w:t>
      </w:r>
      <w:r w:rsidRPr="001357D3">
        <w:rPr>
          <w:noProof/>
        </w:rPr>
        <w:t>tępie do praw</w:t>
      </w:r>
      <w:r w:rsidR="001C6403" w:rsidRPr="001357D3">
        <w:rPr>
          <w:noProof/>
        </w:rPr>
        <w:t xml:space="preserve"> i</w:t>
      </w:r>
      <w:r w:rsidR="001C6403">
        <w:rPr>
          <w:noProof/>
        </w:rPr>
        <w:t> </w:t>
      </w:r>
      <w:r w:rsidR="001C6403" w:rsidRPr="001357D3">
        <w:rPr>
          <w:noProof/>
        </w:rPr>
        <w:t>usł</w:t>
      </w:r>
      <w:r w:rsidRPr="001357D3">
        <w:rPr>
          <w:noProof/>
        </w:rPr>
        <w:t>ug zredukowane. Tym samym wzmocniona zostanie sprawiedliwość społeczna</w:t>
      </w:r>
      <w:r w:rsidR="001C6403" w:rsidRPr="001357D3">
        <w:rPr>
          <w:noProof/>
        </w:rPr>
        <w:t xml:space="preserve"> i</w:t>
      </w:r>
      <w:r w:rsidR="001C6403">
        <w:rPr>
          <w:noProof/>
        </w:rPr>
        <w:t> </w:t>
      </w:r>
      <w:r w:rsidR="001C6403" w:rsidRPr="001357D3">
        <w:rPr>
          <w:noProof/>
        </w:rPr>
        <w:t>mię</w:t>
      </w:r>
      <w:r w:rsidRPr="001357D3">
        <w:rPr>
          <w:noProof/>
        </w:rPr>
        <w:t>dzypokoleniowa oraz zwiększona skuteczność</w:t>
      </w:r>
      <w:r w:rsidR="001C6403" w:rsidRPr="001357D3">
        <w:rPr>
          <w:noProof/>
        </w:rPr>
        <w:t xml:space="preserve"> i</w:t>
      </w:r>
      <w:r w:rsidR="001C6403">
        <w:rPr>
          <w:noProof/>
        </w:rPr>
        <w:t> </w:t>
      </w:r>
      <w:r w:rsidR="001C6403" w:rsidRPr="001357D3">
        <w:rPr>
          <w:noProof/>
        </w:rPr>
        <w:t>ink</w:t>
      </w:r>
      <w:r w:rsidRPr="001357D3">
        <w:rPr>
          <w:noProof/>
        </w:rPr>
        <w:t>luzywność procesów prawnych.</w:t>
      </w:r>
    </w:p>
    <w:p w14:paraId="115B128B" w14:textId="37BA8893" w:rsidR="00511110" w:rsidRPr="001357D3" w:rsidRDefault="00511110" w:rsidP="008A4B4E">
      <w:pPr>
        <w:spacing w:before="0"/>
        <w:rPr>
          <w:noProof/>
        </w:rPr>
      </w:pPr>
      <w:r w:rsidRPr="001357D3">
        <w:rPr>
          <w:noProof/>
        </w:rPr>
        <w:t xml:space="preserve">3. </w:t>
      </w:r>
      <w:bookmarkStart w:id="6" w:name="_Hlk205115456"/>
      <w:r w:rsidRPr="001357D3">
        <w:rPr>
          <w:noProof/>
        </w:rPr>
        <w:t>„Wspólna realizacja celów</w:t>
      </w:r>
      <w:r w:rsidR="001C6403" w:rsidRPr="001357D3">
        <w:rPr>
          <w:noProof/>
        </w:rPr>
        <w:t xml:space="preserve"> i</w:t>
      </w:r>
      <w:r w:rsidR="001C6403">
        <w:rPr>
          <w:noProof/>
        </w:rPr>
        <w:t> </w:t>
      </w:r>
      <w:r w:rsidR="001C6403" w:rsidRPr="001357D3">
        <w:rPr>
          <w:noProof/>
        </w:rPr>
        <w:t>prz</w:t>
      </w:r>
      <w:r w:rsidRPr="001357D3">
        <w:rPr>
          <w:noProof/>
        </w:rPr>
        <w:t>ygotowanie się na przyszłość”. Program „Sprawiedliwość” przyczyni się do zapewnienia bardziej zintegrowanej</w:t>
      </w:r>
      <w:r w:rsidR="001C6403" w:rsidRPr="001357D3">
        <w:rPr>
          <w:noProof/>
        </w:rPr>
        <w:t xml:space="preserve"> i</w:t>
      </w:r>
      <w:r w:rsidR="001C6403">
        <w:rPr>
          <w:noProof/>
        </w:rPr>
        <w:t> </w:t>
      </w:r>
      <w:r w:rsidR="001C6403" w:rsidRPr="001357D3">
        <w:rPr>
          <w:noProof/>
        </w:rPr>
        <w:t>sku</w:t>
      </w:r>
      <w:r w:rsidRPr="001357D3">
        <w:rPr>
          <w:noProof/>
        </w:rPr>
        <w:t>tecznej Unii,</w:t>
      </w:r>
      <w:r w:rsidR="001C6403" w:rsidRPr="001357D3">
        <w:rPr>
          <w:noProof/>
        </w:rPr>
        <w:t xml:space="preserve"> w</w:t>
      </w:r>
      <w:r w:rsidR="001C6403">
        <w:rPr>
          <w:noProof/>
        </w:rPr>
        <w:t> </w:t>
      </w:r>
      <w:r w:rsidR="001C6403" w:rsidRPr="001357D3">
        <w:rPr>
          <w:noProof/>
        </w:rPr>
        <w:t>tym</w:t>
      </w:r>
      <w:r w:rsidRPr="001357D3">
        <w:rPr>
          <w:noProof/>
        </w:rPr>
        <w:t xml:space="preserve"> poprzez utworzenie</w:t>
      </w:r>
      <w:r w:rsidR="001C6403" w:rsidRPr="001357D3">
        <w:rPr>
          <w:noProof/>
        </w:rPr>
        <w:t xml:space="preserve"> i</w:t>
      </w:r>
      <w:r w:rsidR="001C6403">
        <w:rPr>
          <w:noProof/>
        </w:rPr>
        <w:t> </w:t>
      </w:r>
      <w:r w:rsidR="001C6403" w:rsidRPr="001357D3">
        <w:rPr>
          <w:noProof/>
        </w:rPr>
        <w:t>poł</w:t>
      </w:r>
      <w:r w:rsidRPr="001357D3">
        <w:rPr>
          <w:noProof/>
        </w:rPr>
        <w:t>ączenie infrastruktury cyfrowej we wszystkich państwach członkowskich. Zwiększony nacisk na cyfryzację pozwoli zmniejszyć obciążenia administracyjne państw członkowskich, przyniesie oszczędności obywatelom</w:t>
      </w:r>
      <w:r w:rsidR="001C6403" w:rsidRPr="001357D3">
        <w:rPr>
          <w:noProof/>
        </w:rPr>
        <w:t xml:space="preserve"> i</w:t>
      </w:r>
      <w:r w:rsidR="001C6403">
        <w:rPr>
          <w:noProof/>
        </w:rPr>
        <w:t> </w:t>
      </w:r>
      <w:r w:rsidR="001C6403" w:rsidRPr="001357D3">
        <w:rPr>
          <w:noProof/>
        </w:rPr>
        <w:t>prz</w:t>
      </w:r>
      <w:r w:rsidRPr="001357D3">
        <w:rPr>
          <w:noProof/>
        </w:rPr>
        <w:t>edsiębiorstwom, pogłębi współpracę transgraniczną oraz usprawni wzajemne uznawanie</w:t>
      </w:r>
      <w:r w:rsidR="001C6403" w:rsidRPr="001357D3">
        <w:rPr>
          <w:noProof/>
        </w:rPr>
        <w:t xml:space="preserve"> i</w:t>
      </w:r>
      <w:r w:rsidR="001C6403">
        <w:rPr>
          <w:noProof/>
        </w:rPr>
        <w:t> </w:t>
      </w:r>
      <w:r w:rsidR="001C6403" w:rsidRPr="001357D3">
        <w:rPr>
          <w:noProof/>
        </w:rPr>
        <w:t>wyk</w:t>
      </w:r>
      <w:r w:rsidRPr="001357D3">
        <w:rPr>
          <w:noProof/>
        </w:rPr>
        <w:t xml:space="preserve">onywanie orzeczeń. </w:t>
      </w:r>
      <w:bookmarkEnd w:id="6"/>
      <w:r w:rsidRPr="001357D3">
        <w:rPr>
          <w:noProof/>
        </w:rPr>
        <w:t>Jednocześnie program będzie wspierał cel, jakim jest uproszczenie mechanizmów UE, dokonując tego</w:t>
      </w:r>
      <w:r w:rsidR="001C6403" w:rsidRPr="001357D3">
        <w:rPr>
          <w:noProof/>
        </w:rPr>
        <w:t xml:space="preserve"> w</w:t>
      </w:r>
      <w:r w:rsidR="001C6403">
        <w:rPr>
          <w:noProof/>
        </w:rPr>
        <w:t> </w:t>
      </w:r>
      <w:r w:rsidR="001C6403" w:rsidRPr="001357D3">
        <w:rPr>
          <w:noProof/>
        </w:rPr>
        <w:t>dro</w:t>
      </w:r>
      <w:r w:rsidRPr="001357D3">
        <w:rPr>
          <w:noProof/>
        </w:rPr>
        <w:t>dze</w:t>
      </w:r>
      <w:r w:rsidR="00AC1B68">
        <w:rPr>
          <w:noProof/>
        </w:rPr>
        <w:t xml:space="preserve"> </w:t>
      </w:r>
      <w:r w:rsidRPr="001357D3">
        <w:rPr>
          <w:noProof/>
        </w:rPr>
        <w:t>propagowania większej interoperacyjności krajowych systemów wymiaru sprawiedliwości</w:t>
      </w:r>
      <w:r w:rsidR="001C6403" w:rsidRPr="001357D3">
        <w:rPr>
          <w:noProof/>
        </w:rPr>
        <w:t>. W</w:t>
      </w:r>
      <w:r w:rsidR="001C6403">
        <w:rPr>
          <w:noProof/>
        </w:rPr>
        <w:t> </w:t>
      </w:r>
      <w:r w:rsidR="001C6403" w:rsidRPr="001357D3">
        <w:rPr>
          <w:noProof/>
        </w:rPr>
        <w:t>tym</w:t>
      </w:r>
      <w:r w:rsidRPr="001357D3">
        <w:rPr>
          <w:noProof/>
        </w:rPr>
        <w:t xml:space="preserve"> względzie wspierane będą synergie</w:t>
      </w:r>
      <w:r w:rsidR="001C6403" w:rsidRPr="001357D3">
        <w:rPr>
          <w:noProof/>
        </w:rPr>
        <w:t xml:space="preserve"> z</w:t>
      </w:r>
      <w:r w:rsidR="001C6403">
        <w:rPr>
          <w:noProof/>
        </w:rPr>
        <w:t> </w:t>
      </w:r>
      <w:r w:rsidR="001C6403" w:rsidRPr="001357D3">
        <w:rPr>
          <w:rStyle w:val="Pogrubienie"/>
          <w:b w:val="0"/>
          <w:noProof/>
        </w:rPr>
        <w:t>pla</w:t>
      </w:r>
      <w:r w:rsidRPr="001357D3">
        <w:rPr>
          <w:rStyle w:val="Pogrubienie"/>
          <w:b w:val="0"/>
          <w:noProof/>
        </w:rPr>
        <w:t>nami partnerstwa krajowego</w:t>
      </w:r>
      <w:r w:rsidR="001C6403" w:rsidRPr="001357D3">
        <w:rPr>
          <w:rStyle w:val="Pogrubienie"/>
          <w:b w:val="0"/>
          <w:noProof/>
        </w:rPr>
        <w:t xml:space="preserve"> i</w:t>
      </w:r>
      <w:r w:rsidR="001C6403">
        <w:rPr>
          <w:rStyle w:val="Pogrubienie"/>
          <w:b w:val="0"/>
          <w:noProof/>
        </w:rPr>
        <w:t> </w:t>
      </w:r>
      <w:r w:rsidR="001C6403" w:rsidRPr="001357D3">
        <w:rPr>
          <w:rStyle w:val="Pogrubienie"/>
          <w:b w:val="0"/>
          <w:noProof/>
        </w:rPr>
        <w:t>reg</w:t>
      </w:r>
      <w:r w:rsidRPr="001357D3">
        <w:rPr>
          <w:rStyle w:val="Pogrubienie"/>
          <w:b w:val="0"/>
          <w:noProof/>
        </w:rPr>
        <w:t>ionalnego</w:t>
      </w:r>
      <w:r w:rsidRPr="001357D3">
        <w:rPr>
          <w:noProof/>
        </w:rPr>
        <w:t>, co pozwoli zapewnić postępy</w:t>
      </w:r>
      <w:r w:rsidR="001C6403" w:rsidRPr="001357D3">
        <w:rPr>
          <w:noProof/>
        </w:rPr>
        <w:t xml:space="preserve"> w</w:t>
      </w:r>
      <w:r w:rsidR="001C6403">
        <w:rPr>
          <w:noProof/>
        </w:rPr>
        <w:t> </w:t>
      </w:r>
      <w:r w:rsidR="001C6403" w:rsidRPr="001357D3">
        <w:rPr>
          <w:noProof/>
        </w:rPr>
        <w:t>cyf</w:t>
      </w:r>
      <w:r w:rsidRPr="001357D3">
        <w:rPr>
          <w:noProof/>
        </w:rPr>
        <w:t>ryzacji krajowych systemów wymiaru sprawiedliwości zarówno na szczeblu krajowym, jak</w:t>
      </w:r>
      <w:r w:rsidR="001C6403" w:rsidRPr="001357D3">
        <w:rPr>
          <w:noProof/>
        </w:rPr>
        <w:t xml:space="preserve"> i</w:t>
      </w:r>
      <w:r w:rsidR="001C6403">
        <w:rPr>
          <w:noProof/>
        </w:rPr>
        <w:t> </w:t>
      </w:r>
      <w:r w:rsidR="001C6403" w:rsidRPr="001357D3">
        <w:rPr>
          <w:noProof/>
        </w:rPr>
        <w:t>uni</w:t>
      </w:r>
      <w:r w:rsidRPr="001357D3">
        <w:rPr>
          <w:noProof/>
        </w:rPr>
        <w:t>jnym.</w:t>
      </w:r>
    </w:p>
    <w:p w14:paraId="00377F29" w14:textId="53BFD253" w:rsidR="00C5603D" w:rsidRPr="001357D3" w:rsidRDefault="00C5603D" w:rsidP="008A4B4E">
      <w:pPr>
        <w:pStyle w:val="Listapunktowana"/>
        <w:spacing w:before="0"/>
        <w:contextualSpacing w:val="0"/>
        <w:rPr>
          <w:b/>
          <w:bCs/>
          <w:noProof/>
        </w:rPr>
      </w:pPr>
      <w:bookmarkStart w:id="7" w:name="_Toc205221086"/>
      <w:r w:rsidRPr="001357D3">
        <w:rPr>
          <w:b/>
          <w:noProof/>
        </w:rPr>
        <w:t>Spójność</w:t>
      </w:r>
      <w:r w:rsidR="001C6403" w:rsidRPr="001357D3">
        <w:rPr>
          <w:b/>
          <w:noProof/>
        </w:rPr>
        <w:t xml:space="preserve"> z</w:t>
      </w:r>
      <w:r w:rsidR="001C6403">
        <w:rPr>
          <w:b/>
          <w:noProof/>
        </w:rPr>
        <w:t> </w:t>
      </w:r>
      <w:r w:rsidR="001C6403" w:rsidRPr="001357D3">
        <w:rPr>
          <w:b/>
          <w:noProof/>
        </w:rPr>
        <w:t>inn</w:t>
      </w:r>
      <w:r w:rsidRPr="001357D3">
        <w:rPr>
          <w:b/>
          <w:noProof/>
        </w:rPr>
        <w:t>ymi politykami Unii</w:t>
      </w:r>
      <w:bookmarkEnd w:id="7"/>
    </w:p>
    <w:p w14:paraId="3B5977DB" w14:textId="68121D99" w:rsidR="00B657CB" w:rsidRPr="001357D3" w:rsidRDefault="000520B9" w:rsidP="06B1C737">
      <w:pPr>
        <w:spacing w:before="0"/>
        <w:rPr>
          <w:rFonts w:eastAsia="Times New Roman"/>
          <w:noProof/>
        </w:rPr>
      </w:pPr>
      <w:r w:rsidRPr="001357D3">
        <w:rPr>
          <w:noProof/>
        </w:rPr>
        <w:t>1. „Nowy plan na rzecz trwałego dobrobytu</w:t>
      </w:r>
      <w:r w:rsidR="001C6403" w:rsidRPr="001357D3">
        <w:rPr>
          <w:noProof/>
        </w:rPr>
        <w:t xml:space="preserve"> w</w:t>
      </w:r>
      <w:r w:rsidR="001C6403">
        <w:rPr>
          <w:noProof/>
        </w:rPr>
        <w:t> </w:t>
      </w:r>
      <w:r w:rsidR="001C6403" w:rsidRPr="001357D3">
        <w:rPr>
          <w:noProof/>
        </w:rPr>
        <w:t>Eur</w:t>
      </w:r>
      <w:r w:rsidRPr="001357D3">
        <w:rPr>
          <w:noProof/>
        </w:rPr>
        <w:t>opie</w:t>
      </w:r>
      <w:r w:rsidR="001C6403" w:rsidRPr="001357D3">
        <w:rPr>
          <w:noProof/>
        </w:rPr>
        <w:t xml:space="preserve"> i</w:t>
      </w:r>
      <w:r w:rsidR="001C6403">
        <w:rPr>
          <w:noProof/>
        </w:rPr>
        <w:t> </w:t>
      </w:r>
      <w:r w:rsidR="001C6403" w:rsidRPr="001357D3">
        <w:rPr>
          <w:noProof/>
        </w:rPr>
        <w:t>kon</w:t>
      </w:r>
      <w:r w:rsidRPr="001357D3">
        <w:rPr>
          <w:noProof/>
        </w:rPr>
        <w:t>kurencyjności Europy”. Cyfryzacja wymiaru sprawiedliwości przyczynia się do wzrostu gospodarczego</w:t>
      </w:r>
      <w:r w:rsidR="001C6403" w:rsidRPr="001357D3">
        <w:rPr>
          <w:noProof/>
        </w:rPr>
        <w:t xml:space="preserve"> i</w:t>
      </w:r>
      <w:r w:rsidR="001C6403">
        <w:rPr>
          <w:noProof/>
        </w:rPr>
        <w:t> </w:t>
      </w:r>
      <w:r w:rsidR="001C6403" w:rsidRPr="001357D3">
        <w:rPr>
          <w:noProof/>
        </w:rPr>
        <w:t>kon</w:t>
      </w:r>
      <w:r w:rsidRPr="001357D3">
        <w:rPr>
          <w:noProof/>
        </w:rPr>
        <w:t>kurencyjności poprzez tworzenie skuteczniejszych systemów wymiaru sprawiedliwości,</w:t>
      </w:r>
      <w:r w:rsidR="001C6403" w:rsidRPr="001357D3">
        <w:rPr>
          <w:noProof/>
        </w:rPr>
        <w:t xml:space="preserve"> w</w:t>
      </w:r>
      <w:r w:rsidR="001C6403">
        <w:rPr>
          <w:noProof/>
        </w:rPr>
        <w:t> </w:t>
      </w:r>
      <w:r w:rsidR="001C6403" w:rsidRPr="001357D3">
        <w:rPr>
          <w:noProof/>
        </w:rPr>
        <w:t>któ</w:t>
      </w:r>
      <w:r w:rsidRPr="001357D3">
        <w:rPr>
          <w:noProof/>
        </w:rPr>
        <w:t>rych obowiązują uproszczone procedury prawne</w:t>
      </w:r>
      <w:r w:rsidR="001C6403" w:rsidRPr="001357D3">
        <w:rPr>
          <w:noProof/>
        </w:rPr>
        <w:t xml:space="preserve"> i</w:t>
      </w:r>
      <w:r w:rsidR="001C6403">
        <w:rPr>
          <w:noProof/>
        </w:rPr>
        <w:t> </w:t>
      </w:r>
      <w:r w:rsidR="001C6403" w:rsidRPr="001357D3">
        <w:rPr>
          <w:noProof/>
        </w:rPr>
        <w:t>w</w:t>
      </w:r>
      <w:r w:rsidR="001C6403">
        <w:rPr>
          <w:noProof/>
        </w:rPr>
        <w:t> </w:t>
      </w:r>
      <w:r w:rsidR="001C6403" w:rsidRPr="001357D3">
        <w:rPr>
          <w:noProof/>
        </w:rPr>
        <w:t>któ</w:t>
      </w:r>
      <w:r w:rsidRPr="001357D3">
        <w:rPr>
          <w:noProof/>
        </w:rPr>
        <w:t>rych ograniczono czas</w:t>
      </w:r>
      <w:r w:rsidR="001C6403" w:rsidRPr="001357D3">
        <w:rPr>
          <w:noProof/>
        </w:rPr>
        <w:t xml:space="preserve"> i</w:t>
      </w:r>
      <w:r w:rsidR="001C6403">
        <w:rPr>
          <w:noProof/>
        </w:rPr>
        <w:t> </w:t>
      </w:r>
      <w:r w:rsidR="001C6403" w:rsidRPr="001357D3">
        <w:rPr>
          <w:noProof/>
        </w:rPr>
        <w:t>kos</w:t>
      </w:r>
      <w:r w:rsidRPr="001357D3">
        <w:rPr>
          <w:noProof/>
        </w:rPr>
        <w:t>zty transgranicznych sporów sądowych</w:t>
      </w:r>
      <w:r w:rsidR="001C6403" w:rsidRPr="001357D3">
        <w:rPr>
          <w:noProof/>
        </w:rPr>
        <w:t xml:space="preserve"> w</w:t>
      </w:r>
      <w:r w:rsidR="001C6403">
        <w:rPr>
          <w:noProof/>
        </w:rPr>
        <w:t> </w:t>
      </w:r>
      <w:r w:rsidR="001C6403" w:rsidRPr="001357D3">
        <w:rPr>
          <w:noProof/>
        </w:rPr>
        <w:t>cał</w:t>
      </w:r>
      <w:r w:rsidRPr="001357D3">
        <w:rPr>
          <w:noProof/>
        </w:rPr>
        <w:t>ej UE. Jest to szczególnie ważne dla MŚP</w:t>
      </w:r>
      <w:r w:rsidR="001C6403" w:rsidRPr="001357D3">
        <w:rPr>
          <w:noProof/>
        </w:rPr>
        <w:t xml:space="preserve"> i</w:t>
      </w:r>
      <w:r w:rsidR="001C6403">
        <w:rPr>
          <w:noProof/>
        </w:rPr>
        <w:t> </w:t>
      </w:r>
      <w:r w:rsidR="001C6403" w:rsidRPr="001357D3">
        <w:rPr>
          <w:noProof/>
        </w:rPr>
        <w:t>prz</w:t>
      </w:r>
      <w:r w:rsidRPr="001357D3">
        <w:rPr>
          <w:noProof/>
        </w:rPr>
        <w:t>edsiębiorstw typu start-up</w:t>
      </w:r>
      <w:r w:rsidR="001C6403" w:rsidRPr="001357D3">
        <w:rPr>
          <w:noProof/>
        </w:rPr>
        <w:t>. W</w:t>
      </w:r>
      <w:r w:rsidR="001C6403">
        <w:rPr>
          <w:noProof/>
        </w:rPr>
        <w:t> </w:t>
      </w:r>
      <w:r w:rsidR="001C6403" w:rsidRPr="001357D3">
        <w:rPr>
          <w:noProof/>
        </w:rPr>
        <w:t>tym</w:t>
      </w:r>
      <w:r w:rsidRPr="001357D3">
        <w:rPr>
          <w:noProof/>
        </w:rPr>
        <w:t xml:space="preserve"> względzie wspierane będą synergie</w:t>
      </w:r>
      <w:r w:rsidR="001C6403" w:rsidRPr="001357D3">
        <w:rPr>
          <w:noProof/>
        </w:rPr>
        <w:t xml:space="preserve"> z</w:t>
      </w:r>
      <w:r w:rsidR="001C6403">
        <w:rPr>
          <w:noProof/>
        </w:rPr>
        <w:t> </w:t>
      </w:r>
      <w:r w:rsidR="001C6403" w:rsidRPr="001357D3">
        <w:rPr>
          <w:rStyle w:val="Pogrubienie"/>
          <w:b w:val="0"/>
          <w:noProof/>
        </w:rPr>
        <w:t>pla</w:t>
      </w:r>
      <w:r w:rsidRPr="001357D3">
        <w:rPr>
          <w:rStyle w:val="Pogrubienie"/>
          <w:b w:val="0"/>
          <w:noProof/>
        </w:rPr>
        <w:t>nami partnerstwa krajowego</w:t>
      </w:r>
      <w:r w:rsidR="001C6403" w:rsidRPr="001357D3">
        <w:rPr>
          <w:rStyle w:val="Pogrubienie"/>
          <w:b w:val="0"/>
          <w:noProof/>
        </w:rPr>
        <w:t xml:space="preserve"> i</w:t>
      </w:r>
      <w:r w:rsidR="001C6403">
        <w:rPr>
          <w:rStyle w:val="Pogrubienie"/>
          <w:b w:val="0"/>
          <w:noProof/>
        </w:rPr>
        <w:t> </w:t>
      </w:r>
      <w:r w:rsidR="001C6403" w:rsidRPr="001357D3">
        <w:rPr>
          <w:rStyle w:val="Pogrubienie"/>
          <w:b w:val="0"/>
          <w:noProof/>
        </w:rPr>
        <w:t>reg</w:t>
      </w:r>
      <w:r w:rsidRPr="001357D3">
        <w:rPr>
          <w:rStyle w:val="Pogrubienie"/>
          <w:b w:val="0"/>
          <w:noProof/>
        </w:rPr>
        <w:t>ionalnego</w:t>
      </w:r>
      <w:r w:rsidR="001C6403" w:rsidRPr="001357D3">
        <w:rPr>
          <w:rStyle w:val="Pogrubienie"/>
          <w:b w:val="0"/>
          <w:noProof/>
        </w:rPr>
        <w:t xml:space="preserve"> w</w:t>
      </w:r>
      <w:r w:rsidR="001C6403">
        <w:rPr>
          <w:rStyle w:val="Pogrubienie"/>
          <w:b w:val="0"/>
          <w:noProof/>
        </w:rPr>
        <w:t> </w:t>
      </w:r>
      <w:r w:rsidR="001C6403" w:rsidRPr="001357D3">
        <w:rPr>
          <w:rStyle w:val="Pogrubienie"/>
          <w:b w:val="0"/>
          <w:noProof/>
        </w:rPr>
        <w:t>klu</w:t>
      </w:r>
      <w:r w:rsidRPr="001357D3">
        <w:rPr>
          <w:rStyle w:val="Pogrubienie"/>
          <w:b w:val="0"/>
          <w:noProof/>
        </w:rPr>
        <w:t>czowych obszarach, takich jak umiejętności, budowanie zdolności</w:t>
      </w:r>
      <w:r w:rsidR="001C6403" w:rsidRPr="001357D3">
        <w:rPr>
          <w:rStyle w:val="Pogrubienie"/>
          <w:b w:val="0"/>
          <w:noProof/>
        </w:rPr>
        <w:t xml:space="preserve"> i</w:t>
      </w:r>
      <w:r w:rsidR="001C6403">
        <w:rPr>
          <w:rStyle w:val="Pogrubienie"/>
          <w:b w:val="0"/>
          <w:noProof/>
        </w:rPr>
        <w:t> </w:t>
      </w:r>
      <w:r w:rsidR="001C6403" w:rsidRPr="001357D3">
        <w:rPr>
          <w:rStyle w:val="Pogrubienie"/>
          <w:b w:val="0"/>
          <w:noProof/>
        </w:rPr>
        <w:t>cyf</w:t>
      </w:r>
      <w:r w:rsidRPr="001357D3">
        <w:rPr>
          <w:rStyle w:val="Pogrubienie"/>
          <w:b w:val="0"/>
          <w:noProof/>
        </w:rPr>
        <w:t xml:space="preserve">ryzacja. </w:t>
      </w:r>
      <w:r w:rsidRPr="001357D3">
        <w:rPr>
          <w:noProof/>
        </w:rPr>
        <w:t>Program będzie również uzupełnieniem planu pogłębienia jednolitego rynku (zwłaszcza</w:t>
      </w:r>
      <w:r w:rsidR="001C6403" w:rsidRPr="001357D3">
        <w:rPr>
          <w:noProof/>
        </w:rPr>
        <w:t xml:space="preserve"> w</w:t>
      </w:r>
      <w:r w:rsidR="001C6403">
        <w:rPr>
          <w:noProof/>
        </w:rPr>
        <w:t> </w:t>
      </w:r>
      <w:r w:rsidR="001C6403" w:rsidRPr="001357D3">
        <w:rPr>
          <w:noProof/>
        </w:rPr>
        <w:t>sek</w:t>
      </w:r>
      <w:r w:rsidRPr="001357D3">
        <w:rPr>
          <w:noProof/>
        </w:rPr>
        <w:t>torze usług</w:t>
      </w:r>
      <w:r w:rsidR="001C6403" w:rsidRPr="001357D3">
        <w:rPr>
          <w:noProof/>
        </w:rPr>
        <w:t xml:space="preserve"> i</w:t>
      </w:r>
      <w:r w:rsidR="001C6403">
        <w:rPr>
          <w:noProof/>
        </w:rPr>
        <w:t> </w:t>
      </w:r>
      <w:r w:rsidR="001C6403" w:rsidRPr="001357D3">
        <w:rPr>
          <w:noProof/>
        </w:rPr>
        <w:t>sek</w:t>
      </w:r>
      <w:r w:rsidRPr="001357D3">
        <w:rPr>
          <w:noProof/>
        </w:rPr>
        <w:t>torze cyfrowym oraz</w:t>
      </w:r>
      <w:r w:rsidR="001C6403" w:rsidRPr="001357D3">
        <w:rPr>
          <w:noProof/>
        </w:rPr>
        <w:t xml:space="preserve"> w</w:t>
      </w:r>
      <w:r w:rsidR="001C6403">
        <w:rPr>
          <w:noProof/>
        </w:rPr>
        <w:t> </w:t>
      </w:r>
      <w:r w:rsidR="001C6403" w:rsidRPr="001357D3">
        <w:rPr>
          <w:noProof/>
        </w:rPr>
        <w:t>sek</w:t>
      </w:r>
      <w:r w:rsidRPr="001357D3">
        <w:rPr>
          <w:noProof/>
        </w:rPr>
        <w:t>torze usług finansowych) poprzez propagowanie interoperacyjności prawa</w:t>
      </w:r>
      <w:r w:rsidR="001C6403" w:rsidRPr="001357D3">
        <w:rPr>
          <w:noProof/>
        </w:rPr>
        <w:t xml:space="preserve"> i</w:t>
      </w:r>
      <w:r w:rsidR="001C6403">
        <w:rPr>
          <w:noProof/>
        </w:rPr>
        <w:t> </w:t>
      </w:r>
      <w:r w:rsidR="001C6403" w:rsidRPr="001357D3">
        <w:rPr>
          <w:noProof/>
        </w:rPr>
        <w:t>spr</w:t>
      </w:r>
      <w:r w:rsidRPr="001357D3">
        <w:rPr>
          <w:noProof/>
        </w:rPr>
        <w:t>awniejsze egzekwowanie przepisów UE. Uzupełnieniem programu „Sprawiedliwość” będzie –</w:t>
      </w:r>
      <w:r w:rsidR="001C6403" w:rsidRPr="001357D3">
        <w:rPr>
          <w:noProof/>
        </w:rPr>
        <w:t xml:space="preserve"> w</w:t>
      </w:r>
      <w:r w:rsidR="001C6403">
        <w:rPr>
          <w:noProof/>
        </w:rPr>
        <w:t> </w:t>
      </w:r>
      <w:r w:rsidR="001C6403" w:rsidRPr="001357D3">
        <w:rPr>
          <w:noProof/>
        </w:rPr>
        <w:t>dro</w:t>
      </w:r>
      <w:r w:rsidRPr="001357D3">
        <w:rPr>
          <w:noProof/>
        </w:rPr>
        <w:t>dze finansowania działań</w:t>
      </w:r>
      <w:r w:rsidR="001C6403" w:rsidRPr="001357D3">
        <w:rPr>
          <w:noProof/>
        </w:rPr>
        <w:t xml:space="preserve"> w</w:t>
      </w:r>
      <w:r w:rsidR="001C6403">
        <w:rPr>
          <w:noProof/>
        </w:rPr>
        <w:t> </w:t>
      </w:r>
      <w:r w:rsidR="001C6403" w:rsidRPr="001357D3">
        <w:rPr>
          <w:noProof/>
        </w:rPr>
        <w:t>zak</w:t>
      </w:r>
      <w:r w:rsidRPr="001357D3">
        <w:rPr>
          <w:noProof/>
        </w:rPr>
        <w:t>resie polityki konsumenckiej</w:t>
      </w:r>
      <w:r w:rsidR="001C6403" w:rsidRPr="001357D3">
        <w:rPr>
          <w:noProof/>
        </w:rPr>
        <w:t xml:space="preserve"> i</w:t>
      </w:r>
      <w:r w:rsidR="001C6403">
        <w:rPr>
          <w:noProof/>
        </w:rPr>
        <w:t> </w:t>
      </w:r>
      <w:r w:rsidR="001C6403" w:rsidRPr="001357D3">
        <w:rPr>
          <w:noProof/>
        </w:rPr>
        <w:t>inw</w:t>
      </w:r>
      <w:r w:rsidRPr="001357D3">
        <w:rPr>
          <w:noProof/>
        </w:rPr>
        <w:t>estycyjnej, prawa spółek</w:t>
      </w:r>
      <w:r w:rsidR="001C6403" w:rsidRPr="001357D3">
        <w:rPr>
          <w:noProof/>
        </w:rPr>
        <w:t xml:space="preserve"> i</w:t>
      </w:r>
      <w:r w:rsidR="001C6403">
        <w:rPr>
          <w:noProof/>
        </w:rPr>
        <w:t> </w:t>
      </w:r>
      <w:r w:rsidR="001C6403" w:rsidRPr="001357D3">
        <w:rPr>
          <w:noProof/>
        </w:rPr>
        <w:t>pra</w:t>
      </w:r>
      <w:r w:rsidRPr="001357D3">
        <w:rPr>
          <w:noProof/>
        </w:rPr>
        <w:t>wa zobowiązań oraz przeciwdziałania praniu pieniędzy – program dotyczący jednolitego rynku</w:t>
      </w:r>
      <w:r w:rsidR="001C6403" w:rsidRPr="001357D3">
        <w:rPr>
          <w:noProof/>
        </w:rPr>
        <w:t xml:space="preserve"> i</w:t>
      </w:r>
      <w:r w:rsidR="001C6403">
        <w:rPr>
          <w:noProof/>
        </w:rPr>
        <w:t> </w:t>
      </w:r>
      <w:r w:rsidR="001C6403" w:rsidRPr="001357D3">
        <w:rPr>
          <w:noProof/>
        </w:rPr>
        <w:t>ceł</w:t>
      </w:r>
      <w:r w:rsidRPr="001357D3">
        <w:rPr>
          <w:noProof/>
        </w:rPr>
        <w:t xml:space="preserve"> na lata 2028–2034; przyczyni się on bezpośrednio do realizacji polityki UE</w:t>
      </w:r>
      <w:r w:rsidR="001C6403" w:rsidRPr="001357D3">
        <w:rPr>
          <w:noProof/>
        </w:rPr>
        <w:t xml:space="preserve"> w</w:t>
      </w:r>
      <w:r w:rsidR="001C6403">
        <w:rPr>
          <w:noProof/>
        </w:rPr>
        <w:t> </w:t>
      </w:r>
      <w:r w:rsidR="001C6403" w:rsidRPr="001357D3">
        <w:rPr>
          <w:noProof/>
        </w:rPr>
        <w:t>dzi</w:t>
      </w:r>
      <w:r w:rsidRPr="001357D3">
        <w:rPr>
          <w:noProof/>
        </w:rPr>
        <w:t>edzinie wymiaru sprawiedliwości oraz do utworzenia unijnej przestrzeni sprawiedliwości. Ponadto, dzięki ugruntowaniu praworządności</w:t>
      </w:r>
      <w:r w:rsidR="001C6403" w:rsidRPr="001357D3">
        <w:rPr>
          <w:noProof/>
        </w:rPr>
        <w:t xml:space="preserve"> i</w:t>
      </w:r>
      <w:r w:rsidR="001C6403">
        <w:rPr>
          <w:noProof/>
        </w:rPr>
        <w:t> </w:t>
      </w:r>
      <w:r w:rsidR="001C6403" w:rsidRPr="001357D3">
        <w:rPr>
          <w:noProof/>
        </w:rPr>
        <w:t>pew</w:t>
      </w:r>
      <w:r w:rsidRPr="001357D3">
        <w:rPr>
          <w:noProof/>
        </w:rPr>
        <w:t>ności prawa program „Sprawiedliwość” umocni otoczenie inwestycyjne, zintensyfikuje działania leżące</w:t>
      </w:r>
      <w:r w:rsidR="001C6403" w:rsidRPr="001357D3">
        <w:rPr>
          <w:noProof/>
        </w:rPr>
        <w:t xml:space="preserve"> u</w:t>
      </w:r>
      <w:r w:rsidR="001C6403">
        <w:rPr>
          <w:noProof/>
        </w:rPr>
        <w:t> </w:t>
      </w:r>
      <w:r w:rsidR="001C6403" w:rsidRPr="001357D3">
        <w:rPr>
          <w:noProof/>
        </w:rPr>
        <w:t>pod</w:t>
      </w:r>
      <w:r w:rsidRPr="001357D3">
        <w:rPr>
          <w:noProof/>
        </w:rPr>
        <w:t>staw unii oszczędności</w:t>
      </w:r>
      <w:r w:rsidR="001C6403" w:rsidRPr="001357D3">
        <w:rPr>
          <w:noProof/>
        </w:rPr>
        <w:t xml:space="preserve"> i</w:t>
      </w:r>
      <w:r w:rsidR="001C6403">
        <w:rPr>
          <w:noProof/>
        </w:rPr>
        <w:t> </w:t>
      </w:r>
      <w:r w:rsidR="001C6403" w:rsidRPr="001357D3">
        <w:rPr>
          <w:noProof/>
        </w:rPr>
        <w:t>inw</w:t>
      </w:r>
      <w:r w:rsidRPr="001357D3">
        <w:rPr>
          <w:noProof/>
        </w:rPr>
        <w:t>estycji</w:t>
      </w:r>
      <w:r w:rsidRPr="001357D3">
        <w:rPr>
          <w:rStyle w:val="Odwoanieprzypisudolnego"/>
          <w:rFonts w:eastAsia="Times New Roman"/>
          <w:noProof/>
        </w:rPr>
        <w:footnoteReference w:id="20"/>
      </w:r>
      <w:r w:rsidRPr="001357D3">
        <w:rPr>
          <w:noProof/>
        </w:rPr>
        <w:t xml:space="preserve"> oraz wesprze Europejski Fundusz Konkurencyjności</w:t>
      </w:r>
      <w:r w:rsidRPr="001357D3">
        <w:rPr>
          <w:rStyle w:val="Odwoanieprzypisudolnego"/>
          <w:rFonts w:eastAsia="Times New Roman"/>
          <w:noProof/>
        </w:rPr>
        <w:footnoteReference w:id="21"/>
      </w:r>
      <w:r w:rsidRPr="001357D3">
        <w:rPr>
          <w:noProof/>
        </w:rPr>
        <w:t xml:space="preserve"> poprzez stworzenie </w:t>
      </w:r>
      <w:r w:rsidRPr="001357D3">
        <w:rPr>
          <w:noProof/>
        </w:rPr>
        <w:lastRenderedPageBreak/>
        <w:t>stabilnych ram prawnych na potrzeby prowadzenia działalności gospodarczej. Wystąpią również synergie</w:t>
      </w:r>
      <w:r w:rsidR="001C6403" w:rsidRPr="001357D3">
        <w:rPr>
          <w:noProof/>
        </w:rPr>
        <w:t xml:space="preserve"> w</w:t>
      </w:r>
      <w:r w:rsidR="001C6403">
        <w:rPr>
          <w:noProof/>
        </w:rPr>
        <w:t> </w:t>
      </w:r>
      <w:r w:rsidR="001C6403" w:rsidRPr="001357D3">
        <w:rPr>
          <w:noProof/>
        </w:rPr>
        <w:t>dzi</w:t>
      </w:r>
      <w:r w:rsidRPr="001357D3">
        <w:rPr>
          <w:noProof/>
        </w:rPr>
        <w:t>edzinie badań naukowych</w:t>
      </w:r>
      <w:r w:rsidR="001C6403" w:rsidRPr="001357D3">
        <w:rPr>
          <w:noProof/>
        </w:rPr>
        <w:t xml:space="preserve"> i</w:t>
      </w:r>
      <w:r w:rsidR="001C6403">
        <w:rPr>
          <w:noProof/>
        </w:rPr>
        <w:t> </w:t>
      </w:r>
      <w:r w:rsidR="001C6403" w:rsidRPr="001357D3">
        <w:rPr>
          <w:noProof/>
        </w:rPr>
        <w:t>inn</w:t>
      </w:r>
      <w:r w:rsidRPr="001357D3">
        <w:rPr>
          <w:noProof/>
        </w:rPr>
        <w:t>owacji,</w:t>
      </w:r>
      <w:r w:rsidR="001C6403" w:rsidRPr="001357D3">
        <w:rPr>
          <w:noProof/>
        </w:rPr>
        <w:t xml:space="preserve"> w</w:t>
      </w:r>
      <w:r w:rsidR="001C6403">
        <w:rPr>
          <w:noProof/>
        </w:rPr>
        <w:t> </w:t>
      </w:r>
      <w:r w:rsidR="001C6403" w:rsidRPr="001357D3">
        <w:rPr>
          <w:noProof/>
        </w:rPr>
        <w:t>szc</w:t>
      </w:r>
      <w:r w:rsidRPr="001357D3">
        <w:rPr>
          <w:noProof/>
        </w:rPr>
        <w:t>zególności</w:t>
      </w:r>
      <w:r w:rsidR="001C6403" w:rsidRPr="001357D3">
        <w:rPr>
          <w:noProof/>
        </w:rPr>
        <w:t xml:space="preserve"> w</w:t>
      </w:r>
      <w:r w:rsidR="001C6403">
        <w:rPr>
          <w:noProof/>
        </w:rPr>
        <w:t> </w:t>
      </w:r>
      <w:r w:rsidR="001C6403" w:rsidRPr="001357D3">
        <w:rPr>
          <w:noProof/>
        </w:rPr>
        <w:t>odn</w:t>
      </w:r>
      <w:r w:rsidRPr="001357D3">
        <w:rPr>
          <w:noProof/>
        </w:rPr>
        <w:t>iesieniu do potrzeby pogłębienia wiedzy</w:t>
      </w:r>
      <w:r w:rsidR="001C6403" w:rsidRPr="001357D3">
        <w:rPr>
          <w:noProof/>
        </w:rPr>
        <w:t xml:space="preserve"> w</w:t>
      </w:r>
      <w:r w:rsidR="001C6403">
        <w:rPr>
          <w:noProof/>
        </w:rPr>
        <w:t> </w:t>
      </w:r>
      <w:r w:rsidR="001C6403" w:rsidRPr="001357D3">
        <w:rPr>
          <w:noProof/>
        </w:rPr>
        <w:t>zak</w:t>
      </w:r>
      <w:r w:rsidRPr="001357D3">
        <w:rPr>
          <w:noProof/>
        </w:rPr>
        <w:t>resie wykorzystania</w:t>
      </w:r>
      <w:r w:rsidR="001C6403" w:rsidRPr="001357D3">
        <w:rPr>
          <w:noProof/>
        </w:rPr>
        <w:t xml:space="preserve"> w</w:t>
      </w:r>
      <w:r w:rsidR="001C6403">
        <w:rPr>
          <w:noProof/>
        </w:rPr>
        <w:t> </w:t>
      </w:r>
      <w:r w:rsidR="001C6403" w:rsidRPr="001357D3">
        <w:rPr>
          <w:noProof/>
        </w:rPr>
        <w:t>sek</w:t>
      </w:r>
      <w:r w:rsidRPr="001357D3">
        <w:rPr>
          <w:noProof/>
        </w:rPr>
        <w:t>torze wymiaru sprawiedliwości zaawansowanych nowych technologii, takich jak AI,</w:t>
      </w:r>
      <w:r w:rsidR="001C6403" w:rsidRPr="001C6403">
        <w:rPr>
          <w:noProof/>
        </w:rPr>
        <w:t xml:space="preserve">, </w:t>
      </w:r>
      <w:r w:rsidR="001C6403" w:rsidRPr="001357D3">
        <w:rPr>
          <w:noProof/>
        </w:rPr>
        <w:t>w</w:t>
      </w:r>
      <w:r w:rsidR="001C6403">
        <w:rPr>
          <w:noProof/>
        </w:rPr>
        <w:t> </w:t>
      </w:r>
      <w:r w:rsidR="001C6403" w:rsidRPr="001357D3">
        <w:rPr>
          <w:noProof/>
        </w:rPr>
        <w:t>zwi</w:t>
      </w:r>
      <w:r w:rsidRPr="001357D3">
        <w:rPr>
          <w:noProof/>
        </w:rPr>
        <w:t>ązku</w:t>
      </w:r>
      <w:r w:rsidR="001C6403" w:rsidRPr="001357D3">
        <w:rPr>
          <w:noProof/>
        </w:rPr>
        <w:t xml:space="preserve"> z</w:t>
      </w:r>
      <w:r w:rsidR="001C6403">
        <w:rPr>
          <w:noProof/>
        </w:rPr>
        <w:t> </w:t>
      </w:r>
      <w:r w:rsidR="001C6403" w:rsidRPr="001357D3">
        <w:rPr>
          <w:noProof/>
        </w:rPr>
        <w:t>czy</w:t>
      </w:r>
      <w:r w:rsidRPr="001357D3">
        <w:rPr>
          <w:noProof/>
        </w:rPr>
        <w:t>m wspierane będą synergie</w:t>
      </w:r>
      <w:r w:rsidR="001C6403" w:rsidRPr="001357D3">
        <w:rPr>
          <w:noProof/>
        </w:rPr>
        <w:t xml:space="preserve"> z</w:t>
      </w:r>
      <w:r w:rsidR="001C6403">
        <w:rPr>
          <w:noProof/>
        </w:rPr>
        <w:t> </w:t>
      </w:r>
      <w:r w:rsidR="001C6403" w:rsidRPr="001357D3">
        <w:rPr>
          <w:noProof/>
        </w:rPr>
        <w:t>kol</w:t>
      </w:r>
      <w:r w:rsidRPr="001357D3">
        <w:rPr>
          <w:noProof/>
        </w:rPr>
        <w:t>ejnym programem ramowym</w:t>
      </w:r>
      <w:r w:rsidR="001C6403" w:rsidRPr="001357D3">
        <w:rPr>
          <w:noProof/>
        </w:rPr>
        <w:t xml:space="preserve"> w</w:t>
      </w:r>
      <w:r w:rsidR="001C6403">
        <w:rPr>
          <w:noProof/>
        </w:rPr>
        <w:t> </w:t>
      </w:r>
      <w:r w:rsidR="001C6403" w:rsidRPr="001357D3">
        <w:rPr>
          <w:noProof/>
        </w:rPr>
        <w:t>zak</w:t>
      </w:r>
      <w:r w:rsidRPr="001357D3">
        <w:rPr>
          <w:noProof/>
        </w:rPr>
        <w:t>resie badań naukowych</w:t>
      </w:r>
      <w:r w:rsidR="001C6403" w:rsidRPr="001357D3">
        <w:rPr>
          <w:noProof/>
        </w:rPr>
        <w:t xml:space="preserve"> i</w:t>
      </w:r>
      <w:r w:rsidR="001C6403">
        <w:rPr>
          <w:noProof/>
        </w:rPr>
        <w:t> </w:t>
      </w:r>
      <w:r w:rsidR="001C6403" w:rsidRPr="001357D3">
        <w:rPr>
          <w:noProof/>
        </w:rPr>
        <w:t>inn</w:t>
      </w:r>
      <w:r w:rsidRPr="001357D3">
        <w:rPr>
          <w:noProof/>
        </w:rPr>
        <w:t>owacji („Horyzont Europa”)</w:t>
      </w:r>
      <w:r w:rsidRPr="001357D3">
        <w:rPr>
          <w:rStyle w:val="Odwoanieprzypisudolnego"/>
          <w:rFonts w:eastAsia="Times New Roman"/>
          <w:noProof/>
        </w:rPr>
        <w:footnoteReference w:id="22"/>
      </w:r>
      <w:r w:rsidRPr="001357D3">
        <w:rPr>
          <w:noProof/>
        </w:rPr>
        <w:t>.</w:t>
      </w:r>
    </w:p>
    <w:p w14:paraId="730C4C8B" w14:textId="133DA2B5" w:rsidR="621B03C5" w:rsidRPr="001357D3" w:rsidRDefault="000520B9" w:rsidP="00871379">
      <w:pPr>
        <w:spacing w:before="0"/>
        <w:rPr>
          <w:rFonts w:eastAsia="Times New Roman"/>
          <w:noProof/>
        </w:rPr>
      </w:pPr>
      <w:r w:rsidRPr="001357D3">
        <w:rPr>
          <w:noProof/>
        </w:rPr>
        <w:t>2. „Nowa epoka dla obrony</w:t>
      </w:r>
      <w:r w:rsidR="001C6403" w:rsidRPr="001357D3">
        <w:rPr>
          <w:noProof/>
        </w:rPr>
        <w:t xml:space="preserve"> i</w:t>
      </w:r>
      <w:r w:rsidR="001C6403">
        <w:rPr>
          <w:noProof/>
        </w:rPr>
        <w:t> </w:t>
      </w:r>
      <w:r w:rsidR="001C6403" w:rsidRPr="001357D3">
        <w:rPr>
          <w:noProof/>
        </w:rPr>
        <w:t>bez</w:t>
      </w:r>
      <w:r w:rsidRPr="001357D3">
        <w:rPr>
          <w:noProof/>
        </w:rPr>
        <w:t>pieczeństwa</w:t>
      </w:r>
      <w:r w:rsidR="001C6403" w:rsidRPr="001357D3">
        <w:rPr>
          <w:noProof/>
        </w:rPr>
        <w:t xml:space="preserve"> w</w:t>
      </w:r>
      <w:r w:rsidR="001C6403">
        <w:rPr>
          <w:noProof/>
        </w:rPr>
        <w:t> </w:t>
      </w:r>
      <w:r w:rsidR="001C6403" w:rsidRPr="001357D3">
        <w:rPr>
          <w:noProof/>
        </w:rPr>
        <w:t>Eur</w:t>
      </w:r>
      <w:r w:rsidRPr="001357D3">
        <w:rPr>
          <w:noProof/>
        </w:rPr>
        <w:t>opie”: Program „Sprawiedliwość” ułatwia transgraniczną współpracę sądową, która ma kluczowe znaczenie dla zapewnienia bezpieczeństwa</w:t>
      </w:r>
      <w:r w:rsidR="001C6403" w:rsidRPr="001357D3">
        <w:rPr>
          <w:noProof/>
        </w:rPr>
        <w:t xml:space="preserve"> i</w:t>
      </w:r>
      <w:r w:rsidR="001C6403">
        <w:rPr>
          <w:noProof/>
        </w:rPr>
        <w:t> </w:t>
      </w:r>
      <w:r w:rsidR="001C6403" w:rsidRPr="001357D3">
        <w:rPr>
          <w:noProof/>
        </w:rPr>
        <w:t>zwa</w:t>
      </w:r>
      <w:r w:rsidRPr="001357D3">
        <w:rPr>
          <w:noProof/>
        </w:rPr>
        <w:t>lczania przestępczości zorganizowanej, terroryzmu oraz zagrożeń cyberbezpieczeństwa</w:t>
      </w:r>
      <w:r w:rsidR="001C6403" w:rsidRPr="001357D3">
        <w:rPr>
          <w:noProof/>
        </w:rPr>
        <w:t>. W</w:t>
      </w:r>
      <w:r w:rsidR="001C6403">
        <w:rPr>
          <w:noProof/>
        </w:rPr>
        <w:t> </w:t>
      </w:r>
      <w:r w:rsidR="001C6403" w:rsidRPr="001357D3">
        <w:rPr>
          <w:noProof/>
        </w:rPr>
        <w:t>ram</w:t>
      </w:r>
      <w:r w:rsidRPr="001357D3">
        <w:rPr>
          <w:noProof/>
        </w:rPr>
        <w:t>ach programu wspiera się również egzekwowanie europejskiego nakazu aresztowania (ENA) oraz zapewnia się infrastrukturę cyfrową umożliwiającą zgodny</w:t>
      </w:r>
      <w:r w:rsidR="001C6403" w:rsidRPr="001357D3">
        <w:rPr>
          <w:noProof/>
        </w:rPr>
        <w:t xml:space="preserve"> z</w:t>
      </w:r>
      <w:r w:rsidR="001C6403">
        <w:rPr>
          <w:noProof/>
        </w:rPr>
        <w:t> </w:t>
      </w:r>
      <w:r w:rsidR="001C6403" w:rsidRPr="001357D3">
        <w:rPr>
          <w:noProof/>
        </w:rPr>
        <w:t>pra</w:t>
      </w:r>
      <w:r w:rsidRPr="001357D3">
        <w:rPr>
          <w:noProof/>
        </w:rPr>
        <w:t>wem transgraniczny dostęp do elektronicznego materiału dowodowego</w:t>
      </w:r>
      <w:r w:rsidR="001C6403" w:rsidRPr="001357D3">
        <w:rPr>
          <w:noProof/>
        </w:rPr>
        <w:t xml:space="preserve"> i</w:t>
      </w:r>
      <w:r w:rsidR="001C6403">
        <w:rPr>
          <w:noProof/>
        </w:rPr>
        <w:t> </w:t>
      </w:r>
      <w:r w:rsidR="001C6403" w:rsidRPr="001357D3">
        <w:rPr>
          <w:noProof/>
        </w:rPr>
        <w:t>zar</w:t>
      </w:r>
      <w:r w:rsidRPr="001357D3">
        <w:rPr>
          <w:noProof/>
        </w:rPr>
        <w:t>ządzania sprawami</w:t>
      </w:r>
      <w:r w:rsidR="001C6403" w:rsidRPr="001357D3">
        <w:rPr>
          <w:noProof/>
        </w:rPr>
        <w:t>. W</w:t>
      </w:r>
      <w:r w:rsidR="001C6403">
        <w:rPr>
          <w:noProof/>
        </w:rPr>
        <w:t> </w:t>
      </w:r>
      <w:r w:rsidR="001C6403" w:rsidRPr="001357D3">
        <w:rPr>
          <w:noProof/>
        </w:rPr>
        <w:t>ram</w:t>
      </w:r>
      <w:r w:rsidRPr="001357D3">
        <w:rPr>
          <w:noProof/>
        </w:rPr>
        <w:t>ach programu „Sprawiedliwość” wspiera się również działania antykorupcyjne na szczeblu UE. Stanowi to uzupełnienie apelu</w:t>
      </w:r>
      <w:r w:rsidR="001C6403" w:rsidRPr="001357D3">
        <w:rPr>
          <w:noProof/>
        </w:rPr>
        <w:t xml:space="preserve"> o</w:t>
      </w:r>
      <w:r w:rsidR="001C6403">
        <w:rPr>
          <w:noProof/>
        </w:rPr>
        <w:t> </w:t>
      </w:r>
      <w:r w:rsidR="001C6403" w:rsidRPr="001357D3">
        <w:rPr>
          <w:noProof/>
        </w:rPr>
        <w:t>roz</w:t>
      </w:r>
      <w:r w:rsidRPr="001357D3">
        <w:rPr>
          <w:noProof/>
        </w:rPr>
        <w:t>ważenie możliwości rozszerzenia zakresu kompetencji Prokuratury Europejskiej (EPPO)</w:t>
      </w:r>
      <w:r w:rsidR="001C6403" w:rsidRPr="001357D3">
        <w:rPr>
          <w:noProof/>
        </w:rPr>
        <w:t xml:space="preserve"> i</w:t>
      </w:r>
      <w:r w:rsidR="001C6403">
        <w:rPr>
          <w:noProof/>
        </w:rPr>
        <w:t> </w:t>
      </w:r>
      <w:r w:rsidR="001C6403" w:rsidRPr="001357D3">
        <w:rPr>
          <w:noProof/>
        </w:rPr>
        <w:t>obj</w:t>
      </w:r>
      <w:r w:rsidRPr="001357D3">
        <w:rPr>
          <w:noProof/>
        </w:rPr>
        <w:t>ęcie nim zwalczania poważnych przestępstw transgranicznych (zwłaszcza korupcji), które mają wpływ na finansowanie unijne</w:t>
      </w:r>
      <w:r w:rsidR="001C6403" w:rsidRPr="001357D3">
        <w:rPr>
          <w:noProof/>
        </w:rPr>
        <w:t xml:space="preserve"> i</w:t>
      </w:r>
      <w:r w:rsidR="001C6403">
        <w:rPr>
          <w:noProof/>
        </w:rPr>
        <w:t> </w:t>
      </w:r>
      <w:r w:rsidR="001C6403" w:rsidRPr="001357D3">
        <w:rPr>
          <w:noProof/>
        </w:rPr>
        <w:t>któ</w:t>
      </w:r>
      <w:r w:rsidRPr="001357D3">
        <w:rPr>
          <w:noProof/>
        </w:rPr>
        <w:t>rych państwa członkowskie nie są</w:t>
      </w:r>
      <w:r w:rsidR="001C6403" w:rsidRPr="001357D3">
        <w:rPr>
          <w:noProof/>
        </w:rPr>
        <w:t xml:space="preserve"> w</w:t>
      </w:r>
      <w:r w:rsidR="001C6403">
        <w:rPr>
          <w:noProof/>
        </w:rPr>
        <w:t> </w:t>
      </w:r>
      <w:r w:rsidR="001C6403" w:rsidRPr="001357D3">
        <w:rPr>
          <w:noProof/>
        </w:rPr>
        <w:t>sta</w:t>
      </w:r>
      <w:r w:rsidRPr="001357D3">
        <w:rPr>
          <w:noProof/>
        </w:rPr>
        <w:t>nie zwalczać samodzielnie. Ponadto wytyczne polityczne na następną kadencję Komisji Europejskiej na lata 2024–2029</w:t>
      </w:r>
      <w:r w:rsidRPr="001357D3">
        <w:rPr>
          <w:rStyle w:val="Odwoanieprzypisudolnego"/>
          <w:noProof/>
        </w:rPr>
        <w:footnoteReference w:id="23"/>
      </w:r>
      <w:r w:rsidRPr="001357D3">
        <w:rPr>
          <w:noProof/>
        </w:rPr>
        <w:t xml:space="preserve"> obejmują ambitny cel, jakim jest wzmocnienie zdolności Europolu do wspierania krajowych organów ścigania oraz jego współpracy</w:t>
      </w:r>
      <w:r w:rsidR="001C6403" w:rsidRPr="001357D3">
        <w:rPr>
          <w:noProof/>
        </w:rPr>
        <w:t xml:space="preserve"> z</w:t>
      </w:r>
      <w:r w:rsidR="001C6403">
        <w:rPr>
          <w:noProof/>
        </w:rPr>
        <w:t> </w:t>
      </w:r>
      <w:r w:rsidR="001C6403" w:rsidRPr="001357D3">
        <w:rPr>
          <w:noProof/>
        </w:rPr>
        <w:t>inn</w:t>
      </w:r>
      <w:r w:rsidRPr="001357D3">
        <w:rPr>
          <w:noProof/>
        </w:rPr>
        <w:t>ymi agencjami</w:t>
      </w:r>
      <w:r w:rsidR="001C6403" w:rsidRPr="001357D3">
        <w:rPr>
          <w:noProof/>
        </w:rPr>
        <w:t xml:space="preserve"> i</w:t>
      </w:r>
      <w:r w:rsidR="001C6403">
        <w:rPr>
          <w:noProof/>
        </w:rPr>
        <w:t> </w:t>
      </w:r>
      <w:r w:rsidR="001C6403" w:rsidRPr="001357D3">
        <w:rPr>
          <w:noProof/>
        </w:rPr>
        <w:t>org</w:t>
      </w:r>
      <w:r w:rsidRPr="001357D3">
        <w:rPr>
          <w:noProof/>
        </w:rPr>
        <w:t>anami UE. Ten ambitny cel jest ściśle powiązany ze zwiększonym ukierunkowaniem programu na cyfryzację, co umożliwia szybsze przekazywanie dowodów, koordynację</w:t>
      </w:r>
      <w:r w:rsidR="001C6403" w:rsidRPr="001357D3">
        <w:rPr>
          <w:noProof/>
        </w:rPr>
        <w:t xml:space="preserve"> w</w:t>
      </w:r>
      <w:r w:rsidR="001C6403">
        <w:rPr>
          <w:noProof/>
        </w:rPr>
        <w:t> </w:t>
      </w:r>
      <w:r w:rsidR="001C6403" w:rsidRPr="001357D3">
        <w:rPr>
          <w:noProof/>
        </w:rPr>
        <w:t>cza</w:t>
      </w:r>
      <w:r w:rsidRPr="001357D3">
        <w:rPr>
          <w:noProof/>
        </w:rPr>
        <w:t>sie rzeczywistym oraz lepsze wykorzystanie bezpiecznej AI/analityki danych</w:t>
      </w:r>
      <w:r w:rsidR="001C6403" w:rsidRPr="001357D3">
        <w:rPr>
          <w:noProof/>
        </w:rPr>
        <w:t xml:space="preserve"> w</w:t>
      </w:r>
      <w:r w:rsidR="001C6403">
        <w:rPr>
          <w:noProof/>
        </w:rPr>
        <w:t> </w:t>
      </w:r>
      <w:r w:rsidR="001C6403" w:rsidRPr="001357D3">
        <w:rPr>
          <w:noProof/>
        </w:rPr>
        <w:t>egz</w:t>
      </w:r>
      <w:r w:rsidRPr="001357D3">
        <w:rPr>
          <w:noProof/>
        </w:rPr>
        <w:t>ekwowaniu prawa</w:t>
      </w:r>
      <w:r w:rsidR="001C6403" w:rsidRPr="001357D3">
        <w:rPr>
          <w:noProof/>
        </w:rPr>
        <w:t xml:space="preserve"> w</w:t>
      </w:r>
      <w:r w:rsidR="001C6403">
        <w:rPr>
          <w:noProof/>
        </w:rPr>
        <w:t> </w:t>
      </w:r>
      <w:r w:rsidR="001C6403" w:rsidRPr="001357D3">
        <w:rPr>
          <w:noProof/>
        </w:rPr>
        <w:t>gra</w:t>
      </w:r>
      <w:r w:rsidRPr="001357D3">
        <w:rPr>
          <w:noProof/>
        </w:rPr>
        <w:t>nicach obowiązujących ram prawnych. Jest to również zgodne</w:t>
      </w:r>
      <w:r w:rsidR="001C6403" w:rsidRPr="001357D3">
        <w:rPr>
          <w:noProof/>
        </w:rPr>
        <w:t xml:space="preserve"> z</w:t>
      </w:r>
      <w:r w:rsidR="001C6403">
        <w:rPr>
          <w:noProof/>
        </w:rPr>
        <w:t> </w:t>
      </w:r>
      <w:r w:rsidR="001C6403" w:rsidRPr="001357D3">
        <w:rPr>
          <w:noProof/>
        </w:rPr>
        <w:t>ust</w:t>
      </w:r>
      <w:r w:rsidRPr="001357D3">
        <w:rPr>
          <w:noProof/>
        </w:rPr>
        <w:t>anowieniem Urzędu ds. Przeciwdziałania Praniu Pieniędzy</w:t>
      </w:r>
      <w:r w:rsidR="001C6403" w:rsidRPr="001357D3">
        <w:rPr>
          <w:noProof/>
        </w:rPr>
        <w:t xml:space="preserve"> i</w:t>
      </w:r>
      <w:r w:rsidR="001C6403">
        <w:rPr>
          <w:noProof/>
        </w:rPr>
        <w:t> </w:t>
      </w:r>
      <w:r w:rsidR="001C6403" w:rsidRPr="001357D3">
        <w:rPr>
          <w:noProof/>
        </w:rPr>
        <w:t>Fin</w:t>
      </w:r>
      <w:r w:rsidRPr="001357D3">
        <w:rPr>
          <w:noProof/>
        </w:rPr>
        <w:t>ansowaniu Terroryzmu (AMLA), który pomoże zapobiegać wykorzystywaniu unijnego systemu finansowego do prania pieniędzy</w:t>
      </w:r>
      <w:r w:rsidR="001C6403" w:rsidRPr="001357D3">
        <w:rPr>
          <w:noProof/>
        </w:rPr>
        <w:t xml:space="preserve"> i</w:t>
      </w:r>
      <w:r w:rsidR="001C6403">
        <w:rPr>
          <w:noProof/>
        </w:rPr>
        <w:t> </w:t>
      </w:r>
      <w:r w:rsidR="001C6403" w:rsidRPr="001357D3">
        <w:rPr>
          <w:noProof/>
        </w:rPr>
        <w:t>fin</w:t>
      </w:r>
      <w:r w:rsidRPr="001357D3">
        <w:rPr>
          <w:noProof/>
        </w:rPr>
        <w:t>ansowania terroryzmu. Podobnie reforma Eurojustu przyczyni się do zwiększenia skuteczności koordynacji transgranicznych postępowań przygotowawczych oraz wnoszenia</w:t>
      </w:r>
      <w:r w:rsidR="001C6403" w:rsidRPr="001357D3">
        <w:rPr>
          <w:noProof/>
        </w:rPr>
        <w:t xml:space="preserve"> i</w:t>
      </w:r>
      <w:r w:rsidR="001C6403">
        <w:rPr>
          <w:noProof/>
        </w:rPr>
        <w:t> </w:t>
      </w:r>
      <w:r w:rsidR="001C6403" w:rsidRPr="001357D3">
        <w:rPr>
          <w:noProof/>
        </w:rPr>
        <w:t>pop</w:t>
      </w:r>
      <w:r w:rsidRPr="001357D3">
        <w:rPr>
          <w:noProof/>
        </w:rPr>
        <w:t>ierania oskarżeń na szczeblu UE,</w:t>
      </w:r>
      <w:r w:rsidR="001C6403" w:rsidRPr="001357D3">
        <w:rPr>
          <w:noProof/>
        </w:rPr>
        <w:t xml:space="preserve"> w</w:t>
      </w:r>
      <w:r w:rsidR="001C6403">
        <w:rPr>
          <w:noProof/>
        </w:rPr>
        <w:t> </w:t>
      </w:r>
      <w:r w:rsidR="001C6403" w:rsidRPr="001357D3">
        <w:rPr>
          <w:noProof/>
        </w:rPr>
        <w:t>tym</w:t>
      </w:r>
      <w:r w:rsidRPr="001357D3">
        <w:rPr>
          <w:noProof/>
        </w:rPr>
        <w:t xml:space="preserve"> dzięki nowym narzędziom cyfrowym. Ponadto cyfryzacja wymiaru sprawiedliwości zapewni systemom prawnym odporność techniczną, bezpieczną infrastrukturę</w:t>
      </w:r>
      <w:r w:rsidR="001C6403" w:rsidRPr="001357D3">
        <w:rPr>
          <w:noProof/>
        </w:rPr>
        <w:t xml:space="preserve"> i</w:t>
      </w:r>
      <w:r w:rsidR="001C6403">
        <w:rPr>
          <w:noProof/>
        </w:rPr>
        <w:t> </w:t>
      </w:r>
      <w:r w:rsidR="001C6403" w:rsidRPr="001357D3">
        <w:rPr>
          <w:noProof/>
        </w:rPr>
        <w:t>ram</w:t>
      </w:r>
      <w:r w:rsidRPr="001357D3">
        <w:rPr>
          <w:noProof/>
        </w:rPr>
        <w:t>y pozwalające na ściganie cyberprzestępczości, uzupełniając tym samym unię gotowości</w:t>
      </w:r>
      <w:r w:rsidRPr="001357D3">
        <w:rPr>
          <w:rStyle w:val="Odwoanieprzypisudolnego"/>
          <w:rFonts w:eastAsia="Times New Roman"/>
          <w:noProof/>
        </w:rPr>
        <w:footnoteReference w:id="24"/>
      </w:r>
      <w:r w:rsidR="001C6403" w:rsidRPr="001357D3">
        <w:rPr>
          <w:noProof/>
        </w:rPr>
        <w:t xml:space="preserve"> i</w:t>
      </w:r>
      <w:r w:rsidR="001C6403">
        <w:rPr>
          <w:noProof/>
        </w:rPr>
        <w:t> </w:t>
      </w:r>
      <w:r w:rsidR="001C6403" w:rsidRPr="001357D3">
        <w:rPr>
          <w:noProof/>
        </w:rPr>
        <w:t>str</w:t>
      </w:r>
      <w:r w:rsidRPr="001357D3">
        <w:rPr>
          <w:noProof/>
        </w:rPr>
        <w:t>ategie cyberobrony</w:t>
      </w:r>
      <w:r w:rsidRPr="001357D3">
        <w:rPr>
          <w:rStyle w:val="Odwoanieprzypisudolnego"/>
          <w:rFonts w:eastAsia="Times New Roman"/>
          <w:noProof/>
        </w:rPr>
        <w:footnoteReference w:id="25"/>
      </w:r>
      <w:r w:rsidRPr="001357D3">
        <w:rPr>
          <w:noProof/>
        </w:rPr>
        <w:t>,</w:t>
      </w:r>
      <w:r w:rsidR="001C6403" w:rsidRPr="001357D3">
        <w:rPr>
          <w:noProof/>
        </w:rPr>
        <w:t xml:space="preserve"> a</w:t>
      </w:r>
      <w:r w:rsidR="001C6403">
        <w:rPr>
          <w:noProof/>
        </w:rPr>
        <w:t> </w:t>
      </w:r>
      <w:r w:rsidR="001C6403" w:rsidRPr="001357D3">
        <w:rPr>
          <w:noProof/>
        </w:rPr>
        <w:t>tak</w:t>
      </w:r>
      <w:r w:rsidRPr="001357D3">
        <w:rPr>
          <w:noProof/>
        </w:rPr>
        <w:t>że „ProtectEU – europejską strategię bezpieczeństwa wewnętrznego”</w:t>
      </w:r>
      <w:r w:rsidRPr="001357D3">
        <w:rPr>
          <w:rStyle w:val="Odwoanieprzypisudolnego"/>
          <w:rFonts w:eastAsia="Times New Roman"/>
          <w:noProof/>
        </w:rPr>
        <w:footnoteReference w:id="26"/>
      </w:r>
      <w:r w:rsidRPr="001357D3">
        <w:rPr>
          <w:noProof/>
        </w:rPr>
        <w:t>. Biorąc pod uwagę nierozerwalne powiązania między bezpieczeństwem</w:t>
      </w:r>
      <w:r w:rsidR="001C6403" w:rsidRPr="001357D3">
        <w:rPr>
          <w:noProof/>
        </w:rPr>
        <w:t xml:space="preserve"> a</w:t>
      </w:r>
      <w:r w:rsidR="001C6403">
        <w:rPr>
          <w:noProof/>
        </w:rPr>
        <w:t> </w:t>
      </w:r>
      <w:r w:rsidR="001C6403" w:rsidRPr="001357D3">
        <w:rPr>
          <w:noProof/>
        </w:rPr>
        <w:t>wym</w:t>
      </w:r>
      <w:r w:rsidRPr="001357D3">
        <w:rPr>
          <w:noProof/>
        </w:rPr>
        <w:t>iarem sprawiedliwości na poziomie praktycznym, przewiduje się synergie ze środkami UE obejmującymi azyl, migrację</w:t>
      </w:r>
      <w:r w:rsidR="001C6403" w:rsidRPr="001357D3">
        <w:rPr>
          <w:noProof/>
        </w:rPr>
        <w:t xml:space="preserve"> i</w:t>
      </w:r>
      <w:r w:rsidR="001C6403">
        <w:rPr>
          <w:noProof/>
        </w:rPr>
        <w:t> </w:t>
      </w:r>
      <w:r w:rsidR="001C6403" w:rsidRPr="001357D3">
        <w:rPr>
          <w:noProof/>
        </w:rPr>
        <w:t>int</w:t>
      </w:r>
      <w:r w:rsidRPr="001357D3">
        <w:rPr>
          <w:noProof/>
        </w:rPr>
        <w:t>egrację, zarządzanie granicami oraz bezpieczeństwo wewnętrzne, na przykład</w:t>
      </w:r>
      <w:r w:rsidR="001C6403" w:rsidRPr="001357D3">
        <w:rPr>
          <w:noProof/>
        </w:rPr>
        <w:t xml:space="preserve"> w</w:t>
      </w:r>
      <w:r w:rsidR="001C6403">
        <w:rPr>
          <w:noProof/>
        </w:rPr>
        <w:t> </w:t>
      </w:r>
      <w:r w:rsidR="001C6403" w:rsidRPr="001357D3">
        <w:rPr>
          <w:noProof/>
        </w:rPr>
        <w:t>cel</w:t>
      </w:r>
      <w:r w:rsidRPr="001357D3">
        <w:rPr>
          <w:noProof/>
        </w:rPr>
        <w:t>u zapewnienia kadrom wymiaru sprawiedliwości odpowiednich szkoleń, również</w:t>
      </w:r>
      <w:r w:rsidR="001C6403" w:rsidRPr="001357D3">
        <w:rPr>
          <w:noProof/>
        </w:rPr>
        <w:t xml:space="preserve"> w</w:t>
      </w:r>
      <w:r w:rsidR="001C6403">
        <w:rPr>
          <w:noProof/>
        </w:rPr>
        <w:t> </w:t>
      </w:r>
      <w:r w:rsidR="001C6403" w:rsidRPr="001357D3">
        <w:rPr>
          <w:noProof/>
        </w:rPr>
        <w:t>odn</w:t>
      </w:r>
      <w:r w:rsidRPr="001357D3">
        <w:rPr>
          <w:noProof/>
        </w:rPr>
        <w:t>iesieniu do nowych przepisów wprowadzonych paktem</w:t>
      </w:r>
      <w:r w:rsidR="001C6403" w:rsidRPr="001357D3">
        <w:rPr>
          <w:noProof/>
        </w:rPr>
        <w:t xml:space="preserve"> o</w:t>
      </w:r>
      <w:r w:rsidR="001C6403">
        <w:rPr>
          <w:noProof/>
        </w:rPr>
        <w:t> </w:t>
      </w:r>
      <w:r w:rsidR="001C6403" w:rsidRPr="001357D3">
        <w:rPr>
          <w:noProof/>
        </w:rPr>
        <w:t>mig</w:t>
      </w:r>
      <w:r w:rsidRPr="001357D3">
        <w:rPr>
          <w:noProof/>
        </w:rPr>
        <w:t>racji</w:t>
      </w:r>
      <w:r w:rsidR="001C6403" w:rsidRPr="001357D3">
        <w:rPr>
          <w:noProof/>
        </w:rPr>
        <w:t xml:space="preserve"> i</w:t>
      </w:r>
      <w:r w:rsidR="001C6403">
        <w:rPr>
          <w:noProof/>
        </w:rPr>
        <w:t> </w:t>
      </w:r>
      <w:r w:rsidR="001C6403" w:rsidRPr="001357D3">
        <w:rPr>
          <w:noProof/>
        </w:rPr>
        <w:t>azy</w:t>
      </w:r>
      <w:r w:rsidRPr="001357D3">
        <w:rPr>
          <w:noProof/>
        </w:rPr>
        <w:t>lu, oraz</w:t>
      </w:r>
      <w:r w:rsidR="001C6403" w:rsidRPr="001357D3">
        <w:rPr>
          <w:noProof/>
        </w:rPr>
        <w:t xml:space="preserve"> w</w:t>
      </w:r>
      <w:r w:rsidR="001C6403">
        <w:rPr>
          <w:noProof/>
        </w:rPr>
        <w:t> </w:t>
      </w:r>
      <w:r w:rsidR="001C6403" w:rsidRPr="001357D3">
        <w:rPr>
          <w:noProof/>
        </w:rPr>
        <w:t>cel</w:t>
      </w:r>
      <w:r w:rsidRPr="001357D3">
        <w:rPr>
          <w:noProof/>
        </w:rPr>
        <w:t>u zapewnienia skutecznej ochrony ofiar przestępstw, interoperacyjności</w:t>
      </w:r>
      <w:r w:rsidR="001C6403" w:rsidRPr="001357D3">
        <w:rPr>
          <w:noProof/>
        </w:rPr>
        <w:t xml:space="preserve"> z</w:t>
      </w:r>
      <w:r w:rsidR="001C6403">
        <w:rPr>
          <w:noProof/>
        </w:rPr>
        <w:t> </w:t>
      </w:r>
      <w:r w:rsidR="001C6403" w:rsidRPr="001357D3">
        <w:rPr>
          <w:noProof/>
        </w:rPr>
        <w:t>eur</w:t>
      </w:r>
      <w:r w:rsidRPr="001357D3">
        <w:rPr>
          <w:noProof/>
        </w:rPr>
        <w:t>opejskim systemem przekazywania informacji</w:t>
      </w:r>
      <w:r w:rsidR="001C6403" w:rsidRPr="001357D3">
        <w:rPr>
          <w:noProof/>
        </w:rPr>
        <w:t xml:space="preserve"> z</w:t>
      </w:r>
      <w:r w:rsidR="001C6403">
        <w:rPr>
          <w:noProof/>
        </w:rPr>
        <w:t> </w:t>
      </w:r>
      <w:r w:rsidR="001C6403" w:rsidRPr="001357D3">
        <w:rPr>
          <w:noProof/>
        </w:rPr>
        <w:t>rej</w:t>
      </w:r>
      <w:r w:rsidRPr="001357D3">
        <w:rPr>
          <w:noProof/>
        </w:rPr>
        <w:t>estrów karnych (ECRIS) oraz współpracy międzyagencyjnej</w:t>
      </w:r>
      <w:r w:rsidR="001C6403" w:rsidRPr="001357D3">
        <w:rPr>
          <w:noProof/>
        </w:rPr>
        <w:t xml:space="preserve"> w</w:t>
      </w:r>
      <w:r w:rsidR="001C6403">
        <w:rPr>
          <w:noProof/>
        </w:rPr>
        <w:t> </w:t>
      </w:r>
      <w:r w:rsidR="001C6403" w:rsidRPr="001357D3">
        <w:rPr>
          <w:noProof/>
        </w:rPr>
        <w:t>dzi</w:t>
      </w:r>
      <w:r w:rsidRPr="001357D3">
        <w:rPr>
          <w:noProof/>
        </w:rPr>
        <w:t>edzinie wymiaru sprawiedliwości</w:t>
      </w:r>
      <w:r w:rsidR="001C6403" w:rsidRPr="001357D3">
        <w:rPr>
          <w:noProof/>
        </w:rPr>
        <w:t xml:space="preserve"> i</w:t>
      </w:r>
      <w:r w:rsidR="001C6403">
        <w:rPr>
          <w:noProof/>
        </w:rPr>
        <w:t> </w:t>
      </w:r>
      <w:r w:rsidR="001C6403" w:rsidRPr="001357D3">
        <w:rPr>
          <w:noProof/>
        </w:rPr>
        <w:t>bez</w:t>
      </w:r>
      <w:r w:rsidRPr="001357D3">
        <w:rPr>
          <w:noProof/>
        </w:rPr>
        <w:t>pieczeństwa wewnętrznego,</w:t>
      </w:r>
      <w:r w:rsidR="001C6403" w:rsidRPr="001357D3">
        <w:rPr>
          <w:noProof/>
        </w:rPr>
        <w:t xml:space="preserve"> w</w:t>
      </w:r>
      <w:r w:rsidR="001C6403">
        <w:rPr>
          <w:noProof/>
        </w:rPr>
        <w:t> </w:t>
      </w:r>
      <w:r w:rsidR="001C6403" w:rsidRPr="001357D3">
        <w:rPr>
          <w:noProof/>
        </w:rPr>
        <w:t>tym</w:t>
      </w:r>
      <w:r w:rsidRPr="001357D3">
        <w:rPr>
          <w:noProof/>
        </w:rPr>
        <w:t xml:space="preserve"> za pośrednictwem agencji</w:t>
      </w:r>
      <w:r w:rsidR="001C6403" w:rsidRPr="001357D3">
        <w:rPr>
          <w:noProof/>
        </w:rPr>
        <w:t xml:space="preserve"> i</w:t>
      </w:r>
      <w:r w:rsidR="001C6403">
        <w:rPr>
          <w:noProof/>
        </w:rPr>
        <w:t> </w:t>
      </w:r>
      <w:r w:rsidR="001C6403" w:rsidRPr="001357D3">
        <w:rPr>
          <w:noProof/>
        </w:rPr>
        <w:t>org</w:t>
      </w:r>
      <w:r w:rsidRPr="001357D3">
        <w:rPr>
          <w:noProof/>
        </w:rPr>
        <w:t>anów związanych</w:t>
      </w:r>
      <w:r w:rsidR="001C6403" w:rsidRPr="001357D3">
        <w:rPr>
          <w:noProof/>
        </w:rPr>
        <w:t xml:space="preserve"> z</w:t>
      </w:r>
      <w:r w:rsidR="001C6403">
        <w:rPr>
          <w:noProof/>
        </w:rPr>
        <w:t> </w:t>
      </w:r>
      <w:r w:rsidR="001C6403" w:rsidRPr="001357D3">
        <w:rPr>
          <w:noProof/>
        </w:rPr>
        <w:t>wym</w:t>
      </w:r>
      <w:r w:rsidRPr="001357D3">
        <w:rPr>
          <w:noProof/>
        </w:rPr>
        <w:t>iarem sprawiedliwości, takich jak Eurojust i EPPO.</w:t>
      </w:r>
    </w:p>
    <w:p w14:paraId="7FC3DE75" w14:textId="206A1F80" w:rsidR="621B03C5" w:rsidRPr="001357D3" w:rsidRDefault="000520B9" w:rsidP="00871379">
      <w:pPr>
        <w:spacing w:before="0"/>
        <w:rPr>
          <w:rFonts w:eastAsia="Times New Roman"/>
          <w:noProof/>
        </w:rPr>
      </w:pPr>
      <w:r w:rsidRPr="001357D3">
        <w:rPr>
          <w:noProof/>
        </w:rPr>
        <w:lastRenderedPageBreak/>
        <w:t>3. „Globalny wymiar Europy:</w:t>
      </w:r>
      <w:r w:rsidRPr="001357D3">
        <w:rPr>
          <w:i/>
          <w:noProof/>
        </w:rPr>
        <w:t xml:space="preserve"> </w:t>
      </w:r>
      <w:r w:rsidRPr="001357D3">
        <w:rPr>
          <w:noProof/>
        </w:rPr>
        <w:t>wykorzystajmy naszą własną siłę</w:t>
      </w:r>
      <w:r w:rsidR="001C6403" w:rsidRPr="001357D3">
        <w:rPr>
          <w:noProof/>
        </w:rPr>
        <w:t xml:space="preserve"> i</w:t>
      </w:r>
      <w:r w:rsidR="001C6403">
        <w:rPr>
          <w:noProof/>
        </w:rPr>
        <w:t> </w:t>
      </w:r>
      <w:r w:rsidR="001C6403" w:rsidRPr="001357D3">
        <w:rPr>
          <w:noProof/>
        </w:rPr>
        <w:t>par</w:t>
      </w:r>
      <w:r w:rsidRPr="001357D3">
        <w:rPr>
          <w:noProof/>
        </w:rPr>
        <w:t>tnerstwa”:</w:t>
      </w:r>
      <w:r w:rsidRPr="001357D3">
        <w:rPr>
          <w:b/>
          <w:noProof/>
        </w:rPr>
        <w:t xml:space="preserve"> </w:t>
      </w:r>
      <w:r w:rsidRPr="001357D3">
        <w:rPr>
          <w:noProof/>
        </w:rPr>
        <w:t>Ukierunkowanie programu na praworządność, współpracę sądową</w:t>
      </w:r>
      <w:r w:rsidR="001C6403" w:rsidRPr="001357D3">
        <w:rPr>
          <w:noProof/>
        </w:rPr>
        <w:t xml:space="preserve"> i</w:t>
      </w:r>
      <w:r w:rsidR="001C6403">
        <w:rPr>
          <w:noProof/>
        </w:rPr>
        <w:t> </w:t>
      </w:r>
      <w:r w:rsidR="001C6403" w:rsidRPr="001357D3">
        <w:rPr>
          <w:noProof/>
        </w:rPr>
        <w:t>dos</w:t>
      </w:r>
      <w:r w:rsidRPr="001357D3">
        <w:rPr>
          <w:noProof/>
        </w:rPr>
        <w:t>tęp do wymiaru sprawiedliwości będzie odzwierciedlać sposób,</w:t>
      </w:r>
      <w:r w:rsidR="001C6403" w:rsidRPr="001357D3">
        <w:rPr>
          <w:noProof/>
        </w:rPr>
        <w:t xml:space="preserve"> w</w:t>
      </w:r>
      <w:r w:rsidR="001C6403">
        <w:rPr>
          <w:noProof/>
        </w:rPr>
        <w:t> </w:t>
      </w:r>
      <w:r w:rsidR="001C6403" w:rsidRPr="001357D3">
        <w:rPr>
          <w:noProof/>
        </w:rPr>
        <w:t>jak</w:t>
      </w:r>
      <w:r w:rsidRPr="001357D3">
        <w:rPr>
          <w:noProof/>
        </w:rPr>
        <w:t>i aspekty te są propagowane na szczeblu globalnym,</w:t>
      </w:r>
      <w:r w:rsidR="001C6403" w:rsidRPr="001357D3">
        <w:rPr>
          <w:noProof/>
        </w:rPr>
        <w:t xml:space="preserve"> w</w:t>
      </w:r>
      <w:r w:rsidR="001C6403">
        <w:rPr>
          <w:noProof/>
        </w:rPr>
        <w:t> </w:t>
      </w:r>
      <w:r w:rsidR="001C6403" w:rsidRPr="001357D3">
        <w:rPr>
          <w:noProof/>
        </w:rPr>
        <w:t>tym</w:t>
      </w:r>
      <w:r w:rsidRPr="001357D3">
        <w:rPr>
          <w:noProof/>
        </w:rPr>
        <w:t xml:space="preserve"> poprzez realizację celów Organizacji Narodów Zjednoczonych (ONZ)</w:t>
      </w:r>
      <w:r w:rsidR="001C6403" w:rsidRPr="001357D3">
        <w:rPr>
          <w:noProof/>
        </w:rPr>
        <w:t xml:space="preserve"> w</w:t>
      </w:r>
      <w:r w:rsidR="001C6403">
        <w:rPr>
          <w:noProof/>
        </w:rPr>
        <w:t> </w:t>
      </w:r>
      <w:r w:rsidR="001C6403" w:rsidRPr="001357D3">
        <w:rPr>
          <w:noProof/>
        </w:rPr>
        <w:t>zak</w:t>
      </w:r>
      <w:r w:rsidRPr="001357D3">
        <w:rPr>
          <w:noProof/>
        </w:rPr>
        <w:t>resie zrównoważonego rozwoju (SDG)</w:t>
      </w:r>
      <w:r w:rsidRPr="001357D3">
        <w:rPr>
          <w:rStyle w:val="Odwoanieprzypisudolnego"/>
          <w:rFonts w:eastAsia="Times New Roman"/>
          <w:noProof/>
        </w:rPr>
        <w:footnoteReference w:id="27"/>
      </w:r>
      <w:r w:rsidR="001C6403" w:rsidRPr="001357D3">
        <w:rPr>
          <w:noProof/>
        </w:rPr>
        <w:t>. W</w:t>
      </w:r>
      <w:r w:rsidR="001C6403">
        <w:rPr>
          <w:noProof/>
        </w:rPr>
        <w:t> </w:t>
      </w:r>
      <w:r w:rsidR="001C6403" w:rsidRPr="001357D3">
        <w:rPr>
          <w:noProof/>
        </w:rPr>
        <w:t>tym</w:t>
      </w:r>
      <w:r w:rsidRPr="001357D3">
        <w:rPr>
          <w:noProof/>
        </w:rPr>
        <w:t xml:space="preserve"> względzie rozwijane będą synergie</w:t>
      </w:r>
      <w:r w:rsidR="001C6403" w:rsidRPr="001357D3">
        <w:rPr>
          <w:noProof/>
        </w:rPr>
        <w:t xml:space="preserve"> z</w:t>
      </w:r>
      <w:r w:rsidR="001C6403">
        <w:rPr>
          <w:noProof/>
        </w:rPr>
        <w:t> </w:t>
      </w:r>
      <w:r w:rsidR="001C6403" w:rsidRPr="001357D3">
        <w:rPr>
          <w:noProof/>
        </w:rPr>
        <w:t>pro</w:t>
      </w:r>
      <w:r w:rsidRPr="001357D3">
        <w:rPr>
          <w:noProof/>
        </w:rPr>
        <w:t>gramem „Globalny wymiar Europy”</w:t>
      </w:r>
      <w:r w:rsidRPr="001357D3">
        <w:rPr>
          <w:rStyle w:val="Odwoanieprzypisudolnego"/>
          <w:rFonts w:eastAsia="Times New Roman"/>
          <w:noProof/>
        </w:rPr>
        <w:footnoteReference w:id="28"/>
      </w:r>
      <w:r w:rsidRPr="001357D3">
        <w:rPr>
          <w:noProof/>
        </w:rPr>
        <w:t>, program „Sprawiedliwość” przyczyni się mianowicie do realizacji działań zewnętrznych UE poprzez wzmocnienie systemów sądowych</w:t>
      </w:r>
      <w:r w:rsidR="001C6403" w:rsidRPr="001357D3">
        <w:rPr>
          <w:noProof/>
        </w:rPr>
        <w:t xml:space="preserve"> w</w:t>
      </w:r>
      <w:r w:rsidR="001C6403">
        <w:rPr>
          <w:noProof/>
        </w:rPr>
        <w:t> </w:t>
      </w:r>
      <w:r w:rsidR="001C6403" w:rsidRPr="001357D3">
        <w:rPr>
          <w:noProof/>
        </w:rPr>
        <w:t>kra</w:t>
      </w:r>
      <w:r w:rsidRPr="001357D3">
        <w:rPr>
          <w:noProof/>
        </w:rPr>
        <w:t>jach przystępujących</w:t>
      </w:r>
      <w:r w:rsidR="001C6403" w:rsidRPr="001357D3">
        <w:rPr>
          <w:noProof/>
        </w:rPr>
        <w:t xml:space="preserve"> w</w:t>
      </w:r>
      <w:r w:rsidR="001C6403">
        <w:rPr>
          <w:noProof/>
        </w:rPr>
        <w:t> </w:t>
      </w:r>
      <w:r w:rsidR="001C6403" w:rsidRPr="001357D3">
        <w:rPr>
          <w:noProof/>
        </w:rPr>
        <w:t>kon</w:t>
      </w:r>
      <w:r w:rsidRPr="001357D3">
        <w:rPr>
          <w:noProof/>
        </w:rPr>
        <w:t>tekście procesu rozszerzenia.</w:t>
      </w:r>
    </w:p>
    <w:p w14:paraId="00377F2C" w14:textId="08425FFA" w:rsidR="00C5603D" w:rsidRPr="001357D3" w:rsidRDefault="000D4BE4" w:rsidP="000D4BE4">
      <w:pPr>
        <w:pStyle w:val="ManualHeading1"/>
        <w:rPr>
          <w:noProof/>
        </w:rPr>
      </w:pPr>
      <w:bookmarkStart w:id="8" w:name="_Toc205221087"/>
      <w:bookmarkStart w:id="9" w:name="_Toc210923247"/>
      <w:r w:rsidRPr="000D4BE4">
        <w:rPr>
          <w:noProof/>
        </w:rPr>
        <w:t>2.</w:t>
      </w:r>
      <w:r w:rsidRPr="000D4BE4">
        <w:rPr>
          <w:noProof/>
        </w:rPr>
        <w:tab/>
      </w:r>
      <w:r w:rsidR="00C5603D" w:rsidRPr="001357D3">
        <w:rPr>
          <w:noProof/>
        </w:rPr>
        <w:t>PODSTAWA PRAWNA, POMOCNICZOŚĆ I PROPORCJONALNOŚĆ</w:t>
      </w:r>
      <w:bookmarkEnd w:id="8"/>
      <w:bookmarkEnd w:id="9"/>
    </w:p>
    <w:p w14:paraId="00377F2E" w14:textId="3F34DFE3" w:rsidR="00C5603D" w:rsidRPr="001357D3" w:rsidRDefault="00C5603D" w:rsidP="008A4B4E">
      <w:pPr>
        <w:pStyle w:val="Listapunktowana"/>
        <w:spacing w:before="0"/>
        <w:contextualSpacing w:val="0"/>
        <w:rPr>
          <w:b/>
          <w:bCs/>
          <w:noProof/>
        </w:rPr>
      </w:pPr>
      <w:bookmarkStart w:id="10" w:name="_Toc205221088"/>
      <w:r w:rsidRPr="001357D3">
        <w:rPr>
          <w:b/>
          <w:noProof/>
          <w:bdr w:val="nil"/>
        </w:rPr>
        <w:t>Podstawa prawna</w:t>
      </w:r>
      <w:bookmarkEnd w:id="10"/>
    </w:p>
    <w:p w14:paraId="15A132F7" w14:textId="679AEEC5" w:rsidR="1633871E" w:rsidRPr="001357D3" w:rsidRDefault="003223B5" w:rsidP="008A4B4E">
      <w:pPr>
        <w:pBdr>
          <w:top w:val="nil"/>
          <w:left w:val="nil"/>
          <w:bottom w:val="nil"/>
          <w:right w:val="nil"/>
          <w:between w:val="nil"/>
          <w:bar w:val="nil"/>
        </w:pBdr>
        <w:spacing w:before="0"/>
        <w:rPr>
          <w:noProof/>
        </w:rPr>
      </w:pPr>
      <w:bookmarkStart w:id="11" w:name="_Hlk205116382"/>
      <w:r w:rsidRPr="001357D3">
        <w:rPr>
          <w:noProof/>
        </w:rPr>
        <w:t xml:space="preserve">Podstawą tego wniosku jest </w:t>
      </w:r>
      <w:r w:rsidRPr="001C6403">
        <w:rPr>
          <w:noProof/>
        </w:rPr>
        <w:t>art.</w:t>
      </w:r>
      <w:r w:rsidR="001C6403" w:rsidRPr="001C6403">
        <w:rPr>
          <w:noProof/>
        </w:rPr>
        <w:t> </w:t>
      </w:r>
      <w:r w:rsidRPr="001C6403">
        <w:rPr>
          <w:noProof/>
        </w:rPr>
        <w:t>8</w:t>
      </w:r>
      <w:r w:rsidRPr="001357D3">
        <w:rPr>
          <w:noProof/>
        </w:rPr>
        <w:t xml:space="preserve">1 </w:t>
      </w:r>
      <w:r w:rsidRPr="001C6403">
        <w:rPr>
          <w:noProof/>
        </w:rPr>
        <w:t>ust.</w:t>
      </w:r>
      <w:r w:rsidR="001C6403" w:rsidRPr="001C6403">
        <w:rPr>
          <w:noProof/>
        </w:rPr>
        <w:t> </w:t>
      </w:r>
      <w:r w:rsidRPr="001C6403">
        <w:rPr>
          <w:noProof/>
        </w:rPr>
        <w:t>1</w:t>
      </w:r>
      <w:r w:rsidR="001C6403" w:rsidRPr="001357D3">
        <w:rPr>
          <w:noProof/>
        </w:rPr>
        <w:t xml:space="preserve"> i</w:t>
      </w:r>
      <w:r w:rsidR="001C6403">
        <w:rPr>
          <w:noProof/>
        </w:rPr>
        <w:t> </w:t>
      </w:r>
      <w:r w:rsidR="001C6403" w:rsidRPr="001357D3">
        <w:rPr>
          <w:noProof/>
        </w:rPr>
        <w:t>2</w:t>
      </w:r>
      <w:r w:rsidRPr="001357D3">
        <w:rPr>
          <w:noProof/>
        </w:rPr>
        <w:t xml:space="preserve"> oraz </w:t>
      </w:r>
      <w:r w:rsidRPr="001C6403">
        <w:rPr>
          <w:noProof/>
        </w:rPr>
        <w:t>art.</w:t>
      </w:r>
      <w:r w:rsidR="001C6403" w:rsidRPr="001C6403">
        <w:rPr>
          <w:noProof/>
        </w:rPr>
        <w:t> </w:t>
      </w:r>
      <w:r w:rsidRPr="001C6403">
        <w:rPr>
          <w:noProof/>
        </w:rPr>
        <w:t>8</w:t>
      </w:r>
      <w:r w:rsidRPr="001357D3">
        <w:rPr>
          <w:noProof/>
        </w:rPr>
        <w:t xml:space="preserve">2 </w:t>
      </w:r>
      <w:r w:rsidRPr="001C6403">
        <w:rPr>
          <w:noProof/>
        </w:rPr>
        <w:t>ust.</w:t>
      </w:r>
      <w:r w:rsidR="001C6403" w:rsidRPr="001C6403">
        <w:rPr>
          <w:noProof/>
        </w:rPr>
        <w:t> </w:t>
      </w:r>
      <w:r w:rsidRPr="001C6403">
        <w:rPr>
          <w:noProof/>
        </w:rPr>
        <w:t>1</w:t>
      </w:r>
      <w:r w:rsidRPr="001357D3">
        <w:rPr>
          <w:noProof/>
        </w:rPr>
        <w:t xml:space="preserve"> Traktatu</w:t>
      </w:r>
      <w:r w:rsidR="001C6403" w:rsidRPr="001357D3">
        <w:rPr>
          <w:noProof/>
        </w:rPr>
        <w:t xml:space="preserve"> o</w:t>
      </w:r>
      <w:r w:rsidR="001C6403">
        <w:rPr>
          <w:noProof/>
        </w:rPr>
        <w:t> </w:t>
      </w:r>
      <w:r w:rsidR="001C6403" w:rsidRPr="001357D3">
        <w:rPr>
          <w:noProof/>
        </w:rPr>
        <w:t>fun</w:t>
      </w:r>
      <w:r w:rsidRPr="001357D3">
        <w:rPr>
          <w:noProof/>
        </w:rPr>
        <w:t>kcjonowaniu Unii Europejskiej (TFUE).</w:t>
      </w:r>
    </w:p>
    <w:bookmarkEnd w:id="11"/>
    <w:p w14:paraId="19029A52" w14:textId="687C7745" w:rsidR="1633871E" w:rsidRPr="001357D3" w:rsidRDefault="1633871E" w:rsidP="008A4B4E">
      <w:pPr>
        <w:pBdr>
          <w:top w:val="nil"/>
          <w:left w:val="nil"/>
          <w:bottom w:val="nil"/>
          <w:right w:val="nil"/>
          <w:between w:val="nil"/>
        </w:pBdr>
        <w:spacing w:before="0"/>
        <w:rPr>
          <w:noProof/>
        </w:rPr>
      </w:pPr>
      <w:r w:rsidRPr="001357D3">
        <w:rPr>
          <w:noProof/>
        </w:rPr>
        <w:t xml:space="preserve">Art. 81 </w:t>
      </w:r>
      <w:r w:rsidRPr="001C6403">
        <w:rPr>
          <w:noProof/>
        </w:rPr>
        <w:t>ust.</w:t>
      </w:r>
      <w:r w:rsidR="001C6403" w:rsidRPr="001C6403">
        <w:rPr>
          <w:noProof/>
        </w:rPr>
        <w:t> </w:t>
      </w:r>
      <w:r w:rsidRPr="001C6403">
        <w:rPr>
          <w:noProof/>
        </w:rPr>
        <w:t>1</w:t>
      </w:r>
      <w:r w:rsidRPr="001357D3">
        <w:rPr>
          <w:noProof/>
        </w:rPr>
        <w:t xml:space="preserve"> TFUE przewiduje, że Unia rozwija współpracę sądową</w:t>
      </w:r>
      <w:r w:rsidR="001C6403" w:rsidRPr="001357D3">
        <w:rPr>
          <w:noProof/>
        </w:rPr>
        <w:t xml:space="preserve"> w</w:t>
      </w:r>
      <w:r w:rsidR="001C6403">
        <w:rPr>
          <w:noProof/>
        </w:rPr>
        <w:t> </w:t>
      </w:r>
      <w:r w:rsidR="001C6403" w:rsidRPr="001357D3">
        <w:rPr>
          <w:noProof/>
        </w:rPr>
        <w:t>spr</w:t>
      </w:r>
      <w:r w:rsidRPr="001357D3">
        <w:rPr>
          <w:noProof/>
        </w:rPr>
        <w:t>awach cywilnych mających skutki transgraniczne.</w:t>
      </w:r>
    </w:p>
    <w:p w14:paraId="377DC55A" w14:textId="38350574" w:rsidR="1633871E" w:rsidRPr="001357D3" w:rsidRDefault="0398375A" w:rsidP="008A4B4E">
      <w:pPr>
        <w:pBdr>
          <w:top w:val="nil"/>
          <w:left w:val="nil"/>
          <w:bottom w:val="nil"/>
          <w:right w:val="nil"/>
          <w:between w:val="nil"/>
        </w:pBdr>
        <w:spacing w:before="0"/>
        <w:rPr>
          <w:noProof/>
        </w:rPr>
      </w:pPr>
      <w:r w:rsidRPr="001357D3">
        <w:rPr>
          <w:noProof/>
        </w:rPr>
        <w:t xml:space="preserve">Art. 81 </w:t>
      </w:r>
      <w:r w:rsidRPr="001C6403">
        <w:rPr>
          <w:noProof/>
        </w:rPr>
        <w:t>ust.</w:t>
      </w:r>
      <w:r w:rsidR="001C6403" w:rsidRPr="001C6403">
        <w:rPr>
          <w:noProof/>
        </w:rPr>
        <w:t> </w:t>
      </w:r>
      <w:r w:rsidRPr="001C6403">
        <w:rPr>
          <w:noProof/>
        </w:rPr>
        <w:t>2</w:t>
      </w:r>
      <w:r w:rsidRPr="001357D3">
        <w:rPr>
          <w:noProof/>
        </w:rPr>
        <w:t xml:space="preserve"> TFUE przewiduje przyjmowanie środków mających na celu zapewnienie wzajemnego uznawania</w:t>
      </w:r>
      <w:r w:rsidR="001C6403" w:rsidRPr="001357D3">
        <w:rPr>
          <w:noProof/>
        </w:rPr>
        <w:t xml:space="preserve"> i</w:t>
      </w:r>
      <w:r w:rsidR="001C6403">
        <w:rPr>
          <w:noProof/>
        </w:rPr>
        <w:t> </w:t>
      </w:r>
      <w:r w:rsidR="001C6403" w:rsidRPr="001357D3">
        <w:rPr>
          <w:noProof/>
        </w:rPr>
        <w:t>wyk</w:t>
      </w:r>
      <w:r w:rsidRPr="001357D3">
        <w:rPr>
          <w:noProof/>
        </w:rPr>
        <w:t>onywania orzeczeń; transgraniczne doręczanie</w:t>
      </w:r>
      <w:r w:rsidR="001C6403" w:rsidRPr="001357D3">
        <w:rPr>
          <w:noProof/>
        </w:rPr>
        <w:t xml:space="preserve"> i</w:t>
      </w:r>
      <w:r w:rsidR="001C6403">
        <w:rPr>
          <w:noProof/>
        </w:rPr>
        <w:t> </w:t>
      </w:r>
      <w:r w:rsidR="001C6403" w:rsidRPr="001357D3">
        <w:rPr>
          <w:noProof/>
        </w:rPr>
        <w:t>zaw</w:t>
      </w:r>
      <w:r w:rsidRPr="001357D3">
        <w:rPr>
          <w:noProof/>
        </w:rPr>
        <w:t>iadamianie</w:t>
      </w:r>
      <w:r w:rsidR="001C6403" w:rsidRPr="001357D3">
        <w:rPr>
          <w:noProof/>
        </w:rPr>
        <w:t xml:space="preserve"> o</w:t>
      </w:r>
      <w:r w:rsidR="001C6403">
        <w:rPr>
          <w:noProof/>
        </w:rPr>
        <w:t> </w:t>
      </w:r>
      <w:r w:rsidR="001C6403" w:rsidRPr="001357D3">
        <w:rPr>
          <w:noProof/>
        </w:rPr>
        <w:t>akt</w:t>
      </w:r>
      <w:r w:rsidRPr="001357D3">
        <w:rPr>
          <w:noProof/>
        </w:rPr>
        <w:t>ach sądowych</w:t>
      </w:r>
      <w:r w:rsidR="001C6403" w:rsidRPr="001357D3">
        <w:rPr>
          <w:noProof/>
        </w:rPr>
        <w:t xml:space="preserve"> i</w:t>
      </w:r>
      <w:r w:rsidR="001C6403">
        <w:rPr>
          <w:noProof/>
        </w:rPr>
        <w:t> </w:t>
      </w:r>
      <w:r w:rsidR="001C6403" w:rsidRPr="001357D3">
        <w:rPr>
          <w:noProof/>
        </w:rPr>
        <w:t>poz</w:t>
      </w:r>
      <w:r w:rsidRPr="001357D3">
        <w:rPr>
          <w:noProof/>
        </w:rPr>
        <w:t>asądowych; skutecznego dostępu do wymiaru sprawiedliwości oraz wspierania szkolenia sędziów</w:t>
      </w:r>
      <w:r w:rsidR="001C6403" w:rsidRPr="001357D3">
        <w:rPr>
          <w:noProof/>
        </w:rPr>
        <w:t xml:space="preserve"> i</w:t>
      </w:r>
      <w:r w:rsidR="001C6403">
        <w:rPr>
          <w:noProof/>
        </w:rPr>
        <w:t> </w:t>
      </w:r>
      <w:r w:rsidR="001C6403" w:rsidRPr="001357D3">
        <w:rPr>
          <w:noProof/>
        </w:rPr>
        <w:t>inn</w:t>
      </w:r>
      <w:r w:rsidRPr="001357D3">
        <w:rPr>
          <w:noProof/>
        </w:rPr>
        <w:t xml:space="preserve">ych pracowników wymiaru sprawiedliwości. Art. 82 </w:t>
      </w:r>
      <w:r w:rsidRPr="001C6403">
        <w:rPr>
          <w:noProof/>
        </w:rPr>
        <w:t>ust.</w:t>
      </w:r>
      <w:r w:rsidR="001C6403" w:rsidRPr="001C6403">
        <w:rPr>
          <w:noProof/>
        </w:rPr>
        <w:t> </w:t>
      </w:r>
      <w:r w:rsidRPr="001C6403">
        <w:rPr>
          <w:noProof/>
        </w:rPr>
        <w:t>1</w:t>
      </w:r>
      <w:r w:rsidRPr="001357D3">
        <w:rPr>
          <w:noProof/>
        </w:rPr>
        <w:t xml:space="preserve"> TFUE przewiduje środki wspierania współpracy sądowej</w:t>
      </w:r>
      <w:r w:rsidR="001C6403" w:rsidRPr="001357D3">
        <w:rPr>
          <w:noProof/>
        </w:rPr>
        <w:t xml:space="preserve"> w</w:t>
      </w:r>
      <w:r w:rsidR="001C6403">
        <w:rPr>
          <w:noProof/>
        </w:rPr>
        <w:t> </w:t>
      </w:r>
      <w:r w:rsidR="001C6403" w:rsidRPr="001357D3">
        <w:rPr>
          <w:noProof/>
        </w:rPr>
        <w:t>spr</w:t>
      </w:r>
      <w:r w:rsidRPr="001357D3">
        <w:rPr>
          <w:noProof/>
        </w:rPr>
        <w:t>awach karnych.</w:t>
      </w:r>
    </w:p>
    <w:p w14:paraId="216A5528" w14:textId="3239E94C" w:rsidR="1633871E" w:rsidRPr="001357D3" w:rsidRDefault="0398375A" w:rsidP="008A4B4E">
      <w:pPr>
        <w:pBdr>
          <w:top w:val="nil"/>
          <w:left w:val="nil"/>
          <w:bottom w:val="nil"/>
          <w:right w:val="nil"/>
          <w:between w:val="nil"/>
        </w:pBdr>
        <w:spacing w:before="0"/>
        <w:rPr>
          <w:noProof/>
        </w:rPr>
      </w:pPr>
      <w:r w:rsidRPr="001357D3">
        <w:rPr>
          <w:noProof/>
        </w:rPr>
        <w:t>Połączenie tych artykułów pozwala na kompleksowe podejście do kwestii wspierania rozwoju współpracy sądowej</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w:t>
      </w:r>
      <w:r w:rsidR="001C6403" w:rsidRPr="001357D3">
        <w:rPr>
          <w:noProof/>
        </w:rPr>
        <w:t xml:space="preserve"> w</w:t>
      </w:r>
      <w:r w:rsidR="001C6403">
        <w:rPr>
          <w:noProof/>
        </w:rPr>
        <w:t> </w:t>
      </w:r>
      <w:r w:rsidR="001C6403" w:rsidRPr="001357D3">
        <w:rPr>
          <w:noProof/>
        </w:rPr>
        <w:t>szc</w:t>
      </w:r>
      <w:r w:rsidRPr="001357D3">
        <w:rPr>
          <w:noProof/>
        </w:rPr>
        <w:t>zególności</w:t>
      </w:r>
      <w:r w:rsidR="001C6403" w:rsidRPr="001357D3">
        <w:rPr>
          <w:noProof/>
        </w:rPr>
        <w:t xml:space="preserve"> w</w:t>
      </w:r>
      <w:r w:rsidR="001C6403">
        <w:rPr>
          <w:noProof/>
        </w:rPr>
        <w:t> </w:t>
      </w:r>
      <w:r w:rsidR="001C6403" w:rsidRPr="001357D3">
        <w:rPr>
          <w:noProof/>
        </w:rPr>
        <w:t>kwe</w:t>
      </w:r>
      <w:r w:rsidRPr="001357D3">
        <w:rPr>
          <w:noProof/>
        </w:rPr>
        <w:t>stiach przekrojowych, dotyczących obu tych obszarów.</w:t>
      </w:r>
    </w:p>
    <w:p w14:paraId="267FE4AF" w14:textId="40179173" w:rsidR="007719DA" w:rsidRPr="001357D3" w:rsidRDefault="000805E1" w:rsidP="008A4B4E">
      <w:pPr>
        <w:pStyle w:val="Listapunktowana"/>
        <w:spacing w:before="0"/>
        <w:contextualSpacing w:val="0"/>
        <w:rPr>
          <w:b/>
          <w:bCs/>
          <w:noProof/>
          <w:bdr w:val="nil"/>
        </w:rPr>
      </w:pPr>
      <w:r w:rsidRPr="001357D3">
        <w:rPr>
          <w:b/>
          <w:noProof/>
          <w:bdr w:val="nil"/>
        </w:rPr>
        <w:t>Zmienna geometria</w:t>
      </w:r>
    </w:p>
    <w:p w14:paraId="62100878" w14:textId="56914782" w:rsidR="00FC3C52" w:rsidRPr="001357D3" w:rsidRDefault="00FC3C52" w:rsidP="00B657CB">
      <w:pPr>
        <w:rPr>
          <w:noProof/>
        </w:rPr>
      </w:pPr>
      <w:r w:rsidRPr="001357D3">
        <w:rPr>
          <w:noProof/>
        </w:rPr>
        <w:t>Podstawę prawną niniejszego rozporządzenia stanowi tytuł V</w:t>
      </w:r>
      <w:r w:rsidR="001C6403" w:rsidRPr="001357D3">
        <w:rPr>
          <w:noProof/>
        </w:rPr>
        <w:t xml:space="preserve"> w</w:t>
      </w:r>
      <w:r w:rsidR="001C6403">
        <w:rPr>
          <w:noProof/>
        </w:rPr>
        <w:t> </w:t>
      </w:r>
      <w:r w:rsidR="001C6403" w:rsidRPr="001357D3">
        <w:rPr>
          <w:noProof/>
        </w:rPr>
        <w:t>czę</w:t>
      </w:r>
      <w:r w:rsidRPr="001357D3">
        <w:rPr>
          <w:noProof/>
        </w:rPr>
        <w:t>ści trzeciej TFUE, dotyczący przestrzeni wolności, bezpieczeństwa</w:t>
      </w:r>
      <w:r w:rsidR="001C6403" w:rsidRPr="001357D3">
        <w:rPr>
          <w:noProof/>
        </w:rPr>
        <w:t xml:space="preserve"> i</w:t>
      </w:r>
      <w:r w:rsidR="001C6403">
        <w:rPr>
          <w:noProof/>
        </w:rPr>
        <w:t> </w:t>
      </w:r>
      <w:r w:rsidR="001C6403" w:rsidRPr="001357D3">
        <w:rPr>
          <w:noProof/>
        </w:rPr>
        <w:t>spr</w:t>
      </w:r>
      <w:r w:rsidRPr="001357D3">
        <w:rPr>
          <w:noProof/>
        </w:rPr>
        <w:t>awiedliwości</w:t>
      </w:r>
      <w:r w:rsidR="001C6403" w:rsidRPr="001357D3">
        <w:rPr>
          <w:noProof/>
        </w:rPr>
        <w:t>. W</w:t>
      </w:r>
      <w:r w:rsidR="001C6403">
        <w:rPr>
          <w:noProof/>
        </w:rPr>
        <w:t> </w:t>
      </w:r>
      <w:r w:rsidR="001C6403" w:rsidRPr="001357D3">
        <w:rPr>
          <w:noProof/>
        </w:rPr>
        <w:t>zwi</w:t>
      </w:r>
      <w:r w:rsidRPr="001357D3">
        <w:rPr>
          <w:noProof/>
        </w:rPr>
        <w:t>ązku</w:t>
      </w:r>
      <w:r w:rsidR="001C6403" w:rsidRPr="001357D3">
        <w:rPr>
          <w:noProof/>
        </w:rPr>
        <w:t xml:space="preserve"> z</w:t>
      </w:r>
      <w:r w:rsidR="001C6403">
        <w:rPr>
          <w:noProof/>
        </w:rPr>
        <w:t> </w:t>
      </w:r>
      <w:r w:rsidR="001C6403" w:rsidRPr="001357D3">
        <w:rPr>
          <w:noProof/>
        </w:rPr>
        <w:t>tym</w:t>
      </w:r>
      <w:r w:rsidRPr="001357D3">
        <w:rPr>
          <w:noProof/>
        </w:rPr>
        <w:t xml:space="preserve"> zastosowanie rozporządzenia do Danii</w:t>
      </w:r>
      <w:r w:rsidR="001C6403" w:rsidRPr="001357D3">
        <w:rPr>
          <w:noProof/>
        </w:rPr>
        <w:t xml:space="preserve"> i</w:t>
      </w:r>
      <w:r w:rsidR="001C6403">
        <w:rPr>
          <w:noProof/>
        </w:rPr>
        <w:t> </w:t>
      </w:r>
      <w:r w:rsidR="001C6403" w:rsidRPr="001357D3">
        <w:rPr>
          <w:noProof/>
        </w:rPr>
        <w:t>Irl</w:t>
      </w:r>
      <w:r w:rsidRPr="001357D3">
        <w:rPr>
          <w:noProof/>
        </w:rPr>
        <w:t>andii podlega szczególnym postanowieniom określonym</w:t>
      </w:r>
      <w:r w:rsidR="001C6403" w:rsidRPr="001357D3">
        <w:rPr>
          <w:noProof/>
        </w:rPr>
        <w:t xml:space="preserve"> w</w:t>
      </w:r>
      <w:r w:rsidR="001C6403">
        <w:rPr>
          <w:noProof/>
        </w:rPr>
        <w:t> </w:t>
      </w:r>
      <w:r w:rsidR="001C6403" w:rsidRPr="001357D3">
        <w:rPr>
          <w:noProof/>
        </w:rPr>
        <w:t>pro</w:t>
      </w:r>
      <w:r w:rsidRPr="001357D3">
        <w:rPr>
          <w:noProof/>
        </w:rPr>
        <w:t xml:space="preserve">tokole </w:t>
      </w:r>
      <w:r w:rsidRPr="001C6403">
        <w:rPr>
          <w:noProof/>
        </w:rPr>
        <w:t>nr</w:t>
      </w:r>
      <w:r w:rsidR="001C6403" w:rsidRPr="001C6403">
        <w:rPr>
          <w:noProof/>
        </w:rPr>
        <w:t> </w:t>
      </w:r>
      <w:r w:rsidRPr="001C6403">
        <w:rPr>
          <w:noProof/>
        </w:rPr>
        <w:t>2</w:t>
      </w:r>
      <w:r w:rsidRPr="001357D3">
        <w:rPr>
          <w:noProof/>
        </w:rPr>
        <w:t>1</w:t>
      </w:r>
      <w:r w:rsidR="001C6403" w:rsidRPr="001357D3">
        <w:rPr>
          <w:noProof/>
        </w:rPr>
        <w:t xml:space="preserve"> i</w:t>
      </w:r>
      <w:r w:rsidR="001C6403">
        <w:rPr>
          <w:noProof/>
        </w:rPr>
        <w:t> </w:t>
      </w:r>
      <w:r w:rsidR="001C6403" w:rsidRPr="001357D3">
        <w:rPr>
          <w:noProof/>
        </w:rPr>
        <w:t>pro</w:t>
      </w:r>
      <w:r w:rsidRPr="001357D3">
        <w:rPr>
          <w:noProof/>
        </w:rPr>
        <w:t xml:space="preserve">tokole </w:t>
      </w:r>
      <w:r w:rsidRPr="001C6403">
        <w:rPr>
          <w:noProof/>
        </w:rPr>
        <w:t>nr</w:t>
      </w:r>
      <w:r w:rsidR="001C6403" w:rsidRPr="001C6403">
        <w:rPr>
          <w:noProof/>
        </w:rPr>
        <w:t> </w:t>
      </w:r>
      <w:r w:rsidRPr="001C6403">
        <w:rPr>
          <w:noProof/>
        </w:rPr>
        <w:t>2</w:t>
      </w:r>
      <w:r w:rsidRPr="001357D3">
        <w:rPr>
          <w:noProof/>
        </w:rPr>
        <w:t>2 dołączonych do TUE i TFUE.</w:t>
      </w:r>
    </w:p>
    <w:p w14:paraId="1C21C048" w14:textId="38979AC5" w:rsidR="00FC3C52" w:rsidRPr="001357D3" w:rsidRDefault="00FC3C52" w:rsidP="00B657CB">
      <w:pPr>
        <w:rPr>
          <w:noProof/>
        </w:rPr>
      </w:pPr>
      <w:r w:rsidRPr="001357D3">
        <w:rPr>
          <w:noProof/>
        </w:rPr>
        <w:t>Zgodnie</w:t>
      </w:r>
      <w:r w:rsidR="001C6403" w:rsidRPr="001357D3">
        <w:rPr>
          <w:noProof/>
        </w:rPr>
        <w:t xml:space="preserve"> z</w:t>
      </w:r>
      <w:r w:rsidR="001C6403">
        <w:rPr>
          <w:noProof/>
        </w:rPr>
        <w:t> </w:t>
      </w:r>
      <w:r w:rsidR="001C6403" w:rsidRPr="001C6403">
        <w:rPr>
          <w:noProof/>
        </w:rPr>
        <w:t>art</w:t>
      </w:r>
      <w:r w:rsidRPr="001C6403">
        <w:rPr>
          <w:noProof/>
        </w:rPr>
        <w:t>.</w:t>
      </w:r>
      <w:r w:rsidR="001C6403" w:rsidRPr="001C6403">
        <w:rPr>
          <w:noProof/>
        </w:rPr>
        <w:t> </w:t>
      </w:r>
      <w:r w:rsidRPr="001C6403">
        <w:rPr>
          <w:noProof/>
        </w:rPr>
        <w:t>1</w:t>
      </w:r>
      <w:r w:rsidR="001C6403" w:rsidRPr="001357D3">
        <w:rPr>
          <w:noProof/>
        </w:rPr>
        <w:t xml:space="preserve"> i</w:t>
      </w:r>
      <w:r w:rsidR="001C6403">
        <w:rPr>
          <w:noProof/>
        </w:rPr>
        <w:t> </w:t>
      </w:r>
      <w:r w:rsidR="001C6403" w:rsidRPr="001357D3">
        <w:rPr>
          <w:noProof/>
        </w:rPr>
        <w:t>2</w:t>
      </w:r>
      <w:r w:rsidRPr="001357D3">
        <w:rPr>
          <w:noProof/>
        </w:rPr>
        <w:t xml:space="preserve"> protokołu </w:t>
      </w:r>
      <w:r w:rsidRPr="001C6403">
        <w:rPr>
          <w:noProof/>
        </w:rPr>
        <w:t>nr</w:t>
      </w:r>
      <w:r w:rsidR="001C6403" w:rsidRPr="001C6403">
        <w:rPr>
          <w:noProof/>
        </w:rPr>
        <w:t> </w:t>
      </w:r>
      <w:r w:rsidRPr="001C6403">
        <w:rPr>
          <w:noProof/>
        </w:rPr>
        <w:t>2</w:t>
      </w:r>
      <w:r w:rsidRPr="001357D3">
        <w:rPr>
          <w:noProof/>
        </w:rPr>
        <w:t>2 Dania nie uczestniczy</w:t>
      </w:r>
      <w:r w:rsidR="001C6403" w:rsidRPr="001357D3">
        <w:rPr>
          <w:noProof/>
        </w:rPr>
        <w:t xml:space="preserve"> w</w:t>
      </w:r>
      <w:r w:rsidR="001C6403">
        <w:rPr>
          <w:noProof/>
        </w:rPr>
        <w:t> </w:t>
      </w:r>
      <w:r w:rsidR="001C6403" w:rsidRPr="001357D3">
        <w:rPr>
          <w:noProof/>
        </w:rPr>
        <w:t>prz</w:t>
      </w:r>
      <w:r w:rsidRPr="001357D3">
        <w:rPr>
          <w:noProof/>
        </w:rPr>
        <w:t>yjmowaniu przez Radę środków zaproponowanych na podstawie tytułu V</w:t>
      </w:r>
      <w:r w:rsidR="001C6403" w:rsidRPr="001357D3">
        <w:rPr>
          <w:noProof/>
        </w:rPr>
        <w:t xml:space="preserve"> w</w:t>
      </w:r>
      <w:r w:rsidR="001C6403">
        <w:rPr>
          <w:noProof/>
        </w:rPr>
        <w:t> </w:t>
      </w:r>
      <w:r w:rsidR="001C6403" w:rsidRPr="001357D3">
        <w:rPr>
          <w:noProof/>
        </w:rPr>
        <w:t>czę</w:t>
      </w:r>
      <w:r w:rsidRPr="001357D3">
        <w:rPr>
          <w:noProof/>
        </w:rPr>
        <w:t>ści trzeciej TFUE</w:t>
      </w:r>
      <w:r w:rsidR="001C6403" w:rsidRPr="001357D3">
        <w:rPr>
          <w:noProof/>
        </w:rPr>
        <w:t xml:space="preserve"> i</w:t>
      </w:r>
      <w:r w:rsidR="001C6403">
        <w:rPr>
          <w:noProof/>
        </w:rPr>
        <w:t> </w:t>
      </w:r>
      <w:r w:rsidR="001C6403" w:rsidRPr="001357D3">
        <w:rPr>
          <w:noProof/>
        </w:rPr>
        <w:t>śro</w:t>
      </w:r>
      <w:r w:rsidRPr="001357D3">
        <w:rPr>
          <w:noProof/>
        </w:rPr>
        <w:t xml:space="preserve">dki takie nie są wiążące dla Danii ani nie mają do niej zastosowania. </w:t>
      </w:r>
    </w:p>
    <w:p w14:paraId="55DA5815" w14:textId="14B4A9BF" w:rsidR="00FC3C52" w:rsidRPr="001357D3" w:rsidRDefault="00FC3C52" w:rsidP="00B657CB">
      <w:pPr>
        <w:rPr>
          <w:noProof/>
        </w:rPr>
      </w:pPr>
      <w:r w:rsidRPr="001357D3">
        <w:rPr>
          <w:noProof/>
        </w:rPr>
        <w:t>Zgodnie</w:t>
      </w:r>
      <w:r w:rsidR="001C6403" w:rsidRPr="001357D3">
        <w:rPr>
          <w:noProof/>
        </w:rPr>
        <w:t xml:space="preserve"> z</w:t>
      </w:r>
      <w:r w:rsidR="001C6403">
        <w:rPr>
          <w:noProof/>
        </w:rPr>
        <w:t> </w:t>
      </w:r>
      <w:r w:rsidR="001C6403" w:rsidRPr="001C6403">
        <w:rPr>
          <w:noProof/>
        </w:rPr>
        <w:t>art</w:t>
      </w:r>
      <w:r w:rsidRPr="001C6403">
        <w:rPr>
          <w:noProof/>
        </w:rPr>
        <w:t>.</w:t>
      </w:r>
      <w:r w:rsidR="001C6403" w:rsidRPr="001C6403">
        <w:rPr>
          <w:noProof/>
        </w:rPr>
        <w:t> </w:t>
      </w:r>
      <w:r w:rsidRPr="001C6403">
        <w:rPr>
          <w:noProof/>
        </w:rPr>
        <w:t>1</w:t>
      </w:r>
      <w:r w:rsidR="001C6403" w:rsidRPr="001357D3">
        <w:rPr>
          <w:noProof/>
        </w:rPr>
        <w:t xml:space="preserve"> i</w:t>
      </w:r>
      <w:r w:rsidR="001C6403">
        <w:rPr>
          <w:noProof/>
        </w:rPr>
        <w:t> </w:t>
      </w:r>
      <w:r w:rsidR="001C6403" w:rsidRPr="001357D3">
        <w:rPr>
          <w:noProof/>
        </w:rPr>
        <w:t>2</w:t>
      </w:r>
      <w:r w:rsidRPr="001357D3">
        <w:rPr>
          <w:noProof/>
        </w:rPr>
        <w:t xml:space="preserve"> protokołu </w:t>
      </w:r>
      <w:r w:rsidRPr="001C6403">
        <w:rPr>
          <w:noProof/>
        </w:rPr>
        <w:t>nr</w:t>
      </w:r>
      <w:r w:rsidR="001C6403" w:rsidRPr="001C6403">
        <w:rPr>
          <w:noProof/>
        </w:rPr>
        <w:t> </w:t>
      </w:r>
      <w:r w:rsidRPr="001C6403">
        <w:rPr>
          <w:noProof/>
        </w:rPr>
        <w:t>2</w:t>
      </w:r>
      <w:r w:rsidRPr="001357D3">
        <w:rPr>
          <w:noProof/>
        </w:rPr>
        <w:t>1 Irlandia nie uczestniczy</w:t>
      </w:r>
      <w:r w:rsidR="001C6403" w:rsidRPr="001357D3">
        <w:rPr>
          <w:noProof/>
        </w:rPr>
        <w:t xml:space="preserve"> w</w:t>
      </w:r>
      <w:r w:rsidR="001C6403">
        <w:rPr>
          <w:noProof/>
        </w:rPr>
        <w:t> </w:t>
      </w:r>
      <w:r w:rsidR="001C6403" w:rsidRPr="001357D3">
        <w:rPr>
          <w:noProof/>
        </w:rPr>
        <w:t>prz</w:t>
      </w:r>
      <w:r w:rsidRPr="001357D3">
        <w:rPr>
          <w:noProof/>
        </w:rPr>
        <w:t>yjmowaniu przez Radę środków zaproponowanych na podstawie tytułu V</w:t>
      </w:r>
      <w:r w:rsidR="001C6403" w:rsidRPr="001357D3">
        <w:rPr>
          <w:noProof/>
        </w:rPr>
        <w:t xml:space="preserve"> w</w:t>
      </w:r>
      <w:r w:rsidR="001C6403">
        <w:rPr>
          <w:noProof/>
        </w:rPr>
        <w:t> </w:t>
      </w:r>
      <w:r w:rsidR="001C6403" w:rsidRPr="001357D3">
        <w:rPr>
          <w:noProof/>
        </w:rPr>
        <w:t>czę</w:t>
      </w:r>
      <w:r w:rsidRPr="001357D3">
        <w:rPr>
          <w:noProof/>
        </w:rPr>
        <w:t>ści trzeciej TFUE</w:t>
      </w:r>
      <w:r w:rsidR="001C6403" w:rsidRPr="001357D3">
        <w:rPr>
          <w:noProof/>
        </w:rPr>
        <w:t xml:space="preserve"> i</w:t>
      </w:r>
      <w:r w:rsidR="001C6403">
        <w:rPr>
          <w:noProof/>
        </w:rPr>
        <w:t> </w:t>
      </w:r>
      <w:r w:rsidR="001C6403" w:rsidRPr="001357D3">
        <w:rPr>
          <w:noProof/>
        </w:rPr>
        <w:t>śro</w:t>
      </w:r>
      <w:r w:rsidRPr="001357D3">
        <w:rPr>
          <w:noProof/>
        </w:rPr>
        <w:t>dki takie nie są wiążące dla Irlandii ani nie mają do niej zastosowania. Irlandia może jednak zdecydować się na udział</w:t>
      </w:r>
      <w:r w:rsidR="001C6403" w:rsidRPr="001357D3">
        <w:rPr>
          <w:noProof/>
        </w:rPr>
        <w:t xml:space="preserve"> w</w:t>
      </w:r>
      <w:r w:rsidR="001C6403">
        <w:rPr>
          <w:noProof/>
        </w:rPr>
        <w:t> </w:t>
      </w:r>
      <w:r w:rsidR="001C6403" w:rsidRPr="001357D3">
        <w:rPr>
          <w:noProof/>
        </w:rPr>
        <w:t>prz</w:t>
      </w:r>
      <w:r w:rsidRPr="001357D3">
        <w:rPr>
          <w:noProof/>
        </w:rPr>
        <w:t>yjęciu</w:t>
      </w:r>
      <w:r w:rsidR="001C6403" w:rsidRPr="001357D3">
        <w:rPr>
          <w:noProof/>
        </w:rPr>
        <w:t xml:space="preserve"> i</w:t>
      </w:r>
      <w:r w:rsidR="001C6403">
        <w:rPr>
          <w:noProof/>
        </w:rPr>
        <w:t> </w:t>
      </w:r>
      <w:r w:rsidR="001C6403" w:rsidRPr="001357D3">
        <w:rPr>
          <w:noProof/>
        </w:rPr>
        <w:t>sto</w:t>
      </w:r>
      <w:r w:rsidRPr="001357D3">
        <w:rPr>
          <w:noProof/>
        </w:rPr>
        <w:t>sowaniu takiego proponowanego środka. Ponadto</w:t>
      </w:r>
      <w:r w:rsidR="001C6403" w:rsidRPr="001357D3">
        <w:rPr>
          <w:noProof/>
        </w:rPr>
        <w:t xml:space="preserve"> w</w:t>
      </w:r>
      <w:r w:rsidR="001C6403">
        <w:rPr>
          <w:noProof/>
        </w:rPr>
        <w:t> </w:t>
      </w:r>
      <w:r w:rsidR="001C6403" w:rsidRPr="001357D3">
        <w:rPr>
          <w:noProof/>
        </w:rPr>
        <w:t>dow</w:t>
      </w:r>
      <w:r w:rsidRPr="001357D3">
        <w:rPr>
          <w:noProof/>
        </w:rPr>
        <w:t>olnym momencie po przyjęciu takiego środka Irlandia może przyjąć dany środek pod warunkiem dopełnienia procedur,</w:t>
      </w:r>
      <w:r w:rsidR="001C6403" w:rsidRPr="001357D3">
        <w:rPr>
          <w:noProof/>
        </w:rPr>
        <w:t xml:space="preserve"> o</w:t>
      </w:r>
      <w:r w:rsidR="001C6403">
        <w:rPr>
          <w:noProof/>
        </w:rPr>
        <w:t> </w:t>
      </w:r>
      <w:r w:rsidR="001C6403" w:rsidRPr="001357D3">
        <w:rPr>
          <w:noProof/>
        </w:rPr>
        <w:t>któ</w:t>
      </w:r>
      <w:r w:rsidRPr="001357D3">
        <w:rPr>
          <w:noProof/>
        </w:rPr>
        <w:t>rych mowa</w:t>
      </w:r>
      <w:r w:rsidR="001C6403" w:rsidRPr="001357D3">
        <w:rPr>
          <w:noProof/>
        </w:rPr>
        <w:t xml:space="preserve"> w</w:t>
      </w:r>
      <w:r w:rsidR="001C6403">
        <w:rPr>
          <w:noProof/>
        </w:rPr>
        <w:t> </w:t>
      </w:r>
      <w:r w:rsidR="001C6403" w:rsidRPr="001C6403">
        <w:rPr>
          <w:noProof/>
        </w:rPr>
        <w:t>art</w:t>
      </w:r>
      <w:r w:rsidRPr="001C6403">
        <w:rPr>
          <w:noProof/>
        </w:rPr>
        <w:t>.</w:t>
      </w:r>
      <w:r w:rsidR="001C6403" w:rsidRPr="001C6403">
        <w:rPr>
          <w:noProof/>
        </w:rPr>
        <w:t> </w:t>
      </w:r>
      <w:r w:rsidRPr="001C6403">
        <w:rPr>
          <w:noProof/>
        </w:rPr>
        <w:t>4</w:t>
      </w:r>
      <w:r w:rsidRPr="001357D3">
        <w:rPr>
          <w:noProof/>
        </w:rPr>
        <w:t xml:space="preserve"> protokołu </w:t>
      </w:r>
      <w:r w:rsidRPr="001C6403">
        <w:rPr>
          <w:noProof/>
        </w:rPr>
        <w:t>nr</w:t>
      </w:r>
      <w:r w:rsidR="001C6403" w:rsidRPr="001C6403">
        <w:rPr>
          <w:noProof/>
        </w:rPr>
        <w:t> </w:t>
      </w:r>
      <w:r w:rsidRPr="001C6403">
        <w:rPr>
          <w:noProof/>
        </w:rPr>
        <w:t>2</w:t>
      </w:r>
      <w:r w:rsidRPr="001357D3">
        <w:rPr>
          <w:noProof/>
        </w:rPr>
        <w:t>1.</w:t>
      </w:r>
    </w:p>
    <w:p w14:paraId="00377F30" w14:textId="0BBB3261" w:rsidR="00C5603D" w:rsidRPr="001357D3" w:rsidRDefault="00C5603D" w:rsidP="008A4B4E">
      <w:pPr>
        <w:pStyle w:val="Listapunktowana"/>
        <w:spacing w:before="0"/>
        <w:contextualSpacing w:val="0"/>
        <w:rPr>
          <w:b/>
          <w:bCs/>
          <w:noProof/>
          <w:bdr w:val="nil"/>
        </w:rPr>
      </w:pPr>
      <w:bookmarkStart w:id="12" w:name="_Toc205221089"/>
      <w:r w:rsidRPr="001357D3">
        <w:rPr>
          <w:b/>
          <w:noProof/>
          <w:bdr w:val="nil"/>
        </w:rPr>
        <w:t>Pomocniczość (w przypadku kompetencji niewyłącznych)</w:t>
      </w:r>
      <w:bookmarkEnd w:id="12"/>
    </w:p>
    <w:p w14:paraId="43328669" w14:textId="2053E347" w:rsidR="004D19AB" w:rsidRPr="001357D3" w:rsidRDefault="00FC3C52" w:rsidP="008A4B4E">
      <w:pPr>
        <w:spacing w:before="0"/>
        <w:rPr>
          <w:rFonts w:eastAsia="Times New Roman"/>
          <w:noProof/>
        </w:rPr>
      </w:pPr>
      <w:r w:rsidRPr="001357D3">
        <w:rPr>
          <w:noProof/>
        </w:rPr>
        <w:t>Cele określone</w:t>
      </w:r>
      <w:r w:rsidR="001C6403" w:rsidRPr="001357D3">
        <w:rPr>
          <w:noProof/>
        </w:rPr>
        <w:t xml:space="preserve"> w</w:t>
      </w:r>
      <w:r w:rsidR="001C6403">
        <w:rPr>
          <w:noProof/>
        </w:rPr>
        <w:t> </w:t>
      </w:r>
      <w:r w:rsidR="001C6403" w:rsidRPr="001357D3">
        <w:rPr>
          <w:noProof/>
        </w:rPr>
        <w:t>sek</w:t>
      </w:r>
      <w:r w:rsidRPr="001357D3">
        <w:rPr>
          <w:noProof/>
        </w:rPr>
        <w:t>cji „Przyczyny</w:t>
      </w:r>
      <w:r w:rsidR="001C6403" w:rsidRPr="001357D3">
        <w:rPr>
          <w:noProof/>
        </w:rPr>
        <w:t xml:space="preserve"> i</w:t>
      </w:r>
      <w:r w:rsidR="001C6403">
        <w:rPr>
          <w:noProof/>
        </w:rPr>
        <w:t> </w:t>
      </w:r>
      <w:r w:rsidR="001C6403" w:rsidRPr="001357D3">
        <w:rPr>
          <w:noProof/>
        </w:rPr>
        <w:t>cel</w:t>
      </w:r>
      <w:r w:rsidRPr="001357D3">
        <w:rPr>
          <w:noProof/>
        </w:rPr>
        <w:t>e” mają silny wymiar transnarodowy</w:t>
      </w:r>
      <w:r w:rsidR="001C6403" w:rsidRPr="001357D3">
        <w:rPr>
          <w:noProof/>
        </w:rPr>
        <w:t xml:space="preserve"> i</w:t>
      </w:r>
      <w:r w:rsidR="001C6403">
        <w:rPr>
          <w:noProof/>
        </w:rPr>
        <w:t> </w:t>
      </w:r>
      <w:r w:rsidR="001C6403" w:rsidRPr="001357D3">
        <w:rPr>
          <w:noProof/>
        </w:rPr>
        <w:t>wym</w:t>
      </w:r>
      <w:r w:rsidRPr="001357D3">
        <w:rPr>
          <w:noProof/>
        </w:rPr>
        <w:t>agają wspólnych rozwiązań,</w:t>
      </w:r>
      <w:r w:rsidR="001C6403" w:rsidRPr="001357D3">
        <w:rPr>
          <w:noProof/>
        </w:rPr>
        <w:t xml:space="preserve"> a</w:t>
      </w:r>
      <w:r w:rsidR="001C6403">
        <w:rPr>
          <w:noProof/>
        </w:rPr>
        <w:t> </w:t>
      </w:r>
      <w:r w:rsidR="001C6403" w:rsidRPr="001357D3">
        <w:rPr>
          <w:noProof/>
        </w:rPr>
        <w:t>tak</w:t>
      </w:r>
      <w:r w:rsidRPr="001357D3">
        <w:rPr>
          <w:noProof/>
        </w:rPr>
        <w:t>że zarządzania, koordynacji</w:t>
      </w:r>
      <w:r w:rsidR="001C6403" w:rsidRPr="001357D3">
        <w:rPr>
          <w:noProof/>
        </w:rPr>
        <w:t xml:space="preserve"> i</w:t>
      </w:r>
      <w:r w:rsidR="001C6403">
        <w:rPr>
          <w:noProof/>
        </w:rPr>
        <w:t> </w:t>
      </w:r>
      <w:r w:rsidR="001C6403" w:rsidRPr="001357D3">
        <w:rPr>
          <w:noProof/>
        </w:rPr>
        <w:t>wsp</w:t>
      </w:r>
      <w:r w:rsidRPr="001357D3">
        <w:rPr>
          <w:noProof/>
        </w:rPr>
        <w:t>arcia na szczeblu UE. Odizolowane działania krajowe byłyby mniej skuteczne</w:t>
      </w:r>
      <w:r w:rsidR="001C6403" w:rsidRPr="001357D3">
        <w:rPr>
          <w:noProof/>
        </w:rPr>
        <w:t xml:space="preserve"> i</w:t>
      </w:r>
      <w:r w:rsidR="001C6403">
        <w:rPr>
          <w:noProof/>
        </w:rPr>
        <w:t> </w:t>
      </w:r>
      <w:r w:rsidR="001C6403" w:rsidRPr="001357D3">
        <w:rPr>
          <w:noProof/>
        </w:rPr>
        <w:t>wyw</w:t>
      </w:r>
      <w:r w:rsidRPr="001357D3">
        <w:rPr>
          <w:noProof/>
        </w:rPr>
        <w:t xml:space="preserve">ierałyby mniej konsekwentny </w:t>
      </w:r>
      <w:r w:rsidRPr="001357D3">
        <w:rPr>
          <w:noProof/>
        </w:rPr>
        <w:lastRenderedPageBreak/>
        <w:t>wpływ niż skoordynowane działania na szczeblu UE, które sprzyjają współpracy, budowaniu zdolności, wzajemnemu uczeniu się oraz wymianie zasobów, wiedzy fachowej</w:t>
      </w:r>
      <w:r w:rsidR="001C6403" w:rsidRPr="001357D3">
        <w:rPr>
          <w:noProof/>
        </w:rPr>
        <w:t xml:space="preserve"> i</w:t>
      </w:r>
      <w:r w:rsidR="001C6403">
        <w:rPr>
          <w:noProof/>
        </w:rPr>
        <w:t> </w:t>
      </w:r>
      <w:r w:rsidR="001C6403" w:rsidRPr="001357D3">
        <w:rPr>
          <w:noProof/>
        </w:rPr>
        <w:t>naj</w:t>
      </w:r>
      <w:r w:rsidRPr="001357D3">
        <w:rPr>
          <w:noProof/>
        </w:rPr>
        <w:t>lepszych praktyk.</w:t>
      </w:r>
    </w:p>
    <w:p w14:paraId="3B09FAB4" w14:textId="02B2DC02" w:rsidR="004D19AB" w:rsidRPr="001357D3" w:rsidRDefault="004D19AB" w:rsidP="008A4B4E">
      <w:pPr>
        <w:spacing w:before="0"/>
        <w:rPr>
          <w:rFonts w:eastAsia="Times New Roman"/>
          <w:noProof/>
        </w:rPr>
      </w:pPr>
      <w:r w:rsidRPr="001357D3">
        <w:rPr>
          <w:noProof/>
        </w:rPr>
        <w:t>Bez działań</w:t>
      </w:r>
      <w:r w:rsidR="001C6403" w:rsidRPr="001357D3">
        <w:rPr>
          <w:noProof/>
        </w:rPr>
        <w:t xml:space="preserve"> i</w:t>
      </w:r>
      <w:r w:rsidR="001C6403">
        <w:rPr>
          <w:noProof/>
        </w:rPr>
        <w:t> </w:t>
      </w:r>
      <w:r w:rsidR="001C6403" w:rsidRPr="001357D3">
        <w:rPr>
          <w:noProof/>
        </w:rPr>
        <w:t>fin</w:t>
      </w:r>
      <w:r w:rsidRPr="001357D3">
        <w:rPr>
          <w:noProof/>
        </w:rPr>
        <w:t>ansowania ze strony UE funkcjonowanie unijnej przestrzeni sprawiedliwości byłoby zagrożone, co miałoby negatywny wpływ na wielu beneficjentów, zwłaszcza pracowników wymiaru sprawiedliwości, członków organizacji społeczeństwa obywatelskiego pracujących nad zapewnieniem dostępu do wymiaru sprawiedliwości oraz członków ogólnounijnych sieci prawnych. Wsparcie UE pomaga przezwyciężyć bariery krajowe, umożliwiając każdemu państwu członkowskiemu podjęcie działań</w:t>
      </w:r>
      <w:r w:rsidR="001C6403" w:rsidRPr="001357D3">
        <w:rPr>
          <w:noProof/>
        </w:rPr>
        <w:t xml:space="preserve"> w</w:t>
      </w:r>
      <w:r w:rsidR="001C6403">
        <w:rPr>
          <w:noProof/>
        </w:rPr>
        <w:t> </w:t>
      </w:r>
      <w:r w:rsidR="001C6403" w:rsidRPr="001357D3">
        <w:rPr>
          <w:noProof/>
        </w:rPr>
        <w:t>kwe</w:t>
      </w:r>
      <w:r w:rsidRPr="001357D3">
        <w:rPr>
          <w:noProof/>
        </w:rPr>
        <w:t>stiach, których nie udało mu się rozwiązać samodzielnie. Dzięki temu żadne państwo członkowskie nie zostanie pominięte</w:t>
      </w:r>
      <w:r w:rsidR="001C6403" w:rsidRPr="001357D3">
        <w:rPr>
          <w:noProof/>
        </w:rPr>
        <w:t xml:space="preserve"> w</w:t>
      </w:r>
      <w:r w:rsidR="001C6403">
        <w:rPr>
          <w:noProof/>
        </w:rPr>
        <w:t> </w:t>
      </w:r>
      <w:r w:rsidR="001C6403" w:rsidRPr="001357D3">
        <w:rPr>
          <w:noProof/>
        </w:rPr>
        <w:t>roz</w:t>
      </w:r>
      <w:r w:rsidRPr="001357D3">
        <w:rPr>
          <w:noProof/>
        </w:rPr>
        <w:t>wiązywaniu problemów transgranicznych.</w:t>
      </w:r>
    </w:p>
    <w:p w14:paraId="7F61D194" w14:textId="6BC56C17" w:rsidR="002F5983" w:rsidRPr="001357D3" w:rsidRDefault="004D19AB" w:rsidP="008A4B4E">
      <w:pPr>
        <w:spacing w:before="0"/>
        <w:rPr>
          <w:rFonts w:eastAsia="Times New Roman"/>
          <w:noProof/>
          <w:szCs w:val="24"/>
        </w:rPr>
      </w:pPr>
      <w:r w:rsidRPr="001357D3">
        <w:rPr>
          <w:noProof/>
        </w:rPr>
        <w:t>Działania podejmowane na szczeblu UE odgrywają także kluczową rolę</w:t>
      </w:r>
      <w:r w:rsidR="001C6403" w:rsidRPr="001357D3">
        <w:rPr>
          <w:noProof/>
        </w:rPr>
        <w:t xml:space="preserve"> w</w:t>
      </w:r>
      <w:r w:rsidR="001C6403">
        <w:rPr>
          <w:noProof/>
        </w:rPr>
        <w:t> </w:t>
      </w:r>
      <w:r w:rsidR="001C6403" w:rsidRPr="001357D3">
        <w:rPr>
          <w:noProof/>
        </w:rPr>
        <w:t>rea</w:t>
      </w:r>
      <w:r w:rsidRPr="001357D3">
        <w:rPr>
          <w:noProof/>
        </w:rPr>
        <w:t>lizacji ogólnounijnych priorytetów, które nie zawsze znajdują odzwierciedlenie</w:t>
      </w:r>
      <w:r w:rsidR="001C6403" w:rsidRPr="001357D3">
        <w:rPr>
          <w:noProof/>
        </w:rPr>
        <w:t xml:space="preserve"> w</w:t>
      </w:r>
      <w:r w:rsidR="001C6403">
        <w:rPr>
          <w:noProof/>
        </w:rPr>
        <w:t> </w:t>
      </w:r>
      <w:r w:rsidR="001C6403" w:rsidRPr="001357D3">
        <w:rPr>
          <w:noProof/>
        </w:rPr>
        <w:t>pro</w:t>
      </w:r>
      <w:r w:rsidRPr="001357D3">
        <w:rPr>
          <w:noProof/>
        </w:rPr>
        <w:t>gramach krajowych,</w:t>
      </w:r>
      <w:r w:rsidR="001C6403" w:rsidRPr="001357D3">
        <w:rPr>
          <w:noProof/>
        </w:rPr>
        <w:t xml:space="preserve"> a</w:t>
      </w:r>
      <w:r w:rsidR="001C6403">
        <w:rPr>
          <w:noProof/>
        </w:rPr>
        <w:t> </w:t>
      </w:r>
      <w:r w:rsidR="001C6403" w:rsidRPr="001357D3">
        <w:rPr>
          <w:noProof/>
        </w:rPr>
        <w:t>tak</w:t>
      </w:r>
      <w:r w:rsidRPr="001357D3">
        <w:rPr>
          <w:noProof/>
        </w:rPr>
        <w:t>że</w:t>
      </w:r>
      <w:r w:rsidR="001C6403" w:rsidRPr="001357D3">
        <w:rPr>
          <w:noProof/>
        </w:rPr>
        <w:t xml:space="preserve"> w</w:t>
      </w:r>
      <w:r w:rsidR="001C6403">
        <w:rPr>
          <w:noProof/>
        </w:rPr>
        <w:t> </w:t>
      </w:r>
      <w:r w:rsidR="001C6403" w:rsidRPr="001357D3">
        <w:rPr>
          <w:noProof/>
        </w:rPr>
        <w:t>syt</w:t>
      </w:r>
      <w:r w:rsidRPr="001357D3">
        <w:rPr>
          <w:noProof/>
        </w:rPr>
        <w:t>uacjach,</w:t>
      </w:r>
      <w:r w:rsidR="001C6403" w:rsidRPr="001357D3">
        <w:rPr>
          <w:noProof/>
        </w:rPr>
        <w:t xml:space="preserve"> w</w:t>
      </w:r>
      <w:r w:rsidR="001C6403">
        <w:rPr>
          <w:noProof/>
        </w:rPr>
        <w:t> </w:t>
      </w:r>
      <w:r w:rsidR="001C6403" w:rsidRPr="001357D3">
        <w:rPr>
          <w:noProof/>
        </w:rPr>
        <w:t>któ</w:t>
      </w:r>
      <w:r w:rsidRPr="001357D3">
        <w:rPr>
          <w:noProof/>
        </w:rPr>
        <w:t>rych potrzebne jest ukierunkowane wsparcie</w:t>
      </w:r>
      <w:r w:rsidR="001C6403" w:rsidRPr="001357D3">
        <w:rPr>
          <w:noProof/>
        </w:rPr>
        <w:t>. W</w:t>
      </w:r>
      <w:r w:rsidR="001C6403">
        <w:rPr>
          <w:noProof/>
        </w:rPr>
        <w:t> </w:t>
      </w:r>
      <w:r w:rsidR="001C6403" w:rsidRPr="001357D3">
        <w:rPr>
          <w:noProof/>
        </w:rPr>
        <w:t>nie</w:t>
      </w:r>
      <w:r w:rsidRPr="001357D3">
        <w:rPr>
          <w:noProof/>
        </w:rPr>
        <w:t>których obszarach podejmowanie działań jedynie na poziomie krajowym może być niewystarczające, krótkoterminowe lub niezgodne</w:t>
      </w:r>
      <w:r w:rsidR="001C6403" w:rsidRPr="001357D3">
        <w:rPr>
          <w:noProof/>
        </w:rPr>
        <w:t xml:space="preserve"> z</w:t>
      </w:r>
      <w:r w:rsidR="001C6403">
        <w:rPr>
          <w:noProof/>
        </w:rPr>
        <w:t> </w:t>
      </w:r>
      <w:r w:rsidR="001C6403" w:rsidRPr="001357D3">
        <w:rPr>
          <w:noProof/>
        </w:rPr>
        <w:t>pri</w:t>
      </w:r>
      <w:r w:rsidRPr="001357D3">
        <w:rPr>
          <w:noProof/>
        </w:rPr>
        <w:t>orytetami UE. Na przykład UE powinna nadal wspierać szkolenia transgraniczne</w:t>
      </w:r>
      <w:r w:rsidR="001C6403" w:rsidRPr="001357D3">
        <w:rPr>
          <w:noProof/>
        </w:rPr>
        <w:t xml:space="preserve"> w</w:t>
      </w:r>
      <w:r w:rsidR="001C6403">
        <w:rPr>
          <w:noProof/>
        </w:rPr>
        <w:t> </w:t>
      </w:r>
      <w:r w:rsidR="001C6403" w:rsidRPr="001357D3">
        <w:rPr>
          <w:noProof/>
        </w:rPr>
        <w:t>zak</w:t>
      </w:r>
      <w:r w:rsidRPr="001357D3">
        <w:rPr>
          <w:noProof/>
        </w:rPr>
        <w:t>resie prawa Unii oraz wymianę pracowników wymiaru sprawiedliwości. Jest to nie tylko zobowiązanie wynikające</w:t>
      </w:r>
      <w:r w:rsidR="001C6403" w:rsidRPr="001357D3">
        <w:rPr>
          <w:noProof/>
        </w:rPr>
        <w:t xml:space="preserve"> z</w:t>
      </w:r>
      <w:r w:rsidR="001C6403">
        <w:rPr>
          <w:noProof/>
        </w:rPr>
        <w:t> </w:t>
      </w:r>
      <w:r w:rsidR="001C6403" w:rsidRPr="001357D3">
        <w:rPr>
          <w:noProof/>
        </w:rPr>
        <w:t>Tra</w:t>
      </w:r>
      <w:r w:rsidRPr="001357D3">
        <w:rPr>
          <w:noProof/>
        </w:rPr>
        <w:t>ktatu, lecz również element niezbędny do sprostania wspólnym wyzwaniom transnarodowym, wyposażenia pracowników wymiaru sprawiedliwości</w:t>
      </w:r>
      <w:r w:rsidR="001C6403" w:rsidRPr="001357D3">
        <w:rPr>
          <w:noProof/>
        </w:rPr>
        <w:t xml:space="preserve"> w</w:t>
      </w:r>
      <w:r w:rsidR="001C6403">
        <w:rPr>
          <w:noProof/>
        </w:rPr>
        <w:t> </w:t>
      </w:r>
      <w:r w:rsidR="001C6403" w:rsidRPr="001357D3">
        <w:rPr>
          <w:noProof/>
        </w:rPr>
        <w:t>odp</w:t>
      </w:r>
      <w:r w:rsidRPr="001357D3">
        <w:rPr>
          <w:noProof/>
        </w:rPr>
        <w:t>owiednie umiejętności</w:t>
      </w:r>
      <w:r w:rsidR="001C6403" w:rsidRPr="001357D3">
        <w:rPr>
          <w:noProof/>
        </w:rPr>
        <w:t xml:space="preserve"> i</w:t>
      </w:r>
      <w:r w:rsidR="001C6403">
        <w:rPr>
          <w:noProof/>
        </w:rPr>
        <w:t> </w:t>
      </w:r>
      <w:r w:rsidR="001C6403" w:rsidRPr="001357D3">
        <w:rPr>
          <w:noProof/>
        </w:rPr>
        <w:t>wzm</w:t>
      </w:r>
      <w:r w:rsidRPr="001357D3">
        <w:rPr>
          <w:noProof/>
        </w:rPr>
        <w:t>acniania podstawowych wartości Unii.</w:t>
      </w:r>
    </w:p>
    <w:p w14:paraId="5ADE011C" w14:textId="2E7FDA5F" w:rsidR="002F5983" w:rsidRPr="001357D3" w:rsidRDefault="002F5983" w:rsidP="008A4B4E">
      <w:pPr>
        <w:spacing w:before="0"/>
        <w:rPr>
          <w:rFonts w:eastAsia="Times New Roman"/>
          <w:noProof/>
          <w:szCs w:val="24"/>
        </w:rPr>
      </w:pPr>
      <w:r w:rsidRPr="001357D3">
        <w:rPr>
          <w:noProof/>
        </w:rPr>
        <w:t>UE ma wyjątkową możliwość tworzenia transgranicznych możliwości dla pracowników wymiaru sprawiedliwości</w:t>
      </w:r>
      <w:r w:rsidR="001C6403" w:rsidRPr="001357D3">
        <w:rPr>
          <w:noProof/>
        </w:rPr>
        <w:t xml:space="preserve"> w</w:t>
      </w:r>
      <w:r w:rsidR="001C6403">
        <w:rPr>
          <w:noProof/>
        </w:rPr>
        <w:t> </w:t>
      </w:r>
      <w:r w:rsidR="001C6403" w:rsidRPr="001357D3">
        <w:rPr>
          <w:noProof/>
        </w:rPr>
        <w:t>zak</w:t>
      </w:r>
      <w:r w:rsidRPr="001357D3">
        <w:rPr>
          <w:noProof/>
        </w:rPr>
        <w:t>resie nawiązywania kontaktów, rozwoju oraz wnoszenia wkładu we wspólną kulturę prawną. Powinna zatem nadal propagować współpracę transnarodową, podnoszenie świadomości</w:t>
      </w:r>
      <w:r w:rsidR="001C6403" w:rsidRPr="001357D3">
        <w:rPr>
          <w:noProof/>
        </w:rPr>
        <w:t xml:space="preserve"> i</w:t>
      </w:r>
      <w:r w:rsidR="001C6403">
        <w:rPr>
          <w:noProof/>
        </w:rPr>
        <w:t> </w:t>
      </w:r>
      <w:r w:rsidR="001C6403" w:rsidRPr="001357D3">
        <w:rPr>
          <w:noProof/>
        </w:rPr>
        <w:t>two</w:t>
      </w:r>
      <w:r w:rsidRPr="001357D3">
        <w:rPr>
          <w:noProof/>
        </w:rPr>
        <w:t>rzenie sieci kontaktów. Takie działania budują wzajemne zaufanie krajowych systemów wymiaru sprawiedliwości</w:t>
      </w:r>
      <w:r w:rsidR="001C6403" w:rsidRPr="001357D3">
        <w:rPr>
          <w:noProof/>
        </w:rPr>
        <w:t xml:space="preserve"> i</w:t>
      </w:r>
      <w:r w:rsidR="001C6403">
        <w:rPr>
          <w:noProof/>
        </w:rPr>
        <w:t> </w:t>
      </w:r>
      <w:r w:rsidR="001C6403" w:rsidRPr="001357D3">
        <w:rPr>
          <w:noProof/>
        </w:rPr>
        <w:t>pom</w:t>
      </w:r>
      <w:r w:rsidRPr="001357D3">
        <w:rPr>
          <w:noProof/>
        </w:rPr>
        <w:t>agają</w:t>
      </w:r>
      <w:r w:rsidR="001C6403" w:rsidRPr="001357D3">
        <w:rPr>
          <w:noProof/>
        </w:rPr>
        <w:t xml:space="preserve"> w</w:t>
      </w:r>
      <w:r w:rsidR="001C6403">
        <w:rPr>
          <w:noProof/>
        </w:rPr>
        <w:t> </w:t>
      </w:r>
      <w:r w:rsidR="001C6403" w:rsidRPr="001357D3">
        <w:rPr>
          <w:noProof/>
        </w:rPr>
        <w:t>gro</w:t>
      </w:r>
      <w:r w:rsidRPr="001357D3">
        <w:rPr>
          <w:noProof/>
        </w:rPr>
        <w:t>madzeniu danych porównawczych dotyczących ich jakości, niezależności</w:t>
      </w:r>
      <w:r w:rsidR="001C6403" w:rsidRPr="001357D3">
        <w:rPr>
          <w:noProof/>
        </w:rPr>
        <w:t xml:space="preserve"> i</w:t>
      </w:r>
      <w:r w:rsidR="001C6403">
        <w:rPr>
          <w:noProof/>
        </w:rPr>
        <w:t> </w:t>
      </w:r>
      <w:r w:rsidR="001C6403" w:rsidRPr="001357D3">
        <w:rPr>
          <w:noProof/>
        </w:rPr>
        <w:t>sku</w:t>
      </w:r>
      <w:r w:rsidRPr="001357D3">
        <w:rPr>
          <w:noProof/>
        </w:rPr>
        <w:t>teczności – czego poszczególne państwa członkowskie nie są</w:t>
      </w:r>
      <w:r w:rsidR="001C6403" w:rsidRPr="001357D3">
        <w:rPr>
          <w:noProof/>
        </w:rPr>
        <w:t xml:space="preserve"> w</w:t>
      </w:r>
      <w:r w:rsidR="001C6403">
        <w:rPr>
          <w:noProof/>
        </w:rPr>
        <w:t> </w:t>
      </w:r>
      <w:r w:rsidR="001C6403" w:rsidRPr="001357D3">
        <w:rPr>
          <w:noProof/>
        </w:rPr>
        <w:t>sta</w:t>
      </w:r>
      <w:r w:rsidRPr="001357D3">
        <w:rPr>
          <w:noProof/>
        </w:rPr>
        <w:t>nie osiągnąć samodzielnie.</w:t>
      </w:r>
    </w:p>
    <w:p w14:paraId="7006EFF6" w14:textId="28A86592" w:rsidR="002F5983" w:rsidRPr="001357D3" w:rsidRDefault="002F5983" w:rsidP="008A4B4E">
      <w:pPr>
        <w:spacing w:before="0"/>
        <w:rPr>
          <w:noProof/>
        </w:rPr>
      </w:pPr>
      <w:r w:rsidRPr="001357D3">
        <w:rPr>
          <w:noProof/>
        </w:rPr>
        <w:t>Działania podejmowane na szczeblu UE mają również kluczowe znaczenie</w:t>
      </w:r>
      <w:r w:rsidR="001C6403" w:rsidRPr="001357D3">
        <w:rPr>
          <w:noProof/>
        </w:rPr>
        <w:t xml:space="preserve"> w</w:t>
      </w:r>
      <w:r w:rsidR="001C6403">
        <w:rPr>
          <w:noProof/>
        </w:rPr>
        <w:t> </w:t>
      </w:r>
      <w:r w:rsidR="001C6403" w:rsidRPr="001357D3">
        <w:rPr>
          <w:noProof/>
        </w:rPr>
        <w:t>obs</w:t>
      </w:r>
      <w:r w:rsidRPr="001357D3">
        <w:rPr>
          <w:noProof/>
        </w:rPr>
        <w:t>zarach wymagających ścisłej koordynacji</w:t>
      </w:r>
      <w:r w:rsidR="001C6403" w:rsidRPr="001357D3">
        <w:rPr>
          <w:noProof/>
        </w:rPr>
        <w:t xml:space="preserve"> z</w:t>
      </w:r>
      <w:r w:rsidR="001C6403">
        <w:rPr>
          <w:noProof/>
        </w:rPr>
        <w:t> </w:t>
      </w:r>
      <w:r w:rsidR="001C6403" w:rsidRPr="001357D3">
        <w:rPr>
          <w:noProof/>
        </w:rPr>
        <w:t>pań</w:t>
      </w:r>
      <w:r w:rsidRPr="001357D3">
        <w:rPr>
          <w:noProof/>
        </w:rPr>
        <w:t>stwami członkowskimi służącej przestrzeganiu międzynarodowych standardów wymiaru sprawiedliwości, takich jak cele ONZ</w:t>
      </w:r>
      <w:r w:rsidR="001C6403" w:rsidRPr="001357D3">
        <w:rPr>
          <w:noProof/>
        </w:rPr>
        <w:t xml:space="preserve"> w</w:t>
      </w:r>
      <w:r w:rsidR="001C6403">
        <w:rPr>
          <w:noProof/>
        </w:rPr>
        <w:t> </w:t>
      </w:r>
      <w:r w:rsidR="001C6403" w:rsidRPr="001357D3">
        <w:rPr>
          <w:noProof/>
        </w:rPr>
        <w:t>zak</w:t>
      </w:r>
      <w:r w:rsidRPr="001357D3">
        <w:rPr>
          <w:noProof/>
        </w:rPr>
        <w:t>resie zrównoważonego rozwoju, oraz reprezentowaniu jednolitego stanowiska UE</w:t>
      </w:r>
      <w:r w:rsidR="001C6403" w:rsidRPr="001357D3">
        <w:rPr>
          <w:noProof/>
        </w:rPr>
        <w:t xml:space="preserve"> w</w:t>
      </w:r>
      <w:r w:rsidR="001C6403">
        <w:rPr>
          <w:noProof/>
        </w:rPr>
        <w:t> </w:t>
      </w:r>
      <w:r w:rsidR="001C6403" w:rsidRPr="001357D3">
        <w:rPr>
          <w:noProof/>
        </w:rPr>
        <w:t>klu</w:t>
      </w:r>
      <w:r w:rsidRPr="001357D3">
        <w:rPr>
          <w:noProof/>
        </w:rPr>
        <w:t>czowych kwestiach, takich jak prawa podstawowe</w:t>
      </w:r>
      <w:r w:rsidR="001C6403" w:rsidRPr="001357D3">
        <w:rPr>
          <w:noProof/>
        </w:rPr>
        <w:t xml:space="preserve"> w</w:t>
      </w:r>
      <w:r w:rsidR="001C6403">
        <w:rPr>
          <w:noProof/>
        </w:rPr>
        <w:t> </w:t>
      </w:r>
      <w:r w:rsidR="001C6403" w:rsidRPr="001357D3">
        <w:rPr>
          <w:noProof/>
        </w:rPr>
        <w:t>śro</w:t>
      </w:r>
      <w:r w:rsidRPr="001357D3">
        <w:rPr>
          <w:noProof/>
        </w:rPr>
        <w:t>dowisku cyfrowym</w:t>
      </w:r>
      <w:r w:rsidR="001C6403" w:rsidRPr="001357D3">
        <w:rPr>
          <w:noProof/>
        </w:rPr>
        <w:t xml:space="preserve"> i</w:t>
      </w:r>
      <w:r w:rsidR="001C6403">
        <w:rPr>
          <w:noProof/>
        </w:rPr>
        <w:t> </w:t>
      </w:r>
      <w:r w:rsidR="001C6403" w:rsidRPr="001357D3">
        <w:rPr>
          <w:noProof/>
        </w:rPr>
        <w:t>och</w:t>
      </w:r>
      <w:r w:rsidRPr="001357D3">
        <w:rPr>
          <w:noProof/>
        </w:rPr>
        <w:t>rona danych.</w:t>
      </w:r>
    </w:p>
    <w:p w14:paraId="7A315A4C" w14:textId="3E3FA924" w:rsidR="002F5983" w:rsidRPr="001357D3" w:rsidRDefault="00FB0E38" w:rsidP="008A4B4E">
      <w:pPr>
        <w:spacing w:before="0"/>
        <w:rPr>
          <w:rFonts w:eastAsia="Times New Roman"/>
          <w:noProof/>
          <w:szCs w:val="24"/>
        </w:rPr>
      </w:pPr>
      <w:r w:rsidRPr="001357D3">
        <w:rPr>
          <w:noProof/>
        </w:rPr>
        <w:t>I wreszcie, działania podejmowane na szczeblu UE mają zasadnicze znaczenie dla przyspieszenia reform wymiaru sprawiedliwości</w:t>
      </w:r>
      <w:r w:rsidR="001C6403" w:rsidRPr="001357D3">
        <w:rPr>
          <w:noProof/>
        </w:rPr>
        <w:t xml:space="preserve"> w</w:t>
      </w:r>
      <w:r w:rsidR="001C6403">
        <w:rPr>
          <w:noProof/>
        </w:rPr>
        <w:t> </w:t>
      </w:r>
      <w:r w:rsidR="001C6403" w:rsidRPr="001357D3">
        <w:rPr>
          <w:noProof/>
        </w:rPr>
        <w:t>kra</w:t>
      </w:r>
      <w:r w:rsidRPr="001357D3">
        <w:rPr>
          <w:noProof/>
        </w:rPr>
        <w:t>jach kandydujących</w:t>
      </w:r>
      <w:r w:rsidR="001C6403" w:rsidRPr="001357D3">
        <w:rPr>
          <w:noProof/>
        </w:rPr>
        <w:t xml:space="preserve"> w</w:t>
      </w:r>
      <w:r w:rsidR="001C6403">
        <w:rPr>
          <w:noProof/>
        </w:rPr>
        <w:t> </w:t>
      </w:r>
      <w:r w:rsidR="001C6403" w:rsidRPr="001357D3">
        <w:rPr>
          <w:noProof/>
        </w:rPr>
        <w:t>ram</w:t>
      </w:r>
      <w:r w:rsidRPr="001357D3">
        <w:rPr>
          <w:noProof/>
        </w:rPr>
        <w:t>ach procesu rozszerzenia, zwłaszcza</w:t>
      </w:r>
      <w:r w:rsidR="001C6403" w:rsidRPr="001357D3">
        <w:rPr>
          <w:noProof/>
        </w:rPr>
        <w:t xml:space="preserve"> w</w:t>
      </w:r>
      <w:r w:rsidR="001C6403">
        <w:rPr>
          <w:noProof/>
        </w:rPr>
        <w:t> </w:t>
      </w:r>
      <w:r w:rsidR="001C6403" w:rsidRPr="001357D3">
        <w:rPr>
          <w:noProof/>
        </w:rPr>
        <w:t>dzi</w:t>
      </w:r>
      <w:r w:rsidRPr="001357D3">
        <w:rPr>
          <w:noProof/>
        </w:rPr>
        <w:t>edzinie praworządności, niezależności sądownictwa</w:t>
      </w:r>
      <w:r w:rsidR="001C6403" w:rsidRPr="001357D3">
        <w:rPr>
          <w:noProof/>
        </w:rPr>
        <w:t xml:space="preserve"> i</w:t>
      </w:r>
      <w:r w:rsidR="001C6403">
        <w:rPr>
          <w:noProof/>
        </w:rPr>
        <w:t> </w:t>
      </w:r>
      <w:r w:rsidR="001C6403" w:rsidRPr="001357D3">
        <w:rPr>
          <w:noProof/>
        </w:rPr>
        <w:t>zwa</w:t>
      </w:r>
      <w:r w:rsidRPr="001357D3">
        <w:rPr>
          <w:noProof/>
        </w:rPr>
        <w:t>lczania korupcji. Działania te mają zasadnicze znaczenie dla ochrony unijnych standardów wymiaru sprawiedliwości, dokończenia budowy jednolitego rynku oraz wzmocnienia spójności</w:t>
      </w:r>
      <w:r w:rsidR="001C6403" w:rsidRPr="001357D3">
        <w:rPr>
          <w:noProof/>
        </w:rPr>
        <w:t xml:space="preserve"> i</w:t>
      </w:r>
      <w:r w:rsidR="001C6403">
        <w:rPr>
          <w:noProof/>
        </w:rPr>
        <w:t> </w:t>
      </w:r>
      <w:r w:rsidR="001C6403" w:rsidRPr="001357D3">
        <w:rPr>
          <w:noProof/>
        </w:rPr>
        <w:t>dob</w:t>
      </w:r>
      <w:r w:rsidRPr="001357D3">
        <w:rPr>
          <w:noProof/>
        </w:rPr>
        <w:t>robytu UE.</w:t>
      </w:r>
    </w:p>
    <w:p w14:paraId="575B94A8" w14:textId="2BE6EE38" w:rsidR="6D55159E" w:rsidRPr="001357D3" w:rsidRDefault="6D55159E" w:rsidP="008A4B4E">
      <w:pPr>
        <w:spacing w:before="0"/>
        <w:rPr>
          <w:rFonts w:eastAsia="Times New Roman"/>
          <w:noProof/>
          <w:szCs w:val="24"/>
        </w:rPr>
      </w:pPr>
      <w:r w:rsidRPr="001357D3">
        <w:rPr>
          <w:noProof/>
        </w:rPr>
        <w:t>Niezależnie od potrzeby podjęcia działań na szczeblu UE, dużą wartość dodaną mają również środki UE, ponieważ to właśnie UE jest najlepiej predysponowana do zapewnienia, aby systemy wymiaru sprawiedliwości</w:t>
      </w:r>
      <w:r w:rsidR="001C6403" w:rsidRPr="001357D3">
        <w:rPr>
          <w:noProof/>
        </w:rPr>
        <w:t xml:space="preserve"> w</w:t>
      </w:r>
      <w:r w:rsidR="001C6403">
        <w:rPr>
          <w:noProof/>
        </w:rPr>
        <w:t> </w:t>
      </w:r>
      <w:r w:rsidR="001C6403" w:rsidRPr="001357D3">
        <w:rPr>
          <w:noProof/>
        </w:rPr>
        <w:t>cał</w:t>
      </w:r>
      <w:r w:rsidRPr="001357D3">
        <w:rPr>
          <w:noProof/>
        </w:rPr>
        <w:t>ej Unii mogły funkcjonować</w:t>
      </w:r>
      <w:r w:rsidR="001C6403" w:rsidRPr="001357D3">
        <w:rPr>
          <w:noProof/>
        </w:rPr>
        <w:t xml:space="preserve"> w</w:t>
      </w:r>
      <w:r w:rsidR="001C6403">
        <w:rPr>
          <w:noProof/>
        </w:rPr>
        <w:t> </w:t>
      </w:r>
      <w:r w:rsidR="001C6403" w:rsidRPr="001357D3">
        <w:rPr>
          <w:noProof/>
        </w:rPr>
        <w:t>zha</w:t>
      </w:r>
      <w:r w:rsidRPr="001357D3">
        <w:rPr>
          <w:noProof/>
        </w:rPr>
        <w:t>rmonizowany sposób. Podjęcie działania przez UE ma rzeczywistą wartość dodaną</w:t>
      </w:r>
      <w:r w:rsidR="001C6403" w:rsidRPr="001357D3">
        <w:rPr>
          <w:noProof/>
        </w:rPr>
        <w:t xml:space="preserve"> z</w:t>
      </w:r>
      <w:r w:rsidR="001C6403">
        <w:rPr>
          <w:noProof/>
        </w:rPr>
        <w:t> </w:t>
      </w:r>
      <w:r w:rsidR="001C6403" w:rsidRPr="001357D3">
        <w:rPr>
          <w:noProof/>
        </w:rPr>
        <w:t>pun</w:t>
      </w:r>
      <w:r w:rsidRPr="001357D3">
        <w:rPr>
          <w:noProof/>
        </w:rPr>
        <w:t>ktu widzenia szkolenia unijnych kadr wymiaru sprawiedliwości, ponieważ przekazanie tej odpowiedzialności na poziom krajowy doprowadziłoby do niespójnego rozumienia</w:t>
      </w:r>
      <w:r w:rsidR="001C6403" w:rsidRPr="001357D3">
        <w:rPr>
          <w:noProof/>
        </w:rPr>
        <w:t xml:space="preserve"> i</w:t>
      </w:r>
      <w:r w:rsidR="001C6403">
        <w:rPr>
          <w:noProof/>
        </w:rPr>
        <w:t> </w:t>
      </w:r>
      <w:r w:rsidR="001C6403" w:rsidRPr="001357D3">
        <w:rPr>
          <w:noProof/>
        </w:rPr>
        <w:t>wdr</w:t>
      </w:r>
      <w:r w:rsidRPr="001357D3">
        <w:rPr>
          <w:noProof/>
        </w:rPr>
        <w:t>ażania prawa Unii we wszystkich państwach członkowskich. Miałoby to negatywny wpływ na ogólną zdolność podmiotów krajowych do wdrażania polityki</w:t>
      </w:r>
      <w:r w:rsidR="001C6403" w:rsidRPr="001357D3">
        <w:rPr>
          <w:noProof/>
        </w:rPr>
        <w:t xml:space="preserve"> i</w:t>
      </w:r>
      <w:r w:rsidR="001C6403">
        <w:rPr>
          <w:noProof/>
        </w:rPr>
        <w:t> </w:t>
      </w:r>
      <w:r w:rsidR="001C6403" w:rsidRPr="001357D3">
        <w:rPr>
          <w:noProof/>
        </w:rPr>
        <w:t>prz</w:t>
      </w:r>
      <w:r w:rsidRPr="001357D3">
        <w:rPr>
          <w:noProof/>
        </w:rPr>
        <w:t xml:space="preserve">episów prawa UE, rozwiązywania problemów transgranicznych oraz na rozwój ponadnarodowych </w:t>
      </w:r>
      <w:r w:rsidRPr="001357D3">
        <w:rPr>
          <w:noProof/>
        </w:rPr>
        <w:lastRenderedPageBreak/>
        <w:t>projektów wielokrajowych. Działania UE</w:t>
      </w:r>
      <w:r w:rsidR="001C6403" w:rsidRPr="001357D3">
        <w:rPr>
          <w:noProof/>
        </w:rPr>
        <w:t xml:space="preserve"> w</w:t>
      </w:r>
      <w:r w:rsidR="001C6403">
        <w:rPr>
          <w:noProof/>
        </w:rPr>
        <w:t> </w:t>
      </w:r>
      <w:r w:rsidR="001C6403" w:rsidRPr="001357D3">
        <w:rPr>
          <w:noProof/>
        </w:rPr>
        <w:t>zak</w:t>
      </w:r>
      <w:r w:rsidRPr="001357D3">
        <w:rPr>
          <w:noProof/>
        </w:rPr>
        <w:t>resie polityki</w:t>
      </w:r>
      <w:r w:rsidR="001C6403" w:rsidRPr="001357D3">
        <w:rPr>
          <w:noProof/>
        </w:rPr>
        <w:t xml:space="preserve"> w</w:t>
      </w:r>
      <w:r w:rsidR="001C6403">
        <w:rPr>
          <w:noProof/>
        </w:rPr>
        <w:t> </w:t>
      </w:r>
      <w:r w:rsidR="001C6403" w:rsidRPr="001357D3">
        <w:rPr>
          <w:noProof/>
        </w:rPr>
        <w:t>dzi</w:t>
      </w:r>
      <w:r w:rsidRPr="001357D3">
        <w:rPr>
          <w:noProof/>
        </w:rPr>
        <w:t>edzinie wymiaru sprawiedliwości przyczyniają się do pobudzenia jednolitego rynku</w:t>
      </w:r>
      <w:r w:rsidR="001C6403" w:rsidRPr="001357D3">
        <w:rPr>
          <w:noProof/>
        </w:rPr>
        <w:t xml:space="preserve"> i</w:t>
      </w:r>
      <w:r w:rsidR="001C6403">
        <w:rPr>
          <w:noProof/>
        </w:rPr>
        <w:t> </w:t>
      </w:r>
      <w:r w:rsidR="001C6403" w:rsidRPr="001357D3">
        <w:rPr>
          <w:noProof/>
        </w:rPr>
        <w:t>pop</w:t>
      </w:r>
      <w:r w:rsidRPr="001357D3">
        <w:rPr>
          <w:noProof/>
        </w:rPr>
        <w:t>rawy konkurencyjności. Kompleksowe</w:t>
      </w:r>
      <w:r w:rsidR="001C6403" w:rsidRPr="001357D3">
        <w:rPr>
          <w:noProof/>
        </w:rPr>
        <w:t xml:space="preserve"> i</w:t>
      </w:r>
      <w:r w:rsidR="001C6403">
        <w:rPr>
          <w:noProof/>
        </w:rPr>
        <w:t> </w:t>
      </w:r>
      <w:r w:rsidR="001C6403" w:rsidRPr="001357D3">
        <w:rPr>
          <w:noProof/>
        </w:rPr>
        <w:t>zha</w:t>
      </w:r>
      <w:r w:rsidRPr="001357D3">
        <w:rPr>
          <w:noProof/>
        </w:rPr>
        <w:t>rmonizowane ramy wymiaru sprawiedliwości we wszystkich państwach członkowskich zmniejszają niepewność prawa</w:t>
      </w:r>
      <w:r w:rsidR="001C6403" w:rsidRPr="001357D3">
        <w:rPr>
          <w:noProof/>
        </w:rPr>
        <w:t xml:space="preserve"> i</w:t>
      </w:r>
      <w:r w:rsidR="001C6403">
        <w:rPr>
          <w:noProof/>
        </w:rPr>
        <w:t> </w:t>
      </w:r>
      <w:r w:rsidR="001C6403" w:rsidRPr="001357D3">
        <w:rPr>
          <w:noProof/>
        </w:rPr>
        <w:t>eli</w:t>
      </w:r>
      <w:r w:rsidRPr="001357D3">
        <w:rPr>
          <w:noProof/>
        </w:rPr>
        <w:t>minują niespójności prawne, ułatwiając tym samym sprawniejszą realizację transgranicznych operacji</w:t>
      </w:r>
      <w:r w:rsidR="001C6403" w:rsidRPr="001357D3">
        <w:rPr>
          <w:noProof/>
        </w:rPr>
        <w:t xml:space="preserve"> i</w:t>
      </w:r>
      <w:r w:rsidR="001C6403">
        <w:rPr>
          <w:noProof/>
        </w:rPr>
        <w:t> </w:t>
      </w:r>
      <w:r w:rsidR="001C6403" w:rsidRPr="001357D3">
        <w:rPr>
          <w:noProof/>
        </w:rPr>
        <w:t>inw</w:t>
      </w:r>
      <w:r w:rsidRPr="001357D3">
        <w:rPr>
          <w:noProof/>
        </w:rPr>
        <w:t>estycji biznesowych. Przewidywalne egzekwowanie przepisów, spójna ochrona praw własności intelektualnej oraz skuteczne mechanizmy rozstrzygania sporów mają kluczowe znaczenie dla utrzymania zaufania inwestorów oraz wspierania przedsiębiorczości</w:t>
      </w:r>
      <w:r w:rsidR="001C6403" w:rsidRPr="001357D3">
        <w:rPr>
          <w:noProof/>
        </w:rPr>
        <w:t xml:space="preserve"> i</w:t>
      </w:r>
      <w:r w:rsidR="001C6403">
        <w:rPr>
          <w:noProof/>
        </w:rPr>
        <w:t> </w:t>
      </w:r>
      <w:r w:rsidR="001C6403" w:rsidRPr="001357D3">
        <w:rPr>
          <w:noProof/>
        </w:rPr>
        <w:t>inn</w:t>
      </w:r>
      <w:r w:rsidRPr="001357D3">
        <w:rPr>
          <w:noProof/>
        </w:rPr>
        <w:t>owacji. Ustanawiając jasne standardy prawne</w:t>
      </w:r>
      <w:r w:rsidR="001C6403" w:rsidRPr="001357D3">
        <w:rPr>
          <w:noProof/>
        </w:rPr>
        <w:t xml:space="preserve"> i</w:t>
      </w:r>
      <w:r w:rsidR="001C6403">
        <w:rPr>
          <w:noProof/>
        </w:rPr>
        <w:t> </w:t>
      </w:r>
      <w:r w:rsidR="001C6403" w:rsidRPr="001357D3">
        <w:rPr>
          <w:noProof/>
        </w:rPr>
        <w:t>zap</w:t>
      </w:r>
      <w:r w:rsidRPr="001357D3">
        <w:rPr>
          <w:noProof/>
        </w:rPr>
        <w:t>ewniając ich jednolite stosowanie, UE pomaga przedsiębiorstwom skutecznie działać, zmniejsza koszty transakcji oraz zwiększa ogólną atrakcyjność jednolitego rynku. Ta przewidywalność prawa wzmacnia również uczciwą konkurencję, zapewniając przedsiębiorstwom równe warunki, niezależnie od ich kraju pochodzenia w UE, wspierając tym samym stabilność gospodarczą</w:t>
      </w:r>
      <w:r w:rsidR="001C6403" w:rsidRPr="001357D3">
        <w:rPr>
          <w:noProof/>
        </w:rPr>
        <w:t xml:space="preserve"> i</w:t>
      </w:r>
      <w:r w:rsidR="001C6403">
        <w:rPr>
          <w:noProof/>
        </w:rPr>
        <w:t> </w:t>
      </w:r>
      <w:r w:rsidR="001C6403" w:rsidRPr="001357D3">
        <w:rPr>
          <w:noProof/>
        </w:rPr>
        <w:t>zró</w:t>
      </w:r>
      <w:r w:rsidRPr="001357D3">
        <w:rPr>
          <w:noProof/>
        </w:rPr>
        <w:t>wnoważony wzrost gospodarczy.</w:t>
      </w:r>
    </w:p>
    <w:p w14:paraId="00377F34" w14:textId="5420F395" w:rsidR="00C5603D" w:rsidRPr="001357D3" w:rsidRDefault="00C5603D" w:rsidP="008A4B4E">
      <w:pPr>
        <w:pStyle w:val="Listapunktowana"/>
        <w:spacing w:before="0"/>
        <w:contextualSpacing w:val="0"/>
        <w:rPr>
          <w:b/>
          <w:bCs/>
          <w:noProof/>
          <w:bdr w:val="nil"/>
        </w:rPr>
      </w:pPr>
      <w:bookmarkStart w:id="13" w:name="_Toc205221090"/>
      <w:r w:rsidRPr="001357D3">
        <w:rPr>
          <w:b/>
          <w:noProof/>
          <w:bdr w:val="nil"/>
        </w:rPr>
        <w:t>Proporcjonalność</w:t>
      </w:r>
      <w:bookmarkEnd w:id="13"/>
    </w:p>
    <w:p w14:paraId="72056C91" w14:textId="56CAE845" w:rsidR="6CEBDDDD" w:rsidRPr="001357D3" w:rsidRDefault="1D6AA61B" w:rsidP="008A4B4E">
      <w:pPr>
        <w:spacing w:before="0"/>
        <w:rPr>
          <w:rFonts w:eastAsia="Times New Roman"/>
          <w:noProof/>
        </w:rPr>
      </w:pPr>
      <w:r w:rsidRPr="001357D3">
        <w:rPr>
          <w:noProof/>
        </w:rPr>
        <w:t>Wniosek ogranicza się do minimum wymaganego do osiągnięcia wyznaczonego celu na szczeblu Unii.</w:t>
      </w:r>
    </w:p>
    <w:p w14:paraId="00377F36" w14:textId="17D7EDC3" w:rsidR="00C5603D" w:rsidRPr="001357D3" w:rsidRDefault="00C5603D" w:rsidP="008A4B4E">
      <w:pPr>
        <w:pStyle w:val="Listapunktowana"/>
        <w:spacing w:before="0"/>
        <w:contextualSpacing w:val="0"/>
        <w:rPr>
          <w:b/>
          <w:bCs/>
          <w:noProof/>
          <w:bdr w:val="nil"/>
        </w:rPr>
      </w:pPr>
      <w:bookmarkStart w:id="14" w:name="_Toc205221091"/>
      <w:r w:rsidRPr="001357D3">
        <w:rPr>
          <w:b/>
          <w:noProof/>
          <w:bdr w:val="nil"/>
        </w:rPr>
        <w:t>Wybór instrumentu</w:t>
      </w:r>
      <w:bookmarkEnd w:id="14"/>
    </w:p>
    <w:p w14:paraId="6FFE12B3" w14:textId="50B77BAE" w:rsidR="000E6C20" w:rsidRPr="001357D3" w:rsidRDefault="000E6C20" w:rsidP="008A4B4E">
      <w:pPr>
        <w:spacing w:before="0"/>
        <w:rPr>
          <w:noProof/>
        </w:rPr>
      </w:pPr>
      <w:r w:rsidRPr="001357D3">
        <w:rPr>
          <w:noProof/>
        </w:rPr>
        <w:t>Nowy program „Sprawiedliwość” na lata 2028–2034 opiera się przede wszystkim na programie „Sprawiedliwość” na lata 2021–2027. Najwłaściwszym instrumentem do wdrożenia proponowanych ram jest rozporządzenie.</w:t>
      </w:r>
    </w:p>
    <w:p w14:paraId="00377F39" w14:textId="5AF1C5E9" w:rsidR="00C5603D" w:rsidRPr="001357D3" w:rsidRDefault="000D4BE4" w:rsidP="000D4BE4">
      <w:pPr>
        <w:pStyle w:val="ManualHeading1"/>
        <w:rPr>
          <w:noProof/>
        </w:rPr>
      </w:pPr>
      <w:bookmarkStart w:id="15" w:name="_Toc205221092"/>
      <w:bookmarkStart w:id="16" w:name="_Toc210923248"/>
      <w:r w:rsidRPr="000D4BE4">
        <w:rPr>
          <w:noProof/>
        </w:rPr>
        <w:t>3.</w:t>
      </w:r>
      <w:r w:rsidRPr="000D4BE4">
        <w:rPr>
          <w:noProof/>
        </w:rPr>
        <w:tab/>
      </w:r>
      <w:r w:rsidR="00C5603D" w:rsidRPr="001357D3">
        <w:rPr>
          <w:noProof/>
        </w:rPr>
        <w:t>WYNIKI OCEN RETROSPEKTYWNYCH, KONSULTACJI Z ZAINTERESOWANYMI STRONAMI I OCEN SKUTKÓW</w:t>
      </w:r>
      <w:bookmarkEnd w:id="15"/>
      <w:bookmarkEnd w:id="16"/>
    </w:p>
    <w:p w14:paraId="00377F3A" w14:textId="58A1987D" w:rsidR="00C5603D" w:rsidRPr="001357D3" w:rsidRDefault="00001E83" w:rsidP="008A4B4E">
      <w:pPr>
        <w:pStyle w:val="Listapunktowana"/>
        <w:spacing w:before="0"/>
        <w:contextualSpacing w:val="0"/>
        <w:rPr>
          <w:b/>
          <w:bCs/>
          <w:noProof/>
          <w:bdr w:val="nil"/>
        </w:rPr>
      </w:pPr>
      <w:bookmarkStart w:id="17" w:name="_Toc205221093"/>
      <w:bookmarkStart w:id="18" w:name="_Hlk205116877"/>
      <w:r w:rsidRPr="001357D3">
        <w:rPr>
          <w:b/>
          <w:noProof/>
          <w:bdr w:val="nil"/>
        </w:rPr>
        <w:t>Oceny retrospektywne/oceny adekwatności obowiązującego prawodawstwa</w:t>
      </w:r>
      <w:bookmarkEnd w:id="17"/>
    </w:p>
    <w:p w14:paraId="2983FD43" w14:textId="03C7AAD3" w:rsidR="4085B29D" w:rsidRPr="001357D3" w:rsidRDefault="11A14E0B" w:rsidP="008A4B4E">
      <w:pPr>
        <w:spacing w:before="0"/>
        <w:rPr>
          <w:rFonts w:eastAsia="Times New Roman"/>
          <w:noProof/>
        </w:rPr>
      </w:pPr>
      <w:r w:rsidRPr="001357D3">
        <w:rPr>
          <w:noProof/>
        </w:rPr>
        <w:t>W ocenie śródokresowej programu „Sprawiedliwość” na lata 2021–2027 podkreślono, że działania finansowane</w:t>
      </w:r>
      <w:r w:rsidR="001C6403" w:rsidRPr="001357D3">
        <w:rPr>
          <w:noProof/>
        </w:rPr>
        <w:t xml:space="preserve"> w</w:t>
      </w:r>
      <w:r w:rsidR="001C6403">
        <w:rPr>
          <w:noProof/>
        </w:rPr>
        <w:t> </w:t>
      </w:r>
      <w:r w:rsidR="001C6403" w:rsidRPr="001357D3">
        <w:rPr>
          <w:noProof/>
        </w:rPr>
        <w:t>ram</w:t>
      </w:r>
      <w:r w:rsidRPr="001357D3">
        <w:rPr>
          <w:noProof/>
        </w:rPr>
        <w:t>ach programu są spójne</w:t>
      </w:r>
      <w:r w:rsidR="001C6403" w:rsidRPr="001357D3">
        <w:rPr>
          <w:noProof/>
        </w:rPr>
        <w:t xml:space="preserve"> z</w:t>
      </w:r>
      <w:r w:rsidR="001C6403">
        <w:rPr>
          <w:noProof/>
        </w:rPr>
        <w:t> </w:t>
      </w:r>
      <w:r w:rsidR="001C6403" w:rsidRPr="001357D3">
        <w:rPr>
          <w:noProof/>
        </w:rPr>
        <w:t>pol</w:t>
      </w:r>
      <w:r w:rsidRPr="001357D3">
        <w:rPr>
          <w:noProof/>
        </w:rPr>
        <w:t>itykami</w:t>
      </w:r>
      <w:r w:rsidR="001C6403" w:rsidRPr="001357D3">
        <w:rPr>
          <w:noProof/>
        </w:rPr>
        <w:t xml:space="preserve"> i</w:t>
      </w:r>
      <w:r w:rsidR="001C6403">
        <w:rPr>
          <w:noProof/>
        </w:rPr>
        <w:t> </w:t>
      </w:r>
      <w:r w:rsidR="001C6403" w:rsidRPr="001357D3">
        <w:rPr>
          <w:noProof/>
        </w:rPr>
        <w:t>pri</w:t>
      </w:r>
      <w:r w:rsidRPr="001357D3">
        <w:rPr>
          <w:noProof/>
        </w:rPr>
        <w:t>orytetami na szczeblu unijnym</w:t>
      </w:r>
      <w:r w:rsidR="001C6403" w:rsidRPr="001357D3">
        <w:rPr>
          <w:noProof/>
        </w:rPr>
        <w:t xml:space="preserve"> i</w:t>
      </w:r>
      <w:r w:rsidR="001C6403">
        <w:rPr>
          <w:noProof/>
        </w:rPr>
        <w:t> </w:t>
      </w:r>
      <w:r w:rsidR="001C6403" w:rsidRPr="001357D3">
        <w:rPr>
          <w:noProof/>
        </w:rPr>
        <w:t>kra</w:t>
      </w:r>
      <w:r w:rsidRPr="001357D3">
        <w:rPr>
          <w:noProof/>
        </w:rPr>
        <w:t>jowym, dostosowane do innych unijnych instrumentów finansowania oraz zgodne</w:t>
      </w:r>
      <w:r w:rsidR="001C6403" w:rsidRPr="001357D3">
        <w:rPr>
          <w:noProof/>
        </w:rPr>
        <w:t xml:space="preserve"> z</w:t>
      </w:r>
      <w:r w:rsidR="001C6403">
        <w:rPr>
          <w:noProof/>
        </w:rPr>
        <w:t> </w:t>
      </w:r>
      <w:r w:rsidR="001C6403" w:rsidRPr="001357D3">
        <w:rPr>
          <w:noProof/>
        </w:rPr>
        <w:t>mię</w:t>
      </w:r>
      <w:r w:rsidRPr="001357D3">
        <w:rPr>
          <w:noProof/>
        </w:rPr>
        <w:t>dzynarodowymi zobowiązaniami</w:t>
      </w:r>
      <w:r w:rsidR="001C6403" w:rsidRPr="001357D3">
        <w:rPr>
          <w:noProof/>
        </w:rPr>
        <w:t xml:space="preserve"> i</w:t>
      </w:r>
      <w:r w:rsidR="001C6403">
        <w:rPr>
          <w:noProof/>
        </w:rPr>
        <w:t> </w:t>
      </w:r>
      <w:r w:rsidR="001C6403" w:rsidRPr="001357D3">
        <w:rPr>
          <w:noProof/>
        </w:rPr>
        <w:t>cel</w:t>
      </w:r>
      <w:r w:rsidRPr="001357D3">
        <w:rPr>
          <w:noProof/>
        </w:rPr>
        <w:t>ami, takimi jak cele zrównoważonego rozwoju (SDG)</w:t>
      </w:r>
      <w:r w:rsidRPr="001357D3">
        <w:rPr>
          <w:rStyle w:val="Odwoanieprzypisudolnego"/>
          <w:rFonts w:eastAsia="Times New Roman"/>
          <w:noProof/>
        </w:rPr>
        <w:footnoteReference w:id="29"/>
      </w:r>
      <w:r w:rsidRPr="001357D3">
        <w:rPr>
          <w:noProof/>
        </w:rPr>
        <w:t>. Usprawniona struktura programu na lata 2021–2027 pozwala na wywarcie większego wpływu oraz na zastosowanie bardziej ukierunkowanego podejścia</w:t>
      </w:r>
      <w:r w:rsidR="001C6403" w:rsidRPr="001357D3">
        <w:rPr>
          <w:noProof/>
        </w:rPr>
        <w:t xml:space="preserve"> w</w:t>
      </w:r>
      <w:r w:rsidR="001C6403">
        <w:rPr>
          <w:noProof/>
        </w:rPr>
        <w:t> </w:t>
      </w:r>
      <w:r w:rsidR="001C6403" w:rsidRPr="001357D3">
        <w:rPr>
          <w:noProof/>
        </w:rPr>
        <w:t>klu</w:t>
      </w:r>
      <w:r w:rsidRPr="001357D3">
        <w:rPr>
          <w:noProof/>
        </w:rPr>
        <w:t>czowych obszarach</w:t>
      </w:r>
      <w:r w:rsidR="001C6403" w:rsidRPr="001357D3">
        <w:rPr>
          <w:noProof/>
        </w:rPr>
        <w:t xml:space="preserve"> w</w:t>
      </w:r>
      <w:r w:rsidR="001C6403">
        <w:rPr>
          <w:noProof/>
        </w:rPr>
        <w:t> </w:t>
      </w:r>
      <w:r w:rsidR="001C6403" w:rsidRPr="001357D3">
        <w:rPr>
          <w:noProof/>
        </w:rPr>
        <w:t>por</w:t>
      </w:r>
      <w:r w:rsidRPr="001357D3">
        <w:rPr>
          <w:noProof/>
        </w:rPr>
        <w:t>ównaniu</w:t>
      </w:r>
      <w:r w:rsidR="001C6403" w:rsidRPr="001357D3">
        <w:rPr>
          <w:noProof/>
        </w:rPr>
        <w:t xml:space="preserve"> z</w:t>
      </w:r>
      <w:r w:rsidR="001C6403">
        <w:rPr>
          <w:noProof/>
        </w:rPr>
        <w:t> </w:t>
      </w:r>
      <w:r w:rsidR="001C6403" w:rsidRPr="001357D3">
        <w:rPr>
          <w:noProof/>
        </w:rPr>
        <w:t>pop</w:t>
      </w:r>
      <w:r w:rsidRPr="001357D3">
        <w:rPr>
          <w:noProof/>
        </w:rPr>
        <w:t>rzednim programem na lata 2014–2020</w:t>
      </w:r>
      <w:r w:rsidR="001C6403" w:rsidRPr="001357D3">
        <w:rPr>
          <w:noProof/>
        </w:rPr>
        <w:t>. W</w:t>
      </w:r>
      <w:r w:rsidR="001C6403">
        <w:rPr>
          <w:noProof/>
        </w:rPr>
        <w:t> </w:t>
      </w:r>
      <w:r w:rsidR="001C6403" w:rsidRPr="001357D3">
        <w:rPr>
          <w:noProof/>
        </w:rPr>
        <w:t>szc</w:t>
      </w:r>
      <w:r w:rsidRPr="001357D3">
        <w:rPr>
          <w:noProof/>
        </w:rPr>
        <w:t>zególności program „Sprawiedliwość” na lata 2021–2027 skutecznie przyczynia się do wspierania wzajemnego uznawania</w:t>
      </w:r>
      <w:r w:rsidR="001C6403" w:rsidRPr="001357D3">
        <w:rPr>
          <w:noProof/>
        </w:rPr>
        <w:t xml:space="preserve"> i</w:t>
      </w:r>
      <w:r w:rsidR="001C6403">
        <w:rPr>
          <w:noProof/>
        </w:rPr>
        <w:t> </w:t>
      </w:r>
      <w:r w:rsidR="001C6403" w:rsidRPr="001357D3">
        <w:rPr>
          <w:noProof/>
        </w:rPr>
        <w:t>wyk</w:t>
      </w:r>
      <w:r w:rsidRPr="001357D3">
        <w:rPr>
          <w:noProof/>
        </w:rPr>
        <w:t>onywania orzeczeń sądowych we wszystkich państwach członkowskich oraz do poprawy współpracy transgranicznej poprzez wywieranie długoterminowego wpływu</w:t>
      </w:r>
      <w:r w:rsidR="001C6403" w:rsidRPr="001357D3">
        <w:rPr>
          <w:noProof/>
        </w:rPr>
        <w:t xml:space="preserve"> w</w:t>
      </w:r>
      <w:r w:rsidR="001C6403">
        <w:rPr>
          <w:noProof/>
        </w:rPr>
        <w:t> </w:t>
      </w:r>
      <w:r w:rsidR="001C6403" w:rsidRPr="001357D3">
        <w:rPr>
          <w:noProof/>
        </w:rPr>
        <w:t>dro</w:t>
      </w:r>
      <w:r w:rsidRPr="001357D3">
        <w:rPr>
          <w:noProof/>
        </w:rPr>
        <w:t>dze dalszego rozwoju spójnej unijnej przestrzeni sprawiedliwości opartej na wzajemnym zaufaniu</w:t>
      </w:r>
      <w:r w:rsidR="001C6403" w:rsidRPr="001357D3">
        <w:rPr>
          <w:noProof/>
        </w:rPr>
        <w:t xml:space="preserve"> i</w:t>
      </w:r>
      <w:r w:rsidR="001C6403">
        <w:rPr>
          <w:noProof/>
        </w:rPr>
        <w:t> </w:t>
      </w:r>
      <w:r w:rsidR="001C6403" w:rsidRPr="001357D3">
        <w:rPr>
          <w:noProof/>
        </w:rPr>
        <w:t>wsp</w:t>
      </w:r>
      <w:r w:rsidRPr="001357D3">
        <w:rPr>
          <w:noProof/>
        </w:rPr>
        <w:t>ółpracy.</w:t>
      </w:r>
    </w:p>
    <w:bookmarkEnd w:id="18"/>
    <w:p w14:paraId="34AE6B0C" w14:textId="5ED4BCCC" w:rsidR="4085B29D" w:rsidRPr="001357D3" w:rsidRDefault="11A14E0B" w:rsidP="008A4B4E">
      <w:pPr>
        <w:spacing w:before="0"/>
        <w:rPr>
          <w:rFonts w:eastAsia="Times New Roman"/>
          <w:noProof/>
          <w:szCs w:val="24"/>
        </w:rPr>
      </w:pPr>
      <w:r w:rsidRPr="001357D3">
        <w:rPr>
          <w:noProof/>
        </w:rPr>
        <w:t>Bezpośrednie finansowanie beneficjentów przyniosło zaangażowanym grupom docelowym natychmiastowe</w:t>
      </w:r>
      <w:r w:rsidR="001C6403" w:rsidRPr="001357D3">
        <w:rPr>
          <w:noProof/>
        </w:rPr>
        <w:t xml:space="preserve"> i</w:t>
      </w:r>
      <w:r w:rsidR="001C6403">
        <w:rPr>
          <w:noProof/>
        </w:rPr>
        <w:t> </w:t>
      </w:r>
      <w:r w:rsidR="001C6403" w:rsidRPr="001357D3">
        <w:rPr>
          <w:noProof/>
        </w:rPr>
        <w:t>wym</w:t>
      </w:r>
      <w:r w:rsidRPr="001357D3">
        <w:rPr>
          <w:noProof/>
        </w:rPr>
        <w:t>ierne korzyści</w:t>
      </w:r>
      <w:r w:rsidR="001C6403" w:rsidRPr="001357D3">
        <w:rPr>
          <w:noProof/>
        </w:rPr>
        <w:t>. W</w:t>
      </w:r>
      <w:r w:rsidR="001C6403">
        <w:rPr>
          <w:noProof/>
        </w:rPr>
        <w:t> </w:t>
      </w:r>
      <w:r w:rsidR="001C6403" w:rsidRPr="001357D3">
        <w:rPr>
          <w:noProof/>
        </w:rPr>
        <w:t>szc</w:t>
      </w:r>
      <w:r w:rsidRPr="001357D3">
        <w:rPr>
          <w:noProof/>
        </w:rPr>
        <w:t>zególności finansowanie sieci UE, takich jak Europejska Sieć Szkolenia Kadr Wymiaru Sprawiedliwości (EJTN), ułatwia trwałą współpracę, budowanie zdolności</w:t>
      </w:r>
      <w:r w:rsidR="001C6403" w:rsidRPr="001357D3">
        <w:rPr>
          <w:noProof/>
        </w:rPr>
        <w:t xml:space="preserve"> i</w:t>
      </w:r>
      <w:r w:rsidR="001C6403">
        <w:rPr>
          <w:noProof/>
        </w:rPr>
        <w:t> </w:t>
      </w:r>
      <w:r w:rsidR="001C6403" w:rsidRPr="001357D3">
        <w:rPr>
          <w:noProof/>
        </w:rPr>
        <w:t>nie</w:t>
      </w:r>
      <w:r w:rsidRPr="001357D3">
        <w:rPr>
          <w:noProof/>
        </w:rPr>
        <w:t>przerwane</w:t>
      </w:r>
      <w:r w:rsidR="00AC1B68">
        <w:rPr>
          <w:noProof/>
        </w:rPr>
        <w:t>,</w:t>
      </w:r>
      <w:r w:rsidRPr="001357D3">
        <w:rPr>
          <w:noProof/>
        </w:rPr>
        <w:t xml:space="preserve"> charakteryzujące się wysokim poziomem zaangażowanie przedstawicieli zawodów prawniczych</w:t>
      </w:r>
      <w:r w:rsidR="001C6403" w:rsidRPr="001357D3">
        <w:rPr>
          <w:noProof/>
        </w:rPr>
        <w:t xml:space="preserve"> w</w:t>
      </w:r>
      <w:r w:rsidR="001C6403">
        <w:rPr>
          <w:noProof/>
        </w:rPr>
        <w:t> </w:t>
      </w:r>
      <w:r w:rsidR="001C6403" w:rsidRPr="001357D3">
        <w:rPr>
          <w:noProof/>
        </w:rPr>
        <w:t>cał</w:t>
      </w:r>
      <w:r w:rsidRPr="001357D3">
        <w:rPr>
          <w:noProof/>
        </w:rPr>
        <w:t>ej UE. Ponadto położenie</w:t>
      </w:r>
      <w:r w:rsidR="001C6403" w:rsidRPr="001357D3">
        <w:rPr>
          <w:noProof/>
        </w:rPr>
        <w:t xml:space="preserve"> w</w:t>
      </w:r>
      <w:r w:rsidR="001C6403">
        <w:rPr>
          <w:noProof/>
        </w:rPr>
        <w:t> </w:t>
      </w:r>
      <w:r w:rsidR="001C6403" w:rsidRPr="001357D3">
        <w:rPr>
          <w:noProof/>
        </w:rPr>
        <w:t>pro</w:t>
      </w:r>
      <w:r w:rsidRPr="001357D3">
        <w:rPr>
          <w:noProof/>
        </w:rPr>
        <w:t>gramie stałego nacisku na szkolenie kadr wymiaru sprawiedliwości</w:t>
      </w:r>
      <w:r w:rsidR="001C6403" w:rsidRPr="001357D3">
        <w:rPr>
          <w:noProof/>
        </w:rPr>
        <w:t xml:space="preserve"> w</w:t>
      </w:r>
      <w:r w:rsidR="001C6403">
        <w:rPr>
          <w:noProof/>
        </w:rPr>
        <w:t> </w:t>
      </w:r>
      <w:r w:rsidR="001C6403" w:rsidRPr="001357D3">
        <w:rPr>
          <w:noProof/>
        </w:rPr>
        <w:t>zna</w:t>
      </w:r>
      <w:r w:rsidRPr="001357D3">
        <w:rPr>
          <w:noProof/>
        </w:rPr>
        <w:t>cznym stopniu przyczynia się do ujednolicenia</w:t>
      </w:r>
      <w:r w:rsidR="001C6403" w:rsidRPr="001357D3">
        <w:rPr>
          <w:noProof/>
        </w:rPr>
        <w:t xml:space="preserve"> i</w:t>
      </w:r>
      <w:r w:rsidR="001C6403">
        <w:rPr>
          <w:noProof/>
        </w:rPr>
        <w:t> </w:t>
      </w:r>
      <w:r w:rsidR="001C6403" w:rsidRPr="001357D3">
        <w:rPr>
          <w:noProof/>
        </w:rPr>
        <w:t>roz</w:t>
      </w:r>
      <w:r w:rsidRPr="001357D3">
        <w:rPr>
          <w:noProof/>
        </w:rPr>
        <w:t xml:space="preserve">woju otoczenia prawnego UE. Program </w:t>
      </w:r>
      <w:r w:rsidRPr="001357D3">
        <w:rPr>
          <w:noProof/>
        </w:rPr>
        <w:lastRenderedPageBreak/>
        <w:t>„Sprawiedliwość” odgrywa kluczową rolę we wspieraniu wspólnej kultury prawnej, dzięki wyszkoleniu tysięcy sędziów, prawników</w:t>
      </w:r>
      <w:r w:rsidR="001C6403" w:rsidRPr="001357D3">
        <w:rPr>
          <w:noProof/>
        </w:rPr>
        <w:t xml:space="preserve"> i</w:t>
      </w:r>
      <w:r w:rsidR="001C6403">
        <w:rPr>
          <w:noProof/>
        </w:rPr>
        <w:t> </w:t>
      </w:r>
      <w:r w:rsidR="001C6403" w:rsidRPr="001357D3">
        <w:rPr>
          <w:noProof/>
        </w:rPr>
        <w:t>pra</w:t>
      </w:r>
      <w:r w:rsidRPr="001357D3">
        <w:rPr>
          <w:noProof/>
        </w:rPr>
        <w:t>cowników sądów oraz wspieraniu procesu wdrażania europejskiej strategii szkolenia kadr wymiaru sprawiedliwości na lata 2021–2024</w:t>
      </w:r>
      <w:r w:rsidRPr="001357D3">
        <w:rPr>
          <w:rStyle w:val="Odwoanieprzypisudolnego"/>
          <w:rFonts w:eastAsia="Times New Roman"/>
          <w:noProof/>
          <w:szCs w:val="24"/>
        </w:rPr>
        <w:footnoteReference w:id="30"/>
      </w:r>
      <w:r w:rsidRPr="001357D3">
        <w:rPr>
          <w:noProof/>
        </w:rPr>
        <w:t>. Ułatwiając wymianę najlepszych praktyk, program wzmacnia współpracę państw członkowskich. Tym samym program zapewnia, aby pracownicy wymiaru sprawiedliwości stosowali prawo Unii</w:t>
      </w:r>
      <w:r w:rsidR="001C6403" w:rsidRPr="001357D3">
        <w:rPr>
          <w:noProof/>
        </w:rPr>
        <w:t xml:space="preserve"> w</w:t>
      </w:r>
      <w:r w:rsidR="001C6403">
        <w:rPr>
          <w:noProof/>
        </w:rPr>
        <w:t> </w:t>
      </w:r>
      <w:r w:rsidR="001C6403" w:rsidRPr="001357D3">
        <w:rPr>
          <w:noProof/>
        </w:rPr>
        <w:t>jed</w:t>
      </w:r>
      <w:r w:rsidRPr="001357D3">
        <w:rPr>
          <w:noProof/>
        </w:rPr>
        <w:t>nolity, spójny</w:t>
      </w:r>
      <w:r w:rsidR="001C6403" w:rsidRPr="001357D3">
        <w:rPr>
          <w:noProof/>
        </w:rPr>
        <w:t xml:space="preserve"> i</w:t>
      </w:r>
      <w:r w:rsidR="001C6403">
        <w:rPr>
          <w:noProof/>
        </w:rPr>
        <w:t> </w:t>
      </w:r>
      <w:r w:rsidR="001C6403" w:rsidRPr="001357D3">
        <w:rPr>
          <w:noProof/>
        </w:rPr>
        <w:t>kon</w:t>
      </w:r>
      <w:r w:rsidRPr="001357D3">
        <w:rPr>
          <w:noProof/>
        </w:rPr>
        <w:t>sekwentny sposób ponad granicami, co przyczynia się do wzmocnienia integralności prawodawstwa UE.</w:t>
      </w:r>
    </w:p>
    <w:p w14:paraId="031A5555" w14:textId="4781BBC3" w:rsidR="4085B29D" w:rsidRPr="001357D3" w:rsidRDefault="6BD3D6AA" w:rsidP="008A4B4E">
      <w:pPr>
        <w:spacing w:before="0"/>
        <w:rPr>
          <w:rFonts w:eastAsia="Times New Roman"/>
          <w:noProof/>
        </w:rPr>
      </w:pPr>
      <w:r w:rsidRPr="001357D3">
        <w:rPr>
          <w:noProof/>
        </w:rPr>
        <w:t>Program na lata 2021–2027 opiera się na postępach osiągniętych</w:t>
      </w:r>
      <w:r w:rsidR="001C6403" w:rsidRPr="001357D3">
        <w:rPr>
          <w:noProof/>
        </w:rPr>
        <w:t xml:space="preserve"> w</w:t>
      </w:r>
      <w:r w:rsidR="001C6403">
        <w:rPr>
          <w:noProof/>
        </w:rPr>
        <w:t> </w:t>
      </w:r>
      <w:r w:rsidR="001C6403" w:rsidRPr="001357D3">
        <w:rPr>
          <w:noProof/>
        </w:rPr>
        <w:t>pop</w:t>
      </w:r>
      <w:r w:rsidRPr="001357D3">
        <w:rPr>
          <w:noProof/>
        </w:rPr>
        <w:t>rzednim okresie programowania (2014–2020), kontynuując ograniczanie barier</w:t>
      </w:r>
      <w:r w:rsidR="001C6403" w:rsidRPr="001357D3">
        <w:rPr>
          <w:noProof/>
        </w:rPr>
        <w:t xml:space="preserve"> w</w:t>
      </w:r>
      <w:r w:rsidR="001C6403">
        <w:rPr>
          <w:noProof/>
        </w:rPr>
        <w:t> </w:t>
      </w:r>
      <w:r w:rsidR="001C6403" w:rsidRPr="001357D3">
        <w:rPr>
          <w:noProof/>
        </w:rPr>
        <w:t>dos</w:t>
      </w:r>
      <w:r w:rsidRPr="001357D3">
        <w:rPr>
          <w:noProof/>
        </w:rPr>
        <w:t>tępie do wymiaru sprawiedliwości oraz ulepszając ramy</w:t>
      </w:r>
      <w:r w:rsidR="001C6403" w:rsidRPr="001357D3">
        <w:rPr>
          <w:noProof/>
        </w:rPr>
        <w:t xml:space="preserve"> i</w:t>
      </w:r>
      <w:r w:rsidR="001C6403">
        <w:rPr>
          <w:noProof/>
        </w:rPr>
        <w:t> </w:t>
      </w:r>
      <w:r w:rsidR="001C6403" w:rsidRPr="001357D3">
        <w:rPr>
          <w:noProof/>
        </w:rPr>
        <w:t>mec</w:t>
      </w:r>
      <w:r w:rsidRPr="001357D3">
        <w:rPr>
          <w:noProof/>
        </w:rPr>
        <w:t>hanizmy ochrony dla osób zmarginalizowanych</w:t>
      </w:r>
      <w:r w:rsidRPr="001357D3">
        <w:rPr>
          <w:rStyle w:val="Odwoanieprzypisudolnego"/>
          <w:rFonts w:eastAsia="Times New Roman"/>
          <w:noProof/>
        </w:rPr>
        <w:footnoteReference w:id="31"/>
      </w:r>
      <w:r w:rsidRPr="001357D3">
        <w:rPr>
          <w:noProof/>
        </w:rPr>
        <w:t>. Jednocześnie</w:t>
      </w:r>
      <w:r w:rsidR="001C6403" w:rsidRPr="001357D3">
        <w:rPr>
          <w:noProof/>
        </w:rPr>
        <w:t xml:space="preserve"> w</w:t>
      </w:r>
      <w:r w:rsidR="001C6403">
        <w:rPr>
          <w:noProof/>
        </w:rPr>
        <w:t> </w:t>
      </w:r>
      <w:r w:rsidR="001C6403" w:rsidRPr="001357D3">
        <w:rPr>
          <w:noProof/>
        </w:rPr>
        <w:t>oce</w:t>
      </w:r>
      <w:r w:rsidRPr="001357D3">
        <w:rPr>
          <w:noProof/>
        </w:rPr>
        <w:t xml:space="preserve">nie śródokresowej wskazano </w:t>
      </w:r>
      <w:r w:rsidRPr="001357D3">
        <w:rPr>
          <w:rStyle w:val="normaltextrun"/>
          <w:noProof/>
        </w:rPr>
        <w:t>pewne obszary wymagające poprawy. Przede wszystkim dowody zebrane</w:t>
      </w:r>
      <w:r w:rsidR="001C6403" w:rsidRPr="001357D3">
        <w:rPr>
          <w:rStyle w:val="normaltextrun"/>
          <w:noProof/>
        </w:rPr>
        <w:t xml:space="preserve"> w</w:t>
      </w:r>
      <w:r w:rsidR="001C6403">
        <w:rPr>
          <w:rStyle w:val="normaltextrun"/>
          <w:noProof/>
        </w:rPr>
        <w:t> </w:t>
      </w:r>
      <w:r w:rsidR="001C6403" w:rsidRPr="001357D3">
        <w:rPr>
          <w:rStyle w:val="normaltextrun"/>
          <w:noProof/>
        </w:rPr>
        <w:t>ram</w:t>
      </w:r>
      <w:r w:rsidRPr="001357D3">
        <w:rPr>
          <w:rStyle w:val="normaltextrun"/>
          <w:noProof/>
        </w:rPr>
        <w:t>ach konsultacji</w:t>
      </w:r>
      <w:r w:rsidR="001C6403" w:rsidRPr="001357D3">
        <w:rPr>
          <w:rStyle w:val="normaltextrun"/>
          <w:noProof/>
        </w:rPr>
        <w:t xml:space="preserve"> z</w:t>
      </w:r>
      <w:r w:rsidR="001C6403">
        <w:rPr>
          <w:rStyle w:val="normaltextrun"/>
          <w:noProof/>
        </w:rPr>
        <w:t> </w:t>
      </w:r>
      <w:r w:rsidR="001C6403" w:rsidRPr="001357D3">
        <w:rPr>
          <w:rStyle w:val="normaltextrun"/>
          <w:noProof/>
        </w:rPr>
        <w:t>zai</w:t>
      </w:r>
      <w:r w:rsidRPr="001357D3">
        <w:rPr>
          <w:rStyle w:val="normaltextrun"/>
          <w:noProof/>
        </w:rPr>
        <w:t xml:space="preserve">nteresowanymi stronami wskazują na potrzebę rozszerzenia zasięgu programu. Nawet jeśli Program </w:t>
      </w:r>
      <w:r w:rsidRPr="001357D3">
        <w:rPr>
          <w:noProof/>
        </w:rPr>
        <w:t xml:space="preserve">dotarł już do dużej liczby osób, niektóre grupy zainteresowanych nadal mają ograniczoną wiedzę na jego temat, </w:t>
      </w:r>
      <w:r w:rsidRPr="001357D3">
        <w:rPr>
          <w:rStyle w:val="Odwoanieprzypisudolnego"/>
          <w:rFonts w:eastAsia="Times New Roman"/>
          <w:noProof/>
        </w:rPr>
        <w:footnoteReference w:id="32"/>
      </w:r>
      <w:r w:rsidRPr="001357D3">
        <w:rPr>
          <w:noProof/>
        </w:rPr>
        <w:t>,</w:t>
      </w:r>
      <w:r w:rsidR="001C6403" w:rsidRPr="001357D3">
        <w:rPr>
          <w:noProof/>
        </w:rPr>
        <w:t xml:space="preserve"> a</w:t>
      </w:r>
      <w:r w:rsidR="001C6403">
        <w:rPr>
          <w:noProof/>
        </w:rPr>
        <w:t> </w:t>
      </w:r>
      <w:r w:rsidR="001C6403" w:rsidRPr="001357D3">
        <w:rPr>
          <w:noProof/>
        </w:rPr>
        <w:t>pon</w:t>
      </w:r>
      <w:r w:rsidRPr="001357D3">
        <w:rPr>
          <w:noProof/>
        </w:rPr>
        <w:t>adto poziom tej wiedzy różni się</w:t>
      </w:r>
      <w:r w:rsidR="001C6403" w:rsidRPr="001357D3">
        <w:rPr>
          <w:noProof/>
        </w:rPr>
        <w:t xml:space="preserve"> w</w:t>
      </w:r>
      <w:r w:rsidR="001C6403">
        <w:rPr>
          <w:noProof/>
        </w:rPr>
        <w:t> </w:t>
      </w:r>
      <w:r w:rsidR="001C6403" w:rsidRPr="001357D3">
        <w:rPr>
          <w:noProof/>
        </w:rPr>
        <w:t>pos</w:t>
      </w:r>
      <w:r w:rsidRPr="001357D3">
        <w:rPr>
          <w:noProof/>
        </w:rPr>
        <w:t xml:space="preserve">zczególnych państwach członkowskich. </w:t>
      </w:r>
      <w:r w:rsidRPr="001357D3">
        <w:rPr>
          <w:rStyle w:val="normaltextrun"/>
          <w:noProof/>
        </w:rPr>
        <w:t>Sugeruje to, że mimo skuteczności działań komunikacyjnych programu mogą one nie docierać</w:t>
      </w:r>
      <w:r w:rsidR="001C6403" w:rsidRPr="001357D3">
        <w:rPr>
          <w:rStyle w:val="normaltextrun"/>
          <w:noProof/>
        </w:rPr>
        <w:t xml:space="preserve"> w</w:t>
      </w:r>
      <w:r w:rsidR="001C6403">
        <w:rPr>
          <w:rStyle w:val="normaltextrun"/>
          <w:noProof/>
        </w:rPr>
        <w:t> </w:t>
      </w:r>
      <w:r w:rsidR="001C6403" w:rsidRPr="001357D3">
        <w:rPr>
          <w:rStyle w:val="normaltextrun"/>
          <w:noProof/>
        </w:rPr>
        <w:t>rów</w:t>
      </w:r>
      <w:r w:rsidRPr="001357D3">
        <w:rPr>
          <w:rStyle w:val="normaltextrun"/>
          <w:noProof/>
        </w:rPr>
        <w:t>nym stopniu do wszystkich sektorów</w:t>
      </w:r>
      <w:r w:rsidR="001C6403" w:rsidRPr="001357D3">
        <w:rPr>
          <w:rStyle w:val="normaltextrun"/>
          <w:noProof/>
        </w:rPr>
        <w:t xml:space="preserve"> i</w:t>
      </w:r>
      <w:r w:rsidR="001C6403">
        <w:rPr>
          <w:rStyle w:val="normaltextrun"/>
          <w:noProof/>
        </w:rPr>
        <w:t> </w:t>
      </w:r>
      <w:r w:rsidR="001C6403" w:rsidRPr="001357D3">
        <w:rPr>
          <w:rStyle w:val="normaltextrun"/>
          <w:noProof/>
        </w:rPr>
        <w:t>pań</w:t>
      </w:r>
      <w:r w:rsidRPr="001357D3">
        <w:rPr>
          <w:rStyle w:val="normaltextrun"/>
          <w:noProof/>
        </w:rPr>
        <w:t>stw członkowskich</w:t>
      </w:r>
      <w:r w:rsidRPr="001357D3">
        <w:rPr>
          <w:rStyle w:val="Odwoanieprzypisudolnego"/>
          <w:rFonts w:eastAsia="Times New Roman"/>
          <w:noProof/>
        </w:rPr>
        <w:footnoteReference w:id="33"/>
      </w:r>
      <w:r w:rsidRPr="001357D3">
        <w:rPr>
          <w:rStyle w:val="normaltextrun"/>
          <w:noProof/>
        </w:rPr>
        <w:t>. Niektóre zainteresowane strony zasugerowały włączenie do grup docelowych programu służb kuratorskich</w:t>
      </w:r>
      <w:r w:rsidR="001C6403" w:rsidRPr="001357D3">
        <w:rPr>
          <w:rStyle w:val="normaltextrun"/>
          <w:noProof/>
        </w:rPr>
        <w:t xml:space="preserve"> i</w:t>
      </w:r>
      <w:r w:rsidR="001C6403">
        <w:rPr>
          <w:rStyle w:val="normaltextrun"/>
          <w:noProof/>
        </w:rPr>
        <w:t> </w:t>
      </w:r>
      <w:r w:rsidR="001C6403" w:rsidRPr="001357D3">
        <w:rPr>
          <w:rStyle w:val="normaltextrun"/>
          <w:noProof/>
        </w:rPr>
        <w:t>pra</w:t>
      </w:r>
      <w:r w:rsidRPr="001357D3">
        <w:rPr>
          <w:rStyle w:val="normaltextrun"/>
          <w:noProof/>
        </w:rPr>
        <w:t xml:space="preserve">cowników więzień. Aby </w:t>
      </w:r>
      <w:r w:rsidRPr="001357D3">
        <w:rPr>
          <w:noProof/>
        </w:rPr>
        <w:t>lepiej odzwierciedlić wpływ programu oraz zwiększyć jego wartość dodaną</w:t>
      </w:r>
      <w:r w:rsidR="001C6403" w:rsidRPr="001357D3">
        <w:rPr>
          <w:noProof/>
        </w:rPr>
        <w:t xml:space="preserve"> i</w:t>
      </w:r>
      <w:r w:rsidR="001C6403">
        <w:rPr>
          <w:noProof/>
        </w:rPr>
        <w:t> </w:t>
      </w:r>
      <w:r w:rsidR="001C6403" w:rsidRPr="001357D3">
        <w:rPr>
          <w:noProof/>
        </w:rPr>
        <w:t>wid</w:t>
      </w:r>
      <w:r w:rsidRPr="001357D3">
        <w:rPr>
          <w:noProof/>
        </w:rPr>
        <w:t>oczność, można rozważyć dalsze działania, np. bardziej usystematyzowany proces gromadzenia opinii</w:t>
      </w:r>
      <w:r w:rsidR="001C6403" w:rsidRPr="001357D3">
        <w:rPr>
          <w:noProof/>
        </w:rPr>
        <w:t xml:space="preserve"> i</w:t>
      </w:r>
      <w:r w:rsidR="001C6403">
        <w:rPr>
          <w:noProof/>
        </w:rPr>
        <w:t> </w:t>
      </w:r>
      <w:r w:rsidR="001C6403" w:rsidRPr="001357D3">
        <w:rPr>
          <w:noProof/>
        </w:rPr>
        <w:t>doś</w:t>
      </w:r>
      <w:r w:rsidRPr="001357D3">
        <w:rPr>
          <w:noProof/>
        </w:rPr>
        <w:t>wiadczeń zainteresowanych stron oraz sposoby na powiązanie istniejących platform (takich jak EJTN</w:t>
      </w:r>
      <w:r w:rsidR="001C6403" w:rsidRPr="001357D3">
        <w:rPr>
          <w:noProof/>
        </w:rPr>
        <w:t xml:space="preserve"> i</w:t>
      </w:r>
      <w:r w:rsidR="001C6403">
        <w:rPr>
          <w:noProof/>
        </w:rPr>
        <w:t> </w:t>
      </w:r>
      <w:r w:rsidR="001C6403" w:rsidRPr="001357D3">
        <w:rPr>
          <w:noProof/>
        </w:rPr>
        <w:t>eur</w:t>
      </w:r>
      <w:r w:rsidRPr="001357D3">
        <w:rPr>
          <w:noProof/>
        </w:rPr>
        <w:t xml:space="preserve">opejski portal „e-Sprawiedliwość”) ze zrealizowanymi projektami na unijnym portalu Funding and Tenders. </w:t>
      </w:r>
      <w:r w:rsidRPr="001357D3">
        <w:rPr>
          <w:rStyle w:val="normaltextrun"/>
          <w:noProof/>
        </w:rPr>
        <w:t xml:space="preserve">Ponadto, </w:t>
      </w:r>
      <w:r w:rsidRPr="001357D3">
        <w:rPr>
          <w:noProof/>
        </w:rPr>
        <w:t>aby nadal zwiększać opłacalność programu, można by dokładniej zbadać współpracę</w:t>
      </w:r>
      <w:r w:rsidR="001C6403" w:rsidRPr="001357D3">
        <w:rPr>
          <w:noProof/>
        </w:rPr>
        <w:t xml:space="preserve"> z</w:t>
      </w:r>
      <w:r w:rsidR="001C6403">
        <w:rPr>
          <w:noProof/>
        </w:rPr>
        <w:t> </w:t>
      </w:r>
      <w:r w:rsidR="001C6403" w:rsidRPr="001357D3">
        <w:rPr>
          <w:noProof/>
        </w:rPr>
        <w:t>sie</w:t>
      </w:r>
      <w:r w:rsidRPr="001357D3">
        <w:rPr>
          <w:noProof/>
        </w:rPr>
        <w:t>ciami funkcjonującymi na szczeblu UE.</w:t>
      </w:r>
    </w:p>
    <w:p w14:paraId="6FB50F7B" w14:textId="13074BBC" w:rsidR="4085B29D" w:rsidRPr="001357D3" w:rsidRDefault="13C6D0EC" w:rsidP="008A4B4E">
      <w:pPr>
        <w:spacing w:before="0"/>
        <w:rPr>
          <w:rFonts w:eastAsia="Times New Roman"/>
          <w:noProof/>
        </w:rPr>
      </w:pPr>
      <w:r w:rsidRPr="001357D3">
        <w:rPr>
          <w:noProof/>
        </w:rPr>
        <w:t>Wszystkie te ustalenia uwzględniono</w:t>
      </w:r>
      <w:r w:rsidR="001C6403" w:rsidRPr="001357D3">
        <w:rPr>
          <w:noProof/>
        </w:rPr>
        <w:t xml:space="preserve"> w</w:t>
      </w:r>
      <w:r w:rsidR="001C6403">
        <w:rPr>
          <w:noProof/>
        </w:rPr>
        <w:t> </w:t>
      </w:r>
      <w:r w:rsidR="001C6403" w:rsidRPr="001357D3">
        <w:rPr>
          <w:noProof/>
        </w:rPr>
        <w:t>pro</w:t>
      </w:r>
      <w:r w:rsidRPr="001357D3">
        <w:rPr>
          <w:noProof/>
        </w:rPr>
        <w:t>gramie „Sprawiedliwość” na lata 2028–2034 przedstawionym</w:t>
      </w:r>
      <w:r w:rsidR="001C6403" w:rsidRPr="001357D3">
        <w:rPr>
          <w:noProof/>
        </w:rPr>
        <w:t xml:space="preserve"> w</w:t>
      </w:r>
      <w:r w:rsidR="001C6403">
        <w:rPr>
          <w:noProof/>
        </w:rPr>
        <w:t> </w:t>
      </w:r>
      <w:r w:rsidR="001C6403" w:rsidRPr="001357D3">
        <w:rPr>
          <w:noProof/>
        </w:rPr>
        <w:t>nin</w:t>
      </w:r>
      <w:r w:rsidRPr="001357D3">
        <w:rPr>
          <w:noProof/>
        </w:rPr>
        <w:t>iejszym wniosku.</w:t>
      </w:r>
    </w:p>
    <w:p w14:paraId="00B71B8C" w14:textId="45388CBF" w:rsidR="4085B29D" w:rsidRPr="001357D3" w:rsidRDefault="22436632" w:rsidP="008A4B4E">
      <w:pPr>
        <w:spacing w:before="0"/>
        <w:rPr>
          <w:rFonts w:eastAsia="Times New Roman"/>
          <w:noProof/>
          <w:szCs w:val="24"/>
        </w:rPr>
      </w:pPr>
      <w:r w:rsidRPr="001357D3">
        <w:rPr>
          <w:rStyle w:val="normaltextrun"/>
          <w:noProof/>
        </w:rPr>
        <w:t>Jeżeli chodzi</w:t>
      </w:r>
      <w:r w:rsidR="001C6403" w:rsidRPr="001357D3">
        <w:rPr>
          <w:rStyle w:val="normaltextrun"/>
          <w:noProof/>
        </w:rPr>
        <w:t xml:space="preserve"> o</w:t>
      </w:r>
      <w:r w:rsidR="001C6403">
        <w:rPr>
          <w:rStyle w:val="normaltextrun"/>
          <w:noProof/>
        </w:rPr>
        <w:t> </w:t>
      </w:r>
      <w:r w:rsidR="001C6403" w:rsidRPr="001357D3">
        <w:rPr>
          <w:noProof/>
        </w:rPr>
        <w:t>spr</w:t>
      </w:r>
      <w:r w:rsidRPr="001357D3">
        <w:rPr>
          <w:noProof/>
        </w:rPr>
        <w:t>ostanie nowym wyzwaniom, cyfryzacja wymiaru sprawiedliwości</w:t>
      </w:r>
      <w:r w:rsidRPr="001357D3">
        <w:rPr>
          <w:b/>
          <w:noProof/>
        </w:rPr>
        <w:t xml:space="preserve"> </w:t>
      </w:r>
      <w:r w:rsidRPr="001357D3">
        <w:rPr>
          <w:noProof/>
        </w:rPr>
        <w:t>stała się ważnym celem przekrojowym programu „Sprawiedliwość” na lata 2021–2027,</w:t>
      </w:r>
      <w:r w:rsidR="001C6403" w:rsidRPr="001357D3">
        <w:rPr>
          <w:noProof/>
        </w:rPr>
        <w:t xml:space="preserve"> w</w:t>
      </w:r>
      <w:r w:rsidR="001C6403">
        <w:rPr>
          <w:noProof/>
        </w:rPr>
        <w:t> </w:t>
      </w:r>
      <w:r w:rsidR="001C6403" w:rsidRPr="001357D3">
        <w:rPr>
          <w:noProof/>
        </w:rPr>
        <w:t>szc</w:t>
      </w:r>
      <w:r w:rsidRPr="001357D3">
        <w:rPr>
          <w:noProof/>
        </w:rPr>
        <w:t>zególności</w:t>
      </w:r>
      <w:r w:rsidR="001C6403" w:rsidRPr="001357D3">
        <w:rPr>
          <w:noProof/>
        </w:rPr>
        <w:t xml:space="preserve"> w</w:t>
      </w:r>
      <w:r w:rsidR="001C6403">
        <w:rPr>
          <w:noProof/>
        </w:rPr>
        <w:t> </w:t>
      </w:r>
      <w:r w:rsidR="001C6403" w:rsidRPr="001357D3">
        <w:rPr>
          <w:noProof/>
        </w:rPr>
        <w:t>nas</w:t>
      </w:r>
      <w:r w:rsidRPr="001357D3">
        <w:rPr>
          <w:noProof/>
        </w:rPr>
        <w:t>tępstwie pandemii COVID-19, która przyspieszyła wykorzystanie technologii cyfrowych. To ukierunkowanie ułatwia dostęp do informacji prawnych, unowocześnia mechanizmy transgranicznej współpracy sądowej</w:t>
      </w:r>
      <w:r w:rsidR="001C6403" w:rsidRPr="001357D3">
        <w:rPr>
          <w:noProof/>
        </w:rPr>
        <w:t xml:space="preserve"> i</w:t>
      </w:r>
      <w:r w:rsidR="001C6403">
        <w:rPr>
          <w:noProof/>
        </w:rPr>
        <w:t> </w:t>
      </w:r>
      <w:r w:rsidR="001C6403" w:rsidRPr="001357D3">
        <w:rPr>
          <w:noProof/>
        </w:rPr>
        <w:t>wsp</w:t>
      </w:r>
      <w:r w:rsidRPr="001357D3">
        <w:rPr>
          <w:noProof/>
        </w:rPr>
        <w:t>iera szersze cele transformacji cyfrowej UE, zwiększając skuteczność</w:t>
      </w:r>
      <w:r w:rsidR="001C6403" w:rsidRPr="001357D3">
        <w:rPr>
          <w:noProof/>
        </w:rPr>
        <w:t xml:space="preserve"> i</w:t>
      </w:r>
      <w:r w:rsidR="001C6403">
        <w:rPr>
          <w:noProof/>
        </w:rPr>
        <w:t> </w:t>
      </w:r>
      <w:r w:rsidR="001C6403" w:rsidRPr="001357D3">
        <w:rPr>
          <w:noProof/>
        </w:rPr>
        <w:t>dos</w:t>
      </w:r>
      <w:r w:rsidRPr="001357D3">
        <w:rPr>
          <w:noProof/>
        </w:rPr>
        <w:t>tępność systemów wymiaru sprawiedliwości. Inwestycje</w:t>
      </w:r>
      <w:r w:rsidR="001C6403" w:rsidRPr="001357D3">
        <w:rPr>
          <w:noProof/>
        </w:rPr>
        <w:t xml:space="preserve"> w</w:t>
      </w:r>
      <w:r w:rsidR="001C6403">
        <w:rPr>
          <w:noProof/>
        </w:rPr>
        <w:t> </w:t>
      </w:r>
      <w:r w:rsidR="001C6403" w:rsidRPr="001357D3">
        <w:rPr>
          <w:noProof/>
        </w:rPr>
        <w:t>cyf</w:t>
      </w:r>
      <w:r w:rsidRPr="001357D3">
        <w:rPr>
          <w:noProof/>
        </w:rPr>
        <w:t>ryzację prowadzą również do wzmocnienia praw podstawowych</w:t>
      </w:r>
      <w:r w:rsidR="001C6403" w:rsidRPr="001357D3">
        <w:rPr>
          <w:noProof/>
        </w:rPr>
        <w:t xml:space="preserve"> w</w:t>
      </w:r>
      <w:r w:rsidR="001C6403">
        <w:rPr>
          <w:noProof/>
        </w:rPr>
        <w:t> </w:t>
      </w:r>
      <w:r w:rsidR="001C6403" w:rsidRPr="001357D3">
        <w:rPr>
          <w:noProof/>
        </w:rPr>
        <w:t>dzi</w:t>
      </w:r>
      <w:r w:rsidRPr="001357D3">
        <w:rPr>
          <w:noProof/>
        </w:rPr>
        <w:t>edzinie wymiaru sprawiedliwości, takich jak domniemanie niewinności</w:t>
      </w:r>
      <w:r w:rsidRPr="001357D3">
        <w:rPr>
          <w:rStyle w:val="Odwoanieprzypisudolnego"/>
          <w:rFonts w:eastAsia="Times New Roman"/>
          <w:noProof/>
          <w:szCs w:val="24"/>
        </w:rPr>
        <w:footnoteReference w:id="34"/>
      </w:r>
      <w:r w:rsidRPr="001357D3">
        <w:rPr>
          <w:noProof/>
        </w:rPr>
        <w:t>. Ponadto zwiększone wykorzystanie narzędzi cyfrowych skutecznie zwiększa zasięg programu. Wciąż istnieje potencjał do dalszego wykorzystania możliwości, jakie niesie ze sobą cyfryzacja</w:t>
      </w:r>
      <w:r w:rsidR="001C6403" w:rsidRPr="001357D3">
        <w:rPr>
          <w:noProof/>
        </w:rPr>
        <w:t xml:space="preserve"> w</w:t>
      </w:r>
      <w:r w:rsidR="001C6403">
        <w:rPr>
          <w:noProof/>
        </w:rPr>
        <w:t> </w:t>
      </w:r>
      <w:r w:rsidR="001C6403" w:rsidRPr="001357D3">
        <w:rPr>
          <w:noProof/>
        </w:rPr>
        <w:t>dzi</w:t>
      </w:r>
      <w:r w:rsidRPr="001357D3">
        <w:rPr>
          <w:noProof/>
        </w:rPr>
        <w:t>edzinie wymiaru sprawiedliwości. Program „Sprawiedliwość” na lata 2028–2034 będzie zatem</w:t>
      </w:r>
      <w:r w:rsidR="001C6403" w:rsidRPr="001357D3">
        <w:rPr>
          <w:noProof/>
        </w:rPr>
        <w:t xml:space="preserve"> w</w:t>
      </w:r>
      <w:r w:rsidR="001C6403">
        <w:rPr>
          <w:noProof/>
        </w:rPr>
        <w:t> </w:t>
      </w:r>
      <w:r w:rsidR="001C6403" w:rsidRPr="001357D3">
        <w:rPr>
          <w:noProof/>
        </w:rPr>
        <w:t>wię</w:t>
      </w:r>
      <w:r w:rsidRPr="001357D3">
        <w:rPr>
          <w:noProof/>
        </w:rPr>
        <w:t>kszym stopniu ukierunkowany na cyfryzację, jeżeli chodzi</w:t>
      </w:r>
      <w:r w:rsidR="001C6403" w:rsidRPr="001357D3">
        <w:rPr>
          <w:noProof/>
        </w:rPr>
        <w:t xml:space="preserve"> o</w:t>
      </w:r>
      <w:r w:rsidR="001C6403">
        <w:rPr>
          <w:noProof/>
        </w:rPr>
        <w:t> </w:t>
      </w:r>
      <w:r w:rsidR="001C6403" w:rsidRPr="001357D3">
        <w:rPr>
          <w:noProof/>
        </w:rPr>
        <w:t>jeg</w:t>
      </w:r>
      <w:r w:rsidRPr="001357D3">
        <w:rPr>
          <w:noProof/>
        </w:rPr>
        <w:t>o cele ogólne</w:t>
      </w:r>
      <w:r w:rsidR="001C6403" w:rsidRPr="001357D3">
        <w:rPr>
          <w:noProof/>
        </w:rPr>
        <w:t xml:space="preserve"> i</w:t>
      </w:r>
      <w:r w:rsidR="001C6403">
        <w:rPr>
          <w:noProof/>
        </w:rPr>
        <w:t> </w:t>
      </w:r>
      <w:r w:rsidR="001C6403" w:rsidRPr="001357D3">
        <w:rPr>
          <w:noProof/>
        </w:rPr>
        <w:t>szc</w:t>
      </w:r>
      <w:r w:rsidRPr="001357D3">
        <w:rPr>
          <w:noProof/>
        </w:rPr>
        <w:t>zegółowe. Zapewni to bardziej strategiczne</w:t>
      </w:r>
      <w:r w:rsidR="001C6403" w:rsidRPr="001357D3">
        <w:rPr>
          <w:noProof/>
        </w:rPr>
        <w:t xml:space="preserve"> i</w:t>
      </w:r>
      <w:r w:rsidR="001C6403">
        <w:rPr>
          <w:noProof/>
        </w:rPr>
        <w:t> </w:t>
      </w:r>
      <w:r w:rsidR="001C6403" w:rsidRPr="001357D3">
        <w:rPr>
          <w:noProof/>
        </w:rPr>
        <w:t>spó</w:t>
      </w:r>
      <w:r w:rsidRPr="001357D3">
        <w:rPr>
          <w:noProof/>
        </w:rPr>
        <w:t xml:space="preserve">jniejsze </w:t>
      </w:r>
      <w:r w:rsidRPr="001357D3">
        <w:rPr>
          <w:noProof/>
        </w:rPr>
        <w:lastRenderedPageBreak/>
        <w:t>podejście do wszystkich kwestii</w:t>
      </w:r>
      <w:r w:rsidR="001C6403" w:rsidRPr="001357D3">
        <w:rPr>
          <w:noProof/>
        </w:rPr>
        <w:t xml:space="preserve"> i</w:t>
      </w:r>
      <w:r w:rsidR="001C6403">
        <w:rPr>
          <w:noProof/>
        </w:rPr>
        <w:t> </w:t>
      </w:r>
      <w:r w:rsidR="001C6403" w:rsidRPr="001357D3">
        <w:rPr>
          <w:noProof/>
        </w:rPr>
        <w:t>wyz</w:t>
      </w:r>
      <w:r w:rsidRPr="001357D3">
        <w:rPr>
          <w:noProof/>
        </w:rPr>
        <w:t>wań związanych</w:t>
      </w:r>
      <w:r w:rsidR="001C6403" w:rsidRPr="001357D3">
        <w:rPr>
          <w:noProof/>
        </w:rPr>
        <w:t xml:space="preserve"> z</w:t>
      </w:r>
      <w:r w:rsidR="001C6403">
        <w:rPr>
          <w:noProof/>
        </w:rPr>
        <w:t> </w:t>
      </w:r>
      <w:r w:rsidR="001C6403" w:rsidRPr="001357D3">
        <w:rPr>
          <w:noProof/>
        </w:rPr>
        <w:t>cyf</w:t>
      </w:r>
      <w:r w:rsidRPr="001357D3">
        <w:rPr>
          <w:noProof/>
        </w:rPr>
        <w:t>ryzacją wymiaru sprawiedliwości.</w:t>
      </w:r>
    </w:p>
    <w:p w14:paraId="00377F3E" w14:textId="59180B11" w:rsidR="00C5603D" w:rsidRPr="001357D3" w:rsidRDefault="00C5603D" w:rsidP="008A4B4E">
      <w:pPr>
        <w:pStyle w:val="Listapunktowana"/>
        <w:spacing w:before="0"/>
        <w:contextualSpacing w:val="0"/>
        <w:rPr>
          <w:b/>
          <w:bCs/>
          <w:noProof/>
          <w:bdr w:val="nil"/>
        </w:rPr>
      </w:pPr>
      <w:bookmarkStart w:id="19" w:name="_Toc205221094"/>
      <w:r w:rsidRPr="001357D3">
        <w:rPr>
          <w:b/>
          <w:noProof/>
          <w:bdr w:val="nil"/>
        </w:rPr>
        <w:t>Konsultacje</w:t>
      </w:r>
      <w:r w:rsidR="001C6403" w:rsidRPr="001357D3">
        <w:rPr>
          <w:b/>
          <w:noProof/>
          <w:bdr w:val="nil"/>
        </w:rPr>
        <w:t xml:space="preserve"> z</w:t>
      </w:r>
      <w:r w:rsidR="001C6403">
        <w:rPr>
          <w:b/>
          <w:noProof/>
          <w:bdr w:val="nil"/>
        </w:rPr>
        <w:t> </w:t>
      </w:r>
      <w:r w:rsidR="001C6403" w:rsidRPr="001357D3">
        <w:rPr>
          <w:b/>
          <w:noProof/>
          <w:bdr w:val="nil"/>
        </w:rPr>
        <w:t>zai</w:t>
      </w:r>
      <w:r w:rsidRPr="001357D3">
        <w:rPr>
          <w:b/>
          <w:noProof/>
          <w:bdr w:val="nil"/>
        </w:rPr>
        <w:t>nteresowanymi stronami</w:t>
      </w:r>
      <w:bookmarkEnd w:id="19"/>
    </w:p>
    <w:p w14:paraId="3C1A8CFB" w14:textId="55F6CDBC" w:rsidR="6268876A" w:rsidRPr="001357D3" w:rsidRDefault="6268876A" w:rsidP="008A4B4E">
      <w:pPr>
        <w:pBdr>
          <w:top w:val="nil"/>
          <w:left w:val="nil"/>
          <w:bottom w:val="nil"/>
          <w:right w:val="nil"/>
          <w:between w:val="nil"/>
        </w:pBdr>
        <w:spacing w:before="0"/>
        <w:rPr>
          <w:rFonts w:eastAsia="Times New Roman"/>
          <w:noProof/>
          <w:szCs w:val="24"/>
          <w:highlight w:val="yellow"/>
        </w:rPr>
      </w:pPr>
      <w:r w:rsidRPr="001357D3">
        <w:rPr>
          <w:noProof/>
        </w:rPr>
        <w:t>Strategia konsultacji wspierających prace przygotowawcze do programu obejmowała: (i) pierwsze otwarte konsultacje publiczne dotyczące oceny końcowej programu „Sprawiedliwość” na lata 2014–2020 oraz oceny śródokresowej programu „Sprawiedliwość” na lata 2021–2027; (ii) drugie otwarte konsultacje publiczne</w:t>
      </w:r>
      <w:r w:rsidR="001C6403" w:rsidRPr="001357D3">
        <w:rPr>
          <w:noProof/>
        </w:rPr>
        <w:t xml:space="preserve"> w</w:t>
      </w:r>
      <w:r w:rsidR="001C6403">
        <w:rPr>
          <w:noProof/>
        </w:rPr>
        <w:t> </w:t>
      </w:r>
      <w:r w:rsidR="001C6403" w:rsidRPr="001357D3">
        <w:rPr>
          <w:noProof/>
        </w:rPr>
        <w:t>dzi</w:t>
      </w:r>
      <w:r w:rsidRPr="001357D3">
        <w:rPr>
          <w:noProof/>
        </w:rPr>
        <w:t>edzinie edukacji transgranicznej, młodzieży, kultury, mediów, wartości</w:t>
      </w:r>
      <w:r w:rsidR="001C6403" w:rsidRPr="001357D3">
        <w:rPr>
          <w:noProof/>
        </w:rPr>
        <w:t xml:space="preserve"> i</w:t>
      </w:r>
      <w:r w:rsidR="001C6403">
        <w:rPr>
          <w:noProof/>
        </w:rPr>
        <w:t> </w:t>
      </w:r>
      <w:r w:rsidR="001C6403" w:rsidRPr="001357D3">
        <w:rPr>
          <w:noProof/>
        </w:rPr>
        <w:t>spo</w:t>
      </w:r>
      <w:r w:rsidRPr="001357D3">
        <w:rPr>
          <w:noProof/>
        </w:rPr>
        <w:t xml:space="preserve">łeczeństwa obywatelskiego; oraz (iii) konsultacje </w:t>
      </w:r>
      <w:r w:rsidRPr="001357D3">
        <w:rPr>
          <w:i/>
          <w:iCs/>
          <w:noProof/>
        </w:rPr>
        <w:t>ad hoc</w:t>
      </w:r>
      <w:r w:rsidRPr="001357D3">
        <w:rPr>
          <w:noProof/>
        </w:rPr>
        <w:t>, które Komisja przeprowadziła</w:t>
      </w:r>
      <w:r w:rsidR="001C6403" w:rsidRPr="001357D3">
        <w:rPr>
          <w:noProof/>
        </w:rPr>
        <w:t xml:space="preserve"> w</w:t>
      </w:r>
      <w:r w:rsidR="001C6403">
        <w:rPr>
          <w:noProof/>
        </w:rPr>
        <w:t> </w:t>
      </w:r>
      <w:r w:rsidR="001C6403" w:rsidRPr="001357D3">
        <w:rPr>
          <w:noProof/>
        </w:rPr>
        <w:t>for</w:t>
      </w:r>
      <w:r w:rsidRPr="001357D3">
        <w:rPr>
          <w:noProof/>
        </w:rPr>
        <w:t>mie rozmów</w:t>
      </w:r>
      <w:r w:rsidR="001C6403" w:rsidRPr="001357D3">
        <w:rPr>
          <w:noProof/>
        </w:rPr>
        <w:t xml:space="preserve"> i</w:t>
      </w:r>
      <w:r w:rsidR="001C6403">
        <w:rPr>
          <w:noProof/>
        </w:rPr>
        <w:t> </w:t>
      </w:r>
      <w:r w:rsidR="001C6403" w:rsidRPr="001357D3">
        <w:rPr>
          <w:noProof/>
        </w:rPr>
        <w:t>uki</w:t>
      </w:r>
      <w:r w:rsidRPr="001357D3">
        <w:rPr>
          <w:noProof/>
        </w:rPr>
        <w:t>erunkowanych ankiet</w:t>
      </w:r>
      <w:r w:rsidR="001C6403" w:rsidRPr="001357D3">
        <w:rPr>
          <w:noProof/>
        </w:rPr>
        <w:t xml:space="preserve"> z</w:t>
      </w:r>
      <w:r w:rsidR="001C6403">
        <w:rPr>
          <w:noProof/>
        </w:rPr>
        <w:t> </w:t>
      </w:r>
      <w:r w:rsidR="001C6403" w:rsidRPr="001357D3">
        <w:rPr>
          <w:noProof/>
        </w:rPr>
        <w:t>udz</w:t>
      </w:r>
      <w:r w:rsidRPr="001357D3">
        <w:rPr>
          <w:noProof/>
        </w:rPr>
        <w:t>iałem zainteresowanych stron.</w:t>
      </w:r>
    </w:p>
    <w:p w14:paraId="77C75088" w14:textId="6CA67B8D" w:rsidR="00227239" w:rsidRPr="001357D3" w:rsidRDefault="00711F97" w:rsidP="008A4B4E">
      <w:pPr>
        <w:spacing w:before="0"/>
        <w:rPr>
          <w:rFonts w:eastAsia="Times New Roman"/>
          <w:noProof/>
          <w:szCs w:val="24"/>
        </w:rPr>
      </w:pPr>
      <w:r w:rsidRPr="001357D3">
        <w:rPr>
          <w:noProof/>
        </w:rPr>
        <w:t>Pierwsze otwarte konsultacje publiczne miały na celu wzmocnienie bazy dowodowej na potrzeby oceny dwóch programów „Sprawiedliwość” poprzez zebranie opinii odpowiednich zainteresowanych stron na temat skuteczności, efektywności, adekwatności, spójności</w:t>
      </w:r>
      <w:r w:rsidR="001C6403" w:rsidRPr="001357D3">
        <w:rPr>
          <w:noProof/>
        </w:rPr>
        <w:t xml:space="preserve"> i</w:t>
      </w:r>
      <w:r w:rsidR="001C6403">
        <w:rPr>
          <w:noProof/>
        </w:rPr>
        <w:t> </w:t>
      </w:r>
      <w:r w:rsidR="001C6403" w:rsidRPr="001357D3">
        <w:rPr>
          <w:noProof/>
        </w:rPr>
        <w:t>uni</w:t>
      </w:r>
      <w:r w:rsidRPr="001357D3">
        <w:rPr>
          <w:noProof/>
        </w:rPr>
        <w:t>jnej wartości dodanej programów. Konsultacje te rozpoczęto</w:t>
      </w:r>
      <w:r w:rsidR="001C6403" w:rsidRPr="001357D3">
        <w:rPr>
          <w:noProof/>
        </w:rPr>
        <w:t xml:space="preserve"> w</w:t>
      </w:r>
      <w:r w:rsidR="001C6403">
        <w:rPr>
          <w:noProof/>
        </w:rPr>
        <w:t> </w:t>
      </w:r>
      <w:r w:rsidR="001C6403" w:rsidRPr="001357D3">
        <w:rPr>
          <w:noProof/>
        </w:rPr>
        <w:t>dni</w:t>
      </w:r>
      <w:r w:rsidRPr="001357D3">
        <w:rPr>
          <w:noProof/>
        </w:rPr>
        <w:t xml:space="preserve">u 3 kwietnia 2024 r.; trwały </w:t>
      </w:r>
      <w:r w:rsidRPr="001C6403">
        <w:rPr>
          <w:noProof/>
        </w:rPr>
        <w:t>one</w:t>
      </w:r>
      <w:r w:rsidR="001C6403" w:rsidRPr="001C6403">
        <w:rPr>
          <w:noProof/>
        </w:rPr>
        <w:t> </w:t>
      </w:r>
      <w:r w:rsidRPr="001C6403">
        <w:rPr>
          <w:noProof/>
        </w:rPr>
        <w:t>1</w:t>
      </w:r>
      <w:r w:rsidRPr="001357D3">
        <w:rPr>
          <w:noProof/>
        </w:rPr>
        <w:t>2 tygodni (zakończyły się</w:t>
      </w:r>
      <w:r w:rsidR="001C6403" w:rsidRPr="001357D3">
        <w:rPr>
          <w:noProof/>
        </w:rPr>
        <w:t xml:space="preserve"> w</w:t>
      </w:r>
      <w:r w:rsidR="001C6403">
        <w:rPr>
          <w:noProof/>
        </w:rPr>
        <w:t> </w:t>
      </w:r>
      <w:r w:rsidR="001C6403" w:rsidRPr="001357D3">
        <w:rPr>
          <w:noProof/>
        </w:rPr>
        <w:t>dni</w:t>
      </w:r>
      <w:r w:rsidRPr="001357D3">
        <w:rPr>
          <w:noProof/>
        </w:rPr>
        <w:t>u 26 czerwca 2024 r.).</w:t>
      </w:r>
    </w:p>
    <w:p w14:paraId="2774C12B" w14:textId="7D013EA5" w:rsidR="6A5828AD" w:rsidRPr="001357D3" w:rsidRDefault="2230EC25" w:rsidP="008A4B4E">
      <w:pPr>
        <w:spacing w:before="0"/>
        <w:rPr>
          <w:rFonts w:eastAsia="Times New Roman"/>
          <w:noProof/>
        </w:rPr>
      </w:pPr>
      <w:r w:rsidRPr="001357D3">
        <w:rPr>
          <w:noProof/>
        </w:rPr>
        <w:t>Respondenci uczestniczący</w:t>
      </w:r>
      <w:r w:rsidR="001C6403" w:rsidRPr="001357D3">
        <w:rPr>
          <w:noProof/>
        </w:rPr>
        <w:t xml:space="preserve"> w</w:t>
      </w:r>
      <w:r w:rsidR="001C6403">
        <w:rPr>
          <w:noProof/>
        </w:rPr>
        <w:t> </w:t>
      </w:r>
      <w:r w:rsidR="001C6403" w:rsidRPr="001357D3">
        <w:rPr>
          <w:noProof/>
        </w:rPr>
        <w:t>tyc</w:t>
      </w:r>
      <w:r w:rsidRPr="001357D3">
        <w:rPr>
          <w:noProof/>
        </w:rPr>
        <w:t>h otwartych konsultacjach publicznych zasadniczo uznali ogólne</w:t>
      </w:r>
      <w:r w:rsidR="001C6403" w:rsidRPr="001357D3">
        <w:rPr>
          <w:noProof/>
        </w:rPr>
        <w:t xml:space="preserve"> i</w:t>
      </w:r>
      <w:r w:rsidR="001C6403">
        <w:rPr>
          <w:noProof/>
        </w:rPr>
        <w:t> </w:t>
      </w:r>
      <w:r w:rsidR="001C6403" w:rsidRPr="001357D3">
        <w:rPr>
          <w:noProof/>
        </w:rPr>
        <w:t>szc</w:t>
      </w:r>
      <w:r w:rsidRPr="001357D3">
        <w:rPr>
          <w:noProof/>
        </w:rPr>
        <w:t>zegółowe cele programów „Sprawiedliwość” za wysoce adekwatne. Wśród celów szczegółowych za najistotniejsze uznano szkolenie kadr wymiaru sprawiedliwości</w:t>
      </w:r>
      <w:r w:rsidR="001C6403" w:rsidRPr="001357D3">
        <w:rPr>
          <w:noProof/>
        </w:rPr>
        <w:t xml:space="preserve"> i</w:t>
      </w:r>
      <w:r w:rsidR="001C6403">
        <w:rPr>
          <w:noProof/>
        </w:rPr>
        <w:t> </w:t>
      </w:r>
      <w:r w:rsidR="001C6403" w:rsidRPr="001357D3">
        <w:rPr>
          <w:noProof/>
        </w:rPr>
        <w:t>dos</w:t>
      </w:r>
      <w:r w:rsidRPr="001357D3">
        <w:rPr>
          <w:noProof/>
        </w:rPr>
        <w:t>tęp do wymiaru sprawiedliwości. Ponadto większość respondentów uznała działania finansowane</w:t>
      </w:r>
      <w:r w:rsidR="001C6403" w:rsidRPr="001357D3">
        <w:rPr>
          <w:noProof/>
        </w:rPr>
        <w:t xml:space="preserve"> w</w:t>
      </w:r>
      <w:r w:rsidR="001C6403">
        <w:rPr>
          <w:noProof/>
        </w:rPr>
        <w:t> </w:t>
      </w:r>
      <w:r w:rsidR="001C6403" w:rsidRPr="001357D3">
        <w:rPr>
          <w:noProof/>
        </w:rPr>
        <w:t>ram</w:t>
      </w:r>
      <w:r w:rsidRPr="001357D3">
        <w:rPr>
          <w:noProof/>
        </w:rPr>
        <w:t>ach programów „Sprawiedliwość”,</w:t>
      </w:r>
      <w:r w:rsidR="001C6403" w:rsidRPr="001357D3">
        <w:rPr>
          <w:noProof/>
        </w:rPr>
        <w:t xml:space="preserve"> w</w:t>
      </w:r>
      <w:r w:rsidR="001C6403">
        <w:rPr>
          <w:noProof/>
        </w:rPr>
        <w:t> </w:t>
      </w:r>
      <w:r w:rsidR="001C6403" w:rsidRPr="001357D3">
        <w:rPr>
          <w:noProof/>
        </w:rPr>
        <w:t>szc</w:t>
      </w:r>
      <w:r w:rsidRPr="001357D3">
        <w:rPr>
          <w:noProof/>
        </w:rPr>
        <w:t>zególności te związane</w:t>
      </w:r>
      <w:r w:rsidR="001C6403" w:rsidRPr="001357D3">
        <w:rPr>
          <w:noProof/>
        </w:rPr>
        <w:t xml:space="preserve"> z</w:t>
      </w:r>
      <w:r w:rsidR="001C6403">
        <w:rPr>
          <w:noProof/>
        </w:rPr>
        <w:t> </w:t>
      </w:r>
      <w:r w:rsidR="001C6403" w:rsidRPr="001357D3">
        <w:rPr>
          <w:noProof/>
        </w:rPr>
        <w:t>roz</w:t>
      </w:r>
      <w:r w:rsidRPr="001357D3">
        <w:rPr>
          <w:noProof/>
        </w:rPr>
        <w:t>wojem</w:t>
      </w:r>
      <w:r w:rsidR="001C6403" w:rsidRPr="001357D3">
        <w:rPr>
          <w:noProof/>
        </w:rPr>
        <w:t xml:space="preserve"> i</w:t>
      </w:r>
      <w:r w:rsidR="001C6403">
        <w:rPr>
          <w:noProof/>
        </w:rPr>
        <w:t> </w:t>
      </w:r>
      <w:r w:rsidR="001C6403" w:rsidRPr="001357D3">
        <w:rPr>
          <w:noProof/>
        </w:rPr>
        <w:t>utr</w:t>
      </w:r>
      <w:r w:rsidRPr="001357D3">
        <w:rPr>
          <w:noProof/>
        </w:rPr>
        <w:t>zymaniem technologii informacyjno-komunikacyjnych, za adekwatne</w:t>
      </w:r>
      <w:r w:rsidRPr="001357D3">
        <w:rPr>
          <w:rStyle w:val="Odwoanieprzypisudolnego"/>
          <w:rFonts w:eastAsia="Times New Roman"/>
          <w:noProof/>
        </w:rPr>
        <w:footnoteReference w:id="35"/>
      </w:r>
      <w:r w:rsidRPr="001357D3">
        <w:rPr>
          <w:noProof/>
        </w:rPr>
        <w:t>, przy czym cyfryzacja postrzegana jest jako ważny wymiar programu. Respondenci uznali oba programy za skuteczne</w:t>
      </w:r>
      <w:r w:rsidR="001C6403" w:rsidRPr="001357D3">
        <w:rPr>
          <w:noProof/>
        </w:rPr>
        <w:t xml:space="preserve"> w</w:t>
      </w:r>
      <w:r w:rsidR="001C6403">
        <w:rPr>
          <w:noProof/>
        </w:rPr>
        <w:t> </w:t>
      </w:r>
      <w:r w:rsidR="001C6403" w:rsidRPr="001357D3">
        <w:rPr>
          <w:noProof/>
        </w:rPr>
        <w:t>osi</w:t>
      </w:r>
      <w:r w:rsidRPr="001357D3">
        <w:rPr>
          <w:noProof/>
        </w:rPr>
        <w:t>ąganiu określonych</w:t>
      </w:r>
      <w:r w:rsidR="001C6403" w:rsidRPr="001357D3">
        <w:rPr>
          <w:noProof/>
        </w:rPr>
        <w:t xml:space="preserve"> w</w:t>
      </w:r>
      <w:r w:rsidR="001C6403">
        <w:rPr>
          <w:noProof/>
        </w:rPr>
        <w:t> </w:t>
      </w:r>
      <w:r w:rsidR="001C6403" w:rsidRPr="001357D3">
        <w:rPr>
          <w:noProof/>
        </w:rPr>
        <w:t>pro</w:t>
      </w:r>
      <w:r w:rsidRPr="001357D3">
        <w:rPr>
          <w:noProof/>
        </w:rPr>
        <w:t>gramach celów</w:t>
      </w:r>
      <w:r w:rsidR="001C6403" w:rsidRPr="001357D3">
        <w:rPr>
          <w:noProof/>
        </w:rPr>
        <w:t xml:space="preserve"> i</w:t>
      </w:r>
      <w:r w:rsidR="001C6403">
        <w:rPr>
          <w:noProof/>
        </w:rPr>
        <w:t> </w:t>
      </w:r>
      <w:r w:rsidR="001C6403" w:rsidRPr="001357D3">
        <w:rPr>
          <w:noProof/>
        </w:rPr>
        <w:t>zam</w:t>
      </w:r>
      <w:r w:rsidRPr="001357D3">
        <w:rPr>
          <w:noProof/>
        </w:rPr>
        <w:t>ierzonych rezultatów,</w:t>
      </w:r>
      <w:r w:rsidR="001C6403" w:rsidRPr="001357D3">
        <w:rPr>
          <w:noProof/>
        </w:rPr>
        <w:t xml:space="preserve"> w</w:t>
      </w:r>
      <w:r w:rsidR="001C6403">
        <w:rPr>
          <w:noProof/>
        </w:rPr>
        <w:t> </w:t>
      </w:r>
      <w:r w:rsidR="001C6403" w:rsidRPr="001357D3">
        <w:rPr>
          <w:noProof/>
        </w:rPr>
        <w:t>szc</w:t>
      </w:r>
      <w:r w:rsidRPr="001357D3">
        <w:rPr>
          <w:noProof/>
        </w:rPr>
        <w:t>zególności</w:t>
      </w:r>
      <w:r w:rsidR="001C6403" w:rsidRPr="001357D3">
        <w:rPr>
          <w:noProof/>
        </w:rPr>
        <w:t xml:space="preserve"> w</w:t>
      </w:r>
      <w:r w:rsidR="001C6403">
        <w:rPr>
          <w:noProof/>
        </w:rPr>
        <w:t> </w:t>
      </w:r>
      <w:r w:rsidR="001C6403" w:rsidRPr="001357D3">
        <w:rPr>
          <w:noProof/>
        </w:rPr>
        <w:t>zak</w:t>
      </w:r>
      <w:r w:rsidRPr="001357D3">
        <w:rPr>
          <w:noProof/>
        </w:rPr>
        <w:t>resie: (i) poprawy dostępu wszystkich obywateli do usług organizacji społeczeństwa obywatelskiego, działań doradczych oraz wsparcia (62 % respondentów oceniło, że cel ten został osiągnięty</w:t>
      </w:r>
      <w:r w:rsidR="001C6403" w:rsidRPr="001357D3">
        <w:rPr>
          <w:noProof/>
        </w:rPr>
        <w:t xml:space="preserve"> w</w:t>
      </w:r>
      <w:r w:rsidR="001C6403">
        <w:rPr>
          <w:noProof/>
        </w:rPr>
        <w:t> </w:t>
      </w:r>
      <w:r w:rsidR="001C6403" w:rsidRPr="001357D3">
        <w:rPr>
          <w:noProof/>
        </w:rPr>
        <w:t>bar</w:t>
      </w:r>
      <w:r w:rsidRPr="001357D3">
        <w:rPr>
          <w:noProof/>
        </w:rPr>
        <w:t>dzo dużym lub dużym stopniu); (ii) wspierania działań szkoleniowych dla zainteresowanych stron (50 % respondentów oceniło, że cel ten został osiągnięty</w:t>
      </w:r>
      <w:r w:rsidR="001C6403" w:rsidRPr="001357D3">
        <w:rPr>
          <w:noProof/>
        </w:rPr>
        <w:t xml:space="preserve"> w</w:t>
      </w:r>
      <w:r w:rsidR="001C6403">
        <w:rPr>
          <w:noProof/>
        </w:rPr>
        <w:t> </w:t>
      </w:r>
      <w:r w:rsidR="001C6403" w:rsidRPr="001357D3">
        <w:rPr>
          <w:noProof/>
        </w:rPr>
        <w:t>bar</w:t>
      </w:r>
      <w:r w:rsidRPr="001357D3">
        <w:rPr>
          <w:noProof/>
        </w:rPr>
        <w:t>dzo dużym lub dużym stopniu); oraz (iii) zwiększenia interoperacyjności transgranicznej systemów (50 % respondentów oceniło, że cel ten został osiągnięty</w:t>
      </w:r>
      <w:r w:rsidR="001C6403" w:rsidRPr="001357D3">
        <w:rPr>
          <w:noProof/>
        </w:rPr>
        <w:t xml:space="preserve"> w</w:t>
      </w:r>
      <w:r w:rsidR="001C6403">
        <w:rPr>
          <w:noProof/>
        </w:rPr>
        <w:t> </w:t>
      </w:r>
      <w:r w:rsidR="001C6403" w:rsidRPr="001357D3">
        <w:rPr>
          <w:noProof/>
        </w:rPr>
        <w:t>bar</w:t>
      </w:r>
      <w:r w:rsidRPr="001357D3">
        <w:rPr>
          <w:noProof/>
        </w:rPr>
        <w:t>dzo dużym lub dużym stopniu)</w:t>
      </w:r>
      <w:r w:rsidR="001C6403" w:rsidRPr="001357D3">
        <w:rPr>
          <w:noProof/>
        </w:rPr>
        <w:t>. W</w:t>
      </w:r>
      <w:r w:rsidR="001C6403">
        <w:rPr>
          <w:noProof/>
        </w:rPr>
        <w:t> </w:t>
      </w:r>
      <w:r w:rsidR="001C6403" w:rsidRPr="001357D3">
        <w:rPr>
          <w:noProof/>
        </w:rPr>
        <w:t>tym</w:t>
      </w:r>
      <w:r w:rsidRPr="001357D3">
        <w:rPr>
          <w:noProof/>
        </w:rPr>
        <w:t xml:space="preserve"> względzie respondenci podkreślili rozwój systemu e-CODEX i ECRIS,</w:t>
      </w:r>
      <w:r w:rsidR="001C6403" w:rsidRPr="001357D3">
        <w:rPr>
          <w:noProof/>
        </w:rPr>
        <w:t xml:space="preserve"> a</w:t>
      </w:r>
      <w:r w:rsidR="001C6403">
        <w:rPr>
          <w:noProof/>
        </w:rPr>
        <w:t> </w:t>
      </w:r>
      <w:r w:rsidR="001C6403" w:rsidRPr="001357D3">
        <w:rPr>
          <w:noProof/>
        </w:rPr>
        <w:t>tak</w:t>
      </w:r>
      <w:r w:rsidRPr="001357D3">
        <w:rPr>
          <w:noProof/>
        </w:rPr>
        <w:t>że szkolenia</w:t>
      </w:r>
      <w:r w:rsidR="001C6403" w:rsidRPr="001357D3">
        <w:rPr>
          <w:noProof/>
        </w:rPr>
        <w:t xml:space="preserve"> w</w:t>
      </w:r>
      <w:r w:rsidR="001C6403">
        <w:rPr>
          <w:noProof/>
        </w:rPr>
        <w:t> </w:t>
      </w:r>
      <w:r w:rsidR="001C6403" w:rsidRPr="001357D3">
        <w:rPr>
          <w:noProof/>
        </w:rPr>
        <w:t>zak</w:t>
      </w:r>
      <w:r w:rsidRPr="001357D3">
        <w:rPr>
          <w:noProof/>
        </w:rPr>
        <w:t>resie korzystania</w:t>
      </w:r>
      <w:r w:rsidR="001C6403" w:rsidRPr="001357D3">
        <w:rPr>
          <w:noProof/>
        </w:rPr>
        <w:t xml:space="preserve"> z</w:t>
      </w:r>
      <w:r w:rsidR="001C6403">
        <w:rPr>
          <w:noProof/>
        </w:rPr>
        <w:t> </w:t>
      </w:r>
      <w:r w:rsidR="001C6403" w:rsidRPr="001357D3">
        <w:rPr>
          <w:noProof/>
        </w:rPr>
        <w:t>nar</w:t>
      </w:r>
      <w:r w:rsidRPr="001357D3">
        <w:rPr>
          <w:noProof/>
        </w:rPr>
        <w:t>zędzi informatycznych, jako szczególnie adekwatne</w:t>
      </w:r>
      <w:r w:rsidR="001C6403" w:rsidRPr="001357D3">
        <w:rPr>
          <w:noProof/>
        </w:rPr>
        <w:t xml:space="preserve"> i</w:t>
      </w:r>
      <w:r w:rsidR="001C6403">
        <w:rPr>
          <w:noProof/>
        </w:rPr>
        <w:t> </w:t>
      </w:r>
      <w:r w:rsidR="001C6403" w:rsidRPr="001357D3">
        <w:rPr>
          <w:noProof/>
        </w:rPr>
        <w:t>sku</w:t>
      </w:r>
      <w:r w:rsidRPr="001357D3">
        <w:rPr>
          <w:noProof/>
        </w:rPr>
        <w:t>teczne. Jeżeli chodzi</w:t>
      </w:r>
      <w:r w:rsidR="001C6403" w:rsidRPr="001357D3">
        <w:rPr>
          <w:noProof/>
        </w:rPr>
        <w:t xml:space="preserve"> o</w:t>
      </w:r>
      <w:r w:rsidR="001C6403">
        <w:rPr>
          <w:noProof/>
        </w:rPr>
        <w:t> </w:t>
      </w:r>
      <w:r w:rsidR="001C6403" w:rsidRPr="001357D3">
        <w:rPr>
          <w:noProof/>
        </w:rPr>
        <w:t>spó</w:t>
      </w:r>
      <w:r w:rsidRPr="001357D3">
        <w:rPr>
          <w:noProof/>
        </w:rPr>
        <w:t>jność, większość respondentów nie była</w:t>
      </w:r>
      <w:r w:rsidR="001C6403" w:rsidRPr="001357D3">
        <w:rPr>
          <w:noProof/>
        </w:rPr>
        <w:t xml:space="preserve"> w</w:t>
      </w:r>
      <w:r w:rsidR="001C6403">
        <w:rPr>
          <w:noProof/>
        </w:rPr>
        <w:t> </w:t>
      </w:r>
      <w:r w:rsidR="001C6403" w:rsidRPr="001357D3">
        <w:rPr>
          <w:noProof/>
        </w:rPr>
        <w:t>sta</w:t>
      </w:r>
      <w:r w:rsidRPr="001357D3">
        <w:rPr>
          <w:noProof/>
        </w:rPr>
        <w:t>nie porównać programu „Sprawiedliwość”</w:t>
      </w:r>
      <w:r w:rsidR="001C6403" w:rsidRPr="001357D3">
        <w:rPr>
          <w:noProof/>
        </w:rPr>
        <w:t xml:space="preserve"> z</w:t>
      </w:r>
      <w:r w:rsidR="001C6403">
        <w:rPr>
          <w:noProof/>
        </w:rPr>
        <w:t> </w:t>
      </w:r>
      <w:r w:rsidR="001C6403" w:rsidRPr="001357D3">
        <w:rPr>
          <w:noProof/>
        </w:rPr>
        <w:t>inn</w:t>
      </w:r>
      <w:r w:rsidRPr="001357D3">
        <w:rPr>
          <w:noProof/>
        </w:rPr>
        <w:t>ymi programami (jedynie trzech</w:t>
      </w:r>
      <w:r w:rsidR="001C6403" w:rsidRPr="001357D3">
        <w:rPr>
          <w:noProof/>
        </w:rPr>
        <w:t xml:space="preserve"> z</w:t>
      </w:r>
      <w:r w:rsidR="001C6403">
        <w:rPr>
          <w:noProof/>
        </w:rPr>
        <w:t> </w:t>
      </w:r>
      <w:r w:rsidR="001C6403" w:rsidRPr="001357D3">
        <w:rPr>
          <w:noProof/>
        </w:rPr>
        <w:t>ośm</w:t>
      </w:r>
      <w:r w:rsidRPr="001357D3">
        <w:rPr>
          <w:noProof/>
        </w:rPr>
        <w:t>iu respondentów wskazało, że znają inne podobne inicjatywy UE lub krajowe inicjatywy</w:t>
      </w:r>
      <w:r w:rsidR="001C6403" w:rsidRPr="001357D3">
        <w:rPr>
          <w:noProof/>
        </w:rPr>
        <w:t xml:space="preserve"> w</w:t>
      </w:r>
      <w:r w:rsidR="001C6403">
        <w:rPr>
          <w:noProof/>
        </w:rPr>
        <w:t> </w:t>
      </w:r>
      <w:r w:rsidR="001C6403" w:rsidRPr="001357D3">
        <w:rPr>
          <w:noProof/>
        </w:rPr>
        <w:t>dzi</w:t>
      </w:r>
      <w:r w:rsidRPr="001357D3">
        <w:rPr>
          <w:noProof/>
        </w:rPr>
        <w:t>edzinie wymiaru sprawiedliwości). Dwóch respondentów uznało, że programy „Sprawiedliwość”</w:t>
      </w:r>
      <w:r w:rsidR="001C6403" w:rsidRPr="001357D3">
        <w:rPr>
          <w:noProof/>
        </w:rPr>
        <w:t xml:space="preserve"> w</w:t>
      </w:r>
      <w:r w:rsidR="001C6403">
        <w:rPr>
          <w:noProof/>
        </w:rPr>
        <w:t> </w:t>
      </w:r>
      <w:r w:rsidR="001C6403" w:rsidRPr="001357D3">
        <w:rPr>
          <w:noProof/>
        </w:rPr>
        <w:t>duż</w:t>
      </w:r>
      <w:r w:rsidRPr="001357D3">
        <w:rPr>
          <w:noProof/>
        </w:rPr>
        <w:t>ym stopniu uzupełniają inne programy lub inicjatywy UE,</w:t>
      </w:r>
      <w:r w:rsidR="001C6403" w:rsidRPr="001357D3">
        <w:rPr>
          <w:noProof/>
        </w:rPr>
        <w:t xml:space="preserve"> a</w:t>
      </w:r>
      <w:r w:rsidR="001C6403">
        <w:rPr>
          <w:noProof/>
        </w:rPr>
        <w:t> </w:t>
      </w:r>
      <w:r w:rsidR="001C6403" w:rsidRPr="001357D3">
        <w:rPr>
          <w:noProof/>
        </w:rPr>
        <w:t>jed</w:t>
      </w:r>
      <w:r w:rsidRPr="001357D3">
        <w:rPr>
          <w:noProof/>
        </w:rPr>
        <w:t>en</w:t>
      </w:r>
      <w:r w:rsidR="001C6403" w:rsidRPr="001357D3">
        <w:rPr>
          <w:noProof/>
        </w:rPr>
        <w:t xml:space="preserve"> w</w:t>
      </w:r>
      <w:r w:rsidR="001C6403">
        <w:rPr>
          <w:noProof/>
        </w:rPr>
        <w:t> </w:t>
      </w:r>
      <w:r w:rsidR="001C6403" w:rsidRPr="001357D3">
        <w:rPr>
          <w:noProof/>
        </w:rPr>
        <w:t>ogr</w:t>
      </w:r>
      <w:r w:rsidRPr="001357D3">
        <w:rPr>
          <w:noProof/>
        </w:rPr>
        <w:t>aniczonym zakresie. Respondenci byli zgodni co do unijnej wartości dodanej obu programów,</w:t>
      </w:r>
      <w:r w:rsidR="001C6403" w:rsidRPr="001357D3">
        <w:rPr>
          <w:noProof/>
        </w:rPr>
        <w:t xml:space="preserve"> a</w:t>
      </w:r>
      <w:r w:rsidR="001C6403">
        <w:rPr>
          <w:noProof/>
        </w:rPr>
        <w:t> </w:t>
      </w:r>
      <w:r w:rsidR="001C6403" w:rsidRPr="001357D3">
        <w:rPr>
          <w:noProof/>
        </w:rPr>
        <w:t>wsz</w:t>
      </w:r>
      <w:r w:rsidRPr="001357D3">
        <w:rPr>
          <w:noProof/>
        </w:rPr>
        <w:t>yscy respondenci uznali, że UE jest najlepiej predysponowana do finansowania tego rodzaju działań</w:t>
      </w:r>
      <w:r w:rsidR="001C6403" w:rsidRPr="001357D3">
        <w:rPr>
          <w:noProof/>
        </w:rPr>
        <w:t xml:space="preserve"> w</w:t>
      </w:r>
      <w:r w:rsidR="001C6403">
        <w:rPr>
          <w:noProof/>
        </w:rPr>
        <w:t> </w:t>
      </w:r>
      <w:r w:rsidR="001C6403" w:rsidRPr="001357D3">
        <w:rPr>
          <w:noProof/>
        </w:rPr>
        <w:t>ram</w:t>
      </w:r>
      <w:r w:rsidRPr="001357D3">
        <w:rPr>
          <w:noProof/>
        </w:rPr>
        <w:t>ach programu „Sprawiedliwość”, ponieważ zaangażowanie UE zapewniło przestrzeganie tych samych standardów przez wszystkie państwa członkowskie, co zaowocowało bardziej wyrównanym dostępem do wymiaru sprawiedliwości</w:t>
      </w:r>
      <w:r w:rsidR="001C6403" w:rsidRPr="001357D3">
        <w:rPr>
          <w:noProof/>
        </w:rPr>
        <w:t>. W</w:t>
      </w:r>
      <w:r w:rsidR="001C6403">
        <w:rPr>
          <w:noProof/>
        </w:rPr>
        <w:t> </w:t>
      </w:r>
      <w:r w:rsidR="001C6403" w:rsidRPr="001357D3">
        <w:rPr>
          <w:noProof/>
        </w:rPr>
        <w:t>rez</w:t>
      </w:r>
      <w:r w:rsidRPr="001357D3">
        <w:rPr>
          <w:noProof/>
        </w:rPr>
        <w:t>ultacie większość respondentów uznała, że gdyby program „Sprawiedliwość” na lata 2021–2027 miał się zakończyć, państwa członkowskie nie byłyby</w:t>
      </w:r>
      <w:r w:rsidR="001C6403" w:rsidRPr="001357D3">
        <w:rPr>
          <w:noProof/>
        </w:rPr>
        <w:t xml:space="preserve"> w</w:t>
      </w:r>
      <w:r w:rsidR="001C6403">
        <w:rPr>
          <w:noProof/>
        </w:rPr>
        <w:t> </w:t>
      </w:r>
      <w:r w:rsidR="001C6403" w:rsidRPr="001357D3">
        <w:rPr>
          <w:noProof/>
        </w:rPr>
        <w:t>sta</w:t>
      </w:r>
      <w:r w:rsidRPr="001357D3">
        <w:rPr>
          <w:noProof/>
        </w:rPr>
        <w:t>nie osiągnąć podobnych wyników na szczeblu krajowym, regionalnym lub lokalnym,</w:t>
      </w:r>
      <w:r w:rsidR="001C6403" w:rsidRPr="001357D3">
        <w:rPr>
          <w:noProof/>
        </w:rPr>
        <w:t xml:space="preserve"> a</w:t>
      </w:r>
      <w:r w:rsidR="001C6403">
        <w:rPr>
          <w:noProof/>
        </w:rPr>
        <w:t> </w:t>
      </w:r>
      <w:r w:rsidR="001C6403" w:rsidRPr="001357D3">
        <w:rPr>
          <w:noProof/>
        </w:rPr>
        <w:t>wsp</w:t>
      </w:r>
      <w:r w:rsidRPr="001357D3">
        <w:rPr>
          <w:noProof/>
        </w:rPr>
        <w:t xml:space="preserve">ółpraca techniczna zostałaby ograniczona do projektów dwustronnych na mniejszą skalę, realizowanych przez sąsiadując państwa członkowskie, </w:t>
      </w:r>
      <w:r w:rsidRPr="001357D3">
        <w:rPr>
          <w:noProof/>
        </w:rPr>
        <w:lastRenderedPageBreak/>
        <w:t>podczas gdy niektóre organizacje</w:t>
      </w:r>
      <w:r w:rsidR="001C6403" w:rsidRPr="001357D3">
        <w:rPr>
          <w:noProof/>
        </w:rPr>
        <w:t xml:space="preserve"> w</w:t>
      </w:r>
      <w:r w:rsidR="001C6403">
        <w:rPr>
          <w:noProof/>
        </w:rPr>
        <w:t> </w:t>
      </w:r>
      <w:r w:rsidR="001C6403" w:rsidRPr="001357D3">
        <w:rPr>
          <w:noProof/>
        </w:rPr>
        <w:t>ogó</w:t>
      </w:r>
      <w:r w:rsidRPr="001357D3">
        <w:rPr>
          <w:noProof/>
        </w:rPr>
        <w:t>le nie byłyby</w:t>
      </w:r>
      <w:r w:rsidR="001C6403" w:rsidRPr="001357D3">
        <w:rPr>
          <w:noProof/>
        </w:rPr>
        <w:t xml:space="preserve"> w</w:t>
      </w:r>
      <w:r w:rsidR="001C6403">
        <w:rPr>
          <w:noProof/>
        </w:rPr>
        <w:t> </w:t>
      </w:r>
      <w:r w:rsidR="001C6403" w:rsidRPr="001357D3">
        <w:rPr>
          <w:noProof/>
        </w:rPr>
        <w:t>sta</w:t>
      </w:r>
      <w:r w:rsidRPr="001357D3">
        <w:rPr>
          <w:noProof/>
        </w:rPr>
        <w:t>nie zapewnić finansowania. Sprawozdanie podsumowujące na temat otwartych konsultacji publicznych jest dostępne na platformie Komisji Europejskiej „Wyraź swoją opinię”</w:t>
      </w:r>
      <w:r w:rsidRPr="001357D3">
        <w:rPr>
          <w:rStyle w:val="Odwoanieprzypisudolnego"/>
          <w:rFonts w:eastAsia="Times New Roman"/>
          <w:noProof/>
        </w:rPr>
        <w:footnoteReference w:id="36"/>
      </w:r>
      <w:r w:rsidRPr="001357D3">
        <w:rPr>
          <w:noProof/>
        </w:rPr>
        <w:t>.</w:t>
      </w:r>
    </w:p>
    <w:p w14:paraId="2577CF0F" w14:textId="463C1DDB" w:rsidR="534FF4A4" w:rsidRPr="001357D3" w:rsidRDefault="1A17DFAA" w:rsidP="008A4B4E">
      <w:pPr>
        <w:pBdr>
          <w:top w:val="nil"/>
          <w:left w:val="nil"/>
          <w:bottom w:val="nil"/>
          <w:right w:val="nil"/>
          <w:between w:val="nil"/>
          <w:bar w:val="nil"/>
        </w:pBdr>
        <w:spacing w:before="0"/>
        <w:rPr>
          <w:rFonts w:eastAsia="Times New Roman"/>
          <w:noProof/>
        </w:rPr>
      </w:pPr>
      <w:r w:rsidRPr="001357D3">
        <w:rPr>
          <w:noProof/>
        </w:rPr>
        <w:t>Drugie otwarte konsultacje publiczne, które stanowiły podstawę oceny skutków programów UE</w:t>
      </w:r>
      <w:r w:rsidR="001C6403" w:rsidRPr="001357D3">
        <w:rPr>
          <w:noProof/>
        </w:rPr>
        <w:t xml:space="preserve"> w</w:t>
      </w:r>
      <w:r w:rsidR="001C6403">
        <w:rPr>
          <w:noProof/>
        </w:rPr>
        <w:t> </w:t>
      </w:r>
      <w:r w:rsidR="001C6403" w:rsidRPr="001357D3">
        <w:rPr>
          <w:noProof/>
        </w:rPr>
        <w:t>dzi</w:t>
      </w:r>
      <w:r w:rsidRPr="001357D3">
        <w:rPr>
          <w:noProof/>
        </w:rPr>
        <w:t>edzinie edukacji transgranicznej, młodzieży, kultury, mediów, wartości</w:t>
      </w:r>
      <w:r w:rsidR="001C6403" w:rsidRPr="001357D3">
        <w:rPr>
          <w:noProof/>
        </w:rPr>
        <w:t xml:space="preserve"> i</w:t>
      </w:r>
      <w:r w:rsidR="001C6403">
        <w:rPr>
          <w:noProof/>
        </w:rPr>
        <w:t> </w:t>
      </w:r>
      <w:r w:rsidR="001C6403" w:rsidRPr="001357D3">
        <w:rPr>
          <w:noProof/>
        </w:rPr>
        <w:t>spo</w:t>
      </w:r>
      <w:r w:rsidRPr="001357D3">
        <w:rPr>
          <w:noProof/>
        </w:rPr>
        <w:t>łeczeństwa obywatelskiego w WRF na lata 2028–2034, przeprowadzono</w:t>
      </w:r>
      <w:r w:rsidR="001C6403" w:rsidRPr="001357D3">
        <w:rPr>
          <w:noProof/>
        </w:rPr>
        <w:t xml:space="preserve"> w</w:t>
      </w:r>
      <w:r w:rsidR="001C6403">
        <w:rPr>
          <w:noProof/>
        </w:rPr>
        <w:t> </w:t>
      </w:r>
      <w:r w:rsidR="001C6403" w:rsidRPr="001357D3">
        <w:rPr>
          <w:noProof/>
        </w:rPr>
        <w:t>okr</w:t>
      </w:r>
      <w:r w:rsidRPr="001357D3">
        <w:rPr>
          <w:noProof/>
        </w:rPr>
        <w:t xml:space="preserve">esie </w:t>
      </w:r>
      <w:r w:rsidRPr="001C6403">
        <w:rPr>
          <w:noProof/>
        </w:rPr>
        <w:t>od</w:t>
      </w:r>
      <w:r w:rsidR="001C6403" w:rsidRPr="001C6403">
        <w:rPr>
          <w:noProof/>
        </w:rPr>
        <w:t> </w:t>
      </w:r>
      <w:r w:rsidRPr="001C6403">
        <w:rPr>
          <w:noProof/>
        </w:rPr>
        <w:t>1</w:t>
      </w:r>
      <w:r w:rsidRPr="001357D3">
        <w:rPr>
          <w:noProof/>
        </w:rPr>
        <w:t xml:space="preserve">2 lutego </w:t>
      </w:r>
      <w:r w:rsidRPr="001C6403">
        <w:rPr>
          <w:noProof/>
        </w:rPr>
        <w:t>do</w:t>
      </w:r>
      <w:r w:rsidR="001C6403" w:rsidRPr="001C6403">
        <w:rPr>
          <w:noProof/>
        </w:rPr>
        <w:t> </w:t>
      </w:r>
      <w:r w:rsidRPr="001C6403">
        <w:rPr>
          <w:noProof/>
        </w:rPr>
        <w:t>7</w:t>
      </w:r>
      <w:r w:rsidRPr="001357D3">
        <w:rPr>
          <w:noProof/>
        </w:rPr>
        <w:t> maja 2025 r.</w:t>
      </w:r>
      <w:r w:rsidRPr="001357D3">
        <w:rPr>
          <w:rStyle w:val="Odwoanieprzypisudolnego"/>
          <w:rFonts w:eastAsia="Times New Roman"/>
          <w:noProof/>
        </w:rPr>
        <w:footnoteReference w:id="37"/>
      </w:r>
      <w:r w:rsidRPr="001357D3">
        <w:rPr>
          <w:noProof/>
        </w:rPr>
        <w:t xml:space="preserve"> Programy UE będące przedmiotem tych otartych konsultacji publicznych to: Kreatywna Europa, Erasmus+, Europejski Korpus Solidarności, program „Obywatele, równość, prawa</w:t>
      </w:r>
      <w:r w:rsidR="001C6403" w:rsidRPr="001357D3">
        <w:rPr>
          <w:noProof/>
        </w:rPr>
        <w:t xml:space="preserve"> i</w:t>
      </w:r>
      <w:r w:rsidR="001C6403">
        <w:rPr>
          <w:noProof/>
        </w:rPr>
        <w:t> </w:t>
      </w:r>
      <w:r w:rsidR="001C6403" w:rsidRPr="001357D3">
        <w:rPr>
          <w:noProof/>
        </w:rPr>
        <w:t>war</w:t>
      </w:r>
      <w:r w:rsidRPr="001357D3">
        <w:rPr>
          <w:noProof/>
        </w:rPr>
        <w:t>tości” oraz program „Sprawiedliwość”. Celem tych otwartych konsultacji publicznych była pomoc</w:t>
      </w:r>
      <w:r w:rsidR="001C6403" w:rsidRPr="001357D3">
        <w:rPr>
          <w:noProof/>
        </w:rPr>
        <w:t xml:space="preserve"> w</w:t>
      </w:r>
      <w:r w:rsidR="001C6403">
        <w:rPr>
          <w:noProof/>
        </w:rPr>
        <w:t> </w:t>
      </w:r>
      <w:r w:rsidR="001C6403" w:rsidRPr="001357D3">
        <w:rPr>
          <w:noProof/>
        </w:rPr>
        <w:t>oce</w:t>
      </w:r>
      <w:r w:rsidRPr="001357D3">
        <w:rPr>
          <w:noProof/>
        </w:rPr>
        <w:t>nie postrzegania przez społeczeństwo adekwatności</w:t>
      </w:r>
      <w:r w:rsidR="001C6403" w:rsidRPr="001357D3">
        <w:rPr>
          <w:noProof/>
        </w:rPr>
        <w:t xml:space="preserve"> i</w:t>
      </w:r>
      <w:r w:rsidR="001C6403">
        <w:rPr>
          <w:noProof/>
        </w:rPr>
        <w:t> </w:t>
      </w:r>
      <w:r w:rsidR="001C6403" w:rsidRPr="001357D3">
        <w:rPr>
          <w:noProof/>
        </w:rPr>
        <w:t>uni</w:t>
      </w:r>
      <w:r w:rsidRPr="001357D3">
        <w:rPr>
          <w:noProof/>
        </w:rPr>
        <w:t>jnej wartości dodanej programów UE oraz określenie barier</w:t>
      </w:r>
      <w:r w:rsidR="001C6403" w:rsidRPr="001357D3">
        <w:rPr>
          <w:noProof/>
        </w:rPr>
        <w:t xml:space="preserve"> w</w:t>
      </w:r>
      <w:r w:rsidR="001C6403">
        <w:rPr>
          <w:noProof/>
        </w:rPr>
        <w:t> </w:t>
      </w:r>
      <w:r w:rsidR="001C6403" w:rsidRPr="001357D3">
        <w:rPr>
          <w:noProof/>
        </w:rPr>
        <w:t>kon</w:t>
      </w:r>
      <w:r w:rsidRPr="001357D3">
        <w:rPr>
          <w:noProof/>
        </w:rPr>
        <w:t>tekście ich konkretnego wpływu</w:t>
      </w:r>
      <w:r w:rsidR="001C6403" w:rsidRPr="001357D3">
        <w:rPr>
          <w:noProof/>
        </w:rPr>
        <w:t xml:space="preserve"> i</w:t>
      </w:r>
      <w:r w:rsidR="001C6403">
        <w:rPr>
          <w:noProof/>
        </w:rPr>
        <w:t> </w:t>
      </w:r>
      <w:r w:rsidR="001C6403" w:rsidRPr="001357D3">
        <w:rPr>
          <w:noProof/>
        </w:rPr>
        <w:t>pot</w:t>
      </w:r>
      <w:r w:rsidRPr="001357D3">
        <w:rPr>
          <w:noProof/>
        </w:rPr>
        <w:t>encjalnych usprawnień</w:t>
      </w:r>
      <w:r w:rsidR="001C6403" w:rsidRPr="001357D3">
        <w:rPr>
          <w:noProof/>
        </w:rPr>
        <w:t xml:space="preserve"> w</w:t>
      </w:r>
      <w:r w:rsidR="001C6403">
        <w:rPr>
          <w:noProof/>
        </w:rPr>
        <w:t> </w:t>
      </w:r>
      <w:r w:rsidR="001C6403" w:rsidRPr="001357D3">
        <w:rPr>
          <w:noProof/>
        </w:rPr>
        <w:t>str</w:t>
      </w:r>
      <w:r w:rsidRPr="001357D3">
        <w:rPr>
          <w:noProof/>
        </w:rPr>
        <w:t>ukturze programów</w:t>
      </w:r>
      <w:r w:rsidR="001C6403" w:rsidRPr="001357D3">
        <w:rPr>
          <w:noProof/>
        </w:rPr>
        <w:t>. W</w:t>
      </w:r>
      <w:r w:rsidR="001C6403">
        <w:rPr>
          <w:noProof/>
        </w:rPr>
        <w:t> </w:t>
      </w:r>
      <w:r w:rsidR="001C6403" w:rsidRPr="001357D3">
        <w:rPr>
          <w:noProof/>
        </w:rPr>
        <w:t>ram</w:t>
      </w:r>
      <w:r w:rsidRPr="001357D3">
        <w:rPr>
          <w:noProof/>
        </w:rPr>
        <w:t xml:space="preserve">ach konsultacji publicznych otrzymano 4 861 odpowiedzi </w:t>
      </w:r>
      <w:r w:rsidRPr="001C6403">
        <w:rPr>
          <w:noProof/>
        </w:rPr>
        <w:t>od</w:t>
      </w:r>
      <w:r w:rsidR="001C6403" w:rsidRPr="001C6403">
        <w:rPr>
          <w:noProof/>
        </w:rPr>
        <w:t> </w:t>
      </w:r>
      <w:r w:rsidRPr="001C6403">
        <w:rPr>
          <w:noProof/>
        </w:rPr>
        <w:t>1</w:t>
      </w:r>
      <w:r w:rsidRPr="001357D3">
        <w:rPr>
          <w:noProof/>
        </w:rPr>
        <w:t>10 państw, obejmujących wszystkie państwa członkowskie UE oraz państwa niebędące członkami UE</w:t>
      </w:r>
      <w:r w:rsidRPr="001357D3">
        <w:rPr>
          <w:rStyle w:val="Odwoanieprzypisudolnego"/>
          <w:rFonts w:eastAsia="Times New Roman"/>
          <w:noProof/>
        </w:rPr>
        <w:footnoteReference w:id="38"/>
      </w:r>
      <w:r w:rsidRPr="001357D3">
        <w:rPr>
          <w:noProof/>
        </w:rPr>
        <w:t>. Większość</w:t>
      </w:r>
      <w:r w:rsidR="001C6403" w:rsidRPr="001357D3">
        <w:rPr>
          <w:noProof/>
        </w:rPr>
        <w:t xml:space="preserve"> z</w:t>
      </w:r>
      <w:r w:rsidR="001C6403">
        <w:rPr>
          <w:noProof/>
        </w:rPr>
        <w:t> </w:t>
      </w:r>
      <w:r w:rsidR="001C6403" w:rsidRPr="001357D3">
        <w:rPr>
          <w:noProof/>
        </w:rPr>
        <w:t>tyc</w:t>
      </w:r>
      <w:r w:rsidRPr="001357D3">
        <w:rPr>
          <w:noProof/>
        </w:rPr>
        <w:t>h odpowiedzi pochodziła od respondentów mających doświadczenie</w:t>
      </w:r>
      <w:r w:rsidR="001C6403" w:rsidRPr="001357D3">
        <w:rPr>
          <w:noProof/>
        </w:rPr>
        <w:t xml:space="preserve"> w</w:t>
      </w:r>
      <w:r w:rsidR="001C6403">
        <w:rPr>
          <w:noProof/>
        </w:rPr>
        <w:t> </w:t>
      </w:r>
      <w:r w:rsidR="001C6403" w:rsidRPr="001357D3">
        <w:rPr>
          <w:noProof/>
        </w:rPr>
        <w:t>zak</w:t>
      </w:r>
      <w:r w:rsidRPr="001357D3">
        <w:rPr>
          <w:noProof/>
        </w:rPr>
        <w:t>resie programu Erasmus+</w:t>
      </w:r>
      <w:r w:rsidR="001C6403" w:rsidRPr="001357D3">
        <w:rPr>
          <w:noProof/>
        </w:rPr>
        <w:t xml:space="preserve"> i</w:t>
      </w:r>
      <w:r w:rsidR="001C6403">
        <w:rPr>
          <w:noProof/>
        </w:rPr>
        <w:t> </w:t>
      </w:r>
      <w:r w:rsidR="001C6403" w:rsidRPr="001357D3">
        <w:rPr>
          <w:noProof/>
        </w:rPr>
        <w:t>Eur</w:t>
      </w:r>
      <w:r w:rsidRPr="001357D3">
        <w:rPr>
          <w:noProof/>
        </w:rPr>
        <w:t>opejskiego Korpusu Solidarności; jedynie 60 respondentów zadeklarowało doświadczenie</w:t>
      </w:r>
      <w:r w:rsidR="001C6403" w:rsidRPr="001357D3">
        <w:rPr>
          <w:noProof/>
        </w:rPr>
        <w:t xml:space="preserve"> w</w:t>
      </w:r>
      <w:r w:rsidR="001C6403">
        <w:rPr>
          <w:noProof/>
        </w:rPr>
        <w:t> </w:t>
      </w:r>
      <w:r w:rsidR="001C6403" w:rsidRPr="001357D3">
        <w:rPr>
          <w:noProof/>
        </w:rPr>
        <w:t>zak</w:t>
      </w:r>
      <w:r w:rsidRPr="001357D3">
        <w:rPr>
          <w:noProof/>
        </w:rPr>
        <w:t>resie realizacji programu „Sprawiedliwość”. 51 % odpowiedzi pochodziło od obywateli UE</w:t>
      </w:r>
      <w:r w:rsidR="001C6403" w:rsidRPr="001357D3">
        <w:rPr>
          <w:noProof/>
        </w:rPr>
        <w:t>. W</w:t>
      </w:r>
      <w:r w:rsidR="001C6403">
        <w:rPr>
          <w:noProof/>
        </w:rPr>
        <w:t> </w:t>
      </w:r>
      <w:r w:rsidR="001C6403" w:rsidRPr="001357D3">
        <w:rPr>
          <w:noProof/>
        </w:rPr>
        <w:t>tej</w:t>
      </w:r>
      <w:r w:rsidRPr="001357D3">
        <w:rPr>
          <w:noProof/>
        </w:rPr>
        <w:t xml:space="preserve"> grupie około 1 200 respondentów było</w:t>
      </w:r>
      <w:r w:rsidR="001C6403" w:rsidRPr="001357D3">
        <w:rPr>
          <w:noProof/>
        </w:rPr>
        <w:t xml:space="preserve"> w</w:t>
      </w:r>
      <w:r w:rsidR="001C6403">
        <w:rPr>
          <w:noProof/>
        </w:rPr>
        <w:t> </w:t>
      </w:r>
      <w:r w:rsidR="001C6403" w:rsidRPr="001357D3">
        <w:rPr>
          <w:noProof/>
        </w:rPr>
        <w:t>wie</w:t>
      </w:r>
      <w:r w:rsidRPr="001357D3">
        <w:rPr>
          <w:noProof/>
        </w:rPr>
        <w:t>ku poniżej 30 </w:t>
      </w:r>
      <w:r w:rsidRPr="001C6403">
        <w:rPr>
          <w:noProof/>
        </w:rPr>
        <w:t>lat.</w:t>
      </w:r>
      <w:r w:rsidR="001C6403" w:rsidRPr="001C6403">
        <w:rPr>
          <w:noProof/>
        </w:rPr>
        <w:t> </w:t>
      </w:r>
      <w:r w:rsidRPr="001C6403">
        <w:rPr>
          <w:noProof/>
        </w:rPr>
        <w:t>4</w:t>
      </w:r>
      <w:r w:rsidRPr="001357D3">
        <w:rPr>
          <w:noProof/>
        </w:rPr>
        <w:t>9 % odpowiedzi pochodziło od organizacji</w:t>
      </w:r>
      <w:r w:rsidR="001C6403" w:rsidRPr="001357D3">
        <w:rPr>
          <w:noProof/>
        </w:rPr>
        <w:t xml:space="preserve"> i</w:t>
      </w:r>
      <w:r w:rsidR="001C6403">
        <w:rPr>
          <w:noProof/>
        </w:rPr>
        <w:t> </w:t>
      </w:r>
      <w:r w:rsidR="001C6403" w:rsidRPr="001357D3">
        <w:rPr>
          <w:noProof/>
        </w:rPr>
        <w:t>ins</w:t>
      </w:r>
      <w:r w:rsidRPr="001357D3">
        <w:rPr>
          <w:noProof/>
        </w:rPr>
        <w:t>tytucji. Wśród nich 17 % stanowiły odpowiedzi instytucji akademickich</w:t>
      </w:r>
      <w:r w:rsidR="001C6403" w:rsidRPr="001357D3">
        <w:rPr>
          <w:noProof/>
        </w:rPr>
        <w:t xml:space="preserve"> i</w:t>
      </w:r>
      <w:r w:rsidR="001C6403">
        <w:rPr>
          <w:noProof/>
        </w:rPr>
        <w:t> </w:t>
      </w:r>
      <w:r w:rsidR="001C6403" w:rsidRPr="001357D3">
        <w:rPr>
          <w:noProof/>
        </w:rPr>
        <w:t>bad</w:t>
      </w:r>
      <w:r w:rsidRPr="001357D3">
        <w:rPr>
          <w:noProof/>
        </w:rPr>
        <w:t>awczych,</w:t>
      </w:r>
      <w:r w:rsidR="001C6403" w:rsidRPr="001357D3">
        <w:rPr>
          <w:noProof/>
        </w:rPr>
        <w:t xml:space="preserve"> z</w:t>
      </w:r>
      <w:r w:rsidR="001C6403">
        <w:rPr>
          <w:noProof/>
        </w:rPr>
        <w:t> </w:t>
      </w:r>
      <w:r w:rsidR="001C6403" w:rsidRPr="001357D3">
        <w:rPr>
          <w:noProof/>
        </w:rPr>
        <w:t>któ</w:t>
      </w:r>
      <w:r w:rsidRPr="001357D3">
        <w:rPr>
          <w:noProof/>
        </w:rPr>
        <w:t>rych większość to duże instytucje – 69 %</w:t>
      </w:r>
      <w:r w:rsidR="001C6403" w:rsidRPr="001357D3">
        <w:rPr>
          <w:noProof/>
        </w:rPr>
        <w:t xml:space="preserve"> z</w:t>
      </w:r>
      <w:r w:rsidR="001C6403">
        <w:rPr>
          <w:noProof/>
        </w:rPr>
        <w:t> </w:t>
      </w:r>
      <w:r w:rsidR="001C6403" w:rsidRPr="001357D3">
        <w:rPr>
          <w:noProof/>
        </w:rPr>
        <w:t>nic</w:t>
      </w:r>
      <w:r w:rsidRPr="001357D3">
        <w:rPr>
          <w:noProof/>
        </w:rPr>
        <w:t>h zatrudniało ponad 250 osób. Kolejne 11 % odpowiedzi pochodziło od organizacji pozarządowych (NGO),</w:t>
      </w:r>
      <w:r w:rsidR="001C6403" w:rsidRPr="001357D3">
        <w:rPr>
          <w:noProof/>
        </w:rPr>
        <w:t xml:space="preserve"> z</w:t>
      </w:r>
      <w:r w:rsidR="001C6403">
        <w:rPr>
          <w:noProof/>
        </w:rPr>
        <w:t> </w:t>
      </w:r>
      <w:r w:rsidR="001C6403" w:rsidRPr="001357D3">
        <w:rPr>
          <w:noProof/>
        </w:rPr>
        <w:t>któ</w:t>
      </w:r>
      <w:r w:rsidRPr="001357D3">
        <w:rPr>
          <w:noProof/>
        </w:rPr>
        <w:t>rych kilka stanowi parasolowe sieci organizacji społeczeństwa obywatelskiego. Organy publiczne,</w:t>
      </w:r>
      <w:r w:rsidR="001C6403" w:rsidRPr="001357D3">
        <w:rPr>
          <w:noProof/>
        </w:rPr>
        <w:t xml:space="preserve"> w</w:t>
      </w:r>
      <w:r w:rsidR="001C6403">
        <w:rPr>
          <w:noProof/>
        </w:rPr>
        <w:t> </w:t>
      </w:r>
      <w:r w:rsidR="001C6403" w:rsidRPr="001357D3">
        <w:rPr>
          <w:noProof/>
        </w:rPr>
        <w:t>tym</w:t>
      </w:r>
      <w:r w:rsidRPr="001357D3">
        <w:rPr>
          <w:noProof/>
        </w:rPr>
        <w:t xml:space="preserve"> podmioty międzynarodowe, krajowe, regionalne</w:t>
      </w:r>
      <w:r w:rsidR="001C6403" w:rsidRPr="001357D3">
        <w:rPr>
          <w:noProof/>
        </w:rPr>
        <w:t xml:space="preserve"> i</w:t>
      </w:r>
      <w:r w:rsidR="001C6403">
        <w:rPr>
          <w:noProof/>
        </w:rPr>
        <w:t> </w:t>
      </w:r>
      <w:r w:rsidR="001C6403" w:rsidRPr="001357D3">
        <w:rPr>
          <w:noProof/>
        </w:rPr>
        <w:t>lok</w:t>
      </w:r>
      <w:r w:rsidRPr="001357D3">
        <w:rPr>
          <w:noProof/>
        </w:rPr>
        <w:t>alne, udzieliły 232 odpowiedzi. Kolejne 208 odpowiedzi pochodziło od przedsiębiorstw</w:t>
      </w:r>
      <w:r w:rsidR="001C6403" w:rsidRPr="001357D3">
        <w:rPr>
          <w:noProof/>
        </w:rPr>
        <w:t xml:space="preserve"> i</w:t>
      </w:r>
      <w:r w:rsidR="001C6403">
        <w:rPr>
          <w:noProof/>
        </w:rPr>
        <w:t> </w:t>
      </w:r>
      <w:r w:rsidR="001C6403" w:rsidRPr="001357D3">
        <w:rPr>
          <w:noProof/>
        </w:rPr>
        <w:t>pod</w:t>
      </w:r>
      <w:r w:rsidRPr="001357D3">
        <w:rPr>
          <w:noProof/>
        </w:rPr>
        <w:t>miotów gospodarczych. Otrzymano niewielką liczbę dodatkowych odpowiedzi (około 45) od związków zawodowych, stowarzyszeń przedsiębiorców, grup konsumentów</w:t>
      </w:r>
      <w:r w:rsidR="001C6403" w:rsidRPr="001357D3">
        <w:rPr>
          <w:noProof/>
        </w:rPr>
        <w:t xml:space="preserve"> i</w:t>
      </w:r>
      <w:r w:rsidR="001C6403">
        <w:rPr>
          <w:noProof/>
        </w:rPr>
        <w:t> </w:t>
      </w:r>
      <w:r w:rsidR="001C6403" w:rsidRPr="001357D3">
        <w:rPr>
          <w:noProof/>
        </w:rPr>
        <w:t>org</w:t>
      </w:r>
      <w:r w:rsidRPr="001357D3">
        <w:rPr>
          <w:noProof/>
        </w:rPr>
        <w:t>anizacji ekologicznych.</w:t>
      </w:r>
    </w:p>
    <w:p w14:paraId="647985B3" w14:textId="16E3A4D7" w:rsidR="10DB5CE3" w:rsidRPr="001357D3" w:rsidRDefault="00D5454E" w:rsidP="008A4B4E">
      <w:pPr>
        <w:spacing w:before="0"/>
        <w:rPr>
          <w:rFonts w:eastAsia="Times New Roman"/>
          <w:noProof/>
          <w:szCs w:val="24"/>
        </w:rPr>
      </w:pPr>
      <w:r w:rsidRPr="001357D3">
        <w:rPr>
          <w:noProof/>
        </w:rPr>
        <w:t>Poniżej wyszczególniono kilka najważniejszych odpowiedzi związanych</w:t>
      </w:r>
      <w:r w:rsidR="001C6403" w:rsidRPr="001357D3">
        <w:rPr>
          <w:noProof/>
        </w:rPr>
        <w:t xml:space="preserve"> z</w:t>
      </w:r>
      <w:r w:rsidR="001C6403">
        <w:rPr>
          <w:noProof/>
        </w:rPr>
        <w:t> </w:t>
      </w:r>
      <w:r w:rsidR="001C6403" w:rsidRPr="001357D3">
        <w:rPr>
          <w:noProof/>
        </w:rPr>
        <w:t>wym</w:t>
      </w:r>
      <w:r w:rsidRPr="001357D3">
        <w:rPr>
          <w:noProof/>
        </w:rPr>
        <w:t>iarem sprawiedliwości:</w:t>
      </w:r>
    </w:p>
    <w:p w14:paraId="2D1226E7" w14:textId="3FCB9D07" w:rsidR="00D7335F" w:rsidRPr="001357D3" w:rsidRDefault="00D7335F" w:rsidP="000F1A35">
      <w:pPr>
        <w:pStyle w:val="Tiret0"/>
        <w:numPr>
          <w:ilvl w:val="0"/>
          <w:numId w:val="27"/>
        </w:numPr>
        <w:tabs>
          <w:tab w:val="clear" w:pos="850"/>
        </w:tabs>
        <w:ind w:left="567" w:hanging="425"/>
        <w:rPr>
          <w:noProof/>
        </w:rPr>
      </w:pPr>
      <w:r w:rsidRPr="001357D3">
        <w:rPr>
          <w:noProof/>
        </w:rPr>
        <w:t>według respondentów „utrzymanie</w:t>
      </w:r>
      <w:r w:rsidR="001C6403" w:rsidRPr="001357D3">
        <w:rPr>
          <w:noProof/>
        </w:rPr>
        <w:t xml:space="preserve"> i</w:t>
      </w:r>
      <w:r w:rsidR="001C6403">
        <w:rPr>
          <w:noProof/>
        </w:rPr>
        <w:t> </w:t>
      </w:r>
      <w:r w:rsidR="001C6403" w:rsidRPr="001357D3">
        <w:rPr>
          <w:noProof/>
        </w:rPr>
        <w:t>pro</w:t>
      </w:r>
      <w:r w:rsidRPr="001357D3">
        <w:rPr>
          <w:noProof/>
        </w:rPr>
        <w:t>pagowanie praworządności” jest ważnym (22,51 %)</w:t>
      </w:r>
      <w:r w:rsidR="001C6403" w:rsidRPr="001357D3">
        <w:rPr>
          <w:noProof/>
        </w:rPr>
        <w:t xml:space="preserve"> i</w:t>
      </w:r>
      <w:r w:rsidR="001C6403">
        <w:rPr>
          <w:noProof/>
        </w:rPr>
        <w:t> </w:t>
      </w:r>
      <w:r w:rsidR="001C6403" w:rsidRPr="001357D3">
        <w:rPr>
          <w:noProof/>
        </w:rPr>
        <w:t>bar</w:t>
      </w:r>
      <w:r w:rsidRPr="001357D3">
        <w:rPr>
          <w:noProof/>
        </w:rPr>
        <w:t>dzo ważnym priorytetem politycznym (58,71 %) oraz obszarem,</w:t>
      </w:r>
      <w:r w:rsidR="001C6403" w:rsidRPr="001357D3">
        <w:rPr>
          <w:noProof/>
        </w:rPr>
        <w:t xml:space="preserve"> w</w:t>
      </w:r>
      <w:r w:rsidR="001C6403">
        <w:rPr>
          <w:noProof/>
        </w:rPr>
        <w:t> </w:t>
      </w:r>
      <w:r w:rsidR="001C6403" w:rsidRPr="001357D3">
        <w:rPr>
          <w:noProof/>
        </w:rPr>
        <w:t>któ</w:t>
      </w:r>
      <w:r w:rsidRPr="001357D3">
        <w:rPr>
          <w:noProof/>
        </w:rPr>
        <w:t>rym finansowanie na szczeblu UE wnosi wartość dodaną</w:t>
      </w:r>
      <w:r w:rsidR="001C6403" w:rsidRPr="001357D3">
        <w:rPr>
          <w:noProof/>
        </w:rPr>
        <w:t xml:space="preserve"> w</w:t>
      </w:r>
      <w:r w:rsidR="001C6403">
        <w:rPr>
          <w:noProof/>
        </w:rPr>
        <w:t> </w:t>
      </w:r>
      <w:r w:rsidR="001C6403" w:rsidRPr="001357D3">
        <w:rPr>
          <w:noProof/>
        </w:rPr>
        <w:t>duż</w:t>
      </w:r>
      <w:r w:rsidRPr="001357D3">
        <w:rPr>
          <w:noProof/>
        </w:rPr>
        <w:t>ym stopniu</w:t>
      </w:r>
      <w:r w:rsidR="001C6403" w:rsidRPr="001357D3">
        <w:rPr>
          <w:noProof/>
        </w:rPr>
        <w:t xml:space="preserve"> w</w:t>
      </w:r>
      <w:r w:rsidR="001C6403">
        <w:rPr>
          <w:noProof/>
        </w:rPr>
        <w:t> </w:t>
      </w:r>
      <w:r w:rsidR="001C6403" w:rsidRPr="001357D3">
        <w:rPr>
          <w:noProof/>
        </w:rPr>
        <w:t>por</w:t>
      </w:r>
      <w:r w:rsidRPr="001357D3">
        <w:rPr>
          <w:noProof/>
        </w:rPr>
        <w:t>ównaniu</w:t>
      </w:r>
      <w:r w:rsidR="001C6403" w:rsidRPr="001357D3">
        <w:rPr>
          <w:noProof/>
        </w:rPr>
        <w:t xml:space="preserve"> z</w:t>
      </w:r>
      <w:r w:rsidR="001C6403">
        <w:rPr>
          <w:noProof/>
        </w:rPr>
        <w:t> </w:t>
      </w:r>
      <w:r w:rsidR="001C6403" w:rsidRPr="001357D3">
        <w:rPr>
          <w:noProof/>
        </w:rPr>
        <w:t>fin</w:t>
      </w:r>
      <w:r w:rsidRPr="001357D3">
        <w:rPr>
          <w:noProof/>
        </w:rPr>
        <w:t>ansowaniem na szczeblu krajowym, lokalnym lub regionalnym (50,44 %);</w:t>
      </w:r>
    </w:p>
    <w:p w14:paraId="2C6B4589" w14:textId="54D51B02" w:rsidR="00D7335F" w:rsidRPr="001357D3" w:rsidRDefault="00D7335F" w:rsidP="004852D0">
      <w:pPr>
        <w:pStyle w:val="Tiret0"/>
        <w:tabs>
          <w:tab w:val="clear" w:pos="850"/>
        </w:tabs>
        <w:ind w:left="567" w:hanging="425"/>
        <w:rPr>
          <w:noProof/>
        </w:rPr>
      </w:pPr>
      <w:r w:rsidRPr="001357D3">
        <w:rPr>
          <w:noProof/>
        </w:rPr>
        <w:t>według respondentów „skuteczna ochrona środków UE przed nadużyciami finansowymi, korupcją</w:t>
      </w:r>
      <w:r w:rsidR="001C6403" w:rsidRPr="001357D3">
        <w:rPr>
          <w:noProof/>
        </w:rPr>
        <w:t xml:space="preserve"> i</w:t>
      </w:r>
      <w:r w:rsidR="001C6403">
        <w:rPr>
          <w:noProof/>
        </w:rPr>
        <w:t> </w:t>
      </w:r>
      <w:r w:rsidR="001C6403" w:rsidRPr="001357D3">
        <w:rPr>
          <w:noProof/>
        </w:rPr>
        <w:t>inn</w:t>
      </w:r>
      <w:r w:rsidRPr="001357D3">
        <w:rPr>
          <w:noProof/>
        </w:rPr>
        <w:t>ymi nielegalnymi działaniami” jest ważnym (25,78 %)</w:t>
      </w:r>
      <w:r w:rsidR="001C6403" w:rsidRPr="001357D3">
        <w:rPr>
          <w:noProof/>
        </w:rPr>
        <w:t xml:space="preserve"> i</w:t>
      </w:r>
      <w:r w:rsidR="001C6403">
        <w:rPr>
          <w:noProof/>
        </w:rPr>
        <w:t> </w:t>
      </w:r>
      <w:r w:rsidR="001C6403" w:rsidRPr="001357D3">
        <w:rPr>
          <w:noProof/>
        </w:rPr>
        <w:t>bar</w:t>
      </w:r>
      <w:r w:rsidRPr="001357D3">
        <w:rPr>
          <w:noProof/>
        </w:rPr>
        <w:t>dzo ważnym priorytetem politycznym (55,09 %) oraz obszarem,</w:t>
      </w:r>
      <w:r w:rsidR="001C6403" w:rsidRPr="001357D3">
        <w:rPr>
          <w:noProof/>
        </w:rPr>
        <w:t xml:space="preserve"> w</w:t>
      </w:r>
      <w:r w:rsidR="001C6403">
        <w:rPr>
          <w:noProof/>
        </w:rPr>
        <w:t> </w:t>
      </w:r>
      <w:r w:rsidR="001C6403" w:rsidRPr="001357D3">
        <w:rPr>
          <w:noProof/>
        </w:rPr>
        <w:t>któ</w:t>
      </w:r>
      <w:r w:rsidRPr="001357D3">
        <w:rPr>
          <w:noProof/>
        </w:rPr>
        <w:t>rym finansowanie na szczeblu UE wnosi wartość dodaną</w:t>
      </w:r>
      <w:r w:rsidR="001C6403" w:rsidRPr="001357D3">
        <w:rPr>
          <w:noProof/>
        </w:rPr>
        <w:t xml:space="preserve"> w</w:t>
      </w:r>
      <w:r w:rsidR="001C6403">
        <w:rPr>
          <w:noProof/>
        </w:rPr>
        <w:t> </w:t>
      </w:r>
      <w:r w:rsidR="001C6403" w:rsidRPr="001357D3">
        <w:rPr>
          <w:noProof/>
        </w:rPr>
        <w:t>duż</w:t>
      </w:r>
      <w:r w:rsidRPr="001357D3">
        <w:rPr>
          <w:noProof/>
        </w:rPr>
        <w:t>ym stopniu</w:t>
      </w:r>
      <w:r w:rsidR="001C6403" w:rsidRPr="001357D3">
        <w:rPr>
          <w:noProof/>
        </w:rPr>
        <w:t xml:space="preserve"> w</w:t>
      </w:r>
      <w:r w:rsidR="001C6403">
        <w:rPr>
          <w:noProof/>
        </w:rPr>
        <w:t> </w:t>
      </w:r>
      <w:r w:rsidR="001C6403" w:rsidRPr="001357D3">
        <w:rPr>
          <w:noProof/>
        </w:rPr>
        <w:t>por</w:t>
      </w:r>
      <w:r w:rsidRPr="001357D3">
        <w:rPr>
          <w:noProof/>
        </w:rPr>
        <w:t>ównaniu</w:t>
      </w:r>
      <w:r w:rsidR="001C6403" w:rsidRPr="001357D3">
        <w:rPr>
          <w:noProof/>
        </w:rPr>
        <w:t xml:space="preserve"> z</w:t>
      </w:r>
      <w:r w:rsidR="001C6403">
        <w:rPr>
          <w:noProof/>
        </w:rPr>
        <w:t> </w:t>
      </w:r>
      <w:r w:rsidR="001C6403" w:rsidRPr="001357D3">
        <w:rPr>
          <w:noProof/>
        </w:rPr>
        <w:t>fin</w:t>
      </w:r>
      <w:r w:rsidRPr="001357D3">
        <w:rPr>
          <w:noProof/>
        </w:rPr>
        <w:t>ansowaniem na szczeblu krajowym, lokalnym lub regionalnym (54,68 %);</w:t>
      </w:r>
    </w:p>
    <w:p w14:paraId="2A57558A" w14:textId="620BDA71" w:rsidR="00D7335F" w:rsidRPr="001357D3" w:rsidRDefault="00D7335F" w:rsidP="004852D0">
      <w:pPr>
        <w:pStyle w:val="Tiret0"/>
        <w:tabs>
          <w:tab w:val="clear" w:pos="850"/>
        </w:tabs>
        <w:ind w:left="567" w:hanging="425"/>
        <w:rPr>
          <w:noProof/>
        </w:rPr>
      </w:pPr>
      <w:r w:rsidRPr="001357D3">
        <w:rPr>
          <w:noProof/>
        </w:rPr>
        <w:t>według respondentów „budowa unijnej przestrzeni sprawiedliwości, propagowanie szkolenia kadr wymiaru sprawiedliwości, współpraca sądowa</w:t>
      </w:r>
      <w:r w:rsidR="001C6403" w:rsidRPr="001357D3">
        <w:rPr>
          <w:noProof/>
        </w:rPr>
        <w:t xml:space="preserve"> i</w:t>
      </w:r>
      <w:r w:rsidR="001C6403">
        <w:rPr>
          <w:noProof/>
        </w:rPr>
        <w:t> </w:t>
      </w:r>
      <w:r w:rsidR="001C6403" w:rsidRPr="001357D3">
        <w:rPr>
          <w:noProof/>
        </w:rPr>
        <w:t>dos</w:t>
      </w:r>
      <w:r w:rsidRPr="001357D3">
        <w:rPr>
          <w:noProof/>
        </w:rPr>
        <w:t>tęp do wymiaru sprawiedliwości” jest ważnym (29,77 %)</w:t>
      </w:r>
      <w:r w:rsidR="001C6403" w:rsidRPr="001357D3">
        <w:rPr>
          <w:noProof/>
        </w:rPr>
        <w:t xml:space="preserve"> i</w:t>
      </w:r>
      <w:r w:rsidR="001C6403">
        <w:rPr>
          <w:noProof/>
        </w:rPr>
        <w:t> </w:t>
      </w:r>
      <w:r w:rsidR="001C6403" w:rsidRPr="001357D3">
        <w:rPr>
          <w:noProof/>
        </w:rPr>
        <w:t>bar</w:t>
      </w:r>
      <w:r w:rsidRPr="001357D3">
        <w:rPr>
          <w:noProof/>
        </w:rPr>
        <w:t>dzo ważnym priorytetem politycznym (37,03 %) oraz obszarem,</w:t>
      </w:r>
      <w:r w:rsidR="001C6403" w:rsidRPr="001357D3">
        <w:rPr>
          <w:noProof/>
        </w:rPr>
        <w:t xml:space="preserve"> w</w:t>
      </w:r>
      <w:r w:rsidR="001C6403">
        <w:rPr>
          <w:noProof/>
        </w:rPr>
        <w:t> </w:t>
      </w:r>
      <w:r w:rsidR="001C6403" w:rsidRPr="001357D3">
        <w:rPr>
          <w:noProof/>
        </w:rPr>
        <w:t>któ</w:t>
      </w:r>
      <w:r w:rsidRPr="001357D3">
        <w:rPr>
          <w:noProof/>
        </w:rPr>
        <w:t xml:space="preserve">rym finansowanie na szczeblu UE wnosi wartość </w:t>
      </w:r>
      <w:r w:rsidRPr="001357D3">
        <w:rPr>
          <w:noProof/>
        </w:rPr>
        <w:lastRenderedPageBreak/>
        <w:t>dodaną</w:t>
      </w:r>
      <w:r w:rsidR="001C6403" w:rsidRPr="001357D3">
        <w:rPr>
          <w:noProof/>
        </w:rPr>
        <w:t xml:space="preserve"> w</w:t>
      </w:r>
      <w:r w:rsidR="001C6403">
        <w:rPr>
          <w:noProof/>
        </w:rPr>
        <w:t> </w:t>
      </w:r>
      <w:r w:rsidR="001C6403" w:rsidRPr="001357D3">
        <w:rPr>
          <w:noProof/>
        </w:rPr>
        <w:t>duż</w:t>
      </w:r>
      <w:r w:rsidRPr="001357D3">
        <w:rPr>
          <w:noProof/>
        </w:rPr>
        <w:t>ym stopniu</w:t>
      </w:r>
      <w:r w:rsidR="001C6403" w:rsidRPr="001357D3">
        <w:rPr>
          <w:noProof/>
        </w:rPr>
        <w:t xml:space="preserve"> w</w:t>
      </w:r>
      <w:r w:rsidR="001C6403">
        <w:rPr>
          <w:noProof/>
        </w:rPr>
        <w:t> </w:t>
      </w:r>
      <w:r w:rsidR="001C6403" w:rsidRPr="001357D3">
        <w:rPr>
          <w:noProof/>
        </w:rPr>
        <w:t>por</w:t>
      </w:r>
      <w:r w:rsidRPr="001357D3">
        <w:rPr>
          <w:noProof/>
        </w:rPr>
        <w:t>ównaniu</w:t>
      </w:r>
      <w:r w:rsidR="001C6403" w:rsidRPr="001357D3">
        <w:rPr>
          <w:noProof/>
        </w:rPr>
        <w:t xml:space="preserve"> z</w:t>
      </w:r>
      <w:r w:rsidR="001C6403">
        <w:rPr>
          <w:noProof/>
        </w:rPr>
        <w:t> </w:t>
      </w:r>
      <w:r w:rsidR="001C6403" w:rsidRPr="001357D3">
        <w:rPr>
          <w:noProof/>
        </w:rPr>
        <w:t>fin</w:t>
      </w:r>
      <w:r w:rsidRPr="001357D3">
        <w:rPr>
          <w:noProof/>
        </w:rPr>
        <w:t>ansowaniem na szczeblu krajowym, lokalnym lub regionalnym (47,85 %);</w:t>
      </w:r>
    </w:p>
    <w:p w14:paraId="73794E85" w14:textId="6EEBB357" w:rsidR="00D7335F" w:rsidRPr="001357D3" w:rsidRDefault="00D7335F" w:rsidP="004852D0">
      <w:pPr>
        <w:pStyle w:val="Tiret0"/>
        <w:tabs>
          <w:tab w:val="clear" w:pos="850"/>
        </w:tabs>
        <w:ind w:left="567" w:hanging="425"/>
        <w:rPr>
          <w:noProof/>
        </w:rPr>
      </w:pPr>
      <w:r w:rsidRPr="001357D3">
        <w:rPr>
          <w:noProof/>
        </w:rPr>
        <w:t>jednocześnie respondenci uważają, że następujące działania, które są szczególnie istotne</w:t>
      </w:r>
      <w:r w:rsidR="001C6403" w:rsidRPr="001357D3">
        <w:rPr>
          <w:noProof/>
        </w:rPr>
        <w:t xml:space="preserve"> w</w:t>
      </w:r>
      <w:r w:rsidR="001C6403">
        <w:rPr>
          <w:noProof/>
        </w:rPr>
        <w:t> </w:t>
      </w:r>
      <w:r w:rsidR="001C6403" w:rsidRPr="001357D3">
        <w:rPr>
          <w:noProof/>
        </w:rPr>
        <w:t>ram</w:t>
      </w:r>
      <w:r w:rsidRPr="001357D3">
        <w:rPr>
          <w:noProof/>
        </w:rPr>
        <w:t>ach programu „Sprawiedliwość”,</w:t>
      </w:r>
      <w:r w:rsidR="001C6403" w:rsidRPr="001357D3">
        <w:rPr>
          <w:noProof/>
        </w:rPr>
        <w:t xml:space="preserve"> w</w:t>
      </w:r>
      <w:r w:rsidR="001C6403">
        <w:rPr>
          <w:noProof/>
        </w:rPr>
        <w:t> </w:t>
      </w:r>
      <w:r w:rsidR="001C6403" w:rsidRPr="001357D3">
        <w:rPr>
          <w:noProof/>
        </w:rPr>
        <w:t>duż</w:t>
      </w:r>
      <w:r w:rsidRPr="001357D3">
        <w:rPr>
          <w:noProof/>
        </w:rPr>
        <w:t>ej mierze przyniosą pozytywne skutki</w:t>
      </w:r>
      <w:r w:rsidR="001C6403" w:rsidRPr="001357D3">
        <w:rPr>
          <w:noProof/>
        </w:rPr>
        <w:t xml:space="preserve"> w</w:t>
      </w:r>
      <w:r w:rsidR="001C6403">
        <w:rPr>
          <w:noProof/>
        </w:rPr>
        <w:t> </w:t>
      </w:r>
      <w:r w:rsidR="001C6403" w:rsidRPr="001357D3">
        <w:rPr>
          <w:noProof/>
        </w:rPr>
        <w:t>prz</w:t>
      </w:r>
      <w:r w:rsidRPr="001357D3">
        <w:rPr>
          <w:noProof/>
        </w:rPr>
        <w:t>yszłości: „Wspieranie wzajemnego uczenia się transgranicznego, wymiany dobrych praktyk</w:t>
      </w:r>
      <w:r w:rsidR="001C6403" w:rsidRPr="001357D3">
        <w:rPr>
          <w:noProof/>
        </w:rPr>
        <w:t xml:space="preserve"> i</w:t>
      </w:r>
      <w:r w:rsidR="001C6403">
        <w:rPr>
          <w:noProof/>
        </w:rPr>
        <w:t> </w:t>
      </w:r>
      <w:r w:rsidR="001C6403" w:rsidRPr="001357D3">
        <w:rPr>
          <w:noProof/>
        </w:rPr>
        <w:t>wsp</w:t>
      </w:r>
      <w:r w:rsidRPr="001357D3">
        <w:rPr>
          <w:noProof/>
        </w:rPr>
        <w:t>ółpracy, budowanie koalicji” (72,19 %), „Wspieranie tworzenia</w:t>
      </w:r>
      <w:r w:rsidR="001C6403" w:rsidRPr="001357D3">
        <w:rPr>
          <w:noProof/>
        </w:rPr>
        <w:t xml:space="preserve"> i</w:t>
      </w:r>
      <w:r w:rsidR="001C6403">
        <w:rPr>
          <w:noProof/>
        </w:rPr>
        <w:t> </w:t>
      </w:r>
      <w:r w:rsidR="001C6403" w:rsidRPr="001357D3">
        <w:rPr>
          <w:noProof/>
        </w:rPr>
        <w:t>roz</w:t>
      </w:r>
      <w:r w:rsidRPr="001357D3">
        <w:rPr>
          <w:noProof/>
        </w:rPr>
        <w:t>woju sieci</w:t>
      </w:r>
      <w:r w:rsidR="001C6403" w:rsidRPr="001357D3">
        <w:rPr>
          <w:noProof/>
        </w:rPr>
        <w:t xml:space="preserve"> i</w:t>
      </w:r>
      <w:r w:rsidR="001C6403">
        <w:rPr>
          <w:noProof/>
        </w:rPr>
        <w:t> </w:t>
      </w:r>
      <w:r w:rsidR="001C6403" w:rsidRPr="001357D3">
        <w:rPr>
          <w:noProof/>
        </w:rPr>
        <w:t>org</w:t>
      </w:r>
      <w:r w:rsidRPr="001357D3">
        <w:rPr>
          <w:noProof/>
        </w:rPr>
        <w:t>anizacji na szczeblu UE” (60,48 %), „Budowanie zdolności</w:t>
      </w:r>
      <w:r w:rsidR="001C6403" w:rsidRPr="001357D3">
        <w:rPr>
          <w:noProof/>
        </w:rPr>
        <w:t xml:space="preserve"> i</w:t>
      </w:r>
      <w:r w:rsidR="001C6403">
        <w:rPr>
          <w:noProof/>
        </w:rPr>
        <w:t> </w:t>
      </w:r>
      <w:r w:rsidR="001C6403" w:rsidRPr="001357D3">
        <w:rPr>
          <w:noProof/>
        </w:rPr>
        <w:t>szk</w:t>
      </w:r>
      <w:r w:rsidRPr="001357D3">
        <w:rPr>
          <w:noProof/>
        </w:rPr>
        <w:t>olenia/szkolenia dla instruktorów” (56,10 %), „Możliwości wzajemnego uczenia się transgranicznego</w:t>
      </w:r>
      <w:r w:rsidR="001C6403" w:rsidRPr="001357D3">
        <w:rPr>
          <w:noProof/>
        </w:rPr>
        <w:t xml:space="preserve"> w</w:t>
      </w:r>
      <w:r w:rsidR="001C6403">
        <w:rPr>
          <w:noProof/>
        </w:rPr>
        <w:t> </w:t>
      </w:r>
      <w:r w:rsidR="001C6403" w:rsidRPr="001357D3">
        <w:rPr>
          <w:noProof/>
        </w:rPr>
        <w:t>obs</w:t>
      </w:r>
      <w:r w:rsidRPr="001357D3">
        <w:rPr>
          <w:noProof/>
        </w:rPr>
        <w:t>zarze wymiaru sprawiedliwości” (49,08 %).</w:t>
      </w:r>
    </w:p>
    <w:p w14:paraId="00377F41" w14:textId="487EE47E" w:rsidR="00C5603D" w:rsidRPr="001357D3" w:rsidRDefault="006F3E87" w:rsidP="008A4B4E">
      <w:pPr>
        <w:pStyle w:val="Listapunktowana"/>
        <w:spacing w:before="0"/>
        <w:contextualSpacing w:val="0"/>
        <w:rPr>
          <w:b/>
          <w:bCs/>
          <w:noProof/>
          <w:bdr w:val="nil"/>
        </w:rPr>
      </w:pPr>
      <w:bookmarkStart w:id="20" w:name="_Toc205221095"/>
      <w:r w:rsidRPr="001357D3">
        <w:rPr>
          <w:b/>
          <w:noProof/>
          <w:bdr w:val="nil"/>
        </w:rPr>
        <w:t>Ekspertyzy zewnętrzne</w:t>
      </w:r>
      <w:bookmarkEnd w:id="20"/>
    </w:p>
    <w:p w14:paraId="0FC97612" w14:textId="4195D826" w:rsidR="00C46D99" w:rsidRPr="001357D3" w:rsidRDefault="00140780" w:rsidP="004852D0">
      <w:pPr>
        <w:rPr>
          <w:rFonts w:eastAsia="Arial Unicode MS"/>
          <w:b/>
          <w:noProof/>
          <w:bdr w:val="nil"/>
        </w:rPr>
      </w:pPr>
      <w:bookmarkStart w:id="21" w:name="_Toc205221096"/>
      <w:r w:rsidRPr="001357D3">
        <w:rPr>
          <w:noProof/>
        </w:rPr>
        <w:t>Wniosek opiera się na zewnętrznych</w:t>
      </w:r>
      <w:r w:rsidR="001C6403" w:rsidRPr="001357D3">
        <w:rPr>
          <w:noProof/>
        </w:rPr>
        <w:t xml:space="preserve"> i</w:t>
      </w:r>
      <w:r w:rsidR="001C6403">
        <w:rPr>
          <w:noProof/>
        </w:rPr>
        <w:t> </w:t>
      </w:r>
      <w:r w:rsidR="001C6403" w:rsidRPr="001357D3">
        <w:rPr>
          <w:noProof/>
        </w:rPr>
        <w:t>wew</w:t>
      </w:r>
      <w:r w:rsidRPr="001357D3">
        <w:rPr>
          <w:noProof/>
        </w:rPr>
        <w:t>nętrznych sprawozdaniach</w:t>
      </w:r>
      <w:r w:rsidR="001C6403" w:rsidRPr="001357D3">
        <w:rPr>
          <w:noProof/>
        </w:rPr>
        <w:t xml:space="preserve"> i</w:t>
      </w:r>
      <w:r w:rsidR="001C6403">
        <w:rPr>
          <w:noProof/>
        </w:rPr>
        <w:t> </w:t>
      </w:r>
      <w:r w:rsidR="001C6403" w:rsidRPr="001357D3">
        <w:rPr>
          <w:noProof/>
        </w:rPr>
        <w:t>oce</w:t>
      </w:r>
      <w:r w:rsidRPr="001357D3">
        <w:rPr>
          <w:noProof/>
        </w:rPr>
        <w:t xml:space="preserve">nach, np. ocenach programów (śródokresowych i </w:t>
      </w:r>
      <w:r w:rsidRPr="001357D3">
        <w:rPr>
          <w:i/>
          <w:iCs/>
          <w:noProof/>
        </w:rPr>
        <w:t>ex post</w:t>
      </w:r>
      <w:r w:rsidRPr="001357D3">
        <w:rPr>
          <w:noProof/>
        </w:rPr>
        <w:t>), przeglądzie wydatków, sprawozdaniach</w:t>
      </w:r>
      <w:r w:rsidR="001C6403" w:rsidRPr="001357D3">
        <w:rPr>
          <w:noProof/>
        </w:rPr>
        <w:t xml:space="preserve"> i</w:t>
      </w:r>
      <w:r w:rsidR="001C6403">
        <w:rPr>
          <w:noProof/>
        </w:rPr>
        <w:t> </w:t>
      </w:r>
      <w:r w:rsidR="001C6403" w:rsidRPr="001357D3">
        <w:rPr>
          <w:noProof/>
        </w:rPr>
        <w:t>dok</w:t>
      </w:r>
      <w:r w:rsidRPr="001357D3">
        <w:rPr>
          <w:noProof/>
        </w:rPr>
        <w:t>umentach innych instytucji, agencji</w:t>
      </w:r>
      <w:r w:rsidR="001C6403" w:rsidRPr="001357D3">
        <w:rPr>
          <w:noProof/>
        </w:rPr>
        <w:t xml:space="preserve"> i</w:t>
      </w:r>
      <w:r w:rsidR="001C6403">
        <w:rPr>
          <w:noProof/>
        </w:rPr>
        <w:t> </w:t>
      </w:r>
      <w:r w:rsidR="001C6403" w:rsidRPr="001357D3">
        <w:rPr>
          <w:noProof/>
        </w:rPr>
        <w:t>org</w:t>
      </w:r>
      <w:r w:rsidRPr="001357D3">
        <w:rPr>
          <w:noProof/>
        </w:rPr>
        <w:t>anizacji międzynarodowych UE</w:t>
      </w:r>
      <w:r w:rsidRPr="001357D3">
        <w:rPr>
          <w:rStyle w:val="Odwoanieprzypisudolnego"/>
          <w:bCs/>
          <w:noProof/>
          <w:bdr w:val="none" w:sz="0" w:space="0" w:color="auto" w:frame="1"/>
        </w:rPr>
        <w:footnoteReference w:id="39"/>
      </w:r>
      <w:r w:rsidRPr="001357D3">
        <w:rPr>
          <w:noProof/>
          <w:bdr w:val="nil"/>
        </w:rPr>
        <w:t>.</w:t>
      </w:r>
      <w:bookmarkEnd w:id="21"/>
    </w:p>
    <w:p w14:paraId="00377F44" w14:textId="5B1C6BD6" w:rsidR="00C5603D" w:rsidRPr="001357D3" w:rsidRDefault="00C5603D" w:rsidP="008A4B4E">
      <w:pPr>
        <w:pStyle w:val="Listapunktowana"/>
        <w:spacing w:before="0"/>
        <w:contextualSpacing w:val="0"/>
        <w:rPr>
          <w:b/>
          <w:bCs/>
          <w:noProof/>
          <w:bdr w:val="nil"/>
        </w:rPr>
      </w:pPr>
      <w:bookmarkStart w:id="22" w:name="_Toc205221097"/>
      <w:r w:rsidRPr="001357D3">
        <w:rPr>
          <w:b/>
          <w:noProof/>
          <w:bdr w:val="nil"/>
        </w:rPr>
        <w:t>Ocena skutków</w:t>
      </w:r>
      <w:bookmarkEnd w:id="22"/>
    </w:p>
    <w:p w14:paraId="2041C5FE" w14:textId="70BDBE9E" w:rsidR="18759CBD" w:rsidRPr="001357D3" w:rsidRDefault="0089393F" w:rsidP="008A4B4E">
      <w:pPr>
        <w:pBdr>
          <w:top w:val="nil"/>
          <w:left w:val="nil"/>
          <w:bottom w:val="nil"/>
          <w:right w:val="nil"/>
          <w:between w:val="nil"/>
        </w:pBdr>
        <w:spacing w:before="0"/>
        <w:rPr>
          <w:rFonts w:eastAsia="Times New Roman"/>
          <w:noProof/>
        </w:rPr>
      </w:pPr>
      <w:r w:rsidRPr="001357D3">
        <w:rPr>
          <w:noProof/>
        </w:rPr>
        <w:t>W ocenie skutków dotyczącej edukacji transgranicznej, młodzieży, kultury, mediów, wartości</w:t>
      </w:r>
      <w:r w:rsidR="001C6403" w:rsidRPr="001357D3">
        <w:rPr>
          <w:noProof/>
        </w:rPr>
        <w:t xml:space="preserve"> i</w:t>
      </w:r>
      <w:r w:rsidR="001C6403">
        <w:rPr>
          <w:noProof/>
        </w:rPr>
        <w:t> </w:t>
      </w:r>
      <w:r w:rsidR="001C6403" w:rsidRPr="001357D3">
        <w:rPr>
          <w:noProof/>
        </w:rPr>
        <w:t>spo</w:t>
      </w:r>
      <w:r w:rsidRPr="001357D3">
        <w:rPr>
          <w:noProof/>
        </w:rPr>
        <w:t>łeczeństwa obywatelskiego przeanalizowano przyszłość pięciu programów finansowania</w:t>
      </w:r>
      <w:r w:rsidR="001C6403" w:rsidRPr="001357D3">
        <w:rPr>
          <w:noProof/>
        </w:rPr>
        <w:t xml:space="preserve"> w</w:t>
      </w:r>
      <w:r w:rsidR="001C6403">
        <w:rPr>
          <w:noProof/>
        </w:rPr>
        <w:t> </w:t>
      </w:r>
      <w:r w:rsidR="001C6403" w:rsidRPr="001357D3">
        <w:rPr>
          <w:noProof/>
        </w:rPr>
        <w:t>ram</w:t>
      </w:r>
      <w:r w:rsidRPr="001357D3">
        <w:rPr>
          <w:noProof/>
        </w:rPr>
        <w:t>ach tego klastra,</w:t>
      </w:r>
      <w:r w:rsidR="001C6403" w:rsidRPr="001357D3">
        <w:rPr>
          <w:noProof/>
        </w:rPr>
        <w:t xml:space="preserve"> w</w:t>
      </w:r>
      <w:r w:rsidR="001C6403">
        <w:rPr>
          <w:noProof/>
        </w:rPr>
        <w:t> </w:t>
      </w:r>
      <w:r w:rsidR="001C6403" w:rsidRPr="001357D3">
        <w:rPr>
          <w:noProof/>
        </w:rPr>
        <w:t>tym</w:t>
      </w:r>
      <w:r w:rsidRPr="001357D3">
        <w:rPr>
          <w:noProof/>
        </w:rPr>
        <w:t xml:space="preserve"> programu „Sprawiedliwość”.</w:t>
      </w:r>
    </w:p>
    <w:p w14:paraId="30C0FAB8" w14:textId="51761B32" w:rsidR="760CEBE9" w:rsidRPr="001357D3" w:rsidRDefault="00C46D99" w:rsidP="008A4B4E">
      <w:pPr>
        <w:pBdr>
          <w:top w:val="nil"/>
          <w:left w:val="nil"/>
          <w:bottom w:val="nil"/>
          <w:right w:val="nil"/>
          <w:between w:val="nil"/>
        </w:pBdr>
        <w:spacing w:before="0"/>
        <w:rPr>
          <w:rFonts w:eastAsia="Times New Roman"/>
          <w:noProof/>
          <w:szCs w:val="24"/>
        </w:rPr>
      </w:pPr>
      <w:r w:rsidRPr="001357D3">
        <w:rPr>
          <w:noProof/>
        </w:rPr>
        <w:t>Na wczesnym etapie odrzucono dwa poniższe warianty:</w:t>
      </w:r>
    </w:p>
    <w:p w14:paraId="0A3D8A30" w14:textId="754AE965" w:rsidR="1430740A" w:rsidRPr="001357D3" w:rsidRDefault="1430740A" w:rsidP="008A4B4E">
      <w:pPr>
        <w:spacing w:before="0"/>
        <w:rPr>
          <w:rFonts w:eastAsia="Times New Roman"/>
          <w:noProof/>
          <w:szCs w:val="24"/>
        </w:rPr>
      </w:pPr>
      <w:r w:rsidRPr="001357D3">
        <w:rPr>
          <w:noProof/>
        </w:rPr>
        <w:t xml:space="preserve">– </w:t>
      </w:r>
      <w:r w:rsidRPr="001357D3">
        <w:rPr>
          <w:b/>
          <w:noProof/>
        </w:rPr>
        <w:t>Zaprzestanie finansowania unijnego</w:t>
      </w:r>
      <w:r w:rsidRPr="001357D3">
        <w:rPr>
          <w:noProof/>
        </w:rPr>
        <w:t>: wariant ten został natychmiast odrzucony ze względu na znaczenie problemów mających wpływ na obszary polityki</w:t>
      </w:r>
      <w:r w:rsidR="001C6403" w:rsidRPr="001357D3">
        <w:rPr>
          <w:noProof/>
        </w:rPr>
        <w:t xml:space="preserve"> w</w:t>
      </w:r>
      <w:r w:rsidR="001C6403">
        <w:rPr>
          <w:noProof/>
        </w:rPr>
        <w:t> </w:t>
      </w:r>
      <w:r w:rsidR="001C6403" w:rsidRPr="001357D3">
        <w:rPr>
          <w:noProof/>
        </w:rPr>
        <w:t>tym</w:t>
      </w:r>
      <w:r w:rsidRPr="001357D3">
        <w:rPr>
          <w:noProof/>
        </w:rPr>
        <w:t xml:space="preserve"> klastrze, na znaczenie tych polityk</w:t>
      </w:r>
      <w:r w:rsidR="001C6403" w:rsidRPr="001357D3">
        <w:rPr>
          <w:noProof/>
        </w:rPr>
        <w:t xml:space="preserve"> w</w:t>
      </w:r>
      <w:r w:rsidR="001C6403">
        <w:rPr>
          <w:noProof/>
        </w:rPr>
        <w:t> </w:t>
      </w:r>
      <w:r w:rsidR="001C6403" w:rsidRPr="001357D3">
        <w:rPr>
          <w:noProof/>
        </w:rPr>
        <w:t>Wyt</w:t>
      </w:r>
      <w:r w:rsidRPr="001357D3">
        <w:rPr>
          <w:noProof/>
        </w:rPr>
        <w:t>ycznych politycznych na następną kadencję Komisji Europejskiej 2024–2029</w:t>
      </w:r>
      <w:r w:rsidRPr="001357D3">
        <w:rPr>
          <w:rStyle w:val="Odwoanieprzypisudolnego"/>
          <w:noProof/>
        </w:rPr>
        <w:footnoteReference w:id="40"/>
      </w:r>
      <w:r w:rsidRPr="001357D3">
        <w:rPr>
          <w:noProof/>
        </w:rPr>
        <w:t xml:space="preserve"> oraz na wartość dodaną interwencji UE, potwierdzoną przez odpowiednie oceny śródokresowe.</w:t>
      </w:r>
    </w:p>
    <w:p w14:paraId="6F197032" w14:textId="0BFBF4B2" w:rsidR="6C317386" w:rsidRPr="001357D3" w:rsidRDefault="2276DD8F" w:rsidP="008A4B4E">
      <w:pPr>
        <w:spacing w:before="0"/>
        <w:rPr>
          <w:rFonts w:eastAsia="Times New Roman"/>
          <w:b/>
          <w:bCs/>
          <w:noProof/>
        </w:rPr>
      </w:pPr>
      <w:r w:rsidRPr="001357D3">
        <w:rPr>
          <w:noProof/>
        </w:rPr>
        <w:t xml:space="preserve">– </w:t>
      </w:r>
      <w:r w:rsidRPr="001357D3">
        <w:rPr>
          <w:b/>
          <w:noProof/>
        </w:rPr>
        <w:t>Połączenie programu „Sprawiedliwość”</w:t>
      </w:r>
      <w:r w:rsidR="001C6403" w:rsidRPr="001357D3">
        <w:rPr>
          <w:b/>
          <w:noProof/>
        </w:rPr>
        <w:t xml:space="preserve"> z</w:t>
      </w:r>
      <w:r w:rsidR="001C6403">
        <w:rPr>
          <w:b/>
          <w:noProof/>
        </w:rPr>
        <w:t> </w:t>
      </w:r>
      <w:r w:rsidR="001C6403" w:rsidRPr="001357D3">
        <w:rPr>
          <w:b/>
          <w:noProof/>
        </w:rPr>
        <w:t>inn</w:t>
      </w:r>
      <w:r w:rsidRPr="001357D3">
        <w:rPr>
          <w:b/>
          <w:noProof/>
        </w:rPr>
        <w:t>ymi programami</w:t>
      </w:r>
      <w:r w:rsidR="001C6403" w:rsidRPr="001357D3">
        <w:rPr>
          <w:b/>
          <w:noProof/>
        </w:rPr>
        <w:t xml:space="preserve"> w</w:t>
      </w:r>
      <w:r w:rsidR="001C6403">
        <w:rPr>
          <w:b/>
          <w:noProof/>
        </w:rPr>
        <w:t> </w:t>
      </w:r>
      <w:r w:rsidR="001C6403" w:rsidRPr="001357D3">
        <w:rPr>
          <w:b/>
          <w:noProof/>
        </w:rPr>
        <w:t>ram</w:t>
      </w:r>
      <w:r w:rsidRPr="001357D3">
        <w:rPr>
          <w:b/>
          <w:noProof/>
        </w:rPr>
        <w:t xml:space="preserve">ach tego klastra: </w:t>
      </w:r>
      <w:r w:rsidRPr="001357D3">
        <w:rPr>
          <w:noProof/>
        </w:rPr>
        <w:t>wariant ten również został odrzucony na wczesnym etapie ze względów prawnych. Programu „Sprawiedliwość” nie można połączyć</w:t>
      </w:r>
      <w:r w:rsidR="001C6403" w:rsidRPr="001357D3">
        <w:rPr>
          <w:noProof/>
        </w:rPr>
        <w:t xml:space="preserve"> z</w:t>
      </w:r>
      <w:r w:rsidR="001C6403">
        <w:rPr>
          <w:noProof/>
        </w:rPr>
        <w:t> </w:t>
      </w:r>
      <w:r w:rsidR="001C6403" w:rsidRPr="001357D3">
        <w:rPr>
          <w:noProof/>
        </w:rPr>
        <w:t>inn</w:t>
      </w:r>
      <w:r w:rsidRPr="001357D3">
        <w:rPr>
          <w:noProof/>
        </w:rPr>
        <w:t>ymi programami</w:t>
      </w:r>
      <w:r w:rsidR="001C6403" w:rsidRPr="001357D3">
        <w:rPr>
          <w:noProof/>
        </w:rPr>
        <w:t xml:space="preserve"> w</w:t>
      </w:r>
      <w:r w:rsidR="001C6403">
        <w:rPr>
          <w:noProof/>
        </w:rPr>
        <w:t> </w:t>
      </w:r>
      <w:r w:rsidR="001C6403" w:rsidRPr="001357D3">
        <w:rPr>
          <w:noProof/>
        </w:rPr>
        <w:t>ram</w:t>
      </w:r>
      <w:r w:rsidRPr="001357D3">
        <w:rPr>
          <w:noProof/>
        </w:rPr>
        <w:t>ach tego klastra, ponieważ nie wszystkie 27 państw członkowskich UE uczestniczy</w:t>
      </w:r>
      <w:r w:rsidR="001C6403" w:rsidRPr="001357D3">
        <w:rPr>
          <w:noProof/>
        </w:rPr>
        <w:t xml:space="preserve"> w</w:t>
      </w:r>
      <w:r w:rsidR="001C6403">
        <w:rPr>
          <w:noProof/>
        </w:rPr>
        <w:t> </w:t>
      </w:r>
      <w:r w:rsidR="001C6403" w:rsidRPr="001357D3">
        <w:rPr>
          <w:noProof/>
        </w:rPr>
        <w:t>pro</w:t>
      </w:r>
      <w:r w:rsidRPr="001357D3">
        <w:rPr>
          <w:noProof/>
        </w:rPr>
        <w:t>gramie „Sprawiedliwość” (w przeciwieństwie do innych istniejących programów</w:t>
      </w:r>
      <w:r w:rsidR="001C6403" w:rsidRPr="001357D3">
        <w:rPr>
          <w:noProof/>
        </w:rPr>
        <w:t xml:space="preserve"> w</w:t>
      </w:r>
      <w:r w:rsidR="001C6403">
        <w:rPr>
          <w:noProof/>
        </w:rPr>
        <w:t> </w:t>
      </w:r>
      <w:r w:rsidR="001C6403" w:rsidRPr="001357D3">
        <w:rPr>
          <w:noProof/>
        </w:rPr>
        <w:t>ram</w:t>
      </w:r>
      <w:r w:rsidRPr="001357D3">
        <w:rPr>
          <w:noProof/>
        </w:rPr>
        <w:t>ach tego klastra). Podstawę prawną rozporządzenia ustanawiającego program „Sprawiedliwość” na lata 2021–2027 stanowią art. 81 ust. 1</w:t>
      </w:r>
      <w:r w:rsidR="001C6403" w:rsidRPr="001357D3">
        <w:rPr>
          <w:noProof/>
        </w:rPr>
        <w:t xml:space="preserve"> i</w:t>
      </w:r>
      <w:r w:rsidR="001C6403">
        <w:rPr>
          <w:noProof/>
        </w:rPr>
        <w:t> </w:t>
      </w:r>
      <w:r w:rsidR="001C6403" w:rsidRPr="001357D3">
        <w:rPr>
          <w:noProof/>
        </w:rPr>
        <w:t>2</w:t>
      </w:r>
      <w:r w:rsidRPr="001357D3">
        <w:rPr>
          <w:noProof/>
        </w:rPr>
        <w:t xml:space="preserve"> oraz art. 82 ust. 1 TFUE. Przepisy te są częścią tytułu V TFUE, który obejmuje przestrzeń wolności, bezpieczeństwa</w:t>
      </w:r>
      <w:r w:rsidR="001C6403" w:rsidRPr="001357D3">
        <w:rPr>
          <w:noProof/>
        </w:rPr>
        <w:t xml:space="preserve"> i</w:t>
      </w:r>
      <w:r w:rsidR="001C6403">
        <w:rPr>
          <w:noProof/>
        </w:rPr>
        <w:t> </w:t>
      </w:r>
      <w:r w:rsidR="001C6403" w:rsidRPr="001357D3">
        <w:rPr>
          <w:noProof/>
        </w:rPr>
        <w:t>spr</w:t>
      </w:r>
      <w:r w:rsidRPr="001357D3">
        <w:rPr>
          <w:noProof/>
        </w:rPr>
        <w:t>awiedliwości. Na mocy Protokołów załączonych do Traktatów Dania nie uczestniczy</w:t>
      </w:r>
      <w:r w:rsidR="001C6403" w:rsidRPr="001357D3">
        <w:rPr>
          <w:noProof/>
        </w:rPr>
        <w:t xml:space="preserve"> w</w:t>
      </w:r>
      <w:r w:rsidR="001C6403">
        <w:rPr>
          <w:noProof/>
        </w:rPr>
        <w:t> </w:t>
      </w:r>
      <w:r w:rsidR="001C6403" w:rsidRPr="001357D3">
        <w:rPr>
          <w:noProof/>
        </w:rPr>
        <w:t>dec</w:t>
      </w:r>
      <w:r w:rsidRPr="001357D3">
        <w:rPr>
          <w:noProof/>
        </w:rPr>
        <w:t>yzjach podejmowanych na podstawie tytułu V zgodnie</w:t>
      </w:r>
      <w:r w:rsidR="001C6403" w:rsidRPr="001357D3">
        <w:rPr>
          <w:noProof/>
        </w:rPr>
        <w:t xml:space="preserve"> z</w:t>
      </w:r>
      <w:r w:rsidR="001C6403">
        <w:rPr>
          <w:noProof/>
        </w:rPr>
        <w:t> </w:t>
      </w:r>
      <w:r w:rsidR="001C6403" w:rsidRPr="001357D3">
        <w:rPr>
          <w:noProof/>
        </w:rPr>
        <w:t>pro</w:t>
      </w:r>
      <w:r w:rsidRPr="001357D3">
        <w:rPr>
          <w:noProof/>
        </w:rPr>
        <w:t xml:space="preserve">tokołem nr 22 (tzw. klauzula </w:t>
      </w:r>
      <w:r w:rsidRPr="001357D3">
        <w:rPr>
          <w:i/>
          <w:iCs/>
          <w:noProof/>
        </w:rPr>
        <w:t>opt-out</w:t>
      </w:r>
      <w:r w:rsidRPr="001357D3">
        <w:rPr>
          <w:noProof/>
        </w:rPr>
        <w:t>),</w:t>
      </w:r>
      <w:r w:rsidR="001C6403" w:rsidRPr="001357D3">
        <w:rPr>
          <w:noProof/>
        </w:rPr>
        <w:t xml:space="preserve"> a</w:t>
      </w:r>
      <w:r w:rsidR="001C6403">
        <w:rPr>
          <w:noProof/>
        </w:rPr>
        <w:t> </w:t>
      </w:r>
      <w:r w:rsidR="001C6403" w:rsidRPr="001357D3">
        <w:rPr>
          <w:noProof/>
        </w:rPr>
        <w:t>Irl</w:t>
      </w:r>
      <w:r w:rsidRPr="001357D3">
        <w:rPr>
          <w:noProof/>
        </w:rPr>
        <w:t>andia może zdecydować się na uczestnictwo</w:t>
      </w:r>
      <w:r w:rsidR="001C6403" w:rsidRPr="001357D3">
        <w:rPr>
          <w:noProof/>
        </w:rPr>
        <w:t xml:space="preserve"> w</w:t>
      </w:r>
      <w:r w:rsidR="001C6403">
        <w:rPr>
          <w:noProof/>
        </w:rPr>
        <w:t> </w:t>
      </w:r>
      <w:r w:rsidR="001C6403" w:rsidRPr="001357D3">
        <w:rPr>
          <w:noProof/>
        </w:rPr>
        <w:t>nie</w:t>
      </w:r>
      <w:r w:rsidRPr="001357D3">
        <w:rPr>
          <w:noProof/>
        </w:rPr>
        <w:t xml:space="preserve">których działaniach, jeżeli postanowi zastosować klauzulę </w:t>
      </w:r>
      <w:r w:rsidRPr="001357D3">
        <w:rPr>
          <w:i/>
          <w:iCs/>
          <w:noProof/>
        </w:rPr>
        <w:t>opt-in</w:t>
      </w:r>
      <w:r w:rsidRPr="001357D3">
        <w:rPr>
          <w:noProof/>
        </w:rPr>
        <w:t>, zgodnie</w:t>
      </w:r>
      <w:r w:rsidR="001C6403" w:rsidRPr="001357D3">
        <w:rPr>
          <w:noProof/>
        </w:rPr>
        <w:t xml:space="preserve"> z</w:t>
      </w:r>
      <w:r w:rsidR="001C6403">
        <w:rPr>
          <w:noProof/>
        </w:rPr>
        <w:t> </w:t>
      </w:r>
      <w:r w:rsidR="001C6403" w:rsidRPr="001357D3">
        <w:rPr>
          <w:noProof/>
        </w:rPr>
        <w:t>pro</w:t>
      </w:r>
      <w:r w:rsidRPr="001357D3">
        <w:rPr>
          <w:noProof/>
        </w:rPr>
        <w:t>tokołem nr 21. Pozostałe programy objęte zakresem oceny skutków są otwarte dla wszystkich państw członkowskich</w:t>
      </w:r>
      <w:r w:rsidR="001C6403" w:rsidRPr="001357D3">
        <w:rPr>
          <w:noProof/>
        </w:rPr>
        <w:t xml:space="preserve"> i</w:t>
      </w:r>
      <w:r w:rsidR="001C6403">
        <w:rPr>
          <w:noProof/>
        </w:rPr>
        <w:t> </w:t>
      </w:r>
      <w:r w:rsidR="001C6403" w:rsidRPr="001357D3">
        <w:rPr>
          <w:noProof/>
        </w:rPr>
        <w:t>w</w:t>
      </w:r>
      <w:r w:rsidR="001C6403">
        <w:rPr>
          <w:noProof/>
        </w:rPr>
        <w:t> </w:t>
      </w:r>
      <w:r w:rsidR="001C6403" w:rsidRPr="001357D3">
        <w:rPr>
          <w:noProof/>
        </w:rPr>
        <w:t>zwi</w:t>
      </w:r>
      <w:r w:rsidRPr="001357D3">
        <w:rPr>
          <w:noProof/>
        </w:rPr>
        <w:t>ązku</w:t>
      </w:r>
      <w:r w:rsidR="001C6403" w:rsidRPr="001357D3">
        <w:rPr>
          <w:noProof/>
        </w:rPr>
        <w:t xml:space="preserve"> z</w:t>
      </w:r>
      <w:r w:rsidR="001C6403">
        <w:rPr>
          <w:noProof/>
        </w:rPr>
        <w:t> </w:t>
      </w:r>
      <w:r w:rsidR="001C6403" w:rsidRPr="001357D3">
        <w:rPr>
          <w:noProof/>
        </w:rPr>
        <w:t>tym</w:t>
      </w:r>
      <w:r w:rsidRPr="001357D3">
        <w:rPr>
          <w:noProof/>
        </w:rPr>
        <w:t xml:space="preserve"> są niezgodne</w:t>
      </w:r>
      <w:r w:rsidR="001C6403" w:rsidRPr="001357D3">
        <w:rPr>
          <w:noProof/>
        </w:rPr>
        <w:t xml:space="preserve"> z</w:t>
      </w:r>
      <w:r w:rsidR="001C6403">
        <w:rPr>
          <w:noProof/>
        </w:rPr>
        <w:t> </w:t>
      </w:r>
      <w:r w:rsidR="001C6403" w:rsidRPr="001357D3">
        <w:rPr>
          <w:noProof/>
        </w:rPr>
        <w:t>pod</w:t>
      </w:r>
      <w:r w:rsidRPr="001357D3">
        <w:rPr>
          <w:noProof/>
        </w:rPr>
        <w:t>stawami prawnymi określonymi</w:t>
      </w:r>
      <w:r w:rsidR="001C6403" w:rsidRPr="001357D3">
        <w:rPr>
          <w:noProof/>
        </w:rPr>
        <w:t xml:space="preserve"> w</w:t>
      </w:r>
      <w:r w:rsidR="001C6403">
        <w:rPr>
          <w:noProof/>
        </w:rPr>
        <w:t> </w:t>
      </w:r>
      <w:r w:rsidR="001C6403" w:rsidRPr="001357D3">
        <w:rPr>
          <w:noProof/>
        </w:rPr>
        <w:t>tyt</w:t>
      </w:r>
      <w:r w:rsidRPr="001357D3">
        <w:rPr>
          <w:noProof/>
        </w:rPr>
        <w:t>ule V.</w:t>
      </w:r>
    </w:p>
    <w:p w14:paraId="3E36C572" w14:textId="6D100A12" w:rsidR="1430740A" w:rsidRPr="001357D3" w:rsidRDefault="1430740A" w:rsidP="008A4B4E">
      <w:pPr>
        <w:pBdr>
          <w:top w:val="nil"/>
          <w:left w:val="nil"/>
          <w:bottom w:val="nil"/>
          <w:right w:val="nil"/>
          <w:between w:val="nil"/>
        </w:pBdr>
        <w:spacing w:before="0"/>
        <w:rPr>
          <w:rFonts w:eastAsia="Times New Roman"/>
          <w:noProof/>
        </w:rPr>
      </w:pPr>
      <w:r w:rsidRPr="001357D3">
        <w:rPr>
          <w:b/>
          <w:noProof/>
        </w:rPr>
        <w:t>Warianty zachowane</w:t>
      </w:r>
      <w:r w:rsidRPr="001357D3">
        <w:rPr>
          <w:noProof/>
        </w:rPr>
        <w:t>: Komisja zdecydowała się na utworzenie odrębnego programu „Sprawiedliwość”, ponieważ zarówno ocena końcowa programu „Sprawiedliwość” na lata 2014–2020, jak</w:t>
      </w:r>
      <w:r w:rsidR="001C6403" w:rsidRPr="001357D3">
        <w:rPr>
          <w:noProof/>
        </w:rPr>
        <w:t xml:space="preserve"> i</w:t>
      </w:r>
      <w:r w:rsidR="001C6403">
        <w:rPr>
          <w:noProof/>
        </w:rPr>
        <w:t> </w:t>
      </w:r>
      <w:r w:rsidR="001C6403" w:rsidRPr="001357D3">
        <w:rPr>
          <w:noProof/>
        </w:rPr>
        <w:t>oce</w:t>
      </w:r>
      <w:r w:rsidRPr="001357D3">
        <w:rPr>
          <w:noProof/>
        </w:rPr>
        <w:t xml:space="preserve">na śródokresowa programu „Sprawiedliwość” na lata 2021–2027 potwierdziły, że program ten zapewnia wyjątkową wartość dodaną, którą trudno byłoby </w:t>
      </w:r>
      <w:r w:rsidRPr="001357D3">
        <w:rPr>
          <w:noProof/>
        </w:rPr>
        <w:lastRenderedPageBreak/>
        <w:t>powielić na szczeblu krajowym. Decyzja ta znalazła odzwierciedlenie</w:t>
      </w:r>
      <w:r w:rsidR="001C6403" w:rsidRPr="001357D3">
        <w:rPr>
          <w:noProof/>
        </w:rPr>
        <w:t xml:space="preserve"> w</w:t>
      </w:r>
      <w:r w:rsidR="001C6403">
        <w:rPr>
          <w:noProof/>
        </w:rPr>
        <w:t> </w:t>
      </w:r>
      <w:r w:rsidR="001C6403" w:rsidRPr="001357D3">
        <w:rPr>
          <w:noProof/>
        </w:rPr>
        <w:t>pak</w:t>
      </w:r>
      <w:r w:rsidRPr="001357D3">
        <w:rPr>
          <w:noProof/>
        </w:rPr>
        <w:t xml:space="preserve">iecie dotyczącym wieloletnich ram finansowych na okres </w:t>
      </w:r>
      <w:r w:rsidRPr="001C6403">
        <w:rPr>
          <w:noProof/>
        </w:rPr>
        <w:t>po</w:t>
      </w:r>
      <w:r w:rsidR="001C6403" w:rsidRPr="001C6403">
        <w:rPr>
          <w:noProof/>
        </w:rPr>
        <w:t> </w:t>
      </w:r>
      <w:r w:rsidRPr="001C6403">
        <w:rPr>
          <w:noProof/>
        </w:rPr>
        <w:t>2</w:t>
      </w:r>
      <w:r w:rsidRPr="001357D3">
        <w:rPr>
          <w:noProof/>
        </w:rPr>
        <w:t>027 r., przedstawionym przez Komisję</w:t>
      </w:r>
      <w:r w:rsidR="001C6403" w:rsidRPr="001357D3">
        <w:rPr>
          <w:noProof/>
        </w:rPr>
        <w:t xml:space="preserve"> w</w:t>
      </w:r>
      <w:r w:rsidR="001C6403">
        <w:rPr>
          <w:noProof/>
        </w:rPr>
        <w:t> </w:t>
      </w:r>
      <w:r w:rsidR="001C6403" w:rsidRPr="001357D3">
        <w:rPr>
          <w:noProof/>
        </w:rPr>
        <w:t>dni</w:t>
      </w:r>
      <w:r w:rsidRPr="001357D3">
        <w:rPr>
          <w:noProof/>
        </w:rPr>
        <w:t>u 16 lipca 2025 r.</w:t>
      </w:r>
    </w:p>
    <w:p w14:paraId="3F36BE68" w14:textId="3FAF8D69" w:rsidR="3805422B" w:rsidRPr="001357D3" w:rsidRDefault="005A213B" w:rsidP="008A4B4E">
      <w:pPr>
        <w:spacing w:before="0"/>
        <w:rPr>
          <w:rFonts w:eastAsia="Times New Roman"/>
          <w:noProof/>
          <w:szCs w:val="24"/>
        </w:rPr>
      </w:pPr>
      <w:r w:rsidRPr="001357D3">
        <w:rPr>
          <w:rStyle w:val="normaltextrun"/>
          <w:noProof/>
          <w:shd w:val="clear" w:color="auto" w:fill="FFFFFF"/>
        </w:rPr>
        <w:t>Zgodnie</w:t>
      </w:r>
      <w:r w:rsidR="001C6403" w:rsidRPr="001357D3">
        <w:rPr>
          <w:rStyle w:val="normaltextrun"/>
          <w:noProof/>
          <w:shd w:val="clear" w:color="auto" w:fill="FFFFFF"/>
        </w:rPr>
        <w:t xml:space="preserve"> z</w:t>
      </w:r>
      <w:r w:rsidR="001C6403">
        <w:rPr>
          <w:rStyle w:val="normaltextrun"/>
          <w:noProof/>
          <w:shd w:val="clear" w:color="auto" w:fill="FFFFFF"/>
        </w:rPr>
        <w:t> </w:t>
      </w:r>
      <w:r w:rsidR="001C6403" w:rsidRPr="001357D3">
        <w:rPr>
          <w:rStyle w:val="normaltextrun"/>
          <w:noProof/>
          <w:shd w:val="clear" w:color="auto" w:fill="FFFFFF"/>
        </w:rPr>
        <w:t>wyt</w:t>
      </w:r>
      <w:r w:rsidRPr="001357D3">
        <w:rPr>
          <w:rStyle w:val="normaltextrun"/>
          <w:noProof/>
          <w:shd w:val="clear" w:color="auto" w:fill="FFFFFF"/>
        </w:rPr>
        <w:t>ycznymi dotyczącymi lepszego stanowienia prawa sprawozdanie</w:t>
      </w:r>
      <w:r w:rsidR="001C6403" w:rsidRPr="001357D3">
        <w:rPr>
          <w:rStyle w:val="normaltextrun"/>
          <w:noProof/>
          <w:shd w:val="clear" w:color="auto" w:fill="FFFFFF"/>
        </w:rPr>
        <w:t xml:space="preserve"> z</w:t>
      </w:r>
      <w:r w:rsidR="001C6403">
        <w:rPr>
          <w:rStyle w:val="normaltextrun"/>
          <w:noProof/>
          <w:shd w:val="clear" w:color="auto" w:fill="FFFFFF"/>
        </w:rPr>
        <w:t> </w:t>
      </w:r>
      <w:r w:rsidR="001C6403" w:rsidRPr="001357D3">
        <w:rPr>
          <w:rStyle w:val="normaltextrun"/>
          <w:noProof/>
          <w:shd w:val="clear" w:color="auto" w:fill="FFFFFF"/>
        </w:rPr>
        <w:t>oce</w:t>
      </w:r>
      <w:r w:rsidRPr="001357D3">
        <w:rPr>
          <w:rStyle w:val="normaltextrun"/>
          <w:noProof/>
          <w:shd w:val="clear" w:color="auto" w:fill="FFFFFF"/>
        </w:rPr>
        <w:t>ny skutków zostało przedłożone Radzie ds. Kontroli Regulacyjnej na potrzeby przeprowadzenia kontroli jakości. Rada ds. Kontroli Regulacyjnej wydała opinię na temat oceny skutków</w:t>
      </w:r>
      <w:r w:rsidR="001C6403" w:rsidRPr="001357D3">
        <w:rPr>
          <w:rStyle w:val="normaltextrun"/>
          <w:noProof/>
          <w:shd w:val="clear" w:color="auto" w:fill="FFFFFF"/>
        </w:rPr>
        <w:t xml:space="preserve"> w</w:t>
      </w:r>
      <w:r w:rsidR="001C6403">
        <w:rPr>
          <w:rStyle w:val="normaltextrun"/>
          <w:noProof/>
          <w:shd w:val="clear" w:color="auto" w:fill="FFFFFF"/>
        </w:rPr>
        <w:t> </w:t>
      </w:r>
      <w:r w:rsidR="001C6403" w:rsidRPr="001357D3">
        <w:rPr>
          <w:rStyle w:val="normaltextrun"/>
          <w:noProof/>
          <w:shd w:val="clear" w:color="auto" w:fill="FFFFFF"/>
        </w:rPr>
        <w:t>dni</w:t>
      </w:r>
      <w:r w:rsidRPr="001357D3">
        <w:rPr>
          <w:rStyle w:val="normaltextrun"/>
          <w:noProof/>
          <w:shd w:val="clear" w:color="auto" w:fill="FFFFFF"/>
        </w:rPr>
        <w:t>u 13 czerwca 2025 r. Rada ds. Kontroli Regulacyjnej przedstawiła szereg uwag</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zal</w:t>
      </w:r>
      <w:r w:rsidRPr="001357D3">
        <w:rPr>
          <w:rStyle w:val="normaltextrun"/>
          <w:noProof/>
          <w:shd w:val="clear" w:color="auto" w:fill="FFFFFF"/>
        </w:rPr>
        <w:t>eceń dotyczących następujących kwestii: zakresu, definicji problemu</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wyk</w:t>
      </w:r>
      <w:r w:rsidRPr="001357D3">
        <w:rPr>
          <w:rStyle w:val="normaltextrun"/>
          <w:noProof/>
          <w:shd w:val="clear" w:color="auto" w:fill="FFFFFF"/>
        </w:rPr>
        <w:t>orzystania ocen, logiki</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cel</w:t>
      </w:r>
      <w:r w:rsidRPr="001357D3">
        <w:rPr>
          <w:rStyle w:val="normaltextrun"/>
          <w:noProof/>
          <w:shd w:val="clear" w:color="auto" w:fill="FFFFFF"/>
        </w:rPr>
        <w:t>ów działania, porównania wariantów</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ana</w:t>
      </w:r>
      <w:r w:rsidRPr="001357D3">
        <w:rPr>
          <w:rStyle w:val="normaltextrun"/>
          <w:noProof/>
          <w:shd w:val="clear" w:color="auto" w:fill="FFFFFF"/>
        </w:rPr>
        <w:t>lizy kosztów</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kor</w:t>
      </w:r>
      <w:r w:rsidRPr="001357D3">
        <w:rPr>
          <w:rStyle w:val="normaltextrun"/>
          <w:noProof/>
          <w:shd w:val="clear" w:color="auto" w:fill="FFFFFF"/>
        </w:rPr>
        <w:t>zyści, zarządzania, spójności oraz przyszłego monitorowania</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oce</w:t>
      </w:r>
      <w:r w:rsidRPr="001357D3">
        <w:rPr>
          <w:rStyle w:val="normaltextrun"/>
          <w:noProof/>
          <w:shd w:val="clear" w:color="auto" w:fill="FFFFFF"/>
        </w:rPr>
        <w:t>ny. Ocenę skutków towarzyszącą niniejszemu wnioskowi ustawodawczemu poddano przeglądowi zgodnie</w:t>
      </w:r>
      <w:r w:rsidR="001C6403" w:rsidRPr="001357D3">
        <w:rPr>
          <w:rStyle w:val="normaltextrun"/>
          <w:noProof/>
          <w:shd w:val="clear" w:color="auto" w:fill="FFFFFF"/>
        </w:rPr>
        <w:t xml:space="preserve"> z</w:t>
      </w:r>
      <w:r w:rsidR="001C6403">
        <w:rPr>
          <w:rStyle w:val="normaltextrun"/>
          <w:noProof/>
          <w:shd w:val="clear" w:color="auto" w:fill="FFFFFF"/>
        </w:rPr>
        <w:t> </w:t>
      </w:r>
      <w:r w:rsidR="001C6403" w:rsidRPr="001357D3">
        <w:rPr>
          <w:rStyle w:val="normaltextrun"/>
          <w:noProof/>
          <w:shd w:val="clear" w:color="auto" w:fill="FFFFFF"/>
        </w:rPr>
        <w:t>uwa</w:t>
      </w:r>
      <w:r w:rsidRPr="001357D3">
        <w:rPr>
          <w:rStyle w:val="normaltextrun"/>
          <w:noProof/>
          <w:shd w:val="clear" w:color="auto" w:fill="FFFFFF"/>
        </w:rPr>
        <w:t>gami</w:t>
      </w:r>
      <w:r w:rsidR="001C6403" w:rsidRPr="001357D3">
        <w:rPr>
          <w:rStyle w:val="normaltextrun"/>
          <w:noProof/>
          <w:shd w:val="clear" w:color="auto" w:fill="FFFFFF"/>
        </w:rPr>
        <w:t xml:space="preserve"> i</w:t>
      </w:r>
      <w:r w:rsidR="001C6403">
        <w:rPr>
          <w:rStyle w:val="normaltextrun"/>
          <w:noProof/>
          <w:shd w:val="clear" w:color="auto" w:fill="FFFFFF"/>
        </w:rPr>
        <w:t> </w:t>
      </w:r>
      <w:r w:rsidR="001C6403" w:rsidRPr="001357D3">
        <w:rPr>
          <w:rStyle w:val="normaltextrun"/>
          <w:noProof/>
          <w:shd w:val="clear" w:color="auto" w:fill="FFFFFF"/>
        </w:rPr>
        <w:t>zal</w:t>
      </w:r>
      <w:r w:rsidRPr="001357D3">
        <w:rPr>
          <w:rStyle w:val="normaltextrun"/>
          <w:noProof/>
          <w:shd w:val="clear" w:color="auto" w:fill="FFFFFF"/>
        </w:rPr>
        <w:t>eceniami Rady ds. Kontroli Regulacyjnej</w:t>
      </w:r>
      <w:r w:rsidRPr="001357D3">
        <w:rPr>
          <w:noProof/>
        </w:rPr>
        <w:t>.</w:t>
      </w:r>
    </w:p>
    <w:p w14:paraId="00377F4B" w14:textId="645F3A45" w:rsidR="00F15D60" w:rsidRPr="001357D3" w:rsidRDefault="00F15D60" w:rsidP="008A4B4E">
      <w:pPr>
        <w:pStyle w:val="Listapunktowana"/>
        <w:spacing w:before="0"/>
        <w:contextualSpacing w:val="0"/>
        <w:rPr>
          <w:b/>
          <w:bCs/>
          <w:noProof/>
          <w:bdr w:val="nil"/>
        </w:rPr>
      </w:pPr>
      <w:bookmarkStart w:id="23" w:name="_Toc205221098"/>
      <w:r w:rsidRPr="001357D3">
        <w:rPr>
          <w:b/>
          <w:noProof/>
          <w:bdr w:val="nil"/>
        </w:rPr>
        <w:t>Upraszczanie</w:t>
      </w:r>
      <w:bookmarkEnd w:id="23"/>
    </w:p>
    <w:p w14:paraId="0F9695E6" w14:textId="5319DD4D" w:rsidR="3282F86A" w:rsidRPr="001357D3" w:rsidRDefault="0A2E21F7" w:rsidP="008A4B4E">
      <w:pPr>
        <w:spacing w:before="0"/>
        <w:rPr>
          <w:rFonts w:eastAsia="Times New Roman"/>
          <w:noProof/>
          <w:szCs w:val="24"/>
        </w:rPr>
      </w:pPr>
      <w:r w:rsidRPr="001357D3">
        <w:rPr>
          <w:noProof/>
        </w:rPr>
        <w:t>Inicjatywa ta będzie zgodna</w:t>
      </w:r>
      <w:r w:rsidR="001C6403" w:rsidRPr="001357D3">
        <w:rPr>
          <w:noProof/>
        </w:rPr>
        <w:t xml:space="preserve"> z</w:t>
      </w:r>
      <w:r w:rsidR="001C6403">
        <w:rPr>
          <w:noProof/>
        </w:rPr>
        <w:t> </w:t>
      </w:r>
      <w:r w:rsidR="001C6403" w:rsidRPr="001357D3">
        <w:rPr>
          <w:noProof/>
        </w:rPr>
        <w:t>kom</w:t>
      </w:r>
      <w:r w:rsidRPr="001357D3">
        <w:rPr>
          <w:noProof/>
        </w:rPr>
        <w:t>unikatem</w:t>
      </w:r>
      <w:r w:rsidR="001C6403" w:rsidRPr="001357D3">
        <w:rPr>
          <w:noProof/>
        </w:rPr>
        <w:t xml:space="preserve"> w</w:t>
      </w:r>
      <w:r w:rsidR="001C6403">
        <w:rPr>
          <w:noProof/>
        </w:rPr>
        <w:t> </w:t>
      </w:r>
      <w:r w:rsidR="001C6403" w:rsidRPr="001357D3">
        <w:rPr>
          <w:noProof/>
        </w:rPr>
        <w:t>spr</w:t>
      </w:r>
      <w:r w:rsidRPr="001357D3">
        <w:rPr>
          <w:noProof/>
        </w:rPr>
        <w:t>awie drogi ku następnym WRF na lata 2028–2034</w:t>
      </w:r>
      <w:r w:rsidRPr="001357D3">
        <w:rPr>
          <w:rStyle w:val="Odwoanieprzypisudolnego"/>
          <w:rFonts w:eastAsia="Times New Roman"/>
          <w:noProof/>
          <w:szCs w:val="24"/>
        </w:rPr>
        <w:footnoteReference w:id="41"/>
      </w:r>
      <w:r w:rsidR="001C6403" w:rsidRPr="001357D3">
        <w:rPr>
          <w:noProof/>
        </w:rPr>
        <w:t xml:space="preserve"> i</w:t>
      </w:r>
      <w:r w:rsidR="001C6403">
        <w:rPr>
          <w:noProof/>
        </w:rPr>
        <w:t> </w:t>
      </w:r>
      <w:r w:rsidR="001C6403" w:rsidRPr="001357D3">
        <w:rPr>
          <w:noProof/>
        </w:rPr>
        <w:t>ich</w:t>
      </w:r>
      <w:r w:rsidRPr="001357D3">
        <w:rPr>
          <w:noProof/>
        </w:rPr>
        <w:t xml:space="preserve"> celem, jakim jest usprawnienie zarządzania programami UE, administrowania nimi</w:t>
      </w:r>
      <w:r w:rsidR="001C6403" w:rsidRPr="001357D3">
        <w:rPr>
          <w:noProof/>
        </w:rPr>
        <w:t xml:space="preserve"> i</w:t>
      </w:r>
      <w:r w:rsidR="001C6403">
        <w:rPr>
          <w:noProof/>
        </w:rPr>
        <w:t> </w:t>
      </w:r>
      <w:r w:rsidR="001C6403" w:rsidRPr="001357D3">
        <w:rPr>
          <w:noProof/>
        </w:rPr>
        <w:t>ich</w:t>
      </w:r>
      <w:r w:rsidRPr="001357D3">
        <w:rPr>
          <w:noProof/>
        </w:rPr>
        <w:t xml:space="preserve"> wdrażania w na potrzeby podniesienia efektywności</w:t>
      </w:r>
      <w:r w:rsidR="001C6403" w:rsidRPr="001357D3">
        <w:rPr>
          <w:noProof/>
        </w:rPr>
        <w:t xml:space="preserve"> z</w:t>
      </w:r>
      <w:r w:rsidR="001C6403">
        <w:rPr>
          <w:noProof/>
        </w:rPr>
        <w:t> </w:t>
      </w:r>
      <w:r w:rsidR="001C6403" w:rsidRPr="001357D3">
        <w:rPr>
          <w:noProof/>
        </w:rPr>
        <w:t>kor</w:t>
      </w:r>
      <w:r w:rsidRPr="001357D3">
        <w:rPr>
          <w:noProof/>
        </w:rPr>
        <w:t>zyścią dla wnioskodawców, beneficjentów</w:t>
      </w:r>
      <w:r w:rsidR="001C6403" w:rsidRPr="001357D3">
        <w:rPr>
          <w:noProof/>
        </w:rPr>
        <w:t xml:space="preserve"> i</w:t>
      </w:r>
      <w:r w:rsidR="001C6403">
        <w:rPr>
          <w:noProof/>
        </w:rPr>
        <w:t> </w:t>
      </w:r>
      <w:r w:rsidR="001C6403" w:rsidRPr="001357D3">
        <w:rPr>
          <w:noProof/>
        </w:rPr>
        <w:t>ins</w:t>
      </w:r>
      <w:r w:rsidRPr="001357D3">
        <w:rPr>
          <w:noProof/>
        </w:rPr>
        <w:t>tytucji UE. Podjęte zostaną działania prowadzące do uproszczenia wymogów dotyczących stosowania, zarządzania</w:t>
      </w:r>
      <w:r w:rsidR="001C6403" w:rsidRPr="001357D3">
        <w:rPr>
          <w:noProof/>
        </w:rPr>
        <w:t xml:space="preserve"> i</w:t>
      </w:r>
      <w:r w:rsidR="001C6403">
        <w:rPr>
          <w:noProof/>
        </w:rPr>
        <w:t> </w:t>
      </w:r>
      <w:r w:rsidR="001C6403" w:rsidRPr="001357D3">
        <w:rPr>
          <w:noProof/>
        </w:rPr>
        <w:t>spr</w:t>
      </w:r>
      <w:r w:rsidRPr="001357D3">
        <w:rPr>
          <w:noProof/>
        </w:rPr>
        <w:t>awozdawczości oraz przewidujące zapewnienie dodatkowych wytycznych. Łączenie zasobów,</w:t>
      </w:r>
      <w:r w:rsidR="001C6403" w:rsidRPr="001357D3">
        <w:rPr>
          <w:noProof/>
        </w:rPr>
        <w:t xml:space="preserve"> w</w:t>
      </w:r>
      <w:r w:rsidR="001C6403">
        <w:rPr>
          <w:noProof/>
        </w:rPr>
        <w:t> </w:t>
      </w:r>
      <w:r w:rsidR="001C6403" w:rsidRPr="001357D3">
        <w:rPr>
          <w:noProof/>
        </w:rPr>
        <w:t>tym w</w:t>
      </w:r>
      <w:r w:rsidR="001C6403">
        <w:rPr>
          <w:noProof/>
        </w:rPr>
        <w:t> </w:t>
      </w:r>
      <w:r w:rsidR="001C6403" w:rsidRPr="001357D3">
        <w:rPr>
          <w:noProof/>
        </w:rPr>
        <w:t>obs</w:t>
      </w:r>
      <w:r w:rsidRPr="001357D3">
        <w:rPr>
          <w:noProof/>
        </w:rPr>
        <w:t>zarach takich jak monitorowanie oraz komunikacja wewnętrzna</w:t>
      </w:r>
      <w:r w:rsidR="001C6403" w:rsidRPr="001357D3">
        <w:rPr>
          <w:noProof/>
        </w:rPr>
        <w:t xml:space="preserve"> i</w:t>
      </w:r>
      <w:r w:rsidR="001C6403">
        <w:rPr>
          <w:noProof/>
        </w:rPr>
        <w:t> </w:t>
      </w:r>
      <w:r w:rsidR="001C6403" w:rsidRPr="001357D3">
        <w:rPr>
          <w:noProof/>
        </w:rPr>
        <w:t>zew</w:t>
      </w:r>
      <w:r w:rsidRPr="001357D3">
        <w:rPr>
          <w:noProof/>
        </w:rPr>
        <w:t>nętrzna, przyniesie korzyści skali</w:t>
      </w:r>
      <w:r w:rsidR="001C6403" w:rsidRPr="001357D3">
        <w:rPr>
          <w:noProof/>
        </w:rPr>
        <w:t xml:space="preserve"> i</w:t>
      </w:r>
      <w:r w:rsidR="001C6403">
        <w:rPr>
          <w:noProof/>
        </w:rPr>
        <w:t> </w:t>
      </w:r>
      <w:r w:rsidR="001C6403" w:rsidRPr="001357D3">
        <w:rPr>
          <w:noProof/>
        </w:rPr>
        <w:t>zwi</w:t>
      </w:r>
      <w:r w:rsidRPr="001357D3">
        <w:rPr>
          <w:noProof/>
        </w:rPr>
        <w:t>ększy przewidywalność finansowania unijnego</w:t>
      </w:r>
      <w:r w:rsidR="001C6403" w:rsidRPr="001357D3">
        <w:rPr>
          <w:noProof/>
        </w:rPr>
        <w:t xml:space="preserve"> w</w:t>
      </w:r>
      <w:r w:rsidR="001C6403">
        <w:rPr>
          <w:noProof/>
        </w:rPr>
        <w:t> </w:t>
      </w:r>
      <w:r w:rsidR="001C6403" w:rsidRPr="001357D3">
        <w:rPr>
          <w:noProof/>
        </w:rPr>
        <w:t>sze</w:t>
      </w:r>
      <w:r w:rsidRPr="001357D3">
        <w:rPr>
          <w:noProof/>
        </w:rPr>
        <w:t>rszym ujęciu</w:t>
      </w:r>
      <w:r w:rsidR="001C6403" w:rsidRPr="001357D3">
        <w:rPr>
          <w:noProof/>
        </w:rPr>
        <w:t xml:space="preserve"> z</w:t>
      </w:r>
      <w:r w:rsidR="001C6403">
        <w:rPr>
          <w:noProof/>
        </w:rPr>
        <w:t> </w:t>
      </w:r>
      <w:r w:rsidR="001C6403" w:rsidRPr="001357D3">
        <w:rPr>
          <w:noProof/>
        </w:rPr>
        <w:t>pun</w:t>
      </w:r>
      <w:r w:rsidRPr="001357D3">
        <w:rPr>
          <w:noProof/>
        </w:rPr>
        <w:t>ktu widzenia beneficjentów, zainteresowanych stron</w:t>
      </w:r>
      <w:r w:rsidR="001C6403" w:rsidRPr="001357D3">
        <w:rPr>
          <w:noProof/>
        </w:rPr>
        <w:t xml:space="preserve"> i</w:t>
      </w:r>
      <w:r w:rsidR="001C6403">
        <w:rPr>
          <w:noProof/>
        </w:rPr>
        <w:t> </w:t>
      </w:r>
      <w:r w:rsidR="001C6403" w:rsidRPr="001357D3">
        <w:rPr>
          <w:noProof/>
        </w:rPr>
        <w:t>oby</w:t>
      </w:r>
      <w:r w:rsidRPr="001357D3">
        <w:rPr>
          <w:noProof/>
        </w:rPr>
        <w:t>wateli UE.</w:t>
      </w:r>
    </w:p>
    <w:p w14:paraId="032FEB67" w14:textId="30D9ED5D" w:rsidR="3282F86A" w:rsidRPr="001357D3" w:rsidRDefault="073ACA3A" w:rsidP="008A4B4E">
      <w:pPr>
        <w:pBdr>
          <w:top w:val="nil"/>
          <w:left w:val="nil"/>
          <w:bottom w:val="nil"/>
          <w:right w:val="nil"/>
          <w:between w:val="nil"/>
        </w:pBdr>
        <w:spacing w:before="0"/>
        <w:rPr>
          <w:rFonts w:eastAsia="Times New Roman"/>
          <w:noProof/>
        </w:rPr>
      </w:pPr>
      <w:r w:rsidRPr="001357D3">
        <w:rPr>
          <w:noProof/>
        </w:rPr>
        <w:t>Jeżeli chodzi</w:t>
      </w:r>
      <w:r w:rsidR="001C6403" w:rsidRPr="001357D3">
        <w:rPr>
          <w:noProof/>
        </w:rPr>
        <w:t xml:space="preserve"> o</w:t>
      </w:r>
      <w:r w:rsidR="001C6403">
        <w:rPr>
          <w:noProof/>
        </w:rPr>
        <w:t> </w:t>
      </w:r>
      <w:r w:rsidR="001C6403" w:rsidRPr="001357D3">
        <w:rPr>
          <w:noProof/>
        </w:rPr>
        <w:t>try</w:t>
      </w:r>
      <w:r w:rsidRPr="001357D3">
        <w:rPr>
          <w:noProof/>
        </w:rPr>
        <w:t>b zarządzania programem, nie ma wyraźnych możliwości dalszego uproszczenia, ponieważ tryby zarządzania stosowane</w:t>
      </w:r>
      <w:r w:rsidR="001C6403" w:rsidRPr="001357D3">
        <w:rPr>
          <w:noProof/>
        </w:rPr>
        <w:t xml:space="preserve"> w</w:t>
      </w:r>
      <w:r w:rsidR="001C6403">
        <w:rPr>
          <w:noProof/>
        </w:rPr>
        <w:t> </w:t>
      </w:r>
      <w:r w:rsidR="001C6403" w:rsidRPr="001357D3">
        <w:rPr>
          <w:noProof/>
        </w:rPr>
        <w:t>pro</w:t>
      </w:r>
      <w:r w:rsidRPr="001357D3">
        <w:rPr>
          <w:noProof/>
        </w:rPr>
        <w:t>gramie „Sprawiedliwość” na lata 2021–2027 są odpowiednie dla programu</w:t>
      </w:r>
      <w:r w:rsidR="001C6403" w:rsidRPr="001357D3">
        <w:rPr>
          <w:noProof/>
        </w:rPr>
        <w:t xml:space="preserve"> o</w:t>
      </w:r>
      <w:r w:rsidR="001C6403">
        <w:rPr>
          <w:noProof/>
        </w:rPr>
        <w:t> </w:t>
      </w:r>
      <w:r w:rsidR="001C6403" w:rsidRPr="001357D3">
        <w:rPr>
          <w:noProof/>
        </w:rPr>
        <w:t>tak</w:t>
      </w:r>
      <w:r w:rsidRPr="001357D3">
        <w:rPr>
          <w:noProof/>
        </w:rPr>
        <w:t>iej wielkości (tj. zarządzanie bezpośrednie</w:t>
      </w:r>
      <w:r w:rsidR="001C6403" w:rsidRPr="001357D3">
        <w:rPr>
          <w:noProof/>
        </w:rPr>
        <w:t xml:space="preserve"> i</w:t>
      </w:r>
      <w:r w:rsidR="001C6403">
        <w:rPr>
          <w:noProof/>
        </w:rPr>
        <w:t> </w:t>
      </w:r>
      <w:r w:rsidR="001C6403" w:rsidRPr="001357D3">
        <w:rPr>
          <w:noProof/>
        </w:rPr>
        <w:t>ogr</w:t>
      </w:r>
      <w:r w:rsidRPr="001357D3">
        <w:rPr>
          <w:noProof/>
        </w:rPr>
        <w:t>aniczona liczba inicjatyw realizowanych</w:t>
      </w:r>
      <w:r w:rsidR="001C6403" w:rsidRPr="001357D3">
        <w:rPr>
          <w:noProof/>
        </w:rPr>
        <w:t xml:space="preserve"> w</w:t>
      </w:r>
      <w:r w:rsidR="001C6403">
        <w:rPr>
          <w:noProof/>
        </w:rPr>
        <w:t> </w:t>
      </w:r>
      <w:r w:rsidR="001C6403" w:rsidRPr="001357D3">
        <w:rPr>
          <w:noProof/>
        </w:rPr>
        <w:t>ram</w:t>
      </w:r>
      <w:r w:rsidRPr="001357D3">
        <w:rPr>
          <w:noProof/>
        </w:rPr>
        <w:t>ach zarządzania pośredniego przez organy,</w:t>
      </w:r>
      <w:r w:rsidR="001C6403" w:rsidRPr="001357D3">
        <w:rPr>
          <w:noProof/>
        </w:rPr>
        <w:t xml:space="preserve"> o</w:t>
      </w:r>
      <w:r w:rsidR="001C6403">
        <w:rPr>
          <w:noProof/>
        </w:rPr>
        <w:t> </w:t>
      </w:r>
      <w:r w:rsidR="001C6403" w:rsidRPr="001357D3">
        <w:rPr>
          <w:noProof/>
        </w:rPr>
        <w:t>któ</w:t>
      </w:r>
      <w:r w:rsidRPr="001357D3">
        <w:rPr>
          <w:noProof/>
        </w:rPr>
        <w:t>rych mowa</w:t>
      </w:r>
      <w:r w:rsidR="001C6403" w:rsidRPr="001357D3">
        <w:rPr>
          <w:noProof/>
        </w:rPr>
        <w:t xml:space="preserve"> w</w:t>
      </w:r>
      <w:r w:rsidR="001C6403">
        <w:rPr>
          <w:noProof/>
        </w:rPr>
        <w:t> </w:t>
      </w:r>
      <w:r w:rsidR="001C6403" w:rsidRPr="001357D3">
        <w:rPr>
          <w:noProof/>
        </w:rPr>
        <w:t>art</w:t>
      </w:r>
      <w:r w:rsidRPr="001357D3">
        <w:rPr>
          <w:noProof/>
        </w:rPr>
        <w:t>. 62 ust. 1 akapit pierwszy lit. c) rozporządzenia (UE) 2024/2509)</w:t>
      </w:r>
      <w:r w:rsidR="001C6403" w:rsidRPr="001357D3">
        <w:rPr>
          <w:noProof/>
        </w:rPr>
        <w:t>. W</w:t>
      </w:r>
      <w:r w:rsidR="001C6403">
        <w:rPr>
          <w:noProof/>
        </w:rPr>
        <w:t> </w:t>
      </w:r>
      <w:r w:rsidR="001C6403" w:rsidRPr="001357D3">
        <w:rPr>
          <w:noProof/>
        </w:rPr>
        <w:t>ost</w:t>
      </w:r>
      <w:r w:rsidRPr="001357D3">
        <w:rPr>
          <w:noProof/>
        </w:rPr>
        <w:t>atnich latach</w:t>
      </w:r>
      <w:r w:rsidR="001C6403" w:rsidRPr="001357D3">
        <w:rPr>
          <w:noProof/>
        </w:rPr>
        <w:t xml:space="preserve"> w</w:t>
      </w:r>
      <w:r w:rsidR="001C6403">
        <w:rPr>
          <w:noProof/>
        </w:rPr>
        <w:t> </w:t>
      </w:r>
      <w:r w:rsidR="001C6403" w:rsidRPr="001357D3">
        <w:rPr>
          <w:noProof/>
        </w:rPr>
        <w:t>ram</w:t>
      </w:r>
      <w:r w:rsidRPr="001357D3">
        <w:rPr>
          <w:noProof/>
        </w:rPr>
        <w:t>ach programu wdrożono szereg środków upraszczających służących usprawnieniu procesów</w:t>
      </w:r>
      <w:r w:rsidR="001C6403" w:rsidRPr="001357D3">
        <w:rPr>
          <w:noProof/>
        </w:rPr>
        <w:t xml:space="preserve"> i</w:t>
      </w:r>
      <w:r w:rsidR="001C6403">
        <w:rPr>
          <w:noProof/>
        </w:rPr>
        <w:t> </w:t>
      </w:r>
      <w:r w:rsidR="001C6403" w:rsidRPr="001357D3">
        <w:rPr>
          <w:noProof/>
        </w:rPr>
        <w:t>pro</w:t>
      </w:r>
      <w:r w:rsidRPr="001357D3">
        <w:rPr>
          <w:noProof/>
        </w:rPr>
        <w:t>cedur administracyjnych, zwiększając tym samym skuteczność programu. Niewiele wskazuje na to, że nadal potrzebne są znaczne zmiany, zwłaszcza biorąc pod uwagę wprowadzone dotychczas środki upraszczające. Na przykład</w:t>
      </w:r>
      <w:r w:rsidR="001C6403" w:rsidRPr="001357D3">
        <w:rPr>
          <w:noProof/>
        </w:rPr>
        <w:t xml:space="preserve"> w</w:t>
      </w:r>
      <w:r w:rsidR="001C6403">
        <w:rPr>
          <w:noProof/>
        </w:rPr>
        <w:t> </w:t>
      </w:r>
      <w:r w:rsidR="001C6403" w:rsidRPr="001357D3">
        <w:rPr>
          <w:noProof/>
        </w:rPr>
        <w:t>cel</w:t>
      </w:r>
      <w:r w:rsidRPr="001357D3">
        <w:rPr>
          <w:noProof/>
        </w:rPr>
        <w:t>u uproszczenia wdrażania</w:t>
      </w:r>
      <w:r w:rsidR="001C6403" w:rsidRPr="001357D3">
        <w:rPr>
          <w:noProof/>
        </w:rPr>
        <w:t xml:space="preserve"> i</w:t>
      </w:r>
      <w:r w:rsidR="001C6403">
        <w:rPr>
          <w:noProof/>
        </w:rPr>
        <w:t> </w:t>
      </w:r>
      <w:r w:rsidR="001C6403" w:rsidRPr="001357D3">
        <w:rPr>
          <w:noProof/>
        </w:rPr>
        <w:t>zmn</w:t>
      </w:r>
      <w:r w:rsidRPr="001357D3">
        <w:rPr>
          <w:noProof/>
        </w:rPr>
        <w:t>iejszenia obciążeń administracyjnych dla beneficjentów stosowanie uproszczonych form finansowania nadal będzie standardową formą wkładu przy refundacji dotacji.</w:t>
      </w:r>
    </w:p>
    <w:p w14:paraId="50207B77" w14:textId="45353AA3" w:rsidR="3282F86A" w:rsidRPr="001357D3" w:rsidRDefault="58AEE2C9" w:rsidP="008A4B4E">
      <w:pPr>
        <w:pBdr>
          <w:top w:val="nil"/>
          <w:left w:val="nil"/>
          <w:bottom w:val="nil"/>
          <w:right w:val="nil"/>
          <w:between w:val="nil"/>
        </w:pBdr>
        <w:spacing w:before="0"/>
        <w:rPr>
          <w:rFonts w:eastAsia="Times New Roman"/>
          <w:noProof/>
        </w:rPr>
      </w:pPr>
      <w:r w:rsidRPr="001357D3">
        <w:rPr>
          <w:noProof/>
        </w:rPr>
        <w:t>Beneficjenci uznają instrumenty stosowane na potrzeby programu „Sprawiedliwość” na lata 2021–2027 (dotacje</w:t>
      </w:r>
      <w:r w:rsidR="001C6403" w:rsidRPr="001357D3">
        <w:rPr>
          <w:noProof/>
        </w:rPr>
        <w:t xml:space="preserve"> i</w:t>
      </w:r>
      <w:r w:rsidR="001C6403">
        <w:rPr>
          <w:noProof/>
        </w:rPr>
        <w:t> </w:t>
      </w:r>
      <w:r w:rsidR="001C6403" w:rsidRPr="001357D3">
        <w:rPr>
          <w:noProof/>
        </w:rPr>
        <w:t>zam</w:t>
      </w:r>
      <w:r w:rsidRPr="001357D3">
        <w:rPr>
          <w:noProof/>
        </w:rPr>
        <w:t>ówienia publiczne) za odpowiednie do potrzeb programu.</w:t>
      </w:r>
    </w:p>
    <w:p w14:paraId="04AB4868" w14:textId="022C3DE9" w:rsidR="3282F86A" w:rsidRPr="001357D3" w:rsidRDefault="5F947946" w:rsidP="008A4B4E">
      <w:pPr>
        <w:spacing w:before="0"/>
        <w:rPr>
          <w:noProof/>
        </w:rPr>
      </w:pPr>
      <w:r w:rsidRPr="001357D3">
        <w:rPr>
          <w:noProof/>
        </w:rPr>
        <w:t>Jednocześnie</w:t>
      </w:r>
      <w:r w:rsidR="001C6403" w:rsidRPr="001357D3">
        <w:rPr>
          <w:noProof/>
        </w:rPr>
        <w:t xml:space="preserve"> z</w:t>
      </w:r>
      <w:r w:rsidR="001C6403">
        <w:rPr>
          <w:noProof/>
        </w:rPr>
        <w:t> </w:t>
      </w:r>
      <w:r w:rsidR="001C6403" w:rsidRPr="001357D3">
        <w:rPr>
          <w:noProof/>
        </w:rPr>
        <w:t>sze</w:t>
      </w:r>
      <w:r w:rsidRPr="001357D3">
        <w:rPr>
          <w:noProof/>
        </w:rPr>
        <w:t>regu ustaleń wynika, że rosnące zapotrzebowanie na cyfryzację wymiaru sprawiedliwości uwidacznia istotne luki inwestycyjne zarówno na szczeblu unijnym, jak</w:t>
      </w:r>
      <w:r w:rsidR="001C6403" w:rsidRPr="001357D3">
        <w:rPr>
          <w:noProof/>
        </w:rPr>
        <w:t xml:space="preserve"> i</w:t>
      </w:r>
      <w:r w:rsidR="001C6403">
        <w:rPr>
          <w:noProof/>
        </w:rPr>
        <w:t> </w:t>
      </w:r>
      <w:r w:rsidR="001C6403" w:rsidRPr="001357D3">
        <w:rPr>
          <w:noProof/>
        </w:rPr>
        <w:t>kra</w:t>
      </w:r>
      <w:r w:rsidRPr="001357D3">
        <w:rPr>
          <w:noProof/>
        </w:rPr>
        <w:t>jowym.</w:t>
      </w:r>
    </w:p>
    <w:p w14:paraId="267B2A51" w14:textId="625D37AA" w:rsidR="3282F86A" w:rsidRPr="001357D3" w:rsidRDefault="4CC17A30" w:rsidP="008A4B4E">
      <w:pPr>
        <w:spacing w:before="0"/>
        <w:rPr>
          <w:rFonts w:eastAsia="Times New Roman"/>
          <w:noProof/>
          <w:szCs w:val="24"/>
        </w:rPr>
      </w:pPr>
      <w:r w:rsidRPr="001357D3">
        <w:rPr>
          <w:noProof/>
        </w:rPr>
        <w:t>Konieczne jest zatem zastosowanie podejścia dwupoziomowego (tj. na szczeblu UE i na szczeblu państw członkowskich), aby umożliwić pełną cyfryzację krajowych systemów wymiaru sprawiedliwości oraz stworzyć skuteczną</w:t>
      </w:r>
      <w:r w:rsidR="001C6403" w:rsidRPr="001357D3">
        <w:rPr>
          <w:noProof/>
        </w:rPr>
        <w:t xml:space="preserve"> i</w:t>
      </w:r>
      <w:r w:rsidR="001C6403">
        <w:rPr>
          <w:noProof/>
        </w:rPr>
        <w:t> </w:t>
      </w:r>
      <w:r w:rsidR="001C6403" w:rsidRPr="001357D3">
        <w:rPr>
          <w:noProof/>
        </w:rPr>
        <w:t>wza</w:t>
      </w:r>
      <w:r w:rsidRPr="001357D3">
        <w:rPr>
          <w:noProof/>
        </w:rPr>
        <w:t>jemnie połączoną unijną przestrzeń sprawiedliwości.</w:t>
      </w:r>
    </w:p>
    <w:p w14:paraId="3945ABFA" w14:textId="78C4A3E2" w:rsidR="3282F86A" w:rsidRPr="001357D3" w:rsidRDefault="3E152F3B" w:rsidP="008A4B4E">
      <w:pPr>
        <w:spacing w:before="0"/>
        <w:rPr>
          <w:rFonts w:eastAsia="Times New Roman"/>
          <w:noProof/>
        </w:rPr>
      </w:pPr>
      <w:r w:rsidRPr="001357D3">
        <w:rPr>
          <w:noProof/>
        </w:rPr>
        <w:lastRenderedPageBreak/>
        <w:t>Zaowocowałoby to nie tylko większą liczbą powiązań ze wszystkimi obszarami polityki objętymi programem „Sprawiedliwość”, lecz również zapewniłoby wysoką spójność</w:t>
      </w:r>
      <w:r w:rsidR="001C6403" w:rsidRPr="001357D3">
        <w:rPr>
          <w:noProof/>
        </w:rPr>
        <w:t xml:space="preserve"> z</w:t>
      </w:r>
      <w:r w:rsidR="001C6403">
        <w:rPr>
          <w:noProof/>
        </w:rPr>
        <w:t> </w:t>
      </w:r>
      <w:r w:rsidR="001C6403" w:rsidRPr="001357D3">
        <w:rPr>
          <w:noProof/>
        </w:rPr>
        <w:t>dzi</w:t>
      </w:r>
      <w:r w:rsidRPr="001357D3">
        <w:rPr>
          <w:noProof/>
        </w:rPr>
        <w:t>ałaniami prowadzonymi na szczeblu krajowym na rzecz cyfryzacji krajowych systemów wymiaru sprawiedliwości</w:t>
      </w:r>
      <w:r w:rsidR="001C6403" w:rsidRPr="001357D3">
        <w:rPr>
          <w:noProof/>
        </w:rPr>
        <w:t xml:space="preserve"> w</w:t>
      </w:r>
      <w:r w:rsidR="001C6403">
        <w:rPr>
          <w:noProof/>
        </w:rPr>
        <w:t> </w:t>
      </w:r>
      <w:r w:rsidR="001C6403" w:rsidRPr="001357D3">
        <w:rPr>
          <w:noProof/>
        </w:rPr>
        <w:t>ram</w:t>
      </w:r>
      <w:r w:rsidRPr="001357D3">
        <w:rPr>
          <w:noProof/>
        </w:rPr>
        <w:t>ach planów partnerstwa krajowego</w:t>
      </w:r>
      <w:r w:rsidR="001C6403" w:rsidRPr="001357D3">
        <w:rPr>
          <w:noProof/>
        </w:rPr>
        <w:t xml:space="preserve"> i</w:t>
      </w:r>
      <w:r w:rsidR="001C6403">
        <w:rPr>
          <w:noProof/>
        </w:rPr>
        <w:t> </w:t>
      </w:r>
      <w:r w:rsidR="001C6403" w:rsidRPr="001357D3">
        <w:rPr>
          <w:noProof/>
        </w:rPr>
        <w:t>reg</w:t>
      </w:r>
      <w:r w:rsidRPr="001357D3">
        <w:rPr>
          <w:noProof/>
        </w:rPr>
        <w:t>ionalnego.</w:t>
      </w:r>
    </w:p>
    <w:p w14:paraId="00377F4E" w14:textId="38E702C4" w:rsidR="00C5603D" w:rsidRPr="001357D3" w:rsidRDefault="00C5603D" w:rsidP="008A4B4E">
      <w:pPr>
        <w:pStyle w:val="Listapunktowana"/>
        <w:spacing w:before="0"/>
        <w:contextualSpacing w:val="0"/>
        <w:rPr>
          <w:b/>
          <w:bCs/>
          <w:noProof/>
          <w:bdr w:val="nil"/>
        </w:rPr>
      </w:pPr>
      <w:bookmarkStart w:id="24" w:name="_Toc205221099"/>
      <w:r w:rsidRPr="001357D3">
        <w:rPr>
          <w:b/>
          <w:noProof/>
          <w:bdr w:val="nil"/>
        </w:rPr>
        <w:t>Prawa podstawowe</w:t>
      </w:r>
      <w:bookmarkEnd w:id="24"/>
    </w:p>
    <w:p w14:paraId="4806BD5E" w14:textId="52670633" w:rsidR="63899F34" w:rsidRPr="001357D3" w:rsidRDefault="5608E206" w:rsidP="008A4B4E">
      <w:pPr>
        <w:pBdr>
          <w:top w:val="nil"/>
          <w:left w:val="nil"/>
          <w:bottom w:val="nil"/>
          <w:right w:val="nil"/>
          <w:between w:val="nil"/>
        </w:pBdr>
        <w:spacing w:before="0"/>
        <w:rPr>
          <w:rFonts w:eastAsia="Times New Roman"/>
          <w:noProof/>
        </w:rPr>
      </w:pPr>
      <w:bookmarkStart w:id="25" w:name="_Hlk203645845"/>
      <w:r w:rsidRPr="001357D3">
        <w:rPr>
          <w:noProof/>
        </w:rPr>
        <w:t>Cele programu są ściśle powiązane</w:t>
      </w:r>
      <w:r w:rsidR="001C6403" w:rsidRPr="001357D3">
        <w:rPr>
          <w:noProof/>
        </w:rPr>
        <w:t xml:space="preserve"> z</w:t>
      </w:r>
      <w:r w:rsidR="001C6403">
        <w:rPr>
          <w:noProof/>
        </w:rPr>
        <w:t> </w:t>
      </w:r>
      <w:r w:rsidR="001C6403" w:rsidRPr="001357D3">
        <w:rPr>
          <w:noProof/>
        </w:rPr>
        <w:t>pro</w:t>
      </w:r>
      <w:r w:rsidRPr="001357D3">
        <w:rPr>
          <w:noProof/>
        </w:rPr>
        <w:t>pagowaniem praw podstawowych i są zgodne</w:t>
      </w:r>
      <w:r w:rsidR="001C6403" w:rsidRPr="001357D3">
        <w:rPr>
          <w:noProof/>
        </w:rPr>
        <w:t xml:space="preserve"> z</w:t>
      </w:r>
      <w:r w:rsidR="001C6403">
        <w:rPr>
          <w:noProof/>
        </w:rPr>
        <w:t> </w:t>
      </w:r>
      <w:r w:rsidR="001C6403" w:rsidRPr="001357D3">
        <w:rPr>
          <w:noProof/>
        </w:rPr>
        <w:t>Kar</w:t>
      </w:r>
      <w:r w:rsidRPr="001357D3">
        <w:rPr>
          <w:noProof/>
        </w:rPr>
        <w:t>tą.</w:t>
      </w:r>
    </w:p>
    <w:p w14:paraId="3940B0D9" w14:textId="65385007" w:rsidR="00B21015" w:rsidRPr="001357D3" w:rsidRDefault="7366B275" w:rsidP="008A4B4E">
      <w:pPr>
        <w:spacing w:before="0"/>
        <w:rPr>
          <w:noProof/>
          <w:sz w:val="22"/>
        </w:rPr>
      </w:pPr>
      <w:r w:rsidRPr="001357D3">
        <w:rPr>
          <w:noProof/>
        </w:rPr>
        <w:t>Przy wdrażaniu wszystkich działań</w:t>
      </w:r>
      <w:r w:rsidR="001C6403" w:rsidRPr="001357D3">
        <w:rPr>
          <w:noProof/>
        </w:rPr>
        <w:t xml:space="preserve"> w</w:t>
      </w:r>
      <w:r w:rsidR="001C6403">
        <w:rPr>
          <w:noProof/>
        </w:rPr>
        <w:t> </w:t>
      </w:r>
      <w:r w:rsidR="001C6403" w:rsidRPr="001357D3">
        <w:rPr>
          <w:noProof/>
        </w:rPr>
        <w:t>ram</w:t>
      </w:r>
      <w:r w:rsidRPr="001357D3">
        <w:rPr>
          <w:noProof/>
        </w:rPr>
        <w:t>ach programu dąży się również do propagowania wartości Unii określonych</w:t>
      </w:r>
      <w:r w:rsidR="001C6403" w:rsidRPr="001357D3">
        <w:rPr>
          <w:noProof/>
        </w:rPr>
        <w:t xml:space="preserve"> w</w:t>
      </w:r>
      <w:r w:rsidR="001C6403">
        <w:rPr>
          <w:noProof/>
        </w:rPr>
        <w:t> </w:t>
      </w:r>
      <w:r w:rsidR="001C6403" w:rsidRPr="001357D3">
        <w:rPr>
          <w:noProof/>
        </w:rPr>
        <w:t>art</w:t>
      </w:r>
      <w:r w:rsidRPr="001357D3">
        <w:rPr>
          <w:noProof/>
        </w:rPr>
        <w:t>. 2 TUE, równości płci, praw dziecka,</w:t>
      </w:r>
      <w:r w:rsidR="001C6403" w:rsidRPr="001357D3">
        <w:rPr>
          <w:noProof/>
        </w:rPr>
        <w:t xml:space="preserve"> w</w:t>
      </w:r>
      <w:r w:rsidR="001C6403">
        <w:rPr>
          <w:noProof/>
        </w:rPr>
        <w:t> </w:t>
      </w:r>
      <w:r w:rsidR="001C6403" w:rsidRPr="001357D3">
        <w:rPr>
          <w:noProof/>
        </w:rPr>
        <w:t>tym</w:t>
      </w:r>
      <w:r w:rsidRPr="001357D3">
        <w:rPr>
          <w:noProof/>
        </w:rPr>
        <w:t xml:space="preserve"> za pomocą wymiaru sprawiedliwości przyjaznego dziecku, ochrony praw ofiar oraz skutecznego stosowania zasady równych praw</w:t>
      </w:r>
      <w:r w:rsidR="001C6403" w:rsidRPr="001357D3">
        <w:rPr>
          <w:noProof/>
        </w:rPr>
        <w:t xml:space="preserve"> i</w:t>
      </w:r>
      <w:r w:rsidR="001C6403">
        <w:rPr>
          <w:noProof/>
        </w:rPr>
        <w:t> </w:t>
      </w:r>
      <w:r w:rsidR="001C6403" w:rsidRPr="001357D3">
        <w:rPr>
          <w:noProof/>
        </w:rPr>
        <w:t>nie</w:t>
      </w:r>
      <w:r w:rsidRPr="001357D3">
        <w:rPr>
          <w:noProof/>
        </w:rPr>
        <w:t>dyskryminacji ze względów wymienionych</w:t>
      </w:r>
      <w:r w:rsidR="001C6403" w:rsidRPr="001357D3">
        <w:rPr>
          <w:noProof/>
        </w:rPr>
        <w:t xml:space="preserve"> w</w:t>
      </w:r>
      <w:r w:rsidR="001C6403">
        <w:rPr>
          <w:noProof/>
        </w:rPr>
        <w:t> </w:t>
      </w:r>
      <w:r w:rsidR="001C6403" w:rsidRPr="001357D3">
        <w:rPr>
          <w:noProof/>
        </w:rPr>
        <w:t>art</w:t>
      </w:r>
      <w:r w:rsidRPr="001357D3">
        <w:rPr>
          <w:noProof/>
        </w:rPr>
        <w:t>. 21 Karty,</w:t>
      </w:r>
      <w:r w:rsidR="001C6403" w:rsidRPr="001357D3">
        <w:rPr>
          <w:noProof/>
        </w:rPr>
        <w:t xml:space="preserve"> w</w:t>
      </w:r>
      <w:r w:rsidR="001C6403">
        <w:rPr>
          <w:noProof/>
        </w:rPr>
        <w:t> </w:t>
      </w:r>
      <w:r w:rsidR="001C6403" w:rsidRPr="001357D3">
        <w:rPr>
          <w:noProof/>
        </w:rPr>
        <w:t>gra</w:t>
      </w:r>
      <w:r w:rsidRPr="001357D3">
        <w:rPr>
          <w:noProof/>
        </w:rPr>
        <w:t>nicach wyznaczonych przez art. 51 Karty</w:t>
      </w:r>
      <w:r w:rsidR="001C6403" w:rsidRPr="001357D3">
        <w:rPr>
          <w:noProof/>
        </w:rPr>
        <w:t xml:space="preserve"> i</w:t>
      </w:r>
      <w:r w:rsidR="001C6403">
        <w:rPr>
          <w:noProof/>
        </w:rPr>
        <w:t> </w:t>
      </w:r>
      <w:r w:rsidR="001C6403" w:rsidRPr="001357D3">
        <w:rPr>
          <w:noProof/>
        </w:rPr>
        <w:t>zgo</w:t>
      </w:r>
      <w:r w:rsidRPr="001357D3">
        <w:rPr>
          <w:noProof/>
        </w:rPr>
        <w:t>dnie</w:t>
      </w:r>
      <w:r w:rsidR="001C6403" w:rsidRPr="001357D3">
        <w:rPr>
          <w:noProof/>
        </w:rPr>
        <w:t xml:space="preserve"> z</w:t>
      </w:r>
      <w:r w:rsidR="001C6403">
        <w:rPr>
          <w:noProof/>
        </w:rPr>
        <w:t> </w:t>
      </w:r>
      <w:r w:rsidR="001C6403" w:rsidRPr="001357D3">
        <w:rPr>
          <w:noProof/>
        </w:rPr>
        <w:t>tym</w:t>
      </w:r>
      <w:r w:rsidRPr="001357D3">
        <w:rPr>
          <w:noProof/>
        </w:rPr>
        <w:t xml:space="preserve"> artykułem.</w:t>
      </w:r>
    </w:p>
    <w:p w14:paraId="0C5E1C6C" w14:textId="268EBDBC" w:rsidR="66C0E79B" w:rsidRPr="001357D3" w:rsidRDefault="76B17667" w:rsidP="008A4B4E">
      <w:pPr>
        <w:pBdr>
          <w:top w:val="nil"/>
          <w:left w:val="nil"/>
          <w:bottom w:val="nil"/>
          <w:right w:val="nil"/>
          <w:between w:val="nil"/>
        </w:pBdr>
        <w:spacing w:before="0"/>
        <w:rPr>
          <w:rFonts w:eastAsia="Times New Roman"/>
          <w:noProof/>
          <w:szCs w:val="24"/>
        </w:rPr>
      </w:pPr>
      <w:r w:rsidRPr="001357D3">
        <w:rPr>
          <w:noProof/>
        </w:rPr>
        <w:t>Ponadto projekty finansowane</w:t>
      </w:r>
      <w:r w:rsidR="001C6403" w:rsidRPr="001357D3">
        <w:rPr>
          <w:noProof/>
        </w:rPr>
        <w:t xml:space="preserve"> w</w:t>
      </w:r>
      <w:r w:rsidR="001C6403">
        <w:rPr>
          <w:noProof/>
        </w:rPr>
        <w:t> </w:t>
      </w:r>
      <w:r w:rsidR="001C6403" w:rsidRPr="001357D3">
        <w:rPr>
          <w:noProof/>
        </w:rPr>
        <w:t>ram</w:t>
      </w:r>
      <w:r w:rsidRPr="001357D3">
        <w:rPr>
          <w:noProof/>
        </w:rPr>
        <w:t>ach programu muszą być zgodne</w:t>
      </w:r>
      <w:r w:rsidR="001C6403" w:rsidRPr="001357D3">
        <w:rPr>
          <w:noProof/>
        </w:rPr>
        <w:t xml:space="preserve"> z</w:t>
      </w:r>
      <w:r w:rsidR="001C6403">
        <w:rPr>
          <w:noProof/>
        </w:rPr>
        <w:t> </w:t>
      </w:r>
      <w:r w:rsidR="001C6403" w:rsidRPr="001357D3">
        <w:rPr>
          <w:noProof/>
        </w:rPr>
        <w:t>naj</w:t>
      </w:r>
      <w:r w:rsidRPr="001357D3">
        <w:rPr>
          <w:noProof/>
        </w:rPr>
        <w:t xml:space="preserve">wyższymi standardami etycznymi, </w:t>
      </w:r>
      <w:hyperlink r:id="rId14">
        <w:r w:rsidRPr="001357D3">
          <w:rPr>
            <w:rStyle w:val="Hipercze"/>
            <w:noProof/>
            <w:color w:val="auto"/>
            <w:u w:val="none"/>
          </w:rPr>
          <w:t>ogólnym rozporządzeniem</w:t>
        </w:r>
        <w:r w:rsidR="001C6403" w:rsidRPr="001357D3">
          <w:rPr>
            <w:rStyle w:val="Hipercze"/>
            <w:noProof/>
            <w:color w:val="auto"/>
            <w:u w:val="none"/>
          </w:rPr>
          <w:t xml:space="preserve"> o</w:t>
        </w:r>
        <w:r w:rsidR="001C6403">
          <w:rPr>
            <w:rStyle w:val="Hipercze"/>
            <w:noProof/>
            <w:color w:val="auto"/>
            <w:u w:val="none"/>
          </w:rPr>
          <w:t> </w:t>
        </w:r>
        <w:r w:rsidR="001C6403" w:rsidRPr="001357D3">
          <w:rPr>
            <w:rStyle w:val="Hipercze"/>
            <w:noProof/>
            <w:color w:val="auto"/>
            <w:u w:val="none"/>
          </w:rPr>
          <w:t>och</w:t>
        </w:r>
        <w:r w:rsidRPr="001357D3">
          <w:rPr>
            <w:rStyle w:val="Hipercze"/>
            <w:noProof/>
            <w:color w:val="auto"/>
            <w:u w:val="none"/>
          </w:rPr>
          <w:t>ronie danych 2016/679</w:t>
        </w:r>
        <w:r w:rsidRPr="001357D3">
          <w:rPr>
            <w:rStyle w:val="Odwoanieprzypisudolnego"/>
            <w:noProof/>
          </w:rPr>
          <w:footnoteReference w:id="42"/>
        </w:r>
      </w:hyperlink>
      <w:r w:rsidRPr="001357D3">
        <w:rPr>
          <w:rStyle w:val="Hipercze"/>
          <w:noProof/>
          <w:color w:val="auto"/>
          <w:u w:val="none"/>
        </w:rPr>
        <w:t xml:space="preserve"> oraz umowami zawieranymi na mocy prawa międzynarodowego, których Unia lub wszystkie państwa członkowskie UE są stronami (w tym Konwencją ONZ</w:t>
      </w:r>
      <w:r w:rsidR="001C6403" w:rsidRPr="001357D3">
        <w:rPr>
          <w:rStyle w:val="Hipercze"/>
          <w:noProof/>
          <w:color w:val="auto"/>
          <w:u w:val="none"/>
        </w:rPr>
        <w:t xml:space="preserve"> o</w:t>
      </w:r>
      <w:r w:rsidR="001C6403">
        <w:rPr>
          <w:rStyle w:val="Hipercze"/>
          <w:noProof/>
          <w:color w:val="auto"/>
          <w:u w:val="none"/>
        </w:rPr>
        <w:t> </w:t>
      </w:r>
      <w:r w:rsidR="001C6403" w:rsidRPr="001357D3">
        <w:rPr>
          <w:rStyle w:val="Hipercze"/>
          <w:noProof/>
          <w:color w:val="auto"/>
          <w:u w:val="none"/>
        </w:rPr>
        <w:t>pra</w:t>
      </w:r>
      <w:r w:rsidRPr="001357D3">
        <w:rPr>
          <w:rStyle w:val="Hipercze"/>
          <w:noProof/>
          <w:color w:val="auto"/>
          <w:u w:val="none"/>
        </w:rPr>
        <w:t>wach osób niepełnosprawnych</w:t>
      </w:r>
      <w:r w:rsidRPr="001357D3">
        <w:rPr>
          <w:rStyle w:val="Odwoanieprzypisudolnego"/>
          <w:rFonts w:eastAsia="Times New Roman"/>
          <w:noProof/>
          <w:szCs w:val="24"/>
        </w:rPr>
        <w:footnoteReference w:id="43"/>
      </w:r>
      <w:r w:rsidRPr="001357D3">
        <w:rPr>
          <w:rStyle w:val="Hipercze"/>
          <w:noProof/>
          <w:color w:val="auto"/>
          <w:u w:val="none"/>
        </w:rPr>
        <w:t>).</w:t>
      </w:r>
      <w:bookmarkEnd w:id="25"/>
    </w:p>
    <w:p w14:paraId="00377F51" w14:textId="4B7ECFAC" w:rsidR="00C5603D" w:rsidRPr="001357D3" w:rsidRDefault="000D4BE4" w:rsidP="000D4BE4">
      <w:pPr>
        <w:pStyle w:val="ManualHeading1"/>
        <w:rPr>
          <w:noProof/>
        </w:rPr>
      </w:pPr>
      <w:bookmarkStart w:id="26" w:name="_Toc210923249"/>
      <w:r w:rsidRPr="000D4BE4">
        <w:rPr>
          <w:noProof/>
        </w:rPr>
        <w:t>4.</w:t>
      </w:r>
      <w:r w:rsidRPr="000D4BE4">
        <w:rPr>
          <w:noProof/>
        </w:rPr>
        <w:tab/>
      </w:r>
      <w:r w:rsidR="00C5603D" w:rsidRPr="001357D3">
        <w:rPr>
          <w:noProof/>
        </w:rPr>
        <w:t>WPŁYW NA BUDŻET</w:t>
      </w:r>
      <w:bookmarkEnd w:id="26"/>
    </w:p>
    <w:p w14:paraId="0354D696" w14:textId="267FC4B0" w:rsidR="6D2CFB69" w:rsidRPr="001357D3" w:rsidRDefault="4535A0DD" w:rsidP="008A4B4E">
      <w:pPr>
        <w:pBdr>
          <w:top w:val="nil"/>
          <w:left w:val="nil"/>
          <w:bottom w:val="nil"/>
          <w:right w:val="nil"/>
          <w:between w:val="nil"/>
        </w:pBdr>
        <w:spacing w:before="0"/>
        <w:rPr>
          <w:rFonts w:eastAsia="Times New Roman"/>
          <w:noProof/>
          <w:szCs w:val="24"/>
        </w:rPr>
      </w:pPr>
      <w:r w:rsidRPr="001357D3">
        <w:rPr>
          <w:noProof/>
        </w:rPr>
        <w:t>Pula środków finansowych przeznaczona na realizację programu „Sprawiedliwość”</w:t>
      </w:r>
      <w:r w:rsidR="001C6403" w:rsidRPr="001357D3">
        <w:rPr>
          <w:noProof/>
        </w:rPr>
        <w:t xml:space="preserve"> w</w:t>
      </w:r>
      <w:r w:rsidR="001C6403">
        <w:rPr>
          <w:noProof/>
        </w:rPr>
        <w:t> </w:t>
      </w:r>
      <w:r w:rsidR="001C6403" w:rsidRPr="001357D3">
        <w:rPr>
          <w:noProof/>
        </w:rPr>
        <w:t>okr</w:t>
      </w:r>
      <w:r w:rsidRPr="001357D3">
        <w:rPr>
          <w:noProof/>
        </w:rPr>
        <w:t>esie od dnia 1 stycznia 2028 r. do dnia 31 grudnia 2034 r. będzie wynosić 798 mln EUR (w cenach bieżących).</w:t>
      </w:r>
    </w:p>
    <w:p w14:paraId="00377F54" w14:textId="40064481" w:rsidR="00C5603D" w:rsidRPr="001357D3" w:rsidRDefault="000D4BE4" w:rsidP="000D4BE4">
      <w:pPr>
        <w:pStyle w:val="ManualHeading1"/>
        <w:rPr>
          <w:noProof/>
        </w:rPr>
      </w:pPr>
      <w:bookmarkStart w:id="27" w:name="_Toc205221100"/>
      <w:bookmarkStart w:id="28" w:name="_Toc210923250"/>
      <w:r w:rsidRPr="000D4BE4">
        <w:rPr>
          <w:noProof/>
        </w:rPr>
        <w:t>5.</w:t>
      </w:r>
      <w:r w:rsidRPr="000D4BE4">
        <w:rPr>
          <w:noProof/>
        </w:rPr>
        <w:tab/>
      </w:r>
      <w:r w:rsidR="00C5603D" w:rsidRPr="001357D3">
        <w:rPr>
          <w:noProof/>
        </w:rPr>
        <w:t>ELEMENTY FAKULTATYWNE</w:t>
      </w:r>
      <w:bookmarkEnd w:id="27"/>
      <w:bookmarkEnd w:id="28"/>
    </w:p>
    <w:p w14:paraId="00377F59" w14:textId="710036F1" w:rsidR="00C5603D" w:rsidRPr="001357D3" w:rsidRDefault="00C5603D" w:rsidP="008A4B4E">
      <w:pPr>
        <w:pStyle w:val="Listapunktowana"/>
        <w:spacing w:before="0"/>
        <w:contextualSpacing w:val="0"/>
        <w:rPr>
          <w:b/>
          <w:bCs/>
          <w:noProof/>
          <w:bdr w:val="nil"/>
        </w:rPr>
      </w:pPr>
      <w:bookmarkStart w:id="29" w:name="_Toc205221101"/>
      <w:r w:rsidRPr="001357D3">
        <w:rPr>
          <w:b/>
          <w:noProof/>
          <w:bdr w:val="nil"/>
        </w:rPr>
        <w:t>Plany wdrożenia</w:t>
      </w:r>
      <w:r w:rsidR="001C6403" w:rsidRPr="001357D3">
        <w:rPr>
          <w:b/>
          <w:noProof/>
          <w:bdr w:val="nil"/>
        </w:rPr>
        <w:t xml:space="preserve"> i</w:t>
      </w:r>
      <w:r w:rsidR="001C6403">
        <w:rPr>
          <w:b/>
          <w:noProof/>
          <w:bdr w:val="nil"/>
        </w:rPr>
        <w:t> </w:t>
      </w:r>
      <w:r w:rsidR="001C6403" w:rsidRPr="001357D3">
        <w:rPr>
          <w:b/>
          <w:noProof/>
          <w:bdr w:val="nil"/>
        </w:rPr>
        <w:t>mon</w:t>
      </w:r>
      <w:r w:rsidRPr="001357D3">
        <w:rPr>
          <w:b/>
          <w:noProof/>
          <w:bdr w:val="nil"/>
        </w:rPr>
        <w:t>itorowanie, ocena</w:t>
      </w:r>
      <w:r w:rsidR="001C6403" w:rsidRPr="001357D3">
        <w:rPr>
          <w:b/>
          <w:noProof/>
          <w:bdr w:val="nil"/>
        </w:rPr>
        <w:t xml:space="preserve"> i</w:t>
      </w:r>
      <w:r w:rsidR="001C6403">
        <w:rPr>
          <w:b/>
          <w:noProof/>
          <w:bdr w:val="nil"/>
        </w:rPr>
        <w:t> </w:t>
      </w:r>
      <w:r w:rsidR="001C6403" w:rsidRPr="001357D3">
        <w:rPr>
          <w:b/>
          <w:noProof/>
          <w:bdr w:val="nil"/>
        </w:rPr>
        <w:t>spr</w:t>
      </w:r>
      <w:r w:rsidRPr="001357D3">
        <w:rPr>
          <w:b/>
          <w:noProof/>
          <w:bdr w:val="nil"/>
        </w:rPr>
        <w:t>awozdania</w:t>
      </w:r>
      <w:bookmarkEnd w:id="29"/>
    </w:p>
    <w:p w14:paraId="60275788" w14:textId="5AE95263" w:rsidR="001D4C68" w:rsidRPr="001357D3" w:rsidRDefault="001D4C68" w:rsidP="008A4B4E">
      <w:pPr>
        <w:pBdr>
          <w:top w:val="nil"/>
          <w:left w:val="nil"/>
          <w:bottom w:val="nil"/>
          <w:right w:val="nil"/>
          <w:between w:val="nil"/>
        </w:pBdr>
        <w:spacing w:before="0"/>
        <w:rPr>
          <w:noProof/>
          <w:shd w:val="clear" w:color="auto" w:fill="FFFFFF"/>
        </w:rPr>
      </w:pPr>
      <w:r w:rsidRPr="001357D3">
        <w:rPr>
          <w:noProof/>
          <w:shd w:val="clear" w:color="auto" w:fill="FFFFFF"/>
        </w:rPr>
        <w:t>Inicjatywa ta będzie monitorowana za pomocą ram wykonania budżetu na lata 2028–2034 ustanowionych na mocy rozporządzenia Parlamentu Europejskiego</w:t>
      </w:r>
      <w:r w:rsidR="001C6403" w:rsidRPr="001357D3">
        <w:rPr>
          <w:noProof/>
          <w:shd w:val="clear" w:color="auto" w:fill="FFFFFF"/>
        </w:rPr>
        <w:t xml:space="preserve"> i</w:t>
      </w:r>
      <w:r w:rsidR="001C6403">
        <w:rPr>
          <w:noProof/>
          <w:shd w:val="clear" w:color="auto" w:fill="FFFFFF"/>
        </w:rPr>
        <w:t> </w:t>
      </w:r>
      <w:r w:rsidR="001C6403" w:rsidRPr="001357D3">
        <w:rPr>
          <w:noProof/>
          <w:shd w:val="clear" w:color="auto" w:fill="FFFFFF"/>
        </w:rPr>
        <w:t>Rad</w:t>
      </w:r>
      <w:r w:rsidRPr="001357D3">
        <w:rPr>
          <w:noProof/>
          <w:shd w:val="clear" w:color="auto" w:fill="FFFFFF"/>
        </w:rPr>
        <w:t>y (UE) XXX [rozporządzenie</w:t>
      </w:r>
      <w:r w:rsidR="001C6403" w:rsidRPr="001357D3">
        <w:rPr>
          <w:noProof/>
          <w:shd w:val="clear" w:color="auto" w:fill="FFFFFF"/>
        </w:rPr>
        <w:t xml:space="preserve"> w</w:t>
      </w:r>
      <w:r w:rsidR="001C6403">
        <w:rPr>
          <w:noProof/>
          <w:shd w:val="clear" w:color="auto" w:fill="FFFFFF"/>
        </w:rPr>
        <w:t> </w:t>
      </w:r>
      <w:r w:rsidR="001C6403" w:rsidRPr="001357D3">
        <w:rPr>
          <w:noProof/>
          <w:shd w:val="clear" w:color="auto" w:fill="FFFFFF"/>
        </w:rPr>
        <w:t>spr</w:t>
      </w:r>
      <w:r w:rsidRPr="001357D3">
        <w:rPr>
          <w:noProof/>
          <w:shd w:val="clear" w:color="auto" w:fill="FFFFFF"/>
        </w:rPr>
        <w:t>awie wykonania]</w:t>
      </w:r>
      <w:r w:rsidRPr="001357D3">
        <w:rPr>
          <w:rStyle w:val="Odwoanieprzypisudolnego"/>
          <w:noProof/>
          <w:shd w:val="clear" w:color="auto" w:fill="FFFFFF"/>
        </w:rPr>
        <w:footnoteReference w:id="44"/>
      </w:r>
      <w:r w:rsidRPr="001357D3">
        <w:rPr>
          <w:noProof/>
          <w:shd w:val="clear" w:color="auto" w:fill="FFFFFF"/>
        </w:rPr>
        <w:t>. Ramy wykonania budżetu określają również zasady ocen, które przeprowadza się zgodnie</w:t>
      </w:r>
      <w:r w:rsidR="001C6403" w:rsidRPr="001357D3">
        <w:rPr>
          <w:noProof/>
          <w:shd w:val="clear" w:color="auto" w:fill="FFFFFF"/>
        </w:rPr>
        <w:t xml:space="preserve"> z</w:t>
      </w:r>
      <w:r w:rsidR="001C6403">
        <w:rPr>
          <w:noProof/>
          <w:shd w:val="clear" w:color="auto" w:fill="FFFFFF"/>
        </w:rPr>
        <w:t> </w:t>
      </w:r>
      <w:r w:rsidR="001C6403" w:rsidRPr="001357D3">
        <w:rPr>
          <w:noProof/>
          <w:shd w:val="clear" w:color="auto" w:fill="FFFFFF"/>
        </w:rPr>
        <w:t>wyt</w:t>
      </w:r>
      <w:r w:rsidRPr="001357D3">
        <w:rPr>
          <w:noProof/>
          <w:shd w:val="clear" w:color="auto" w:fill="FFFFFF"/>
        </w:rPr>
        <w:t>ycznymi Komisji dotyczącymi lepszego stanowienia prawa</w:t>
      </w:r>
      <w:r w:rsidR="001C6403" w:rsidRPr="001357D3">
        <w:rPr>
          <w:noProof/>
          <w:shd w:val="clear" w:color="auto" w:fill="FFFFFF"/>
        </w:rPr>
        <w:t xml:space="preserve"> i</w:t>
      </w:r>
      <w:r w:rsidR="001C6403">
        <w:rPr>
          <w:noProof/>
          <w:shd w:val="clear" w:color="auto" w:fill="FFFFFF"/>
        </w:rPr>
        <w:t> </w:t>
      </w:r>
      <w:r w:rsidR="001C6403" w:rsidRPr="001357D3">
        <w:rPr>
          <w:noProof/>
          <w:shd w:val="clear" w:color="auto" w:fill="FFFFFF"/>
        </w:rPr>
        <w:t>któ</w:t>
      </w:r>
      <w:r w:rsidRPr="001357D3">
        <w:rPr>
          <w:noProof/>
          <w:shd w:val="clear" w:color="auto" w:fill="FFFFFF"/>
        </w:rPr>
        <w:t>re będą oparte na wskaźnikach istotnych</w:t>
      </w:r>
      <w:r w:rsidR="001C6403" w:rsidRPr="001357D3">
        <w:rPr>
          <w:noProof/>
          <w:shd w:val="clear" w:color="auto" w:fill="FFFFFF"/>
        </w:rPr>
        <w:t xml:space="preserve"> z</w:t>
      </w:r>
      <w:r w:rsidR="001C6403">
        <w:rPr>
          <w:noProof/>
          <w:shd w:val="clear" w:color="auto" w:fill="FFFFFF"/>
        </w:rPr>
        <w:t> </w:t>
      </w:r>
      <w:r w:rsidR="001C6403" w:rsidRPr="001357D3">
        <w:rPr>
          <w:noProof/>
          <w:shd w:val="clear" w:color="auto" w:fill="FFFFFF"/>
        </w:rPr>
        <w:t>pun</w:t>
      </w:r>
      <w:r w:rsidRPr="001357D3">
        <w:rPr>
          <w:noProof/>
          <w:shd w:val="clear" w:color="auto" w:fill="FFFFFF"/>
        </w:rPr>
        <w:t>ktu widzenia celów programu.</w:t>
      </w:r>
    </w:p>
    <w:p w14:paraId="7E36718E" w14:textId="799CE994" w:rsidR="0ED37FF9" w:rsidRPr="001357D3" w:rsidRDefault="76BAB6B2" w:rsidP="008A4B4E">
      <w:pPr>
        <w:pBdr>
          <w:top w:val="nil"/>
          <w:left w:val="nil"/>
          <w:bottom w:val="nil"/>
          <w:right w:val="nil"/>
          <w:between w:val="nil"/>
        </w:pBdr>
        <w:spacing w:before="0"/>
        <w:rPr>
          <w:rFonts w:eastAsia="Times New Roman"/>
          <w:noProof/>
          <w:szCs w:val="24"/>
        </w:rPr>
      </w:pPr>
      <w:r w:rsidRPr="001357D3">
        <w:rPr>
          <w:noProof/>
        </w:rPr>
        <w:t>Program jest realizowany według metody zarządzania bezpośredniego przez Komisję. Ograniczona liczba inicjatyw może również zostać zrealizowana</w:t>
      </w:r>
      <w:r w:rsidR="001C6403" w:rsidRPr="001357D3">
        <w:rPr>
          <w:noProof/>
        </w:rPr>
        <w:t xml:space="preserve"> w</w:t>
      </w:r>
      <w:r w:rsidR="001C6403">
        <w:rPr>
          <w:noProof/>
        </w:rPr>
        <w:t> </w:t>
      </w:r>
      <w:r w:rsidR="001C6403" w:rsidRPr="001357D3">
        <w:rPr>
          <w:noProof/>
        </w:rPr>
        <w:t>ram</w:t>
      </w:r>
      <w:r w:rsidRPr="001357D3">
        <w:rPr>
          <w:noProof/>
        </w:rPr>
        <w:t>ach zarządzania pośredniego przez organizacje międzynarodowe.</w:t>
      </w:r>
    </w:p>
    <w:p w14:paraId="00377F5A" w14:textId="0EAFBA6A" w:rsidR="00C5603D" w:rsidRPr="001357D3" w:rsidRDefault="00C5603D" w:rsidP="008A4B4E">
      <w:pPr>
        <w:pStyle w:val="Listapunktowana"/>
        <w:spacing w:before="0"/>
        <w:contextualSpacing w:val="0"/>
        <w:rPr>
          <w:b/>
          <w:bCs/>
          <w:noProof/>
          <w:bdr w:val="nil"/>
        </w:rPr>
      </w:pPr>
      <w:bookmarkStart w:id="30" w:name="_Toc205221102"/>
      <w:r w:rsidRPr="001357D3">
        <w:rPr>
          <w:b/>
          <w:noProof/>
          <w:bdr w:val="nil"/>
        </w:rPr>
        <w:lastRenderedPageBreak/>
        <w:t>Szczegółowe objaśnienia poszczególnych przepisów wniosku</w:t>
      </w:r>
      <w:bookmarkEnd w:id="30"/>
    </w:p>
    <w:p w14:paraId="1B79294B" w14:textId="3B586252" w:rsidR="00FB21FE" w:rsidRPr="001357D3" w:rsidRDefault="51B0715D" w:rsidP="008A4B4E">
      <w:pPr>
        <w:spacing w:before="0"/>
        <w:rPr>
          <w:rFonts w:eastAsia="Times New Roman"/>
          <w:noProof/>
        </w:rPr>
      </w:pPr>
      <w:r w:rsidRPr="001357D3">
        <w:rPr>
          <w:noProof/>
        </w:rPr>
        <w:t>Ogólnym celem proponowanego programu „Sprawiedliwość” na lata 2028–2034 (art. 3 rozporządzenia) jest</w:t>
      </w:r>
      <w:r w:rsidRPr="001357D3">
        <w:rPr>
          <w:i/>
          <w:noProof/>
        </w:rPr>
        <w:t xml:space="preserve"> </w:t>
      </w:r>
      <w:r w:rsidRPr="001357D3">
        <w:rPr>
          <w:noProof/>
        </w:rPr>
        <w:t>przyczynianie się do dalszego rozwoju wydajnej, integracyjnej, odpornej</w:t>
      </w:r>
      <w:r w:rsidR="001C6403" w:rsidRPr="001357D3">
        <w:rPr>
          <w:noProof/>
        </w:rPr>
        <w:t xml:space="preserve"> i</w:t>
      </w:r>
      <w:r w:rsidR="001C6403">
        <w:rPr>
          <w:noProof/>
        </w:rPr>
        <w:t> </w:t>
      </w:r>
      <w:r w:rsidR="001C6403" w:rsidRPr="001357D3">
        <w:rPr>
          <w:noProof/>
        </w:rPr>
        <w:t>cyf</w:t>
      </w:r>
      <w:r w:rsidRPr="001357D3">
        <w:rPr>
          <w:noProof/>
        </w:rPr>
        <w:t>rowej</w:t>
      </w:r>
      <w:r w:rsidRPr="001357D3">
        <w:rPr>
          <w:i/>
          <w:noProof/>
        </w:rPr>
        <w:t xml:space="preserve"> </w:t>
      </w:r>
      <w:r w:rsidRPr="001357D3">
        <w:rPr>
          <w:noProof/>
        </w:rPr>
        <w:t>unijnej przestrzeni sprawiedliwości, opartej na praworządności, wzajemnym uznawaniu</w:t>
      </w:r>
      <w:r w:rsidR="001C6403" w:rsidRPr="001357D3">
        <w:rPr>
          <w:noProof/>
        </w:rPr>
        <w:t xml:space="preserve"> i</w:t>
      </w:r>
      <w:r w:rsidR="001C6403">
        <w:rPr>
          <w:noProof/>
        </w:rPr>
        <w:t> </w:t>
      </w:r>
      <w:r w:rsidR="001C6403" w:rsidRPr="001357D3">
        <w:rPr>
          <w:noProof/>
        </w:rPr>
        <w:t>wza</w:t>
      </w:r>
      <w:r w:rsidRPr="001357D3">
        <w:rPr>
          <w:noProof/>
        </w:rPr>
        <w:t>jemnym zaufaniu. Dzięki osiągnięciu tego celu program wzmocni również demokrację</w:t>
      </w:r>
      <w:r w:rsidR="001C6403" w:rsidRPr="001357D3">
        <w:rPr>
          <w:noProof/>
        </w:rPr>
        <w:t xml:space="preserve"> i</w:t>
      </w:r>
      <w:r w:rsidR="001C6403">
        <w:rPr>
          <w:noProof/>
        </w:rPr>
        <w:t> </w:t>
      </w:r>
      <w:r w:rsidR="001C6403" w:rsidRPr="001357D3">
        <w:rPr>
          <w:noProof/>
        </w:rPr>
        <w:t>och</w:t>
      </w:r>
      <w:r w:rsidRPr="001357D3">
        <w:rPr>
          <w:noProof/>
        </w:rPr>
        <w:t>ronę praw podstawowych oraz przyczyni się do wzrostu gospodarczego</w:t>
      </w:r>
      <w:r w:rsidR="001C6403" w:rsidRPr="001357D3">
        <w:rPr>
          <w:noProof/>
        </w:rPr>
        <w:t xml:space="preserve"> i</w:t>
      </w:r>
      <w:r w:rsidR="001C6403">
        <w:rPr>
          <w:noProof/>
        </w:rPr>
        <w:t> </w:t>
      </w:r>
      <w:r w:rsidR="001C6403" w:rsidRPr="001357D3">
        <w:rPr>
          <w:noProof/>
        </w:rPr>
        <w:t>kon</w:t>
      </w:r>
      <w:r w:rsidRPr="001357D3">
        <w:rPr>
          <w:noProof/>
        </w:rPr>
        <w:t>kurencyjności. Ten cel ogólny zostanie osiągnięty</w:t>
      </w:r>
      <w:r w:rsidR="001C6403" w:rsidRPr="001357D3">
        <w:rPr>
          <w:noProof/>
        </w:rPr>
        <w:t xml:space="preserve"> w</w:t>
      </w:r>
      <w:r w:rsidR="001C6403">
        <w:rPr>
          <w:noProof/>
        </w:rPr>
        <w:t> </w:t>
      </w:r>
      <w:r w:rsidR="001C6403" w:rsidRPr="001357D3">
        <w:rPr>
          <w:noProof/>
        </w:rPr>
        <w:t>dro</w:t>
      </w:r>
      <w:r w:rsidRPr="001357D3">
        <w:rPr>
          <w:noProof/>
        </w:rPr>
        <w:t xml:space="preserve">dze realizacji trzech celów szczegółowych: </w:t>
      </w:r>
    </w:p>
    <w:p w14:paraId="5F629152" w14:textId="61B794DD" w:rsidR="00FB21FE" w:rsidRPr="001C6403" w:rsidRDefault="51B0715D" w:rsidP="008A4B4E">
      <w:pPr>
        <w:pStyle w:val="ListNumberLevel2"/>
        <w:tabs>
          <w:tab w:val="clear" w:pos="1417"/>
          <w:tab w:val="num" w:pos="1134"/>
        </w:tabs>
        <w:spacing w:before="0"/>
        <w:ind w:left="567" w:hanging="425"/>
        <w:rPr>
          <w:noProof/>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współpracy sądowej</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oraz propagowanie praworządności</w:t>
      </w:r>
      <w:r w:rsidRPr="001C6403">
        <w:rPr>
          <w:noProof/>
        </w:rPr>
        <w:t>;</w:t>
      </w:r>
      <w:r w:rsidR="001C6403" w:rsidRPr="001C6403">
        <w:rPr>
          <w:noProof/>
        </w:rPr>
        <w:t xml:space="preserve"> </w:t>
      </w:r>
    </w:p>
    <w:p w14:paraId="7DC080A0" w14:textId="437353E3" w:rsidR="00FB21FE" w:rsidRPr="001357D3" w:rsidRDefault="51B0715D" w:rsidP="008A4B4E">
      <w:pPr>
        <w:pStyle w:val="ListNumberLevel2"/>
        <w:tabs>
          <w:tab w:val="clear" w:pos="1417"/>
          <w:tab w:val="num" w:pos="1134"/>
        </w:tabs>
        <w:spacing w:before="0"/>
        <w:ind w:left="567" w:hanging="425"/>
        <w:rPr>
          <w:noProof/>
        </w:rPr>
      </w:pPr>
      <w:r w:rsidRPr="001357D3">
        <w:rPr>
          <w:noProof/>
        </w:rPr>
        <w:t>propagowanie</w:t>
      </w:r>
      <w:r w:rsidR="001C6403" w:rsidRPr="001357D3">
        <w:rPr>
          <w:noProof/>
        </w:rPr>
        <w:t xml:space="preserve"> i</w:t>
      </w:r>
      <w:r w:rsidR="001C6403">
        <w:rPr>
          <w:noProof/>
        </w:rPr>
        <w:t> </w:t>
      </w:r>
      <w:r w:rsidR="001C6403" w:rsidRPr="001357D3">
        <w:rPr>
          <w:noProof/>
        </w:rPr>
        <w:t>wsp</w:t>
      </w:r>
      <w:r w:rsidRPr="001357D3">
        <w:rPr>
          <w:noProof/>
        </w:rPr>
        <w:t xml:space="preserve">ieranie szkolenia kadr wymiaru sprawiedliwości; </w:t>
      </w:r>
    </w:p>
    <w:p w14:paraId="20E22A7C" w14:textId="67C36451" w:rsidR="72A9F91A" w:rsidRPr="001357D3" w:rsidRDefault="51B0715D" w:rsidP="008A4B4E">
      <w:pPr>
        <w:pStyle w:val="ListNumberLevel2"/>
        <w:tabs>
          <w:tab w:val="clear" w:pos="1417"/>
          <w:tab w:val="num" w:pos="1134"/>
        </w:tabs>
        <w:spacing w:before="0"/>
        <w:ind w:left="567" w:hanging="425"/>
        <w:rPr>
          <w:noProof/>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skutecznego</w:t>
      </w:r>
      <w:r w:rsidR="001C6403" w:rsidRPr="001357D3">
        <w:rPr>
          <w:noProof/>
        </w:rPr>
        <w:t xml:space="preserve"> i</w:t>
      </w:r>
      <w:r w:rsidR="001C6403">
        <w:rPr>
          <w:noProof/>
        </w:rPr>
        <w:t> </w:t>
      </w:r>
      <w:r w:rsidR="001C6403" w:rsidRPr="001357D3">
        <w:rPr>
          <w:noProof/>
        </w:rPr>
        <w:t>nie</w:t>
      </w:r>
      <w:r w:rsidRPr="001357D3">
        <w:rPr>
          <w:noProof/>
        </w:rPr>
        <w:t>dyskryminacyjnego dostępu do wymiaru sprawiedliwości dla wszystkich oraz zapewnienie skutecznego środka odwoławczego,</w:t>
      </w:r>
      <w:r w:rsidR="001C6403" w:rsidRPr="001357D3">
        <w:rPr>
          <w:noProof/>
        </w:rPr>
        <w:t xml:space="preserve"> w</w:t>
      </w:r>
      <w:r w:rsidR="001C6403">
        <w:rPr>
          <w:noProof/>
        </w:rPr>
        <w:t> </w:t>
      </w:r>
      <w:r w:rsidR="001C6403" w:rsidRPr="001357D3">
        <w:rPr>
          <w:noProof/>
        </w:rPr>
        <w:t>tym</w:t>
      </w:r>
      <w:r w:rsidRPr="001357D3">
        <w:rPr>
          <w:noProof/>
        </w:rPr>
        <w:t xml:space="preserve"> za pomocą środków cyfrowych.</w:t>
      </w:r>
    </w:p>
    <w:p w14:paraId="00624A9D" w14:textId="00EF48B1" w:rsidR="00B41E03" w:rsidRPr="001357D3" w:rsidRDefault="33264776" w:rsidP="008A4B4E">
      <w:pPr>
        <w:pBdr>
          <w:top w:val="nil"/>
          <w:left w:val="nil"/>
          <w:bottom w:val="nil"/>
          <w:right w:val="nil"/>
          <w:between w:val="nil"/>
        </w:pBdr>
        <w:spacing w:before="0"/>
        <w:rPr>
          <w:rFonts w:eastAsia="Times New Roman"/>
          <w:noProof/>
          <w:szCs w:val="24"/>
        </w:rPr>
      </w:pPr>
      <w:r w:rsidRPr="001357D3">
        <w:rPr>
          <w:noProof/>
        </w:rPr>
        <w:t>Program zapewni tworzenie synergii między jego różnymi celami szczegółowymi, aby skutecznie wspierać objęte nimi obszary polityki</w:t>
      </w:r>
      <w:r w:rsidR="001C6403" w:rsidRPr="001357D3">
        <w:rPr>
          <w:noProof/>
        </w:rPr>
        <w:t xml:space="preserve"> i</w:t>
      </w:r>
      <w:r w:rsidR="001C6403">
        <w:rPr>
          <w:noProof/>
        </w:rPr>
        <w:t> </w:t>
      </w:r>
      <w:r w:rsidR="001C6403" w:rsidRPr="001357D3">
        <w:rPr>
          <w:noProof/>
        </w:rPr>
        <w:t>zwi</w:t>
      </w:r>
      <w:r w:rsidRPr="001357D3">
        <w:rPr>
          <w:noProof/>
        </w:rPr>
        <w:t>ększyć ich potencjał dotarcia do grup docelowych. Skuteczność programu wymaga uwzględnienia specyfiki poszczególnych obszarów polityki, ich różnych grup docelowych</w:t>
      </w:r>
      <w:r w:rsidR="001C6403" w:rsidRPr="001357D3">
        <w:rPr>
          <w:noProof/>
        </w:rPr>
        <w:t xml:space="preserve"> i</w:t>
      </w:r>
      <w:r w:rsidR="001C6403">
        <w:rPr>
          <w:noProof/>
        </w:rPr>
        <w:t> </w:t>
      </w:r>
      <w:r w:rsidR="001C6403" w:rsidRPr="001357D3">
        <w:rPr>
          <w:noProof/>
        </w:rPr>
        <w:t>ich</w:t>
      </w:r>
      <w:r w:rsidRPr="001357D3">
        <w:rPr>
          <w:noProof/>
        </w:rPr>
        <w:t xml:space="preserve"> szczególnych potrzeb przez zastosowanie indywidualnego podejścia.</w:t>
      </w:r>
    </w:p>
    <w:p w14:paraId="42707F0E" w14:textId="506938BF" w:rsidR="00AC1B68" w:rsidRDefault="31A07C54" w:rsidP="008A4B4E">
      <w:pPr>
        <w:pBdr>
          <w:top w:val="nil"/>
          <w:left w:val="nil"/>
          <w:bottom w:val="nil"/>
          <w:right w:val="nil"/>
          <w:between w:val="nil"/>
        </w:pBdr>
        <w:spacing w:before="0"/>
        <w:rPr>
          <w:noProof/>
        </w:rPr>
      </w:pPr>
      <w:r w:rsidRPr="001357D3">
        <w:rPr>
          <w:noProof/>
        </w:rPr>
        <w:t>Wdrażając niniejsze rozporządzenie, Komisja będzie co roku ustanawiać priorytety finansowania</w:t>
      </w:r>
      <w:r w:rsidR="001C6403" w:rsidRPr="001357D3">
        <w:rPr>
          <w:noProof/>
        </w:rPr>
        <w:t xml:space="preserve"> w</w:t>
      </w:r>
      <w:r w:rsidR="001C6403">
        <w:rPr>
          <w:noProof/>
        </w:rPr>
        <w:t> </w:t>
      </w:r>
      <w:r w:rsidR="001C6403" w:rsidRPr="001357D3">
        <w:rPr>
          <w:noProof/>
        </w:rPr>
        <w:t>odp</w:t>
      </w:r>
      <w:r w:rsidRPr="001357D3">
        <w:rPr>
          <w:noProof/>
        </w:rPr>
        <w:t>owiednich obszarach polityki. Struktura rozporządzenia umożliwia elastyczność</w:t>
      </w:r>
      <w:r w:rsidR="001C6403" w:rsidRPr="001357D3">
        <w:rPr>
          <w:noProof/>
        </w:rPr>
        <w:t xml:space="preserve"> i</w:t>
      </w:r>
      <w:r w:rsidR="001C6403">
        <w:rPr>
          <w:noProof/>
        </w:rPr>
        <w:t> </w:t>
      </w:r>
      <w:r w:rsidR="001C6403" w:rsidRPr="001357D3">
        <w:rPr>
          <w:noProof/>
        </w:rPr>
        <w:t>szy</w:t>
      </w:r>
      <w:r w:rsidRPr="001357D3">
        <w:rPr>
          <w:noProof/>
        </w:rPr>
        <w:t>bkie dostosowanie do potrzeb politycznych oraz nowych uwarunkowań politycznych</w:t>
      </w:r>
      <w:r w:rsidR="001C6403" w:rsidRPr="001357D3">
        <w:rPr>
          <w:noProof/>
        </w:rPr>
        <w:t xml:space="preserve"> i</w:t>
      </w:r>
      <w:r w:rsidR="001C6403">
        <w:rPr>
          <w:noProof/>
        </w:rPr>
        <w:t> </w:t>
      </w:r>
      <w:r w:rsidR="001C6403" w:rsidRPr="001357D3">
        <w:rPr>
          <w:noProof/>
        </w:rPr>
        <w:t>tec</w:t>
      </w:r>
      <w:r w:rsidRPr="001357D3">
        <w:rPr>
          <w:noProof/>
        </w:rPr>
        <w:t>hnologicznych.</w:t>
      </w:r>
      <w:r w:rsidR="00AC1B68">
        <w:rPr>
          <w:noProof/>
        </w:rPr>
        <w:t xml:space="preserve"> </w:t>
      </w:r>
    </w:p>
    <w:p w14:paraId="33FE7726" w14:textId="60F95992" w:rsidR="00AC1B68" w:rsidRPr="001357D3" w:rsidRDefault="00AC1B68" w:rsidP="008A4B4E">
      <w:pPr>
        <w:pBdr>
          <w:top w:val="nil"/>
          <w:left w:val="nil"/>
          <w:bottom w:val="nil"/>
          <w:right w:val="nil"/>
          <w:between w:val="nil"/>
        </w:pBdr>
        <w:spacing w:before="0"/>
        <w:rPr>
          <w:rFonts w:eastAsia="Times New Roman"/>
          <w:noProof/>
          <w:szCs w:val="24"/>
        </w:rPr>
        <w:sectPr w:rsidR="00AC1B68" w:rsidRPr="001357D3" w:rsidSect="007B3949">
          <w:headerReference w:type="even" r:id="rId15"/>
          <w:footerReference w:type="even" r:id="rId16"/>
          <w:footerReference w:type="default" r:id="rId17"/>
          <w:headerReference w:type="first" r:id="rId18"/>
          <w:footerReference w:type="first" r:id="rId19"/>
          <w:footnotePr>
            <w:numRestart w:val="eachSect"/>
          </w:footnotePr>
          <w:endnotePr>
            <w:numRestart w:val="eachSect"/>
          </w:endnotePr>
          <w:pgSz w:w="11907" w:h="16839"/>
          <w:pgMar w:top="1134" w:right="1417" w:bottom="1134" w:left="1417" w:header="709" w:footer="709" w:gutter="0"/>
          <w:cols w:space="708"/>
          <w:docGrid w:linePitch="360"/>
        </w:sectPr>
      </w:pPr>
    </w:p>
    <w:p w14:paraId="7725954D" w14:textId="3CC69419" w:rsidR="00406E4D" w:rsidRPr="001357D3" w:rsidRDefault="001C6403" w:rsidP="001C6403">
      <w:pPr>
        <w:pStyle w:val="Rfrenceinterinstitutionnelle"/>
        <w:rPr>
          <w:noProof/>
        </w:rPr>
      </w:pPr>
      <w:r>
        <w:rPr>
          <w:noProof/>
        </w:rPr>
        <w:lastRenderedPageBreak/>
        <w:t>2025/0255 (COD)</w:t>
      </w:r>
    </w:p>
    <w:p w14:paraId="00377F5E" w14:textId="23D373FB" w:rsidR="00C5603D" w:rsidRPr="001357D3" w:rsidRDefault="001C6403" w:rsidP="001C6403">
      <w:pPr>
        <w:pStyle w:val="Statut"/>
        <w:rPr>
          <w:noProof/>
        </w:rPr>
      </w:pPr>
      <w:r w:rsidRPr="001C6403">
        <w:rPr>
          <w:noProof/>
        </w:rPr>
        <w:t>Wniosek</w:t>
      </w:r>
    </w:p>
    <w:p w14:paraId="00377F5F" w14:textId="0083E5B0" w:rsidR="003F2AE4" w:rsidRPr="001357D3" w:rsidRDefault="001C6403" w:rsidP="001C6403">
      <w:pPr>
        <w:pStyle w:val="Typedudocument"/>
        <w:rPr>
          <w:noProof/>
        </w:rPr>
      </w:pPr>
      <w:r w:rsidRPr="001C6403">
        <w:rPr>
          <w:noProof/>
        </w:rPr>
        <w:t>ROZPORZĄDZENIE PARLAMENTU EUROPEJSKIEGO I RADY</w:t>
      </w:r>
    </w:p>
    <w:p w14:paraId="00377F60" w14:textId="682DBA43" w:rsidR="00C5603D" w:rsidRPr="001357D3" w:rsidRDefault="001C6403" w:rsidP="001C6403">
      <w:pPr>
        <w:pStyle w:val="Titreobjet"/>
        <w:rPr>
          <w:noProof/>
        </w:rPr>
      </w:pPr>
      <w:bookmarkStart w:id="31" w:name="_Hlk207130322"/>
      <w:r w:rsidRPr="001C6403">
        <w:rPr>
          <w:noProof/>
        </w:rPr>
        <w:t>ustanawiające program „Sprawiedliwość” na lata 2028–2034 i uchylające rozporządzenie (UE) 2021/693</w:t>
      </w:r>
    </w:p>
    <w:bookmarkEnd w:id="31"/>
    <w:p w14:paraId="00377F61" w14:textId="48EEF6B3" w:rsidR="00C5603D" w:rsidRPr="001357D3" w:rsidRDefault="00C5603D" w:rsidP="004852D0">
      <w:pPr>
        <w:pStyle w:val="Institutionquiagit"/>
        <w:spacing w:before="0"/>
        <w:rPr>
          <w:noProof/>
        </w:rPr>
      </w:pPr>
      <w:r w:rsidRPr="001357D3">
        <w:rPr>
          <w:noProof/>
        </w:rPr>
        <w:t>PARLAMENT EUROPEJSKI I RADA UNII EUROPEJSKIEJ,</w:t>
      </w:r>
    </w:p>
    <w:p w14:paraId="00377F62" w14:textId="2A69DCA1" w:rsidR="00C5603D" w:rsidRPr="001357D3" w:rsidRDefault="6C1FF87A" w:rsidP="004852D0">
      <w:pPr>
        <w:spacing w:before="0"/>
        <w:rPr>
          <w:noProof/>
        </w:rPr>
      </w:pPr>
      <w:r w:rsidRPr="001357D3">
        <w:rPr>
          <w:noProof/>
        </w:rPr>
        <w:t>uwzględniając Traktat</w:t>
      </w:r>
      <w:r w:rsidR="001C6403" w:rsidRPr="001357D3">
        <w:rPr>
          <w:noProof/>
        </w:rPr>
        <w:t xml:space="preserve"> o</w:t>
      </w:r>
      <w:r w:rsidR="001C6403">
        <w:rPr>
          <w:noProof/>
        </w:rPr>
        <w:t> </w:t>
      </w:r>
      <w:r w:rsidR="001C6403" w:rsidRPr="001357D3">
        <w:rPr>
          <w:noProof/>
        </w:rPr>
        <w:t>fun</w:t>
      </w:r>
      <w:r w:rsidRPr="001357D3">
        <w:rPr>
          <w:noProof/>
        </w:rPr>
        <w:t>kcjonowaniu Unii Europejskiej,</w:t>
      </w:r>
      <w:r w:rsidR="001C6403" w:rsidRPr="001357D3">
        <w:rPr>
          <w:noProof/>
        </w:rPr>
        <w:t xml:space="preserve"> w</w:t>
      </w:r>
      <w:r w:rsidR="001C6403">
        <w:rPr>
          <w:noProof/>
        </w:rPr>
        <w:t> </w:t>
      </w:r>
      <w:r w:rsidR="001C6403" w:rsidRPr="001357D3">
        <w:rPr>
          <w:noProof/>
        </w:rPr>
        <w:t>szc</w:t>
      </w:r>
      <w:r w:rsidRPr="001357D3">
        <w:rPr>
          <w:noProof/>
        </w:rPr>
        <w:t>zególności jego art. 81 ust. 1</w:t>
      </w:r>
      <w:r w:rsidR="001C6403" w:rsidRPr="001357D3">
        <w:rPr>
          <w:noProof/>
        </w:rPr>
        <w:t xml:space="preserve"> i</w:t>
      </w:r>
      <w:r w:rsidR="001C6403">
        <w:rPr>
          <w:noProof/>
        </w:rPr>
        <w:t> </w:t>
      </w:r>
      <w:r w:rsidR="001C6403" w:rsidRPr="001357D3">
        <w:rPr>
          <w:noProof/>
        </w:rPr>
        <w:t>2</w:t>
      </w:r>
      <w:r w:rsidRPr="001357D3">
        <w:rPr>
          <w:noProof/>
        </w:rPr>
        <w:t xml:space="preserve"> oraz art. 82 ust. 1,</w:t>
      </w:r>
    </w:p>
    <w:p w14:paraId="00377F63" w14:textId="77777777" w:rsidR="00C5603D" w:rsidRPr="001357D3" w:rsidRDefault="00C5603D" w:rsidP="004852D0">
      <w:pPr>
        <w:spacing w:before="0"/>
        <w:rPr>
          <w:noProof/>
        </w:rPr>
      </w:pPr>
      <w:r w:rsidRPr="001357D3">
        <w:rPr>
          <w:noProof/>
        </w:rPr>
        <w:t>uwzględniając wniosek Komisji Europejskiej,</w:t>
      </w:r>
    </w:p>
    <w:p w14:paraId="00377F64" w14:textId="46008E62" w:rsidR="00C5603D" w:rsidRPr="001357D3" w:rsidRDefault="7180743E" w:rsidP="004852D0">
      <w:pPr>
        <w:spacing w:before="0"/>
        <w:rPr>
          <w:noProof/>
        </w:rPr>
      </w:pPr>
      <w:r w:rsidRPr="001357D3">
        <w:rPr>
          <w:noProof/>
        </w:rPr>
        <w:t>po przekazaniu projektu aktu ustawodawczego parlamentom narodowym,</w:t>
      </w:r>
    </w:p>
    <w:p w14:paraId="00377F65" w14:textId="237BDEF4" w:rsidR="00C5603D" w:rsidRPr="001357D3" w:rsidRDefault="30221E69" w:rsidP="004852D0">
      <w:pPr>
        <w:spacing w:before="0"/>
        <w:rPr>
          <w:i/>
          <w:iCs/>
          <w:noProof/>
        </w:rPr>
      </w:pPr>
      <w:r w:rsidRPr="001357D3">
        <w:rPr>
          <w:noProof/>
        </w:rPr>
        <w:t>uwzględniając opinię Europejskiego Komitetu Ekonomiczno-Społecznego</w:t>
      </w:r>
      <w:r w:rsidRPr="001357D3">
        <w:rPr>
          <w:rStyle w:val="Odwoanieprzypisudolnego"/>
          <w:noProof/>
        </w:rPr>
        <w:footnoteReference w:id="45"/>
      </w:r>
      <w:r w:rsidRPr="001357D3">
        <w:rPr>
          <w:noProof/>
        </w:rPr>
        <w:t>,</w:t>
      </w:r>
    </w:p>
    <w:p w14:paraId="00377F66" w14:textId="6224F833" w:rsidR="00C5603D" w:rsidRPr="001357D3" w:rsidRDefault="30221E69" w:rsidP="004852D0">
      <w:pPr>
        <w:spacing w:before="0"/>
        <w:rPr>
          <w:noProof/>
        </w:rPr>
      </w:pPr>
      <w:r w:rsidRPr="001357D3">
        <w:rPr>
          <w:noProof/>
        </w:rPr>
        <w:t>uwzględniając opinię Komitetu Regionów</w:t>
      </w:r>
      <w:r w:rsidRPr="001357D3">
        <w:rPr>
          <w:rStyle w:val="Odwoanieprzypisudolnego"/>
          <w:noProof/>
        </w:rPr>
        <w:footnoteReference w:id="46"/>
      </w:r>
      <w:r w:rsidRPr="001357D3">
        <w:rPr>
          <w:noProof/>
        </w:rPr>
        <w:t>,</w:t>
      </w:r>
    </w:p>
    <w:p w14:paraId="00377F67" w14:textId="6292244E" w:rsidR="00C5603D" w:rsidRPr="001357D3" w:rsidRDefault="30221E69" w:rsidP="004852D0">
      <w:pPr>
        <w:spacing w:before="0"/>
        <w:rPr>
          <w:noProof/>
        </w:rPr>
      </w:pPr>
      <w:r w:rsidRPr="001357D3">
        <w:rPr>
          <w:noProof/>
        </w:rPr>
        <w:t>stanowiąc zgodnie ze zwykłą procedurą ustawodawczą,</w:t>
      </w:r>
    </w:p>
    <w:p w14:paraId="00377F68" w14:textId="77777777" w:rsidR="00C5603D" w:rsidRPr="001357D3" w:rsidRDefault="30221E69" w:rsidP="004852D0">
      <w:pPr>
        <w:spacing w:before="0"/>
        <w:rPr>
          <w:noProof/>
        </w:rPr>
      </w:pPr>
      <w:r w:rsidRPr="001357D3">
        <w:rPr>
          <w:noProof/>
        </w:rPr>
        <w:t>a także mając na uwadze, co następuje:</w:t>
      </w:r>
    </w:p>
    <w:p w14:paraId="3CDE49C2" w14:textId="26705F57" w:rsidR="00FD1BB8" w:rsidRPr="001357D3" w:rsidRDefault="000D4BE4" w:rsidP="000D4BE4">
      <w:pPr>
        <w:pStyle w:val="ManualConsidrant"/>
        <w:rPr>
          <w:rFonts w:eastAsia="Times New Roman"/>
          <w:noProof/>
        </w:rPr>
      </w:pPr>
      <w:r w:rsidRPr="000D4BE4">
        <w:rPr>
          <w:noProof/>
        </w:rPr>
        <w:t>(1)</w:t>
      </w:r>
      <w:r w:rsidRPr="000D4BE4">
        <w:rPr>
          <w:noProof/>
        </w:rPr>
        <w:tab/>
      </w:r>
      <w:r w:rsidR="219ABA37" w:rsidRPr="001357D3">
        <w:rPr>
          <w:noProof/>
        </w:rPr>
        <w:t>W art. 3 Traktatu</w:t>
      </w:r>
      <w:r w:rsidR="001C6403" w:rsidRPr="001357D3">
        <w:rPr>
          <w:noProof/>
        </w:rPr>
        <w:t xml:space="preserve"> o</w:t>
      </w:r>
      <w:r w:rsidR="001C6403">
        <w:rPr>
          <w:noProof/>
        </w:rPr>
        <w:t> </w:t>
      </w:r>
      <w:r w:rsidR="001C6403" w:rsidRPr="001357D3">
        <w:rPr>
          <w:noProof/>
        </w:rPr>
        <w:t>Uni</w:t>
      </w:r>
      <w:r w:rsidR="219ABA37" w:rsidRPr="001357D3">
        <w:rPr>
          <w:noProof/>
        </w:rPr>
        <w:t>i Europejskiej (TUE) zapisano, że Unia zapewnia swoim obywatelom przestrzeń wolności, bezpieczeństwa</w:t>
      </w:r>
      <w:r w:rsidR="001C6403" w:rsidRPr="001357D3">
        <w:rPr>
          <w:noProof/>
        </w:rPr>
        <w:t xml:space="preserve"> i</w:t>
      </w:r>
      <w:r w:rsidR="001C6403">
        <w:rPr>
          <w:noProof/>
        </w:rPr>
        <w:t> </w:t>
      </w:r>
      <w:r w:rsidR="001C6403" w:rsidRPr="001357D3">
        <w:rPr>
          <w:noProof/>
        </w:rPr>
        <w:t>spr</w:t>
      </w:r>
      <w:r w:rsidR="219ABA37" w:rsidRPr="001357D3">
        <w:rPr>
          <w:noProof/>
        </w:rPr>
        <w:t>awiedliwości,</w:t>
      </w:r>
      <w:r w:rsidR="001C6403" w:rsidRPr="001357D3">
        <w:rPr>
          <w:noProof/>
        </w:rPr>
        <w:t xml:space="preserve"> a</w:t>
      </w:r>
      <w:r w:rsidR="001C6403">
        <w:rPr>
          <w:noProof/>
        </w:rPr>
        <w:t> </w:t>
      </w:r>
      <w:r w:rsidR="001C6403" w:rsidRPr="001357D3">
        <w:rPr>
          <w:noProof/>
        </w:rPr>
        <w:t>w</w:t>
      </w:r>
      <w:r w:rsidR="001C6403">
        <w:rPr>
          <w:noProof/>
        </w:rPr>
        <w:t> </w:t>
      </w:r>
      <w:r w:rsidR="001C6403" w:rsidRPr="001357D3">
        <w:rPr>
          <w:noProof/>
        </w:rPr>
        <w:t>art</w:t>
      </w:r>
      <w:r w:rsidR="219ABA37" w:rsidRPr="001357D3">
        <w:rPr>
          <w:noProof/>
        </w:rPr>
        <w:t>. 67 Traktatu</w:t>
      </w:r>
      <w:r w:rsidR="001C6403" w:rsidRPr="001357D3">
        <w:rPr>
          <w:noProof/>
        </w:rPr>
        <w:t xml:space="preserve"> o</w:t>
      </w:r>
      <w:r w:rsidR="001C6403">
        <w:rPr>
          <w:noProof/>
        </w:rPr>
        <w:t> </w:t>
      </w:r>
      <w:r w:rsidR="001C6403" w:rsidRPr="001357D3">
        <w:rPr>
          <w:noProof/>
        </w:rPr>
        <w:t>fun</w:t>
      </w:r>
      <w:r w:rsidR="219ABA37" w:rsidRPr="001357D3">
        <w:rPr>
          <w:noProof/>
        </w:rPr>
        <w:t>kcjonowaniu Unii Europejskiej (TFUE) doprecyzowano, że Unia stanowi przestrzeń wolności, bezpieczeństwa</w:t>
      </w:r>
      <w:r w:rsidR="001C6403" w:rsidRPr="001357D3">
        <w:rPr>
          <w:noProof/>
        </w:rPr>
        <w:t xml:space="preserve"> i</w:t>
      </w:r>
      <w:r w:rsidR="001C6403">
        <w:rPr>
          <w:noProof/>
        </w:rPr>
        <w:t> </w:t>
      </w:r>
      <w:r w:rsidR="001C6403" w:rsidRPr="001357D3">
        <w:rPr>
          <w:noProof/>
        </w:rPr>
        <w:t>spr</w:t>
      </w:r>
      <w:r w:rsidR="219ABA37" w:rsidRPr="001357D3">
        <w:rPr>
          <w:noProof/>
        </w:rPr>
        <w:t>awiedliwości</w:t>
      </w:r>
      <w:r w:rsidR="001C6403" w:rsidRPr="001357D3">
        <w:rPr>
          <w:noProof/>
        </w:rPr>
        <w:t xml:space="preserve"> w</w:t>
      </w:r>
      <w:r w:rsidR="001C6403">
        <w:rPr>
          <w:noProof/>
        </w:rPr>
        <w:t> </w:t>
      </w:r>
      <w:r w:rsidR="001C6403" w:rsidRPr="001357D3">
        <w:rPr>
          <w:noProof/>
        </w:rPr>
        <w:t>pos</w:t>
      </w:r>
      <w:r w:rsidR="219ABA37" w:rsidRPr="001357D3">
        <w:rPr>
          <w:noProof/>
        </w:rPr>
        <w:t>zanowaniu praw podstawowych oraz różnych systemów</w:t>
      </w:r>
      <w:r w:rsidR="001C6403" w:rsidRPr="001357D3">
        <w:rPr>
          <w:noProof/>
        </w:rPr>
        <w:t xml:space="preserve"> i</w:t>
      </w:r>
      <w:r w:rsidR="001C6403">
        <w:rPr>
          <w:noProof/>
        </w:rPr>
        <w:t> </w:t>
      </w:r>
      <w:r w:rsidR="001C6403" w:rsidRPr="001357D3">
        <w:rPr>
          <w:noProof/>
        </w:rPr>
        <w:t>tra</w:t>
      </w:r>
      <w:r w:rsidR="219ABA37" w:rsidRPr="001357D3">
        <w:rPr>
          <w:noProof/>
        </w:rPr>
        <w:t>dycji prawnych państw członkowskich. Wymiar sprawiedliwości jest ściśle powiązany</w:t>
      </w:r>
      <w:r w:rsidR="001C6403" w:rsidRPr="001357D3">
        <w:rPr>
          <w:noProof/>
        </w:rPr>
        <w:t xml:space="preserve"> z</w:t>
      </w:r>
      <w:r w:rsidR="001C6403">
        <w:rPr>
          <w:noProof/>
        </w:rPr>
        <w:t> </w:t>
      </w:r>
      <w:r w:rsidR="001C6403" w:rsidRPr="001357D3">
        <w:rPr>
          <w:noProof/>
        </w:rPr>
        <w:t>pod</w:t>
      </w:r>
      <w:r w:rsidR="219ABA37" w:rsidRPr="001357D3">
        <w:rPr>
          <w:noProof/>
        </w:rPr>
        <w:t>stawowymi wartościami, na których opiera się Unia,</w:t>
      </w:r>
      <w:r w:rsidR="001C6403" w:rsidRPr="001357D3">
        <w:rPr>
          <w:noProof/>
        </w:rPr>
        <w:t xml:space="preserve"> w</w:t>
      </w:r>
      <w:r w:rsidR="001C6403">
        <w:rPr>
          <w:noProof/>
        </w:rPr>
        <w:t> </w:t>
      </w:r>
      <w:r w:rsidR="001C6403" w:rsidRPr="001357D3">
        <w:rPr>
          <w:noProof/>
        </w:rPr>
        <w:t>szc</w:t>
      </w:r>
      <w:r w:rsidR="219ABA37" w:rsidRPr="001357D3">
        <w:rPr>
          <w:noProof/>
        </w:rPr>
        <w:t>zególności</w:t>
      </w:r>
      <w:r w:rsidR="001C6403" w:rsidRPr="001357D3">
        <w:rPr>
          <w:noProof/>
        </w:rPr>
        <w:t xml:space="preserve"> z</w:t>
      </w:r>
      <w:r w:rsidR="001C6403">
        <w:rPr>
          <w:noProof/>
        </w:rPr>
        <w:t> </w:t>
      </w:r>
      <w:r w:rsidR="001C6403" w:rsidRPr="001357D3">
        <w:rPr>
          <w:noProof/>
        </w:rPr>
        <w:t>pra</w:t>
      </w:r>
      <w:r w:rsidR="219ABA37" w:rsidRPr="001357D3">
        <w:rPr>
          <w:noProof/>
        </w:rPr>
        <w:t>worządnością, demokracją</w:t>
      </w:r>
      <w:r w:rsidR="001C6403" w:rsidRPr="001357D3">
        <w:rPr>
          <w:noProof/>
        </w:rPr>
        <w:t xml:space="preserve"> i</w:t>
      </w:r>
      <w:r w:rsidR="001C6403">
        <w:rPr>
          <w:noProof/>
        </w:rPr>
        <w:t> </w:t>
      </w:r>
      <w:r w:rsidR="001C6403" w:rsidRPr="001357D3">
        <w:rPr>
          <w:noProof/>
        </w:rPr>
        <w:t>pos</w:t>
      </w:r>
      <w:r w:rsidR="219ABA37" w:rsidRPr="001357D3">
        <w:rPr>
          <w:noProof/>
        </w:rPr>
        <w:t>zanowaniem praw podstawowych, zgodnie</w:t>
      </w:r>
      <w:r w:rsidR="001C6403" w:rsidRPr="001357D3">
        <w:rPr>
          <w:noProof/>
        </w:rPr>
        <w:t xml:space="preserve"> z</w:t>
      </w:r>
      <w:r w:rsidR="001C6403">
        <w:rPr>
          <w:noProof/>
        </w:rPr>
        <w:t> </w:t>
      </w:r>
      <w:r w:rsidR="001C6403" w:rsidRPr="001357D3">
        <w:rPr>
          <w:noProof/>
        </w:rPr>
        <w:t>art</w:t>
      </w:r>
      <w:r w:rsidR="219ABA37" w:rsidRPr="001357D3">
        <w:rPr>
          <w:noProof/>
        </w:rPr>
        <w:t>. 2 TUE. Te podstawowe wartości zakładają konieczność istnienia niezależnego sądownictwa działającego</w:t>
      </w:r>
      <w:r w:rsidR="001C6403" w:rsidRPr="001357D3">
        <w:rPr>
          <w:noProof/>
        </w:rPr>
        <w:t xml:space="preserve"> w</w:t>
      </w:r>
      <w:r w:rsidR="001C6403">
        <w:rPr>
          <w:noProof/>
        </w:rPr>
        <w:t> </w:t>
      </w:r>
      <w:r w:rsidR="001C6403" w:rsidRPr="001357D3">
        <w:rPr>
          <w:noProof/>
        </w:rPr>
        <w:t>ram</w:t>
      </w:r>
      <w:r w:rsidR="219ABA37" w:rsidRPr="001357D3">
        <w:rPr>
          <w:noProof/>
        </w:rPr>
        <w:t>ach skutecznych systemów wymiaru sprawiedliwości. Niezależność sądownictwa wynika ze wspólnych tradycji konstytucyjnych wszystkich państw członkowskich, praworządności oraz</w:t>
      </w:r>
      <w:r w:rsidR="001C6403" w:rsidRPr="001357D3">
        <w:rPr>
          <w:noProof/>
        </w:rPr>
        <w:t xml:space="preserve"> z</w:t>
      </w:r>
      <w:r w:rsidR="001C6403">
        <w:rPr>
          <w:noProof/>
        </w:rPr>
        <w:t> </w:t>
      </w:r>
      <w:r w:rsidR="001C6403" w:rsidRPr="001357D3">
        <w:rPr>
          <w:noProof/>
        </w:rPr>
        <w:t>zas</w:t>
      </w:r>
      <w:r w:rsidR="219ABA37" w:rsidRPr="001357D3">
        <w:rPr>
          <w:noProof/>
        </w:rPr>
        <w:t>ady skutecznej ochrony sądowej przewidzianej</w:t>
      </w:r>
      <w:r w:rsidR="001C6403" w:rsidRPr="001357D3">
        <w:rPr>
          <w:noProof/>
        </w:rPr>
        <w:t xml:space="preserve"> w</w:t>
      </w:r>
      <w:r w:rsidR="001C6403">
        <w:rPr>
          <w:noProof/>
        </w:rPr>
        <w:t> </w:t>
      </w:r>
      <w:r w:rsidR="001C6403" w:rsidRPr="001357D3">
        <w:rPr>
          <w:noProof/>
        </w:rPr>
        <w:t>art</w:t>
      </w:r>
      <w:r w:rsidR="219ABA37" w:rsidRPr="001357D3">
        <w:rPr>
          <w:noProof/>
        </w:rPr>
        <w:t>. 19 ust. 1 TUE</w:t>
      </w:r>
      <w:r w:rsidR="001C6403" w:rsidRPr="001357D3">
        <w:rPr>
          <w:noProof/>
        </w:rPr>
        <w:t xml:space="preserve"> i</w:t>
      </w:r>
      <w:r w:rsidR="001C6403">
        <w:rPr>
          <w:noProof/>
        </w:rPr>
        <w:t> </w:t>
      </w:r>
      <w:r w:rsidR="001C6403" w:rsidRPr="001357D3">
        <w:rPr>
          <w:noProof/>
        </w:rPr>
        <w:t>art</w:t>
      </w:r>
      <w:r w:rsidR="219ABA37" w:rsidRPr="001357D3">
        <w:rPr>
          <w:noProof/>
        </w:rPr>
        <w:t>. 47 Karty praw podstawowych Unii Europejskiej (zwanej dalej „Kartą”).</w:t>
      </w:r>
    </w:p>
    <w:p w14:paraId="65001C71" w14:textId="0D08B0FB" w:rsidR="00FD1BB8" w:rsidRPr="001357D3" w:rsidRDefault="000D4BE4" w:rsidP="000D4BE4">
      <w:pPr>
        <w:pStyle w:val="ManualConsidrant"/>
        <w:rPr>
          <w:noProof/>
        </w:rPr>
      </w:pPr>
      <w:r w:rsidRPr="000D4BE4">
        <w:rPr>
          <w:noProof/>
        </w:rPr>
        <w:t>(2)</w:t>
      </w:r>
      <w:r w:rsidRPr="000D4BE4">
        <w:rPr>
          <w:noProof/>
        </w:rPr>
        <w:tab/>
      </w:r>
      <w:r w:rsidR="219ABA37" w:rsidRPr="001357D3">
        <w:rPr>
          <w:noProof/>
        </w:rPr>
        <w:t>Proces tworzenia przestrzeni wolności, bezpieczeństwa</w:t>
      </w:r>
      <w:r w:rsidR="001C6403" w:rsidRPr="001357D3">
        <w:rPr>
          <w:noProof/>
        </w:rPr>
        <w:t xml:space="preserve"> i</w:t>
      </w:r>
      <w:r w:rsidR="001C6403">
        <w:rPr>
          <w:noProof/>
        </w:rPr>
        <w:t> </w:t>
      </w:r>
      <w:r w:rsidR="001C6403" w:rsidRPr="001357D3">
        <w:rPr>
          <w:noProof/>
        </w:rPr>
        <w:t>spr</w:t>
      </w:r>
      <w:r w:rsidR="219ABA37" w:rsidRPr="001357D3">
        <w:rPr>
          <w:noProof/>
        </w:rPr>
        <w:t>awiedliwości nadal napotyka wyzwania</w:t>
      </w:r>
      <w:r w:rsidR="001C6403" w:rsidRPr="001357D3">
        <w:rPr>
          <w:noProof/>
        </w:rPr>
        <w:t xml:space="preserve"> w</w:t>
      </w:r>
      <w:r w:rsidR="001C6403">
        <w:rPr>
          <w:noProof/>
        </w:rPr>
        <w:t> </w:t>
      </w:r>
      <w:r w:rsidR="001C6403" w:rsidRPr="001357D3">
        <w:rPr>
          <w:noProof/>
        </w:rPr>
        <w:t>pos</w:t>
      </w:r>
      <w:r w:rsidR="219ABA37" w:rsidRPr="001357D3">
        <w:rPr>
          <w:noProof/>
        </w:rPr>
        <w:t>taci zagrożeń dla praworządności, szeregu form poważnej przestępczości oraz związane</w:t>
      </w:r>
      <w:r w:rsidR="001C6403" w:rsidRPr="001357D3">
        <w:rPr>
          <w:noProof/>
        </w:rPr>
        <w:t xml:space="preserve"> z</w:t>
      </w:r>
      <w:r w:rsidR="001C6403">
        <w:rPr>
          <w:noProof/>
        </w:rPr>
        <w:t> </w:t>
      </w:r>
      <w:r w:rsidR="001C6403" w:rsidRPr="001357D3">
        <w:rPr>
          <w:noProof/>
        </w:rPr>
        <w:t>dos</w:t>
      </w:r>
      <w:r w:rsidR="219ABA37" w:rsidRPr="001357D3">
        <w:rPr>
          <w:noProof/>
        </w:rPr>
        <w:t>tępem do wymiaru sprawiedliwości</w:t>
      </w:r>
      <w:r w:rsidR="001C6403" w:rsidRPr="001357D3">
        <w:rPr>
          <w:noProof/>
        </w:rPr>
        <w:t xml:space="preserve"> i</w:t>
      </w:r>
      <w:r w:rsidR="001C6403">
        <w:rPr>
          <w:noProof/>
        </w:rPr>
        <w:t> </w:t>
      </w:r>
      <w:r w:rsidR="001C6403" w:rsidRPr="001357D3">
        <w:rPr>
          <w:noProof/>
        </w:rPr>
        <w:t>wsp</w:t>
      </w:r>
      <w:r w:rsidR="219ABA37" w:rsidRPr="001357D3">
        <w:rPr>
          <w:noProof/>
        </w:rPr>
        <w:t>ółpracą sądową</w:t>
      </w:r>
      <w:r w:rsidR="001C6403" w:rsidRPr="001357D3">
        <w:rPr>
          <w:noProof/>
        </w:rPr>
        <w:t>. W</w:t>
      </w:r>
      <w:r w:rsidR="001C6403">
        <w:rPr>
          <w:noProof/>
        </w:rPr>
        <w:t> </w:t>
      </w:r>
      <w:r w:rsidR="001C6403" w:rsidRPr="001357D3">
        <w:rPr>
          <w:noProof/>
        </w:rPr>
        <w:t>zwi</w:t>
      </w:r>
      <w:r w:rsidR="219ABA37" w:rsidRPr="001357D3">
        <w:rPr>
          <w:noProof/>
        </w:rPr>
        <w:t>ązku</w:t>
      </w:r>
      <w:r w:rsidR="001C6403" w:rsidRPr="001357D3">
        <w:rPr>
          <w:noProof/>
        </w:rPr>
        <w:t xml:space="preserve"> z</w:t>
      </w:r>
      <w:r w:rsidR="001C6403">
        <w:rPr>
          <w:noProof/>
        </w:rPr>
        <w:t> </w:t>
      </w:r>
      <w:r w:rsidR="001C6403" w:rsidRPr="001357D3">
        <w:rPr>
          <w:noProof/>
        </w:rPr>
        <w:t>tym</w:t>
      </w:r>
      <w:r w:rsidR="219ABA37" w:rsidRPr="001357D3">
        <w:rPr>
          <w:noProof/>
        </w:rPr>
        <w:t xml:space="preserve"> propagowanie, wzmacnianie</w:t>
      </w:r>
      <w:r w:rsidR="001C6403" w:rsidRPr="001357D3">
        <w:rPr>
          <w:noProof/>
        </w:rPr>
        <w:t xml:space="preserve"> i</w:t>
      </w:r>
      <w:r w:rsidR="001C6403">
        <w:rPr>
          <w:noProof/>
        </w:rPr>
        <w:t> </w:t>
      </w:r>
      <w:r w:rsidR="001C6403" w:rsidRPr="001357D3">
        <w:rPr>
          <w:noProof/>
        </w:rPr>
        <w:t>obr</w:t>
      </w:r>
      <w:r w:rsidR="219ABA37" w:rsidRPr="001357D3">
        <w:rPr>
          <w:noProof/>
        </w:rPr>
        <w:t>ona wymiaru sprawiedliwości są dziś ważniejsze niż kiedykolwiek. Mają one bowiem bezpośredni wpływ na życie polityczne, gospodarcze, finansowe</w:t>
      </w:r>
      <w:r w:rsidR="001C6403" w:rsidRPr="001357D3">
        <w:rPr>
          <w:noProof/>
        </w:rPr>
        <w:t xml:space="preserve"> i</w:t>
      </w:r>
      <w:r w:rsidR="001C6403">
        <w:rPr>
          <w:noProof/>
        </w:rPr>
        <w:t> </w:t>
      </w:r>
      <w:r w:rsidR="001C6403" w:rsidRPr="001357D3">
        <w:rPr>
          <w:noProof/>
        </w:rPr>
        <w:t>spo</w:t>
      </w:r>
      <w:r w:rsidR="219ABA37" w:rsidRPr="001357D3">
        <w:rPr>
          <w:noProof/>
        </w:rPr>
        <w:t>łeczne</w:t>
      </w:r>
      <w:r w:rsidR="001C6403" w:rsidRPr="001357D3">
        <w:rPr>
          <w:noProof/>
        </w:rPr>
        <w:t xml:space="preserve"> w</w:t>
      </w:r>
      <w:r w:rsidR="001C6403">
        <w:rPr>
          <w:noProof/>
        </w:rPr>
        <w:t> </w:t>
      </w:r>
      <w:r w:rsidR="001C6403" w:rsidRPr="001357D3">
        <w:rPr>
          <w:noProof/>
        </w:rPr>
        <w:t>Uni</w:t>
      </w:r>
      <w:r w:rsidR="219ABA37" w:rsidRPr="001357D3">
        <w:rPr>
          <w:noProof/>
        </w:rPr>
        <w:t>i</w:t>
      </w:r>
      <w:r w:rsidR="001C6403" w:rsidRPr="001357D3">
        <w:rPr>
          <w:noProof/>
        </w:rPr>
        <w:t xml:space="preserve"> i</w:t>
      </w:r>
      <w:r w:rsidR="001C6403">
        <w:rPr>
          <w:noProof/>
        </w:rPr>
        <w:t> </w:t>
      </w:r>
      <w:r w:rsidR="001C6403" w:rsidRPr="001357D3">
        <w:rPr>
          <w:noProof/>
        </w:rPr>
        <w:t>poz</w:t>
      </w:r>
      <w:r w:rsidR="219ABA37" w:rsidRPr="001357D3">
        <w:rPr>
          <w:noProof/>
        </w:rPr>
        <w:t>a nią oraz są niezbędne</w:t>
      </w:r>
      <w:r w:rsidR="001C6403" w:rsidRPr="001357D3">
        <w:rPr>
          <w:noProof/>
        </w:rPr>
        <w:t xml:space="preserve"> z</w:t>
      </w:r>
      <w:r w:rsidR="001C6403">
        <w:rPr>
          <w:noProof/>
        </w:rPr>
        <w:t> </w:t>
      </w:r>
      <w:r w:rsidR="001C6403" w:rsidRPr="001357D3">
        <w:rPr>
          <w:noProof/>
        </w:rPr>
        <w:t>pun</w:t>
      </w:r>
      <w:r w:rsidR="219ABA37" w:rsidRPr="001357D3">
        <w:rPr>
          <w:noProof/>
        </w:rPr>
        <w:t xml:space="preserve">ktu widzenia rozszerzenia Unii. Niniejsze rozporządzenie opiera się na programie „Sprawiedliwość” na lata 2021–2027 ustanowionym rozporządzeniem </w:t>
      </w:r>
      <w:r w:rsidR="219ABA37" w:rsidRPr="001357D3">
        <w:rPr>
          <w:noProof/>
        </w:rPr>
        <w:lastRenderedPageBreak/>
        <w:t>Parlamentu Europejskiego</w:t>
      </w:r>
      <w:r w:rsidR="001C6403" w:rsidRPr="001357D3">
        <w:rPr>
          <w:noProof/>
        </w:rPr>
        <w:t xml:space="preserve"> i</w:t>
      </w:r>
      <w:r w:rsidR="001C6403">
        <w:rPr>
          <w:noProof/>
        </w:rPr>
        <w:t> </w:t>
      </w:r>
      <w:r w:rsidR="001C6403" w:rsidRPr="001357D3">
        <w:rPr>
          <w:noProof/>
        </w:rPr>
        <w:t>Rad</w:t>
      </w:r>
      <w:r w:rsidR="219ABA37" w:rsidRPr="001357D3">
        <w:rPr>
          <w:noProof/>
        </w:rPr>
        <w:t>y (UE) 2021/693</w:t>
      </w:r>
      <w:r w:rsidR="219ABA37" w:rsidRPr="001357D3">
        <w:rPr>
          <w:rStyle w:val="Odwoanieprzypisudolnego"/>
          <w:rFonts w:eastAsia="Times New Roman"/>
          <w:noProof/>
        </w:rPr>
        <w:footnoteReference w:id="47"/>
      </w:r>
      <w:r w:rsidR="219ABA37" w:rsidRPr="001357D3">
        <w:rPr>
          <w:noProof/>
        </w:rPr>
        <w:t>,</w:t>
      </w:r>
      <w:r w:rsidR="001C6403" w:rsidRPr="001357D3">
        <w:rPr>
          <w:noProof/>
        </w:rPr>
        <w:t xml:space="preserve"> a</w:t>
      </w:r>
      <w:r w:rsidR="001C6403">
        <w:rPr>
          <w:noProof/>
        </w:rPr>
        <w:t> </w:t>
      </w:r>
      <w:r w:rsidR="001C6403" w:rsidRPr="001357D3">
        <w:rPr>
          <w:noProof/>
        </w:rPr>
        <w:t>jeg</w:t>
      </w:r>
      <w:r w:rsidR="219ABA37" w:rsidRPr="001357D3">
        <w:rPr>
          <w:noProof/>
        </w:rPr>
        <w:t>o celem jest ustanowienie programu „Sprawiedliwość” („Program”) na rzecz wspierania dalszego rozwoju unijnej przestrzeni sprawiedliwości opartej na praworządności, prawach podstawowych, demokracji, niezależności</w:t>
      </w:r>
      <w:r w:rsidR="001C6403" w:rsidRPr="001357D3">
        <w:rPr>
          <w:noProof/>
        </w:rPr>
        <w:t xml:space="preserve"> i</w:t>
      </w:r>
      <w:r w:rsidR="001C6403">
        <w:rPr>
          <w:noProof/>
        </w:rPr>
        <w:t> </w:t>
      </w:r>
      <w:r w:rsidR="001C6403" w:rsidRPr="001357D3">
        <w:rPr>
          <w:noProof/>
        </w:rPr>
        <w:t>bez</w:t>
      </w:r>
      <w:r w:rsidR="219ABA37" w:rsidRPr="001357D3">
        <w:rPr>
          <w:noProof/>
        </w:rPr>
        <w:t>stronności sądownictwa, wzajemnym uznawaniu</w:t>
      </w:r>
      <w:r w:rsidR="001C6403" w:rsidRPr="001357D3">
        <w:rPr>
          <w:noProof/>
        </w:rPr>
        <w:t xml:space="preserve"> i</w:t>
      </w:r>
      <w:r w:rsidR="001C6403">
        <w:rPr>
          <w:noProof/>
        </w:rPr>
        <w:t> </w:t>
      </w:r>
      <w:r w:rsidR="001C6403" w:rsidRPr="001357D3">
        <w:rPr>
          <w:noProof/>
        </w:rPr>
        <w:t>wza</w:t>
      </w:r>
      <w:r w:rsidR="219ABA37" w:rsidRPr="001357D3">
        <w:rPr>
          <w:noProof/>
        </w:rPr>
        <w:t>jemnym zaufaniu, dostępie do wymiaru sprawiedliwości oraz transgranicznej współpracy sądowej</w:t>
      </w:r>
      <w:r w:rsidR="001C6403" w:rsidRPr="001357D3">
        <w:rPr>
          <w:noProof/>
        </w:rPr>
        <w:t xml:space="preserve"> w</w:t>
      </w:r>
      <w:r w:rsidR="001C6403">
        <w:rPr>
          <w:noProof/>
        </w:rPr>
        <w:t> </w:t>
      </w:r>
      <w:r w:rsidR="001C6403" w:rsidRPr="001357D3">
        <w:rPr>
          <w:noProof/>
        </w:rPr>
        <w:t>spr</w:t>
      </w:r>
      <w:r w:rsidR="219ABA37" w:rsidRPr="001357D3">
        <w:rPr>
          <w:noProof/>
        </w:rPr>
        <w:t>awach cywilnych</w:t>
      </w:r>
      <w:r w:rsidR="001C6403" w:rsidRPr="001357D3">
        <w:rPr>
          <w:noProof/>
        </w:rPr>
        <w:t xml:space="preserve"> i</w:t>
      </w:r>
      <w:r w:rsidR="001C6403">
        <w:rPr>
          <w:noProof/>
        </w:rPr>
        <w:t> </w:t>
      </w:r>
      <w:r w:rsidR="001C6403" w:rsidRPr="001357D3">
        <w:rPr>
          <w:noProof/>
        </w:rPr>
        <w:t>kar</w:t>
      </w:r>
      <w:r w:rsidR="219ABA37" w:rsidRPr="001357D3">
        <w:rPr>
          <w:noProof/>
        </w:rPr>
        <w:t>nych</w:t>
      </w:r>
      <w:r w:rsidR="001C6403" w:rsidRPr="001357D3">
        <w:rPr>
          <w:noProof/>
        </w:rPr>
        <w:t>. W</w:t>
      </w:r>
      <w:r w:rsidR="001C6403">
        <w:rPr>
          <w:noProof/>
        </w:rPr>
        <w:t> </w:t>
      </w:r>
      <w:r w:rsidR="001C6403" w:rsidRPr="001357D3">
        <w:rPr>
          <w:noProof/>
        </w:rPr>
        <w:t>odn</w:t>
      </w:r>
      <w:r w:rsidR="219ABA37" w:rsidRPr="001357D3">
        <w:rPr>
          <w:noProof/>
        </w:rPr>
        <w:t>iesieniu do wszystkich celów szczegółowych Programu należy ponadto położyć większy nacisk na cyfryzację wymiaru sprawiedliwości.</w:t>
      </w:r>
      <w:bookmarkStart w:id="32" w:name="_Hlk203233674"/>
    </w:p>
    <w:bookmarkEnd w:id="32"/>
    <w:p w14:paraId="36C74A26" w14:textId="7870736A" w:rsidR="00FD1BB8" w:rsidRPr="001357D3" w:rsidRDefault="000D4BE4" w:rsidP="000D4BE4">
      <w:pPr>
        <w:pStyle w:val="ManualConsidrant"/>
        <w:rPr>
          <w:noProof/>
        </w:rPr>
      </w:pPr>
      <w:r w:rsidRPr="000D4BE4">
        <w:rPr>
          <w:noProof/>
        </w:rPr>
        <w:t>(3)</w:t>
      </w:r>
      <w:r w:rsidRPr="000D4BE4">
        <w:rPr>
          <w:noProof/>
        </w:rPr>
        <w:tab/>
      </w:r>
      <w:r w:rsidR="2A347373" w:rsidRPr="001357D3">
        <w:rPr>
          <w:noProof/>
        </w:rPr>
        <w:t>W niniejszym rozporządzeniu ustala się orientacyjną pulę środków finansowych przeznaczonych na realizację programu „Sprawiedliwość”. Do celów niniejszego rozporządzenia ceny bieżące oblicza się poprzez zastosowanie stałego deflatora</w:t>
      </w:r>
      <w:r w:rsidR="001C6403" w:rsidRPr="001357D3">
        <w:rPr>
          <w:noProof/>
        </w:rPr>
        <w:t xml:space="preserve"> w</w:t>
      </w:r>
      <w:r w:rsidR="001C6403">
        <w:rPr>
          <w:noProof/>
        </w:rPr>
        <w:t> </w:t>
      </w:r>
      <w:r w:rsidR="001C6403" w:rsidRPr="001357D3">
        <w:rPr>
          <w:noProof/>
        </w:rPr>
        <w:t>wys</w:t>
      </w:r>
      <w:r w:rsidR="2A347373" w:rsidRPr="001357D3">
        <w:rPr>
          <w:noProof/>
        </w:rPr>
        <w:t>okości 2 %.</w:t>
      </w:r>
    </w:p>
    <w:p w14:paraId="4E2B390A" w14:textId="1EBA9EF2" w:rsidR="44D438E1" w:rsidRPr="001357D3" w:rsidRDefault="000D4BE4" w:rsidP="000D4BE4">
      <w:pPr>
        <w:pStyle w:val="ManualConsidrant"/>
        <w:rPr>
          <w:noProof/>
        </w:rPr>
      </w:pPr>
      <w:r w:rsidRPr="000D4BE4">
        <w:rPr>
          <w:noProof/>
        </w:rPr>
        <w:t>(4)</w:t>
      </w:r>
      <w:r w:rsidRPr="000D4BE4">
        <w:rPr>
          <w:noProof/>
        </w:rPr>
        <w:tab/>
      </w:r>
      <w:r w:rsidR="44D438E1" w:rsidRPr="001357D3">
        <w:rPr>
          <w:noProof/>
        </w:rPr>
        <w:t>Najnowsze doświadczenia pokazały, że</w:t>
      </w:r>
      <w:r w:rsidR="001C6403" w:rsidRPr="001357D3">
        <w:rPr>
          <w:noProof/>
        </w:rPr>
        <w:t xml:space="preserve"> w</w:t>
      </w:r>
      <w:r w:rsidR="001C6403">
        <w:rPr>
          <w:noProof/>
        </w:rPr>
        <w:t> </w:t>
      </w:r>
      <w:r w:rsidR="001C6403" w:rsidRPr="001357D3">
        <w:rPr>
          <w:noProof/>
        </w:rPr>
        <w:t>szy</w:t>
      </w:r>
      <w:r w:rsidR="44D438E1" w:rsidRPr="001357D3">
        <w:rPr>
          <w:noProof/>
        </w:rPr>
        <w:t>bko zmieniającym się otoczeniu gospodarczym, społecznym</w:t>
      </w:r>
      <w:r w:rsidR="001C6403" w:rsidRPr="001357D3">
        <w:rPr>
          <w:noProof/>
        </w:rPr>
        <w:t xml:space="preserve"> i</w:t>
      </w:r>
      <w:r w:rsidR="001C6403">
        <w:rPr>
          <w:noProof/>
        </w:rPr>
        <w:t> </w:t>
      </w:r>
      <w:r w:rsidR="001C6403" w:rsidRPr="001357D3">
        <w:rPr>
          <w:noProof/>
        </w:rPr>
        <w:t>geo</w:t>
      </w:r>
      <w:r w:rsidR="44D438E1" w:rsidRPr="001357D3">
        <w:rPr>
          <w:noProof/>
        </w:rPr>
        <w:t>politycznym, które niesie ze sobą niepewności</w:t>
      </w:r>
      <w:r w:rsidR="001C6403" w:rsidRPr="001357D3">
        <w:rPr>
          <w:noProof/>
        </w:rPr>
        <w:t xml:space="preserve"> i</w:t>
      </w:r>
      <w:r w:rsidR="001C6403">
        <w:rPr>
          <w:noProof/>
        </w:rPr>
        <w:t> </w:t>
      </w:r>
      <w:r w:rsidR="001C6403" w:rsidRPr="001357D3">
        <w:rPr>
          <w:noProof/>
        </w:rPr>
        <w:t>wyz</w:t>
      </w:r>
      <w:r w:rsidR="44D438E1" w:rsidRPr="001357D3">
        <w:rPr>
          <w:noProof/>
        </w:rPr>
        <w:t>wania, potrzebne są bardziej elastyczne wieloletnie ramy finansowe</w:t>
      </w:r>
      <w:r w:rsidR="001C6403" w:rsidRPr="001357D3">
        <w:rPr>
          <w:noProof/>
        </w:rPr>
        <w:t xml:space="preserve"> i</w:t>
      </w:r>
      <w:r w:rsidR="001C6403">
        <w:rPr>
          <w:noProof/>
        </w:rPr>
        <w:t> </w:t>
      </w:r>
      <w:r w:rsidR="001C6403" w:rsidRPr="001357D3">
        <w:rPr>
          <w:noProof/>
        </w:rPr>
        <w:t>uni</w:t>
      </w:r>
      <w:r w:rsidR="44D438E1" w:rsidRPr="001357D3">
        <w:rPr>
          <w:noProof/>
        </w:rPr>
        <w:t>jne programy wydatków</w:t>
      </w:r>
      <w:r w:rsidR="001C6403" w:rsidRPr="001357D3">
        <w:rPr>
          <w:noProof/>
        </w:rPr>
        <w:t>. W</w:t>
      </w:r>
      <w:r w:rsidR="001C6403">
        <w:rPr>
          <w:noProof/>
        </w:rPr>
        <w:t> </w:t>
      </w:r>
      <w:r w:rsidR="001C6403" w:rsidRPr="001357D3">
        <w:rPr>
          <w:noProof/>
        </w:rPr>
        <w:t>tym</w:t>
      </w:r>
      <w:r w:rsidR="44D438E1" w:rsidRPr="001357D3">
        <w:rPr>
          <w:noProof/>
        </w:rPr>
        <w:t xml:space="preserve"> celu</w:t>
      </w:r>
      <w:r w:rsidR="001C6403" w:rsidRPr="001357D3">
        <w:rPr>
          <w:noProof/>
        </w:rPr>
        <w:t xml:space="preserve"> i</w:t>
      </w:r>
      <w:r w:rsidR="001C6403">
        <w:rPr>
          <w:noProof/>
        </w:rPr>
        <w:t> </w:t>
      </w:r>
      <w:r w:rsidR="001C6403" w:rsidRPr="001357D3">
        <w:rPr>
          <w:noProof/>
        </w:rPr>
        <w:t>zgo</w:t>
      </w:r>
      <w:r w:rsidR="44D438E1" w:rsidRPr="001357D3">
        <w:rPr>
          <w:noProof/>
        </w:rPr>
        <w:t>dnie</w:t>
      </w:r>
      <w:r w:rsidR="001C6403" w:rsidRPr="001357D3">
        <w:rPr>
          <w:noProof/>
        </w:rPr>
        <w:t xml:space="preserve"> z</w:t>
      </w:r>
      <w:r w:rsidR="001C6403">
        <w:rPr>
          <w:noProof/>
        </w:rPr>
        <w:t> </w:t>
      </w:r>
      <w:r w:rsidR="001C6403" w:rsidRPr="001357D3">
        <w:rPr>
          <w:noProof/>
        </w:rPr>
        <w:t>zał</w:t>
      </w:r>
      <w:r w:rsidR="44D438E1" w:rsidRPr="001357D3">
        <w:rPr>
          <w:noProof/>
        </w:rPr>
        <w:t>ożeniami programu „Sprawiedliwość” finansowanie to powinno należycie uwzględniać zmieniające się potrzeby polityczne</w:t>
      </w:r>
      <w:r w:rsidR="001C6403" w:rsidRPr="001357D3">
        <w:rPr>
          <w:noProof/>
        </w:rPr>
        <w:t xml:space="preserve"> i</w:t>
      </w:r>
      <w:r w:rsidR="001C6403">
        <w:rPr>
          <w:noProof/>
        </w:rPr>
        <w:t> </w:t>
      </w:r>
      <w:r w:rsidR="001C6403" w:rsidRPr="001357D3">
        <w:rPr>
          <w:noProof/>
        </w:rPr>
        <w:t>pri</w:t>
      </w:r>
      <w:r w:rsidR="44D438E1" w:rsidRPr="001357D3">
        <w:rPr>
          <w:noProof/>
        </w:rPr>
        <w:t>orytety Unii określone</w:t>
      </w:r>
      <w:r w:rsidR="001C6403" w:rsidRPr="001357D3">
        <w:rPr>
          <w:noProof/>
        </w:rPr>
        <w:t xml:space="preserve"> w</w:t>
      </w:r>
      <w:r w:rsidR="001C6403">
        <w:rPr>
          <w:noProof/>
        </w:rPr>
        <w:t> </w:t>
      </w:r>
      <w:r w:rsidR="001C6403" w:rsidRPr="001357D3">
        <w:rPr>
          <w:noProof/>
        </w:rPr>
        <w:t>odp</w:t>
      </w:r>
      <w:r w:rsidR="44D438E1" w:rsidRPr="001357D3">
        <w:rPr>
          <w:noProof/>
        </w:rPr>
        <w:t>owiednich dokumentach publikowanych przez Komisję,</w:t>
      </w:r>
      <w:r w:rsidR="001C6403" w:rsidRPr="001357D3">
        <w:rPr>
          <w:noProof/>
        </w:rPr>
        <w:t xml:space="preserve"> w</w:t>
      </w:r>
      <w:r w:rsidR="001C6403">
        <w:rPr>
          <w:noProof/>
        </w:rPr>
        <w:t> </w:t>
      </w:r>
      <w:r w:rsidR="001C6403" w:rsidRPr="001357D3">
        <w:rPr>
          <w:noProof/>
        </w:rPr>
        <w:t>kon</w:t>
      </w:r>
      <w:r w:rsidR="44D438E1" w:rsidRPr="001357D3">
        <w:rPr>
          <w:noProof/>
        </w:rPr>
        <w:t>kluzjach Rady</w:t>
      </w:r>
      <w:r w:rsidR="001C6403" w:rsidRPr="001357D3">
        <w:rPr>
          <w:noProof/>
        </w:rPr>
        <w:t xml:space="preserve"> i</w:t>
      </w:r>
      <w:r w:rsidR="001C6403">
        <w:rPr>
          <w:noProof/>
        </w:rPr>
        <w:t> </w:t>
      </w:r>
      <w:r w:rsidR="001C6403" w:rsidRPr="001357D3">
        <w:rPr>
          <w:noProof/>
        </w:rPr>
        <w:t>rez</w:t>
      </w:r>
      <w:r w:rsidR="44D438E1" w:rsidRPr="001357D3">
        <w:rPr>
          <w:noProof/>
        </w:rPr>
        <w:t>olucjach Parlamentu Europejskiego; jednocześnie należy zagwarantować wystarczającą przewidywalność wykonania budżetu.</w:t>
      </w:r>
    </w:p>
    <w:p w14:paraId="453E46BD" w14:textId="0D555C17" w:rsidR="00FD1BB8" w:rsidRPr="001357D3" w:rsidRDefault="000D4BE4" w:rsidP="000D4BE4">
      <w:pPr>
        <w:pStyle w:val="ManualConsidrant"/>
        <w:rPr>
          <w:noProof/>
        </w:rPr>
      </w:pPr>
      <w:r w:rsidRPr="000D4BE4">
        <w:rPr>
          <w:noProof/>
        </w:rPr>
        <w:t>(5)</w:t>
      </w:r>
      <w:r w:rsidRPr="000D4BE4">
        <w:rPr>
          <w:noProof/>
        </w:rPr>
        <w:tab/>
      </w:r>
      <w:r w:rsidR="76EDB5C4" w:rsidRPr="001357D3">
        <w:rPr>
          <w:noProof/>
        </w:rPr>
        <w:t>Do niniejszego programu stosuje się rozporządzenie Parlamentu Europejskiego</w:t>
      </w:r>
      <w:r w:rsidR="001C6403" w:rsidRPr="001357D3">
        <w:rPr>
          <w:noProof/>
        </w:rPr>
        <w:t xml:space="preserve"> i</w:t>
      </w:r>
      <w:r w:rsidR="001C6403">
        <w:rPr>
          <w:noProof/>
        </w:rPr>
        <w:t> </w:t>
      </w:r>
      <w:r w:rsidR="001C6403" w:rsidRPr="001357D3">
        <w:rPr>
          <w:noProof/>
        </w:rPr>
        <w:t>Rad</w:t>
      </w:r>
      <w:r w:rsidR="76EDB5C4" w:rsidRPr="001357D3">
        <w:rPr>
          <w:noProof/>
        </w:rPr>
        <w:t>y (UE, Euratom) 2024/2509</w:t>
      </w:r>
      <w:r w:rsidR="76EDB5C4" w:rsidRPr="001357D3">
        <w:rPr>
          <w:rStyle w:val="Odwoanieprzypisudolnego"/>
          <w:noProof/>
        </w:rPr>
        <w:footnoteReference w:id="48"/>
      </w:r>
      <w:r w:rsidR="001C6403" w:rsidRPr="001357D3">
        <w:rPr>
          <w:noProof/>
        </w:rPr>
        <w:t>. W</w:t>
      </w:r>
      <w:r w:rsidR="001C6403">
        <w:rPr>
          <w:noProof/>
        </w:rPr>
        <w:t> </w:t>
      </w:r>
      <w:r w:rsidR="001C6403" w:rsidRPr="001357D3">
        <w:rPr>
          <w:noProof/>
        </w:rPr>
        <w:t>roz</w:t>
      </w:r>
      <w:r w:rsidR="76EDB5C4" w:rsidRPr="001357D3">
        <w:rPr>
          <w:noProof/>
        </w:rPr>
        <w:t>porządzeniu tym określono zasady ustanawiania</w:t>
      </w:r>
      <w:r w:rsidR="001C6403" w:rsidRPr="001357D3">
        <w:rPr>
          <w:noProof/>
        </w:rPr>
        <w:t xml:space="preserve"> i</w:t>
      </w:r>
      <w:r w:rsidR="001C6403">
        <w:rPr>
          <w:noProof/>
        </w:rPr>
        <w:t> </w:t>
      </w:r>
      <w:r w:rsidR="001C6403" w:rsidRPr="001357D3">
        <w:rPr>
          <w:noProof/>
        </w:rPr>
        <w:t>wdr</w:t>
      </w:r>
      <w:r w:rsidR="76EDB5C4" w:rsidRPr="001357D3">
        <w:rPr>
          <w:noProof/>
        </w:rPr>
        <w:t>ażania budżetu ogólnego Unii,</w:t>
      </w:r>
      <w:r w:rsidR="001C6403" w:rsidRPr="001357D3">
        <w:rPr>
          <w:noProof/>
        </w:rPr>
        <w:t xml:space="preserve"> w</w:t>
      </w:r>
      <w:r w:rsidR="001C6403">
        <w:rPr>
          <w:noProof/>
        </w:rPr>
        <w:t> </w:t>
      </w:r>
      <w:r w:rsidR="001C6403" w:rsidRPr="001357D3">
        <w:rPr>
          <w:noProof/>
        </w:rPr>
        <w:t>tym</w:t>
      </w:r>
      <w:r w:rsidR="76EDB5C4" w:rsidRPr="001357D3">
        <w:rPr>
          <w:noProof/>
        </w:rPr>
        <w:t xml:space="preserve"> zasady odnoszące się do dotacji, nagród, darowizn</w:t>
      </w:r>
      <w:r w:rsidR="001C6403" w:rsidRPr="001357D3">
        <w:rPr>
          <w:noProof/>
        </w:rPr>
        <w:t xml:space="preserve"> o</w:t>
      </w:r>
      <w:r w:rsidR="001C6403">
        <w:rPr>
          <w:noProof/>
        </w:rPr>
        <w:t> </w:t>
      </w:r>
      <w:r w:rsidR="001C6403" w:rsidRPr="001357D3">
        <w:rPr>
          <w:noProof/>
        </w:rPr>
        <w:t>cha</w:t>
      </w:r>
      <w:r w:rsidR="76EDB5C4" w:rsidRPr="001357D3">
        <w:rPr>
          <w:noProof/>
        </w:rPr>
        <w:t>rakterze niefinansowym, zamówień, pomocy finansowej, instrumentów finansowych</w:t>
      </w:r>
      <w:r w:rsidR="001C6403" w:rsidRPr="001357D3">
        <w:rPr>
          <w:noProof/>
        </w:rPr>
        <w:t xml:space="preserve"> i</w:t>
      </w:r>
      <w:r w:rsidR="001C6403">
        <w:rPr>
          <w:noProof/>
        </w:rPr>
        <w:t> </w:t>
      </w:r>
      <w:r w:rsidR="001C6403" w:rsidRPr="001357D3">
        <w:rPr>
          <w:noProof/>
        </w:rPr>
        <w:t>gwa</w:t>
      </w:r>
      <w:r w:rsidR="76EDB5C4" w:rsidRPr="001357D3">
        <w:rPr>
          <w:noProof/>
        </w:rPr>
        <w:t>rancji budżetowych.</w:t>
      </w:r>
    </w:p>
    <w:p w14:paraId="73A87969" w14:textId="60BB5268" w:rsidR="00FD1BB8" w:rsidRPr="001357D3" w:rsidRDefault="000D4BE4" w:rsidP="000D4BE4">
      <w:pPr>
        <w:pStyle w:val="ManualConsidrant"/>
        <w:rPr>
          <w:noProof/>
        </w:rPr>
      </w:pPr>
      <w:bookmarkStart w:id="33" w:name="_Hlk203233774"/>
      <w:r w:rsidRPr="000D4BE4">
        <w:rPr>
          <w:noProof/>
        </w:rPr>
        <w:t>(6)</w:t>
      </w:r>
      <w:r w:rsidRPr="000D4BE4">
        <w:rPr>
          <w:noProof/>
        </w:rPr>
        <w:tab/>
      </w:r>
      <w:r w:rsidR="6CA9A1DD" w:rsidRPr="001357D3">
        <w:rPr>
          <w:noProof/>
        </w:rPr>
        <w:t>Zgodnie</w:t>
      </w:r>
      <w:r w:rsidR="001C6403" w:rsidRPr="001357D3">
        <w:rPr>
          <w:noProof/>
        </w:rPr>
        <w:t xml:space="preserve"> z</w:t>
      </w:r>
      <w:r w:rsidR="001C6403">
        <w:rPr>
          <w:noProof/>
        </w:rPr>
        <w:t> </w:t>
      </w:r>
      <w:r w:rsidR="001C6403" w:rsidRPr="001357D3">
        <w:rPr>
          <w:noProof/>
        </w:rPr>
        <w:t>roz</w:t>
      </w:r>
      <w:r w:rsidR="6CA9A1DD" w:rsidRPr="001357D3">
        <w:rPr>
          <w:noProof/>
        </w:rPr>
        <w:t>porządzeniem (UE, Euratom) 2024/2509, rozporządzeniem Parlamentu Europejskiego</w:t>
      </w:r>
      <w:r w:rsidR="001C6403" w:rsidRPr="001357D3">
        <w:rPr>
          <w:noProof/>
        </w:rPr>
        <w:t xml:space="preserve"> i</w:t>
      </w:r>
      <w:r w:rsidR="001C6403">
        <w:rPr>
          <w:noProof/>
        </w:rPr>
        <w:t> </w:t>
      </w:r>
      <w:r w:rsidR="001C6403" w:rsidRPr="001357D3">
        <w:rPr>
          <w:noProof/>
        </w:rPr>
        <w:t>Rad</w:t>
      </w:r>
      <w:r w:rsidR="6CA9A1DD" w:rsidRPr="001357D3">
        <w:rPr>
          <w:noProof/>
        </w:rPr>
        <w:t xml:space="preserve">y (UE, Euratom) </w:t>
      </w:r>
      <w:r w:rsidR="6CA9A1DD" w:rsidRPr="001C6403">
        <w:rPr>
          <w:noProof/>
        </w:rPr>
        <w:t>nr</w:t>
      </w:r>
      <w:r w:rsidR="001C6403" w:rsidRPr="001C6403">
        <w:rPr>
          <w:noProof/>
        </w:rPr>
        <w:t> </w:t>
      </w:r>
      <w:r w:rsidR="6CA9A1DD" w:rsidRPr="001C6403">
        <w:rPr>
          <w:noProof/>
        </w:rPr>
        <w:t>8</w:t>
      </w:r>
      <w:r w:rsidR="6CA9A1DD" w:rsidRPr="001357D3">
        <w:rPr>
          <w:noProof/>
        </w:rPr>
        <w:t>83/2013</w:t>
      </w:r>
      <w:r w:rsidR="6CA9A1DD" w:rsidRPr="001357D3">
        <w:rPr>
          <w:rStyle w:val="Odwoanieprzypisudolnego"/>
          <w:noProof/>
        </w:rPr>
        <w:footnoteReference w:id="49"/>
      </w:r>
      <w:r w:rsidR="6CA9A1DD" w:rsidRPr="001357D3">
        <w:rPr>
          <w:noProof/>
        </w:rPr>
        <w:t xml:space="preserve">, rozporządzeniem Rady (Euratom, WE) </w:t>
      </w:r>
      <w:r w:rsidR="6CA9A1DD" w:rsidRPr="001C6403">
        <w:rPr>
          <w:noProof/>
        </w:rPr>
        <w:t>nr</w:t>
      </w:r>
      <w:r w:rsidR="001C6403" w:rsidRPr="001C6403">
        <w:rPr>
          <w:noProof/>
        </w:rPr>
        <w:t> </w:t>
      </w:r>
      <w:r w:rsidR="6CA9A1DD" w:rsidRPr="001C6403">
        <w:rPr>
          <w:noProof/>
        </w:rPr>
        <w:t>2</w:t>
      </w:r>
      <w:r w:rsidR="6CA9A1DD" w:rsidRPr="001357D3">
        <w:rPr>
          <w:noProof/>
        </w:rPr>
        <w:t>988/95</w:t>
      </w:r>
      <w:r w:rsidR="6CA9A1DD" w:rsidRPr="001357D3">
        <w:rPr>
          <w:rStyle w:val="Odwoanieprzypisudolnego"/>
          <w:noProof/>
        </w:rPr>
        <w:footnoteReference w:id="50"/>
      </w:r>
      <w:r w:rsidR="6CA9A1DD" w:rsidRPr="001357D3">
        <w:rPr>
          <w:noProof/>
        </w:rPr>
        <w:t xml:space="preserve">, rozporządzeniem Rady (WE, Euratom) </w:t>
      </w:r>
      <w:r w:rsidR="6CA9A1DD" w:rsidRPr="001C6403">
        <w:rPr>
          <w:noProof/>
        </w:rPr>
        <w:t>nr</w:t>
      </w:r>
      <w:r w:rsidR="001C6403" w:rsidRPr="001C6403">
        <w:rPr>
          <w:noProof/>
        </w:rPr>
        <w:t> </w:t>
      </w:r>
      <w:r w:rsidR="6CA9A1DD" w:rsidRPr="001C6403">
        <w:rPr>
          <w:noProof/>
        </w:rPr>
        <w:t>2</w:t>
      </w:r>
      <w:r w:rsidR="6CA9A1DD" w:rsidRPr="001357D3">
        <w:rPr>
          <w:noProof/>
        </w:rPr>
        <w:t>185/96</w:t>
      </w:r>
      <w:r w:rsidR="6CA9A1DD" w:rsidRPr="001357D3">
        <w:rPr>
          <w:rStyle w:val="Odwoanieprzypisudolnego"/>
          <w:noProof/>
        </w:rPr>
        <w:footnoteReference w:id="51"/>
      </w:r>
      <w:r w:rsidR="6CA9A1DD" w:rsidRPr="001357D3">
        <w:rPr>
          <w:noProof/>
        </w:rPr>
        <w:t xml:space="preserve"> oraz rozporządzeniem Rady (UE) 2017/1939</w:t>
      </w:r>
      <w:r w:rsidR="6CA9A1DD" w:rsidRPr="001357D3">
        <w:rPr>
          <w:rStyle w:val="Odwoanieprzypisudolnego"/>
          <w:noProof/>
        </w:rPr>
        <w:footnoteReference w:id="52"/>
      </w:r>
      <w:r w:rsidR="6CA9A1DD" w:rsidRPr="001357D3">
        <w:rPr>
          <w:noProof/>
        </w:rPr>
        <w:t xml:space="preserve"> interesy finansowe Unii należy chronić za pomocą proporcjonalnych środków,</w:t>
      </w:r>
      <w:r w:rsidR="001C6403" w:rsidRPr="001357D3">
        <w:rPr>
          <w:noProof/>
        </w:rPr>
        <w:t xml:space="preserve"> w</w:t>
      </w:r>
      <w:r w:rsidR="001C6403">
        <w:rPr>
          <w:noProof/>
        </w:rPr>
        <w:t> </w:t>
      </w:r>
      <w:r w:rsidR="001C6403" w:rsidRPr="001357D3">
        <w:rPr>
          <w:noProof/>
        </w:rPr>
        <w:t>tym</w:t>
      </w:r>
      <w:r w:rsidR="6CA9A1DD" w:rsidRPr="001357D3">
        <w:rPr>
          <w:noProof/>
        </w:rPr>
        <w:t xml:space="preserve"> środków</w:t>
      </w:r>
      <w:r w:rsidR="001C6403" w:rsidRPr="001357D3">
        <w:rPr>
          <w:noProof/>
        </w:rPr>
        <w:t xml:space="preserve"> w</w:t>
      </w:r>
      <w:r w:rsidR="001C6403">
        <w:rPr>
          <w:noProof/>
        </w:rPr>
        <w:t> </w:t>
      </w:r>
      <w:r w:rsidR="001C6403" w:rsidRPr="001357D3">
        <w:rPr>
          <w:noProof/>
        </w:rPr>
        <w:t>zak</w:t>
      </w:r>
      <w:r w:rsidR="6CA9A1DD" w:rsidRPr="001357D3">
        <w:rPr>
          <w:noProof/>
        </w:rPr>
        <w:t xml:space="preserve">resie zapobiegania </w:t>
      </w:r>
      <w:r w:rsidR="6CA9A1DD" w:rsidRPr="001357D3">
        <w:rPr>
          <w:noProof/>
        </w:rPr>
        <w:lastRenderedPageBreak/>
        <w:t>nieprawidłowościom</w:t>
      </w:r>
      <w:r w:rsidR="001C6403" w:rsidRPr="001357D3">
        <w:rPr>
          <w:noProof/>
        </w:rPr>
        <w:t xml:space="preserve"> i</w:t>
      </w:r>
      <w:r w:rsidR="001C6403">
        <w:rPr>
          <w:noProof/>
        </w:rPr>
        <w:t> </w:t>
      </w:r>
      <w:r w:rsidR="001C6403" w:rsidRPr="001357D3">
        <w:rPr>
          <w:noProof/>
        </w:rPr>
        <w:t>nad</w:t>
      </w:r>
      <w:r w:rsidR="6CA9A1DD" w:rsidRPr="001357D3">
        <w:rPr>
          <w:noProof/>
        </w:rPr>
        <w:t>użyciom finansowym, ich wykrywania, korygowania</w:t>
      </w:r>
      <w:r w:rsidR="001C6403" w:rsidRPr="001357D3">
        <w:rPr>
          <w:noProof/>
        </w:rPr>
        <w:t xml:space="preserve"> i</w:t>
      </w:r>
      <w:r w:rsidR="001C6403">
        <w:rPr>
          <w:noProof/>
        </w:rPr>
        <w:t> </w:t>
      </w:r>
      <w:r w:rsidR="001C6403" w:rsidRPr="001357D3">
        <w:rPr>
          <w:noProof/>
        </w:rPr>
        <w:t>pro</w:t>
      </w:r>
      <w:r w:rsidR="6CA9A1DD" w:rsidRPr="001357D3">
        <w:rPr>
          <w:noProof/>
        </w:rPr>
        <w:t>wadzenia</w:t>
      </w:r>
      <w:r w:rsidR="001C6403" w:rsidRPr="001357D3">
        <w:rPr>
          <w:noProof/>
        </w:rPr>
        <w:t xml:space="preserve"> w</w:t>
      </w:r>
      <w:r w:rsidR="001C6403">
        <w:rPr>
          <w:noProof/>
        </w:rPr>
        <w:t> </w:t>
      </w:r>
      <w:r w:rsidR="001C6403" w:rsidRPr="001357D3">
        <w:rPr>
          <w:noProof/>
        </w:rPr>
        <w:t>ich</w:t>
      </w:r>
      <w:r w:rsidR="6CA9A1DD" w:rsidRPr="001357D3">
        <w:rPr>
          <w:noProof/>
        </w:rPr>
        <w:t xml:space="preserve"> sprawie postępowań, odzyskiwania środków utraconych, nienależnie wypłaconych lub nieodpowiednio wykorzystanych oraz,</w:t>
      </w:r>
      <w:r w:rsidR="001C6403" w:rsidRPr="001357D3">
        <w:rPr>
          <w:noProof/>
        </w:rPr>
        <w:t xml:space="preserve"> w</w:t>
      </w:r>
      <w:r w:rsidR="001C6403">
        <w:rPr>
          <w:noProof/>
        </w:rPr>
        <w:t> </w:t>
      </w:r>
      <w:r w:rsidR="001C6403" w:rsidRPr="001357D3">
        <w:rPr>
          <w:noProof/>
        </w:rPr>
        <w:t>sto</w:t>
      </w:r>
      <w:r w:rsidR="6CA9A1DD" w:rsidRPr="001357D3">
        <w:rPr>
          <w:noProof/>
        </w:rPr>
        <w:t>sownych przypadkach, nakładania kar administracyjnych</w:t>
      </w:r>
      <w:r w:rsidR="001C6403" w:rsidRPr="001357D3">
        <w:rPr>
          <w:noProof/>
        </w:rPr>
        <w:t>. W</w:t>
      </w:r>
      <w:r w:rsidR="001C6403">
        <w:rPr>
          <w:noProof/>
        </w:rPr>
        <w:t> </w:t>
      </w:r>
      <w:r w:rsidR="001C6403" w:rsidRPr="001357D3">
        <w:rPr>
          <w:noProof/>
        </w:rPr>
        <w:t>szc</w:t>
      </w:r>
      <w:r w:rsidR="6CA9A1DD" w:rsidRPr="001357D3">
        <w:rPr>
          <w:noProof/>
        </w:rPr>
        <w:t>zególności, zgodnie</w:t>
      </w:r>
      <w:r w:rsidR="001C6403" w:rsidRPr="001357D3">
        <w:rPr>
          <w:noProof/>
        </w:rPr>
        <w:t xml:space="preserve"> z</w:t>
      </w:r>
      <w:r w:rsidR="001C6403">
        <w:rPr>
          <w:noProof/>
        </w:rPr>
        <w:t> </w:t>
      </w:r>
      <w:r w:rsidR="001C6403" w:rsidRPr="001357D3">
        <w:rPr>
          <w:noProof/>
        </w:rPr>
        <w:t>roz</w:t>
      </w:r>
      <w:r w:rsidR="6CA9A1DD" w:rsidRPr="001357D3">
        <w:rPr>
          <w:noProof/>
        </w:rPr>
        <w:t xml:space="preserve">porządzeniem (UE, Euratom) </w:t>
      </w:r>
      <w:r w:rsidR="6CA9A1DD" w:rsidRPr="001C6403">
        <w:rPr>
          <w:noProof/>
        </w:rPr>
        <w:t>nr</w:t>
      </w:r>
      <w:r w:rsidR="001C6403" w:rsidRPr="001C6403">
        <w:rPr>
          <w:noProof/>
        </w:rPr>
        <w:t> </w:t>
      </w:r>
      <w:r w:rsidR="6CA9A1DD" w:rsidRPr="001C6403">
        <w:rPr>
          <w:noProof/>
        </w:rPr>
        <w:t>8</w:t>
      </w:r>
      <w:r w:rsidR="6CA9A1DD" w:rsidRPr="001357D3">
        <w:rPr>
          <w:noProof/>
        </w:rPr>
        <w:t>83/2013</w:t>
      </w:r>
      <w:r w:rsidR="001C6403" w:rsidRPr="001357D3">
        <w:rPr>
          <w:noProof/>
        </w:rPr>
        <w:t xml:space="preserve"> i</w:t>
      </w:r>
      <w:r w:rsidR="001C6403">
        <w:rPr>
          <w:noProof/>
        </w:rPr>
        <w:t> </w:t>
      </w:r>
      <w:r w:rsidR="001C6403" w:rsidRPr="001357D3">
        <w:rPr>
          <w:noProof/>
        </w:rPr>
        <w:t>roz</w:t>
      </w:r>
      <w:r w:rsidR="6CA9A1DD" w:rsidRPr="001357D3">
        <w:rPr>
          <w:noProof/>
        </w:rPr>
        <w:t xml:space="preserve">porządzeniem (Euratom, WE) </w:t>
      </w:r>
      <w:r w:rsidR="6CA9A1DD" w:rsidRPr="001C6403">
        <w:rPr>
          <w:noProof/>
        </w:rPr>
        <w:t>nr</w:t>
      </w:r>
      <w:r w:rsidR="001C6403" w:rsidRPr="001C6403">
        <w:rPr>
          <w:noProof/>
        </w:rPr>
        <w:t> </w:t>
      </w:r>
      <w:r w:rsidR="6CA9A1DD" w:rsidRPr="001C6403">
        <w:rPr>
          <w:noProof/>
        </w:rPr>
        <w:t>2</w:t>
      </w:r>
      <w:r w:rsidR="6CA9A1DD" w:rsidRPr="001357D3">
        <w:rPr>
          <w:noProof/>
        </w:rPr>
        <w:t>185/96 Europejski Urząd ds. Zwalczania Nadużyć Finansowych (OLAF) może prowadzić dochodzenia,</w:t>
      </w:r>
      <w:r w:rsidR="001C6403" w:rsidRPr="001357D3">
        <w:rPr>
          <w:noProof/>
        </w:rPr>
        <w:t xml:space="preserve"> w</w:t>
      </w:r>
      <w:r w:rsidR="001C6403">
        <w:rPr>
          <w:noProof/>
        </w:rPr>
        <w:t> </w:t>
      </w:r>
      <w:r w:rsidR="001C6403" w:rsidRPr="001357D3">
        <w:rPr>
          <w:noProof/>
        </w:rPr>
        <w:t>tym</w:t>
      </w:r>
      <w:r w:rsidR="6CA9A1DD" w:rsidRPr="001357D3">
        <w:rPr>
          <w:noProof/>
        </w:rPr>
        <w:t xml:space="preserve"> kontrole na miejscu</w:t>
      </w:r>
      <w:r w:rsidR="001C6403" w:rsidRPr="001357D3">
        <w:rPr>
          <w:noProof/>
        </w:rPr>
        <w:t xml:space="preserve"> i</w:t>
      </w:r>
      <w:r w:rsidR="001C6403">
        <w:rPr>
          <w:noProof/>
        </w:rPr>
        <w:t> </w:t>
      </w:r>
      <w:r w:rsidR="001C6403" w:rsidRPr="001357D3">
        <w:rPr>
          <w:noProof/>
        </w:rPr>
        <w:t>ins</w:t>
      </w:r>
      <w:r w:rsidR="6CA9A1DD" w:rsidRPr="001357D3">
        <w:rPr>
          <w:noProof/>
        </w:rPr>
        <w:t>pekcje,</w:t>
      </w:r>
      <w:r w:rsidR="001C6403" w:rsidRPr="001357D3">
        <w:rPr>
          <w:noProof/>
        </w:rPr>
        <w:t xml:space="preserve"> w</w:t>
      </w:r>
      <w:r w:rsidR="001C6403">
        <w:rPr>
          <w:noProof/>
        </w:rPr>
        <w:t> </w:t>
      </w:r>
      <w:r w:rsidR="001C6403" w:rsidRPr="001357D3">
        <w:rPr>
          <w:noProof/>
        </w:rPr>
        <w:t>cel</w:t>
      </w:r>
      <w:r w:rsidR="6CA9A1DD" w:rsidRPr="001357D3">
        <w:rPr>
          <w:noProof/>
        </w:rPr>
        <w:t>u ustalenia, czy doszło do nadużycia finansowego, korupcji lub jakiegokolwiek innego nielegalnego działania, naruszającego interesy finansowe Unii. Zgodnie</w:t>
      </w:r>
      <w:r w:rsidR="001C6403" w:rsidRPr="001357D3">
        <w:rPr>
          <w:noProof/>
        </w:rPr>
        <w:t xml:space="preserve"> z</w:t>
      </w:r>
      <w:r w:rsidR="001C6403">
        <w:rPr>
          <w:noProof/>
        </w:rPr>
        <w:t> </w:t>
      </w:r>
      <w:r w:rsidR="001C6403" w:rsidRPr="001357D3">
        <w:rPr>
          <w:noProof/>
        </w:rPr>
        <w:t>roz</w:t>
      </w:r>
      <w:r w:rsidR="6CA9A1DD" w:rsidRPr="001357D3">
        <w:rPr>
          <w:noProof/>
        </w:rPr>
        <w:t>porządzeniem (UE) 2017/1939 Prokuratura Europejska (EPPO) może prowadzić dochodzenia</w:t>
      </w:r>
      <w:r w:rsidR="001C6403" w:rsidRPr="001357D3">
        <w:rPr>
          <w:noProof/>
        </w:rPr>
        <w:t xml:space="preserve"> i</w:t>
      </w:r>
      <w:r w:rsidR="001C6403">
        <w:rPr>
          <w:noProof/>
        </w:rPr>
        <w:t> </w:t>
      </w:r>
      <w:r w:rsidR="001C6403" w:rsidRPr="001357D3">
        <w:rPr>
          <w:noProof/>
        </w:rPr>
        <w:t>ści</w:t>
      </w:r>
      <w:r w:rsidR="6CA9A1DD" w:rsidRPr="001357D3">
        <w:rPr>
          <w:noProof/>
        </w:rPr>
        <w:t>gać nadużycia finansowe oraz inne nielegalne działania, naruszające interesy finansowe Unii, jak przewidziano</w:t>
      </w:r>
      <w:r w:rsidR="001C6403" w:rsidRPr="001357D3">
        <w:rPr>
          <w:noProof/>
        </w:rPr>
        <w:t xml:space="preserve"> w</w:t>
      </w:r>
      <w:r w:rsidR="001C6403">
        <w:rPr>
          <w:noProof/>
        </w:rPr>
        <w:t> </w:t>
      </w:r>
      <w:r w:rsidR="001C6403" w:rsidRPr="001357D3">
        <w:rPr>
          <w:noProof/>
        </w:rPr>
        <w:t>dyr</w:t>
      </w:r>
      <w:r w:rsidR="6CA9A1DD" w:rsidRPr="001357D3">
        <w:rPr>
          <w:noProof/>
        </w:rPr>
        <w:t>ektywie Parlamentu Europejskiego</w:t>
      </w:r>
      <w:r w:rsidR="001C6403" w:rsidRPr="001357D3">
        <w:rPr>
          <w:noProof/>
        </w:rPr>
        <w:t xml:space="preserve"> i</w:t>
      </w:r>
      <w:r w:rsidR="001C6403">
        <w:rPr>
          <w:noProof/>
        </w:rPr>
        <w:t> </w:t>
      </w:r>
      <w:r w:rsidR="001C6403" w:rsidRPr="001357D3">
        <w:rPr>
          <w:noProof/>
        </w:rPr>
        <w:t>Rad</w:t>
      </w:r>
      <w:r w:rsidR="6CA9A1DD" w:rsidRPr="001357D3">
        <w:rPr>
          <w:noProof/>
        </w:rPr>
        <w:t>y (UE) 2017/1371</w:t>
      </w:r>
      <w:r w:rsidR="6CA9A1DD" w:rsidRPr="001357D3">
        <w:rPr>
          <w:rStyle w:val="Odwoanieprzypisudolnego"/>
          <w:noProof/>
        </w:rPr>
        <w:footnoteReference w:id="53"/>
      </w:r>
      <w:r w:rsidR="6CA9A1DD" w:rsidRPr="001357D3">
        <w:rPr>
          <w:noProof/>
        </w:rPr>
        <w:t>.</w:t>
      </w:r>
      <w:r w:rsidR="6CA9A1DD" w:rsidRPr="001357D3">
        <w:rPr>
          <w:rStyle w:val="Odwoanieprzypisudolnego"/>
          <w:noProof/>
        </w:rPr>
        <w:t xml:space="preserve"> </w:t>
      </w:r>
      <w:r w:rsidR="6CA9A1DD" w:rsidRPr="001357D3">
        <w:rPr>
          <w:noProof/>
        </w:rPr>
        <w:t>Zgodnie</w:t>
      </w:r>
      <w:r w:rsidR="001C6403" w:rsidRPr="001357D3">
        <w:rPr>
          <w:noProof/>
        </w:rPr>
        <w:t xml:space="preserve"> z</w:t>
      </w:r>
      <w:r w:rsidR="001C6403">
        <w:rPr>
          <w:noProof/>
        </w:rPr>
        <w:t> </w:t>
      </w:r>
      <w:r w:rsidR="001C6403" w:rsidRPr="001357D3">
        <w:rPr>
          <w:noProof/>
        </w:rPr>
        <w:t>roz</w:t>
      </w:r>
      <w:r w:rsidR="6CA9A1DD" w:rsidRPr="001357D3">
        <w:rPr>
          <w:noProof/>
        </w:rPr>
        <w:t>porządzeniem (UE, Euratom) 2024/2509 każda osoba lub podmiot, które otrzymują środki finansowe Unii, są zobowiązane</w:t>
      </w:r>
      <w:r w:rsidR="001C6403" w:rsidRPr="001357D3">
        <w:rPr>
          <w:noProof/>
        </w:rPr>
        <w:t xml:space="preserve"> w</w:t>
      </w:r>
      <w:r w:rsidR="001C6403">
        <w:rPr>
          <w:noProof/>
        </w:rPr>
        <w:t> </w:t>
      </w:r>
      <w:r w:rsidR="001C6403" w:rsidRPr="001357D3">
        <w:rPr>
          <w:noProof/>
        </w:rPr>
        <w:t>peł</w:t>
      </w:r>
      <w:r w:rsidR="6CA9A1DD" w:rsidRPr="001357D3">
        <w:rPr>
          <w:noProof/>
        </w:rPr>
        <w:t>ni współpracować</w:t>
      </w:r>
      <w:r w:rsidR="001C6403" w:rsidRPr="001357D3">
        <w:rPr>
          <w:noProof/>
        </w:rPr>
        <w:t xml:space="preserve"> w</w:t>
      </w:r>
      <w:r w:rsidR="001C6403">
        <w:rPr>
          <w:noProof/>
        </w:rPr>
        <w:t> </w:t>
      </w:r>
      <w:r w:rsidR="001C6403" w:rsidRPr="001357D3">
        <w:rPr>
          <w:noProof/>
        </w:rPr>
        <w:t>cel</w:t>
      </w:r>
      <w:r w:rsidR="6CA9A1DD" w:rsidRPr="001357D3">
        <w:rPr>
          <w:noProof/>
        </w:rPr>
        <w:t>u ochrony interesów finansowych Unii, przyznać Komisji, OLAF-owi, EPPO</w:t>
      </w:r>
      <w:r w:rsidR="001C6403" w:rsidRPr="001357D3">
        <w:rPr>
          <w:noProof/>
        </w:rPr>
        <w:t xml:space="preserve"> i</w:t>
      </w:r>
      <w:r w:rsidR="001C6403">
        <w:rPr>
          <w:noProof/>
        </w:rPr>
        <w:t> </w:t>
      </w:r>
      <w:r w:rsidR="001C6403" w:rsidRPr="001357D3">
        <w:rPr>
          <w:noProof/>
        </w:rPr>
        <w:t>Try</w:t>
      </w:r>
      <w:r w:rsidR="6CA9A1DD" w:rsidRPr="001357D3">
        <w:rPr>
          <w:noProof/>
        </w:rPr>
        <w:t>bunałowi Obrachunkowemu niezbędne prawa</w:t>
      </w:r>
      <w:r w:rsidR="001C6403" w:rsidRPr="001357D3">
        <w:rPr>
          <w:noProof/>
        </w:rPr>
        <w:t xml:space="preserve"> i</w:t>
      </w:r>
      <w:r w:rsidR="001C6403">
        <w:rPr>
          <w:noProof/>
        </w:rPr>
        <w:t> </w:t>
      </w:r>
      <w:r w:rsidR="001C6403" w:rsidRPr="001357D3">
        <w:rPr>
          <w:noProof/>
        </w:rPr>
        <w:t>dos</w:t>
      </w:r>
      <w:r w:rsidR="6CA9A1DD" w:rsidRPr="001357D3">
        <w:rPr>
          <w:noProof/>
        </w:rPr>
        <w:t>tęp,</w:t>
      </w:r>
      <w:r w:rsidR="001C6403" w:rsidRPr="001357D3">
        <w:rPr>
          <w:noProof/>
        </w:rPr>
        <w:t xml:space="preserve"> a</w:t>
      </w:r>
      <w:r w:rsidR="001C6403">
        <w:rPr>
          <w:noProof/>
        </w:rPr>
        <w:t> </w:t>
      </w:r>
      <w:r w:rsidR="001C6403" w:rsidRPr="001357D3">
        <w:rPr>
          <w:noProof/>
        </w:rPr>
        <w:t>tak</w:t>
      </w:r>
      <w:r w:rsidR="6CA9A1DD" w:rsidRPr="001357D3">
        <w:rPr>
          <w:noProof/>
        </w:rPr>
        <w:t>że zapewnić, aby wszelkie osoby trzecie uczestniczące</w:t>
      </w:r>
      <w:r w:rsidR="001C6403" w:rsidRPr="001357D3">
        <w:rPr>
          <w:noProof/>
        </w:rPr>
        <w:t xml:space="preserve"> w</w:t>
      </w:r>
      <w:r w:rsidR="001C6403">
        <w:rPr>
          <w:noProof/>
        </w:rPr>
        <w:t> </w:t>
      </w:r>
      <w:r w:rsidR="001C6403" w:rsidRPr="001357D3">
        <w:rPr>
          <w:noProof/>
        </w:rPr>
        <w:t>wyk</w:t>
      </w:r>
      <w:r w:rsidR="6CA9A1DD" w:rsidRPr="001357D3">
        <w:rPr>
          <w:noProof/>
        </w:rPr>
        <w:t>onywaniu środków finansowych Unii przyznały tym organom równoważne prawa.</w:t>
      </w:r>
    </w:p>
    <w:bookmarkEnd w:id="33"/>
    <w:p w14:paraId="3BB5D2CE" w14:textId="70B812EF" w:rsidR="00A7161E" w:rsidRPr="001357D3" w:rsidRDefault="000D4BE4" w:rsidP="000D4BE4">
      <w:pPr>
        <w:pStyle w:val="ManualConsidrant"/>
        <w:rPr>
          <w:noProof/>
        </w:rPr>
      </w:pPr>
      <w:r w:rsidRPr="000D4BE4">
        <w:rPr>
          <w:noProof/>
        </w:rPr>
        <w:t>(7)</w:t>
      </w:r>
      <w:r w:rsidRPr="000D4BE4">
        <w:rPr>
          <w:noProof/>
        </w:rPr>
        <w:tab/>
      </w:r>
      <w:r w:rsidR="71E2325E" w:rsidRPr="001357D3">
        <w:rPr>
          <w:noProof/>
        </w:rPr>
        <w:t>Program ma być realizowany zgodnie</w:t>
      </w:r>
      <w:r w:rsidR="001C6403" w:rsidRPr="001357D3">
        <w:rPr>
          <w:noProof/>
        </w:rPr>
        <w:t xml:space="preserve"> z</w:t>
      </w:r>
      <w:r w:rsidR="001C6403">
        <w:rPr>
          <w:noProof/>
        </w:rPr>
        <w:t> </w:t>
      </w:r>
      <w:r w:rsidR="001C6403" w:rsidRPr="001357D3">
        <w:rPr>
          <w:noProof/>
        </w:rPr>
        <w:t>roz</w:t>
      </w:r>
      <w:r w:rsidR="71E2325E" w:rsidRPr="001357D3">
        <w:rPr>
          <w:noProof/>
        </w:rPr>
        <w:t>porządzeniem Parlamentu Europejskiego</w:t>
      </w:r>
      <w:r w:rsidR="001C6403" w:rsidRPr="001357D3">
        <w:rPr>
          <w:noProof/>
        </w:rPr>
        <w:t xml:space="preserve"> i</w:t>
      </w:r>
      <w:r w:rsidR="001C6403">
        <w:rPr>
          <w:noProof/>
        </w:rPr>
        <w:t> </w:t>
      </w:r>
      <w:r w:rsidR="001C6403" w:rsidRPr="001357D3">
        <w:rPr>
          <w:noProof/>
        </w:rPr>
        <w:t>Rad</w:t>
      </w:r>
      <w:r w:rsidR="71E2325E" w:rsidRPr="001357D3">
        <w:rPr>
          <w:noProof/>
        </w:rPr>
        <w:t>y (UE) XXX [rozporządzenie</w:t>
      </w:r>
      <w:r w:rsidR="001C6403" w:rsidRPr="001357D3">
        <w:rPr>
          <w:noProof/>
        </w:rPr>
        <w:t xml:space="preserve"> w</w:t>
      </w:r>
      <w:r w:rsidR="001C6403">
        <w:rPr>
          <w:noProof/>
        </w:rPr>
        <w:t> </w:t>
      </w:r>
      <w:r w:rsidR="001C6403" w:rsidRPr="001357D3">
        <w:rPr>
          <w:noProof/>
        </w:rPr>
        <w:t>spr</w:t>
      </w:r>
      <w:r w:rsidR="71E2325E" w:rsidRPr="001357D3">
        <w:rPr>
          <w:noProof/>
        </w:rPr>
        <w:t>awie wykonania]</w:t>
      </w:r>
      <w:r w:rsidR="71E2325E" w:rsidRPr="001357D3">
        <w:rPr>
          <w:rStyle w:val="Odwoanieprzypisudolnego"/>
          <w:noProof/>
        </w:rPr>
        <w:footnoteReference w:id="54"/>
      </w:r>
      <w:r w:rsidR="71E2325E" w:rsidRPr="001357D3">
        <w:rPr>
          <w:noProof/>
        </w:rPr>
        <w:t>, które ustanawia przepisy dotyczące monitorowania wydatków</w:t>
      </w:r>
      <w:r w:rsidR="001C6403" w:rsidRPr="001357D3">
        <w:rPr>
          <w:noProof/>
        </w:rPr>
        <w:t xml:space="preserve"> i</w:t>
      </w:r>
      <w:r w:rsidR="001C6403">
        <w:rPr>
          <w:noProof/>
        </w:rPr>
        <w:t> </w:t>
      </w:r>
      <w:r w:rsidR="001C6403" w:rsidRPr="001357D3">
        <w:rPr>
          <w:noProof/>
        </w:rPr>
        <w:t>ram</w:t>
      </w:r>
      <w:r w:rsidR="71E2325E" w:rsidRPr="001357D3">
        <w:rPr>
          <w:noProof/>
        </w:rPr>
        <w:t xml:space="preserve"> wykonania budżetu,</w:t>
      </w:r>
      <w:r w:rsidR="001C6403" w:rsidRPr="001357D3">
        <w:rPr>
          <w:noProof/>
        </w:rPr>
        <w:t xml:space="preserve"> w</w:t>
      </w:r>
      <w:r w:rsidR="001C6403">
        <w:rPr>
          <w:noProof/>
        </w:rPr>
        <w:t> </w:t>
      </w:r>
      <w:r w:rsidR="001C6403" w:rsidRPr="001357D3">
        <w:rPr>
          <w:noProof/>
        </w:rPr>
        <w:t>tym</w:t>
      </w:r>
      <w:r w:rsidR="71E2325E" w:rsidRPr="001357D3">
        <w:rPr>
          <w:noProof/>
        </w:rPr>
        <w:t xml:space="preserve"> przepisy zapewniające jednolite stosowanie zasady „nie czyń poważnych szkód”</w:t>
      </w:r>
      <w:r w:rsidR="001C6403" w:rsidRPr="001357D3">
        <w:rPr>
          <w:noProof/>
        </w:rPr>
        <w:t xml:space="preserve"> i</w:t>
      </w:r>
      <w:r w:rsidR="001C6403">
        <w:rPr>
          <w:noProof/>
        </w:rPr>
        <w:t> </w:t>
      </w:r>
      <w:r w:rsidR="001C6403" w:rsidRPr="001357D3">
        <w:rPr>
          <w:noProof/>
        </w:rPr>
        <w:t>zas</w:t>
      </w:r>
      <w:r w:rsidR="71E2325E" w:rsidRPr="001357D3">
        <w:rPr>
          <w:noProof/>
        </w:rPr>
        <w:t>ady równości płci,</w:t>
      </w:r>
      <w:r w:rsidR="001C6403" w:rsidRPr="001357D3">
        <w:rPr>
          <w:noProof/>
        </w:rPr>
        <w:t xml:space="preserve"> o</w:t>
      </w:r>
      <w:r w:rsidR="001C6403">
        <w:rPr>
          <w:noProof/>
        </w:rPr>
        <w:t> </w:t>
      </w:r>
      <w:r w:rsidR="001C6403" w:rsidRPr="001357D3">
        <w:rPr>
          <w:noProof/>
        </w:rPr>
        <w:t>któ</w:t>
      </w:r>
      <w:r w:rsidR="71E2325E" w:rsidRPr="001357D3">
        <w:rPr>
          <w:noProof/>
        </w:rPr>
        <w:t>rych mowa odpowiednio</w:t>
      </w:r>
      <w:r w:rsidR="001C6403" w:rsidRPr="001357D3">
        <w:rPr>
          <w:noProof/>
        </w:rPr>
        <w:t xml:space="preserve"> w</w:t>
      </w:r>
      <w:r w:rsidR="001C6403">
        <w:rPr>
          <w:noProof/>
        </w:rPr>
        <w:t> </w:t>
      </w:r>
      <w:r w:rsidR="001C6403" w:rsidRPr="001C6403">
        <w:rPr>
          <w:noProof/>
        </w:rPr>
        <w:t>art</w:t>
      </w:r>
      <w:r w:rsidR="71E2325E" w:rsidRPr="001C6403">
        <w:rPr>
          <w:noProof/>
        </w:rPr>
        <w:t>.</w:t>
      </w:r>
      <w:r w:rsidR="001C6403" w:rsidRPr="001C6403">
        <w:rPr>
          <w:noProof/>
        </w:rPr>
        <w:t> </w:t>
      </w:r>
      <w:r w:rsidR="71E2325E" w:rsidRPr="001C6403">
        <w:rPr>
          <w:noProof/>
        </w:rPr>
        <w:t>3</w:t>
      </w:r>
      <w:r w:rsidR="71E2325E" w:rsidRPr="001357D3">
        <w:rPr>
          <w:noProof/>
        </w:rPr>
        <w:t xml:space="preserve">3 </w:t>
      </w:r>
      <w:r w:rsidR="71E2325E" w:rsidRPr="001C6403">
        <w:rPr>
          <w:noProof/>
        </w:rPr>
        <w:t>ust.</w:t>
      </w:r>
      <w:r w:rsidR="001C6403" w:rsidRPr="001C6403">
        <w:rPr>
          <w:noProof/>
        </w:rPr>
        <w:t> </w:t>
      </w:r>
      <w:r w:rsidR="71E2325E" w:rsidRPr="001C6403">
        <w:rPr>
          <w:noProof/>
        </w:rPr>
        <w:t>2</w:t>
      </w:r>
      <w:r w:rsidR="71E2325E" w:rsidRPr="001357D3">
        <w:rPr>
          <w:noProof/>
        </w:rPr>
        <w:t xml:space="preserve"> </w:t>
      </w:r>
      <w:r w:rsidR="71E2325E" w:rsidRPr="001C6403">
        <w:rPr>
          <w:noProof/>
        </w:rPr>
        <w:t>lit.</w:t>
      </w:r>
      <w:r w:rsidR="001C6403" w:rsidRPr="001C6403">
        <w:rPr>
          <w:noProof/>
        </w:rPr>
        <w:t> </w:t>
      </w:r>
      <w:r w:rsidR="71E2325E" w:rsidRPr="001C6403">
        <w:rPr>
          <w:noProof/>
        </w:rPr>
        <w:t>d)</w:t>
      </w:r>
      <w:r w:rsidR="71E2325E" w:rsidRPr="001357D3">
        <w:rPr>
          <w:noProof/>
        </w:rPr>
        <w:t xml:space="preserve"> i f) rozporządzenia (UE, Euratom) 2024/2509, przepisy dotyczące monitorowania</w:t>
      </w:r>
      <w:r w:rsidR="001C6403" w:rsidRPr="001357D3">
        <w:rPr>
          <w:noProof/>
        </w:rPr>
        <w:t xml:space="preserve"> i</w:t>
      </w:r>
      <w:r w:rsidR="001C6403">
        <w:rPr>
          <w:noProof/>
        </w:rPr>
        <w:t> </w:t>
      </w:r>
      <w:r w:rsidR="001C6403" w:rsidRPr="001357D3">
        <w:rPr>
          <w:noProof/>
        </w:rPr>
        <w:t>spr</w:t>
      </w:r>
      <w:r w:rsidR="71E2325E" w:rsidRPr="001357D3">
        <w:rPr>
          <w:noProof/>
        </w:rPr>
        <w:t>awozdawczości</w:t>
      </w:r>
      <w:r w:rsidR="001C6403" w:rsidRPr="001357D3">
        <w:rPr>
          <w:noProof/>
        </w:rPr>
        <w:t xml:space="preserve"> w</w:t>
      </w:r>
      <w:r w:rsidR="001C6403">
        <w:rPr>
          <w:noProof/>
        </w:rPr>
        <w:t> </w:t>
      </w:r>
      <w:r w:rsidR="001C6403" w:rsidRPr="001357D3">
        <w:rPr>
          <w:noProof/>
        </w:rPr>
        <w:t>zak</w:t>
      </w:r>
      <w:r w:rsidR="71E2325E" w:rsidRPr="001357D3">
        <w:rPr>
          <w:noProof/>
        </w:rPr>
        <w:t>resie wykonania programów</w:t>
      </w:r>
      <w:r w:rsidR="001C6403" w:rsidRPr="001357D3">
        <w:rPr>
          <w:noProof/>
        </w:rPr>
        <w:t xml:space="preserve"> i</w:t>
      </w:r>
      <w:r w:rsidR="001C6403">
        <w:rPr>
          <w:noProof/>
        </w:rPr>
        <w:t> </w:t>
      </w:r>
      <w:r w:rsidR="001C6403" w:rsidRPr="001357D3">
        <w:rPr>
          <w:noProof/>
        </w:rPr>
        <w:t>dzi</w:t>
      </w:r>
      <w:r w:rsidR="71E2325E" w:rsidRPr="001357D3">
        <w:rPr>
          <w:noProof/>
        </w:rPr>
        <w:t>ałań Unii, przepisy dotyczące utworzenia unijnego portalu finansowego, przepisy dotyczące oceny programów,</w:t>
      </w:r>
      <w:r w:rsidR="001C6403" w:rsidRPr="001357D3">
        <w:rPr>
          <w:noProof/>
        </w:rPr>
        <w:t xml:space="preserve"> a</w:t>
      </w:r>
      <w:r w:rsidR="001C6403">
        <w:rPr>
          <w:noProof/>
        </w:rPr>
        <w:t> </w:t>
      </w:r>
      <w:r w:rsidR="001C6403" w:rsidRPr="001357D3">
        <w:rPr>
          <w:noProof/>
        </w:rPr>
        <w:t>tak</w:t>
      </w:r>
      <w:r w:rsidR="71E2325E" w:rsidRPr="001357D3">
        <w:rPr>
          <w:noProof/>
        </w:rPr>
        <w:t>że inne przepisy horyzontalne mające zastosowanie do wszystkich programów unijnych, takie jak przepisy dotyczące informacji, komunikacji</w:t>
      </w:r>
      <w:r w:rsidR="001C6403" w:rsidRPr="001357D3">
        <w:rPr>
          <w:noProof/>
        </w:rPr>
        <w:t xml:space="preserve"> i</w:t>
      </w:r>
      <w:r w:rsidR="001C6403">
        <w:rPr>
          <w:noProof/>
        </w:rPr>
        <w:t> </w:t>
      </w:r>
      <w:r w:rsidR="001C6403" w:rsidRPr="001357D3">
        <w:rPr>
          <w:noProof/>
        </w:rPr>
        <w:t>wid</w:t>
      </w:r>
      <w:r w:rsidR="71E2325E" w:rsidRPr="001357D3">
        <w:rPr>
          <w:noProof/>
        </w:rPr>
        <w:t>oczności.</w:t>
      </w:r>
    </w:p>
    <w:p w14:paraId="5B0E9606" w14:textId="44259453" w:rsidR="46877359" w:rsidRPr="001357D3" w:rsidRDefault="000D4BE4" w:rsidP="000D4BE4">
      <w:pPr>
        <w:pStyle w:val="ManualConsidrant"/>
        <w:rPr>
          <w:rFonts w:eastAsia="Times New Roman"/>
          <w:noProof/>
        </w:rPr>
      </w:pPr>
      <w:bookmarkStart w:id="35" w:name="_Hlk205125495"/>
      <w:r w:rsidRPr="000D4BE4">
        <w:rPr>
          <w:noProof/>
        </w:rPr>
        <w:t>(8)</w:t>
      </w:r>
      <w:r w:rsidRPr="000D4BE4">
        <w:rPr>
          <w:noProof/>
        </w:rPr>
        <w:tab/>
      </w:r>
      <w:r w:rsidR="36321D3C" w:rsidRPr="001357D3">
        <w:rPr>
          <w:noProof/>
        </w:rPr>
        <w:t>Działania objęte Programem powinny wspierać zwiększanie poziomu wzajemnego uznawania</w:t>
      </w:r>
      <w:r w:rsidR="001C6403" w:rsidRPr="001357D3">
        <w:rPr>
          <w:noProof/>
        </w:rPr>
        <w:t xml:space="preserve"> i</w:t>
      </w:r>
      <w:r w:rsidR="001C6403">
        <w:rPr>
          <w:noProof/>
        </w:rPr>
        <w:t> </w:t>
      </w:r>
      <w:r w:rsidR="001C6403" w:rsidRPr="001357D3">
        <w:rPr>
          <w:noProof/>
        </w:rPr>
        <w:t>wyk</w:t>
      </w:r>
      <w:r w:rsidR="36321D3C" w:rsidRPr="001357D3">
        <w:rPr>
          <w:noProof/>
        </w:rPr>
        <w:t>onywania wyroków</w:t>
      </w:r>
      <w:r w:rsidR="001C6403" w:rsidRPr="001357D3">
        <w:rPr>
          <w:noProof/>
        </w:rPr>
        <w:t xml:space="preserve"> i</w:t>
      </w:r>
      <w:r w:rsidR="001C6403">
        <w:rPr>
          <w:noProof/>
        </w:rPr>
        <w:t> </w:t>
      </w:r>
      <w:r w:rsidR="001C6403" w:rsidRPr="001357D3">
        <w:rPr>
          <w:noProof/>
        </w:rPr>
        <w:t>orz</w:t>
      </w:r>
      <w:r w:rsidR="36321D3C" w:rsidRPr="001357D3">
        <w:rPr>
          <w:noProof/>
        </w:rPr>
        <w:t>eczeń sądowych</w:t>
      </w:r>
      <w:r w:rsidR="001C6403" w:rsidRPr="001357D3">
        <w:rPr>
          <w:noProof/>
        </w:rPr>
        <w:t xml:space="preserve"> w</w:t>
      </w:r>
      <w:r w:rsidR="001C6403">
        <w:rPr>
          <w:noProof/>
        </w:rPr>
        <w:t> </w:t>
      </w:r>
      <w:r w:rsidR="001C6403" w:rsidRPr="001357D3">
        <w:rPr>
          <w:noProof/>
        </w:rPr>
        <w:t>spr</w:t>
      </w:r>
      <w:r w:rsidR="36321D3C" w:rsidRPr="001357D3">
        <w:rPr>
          <w:noProof/>
        </w:rPr>
        <w:t>awach cywilnych</w:t>
      </w:r>
      <w:r w:rsidR="001C6403" w:rsidRPr="001357D3">
        <w:rPr>
          <w:noProof/>
        </w:rPr>
        <w:t xml:space="preserve"> i</w:t>
      </w:r>
      <w:r w:rsidR="001C6403">
        <w:rPr>
          <w:noProof/>
        </w:rPr>
        <w:t> </w:t>
      </w:r>
      <w:r w:rsidR="001C6403" w:rsidRPr="001357D3">
        <w:rPr>
          <w:noProof/>
        </w:rPr>
        <w:t>kar</w:t>
      </w:r>
      <w:r w:rsidR="36321D3C" w:rsidRPr="001357D3">
        <w:rPr>
          <w:noProof/>
        </w:rPr>
        <w:t>nych, wzajemne zaufanie między państwami członkowskimi oraz niezbędne zbliżanie ustawodawstwa</w:t>
      </w:r>
      <w:r w:rsidR="001C6403" w:rsidRPr="001357D3">
        <w:rPr>
          <w:noProof/>
        </w:rPr>
        <w:t xml:space="preserve"> w</w:t>
      </w:r>
      <w:r w:rsidR="001C6403">
        <w:rPr>
          <w:noProof/>
        </w:rPr>
        <w:t> </w:t>
      </w:r>
      <w:r w:rsidR="001C6403" w:rsidRPr="001357D3">
        <w:rPr>
          <w:noProof/>
        </w:rPr>
        <w:t>cel</w:t>
      </w:r>
      <w:r w:rsidR="36321D3C" w:rsidRPr="001357D3">
        <w:rPr>
          <w:noProof/>
        </w:rPr>
        <w:t>u ułatwienia współpracy wszystkich właściwych organów,</w:t>
      </w:r>
      <w:r w:rsidR="001C6403" w:rsidRPr="001357D3">
        <w:rPr>
          <w:noProof/>
        </w:rPr>
        <w:t xml:space="preserve"> w</w:t>
      </w:r>
      <w:r w:rsidR="001C6403">
        <w:rPr>
          <w:noProof/>
        </w:rPr>
        <w:t> </w:t>
      </w:r>
      <w:r w:rsidR="001C6403" w:rsidRPr="001357D3">
        <w:rPr>
          <w:noProof/>
        </w:rPr>
        <w:t>tym</w:t>
      </w:r>
      <w:r w:rsidR="36321D3C" w:rsidRPr="001357D3">
        <w:rPr>
          <w:noProof/>
        </w:rPr>
        <w:t xml:space="preserve"> drogą elektroniczną. Program powinien również posłużyć jako wsparcie dla utrzymania istniejących</w:t>
      </w:r>
      <w:r w:rsidR="001C6403" w:rsidRPr="001357D3">
        <w:rPr>
          <w:noProof/>
        </w:rPr>
        <w:t xml:space="preserve"> i</w:t>
      </w:r>
      <w:r w:rsidR="001C6403">
        <w:rPr>
          <w:noProof/>
        </w:rPr>
        <w:t> </w:t>
      </w:r>
      <w:r w:rsidR="001C6403" w:rsidRPr="001357D3">
        <w:rPr>
          <w:noProof/>
        </w:rPr>
        <w:t>two</w:t>
      </w:r>
      <w:r w:rsidR="36321D3C" w:rsidRPr="001357D3">
        <w:rPr>
          <w:noProof/>
        </w:rPr>
        <w:t>rzenia nowych narzędzi lub platform informatycznych – na potrzeby nowych instrumentów współpracy sądowej. Wykorzystując wzrost wydajności wynikający</w:t>
      </w:r>
      <w:r w:rsidR="001C6403" w:rsidRPr="001357D3">
        <w:rPr>
          <w:noProof/>
        </w:rPr>
        <w:t xml:space="preserve"> z</w:t>
      </w:r>
      <w:r w:rsidR="001C6403">
        <w:rPr>
          <w:noProof/>
        </w:rPr>
        <w:t> </w:t>
      </w:r>
      <w:r w:rsidR="001C6403" w:rsidRPr="001357D3">
        <w:rPr>
          <w:noProof/>
        </w:rPr>
        <w:t>cyf</w:t>
      </w:r>
      <w:r w:rsidR="36321D3C" w:rsidRPr="001357D3">
        <w:rPr>
          <w:noProof/>
        </w:rPr>
        <w:t>ryzacji wymiaru sprawiedliwości, należy zadbać</w:t>
      </w:r>
      <w:r w:rsidR="001C6403" w:rsidRPr="001357D3">
        <w:rPr>
          <w:noProof/>
        </w:rPr>
        <w:t xml:space="preserve"> o</w:t>
      </w:r>
      <w:r w:rsidR="001C6403">
        <w:rPr>
          <w:noProof/>
        </w:rPr>
        <w:t> </w:t>
      </w:r>
      <w:r w:rsidR="001C6403" w:rsidRPr="001357D3">
        <w:rPr>
          <w:noProof/>
        </w:rPr>
        <w:t>zap</w:t>
      </w:r>
      <w:r w:rsidR="36321D3C" w:rsidRPr="001357D3">
        <w:rPr>
          <w:noProof/>
        </w:rPr>
        <w:t>ewnienie ochrony praw podstawowych, zgodnie</w:t>
      </w:r>
      <w:r w:rsidR="001C6403" w:rsidRPr="001357D3">
        <w:rPr>
          <w:noProof/>
        </w:rPr>
        <w:t xml:space="preserve"> z</w:t>
      </w:r>
      <w:r w:rsidR="001C6403">
        <w:rPr>
          <w:noProof/>
        </w:rPr>
        <w:t> </w:t>
      </w:r>
      <w:r w:rsidR="001C6403" w:rsidRPr="001357D3">
        <w:rPr>
          <w:noProof/>
        </w:rPr>
        <w:t>Kar</w:t>
      </w:r>
      <w:r w:rsidR="36321D3C" w:rsidRPr="001357D3">
        <w:rPr>
          <w:noProof/>
        </w:rPr>
        <w:t>tą,</w:t>
      </w:r>
      <w:r w:rsidR="001C6403" w:rsidRPr="001357D3">
        <w:rPr>
          <w:noProof/>
        </w:rPr>
        <w:t xml:space="preserve"> a</w:t>
      </w:r>
      <w:r w:rsidR="001C6403">
        <w:rPr>
          <w:noProof/>
        </w:rPr>
        <w:t> </w:t>
      </w:r>
      <w:r w:rsidR="001C6403" w:rsidRPr="001357D3">
        <w:rPr>
          <w:noProof/>
        </w:rPr>
        <w:t>tak</w:t>
      </w:r>
      <w:r w:rsidR="36321D3C" w:rsidRPr="001357D3">
        <w:rPr>
          <w:noProof/>
        </w:rPr>
        <w:t>że zabezpieczenia przed nierównościami, dyskryminacją</w:t>
      </w:r>
      <w:r w:rsidR="001C6403" w:rsidRPr="001357D3">
        <w:rPr>
          <w:noProof/>
        </w:rPr>
        <w:t xml:space="preserve"> i</w:t>
      </w:r>
      <w:r w:rsidR="001C6403">
        <w:rPr>
          <w:noProof/>
        </w:rPr>
        <w:t> </w:t>
      </w:r>
      <w:r w:rsidR="001C6403" w:rsidRPr="001357D3">
        <w:rPr>
          <w:noProof/>
        </w:rPr>
        <w:t>wyk</w:t>
      </w:r>
      <w:r w:rsidR="36321D3C" w:rsidRPr="001357D3">
        <w:rPr>
          <w:noProof/>
        </w:rPr>
        <w:t>luczeniem.</w:t>
      </w:r>
    </w:p>
    <w:bookmarkEnd w:id="35"/>
    <w:p w14:paraId="7835367A" w14:textId="524F3809" w:rsidR="62441A72" w:rsidRPr="001357D3" w:rsidRDefault="000D4BE4" w:rsidP="000D4BE4">
      <w:pPr>
        <w:pStyle w:val="ManualConsidrant"/>
        <w:rPr>
          <w:rFonts w:eastAsia="Times New Roman"/>
          <w:noProof/>
        </w:rPr>
      </w:pPr>
      <w:r w:rsidRPr="000D4BE4">
        <w:rPr>
          <w:noProof/>
        </w:rPr>
        <w:t>(9)</w:t>
      </w:r>
      <w:r w:rsidRPr="000D4BE4">
        <w:rPr>
          <w:noProof/>
        </w:rPr>
        <w:tab/>
      </w:r>
      <w:r w:rsidR="3B98C960" w:rsidRPr="001357D3">
        <w:rPr>
          <w:noProof/>
        </w:rPr>
        <w:t>We wszystkich działaniach realizowanych</w:t>
      </w:r>
      <w:r w:rsidR="001C6403" w:rsidRPr="001357D3">
        <w:rPr>
          <w:noProof/>
        </w:rPr>
        <w:t xml:space="preserve"> w</w:t>
      </w:r>
      <w:r w:rsidR="001C6403">
        <w:rPr>
          <w:noProof/>
        </w:rPr>
        <w:t> </w:t>
      </w:r>
      <w:r w:rsidR="001C6403" w:rsidRPr="001357D3">
        <w:rPr>
          <w:noProof/>
        </w:rPr>
        <w:t>ram</w:t>
      </w:r>
      <w:r w:rsidR="3B98C960" w:rsidRPr="001357D3">
        <w:rPr>
          <w:noProof/>
        </w:rPr>
        <w:t>ach Programu należy propagować praworządność – również poprzez wspieranie działań na rzecz poprawy niezależności, jakości</w:t>
      </w:r>
      <w:r w:rsidR="001C6403" w:rsidRPr="001357D3">
        <w:rPr>
          <w:noProof/>
        </w:rPr>
        <w:t xml:space="preserve"> i</w:t>
      </w:r>
      <w:r w:rsidR="001C6403">
        <w:rPr>
          <w:noProof/>
        </w:rPr>
        <w:t> </w:t>
      </w:r>
      <w:r w:rsidR="001C6403" w:rsidRPr="001357D3">
        <w:rPr>
          <w:noProof/>
        </w:rPr>
        <w:t>sku</w:t>
      </w:r>
      <w:r w:rsidR="3B98C960" w:rsidRPr="001357D3">
        <w:rPr>
          <w:noProof/>
        </w:rPr>
        <w:t>teczności krajowych systemów wymiaru sprawiedliwości. Pozwoli to zwiększyć wzajemne zaufanie, które jest niezbędne</w:t>
      </w:r>
      <w:r w:rsidR="001C6403" w:rsidRPr="001357D3">
        <w:rPr>
          <w:noProof/>
        </w:rPr>
        <w:t xml:space="preserve"> z</w:t>
      </w:r>
      <w:r w:rsidR="001C6403">
        <w:rPr>
          <w:noProof/>
        </w:rPr>
        <w:t> </w:t>
      </w:r>
      <w:r w:rsidR="001C6403" w:rsidRPr="001357D3">
        <w:rPr>
          <w:noProof/>
        </w:rPr>
        <w:t>per</w:t>
      </w:r>
      <w:r w:rsidR="3B98C960" w:rsidRPr="001357D3">
        <w:rPr>
          <w:noProof/>
        </w:rPr>
        <w:t>spektywy współpracy sądowej</w:t>
      </w:r>
      <w:r w:rsidR="001C6403" w:rsidRPr="001357D3">
        <w:rPr>
          <w:noProof/>
        </w:rPr>
        <w:t xml:space="preserve"> w</w:t>
      </w:r>
      <w:r w:rsidR="001C6403">
        <w:rPr>
          <w:noProof/>
        </w:rPr>
        <w:t> </w:t>
      </w:r>
      <w:r w:rsidR="001C6403" w:rsidRPr="001357D3">
        <w:rPr>
          <w:noProof/>
        </w:rPr>
        <w:t>spr</w:t>
      </w:r>
      <w:r w:rsidR="3B98C960" w:rsidRPr="001357D3">
        <w:rPr>
          <w:noProof/>
        </w:rPr>
        <w:t>awach cywilnych</w:t>
      </w:r>
      <w:r w:rsidR="001C6403" w:rsidRPr="001357D3">
        <w:rPr>
          <w:noProof/>
        </w:rPr>
        <w:t xml:space="preserve"> i</w:t>
      </w:r>
      <w:r w:rsidR="001C6403">
        <w:rPr>
          <w:noProof/>
        </w:rPr>
        <w:t> </w:t>
      </w:r>
      <w:r w:rsidR="001C6403" w:rsidRPr="001357D3">
        <w:rPr>
          <w:noProof/>
        </w:rPr>
        <w:t>kar</w:t>
      </w:r>
      <w:r w:rsidR="3B98C960" w:rsidRPr="001357D3">
        <w:rPr>
          <w:noProof/>
        </w:rPr>
        <w:t>nych.</w:t>
      </w:r>
    </w:p>
    <w:p w14:paraId="768202D7" w14:textId="0BC9A86E" w:rsidR="00FD1BB8" w:rsidRPr="001357D3" w:rsidRDefault="000D4BE4" w:rsidP="000D4BE4">
      <w:pPr>
        <w:pStyle w:val="ManualConsidrant"/>
        <w:rPr>
          <w:rFonts w:eastAsia="Times New Roman"/>
          <w:noProof/>
        </w:rPr>
      </w:pPr>
      <w:r w:rsidRPr="000D4BE4">
        <w:rPr>
          <w:noProof/>
        </w:rPr>
        <w:lastRenderedPageBreak/>
        <w:t>(10)</w:t>
      </w:r>
      <w:r w:rsidRPr="000D4BE4">
        <w:rPr>
          <w:noProof/>
        </w:rPr>
        <w:tab/>
      </w:r>
      <w:r w:rsidR="36321D3C" w:rsidRPr="001357D3">
        <w:rPr>
          <w:noProof/>
        </w:rPr>
        <w:t>Jeżeli chodzi</w:t>
      </w:r>
      <w:r w:rsidR="001C6403" w:rsidRPr="001357D3">
        <w:rPr>
          <w:noProof/>
        </w:rPr>
        <w:t xml:space="preserve"> o</w:t>
      </w:r>
      <w:r w:rsidR="001C6403">
        <w:rPr>
          <w:noProof/>
        </w:rPr>
        <w:t> </w:t>
      </w:r>
      <w:r w:rsidR="001C6403" w:rsidRPr="001357D3">
        <w:rPr>
          <w:noProof/>
        </w:rPr>
        <w:t>spr</w:t>
      </w:r>
      <w:r w:rsidR="36321D3C" w:rsidRPr="001357D3">
        <w:rPr>
          <w:noProof/>
        </w:rPr>
        <w:t>awy cywilne,</w:t>
      </w:r>
      <w:r w:rsidR="001C6403" w:rsidRPr="001357D3">
        <w:rPr>
          <w:noProof/>
        </w:rPr>
        <w:t xml:space="preserve"> w</w:t>
      </w:r>
      <w:r w:rsidR="001C6403">
        <w:rPr>
          <w:noProof/>
        </w:rPr>
        <w:t> </w:t>
      </w:r>
      <w:r w:rsidR="001C6403" w:rsidRPr="001357D3">
        <w:rPr>
          <w:noProof/>
        </w:rPr>
        <w:t>ram</w:t>
      </w:r>
      <w:r w:rsidR="36321D3C" w:rsidRPr="001357D3">
        <w:rPr>
          <w:noProof/>
        </w:rPr>
        <w:t>ach Programu należy wspierać ochronę praw indywidualnych</w:t>
      </w:r>
      <w:r w:rsidR="001C6403" w:rsidRPr="001357D3">
        <w:rPr>
          <w:noProof/>
        </w:rPr>
        <w:t xml:space="preserve"> w</w:t>
      </w:r>
      <w:r w:rsidR="001C6403">
        <w:rPr>
          <w:noProof/>
        </w:rPr>
        <w:t> </w:t>
      </w:r>
      <w:r w:rsidR="001C6403" w:rsidRPr="001357D3">
        <w:rPr>
          <w:noProof/>
        </w:rPr>
        <w:t>spr</w:t>
      </w:r>
      <w:r w:rsidR="36321D3C" w:rsidRPr="001357D3">
        <w:rPr>
          <w:noProof/>
        </w:rPr>
        <w:t>awach cywilnych</w:t>
      </w:r>
      <w:r w:rsidR="001C6403" w:rsidRPr="001357D3">
        <w:rPr>
          <w:noProof/>
        </w:rPr>
        <w:t xml:space="preserve"> i</w:t>
      </w:r>
      <w:r w:rsidR="001C6403">
        <w:rPr>
          <w:noProof/>
        </w:rPr>
        <w:t> </w:t>
      </w:r>
      <w:r w:rsidR="001C6403" w:rsidRPr="001357D3">
        <w:rPr>
          <w:noProof/>
        </w:rPr>
        <w:t>han</w:t>
      </w:r>
      <w:r w:rsidR="36321D3C" w:rsidRPr="001357D3">
        <w:rPr>
          <w:noProof/>
        </w:rPr>
        <w:t>dlowych,</w:t>
      </w:r>
      <w:r w:rsidR="001C6403" w:rsidRPr="001357D3">
        <w:rPr>
          <w:noProof/>
        </w:rPr>
        <w:t xml:space="preserve"> w</w:t>
      </w:r>
      <w:r w:rsidR="001C6403">
        <w:rPr>
          <w:noProof/>
        </w:rPr>
        <w:t> </w:t>
      </w:r>
      <w:r w:rsidR="001C6403" w:rsidRPr="001357D3">
        <w:rPr>
          <w:noProof/>
        </w:rPr>
        <w:t>tym w</w:t>
      </w:r>
      <w:r w:rsidR="001C6403">
        <w:rPr>
          <w:noProof/>
        </w:rPr>
        <w:t> </w:t>
      </w:r>
      <w:r w:rsidR="001C6403" w:rsidRPr="001357D3">
        <w:rPr>
          <w:noProof/>
        </w:rPr>
        <w:t>spr</w:t>
      </w:r>
      <w:r w:rsidR="36321D3C" w:rsidRPr="001357D3">
        <w:rPr>
          <w:noProof/>
        </w:rPr>
        <w:t>awach dotyczących przeciwdziałania SLAPP (strategiczne powództwa zmierzające do stłumienia debaty publicznej), oraz propagować większą konwergencję prawa cywilnego. Pomoże to wyeliminować przeszkody na drodze do osiągnięcia zadowalającego</w:t>
      </w:r>
      <w:r w:rsidR="001C6403" w:rsidRPr="001357D3">
        <w:rPr>
          <w:noProof/>
        </w:rPr>
        <w:t xml:space="preserve"> i</w:t>
      </w:r>
      <w:r w:rsidR="001C6403">
        <w:rPr>
          <w:noProof/>
        </w:rPr>
        <w:t> </w:t>
      </w:r>
      <w:r w:rsidR="001C6403" w:rsidRPr="001357D3">
        <w:rPr>
          <w:noProof/>
        </w:rPr>
        <w:t>sku</w:t>
      </w:r>
      <w:r w:rsidR="36321D3C" w:rsidRPr="001357D3">
        <w:rPr>
          <w:noProof/>
        </w:rPr>
        <w:t>tecznego funkcjonowania procedur sądowych</w:t>
      </w:r>
      <w:r w:rsidR="001C6403" w:rsidRPr="001357D3">
        <w:rPr>
          <w:noProof/>
        </w:rPr>
        <w:t xml:space="preserve"> i</w:t>
      </w:r>
      <w:r w:rsidR="001C6403">
        <w:rPr>
          <w:noProof/>
        </w:rPr>
        <w:t> </w:t>
      </w:r>
      <w:r w:rsidR="001C6403" w:rsidRPr="001357D3">
        <w:rPr>
          <w:noProof/>
        </w:rPr>
        <w:t>poz</w:t>
      </w:r>
      <w:r w:rsidR="36321D3C" w:rsidRPr="001357D3">
        <w:rPr>
          <w:noProof/>
        </w:rPr>
        <w:t>asądowych,</w:t>
      </w:r>
      <w:r w:rsidR="001C6403" w:rsidRPr="001357D3">
        <w:rPr>
          <w:noProof/>
        </w:rPr>
        <w:t xml:space="preserve"> z</w:t>
      </w:r>
      <w:r w:rsidR="001C6403">
        <w:rPr>
          <w:noProof/>
        </w:rPr>
        <w:t> </w:t>
      </w:r>
      <w:r w:rsidR="001C6403" w:rsidRPr="001357D3">
        <w:rPr>
          <w:noProof/>
        </w:rPr>
        <w:t>kor</w:t>
      </w:r>
      <w:r w:rsidR="36321D3C" w:rsidRPr="001357D3">
        <w:rPr>
          <w:noProof/>
        </w:rPr>
        <w:t>zyścią dla wszystkich stron zaangażowanych</w:t>
      </w:r>
      <w:r w:rsidR="001C6403" w:rsidRPr="001357D3">
        <w:rPr>
          <w:noProof/>
        </w:rPr>
        <w:t xml:space="preserve"> w</w:t>
      </w:r>
      <w:r w:rsidR="001C6403">
        <w:rPr>
          <w:noProof/>
        </w:rPr>
        <w:t> </w:t>
      </w:r>
      <w:r w:rsidR="001C6403" w:rsidRPr="001357D3">
        <w:rPr>
          <w:noProof/>
        </w:rPr>
        <w:t>pot</w:t>
      </w:r>
      <w:r w:rsidR="36321D3C" w:rsidRPr="001357D3">
        <w:rPr>
          <w:noProof/>
        </w:rPr>
        <w:t>encjalne spory. Mając na uwadze wspieranie skutecznego egzekwowania</w:t>
      </w:r>
      <w:r w:rsidR="001C6403" w:rsidRPr="001357D3">
        <w:rPr>
          <w:noProof/>
        </w:rPr>
        <w:t xml:space="preserve"> i</w:t>
      </w:r>
      <w:r w:rsidR="001C6403">
        <w:rPr>
          <w:noProof/>
        </w:rPr>
        <w:t> </w:t>
      </w:r>
      <w:r w:rsidR="001C6403" w:rsidRPr="001357D3">
        <w:rPr>
          <w:noProof/>
        </w:rPr>
        <w:t>pra</w:t>
      </w:r>
      <w:r w:rsidR="36321D3C" w:rsidRPr="001357D3">
        <w:rPr>
          <w:noProof/>
        </w:rPr>
        <w:t>ktycznego stosowania prawa Unii</w:t>
      </w:r>
      <w:r w:rsidR="001C6403" w:rsidRPr="001357D3">
        <w:rPr>
          <w:noProof/>
        </w:rPr>
        <w:t xml:space="preserve"> w</w:t>
      </w:r>
      <w:r w:rsidR="001C6403">
        <w:rPr>
          <w:noProof/>
        </w:rPr>
        <w:t> </w:t>
      </w:r>
      <w:r w:rsidR="001C6403" w:rsidRPr="001357D3">
        <w:rPr>
          <w:noProof/>
        </w:rPr>
        <w:t>tej</w:t>
      </w:r>
      <w:r w:rsidR="36321D3C" w:rsidRPr="001357D3">
        <w:rPr>
          <w:noProof/>
        </w:rPr>
        <w:t xml:space="preserve"> dziedzinie,</w:t>
      </w:r>
      <w:r w:rsidR="001C6403" w:rsidRPr="001357D3">
        <w:rPr>
          <w:noProof/>
        </w:rPr>
        <w:t xml:space="preserve"> w</w:t>
      </w:r>
      <w:r w:rsidR="001C6403">
        <w:rPr>
          <w:noProof/>
        </w:rPr>
        <w:t> </w:t>
      </w:r>
      <w:r w:rsidR="001C6403" w:rsidRPr="001357D3">
        <w:rPr>
          <w:noProof/>
        </w:rPr>
        <w:t>ram</w:t>
      </w:r>
      <w:r w:rsidR="36321D3C" w:rsidRPr="001357D3">
        <w:rPr>
          <w:noProof/>
        </w:rPr>
        <w:t>ach Programu należy również wesprzeć funkcjonowanie Europejskiej Sieci Sądowej</w:t>
      </w:r>
      <w:r w:rsidR="001C6403" w:rsidRPr="001357D3">
        <w:rPr>
          <w:noProof/>
        </w:rPr>
        <w:t xml:space="preserve"> w</w:t>
      </w:r>
      <w:r w:rsidR="001C6403">
        <w:rPr>
          <w:noProof/>
        </w:rPr>
        <w:t> </w:t>
      </w:r>
      <w:r w:rsidR="001C6403" w:rsidRPr="001357D3">
        <w:rPr>
          <w:noProof/>
        </w:rPr>
        <w:t>spr</w:t>
      </w:r>
      <w:r w:rsidR="36321D3C" w:rsidRPr="001357D3">
        <w:rPr>
          <w:noProof/>
        </w:rPr>
        <w:t>awach cywilnych</w:t>
      </w:r>
      <w:r w:rsidR="001C6403" w:rsidRPr="001357D3">
        <w:rPr>
          <w:noProof/>
        </w:rPr>
        <w:t xml:space="preserve"> i</w:t>
      </w:r>
      <w:r w:rsidR="001C6403">
        <w:rPr>
          <w:noProof/>
        </w:rPr>
        <w:t> </w:t>
      </w:r>
      <w:r w:rsidR="001C6403" w:rsidRPr="001357D3">
        <w:rPr>
          <w:noProof/>
        </w:rPr>
        <w:t>han</w:t>
      </w:r>
      <w:r w:rsidR="36321D3C" w:rsidRPr="001357D3">
        <w:rPr>
          <w:noProof/>
        </w:rPr>
        <w:t>dlowych ustanowionej decyzją Rady 2001/470/WE</w:t>
      </w:r>
      <w:r w:rsidR="36321D3C" w:rsidRPr="001357D3">
        <w:rPr>
          <w:rStyle w:val="Odwoanieprzypisudolnego"/>
          <w:rFonts w:eastAsia="Times New Roman"/>
          <w:noProof/>
        </w:rPr>
        <w:footnoteReference w:id="55"/>
      </w:r>
      <w:r w:rsidR="36321D3C" w:rsidRPr="001357D3">
        <w:rPr>
          <w:noProof/>
        </w:rPr>
        <w:t>.</w:t>
      </w:r>
    </w:p>
    <w:p w14:paraId="47B28490" w14:textId="290A50C7" w:rsidR="00AA0006" w:rsidRPr="001357D3" w:rsidRDefault="000D4BE4" w:rsidP="000D4BE4">
      <w:pPr>
        <w:pStyle w:val="ManualConsidrant"/>
        <w:rPr>
          <w:rFonts w:eastAsia="Times New Roman"/>
          <w:noProof/>
          <w:szCs w:val="24"/>
        </w:rPr>
      </w:pPr>
      <w:bookmarkStart w:id="36" w:name="_Hlk205125625"/>
      <w:r w:rsidRPr="000D4BE4">
        <w:rPr>
          <w:noProof/>
        </w:rPr>
        <w:t>(11)</w:t>
      </w:r>
      <w:r w:rsidRPr="000D4BE4">
        <w:rPr>
          <w:noProof/>
        </w:rPr>
        <w:tab/>
      </w:r>
      <w:r w:rsidR="7B0DDB4F" w:rsidRPr="001357D3">
        <w:rPr>
          <w:noProof/>
        </w:rPr>
        <w:t>Jeżeli chodzi</w:t>
      </w:r>
      <w:r w:rsidR="001C6403" w:rsidRPr="001357D3">
        <w:rPr>
          <w:noProof/>
        </w:rPr>
        <w:t xml:space="preserve"> o</w:t>
      </w:r>
      <w:r w:rsidR="001C6403">
        <w:rPr>
          <w:noProof/>
        </w:rPr>
        <w:t> </w:t>
      </w:r>
      <w:r w:rsidR="001C6403" w:rsidRPr="001357D3">
        <w:rPr>
          <w:noProof/>
        </w:rPr>
        <w:t>spr</w:t>
      </w:r>
      <w:r w:rsidR="7B0DDB4F" w:rsidRPr="001357D3">
        <w:rPr>
          <w:noProof/>
        </w:rPr>
        <w:t>awy karne, Program powinien przyczynić się do wdrożenia przepisów</w:t>
      </w:r>
      <w:r w:rsidR="001C6403" w:rsidRPr="001357D3">
        <w:rPr>
          <w:noProof/>
        </w:rPr>
        <w:t xml:space="preserve"> i</w:t>
      </w:r>
      <w:r w:rsidR="001C6403">
        <w:rPr>
          <w:noProof/>
        </w:rPr>
        <w:t> </w:t>
      </w:r>
      <w:r w:rsidR="001C6403" w:rsidRPr="001357D3">
        <w:rPr>
          <w:noProof/>
        </w:rPr>
        <w:t>pro</w:t>
      </w:r>
      <w:r w:rsidR="7B0DDB4F" w:rsidRPr="001357D3">
        <w:rPr>
          <w:noProof/>
        </w:rPr>
        <w:t>cedur zapewniających uznawanie wyroków</w:t>
      </w:r>
      <w:r w:rsidR="001C6403" w:rsidRPr="001357D3">
        <w:rPr>
          <w:noProof/>
        </w:rPr>
        <w:t xml:space="preserve"> i</w:t>
      </w:r>
      <w:r w:rsidR="001C6403">
        <w:rPr>
          <w:noProof/>
        </w:rPr>
        <w:t> </w:t>
      </w:r>
      <w:r w:rsidR="001C6403" w:rsidRPr="001357D3">
        <w:rPr>
          <w:noProof/>
        </w:rPr>
        <w:t>orz</w:t>
      </w:r>
      <w:r w:rsidR="7B0DDB4F" w:rsidRPr="001357D3">
        <w:rPr>
          <w:noProof/>
        </w:rPr>
        <w:t>eczeń</w:t>
      </w:r>
      <w:r w:rsidR="001C6403" w:rsidRPr="001357D3">
        <w:rPr>
          <w:noProof/>
        </w:rPr>
        <w:t xml:space="preserve"> w</w:t>
      </w:r>
      <w:r w:rsidR="001C6403">
        <w:rPr>
          <w:noProof/>
        </w:rPr>
        <w:t> </w:t>
      </w:r>
      <w:r w:rsidR="001C6403" w:rsidRPr="001357D3">
        <w:rPr>
          <w:noProof/>
        </w:rPr>
        <w:t>cał</w:t>
      </w:r>
      <w:r w:rsidR="7B0DDB4F" w:rsidRPr="001357D3">
        <w:rPr>
          <w:noProof/>
        </w:rPr>
        <w:t>ej Unii oraz wspierać ochronę interesów finansowych Unii. Powinien on pomóc</w:t>
      </w:r>
      <w:r w:rsidR="001C6403" w:rsidRPr="001357D3">
        <w:rPr>
          <w:noProof/>
        </w:rPr>
        <w:t xml:space="preserve"> w</w:t>
      </w:r>
      <w:r w:rsidR="001C6403">
        <w:rPr>
          <w:noProof/>
        </w:rPr>
        <w:t> </w:t>
      </w:r>
      <w:r w:rsidR="001C6403" w:rsidRPr="001357D3">
        <w:rPr>
          <w:noProof/>
        </w:rPr>
        <w:t>wye</w:t>
      </w:r>
      <w:r w:rsidR="7B0DDB4F" w:rsidRPr="001357D3">
        <w:rPr>
          <w:noProof/>
        </w:rPr>
        <w:t>liminowaniu przeszkód na drodze do skutecznego wzajemnego zaufania</w:t>
      </w:r>
      <w:r w:rsidR="001C6403" w:rsidRPr="001357D3">
        <w:rPr>
          <w:noProof/>
        </w:rPr>
        <w:t xml:space="preserve"> i</w:t>
      </w:r>
      <w:r w:rsidR="001C6403">
        <w:rPr>
          <w:noProof/>
        </w:rPr>
        <w:t> </w:t>
      </w:r>
      <w:r w:rsidR="001C6403" w:rsidRPr="001357D3">
        <w:rPr>
          <w:noProof/>
        </w:rPr>
        <w:t>wsp</w:t>
      </w:r>
      <w:r w:rsidR="7B0DDB4F" w:rsidRPr="001357D3">
        <w:rPr>
          <w:noProof/>
        </w:rPr>
        <w:t>ółpracy, wspierając między innymi działania zapewniające prawidłową transpozycję unijnych aktów prawnych zbliżających krajowe przepisy karne</w:t>
      </w:r>
      <w:r w:rsidR="001C6403" w:rsidRPr="001357D3">
        <w:rPr>
          <w:noProof/>
        </w:rPr>
        <w:t>. W</w:t>
      </w:r>
      <w:r w:rsidR="001C6403">
        <w:rPr>
          <w:noProof/>
        </w:rPr>
        <w:t> </w:t>
      </w:r>
      <w:r w:rsidR="001C6403" w:rsidRPr="001357D3">
        <w:rPr>
          <w:noProof/>
        </w:rPr>
        <w:t>ram</w:t>
      </w:r>
      <w:r w:rsidR="7B0DDB4F" w:rsidRPr="001357D3">
        <w:rPr>
          <w:noProof/>
        </w:rPr>
        <w:t>ach Programu należy również wspierać działania sprzyjające usprawnieniu współpracy</w:t>
      </w:r>
      <w:r w:rsidR="001C6403" w:rsidRPr="001357D3">
        <w:rPr>
          <w:noProof/>
        </w:rPr>
        <w:t xml:space="preserve"> w</w:t>
      </w:r>
      <w:r w:rsidR="001C6403">
        <w:rPr>
          <w:noProof/>
        </w:rPr>
        <w:t> </w:t>
      </w:r>
      <w:r w:rsidR="001C6403" w:rsidRPr="001357D3">
        <w:rPr>
          <w:noProof/>
        </w:rPr>
        <w:t>odn</w:t>
      </w:r>
      <w:r w:rsidR="7B0DDB4F" w:rsidRPr="001357D3">
        <w:rPr>
          <w:noProof/>
        </w:rPr>
        <w:t>iesieniu do form poważnej przestępczości, takich jak korupcja, terroryzm</w:t>
      </w:r>
      <w:r w:rsidR="001C6403" w:rsidRPr="001357D3">
        <w:rPr>
          <w:noProof/>
        </w:rPr>
        <w:t xml:space="preserve"> i</w:t>
      </w:r>
      <w:r w:rsidR="001C6403">
        <w:rPr>
          <w:noProof/>
        </w:rPr>
        <w:t> </w:t>
      </w:r>
      <w:r w:rsidR="001C6403" w:rsidRPr="001357D3">
        <w:rPr>
          <w:noProof/>
        </w:rPr>
        <w:t>prz</w:t>
      </w:r>
      <w:r w:rsidR="7B0DDB4F" w:rsidRPr="001357D3">
        <w:rPr>
          <w:noProof/>
        </w:rPr>
        <w:t>estępstwa przeciwko środowisku</w:t>
      </w:r>
      <w:bookmarkEnd w:id="36"/>
      <w:r w:rsidR="001C6403" w:rsidRPr="001357D3">
        <w:rPr>
          <w:noProof/>
        </w:rPr>
        <w:t>. W</w:t>
      </w:r>
      <w:r w:rsidR="001C6403">
        <w:rPr>
          <w:noProof/>
        </w:rPr>
        <w:t> </w:t>
      </w:r>
      <w:r w:rsidR="001C6403" w:rsidRPr="001357D3">
        <w:rPr>
          <w:noProof/>
        </w:rPr>
        <w:t>szc</w:t>
      </w:r>
      <w:r w:rsidR="7B0DDB4F" w:rsidRPr="001357D3">
        <w:rPr>
          <w:noProof/>
        </w:rPr>
        <w:t>zególności Program powinien wzmocnić koordynację</w:t>
      </w:r>
      <w:r w:rsidR="001C6403" w:rsidRPr="001357D3">
        <w:rPr>
          <w:noProof/>
        </w:rPr>
        <w:t xml:space="preserve"> i</w:t>
      </w:r>
      <w:r w:rsidR="001C6403">
        <w:rPr>
          <w:noProof/>
        </w:rPr>
        <w:t> </w:t>
      </w:r>
      <w:r w:rsidR="001C6403" w:rsidRPr="001357D3">
        <w:rPr>
          <w:noProof/>
        </w:rPr>
        <w:t>wsp</w:t>
      </w:r>
      <w:r w:rsidR="7B0DDB4F" w:rsidRPr="001357D3">
        <w:rPr>
          <w:noProof/>
        </w:rPr>
        <w:t>ółpracę między organami ścigania, organami sądowymi</w:t>
      </w:r>
      <w:r w:rsidR="001C6403" w:rsidRPr="001357D3">
        <w:rPr>
          <w:noProof/>
        </w:rPr>
        <w:t xml:space="preserve"> i</w:t>
      </w:r>
      <w:r w:rsidR="001C6403">
        <w:rPr>
          <w:noProof/>
        </w:rPr>
        <w:t> </w:t>
      </w:r>
      <w:r w:rsidR="001C6403" w:rsidRPr="001357D3">
        <w:rPr>
          <w:noProof/>
        </w:rPr>
        <w:t>inn</w:t>
      </w:r>
      <w:r w:rsidR="7B0DDB4F" w:rsidRPr="001357D3">
        <w:rPr>
          <w:noProof/>
        </w:rPr>
        <w:t>ymi właściwymi organami. Powinien on również wspierać współpracę</w:t>
      </w:r>
      <w:r w:rsidR="001C6403" w:rsidRPr="001357D3">
        <w:rPr>
          <w:noProof/>
        </w:rPr>
        <w:t xml:space="preserve"> z</w:t>
      </w:r>
      <w:r w:rsidR="001C6403">
        <w:rPr>
          <w:noProof/>
        </w:rPr>
        <w:t> </w:t>
      </w:r>
      <w:r w:rsidR="001C6403" w:rsidRPr="001357D3">
        <w:rPr>
          <w:noProof/>
        </w:rPr>
        <w:t>org</w:t>
      </w:r>
      <w:r w:rsidR="7B0DDB4F" w:rsidRPr="001357D3">
        <w:rPr>
          <w:noProof/>
        </w:rPr>
        <w:t>anami</w:t>
      </w:r>
      <w:r w:rsidR="001C6403" w:rsidRPr="001357D3">
        <w:rPr>
          <w:noProof/>
        </w:rPr>
        <w:t xml:space="preserve"> i</w:t>
      </w:r>
      <w:r w:rsidR="001C6403">
        <w:rPr>
          <w:noProof/>
        </w:rPr>
        <w:t> </w:t>
      </w:r>
      <w:r w:rsidR="001C6403" w:rsidRPr="001357D3">
        <w:rPr>
          <w:noProof/>
        </w:rPr>
        <w:t>age</w:t>
      </w:r>
      <w:r w:rsidR="7B0DDB4F" w:rsidRPr="001357D3">
        <w:rPr>
          <w:noProof/>
        </w:rPr>
        <w:t>ncjami Unii, takimi jak Agencja Unii Europejskiej ds. Współpracy Wymiarów Sprawiedliwości</w:t>
      </w:r>
      <w:r w:rsidR="001C6403" w:rsidRPr="001357D3">
        <w:rPr>
          <w:noProof/>
        </w:rPr>
        <w:t xml:space="preserve"> w</w:t>
      </w:r>
      <w:r w:rsidR="001C6403">
        <w:rPr>
          <w:noProof/>
        </w:rPr>
        <w:t> </w:t>
      </w:r>
      <w:r w:rsidR="001C6403" w:rsidRPr="001357D3">
        <w:rPr>
          <w:noProof/>
        </w:rPr>
        <w:t>Spr</w:t>
      </w:r>
      <w:r w:rsidR="7B0DDB4F" w:rsidRPr="001357D3">
        <w:rPr>
          <w:noProof/>
        </w:rPr>
        <w:t>awach Karnych (Eurojust) i EPPO,</w:t>
      </w:r>
      <w:r w:rsidR="001C6403" w:rsidRPr="001357D3">
        <w:rPr>
          <w:noProof/>
        </w:rPr>
        <w:t xml:space="preserve"> a</w:t>
      </w:r>
      <w:r w:rsidR="001C6403">
        <w:rPr>
          <w:noProof/>
        </w:rPr>
        <w:t> </w:t>
      </w:r>
      <w:r w:rsidR="001C6403" w:rsidRPr="001357D3">
        <w:rPr>
          <w:noProof/>
        </w:rPr>
        <w:t>tak</w:t>
      </w:r>
      <w:r w:rsidR="7B0DDB4F" w:rsidRPr="001357D3">
        <w:rPr>
          <w:noProof/>
        </w:rPr>
        <w:t>że podnosić świadomość pełnionej przez nie roli, umożliwiając tym samym większą integrację systemu współpracy sądowej</w:t>
      </w:r>
      <w:r w:rsidR="001C6403" w:rsidRPr="001357D3">
        <w:rPr>
          <w:noProof/>
        </w:rPr>
        <w:t xml:space="preserve"> w</w:t>
      </w:r>
      <w:r w:rsidR="001C6403">
        <w:rPr>
          <w:noProof/>
        </w:rPr>
        <w:t> </w:t>
      </w:r>
      <w:r w:rsidR="001C6403" w:rsidRPr="001357D3">
        <w:rPr>
          <w:noProof/>
        </w:rPr>
        <w:t>Uni</w:t>
      </w:r>
      <w:r w:rsidR="7B0DDB4F" w:rsidRPr="001357D3">
        <w:rPr>
          <w:noProof/>
        </w:rPr>
        <w:t xml:space="preserve">i. </w:t>
      </w:r>
    </w:p>
    <w:p w14:paraId="662DCF76" w14:textId="64F513ED" w:rsidR="00AA0006" w:rsidRPr="001357D3" w:rsidRDefault="000D4BE4" w:rsidP="000D4BE4">
      <w:pPr>
        <w:pStyle w:val="ManualConsidrant"/>
        <w:rPr>
          <w:rFonts w:eastAsia="Times New Roman"/>
          <w:noProof/>
          <w:szCs w:val="24"/>
        </w:rPr>
      </w:pPr>
      <w:r w:rsidRPr="000D4BE4">
        <w:rPr>
          <w:noProof/>
        </w:rPr>
        <w:t>(12)</w:t>
      </w:r>
      <w:r w:rsidRPr="000D4BE4">
        <w:rPr>
          <w:noProof/>
        </w:rPr>
        <w:tab/>
      </w:r>
      <w:r w:rsidR="36321D3C" w:rsidRPr="001357D3">
        <w:rPr>
          <w:noProof/>
        </w:rPr>
        <w:t>Program powinien przyczynić się do poprawy niedyskryminacyjnego dostępu do wymiaru sprawiedliwości dla wszystkich oraz wspierać działania mające na celu ochronę praw ofiar przestępstw,</w:t>
      </w:r>
      <w:r w:rsidR="001C6403" w:rsidRPr="001357D3">
        <w:rPr>
          <w:noProof/>
        </w:rPr>
        <w:t xml:space="preserve"> a</w:t>
      </w:r>
      <w:r w:rsidR="001C6403">
        <w:rPr>
          <w:noProof/>
        </w:rPr>
        <w:t> </w:t>
      </w:r>
      <w:r w:rsidR="001C6403" w:rsidRPr="001357D3">
        <w:rPr>
          <w:noProof/>
        </w:rPr>
        <w:t>tak</w:t>
      </w:r>
      <w:r w:rsidR="36321D3C" w:rsidRPr="001357D3">
        <w:rPr>
          <w:noProof/>
        </w:rPr>
        <w:t>że praw procesowych osób podejrzanych</w:t>
      </w:r>
      <w:r w:rsidR="001C6403" w:rsidRPr="001357D3">
        <w:rPr>
          <w:noProof/>
        </w:rPr>
        <w:t xml:space="preserve"> i</w:t>
      </w:r>
      <w:r w:rsidR="001C6403">
        <w:rPr>
          <w:noProof/>
        </w:rPr>
        <w:t> </w:t>
      </w:r>
      <w:r w:rsidR="001C6403" w:rsidRPr="001357D3">
        <w:rPr>
          <w:noProof/>
        </w:rPr>
        <w:t>osk</w:t>
      </w:r>
      <w:r w:rsidR="36321D3C" w:rsidRPr="001357D3">
        <w:rPr>
          <w:noProof/>
        </w:rPr>
        <w:t>arżonych</w:t>
      </w:r>
      <w:r w:rsidR="001C6403" w:rsidRPr="001357D3">
        <w:rPr>
          <w:noProof/>
        </w:rPr>
        <w:t xml:space="preserve"> w</w:t>
      </w:r>
      <w:r w:rsidR="001C6403">
        <w:rPr>
          <w:noProof/>
        </w:rPr>
        <w:t> </w:t>
      </w:r>
      <w:r w:rsidR="001C6403" w:rsidRPr="001357D3">
        <w:rPr>
          <w:noProof/>
        </w:rPr>
        <w:t>pos</w:t>
      </w:r>
      <w:r w:rsidR="36321D3C" w:rsidRPr="001357D3">
        <w:rPr>
          <w:noProof/>
        </w:rPr>
        <w:t>tępowaniu karnym oraz osób, których dotyczy wniosek</w:t>
      </w:r>
      <w:r w:rsidR="001C6403" w:rsidRPr="001357D3">
        <w:rPr>
          <w:noProof/>
        </w:rPr>
        <w:t xml:space="preserve"> w</w:t>
      </w:r>
      <w:r w:rsidR="001C6403">
        <w:rPr>
          <w:noProof/>
        </w:rPr>
        <w:t> </w:t>
      </w:r>
      <w:r w:rsidR="001C6403" w:rsidRPr="001357D3">
        <w:rPr>
          <w:noProof/>
        </w:rPr>
        <w:t>pos</w:t>
      </w:r>
      <w:r w:rsidR="36321D3C" w:rsidRPr="001357D3">
        <w:rPr>
          <w:noProof/>
        </w:rPr>
        <w:t>tępowaniu dotyczącym europejskiego nakazu aresztowania (ENA). Dostęp do wymiaru sprawiedliwości powinien obejmować</w:t>
      </w:r>
      <w:r w:rsidR="001C6403" w:rsidRPr="001357D3">
        <w:rPr>
          <w:noProof/>
        </w:rPr>
        <w:t xml:space="preserve"> w</w:t>
      </w:r>
      <w:r w:rsidR="001C6403">
        <w:rPr>
          <w:noProof/>
        </w:rPr>
        <w:t> </w:t>
      </w:r>
      <w:r w:rsidR="001C6403" w:rsidRPr="001357D3">
        <w:rPr>
          <w:noProof/>
        </w:rPr>
        <w:t>szc</w:t>
      </w:r>
      <w:r w:rsidR="36321D3C" w:rsidRPr="001357D3">
        <w:rPr>
          <w:noProof/>
        </w:rPr>
        <w:t>zególności dostęp do sądów, alternatywne metody rozwiązywania sporów oraz doradztwo prawne udzielane</w:t>
      </w:r>
      <w:r w:rsidR="001C6403" w:rsidRPr="001357D3">
        <w:rPr>
          <w:noProof/>
        </w:rPr>
        <w:t xml:space="preserve"> w</w:t>
      </w:r>
      <w:r w:rsidR="001C6403">
        <w:rPr>
          <w:noProof/>
        </w:rPr>
        <w:t> </w:t>
      </w:r>
      <w:r w:rsidR="001C6403" w:rsidRPr="001357D3">
        <w:rPr>
          <w:noProof/>
        </w:rPr>
        <w:t>spo</w:t>
      </w:r>
      <w:r w:rsidR="36321D3C" w:rsidRPr="001357D3">
        <w:rPr>
          <w:noProof/>
        </w:rPr>
        <w:t>sób niezależny</w:t>
      </w:r>
      <w:r w:rsidR="001C6403" w:rsidRPr="001357D3">
        <w:rPr>
          <w:noProof/>
        </w:rPr>
        <w:t xml:space="preserve"> i</w:t>
      </w:r>
      <w:r w:rsidR="001C6403">
        <w:rPr>
          <w:noProof/>
        </w:rPr>
        <w:t> </w:t>
      </w:r>
      <w:r w:rsidR="001C6403" w:rsidRPr="001357D3">
        <w:rPr>
          <w:noProof/>
        </w:rPr>
        <w:t>bez</w:t>
      </w:r>
      <w:r w:rsidR="36321D3C" w:rsidRPr="001357D3">
        <w:rPr>
          <w:noProof/>
        </w:rPr>
        <w:t>stronny przez osoby pełniące funkcje publiczne. Szczególną uwagę należy zwrócić na skuteczniejsze wdrażanie różnych aktów prawnych Unii dotyczących ochrony ofiar przestępstw oraz na działania ukierunkowane na wymianę najlepszych praktyk między właściwymi organami,</w:t>
      </w:r>
      <w:r w:rsidR="001C6403" w:rsidRPr="001357D3">
        <w:rPr>
          <w:noProof/>
        </w:rPr>
        <w:t xml:space="preserve"> w</w:t>
      </w:r>
      <w:r w:rsidR="001C6403">
        <w:rPr>
          <w:noProof/>
        </w:rPr>
        <w:t> </w:t>
      </w:r>
      <w:r w:rsidR="001C6403" w:rsidRPr="001357D3">
        <w:rPr>
          <w:noProof/>
        </w:rPr>
        <w:t>tym</w:t>
      </w:r>
      <w:r w:rsidR="36321D3C" w:rsidRPr="001357D3">
        <w:rPr>
          <w:noProof/>
        </w:rPr>
        <w:t xml:space="preserve"> organami sądowymi, organami ścigania, przedstawicielami zawodów prawniczych,</w:t>
      </w:r>
      <w:r w:rsidR="001C6403" w:rsidRPr="001357D3">
        <w:rPr>
          <w:noProof/>
        </w:rPr>
        <w:t xml:space="preserve"> a</w:t>
      </w:r>
      <w:r w:rsidR="001C6403">
        <w:rPr>
          <w:noProof/>
        </w:rPr>
        <w:t> </w:t>
      </w:r>
      <w:r w:rsidR="001C6403" w:rsidRPr="001357D3">
        <w:rPr>
          <w:noProof/>
        </w:rPr>
        <w:t>tak</w:t>
      </w:r>
      <w:r w:rsidR="36321D3C" w:rsidRPr="001357D3">
        <w:rPr>
          <w:noProof/>
        </w:rPr>
        <w:t>że na wspieranie procesu pogłębiania wiedzy na temat powództw zbiorowych odwoławczych</w:t>
      </w:r>
      <w:r w:rsidR="001C6403" w:rsidRPr="001357D3">
        <w:rPr>
          <w:noProof/>
        </w:rPr>
        <w:t xml:space="preserve"> i</w:t>
      </w:r>
      <w:r w:rsidR="001C6403">
        <w:rPr>
          <w:noProof/>
        </w:rPr>
        <w:t> </w:t>
      </w:r>
      <w:r w:rsidR="001C6403" w:rsidRPr="001357D3">
        <w:rPr>
          <w:noProof/>
        </w:rPr>
        <w:t>kor</w:t>
      </w:r>
      <w:r w:rsidR="36321D3C" w:rsidRPr="001357D3">
        <w:rPr>
          <w:noProof/>
        </w:rPr>
        <w:t>zystania</w:t>
      </w:r>
      <w:r w:rsidR="001C6403" w:rsidRPr="001357D3">
        <w:rPr>
          <w:noProof/>
        </w:rPr>
        <w:t xml:space="preserve"> z</w:t>
      </w:r>
      <w:r w:rsidR="001C6403">
        <w:rPr>
          <w:noProof/>
        </w:rPr>
        <w:t> </w:t>
      </w:r>
      <w:r w:rsidR="001C6403" w:rsidRPr="001357D3">
        <w:rPr>
          <w:noProof/>
        </w:rPr>
        <w:t>nic</w:t>
      </w:r>
      <w:r w:rsidR="36321D3C" w:rsidRPr="001357D3">
        <w:rPr>
          <w:noProof/>
        </w:rPr>
        <w:t>h. Należy również wspierać działania, które ułatwiają skuteczny</w:t>
      </w:r>
      <w:r w:rsidR="001C6403" w:rsidRPr="001357D3">
        <w:rPr>
          <w:noProof/>
        </w:rPr>
        <w:t xml:space="preserve"> i</w:t>
      </w:r>
      <w:r w:rsidR="001C6403">
        <w:rPr>
          <w:noProof/>
        </w:rPr>
        <w:t> </w:t>
      </w:r>
      <w:r w:rsidR="001C6403" w:rsidRPr="001357D3">
        <w:rPr>
          <w:noProof/>
        </w:rPr>
        <w:t>rów</w:t>
      </w:r>
      <w:r w:rsidR="36321D3C" w:rsidRPr="001357D3">
        <w:rPr>
          <w:noProof/>
        </w:rPr>
        <w:t>ny dostęp do wymiaru sprawiedliwości osobom, które doświadczają dyskryminacji lub znajdują się</w:t>
      </w:r>
      <w:r w:rsidR="001C6403" w:rsidRPr="001357D3">
        <w:rPr>
          <w:noProof/>
        </w:rPr>
        <w:t xml:space="preserve"> w</w:t>
      </w:r>
      <w:r w:rsidR="001C6403">
        <w:rPr>
          <w:noProof/>
        </w:rPr>
        <w:t> </w:t>
      </w:r>
      <w:r w:rsidR="001C6403" w:rsidRPr="001357D3">
        <w:rPr>
          <w:noProof/>
        </w:rPr>
        <w:t>tru</w:t>
      </w:r>
      <w:r w:rsidR="36321D3C" w:rsidRPr="001357D3">
        <w:rPr>
          <w:noProof/>
        </w:rPr>
        <w:t>dnej sytuacji (takim jak osoby</w:t>
      </w:r>
      <w:r w:rsidR="001C6403" w:rsidRPr="001357D3">
        <w:rPr>
          <w:noProof/>
        </w:rPr>
        <w:t xml:space="preserve"> z</w:t>
      </w:r>
      <w:r w:rsidR="001C6403">
        <w:rPr>
          <w:noProof/>
        </w:rPr>
        <w:t> </w:t>
      </w:r>
      <w:r w:rsidR="001C6403" w:rsidRPr="001357D3">
        <w:rPr>
          <w:noProof/>
        </w:rPr>
        <w:t>nie</w:t>
      </w:r>
      <w:r w:rsidR="36321D3C" w:rsidRPr="001357D3">
        <w:rPr>
          <w:noProof/>
        </w:rPr>
        <w:t>pełnosprawnościami zgodnie</w:t>
      </w:r>
      <w:r w:rsidR="001C6403" w:rsidRPr="001357D3">
        <w:rPr>
          <w:noProof/>
        </w:rPr>
        <w:t xml:space="preserve"> z</w:t>
      </w:r>
      <w:r w:rsidR="001C6403">
        <w:rPr>
          <w:noProof/>
        </w:rPr>
        <w:t> </w:t>
      </w:r>
      <w:r w:rsidR="001C6403" w:rsidRPr="001357D3">
        <w:rPr>
          <w:noProof/>
        </w:rPr>
        <w:t>art</w:t>
      </w:r>
      <w:r w:rsidR="36321D3C" w:rsidRPr="001357D3">
        <w:rPr>
          <w:noProof/>
        </w:rPr>
        <w:t>. 13 Konwencji ONZ</w:t>
      </w:r>
      <w:r w:rsidR="001C6403" w:rsidRPr="001357D3">
        <w:rPr>
          <w:noProof/>
        </w:rPr>
        <w:t xml:space="preserve"> o</w:t>
      </w:r>
      <w:r w:rsidR="001C6403">
        <w:rPr>
          <w:noProof/>
        </w:rPr>
        <w:t> </w:t>
      </w:r>
      <w:r w:rsidR="001C6403" w:rsidRPr="001357D3">
        <w:rPr>
          <w:noProof/>
        </w:rPr>
        <w:t>pra</w:t>
      </w:r>
      <w:r w:rsidR="36321D3C" w:rsidRPr="001357D3">
        <w:rPr>
          <w:noProof/>
        </w:rPr>
        <w:t>wach osób niepełnosprawnych</w:t>
      </w:r>
      <w:r w:rsidR="36321D3C" w:rsidRPr="001357D3">
        <w:rPr>
          <w:rStyle w:val="Odwoanieprzypisudolnego"/>
          <w:rFonts w:eastAsia="Times New Roman"/>
          <w:noProof/>
        </w:rPr>
        <w:footnoteReference w:id="56"/>
      </w:r>
      <w:r w:rsidR="36321D3C" w:rsidRPr="001357D3">
        <w:rPr>
          <w:noProof/>
        </w:rPr>
        <w:t>, dzieci, mniejszości, osoby LGBTIQ+ oraz ofiary przemocy ze względu na płeć, przemocy domowej</w:t>
      </w:r>
      <w:r w:rsidR="001C6403" w:rsidRPr="001357D3">
        <w:rPr>
          <w:noProof/>
        </w:rPr>
        <w:t xml:space="preserve"> i</w:t>
      </w:r>
      <w:r w:rsidR="001C6403">
        <w:rPr>
          <w:noProof/>
        </w:rPr>
        <w:t> </w:t>
      </w:r>
      <w:r w:rsidR="001C6403" w:rsidRPr="001357D3">
        <w:rPr>
          <w:noProof/>
        </w:rPr>
        <w:t>inn</w:t>
      </w:r>
      <w:r w:rsidR="36321D3C" w:rsidRPr="001357D3">
        <w:rPr>
          <w:noProof/>
        </w:rPr>
        <w:t>ych form przemocy interpersonalnej)</w:t>
      </w:r>
      <w:r w:rsidR="001C6403" w:rsidRPr="001357D3">
        <w:rPr>
          <w:noProof/>
        </w:rPr>
        <w:t xml:space="preserve">. </w:t>
      </w:r>
      <w:r w:rsidR="001C6403" w:rsidRPr="001357D3">
        <w:rPr>
          <w:noProof/>
        </w:rPr>
        <w:lastRenderedPageBreak/>
        <w:t>W</w:t>
      </w:r>
      <w:r w:rsidR="001C6403">
        <w:rPr>
          <w:noProof/>
        </w:rPr>
        <w:t> </w:t>
      </w:r>
      <w:r w:rsidR="001C6403" w:rsidRPr="001357D3">
        <w:rPr>
          <w:noProof/>
        </w:rPr>
        <w:t>ram</w:t>
      </w:r>
      <w:r w:rsidR="36321D3C" w:rsidRPr="001357D3">
        <w:rPr>
          <w:noProof/>
        </w:rPr>
        <w:t>ach Programu należy również wspierać działania organizacji społeczeństwa obywatelskiego, które przyczyniają się do osiągnięcia wspomnianych wyżej celów.</w:t>
      </w:r>
    </w:p>
    <w:p w14:paraId="75B63283" w14:textId="6E4EED5E" w:rsidR="00FD1BB8" w:rsidRPr="001357D3" w:rsidRDefault="000D4BE4" w:rsidP="000D4BE4">
      <w:pPr>
        <w:pStyle w:val="ManualConsidrant"/>
        <w:rPr>
          <w:rFonts w:eastAsia="Times New Roman"/>
          <w:noProof/>
          <w:szCs w:val="24"/>
        </w:rPr>
      </w:pPr>
      <w:r w:rsidRPr="000D4BE4">
        <w:rPr>
          <w:noProof/>
        </w:rPr>
        <w:t>(13)</w:t>
      </w:r>
      <w:r w:rsidRPr="000D4BE4">
        <w:rPr>
          <w:noProof/>
        </w:rPr>
        <w:tab/>
      </w:r>
      <w:r w:rsidR="3F0916F3" w:rsidRPr="001357D3">
        <w:rPr>
          <w:noProof/>
        </w:rPr>
        <w:t>W ramach Programu należy wspierać szkolenie sędziów</w:t>
      </w:r>
      <w:r w:rsidR="001C6403" w:rsidRPr="001357D3">
        <w:rPr>
          <w:noProof/>
        </w:rPr>
        <w:t xml:space="preserve"> i</w:t>
      </w:r>
      <w:r w:rsidR="001C6403">
        <w:rPr>
          <w:noProof/>
        </w:rPr>
        <w:t> </w:t>
      </w:r>
      <w:r w:rsidR="001C6403" w:rsidRPr="001357D3">
        <w:rPr>
          <w:noProof/>
        </w:rPr>
        <w:t>inn</w:t>
      </w:r>
      <w:r w:rsidR="3F0916F3" w:rsidRPr="001357D3">
        <w:rPr>
          <w:noProof/>
        </w:rPr>
        <w:t>ych pracowników wymiaru sprawiedliwości. Działania szkoleniowe powinny przyczyniać się do realizacji strategicznych priorytetów Unii, chodzi tu na przykład</w:t>
      </w:r>
      <w:r w:rsidR="001C6403" w:rsidRPr="001357D3">
        <w:rPr>
          <w:noProof/>
        </w:rPr>
        <w:t xml:space="preserve"> o</w:t>
      </w:r>
      <w:r w:rsidR="001C6403">
        <w:rPr>
          <w:noProof/>
        </w:rPr>
        <w:t> </w:t>
      </w:r>
      <w:r w:rsidR="001C6403" w:rsidRPr="001357D3">
        <w:rPr>
          <w:noProof/>
        </w:rPr>
        <w:t>szk</w:t>
      </w:r>
      <w:r w:rsidR="3F0916F3" w:rsidRPr="001357D3">
        <w:rPr>
          <w:noProof/>
        </w:rPr>
        <w:t>olenia</w:t>
      </w:r>
      <w:r w:rsidR="001C6403" w:rsidRPr="001357D3">
        <w:rPr>
          <w:noProof/>
        </w:rPr>
        <w:t xml:space="preserve"> w</w:t>
      </w:r>
      <w:r w:rsidR="001C6403">
        <w:rPr>
          <w:noProof/>
        </w:rPr>
        <w:t> </w:t>
      </w:r>
      <w:r w:rsidR="001C6403" w:rsidRPr="001357D3">
        <w:rPr>
          <w:noProof/>
        </w:rPr>
        <w:t>zak</w:t>
      </w:r>
      <w:r w:rsidR="3F0916F3" w:rsidRPr="001357D3">
        <w:rPr>
          <w:noProof/>
        </w:rPr>
        <w:t>resie prawa cywilnego</w:t>
      </w:r>
      <w:r w:rsidR="001C6403" w:rsidRPr="001357D3">
        <w:rPr>
          <w:noProof/>
        </w:rPr>
        <w:t xml:space="preserve"> i</w:t>
      </w:r>
      <w:r w:rsidR="001C6403">
        <w:rPr>
          <w:noProof/>
        </w:rPr>
        <w:t> </w:t>
      </w:r>
      <w:r w:rsidR="001C6403" w:rsidRPr="001357D3">
        <w:rPr>
          <w:noProof/>
        </w:rPr>
        <w:t>kar</w:t>
      </w:r>
      <w:r w:rsidR="3F0916F3" w:rsidRPr="001357D3">
        <w:rPr>
          <w:noProof/>
        </w:rPr>
        <w:t>nego, skutecznego stosowania Karty, wzajemnego uznawania,</w:t>
      </w:r>
      <w:r w:rsidR="001C6403" w:rsidRPr="001357D3">
        <w:rPr>
          <w:noProof/>
        </w:rPr>
        <w:t xml:space="preserve"> a</w:t>
      </w:r>
      <w:r w:rsidR="001C6403">
        <w:rPr>
          <w:noProof/>
        </w:rPr>
        <w:t> </w:t>
      </w:r>
      <w:r w:rsidR="001C6403" w:rsidRPr="001357D3">
        <w:rPr>
          <w:noProof/>
        </w:rPr>
        <w:t>tak</w:t>
      </w:r>
      <w:r w:rsidR="3F0916F3" w:rsidRPr="001357D3">
        <w:rPr>
          <w:noProof/>
        </w:rPr>
        <w:t>że gwarancji proceduralnych (w tym gwarancji dotyczących strategicznych powództw zmierzających do stłumienia debaty publicznej (sprawy dotyczące przeciwdziałania SLAPP)). Działania szkoleniowe realizowane</w:t>
      </w:r>
      <w:r w:rsidR="001C6403" w:rsidRPr="001357D3">
        <w:rPr>
          <w:noProof/>
        </w:rPr>
        <w:t xml:space="preserve"> w</w:t>
      </w:r>
      <w:r w:rsidR="001C6403">
        <w:rPr>
          <w:noProof/>
        </w:rPr>
        <w:t> </w:t>
      </w:r>
      <w:r w:rsidR="001C6403" w:rsidRPr="001357D3">
        <w:rPr>
          <w:noProof/>
        </w:rPr>
        <w:t>ram</w:t>
      </w:r>
      <w:r w:rsidR="3F0916F3" w:rsidRPr="001357D3">
        <w:rPr>
          <w:noProof/>
        </w:rPr>
        <w:t>ach Programu powinny być silnie ukierunkowane na cyfryzację wymiaru sprawiedliwości oraz tworzyć środowisko wspierające dla sędziów</w:t>
      </w:r>
      <w:r w:rsidR="001C6403" w:rsidRPr="001357D3">
        <w:rPr>
          <w:noProof/>
        </w:rPr>
        <w:t xml:space="preserve"> i</w:t>
      </w:r>
      <w:r w:rsidR="001C6403">
        <w:rPr>
          <w:noProof/>
        </w:rPr>
        <w:t> </w:t>
      </w:r>
      <w:r w:rsidR="001C6403" w:rsidRPr="001357D3">
        <w:rPr>
          <w:noProof/>
        </w:rPr>
        <w:t>inn</w:t>
      </w:r>
      <w:r w:rsidR="3F0916F3" w:rsidRPr="001357D3">
        <w:rPr>
          <w:noProof/>
        </w:rPr>
        <w:t>ych pracowników wymiaru sprawiedliwości,</w:t>
      </w:r>
      <w:r w:rsidR="001C6403" w:rsidRPr="001357D3">
        <w:rPr>
          <w:noProof/>
        </w:rPr>
        <w:t xml:space="preserve"> w</w:t>
      </w:r>
      <w:r w:rsidR="001C6403">
        <w:rPr>
          <w:noProof/>
        </w:rPr>
        <w:t> </w:t>
      </w:r>
      <w:r w:rsidR="001C6403" w:rsidRPr="001357D3">
        <w:rPr>
          <w:noProof/>
        </w:rPr>
        <w:t>tym</w:t>
      </w:r>
      <w:r w:rsidR="3F0916F3" w:rsidRPr="001357D3">
        <w:rPr>
          <w:noProof/>
        </w:rPr>
        <w:t xml:space="preserve"> poprzez podnoszenie ich umiejętności cyfrowych, wiedzy</w:t>
      </w:r>
      <w:r w:rsidR="001C6403" w:rsidRPr="001357D3">
        <w:rPr>
          <w:noProof/>
        </w:rPr>
        <w:t xml:space="preserve"> i</w:t>
      </w:r>
      <w:r w:rsidR="001C6403">
        <w:rPr>
          <w:noProof/>
        </w:rPr>
        <w:t> </w:t>
      </w:r>
      <w:r w:rsidR="001C6403" w:rsidRPr="001357D3">
        <w:rPr>
          <w:noProof/>
        </w:rPr>
        <w:t>świ</w:t>
      </w:r>
      <w:r w:rsidR="3F0916F3" w:rsidRPr="001357D3">
        <w:rPr>
          <w:noProof/>
        </w:rPr>
        <w:t>adomości. Szkolenia powinny również wspierać cyfryzację transgranicznych postępowań sądowych. Wsparcie na rzecz szkoleń powinno odbywać się</w:t>
      </w:r>
      <w:r w:rsidR="001C6403" w:rsidRPr="001357D3">
        <w:rPr>
          <w:noProof/>
        </w:rPr>
        <w:t xml:space="preserve"> w</w:t>
      </w:r>
      <w:r w:rsidR="001C6403">
        <w:rPr>
          <w:noProof/>
        </w:rPr>
        <w:t> </w:t>
      </w:r>
      <w:r w:rsidR="001C6403" w:rsidRPr="001357D3">
        <w:rPr>
          <w:noProof/>
        </w:rPr>
        <w:t>syn</w:t>
      </w:r>
      <w:r w:rsidR="3F0916F3" w:rsidRPr="001357D3">
        <w:rPr>
          <w:noProof/>
        </w:rPr>
        <w:t>ergii</w:t>
      </w:r>
      <w:r w:rsidR="001C6403" w:rsidRPr="001357D3">
        <w:rPr>
          <w:noProof/>
        </w:rPr>
        <w:t xml:space="preserve"> z</w:t>
      </w:r>
      <w:r w:rsidR="001C6403">
        <w:rPr>
          <w:noProof/>
        </w:rPr>
        <w:t> </w:t>
      </w:r>
      <w:r w:rsidR="001C6403" w:rsidRPr="001357D3">
        <w:rPr>
          <w:noProof/>
        </w:rPr>
        <w:t>dzi</w:t>
      </w:r>
      <w:r w:rsidR="3F0916F3" w:rsidRPr="001357D3">
        <w:rPr>
          <w:noProof/>
        </w:rPr>
        <w:t>ałaniami prowadzonymi na szczeblu krajowym, co pozwoli zwiększyć oddziaływanie Programu.</w:t>
      </w:r>
    </w:p>
    <w:p w14:paraId="0A148A53" w14:textId="6049CD48" w:rsidR="00B71C25" w:rsidRPr="001357D3" w:rsidRDefault="000D4BE4" w:rsidP="000D4BE4">
      <w:pPr>
        <w:pStyle w:val="ManualConsidrant"/>
        <w:rPr>
          <w:rFonts w:eastAsia="Times New Roman"/>
          <w:noProof/>
        </w:rPr>
      </w:pPr>
      <w:r w:rsidRPr="000D4BE4">
        <w:rPr>
          <w:noProof/>
        </w:rPr>
        <w:t>(14)</w:t>
      </w:r>
      <w:r w:rsidRPr="000D4BE4">
        <w:rPr>
          <w:noProof/>
        </w:rPr>
        <w:tab/>
      </w:r>
      <w:r w:rsidR="313E0BF2" w:rsidRPr="001357D3">
        <w:rPr>
          <w:noProof/>
        </w:rPr>
        <w:t>W ramach Programu należy wspierać roczny program prac Europejskiej Sieci Szkolenia Kadr Wymiaru Sprawiedliwości (EJTN), która ma zasadnicze znaczenie</w:t>
      </w:r>
      <w:r w:rsidR="001C6403" w:rsidRPr="001357D3">
        <w:rPr>
          <w:noProof/>
        </w:rPr>
        <w:t xml:space="preserve"> z</w:t>
      </w:r>
      <w:r w:rsidR="001C6403">
        <w:rPr>
          <w:noProof/>
        </w:rPr>
        <w:t> </w:t>
      </w:r>
      <w:r w:rsidR="001C6403" w:rsidRPr="001357D3">
        <w:rPr>
          <w:noProof/>
        </w:rPr>
        <w:t>pun</w:t>
      </w:r>
      <w:r w:rsidR="313E0BF2" w:rsidRPr="001357D3">
        <w:rPr>
          <w:noProof/>
        </w:rPr>
        <w:t>ktu widzenia szkolenia kadr wymiaru sprawiedliwości</w:t>
      </w:r>
      <w:r w:rsidR="001C6403" w:rsidRPr="001357D3">
        <w:rPr>
          <w:noProof/>
        </w:rPr>
        <w:t xml:space="preserve"> i</w:t>
      </w:r>
      <w:r w:rsidR="001C6403">
        <w:rPr>
          <w:noProof/>
        </w:rPr>
        <w:t> </w:t>
      </w:r>
      <w:r w:rsidR="001C6403" w:rsidRPr="001357D3">
        <w:rPr>
          <w:noProof/>
        </w:rPr>
        <w:t>odg</w:t>
      </w:r>
      <w:r w:rsidR="313E0BF2" w:rsidRPr="001357D3">
        <w:rPr>
          <w:noProof/>
        </w:rPr>
        <w:t>rywa ważną rolę we wspieraniu</w:t>
      </w:r>
      <w:r w:rsidR="001C6403" w:rsidRPr="001357D3">
        <w:rPr>
          <w:noProof/>
        </w:rPr>
        <w:t xml:space="preserve"> i</w:t>
      </w:r>
      <w:r w:rsidR="001C6403">
        <w:rPr>
          <w:noProof/>
        </w:rPr>
        <w:t> </w:t>
      </w:r>
      <w:r w:rsidR="001C6403" w:rsidRPr="001357D3">
        <w:rPr>
          <w:noProof/>
        </w:rPr>
        <w:t>rea</w:t>
      </w:r>
      <w:r w:rsidR="313E0BF2" w:rsidRPr="001357D3">
        <w:rPr>
          <w:noProof/>
        </w:rPr>
        <w:t>lizacji celów europejskiej polityki szkolenia kadr wymiaru sprawiedliwości. EJTN jest jedyną siecią na szczeblu Unii skupiającą organy szkolenia kadr wymiaru sprawiedliwości państw członkowskich. Ma zatem wyjątkową możliwość organizowania wymian kadr wymiaru sprawiedliwości poszczególnych państw członkowskich</w:t>
      </w:r>
      <w:r w:rsidR="001C6403" w:rsidRPr="001357D3">
        <w:rPr>
          <w:noProof/>
        </w:rPr>
        <w:t xml:space="preserve"> i</w:t>
      </w:r>
      <w:r w:rsidR="001C6403">
        <w:rPr>
          <w:noProof/>
        </w:rPr>
        <w:t> </w:t>
      </w:r>
      <w:r w:rsidR="001C6403" w:rsidRPr="001357D3">
        <w:rPr>
          <w:noProof/>
        </w:rPr>
        <w:t>ich</w:t>
      </w:r>
      <w:r w:rsidR="313E0BF2" w:rsidRPr="001357D3">
        <w:rPr>
          <w:noProof/>
        </w:rPr>
        <w:t xml:space="preserve"> szkoleń oraz koordynowania prac krajowych organów szkolenia kadr wymiaru sprawiedliwości, sprzyjając tym samym synergii między szkoleniami wspieranymi przez Unię</w:t>
      </w:r>
      <w:r w:rsidR="001C6403" w:rsidRPr="001357D3">
        <w:rPr>
          <w:noProof/>
        </w:rPr>
        <w:t xml:space="preserve"> i</w:t>
      </w:r>
      <w:r w:rsidR="001C6403">
        <w:rPr>
          <w:noProof/>
        </w:rPr>
        <w:t> </w:t>
      </w:r>
      <w:r w:rsidR="001C6403" w:rsidRPr="001357D3">
        <w:rPr>
          <w:noProof/>
        </w:rPr>
        <w:t>fin</w:t>
      </w:r>
      <w:r w:rsidR="313E0BF2" w:rsidRPr="001357D3">
        <w:rPr>
          <w:noProof/>
        </w:rPr>
        <w:t>ansowanymi ze środków krajowych oraz wspierając ustrukturyzowaną komunikację między unijnymi</w:t>
      </w:r>
      <w:r w:rsidR="001C6403" w:rsidRPr="001357D3">
        <w:rPr>
          <w:noProof/>
        </w:rPr>
        <w:t xml:space="preserve"> a</w:t>
      </w:r>
      <w:r w:rsidR="001C6403">
        <w:rPr>
          <w:noProof/>
        </w:rPr>
        <w:t> </w:t>
      </w:r>
      <w:r w:rsidR="001C6403" w:rsidRPr="001357D3">
        <w:rPr>
          <w:noProof/>
        </w:rPr>
        <w:t>kra</w:t>
      </w:r>
      <w:r w:rsidR="313E0BF2" w:rsidRPr="001357D3">
        <w:rPr>
          <w:noProof/>
        </w:rPr>
        <w:t>jowymi organizatorami szkoleń.</w:t>
      </w:r>
      <w:bookmarkStart w:id="37" w:name="_Hlk203235697"/>
      <w:r w:rsidR="313E0BF2" w:rsidRPr="001357D3">
        <w:rPr>
          <w:noProof/>
        </w:rPr>
        <w:t xml:space="preserve"> Ponadto EJTN może również obejmować organy szkolenia kadr wymiaru sprawiedliwości krajów kandydujących oraz potencjalnych kandydatów jako członków</w:t>
      </w:r>
      <w:r w:rsidR="001C6403" w:rsidRPr="001357D3">
        <w:rPr>
          <w:noProof/>
        </w:rPr>
        <w:t xml:space="preserve"> w</w:t>
      </w:r>
      <w:r w:rsidR="001C6403">
        <w:rPr>
          <w:noProof/>
        </w:rPr>
        <w:t> </w:t>
      </w:r>
      <w:r w:rsidR="001C6403" w:rsidRPr="001357D3">
        <w:rPr>
          <w:noProof/>
        </w:rPr>
        <w:t>cha</w:t>
      </w:r>
      <w:r w:rsidR="313E0BF2" w:rsidRPr="001357D3">
        <w:rPr>
          <w:noProof/>
        </w:rPr>
        <w:t>rakterze obserwatora.</w:t>
      </w:r>
    </w:p>
    <w:p w14:paraId="09F4430C" w14:textId="1C6EC35F" w:rsidR="00B71C25" w:rsidRPr="001357D3" w:rsidRDefault="000D4BE4" w:rsidP="000D4BE4">
      <w:pPr>
        <w:pStyle w:val="ManualConsidrant"/>
        <w:rPr>
          <w:rFonts w:eastAsia="Times New Roman"/>
          <w:noProof/>
        </w:rPr>
      </w:pPr>
      <w:r w:rsidRPr="000D4BE4">
        <w:rPr>
          <w:noProof/>
        </w:rPr>
        <w:t>(15)</w:t>
      </w:r>
      <w:r w:rsidRPr="000D4BE4">
        <w:rPr>
          <w:noProof/>
        </w:rPr>
        <w:tab/>
      </w:r>
      <w:r w:rsidR="00B71C25" w:rsidRPr="001357D3">
        <w:rPr>
          <w:rStyle w:val="normaltextrun"/>
          <w:noProof/>
        </w:rPr>
        <w:t>Ochrona praw dziecka jest podstawowym celem Unii zapisanym</w:t>
      </w:r>
      <w:r w:rsidR="001C6403" w:rsidRPr="001357D3">
        <w:rPr>
          <w:rStyle w:val="normaltextrun"/>
          <w:noProof/>
        </w:rPr>
        <w:t xml:space="preserve"> w</w:t>
      </w:r>
      <w:r w:rsidR="001C6403">
        <w:rPr>
          <w:rStyle w:val="normaltextrun"/>
          <w:noProof/>
        </w:rPr>
        <w:t> </w:t>
      </w:r>
      <w:r w:rsidR="001C6403" w:rsidRPr="001357D3">
        <w:rPr>
          <w:rStyle w:val="normaltextrun"/>
          <w:noProof/>
        </w:rPr>
        <w:t>art</w:t>
      </w:r>
      <w:r w:rsidR="00B71C25" w:rsidRPr="001357D3">
        <w:rPr>
          <w:rStyle w:val="normaltextrun"/>
          <w:noProof/>
        </w:rPr>
        <w:t>. 3 ust. 3 TUE</w:t>
      </w:r>
      <w:r w:rsidR="001C6403" w:rsidRPr="001357D3">
        <w:rPr>
          <w:rStyle w:val="normaltextrun"/>
          <w:noProof/>
        </w:rPr>
        <w:t xml:space="preserve"> i</w:t>
      </w:r>
      <w:r w:rsidR="001C6403">
        <w:rPr>
          <w:rStyle w:val="normaltextrun"/>
          <w:noProof/>
        </w:rPr>
        <w:t> </w:t>
      </w:r>
      <w:r w:rsidR="001C6403" w:rsidRPr="001357D3">
        <w:rPr>
          <w:rStyle w:val="normaltextrun"/>
          <w:noProof/>
        </w:rPr>
        <w:t>art</w:t>
      </w:r>
      <w:r w:rsidR="00B71C25" w:rsidRPr="001357D3">
        <w:rPr>
          <w:rStyle w:val="normaltextrun"/>
          <w:noProof/>
        </w:rPr>
        <w:t>. 24 Karty. We wszystkich działaniach dotyczących dzieci sprawą nadrzędną będzie najlepsze zabezpieczenie interesów dziecka. Ma to zasadnicze znaczenie dla legalności</w:t>
      </w:r>
      <w:r w:rsidR="001C6403" w:rsidRPr="001357D3">
        <w:rPr>
          <w:rStyle w:val="normaltextrun"/>
          <w:noProof/>
        </w:rPr>
        <w:t xml:space="preserve"> i</w:t>
      </w:r>
      <w:r w:rsidR="001C6403">
        <w:rPr>
          <w:rStyle w:val="normaltextrun"/>
          <w:noProof/>
        </w:rPr>
        <w:t> </w:t>
      </w:r>
      <w:r w:rsidR="001C6403" w:rsidRPr="001357D3">
        <w:rPr>
          <w:rStyle w:val="normaltextrun"/>
          <w:noProof/>
        </w:rPr>
        <w:t>sku</w:t>
      </w:r>
      <w:r w:rsidR="00B71C25" w:rsidRPr="001357D3">
        <w:rPr>
          <w:rStyle w:val="normaltextrun"/>
          <w:noProof/>
        </w:rPr>
        <w:t>teczności systemów wymiaru sprawiedliwości.</w:t>
      </w:r>
      <w:r w:rsidR="00B71C25" w:rsidRPr="001357D3">
        <w:rPr>
          <w:rStyle w:val="eop"/>
          <w:noProof/>
        </w:rPr>
        <w:t xml:space="preserve"> </w:t>
      </w:r>
      <w:r w:rsidR="00B71C25" w:rsidRPr="001357D3">
        <w:rPr>
          <w:rStyle w:val="normaltextrun"/>
          <w:noProof/>
        </w:rPr>
        <w:t>Dzieci biorące udział</w:t>
      </w:r>
      <w:r w:rsidR="001C6403" w:rsidRPr="001357D3">
        <w:rPr>
          <w:rStyle w:val="normaltextrun"/>
          <w:noProof/>
        </w:rPr>
        <w:t xml:space="preserve"> w</w:t>
      </w:r>
      <w:r w:rsidR="001C6403">
        <w:rPr>
          <w:rStyle w:val="normaltextrun"/>
          <w:noProof/>
        </w:rPr>
        <w:t> </w:t>
      </w:r>
      <w:r w:rsidR="001C6403" w:rsidRPr="001357D3">
        <w:rPr>
          <w:rStyle w:val="normaltextrun"/>
          <w:noProof/>
        </w:rPr>
        <w:t>pos</w:t>
      </w:r>
      <w:r w:rsidR="00B71C25" w:rsidRPr="001357D3">
        <w:rPr>
          <w:rStyle w:val="normaltextrun"/>
          <w:noProof/>
        </w:rPr>
        <w:t>tępowaniu sądowym jako świadkowie, ofiary, podejrzani, oskarżeni lub osoby skazane bądź</w:t>
      </w:r>
      <w:r w:rsidR="001C6403" w:rsidRPr="001357D3">
        <w:rPr>
          <w:rStyle w:val="normaltextrun"/>
          <w:noProof/>
        </w:rPr>
        <w:t xml:space="preserve"> o</w:t>
      </w:r>
      <w:r w:rsidR="001C6403">
        <w:rPr>
          <w:rStyle w:val="normaltextrun"/>
          <w:noProof/>
        </w:rPr>
        <w:t> </w:t>
      </w:r>
      <w:r w:rsidR="001C6403" w:rsidRPr="001357D3">
        <w:rPr>
          <w:rStyle w:val="normaltextrun"/>
          <w:noProof/>
        </w:rPr>
        <w:t>inn</w:t>
      </w:r>
      <w:r w:rsidR="00B71C25" w:rsidRPr="001357D3">
        <w:rPr>
          <w:rStyle w:val="normaltextrun"/>
          <w:noProof/>
        </w:rPr>
        <w:t>ym charakterze, często napotykają poważne przeszkody, które ograniczają ich zdolność do skutecznego uczestnictwa</w:t>
      </w:r>
      <w:r w:rsidR="001C6403" w:rsidRPr="001357D3">
        <w:rPr>
          <w:rStyle w:val="normaltextrun"/>
          <w:noProof/>
        </w:rPr>
        <w:t xml:space="preserve"> i</w:t>
      </w:r>
      <w:r w:rsidR="001C6403">
        <w:rPr>
          <w:rStyle w:val="normaltextrun"/>
          <w:noProof/>
        </w:rPr>
        <w:t> </w:t>
      </w:r>
      <w:r w:rsidR="001C6403" w:rsidRPr="001357D3">
        <w:rPr>
          <w:rStyle w:val="normaltextrun"/>
          <w:noProof/>
        </w:rPr>
        <w:t>kor</w:t>
      </w:r>
      <w:r w:rsidR="00B71C25" w:rsidRPr="001357D3">
        <w:rPr>
          <w:rStyle w:val="normaltextrun"/>
          <w:noProof/>
        </w:rPr>
        <w:t>zystania</w:t>
      </w:r>
      <w:r w:rsidR="001C6403" w:rsidRPr="001357D3">
        <w:rPr>
          <w:rStyle w:val="normaltextrun"/>
          <w:noProof/>
        </w:rPr>
        <w:t xml:space="preserve"> z</w:t>
      </w:r>
      <w:r w:rsidR="001C6403">
        <w:rPr>
          <w:rStyle w:val="normaltextrun"/>
          <w:noProof/>
        </w:rPr>
        <w:t> </w:t>
      </w:r>
      <w:r w:rsidR="001C6403" w:rsidRPr="001357D3">
        <w:rPr>
          <w:rStyle w:val="normaltextrun"/>
          <w:noProof/>
        </w:rPr>
        <w:t>odp</w:t>
      </w:r>
      <w:r w:rsidR="00B71C25" w:rsidRPr="001357D3">
        <w:rPr>
          <w:rStyle w:val="normaltextrun"/>
          <w:noProof/>
        </w:rPr>
        <w:t>owiednich gwarancji.</w:t>
      </w:r>
      <w:r w:rsidR="00B71C25" w:rsidRPr="001357D3">
        <w:rPr>
          <w:rStyle w:val="eop"/>
          <w:noProof/>
        </w:rPr>
        <w:t xml:space="preserve"> </w:t>
      </w:r>
      <w:r w:rsidR="00B71C25" w:rsidRPr="001357D3">
        <w:rPr>
          <w:rStyle w:val="normaltextrun"/>
          <w:noProof/>
        </w:rPr>
        <w:t>Konieczne jest zatem wzmocnienie zdolności krajowych systemów wymiaru sprawiedliwości</w:t>
      </w:r>
      <w:r w:rsidR="001C6403" w:rsidRPr="001357D3">
        <w:rPr>
          <w:rStyle w:val="normaltextrun"/>
          <w:noProof/>
        </w:rPr>
        <w:t xml:space="preserve"> i</w:t>
      </w:r>
      <w:r w:rsidR="001C6403">
        <w:rPr>
          <w:rStyle w:val="normaltextrun"/>
          <w:noProof/>
        </w:rPr>
        <w:t> </w:t>
      </w:r>
      <w:r w:rsidR="001C6403" w:rsidRPr="001357D3">
        <w:rPr>
          <w:rStyle w:val="normaltextrun"/>
          <w:noProof/>
        </w:rPr>
        <w:t>pra</w:t>
      </w:r>
      <w:r w:rsidR="00B71C25" w:rsidRPr="001357D3">
        <w:rPr>
          <w:rStyle w:val="normaltextrun"/>
          <w:noProof/>
        </w:rPr>
        <w:t>ktyków</w:t>
      </w:r>
      <w:r w:rsidR="001C6403" w:rsidRPr="001357D3">
        <w:rPr>
          <w:rStyle w:val="normaltextrun"/>
          <w:noProof/>
        </w:rPr>
        <w:t xml:space="preserve"> w</w:t>
      </w:r>
      <w:r w:rsidR="001C6403">
        <w:rPr>
          <w:rStyle w:val="normaltextrun"/>
          <w:noProof/>
        </w:rPr>
        <w:t> </w:t>
      </w:r>
      <w:r w:rsidR="001C6403" w:rsidRPr="001357D3">
        <w:rPr>
          <w:rStyle w:val="normaltextrun"/>
          <w:noProof/>
        </w:rPr>
        <w:t>zak</w:t>
      </w:r>
      <w:r w:rsidR="00B71C25" w:rsidRPr="001357D3">
        <w:rPr>
          <w:rStyle w:val="normaltextrun"/>
          <w:noProof/>
        </w:rPr>
        <w:t>resie zaspokajania szczególnych potrzeb dzieci, aby skuteczne korzystanie</w:t>
      </w:r>
      <w:r w:rsidR="001C6403" w:rsidRPr="001357D3">
        <w:rPr>
          <w:rStyle w:val="normaltextrun"/>
          <w:noProof/>
        </w:rPr>
        <w:t xml:space="preserve"> z</w:t>
      </w:r>
      <w:r w:rsidR="001C6403">
        <w:rPr>
          <w:rStyle w:val="normaltextrun"/>
          <w:noProof/>
        </w:rPr>
        <w:t> </w:t>
      </w:r>
      <w:r w:rsidR="001C6403" w:rsidRPr="001357D3">
        <w:rPr>
          <w:rStyle w:val="normaltextrun"/>
          <w:noProof/>
        </w:rPr>
        <w:t>prz</w:t>
      </w:r>
      <w:r w:rsidR="00B71C25" w:rsidRPr="001357D3">
        <w:rPr>
          <w:rStyle w:val="normaltextrun"/>
          <w:noProof/>
        </w:rPr>
        <w:t>ysługujących im praw było zagwarantowane.</w:t>
      </w:r>
    </w:p>
    <w:bookmarkEnd w:id="37"/>
    <w:p w14:paraId="11DC268C" w14:textId="6093AD5D" w:rsidR="00487ADB" w:rsidRPr="001357D3" w:rsidRDefault="000D4BE4" w:rsidP="000D4BE4">
      <w:pPr>
        <w:pStyle w:val="ManualConsidrant"/>
        <w:rPr>
          <w:noProof/>
        </w:rPr>
      </w:pPr>
      <w:r w:rsidRPr="000D4BE4">
        <w:rPr>
          <w:noProof/>
        </w:rPr>
        <w:t>(16)</w:t>
      </w:r>
      <w:r w:rsidRPr="000D4BE4">
        <w:rPr>
          <w:noProof/>
        </w:rPr>
        <w:tab/>
      </w:r>
      <w:r w:rsidR="313E0BF2" w:rsidRPr="001357D3">
        <w:rPr>
          <w:noProof/>
        </w:rPr>
        <w:t>Program powinien przyczyniać się do cyfryzacji wymiaru sprawiedliwości,</w:t>
      </w:r>
      <w:r w:rsidR="001C6403" w:rsidRPr="001357D3">
        <w:rPr>
          <w:noProof/>
        </w:rPr>
        <w:t xml:space="preserve"> w</w:t>
      </w:r>
      <w:r w:rsidR="001C6403">
        <w:rPr>
          <w:noProof/>
        </w:rPr>
        <w:t> </w:t>
      </w:r>
      <w:r w:rsidR="001C6403" w:rsidRPr="001357D3">
        <w:rPr>
          <w:noProof/>
        </w:rPr>
        <w:t>tym</w:t>
      </w:r>
      <w:r w:rsidR="313E0BF2" w:rsidRPr="001357D3">
        <w:rPr>
          <w:noProof/>
        </w:rPr>
        <w:t xml:space="preserve"> poprzez opracowywanie, wdrażanie</w:t>
      </w:r>
      <w:r w:rsidR="001C6403" w:rsidRPr="001357D3">
        <w:rPr>
          <w:noProof/>
        </w:rPr>
        <w:t xml:space="preserve"> i</w:t>
      </w:r>
      <w:r w:rsidR="001C6403">
        <w:rPr>
          <w:noProof/>
        </w:rPr>
        <w:t> </w:t>
      </w:r>
      <w:r w:rsidR="001C6403" w:rsidRPr="001357D3">
        <w:rPr>
          <w:noProof/>
        </w:rPr>
        <w:t>utr</w:t>
      </w:r>
      <w:r w:rsidR="313E0BF2" w:rsidRPr="001357D3">
        <w:rPr>
          <w:noProof/>
        </w:rPr>
        <w:t>zymywanie narzędzi na szczeblu Unii</w:t>
      </w:r>
      <w:r w:rsidR="001C6403" w:rsidRPr="001357D3">
        <w:rPr>
          <w:noProof/>
        </w:rPr>
        <w:t>. I</w:t>
      </w:r>
      <w:r w:rsidR="001C6403">
        <w:rPr>
          <w:noProof/>
        </w:rPr>
        <w:t> </w:t>
      </w:r>
      <w:r w:rsidR="001C6403" w:rsidRPr="001357D3">
        <w:rPr>
          <w:noProof/>
        </w:rPr>
        <w:t>tak</w:t>
      </w:r>
      <w:r w:rsidR="313E0BF2" w:rsidRPr="001357D3">
        <w:rPr>
          <w:noProof/>
        </w:rPr>
        <w:t>, można by wspierać wykorzystywanie narzędzi ułatwiających komunikację cyfrową między sądami</w:t>
      </w:r>
      <w:r w:rsidR="001C6403" w:rsidRPr="001357D3">
        <w:rPr>
          <w:noProof/>
        </w:rPr>
        <w:t xml:space="preserve"> i</w:t>
      </w:r>
      <w:r w:rsidR="001C6403">
        <w:rPr>
          <w:noProof/>
        </w:rPr>
        <w:t> </w:t>
      </w:r>
      <w:r w:rsidR="001C6403" w:rsidRPr="001357D3">
        <w:rPr>
          <w:noProof/>
        </w:rPr>
        <w:t>str</w:t>
      </w:r>
      <w:r w:rsidR="313E0BF2" w:rsidRPr="001357D3">
        <w:rPr>
          <w:noProof/>
        </w:rPr>
        <w:t>onami</w:t>
      </w:r>
      <w:r w:rsidR="00AC1B68">
        <w:rPr>
          <w:noProof/>
        </w:rPr>
        <w:t xml:space="preserve"> (</w:t>
      </w:r>
      <w:r w:rsidR="313E0BF2" w:rsidRPr="001357D3">
        <w:rPr>
          <w:noProof/>
        </w:rPr>
        <w:t>takich jak europejski elektroniczny punkt dostępu</w:t>
      </w:r>
      <w:r w:rsidR="00AC1B68">
        <w:rPr>
          <w:noProof/>
        </w:rPr>
        <w:t xml:space="preserve">, który </w:t>
      </w:r>
      <w:r w:rsidR="313E0BF2" w:rsidRPr="001357D3">
        <w:rPr>
          <w:noProof/>
        </w:rPr>
        <w:t>usprawnia dostęp do danych sądowych, np. europejskiej sygnatury orzecznictwa</w:t>
      </w:r>
      <w:r w:rsidR="00AC1B68">
        <w:rPr>
          <w:noProof/>
        </w:rPr>
        <w:t>)</w:t>
      </w:r>
      <w:r w:rsidR="313E0BF2" w:rsidRPr="001357D3">
        <w:rPr>
          <w:noProof/>
        </w:rPr>
        <w:t xml:space="preserve"> lub zwiększających skuteczność</w:t>
      </w:r>
      <w:r w:rsidR="001C6403" w:rsidRPr="001357D3">
        <w:rPr>
          <w:noProof/>
        </w:rPr>
        <w:t xml:space="preserve"> i</w:t>
      </w:r>
      <w:r w:rsidR="001C6403">
        <w:rPr>
          <w:noProof/>
        </w:rPr>
        <w:t> </w:t>
      </w:r>
      <w:r w:rsidR="001C6403" w:rsidRPr="001357D3">
        <w:rPr>
          <w:noProof/>
        </w:rPr>
        <w:t>bez</w:t>
      </w:r>
      <w:r w:rsidR="313E0BF2" w:rsidRPr="001357D3">
        <w:rPr>
          <w:noProof/>
        </w:rPr>
        <w:t xml:space="preserve">pieczeństwo cyfrowych procedur sądowych, </w:t>
      </w:r>
      <w:r w:rsidR="00463E26">
        <w:rPr>
          <w:noProof/>
        </w:rPr>
        <w:t>takich jak</w:t>
      </w:r>
      <w:r w:rsidR="313E0BF2" w:rsidRPr="001357D3">
        <w:rPr>
          <w:noProof/>
        </w:rPr>
        <w:t xml:space="preserve"> usługi zaufania,</w:t>
      </w:r>
      <w:r w:rsidR="001C6403" w:rsidRPr="001357D3">
        <w:rPr>
          <w:noProof/>
        </w:rPr>
        <w:t xml:space="preserve"> o</w:t>
      </w:r>
      <w:r w:rsidR="001C6403">
        <w:rPr>
          <w:noProof/>
        </w:rPr>
        <w:t> </w:t>
      </w:r>
      <w:r w:rsidR="001C6403" w:rsidRPr="001357D3">
        <w:rPr>
          <w:noProof/>
        </w:rPr>
        <w:t>któ</w:t>
      </w:r>
      <w:r w:rsidR="313E0BF2" w:rsidRPr="001357D3">
        <w:rPr>
          <w:noProof/>
        </w:rPr>
        <w:t>rych mowa</w:t>
      </w:r>
      <w:r w:rsidR="001C6403" w:rsidRPr="001357D3">
        <w:rPr>
          <w:noProof/>
        </w:rPr>
        <w:t xml:space="preserve"> w</w:t>
      </w:r>
      <w:r w:rsidR="001C6403">
        <w:rPr>
          <w:noProof/>
        </w:rPr>
        <w:t> </w:t>
      </w:r>
      <w:r w:rsidR="001C6403" w:rsidRPr="001357D3">
        <w:rPr>
          <w:noProof/>
        </w:rPr>
        <w:t>roz</w:t>
      </w:r>
      <w:r w:rsidR="313E0BF2" w:rsidRPr="001357D3">
        <w:rPr>
          <w:noProof/>
        </w:rPr>
        <w:t>porządzeniu (UE) nr 910/2014, czy europejskie portfele tożsamości cyfrowej. Dobrze funkcjonująca unijna przestrzeń sprawiedliwości, oparta na skutecznych</w:t>
      </w:r>
      <w:r w:rsidR="001C6403" w:rsidRPr="001357D3">
        <w:rPr>
          <w:noProof/>
        </w:rPr>
        <w:t xml:space="preserve"> i</w:t>
      </w:r>
      <w:r w:rsidR="001C6403">
        <w:rPr>
          <w:noProof/>
        </w:rPr>
        <w:t> </w:t>
      </w:r>
      <w:r w:rsidR="001C6403" w:rsidRPr="001357D3">
        <w:rPr>
          <w:noProof/>
        </w:rPr>
        <w:t>odp</w:t>
      </w:r>
      <w:r w:rsidR="313E0BF2" w:rsidRPr="001357D3">
        <w:rPr>
          <w:noProof/>
        </w:rPr>
        <w:t xml:space="preserve">ornych krajowych systemach wymiaru </w:t>
      </w:r>
      <w:r w:rsidR="313E0BF2" w:rsidRPr="001357D3">
        <w:rPr>
          <w:noProof/>
        </w:rPr>
        <w:lastRenderedPageBreak/>
        <w:t>sprawiedliwości, jest niezbędna dla dobrze prosperującego rynku wewnętrznego</w:t>
      </w:r>
      <w:r w:rsidR="001C6403" w:rsidRPr="001357D3">
        <w:rPr>
          <w:noProof/>
        </w:rPr>
        <w:t xml:space="preserve"> i</w:t>
      </w:r>
      <w:r w:rsidR="001C6403">
        <w:rPr>
          <w:noProof/>
        </w:rPr>
        <w:t> </w:t>
      </w:r>
      <w:r w:rsidR="001C6403" w:rsidRPr="001357D3">
        <w:rPr>
          <w:noProof/>
        </w:rPr>
        <w:t>sta</w:t>
      </w:r>
      <w:r w:rsidR="313E0BF2" w:rsidRPr="001357D3">
        <w:rPr>
          <w:noProof/>
        </w:rPr>
        <w:t>nowi warunek wzrostu gospodarczego, stabilnych rynków finansowych</w:t>
      </w:r>
      <w:r w:rsidR="001C6403" w:rsidRPr="001357D3">
        <w:rPr>
          <w:noProof/>
        </w:rPr>
        <w:t xml:space="preserve"> i</w:t>
      </w:r>
      <w:r w:rsidR="001C6403">
        <w:rPr>
          <w:noProof/>
        </w:rPr>
        <w:t> </w:t>
      </w:r>
      <w:r w:rsidR="001C6403" w:rsidRPr="001357D3">
        <w:rPr>
          <w:noProof/>
        </w:rPr>
        <w:t>kon</w:t>
      </w:r>
      <w:r w:rsidR="313E0BF2" w:rsidRPr="001357D3">
        <w:rPr>
          <w:noProof/>
        </w:rPr>
        <w:t>kurencyjności. Cyfryzacja zwiększa skuteczność transgranicznych postępowań sądowych</w:t>
      </w:r>
      <w:r w:rsidR="001C6403" w:rsidRPr="001357D3">
        <w:rPr>
          <w:noProof/>
        </w:rPr>
        <w:t xml:space="preserve"> w</w:t>
      </w:r>
      <w:r w:rsidR="001C6403">
        <w:rPr>
          <w:noProof/>
        </w:rPr>
        <w:t> </w:t>
      </w:r>
      <w:r w:rsidR="001C6403" w:rsidRPr="001357D3">
        <w:rPr>
          <w:noProof/>
        </w:rPr>
        <w:t>spr</w:t>
      </w:r>
      <w:r w:rsidR="313E0BF2" w:rsidRPr="001357D3">
        <w:rPr>
          <w:noProof/>
        </w:rPr>
        <w:t>awach cywilnych</w:t>
      </w:r>
      <w:r w:rsidR="001C6403" w:rsidRPr="001357D3">
        <w:rPr>
          <w:noProof/>
        </w:rPr>
        <w:t xml:space="preserve"> i</w:t>
      </w:r>
      <w:r w:rsidR="001C6403">
        <w:rPr>
          <w:noProof/>
        </w:rPr>
        <w:t> </w:t>
      </w:r>
      <w:r w:rsidR="001C6403" w:rsidRPr="001357D3">
        <w:rPr>
          <w:noProof/>
        </w:rPr>
        <w:t>kar</w:t>
      </w:r>
      <w:r w:rsidR="313E0BF2" w:rsidRPr="001357D3">
        <w:rPr>
          <w:noProof/>
        </w:rPr>
        <w:t>nych,</w:t>
      </w:r>
      <w:r w:rsidR="001C6403" w:rsidRPr="001357D3">
        <w:rPr>
          <w:noProof/>
        </w:rPr>
        <w:t xml:space="preserve"> a</w:t>
      </w:r>
      <w:r w:rsidR="001C6403">
        <w:rPr>
          <w:noProof/>
        </w:rPr>
        <w:t> </w:t>
      </w:r>
      <w:r w:rsidR="001C6403" w:rsidRPr="001357D3">
        <w:rPr>
          <w:noProof/>
        </w:rPr>
        <w:t>tak</w:t>
      </w:r>
      <w:r w:rsidR="313E0BF2" w:rsidRPr="001357D3">
        <w:rPr>
          <w:noProof/>
        </w:rPr>
        <w:t>że dostęp do wymiaru sprawiedliwości</w:t>
      </w:r>
      <w:r w:rsidR="001C6403" w:rsidRPr="001357D3">
        <w:rPr>
          <w:noProof/>
        </w:rPr>
        <w:t xml:space="preserve"> w</w:t>
      </w:r>
      <w:r w:rsidR="001C6403">
        <w:rPr>
          <w:noProof/>
        </w:rPr>
        <w:t> </w:t>
      </w:r>
      <w:r w:rsidR="001C6403" w:rsidRPr="001357D3">
        <w:rPr>
          <w:noProof/>
        </w:rPr>
        <w:t>Uni</w:t>
      </w:r>
      <w:r w:rsidR="313E0BF2" w:rsidRPr="001357D3">
        <w:rPr>
          <w:noProof/>
        </w:rPr>
        <w:t>i, co jest</w:t>
      </w:r>
      <w:r w:rsidR="001C6403" w:rsidRPr="001357D3">
        <w:rPr>
          <w:noProof/>
        </w:rPr>
        <w:t xml:space="preserve"> z</w:t>
      </w:r>
      <w:r w:rsidR="001C6403">
        <w:rPr>
          <w:noProof/>
        </w:rPr>
        <w:t> </w:t>
      </w:r>
      <w:r w:rsidR="001C6403" w:rsidRPr="001357D3">
        <w:rPr>
          <w:noProof/>
        </w:rPr>
        <w:t>kol</w:t>
      </w:r>
      <w:r w:rsidR="313E0BF2" w:rsidRPr="001357D3">
        <w:rPr>
          <w:noProof/>
        </w:rPr>
        <w:t>ei siłą napędową inwestycji. Cyfryzacja wymiaru sprawiedliwości umożliwia</w:t>
      </w:r>
      <w:r w:rsidR="001C6403" w:rsidRPr="001357D3">
        <w:rPr>
          <w:noProof/>
        </w:rPr>
        <w:t xml:space="preserve"> i</w:t>
      </w:r>
      <w:r w:rsidR="001C6403">
        <w:rPr>
          <w:noProof/>
        </w:rPr>
        <w:t> </w:t>
      </w:r>
      <w:r w:rsidR="001C6403" w:rsidRPr="001357D3">
        <w:rPr>
          <w:noProof/>
        </w:rPr>
        <w:t>uła</w:t>
      </w:r>
      <w:r w:rsidR="313E0BF2" w:rsidRPr="001357D3">
        <w:rPr>
          <w:noProof/>
        </w:rPr>
        <w:t>twia skuteczną</w:t>
      </w:r>
      <w:r w:rsidR="001C6403" w:rsidRPr="001357D3">
        <w:rPr>
          <w:noProof/>
        </w:rPr>
        <w:t xml:space="preserve"> i</w:t>
      </w:r>
      <w:r w:rsidR="001C6403">
        <w:rPr>
          <w:noProof/>
        </w:rPr>
        <w:t> </w:t>
      </w:r>
      <w:r w:rsidR="001C6403" w:rsidRPr="001357D3">
        <w:rPr>
          <w:noProof/>
        </w:rPr>
        <w:t>efe</w:t>
      </w:r>
      <w:r w:rsidR="313E0BF2" w:rsidRPr="001357D3">
        <w:rPr>
          <w:noProof/>
        </w:rPr>
        <w:t>ktywną współpracę</w:t>
      </w:r>
      <w:r w:rsidR="001C6403" w:rsidRPr="001357D3">
        <w:rPr>
          <w:noProof/>
        </w:rPr>
        <w:t xml:space="preserve"> z</w:t>
      </w:r>
      <w:r w:rsidR="001C6403">
        <w:rPr>
          <w:noProof/>
        </w:rPr>
        <w:t> </w:t>
      </w:r>
      <w:r w:rsidR="001C6403" w:rsidRPr="001357D3">
        <w:rPr>
          <w:noProof/>
        </w:rPr>
        <w:t>inn</w:t>
      </w:r>
      <w:r w:rsidR="313E0BF2" w:rsidRPr="001357D3">
        <w:rPr>
          <w:noProof/>
        </w:rPr>
        <w:t>ymi właściwymi organami</w:t>
      </w:r>
      <w:r w:rsidR="001C6403" w:rsidRPr="001357D3">
        <w:rPr>
          <w:noProof/>
        </w:rPr>
        <w:t xml:space="preserve"> w</w:t>
      </w:r>
      <w:r w:rsidR="001C6403">
        <w:rPr>
          <w:noProof/>
        </w:rPr>
        <w:t> </w:t>
      </w:r>
      <w:r w:rsidR="001C6403" w:rsidRPr="001357D3">
        <w:rPr>
          <w:noProof/>
        </w:rPr>
        <w:t>zak</w:t>
      </w:r>
      <w:r w:rsidR="313E0BF2" w:rsidRPr="001357D3">
        <w:rPr>
          <w:noProof/>
        </w:rPr>
        <w:t>resie wdrażania</w:t>
      </w:r>
      <w:r w:rsidR="001C6403" w:rsidRPr="001357D3">
        <w:rPr>
          <w:noProof/>
        </w:rPr>
        <w:t xml:space="preserve"> i</w:t>
      </w:r>
      <w:r w:rsidR="001C6403">
        <w:rPr>
          <w:noProof/>
        </w:rPr>
        <w:t> </w:t>
      </w:r>
      <w:r w:rsidR="001C6403" w:rsidRPr="001357D3">
        <w:rPr>
          <w:noProof/>
        </w:rPr>
        <w:t>egz</w:t>
      </w:r>
      <w:r w:rsidR="313E0BF2" w:rsidRPr="001357D3">
        <w:rPr>
          <w:noProof/>
        </w:rPr>
        <w:t>ekwowania kluczowych elementów unijnego zbioru prawa cyfrowego, takich jak na przykład akt</w:t>
      </w:r>
      <w:r w:rsidR="001C6403" w:rsidRPr="001357D3">
        <w:rPr>
          <w:noProof/>
        </w:rPr>
        <w:t xml:space="preserve"> o</w:t>
      </w:r>
      <w:r w:rsidR="001C6403">
        <w:rPr>
          <w:noProof/>
        </w:rPr>
        <w:t> </w:t>
      </w:r>
      <w:r w:rsidR="001C6403" w:rsidRPr="001357D3">
        <w:rPr>
          <w:noProof/>
        </w:rPr>
        <w:t>usł</w:t>
      </w:r>
      <w:r w:rsidR="313E0BF2" w:rsidRPr="001357D3">
        <w:rPr>
          <w:noProof/>
        </w:rPr>
        <w:t>ugach cyfrowych. Cyfryzacja systemów wymiaru sprawiedliwości pomaga obniżyć koszty ponoszone zarówno przez budżety publiczne, jak</w:t>
      </w:r>
      <w:r w:rsidR="001C6403" w:rsidRPr="001357D3">
        <w:rPr>
          <w:noProof/>
        </w:rPr>
        <w:t xml:space="preserve"> i</w:t>
      </w:r>
      <w:r w:rsidR="001C6403">
        <w:rPr>
          <w:noProof/>
        </w:rPr>
        <w:t> </w:t>
      </w:r>
      <w:r w:rsidR="001C6403" w:rsidRPr="001357D3">
        <w:rPr>
          <w:noProof/>
        </w:rPr>
        <w:t>uży</w:t>
      </w:r>
      <w:r w:rsidR="313E0BF2" w:rsidRPr="001357D3">
        <w:rPr>
          <w:noProof/>
        </w:rPr>
        <w:t>tkowników końcowych, dbając jednocześnie</w:t>
      </w:r>
      <w:r w:rsidR="001C6403" w:rsidRPr="001357D3">
        <w:rPr>
          <w:noProof/>
        </w:rPr>
        <w:t xml:space="preserve"> o</w:t>
      </w:r>
      <w:r w:rsidR="001C6403">
        <w:rPr>
          <w:noProof/>
        </w:rPr>
        <w:t> </w:t>
      </w:r>
      <w:r w:rsidR="001C6403" w:rsidRPr="001357D3">
        <w:rPr>
          <w:noProof/>
        </w:rPr>
        <w:t>utr</w:t>
      </w:r>
      <w:r w:rsidR="313E0BF2" w:rsidRPr="001357D3">
        <w:rPr>
          <w:noProof/>
        </w:rPr>
        <w:t>zymanie skutecznych usług dla obywateli</w:t>
      </w:r>
      <w:r w:rsidR="001C6403" w:rsidRPr="001357D3">
        <w:rPr>
          <w:noProof/>
        </w:rPr>
        <w:t xml:space="preserve"> i</w:t>
      </w:r>
      <w:r w:rsidR="001C6403">
        <w:rPr>
          <w:noProof/>
        </w:rPr>
        <w:t> </w:t>
      </w:r>
      <w:r w:rsidR="001C6403" w:rsidRPr="001357D3">
        <w:rPr>
          <w:noProof/>
        </w:rPr>
        <w:t>prz</w:t>
      </w:r>
      <w:r w:rsidR="313E0BF2" w:rsidRPr="001357D3">
        <w:rPr>
          <w:noProof/>
        </w:rPr>
        <w:t>edsiębiorstw. Dzięki temu pracownicy wymiaru sprawiedliwości mogą skupić się na podstawowych zadaniach, poprawiając jakość</w:t>
      </w:r>
      <w:r w:rsidR="001C6403" w:rsidRPr="001357D3">
        <w:rPr>
          <w:noProof/>
        </w:rPr>
        <w:t xml:space="preserve"> i</w:t>
      </w:r>
      <w:r w:rsidR="001C6403">
        <w:rPr>
          <w:noProof/>
        </w:rPr>
        <w:t> </w:t>
      </w:r>
      <w:r w:rsidR="001C6403" w:rsidRPr="001357D3">
        <w:rPr>
          <w:noProof/>
        </w:rPr>
        <w:t>sku</w:t>
      </w:r>
      <w:r w:rsidR="313E0BF2" w:rsidRPr="001357D3">
        <w:rPr>
          <w:noProof/>
        </w:rPr>
        <w:t>teczność postępowań. Narzędzia cyfrowe zwiększają dostęp do wymiaru sprawiedliwości, umożliwiając komunikację na odległość</w:t>
      </w:r>
      <w:r w:rsidR="001C6403" w:rsidRPr="001357D3">
        <w:rPr>
          <w:noProof/>
        </w:rPr>
        <w:t xml:space="preserve"> i</w:t>
      </w:r>
      <w:r w:rsidR="001C6403">
        <w:rPr>
          <w:noProof/>
        </w:rPr>
        <w:t> </w:t>
      </w:r>
      <w:r w:rsidR="001C6403" w:rsidRPr="001357D3">
        <w:rPr>
          <w:noProof/>
        </w:rPr>
        <w:t>uła</w:t>
      </w:r>
      <w:r w:rsidR="313E0BF2" w:rsidRPr="001357D3">
        <w:rPr>
          <w:noProof/>
        </w:rPr>
        <w:t>twiając dostęp do akt sądowych,</w:t>
      </w:r>
      <w:r w:rsidR="001C6403" w:rsidRPr="001357D3">
        <w:rPr>
          <w:noProof/>
        </w:rPr>
        <w:t xml:space="preserve"> a</w:t>
      </w:r>
      <w:r w:rsidR="001C6403">
        <w:rPr>
          <w:noProof/>
        </w:rPr>
        <w:t> </w:t>
      </w:r>
      <w:r w:rsidR="001C6403" w:rsidRPr="001357D3">
        <w:rPr>
          <w:noProof/>
        </w:rPr>
        <w:t>tym</w:t>
      </w:r>
      <w:r w:rsidR="313E0BF2" w:rsidRPr="001357D3">
        <w:rPr>
          <w:noProof/>
        </w:rPr>
        <w:t xml:space="preserve"> samym zwiększając przejrzystość. Cyfryzacja wzmacnia również odporność krajowych systemów wymiaru sprawiedliwości</w:t>
      </w:r>
      <w:r w:rsidR="001C6403" w:rsidRPr="001357D3">
        <w:rPr>
          <w:noProof/>
        </w:rPr>
        <w:t xml:space="preserve"> w</w:t>
      </w:r>
      <w:r w:rsidR="001C6403">
        <w:rPr>
          <w:noProof/>
        </w:rPr>
        <w:t> </w:t>
      </w:r>
      <w:r w:rsidR="001C6403" w:rsidRPr="001357D3">
        <w:rPr>
          <w:noProof/>
        </w:rPr>
        <w:t>cza</w:t>
      </w:r>
      <w:r w:rsidR="313E0BF2" w:rsidRPr="001357D3">
        <w:rPr>
          <w:noProof/>
        </w:rPr>
        <w:t>sach kryzysu (takich jak pandemie), umożl</w:t>
      </w:r>
      <w:r w:rsidR="00AC1B68">
        <w:rPr>
          <w:noProof/>
        </w:rPr>
        <w:t>i</w:t>
      </w:r>
      <w:r w:rsidR="313E0BF2" w:rsidRPr="001357D3">
        <w:rPr>
          <w:noProof/>
        </w:rPr>
        <w:t>wiając tym systemom dalsze skuteczne działanie</w:t>
      </w:r>
      <w:r w:rsidR="001C6403" w:rsidRPr="001357D3">
        <w:rPr>
          <w:noProof/>
        </w:rPr>
        <w:t xml:space="preserve"> z</w:t>
      </w:r>
      <w:r w:rsidR="001C6403">
        <w:rPr>
          <w:noProof/>
        </w:rPr>
        <w:t> </w:t>
      </w:r>
      <w:r w:rsidR="001C6403" w:rsidRPr="001357D3">
        <w:rPr>
          <w:noProof/>
        </w:rPr>
        <w:t>kor</w:t>
      </w:r>
      <w:r w:rsidR="313E0BF2" w:rsidRPr="001357D3">
        <w:rPr>
          <w:noProof/>
        </w:rPr>
        <w:t>zyścią dla obywateli</w:t>
      </w:r>
      <w:r w:rsidR="001C6403" w:rsidRPr="001357D3">
        <w:rPr>
          <w:noProof/>
        </w:rPr>
        <w:t xml:space="preserve"> i</w:t>
      </w:r>
      <w:r w:rsidR="001C6403">
        <w:rPr>
          <w:noProof/>
        </w:rPr>
        <w:t> </w:t>
      </w:r>
      <w:r w:rsidR="001C6403" w:rsidRPr="001357D3">
        <w:rPr>
          <w:noProof/>
        </w:rPr>
        <w:t>prz</w:t>
      </w:r>
      <w:r w:rsidR="313E0BF2" w:rsidRPr="001357D3">
        <w:rPr>
          <w:noProof/>
        </w:rPr>
        <w:t>edsiębiorstw. Zwiększa to zaufanie do systemu wymiaru sprawiedliwości,</w:t>
      </w:r>
      <w:r w:rsidR="001C6403" w:rsidRPr="001357D3">
        <w:rPr>
          <w:noProof/>
        </w:rPr>
        <w:t xml:space="preserve"> a</w:t>
      </w:r>
      <w:r w:rsidR="001C6403">
        <w:rPr>
          <w:noProof/>
        </w:rPr>
        <w:t> </w:t>
      </w:r>
      <w:r w:rsidR="001C6403" w:rsidRPr="001357D3">
        <w:rPr>
          <w:noProof/>
        </w:rPr>
        <w:t>mia</w:t>
      </w:r>
      <w:r w:rsidR="313E0BF2" w:rsidRPr="001357D3">
        <w:rPr>
          <w:noProof/>
        </w:rPr>
        <w:t>nowicie jego zdolności do niezawodnego funkcjonowania</w:t>
      </w:r>
      <w:r w:rsidR="001C6403" w:rsidRPr="001357D3">
        <w:rPr>
          <w:noProof/>
        </w:rPr>
        <w:t xml:space="preserve"> w</w:t>
      </w:r>
      <w:r w:rsidR="001C6403">
        <w:rPr>
          <w:noProof/>
        </w:rPr>
        <w:t> </w:t>
      </w:r>
      <w:r w:rsidR="001C6403" w:rsidRPr="001357D3">
        <w:rPr>
          <w:noProof/>
        </w:rPr>
        <w:t>nie</w:t>
      </w:r>
      <w:r w:rsidR="313E0BF2" w:rsidRPr="001357D3">
        <w:rPr>
          <w:noProof/>
        </w:rPr>
        <w:t>oczekiwanych okolicznościach.</w:t>
      </w:r>
    </w:p>
    <w:p w14:paraId="05CB6802" w14:textId="48DCFAF0" w:rsidR="00487ADB" w:rsidRPr="001357D3" w:rsidRDefault="000D4BE4" w:rsidP="000D4BE4">
      <w:pPr>
        <w:pStyle w:val="ManualConsidrant"/>
        <w:rPr>
          <w:noProof/>
        </w:rPr>
      </w:pPr>
      <w:bookmarkStart w:id="38" w:name="_Hlk205554195"/>
      <w:r w:rsidRPr="000D4BE4">
        <w:rPr>
          <w:noProof/>
        </w:rPr>
        <w:t>(17)</w:t>
      </w:r>
      <w:r w:rsidRPr="000D4BE4">
        <w:rPr>
          <w:noProof/>
        </w:rPr>
        <w:tab/>
      </w:r>
      <w:r w:rsidR="00CA787E" w:rsidRPr="001357D3">
        <w:rPr>
          <w:noProof/>
        </w:rPr>
        <w:t>Unia musi chronić swoje interesy</w:t>
      </w:r>
      <w:r w:rsidR="001C6403" w:rsidRPr="001357D3">
        <w:rPr>
          <w:noProof/>
        </w:rPr>
        <w:t xml:space="preserve"> w</w:t>
      </w:r>
      <w:r w:rsidR="001C6403">
        <w:rPr>
          <w:noProof/>
        </w:rPr>
        <w:t> </w:t>
      </w:r>
      <w:r w:rsidR="001C6403" w:rsidRPr="001357D3">
        <w:rPr>
          <w:noProof/>
        </w:rPr>
        <w:t>zak</w:t>
      </w:r>
      <w:r w:rsidR="00CA787E" w:rsidRPr="001357D3">
        <w:rPr>
          <w:noProof/>
        </w:rPr>
        <w:t>resie bezpieczeństwa wobec dostawców, którzy mogą stanowić stałe zagrożenie dla bezpieczeństwa ze względu na potencjalną ingerencję ze strony państw trzecich oraz</w:t>
      </w:r>
      <w:r w:rsidR="001C6403" w:rsidRPr="001357D3">
        <w:rPr>
          <w:noProof/>
        </w:rPr>
        <w:t xml:space="preserve"> z</w:t>
      </w:r>
      <w:r w:rsidR="001C6403">
        <w:rPr>
          <w:noProof/>
        </w:rPr>
        <w:t> </w:t>
      </w:r>
      <w:r w:rsidR="001C6403" w:rsidRPr="001357D3">
        <w:rPr>
          <w:noProof/>
        </w:rPr>
        <w:t>pun</w:t>
      </w:r>
      <w:r w:rsidR="00CA787E" w:rsidRPr="001357D3">
        <w:rPr>
          <w:noProof/>
        </w:rPr>
        <w:t>ktu widzenia ich bezpieczeństwa,</w:t>
      </w:r>
      <w:r w:rsidR="001C6403" w:rsidRPr="001357D3">
        <w:rPr>
          <w:noProof/>
        </w:rPr>
        <w:t xml:space="preserve"> w</w:t>
      </w:r>
      <w:r w:rsidR="001C6403">
        <w:rPr>
          <w:noProof/>
        </w:rPr>
        <w:t> </w:t>
      </w:r>
      <w:r w:rsidR="001C6403" w:rsidRPr="001357D3">
        <w:rPr>
          <w:noProof/>
        </w:rPr>
        <w:t>szc</w:t>
      </w:r>
      <w:r w:rsidR="00CA787E" w:rsidRPr="001357D3">
        <w:rPr>
          <w:noProof/>
        </w:rPr>
        <w:t>zególności cyberbezpieczeństwa. Konieczne jest zatem ograniczenie ryzyka utrzymującej się zależności od dostawców wysokiego ryzyka na rynku wewnętrznym,</w:t>
      </w:r>
      <w:r w:rsidR="001C6403" w:rsidRPr="001357D3">
        <w:rPr>
          <w:noProof/>
        </w:rPr>
        <w:t xml:space="preserve"> w</w:t>
      </w:r>
      <w:r w:rsidR="001C6403">
        <w:rPr>
          <w:noProof/>
        </w:rPr>
        <w:t> </w:t>
      </w:r>
      <w:r w:rsidR="001C6403" w:rsidRPr="001357D3">
        <w:rPr>
          <w:noProof/>
        </w:rPr>
        <w:t>tym w</w:t>
      </w:r>
      <w:r w:rsidR="001C6403">
        <w:rPr>
          <w:noProof/>
        </w:rPr>
        <w:t> </w:t>
      </w:r>
      <w:r w:rsidR="001C6403" w:rsidRPr="001357D3">
        <w:rPr>
          <w:noProof/>
        </w:rPr>
        <w:t>łań</w:t>
      </w:r>
      <w:r w:rsidR="00CA787E" w:rsidRPr="001357D3">
        <w:rPr>
          <w:noProof/>
        </w:rPr>
        <w:t>cuchu dostaw ICT, ponieważ mogą oni mieć potencjalnie poważny negatywny wpływ na bezpieczeństwo użytkowników</w:t>
      </w:r>
      <w:r w:rsidR="001C6403" w:rsidRPr="001357D3">
        <w:rPr>
          <w:noProof/>
        </w:rPr>
        <w:t xml:space="preserve"> i</w:t>
      </w:r>
      <w:r w:rsidR="001C6403">
        <w:rPr>
          <w:noProof/>
        </w:rPr>
        <w:t> </w:t>
      </w:r>
      <w:r w:rsidR="001C6403" w:rsidRPr="001357D3">
        <w:rPr>
          <w:noProof/>
        </w:rPr>
        <w:t>prz</w:t>
      </w:r>
      <w:r w:rsidR="00CA787E" w:rsidRPr="001357D3">
        <w:rPr>
          <w:noProof/>
        </w:rPr>
        <w:t>edsiębiorstw</w:t>
      </w:r>
      <w:r w:rsidR="001C6403" w:rsidRPr="001357D3">
        <w:rPr>
          <w:noProof/>
        </w:rPr>
        <w:t xml:space="preserve"> w</w:t>
      </w:r>
      <w:r w:rsidR="001C6403">
        <w:rPr>
          <w:noProof/>
        </w:rPr>
        <w:t> </w:t>
      </w:r>
      <w:r w:rsidR="001C6403" w:rsidRPr="001357D3">
        <w:rPr>
          <w:noProof/>
        </w:rPr>
        <w:t>cał</w:t>
      </w:r>
      <w:r w:rsidR="00CA787E" w:rsidRPr="001357D3">
        <w:rPr>
          <w:noProof/>
        </w:rPr>
        <w:t>ej Unii oraz na infrastrukturę krytyczną Unii pod względem integralności danych</w:t>
      </w:r>
      <w:r w:rsidR="001C6403" w:rsidRPr="001357D3">
        <w:rPr>
          <w:noProof/>
        </w:rPr>
        <w:t xml:space="preserve"> i</w:t>
      </w:r>
      <w:r w:rsidR="001C6403">
        <w:rPr>
          <w:noProof/>
        </w:rPr>
        <w:t> </w:t>
      </w:r>
      <w:r w:rsidR="001C6403" w:rsidRPr="001357D3">
        <w:rPr>
          <w:noProof/>
        </w:rPr>
        <w:t>usł</w:t>
      </w:r>
      <w:r w:rsidR="00CA787E" w:rsidRPr="001357D3">
        <w:rPr>
          <w:noProof/>
        </w:rPr>
        <w:t>ug oraz dostępności usług. Ograniczenie takie powinno opierać się na proporcjonalnej ocenie ryzyka</w:t>
      </w:r>
      <w:r w:rsidR="001C6403" w:rsidRPr="001357D3">
        <w:rPr>
          <w:noProof/>
        </w:rPr>
        <w:t xml:space="preserve"> i</w:t>
      </w:r>
      <w:r w:rsidR="001C6403">
        <w:rPr>
          <w:noProof/>
        </w:rPr>
        <w:t> </w:t>
      </w:r>
      <w:r w:rsidR="001C6403" w:rsidRPr="001357D3">
        <w:rPr>
          <w:noProof/>
        </w:rPr>
        <w:t>odp</w:t>
      </w:r>
      <w:r w:rsidR="00CA787E" w:rsidRPr="001357D3">
        <w:rPr>
          <w:noProof/>
        </w:rPr>
        <w:t>owiednich środkach ograniczających ryzyko, jak określono</w:t>
      </w:r>
      <w:r w:rsidR="001C6403" w:rsidRPr="001357D3">
        <w:rPr>
          <w:noProof/>
        </w:rPr>
        <w:t xml:space="preserve"> w</w:t>
      </w:r>
      <w:r w:rsidR="001C6403">
        <w:rPr>
          <w:noProof/>
        </w:rPr>
        <w:t> </w:t>
      </w:r>
      <w:r w:rsidR="001C6403" w:rsidRPr="001357D3">
        <w:rPr>
          <w:noProof/>
        </w:rPr>
        <w:t>pol</w:t>
      </w:r>
      <w:r w:rsidR="00CA787E" w:rsidRPr="001357D3">
        <w:rPr>
          <w:noProof/>
        </w:rPr>
        <w:t>itykach</w:t>
      </w:r>
      <w:r w:rsidR="001C6403" w:rsidRPr="001357D3">
        <w:rPr>
          <w:noProof/>
        </w:rPr>
        <w:t xml:space="preserve"> i</w:t>
      </w:r>
      <w:r w:rsidR="001C6403">
        <w:rPr>
          <w:noProof/>
        </w:rPr>
        <w:t> </w:t>
      </w:r>
      <w:r w:rsidR="001C6403" w:rsidRPr="001357D3">
        <w:rPr>
          <w:noProof/>
        </w:rPr>
        <w:t>prz</w:t>
      </w:r>
      <w:r w:rsidR="00CA787E" w:rsidRPr="001357D3">
        <w:rPr>
          <w:noProof/>
        </w:rPr>
        <w:t>episach Unii.</w:t>
      </w:r>
      <w:bookmarkEnd w:id="38"/>
    </w:p>
    <w:p w14:paraId="50A92816" w14:textId="2432B881" w:rsidR="00FD1BB8" w:rsidRPr="001357D3" w:rsidRDefault="000D4BE4" w:rsidP="000D4BE4">
      <w:pPr>
        <w:pStyle w:val="ManualConsidrant"/>
        <w:rPr>
          <w:rFonts w:eastAsia="Times New Roman"/>
          <w:noProof/>
        </w:rPr>
      </w:pPr>
      <w:r w:rsidRPr="000D4BE4">
        <w:rPr>
          <w:noProof/>
        </w:rPr>
        <w:t>(18)</w:t>
      </w:r>
      <w:r w:rsidRPr="000D4BE4">
        <w:rPr>
          <w:noProof/>
        </w:rPr>
        <w:tab/>
      </w:r>
      <w:r w:rsidR="4DA7B8C4" w:rsidRPr="001357D3">
        <w:rPr>
          <w:noProof/>
        </w:rPr>
        <w:t>Komisja powinna zapewnić ogólną spójność, komplementarność</w:t>
      </w:r>
      <w:r w:rsidR="001C6403" w:rsidRPr="001357D3">
        <w:rPr>
          <w:noProof/>
        </w:rPr>
        <w:t xml:space="preserve"> i</w:t>
      </w:r>
      <w:r w:rsidR="001C6403">
        <w:rPr>
          <w:noProof/>
        </w:rPr>
        <w:t> </w:t>
      </w:r>
      <w:r w:rsidR="001C6403" w:rsidRPr="001357D3">
        <w:rPr>
          <w:noProof/>
        </w:rPr>
        <w:t>syn</w:t>
      </w:r>
      <w:r w:rsidR="4DA7B8C4" w:rsidRPr="001357D3">
        <w:rPr>
          <w:noProof/>
        </w:rPr>
        <w:t>ergie</w:t>
      </w:r>
      <w:r w:rsidR="001C6403" w:rsidRPr="001357D3">
        <w:rPr>
          <w:noProof/>
        </w:rPr>
        <w:t xml:space="preserve"> z</w:t>
      </w:r>
      <w:r w:rsidR="001C6403">
        <w:rPr>
          <w:noProof/>
        </w:rPr>
        <w:t> </w:t>
      </w:r>
      <w:r w:rsidR="001C6403" w:rsidRPr="001357D3">
        <w:rPr>
          <w:noProof/>
        </w:rPr>
        <w:t>dzi</w:t>
      </w:r>
      <w:r w:rsidR="4DA7B8C4" w:rsidRPr="001357D3">
        <w:rPr>
          <w:noProof/>
        </w:rPr>
        <w:t>ałaniami organów, urzędów</w:t>
      </w:r>
      <w:r w:rsidR="001C6403" w:rsidRPr="001357D3">
        <w:rPr>
          <w:noProof/>
        </w:rPr>
        <w:t xml:space="preserve"> i</w:t>
      </w:r>
      <w:r w:rsidR="001C6403">
        <w:rPr>
          <w:noProof/>
        </w:rPr>
        <w:t> </w:t>
      </w:r>
      <w:r w:rsidR="001C6403" w:rsidRPr="001357D3">
        <w:rPr>
          <w:noProof/>
        </w:rPr>
        <w:t>age</w:t>
      </w:r>
      <w:r w:rsidR="4DA7B8C4" w:rsidRPr="001357D3">
        <w:rPr>
          <w:noProof/>
        </w:rPr>
        <w:t>ncji Unii,</w:t>
      </w:r>
      <w:r w:rsidR="001C6403" w:rsidRPr="001357D3">
        <w:rPr>
          <w:noProof/>
        </w:rPr>
        <w:t xml:space="preserve"> w</w:t>
      </w:r>
      <w:r w:rsidR="001C6403">
        <w:rPr>
          <w:noProof/>
        </w:rPr>
        <w:t> </w:t>
      </w:r>
      <w:r w:rsidR="001C6403" w:rsidRPr="001357D3">
        <w:rPr>
          <w:noProof/>
        </w:rPr>
        <w:t>szc</w:t>
      </w:r>
      <w:r w:rsidR="4DA7B8C4" w:rsidRPr="001357D3">
        <w:rPr>
          <w:noProof/>
        </w:rPr>
        <w:t>zególności Eurojustu, Agencji Praw Podstawowych Unii Europejskiej (FRA), Agencji Unii Europejskiej ds. Zarządzania Operacyjnego Wielkoskalowymi Systemami Informatycznymi</w:t>
      </w:r>
      <w:r w:rsidR="001C6403" w:rsidRPr="001357D3">
        <w:rPr>
          <w:noProof/>
        </w:rPr>
        <w:t xml:space="preserve"> w</w:t>
      </w:r>
      <w:r w:rsidR="001C6403">
        <w:rPr>
          <w:noProof/>
        </w:rPr>
        <w:t> </w:t>
      </w:r>
      <w:r w:rsidR="001C6403" w:rsidRPr="001357D3">
        <w:rPr>
          <w:noProof/>
        </w:rPr>
        <w:t>Prz</w:t>
      </w:r>
      <w:r w:rsidR="4DA7B8C4" w:rsidRPr="001357D3">
        <w:rPr>
          <w:noProof/>
        </w:rPr>
        <w:t>estrzeni Wolności, Bezpieczeństwa</w:t>
      </w:r>
      <w:r w:rsidR="001C6403" w:rsidRPr="001357D3">
        <w:rPr>
          <w:noProof/>
        </w:rPr>
        <w:t xml:space="preserve"> i</w:t>
      </w:r>
      <w:r w:rsidR="001C6403">
        <w:rPr>
          <w:noProof/>
        </w:rPr>
        <w:t> </w:t>
      </w:r>
      <w:r w:rsidR="001C6403" w:rsidRPr="001357D3">
        <w:rPr>
          <w:noProof/>
        </w:rPr>
        <w:t>Spr</w:t>
      </w:r>
      <w:r w:rsidR="4DA7B8C4" w:rsidRPr="001357D3">
        <w:rPr>
          <w:noProof/>
        </w:rPr>
        <w:t>awiedliwości (eu-LISA) oraz EPPO,</w:t>
      </w:r>
      <w:r w:rsidR="001C6403" w:rsidRPr="001357D3">
        <w:rPr>
          <w:noProof/>
        </w:rPr>
        <w:t xml:space="preserve"> a</w:t>
      </w:r>
      <w:r w:rsidR="001C6403">
        <w:rPr>
          <w:noProof/>
        </w:rPr>
        <w:t> </w:t>
      </w:r>
      <w:r w:rsidR="001C6403" w:rsidRPr="001357D3">
        <w:rPr>
          <w:noProof/>
        </w:rPr>
        <w:t>tak</w:t>
      </w:r>
      <w:r w:rsidR="4DA7B8C4" w:rsidRPr="001357D3">
        <w:rPr>
          <w:noProof/>
        </w:rPr>
        <w:t>że powinna uwzględniać</w:t>
      </w:r>
      <w:r w:rsidR="001C6403" w:rsidRPr="001357D3">
        <w:rPr>
          <w:noProof/>
        </w:rPr>
        <w:t xml:space="preserve"> w</w:t>
      </w:r>
      <w:r w:rsidR="001C6403">
        <w:rPr>
          <w:noProof/>
        </w:rPr>
        <w:t> </w:t>
      </w:r>
      <w:r w:rsidR="001C6403" w:rsidRPr="001357D3">
        <w:rPr>
          <w:noProof/>
        </w:rPr>
        <w:t>obs</w:t>
      </w:r>
      <w:r w:rsidR="4DA7B8C4" w:rsidRPr="001357D3">
        <w:rPr>
          <w:noProof/>
        </w:rPr>
        <w:t>zarach objętych Programem działania innych podmiotów krajowych</w:t>
      </w:r>
      <w:r w:rsidR="001C6403" w:rsidRPr="001357D3">
        <w:rPr>
          <w:noProof/>
        </w:rPr>
        <w:t xml:space="preserve"> i</w:t>
      </w:r>
      <w:r w:rsidR="001C6403">
        <w:rPr>
          <w:noProof/>
        </w:rPr>
        <w:t> </w:t>
      </w:r>
      <w:r w:rsidR="001C6403" w:rsidRPr="001357D3">
        <w:rPr>
          <w:noProof/>
        </w:rPr>
        <w:t>mię</w:t>
      </w:r>
      <w:r w:rsidR="4DA7B8C4" w:rsidRPr="001357D3">
        <w:rPr>
          <w:noProof/>
        </w:rPr>
        <w:t xml:space="preserve">dzynarodowych. </w:t>
      </w:r>
    </w:p>
    <w:p w14:paraId="457E54A1" w14:textId="2C03ADE3" w:rsidR="00257CBC" w:rsidRPr="001357D3" w:rsidRDefault="000D4BE4" w:rsidP="000D4BE4">
      <w:pPr>
        <w:pStyle w:val="ManualConsidrant"/>
        <w:rPr>
          <w:rFonts w:eastAsia="Times New Roman"/>
          <w:noProof/>
          <w:szCs w:val="24"/>
        </w:rPr>
      </w:pPr>
      <w:bookmarkStart w:id="39" w:name="_Hlk205126021"/>
      <w:r w:rsidRPr="000D4BE4">
        <w:rPr>
          <w:noProof/>
        </w:rPr>
        <w:t>(19)</w:t>
      </w:r>
      <w:r w:rsidRPr="000D4BE4">
        <w:rPr>
          <w:noProof/>
        </w:rPr>
        <w:tab/>
      </w:r>
      <w:r w:rsidR="6439CCFE" w:rsidRPr="001357D3">
        <w:rPr>
          <w:noProof/>
        </w:rPr>
        <w:t>W celu zapewnienia skutecznej alokacji środków</w:t>
      </w:r>
      <w:r w:rsidR="001C6403" w:rsidRPr="001357D3">
        <w:rPr>
          <w:noProof/>
        </w:rPr>
        <w:t xml:space="preserve"> z</w:t>
      </w:r>
      <w:r w:rsidR="001C6403">
        <w:rPr>
          <w:noProof/>
        </w:rPr>
        <w:t> </w:t>
      </w:r>
      <w:r w:rsidR="001C6403" w:rsidRPr="001357D3">
        <w:rPr>
          <w:noProof/>
        </w:rPr>
        <w:t>bud</w:t>
      </w:r>
      <w:r w:rsidR="6439CCFE" w:rsidRPr="001357D3">
        <w:rPr>
          <w:noProof/>
        </w:rPr>
        <w:t>żetu ogólnego Unii należy zapewnić, aby wszystkie działania realizowane</w:t>
      </w:r>
      <w:r w:rsidR="001C6403" w:rsidRPr="001357D3">
        <w:rPr>
          <w:noProof/>
        </w:rPr>
        <w:t xml:space="preserve"> w</w:t>
      </w:r>
      <w:r w:rsidR="001C6403">
        <w:rPr>
          <w:noProof/>
        </w:rPr>
        <w:t> </w:t>
      </w:r>
      <w:r w:rsidR="001C6403" w:rsidRPr="001357D3">
        <w:rPr>
          <w:noProof/>
        </w:rPr>
        <w:t>ram</w:t>
      </w:r>
      <w:r w:rsidR="6439CCFE" w:rsidRPr="001357D3">
        <w:rPr>
          <w:noProof/>
        </w:rPr>
        <w:t>ach Programu miały unijną wartość dodaną, były komplementarne</w:t>
      </w:r>
      <w:r w:rsidR="001C6403" w:rsidRPr="001357D3">
        <w:rPr>
          <w:noProof/>
        </w:rPr>
        <w:t xml:space="preserve"> w</w:t>
      </w:r>
      <w:r w:rsidR="001C6403">
        <w:rPr>
          <w:noProof/>
        </w:rPr>
        <w:t> </w:t>
      </w:r>
      <w:r w:rsidR="001C6403" w:rsidRPr="001357D3">
        <w:rPr>
          <w:noProof/>
        </w:rPr>
        <w:t>sto</w:t>
      </w:r>
      <w:r w:rsidR="6439CCFE" w:rsidRPr="001357D3">
        <w:rPr>
          <w:noProof/>
        </w:rPr>
        <w:t>sunku do działań państw członkowskich</w:t>
      </w:r>
      <w:r w:rsidR="00AC1B68">
        <w:rPr>
          <w:noProof/>
        </w:rPr>
        <w:t>,</w:t>
      </w:r>
      <w:r w:rsidR="6439CCFE" w:rsidRPr="001357D3">
        <w:rPr>
          <w:noProof/>
        </w:rPr>
        <w:t xml:space="preserve"> oraz były spójne</w:t>
      </w:r>
      <w:r w:rsidR="001C6403" w:rsidRPr="001357D3">
        <w:rPr>
          <w:noProof/>
        </w:rPr>
        <w:t xml:space="preserve"> z</w:t>
      </w:r>
      <w:r w:rsidR="001C6403">
        <w:rPr>
          <w:noProof/>
        </w:rPr>
        <w:t> </w:t>
      </w:r>
      <w:r w:rsidR="001C6403" w:rsidRPr="001357D3">
        <w:rPr>
          <w:noProof/>
        </w:rPr>
        <w:t>inn</w:t>
      </w:r>
      <w:r w:rsidR="6439CCFE" w:rsidRPr="001357D3">
        <w:rPr>
          <w:noProof/>
        </w:rPr>
        <w:t>ymi działaniami Unii. Należy dążyć do spójności, komplementarności</w:t>
      </w:r>
      <w:r w:rsidR="001C6403" w:rsidRPr="001357D3">
        <w:rPr>
          <w:noProof/>
        </w:rPr>
        <w:t xml:space="preserve"> i</w:t>
      </w:r>
      <w:r w:rsidR="001C6403">
        <w:rPr>
          <w:noProof/>
        </w:rPr>
        <w:t> </w:t>
      </w:r>
      <w:r w:rsidR="001C6403" w:rsidRPr="001357D3">
        <w:rPr>
          <w:noProof/>
        </w:rPr>
        <w:t>syn</w:t>
      </w:r>
      <w:r w:rsidR="6439CCFE" w:rsidRPr="001357D3">
        <w:rPr>
          <w:noProof/>
        </w:rPr>
        <w:t>ergii</w:t>
      </w:r>
      <w:r w:rsidR="001C6403" w:rsidRPr="001357D3">
        <w:rPr>
          <w:noProof/>
        </w:rPr>
        <w:t xml:space="preserve"> w</w:t>
      </w:r>
      <w:r w:rsidR="001C6403">
        <w:rPr>
          <w:noProof/>
        </w:rPr>
        <w:t> </w:t>
      </w:r>
      <w:r w:rsidR="001C6403" w:rsidRPr="001357D3">
        <w:rPr>
          <w:noProof/>
        </w:rPr>
        <w:t>szc</w:t>
      </w:r>
      <w:r w:rsidR="6439CCFE" w:rsidRPr="001357D3">
        <w:rPr>
          <w:noProof/>
        </w:rPr>
        <w:t>zególności</w:t>
      </w:r>
      <w:r w:rsidR="001C6403" w:rsidRPr="001357D3">
        <w:rPr>
          <w:noProof/>
        </w:rPr>
        <w:t xml:space="preserve"> z</w:t>
      </w:r>
      <w:r w:rsidR="001C6403">
        <w:rPr>
          <w:noProof/>
        </w:rPr>
        <w:t> </w:t>
      </w:r>
      <w:r w:rsidR="001C6403" w:rsidRPr="001357D3">
        <w:rPr>
          <w:noProof/>
        </w:rPr>
        <w:t>pro</w:t>
      </w:r>
      <w:r w:rsidR="6439CCFE" w:rsidRPr="001357D3">
        <w:rPr>
          <w:noProof/>
        </w:rPr>
        <w:t>gramami finansowania wspierającymi ściśle ze sobą powiązane obszary polityki, takie jak plany partnerstwa krajowego</w:t>
      </w:r>
      <w:r w:rsidR="001C6403" w:rsidRPr="001357D3">
        <w:rPr>
          <w:noProof/>
        </w:rPr>
        <w:t xml:space="preserve"> i</w:t>
      </w:r>
      <w:r w:rsidR="001C6403">
        <w:rPr>
          <w:noProof/>
        </w:rPr>
        <w:t> </w:t>
      </w:r>
      <w:r w:rsidR="001C6403" w:rsidRPr="001357D3">
        <w:rPr>
          <w:noProof/>
        </w:rPr>
        <w:t>reg</w:t>
      </w:r>
      <w:r w:rsidR="6439CCFE" w:rsidRPr="001357D3">
        <w:rPr>
          <w:noProof/>
        </w:rPr>
        <w:t xml:space="preserve">ionalnego (ustanowione rozporządzeniem XXX Parlamentu </w:t>
      </w:r>
      <w:r w:rsidR="6439CCFE" w:rsidRPr="001357D3">
        <w:rPr>
          <w:noProof/>
        </w:rPr>
        <w:lastRenderedPageBreak/>
        <w:t>Europejskiego</w:t>
      </w:r>
      <w:r w:rsidR="001C6403" w:rsidRPr="001357D3">
        <w:rPr>
          <w:noProof/>
        </w:rPr>
        <w:t xml:space="preserve"> i</w:t>
      </w:r>
      <w:r w:rsidR="001C6403">
        <w:rPr>
          <w:noProof/>
        </w:rPr>
        <w:t> </w:t>
      </w:r>
      <w:r w:rsidR="001C6403" w:rsidRPr="001357D3">
        <w:rPr>
          <w:noProof/>
        </w:rPr>
        <w:t>Rad</w:t>
      </w:r>
      <w:r w:rsidR="6439CCFE" w:rsidRPr="001357D3">
        <w:rPr>
          <w:noProof/>
        </w:rPr>
        <w:t>y [rozporządzenie</w:t>
      </w:r>
      <w:r w:rsidR="001C6403" w:rsidRPr="001357D3">
        <w:rPr>
          <w:noProof/>
        </w:rPr>
        <w:t xml:space="preserve"> w</w:t>
      </w:r>
      <w:r w:rsidR="001C6403">
        <w:rPr>
          <w:noProof/>
        </w:rPr>
        <w:t> </w:t>
      </w:r>
      <w:r w:rsidR="001C6403" w:rsidRPr="001357D3">
        <w:rPr>
          <w:noProof/>
        </w:rPr>
        <w:t>spr</w:t>
      </w:r>
      <w:r w:rsidR="6439CCFE" w:rsidRPr="001357D3">
        <w:rPr>
          <w:noProof/>
        </w:rPr>
        <w:t>awie PKR]</w:t>
      </w:r>
      <w:r w:rsidR="6439CCFE" w:rsidRPr="001357D3">
        <w:rPr>
          <w:rStyle w:val="Odwoanieprzypisudolnego"/>
          <w:rFonts w:eastAsia="Times New Roman"/>
          <w:noProof/>
          <w:szCs w:val="24"/>
        </w:rPr>
        <w:footnoteReference w:id="57"/>
      </w:r>
      <w:r w:rsidR="6439CCFE" w:rsidRPr="001357D3">
        <w:rPr>
          <w:noProof/>
        </w:rPr>
        <w:t>), program AgoraEU (ustanowiony rozporządzeniem XXX Parlamentu Europejskiego</w:t>
      </w:r>
      <w:r w:rsidR="001C6403" w:rsidRPr="001357D3">
        <w:rPr>
          <w:noProof/>
        </w:rPr>
        <w:t xml:space="preserve"> i</w:t>
      </w:r>
      <w:r w:rsidR="001C6403">
        <w:rPr>
          <w:noProof/>
        </w:rPr>
        <w:t> </w:t>
      </w:r>
      <w:r w:rsidR="001C6403" w:rsidRPr="001357D3">
        <w:rPr>
          <w:noProof/>
        </w:rPr>
        <w:t>Rad</w:t>
      </w:r>
      <w:r w:rsidR="6439CCFE" w:rsidRPr="001357D3">
        <w:rPr>
          <w:noProof/>
        </w:rPr>
        <w:t>y [AgoraEU]</w:t>
      </w:r>
      <w:r w:rsidR="6439CCFE" w:rsidRPr="001357D3">
        <w:rPr>
          <w:rStyle w:val="Odwoanieprzypisudolnego"/>
          <w:noProof/>
        </w:rPr>
        <w:footnoteReference w:id="58"/>
      </w:r>
      <w:bookmarkEnd w:id="39"/>
      <w:r w:rsidR="6439CCFE" w:rsidRPr="001357D3">
        <w:rPr>
          <w:noProof/>
        </w:rPr>
        <w:t>) oraz działania zewnętrzne wspierane</w:t>
      </w:r>
      <w:r w:rsidR="001C6403" w:rsidRPr="001357D3">
        <w:rPr>
          <w:noProof/>
        </w:rPr>
        <w:t xml:space="preserve"> w</w:t>
      </w:r>
      <w:r w:rsidR="001C6403">
        <w:rPr>
          <w:noProof/>
        </w:rPr>
        <w:t> </w:t>
      </w:r>
      <w:r w:rsidR="001C6403" w:rsidRPr="001357D3">
        <w:rPr>
          <w:noProof/>
        </w:rPr>
        <w:t>ram</w:t>
      </w:r>
      <w:r w:rsidR="6439CCFE" w:rsidRPr="001357D3">
        <w:rPr>
          <w:noProof/>
        </w:rPr>
        <w:t>ach programu „Globalny wymiar Europy” (ustanowionego rozporządzeniem Parlamentu Europejskiego</w:t>
      </w:r>
      <w:r w:rsidR="001C6403" w:rsidRPr="001357D3">
        <w:rPr>
          <w:noProof/>
        </w:rPr>
        <w:t xml:space="preserve"> i</w:t>
      </w:r>
      <w:r w:rsidR="001C6403">
        <w:rPr>
          <w:noProof/>
        </w:rPr>
        <w:t> </w:t>
      </w:r>
      <w:r w:rsidR="001C6403" w:rsidRPr="001357D3">
        <w:rPr>
          <w:noProof/>
        </w:rPr>
        <w:t>Rad</w:t>
      </w:r>
      <w:r w:rsidR="6439CCFE" w:rsidRPr="001357D3">
        <w:rPr>
          <w:noProof/>
        </w:rPr>
        <w:t>y XXX)</w:t>
      </w:r>
      <w:r w:rsidR="6439CCFE" w:rsidRPr="001357D3">
        <w:rPr>
          <w:rStyle w:val="Odwoanieprzypisudolnego"/>
          <w:noProof/>
        </w:rPr>
        <w:footnoteReference w:id="59"/>
      </w:r>
      <w:r w:rsidR="6439CCFE" w:rsidRPr="001357D3">
        <w:rPr>
          <w:noProof/>
        </w:rPr>
        <w:t xml:space="preserve">. </w:t>
      </w:r>
    </w:p>
    <w:p w14:paraId="3BB0A8D9" w14:textId="3F4DF02C" w:rsidR="00AA0006" w:rsidRPr="001357D3" w:rsidRDefault="000D4BE4" w:rsidP="000D4BE4">
      <w:pPr>
        <w:pStyle w:val="ManualConsidrant"/>
        <w:rPr>
          <w:rFonts w:eastAsia="Arial Unicode MS" w:cstheme="majorBidi"/>
          <w:noProof/>
        </w:rPr>
      </w:pPr>
      <w:r w:rsidRPr="000D4BE4">
        <w:rPr>
          <w:noProof/>
        </w:rPr>
        <w:t>(20)</w:t>
      </w:r>
      <w:r w:rsidRPr="000D4BE4">
        <w:rPr>
          <w:noProof/>
        </w:rPr>
        <w:tab/>
      </w:r>
      <w:r w:rsidR="00AA0006" w:rsidRPr="001357D3">
        <w:rPr>
          <w:noProof/>
        </w:rPr>
        <w:t>Program zastępuje program ustanowiony rozporządzeniem (UE) 2021/693 na okres programowania 2021–2027, który</w:t>
      </w:r>
      <w:r w:rsidR="001C6403" w:rsidRPr="001357D3">
        <w:rPr>
          <w:noProof/>
        </w:rPr>
        <w:t xml:space="preserve"> w</w:t>
      </w:r>
      <w:r w:rsidR="001C6403">
        <w:rPr>
          <w:noProof/>
        </w:rPr>
        <w:t> </w:t>
      </w:r>
      <w:r w:rsidR="001C6403" w:rsidRPr="001357D3">
        <w:rPr>
          <w:noProof/>
        </w:rPr>
        <w:t>zwi</w:t>
      </w:r>
      <w:r w:rsidR="00AA0006" w:rsidRPr="001357D3">
        <w:rPr>
          <w:noProof/>
        </w:rPr>
        <w:t>ązku</w:t>
      </w:r>
      <w:r w:rsidR="001C6403" w:rsidRPr="001357D3">
        <w:rPr>
          <w:noProof/>
        </w:rPr>
        <w:t xml:space="preserve"> z</w:t>
      </w:r>
      <w:r w:rsidR="001C6403">
        <w:rPr>
          <w:noProof/>
        </w:rPr>
        <w:t> </w:t>
      </w:r>
      <w:r w:rsidR="001C6403" w:rsidRPr="001357D3">
        <w:rPr>
          <w:noProof/>
        </w:rPr>
        <w:t>tym</w:t>
      </w:r>
      <w:r w:rsidR="00AA0006" w:rsidRPr="001357D3">
        <w:rPr>
          <w:noProof/>
        </w:rPr>
        <w:t xml:space="preserve"> należy uchylić.</w:t>
      </w:r>
    </w:p>
    <w:p w14:paraId="455D8B31" w14:textId="2882DC66" w:rsidR="00257CBC" w:rsidRPr="001357D3" w:rsidRDefault="000D4BE4" w:rsidP="000D4BE4">
      <w:pPr>
        <w:pStyle w:val="ManualConsidrant"/>
        <w:rPr>
          <w:noProof/>
          <w:szCs w:val="24"/>
        </w:rPr>
      </w:pPr>
      <w:r w:rsidRPr="000D4BE4">
        <w:rPr>
          <w:noProof/>
        </w:rPr>
        <w:t>(21)</w:t>
      </w:r>
      <w:r w:rsidRPr="000D4BE4">
        <w:rPr>
          <w:noProof/>
        </w:rPr>
        <w:tab/>
      </w:r>
      <w:r w:rsidR="00257CBC" w:rsidRPr="001357D3">
        <w:rPr>
          <w:noProof/>
        </w:rPr>
        <w:t>Zgodnie</w:t>
      </w:r>
      <w:r w:rsidR="001C6403" w:rsidRPr="001357D3">
        <w:rPr>
          <w:noProof/>
        </w:rPr>
        <w:t xml:space="preserve"> z</w:t>
      </w:r>
      <w:r w:rsidR="001C6403">
        <w:rPr>
          <w:noProof/>
        </w:rPr>
        <w:t> </w:t>
      </w:r>
      <w:r w:rsidR="001C6403" w:rsidRPr="001357D3">
        <w:rPr>
          <w:noProof/>
        </w:rPr>
        <w:t>art</w:t>
      </w:r>
      <w:r w:rsidR="00257CBC" w:rsidRPr="001357D3">
        <w:rPr>
          <w:noProof/>
        </w:rPr>
        <w:t>. 1</w:t>
      </w:r>
      <w:r w:rsidR="001C6403" w:rsidRPr="001357D3">
        <w:rPr>
          <w:noProof/>
        </w:rPr>
        <w:t xml:space="preserve"> i</w:t>
      </w:r>
      <w:r w:rsidR="001C6403">
        <w:rPr>
          <w:noProof/>
        </w:rPr>
        <w:t> </w:t>
      </w:r>
      <w:r w:rsidR="001C6403" w:rsidRPr="001357D3">
        <w:rPr>
          <w:noProof/>
        </w:rPr>
        <w:t>2</w:t>
      </w:r>
      <w:r w:rsidR="00257CBC" w:rsidRPr="001357D3">
        <w:rPr>
          <w:noProof/>
        </w:rPr>
        <w:t xml:space="preserve"> Protokołu nr 22</w:t>
      </w:r>
      <w:r w:rsidR="001C6403" w:rsidRPr="001357D3">
        <w:rPr>
          <w:noProof/>
        </w:rPr>
        <w:t xml:space="preserve"> w</w:t>
      </w:r>
      <w:r w:rsidR="001C6403">
        <w:rPr>
          <w:noProof/>
        </w:rPr>
        <w:t> </w:t>
      </w:r>
      <w:r w:rsidR="001C6403" w:rsidRPr="001357D3">
        <w:rPr>
          <w:noProof/>
        </w:rPr>
        <w:t>spr</w:t>
      </w:r>
      <w:r w:rsidR="00257CBC" w:rsidRPr="001357D3">
        <w:rPr>
          <w:noProof/>
        </w:rPr>
        <w:t>awie stanowiska Danii, załączonego do TUE i TFUE, Dania nie uczestniczy</w:t>
      </w:r>
      <w:r w:rsidR="001C6403" w:rsidRPr="001357D3">
        <w:rPr>
          <w:noProof/>
        </w:rPr>
        <w:t xml:space="preserve"> w</w:t>
      </w:r>
      <w:r w:rsidR="001C6403">
        <w:rPr>
          <w:noProof/>
        </w:rPr>
        <w:t> </w:t>
      </w:r>
      <w:r w:rsidR="001C6403" w:rsidRPr="001357D3">
        <w:rPr>
          <w:noProof/>
        </w:rPr>
        <w:t>prz</w:t>
      </w:r>
      <w:r w:rsidR="00257CBC" w:rsidRPr="001357D3">
        <w:rPr>
          <w:noProof/>
        </w:rPr>
        <w:t>yjęciu niniejszego rozporządzenia</w:t>
      </w:r>
      <w:r w:rsidR="001C6403" w:rsidRPr="001357D3">
        <w:rPr>
          <w:noProof/>
        </w:rPr>
        <w:t xml:space="preserve"> i</w:t>
      </w:r>
      <w:r w:rsidR="001C6403">
        <w:rPr>
          <w:noProof/>
        </w:rPr>
        <w:t> </w:t>
      </w:r>
      <w:r w:rsidR="001C6403" w:rsidRPr="001357D3">
        <w:rPr>
          <w:noProof/>
        </w:rPr>
        <w:t>nie</w:t>
      </w:r>
      <w:r w:rsidR="00257CBC" w:rsidRPr="001357D3">
        <w:rPr>
          <w:noProof/>
        </w:rPr>
        <w:t xml:space="preserve"> jest nim związana ani go nie stosuje.</w:t>
      </w:r>
    </w:p>
    <w:p w14:paraId="6D02C216" w14:textId="06849CDF" w:rsidR="00BC56A5" w:rsidRPr="001357D3" w:rsidRDefault="000D4BE4" w:rsidP="000D4BE4">
      <w:pPr>
        <w:pStyle w:val="ManualConsidrant"/>
        <w:rPr>
          <w:noProof/>
        </w:rPr>
      </w:pPr>
      <w:r w:rsidRPr="000D4BE4">
        <w:rPr>
          <w:noProof/>
        </w:rPr>
        <w:t>(22)</w:t>
      </w:r>
      <w:r w:rsidRPr="000D4BE4">
        <w:rPr>
          <w:noProof/>
        </w:rPr>
        <w:tab/>
      </w:r>
      <w:r w:rsidR="00BC56A5" w:rsidRPr="001357D3">
        <w:rPr>
          <w:noProof/>
        </w:rPr>
        <w:t>Zgodnie</w:t>
      </w:r>
      <w:r w:rsidR="001C6403" w:rsidRPr="001357D3">
        <w:rPr>
          <w:noProof/>
        </w:rPr>
        <w:t xml:space="preserve"> z</w:t>
      </w:r>
      <w:r w:rsidR="001C6403">
        <w:rPr>
          <w:noProof/>
        </w:rPr>
        <w:t> </w:t>
      </w:r>
      <w:r w:rsidR="001C6403" w:rsidRPr="001C6403">
        <w:rPr>
          <w:noProof/>
        </w:rPr>
        <w:t>art</w:t>
      </w:r>
      <w:r w:rsidR="00BC56A5" w:rsidRPr="001C6403">
        <w:rPr>
          <w:noProof/>
        </w:rPr>
        <w:t>.</w:t>
      </w:r>
      <w:r w:rsidR="001C6403" w:rsidRPr="001C6403">
        <w:rPr>
          <w:noProof/>
        </w:rPr>
        <w:t> </w:t>
      </w:r>
      <w:r w:rsidR="00BC56A5" w:rsidRPr="001C6403">
        <w:rPr>
          <w:noProof/>
        </w:rPr>
        <w:t>3</w:t>
      </w:r>
      <w:r w:rsidR="00BC56A5" w:rsidRPr="001357D3">
        <w:rPr>
          <w:noProof/>
        </w:rPr>
        <w:t xml:space="preserve"> Protokołu </w:t>
      </w:r>
      <w:r w:rsidR="00BC56A5" w:rsidRPr="001C6403">
        <w:rPr>
          <w:noProof/>
        </w:rPr>
        <w:t>nr</w:t>
      </w:r>
      <w:r w:rsidR="001C6403" w:rsidRPr="001C6403">
        <w:rPr>
          <w:noProof/>
        </w:rPr>
        <w:t> </w:t>
      </w:r>
      <w:r w:rsidR="00BC56A5" w:rsidRPr="001C6403">
        <w:rPr>
          <w:noProof/>
        </w:rPr>
        <w:t>2</w:t>
      </w:r>
      <w:r w:rsidR="00BC56A5" w:rsidRPr="001357D3">
        <w:rPr>
          <w:noProof/>
        </w:rPr>
        <w:t>1</w:t>
      </w:r>
      <w:r w:rsidR="001C6403" w:rsidRPr="001357D3">
        <w:rPr>
          <w:noProof/>
        </w:rPr>
        <w:t xml:space="preserve"> w</w:t>
      </w:r>
      <w:r w:rsidR="001C6403">
        <w:rPr>
          <w:noProof/>
        </w:rPr>
        <w:t> </w:t>
      </w:r>
      <w:r w:rsidR="001C6403" w:rsidRPr="001357D3">
        <w:rPr>
          <w:noProof/>
        </w:rPr>
        <w:t>spr</w:t>
      </w:r>
      <w:r w:rsidR="00BC56A5" w:rsidRPr="001357D3">
        <w:rPr>
          <w:noProof/>
        </w:rPr>
        <w:t>awie stanowiska Zjednoczonego Królestwa</w:t>
      </w:r>
      <w:r w:rsidR="001C6403" w:rsidRPr="001357D3">
        <w:rPr>
          <w:noProof/>
        </w:rPr>
        <w:t xml:space="preserve"> i</w:t>
      </w:r>
      <w:r w:rsidR="001C6403">
        <w:rPr>
          <w:noProof/>
        </w:rPr>
        <w:t> </w:t>
      </w:r>
      <w:r w:rsidR="001C6403" w:rsidRPr="001357D3">
        <w:rPr>
          <w:noProof/>
        </w:rPr>
        <w:t>Irl</w:t>
      </w:r>
      <w:r w:rsidR="00BC56A5" w:rsidRPr="001357D3">
        <w:rPr>
          <w:noProof/>
        </w:rPr>
        <w:t>andii</w:t>
      </w:r>
      <w:r w:rsidR="001C6403" w:rsidRPr="001357D3">
        <w:rPr>
          <w:noProof/>
        </w:rPr>
        <w:t xml:space="preserve"> w</w:t>
      </w:r>
      <w:r w:rsidR="001C6403">
        <w:rPr>
          <w:noProof/>
        </w:rPr>
        <w:t> </w:t>
      </w:r>
      <w:r w:rsidR="001C6403" w:rsidRPr="001357D3">
        <w:rPr>
          <w:noProof/>
        </w:rPr>
        <w:t>odn</w:t>
      </w:r>
      <w:r w:rsidR="00BC56A5" w:rsidRPr="001357D3">
        <w:rPr>
          <w:noProof/>
        </w:rPr>
        <w:t>iesieniu do przestrzeni wolności, bezpieczeństwa</w:t>
      </w:r>
      <w:r w:rsidR="001C6403" w:rsidRPr="001357D3">
        <w:rPr>
          <w:noProof/>
        </w:rPr>
        <w:t xml:space="preserve"> i</w:t>
      </w:r>
      <w:r w:rsidR="001C6403">
        <w:rPr>
          <w:noProof/>
        </w:rPr>
        <w:t> </w:t>
      </w:r>
      <w:r w:rsidR="001C6403" w:rsidRPr="001357D3">
        <w:rPr>
          <w:noProof/>
        </w:rPr>
        <w:t>spr</w:t>
      </w:r>
      <w:r w:rsidR="00BC56A5" w:rsidRPr="001357D3">
        <w:rPr>
          <w:noProof/>
        </w:rPr>
        <w:t xml:space="preserve">awiedliwości, załączonego do TUE i do TFUE, Irlandia powiadomiła [, </w:t>
      </w:r>
      <w:r w:rsidR="00BC56A5" w:rsidRPr="001357D3">
        <w:rPr>
          <w:i/>
          <w:iCs/>
          <w:noProof/>
        </w:rPr>
        <w:t>pismem</w:t>
      </w:r>
      <w:r w:rsidR="001C6403" w:rsidRPr="001357D3">
        <w:rPr>
          <w:i/>
          <w:iCs/>
          <w:noProof/>
        </w:rPr>
        <w:t xml:space="preserve"> z</w:t>
      </w:r>
      <w:r w:rsidR="001C6403">
        <w:rPr>
          <w:i/>
          <w:iCs/>
          <w:noProof/>
        </w:rPr>
        <w:t> </w:t>
      </w:r>
      <w:r w:rsidR="001C6403" w:rsidRPr="001357D3">
        <w:rPr>
          <w:i/>
          <w:iCs/>
          <w:noProof/>
        </w:rPr>
        <w:t>dni</w:t>
      </w:r>
      <w:r w:rsidR="00BC56A5" w:rsidRPr="001357D3">
        <w:rPr>
          <w:i/>
          <w:iCs/>
          <w:noProof/>
        </w:rPr>
        <w:t>a ... r.</w:t>
      </w:r>
      <w:r w:rsidR="00BC56A5" w:rsidRPr="001357D3">
        <w:rPr>
          <w:noProof/>
        </w:rPr>
        <w:t>,]</w:t>
      </w:r>
      <w:r w:rsidR="001C6403" w:rsidRPr="001357D3">
        <w:rPr>
          <w:noProof/>
        </w:rPr>
        <w:t xml:space="preserve"> o</w:t>
      </w:r>
      <w:r w:rsidR="001C6403">
        <w:rPr>
          <w:noProof/>
        </w:rPr>
        <w:t> </w:t>
      </w:r>
      <w:r w:rsidR="001C6403" w:rsidRPr="001357D3">
        <w:rPr>
          <w:noProof/>
        </w:rPr>
        <w:t>chę</w:t>
      </w:r>
      <w:r w:rsidR="00BC56A5" w:rsidRPr="001357D3">
        <w:rPr>
          <w:noProof/>
        </w:rPr>
        <w:t>ci uczestniczenia</w:t>
      </w:r>
      <w:r w:rsidR="001C6403" w:rsidRPr="001357D3">
        <w:rPr>
          <w:noProof/>
        </w:rPr>
        <w:t xml:space="preserve"> w</w:t>
      </w:r>
      <w:r w:rsidR="001C6403">
        <w:rPr>
          <w:noProof/>
        </w:rPr>
        <w:t> </w:t>
      </w:r>
      <w:r w:rsidR="001C6403" w:rsidRPr="001357D3">
        <w:rPr>
          <w:noProof/>
        </w:rPr>
        <w:t>prz</w:t>
      </w:r>
      <w:r w:rsidR="00BC56A5" w:rsidRPr="001357D3">
        <w:rPr>
          <w:noProof/>
        </w:rPr>
        <w:t>yjęciu</w:t>
      </w:r>
      <w:r w:rsidR="001C6403" w:rsidRPr="001357D3">
        <w:rPr>
          <w:noProof/>
        </w:rPr>
        <w:t xml:space="preserve"> i</w:t>
      </w:r>
      <w:r w:rsidR="001C6403">
        <w:rPr>
          <w:noProof/>
        </w:rPr>
        <w:t> </w:t>
      </w:r>
      <w:r w:rsidR="001C6403" w:rsidRPr="001357D3">
        <w:rPr>
          <w:noProof/>
        </w:rPr>
        <w:t>sto</w:t>
      </w:r>
      <w:r w:rsidR="00BC56A5" w:rsidRPr="001357D3">
        <w:rPr>
          <w:noProof/>
        </w:rPr>
        <w:t>sowaniu niniejszego rozporządzenia.</w:t>
      </w:r>
    </w:p>
    <w:p w14:paraId="1DDCBBDB" w14:textId="77777777" w:rsidR="00BC56A5" w:rsidRPr="001357D3" w:rsidRDefault="00BC56A5" w:rsidP="004852D0">
      <w:pPr>
        <w:spacing w:before="0"/>
        <w:ind w:firstLine="709"/>
        <w:rPr>
          <w:noProof/>
        </w:rPr>
      </w:pPr>
      <w:r w:rsidRPr="001357D3">
        <w:rPr>
          <w:noProof/>
        </w:rPr>
        <w:t>lub</w:t>
      </w:r>
    </w:p>
    <w:p w14:paraId="381F8FC2" w14:textId="1EBC302D" w:rsidR="00BC56A5" w:rsidRPr="001357D3" w:rsidRDefault="00BC56A5" w:rsidP="004852D0">
      <w:pPr>
        <w:spacing w:before="0"/>
        <w:ind w:left="709"/>
        <w:rPr>
          <w:noProof/>
        </w:rPr>
      </w:pPr>
      <w:r w:rsidRPr="001357D3">
        <w:rPr>
          <w:noProof/>
        </w:rPr>
        <w:t>Zgodnie</w:t>
      </w:r>
      <w:r w:rsidR="001C6403" w:rsidRPr="001357D3">
        <w:rPr>
          <w:noProof/>
        </w:rPr>
        <w:t xml:space="preserve"> z</w:t>
      </w:r>
      <w:r w:rsidR="001C6403">
        <w:rPr>
          <w:noProof/>
        </w:rPr>
        <w:t> </w:t>
      </w:r>
      <w:r w:rsidR="001C6403" w:rsidRPr="001C6403">
        <w:rPr>
          <w:noProof/>
        </w:rPr>
        <w:t>art</w:t>
      </w:r>
      <w:r w:rsidRPr="001C6403">
        <w:rPr>
          <w:noProof/>
        </w:rPr>
        <w:t>.</w:t>
      </w:r>
      <w:r w:rsidR="001C6403" w:rsidRPr="001C6403">
        <w:rPr>
          <w:noProof/>
        </w:rPr>
        <w:t> </w:t>
      </w:r>
      <w:r w:rsidRPr="001C6403">
        <w:rPr>
          <w:noProof/>
        </w:rPr>
        <w:t>1</w:t>
      </w:r>
      <w:r w:rsidR="001C6403" w:rsidRPr="001357D3">
        <w:rPr>
          <w:noProof/>
        </w:rPr>
        <w:t xml:space="preserve"> i</w:t>
      </w:r>
      <w:r w:rsidR="001C6403">
        <w:rPr>
          <w:noProof/>
        </w:rPr>
        <w:t> </w:t>
      </w:r>
      <w:r w:rsidR="001C6403" w:rsidRPr="001357D3">
        <w:rPr>
          <w:noProof/>
        </w:rPr>
        <w:t>2</w:t>
      </w:r>
      <w:r w:rsidRPr="001357D3">
        <w:rPr>
          <w:noProof/>
        </w:rPr>
        <w:t xml:space="preserve"> Protokołu </w:t>
      </w:r>
      <w:r w:rsidRPr="001C6403">
        <w:rPr>
          <w:noProof/>
        </w:rPr>
        <w:t>nr</w:t>
      </w:r>
      <w:r w:rsidR="001C6403" w:rsidRPr="001C6403">
        <w:rPr>
          <w:noProof/>
        </w:rPr>
        <w:t> </w:t>
      </w:r>
      <w:r w:rsidRPr="001C6403">
        <w:rPr>
          <w:noProof/>
        </w:rPr>
        <w:t>2</w:t>
      </w:r>
      <w:r w:rsidRPr="001357D3">
        <w:rPr>
          <w:noProof/>
        </w:rPr>
        <w:t>1</w:t>
      </w:r>
      <w:r w:rsidR="001C6403" w:rsidRPr="001357D3">
        <w:rPr>
          <w:noProof/>
        </w:rPr>
        <w:t xml:space="preserve"> w</w:t>
      </w:r>
      <w:r w:rsidR="001C6403">
        <w:rPr>
          <w:noProof/>
        </w:rPr>
        <w:t> </w:t>
      </w:r>
      <w:r w:rsidR="001C6403" w:rsidRPr="001357D3">
        <w:rPr>
          <w:noProof/>
        </w:rPr>
        <w:t>spr</w:t>
      </w:r>
      <w:r w:rsidRPr="001357D3">
        <w:rPr>
          <w:noProof/>
        </w:rPr>
        <w:t>awie stanowiska Zjednoczonego Królestwa</w:t>
      </w:r>
      <w:r w:rsidR="001C6403" w:rsidRPr="001357D3">
        <w:rPr>
          <w:noProof/>
        </w:rPr>
        <w:t xml:space="preserve"> i</w:t>
      </w:r>
      <w:r w:rsidR="001C6403">
        <w:rPr>
          <w:noProof/>
        </w:rPr>
        <w:t> </w:t>
      </w:r>
      <w:r w:rsidR="001C6403" w:rsidRPr="001357D3">
        <w:rPr>
          <w:noProof/>
        </w:rPr>
        <w:t>Irl</w:t>
      </w:r>
      <w:r w:rsidRPr="001357D3">
        <w:rPr>
          <w:noProof/>
        </w:rPr>
        <w:t>andii</w:t>
      </w:r>
      <w:r w:rsidR="001C6403" w:rsidRPr="001357D3">
        <w:rPr>
          <w:noProof/>
        </w:rPr>
        <w:t xml:space="preserve"> w</w:t>
      </w:r>
      <w:r w:rsidR="001C6403">
        <w:rPr>
          <w:noProof/>
        </w:rPr>
        <w:t> </w:t>
      </w:r>
      <w:r w:rsidR="001C6403" w:rsidRPr="001357D3">
        <w:rPr>
          <w:noProof/>
        </w:rPr>
        <w:t>odn</w:t>
      </w:r>
      <w:r w:rsidRPr="001357D3">
        <w:rPr>
          <w:noProof/>
        </w:rPr>
        <w:t>iesieniu do przestrzeni wolności, bezpieczeństwa</w:t>
      </w:r>
      <w:r w:rsidR="001C6403" w:rsidRPr="001357D3">
        <w:rPr>
          <w:noProof/>
        </w:rPr>
        <w:t xml:space="preserve"> i</w:t>
      </w:r>
      <w:r w:rsidR="001C6403">
        <w:rPr>
          <w:noProof/>
        </w:rPr>
        <w:t> </w:t>
      </w:r>
      <w:r w:rsidR="001C6403" w:rsidRPr="001357D3">
        <w:rPr>
          <w:noProof/>
        </w:rPr>
        <w:t>spr</w:t>
      </w:r>
      <w:r w:rsidRPr="001357D3">
        <w:rPr>
          <w:noProof/>
        </w:rPr>
        <w:t xml:space="preserve">awiedliwości, załączonego do TUE i do TFUE, bez uszczerbku dla </w:t>
      </w:r>
      <w:r w:rsidRPr="001C6403">
        <w:rPr>
          <w:noProof/>
        </w:rPr>
        <w:t>art.</w:t>
      </w:r>
      <w:r w:rsidR="001C6403" w:rsidRPr="001C6403">
        <w:rPr>
          <w:noProof/>
        </w:rPr>
        <w:t> </w:t>
      </w:r>
      <w:r w:rsidRPr="001C6403">
        <w:rPr>
          <w:noProof/>
        </w:rPr>
        <w:t>4</w:t>
      </w:r>
      <w:r w:rsidRPr="001357D3">
        <w:rPr>
          <w:noProof/>
        </w:rPr>
        <w:t xml:space="preserve"> tego protokołu, Irlandia nie uczestniczy</w:t>
      </w:r>
      <w:r w:rsidR="001C6403" w:rsidRPr="001357D3">
        <w:rPr>
          <w:noProof/>
        </w:rPr>
        <w:t xml:space="preserve"> w</w:t>
      </w:r>
      <w:r w:rsidR="001C6403">
        <w:rPr>
          <w:noProof/>
        </w:rPr>
        <w:t> </w:t>
      </w:r>
      <w:r w:rsidR="001C6403" w:rsidRPr="001357D3">
        <w:rPr>
          <w:noProof/>
        </w:rPr>
        <w:t>prz</w:t>
      </w:r>
      <w:r w:rsidRPr="001357D3">
        <w:rPr>
          <w:noProof/>
        </w:rPr>
        <w:t>yjęciu niniejszego rozporządzenia</w:t>
      </w:r>
      <w:r w:rsidR="001C6403" w:rsidRPr="001357D3">
        <w:rPr>
          <w:noProof/>
        </w:rPr>
        <w:t xml:space="preserve"> i</w:t>
      </w:r>
      <w:r w:rsidR="001C6403">
        <w:rPr>
          <w:noProof/>
        </w:rPr>
        <w:t> </w:t>
      </w:r>
      <w:r w:rsidR="001C6403" w:rsidRPr="001357D3">
        <w:rPr>
          <w:noProof/>
        </w:rPr>
        <w:t>nie</w:t>
      </w:r>
      <w:r w:rsidRPr="001357D3">
        <w:rPr>
          <w:noProof/>
        </w:rPr>
        <w:t xml:space="preserve"> jest nim związana ani go nie stosuje,</w:t>
      </w:r>
    </w:p>
    <w:p w14:paraId="00377F7A" w14:textId="31D41121" w:rsidR="003B29FF" w:rsidRPr="001357D3" w:rsidRDefault="49E4A96E" w:rsidP="00871379">
      <w:pPr>
        <w:pStyle w:val="Formuledadoption"/>
        <w:rPr>
          <w:noProof/>
        </w:rPr>
      </w:pPr>
      <w:r w:rsidRPr="001357D3">
        <w:rPr>
          <w:noProof/>
        </w:rPr>
        <w:t>PRZYJMUJĄ NINIEJSZE ROZPORZĄDZENIE:</w:t>
      </w:r>
    </w:p>
    <w:p w14:paraId="00377F7D" w14:textId="7F7DBB55" w:rsidR="00C5603D" w:rsidRPr="001357D3" w:rsidRDefault="00C5603D" w:rsidP="000520B9">
      <w:pPr>
        <w:pStyle w:val="Titrearticle"/>
        <w:spacing w:before="0"/>
        <w:rPr>
          <w:noProof/>
        </w:rPr>
      </w:pPr>
      <w:r w:rsidRPr="001357D3">
        <w:rPr>
          <w:noProof/>
        </w:rPr>
        <w:t>Artykuł 1</w:t>
      </w:r>
    </w:p>
    <w:p w14:paraId="00377F7E" w14:textId="77777777" w:rsidR="00872D4B" w:rsidRPr="001357D3" w:rsidRDefault="00872D4B" w:rsidP="004852D0">
      <w:pPr>
        <w:spacing w:before="0"/>
        <w:jc w:val="center"/>
        <w:rPr>
          <w:b/>
          <w:bCs/>
          <w:i/>
          <w:iCs/>
          <w:noProof/>
        </w:rPr>
      </w:pPr>
      <w:r w:rsidRPr="001357D3">
        <w:rPr>
          <w:b/>
          <w:i/>
          <w:noProof/>
        </w:rPr>
        <w:t>Przedmiot</w:t>
      </w:r>
    </w:p>
    <w:p w14:paraId="7FC5AC09" w14:textId="5AF4A2B4" w:rsidR="00B3651C" w:rsidRPr="001357D3" w:rsidRDefault="3123092D" w:rsidP="004852D0">
      <w:pPr>
        <w:spacing w:before="0"/>
        <w:rPr>
          <w:rStyle w:val="Instructions"/>
          <w:rFonts w:eastAsiaTheme="minorEastAsia"/>
          <w:noProof/>
          <w:color w:val="auto"/>
        </w:rPr>
      </w:pPr>
      <w:r w:rsidRPr="001357D3">
        <w:rPr>
          <w:noProof/>
        </w:rPr>
        <w:t>Niniejsze rozporządzenie ustanawia program „Sprawiedliwość” („Program”)</w:t>
      </w:r>
      <w:r w:rsidR="001C6403" w:rsidRPr="001357D3">
        <w:rPr>
          <w:noProof/>
        </w:rPr>
        <w:t xml:space="preserve"> i</w:t>
      </w:r>
      <w:r w:rsidR="001C6403">
        <w:rPr>
          <w:noProof/>
        </w:rPr>
        <w:t> </w:t>
      </w:r>
      <w:r w:rsidR="001C6403" w:rsidRPr="001357D3">
        <w:rPr>
          <w:noProof/>
        </w:rPr>
        <w:t>okr</w:t>
      </w:r>
      <w:r w:rsidRPr="001357D3">
        <w:rPr>
          <w:noProof/>
        </w:rPr>
        <w:t>eśla cele Programu, jego budżet na lata 2028–2034, formy finansowania unijnego oraz zasady dotyczące przyznawania takiego finansowania.</w:t>
      </w:r>
    </w:p>
    <w:p w14:paraId="00377F85" w14:textId="61D250BA" w:rsidR="00B3651C" w:rsidRPr="001357D3" w:rsidRDefault="00B3651C" w:rsidP="004852D0">
      <w:pPr>
        <w:pStyle w:val="Titrearticle"/>
        <w:spacing w:before="0"/>
        <w:rPr>
          <w:noProof/>
        </w:rPr>
      </w:pPr>
      <w:r w:rsidRPr="001357D3">
        <w:rPr>
          <w:noProof/>
        </w:rPr>
        <w:t>Artykuł 2</w:t>
      </w:r>
    </w:p>
    <w:p w14:paraId="00377F86" w14:textId="1217865F" w:rsidR="00B3651C" w:rsidRPr="001357D3" w:rsidRDefault="00B3651C" w:rsidP="004852D0">
      <w:pPr>
        <w:spacing w:before="0"/>
        <w:jc w:val="center"/>
        <w:rPr>
          <w:b/>
          <w:bCs/>
          <w:i/>
          <w:iCs/>
          <w:noProof/>
        </w:rPr>
      </w:pPr>
      <w:r w:rsidRPr="001357D3">
        <w:rPr>
          <w:b/>
          <w:i/>
          <w:noProof/>
        </w:rPr>
        <w:t>Definicja:</w:t>
      </w:r>
    </w:p>
    <w:p w14:paraId="7DC7B9A8" w14:textId="22A7FFB4" w:rsidR="277517E0" w:rsidRPr="001357D3" w:rsidRDefault="04784573" w:rsidP="004852D0">
      <w:pPr>
        <w:spacing w:before="0"/>
        <w:rPr>
          <w:noProof/>
        </w:rPr>
      </w:pPr>
      <w:r w:rsidRPr="001357D3">
        <w:rPr>
          <w:noProof/>
        </w:rPr>
        <w:t>Do celów niniejszego rozporządzenia termin „sędziowie</w:t>
      </w:r>
      <w:r w:rsidR="001C6403" w:rsidRPr="001357D3">
        <w:rPr>
          <w:noProof/>
        </w:rPr>
        <w:t xml:space="preserve"> i</w:t>
      </w:r>
      <w:r w:rsidR="001C6403">
        <w:rPr>
          <w:noProof/>
        </w:rPr>
        <w:t> </w:t>
      </w:r>
      <w:r w:rsidR="001C6403" w:rsidRPr="001357D3">
        <w:rPr>
          <w:noProof/>
        </w:rPr>
        <w:t>inn</w:t>
      </w:r>
      <w:r w:rsidRPr="001357D3">
        <w:rPr>
          <w:noProof/>
        </w:rPr>
        <w:t>i pracownicy wymiaru sprawiedliwości” oznacza sędziów, prokuratorów</w:t>
      </w:r>
      <w:r w:rsidR="001C6403" w:rsidRPr="001357D3">
        <w:rPr>
          <w:noProof/>
        </w:rPr>
        <w:t xml:space="preserve"> i</w:t>
      </w:r>
      <w:r w:rsidR="001C6403">
        <w:rPr>
          <w:noProof/>
        </w:rPr>
        <w:t> </w:t>
      </w:r>
      <w:r w:rsidR="001C6403" w:rsidRPr="001357D3">
        <w:rPr>
          <w:noProof/>
        </w:rPr>
        <w:t>czł</w:t>
      </w:r>
      <w:r w:rsidRPr="001357D3">
        <w:rPr>
          <w:noProof/>
        </w:rPr>
        <w:t>onków personelu sądów</w:t>
      </w:r>
      <w:r w:rsidR="001C6403" w:rsidRPr="001357D3">
        <w:rPr>
          <w:noProof/>
        </w:rPr>
        <w:t xml:space="preserve"> i</w:t>
      </w:r>
      <w:r w:rsidR="001C6403">
        <w:rPr>
          <w:noProof/>
        </w:rPr>
        <w:t> </w:t>
      </w:r>
      <w:r w:rsidR="001C6403" w:rsidRPr="001357D3">
        <w:rPr>
          <w:noProof/>
        </w:rPr>
        <w:t>pro</w:t>
      </w:r>
      <w:r w:rsidRPr="001357D3">
        <w:rPr>
          <w:noProof/>
        </w:rPr>
        <w:t>kuratur oraz wszelkie inne osoby wykonujące zawody związane</w:t>
      </w:r>
      <w:r w:rsidR="001C6403" w:rsidRPr="001357D3">
        <w:rPr>
          <w:noProof/>
        </w:rPr>
        <w:t xml:space="preserve"> z</w:t>
      </w:r>
      <w:r w:rsidR="001C6403">
        <w:rPr>
          <w:noProof/>
        </w:rPr>
        <w:t> </w:t>
      </w:r>
      <w:r w:rsidR="001C6403" w:rsidRPr="001357D3">
        <w:rPr>
          <w:noProof/>
        </w:rPr>
        <w:t>wym</w:t>
      </w:r>
      <w:r w:rsidRPr="001357D3">
        <w:rPr>
          <w:noProof/>
        </w:rPr>
        <w:t>iarem sprawiedliwości, powiązane</w:t>
      </w:r>
      <w:r w:rsidR="001C6403" w:rsidRPr="001357D3">
        <w:rPr>
          <w:noProof/>
        </w:rPr>
        <w:t xml:space="preserve"> z</w:t>
      </w:r>
      <w:r w:rsidR="001C6403">
        <w:rPr>
          <w:noProof/>
        </w:rPr>
        <w:t> </w:t>
      </w:r>
      <w:r w:rsidR="001C6403" w:rsidRPr="001357D3">
        <w:rPr>
          <w:noProof/>
        </w:rPr>
        <w:t>sys</w:t>
      </w:r>
      <w:r w:rsidRPr="001357D3">
        <w:rPr>
          <w:noProof/>
        </w:rPr>
        <w:t>temami wymiaru sprawiedliwości lub</w:t>
      </w:r>
      <w:r w:rsidR="001C6403" w:rsidRPr="001357D3">
        <w:rPr>
          <w:noProof/>
        </w:rPr>
        <w:t xml:space="preserve"> w</w:t>
      </w:r>
      <w:r w:rsidR="001C6403">
        <w:rPr>
          <w:noProof/>
        </w:rPr>
        <w:t> </w:t>
      </w:r>
      <w:r w:rsidR="001C6403" w:rsidRPr="001357D3">
        <w:rPr>
          <w:noProof/>
        </w:rPr>
        <w:t>inn</w:t>
      </w:r>
      <w:r w:rsidRPr="001357D3">
        <w:rPr>
          <w:noProof/>
        </w:rPr>
        <w:t>y sposób uczestniczące</w:t>
      </w:r>
      <w:r w:rsidR="001C6403" w:rsidRPr="001357D3">
        <w:rPr>
          <w:noProof/>
        </w:rPr>
        <w:t xml:space="preserve"> w</w:t>
      </w:r>
      <w:r w:rsidR="001C6403">
        <w:rPr>
          <w:noProof/>
        </w:rPr>
        <w:t> </w:t>
      </w:r>
      <w:r w:rsidR="001C6403" w:rsidRPr="001357D3">
        <w:rPr>
          <w:noProof/>
        </w:rPr>
        <w:t>spr</w:t>
      </w:r>
      <w:r w:rsidRPr="001357D3">
        <w:rPr>
          <w:noProof/>
        </w:rPr>
        <w:t>awowaniu wymiaru sprawiedliwości, niezależnie od definicji</w:t>
      </w:r>
      <w:r w:rsidR="001C6403" w:rsidRPr="001357D3">
        <w:rPr>
          <w:noProof/>
        </w:rPr>
        <w:t xml:space="preserve"> w</w:t>
      </w:r>
      <w:r w:rsidR="001C6403">
        <w:rPr>
          <w:noProof/>
        </w:rPr>
        <w:t> </w:t>
      </w:r>
      <w:r w:rsidR="001C6403" w:rsidRPr="001357D3">
        <w:rPr>
          <w:noProof/>
        </w:rPr>
        <w:t>pra</w:t>
      </w:r>
      <w:r w:rsidRPr="001357D3">
        <w:rPr>
          <w:noProof/>
        </w:rPr>
        <w:t>wie krajowym, statusu prawnego lub organizacji wewnętrznej, takie jak prawnicy, notariusze, komornicy sądowi, osoby wykonujące funkcje związane</w:t>
      </w:r>
      <w:r w:rsidR="001C6403" w:rsidRPr="001357D3">
        <w:rPr>
          <w:noProof/>
        </w:rPr>
        <w:t xml:space="preserve"> z</w:t>
      </w:r>
      <w:r w:rsidR="001C6403">
        <w:rPr>
          <w:noProof/>
        </w:rPr>
        <w:t> </w:t>
      </w:r>
      <w:r w:rsidR="001C6403" w:rsidRPr="001357D3">
        <w:rPr>
          <w:noProof/>
        </w:rPr>
        <w:t>pos</w:t>
      </w:r>
      <w:r w:rsidRPr="001357D3">
        <w:rPr>
          <w:noProof/>
        </w:rPr>
        <w:t>tępowaniami dotyczącymi niewypłacalności, mediatorzy, sądowi tłumacze ustni</w:t>
      </w:r>
      <w:r w:rsidR="001C6403" w:rsidRPr="001357D3">
        <w:rPr>
          <w:noProof/>
        </w:rPr>
        <w:t xml:space="preserve"> i</w:t>
      </w:r>
      <w:r w:rsidR="001C6403">
        <w:rPr>
          <w:noProof/>
        </w:rPr>
        <w:t> </w:t>
      </w:r>
      <w:r w:rsidR="001C6403" w:rsidRPr="001357D3">
        <w:rPr>
          <w:noProof/>
        </w:rPr>
        <w:t>pis</w:t>
      </w:r>
      <w:r w:rsidRPr="001357D3">
        <w:rPr>
          <w:noProof/>
        </w:rPr>
        <w:t>emni, biegli sądowi, personel więzienny oraz kuratorzy sądowi.</w:t>
      </w:r>
    </w:p>
    <w:p w14:paraId="00377F90" w14:textId="7FDC7A85" w:rsidR="00B3651C" w:rsidRPr="001357D3" w:rsidRDefault="00B3651C" w:rsidP="004852D0">
      <w:pPr>
        <w:pStyle w:val="Titrearticle"/>
        <w:spacing w:before="0"/>
        <w:rPr>
          <w:noProof/>
        </w:rPr>
      </w:pPr>
      <w:r w:rsidRPr="001357D3">
        <w:rPr>
          <w:noProof/>
        </w:rPr>
        <w:lastRenderedPageBreak/>
        <w:t>Artykuł 3</w:t>
      </w:r>
    </w:p>
    <w:p w14:paraId="00377F91" w14:textId="77777777" w:rsidR="00B3651C" w:rsidRPr="001357D3" w:rsidRDefault="3F9B8EC8" w:rsidP="004852D0">
      <w:pPr>
        <w:spacing w:before="0"/>
        <w:jc w:val="center"/>
        <w:rPr>
          <w:b/>
          <w:bCs/>
          <w:i/>
          <w:iCs/>
          <w:noProof/>
        </w:rPr>
      </w:pPr>
      <w:r w:rsidRPr="001357D3">
        <w:rPr>
          <w:b/>
          <w:i/>
          <w:noProof/>
        </w:rPr>
        <w:t>Cele programu</w:t>
      </w:r>
    </w:p>
    <w:p w14:paraId="10D0B626" w14:textId="38253590" w:rsidR="63BA1AFB" w:rsidRPr="001357D3" w:rsidRDefault="000D4BE4" w:rsidP="000D4BE4">
      <w:pPr>
        <w:pStyle w:val="ManualNumPar1"/>
        <w:rPr>
          <w:noProof/>
        </w:rPr>
      </w:pPr>
      <w:r w:rsidRPr="000D4BE4">
        <w:rPr>
          <w:noProof/>
        </w:rPr>
        <w:t>1.</w:t>
      </w:r>
      <w:r w:rsidRPr="000D4BE4">
        <w:rPr>
          <w:noProof/>
        </w:rPr>
        <w:tab/>
      </w:r>
      <w:r w:rsidR="0952F956" w:rsidRPr="001357D3">
        <w:rPr>
          <w:noProof/>
        </w:rPr>
        <w:t>Ogólnym celem Programu jest przyczynianie się do dalszego rozwoju wydajnej, integracyjnej, odpornej</w:t>
      </w:r>
      <w:r w:rsidR="001C6403" w:rsidRPr="001357D3">
        <w:rPr>
          <w:noProof/>
        </w:rPr>
        <w:t xml:space="preserve"> i</w:t>
      </w:r>
      <w:r w:rsidR="001C6403">
        <w:rPr>
          <w:noProof/>
        </w:rPr>
        <w:t> </w:t>
      </w:r>
      <w:r w:rsidR="001C6403" w:rsidRPr="001357D3">
        <w:rPr>
          <w:noProof/>
        </w:rPr>
        <w:t>cyf</w:t>
      </w:r>
      <w:r w:rsidR="0952F956" w:rsidRPr="001357D3">
        <w:rPr>
          <w:noProof/>
        </w:rPr>
        <w:t>rowej unijnej przestrzeni sprawiedliwości, opartej na praworządności, wzajemnym uznawaniu</w:t>
      </w:r>
      <w:r w:rsidR="001C6403" w:rsidRPr="001357D3">
        <w:rPr>
          <w:noProof/>
        </w:rPr>
        <w:t xml:space="preserve"> i</w:t>
      </w:r>
      <w:r w:rsidR="001C6403">
        <w:rPr>
          <w:noProof/>
        </w:rPr>
        <w:t> </w:t>
      </w:r>
      <w:r w:rsidR="001C6403" w:rsidRPr="001357D3">
        <w:rPr>
          <w:noProof/>
        </w:rPr>
        <w:t>wza</w:t>
      </w:r>
      <w:r w:rsidR="0952F956" w:rsidRPr="001357D3">
        <w:rPr>
          <w:noProof/>
        </w:rPr>
        <w:t>jemnym zaufaniu,</w:t>
      </w:r>
      <w:r w:rsidR="001C6403" w:rsidRPr="001357D3">
        <w:rPr>
          <w:noProof/>
        </w:rPr>
        <w:t xml:space="preserve"> a</w:t>
      </w:r>
      <w:r w:rsidR="001C6403">
        <w:rPr>
          <w:noProof/>
        </w:rPr>
        <w:t> </w:t>
      </w:r>
      <w:r w:rsidR="001C6403" w:rsidRPr="001357D3">
        <w:rPr>
          <w:noProof/>
        </w:rPr>
        <w:t>tym</w:t>
      </w:r>
      <w:r w:rsidR="0952F956" w:rsidRPr="001357D3">
        <w:rPr>
          <w:noProof/>
        </w:rPr>
        <w:t xml:space="preserve"> samym wzmacnianie demokracji</w:t>
      </w:r>
      <w:r w:rsidR="001C6403" w:rsidRPr="001357D3">
        <w:rPr>
          <w:noProof/>
        </w:rPr>
        <w:t xml:space="preserve"> i</w:t>
      </w:r>
      <w:r w:rsidR="001C6403">
        <w:rPr>
          <w:noProof/>
        </w:rPr>
        <w:t> </w:t>
      </w:r>
      <w:r w:rsidR="001C6403" w:rsidRPr="001357D3">
        <w:rPr>
          <w:noProof/>
        </w:rPr>
        <w:t>och</w:t>
      </w:r>
      <w:r w:rsidR="0952F956" w:rsidRPr="001357D3">
        <w:rPr>
          <w:noProof/>
        </w:rPr>
        <w:t>rony praw podstawowych oraz przyczynianie się do wzrostu gospodarczego</w:t>
      </w:r>
      <w:r w:rsidR="001C6403" w:rsidRPr="001357D3">
        <w:rPr>
          <w:noProof/>
        </w:rPr>
        <w:t xml:space="preserve"> i</w:t>
      </w:r>
      <w:r w:rsidR="001C6403">
        <w:rPr>
          <w:noProof/>
        </w:rPr>
        <w:t> </w:t>
      </w:r>
      <w:r w:rsidR="001C6403" w:rsidRPr="001357D3">
        <w:rPr>
          <w:noProof/>
        </w:rPr>
        <w:t>kon</w:t>
      </w:r>
      <w:r w:rsidR="0952F956" w:rsidRPr="001357D3">
        <w:rPr>
          <w:noProof/>
        </w:rPr>
        <w:t>kurencyjności Unii,</w:t>
      </w:r>
      <w:r w:rsidR="001C6403" w:rsidRPr="001357D3">
        <w:rPr>
          <w:noProof/>
        </w:rPr>
        <w:t xml:space="preserve"> a</w:t>
      </w:r>
      <w:r w:rsidR="001C6403">
        <w:rPr>
          <w:noProof/>
        </w:rPr>
        <w:t> </w:t>
      </w:r>
      <w:r w:rsidR="001C6403" w:rsidRPr="001357D3">
        <w:rPr>
          <w:noProof/>
        </w:rPr>
        <w:t>tak</w:t>
      </w:r>
      <w:r w:rsidR="0952F956" w:rsidRPr="001357D3">
        <w:rPr>
          <w:noProof/>
        </w:rPr>
        <w:t>że do cyfryzacji wymiaru sprawiedliwości na szczeblu Unii.</w:t>
      </w:r>
    </w:p>
    <w:p w14:paraId="3B4AB67D" w14:textId="6CF96F06" w:rsidR="63BA1AFB" w:rsidRPr="001357D3" w:rsidRDefault="000D4BE4" w:rsidP="000D4BE4">
      <w:pPr>
        <w:pStyle w:val="ManualNumPar1"/>
        <w:rPr>
          <w:noProof/>
        </w:rPr>
      </w:pPr>
      <w:r w:rsidRPr="000D4BE4">
        <w:rPr>
          <w:noProof/>
        </w:rPr>
        <w:t>2.</w:t>
      </w:r>
      <w:r w:rsidRPr="000D4BE4">
        <w:rPr>
          <w:noProof/>
        </w:rPr>
        <w:tab/>
      </w:r>
      <w:r w:rsidR="04E82144" w:rsidRPr="001357D3">
        <w:rPr>
          <w:noProof/>
        </w:rPr>
        <w:t>Program ma także następujące cele szczegółowe:</w:t>
      </w:r>
    </w:p>
    <w:p w14:paraId="1974B55D" w14:textId="3E55CBBE" w:rsidR="63BA1AFB" w:rsidRPr="001357D3" w:rsidRDefault="00874BDF" w:rsidP="00CC0130">
      <w:pPr>
        <w:pStyle w:val="ListNumber1Level2"/>
        <w:tabs>
          <w:tab w:val="clear" w:pos="2268"/>
        </w:tabs>
        <w:ind w:left="851"/>
        <w:rPr>
          <w:noProof/>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współpracy sądowej</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oraz propagowanie praworządności,</w:t>
      </w:r>
      <w:r w:rsidR="001C6403" w:rsidRPr="001357D3">
        <w:rPr>
          <w:noProof/>
        </w:rPr>
        <w:t xml:space="preserve"> w</w:t>
      </w:r>
      <w:r w:rsidR="001C6403">
        <w:rPr>
          <w:noProof/>
        </w:rPr>
        <w:t> </w:t>
      </w:r>
      <w:r w:rsidR="001C6403" w:rsidRPr="001357D3">
        <w:rPr>
          <w:noProof/>
        </w:rPr>
        <w:t>szc</w:t>
      </w:r>
      <w:r w:rsidRPr="001357D3">
        <w:rPr>
          <w:noProof/>
        </w:rPr>
        <w:t>zególności niezależności, jakości</w:t>
      </w:r>
      <w:r w:rsidR="001C6403" w:rsidRPr="001357D3">
        <w:rPr>
          <w:noProof/>
        </w:rPr>
        <w:t xml:space="preserve"> i</w:t>
      </w:r>
      <w:r w:rsidR="001C6403">
        <w:rPr>
          <w:noProof/>
        </w:rPr>
        <w:t> </w:t>
      </w:r>
      <w:r w:rsidR="001C6403" w:rsidRPr="001357D3">
        <w:rPr>
          <w:noProof/>
        </w:rPr>
        <w:t>sku</w:t>
      </w:r>
      <w:r w:rsidRPr="001357D3">
        <w:rPr>
          <w:noProof/>
        </w:rPr>
        <w:t>teczności systemów wymiaru sprawiedliwości,</w:t>
      </w:r>
      <w:r w:rsidR="001C6403" w:rsidRPr="001357D3">
        <w:rPr>
          <w:noProof/>
        </w:rPr>
        <w:t xml:space="preserve"> w</w:t>
      </w:r>
      <w:r w:rsidR="001C6403">
        <w:rPr>
          <w:noProof/>
        </w:rPr>
        <w:t> </w:t>
      </w:r>
      <w:r w:rsidR="001C6403" w:rsidRPr="001357D3">
        <w:rPr>
          <w:noProof/>
        </w:rPr>
        <w:t>tym</w:t>
      </w:r>
      <w:r w:rsidRPr="001357D3">
        <w:rPr>
          <w:noProof/>
        </w:rPr>
        <w:t xml:space="preserve"> poprzez udoskonalenie skutecznego transgranicznego uznawania</w:t>
      </w:r>
      <w:r w:rsidR="001C6403" w:rsidRPr="001357D3">
        <w:rPr>
          <w:noProof/>
        </w:rPr>
        <w:t xml:space="preserve"> i</w:t>
      </w:r>
      <w:r w:rsidR="001C6403">
        <w:rPr>
          <w:noProof/>
        </w:rPr>
        <w:t> </w:t>
      </w:r>
      <w:r w:rsidR="001C6403" w:rsidRPr="001357D3">
        <w:rPr>
          <w:noProof/>
        </w:rPr>
        <w:t>wyk</w:t>
      </w:r>
      <w:r w:rsidRPr="001357D3">
        <w:rPr>
          <w:noProof/>
        </w:rPr>
        <w:t>onywania orzeczeń sądowych;</w:t>
      </w:r>
    </w:p>
    <w:p w14:paraId="50BCF21E" w14:textId="1F6CFDF3" w:rsidR="63BA1AFB" w:rsidRPr="001357D3" w:rsidRDefault="00874BDF" w:rsidP="00CC0130">
      <w:pPr>
        <w:pStyle w:val="ListNumber1Level2"/>
        <w:tabs>
          <w:tab w:val="clear" w:pos="2268"/>
        </w:tabs>
        <w:ind w:left="851"/>
        <w:rPr>
          <w:noProof/>
        </w:rPr>
      </w:pPr>
      <w:bookmarkStart w:id="41" w:name="_Hlk205126245"/>
      <w:r w:rsidRPr="001357D3">
        <w:rPr>
          <w:noProof/>
        </w:rPr>
        <w:t>propagowanie</w:t>
      </w:r>
      <w:r w:rsidR="001C6403" w:rsidRPr="001357D3">
        <w:rPr>
          <w:noProof/>
        </w:rPr>
        <w:t xml:space="preserve"> i</w:t>
      </w:r>
      <w:r w:rsidR="001C6403">
        <w:rPr>
          <w:noProof/>
        </w:rPr>
        <w:t> </w:t>
      </w:r>
      <w:r w:rsidR="001C6403" w:rsidRPr="001357D3">
        <w:rPr>
          <w:noProof/>
        </w:rPr>
        <w:t>wsp</w:t>
      </w:r>
      <w:r w:rsidRPr="001357D3">
        <w:rPr>
          <w:noProof/>
        </w:rPr>
        <w:t>ieranie szkoleń dla sędziów</w:t>
      </w:r>
      <w:r w:rsidR="001C6403" w:rsidRPr="001357D3">
        <w:rPr>
          <w:noProof/>
        </w:rPr>
        <w:t xml:space="preserve"> i</w:t>
      </w:r>
      <w:r w:rsidR="001C6403">
        <w:rPr>
          <w:noProof/>
        </w:rPr>
        <w:t> </w:t>
      </w:r>
      <w:r w:rsidR="001C6403" w:rsidRPr="001357D3">
        <w:rPr>
          <w:noProof/>
        </w:rPr>
        <w:t>inn</w:t>
      </w:r>
      <w:r w:rsidRPr="001357D3">
        <w:rPr>
          <w:noProof/>
        </w:rPr>
        <w:t>ych pracowników wymiaru sprawiedliwości</w:t>
      </w:r>
      <w:r w:rsidR="001C6403" w:rsidRPr="001357D3">
        <w:rPr>
          <w:noProof/>
        </w:rPr>
        <w:t xml:space="preserve"> w</w:t>
      </w:r>
      <w:r w:rsidR="001C6403">
        <w:rPr>
          <w:noProof/>
        </w:rPr>
        <w:t> </w:t>
      </w:r>
      <w:r w:rsidR="001C6403" w:rsidRPr="001357D3">
        <w:rPr>
          <w:noProof/>
        </w:rPr>
        <w:t>cel</w:t>
      </w:r>
      <w:r w:rsidRPr="001357D3">
        <w:rPr>
          <w:noProof/>
        </w:rPr>
        <w:t>u: upowszechniania praworządności, praw podstawowych</w:t>
      </w:r>
      <w:r w:rsidR="001C6403" w:rsidRPr="001357D3">
        <w:rPr>
          <w:noProof/>
        </w:rPr>
        <w:t xml:space="preserve"> i</w:t>
      </w:r>
      <w:r w:rsidR="001C6403">
        <w:rPr>
          <w:noProof/>
        </w:rPr>
        <w:t> </w:t>
      </w:r>
      <w:r w:rsidR="001C6403" w:rsidRPr="001357D3">
        <w:rPr>
          <w:noProof/>
        </w:rPr>
        <w:t>dem</w:t>
      </w:r>
      <w:r w:rsidRPr="001357D3">
        <w:rPr>
          <w:noProof/>
        </w:rPr>
        <w:t>okracji; wspierania wspólnej kultury prawnej</w:t>
      </w:r>
      <w:r w:rsidR="001C6403" w:rsidRPr="001357D3">
        <w:rPr>
          <w:noProof/>
        </w:rPr>
        <w:t xml:space="preserve"> i</w:t>
      </w:r>
      <w:r w:rsidR="001C6403">
        <w:rPr>
          <w:noProof/>
        </w:rPr>
        <w:t> </w:t>
      </w:r>
      <w:r w:rsidR="001C6403" w:rsidRPr="001357D3">
        <w:rPr>
          <w:noProof/>
        </w:rPr>
        <w:t>sąd</w:t>
      </w:r>
      <w:r w:rsidRPr="001357D3">
        <w:rPr>
          <w:noProof/>
        </w:rPr>
        <w:t>owej; zapewnienia spójnego</w:t>
      </w:r>
      <w:r w:rsidR="001C6403" w:rsidRPr="001357D3">
        <w:rPr>
          <w:noProof/>
        </w:rPr>
        <w:t xml:space="preserve"> i</w:t>
      </w:r>
      <w:r w:rsidR="001C6403">
        <w:rPr>
          <w:noProof/>
        </w:rPr>
        <w:t> </w:t>
      </w:r>
      <w:r w:rsidR="001C6403" w:rsidRPr="001357D3">
        <w:rPr>
          <w:noProof/>
        </w:rPr>
        <w:t>sku</w:t>
      </w:r>
      <w:r w:rsidRPr="001357D3">
        <w:rPr>
          <w:noProof/>
        </w:rPr>
        <w:t>tecznego wdrażania odpowiednich instrumentów prawnych Unii; oraz zapewnienia środowiska sprzyjającego cyfryzacji współpracy sądowej</w:t>
      </w:r>
      <w:r w:rsidR="001C6403" w:rsidRPr="001357D3">
        <w:rPr>
          <w:noProof/>
        </w:rPr>
        <w:t xml:space="preserve"> i</w:t>
      </w:r>
      <w:r w:rsidR="001C6403">
        <w:rPr>
          <w:noProof/>
        </w:rPr>
        <w:t> </w:t>
      </w:r>
      <w:r w:rsidR="001C6403" w:rsidRPr="001357D3">
        <w:rPr>
          <w:noProof/>
        </w:rPr>
        <w:t>sys</w:t>
      </w:r>
      <w:r w:rsidRPr="001357D3">
        <w:rPr>
          <w:noProof/>
        </w:rPr>
        <w:t>temów wymiaru sprawiedliwości;</w:t>
      </w:r>
    </w:p>
    <w:bookmarkEnd w:id="41"/>
    <w:p w14:paraId="676DF2DB" w14:textId="79FCDDEF" w:rsidR="63BA1AFB" w:rsidRPr="001357D3" w:rsidRDefault="00874BDF" w:rsidP="00CC0130">
      <w:pPr>
        <w:pStyle w:val="ListNumber1Level2"/>
        <w:tabs>
          <w:tab w:val="clear" w:pos="2268"/>
        </w:tabs>
        <w:ind w:left="851"/>
        <w:rPr>
          <w:noProof/>
          <w:szCs w:val="24"/>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skutecznego</w:t>
      </w:r>
      <w:r w:rsidR="001C6403" w:rsidRPr="001357D3">
        <w:rPr>
          <w:noProof/>
        </w:rPr>
        <w:t xml:space="preserve"> i</w:t>
      </w:r>
      <w:r w:rsidR="001C6403">
        <w:rPr>
          <w:noProof/>
        </w:rPr>
        <w:t> </w:t>
      </w:r>
      <w:r w:rsidR="001C6403" w:rsidRPr="001357D3">
        <w:rPr>
          <w:noProof/>
        </w:rPr>
        <w:t>nie</w:t>
      </w:r>
      <w:r w:rsidRPr="001357D3">
        <w:rPr>
          <w:noProof/>
        </w:rPr>
        <w:t>dyskryminacyjnego dostępu do wymiaru sprawiedliwości dla wszystkich oraz zapewnienie skutecznego środka odwoławczego,</w:t>
      </w:r>
      <w:r w:rsidR="001C6403" w:rsidRPr="001357D3">
        <w:rPr>
          <w:noProof/>
        </w:rPr>
        <w:t xml:space="preserve"> w</w:t>
      </w:r>
      <w:r w:rsidR="001C6403">
        <w:rPr>
          <w:noProof/>
        </w:rPr>
        <w:t> </w:t>
      </w:r>
      <w:r w:rsidR="001C6403" w:rsidRPr="001357D3">
        <w:rPr>
          <w:noProof/>
        </w:rPr>
        <w:t>tym</w:t>
      </w:r>
      <w:r w:rsidRPr="001357D3">
        <w:rPr>
          <w:noProof/>
        </w:rPr>
        <w:t xml:space="preserve"> za pomocą środków cyfrowych, poprzez propagowanie skutecznych procedur cywilnych</w:t>
      </w:r>
      <w:r w:rsidR="001C6403" w:rsidRPr="001357D3">
        <w:rPr>
          <w:noProof/>
        </w:rPr>
        <w:t xml:space="preserve"> i</w:t>
      </w:r>
      <w:r w:rsidR="001C6403">
        <w:rPr>
          <w:noProof/>
        </w:rPr>
        <w:t> </w:t>
      </w:r>
      <w:r w:rsidR="001C6403" w:rsidRPr="001357D3">
        <w:rPr>
          <w:noProof/>
        </w:rPr>
        <w:t>kar</w:t>
      </w:r>
      <w:r w:rsidRPr="001357D3">
        <w:rPr>
          <w:noProof/>
        </w:rPr>
        <w:t>nych oraz promowanie</w:t>
      </w:r>
      <w:r w:rsidR="001C6403" w:rsidRPr="001357D3">
        <w:rPr>
          <w:noProof/>
        </w:rPr>
        <w:t xml:space="preserve"> i</w:t>
      </w:r>
      <w:r w:rsidR="001C6403">
        <w:rPr>
          <w:noProof/>
        </w:rPr>
        <w:t> </w:t>
      </w:r>
      <w:r w:rsidR="001C6403" w:rsidRPr="001357D3">
        <w:rPr>
          <w:noProof/>
        </w:rPr>
        <w:t>wsp</w:t>
      </w:r>
      <w:r w:rsidRPr="001357D3">
        <w:rPr>
          <w:noProof/>
        </w:rPr>
        <w:t>ieranie praw wszystkich ofiar przestępstw oraz praw procesowych podejrzanych</w:t>
      </w:r>
      <w:r w:rsidR="001C6403" w:rsidRPr="001357D3">
        <w:rPr>
          <w:noProof/>
        </w:rPr>
        <w:t xml:space="preserve"> i</w:t>
      </w:r>
      <w:r w:rsidR="001C6403">
        <w:rPr>
          <w:noProof/>
        </w:rPr>
        <w:t> </w:t>
      </w:r>
      <w:r w:rsidR="001C6403" w:rsidRPr="001357D3">
        <w:rPr>
          <w:noProof/>
        </w:rPr>
        <w:t>osk</w:t>
      </w:r>
      <w:r w:rsidRPr="001357D3">
        <w:rPr>
          <w:noProof/>
        </w:rPr>
        <w:t>arżonych</w:t>
      </w:r>
      <w:r w:rsidR="001C6403" w:rsidRPr="001357D3">
        <w:rPr>
          <w:noProof/>
        </w:rPr>
        <w:t xml:space="preserve"> w</w:t>
      </w:r>
      <w:r w:rsidR="001C6403">
        <w:rPr>
          <w:noProof/>
        </w:rPr>
        <w:t> </w:t>
      </w:r>
      <w:r w:rsidR="001C6403" w:rsidRPr="001357D3">
        <w:rPr>
          <w:noProof/>
        </w:rPr>
        <w:t>pos</w:t>
      </w:r>
      <w:r w:rsidRPr="001357D3">
        <w:rPr>
          <w:noProof/>
        </w:rPr>
        <w:t>tępowaniu karnym,</w:t>
      </w:r>
      <w:r w:rsidR="001C6403" w:rsidRPr="001357D3">
        <w:rPr>
          <w:noProof/>
        </w:rPr>
        <w:t xml:space="preserve"> a</w:t>
      </w:r>
      <w:r w:rsidR="001C6403">
        <w:rPr>
          <w:noProof/>
        </w:rPr>
        <w:t> </w:t>
      </w:r>
      <w:r w:rsidR="001C6403" w:rsidRPr="001357D3">
        <w:rPr>
          <w:noProof/>
        </w:rPr>
        <w:t>tak</w:t>
      </w:r>
      <w:r w:rsidRPr="001357D3">
        <w:rPr>
          <w:noProof/>
        </w:rPr>
        <w:t>że osób, których dotyczy wniosek</w:t>
      </w:r>
      <w:r w:rsidR="001C6403" w:rsidRPr="001357D3">
        <w:rPr>
          <w:noProof/>
        </w:rPr>
        <w:t xml:space="preserve"> w</w:t>
      </w:r>
      <w:r w:rsidR="001C6403">
        <w:rPr>
          <w:noProof/>
        </w:rPr>
        <w:t> </w:t>
      </w:r>
      <w:r w:rsidR="001C6403" w:rsidRPr="001357D3">
        <w:rPr>
          <w:noProof/>
        </w:rPr>
        <w:t>pos</w:t>
      </w:r>
      <w:r w:rsidRPr="001357D3">
        <w:rPr>
          <w:noProof/>
        </w:rPr>
        <w:t>tępowaniu dotyczącym europejskiego nakazu aresztowania.</w:t>
      </w:r>
    </w:p>
    <w:p w14:paraId="00377FA1" w14:textId="56447994" w:rsidR="00E428C1" w:rsidRPr="001357D3" w:rsidRDefault="00E428C1" w:rsidP="004852D0">
      <w:pPr>
        <w:pStyle w:val="Titrearticle"/>
        <w:spacing w:before="0"/>
        <w:rPr>
          <w:noProof/>
        </w:rPr>
      </w:pPr>
      <w:bookmarkStart w:id="42" w:name="_Hlk203376186"/>
      <w:bookmarkStart w:id="43" w:name="_Hlk204937633"/>
      <w:r w:rsidRPr="001357D3">
        <w:rPr>
          <w:noProof/>
        </w:rPr>
        <w:t>Artykuł 4</w:t>
      </w:r>
    </w:p>
    <w:p w14:paraId="00377FA2" w14:textId="77777777" w:rsidR="00E428C1" w:rsidRPr="001357D3" w:rsidRDefault="00E428C1" w:rsidP="004852D0">
      <w:pPr>
        <w:spacing w:before="0"/>
        <w:jc w:val="center"/>
        <w:rPr>
          <w:b/>
          <w:bCs/>
          <w:i/>
          <w:iCs/>
          <w:noProof/>
        </w:rPr>
      </w:pPr>
      <w:r w:rsidRPr="001357D3">
        <w:rPr>
          <w:b/>
          <w:i/>
          <w:noProof/>
        </w:rPr>
        <w:t>Budżet</w:t>
      </w:r>
    </w:p>
    <w:p w14:paraId="4B617ED9" w14:textId="4AE5CD15" w:rsidR="00874BDF" w:rsidRPr="001357D3" w:rsidRDefault="000D4BE4" w:rsidP="000D4BE4">
      <w:pPr>
        <w:pStyle w:val="ManualNumPar1"/>
        <w:rPr>
          <w:rStyle w:val="Instructions"/>
          <w:rFonts w:eastAsiaTheme="minorEastAsia"/>
          <w:i w:val="0"/>
          <w:iCs w:val="0"/>
          <w:noProof/>
          <w:color w:val="auto"/>
        </w:rPr>
      </w:pPr>
      <w:r w:rsidRPr="000D4BE4">
        <w:rPr>
          <w:rStyle w:val="Instructions"/>
          <w:rFonts w:eastAsiaTheme="minorHAnsi"/>
          <w:noProof/>
        </w:rPr>
        <w:t>1.</w:t>
      </w:r>
      <w:r w:rsidRPr="000D4BE4">
        <w:rPr>
          <w:rStyle w:val="Instructions"/>
          <w:rFonts w:eastAsiaTheme="minorHAnsi"/>
          <w:noProof/>
        </w:rPr>
        <w:tab/>
      </w:r>
      <w:r w:rsidR="4E9AF30B" w:rsidRPr="001357D3">
        <w:rPr>
          <w:noProof/>
        </w:rPr>
        <w:t>Orientacyjna pula środków finansowych przeznaczona na realizację Programu</w:t>
      </w:r>
      <w:r w:rsidR="001C6403" w:rsidRPr="001357D3">
        <w:rPr>
          <w:noProof/>
        </w:rPr>
        <w:t xml:space="preserve"> w</w:t>
      </w:r>
      <w:r w:rsidR="001C6403">
        <w:rPr>
          <w:noProof/>
        </w:rPr>
        <w:t> </w:t>
      </w:r>
      <w:r w:rsidR="001C6403" w:rsidRPr="001357D3">
        <w:rPr>
          <w:noProof/>
        </w:rPr>
        <w:t>okr</w:t>
      </w:r>
      <w:r w:rsidR="4E9AF30B" w:rsidRPr="001357D3">
        <w:rPr>
          <w:noProof/>
        </w:rPr>
        <w:t xml:space="preserve">esie </w:t>
      </w:r>
      <w:r w:rsidR="4E9AF30B" w:rsidRPr="001357D3">
        <w:rPr>
          <w:rStyle w:val="Instructions"/>
          <w:rFonts w:eastAsiaTheme="minorHAnsi"/>
          <w:i w:val="0"/>
          <w:noProof/>
          <w:color w:val="auto"/>
        </w:rPr>
        <w:t xml:space="preserve">od dnia 1 stycznia 2028 r. do dnia 31 grudnia 2034 r., </w:t>
      </w:r>
      <w:r w:rsidR="4E9AF30B" w:rsidRPr="001357D3">
        <w:rPr>
          <w:noProof/>
        </w:rPr>
        <w:t xml:space="preserve">wynosi </w:t>
      </w:r>
      <w:r w:rsidR="4E9AF30B" w:rsidRPr="001357D3">
        <w:rPr>
          <w:rStyle w:val="Instructions"/>
          <w:rFonts w:eastAsiaTheme="minorHAnsi"/>
          <w:i w:val="0"/>
          <w:noProof/>
          <w:color w:val="auto"/>
        </w:rPr>
        <w:t>798 000 000 </w:t>
      </w:r>
      <w:r w:rsidR="4E9AF30B" w:rsidRPr="001357D3">
        <w:rPr>
          <w:noProof/>
        </w:rPr>
        <w:t>EUR według cen bieżących.</w:t>
      </w:r>
      <w:bookmarkEnd w:id="42"/>
    </w:p>
    <w:p w14:paraId="69DBD290" w14:textId="22525078" w:rsidR="00874BDF" w:rsidRPr="001357D3" w:rsidRDefault="000D4BE4" w:rsidP="000D4BE4">
      <w:pPr>
        <w:pStyle w:val="ManualNumPar1"/>
        <w:rPr>
          <w:rFonts w:eastAsiaTheme="minorEastAsia" w:cstheme="majorHAnsi"/>
          <w:noProof/>
          <w:szCs w:val="20"/>
        </w:rPr>
      </w:pPr>
      <w:r w:rsidRPr="000D4BE4">
        <w:rPr>
          <w:noProof/>
        </w:rPr>
        <w:t>2.</w:t>
      </w:r>
      <w:r w:rsidRPr="000D4BE4">
        <w:rPr>
          <w:noProof/>
        </w:rPr>
        <w:tab/>
      </w:r>
      <w:r w:rsidR="5AE10463" w:rsidRPr="001357D3">
        <w:rPr>
          <w:noProof/>
        </w:rPr>
        <w:t>Środki finansowe można wprowadzać do budżetu Unii poza 20</w:t>
      </w:r>
      <w:r w:rsidR="5AE10463" w:rsidRPr="001C6403">
        <w:rPr>
          <w:noProof/>
        </w:rPr>
        <w:t>34</w:t>
      </w:r>
      <w:r w:rsidR="001C6403" w:rsidRPr="001C6403">
        <w:rPr>
          <w:noProof/>
        </w:rPr>
        <w:t> </w:t>
      </w:r>
      <w:r w:rsidR="5AE10463" w:rsidRPr="001C6403">
        <w:rPr>
          <w:noProof/>
        </w:rPr>
        <w:t>r.</w:t>
      </w:r>
      <w:r w:rsidR="5AE10463" w:rsidRPr="001357D3">
        <w:rPr>
          <w:noProof/>
        </w:rPr>
        <w:t>, aby pokryć niezbędne wydatki oraz aby umożliwić zarządzanie działaniami, które nie zakończyły się</w:t>
      </w:r>
      <w:r w:rsidR="001C6403" w:rsidRPr="001357D3">
        <w:rPr>
          <w:noProof/>
        </w:rPr>
        <w:t xml:space="preserve"> z</w:t>
      </w:r>
      <w:r w:rsidR="001C6403">
        <w:rPr>
          <w:noProof/>
        </w:rPr>
        <w:t> </w:t>
      </w:r>
      <w:r w:rsidR="001C6403" w:rsidRPr="001357D3">
        <w:rPr>
          <w:noProof/>
        </w:rPr>
        <w:t>koń</w:t>
      </w:r>
      <w:r w:rsidR="5AE10463" w:rsidRPr="001357D3">
        <w:rPr>
          <w:noProof/>
        </w:rPr>
        <w:t>cem programu.</w:t>
      </w:r>
    </w:p>
    <w:p w14:paraId="434CA7D0" w14:textId="38013B72" w:rsidR="002B679C" w:rsidRPr="001357D3" w:rsidRDefault="000D4BE4" w:rsidP="000D4BE4">
      <w:pPr>
        <w:pStyle w:val="ManualNumPar1"/>
        <w:rPr>
          <w:noProof/>
        </w:rPr>
      </w:pPr>
      <w:r w:rsidRPr="000D4BE4">
        <w:rPr>
          <w:noProof/>
        </w:rPr>
        <w:t>3.</w:t>
      </w:r>
      <w:r w:rsidRPr="000D4BE4">
        <w:rPr>
          <w:noProof/>
        </w:rPr>
        <w:tab/>
      </w:r>
      <w:r w:rsidR="11038736" w:rsidRPr="001357D3">
        <w:rPr>
          <w:noProof/>
        </w:rPr>
        <w:t>Pulę środków finansowych,</w:t>
      </w:r>
      <w:r w:rsidR="001C6403" w:rsidRPr="001357D3">
        <w:rPr>
          <w:noProof/>
        </w:rPr>
        <w:t xml:space="preserve"> o</w:t>
      </w:r>
      <w:r w:rsidR="001C6403">
        <w:rPr>
          <w:noProof/>
        </w:rPr>
        <w:t> </w:t>
      </w:r>
      <w:r w:rsidR="001C6403" w:rsidRPr="001357D3">
        <w:rPr>
          <w:noProof/>
        </w:rPr>
        <w:t>któ</w:t>
      </w:r>
      <w:r w:rsidR="11038736" w:rsidRPr="001357D3">
        <w:rPr>
          <w:noProof/>
        </w:rPr>
        <w:t>rej mowa</w:t>
      </w:r>
      <w:r w:rsidR="001C6403" w:rsidRPr="001357D3">
        <w:rPr>
          <w:noProof/>
        </w:rPr>
        <w:t xml:space="preserve"> w</w:t>
      </w:r>
      <w:r w:rsidR="001C6403">
        <w:rPr>
          <w:noProof/>
        </w:rPr>
        <w:t> </w:t>
      </w:r>
      <w:r w:rsidR="001C6403" w:rsidRPr="001C6403">
        <w:rPr>
          <w:noProof/>
        </w:rPr>
        <w:t>ust</w:t>
      </w:r>
      <w:r w:rsidR="11038736" w:rsidRPr="001C6403">
        <w:rPr>
          <w:noProof/>
        </w:rPr>
        <w:t>.</w:t>
      </w:r>
      <w:r w:rsidR="001C6403" w:rsidRPr="001C6403">
        <w:rPr>
          <w:noProof/>
        </w:rPr>
        <w:t> </w:t>
      </w:r>
      <w:r w:rsidR="11038736" w:rsidRPr="001C6403">
        <w:rPr>
          <w:noProof/>
        </w:rPr>
        <w:t>1</w:t>
      </w:r>
      <w:r w:rsidR="11038736" w:rsidRPr="001357D3">
        <w:rPr>
          <w:noProof/>
        </w:rPr>
        <w:t xml:space="preserve"> niniejszego artykułu, oraz kwoty dodatkowych środków,</w:t>
      </w:r>
      <w:r w:rsidR="001C6403" w:rsidRPr="001357D3">
        <w:rPr>
          <w:noProof/>
        </w:rPr>
        <w:t xml:space="preserve"> o</w:t>
      </w:r>
      <w:r w:rsidR="001C6403">
        <w:rPr>
          <w:noProof/>
        </w:rPr>
        <w:t> </w:t>
      </w:r>
      <w:r w:rsidR="001C6403" w:rsidRPr="001357D3">
        <w:rPr>
          <w:noProof/>
        </w:rPr>
        <w:t>któ</w:t>
      </w:r>
      <w:r w:rsidR="11038736" w:rsidRPr="001357D3">
        <w:rPr>
          <w:noProof/>
        </w:rPr>
        <w:t>rych mowa</w:t>
      </w:r>
      <w:r w:rsidR="001C6403" w:rsidRPr="001357D3">
        <w:rPr>
          <w:noProof/>
        </w:rPr>
        <w:t xml:space="preserve"> w</w:t>
      </w:r>
      <w:r w:rsidR="001C6403">
        <w:rPr>
          <w:noProof/>
        </w:rPr>
        <w:t> </w:t>
      </w:r>
      <w:r w:rsidR="001C6403" w:rsidRPr="001C6403">
        <w:rPr>
          <w:noProof/>
        </w:rPr>
        <w:t>art</w:t>
      </w:r>
      <w:r w:rsidR="11038736" w:rsidRPr="001C6403">
        <w:rPr>
          <w:noProof/>
        </w:rPr>
        <w:t>.</w:t>
      </w:r>
      <w:r w:rsidR="001C6403" w:rsidRPr="001C6403">
        <w:rPr>
          <w:noProof/>
        </w:rPr>
        <w:t> </w:t>
      </w:r>
      <w:r w:rsidR="11038736" w:rsidRPr="001C6403">
        <w:rPr>
          <w:noProof/>
        </w:rPr>
        <w:t>5</w:t>
      </w:r>
      <w:r w:rsidR="11038736" w:rsidRPr="001357D3">
        <w:rPr>
          <w:noProof/>
        </w:rPr>
        <w:t>, można wykorzystać także na pomoc techniczną</w:t>
      </w:r>
      <w:r w:rsidR="001C6403" w:rsidRPr="001357D3">
        <w:rPr>
          <w:noProof/>
        </w:rPr>
        <w:t xml:space="preserve"> i</w:t>
      </w:r>
      <w:r w:rsidR="001C6403">
        <w:rPr>
          <w:noProof/>
        </w:rPr>
        <w:t> </w:t>
      </w:r>
      <w:r w:rsidR="001C6403" w:rsidRPr="001357D3">
        <w:rPr>
          <w:noProof/>
        </w:rPr>
        <w:t>adm</w:t>
      </w:r>
      <w:r w:rsidR="11038736" w:rsidRPr="001357D3">
        <w:rPr>
          <w:noProof/>
        </w:rPr>
        <w:t>inistracyjną na wykonanie programu, np. na działania przygotowawcze, monitorowanie, kontrolę, audyt</w:t>
      </w:r>
      <w:r w:rsidR="001C6403" w:rsidRPr="001357D3">
        <w:rPr>
          <w:noProof/>
        </w:rPr>
        <w:t xml:space="preserve"> i</w:t>
      </w:r>
      <w:r w:rsidR="001C6403">
        <w:rPr>
          <w:noProof/>
        </w:rPr>
        <w:t> </w:t>
      </w:r>
      <w:r w:rsidR="001C6403" w:rsidRPr="001357D3">
        <w:rPr>
          <w:noProof/>
        </w:rPr>
        <w:t>ewa</w:t>
      </w:r>
      <w:r w:rsidR="11038736" w:rsidRPr="001357D3">
        <w:rPr>
          <w:noProof/>
        </w:rPr>
        <w:t>luację, na instytucjonalne systemy</w:t>
      </w:r>
      <w:r w:rsidR="001C6403" w:rsidRPr="001357D3">
        <w:rPr>
          <w:noProof/>
        </w:rPr>
        <w:t xml:space="preserve"> i</w:t>
      </w:r>
      <w:r w:rsidR="001C6403">
        <w:rPr>
          <w:noProof/>
        </w:rPr>
        <w:t> </w:t>
      </w:r>
      <w:r w:rsidR="001C6403" w:rsidRPr="001357D3">
        <w:rPr>
          <w:noProof/>
        </w:rPr>
        <w:t>pla</w:t>
      </w:r>
      <w:r w:rsidR="11038736" w:rsidRPr="001357D3">
        <w:rPr>
          <w:noProof/>
        </w:rPr>
        <w:t>tformy informatyczne, na działania informacyjne</w:t>
      </w:r>
      <w:r w:rsidR="001C6403" w:rsidRPr="001357D3">
        <w:rPr>
          <w:noProof/>
        </w:rPr>
        <w:t xml:space="preserve"> i</w:t>
      </w:r>
      <w:r w:rsidR="001C6403">
        <w:rPr>
          <w:noProof/>
        </w:rPr>
        <w:t> </w:t>
      </w:r>
      <w:r w:rsidR="001C6403" w:rsidRPr="001357D3">
        <w:rPr>
          <w:noProof/>
        </w:rPr>
        <w:t>kom</w:t>
      </w:r>
      <w:r w:rsidR="11038736" w:rsidRPr="001357D3">
        <w:rPr>
          <w:noProof/>
        </w:rPr>
        <w:t>unikacyjne,</w:t>
      </w:r>
      <w:r w:rsidR="001C6403" w:rsidRPr="001357D3">
        <w:rPr>
          <w:noProof/>
        </w:rPr>
        <w:t xml:space="preserve"> w</w:t>
      </w:r>
      <w:r w:rsidR="001C6403">
        <w:rPr>
          <w:noProof/>
        </w:rPr>
        <w:t> </w:t>
      </w:r>
      <w:r w:rsidR="001C6403" w:rsidRPr="001357D3">
        <w:rPr>
          <w:noProof/>
        </w:rPr>
        <w:t>tym</w:t>
      </w:r>
      <w:r w:rsidR="11038736" w:rsidRPr="001357D3">
        <w:rPr>
          <w:noProof/>
        </w:rPr>
        <w:t xml:space="preserve"> komunikację instytucjonalną</w:t>
      </w:r>
      <w:r w:rsidR="001C6403" w:rsidRPr="001357D3">
        <w:rPr>
          <w:noProof/>
        </w:rPr>
        <w:t xml:space="preserve"> o</w:t>
      </w:r>
      <w:r w:rsidR="001C6403">
        <w:rPr>
          <w:noProof/>
        </w:rPr>
        <w:t> </w:t>
      </w:r>
      <w:r w:rsidR="001C6403" w:rsidRPr="001357D3">
        <w:rPr>
          <w:noProof/>
        </w:rPr>
        <w:t>pri</w:t>
      </w:r>
      <w:r w:rsidR="11038736" w:rsidRPr="001357D3">
        <w:rPr>
          <w:noProof/>
        </w:rPr>
        <w:t>orytetach politycznych Unii, oraz na wszelką inną pomoc techniczną</w:t>
      </w:r>
      <w:r w:rsidR="001C6403" w:rsidRPr="001357D3">
        <w:rPr>
          <w:noProof/>
        </w:rPr>
        <w:t xml:space="preserve"> i</w:t>
      </w:r>
      <w:r w:rsidR="001C6403">
        <w:rPr>
          <w:noProof/>
        </w:rPr>
        <w:t> </w:t>
      </w:r>
      <w:r w:rsidR="001C6403" w:rsidRPr="001357D3">
        <w:rPr>
          <w:noProof/>
        </w:rPr>
        <w:t>adm</w:t>
      </w:r>
      <w:r w:rsidR="11038736" w:rsidRPr="001357D3">
        <w:rPr>
          <w:noProof/>
        </w:rPr>
        <w:t xml:space="preserve">inistracyjną </w:t>
      </w:r>
      <w:bookmarkStart w:id="44" w:name="_Hlk195084220"/>
      <w:r w:rsidR="11038736" w:rsidRPr="001357D3">
        <w:rPr>
          <w:noProof/>
        </w:rPr>
        <w:t>lub wydatki związane</w:t>
      </w:r>
      <w:r w:rsidR="001C6403" w:rsidRPr="001357D3">
        <w:rPr>
          <w:noProof/>
        </w:rPr>
        <w:t xml:space="preserve"> z</w:t>
      </w:r>
      <w:r w:rsidR="001C6403">
        <w:rPr>
          <w:noProof/>
        </w:rPr>
        <w:t> </w:t>
      </w:r>
      <w:r w:rsidR="001C6403" w:rsidRPr="001357D3">
        <w:rPr>
          <w:noProof/>
        </w:rPr>
        <w:t>per</w:t>
      </w:r>
      <w:r w:rsidR="11038736" w:rsidRPr="001357D3">
        <w:rPr>
          <w:noProof/>
        </w:rPr>
        <w:t>sonelem</w:t>
      </w:r>
      <w:bookmarkEnd w:id="44"/>
      <w:r w:rsidR="11038736" w:rsidRPr="001357D3">
        <w:rPr>
          <w:noProof/>
        </w:rPr>
        <w:t>, poniesione przez Komisję na zarządzanie Programem.</w:t>
      </w:r>
    </w:p>
    <w:p w14:paraId="71C5A09A" w14:textId="108B4662" w:rsidR="002B679C" w:rsidRPr="001357D3" w:rsidRDefault="002B679C" w:rsidP="004852D0">
      <w:pPr>
        <w:pStyle w:val="Titrearticle"/>
        <w:spacing w:before="0"/>
        <w:rPr>
          <w:noProof/>
        </w:rPr>
      </w:pPr>
      <w:bookmarkStart w:id="45" w:name="_Hlk204962237"/>
      <w:bookmarkEnd w:id="43"/>
      <w:r w:rsidRPr="001357D3">
        <w:rPr>
          <w:noProof/>
        </w:rPr>
        <w:t>Artykuł 5</w:t>
      </w:r>
    </w:p>
    <w:p w14:paraId="6B8D7D47" w14:textId="4A17E17C" w:rsidR="002B679C" w:rsidRPr="001357D3" w:rsidRDefault="002B679C" w:rsidP="004852D0">
      <w:pPr>
        <w:spacing w:before="0"/>
        <w:jc w:val="center"/>
        <w:rPr>
          <w:b/>
          <w:bCs/>
          <w:i/>
          <w:iCs/>
          <w:noProof/>
        </w:rPr>
      </w:pPr>
      <w:r w:rsidRPr="001357D3">
        <w:rPr>
          <w:b/>
          <w:i/>
          <w:noProof/>
        </w:rPr>
        <w:t>Dodatkowe zasoby</w:t>
      </w:r>
    </w:p>
    <w:bookmarkEnd w:id="45"/>
    <w:p w14:paraId="11742257" w14:textId="6B15A253" w:rsidR="002B679C" w:rsidRPr="001357D3" w:rsidRDefault="000D4BE4" w:rsidP="000D4BE4">
      <w:pPr>
        <w:pStyle w:val="ManualNumPar1"/>
        <w:rPr>
          <w:noProof/>
        </w:rPr>
      </w:pPr>
      <w:r w:rsidRPr="000D4BE4">
        <w:rPr>
          <w:noProof/>
        </w:rPr>
        <w:lastRenderedPageBreak/>
        <w:t>1.</w:t>
      </w:r>
      <w:r w:rsidRPr="000D4BE4">
        <w:rPr>
          <w:noProof/>
        </w:rPr>
        <w:tab/>
      </w:r>
      <w:r w:rsidR="5EC780A8" w:rsidRPr="001357D3">
        <w:rPr>
          <w:noProof/>
        </w:rPr>
        <w:t>Państwa członkowskie, instytucje, organy</w:t>
      </w:r>
      <w:r w:rsidR="001C6403" w:rsidRPr="001357D3">
        <w:rPr>
          <w:noProof/>
        </w:rPr>
        <w:t xml:space="preserve"> i</w:t>
      </w:r>
      <w:r w:rsidR="001C6403">
        <w:rPr>
          <w:noProof/>
        </w:rPr>
        <w:t> </w:t>
      </w:r>
      <w:r w:rsidR="001C6403" w:rsidRPr="001357D3">
        <w:rPr>
          <w:noProof/>
        </w:rPr>
        <w:t>age</w:t>
      </w:r>
      <w:r w:rsidR="5EC780A8" w:rsidRPr="001357D3">
        <w:rPr>
          <w:noProof/>
        </w:rPr>
        <w:t>ncje Unii, państwa trzecie, organizacje międzynarodowe, międzynarodowe instytucje finansowe lub inne osoby trzecie mogą wnieść dodatkowe wkłady finansowe lub niefinansowe na rzecz programu. Dodatkowe wkłady finansowe uważa się za zewnętrzne dochody przeznaczone na określony cel</w:t>
      </w:r>
      <w:r w:rsidR="001C6403" w:rsidRPr="001357D3">
        <w:rPr>
          <w:noProof/>
        </w:rPr>
        <w:t xml:space="preserve"> w</w:t>
      </w:r>
      <w:r w:rsidR="001C6403">
        <w:rPr>
          <w:noProof/>
        </w:rPr>
        <w:t> </w:t>
      </w:r>
      <w:r w:rsidR="001C6403" w:rsidRPr="001357D3">
        <w:rPr>
          <w:noProof/>
        </w:rPr>
        <w:t>roz</w:t>
      </w:r>
      <w:r w:rsidR="5EC780A8" w:rsidRPr="001357D3">
        <w:rPr>
          <w:noProof/>
        </w:rPr>
        <w:t xml:space="preserve">umieniu </w:t>
      </w:r>
      <w:r w:rsidR="5EC780A8" w:rsidRPr="001C6403">
        <w:rPr>
          <w:noProof/>
        </w:rPr>
        <w:t>art.</w:t>
      </w:r>
      <w:r w:rsidR="001C6403" w:rsidRPr="001C6403">
        <w:rPr>
          <w:noProof/>
        </w:rPr>
        <w:t> </w:t>
      </w:r>
      <w:r w:rsidR="5EC780A8" w:rsidRPr="001C6403">
        <w:rPr>
          <w:noProof/>
        </w:rPr>
        <w:t>2</w:t>
      </w:r>
      <w:r w:rsidR="5EC780A8" w:rsidRPr="001357D3">
        <w:rPr>
          <w:noProof/>
        </w:rPr>
        <w:t xml:space="preserve">1 </w:t>
      </w:r>
      <w:r w:rsidR="5EC780A8" w:rsidRPr="001C6403">
        <w:rPr>
          <w:noProof/>
        </w:rPr>
        <w:t>ust.</w:t>
      </w:r>
      <w:r w:rsidR="001C6403" w:rsidRPr="001C6403">
        <w:rPr>
          <w:noProof/>
        </w:rPr>
        <w:t> </w:t>
      </w:r>
      <w:r w:rsidR="5EC780A8" w:rsidRPr="001C6403">
        <w:rPr>
          <w:noProof/>
        </w:rPr>
        <w:t>2</w:t>
      </w:r>
      <w:r w:rsidR="5EC780A8" w:rsidRPr="001357D3">
        <w:rPr>
          <w:noProof/>
        </w:rPr>
        <w:t xml:space="preserve"> lit. A), d) lub e) lub </w:t>
      </w:r>
      <w:r w:rsidR="5EC780A8" w:rsidRPr="001C6403">
        <w:rPr>
          <w:noProof/>
        </w:rPr>
        <w:t>art.</w:t>
      </w:r>
      <w:r w:rsidR="001C6403" w:rsidRPr="001C6403">
        <w:rPr>
          <w:noProof/>
        </w:rPr>
        <w:t> </w:t>
      </w:r>
      <w:r w:rsidR="5EC780A8" w:rsidRPr="001C6403">
        <w:rPr>
          <w:noProof/>
        </w:rPr>
        <w:t>2</w:t>
      </w:r>
      <w:r w:rsidR="5EC780A8" w:rsidRPr="001357D3">
        <w:rPr>
          <w:noProof/>
        </w:rPr>
        <w:t xml:space="preserve">1 </w:t>
      </w:r>
      <w:r w:rsidR="5EC780A8" w:rsidRPr="001C6403">
        <w:rPr>
          <w:noProof/>
        </w:rPr>
        <w:t>ust.</w:t>
      </w:r>
      <w:r w:rsidR="001C6403" w:rsidRPr="001C6403">
        <w:rPr>
          <w:noProof/>
        </w:rPr>
        <w:t> </w:t>
      </w:r>
      <w:r w:rsidR="5EC780A8" w:rsidRPr="001C6403">
        <w:rPr>
          <w:noProof/>
        </w:rPr>
        <w:t>5</w:t>
      </w:r>
      <w:r w:rsidR="5EC780A8" w:rsidRPr="001357D3">
        <w:rPr>
          <w:noProof/>
        </w:rPr>
        <w:t xml:space="preserve"> rozporządzenia (UE, Euratom) 2024/2509.</w:t>
      </w:r>
    </w:p>
    <w:p w14:paraId="157E09C5" w14:textId="0D9A149E" w:rsidR="002B679C" w:rsidRPr="001357D3" w:rsidRDefault="000D4BE4" w:rsidP="000D4BE4">
      <w:pPr>
        <w:pStyle w:val="ManualNumPar1"/>
        <w:rPr>
          <w:noProof/>
        </w:rPr>
      </w:pPr>
      <w:r w:rsidRPr="000D4BE4">
        <w:rPr>
          <w:noProof/>
        </w:rPr>
        <w:t>2.</w:t>
      </w:r>
      <w:r w:rsidRPr="000D4BE4">
        <w:rPr>
          <w:noProof/>
        </w:rPr>
        <w:tab/>
      </w:r>
      <w:r w:rsidR="002B679C" w:rsidRPr="001357D3">
        <w:rPr>
          <w:noProof/>
        </w:rPr>
        <w:t>Zasoby przydzielone państwu członkowskiemu</w:t>
      </w:r>
      <w:r w:rsidR="001C6403" w:rsidRPr="001357D3">
        <w:rPr>
          <w:noProof/>
        </w:rPr>
        <w:t xml:space="preserve"> w</w:t>
      </w:r>
      <w:r w:rsidR="001C6403">
        <w:rPr>
          <w:noProof/>
        </w:rPr>
        <w:t> </w:t>
      </w:r>
      <w:r w:rsidR="001C6403" w:rsidRPr="001357D3">
        <w:rPr>
          <w:noProof/>
        </w:rPr>
        <w:t>ram</w:t>
      </w:r>
      <w:r w:rsidR="002B679C" w:rsidRPr="001357D3">
        <w:rPr>
          <w:noProof/>
        </w:rPr>
        <w:t>ach zarządzania dzielonego można – na prośbę tego państwa – udostępnić na rzecz programu. Komisja wykorzystuje te zasoby bezpośrednio lub pośrednio zgodnie</w:t>
      </w:r>
      <w:r w:rsidR="001C6403" w:rsidRPr="001357D3">
        <w:rPr>
          <w:noProof/>
        </w:rPr>
        <w:t xml:space="preserve"> z</w:t>
      </w:r>
      <w:r w:rsidR="001C6403">
        <w:rPr>
          <w:noProof/>
        </w:rPr>
        <w:t> </w:t>
      </w:r>
      <w:r w:rsidR="001C6403" w:rsidRPr="001C6403">
        <w:rPr>
          <w:noProof/>
        </w:rPr>
        <w:t>art</w:t>
      </w:r>
      <w:r w:rsidR="002B679C" w:rsidRPr="001C6403">
        <w:rPr>
          <w:noProof/>
        </w:rPr>
        <w:t>.</w:t>
      </w:r>
      <w:r w:rsidR="001C6403" w:rsidRPr="001C6403">
        <w:rPr>
          <w:noProof/>
        </w:rPr>
        <w:t> </w:t>
      </w:r>
      <w:r w:rsidR="002B679C" w:rsidRPr="001C6403">
        <w:rPr>
          <w:noProof/>
        </w:rPr>
        <w:t>6</w:t>
      </w:r>
      <w:r w:rsidR="002B679C" w:rsidRPr="001357D3">
        <w:rPr>
          <w:noProof/>
        </w:rPr>
        <w:t xml:space="preserve">2 </w:t>
      </w:r>
      <w:r w:rsidR="002B679C" w:rsidRPr="001C6403">
        <w:rPr>
          <w:noProof/>
        </w:rPr>
        <w:t>ust.</w:t>
      </w:r>
      <w:r w:rsidR="001C6403" w:rsidRPr="001C6403">
        <w:rPr>
          <w:noProof/>
        </w:rPr>
        <w:t> </w:t>
      </w:r>
      <w:r w:rsidR="002B679C" w:rsidRPr="001C6403">
        <w:rPr>
          <w:noProof/>
        </w:rPr>
        <w:t>1</w:t>
      </w:r>
      <w:r w:rsidR="002B679C" w:rsidRPr="001357D3">
        <w:rPr>
          <w:noProof/>
        </w:rPr>
        <w:t xml:space="preserve"> </w:t>
      </w:r>
      <w:r w:rsidR="002B679C" w:rsidRPr="001C6403">
        <w:rPr>
          <w:noProof/>
        </w:rPr>
        <w:t>lit.</w:t>
      </w:r>
      <w:r w:rsidR="001C6403" w:rsidRPr="001C6403">
        <w:rPr>
          <w:noProof/>
        </w:rPr>
        <w:t> </w:t>
      </w:r>
      <w:r w:rsidR="002B679C" w:rsidRPr="001C6403">
        <w:rPr>
          <w:noProof/>
        </w:rPr>
        <w:t>a)</w:t>
      </w:r>
      <w:r w:rsidR="002B679C" w:rsidRPr="001357D3">
        <w:rPr>
          <w:noProof/>
        </w:rPr>
        <w:t xml:space="preserve"> lub c) rozporządzenia (UE, Euratom) 2024/2509. Są one dodatkowe względem zasobów,</w:t>
      </w:r>
      <w:r w:rsidR="001C6403" w:rsidRPr="001357D3">
        <w:rPr>
          <w:noProof/>
        </w:rPr>
        <w:t xml:space="preserve"> o</w:t>
      </w:r>
      <w:r w:rsidR="001C6403">
        <w:rPr>
          <w:noProof/>
        </w:rPr>
        <w:t> </w:t>
      </w:r>
      <w:r w:rsidR="001C6403" w:rsidRPr="001357D3">
        <w:rPr>
          <w:noProof/>
        </w:rPr>
        <w:t>któ</w:t>
      </w:r>
      <w:r w:rsidR="002B679C" w:rsidRPr="001357D3">
        <w:rPr>
          <w:noProof/>
        </w:rPr>
        <w:t>rych mowa</w:t>
      </w:r>
      <w:r w:rsidR="001C6403" w:rsidRPr="001357D3">
        <w:rPr>
          <w:noProof/>
        </w:rPr>
        <w:t xml:space="preserve"> w</w:t>
      </w:r>
      <w:r w:rsidR="001C6403">
        <w:rPr>
          <w:noProof/>
        </w:rPr>
        <w:t> </w:t>
      </w:r>
      <w:r w:rsidR="001C6403" w:rsidRPr="001C6403">
        <w:rPr>
          <w:noProof/>
        </w:rPr>
        <w:t>art</w:t>
      </w:r>
      <w:r w:rsidR="002B679C" w:rsidRPr="001C6403">
        <w:rPr>
          <w:noProof/>
        </w:rPr>
        <w:t>.</w:t>
      </w:r>
      <w:r w:rsidR="001C6403" w:rsidRPr="001C6403">
        <w:rPr>
          <w:noProof/>
        </w:rPr>
        <w:t> </w:t>
      </w:r>
      <w:r w:rsidR="002B679C" w:rsidRPr="001C6403">
        <w:rPr>
          <w:noProof/>
        </w:rPr>
        <w:t>4</w:t>
      </w:r>
      <w:r w:rsidR="002B679C" w:rsidRPr="001357D3">
        <w:rPr>
          <w:noProof/>
        </w:rPr>
        <w:t xml:space="preserve"> </w:t>
      </w:r>
      <w:r w:rsidR="002B679C" w:rsidRPr="001C6403">
        <w:rPr>
          <w:noProof/>
        </w:rPr>
        <w:t>ust.</w:t>
      </w:r>
      <w:r w:rsidR="001C6403" w:rsidRPr="001C6403">
        <w:rPr>
          <w:noProof/>
        </w:rPr>
        <w:t> </w:t>
      </w:r>
      <w:r w:rsidR="002B679C" w:rsidRPr="001C6403">
        <w:rPr>
          <w:noProof/>
        </w:rPr>
        <w:t>1</w:t>
      </w:r>
      <w:r w:rsidR="002B679C" w:rsidRPr="001357D3">
        <w:rPr>
          <w:noProof/>
        </w:rPr>
        <w:t xml:space="preserve"> niniejszego rozporządzenia. Zasoby te wykorzystuje się na rzecz danego państwa członkowskiego. Jeżeli Komisja nie zawarła żadnego zobowiązania prawnego</w:t>
      </w:r>
      <w:r w:rsidR="001C6403" w:rsidRPr="001357D3">
        <w:rPr>
          <w:noProof/>
        </w:rPr>
        <w:t xml:space="preserve"> w</w:t>
      </w:r>
      <w:r w:rsidR="001C6403">
        <w:rPr>
          <w:noProof/>
        </w:rPr>
        <w:t> </w:t>
      </w:r>
      <w:r w:rsidR="001C6403" w:rsidRPr="001357D3">
        <w:rPr>
          <w:noProof/>
        </w:rPr>
        <w:t>ram</w:t>
      </w:r>
      <w:r w:rsidR="002B679C" w:rsidRPr="001357D3">
        <w:rPr>
          <w:noProof/>
        </w:rPr>
        <w:t>ach zarządzania bezpośredniego lub zarządzania pośredniego na środki dodatkowe udostępnione</w:t>
      </w:r>
      <w:r w:rsidR="001C6403" w:rsidRPr="001357D3">
        <w:rPr>
          <w:noProof/>
        </w:rPr>
        <w:t xml:space="preserve"> w</w:t>
      </w:r>
      <w:r w:rsidR="001C6403">
        <w:rPr>
          <w:noProof/>
        </w:rPr>
        <w:t> </w:t>
      </w:r>
      <w:r w:rsidR="001C6403" w:rsidRPr="001357D3">
        <w:rPr>
          <w:noProof/>
        </w:rPr>
        <w:t>ten</w:t>
      </w:r>
      <w:r w:rsidR="002B679C" w:rsidRPr="001357D3">
        <w:rPr>
          <w:noProof/>
        </w:rPr>
        <w:t xml:space="preserve"> sposób na rzecz programu, odpowiednie niezaangażowane środki można – na prośbę danego państwa członkowskiego – przekazać</w:t>
      </w:r>
      <w:r w:rsidR="001C6403" w:rsidRPr="001357D3">
        <w:rPr>
          <w:noProof/>
        </w:rPr>
        <w:t xml:space="preserve"> z</w:t>
      </w:r>
      <w:r w:rsidR="001C6403">
        <w:rPr>
          <w:noProof/>
        </w:rPr>
        <w:t> </w:t>
      </w:r>
      <w:r w:rsidR="001C6403" w:rsidRPr="001357D3">
        <w:rPr>
          <w:noProof/>
        </w:rPr>
        <w:t>pow</w:t>
      </w:r>
      <w:r w:rsidR="002B679C" w:rsidRPr="001357D3">
        <w:rPr>
          <w:noProof/>
        </w:rPr>
        <w:t>rotem na jeden lub więcej programów pierwotnych lub następców tych programów.</w:t>
      </w:r>
    </w:p>
    <w:p w14:paraId="60DFC464" w14:textId="6769C6F9" w:rsidR="002B679C" w:rsidRPr="001357D3" w:rsidRDefault="002B679C" w:rsidP="004852D0">
      <w:pPr>
        <w:pStyle w:val="Titrearticle"/>
        <w:spacing w:before="0"/>
        <w:rPr>
          <w:noProof/>
        </w:rPr>
      </w:pPr>
      <w:bookmarkStart w:id="46" w:name="_Hlk205126290"/>
      <w:r w:rsidRPr="001357D3">
        <w:rPr>
          <w:noProof/>
        </w:rPr>
        <w:t>Artykuł 6</w:t>
      </w:r>
    </w:p>
    <w:p w14:paraId="18A5FF46" w14:textId="347BE746" w:rsidR="002B679C" w:rsidRPr="001357D3" w:rsidRDefault="002B679C" w:rsidP="004852D0">
      <w:pPr>
        <w:spacing w:before="0"/>
        <w:jc w:val="center"/>
        <w:rPr>
          <w:b/>
          <w:bCs/>
          <w:i/>
          <w:iCs/>
          <w:noProof/>
        </w:rPr>
      </w:pPr>
      <w:r w:rsidRPr="001357D3">
        <w:rPr>
          <w:b/>
          <w:i/>
          <w:noProof/>
        </w:rPr>
        <w:t>Finansowanie alternatywne, łączone</w:t>
      </w:r>
      <w:r w:rsidR="001C6403" w:rsidRPr="001357D3">
        <w:rPr>
          <w:b/>
          <w:i/>
          <w:noProof/>
        </w:rPr>
        <w:t xml:space="preserve"> i</w:t>
      </w:r>
      <w:r w:rsidR="001C6403">
        <w:rPr>
          <w:b/>
          <w:i/>
          <w:noProof/>
        </w:rPr>
        <w:t> </w:t>
      </w:r>
      <w:r w:rsidR="001C6403" w:rsidRPr="001357D3">
        <w:rPr>
          <w:b/>
          <w:i/>
          <w:noProof/>
        </w:rPr>
        <w:t>kum</w:t>
      </w:r>
      <w:r w:rsidRPr="001357D3">
        <w:rPr>
          <w:b/>
          <w:i/>
          <w:noProof/>
        </w:rPr>
        <w:t>ulacyjne</w:t>
      </w:r>
    </w:p>
    <w:p w14:paraId="0810DFF2" w14:textId="3435C382" w:rsidR="00B41E03" w:rsidRPr="001357D3" w:rsidRDefault="000D4BE4" w:rsidP="000D4BE4">
      <w:pPr>
        <w:pStyle w:val="ManualNumPar1"/>
        <w:rPr>
          <w:noProof/>
        </w:rPr>
      </w:pPr>
      <w:r w:rsidRPr="000D4BE4">
        <w:rPr>
          <w:noProof/>
        </w:rPr>
        <w:t>1.</w:t>
      </w:r>
      <w:r w:rsidRPr="000D4BE4">
        <w:rPr>
          <w:noProof/>
        </w:rPr>
        <w:tab/>
      </w:r>
      <w:r w:rsidR="50815E1E" w:rsidRPr="001357D3">
        <w:rPr>
          <w:noProof/>
        </w:rPr>
        <w:t>Program jest wdrażany</w:t>
      </w:r>
      <w:r w:rsidR="001C6403" w:rsidRPr="001357D3">
        <w:rPr>
          <w:noProof/>
        </w:rPr>
        <w:t xml:space="preserve"> w</w:t>
      </w:r>
      <w:r w:rsidR="001C6403">
        <w:rPr>
          <w:noProof/>
        </w:rPr>
        <w:t> </w:t>
      </w:r>
      <w:r w:rsidR="001C6403" w:rsidRPr="001357D3">
        <w:rPr>
          <w:noProof/>
        </w:rPr>
        <w:t>syn</w:t>
      </w:r>
      <w:r w:rsidR="50815E1E" w:rsidRPr="001357D3">
        <w:rPr>
          <w:noProof/>
        </w:rPr>
        <w:t>ergii</w:t>
      </w:r>
      <w:r w:rsidR="001C6403" w:rsidRPr="001357D3">
        <w:rPr>
          <w:noProof/>
        </w:rPr>
        <w:t xml:space="preserve"> z</w:t>
      </w:r>
      <w:r w:rsidR="001C6403">
        <w:rPr>
          <w:noProof/>
        </w:rPr>
        <w:t> </w:t>
      </w:r>
      <w:r w:rsidR="001C6403" w:rsidRPr="001357D3">
        <w:rPr>
          <w:noProof/>
        </w:rPr>
        <w:t>inn</w:t>
      </w:r>
      <w:r w:rsidR="50815E1E" w:rsidRPr="001357D3">
        <w:rPr>
          <w:noProof/>
        </w:rPr>
        <w:t>ymi programami unijnymi. Działanie, które otrzymało wkład</w:t>
      </w:r>
      <w:r w:rsidR="001C6403" w:rsidRPr="001357D3">
        <w:rPr>
          <w:noProof/>
        </w:rPr>
        <w:t xml:space="preserve"> z</w:t>
      </w:r>
      <w:r w:rsidR="001C6403">
        <w:rPr>
          <w:noProof/>
        </w:rPr>
        <w:t> </w:t>
      </w:r>
      <w:r w:rsidR="001C6403" w:rsidRPr="001357D3">
        <w:rPr>
          <w:noProof/>
        </w:rPr>
        <w:t>inn</w:t>
      </w:r>
      <w:r w:rsidR="50815E1E" w:rsidRPr="001357D3">
        <w:rPr>
          <w:noProof/>
        </w:rPr>
        <w:t>ego programu unijnego, może również otrzymać wkład</w:t>
      </w:r>
      <w:r w:rsidR="001C6403" w:rsidRPr="001357D3">
        <w:rPr>
          <w:noProof/>
        </w:rPr>
        <w:t xml:space="preserve"> z</w:t>
      </w:r>
      <w:r w:rsidR="001C6403">
        <w:rPr>
          <w:noProof/>
        </w:rPr>
        <w:t> </w:t>
      </w:r>
      <w:r w:rsidR="001C6403" w:rsidRPr="001357D3">
        <w:rPr>
          <w:noProof/>
        </w:rPr>
        <w:t>teg</w:t>
      </w:r>
      <w:r w:rsidR="50815E1E" w:rsidRPr="001357D3">
        <w:rPr>
          <w:noProof/>
        </w:rPr>
        <w:t>o programu. Do odpowiedniego wkładu stosuje się zasady danego programu unijnego albo do wszystkich wkładów można zastosować jednolity zbiór zasad oraz można zawrzeć jedno zobowiązanie prawne. Jeżeli wkład Unii opiera się na kosztach kwalifikowalnych, skumulowane wsparcie</w:t>
      </w:r>
      <w:r w:rsidR="001C6403" w:rsidRPr="001357D3">
        <w:rPr>
          <w:noProof/>
        </w:rPr>
        <w:t xml:space="preserve"> z</w:t>
      </w:r>
      <w:r w:rsidR="001C6403">
        <w:rPr>
          <w:noProof/>
        </w:rPr>
        <w:t> </w:t>
      </w:r>
      <w:r w:rsidR="001C6403" w:rsidRPr="001357D3">
        <w:rPr>
          <w:noProof/>
        </w:rPr>
        <w:t>bud</w:t>
      </w:r>
      <w:r w:rsidR="50815E1E" w:rsidRPr="001357D3">
        <w:rPr>
          <w:noProof/>
        </w:rPr>
        <w:t>żetu Unii nie przekracza łącznych kosztów kwalifikowalnych działania</w:t>
      </w:r>
      <w:r w:rsidR="001C6403" w:rsidRPr="001357D3">
        <w:rPr>
          <w:noProof/>
        </w:rPr>
        <w:t xml:space="preserve"> i</w:t>
      </w:r>
      <w:r w:rsidR="001C6403">
        <w:rPr>
          <w:noProof/>
        </w:rPr>
        <w:t> </w:t>
      </w:r>
      <w:r w:rsidR="001C6403" w:rsidRPr="001357D3">
        <w:rPr>
          <w:noProof/>
        </w:rPr>
        <w:t>moż</w:t>
      </w:r>
      <w:r w:rsidR="50815E1E" w:rsidRPr="001357D3">
        <w:rPr>
          <w:noProof/>
        </w:rPr>
        <w:t>e być obliczane proporcjonalnie zgodnie</w:t>
      </w:r>
      <w:r w:rsidR="001C6403" w:rsidRPr="001357D3">
        <w:rPr>
          <w:noProof/>
        </w:rPr>
        <w:t xml:space="preserve"> z</w:t>
      </w:r>
      <w:r w:rsidR="001C6403">
        <w:rPr>
          <w:noProof/>
        </w:rPr>
        <w:t> </w:t>
      </w:r>
      <w:r w:rsidR="001C6403" w:rsidRPr="001357D3">
        <w:rPr>
          <w:noProof/>
        </w:rPr>
        <w:t>dok</w:t>
      </w:r>
      <w:r w:rsidR="50815E1E" w:rsidRPr="001357D3">
        <w:rPr>
          <w:noProof/>
        </w:rPr>
        <w:t>umentami określającymi warunki wsparcia.</w:t>
      </w:r>
    </w:p>
    <w:bookmarkEnd w:id="46"/>
    <w:p w14:paraId="66E86AF5" w14:textId="30BF4138" w:rsidR="00B66398" w:rsidRPr="001C6403" w:rsidRDefault="000D4BE4" w:rsidP="000D4BE4">
      <w:pPr>
        <w:pStyle w:val="ManualNumPar1"/>
        <w:rPr>
          <w:noProof/>
        </w:rPr>
      </w:pPr>
      <w:r w:rsidRPr="000D4BE4">
        <w:rPr>
          <w:noProof/>
        </w:rPr>
        <w:t>2.</w:t>
      </w:r>
      <w:r w:rsidRPr="000D4BE4">
        <w:rPr>
          <w:noProof/>
        </w:rPr>
        <w:tab/>
      </w:r>
      <w:r w:rsidR="3A30226F" w:rsidRPr="001357D3">
        <w:rPr>
          <w:noProof/>
        </w:rPr>
        <w:t>Procedury wyboru</w:t>
      </w:r>
      <w:r w:rsidR="001C6403" w:rsidRPr="001357D3">
        <w:rPr>
          <w:noProof/>
        </w:rPr>
        <w:t xml:space="preserve"> w</w:t>
      </w:r>
      <w:r w:rsidR="001C6403">
        <w:rPr>
          <w:noProof/>
        </w:rPr>
        <w:t> </w:t>
      </w:r>
      <w:r w:rsidR="001C6403" w:rsidRPr="001357D3">
        <w:rPr>
          <w:noProof/>
        </w:rPr>
        <w:t>ram</w:t>
      </w:r>
      <w:r w:rsidR="3A30226F" w:rsidRPr="001357D3">
        <w:rPr>
          <w:noProof/>
        </w:rPr>
        <w:t>ach programu mogą być przeprowadzane wspólnie</w:t>
      </w:r>
      <w:r w:rsidR="001C6403" w:rsidRPr="001357D3">
        <w:rPr>
          <w:noProof/>
        </w:rPr>
        <w:t xml:space="preserve"> w</w:t>
      </w:r>
      <w:r w:rsidR="001C6403">
        <w:rPr>
          <w:noProof/>
        </w:rPr>
        <w:t> </w:t>
      </w:r>
      <w:r w:rsidR="001C6403" w:rsidRPr="001357D3">
        <w:rPr>
          <w:noProof/>
        </w:rPr>
        <w:t>ram</w:t>
      </w:r>
      <w:r w:rsidR="3A30226F" w:rsidRPr="001357D3">
        <w:rPr>
          <w:noProof/>
        </w:rPr>
        <w:t>ach zarządzania bezpośredniego lub pośredniego</w:t>
      </w:r>
      <w:r w:rsidR="001C6403" w:rsidRPr="001357D3">
        <w:rPr>
          <w:noProof/>
        </w:rPr>
        <w:t xml:space="preserve"> z</w:t>
      </w:r>
      <w:r w:rsidR="001C6403">
        <w:rPr>
          <w:noProof/>
        </w:rPr>
        <w:t> </w:t>
      </w:r>
      <w:r w:rsidR="001C6403" w:rsidRPr="001357D3">
        <w:rPr>
          <w:noProof/>
        </w:rPr>
        <w:t>pań</w:t>
      </w:r>
      <w:r w:rsidR="3A30226F" w:rsidRPr="001357D3">
        <w:rPr>
          <w:noProof/>
        </w:rPr>
        <w:t>stwami członkowskimi, instytucjami, organami</w:t>
      </w:r>
      <w:r w:rsidR="001C6403" w:rsidRPr="001357D3">
        <w:rPr>
          <w:noProof/>
        </w:rPr>
        <w:t xml:space="preserve"> i</w:t>
      </w:r>
      <w:r w:rsidR="001C6403">
        <w:rPr>
          <w:noProof/>
        </w:rPr>
        <w:t> </w:t>
      </w:r>
      <w:r w:rsidR="001C6403" w:rsidRPr="001357D3">
        <w:rPr>
          <w:noProof/>
        </w:rPr>
        <w:t>age</w:t>
      </w:r>
      <w:r w:rsidR="3A30226F" w:rsidRPr="001357D3">
        <w:rPr>
          <w:noProof/>
        </w:rPr>
        <w:t>ncjami Unii, państwami trzecimi, organizacjami międzynarodowymi, międzynarodowymi instytucjami finansowymi lub innymi osobami trzecimi („partnerzy uczestniczący</w:t>
      </w:r>
      <w:r w:rsidR="001C6403" w:rsidRPr="001357D3">
        <w:rPr>
          <w:noProof/>
        </w:rPr>
        <w:t xml:space="preserve"> w</w:t>
      </w:r>
      <w:r w:rsidR="001C6403">
        <w:rPr>
          <w:noProof/>
        </w:rPr>
        <w:t> </w:t>
      </w:r>
      <w:r w:rsidR="001C6403" w:rsidRPr="001357D3">
        <w:rPr>
          <w:noProof/>
        </w:rPr>
        <w:t>pro</w:t>
      </w:r>
      <w:r w:rsidR="3A30226F" w:rsidRPr="001357D3">
        <w:rPr>
          <w:noProof/>
        </w:rPr>
        <w:t>cedurze wspólnego wyboru”), pod warunkiem zapewnienia ochrony interesów finansowych Unii. Takie procedury podlegają jednolitemu zbiorowi zasad</w:t>
      </w:r>
      <w:r w:rsidR="001C6403" w:rsidRPr="001357D3">
        <w:rPr>
          <w:noProof/>
        </w:rPr>
        <w:t xml:space="preserve"> i</w:t>
      </w:r>
      <w:r w:rsidR="001C6403">
        <w:rPr>
          <w:noProof/>
        </w:rPr>
        <w:t> </w:t>
      </w:r>
      <w:r w:rsidR="001C6403" w:rsidRPr="001357D3">
        <w:rPr>
          <w:noProof/>
        </w:rPr>
        <w:t>pro</w:t>
      </w:r>
      <w:r w:rsidR="3A30226F" w:rsidRPr="001357D3">
        <w:rPr>
          <w:noProof/>
        </w:rPr>
        <w:t>wadzą do zawarcia jednego zobowiązania prawnego</w:t>
      </w:r>
      <w:r w:rsidR="001C6403" w:rsidRPr="001357D3">
        <w:rPr>
          <w:noProof/>
        </w:rPr>
        <w:t>. W</w:t>
      </w:r>
      <w:r w:rsidR="001C6403">
        <w:rPr>
          <w:noProof/>
        </w:rPr>
        <w:t> </w:t>
      </w:r>
      <w:r w:rsidR="001C6403" w:rsidRPr="001357D3">
        <w:rPr>
          <w:noProof/>
        </w:rPr>
        <w:t>tym</w:t>
      </w:r>
      <w:r w:rsidR="3A30226F" w:rsidRPr="001357D3">
        <w:rPr>
          <w:noProof/>
        </w:rPr>
        <w:t xml:space="preserve"> celu partnerzy uczestniczący</w:t>
      </w:r>
      <w:r w:rsidR="001C6403" w:rsidRPr="001357D3">
        <w:rPr>
          <w:noProof/>
        </w:rPr>
        <w:t xml:space="preserve"> w</w:t>
      </w:r>
      <w:r w:rsidR="001C6403">
        <w:rPr>
          <w:noProof/>
        </w:rPr>
        <w:t> </w:t>
      </w:r>
      <w:r w:rsidR="001C6403" w:rsidRPr="001357D3">
        <w:rPr>
          <w:noProof/>
        </w:rPr>
        <w:t>pro</w:t>
      </w:r>
      <w:r w:rsidR="3A30226F" w:rsidRPr="001357D3">
        <w:rPr>
          <w:noProof/>
        </w:rPr>
        <w:t>cedurze wspólnego wyboru mogą udostępnić zasoby na rzecz programu zgodnie</w:t>
      </w:r>
      <w:r w:rsidR="001C6403" w:rsidRPr="001357D3">
        <w:rPr>
          <w:noProof/>
        </w:rPr>
        <w:t xml:space="preserve"> z</w:t>
      </w:r>
      <w:r w:rsidR="001C6403">
        <w:rPr>
          <w:noProof/>
        </w:rPr>
        <w:t> </w:t>
      </w:r>
      <w:r w:rsidR="001C6403" w:rsidRPr="001C6403">
        <w:rPr>
          <w:noProof/>
        </w:rPr>
        <w:t>art</w:t>
      </w:r>
      <w:r w:rsidR="3A30226F" w:rsidRPr="001C6403">
        <w:rPr>
          <w:noProof/>
        </w:rPr>
        <w:t>.</w:t>
      </w:r>
      <w:r w:rsidR="001C6403" w:rsidRPr="001C6403">
        <w:rPr>
          <w:noProof/>
        </w:rPr>
        <w:t> </w:t>
      </w:r>
      <w:r w:rsidR="3A30226F" w:rsidRPr="001C6403">
        <w:rPr>
          <w:noProof/>
        </w:rPr>
        <w:t>5</w:t>
      </w:r>
      <w:r w:rsidR="3A30226F" w:rsidRPr="001357D3">
        <w:rPr>
          <w:noProof/>
        </w:rPr>
        <w:t xml:space="preserve"> niniejszego rozporządzenia lub można im powierzyć wykonanie procedury wyboru,</w:t>
      </w:r>
      <w:r w:rsidR="001C6403" w:rsidRPr="001357D3">
        <w:rPr>
          <w:noProof/>
        </w:rPr>
        <w:t xml:space="preserve"> w</w:t>
      </w:r>
      <w:r w:rsidR="001C6403">
        <w:rPr>
          <w:noProof/>
        </w:rPr>
        <w:t> </w:t>
      </w:r>
      <w:r w:rsidR="001C6403" w:rsidRPr="001357D3">
        <w:rPr>
          <w:noProof/>
        </w:rPr>
        <w:t>sto</w:t>
      </w:r>
      <w:r w:rsidR="3A30226F" w:rsidRPr="001357D3">
        <w:rPr>
          <w:noProof/>
        </w:rPr>
        <w:t>sownych przypadkach zgodnie</w:t>
      </w:r>
      <w:r w:rsidR="001C6403" w:rsidRPr="001357D3">
        <w:rPr>
          <w:noProof/>
        </w:rPr>
        <w:t xml:space="preserve"> z</w:t>
      </w:r>
      <w:r w:rsidR="001C6403">
        <w:rPr>
          <w:noProof/>
        </w:rPr>
        <w:t> </w:t>
      </w:r>
      <w:r w:rsidR="001C6403" w:rsidRPr="001C6403">
        <w:rPr>
          <w:noProof/>
        </w:rPr>
        <w:t>art</w:t>
      </w:r>
      <w:r w:rsidR="3A30226F" w:rsidRPr="001C6403">
        <w:rPr>
          <w:noProof/>
        </w:rPr>
        <w:t>.</w:t>
      </w:r>
      <w:r w:rsidR="001C6403" w:rsidRPr="001C6403">
        <w:rPr>
          <w:noProof/>
        </w:rPr>
        <w:t> </w:t>
      </w:r>
      <w:r w:rsidR="3A30226F" w:rsidRPr="001C6403">
        <w:rPr>
          <w:noProof/>
        </w:rPr>
        <w:t>6</w:t>
      </w:r>
      <w:r w:rsidR="3A30226F" w:rsidRPr="001357D3">
        <w:rPr>
          <w:noProof/>
        </w:rPr>
        <w:t xml:space="preserve">2 </w:t>
      </w:r>
      <w:r w:rsidR="3A30226F" w:rsidRPr="001C6403">
        <w:rPr>
          <w:noProof/>
        </w:rPr>
        <w:t>ust.</w:t>
      </w:r>
      <w:r w:rsidR="001C6403" w:rsidRPr="001C6403">
        <w:rPr>
          <w:noProof/>
        </w:rPr>
        <w:t> </w:t>
      </w:r>
      <w:r w:rsidR="3A30226F" w:rsidRPr="001C6403">
        <w:rPr>
          <w:noProof/>
        </w:rPr>
        <w:t>1</w:t>
      </w:r>
      <w:r w:rsidR="3A30226F" w:rsidRPr="001357D3">
        <w:rPr>
          <w:noProof/>
        </w:rPr>
        <w:t xml:space="preserve"> </w:t>
      </w:r>
      <w:r w:rsidR="3A30226F" w:rsidRPr="001C6403">
        <w:rPr>
          <w:noProof/>
        </w:rPr>
        <w:t>lit.</w:t>
      </w:r>
      <w:r w:rsidR="001C6403" w:rsidRPr="001C6403">
        <w:rPr>
          <w:noProof/>
        </w:rPr>
        <w:t> </w:t>
      </w:r>
      <w:r w:rsidR="3A30226F" w:rsidRPr="001C6403">
        <w:rPr>
          <w:noProof/>
        </w:rPr>
        <w:t>c)</w:t>
      </w:r>
      <w:r w:rsidR="3A30226F" w:rsidRPr="001357D3">
        <w:rPr>
          <w:noProof/>
        </w:rPr>
        <w:t xml:space="preserve"> rozporządzenia (UE, Euratom) 2024/2509. Do celów </w:t>
      </w:r>
      <w:r w:rsidR="3A30226F" w:rsidRPr="001C6403">
        <w:rPr>
          <w:noProof/>
        </w:rPr>
        <w:t>art.</w:t>
      </w:r>
      <w:r w:rsidR="001C6403" w:rsidRPr="001C6403">
        <w:rPr>
          <w:noProof/>
        </w:rPr>
        <w:t> </w:t>
      </w:r>
      <w:r w:rsidR="3A30226F" w:rsidRPr="001C6403">
        <w:rPr>
          <w:noProof/>
        </w:rPr>
        <w:t>1</w:t>
      </w:r>
      <w:r w:rsidR="3A30226F" w:rsidRPr="001357D3">
        <w:rPr>
          <w:noProof/>
        </w:rPr>
        <w:t xml:space="preserve">53 </w:t>
      </w:r>
      <w:r w:rsidR="3A30226F" w:rsidRPr="001C6403">
        <w:rPr>
          <w:noProof/>
        </w:rPr>
        <w:t>ust.</w:t>
      </w:r>
      <w:r w:rsidR="001C6403" w:rsidRPr="001C6403">
        <w:rPr>
          <w:noProof/>
        </w:rPr>
        <w:t> </w:t>
      </w:r>
      <w:r w:rsidR="3A30226F" w:rsidRPr="001C6403">
        <w:rPr>
          <w:noProof/>
        </w:rPr>
        <w:t>3</w:t>
      </w:r>
      <w:r w:rsidR="3A30226F" w:rsidRPr="001357D3">
        <w:rPr>
          <w:noProof/>
        </w:rPr>
        <w:t xml:space="preserve"> rozporządzenia (UE, Euratom) 2024/2509</w:t>
      </w:r>
      <w:r w:rsidR="001C6403" w:rsidRPr="001357D3">
        <w:rPr>
          <w:noProof/>
        </w:rPr>
        <w:t xml:space="preserve"> w</w:t>
      </w:r>
      <w:r w:rsidR="001C6403">
        <w:rPr>
          <w:noProof/>
        </w:rPr>
        <w:t> </w:t>
      </w:r>
      <w:r w:rsidR="001C6403" w:rsidRPr="001357D3">
        <w:rPr>
          <w:noProof/>
        </w:rPr>
        <w:t>pro</w:t>
      </w:r>
      <w:r w:rsidR="3A30226F" w:rsidRPr="001357D3">
        <w:rPr>
          <w:noProof/>
        </w:rPr>
        <w:t>cedurach wspólnego wyboru komisja oceniająca może częściowo składać się</w:t>
      </w:r>
      <w:r w:rsidR="001C6403" w:rsidRPr="001357D3">
        <w:rPr>
          <w:noProof/>
        </w:rPr>
        <w:t xml:space="preserve"> z</w:t>
      </w:r>
      <w:r w:rsidR="001C6403">
        <w:rPr>
          <w:noProof/>
        </w:rPr>
        <w:t> </w:t>
      </w:r>
      <w:r w:rsidR="001C6403" w:rsidRPr="001357D3">
        <w:rPr>
          <w:noProof/>
        </w:rPr>
        <w:t>czł</w:t>
      </w:r>
      <w:r w:rsidR="3A30226F" w:rsidRPr="001357D3">
        <w:rPr>
          <w:noProof/>
        </w:rPr>
        <w:t>onków będących przedstawicielami partnerów</w:t>
      </w:r>
      <w:r w:rsidR="001C6403" w:rsidRPr="001357D3">
        <w:rPr>
          <w:noProof/>
        </w:rPr>
        <w:t xml:space="preserve"> w</w:t>
      </w:r>
      <w:r w:rsidR="001C6403">
        <w:rPr>
          <w:noProof/>
        </w:rPr>
        <w:t> </w:t>
      </w:r>
      <w:r w:rsidR="001C6403" w:rsidRPr="001357D3">
        <w:rPr>
          <w:noProof/>
        </w:rPr>
        <w:t>tej</w:t>
      </w:r>
      <w:r w:rsidR="3A30226F" w:rsidRPr="001357D3">
        <w:rPr>
          <w:noProof/>
        </w:rPr>
        <w:t xml:space="preserve"> procedurze</w:t>
      </w:r>
      <w:r w:rsidR="3A30226F" w:rsidRPr="001C6403">
        <w:rPr>
          <w:noProof/>
        </w:rPr>
        <w:t>.</w:t>
      </w:r>
      <w:r w:rsidR="001C6403" w:rsidRPr="001C6403">
        <w:rPr>
          <w:noProof/>
        </w:rPr>
        <w:t xml:space="preserve"> </w:t>
      </w:r>
    </w:p>
    <w:p w14:paraId="00377FAC" w14:textId="52AB4BF7" w:rsidR="00B067B5" w:rsidRPr="001357D3" w:rsidRDefault="77D5DB75" w:rsidP="004852D0">
      <w:pPr>
        <w:pStyle w:val="Titrearticle"/>
        <w:spacing w:before="0"/>
        <w:ind w:left="850"/>
        <w:rPr>
          <w:noProof/>
        </w:rPr>
      </w:pPr>
      <w:bookmarkStart w:id="47" w:name="_Hlk205126378"/>
      <w:r w:rsidRPr="001357D3">
        <w:rPr>
          <w:noProof/>
        </w:rPr>
        <w:t>Artykuł 7</w:t>
      </w:r>
    </w:p>
    <w:p w14:paraId="00377FAD" w14:textId="5C5E1944" w:rsidR="00B067B5" w:rsidRPr="001357D3" w:rsidRDefault="00B067B5" w:rsidP="004852D0">
      <w:pPr>
        <w:spacing w:before="0"/>
        <w:jc w:val="center"/>
        <w:rPr>
          <w:b/>
          <w:bCs/>
          <w:i/>
          <w:iCs/>
          <w:noProof/>
        </w:rPr>
      </w:pPr>
      <w:bookmarkStart w:id="48" w:name="_Hlk195020056"/>
      <w:r w:rsidRPr="001357D3">
        <w:rPr>
          <w:b/>
          <w:i/>
          <w:noProof/>
        </w:rPr>
        <w:t>Państwa trzecie stowarzyszone</w:t>
      </w:r>
      <w:r w:rsidR="001C6403" w:rsidRPr="001357D3">
        <w:rPr>
          <w:b/>
          <w:i/>
          <w:noProof/>
        </w:rPr>
        <w:t xml:space="preserve"> z</w:t>
      </w:r>
      <w:r w:rsidR="001C6403">
        <w:rPr>
          <w:b/>
          <w:i/>
          <w:noProof/>
        </w:rPr>
        <w:t> </w:t>
      </w:r>
      <w:r w:rsidR="001C6403" w:rsidRPr="001357D3">
        <w:rPr>
          <w:b/>
          <w:i/>
          <w:noProof/>
        </w:rPr>
        <w:t>Pro</w:t>
      </w:r>
      <w:r w:rsidRPr="001357D3">
        <w:rPr>
          <w:b/>
          <w:i/>
          <w:noProof/>
        </w:rPr>
        <w:t>gramem</w:t>
      </w:r>
    </w:p>
    <w:p w14:paraId="093EDC27" w14:textId="2752DB99" w:rsidR="00763606" w:rsidRPr="001357D3" w:rsidRDefault="000D4BE4" w:rsidP="000D4BE4">
      <w:pPr>
        <w:pStyle w:val="ManualNumPar1"/>
        <w:rPr>
          <w:noProof/>
        </w:rPr>
      </w:pPr>
      <w:r w:rsidRPr="000D4BE4">
        <w:rPr>
          <w:noProof/>
        </w:rPr>
        <w:t>1.</w:t>
      </w:r>
      <w:r w:rsidRPr="000D4BE4">
        <w:rPr>
          <w:noProof/>
        </w:rPr>
        <w:tab/>
      </w:r>
      <w:r w:rsidR="00115EB7" w:rsidRPr="001357D3">
        <w:rPr>
          <w:noProof/>
        </w:rPr>
        <w:t>Program może być otwarty na uczestnictwo następujących państw trzecich</w:t>
      </w:r>
      <w:r w:rsidR="001C6403" w:rsidRPr="001357D3">
        <w:rPr>
          <w:noProof/>
        </w:rPr>
        <w:t xml:space="preserve"> w</w:t>
      </w:r>
      <w:r w:rsidR="001C6403">
        <w:rPr>
          <w:noProof/>
        </w:rPr>
        <w:t> </w:t>
      </w:r>
      <w:r w:rsidR="001C6403" w:rsidRPr="001357D3">
        <w:rPr>
          <w:noProof/>
        </w:rPr>
        <w:t>dro</w:t>
      </w:r>
      <w:r w:rsidR="00115EB7" w:rsidRPr="001357D3">
        <w:rPr>
          <w:noProof/>
        </w:rPr>
        <w:t>dze pełnego lub częściowego stowarzyszenia, zgodnie</w:t>
      </w:r>
      <w:r w:rsidR="001C6403" w:rsidRPr="001357D3">
        <w:rPr>
          <w:noProof/>
        </w:rPr>
        <w:t xml:space="preserve"> z</w:t>
      </w:r>
      <w:r w:rsidR="001C6403">
        <w:rPr>
          <w:noProof/>
        </w:rPr>
        <w:t> </w:t>
      </w:r>
      <w:r w:rsidR="001C6403" w:rsidRPr="001357D3">
        <w:rPr>
          <w:noProof/>
        </w:rPr>
        <w:t>cel</w:t>
      </w:r>
      <w:r w:rsidR="00115EB7" w:rsidRPr="001357D3">
        <w:rPr>
          <w:noProof/>
        </w:rPr>
        <w:t>ami określonymi</w:t>
      </w:r>
      <w:r w:rsidR="001C6403" w:rsidRPr="001357D3">
        <w:rPr>
          <w:noProof/>
        </w:rPr>
        <w:t xml:space="preserve"> w</w:t>
      </w:r>
      <w:r w:rsidR="001C6403">
        <w:rPr>
          <w:noProof/>
        </w:rPr>
        <w:t> </w:t>
      </w:r>
      <w:r w:rsidR="001C6403" w:rsidRPr="001C6403">
        <w:rPr>
          <w:noProof/>
        </w:rPr>
        <w:t>art</w:t>
      </w:r>
      <w:r w:rsidR="00115EB7" w:rsidRPr="001C6403">
        <w:rPr>
          <w:noProof/>
        </w:rPr>
        <w:t>.</w:t>
      </w:r>
      <w:r w:rsidR="001C6403" w:rsidRPr="001C6403">
        <w:rPr>
          <w:noProof/>
        </w:rPr>
        <w:t> </w:t>
      </w:r>
      <w:r w:rsidR="00115EB7" w:rsidRPr="001C6403">
        <w:rPr>
          <w:noProof/>
        </w:rPr>
        <w:t>3</w:t>
      </w:r>
      <w:r w:rsidR="001C6403" w:rsidRPr="001357D3">
        <w:rPr>
          <w:noProof/>
        </w:rPr>
        <w:t xml:space="preserve"> i</w:t>
      </w:r>
      <w:r w:rsidR="001C6403">
        <w:rPr>
          <w:noProof/>
        </w:rPr>
        <w:t> </w:t>
      </w:r>
      <w:r w:rsidR="001C6403" w:rsidRPr="001357D3">
        <w:rPr>
          <w:noProof/>
        </w:rPr>
        <w:t>zgo</w:t>
      </w:r>
      <w:r w:rsidR="00115EB7" w:rsidRPr="001357D3">
        <w:rPr>
          <w:noProof/>
        </w:rPr>
        <w:t>dnie</w:t>
      </w:r>
      <w:r w:rsidR="001C6403" w:rsidRPr="001357D3">
        <w:rPr>
          <w:noProof/>
        </w:rPr>
        <w:t xml:space="preserve"> z</w:t>
      </w:r>
      <w:r w:rsidR="001C6403">
        <w:rPr>
          <w:noProof/>
        </w:rPr>
        <w:t> </w:t>
      </w:r>
      <w:r w:rsidR="001C6403" w:rsidRPr="001357D3">
        <w:rPr>
          <w:noProof/>
        </w:rPr>
        <w:t>odp</w:t>
      </w:r>
      <w:r w:rsidR="00115EB7" w:rsidRPr="001357D3">
        <w:rPr>
          <w:noProof/>
        </w:rPr>
        <w:t>owiednimi umowami międzynarodowymi lub wszelkimi decyzjami przyjętymi</w:t>
      </w:r>
      <w:r w:rsidR="001C6403" w:rsidRPr="001357D3">
        <w:rPr>
          <w:noProof/>
        </w:rPr>
        <w:t xml:space="preserve"> w</w:t>
      </w:r>
      <w:r w:rsidR="001C6403">
        <w:rPr>
          <w:noProof/>
        </w:rPr>
        <w:t> </w:t>
      </w:r>
      <w:r w:rsidR="001C6403" w:rsidRPr="001357D3">
        <w:rPr>
          <w:noProof/>
        </w:rPr>
        <w:t>ram</w:t>
      </w:r>
      <w:r w:rsidR="00115EB7" w:rsidRPr="001357D3">
        <w:rPr>
          <w:noProof/>
        </w:rPr>
        <w:t>ach tych umów</w:t>
      </w:r>
      <w:r w:rsidR="001C6403" w:rsidRPr="001357D3">
        <w:rPr>
          <w:noProof/>
        </w:rPr>
        <w:t xml:space="preserve"> i</w:t>
      </w:r>
      <w:r w:rsidR="001C6403">
        <w:rPr>
          <w:noProof/>
        </w:rPr>
        <w:t> </w:t>
      </w:r>
      <w:r w:rsidR="001C6403" w:rsidRPr="001357D3">
        <w:rPr>
          <w:noProof/>
        </w:rPr>
        <w:t>maj</w:t>
      </w:r>
      <w:r w:rsidR="00115EB7" w:rsidRPr="001357D3">
        <w:rPr>
          <w:noProof/>
        </w:rPr>
        <w:t>ącymi zastosowanie do:</w:t>
      </w:r>
    </w:p>
    <w:p w14:paraId="4B9085E1" w14:textId="6F4D5FED" w:rsidR="00763606" w:rsidRPr="001357D3" w:rsidRDefault="001C6403" w:rsidP="001C6403">
      <w:pPr>
        <w:pStyle w:val="Point1"/>
        <w:rPr>
          <w:noProof/>
        </w:rPr>
      </w:pPr>
      <w:r>
        <w:rPr>
          <w:noProof/>
        </w:rPr>
        <w:lastRenderedPageBreak/>
        <w:t>a)</w:t>
      </w:r>
      <w:r>
        <w:rPr>
          <w:noProof/>
        </w:rPr>
        <w:tab/>
      </w:r>
      <w:r w:rsidR="1A0087B4" w:rsidRPr="001357D3">
        <w:rPr>
          <w:noProof/>
        </w:rPr>
        <w:t>członków Europejskiego Stowarzyszenia Wolnego Handlu, którzy są członkami Europejskiego Obszaru Gospodarczego,</w:t>
      </w:r>
      <w:r w:rsidRPr="001357D3">
        <w:rPr>
          <w:noProof/>
        </w:rPr>
        <w:t xml:space="preserve"> a</w:t>
      </w:r>
      <w:r>
        <w:rPr>
          <w:noProof/>
        </w:rPr>
        <w:t> </w:t>
      </w:r>
      <w:r w:rsidRPr="001357D3">
        <w:rPr>
          <w:noProof/>
        </w:rPr>
        <w:t>tak</w:t>
      </w:r>
      <w:r w:rsidR="1A0087B4" w:rsidRPr="001357D3">
        <w:rPr>
          <w:noProof/>
        </w:rPr>
        <w:t>że minipaństw europejskich;</w:t>
      </w:r>
    </w:p>
    <w:p w14:paraId="026CEE0C" w14:textId="728B908D" w:rsidR="00763606" w:rsidRPr="001357D3" w:rsidRDefault="001C6403" w:rsidP="001C6403">
      <w:pPr>
        <w:pStyle w:val="Point1"/>
        <w:rPr>
          <w:noProof/>
        </w:rPr>
      </w:pPr>
      <w:r>
        <w:rPr>
          <w:noProof/>
        </w:rPr>
        <w:t>b)</w:t>
      </w:r>
      <w:r>
        <w:rPr>
          <w:noProof/>
        </w:rPr>
        <w:tab/>
      </w:r>
      <w:r w:rsidR="00763606" w:rsidRPr="001357D3">
        <w:rPr>
          <w:noProof/>
        </w:rPr>
        <w:t>krajów przystępujących, krajów kandydujących</w:t>
      </w:r>
      <w:r w:rsidRPr="001357D3">
        <w:rPr>
          <w:noProof/>
        </w:rPr>
        <w:t xml:space="preserve"> i</w:t>
      </w:r>
      <w:r>
        <w:rPr>
          <w:noProof/>
        </w:rPr>
        <w:t> </w:t>
      </w:r>
      <w:r w:rsidRPr="001357D3">
        <w:rPr>
          <w:noProof/>
        </w:rPr>
        <w:t>pot</w:t>
      </w:r>
      <w:r w:rsidR="00763606" w:rsidRPr="001357D3">
        <w:rPr>
          <w:noProof/>
        </w:rPr>
        <w:t>encjalnych kandydatów;</w:t>
      </w:r>
    </w:p>
    <w:p w14:paraId="27F4E5A7" w14:textId="353B9DBA" w:rsidR="00763606" w:rsidRPr="001357D3" w:rsidRDefault="001C6403" w:rsidP="001C6403">
      <w:pPr>
        <w:pStyle w:val="Point1"/>
        <w:rPr>
          <w:noProof/>
        </w:rPr>
      </w:pPr>
      <w:r>
        <w:rPr>
          <w:noProof/>
        </w:rPr>
        <w:t>c)</w:t>
      </w:r>
      <w:r>
        <w:rPr>
          <w:noProof/>
        </w:rPr>
        <w:tab/>
      </w:r>
      <w:r w:rsidR="00763606" w:rsidRPr="001357D3">
        <w:rPr>
          <w:noProof/>
        </w:rPr>
        <w:t>krajów objętych europejską polityką sąsiedztwa;</w:t>
      </w:r>
    </w:p>
    <w:p w14:paraId="791B0059" w14:textId="092B8525" w:rsidR="00763606" w:rsidRPr="001357D3" w:rsidRDefault="001C6403" w:rsidP="001C6403">
      <w:pPr>
        <w:pStyle w:val="Point1"/>
        <w:rPr>
          <w:noProof/>
        </w:rPr>
      </w:pPr>
      <w:r>
        <w:rPr>
          <w:noProof/>
        </w:rPr>
        <w:t>d)</w:t>
      </w:r>
      <w:r>
        <w:rPr>
          <w:noProof/>
        </w:rPr>
        <w:tab/>
      </w:r>
      <w:r w:rsidR="00763606" w:rsidRPr="001357D3">
        <w:rPr>
          <w:noProof/>
        </w:rPr>
        <w:t>pozostałych państw trzecich.</w:t>
      </w:r>
      <w:bookmarkEnd w:id="47"/>
    </w:p>
    <w:bookmarkEnd w:id="48"/>
    <w:p w14:paraId="1BE94E85" w14:textId="3984663C" w:rsidR="00763606" w:rsidRPr="001357D3" w:rsidRDefault="000D4BE4" w:rsidP="000D4BE4">
      <w:pPr>
        <w:pStyle w:val="ManualNumPar1"/>
        <w:rPr>
          <w:noProof/>
        </w:rPr>
      </w:pPr>
      <w:r w:rsidRPr="000D4BE4">
        <w:rPr>
          <w:noProof/>
        </w:rPr>
        <w:t>2.</w:t>
      </w:r>
      <w:r w:rsidRPr="000D4BE4">
        <w:rPr>
          <w:noProof/>
        </w:rPr>
        <w:tab/>
      </w:r>
      <w:r w:rsidR="408D206E" w:rsidRPr="001357D3">
        <w:rPr>
          <w:noProof/>
        </w:rPr>
        <w:t>Układy</w:t>
      </w:r>
      <w:r w:rsidR="001C6403" w:rsidRPr="001357D3">
        <w:rPr>
          <w:noProof/>
        </w:rPr>
        <w:t xml:space="preserve"> o</w:t>
      </w:r>
      <w:r w:rsidR="001C6403">
        <w:rPr>
          <w:noProof/>
        </w:rPr>
        <w:t> </w:t>
      </w:r>
      <w:r w:rsidR="001C6403" w:rsidRPr="001357D3">
        <w:rPr>
          <w:noProof/>
        </w:rPr>
        <w:t>sto</w:t>
      </w:r>
      <w:r w:rsidR="408D206E" w:rsidRPr="001357D3">
        <w:rPr>
          <w:noProof/>
        </w:rPr>
        <w:t>warzyszeniu dotyczące uczestniczenia</w:t>
      </w:r>
      <w:r w:rsidR="001C6403" w:rsidRPr="001357D3">
        <w:rPr>
          <w:noProof/>
        </w:rPr>
        <w:t xml:space="preserve"> w</w:t>
      </w:r>
      <w:r w:rsidR="001C6403">
        <w:rPr>
          <w:noProof/>
        </w:rPr>
        <w:t> </w:t>
      </w:r>
      <w:r w:rsidR="001C6403" w:rsidRPr="001357D3">
        <w:rPr>
          <w:noProof/>
        </w:rPr>
        <w:t>pro</w:t>
      </w:r>
      <w:r w:rsidR="408D206E" w:rsidRPr="001357D3">
        <w:rPr>
          <w:noProof/>
        </w:rPr>
        <w:t>gramach:</w:t>
      </w:r>
    </w:p>
    <w:p w14:paraId="60760547" w14:textId="0B1A7FBA" w:rsidR="00763606" w:rsidRPr="001357D3" w:rsidRDefault="001C6403" w:rsidP="001C6403">
      <w:pPr>
        <w:pStyle w:val="Point1"/>
        <w:rPr>
          <w:noProof/>
        </w:rPr>
      </w:pPr>
      <w:r>
        <w:rPr>
          <w:noProof/>
        </w:rPr>
        <w:t>a)</w:t>
      </w:r>
      <w:r>
        <w:rPr>
          <w:noProof/>
        </w:rPr>
        <w:tab/>
      </w:r>
      <w:r w:rsidR="00763606" w:rsidRPr="001357D3">
        <w:rPr>
          <w:noProof/>
        </w:rPr>
        <w:t>zapewnia sprawiedliwą równowagę</w:t>
      </w:r>
      <w:r w:rsidRPr="001357D3">
        <w:rPr>
          <w:noProof/>
        </w:rPr>
        <w:t xml:space="preserve"> w</w:t>
      </w:r>
      <w:r>
        <w:rPr>
          <w:noProof/>
        </w:rPr>
        <w:t> </w:t>
      </w:r>
      <w:r w:rsidRPr="001357D3">
        <w:rPr>
          <w:noProof/>
        </w:rPr>
        <w:t>odn</w:t>
      </w:r>
      <w:r w:rsidR="00763606" w:rsidRPr="001357D3">
        <w:rPr>
          <w:noProof/>
        </w:rPr>
        <w:t>iesieniu do wkładów</w:t>
      </w:r>
      <w:r w:rsidRPr="001357D3">
        <w:rPr>
          <w:noProof/>
        </w:rPr>
        <w:t xml:space="preserve"> i</w:t>
      </w:r>
      <w:r>
        <w:rPr>
          <w:noProof/>
        </w:rPr>
        <w:t> </w:t>
      </w:r>
      <w:r w:rsidRPr="001357D3">
        <w:rPr>
          <w:noProof/>
        </w:rPr>
        <w:t>kor</w:t>
      </w:r>
      <w:r w:rsidR="00763606" w:rsidRPr="001357D3">
        <w:rPr>
          <w:noProof/>
        </w:rPr>
        <w:t>zyści państw trzecich uczestniczących</w:t>
      </w:r>
      <w:r w:rsidRPr="001357D3">
        <w:rPr>
          <w:noProof/>
        </w:rPr>
        <w:t xml:space="preserve"> w</w:t>
      </w:r>
      <w:r>
        <w:rPr>
          <w:noProof/>
        </w:rPr>
        <w:t> </w:t>
      </w:r>
      <w:r w:rsidRPr="001357D3">
        <w:rPr>
          <w:noProof/>
        </w:rPr>
        <w:t>pro</w:t>
      </w:r>
      <w:r w:rsidR="00763606" w:rsidRPr="001357D3">
        <w:rPr>
          <w:noProof/>
        </w:rPr>
        <w:t>gramie;</w:t>
      </w:r>
    </w:p>
    <w:p w14:paraId="2AB56124" w14:textId="241549E8" w:rsidR="00763606" w:rsidRPr="001357D3" w:rsidRDefault="001C6403" w:rsidP="001C6403">
      <w:pPr>
        <w:pStyle w:val="Point1"/>
        <w:rPr>
          <w:noProof/>
        </w:rPr>
      </w:pPr>
      <w:r>
        <w:rPr>
          <w:noProof/>
        </w:rPr>
        <w:t>b)</w:t>
      </w:r>
      <w:r>
        <w:rPr>
          <w:noProof/>
        </w:rPr>
        <w:tab/>
      </w:r>
      <w:r w:rsidR="00763606" w:rsidRPr="001357D3">
        <w:rPr>
          <w:noProof/>
        </w:rPr>
        <w:t>ustanawiają warunki uczestniczenia</w:t>
      </w:r>
      <w:r w:rsidRPr="001357D3">
        <w:rPr>
          <w:noProof/>
        </w:rPr>
        <w:t xml:space="preserve"> w</w:t>
      </w:r>
      <w:r>
        <w:rPr>
          <w:noProof/>
        </w:rPr>
        <w:t> </w:t>
      </w:r>
      <w:r w:rsidRPr="001357D3">
        <w:rPr>
          <w:noProof/>
        </w:rPr>
        <w:t>pro</w:t>
      </w:r>
      <w:r w:rsidR="00763606" w:rsidRPr="001357D3">
        <w:rPr>
          <w:noProof/>
        </w:rPr>
        <w:t>gramach,</w:t>
      </w:r>
      <w:r w:rsidRPr="001357D3">
        <w:rPr>
          <w:noProof/>
        </w:rPr>
        <w:t xml:space="preserve"> w</w:t>
      </w:r>
      <w:r>
        <w:rPr>
          <w:noProof/>
        </w:rPr>
        <w:t> </w:t>
      </w:r>
      <w:r w:rsidRPr="001357D3">
        <w:rPr>
          <w:noProof/>
        </w:rPr>
        <w:t>tym</w:t>
      </w:r>
      <w:r w:rsidR="00763606" w:rsidRPr="001357D3">
        <w:rPr>
          <w:noProof/>
        </w:rPr>
        <w:t xml:space="preserve"> obliczanie wkładów finansowych do programu, składających się</w:t>
      </w:r>
      <w:r w:rsidRPr="001357D3">
        <w:rPr>
          <w:noProof/>
        </w:rPr>
        <w:t xml:space="preserve"> z</w:t>
      </w:r>
      <w:r>
        <w:rPr>
          <w:noProof/>
        </w:rPr>
        <w:t> </w:t>
      </w:r>
      <w:r w:rsidRPr="001357D3">
        <w:rPr>
          <w:noProof/>
        </w:rPr>
        <w:t>wkł</w:t>
      </w:r>
      <w:r w:rsidR="00763606" w:rsidRPr="001357D3">
        <w:rPr>
          <w:noProof/>
        </w:rPr>
        <w:t>adów operacyjnych</w:t>
      </w:r>
      <w:r w:rsidRPr="001357D3">
        <w:rPr>
          <w:noProof/>
        </w:rPr>
        <w:t xml:space="preserve"> i</w:t>
      </w:r>
      <w:r>
        <w:rPr>
          <w:noProof/>
        </w:rPr>
        <w:t> </w:t>
      </w:r>
      <w:r w:rsidRPr="001357D3">
        <w:rPr>
          <w:noProof/>
        </w:rPr>
        <w:t>kos</w:t>
      </w:r>
      <w:r w:rsidR="00763606" w:rsidRPr="001357D3">
        <w:rPr>
          <w:noProof/>
        </w:rPr>
        <w:t>ztów uczestnictwa,</w:t>
      </w:r>
      <w:r w:rsidRPr="001357D3">
        <w:rPr>
          <w:noProof/>
        </w:rPr>
        <w:t xml:space="preserve"> i</w:t>
      </w:r>
      <w:r>
        <w:rPr>
          <w:noProof/>
        </w:rPr>
        <w:t> </w:t>
      </w:r>
      <w:r w:rsidRPr="001357D3">
        <w:rPr>
          <w:noProof/>
        </w:rPr>
        <w:t>ich</w:t>
      </w:r>
      <w:r w:rsidR="00763606" w:rsidRPr="001357D3">
        <w:rPr>
          <w:noProof/>
        </w:rPr>
        <w:t xml:space="preserve"> ogólnych kosztów administracyjnych;</w:t>
      </w:r>
    </w:p>
    <w:p w14:paraId="2BBDD4B7" w14:textId="2C3BA08E" w:rsidR="00CC0130" w:rsidRPr="001357D3" w:rsidRDefault="001C6403" w:rsidP="001C6403">
      <w:pPr>
        <w:pStyle w:val="Point1"/>
        <w:rPr>
          <w:noProof/>
        </w:rPr>
      </w:pPr>
      <w:r>
        <w:rPr>
          <w:noProof/>
        </w:rPr>
        <w:t>c)</w:t>
      </w:r>
      <w:r>
        <w:rPr>
          <w:noProof/>
        </w:rPr>
        <w:tab/>
      </w:r>
      <w:r w:rsidR="1A0087B4" w:rsidRPr="001357D3">
        <w:rPr>
          <w:noProof/>
        </w:rPr>
        <w:t>nie przyznają państwu trzeciemu żadnych uprawnień decyzyjnych</w:t>
      </w:r>
      <w:r w:rsidRPr="001357D3">
        <w:rPr>
          <w:noProof/>
        </w:rPr>
        <w:t xml:space="preserve"> w</w:t>
      </w:r>
      <w:r>
        <w:rPr>
          <w:noProof/>
        </w:rPr>
        <w:t> </w:t>
      </w:r>
      <w:r w:rsidRPr="001357D3">
        <w:rPr>
          <w:noProof/>
        </w:rPr>
        <w:t>ram</w:t>
      </w:r>
      <w:r w:rsidR="1A0087B4" w:rsidRPr="001357D3">
        <w:rPr>
          <w:noProof/>
        </w:rPr>
        <w:t>ach programu;</w:t>
      </w:r>
    </w:p>
    <w:p w14:paraId="5098BCB2" w14:textId="29A58E6E" w:rsidR="00CC0130" w:rsidRPr="001357D3" w:rsidRDefault="001C6403" w:rsidP="001C6403">
      <w:pPr>
        <w:pStyle w:val="Point1"/>
        <w:rPr>
          <w:noProof/>
        </w:rPr>
      </w:pPr>
      <w:r>
        <w:rPr>
          <w:noProof/>
        </w:rPr>
        <w:t>d)</w:t>
      </w:r>
      <w:r>
        <w:rPr>
          <w:noProof/>
        </w:rPr>
        <w:tab/>
      </w:r>
      <w:r w:rsidR="00D45D28" w:rsidRPr="001357D3">
        <w:rPr>
          <w:noProof/>
        </w:rPr>
        <w:t>gwarantują prawa Unii do zapewnienia należytego zarządzania finansami</w:t>
      </w:r>
      <w:r w:rsidRPr="001357D3">
        <w:rPr>
          <w:noProof/>
        </w:rPr>
        <w:t xml:space="preserve"> i</w:t>
      </w:r>
      <w:r>
        <w:rPr>
          <w:noProof/>
        </w:rPr>
        <w:t> </w:t>
      </w:r>
      <w:r w:rsidRPr="001357D3">
        <w:rPr>
          <w:noProof/>
        </w:rPr>
        <w:t>och</w:t>
      </w:r>
      <w:r w:rsidR="00D45D28" w:rsidRPr="001357D3">
        <w:rPr>
          <w:noProof/>
        </w:rPr>
        <w:t>rony jej interesów finansowych;</w:t>
      </w:r>
    </w:p>
    <w:p w14:paraId="0D74B07C" w14:textId="5B88461B" w:rsidR="00B8707B" w:rsidRPr="001357D3" w:rsidRDefault="001C6403" w:rsidP="001C6403">
      <w:pPr>
        <w:pStyle w:val="Point1"/>
        <w:rPr>
          <w:noProof/>
        </w:rPr>
      </w:pPr>
      <w:r>
        <w:rPr>
          <w:noProof/>
        </w:rPr>
        <w:t>e)</w:t>
      </w:r>
      <w:r>
        <w:rPr>
          <w:noProof/>
        </w:rPr>
        <w:tab/>
      </w:r>
      <w:r w:rsidR="00A73525" w:rsidRPr="001357D3">
        <w:rPr>
          <w:noProof/>
        </w:rPr>
        <w:t>w stosownych przypadkach – zapewniają ochronę interesów Unii</w:t>
      </w:r>
      <w:r w:rsidRPr="001357D3">
        <w:rPr>
          <w:noProof/>
        </w:rPr>
        <w:t xml:space="preserve"> w</w:t>
      </w:r>
      <w:r>
        <w:rPr>
          <w:noProof/>
        </w:rPr>
        <w:t> </w:t>
      </w:r>
      <w:r w:rsidRPr="001357D3">
        <w:rPr>
          <w:noProof/>
        </w:rPr>
        <w:t>zak</w:t>
      </w:r>
      <w:r w:rsidR="00A73525" w:rsidRPr="001357D3">
        <w:rPr>
          <w:noProof/>
        </w:rPr>
        <w:t>resie bezpieczeństwa</w:t>
      </w:r>
      <w:r w:rsidRPr="001357D3">
        <w:rPr>
          <w:noProof/>
        </w:rPr>
        <w:t xml:space="preserve"> i</w:t>
      </w:r>
      <w:r>
        <w:rPr>
          <w:noProof/>
        </w:rPr>
        <w:t> </w:t>
      </w:r>
      <w:r w:rsidRPr="001357D3">
        <w:rPr>
          <w:noProof/>
        </w:rPr>
        <w:t>por</w:t>
      </w:r>
      <w:r w:rsidR="00A73525" w:rsidRPr="001357D3">
        <w:rPr>
          <w:noProof/>
        </w:rPr>
        <w:t>ządku publicznego.</w:t>
      </w:r>
    </w:p>
    <w:p w14:paraId="049E984A" w14:textId="64724971" w:rsidR="00B8707B" w:rsidRPr="001357D3" w:rsidRDefault="00B8707B" w:rsidP="004852D0">
      <w:pPr>
        <w:spacing w:before="0"/>
        <w:rPr>
          <w:noProof/>
        </w:rPr>
      </w:pPr>
      <w:r w:rsidRPr="001357D3">
        <w:rPr>
          <w:noProof/>
        </w:rPr>
        <w:t>Do celów lit. d) akapitu pierwszego państwo trzecie przyznaje niezbędne prawa</w:t>
      </w:r>
      <w:r w:rsidR="001C6403" w:rsidRPr="001357D3">
        <w:rPr>
          <w:noProof/>
        </w:rPr>
        <w:t xml:space="preserve"> i</w:t>
      </w:r>
      <w:r w:rsidR="001C6403">
        <w:rPr>
          <w:noProof/>
        </w:rPr>
        <w:t> </w:t>
      </w:r>
      <w:r w:rsidR="001C6403" w:rsidRPr="001357D3">
        <w:rPr>
          <w:noProof/>
        </w:rPr>
        <w:t>dos</w:t>
      </w:r>
      <w:r w:rsidRPr="001357D3">
        <w:rPr>
          <w:noProof/>
        </w:rPr>
        <w:t>tęp wymagane na mocy rozporządzenia (UE, Euratom) 2024/2509</w:t>
      </w:r>
      <w:r w:rsidR="001C6403" w:rsidRPr="001357D3">
        <w:rPr>
          <w:noProof/>
        </w:rPr>
        <w:t xml:space="preserve"> i</w:t>
      </w:r>
      <w:r w:rsidR="001C6403">
        <w:rPr>
          <w:noProof/>
        </w:rPr>
        <w:t> </w:t>
      </w:r>
      <w:r w:rsidR="001C6403" w:rsidRPr="001357D3">
        <w:rPr>
          <w:noProof/>
        </w:rPr>
        <w:t>roz</w:t>
      </w:r>
      <w:r w:rsidRPr="001357D3">
        <w:rPr>
          <w:noProof/>
        </w:rPr>
        <w:t>porządzenia (UE, Euratom) nr 883/2013 oraz gwarantuje, aby decyzje wykonawcze nakładające zobowiązanie pieniężne na podstawie art. 299 Traktatu</w:t>
      </w:r>
      <w:r w:rsidR="001C6403" w:rsidRPr="001357D3">
        <w:rPr>
          <w:noProof/>
        </w:rPr>
        <w:t xml:space="preserve"> o</w:t>
      </w:r>
      <w:r w:rsidR="001C6403">
        <w:rPr>
          <w:noProof/>
        </w:rPr>
        <w:t> </w:t>
      </w:r>
      <w:r w:rsidR="001C6403" w:rsidRPr="001357D3">
        <w:rPr>
          <w:noProof/>
        </w:rPr>
        <w:t>fun</w:t>
      </w:r>
      <w:r w:rsidRPr="001357D3">
        <w:rPr>
          <w:noProof/>
        </w:rPr>
        <w:t>kcjonowaniu Unii Europejskiej,</w:t>
      </w:r>
      <w:r w:rsidR="001C6403" w:rsidRPr="001357D3">
        <w:rPr>
          <w:noProof/>
        </w:rPr>
        <w:t xml:space="preserve"> a</w:t>
      </w:r>
      <w:r w:rsidR="001C6403">
        <w:rPr>
          <w:noProof/>
        </w:rPr>
        <w:t> </w:t>
      </w:r>
      <w:r w:rsidR="001C6403" w:rsidRPr="001357D3">
        <w:rPr>
          <w:noProof/>
        </w:rPr>
        <w:t>tak</w:t>
      </w:r>
      <w:r w:rsidRPr="001357D3">
        <w:rPr>
          <w:noProof/>
        </w:rPr>
        <w:t>że wyroki</w:t>
      </w:r>
      <w:r w:rsidR="001C6403" w:rsidRPr="001357D3">
        <w:rPr>
          <w:noProof/>
        </w:rPr>
        <w:t xml:space="preserve"> i</w:t>
      </w:r>
      <w:r w:rsidR="001C6403">
        <w:rPr>
          <w:noProof/>
        </w:rPr>
        <w:t> </w:t>
      </w:r>
      <w:r w:rsidR="001C6403" w:rsidRPr="001357D3">
        <w:rPr>
          <w:noProof/>
        </w:rPr>
        <w:t>pos</w:t>
      </w:r>
      <w:r w:rsidRPr="001357D3">
        <w:rPr>
          <w:noProof/>
        </w:rPr>
        <w:t>tanowienia Trybunału Sprawiedliwości Unii Europejskiej, były wykonalne.</w:t>
      </w:r>
    </w:p>
    <w:p w14:paraId="00377FB3" w14:textId="7764CDC9" w:rsidR="008D3225" w:rsidRPr="001357D3" w:rsidRDefault="008D3225" w:rsidP="004852D0">
      <w:pPr>
        <w:pStyle w:val="Titrearticle"/>
        <w:spacing w:before="0"/>
        <w:rPr>
          <w:noProof/>
        </w:rPr>
      </w:pPr>
      <w:r w:rsidRPr="001357D3">
        <w:rPr>
          <w:noProof/>
        </w:rPr>
        <w:t>Artykuł 8</w:t>
      </w:r>
    </w:p>
    <w:p w14:paraId="00377FB4" w14:textId="0BA86B84" w:rsidR="00737D33" w:rsidRPr="001357D3" w:rsidRDefault="00D313D9" w:rsidP="004852D0">
      <w:pPr>
        <w:spacing w:before="0"/>
        <w:jc w:val="center"/>
        <w:rPr>
          <w:b/>
          <w:bCs/>
          <w:i/>
          <w:iCs/>
          <w:noProof/>
        </w:rPr>
      </w:pPr>
      <w:r w:rsidRPr="001357D3">
        <w:rPr>
          <w:b/>
          <w:i/>
          <w:noProof/>
        </w:rPr>
        <w:t>Wdrażanie</w:t>
      </w:r>
      <w:r w:rsidR="001C6403" w:rsidRPr="001357D3">
        <w:rPr>
          <w:b/>
          <w:i/>
          <w:noProof/>
        </w:rPr>
        <w:t xml:space="preserve"> i</w:t>
      </w:r>
      <w:r w:rsidR="001C6403">
        <w:rPr>
          <w:b/>
          <w:i/>
          <w:noProof/>
        </w:rPr>
        <w:t> </w:t>
      </w:r>
      <w:r w:rsidR="001C6403" w:rsidRPr="001357D3">
        <w:rPr>
          <w:b/>
          <w:i/>
          <w:noProof/>
        </w:rPr>
        <w:t>for</w:t>
      </w:r>
      <w:r w:rsidRPr="001357D3">
        <w:rPr>
          <w:b/>
          <w:i/>
          <w:noProof/>
        </w:rPr>
        <w:t>my finansowania unijnego</w:t>
      </w:r>
    </w:p>
    <w:p w14:paraId="29F5C920" w14:textId="6E1F1563" w:rsidR="00AB15E3" w:rsidRPr="001357D3" w:rsidRDefault="000D4BE4" w:rsidP="000D4BE4">
      <w:pPr>
        <w:pStyle w:val="ManualNumPar1"/>
        <w:rPr>
          <w:noProof/>
        </w:rPr>
      </w:pPr>
      <w:r w:rsidRPr="000D4BE4">
        <w:rPr>
          <w:noProof/>
        </w:rPr>
        <w:t>1.</w:t>
      </w:r>
      <w:r w:rsidRPr="000D4BE4">
        <w:rPr>
          <w:noProof/>
        </w:rPr>
        <w:tab/>
      </w:r>
      <w:r w:rsidR="00763606" w:rsidRPr="001357D3">
        <w:rPr>
          <w:noProof/>
        </w:rPr>
        <w:t>Program jest realizowany zgodnie</w:t>
      </w:r>
      <w:r w:rsidR="001C6403" w:rsidRPr="001357D3">
        <w:rPr>
          <w:noProof/>
        </w:rPr>
        <w:t xml:space="preserve"> z</w:t>
      </w:r>
      <w:r w:rsidR="001C6403">
        <w:rPr>
          <w:noProof/>
        </w:rPr>
        <w:t> </w:t>
      </w:r>
      <w:r w:rsidR="001C6403" w:rsidRPr="001357D3">
        <w:rPr>
          <w:noProof/>
        </w:rPr>
        <w:t>roz</w:t>
      </w:r>
      <w:r w:rsidR="00763606" w:rsidRPr="001357D3">
        <w:rPr>
          <w:noProof/>
        </w:rPr>
        <w:t>porządzeniem (UE, Euratom) 2024/2509</w:t>
      </w:r>
      <w:r w:rsidR="001C6403" w:rsidRPr="001357D3">
        <w:rPr>
          <w:noProof/>
        </w:rPr>
        <w:t xml:space="preserve"> w</w:t>
      </w:r>
      <w:r w:rsidR="001C6403">
        <w:rPr>
          <w:noProof/>
        </w:rPr>
        <w:t> </w:t>
      </w:r>
      <w:r w:rsidR="001C6403" w:rsidRPr="001357D3">
        <w:rPr>
          <w:noProof/>
        </w:rPr>
        <w:t>ram</w:t>
      </w:r>
      <w:r w:rsidR="00763606" w:rsidRPr="001357D3">
        <w:rPr>
          <w:noProof/>
        </w:rPr>
        <w:t>ach zarządzania bezpośredniego lub zarządzania pośredniego</w:t>
      </w:r>
      <w:r w:rsidR="001C6403" w:rsidRPr="001357D3">
        <w:rPr>
          <w:noProof/>
        </w:rPr>
        <w:t xml:space="preserve"> z</w:t>
      </w:r>
      <w:r w:rsidR="001C6403">
        <w:rPr>
          <w:noProof/>
        </w:rPr>
        <w:t> </w:t>
      </w:r>
      <w:r w:rsidR="001C6403" w:rsidRPr="001357D3">
        <w:rPr>
          <w:noProof/>
        </w:rPr>
        <w:t>pod</w:t>
      </w:r>
      <w:r w:rsidR="00763606" w:rsidRPr="001357D3">
        <w:rPr>
          <w:noProof/>
        </w:rPr>
        <w:t>miotami,</w:t>
      </w:r>
      <w:r w:rsidR="001C6403" w:rsidRPr="001357D3">
        <w:rPr>
          <w:noProof/>
        </w:rPr>
        <w:t xml:space="preserve"> o</w:t>
      </w:r>
      <w:r w:rsidR="001C6403">
        <w:rPr>
          <w:noProof/>
        </w:rPr>
        <w:t> </w:t>
      </w:r>
      <w:r w:rsidR="001C6403" w:rsidRPr="001357D3">
        <w:rPr>
          <w:noProof/>
        </w:rPr>
        <w:t>któ</w:t>
      </w:r>
      <w:r w:rsidR="00763606" w:rsidRPr="001357D3">
        <w:rPr>
          <w:noProof/>
        </w:rPr>
        <w:t>rych mowa</w:t>
      </w:r>
      <w:r w:rsidR="001C6403" w:rsidRPr="001357D3">
        <w:rPr>
          <w:noProof/>
        </w:rPr>
        <w:t xml:space="preserve"> w</w:t>
      </w:r>
      <w:r w:rsidR="001C6403">
        <w:rPr>
          <w:noProof/>
        </w:rPr>
        <w:t> </w:t>
      </w:r>
      <w:r w:rsidR="001C6403" w:rsidRPr="001C6403">
        <w:rPr>
          <w:noProof/>
        </w:rPr>
        <w:t>art</w:t>
      </w:r>
      <w:r w:rsidR="00763606" w:rsidRPr="001C6403">
        <w:rPr>
          <w:noProof/>
        </w:rPr>
        <w:t>.</w:t>
      </w:r>
      <w:r w:rsidR="001C6403" w:rsidRPr="001C6403">
        <w:rPr>
          <w:noProof/>
        </w:rPr>
        <w:t> </w:t>
      </w:r>
      <w:r w:rsidR="00763606" w:rsidRPr="001C6403">
        <w:rPr>
          <w:noProof/>
        </w:rPr>
        <w:t>6</w:t>
      </w:r>
      <w:r w:rsidR="00763606" w:rsidRPr="001357D3">
        <w:rPr>
          <w:noProof/>
        </w:rPr>
        <w:t xml:space="preserve">2 </w:t>
      </w:r>
      <w:r w:rsidR="00763606" w:rsidRPr="001C6403">
        <w:rPr>
          <w:noProof/>
        </w:rPr>
        <w:t>ust.</w:t>
      </w:r>
      <w:r w:rsidR="001C6403" w:rsidRPr="001C6403">
        <w:rPr>
          <w:noProof/>
        </w:rPr>
        <w:t> </w:t>
      </w:r>
      <w:r w:rsidR="00763606" w:rsidRPr="001C6403">
        <w:rPr>
          <w:noProof/>
        </w:rPr>
        <w:t>1</w:t>
      </w:r>
      <w:r w:rsidR="00763606" w:rsidRPr="001357D3">
        <w:rPr>
          <w:noProof/>
        </w:rPr>
        <w:t xml:space="preserve"> </w:t>
      </w:r>
      <w:r w:rsidR="00763606" w:rsidRPr="001C6403">
        <w:rPr>
          <w:noProof/>
        </w:rPr>
        <w:t>lit.</w:t>
      </w:r>
      <w:r w:rsidR="001C6403" w:rsidRPr="001C6403">
        <w:rPr>
          <w:noProof/>
        </w:rPr>
        <w:t> </w:t>
      </w:r>
      <w:r w:rsidR="00763606" w:rsidRPr="001C6403">
        <w:rPr>
          <w:noProof/>
        </w:rPr>
        <w:t>c)</w:t>
      </w:r>
      <w:r w:rsidR="00763606" w:rsidRPr="001357D3">
        <w:rPr>
          <w:noProof/>
        </w:rPr>
        <w:t xml:space="preserve"> tego rozporządzenia.</w:t>
      </w:r>
    </w:p>
    <w:p w14:paraId="152429BC" w14:textId="399D99B9" w:rsidR="00763606" w:rsidRPr="001357D3" w:rsidRDefault="000D4BE4" w:rsidP="000D4BE4">
      <w:pPr>
        <w:pStyle w:val="ManualNumPar1"/>
        <w:rPr>
          <w:noProof/>
        </w:rPr>
      </w:pPr>
      <w:r w:rsidRPr="000D4BE4">
        <w:rPr>
          <w:noProof/>
        </w:rPr>
        <w:t>2.</w:t>
      </w:r>
      <w:r w:rsidRPr="000D4BE4">
        <w:rPr>
          <w:noProof/>
        </w:rPr>
        <w:tab/>
      </w:r>
      <w:r w:rsidR="3AD9892B" w:rsidRPr="001357D3">
        <w:rPr>
          <w:noProof/>
        </w:rPr>
        <w:t>Finansowanie unijne może być udzielane</w:t>
      </w:r>
      <w:r w:rsidR="001C6403" w:rsidRPr="001357D3">
        <w:rPr>
          <w:noProof/>
        </w:rPr>
        <w:t xml:space="preserve"> w</w:t>
      </w:r>
      <w:r w:rsidR="001C6403">
        <w:rPr>
          <w:noProof/>
        </w:rPr>
        <w:t> </w:t>
      </w:r>
      <w:r w:rsidR="001C6403" w:rsidRPr="001357D3">
        <w:rPr>
          <w:noProof/>
        </w:rPr>
        <w:t>dow</w:t>
      </w:r>
      <w:r w:rsidR="3AD9892B" w:rsidRPr="001357D3">
        <w:rPr>
          <w:noProof/>
        </w:rPr>
        <w:t>olnej formie zgodnie</w:t>
      </w:r>
      <w:r w:rsidR="001C6403" w:rsidRPr="001357D3">
        <w:rPr>
          <w:noProof/>
        </w:rPr>
        <w:t xml:space="preserve"> z</w:t>
      </w:r>
      <w:r w:rsidR="001C6403">
        <w:rPr>
          <w:noProof/>
        </w:rPr>
        <w:t> </w:t>
      </w:r>
      <w:r w:rsidR="001C6403" w:rsidRPr="001357D3">
        <w:rPr>
          <w:noProof/>
        </w:rPr>
        <w:t>roz</w:t>
      </w:r>
      <w:r w:rsidR="3AD9892B" w:rsidRPr="001357D3">
        <w:rPr>
          <w:noProof/>
        </w:rPr>
        <w:t>porządzeniem (UE, Euratom) 2024/2509,</w:t>
      </w:r>
      <w:r w:rsidR="001C6403" w:rsidRPr="001357D3">
        <w:rPr>
          <w:noProof/>
        </w:rPr>
        <w:t xml:space="preserve"> w</w:t>
      </w:r>
      <w:r w:rsidR="001C6403">
        <w:rPr>
          <w:noProof/>
        </w:rPr>
        <w:t> </w:t>
      </w:r>
      <w:r w:rsidR="001C6403" w:rsidRPr="001357D3">
        <w:rPr>
          <w:noProof/>
        </w:rPr>
        <w:t>szc</w:t>
      </w:r>
      <w:r w:rsidR="3AD9892B" w:rsidRPr="001357D3">
        <w:rPr>
          <w:noProof/>
        </w:rPr>
        <w:t>zególności</w:t>
      </w:r>
      <w:r w:rsidR="001C6403" w:rsidRPr="001357D3">
        <w:rPr>
          <w:noProof/>
        </w:rPr>
        <w:t xml:space="preserve"> w</w:t>
      </w:r>
      <w:r w:rsidR="001C6403">
        <w:rPr>
          <w:noProof/>
        </w:rPr>
        <w:t> </w:t>
      </w:r>
      <w:r w:rsidR="001C6403" w:rsidRPr="001357D3">
        <w:rPr>
          <w:noProof/>
        </w:rPr>
        <w:t>for</w:t>
      </w:r>
      <w:r w:rsidR="3AD9892B" w:rsidRPr="001357D3">
        <w:rPr>
          <w:noProof/>
        </w:rPr>
        <w:t>mie dotacji, zamówień, darowizn</w:t>
      </w:r>
      <w:r w:rsidR="001C6403" w:rsidRPr="001357D3">
        <w:rPr>
          <w:noProof/>
        </w:rPr>
        <w:t xml:space="preserve"> o</w:t>
      </w:r>
      <w:r w:rsidR="001C6403">
        <w:rPr>
          <w:noProof/>
        </w:rPr>
        <w:t> </w:t>
      </w:r>
      <w:r w:rsidR="001C6403" w:rsidRPr="001357D3">
        <w:rPr>
          <w:noProof/>
        </w:rPr>
        <w:t>cha</w:t>
      </w:r>
      <w:r w:rsidR="3AD9892B" w:rsidRPr="001357D3">
        <w:rPr>
          <w:noProof/>
        </w:rPr>
        <w:t>rakterze niefinansowym.</w:t>
      </w:r>
    </w:p>
    <w:p w14:paraId="381CD4F8" w14:textId="66DFFA98" w:rsidR="00763606" w:rsidRPr="001357D3" w:rsidRDefault="000D4BE4" w:rsidP="000D4BE4">
      <w:pPr>
        <w:pStyle w:val="ManualNumPar1"/>
        <w:rPr>
          <w:noProof/>
        </w:rPr>
      </w:pPr>
      <w:r w:rsidRPr="000D4BE4">
        <w:rPr>
          <w:noProof/>
        </w:rPr>
        <w:t>3.</w:t>
      </w:r>
      <w:r w:rsidRPr="000D4BE4">
        <w:rPr>
          <w:noProof/>
        </w:rPr>
        <w:tab/>
      </w:r>
      <w:r w:rsidR="33FF1300" w:rsidRPr="001357D3">
        <w:rPr>
          <w:noProof/>
        </w:rPr>
        <w:t>Jeżeli finansowanie unijne zapewnia się</w:t>
      </w:r>
      <w:r w:rsidR="001C6403" w:rsidRPr="001357D3">
        <w:rPr>
          <w:noProof/>
        </w:rPr>
        <w:t xml:space="preserve"> w</w:t>
      </w:r>
      <w:r w:rsidR="001C6403">
        <w:rPr>
          <w:noProof/>
        </w:rPr>
        <w:t> </w:t>
      </w:r>
      <w:r w:rsidR="001C6403" w:rsidRPr="001357D3">
        <w:rPr>
          <w:noProof/>
        </w:rPr>
        <w:t>pos</w:t>
      </w:r>
      <w:r w:rsidR="33FF1300" w:rsidRPr="001357D3">
        <w:rPr>
          <w:noProof/>
        </w:rPr>
        <w:t>taci dotacji, zapewnia się je jako finansowanie niepowiązane</w:t>
      </w:r>
      <w:r w:rsidR="001C6403" w:rsidRPr="001357D3">
        <w:rPr>
          <w:noProof/>
        </w:rPr>
        <w:t xml:space="preserve"> z</w:t>
      </w:r>
      <w:r w:rsidR="001C6403">
        <w:rPr>
          <w:noProof/>
        </w:rPr>
        <w:t> </w:t>
      </w:r>
      <w:r w:rsidR="001C6403" w:rsidRPr="001357D3">
        <w:rPr>
          <w:noProof/>
        </w:rPr>
        <w:t>kos</w:t>
      </w:r>
      <w:r w:rsidR="33FF1300" w:rsidRPr="001357D3">
        <w:rPr>
          <w:noProof/>
        </w:rPr>
        <w:t>ztami lub,</w:t>
      </w:r>
      <w:r w:rsidR="001C6403" w:rsidRPr="001357D3">
        <w:rPr>
          <w:noProof/>
        </w:rPr>
        <w:t xml:space="preserve"> w</w:t>
      </w:r>
      <w:r w:rsidR="001C6403">
        <w:rPr>
          <w:noProof/>
        </w:rPr>
        <w:t> </w:t>
      </w:r>
      <w:r w:rsidR="001C6403" w:rsidRPr="001357D3">
        <w:rPr>
          <w:noProof/>
        </w:rPr>
        <w:t>raz</w:t>
      </w:r>
      <w:r w:rsidR="33FF1300" w:rsidRPr="001357D3">
        <w:rPr>
          <w:noProof/>
        </w:rPr>
        <w:t>ie potrzeby, jako uproszczone opcje kosztów, zgodnie</w:t>
      </w:r>
      <w:r w:rsidR="001C6403" w:rsidRPr="001357D3">
        <w:rPr>
          <w:noProof/>
        </w:rPr>
        <w:t xml:space="preserve"> z</w:t>
      </w:r>
      <w:r w:rsidR="001C6403">
        <w:rPr>
          <w:noProof/>
        </w:rPr>
        <w:t> </w:t>
      </w:r>
      <w:r w:rsidR="001C6403" w:rsidRPr="001357D3">
        <w:rPr>
          <w:noProof/>
        </w:rPr>
        <w:t>roz</w:t>
      </w:r>
      <w:r w:rsidR="33FF1300" w:rsidRPr="001357D3">
        <w:rPr>
          <w:noProof/>
        </w:rPr>
        <w:t>porządzeniem (UE, Euratom) 2024/2509. Finansowanie może być zapewnione</w:t>
      </w:r>
      <w:r w:rsidR="001C6403" w:rsidRPr="001357D3">
        <w:rPr>
          <w:noProof/>
        </w:rPr>
        <w:t xml:space="preserve"> w</w:t>
      </w:r>
      <w:r w:rsidR="001C6403">
        <w:rPr>
          <w:noProof/>
        </w:rPr>
        <w:t> </w:t>
      </w:r>
      <w:r w:rsidR="001C6403" w:rsidRPr="001357D3">
        <w:rPr>
          <w:noProof/>
        </w:rPr>
        <w:t>for</w:t>
      </w:r>
      <w:r w:rsidR="33FF1300" w:rsidRPr="001357D3">
        <w:rPr>
          <w:noProof/>
        </w:rPr>
        <w:t>mie zwrotu rzeczywistych kosztów kwalifikowalnych tylko wtedy, kiedy cele działania nie mogą zostać osiągnięte</w:t>
      </w:r>
      <w:r w:rsidR="001C6403" w:rsidRPr="001357D3">
        <w:rPr>
          <w:noProof/>
        </w:rPr>
        <w:t xml:space="preserve"> w</w:t>
      </w:r>
      <w:r w:rsidR="001C6403">
        <w:rPr>
          <w:noProof/>
        </w:rPr>
        <w:t> </w:t>
      </w:r>
      <w:r w:rsidR="001C6403" w:rsidRPr="001357D3">
        <w:rPr>
          <w:noProof/>
        </w:rPr>
        <w:t>inn</w:t>
      </w:r>
      <w:r w:rsidR="33FF1300" w:rsidRPr="001357D3">
        <w:rPr>
          <w:noProof/>
        </w:rPr>
        <w:t>y sposób.</w:t>
      </w:r>
    </w:p>
    <w:p w14:paraId="3413B5A3" w14:textId="0A5B2D27" w:rsidR="00763606" w:rsidRPr="001357D3" w:rsidRDefault="000D4BE4" w:rsidP="000D4BE4">
      <w:pPr>
        <w:pStyle w:val="ManualNumPar1"/>
        <w:rPr>
          <w:noProof/>
        </w:rPr>
      </w:pPr>
      <w:r w:rsidRPr="000D4BE4">
        <w:rPr>
          <w:noProof/>
        </w:rPr>
        <w:t>4.</w:t>
      </w:r>
      <w:r w:rsidRPr="000D4BE4">
        <w:rPr>
          <w:noProof/>
        </w:rPr>
        <w:tab/>
      </w:r>
      <w:r w:rsidR="092442D3" w:rsidRPr="001357D3">
        <w:rPr>
          <w:noProof/>
        </w:rPr>
        <w:t xml:space="preserve">Do celów </w:t>
      </w:r>
      <w:r w:rsidR="092442D3" w:rsidRPr="001C6403">
        <w:rPr>
          <w:noProof/>
        </w:rPr>
        <w:t>art.</w:t>
      </w:r>
      <w:r w:rsidR="001C6403" w:rsidRPr="001C6403">
        <w:rPr>
          <w:noProof/>
        </w:rPr>
        <w:t> </w:t>
      </w:r>
      <w:r w:rsidR="092442D3" w:rsidRPr="001C6403">
        <w:rPr>
          <w:noProof/>
        </w:rPr>
        <w:t>1</w:t>
      </w:r>
      <w:r w:rsidR="092442D3" w:rsidRPr="001357D3">
        <w:rPr>
          <w:noProof/>
        </w:rPr>
        <w:t xml:space="preserve">53 </w:t>
      </w:r>
      <w:r w:rsidR="092442D3" w:rsidRPr="001C6403">
        <w:rPr>
          <w:noProof/>
        </w:rPr>
        <w:t>ust.</w:t>
      </w:r>
      <w:r w:rsidR="001C6403" w:rsidRPr="001C6403">
        <w:rPr>
          <w:noProof/>
        </w:rPr>
        <w:t> </w:t>
      </w:r>
      <w:r w:rsidR="092442D3" w:rsidRPr="001C6403">
        <w:rPr>
          <w:noProof/>
        </w:rPr>
        <w:t>3</w:t>
      </w:r>
      <w:r w:rsidR="092442D3" w:rsidRPr="001357D3">
        <w:rPr>
          <w:noProof/>
        </w:rPr>
        <w:t xml:space="preserve"> rozporządzenia (UE, Euratom) 2024/2509 komisja oceniająca może częściowo lub całkowicie składać się</w:t>
      </w:r>
      <w:r w:rsidR="001C6403" w:rsidRPr="001357D3">
        <w:rPr>
          <w:noProof/>
        </w:rPr>
        <w:t xml:space="preserve"> z</w:t>
      </w:r>
      <w:r w:rsidR="001C6403">
        <w:rPr>
          <w:noProof/>
        </w:rPr>
        <w:t> </w:t>
      </w:r>
      <w:r w:rsidR="001C6403" w:rsidRPr="001357D3">
        <w:rPr>
          <w:noProof/>
        </w:rPr>
        <w:t>nie</w:t>
      </w:r>
      <w:r w:rsidR="092442D3" w:rsidRPr="001357D3">
        <w:rPr>
          <w:noProof/>
        </w:rPr>
        <w:t>zależnych ekspertów zewnętrznych.</w:t>
      </w:r>
    </w:p>
    <w:p w14:paraId="0AEB17E0" w14:textId="53F0203A" w:rsidR="00FB7114" w:rsidRPr="001357D3" w:rsidRDefault="00FB7114" w:rsidP="004852D0">
      <w:pPr>
        <w:pStyle w:val="Titrearticle"/>
        <w:spacing w:before="0"/>
        <w:rPr>
          <w:noProof/>
        </w:rPr>
      </w:pPr>
      <w:r w:rsidRPr="001357D3">
        <w:rPr>
          <w:noProof/>
        </w:rPr>
        <w:t>Artykuł 9</w:t>
      </w:r>
    </w:p>
    <w:p w14:paraId="4D20D1AA" w14:textId="77DA46DD" w:rsidR="00C25493" w:rsidRPr="001357D3" w:rsidRDefault="38C341CC" w:rsidP="004852D0">
      <w:pPr>
        <w:spacing w:before="0"/>
        <w:jc w:val="center"/>
        <w:rPr>
          <w:b/>
          <w:bCs/>
          <w:i/>
          <w:iCs/>
          <w:noProof/>
        </w:rPr>
      </w:pPr>
      <w:r w:rsidRPr="001357D3">
        <w:rPr>
          <w:b/>
          <w:i/>
          <w:noProof/>
        </w:rPr>
        <w:t>Kwalifikowalność</w:t>
      </w:r>
    </w:p>
    <w:p w14:paraId="22492D53" w14:textId="312C44E1" w:rsidR="00313426" w:rsidRPr="001357D3" w:rsidRDefault="000D4BE4" w:rsidP="000D4BE4">
      <w:pPr>
        <w:pStyle w:val="ManualNumPar1"/>
        <w:rPr>
          <w:noProof/>
        </w:rPr>
      </w:pPr>
      <w:r w:rsidRPr="000D4BE4">
        <w:rPr>
          <w:noProof/>
        </w:rPr>
        <w:lastRenderedPageBreak/>
        <w:t>1.</w:t>
      </w:r>
      <w:r w:rsidRPr="000D4BE4">
        <w:rPr>
          <w:noProof/>
        </w:rPr>
        <w:tab/>
      </w:r>
      <w:r w:rsidR="6E161C33" w:rsidRPr="001357D3">
        <w:rPr>
          <w:noProof/>
        </w:rPr>
        <w:t>Ustanawia się kryteria kwalifikowalności, aby wspierać osiągnięcie celów określonych</w:t>
      </w:r>
      <w:r w:rsidR="001C6403" w:rsidRPr="001357D3">
        <w:rPr>
          <w:noProof/>
        </w:rPr>
        <w:t xml:space="preserve"> w</w:t>
      </w:r>
      <w:r w:rsidR="001C6403">
        <w:rPr>
          <w:noProof/>
        </w:rPr>
        <w:t> </w:t>
      </w:r>
      <w:r w:rsidR="001C6403" w:rsidRPr="001357D3">
        <w:rPr>
          <w:noProof/>
        </w:rPr>
        <w:t>art</w:t>
      </w:r>
      <w:r w:rsidR="6E161C33" w:rsidRPr="001357D3">
        <w:rPr>
          <w:noProof/>
        </w:rPr>
        <w:t>. 3 niniejszego rozporządzenia, zgodnie</w:t>
      </w:r>
      <w:r w:rsidR="001C6403" w:rsidRPr="001357D3">
        <w:rPr>
          <w:noProof/>
        </w:rPr>
        <w:t xml:space="preserve"> z</w:t>
      </w:r>
      <w:r w:rsidR="001C6403">
        <w:rPr>
          <w:noProof/>
        </w:rPr>
        <w:t> </w:t>
      </w:r>
      <w:r w:rsidR="001C6403" w:rsidRPr="001357D3">
        <w:rPr>
          <w:noProof/>
        </w:rPr>
        <w:t>roz</w:t>
      </w:r>
      <w:r w:rsidR="6E161C33" w:rsidRPr="001357D3">
        <w:rPr>
          <w:noProof/>
        </w:rPr>
        <w:t>porządzeniem (UE, Euratom) 2024/2509; mają one zastosowanie do wszystkich procedur wyboru</w:t>
      </w:r>
      <w:r w:rsidR="001C6403" w:rsidRPr="001357D3">
        <w:rPr>
          <w:noProof/>
        </w:rPr>
        <w:t xml:space="preserve"> w</w:t>
      </w:r>
      <w:r w:rsidR="001C6403">
        <w:rPr>
          <w:noProof/>
        </w:rPr>
        <w:t> </w:t>
      </w:r>
      <w:r w:rsidR="001C6403" w:rsidRPr="001357D3">
        <w:rPr>
          <w:noProof/>
        </w:rPr>
        <w:t>ram</w:t>
      </w:r>
      <w:r w:rsidR="6E161C33" w:rsidRPr="001357D3">
        <w:rPr>
          <w:noProof/>
        </w:rPr>
        <w:t>ach Programu.</w:t>
      </w:r>
    </w:p>
    <w:p w14:paraId="2314C357" w14:textId="4EB5D800" w:rsidR="00313426" w:rsidRPr="001357D3" w:rsidRDefault="000D4BE4" w:rsidP="000D4BE4">
      <w:pPr>
        <w:pStyle w:val="ManualNumPar1"/>
        <w:rPr>
          <w:noProof/>
        </w:rPr>
      </w:pPr>
      <w:r w:rsidRPr="000D4BE4">
        <w:rPr>
          <w:noProof/>
        </w:rPr>
        <w:t>2.</w:t>
      </w:r>
      <w:r w:rsidRPr="000D4BE4">
        <w:rPr>
          <w:noProof/>
        </w:rPr>
        <w:tab/>
      </w:r>
      <w:r w:rsidR="5CDF8D57" w:rsidRPr="001357D3">
        <w:rPr>
          <w:noProof/>
        </w:rPr>
        <w:t>W procedurach wyboru</w:t>
      </w:r>
      <w:r w:rsidR="001C6403" w:rsidRPr="001357D3">
        <w:rPr>
          <w:noProof/>
        </w:rPr>
        <w:t xml:space="preserve"> w</w:t>
      </w:r>
      <w:r w:rsidR="001C6403">
        <w:rPr>
          <w:noProof/>
        </w:rPr>
        <w:t> </w:t>
      </w:r>
      <w:r w:rsidR="001C6403" w:rsidRPr="001357D3">
        <w:rPr>
          <w:noProof/>
        </w:rPr>
        <w:t>ram</w:t>
      </w:r>
      <w:r w:rsidR="5CDF8D57" w:rsidRPr="001357D3">
        <w:rPr>
          <w:noProof/>
        </w:rPr>
        <w:t>ach zarządzania bezpośredniego</w:t>
      </w:r>
      <w:r w:rsidR="001C6403" w:rsidRPr="001357D3">
        <w:rPr>
          <w:noProof/>
        </w:rPr>
        <w:t xml:space="preserve"> i</w:t>
      </w:r>
      <w:r w:rsidR="001C6403">
        <w:rPr>
          <w:noProof/>
        </w:rPr>
        <w:t> </w:t>
      </w:r>
      <w:r w:rsidR="001C6403" w:rsidRPr="001357D3">
        <w:rPr>
          <w:noProof/>
        </w:rPr>
        <w:t>zar</w:t>
      </w:r>
      <w:r w:rsidR="5CDF8D57" w:rsidRPr="001357D3">
        <w:rPr>
          <w:noProof/>
        </w:rPr>
        <w:t>ządzania pośredniego do otrzymania finansowania unijnego kwalifikować się może co najmniej jeden</w:t>
      </w:r>
      <w:r w:rsidR="001C6403" w:rsidRPr="001357D3">
        <w:rPr>
          <w:noProof/>
        </w:rPr>
        <w:t xml:space="preserve"> z</w:t>
      </w:r>
      <w:r w:rsidR="001C6403">
        <w:rPr>
          <w:noProof/>
        </w:rPr>
        <w:t> </w:t>
      </w:r>
      <w:r w:rsidR="001C6403" w:rsidRPr="001357D3">
        <w:rPr>
          <w:noProof/>
        </w:rPr>
        <w:t>nas</w:t>
      </w:r>
      <w:r w:rsidR="5CDF8D57" w:rsidRPr="001357D3">
        <w:rPr>
          <w:noProof/>
        </w:rPr>
        <w:t>tępujących podmiotów prawnych:</w:t>
      </w:r>
    </w:p>
    <w:p w14:paraId="116BD90A" w14:textId="29EA646E" w:rsidR="00313426" w:rsidRPr="001357D3" w:rsidRDefault="001C6403" w:rsidP="001C6403">
      <w:pPr>
        <w:pStyle w:val="Point1"/>
        <w:rPr>
          <w:noProof/>
        </w:rPr>
      </w:pPr>
      <w:r>
        <w:rPr>
          <w:noProof/>
        </w:rPr>
        <w:t>a)</w:t>
      </w:r>
      <w:r>
        <w:rPr>
          <w:noProof/>
        </w:rPr>
        <w:tab/>
      </w:r>
      <w:r w:rsidR="52334E6C" w:rsidRPr="001357D3">
        <w:rPr>
          <w:noProof/>
        </w:rPr>
        <w:t>podmioty mające siedzibę</w:t>
      </w:r>
      <w:r w:rsidRPr="001357D3">
        <w:rPr>
          <w:noProof/>
        </w:rPr>
        <w:t xml:space="preserve"> w</w:t>
      </w:r>
      <w:r>
        <w:rPr>
          <w:noProof/>
        </w:rPr>
        <w:t> </w:t>
      </w:r>
      <w:r w:rsidRPr="001357D3">
        <w:rPr>
          <w:noProof/>
        </w:rPr>
        <w:t>pań</w:t>
      </w:r>
      <w:r w:rsidR="52334E6C" w:rsidRPr="001357D3">
        <w:rPr>
          <w:noProof/>
        </w:rPr>
        <w:t>stwie członkowskim;</w:t>
      </w:r>
    </w:p>
    <w:p w14:paraId="6E96AC6E" w14:textId="6E769769" w:rsidR="00313426" w:rsidRPr="001357D3" w:rsidRDefault="001C6403" w:rsidP="001C6403">
      <w:pPr>
        <w:pStyle w:val="Point1"/>
        <w:rPr>
          <w:noProof/>
        </w:rPr>
      </w:pPr>
      <w:r>
        <w:rPr>
          <w:noProof/>
        </w:rPr>
        <w:t>b)</w:t>
      </w:r>
      <w:r>
        <w:rPr>
          <w:noProof/>
        </w:rPr>
        <w:tab/>
      </w:r>
      <w:r w:rsidR="00B41E03" w:rsidRPr="001357D3">
        <w:rPr>
          <w:noProof/>
        </w:rPr>
        <w:t>podmioty mające siedzibę</w:t>
      </w:r>
      <w:r w:rsidRPr="001357D3">
        <w:rPr>
          <w:noProof/>
        </w:rPr>
        <w:t xml:space="preserve"> w</w:t>
      </w:r>
      <w:r>
        <w:rPr>
          <w:noProof/>
        </w:rPr>
        <w:t> </w:t>
      </w:r>
      <w:r w:rsidRPr="001357D3">
        <w:rPr>
          <w:noProof/>
        </w:rPr>
        <w:t>sto</w:t>
      </w:r>
      <w:r w:rsidR="00B41E03" w:rsidRPr="001357D3">
        <w:rPr>
          <w:noProof/>
        </w:rPr>
        <w:t>warzyszonym państwie trzecim;</w:t>
      </w:r>
    </w:p>
    <w:p w14:paraId="2561F146" w14:textId="7327D4CC" w:rsidR="00313426" w:rsidRPr="001357D3" w:rsidRDefault="001C6403" w:rsidP="001C6403">
      <w:pPr>
        <w:pStyle w:val="Point1"/>
        <w:rPr>
          <w:noProof/>
        </w:rPr>
      </w:pPr>
      <w:r>
        <w:rPr>
          <w:noProof/>
        </w:rPr>
        <w:t>c)</w:t>
      </w:r>
      <w:r>
        <w:rPr>
          <w:noProof/>
        </w:rPr>
        <w:tab/>
      </w:r>
      <w:r w:rsidR="00313426" w:rsidRPr="001357D3">
        <w:rPr>
          <w:noProof/>
        </w:rPr>
        <w:t>organizacje międzynarodowe;</w:t>
      </w:r>
    </w:p>
    <w:p w14:paraId="1A7FEACF" w14:textId="2020D1BD" w:rsidR="00A52BF5" w:rsidRPr="001357D3" w:rsidRDefault="001C6403" w:rsidP="001C6403">
      <w:pPr>
        <w:pStyle w:val="Point1"/>
        <w:rPr>
          <w:noProof/>
        </w:rPr>
      </w:pPr>
      <w:r>
        <w:rPr>
          <w:noProof/>
        </w:rPr>
        <w:t>d)</w:t>
      </w:r>
      <w:r>
        <w:rPr>
          <w:noProof/>
        </w:rPr>
        <w:tab/>
      </w:r>
      <w:r w:rsidR="41F83CC5" w:rsidRPr="001357D3">
        <w:rPr>
          <w:noProof/>
        </w:rPr>
        <w:t>inne podmioty mające siedzibę</w:t>
      </w:r>
      <w:r w:rsidRPr="001357D3">
        <w:rPr>
          <w:noProof/>
        </w:rPr>
        <w:t xml:space="preserve"> w</w:t>
      </w:r>
      <w:r>
        <w:rPr>
          <w:noProof/>
        </w:rPr>
        <w:t> </w:t>
      </w:r>
      <w:r w:rsidRPr="001357D3">
        <w:rPr>
          <w:noProof/>
        </w:rPr>
        <w:t>nie</w:t>
      </w:r>
      <w:r w:rsidR="41F83CC5" w:rsidRPr="001357D3">
        <w:rPr>
          <w:noProof/>
        </w:rPr>
        <w:t>stowarzyszonych państwach trzecich, jeżeli finansowanie takich podmiotów jest niezbędne do realizacji działania</w:t>
      </w:r>
      <w:r w:rsidRPr="001357D3">
        <w:rPr>
          <w:noProof/>
        </w:rPr>
        <w:t xml:space="preserve"> i</w:t>
      </w:r>
      <w:r>
        <w:rPr>
          <w:noProof/>
        </w:rPr>
        <w:t> </w:t>
      </w:r>
      <w:r w:rsidRPr="001357D3">
        <w:rPr>
          <w:noProof/>
        </w:rPr>
        <w:t>prz</w:t>
      </w:r>
      <w:r w:rsidR="41F83CC5" w:rsidRPr="001357D3">
        <w:rPr>
          <w:noProof/>
        </w:rPr>
        <w:t>yczynia się do osiągnięcia celów określonych</w:t>
      </w:r>
      <w:r w:rsidRPr="001357D3">
        <w:rPr>
          <w:noProof/>
        </w:rPr>
        <w:t xml:space="preserve"> w</w:t>
      </w:r>
      <w:r>
        <w:rPr>
          <w:noProof/>
        </w:rPr>
        <w:t> </w:t>
      </w:r>
      <w:r w:rsidRPr="001C6403">
        <w:rPr>
          <w:noProof/>
        </w:rPr>
        <w:t>art</w:t>
      </w:r>
      <w:r w:rsidR="41F83CC5" w:rsidRPr="001C6403">
        <w:rPr>
          <w:noProof/>
        </w:rPr>
        <w:t>.</w:t>
      </w:r>
      <w:r w:rsidRPr="001C6403">
        <w:rPr>
          <w:noProof/>
        </w:rPr>
        <w:t> </w:t>
      </w:r>
      <w:r w:rsidR="41F83CC5" w:rsidRPr="001C6403">
        <w:rPr>
          <w:noProof/>
        </w:rPr>
        <w:t>3</w:t>
      </w:r>
      <w:r w:rsidR="41F83CC5" w:rsidRPr="001357D3">
        <w:rPr>
          <w:noProof/>
        </w:rPr>
        <w:t>.</w:t>
      </w:r>
    </w:p>
    <w:p w14:paraId="488AB7B6" w14:textId="36B1667F" w:rsidR="00A52BF5" w:rsidRPr="001357D3" w:rsidRDefault="000D4BE4" w:rsidP="000D4BE4">
      <w:pPr>
        <w:pStyle w:val="ManualNumPar1"/>
        <w:rPr>
          <w:noProof/>
        </w:rPr>
      </w:pPr>
      <w:r w:rsidRPr="000D4BE4">
        <w:rPr>
          <w:noProof/>
        </w:rPr>
        <w:t>3.</w:t>
      </w:r>
      <w:r w:rsidRPr="000D4BE4">
        <w:rPr>
          <w:noProof/>
        </w:rPr>
        <w:tab/>
      </w:r>
      <w:r w:rsidR="51FDB454" w:rsidRPr="001357D3">
        <w:rPr>
          <w:noProof/>
        </w:rPr>
        <w:t xml:space="preserve">Oprócz </w:t>
      </w:r>
      <w:r w:rsidR="51FDB454" w:rsidRPr="001C6403">
        <w:rPr>
          <w:noProof/>
        </w:rPr>
        <w:t>art.</w:t>
      </w:r>
      <w:r w:rsidR="001C6403" w:rsidRPr="001C6403">
        <w:rPr>
          <w:noProof/>
        </w:rPr>
        <w:t> </w:t>
      </w:r>
      <w:r w:rsidR="51FDB454" w:rsidRPr="001C6403">
        <w:rPr>
          <w:noProof/>
        </w:rPr>
        <w:t>1</w:t>
      </w:r>
      <w:r w:rsidR="51FDB454" w:rsidRPr="001357D3">
        <w:rPr>
          <w:noProof/>
        </w:rPr>
        <w:t xml:space="preserve">68 </w:t>
      </w:r>
      <w:r w:rsidR="51FDB454" w:rsidRPr="001C6403">
        <w:rPr>
          <w:noProof/>
        </w:rPr>
        <w:t>ust.</w:t>
      </w:r>
      <w:r w:rsidR="001C6403" w:rsidRPr="001C6403">
        <w:rPr>
          <w:noProof/>
        </w:rPr>
        <w:t> </w:t>
      </w:r>
      <w:r w:rsidR="51FDB454" w:rsidRPr="001C6403">
        <w:rPr>
          <w:noProof/>
        </w:rPr>
        <w:t>2</w:t>
      </w:r>
      <w:r w:rsidR="001C6403" w:rsidRPr="001357D3">
        <w:rPr>
          <w:noProof/>
        </w:rPr>
        <w:t xml:space="preserve"> i</w:t>
      </w:r>
      <w:r w:rsidR="001C6403">
        <w:rPr>
          <w:noProof/>
        </w:rPr>
        <w:t> </w:t>
      </w:r>
      <w:r w:rsidR="001C6403" w:rsidRPr="001357D3">
        <w:rPr>
          <w:noProof/>
        </w:rPr>
        <w:t>3</w:t>
      </w:r>
      <w:r w:rsidR="51FDB454" w:rsidRPr="001357D3">
        <w:rPr>
          <w:noProof/>
        </w:rPr>
        <w:t xml:space="preserve"> rozporządzenia (UE, Euratom) 2024/2509, stowarzyszone państwa trzecie,</w:t>
      </w:r>
      <w:r w:rsidR="001C6403" w:rsidRPr="001357D3">
        <w:rPr>
          <w:noProof/>
        </w:rPr>
        <w:t xml:space="preserve"> o</w:t>
      </w:r>
      <w:r w:rsidR="001C6403">
        <w:rPr>
          <w:noProof/>
        </w:rPr>
        <w:t> </w:t>
      </w:r>
      <w:r w:rsidR="001C6403" w:rsidRPr="001357D3">
        <w:rPr>
          <w:noProof/>
        </w:rPr>
        <w:t>któ</w:t>
      </w:r>
      <w:r w:rsidR="51FDB454" w:rsidRPr="001357D3">
        <w:rPr>
          <w:noProof/>
        </w:rPr>
        <w:t>rych mowa</w:t>
      </w:r>
      <w:r w:rsidR="001C6403" w:rsidRPr="001357D3">
        <w:rPr>
          <w:noProof/>
        </w:rPr>
        <w:t xml:space="preserve"> w</w:t>
      </w:r>
      <w:r w:rsidR="001C6403">
        <w:rPr>
          <w:noProof/>
        </w:rPr>
        <w:t> </w:t>
      </w:r>
      <w:r w:rsidR="001C6403" w:rsidRPr="001C6403">
        <w:rPr>
          <w:noProof/>
        </w:rPr>
        <w:t>art</w:t>
      </w:r>
      <w:r w:rsidR="51FDB454" w:rsidRPr="001C6403">
        <w:rPr>
          <w:noProof/>
        </w:rPr>
        <w:t>.</w:t>
      </w:r>
      <w:r w:rsidR="001C6403" w:rsidRPr="001C6403">
        <w:rPr>
          <w:noProof/>
        </w:rPr>
        <w:t> </w:t>
      </w:r>
      <w:r w:rsidR="51FDB454" w:rsidRPr="001C6403">
        <w:rPr>
          <w:noProof/>
        </w:rPr>
        <w:t>7</w:t>
      </w:r>
      <w:r w:rsidR="51FDB454" w:rsidRPr="001357D3">
        <w:rPr>
          <w:noProof/>
        </w:rPr>
        <w:t xml:space="preserve"> </w:t>
      </w:r>
      <w:r w:rsidR="51FDB454" w:rsidRPr="001C6403">
        <w:rPr>
          <w:noProof/>
        </w:rPr>
        <w:t>ust.</w:t>
      </w:r>
      <w:r w:rsidR="001C6403" w:rsidRPr="001C6403">
        <w:rPr>
          <w:noProof/>
        </w:rPr>
        <w:t> </w:t>
      </w:r>
      <w:r w:rsidR="51FDB454" w:rsidRPr="001C6403">
        <w:rPr>
          <w:noProof/>
        </w:rPr>
        <w:t>1</w:t>
      </w:r>
      <w:r w:rsidR="51FDB454" w:rsidRPr="001357D3">
        <w:rPr>
          <w:noProof/>
        </w:rPr>
        <w:t xml:space="preserve"> niniejszego rozporządzenia, mogą,</w:t>
      </w:r>
      <w:r w:rsidR="001C6403" w:rsidRPr="001357D3">
        <w:rPr>
          <w:noProof/>
        </w:rPr>
        <w:t xml:space="preserve"> w</w:t>
      </w:r>
      <w:r w:rsidR="001C6403">
        <w:rPr>
          <w:noProof/>
        </w:rPr>
        <w:t> </w:t>
      </w:r>
      <w:r w:rsidR="001C6403" w:rsidRPr="001357D3">
        <w:rPr>
          <w:noProof/>
        </w:rPr>
        <w:t>sto</w:t>
      </w:r>
      <w:r w:rsidR="51FDB454" w:rsidRPr="001357D3">
        <w:rPr>
          <w:noProof/>
        </w:rPr>
        <w:t>sownych przypadkach, uczestniczyć</w:t>
      </w:r>
      <w:r w:rsidR="001C6403" w:rsidRPr="001357D3">
        <w:rPr>
          <w:noProof/>
        </w:rPr>
        <w:t xml:space="preserve"> w</w:t>
      </w:r>
      <w:r w:rsidR="001C6403">
        <w:rPr>
          <w:noProof/>
        </w:rPr>
        <w:t> </w:t>
      </w:r>
      <w:r w:rsidR="001C6403" w:rsidRPr="001357D3">
        <w:rPr>
          <w:noProof/>
        </w:rPr>
        <w:t>mec</w:t>
      </w:r>
      <w:r w:rsidR="51FDB454" w:rsidRPr="001357D3">
        <w:rPr>
          <w:noProof/>
        </w:rPr>
        <w:t>hanizmach udzielania zamówień określonych</w:t>
      </w:r>
      <w:r w:rsidR="001C6403" w:rsidRPr="001357D3">
        <w:rPr>
          <w:noProof/>
        </w:rPr>
        <w:t xml:space="preserve"> w</w:t>
      </w:r>
      <w:r w:rsidR="001C6403">
        <w:rPr>
          <w:noProof/>
        </w:rPr>
        <w:t> </w:t>
      </w:r>
      <w:r w:rsidR="001C6403" w:rsidRPr="001C6403">
        <w:rPr>
          <w:noProof/>
        </w:rPr>
        <w:t>art</w:t>
      </w:r>
      <w:r w:rsidR="51FDB454" w:rsidRPr="001C6403">
        <w:rPr>
          <w:noProof/>
        </w:rPr>
        <w:t>.</w:t>
      </w:r>
      <w:r w:rsidR="001C6403" w:rsidRPr="001C6403">
        <w:rPr>
          <w:noProof/>
        </w:rPr>
        <w:t> </w:t>
      </w:r>
      <w:r w:rsidR="51FDB454" w:rsidRPr="001C6403">
        <w:rPr>
          <w:noProof/>
        </w:rPr>
        <w:t>1</w:t>
      </w:r>
      <w:r w:rsidR="51FDB454" w:rsidRPr="001357D3">
        <w:rPr>
          <w:noProof/>
        </w:rPr>
        <w:t xml:space="preserve">68 </w:t>
      </w:r>
      <w:r w:rsidR="51FDB454" w:rsidRPr="001C6403">
        <w:rPr>
          <w:noProof/>
        </w:rPr>
        <w:t>ust.</w:t>
      </w:r>
      <w:r w:rsidR="001C6403" w:rsidRPr="001C6403">
        <w:rPr>
          <w:noProof/>
        </w:rPr>
        <w:t> </w:t>
      </w:r>
      <w:r w:rsidR="51FDB454" w:rsidRPr="001C6403">
        <w:rPr>
          <w:noProof/>
        </w:rPr>
        <w:t>2</w:t>
      </w:r>
      <w:r w:rsidR="001C6403" w:rsidRPr="001357D3">
        <w:rPr>
          <w:noProof/>
        </w:rPr>
        <w:t xml:space="preserve"> i</w:t>
      </w:r>
      <w:r w:rsidR="001C6403">
        <w:rPr>
          <w:noProof/>
        </w:rPr>
        <w:t> </w:t>
      </w:r>
      <w:r w:rsidR="001C6403" w:rsidRPr="001357D3">
        <w:rPr>
          <w:noProof/>
        </w:rPr>
        <w:t>3</w:t>
      </w:r>
      <w:r w:rsidR="51FDB454" w:rsidRPr="001357D3">
        <w:rPr>
          <w:noProof/>
        </w:rPr>
        <w:t xml:space="preserve"> rozporządzenia (UE, Euratom) 2024/2509</w:t>
      </w:r>
      <w:r w:rsidR="001C6403" w:rsidRPr="001357D3">
        <w:rPr>
          <w:noProof/>
        </w:rPr>
        <w:t xml:space="preserve"> i</w:t>
      </w:r>
      <w:r w:rsidR="001C6403">
        <w:rPr>
          <w:noProof/>
        </w:rPr>
        <w:t> </w:t>
      </w:r>
      <w:r w:rsidR="001C6403" w:rsidRPr="001357D3">
        <w:rPr>
          <w:noProof/>
        </w:rPr>
        <w:t>cze</w:t>
      </w:r>
      <w:r w:rsidR="51FDB454" w:rsidRPr="001357D3">
        <w:rPr>
          <w:noProof/>
        </w:rPr>
        <w:t>rpać korzyści</w:t>
      </w:r>
      <w:r w:rsidR="001C6403" w:rsidRPr="001357D3">
        <w:rPr>
          <w:noProof/>
        </w:rPr>
        <w:t xml:space="preserve"> z</w:t>
      </w:r>
      <w:r w:rsidR="001C6403">
        <w:rPr>
          <w:noProof/>
        </w:rPr>
        <w:t> </w:t>
      </w:r>
      <w:r w:rsidR="001C6403" w:rsidRPr="001357D3">
        <w:rPr>
          <w:noProof/>
        </w:rPr>
        <w:t>tyc</w:t>
      </w:r>
      <w:r w:rsidR="51FDB454" w:rsidRPr="001357D3">
        <w:rPr>
          <w:noProof/>
        </w:rPr>
        <w:t>h mechanizmów. Przepisy mające zastosowanie do państw członkowskich stosuje się odpowiednio do uczestniczących stowarzyszonych państw trzecich.</w:t>
      </w:r>
    </w:p>
    <w:p w14:paraId="38D68C36" w14:textId="7AD41EE0" w:rsidR="007B45F2" w:rsidRPr="001357D3" w:rsidRDefault="000D4BE4" w:rsidP="000D4BE4">
      <w:pPr>
        <w:pStyle w:val="ManualNumPar1"/>
        <w:rPr>
          <w:noProof/>
        </w:rPr>
      </w:pPr>
      <w:r w:rsidRPr="000D4BE4">
        <w:rPr>
          <w:noProof/>
        </w:rPr>
        <w:t>4.</w:t>
      </w:r>
      <w:r w:rsidRPr="000D4BE4">
        <w:rPr>
          <w:noProof/>
        </w:rPr>
        <w:tab/>
      </w:r>
      <w:r w:rsidR="0E846E35" w:rsidRPr="001357D3">
        <w:rPr>
          <w:noProof/>
        </w:rPr>
        <w:t>Procedury wyboru mające wpływ na bezpieczeństwo lub porządek publiczny,</w:t>
      </w:r>
      <w:r w:rsidR="001C6403" w:rsidRPr="001357D3">
        <w:rPr>
          <w:noProof/>
        </w:rPr>
        <w:t xml:space="preserve"> w</w:t>
      </w:r>
      <w:r w:rsidR="001C6403">
        <w:rPr>
          <w:noProof/>
        </w:rPr>
        <w:t> </w:t>
      </w:r>
      <w:r w:rsidR="001C6403" w:rsidRPr="001357D3">
        <w:rPr>
          <w:noProof/>
        </w:rPr>
        <w:t>szc</w:t>
      </w:r>
      <w:r w:rsidR="0E846E35" w:rsidRPr="001357D3">
        <w:rPr>
          <w:noProof/>
        </w:rPr>
        <w:t>zególności</w:t>
      </w:r>
      <w:r w:rsidR="001C6403" w:rsidRPr="001357D3">
        <w:rPr>
          <w:noProof/>
        </w:rPr>
        <w:t xml:space="preserve"> w</w:t>
      </w:r>
      <w:r w:rsidR="001C6403">
        <w:rPr>
          <w:noProof/>
        </w:rPr>
        <w:t> </w:t>
      </w:r>
      <w:r w:rsidR="001C6403" w:rsidRPr="001357D3">
        <w:rPr>
          <w:noProof/>
        </w:rPr>
        <w:t>odn</w:t>
      </w:r>
      <w:r w:rsidR="0E846E35" w:rsidRPr="001357D3">
        <w:rPr>
          <w:noProof/>
        </w:rPr>
        <w:t>iesieniu do strategicznych aktywów</w:t>
      </w:r>
      <w:r w:rsidR="001C6403" w:rsidRPr="001357D3">
        <w:rPr>
          <w:noProof/>
        </w:rPr>
        <w:t xml:space="preserve"> i</w:t>
      </w:r>
      <w:r w:rsidR="001C6403">
        <w:rPr>
          <w:noProof/>
        </w:rPr>
        <w:t> </w:t>
      </w:r>
      <w:r w:rsidR="001C6403" w:rsidRPr="001357D3">
        <w:rPr>
          <w:noProof/>
        </w:rPr>
        <w:t>int</w:t>
      </w:r>
      <w:r w:rsidR="0E846E35" w:rsidRPr="001357D3">
        <w:rPr>
          <w:noProof/>
        </w:rPr>
        <w:t>eresów Unii lub jej państw członkowskich, są ograniczone zgodnie</w:t>
      </w:r>
      <w:r w:rsidR="001C6403" w:rsidRPr="001357D3">
        <w:rPr>
          <w:noProof/>
        </w:rPr>
        <w:t xml:space="preserve"> z</w:t>
      </w:r>
      <w:r w:rsidR="001C6403">
        <w:rPr>
          <w:noProof/>
        </w:rPr>
        <w:t> </w:t>
      </w:r>
      <w:r w:rsidR="001C6403" w:rsidRPr="001C6403">
        <w:rPr>
          <w:noProof/>
        </w:rPr>
        <w:t>art</w:t>
      </w:r>
      <w:r w:rsidR="0E846E35" w:rsidRPr="001C6403">
        <w:rPr>
          <w:noProof/>
        </w:rPr>
        <w:t>.</w:t>
      </w:r>
      <w:r w:rsidR="001C6403" w:rsidRPr="001C6403">
        <w:rPr>
          <w:noProof/>
        </w:rPr>
        <w:t> </w:t>
      </w:r>
      <w:r w:rsidR="0E846E35" w:rsidRPr="001C6403">
        <w:rPr>
          <w:noProof/>
        </w:rPr>
        <w:t>1</w:t>
      </w:r>
      <w:r w:rsidR="0E846E35" w:rsidRPr="001357D3">
        <w:rPr>
          <w:noProof/>
        </w:rPr>
        <w:t>36 rozporządzenia (UE, Euratom) 2024/2509. Zgodnie</w:t>
      </w:r>
      <w:r w:rsidR="001C6403" w:rsidRPr="001357D3">
        <w:rPr>
          <w:noProof/>
        </w:rPr>
        <w:t xml:space="preserve"> z</w:t>
      </w:r>
      <w:r w:rsidR="001C6403">
        <w:rPr>
          <w:noProof/>
        </w:rPr>
        <w:t> </w:t>
      </w:r>
      <w:r w:rsidR="001C6403" w:rsidRPr="001357D3">
        <w:rPr>
          <w:noProof/>
        </w:rPr>
        <w:t>art</w:t>
      </w:r>
      <w:r w:rsidR="0E846E35" w:rsidRPr="001357D3">
        <w:rPr>
          <w:noProof/>
        </w:rPr>
        <w:t>. 136 rozporządzenia (UE, Euratom) 2024/2509 ograniczenia kwalifikowalności stosuje się wobec dostawców wysokiego ryzyka, zgodnie</w:t>
      </w:r>
      <w:r w:rsidR="001C6403" w:rsidRPr="001357D3">
        <w:rPr>
          <w:noProof/>
        </w:rPr>
        <w:t xml:space="preserve"> z</w:t>
      </w:r>
      <w:r w:rsidR="001C6403">
        <w:rPr>
          <w:noProof/>
        </w:rPr>
        <w:t> </w:t>
      </w:r>
      <w:r w:rsidR="001C6403" w:rsidRPr="001357D3">
        <w:rPr>
          <w:noProof/>
        </w:rPr>
        <w:t>pra</w:t>
      </w:r>
      <w:r w:rsidR="0E846E35" w:rsidRPr="001357D3">
        <w:rPr>
          <w:noProof/>
        </w:rPr>
        <w:t>wem Unii, ze względów bezpieczeństwa.</w:t>
      </w:r>
    </w:p>
    <w:p w14:paraId="267C0CAB" w14:textId="7D45D39D" w:rsidR="00B41E03" w:rsidRPr="001357D3" w:rsidRDefault="000D4BE4" w:rsidP="000D4BE4">
      <w:pPr>
        <w:pStyle w:val="ManualNumPar1"/>
        <w:rPr>
          <w:noProof/>
        </w:rPr>
      </w:pPr>
      <w:r w:rsidRPr="000D4BE4">
        <w:rPr>
          <w:noProof/>
        </w:rPr>
        <w:t>5.</w:t>
      </w:r>
      <w:r w:rsidRPr="000D4BE4">
        <w:rPr>
          <w:noProof/>
        </w:rPr>
        <w:tab/>
      </w:r>
      <w:r w:rsidR="4089A8B0" w:rsidRPr="001357D3">
        <w:rPr>
          <w:noProof/>
        </w:rPr>
        <w:t>W programie prac,</w:t>
      </w:r>
      <w:r w:rsidR="001C6403" w:rsidRPr="001357D3">
        <w:rPr>
          <w:noProof/>
        </w:rPr>
        <w:t xml:space="preserve"> o</w:t>
      </w:r>
      <w:r w:rsidR="001C6403">
        <w:rPr>
          <w:noProof/>
        </w:rPr>
        <w:t> </w:t>
      </w:r>
      <w:r w:rsidR="001C6403" w:rsidRPr="001357D3">
        <w:rPr>
          <w:noProof/>
        </w:rPr>
        <w:t>któ</w:t>
      </w:r>
      <w:r w:rsidR="4089A8B0" w:rsidRPr="001357D3">
        <w:rPr>
          <w:noProof/>
        </w:rPr>
        <w:t>rym mowa</w:t>
      </w:r>
      <w:r w:rsidR="001C6403" w:rsidRPr="001357D3">
        <w:rPr>
          <w:noProof/>
        </w:rPr>
        <w:t xml:space="preserve"> w</w:t>
      </w:r>
      <w:r w:rsidR="001C6403">
        <w:rPr>
          <w:noProof/>
        </w:rPr>
        <w:t> </w:t>
      </w:r>
      <w:r w:rsidR="001C6403" w:rsidRPr="001357D3">
        <w:rPr>
          <w:noProof/>
        </w:rPr>
        <w:t>art</w:t>
      </w:r>
      <w:r w:rsidR="4089A8B0" w:rsidRPr="001357D3">
        <w:rPr>
          <w:noProof/>
        </w:rPr>
        <w:t>. 110 rozporządzenia (UE, Euratom) 2024/2509, zaproszeniach do składania wniosków</w:t>
      </w:r>
      <w:r w:rsidR="001C6403" w:rsidRPr="001357D3">
        <w:rPr>
          <w:noProof/>
        </w:rPr>
        <w:t xml:space="preserve"> i</w:t>
      </w:r>
      <w:r w:rsidR="001C6403">
        <w:rPr>
          <w:noProof/>
        </w:rPr>
        <w:t> </w:t>
      </w:r>
      <w:r w:rsidR="001C6403" w:rsidRPr="001357D3">
        <w:rPr>
          <w:noProof/>
        </w:rPr>
        <w:t>zap</w:t>
      </w:r>
      <w:r w:rsidR="4089A8B0" w:rsidRPr="001357D3">
        <w:rPr>
          <w:noProof/>
        </w:rPr>
        <w:t>roszeniach do składania ofert można doprecyzować kryteria kwalifikowalności określone</w:t>
      </w:r>
      <w:r w:rsidR="001C6403" w:rsidRPr="001357D3">
        <w:rPr>
          <w:noProof/>
        </w:rPr>
        <w:t xml:space="preserve"> w</w:t>
      </w:r>
      <w:r w:rsidR="001C6403">
        <w:rPr>
          <w:noProof/>
        </w:rPr>
        <w:t> </w:t>
      </w:r>
      <w:r w:rsidR="001C6403" w:rsidRPr="001357D3">
        <w:rPr>
          <w:noProof/>
        </w:rPr>
        <w:t>nin</w:t>
      </w:r>
      <w:r w:rsidR="4089A8B0" w:rsidRPr="001357D3">
        <w:rPr>
          <w:noProof/>
        </w:rPr>
        <w:t>iejszym rozporządzeniu lub określić dodatkowe kryteria kwalifikowalności</w:t>
      </w:r>
      <w:r w:rsidR="001C6403" w:rsidRPr="001357D3">
        <w:rPr>
          <w:noProof/>
        </w:rPr>
        <w:t xml:space="preserve"> w</w:t>
      </w:r>
      <w:r w:rsidR="001C6403">
        <w:rPr>
          <w:noProof/>
        </w:rPr>
        <w:t> </w:t>
      </w:r>
      <w:r w:rsidR="001C6403" w:rsidRPr="001357D3">
        <w:rPr>
          <w:noProof/>
        </w:rPr>
        <w:t>odn</w:t>
      </w:r>
      <w:r w:rsidR="4089A8B0" w:rsidRPr="001357D3">
        <w:rPr>
          <w:noProof/>
        </w:rPr>
        <w:t>iesieniu do konkretnych działań.</w:t>
      </w:r>
    </w:p>
    <w:p w14:paraId="2ED5B959" w14:textId="0D547CD6" w:rsidR="41739B80" w:rsidRPr="001357D3" w:rsidRDefault="000D4BE4" w:rsidP="000D4BE4">
      <w:pPr>
        <w:pStyle w:val="ManualNumPar1"/>
        <w:rPr>
          <w:noProof/>
        </w:rPr>
      </w:pPr>
      <w:r w:rsidRPr="000D4BE4">
        <w:rPr>
          <w:noProof/>
        </w:rPr>
        <w:t>6.</w:t>
      </w:r>
      <w:r w:rsidRPr="000D4BE4">
        <w:rPr>
          <w:noProof/>
        </w:rPr>
        <w:tab/>
      </w:r>
      <w:r w:rsidR="007B45F2" w:rsidRPr="001357D3">
        <w:rPr>
          <w:noProof/>
        </w:rPr>
        <w:t>Na rzecz europejskiej sieci krajowych organów ds. równości może zostać przyznana dotacja bez zaproszenia do składania wniosków na pokrycie wydatków związanych</w:t>
      </w:r>
      <w:r w:rsidR="001C6403" w:rsidRPr="001357D3">
        <w:rPr>
          <w:noProof/>
        </w:rPr>
        <w:t xml:space="preserve"> z</w:t>
      </w:r>
      <w:r w:rsidR="001C6403">
        <w:rPr>
          <w:noProof/>
        </w:rPr>
        <w:t> </w:t>
      </w:r>
      <w:r w:rsidR="001C6403" w:rsidRPr="001357D3">
        <w:rPr>
          <w:noProof/>
        </w:rPr>
        <w:t>jej</w:t>
      </w:r>
      <w:r w:rsidR="007B45F2" w:rsidRPr="001357D3">
        <w:rPr>
          <w:noProof/>
        </w:rPr>
        <w:t xml:space="preserve"> stałym programem prac. </w:t>
      </w:r>
    </w:p>
    <w:p w14:paraId="0037801E" w14:textId="1173723B" w:rsidR="0045599B" w:rsidRPr="001357D3" w:rsidRDefault="0045599B" w:rsidP="004852D0">
      <w:pPr>
        <w:spacing w:before="0"/>
        <w:rPr>
          <w:noProof/>
        </w:rPr>
      </w:pPr>
    </w:p>
    <w:p w14:paraId="0037801F" w14:textId="79DD46ED" w:rsidR="0045599B" w:rsidRPr="001357D3" w:rsidRDefault="0045599B" w:rsidP="00B657CB">
      <w:pPr>
        <w:pStyle w:val="Titrearticle"/>
        <w:spacing w:before="0"/>
        <w:rPr>
          <w:noProof/>
        </w:rPr>
      </w:pPr>
      <w:r w:rsidRPr="001357D3">
        <w:rPr>
          <w:noProof/>
        </w:rPr>
        <w:t>Artykuł 10</w:t>
      </w:r>
    </w:p>
    <w:p w14:paraId="00378020" w14:textId="0A9C62ED" w:rsidR="0045599B" w:rsidRPr="001357D3" w:rsidRDefault="00CE44E0" w:rsidP="004852D0">
      <w:pPr>
        <w:spacing w:before="0"/>
        <w:jc w:val="center"/>
        <w:rPr>
          <w:b/>
          <w:bCs/>
          <w:i/>
          <w:noProof/>
        </w:rPr>
      </w:pPr>
      <w:r w:rsidRPr="001357D3">
        <w:rPr>
          <w:b/>
          <w:i/>
          <w:noProof/>
        </w:rPr>
        <w:t>Program prac</w:t>
      </w:r>
    </w:p>
    <w:p w14:paraId="21397E22" w14:textId="01A619F4" w:rsidR="00B41E03" w:rsidRPr="001357D3" w:rsidRDefault="57D6AFDD" w:rsidP="004852D0">
      <w:pPr>
        <w:spacing w:before="0"/>
        <w:outlineLvl w:val="0"/>
        <w:rPr>
          <w:noProof/>
        </w:rPr>
      </w:pPr>
      <w:bookmarkStart w:id="49" w:name="_Toc205221103"/>
      <w:bookmarkStart w:id="50" w:name="_Toc210923251"/>
      <w:r w:rsidRPr="001357D3">
        <w:rPr>
          <w:noProof/>
        </w:rPr>
        <w:t>Program jest realizowany</w:t>
      </w:r>
      <w:r w:rsidR="001C6403" w:rsidRPr="001357D3">
        <w:rPr>
          <w:noProof/>
        </w:rPr>
        <w:t xml:space="preserve"> w</w:t>
      </w:r>
      <w:r w:rsidR="001C6403">
        <w:rPr>
          <w:noProof/>
        </w:rPr>
        <w:t> </w:t>
      </w:r>
      <w:r w:rsidR="001C6403" w:rsidRPr="001357D3">
        <w:rPr>
          <w:noProof/>
        </w:rPr>
        <w:t>ram</w:t>
      </w:r>
      <w:r w:rsidRPr="001357D3">
        <w:rPr>
          <w:noProof/>
        </w:rPr>
        <w:t>ach programów prac,</w:t>
      </w:r>
      <w:r w:rsidR="001C6403" w:rsidRPr="001357D3">
        <w:rPr>
          <w:noProof/>
        </w:rPr>
        <w:t xml:space="preserve"> o</w:t>
      </w:r>
      <w:r w:rsidR="001C6403">
        <w:rPr>
          <w:noProof/>
        </w:rPr>
        <w:t> </w:t>
      </w:r>
      <w:r w:rsidR="001C6403" w:rsidRPr="001357D3">
        <w:rPr>
          <w:noProof/>
        </w:rPr>
        <w:t>któ</w:t>
      </w:r>
      <w:r w:rsidRPr="001357D3">
        <w:rPr>
          <w:noProof/>
        </w:rPr>
        <w:t>rych mowa</w:t>
      </w:r>
      <w:r w:rsidR="001C6403" w:rsidRPr="001357D3">
        <w:rPr>
          <w:noProof/>
        </w:rPr>
        <w:t xml:space="preserve"> w</w:t>
      </w:r>
      <w:r w:rsidR="001C6403">
        <w:rPr>
          <w:noProof/>
        </w:rPr>
        <w:t> </w:t>
      </w:r>
      <w:r w:rsidR="001C6403" w:rsidRPr="001C6403">
        <w:rPr>
          <w:noProof/>
        </w:rPr>
        <w:t>art</w:t>
      </w:r>
      <w:r w:rsidRPr="001C6403">
        <w:rPr>
          <w:noProof/>
        </w:rPr>
        <w:t>.</w:t>
      </w:r>
      <w:r w:rsidR="001C6403" w:rsidRPr="001C6403">
        <w:rPr>
          <w:noProof/>
        </w:rPr>
        <w:t> </w:t>
      </w:r>
      <w:r w:rsidRPr="001C6403">
        <w:rPr>
          <w:noProof/>
        </w:rPr>
        <w:t>1</w:t>
      </w:r>
      <w:r w:rsidRPr="001357D3">
        <w:rPr>
          <w:noProof/>
        </w:rPr>
        <w:t>10 rozporządzenia (UE, Euratom) 2024/2509.</w:t>
      </w:r>
      <w:bookmarkEnd w:id="49"/>
      <w:bookmarkEnd w:id="50"/>
    </w:p>
    <w:p w14:paraId="0037805F" w14:textId="2C705083" w:rsidR="00C355A3" w:rsidRPr="001357D3" w:rsidRDefault="00C355A3" w:rsidP="004852D0">
      <w:pPr>
        <w:pStyle w:val="Titrearticle"/>
        <w:spacing w:before="0"/>
        <w:rPr>
          <w:noProof/>
        </w:rPr>
      </w:pPr>
      <w:r w:rsidRPr="001357D3">
        <w:rPr>
          <w:noProof/>
        </w:rPr>
        <w:t>Artykuł 11</w:t>
      </w:r>
    </w:p>
    <w:p w14:paraId="00378060" w14:textId="7817612F" w:rsidR="00350FD5" w:rsidRPr="001357D3" w:rsidRDefault="00DE6FA0" w:rsidP="004852D0">
      <w:pPr>
        <w:spacing w:before="0"/>
        <w:jc w:val="center"/>
        <w:rPr>
          <w:b/>
          <w:bCs/>
          <w:i/>
          <w:iCs/>
          <w:noProof/>
        </w:rPr>
      </w:pPr>
      <w:r w:rsidRPr="001357D3">
        <w:rPr>
          <w:b/>
          <w:i/>
          <w:noProof/>
        </w:rPr>
        <w:t>Uchylenie</w:t>
      </w:r>
    </w:p>
    <w:p w14:paraId="00378061" w14:textId="2D791B61" w:rsidR="00350FD5" w:rsidRPr="001357D3" w:rsidRDefault="2BD99324" w:rsidP="004852D0">
      <w:pPr>
        <w:spacing w:before="0"/>
        <w:rPr>
          <w:noProof/>
        </w:rPr>
      </w:pPr>
      <w:r w:rsidRPr="001357D3">
        <w:rPr>
          <w:noProof/>
        </w:rPr>
        <w:t>Rozporządzenie (UE) 2021/693 traci moc ze skutkiem od dnia 1 stycznia 2028 r.</w:t>
      </w:r>
    </w:p>
    <w:p w14:paraId="00378062" w14:textId="44F26916" w:rsidR="00350FD5" w:rsidRPr="001357D3" w:rsidRDefault="00350FD5" w:rsidP="004852D0">
      <w:pPr>
        <w:pStyle w:val="Titrearticle"/>
        <w:spacing w:before="0"/>
        <w:rPr>
          <w:noProof/>
        </w:rPr>
      </w:pPr>
      <w:r w:rsidRPr="001357D3">
        <w:rPr>
          <w:noProof/>
        </w:rPr>
        <w:lastRenderedPageBreak/>
        <w:t>Artykuł 12</w:t>
      </w:r>
    </w:p>
    <w:p w14:paraId="00378063" w14:textId="1E4ED847" w:rsidR="00623468" w:rsidRPr="001357D3" w:rsidRDefault="00350FD5" w:rsidP="004852D0">
      <w:pPr>
        <w:spacing w:before="0"/>
        <w:jc w:val="center"/>
        <w:rPr>
          <w:b/>
          <w:bCs/>
          <w:i/>
          <w:iCs/>
          <w:noProof/>
        </w:rPr>
      </w:pPr>
      <w:r w:rsidRPr="001357D3">
        <w:rPr>
          <w:b/>
          <w:i/>
          <w:noProof/>
        </w:rPr>
        <w:t>Przepisy przejściowe</w:t>
      </w:r>
    </w:p>
    <w:p w14:paraId="26CDF8CF" w14:textId="2F9BF6B6" w:rsidR="00623468" w:rsidRPr="001357D3" w:rsidRDefault="000D4BE4" w:rsidP="000D4BE4">
      <w:pPr>
        <w:pStyle w:val="ManualNumPar1"/>
        <w:rPr>
          <w:noProof/>
        </w:rPr>
      </w:pPr>
      <w:r w:rsidRPr="000D4BE4">
        <w:rPr>
          <w:noProof/>
        </w:rPr>
        <w:t>1.</w:t>
      </w:r>
      <w:r w:rsidRPr="000D4BE4">
        <w:rPr>
          <w:noProof/>
        </w:rPr>
        <w:tab/>
      </w:r>
      <w:r w:rsidR="3F7AB1AE" w:rsidRPr="001357D3">
        <w:rPr>
          <w:noProof/>
        </w:rPr>
        <w:t>Niniejsze rozporządzenie nie ma wpływu na kontynuację lub modyfikację działań rozpoczętych na podstawie rozporządzenia (UE) 2021/693, które stosuje się nadal do danych działań aż do ich zamknięcia.</w:t>
      </w:r>
    </w:p>
    <w:p w14:paraId="00378067" w14:textId="4F489C2B" w:rsidR="004A0D5B" w:rsidRPr="001357D3" w:rsidRDefault="000D4BE4" w:rsidP="000D4BE4">
      <w:pPr>
        <w:pStyle w:val="ManualNumPar1"/>
        <w:rPr>
          <w:noProof/>
        </w:rPr>
      </w:pPr>
      <w:r w:rsidRPr="000D4BE4">
        <w:rPr>
          <w:noProof/>
        </w:rPr>
        <w:t>2.</w:t>
      </w:r>
      <w:r w:rsidRPr="000D4BE4">
        <w:rPr>
          <w:noProof/>
        </w:rPr>
        <w:tab/>
      </w:r>
      <w:r w:rsidR="78A33C75" w:rsidRPr="001357D3">
        <w:rPr>
          <w:noProof/>
        </w:rPr>
        <w:t>Pula środków finansowych przeznaczonych na program może również obejmować wydatki na wsparcie techniczne</w:t>
      </w:r>
      <w:r w:rsidR="001C6403" w:rsidRPr="001357D3">
        <w:rPr>
          <w:noProof/>
        </w:rPr>
        <w:t xml:space="preserve"> i</w:t>
      </w:r>
      <w:r w:rsidR="001C6403">
        <w:rPr>
          <w:noProof/>
        </w:rPr>
        <w:t> </w:t>
      </w:r>
      <w:r w:rsidR="001C6403" w:rsidRPr="001357D3">
        <w:rPr>
          <w:noProof/>
        </w:rPr>
        <w:t>adm</w:t>
      </w:r>
      <w:r w:rsidR="78A33C75" w:rsidRPr="001357D3">
        <w:rPr>
          <w:noProof/>
        </w:rPr>
        <w:t>inistracyjne na potrzeby przejścia między programem</w:t>
      </w:r>
      <w:r w:rsidR="001C6403" w:rsidRPr="001357D3">
        <w:rPr>
          <w:noProof/>
        </w:rPr>
        <w:t xml:space="preserve"> a</w:t>
      </w:r>
      <w:r w:rsidR="001C6403">
        <w:rPr>
          <w:noProof/>
        </w:rPr>
        <w:t> </w:t>
      </w:r>
      <w:r w:rsidR="001C6403" w:rsidRPr="001357D3">
        <w:rPr>
          <w:noProof/>
        </w:rPr>
        <w:t>śro</w:t>
      </w:r>
      <w:r w:rsidR="78A33C75" w:rsidRPr="001357D3">
        <w:rPr>
          <w:noProof/>
        </w:rPr>
        <w:t>dkami przyjętymi na mocy rozporządzenia (UE) 2021/693.</w:t>
      </w:r>
    </w:p>
    <w:p w14:paraId="00378068" w14:textId="4439B7E2" w:rsidR="00C5603D" w:rsidRPr="001357D3" w:rsidRDefault="00C5603D" w:rsidP="004852D0">
      <w:pPr>
        <w:pStyle w:val="Titrearticle"/>
        <w:spacing w:before="0"/>
        <w:rPr>
          <w:noProof/>
        </w:rPr>
      </w:pPr>
      <w:r w:rsidRPr="001357D3">
        <w:rPr>
          <w:noProof/>
        </w:rPr>
        <w:t>Artykuł 13</w:t>
      </w:r>
    </w:p>
    <w:p w14:paraId="00378069" w14:textId="30213186" w:rsidR="00531FDF" w:rsidRPr="001357D3" w:rsidRDefault="00531FDF" w:rsidP="004852D0">
      <w:pPr>
        <w:spacing w:before="0"/>
        <w:jc w:val="center"/>
        <w:rPr>
          <w:b/>
          <w:bCs/>
          <w:i/>
          <w:iCs/>
          <w:noProof/>
        </w:rPr>
      </w:pPr>
      <w:r w:rsidRPr="001357D3">
        <w:rPr>
          <w:b/>
          <w:i/>
          <w:noProof/>
        </w:rPr>
        <w:t>Wejście</w:t>
      </w:r>
      <w:r w:rsidR="001C6403" w:rsidRPr="001357D3">
        <w:rPr>
          <w:b/>
          <w:i/>
          <w:noProof/>
        </w:rPr>
        <w:t xml:space="preserve"> w</w:t>
      </w:r>
      <w:r w:rsidR="001C6403">
        <w:rPr>
          <w:b/>
          <w:i/>
          <w:noProof/>
        </w:rPr>
        <w:t> </w:t>
      </w:r>
      <w:r w:rsidR="001C6403" w:rsidRPr="001357D3">
        <w:rPr>
          <w:b/>
          <w:i/>
          <w:noProof/>
        </w:rPr>
        <w:t>życ</w:t>
      </w:r>
      <w:r w:rsidRPr="001357D3">
        <w:rPr>
          <w:b/>
          <w:i/>
          <w:noProof/>
        </w:rPr>
        <w:t>ie</w:t>
      </w:r>
      <w:r w:rsidR="001C6403" w:rsidRPr="001357D3">
        <w:rPr>
          <w:b/>
          <w:i/>
          <w:noProof/>
        </w:rPr>
        <w:t xml:space="preserve"> i</w:t>
      </w:r>
      <w:r w:rsidR="001C6403">
        <w:rPr>
          <w:b/>
          <w:i/>
          <w:noProof/>
        </w:rPr>
        <w:t> </w:t>
      </w:r>
      <w:r w:rsidR="001C6403" w:rsidRPr="001357D3">
        <w:rPr>
          <w:b/>
          <w:i/>
          <w:noProof/>
        </w:rPr>
        <w:t>roz</w:t>
      </w:r>
      <w:r w:rsidRPr="001357D3">
        <w:rPr>
          <w:b/>
          <w:i/>
          <w:noProof/>
        </w:rPr>
        <w:t>poczęcie stosowania</w:t>
      </w:r>
    </w:p>
    <w:p w14:paraId="0037806A" w14:textId="5D5FED3A" w:rsidR="00DE6FA0" w:rsidRPr="001357D3" w:rsidRDefault="38D97D00" w:rsidP="004852D0">
      <w:pPr>
        <w:spacing w:before="0"/>
        <w:rPr>
          <w:noProof/>
        </w:rPr>
      </w:pPr>
      <w:r w:rsidRPr="001357D3">
        <w:rPr>
          <w:noProof/>
        </w:rPr>
        <w:t>Niniejsze rozporządzenie wchodzi</w:t>
      </w:r>
      <w:r w:rsidR="001C6403" w:rsidRPr="001357D3">
        <w:rPr>
          <w:noProof/>
        </w:rPr>
        <w:t xml:space="preserve"> w</w:t>
      </w:r>
      <w:r w:rsidR="001C6403">
        <w:rPr>
          <w:noProof/>
        </w:rPr>
        <w:t> </w:t>
      </w:r>
      <w:r w:rsidR="001C6403" w:rsidRPr="001357D3">
        <w:rPr>
          <w:noProof/>
        </w:rPr>
        <w:t>życ</w:t>
      </w:r>
      <w:r w:rsidRPr="001357D3">
        <w:rPr>
          <w:noProof/>
        </w:rPr>
        <w:t>ie dwudziestego dnia po jego opublikowaniu</w:t>
      </w:r>
      <w:r w:rsidR="001C6403" w:rsidRPr="001357D3">
        <w:rPr>
          <w:noProof/>
        </w:rPr>
        <w:t xml:space="preserve"> w</w:t>
      </w:r>
      <w:r w:rsidR="001C6403">
        <w:rPr>
          <w:noProof/>
        </w:rPr>
        <w:t> </w:t>
      </w:r>
      <w:r w:rsidR="001C6403" w:rsidRPr="001357D3">
        <w:rPr>
          <w:i/>
          <w:iCs/>
          <w:noProof/>
        </w:rPr>
        <w:t>Dzi</w:t>
      </w:r>
      <w:r w:rsidRPr="001357D3">
        <w:rPr>
          <w:i/>
          <w:iCs/>
          <w:noProof/>
        </w:rPr>
        <w:t>enniku Urzędowym Unii Europejskiej</w:t>
      </w:r>
      <w:r w:rsidRPr="001357D3">
        <w:rPr>
          <w:noProof/>
        </w:rPr>
        <w:t>.</w:t>
      </w:r>
    </w:p>
    <w:p w14:paraId="1D83A36A" w14:textId="48A08A20" w:rsidR="00E471DE" w:rsidRPr="001357D3" w:rsidRDefault="00E471DE" w:rsidP="004852D0">
      <w:pPr>
        <w:spacing w:before="0"/>
        <w:rPr>
          <w:noProof/>
        </w:rPr>
      </w:pPr>
      <w:r w:rsidRPr="001357D3">
        <w:rPr>
          <w:noProof/>
        </w:rPr>
        <w:t>Niniejsze rozporządzenie stosuje się od dnia 1 stycznia 20</w:t>
      </w:r>
      <w:r w:rsidRPr="001C6403">
        <w:rPr>
          <w:noProof/>
        </w:rPr>
        <w:t>28</w:t>
      </w:r>
      <w:r w:rsidR="001C6403" w:rsidRPr="001C6403">
        <w:rPr>
          <w:noProof/>
        </w:rPr>
        <w:t> </w:t>
      </w:r>
      <w:r w:rsidRPr="001C6403">
        <w:rPr>
          <w:noProof/>
        </w:rPr>
        <w:t>r.</w:t>
      </w:r>
    </w:p>
    <w:p w14:paraId="0037806D" w14:textId="2161317C" w:rsidR="00C5603D" w:rsidRPr="001357D3" w:rsidRDefault="00C5603D" w:rsidP="004852D0">
      <w:pPr>
        <w:pStyle w:val="Applicationdirecte"/>
        <w:spacing w:before="0"/>
        <w:rPr>
          <w:rStyle w:val="Instructions"/>
          <w:rFonts w:eastAsiaTheme="minorEastAsia"/>
          <w:noProof/>
          <w:color w:val="auto"/>
        </w:rPr>
      </w:pPr>
      <w:r w:rsidRPr="001357D3">
        <w:rPr>
          <w:noProof/>
        </w:rPr>
        <w:t>Niniejsze rozporządzenie wiąże</w:t>
      </w:r>
      <w:r w:rsidR="001C6403" w:rsidRPr="001357D3">
        <w:rPr>
          <w:noProof/>
        </w:rPr>
        <w:t xml:space="preserve"> w</w:t>
      </w:r>
      <w:r w:rsidR="001C6403">
        <w:rPr>
          <w:noProof/>
        </w:rPr>
        <w:t> </w:t>
      </w:r>
      <w:r w:rsidR="001C6403" w:rsidRPr="001357D3">
        <w:rPr>
          <w:noProof/>
        </w:rPr>
        <w:t>cał</w:t>
      </w:r>
      <w:r w:rsidRPr="001357D3">
        <w:rPr>
          <w:noProof/>
        </w:rPr>
        <w:t>ości</w:t>
      </w:r>
      <w:r w:rsidR="001C6403" w:rsidRPr="001357D3">
        <w:rPr>
          <w:noProof/>
        </w:rPr>
        <w:t xml:space="preserve"> i</w:t>
      </w:r>
      <w:r w:rsidR="001C6403">
        <w:rPr>
          <w:noProof/>
        </w:rPr>
        <w:t> </w:t>
      </w:r>
      <w:r w:rsidR="001C6403" w:rsidRPr="001357D3">
        <w:rPr>
          <w:noProof/>
        </w:rPr>
        <w:t>jes</w:t>
      </w:r>
      <w:r w:rsidRPr="001357D3">
        <w:rPr>
          <w:noProof/>
        </w:rPr>
        <w:t>t bezpośrednio stosowane</w:t>
      </w:r>
      <w:r w:rsidR="001C6403" w:rsidRPr="001357D3">
        <w:rPr>
          <w:noProof/>
        </w:rPr>
        <w:t xml:space="preserve"> w</w:t>
      </w:r>
      <w:r w:rsidR="001C6403">
        <w:rPr>
          <w:noProof/>
        </w:rPr>
        <w:t> </w:t>
      </w:r>
      <w:r w:rsidR="001C6403" w:rsidRPr="001357D3">
        <w:rPr>
          <w:noProof/>
        </w:rPr>
        <w:t>pań</w:t>
      </w:r>
      <w:r w:rsidRPr="001357D3">
        <w:rPr>
          <w:noProof/>
        </w:rPr>
        <w:t>stwach członkowskich zgodnie</w:t>
      </w:r>
      <w:r w:rsidR="001C6403" w:rsidRPr="001357D3">
        <w:rPr>
          <w:noProof/>
        </w:rPr>
        <w:t xml:space="preserve"> z</w:t>
      </w:r>
      <w:r w:rsidR="001C6403">
        <w:rPr>
          <w:noProof/>
        </w:rPr>
        <w:t> </w:t>
      </w:r>
      <w:r w:rsidR="001C6403" w:rsidRPr="001357D3">
        <w:rPr>
          <w:noProof/>
        </w:rPr>
        <w:t>Tra</w:t>
      </w:r>
      <w:r w:rsidRPr="001357D3">
        <w:rPr>
          <w:noProof/>
        </w:rPr>
        <w:t>ktatami.</w:t>
      </w:r>
    </w:p>
    <w:p w14:paraId="358A8350" w14:textId="158281AF" w:rsidR="00753054" w:rsidRPr="001357D3" w:rsidRDefault="001C6403" w:rsidP="007961D3">
      <w:pPr>
        <w:pStyle w:val="Fait"/>
        <w:rPr>
          <w:noProof/>
        </w:rPr>
      </w:pPr>
      <w:r>
        <w:rPr>
          <w:noProof/>
        </w:rPr>
        <w:t>Sporządzono w Brukseli dnia  r.</w:t>
      </w:r>
    </w:p>
    <w:p w14:paraId="59A51148" w14:textId="77777777" w:rsidR="00753054" w:rsidRPr="001357D3" w:rsidRDefault="00753054" w:rsidP="007961D3">
      <w:pPr>
        <w:pStyle w:val="Institutionquisigne"/>
        <w:rPr>
          <w:noProof/>
        </w:rPr>
      </w:pPr>
      <w:r w:rsidRPr="001357D3">
        <w:rPr>
          <w:noProof/>
        </w:rPr>
        <w:t>W imieniu Parlamentu Europejskiego</w:t>
      </w:r>
      <w:r w:rsidRPr="001357D3">
        <w:rPr>
          <w:noProof/>
        </w:rPr>
        <w:tab/>
        <w:t>W imieniu Rady</w:t>
      </w:r>
    </w:p>
    <w:p w14:paraId="5FB70BF7" w14:textId="1DDC570D" w:rsidR="007D638A" w:rsidRPr="001357D3" w:rsidRDefault="00753054" w:rsidP="00871379">
      <w:pPr>
        <w:pStyle w:val="Personnequisigne"/>
        <w:rPr>
          <w:i w:val="0"/>
          <w:noProof/>
        </w:rPr>
        <w:sectPr w:rsidR="007D638A" w:rsidRPr="001357D3" w:rsidSect="007B3949">
          <w:footnotePr>
            <w:numRestart w:val="eachSect"/>
          </w:footnotePr>
          <w:pgSz w:w="11907" w:h="16840" w:code="9"/>
          <w:pgMar w:top="1134" w:right="1418" w:bottom="1134" w:left="1418" w:header="709" w:footer="709" w:gutter="0"/>
          <w:pgNumType w:start="1"/>
          <w:cols w:space="720"/>
          <w:docGrid w:linePitch="360"/>
        </w:sectPr>
      </w:pPr>
      <w:r w:rsidRPr="001357D3">
        <w:rPr>
          <w:noProof/>
        </w:rPr>
        <w:t>Przewodnicząca</w:t>
      </w:r>
      <w:r w:rsidRPr="001357D3">
        <w:rPr>
          <w:noProof/>
        </w:rPr>
        <w:tab/>
        <w:t xml:space="preserve">Przewodniczący </w:t>
      </w:r>
    </w:p>
    <w:p w14:paraId="407A7A30" w14:textId="77777777" w:rsidR="00FA0CA8" w:rsidRPr="001357D3" w:rsidRDefault="00FA0CA8" w:rsidP="00753054">
      <w:pPr>
        <w:pStyle w:val="Fichefinanciretitre"/>
        <w:rPr>
          <w:noProof/>
        </w:rPr>
      </w:pPr>
      <w:r w:rsidRPr="001357D3">
        <w:rPr>
          <w:noProof/>
        </w:rPr>
        <w:lastRenderedPageBreak/>
        <w:t>OCENA SKUTKÓW FINANSOWYCH I CYFROWYCH REGULACJI</w:t>
      </w:r>
    </w:p>
    <w:sdt>
      <w:sdtPr>
        <w:rPr>
          <w:b w:val="0"/>
          <w:noProof/>
          <w:sz w:val="24"/>
        </w:rPr>
        <w:id w:val="-991567265"/>
        <w:docPartObj>
          <w:docPartGallery w:val="Table of Contents"/>
          <w:docPartUnique/>
        </w:docPartObj>
      </w:sdtPr>
      <w:sdtEndPr>
        <w:rPr>
          <w:bCs/>
        </w:rPr>
      </w:sdtEndPr>
      <w:sdtContent>
        <w:p w14:paraId="73549CC9" w14:textId="062AF695" w:rsidR="001357D3" w:rsidRDefault="001357D3">
          <w:pPr>
            <w:pStyle w:val="Nagwekspisutreci"/>
            <w:rPr>
              <w:noProof/>
            </w:rPr>
          </w:pPr>
          <w:r>
            <w:rPr>
              <w:noProof/>
            </w:rPr>
            <w:t>Spis treści</w:t>
          </w:r>
        </w:p>
        <w:p w14:paraId="3D24E8DF" w14:textId="693C485B" w:rsidR="001357D3" w:rsidRDefault="001357D3" w:rsidP="001357D3">
          <w:pPr>
            <w:pStyle w:val="Spistreci1"/>
            <w:rPr>
              <w:rFonts w:asciiTheme="minorHAnsi" w:eastAsiaTheme="minorEastAsia" w:hAnsiTheme="minorHAnsi" w:cstheme="minorBidi"/>
              <w:noProof/>
              <w:kern w:val="2"/>
              <w:szCs w:val="24"/>
              <w:lang w:val="en-IE" w:eastAsia="en-IE"/>
              <w14:ligatures w14:val="standardContextual"/>
            </w:rPr>
          </w:pPr>
          <w:r>
            <w:rPr>
              <w:noProof/>
            </w:rPr>
            <w:fldChar w:fldCharType="begin"/>
          </w:r>
          <w:r>
            <w:rPr>
              <w:noProof/>
            </w:rPr>
            <w:instrText xml:space="preserve"> TOC \o "1-3" \h \z \u </w:instrText>
          </w:r>
          <w:r>
            <w:rPr>
              <w:noProof/>
            </w:rPr>
            <w:fldChar w:fldCharType="separate"/>
          </w:r>
        </w:p>
        <w:p w14:paraId="4C0688A8" w14:textId="40EB7431" w:rsidR="001357D3" w:rsidRDefault="001357D3">
          <w:pPr>
            <w:pStyle w:val="Spistreci1"/>
            <w:rPr>
              <w:rFonts w:asciiTheme="minorHAnsi" w:eastAsiaTheme="minorEastAsia" w:hAnsiTheme="minorHAnsi" w:cstheme="minorBidi"/>
              <w:noProof/>
              <w:kern w:val="2"/>
              <w:szCs w:val="24"/>
              <w:lang w:val="en-IE" w:eastAsia="en-IE"/>
              <w14:ligatures w14:val="standardContextual"/>
            </w:rPr>
          </w:pPr>
          <w:hyperlink w:anchor="_Toc210923252" w:history="1">
            <w:r w:rsidRPr="00D55EAA">
              <w:rPr>
                <w:rStyle w:val="Hipercze"/>
                <w:b/>
                <w:smallCaps/>
                <w:noProof/>
              </w:rPr>
              <w:t>1.</w:t>
            </w:r>
            <w:r>
              <w:rPr>
                <w:rFonts w:asciiTheme="minorHAnsi" w:eastAsiaTheme="minorEastAsia" w:hAnsiTheme="minorHAnsi" w:cstheme="minorBidi"/>
                <w:noProof/>
                <w:kern w:val="2"/>
                <w:szCs w:val="24"/>
                <w:lang w:val="en-IE" w:eastAsia="en-IE"/>
                <w14:ligatures w14:val="standardContextual"/>
              </w:rPr>
              <w:tab/>
            </w:r>
            <w:r w:rsidRPr="00D55EAA">
              <w:rPr>
                <w:rStyle w:val="Hipercze"/>
                <w:b/>
                <w:smallCaps/>
                <w:noProof/>
              </w:rPr>
              <w:t>STRUKTURA WNIOSKU/INICJATYWY</w:t>
            </w:r>
            <w:r>
              <w:rPr>
                <w:noProof/>
                <w:webHidden/>
              </w:rPr>
              <w:tab/>
            </w:r>
            <w:r>
              <w:rPr>
                <w:noProof/>
                <w:webHidden/>
              </w:rPr>
              <w:fldChar w:fldCharType="begin"/>
            </w:r>
            <w:r>
              <w:rPr>
                <w:noProof/>
                <w:webHidden/>
              </w:rPr>
              <w:instrText xml:space="preserve"> PAGEREF _Toc210923252 \h </w:instrText>
            </w:r>
            <w:r>
              <w:rPr>
                <w:noProof/>
                <w:webHidden/>
              </w:rPr>
            </w:r>
            <w:r>
              <w:rPr>
                <w:noProof/>
                <w:webHidden/>
              </w:rPr>
              <w:fldChar w:fldCharType="separate"/>
            </w:r>
            <w:r>
              <w:rPr>
                <w:noProof/>
                <w:webHidden/>
              </w:rPr>
              <w:t>3</w:t>
            </w:r>
            <w:r>
              <w:rPr>
                <w:noProof/>
                <w:webHidden/>
              </w:rPr>
              <w:fldChar w:fldCharType="end"/>
            </w:r>
          </w:hyperlink>
        </w:p>
        <w:p w14:paraId="31B5601C" w14:textId="3BAE4896"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53" w:history="1">
            <w:r w:rsidRPr="00D55EAA">
              <w:rPr>
                <w:rStyle w:val="Hipercze"/>
                <w:b/>
                <w:noProof/>
              </w:rPr>
              <w:t>1.1.</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Tytuł wniosku/inicjatywy</w:t>
            </w:r>
            <w:r>
              <w:rPr>
                <w:noProof/>
                <w:webHidden/>
              </w:rPr>
              <w:tab/>
            </w:r>
            <w:r>
              <w:rPr>
                <w:noProof/>
                <w:webHidden/>
              </w:rPr>
              <w:fldChar w:fldCharType="begin"/>
            </w:r>
            <w:r>
              <w:rPr>
                <w:noProof/>
                <w:webHidden/>
              </w:rPr>
              <w:instrText xml:space="preserve"> PAGEREF _Toc210923253 \h </w:instrText>
            </w:r>
            <w:r>
              <w:rPr>
                <w:noProof/>
                <w:webHidden/>
              </w:rPr>
            </w:r>
            <w:r>
              <w:rPr>
                <w:noProof/>
                <w:webHidden/>
              </w:rPr>
              <w:fldChar w:fldCharType="separate"/>
            </w:r>
            <w:r>
              <w:rPr>
                <w:noProof/>
                <w:webHidden/>
              </w:rPr>
              <w:t>3</w:t>
            </w:r>
            <w:r>
              <w:rPr>
                <w:noProof/>
                <w:webHidden/>
              </w:rPr>
              <w:fldChar w:fldCharType="end"/>
            </w:r>
          </w:hyperlink>
        </w:p>
        <w:p w14:paraId="1634EC2A" w14:textId="1EBD7153"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54" w:history="1">
            <w:r w:rsidRPr="00D55EAA">
              <w:rPr>
                <w:rStyle w:val="Hipercze"/>
                <w:b/>
                <w:noProof/>
              </w:rPr>
              <w:t>1.2.</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Obszary polityki, których dotyczy wniosek/inicjatywa</w:t>
            </w:r>
            <w:r>
              <w:rPr>
                <w:noProof/>
                <w:webHidden/>
              </w:rPr>
              <w:tab/>
            </w:r>
            <w:r>
              <w:rPr>
                <w:noProof/>
                <w:webHidden/>
              </w:rPr>
              <w:fldChar w:fldCharType="begin"/>
            </w:r>
            <w:r>
              <w:rPr>
                <w:noProof/>
                <w:webHidden/>
              </w:rPr>
              <w:instrText xml:space="preserve"> PAGEREF _Toc210923254 \h </w:instrText>
            </w:r>
            <w:r>
              <w:rPr>
                <w:noProof/>
                <w:webHidden/>
              </w:rPr>
            </w:r>
            <w:r>
              <w:rPr>
                <w:noProof/>
                <w:webHidden/>
              </w:rPr>
              <w:fldChar w:fldCharType="separate"/>
            </w:r>
            <w:r>
              <w:rPr>
                <w:noProof/>
                <w:webHidden/>
              </w:rPr>
              <w:t>3</w:t>
            </w:r>
            <w:r>
              <w:rPr>
                <w:noProof/>
                <w:webHidden/>
              </w:rPr>
              <w:fldChar w:fldCharType="end"/>
            </w:r>
          </w:hyperlink>
        </w:p>
        <w:p w14:paraId="0754C082" w14:textId="3049D4BB"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55" w:history="1">
            <w:r w:rsidRPr="00D55EAA">
              <w:rPr>
                <w:rStyle w:val="Hipercze"/>
                <w:b/>
                <w:noProof/>
              </w:rPr>
              <w:t>1.3.</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Cel(e)</w:t>
            </w:r>
            <w:r>
              <w:rPr>
                <w:noProof/>
                <w:webHidden/>
              </w:rPr>
              <w:tab/>
            </w:r>
            <w:r>
              <w:rPr>
                <w:noProof/>
                <w:webHidden/>
              </w:rPr>
              <w:fldChar w:fldCharType="begin"/>
            </w:r>
            <w:r>
              <w:rPr>
                <w:noProof/>
                <w:webHidden/>
              </w:rPr>
              <w:instrText xml:space="preserve"> PAGEREF _Toc210923255 \h </w:instrText>
            </w:r>
            <w:r>
              <w:rPr>
                <w:noProof/>
                <w:webHidden/>
              </w:rPr>
            </w:r>
            <w:r>
              <w:rPr>
                <w:noProof/>
                <w:webHidden/>
              </w:rPr>
              <w:fldChar w:fldCharType="separate"/>
            </w:r>
            <w:r>
              <w:rPr>
                <w:noProof/>
                <w:webHidden/>
              </w:rPr>
              <w:t>3</w:t>
            </w:r>
            <w:r>
              <w:rPr>
                <w:noProof/>
                <w:webHidden/>
              </w:rPr>
              <w:fldChar w:fldCharType="end"/>
            </w:r>
          </w:hyperlink>
        </w:p>
        <w:p w14:paraId="5969E602" w14:textId="567A7C5E"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56" w:history="1">
            <w:r w:rsidRPr="00D55EAA">
              <w:rPr>
                <w:rStyle w:val="Hipercze"/>
                <w:i/>
                <w:noProof/>
              </w:rPr>
              <w:t>1.3.1.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Cel(e) ogólny(-e)</w:t>
            </w:r>
            <w:r>
              <w:rPr>
                <w:noProof/>
                <w:webHidden/>
              </w:rPr>
              <w:tab/>
            </w:r>
            <w:r>
              <w:rPr>
                <w:noProof/>
                <w:webHidden/>
              </w:rPr>
              <w:fldChar w:fldCharType="begin"/>
            </w:r>
            <w:r>
              <w:rPr>
                <w:noProof/>
                <w:webHidden/>
              </w:rPr>
              <w:instrText xml:space="preserve"> PAGEREF _Toc210923256 \h </w:instrText>
            </w:r>
            <w:r>
              <w:rPr>
                <w:noProof/>
                <w:webHidden/>
              </w:rPr>
            </w:r>
            <w:r>
              <w:rPr>
                <w:noProof/>
                <w:webHidden/>
              </w:rPr>
              <w:fldChar w:fldCharType="separate"/>
            </w:r>
            <w:r>
              <w:rPr>
                <w:noProof/>
                <w:webHidden/>
              </w:rPr>
              <w:t>3</w:t>
            </w:r>
            <w:r>
              <w:rPr>
                <w:noProof/>
                <w:webHidden/>
              </w:rPr>
              <w:fldChar w:fldCharType="end"/>
            </w:r>
          </w:hyperlink>
        </w:p>
        <w:p w14:paraId="4EA9D010" w14:textId="6D53A9A3"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57" w:history="1">
            <w:r w:rsidRPr="00D55EAA">
              <w:rPr>
                <w:rStyle w:val="Hipercze"/>
                <w:i/>
                <w:noProof/>
              </w:rPr>
              <w:t>1.3.2.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Cel(e) szczegółowy(-e)</w:t>
            </w:r>
            <w:r>
              <w:rPr>
                <w:noProof/>
                <w:webHidden/>
              </w:rPr>
              <w:tab/>
            </w:r>
            <w:r>
              <w:rPr>
                <w:noProof/>
                <w:webHidden/>
              </w:rPr>
              <w:fldChar w:fldCharType="begin"/>
            </w:r>
            <w:r>
              <w:rPr>
                <w:noProof/>
                <w:webHidden/>
              </w:rPr>
              <w:instrText xml:space="preserve"> PAGEREF _Toc210923257 \h </w:instrText>
            </w:r>
            <w:r>
              <w:rPr>
                <w:noProof/>
                <w:webHidden/>
              </w:rPr>
            </w:r>
            <w:r>
              <w:rPr>
                <w:noProof/>
                <w:webHidden/>
              </w:rPr>
              <w:fldChar w:fldCharType="separate"/>
            </w:r>
            <w:r>
              <w:rPr>
                <w:noProof/>
                <w:webHidden/>
              </w:rPr>
              <w:t>3</w:t>
            </w:r>
            <w:r>
              <w:rPr>
                <w:noProof/>
                <w:webHidden/>
              </w:rPr>
              <w:fldChar w:fldCharType="end"/>
            </w:r>
          </w:hyperlink>
        </w:p>
        <w:p w14:paraId="639FE0E2" w14:textId="2D4D90DC"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58" w:history="1">
            <w:r w:rsidRPr="00D55EAA">
              <w:rPr>
                <w:rStyle w:val="Hipercze"/>
                <w:i/>
                <w:noProof/>
              </w:rPr>
              <w:t>1.3.3.</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Oczekiwane wyniki</w:t>
            </w:r>
            <w:r w:rsidR="001C6403" w:rsidRPr="00D55EAA">
              <w:rPr>
                <w:rStyle w:val="Hipercze"/>
                <w:i/>
                <w:noProof/>
              </w:rPr>
              <w:t xml:space="preserve"> i</w:t>
            </w:r>
            <w:r w:rsidR="001C6403">
              <w:rPr>
                <w:rStyle w:val="Hipercze"/>
                <w:i/>
                <w:noProof/>
              </w:rPr>
              <w:t> </w:t>
            </w:r>
            <w:r w:rsidR="001C6403" w:rsidRPr="00D55EAA">
              <w:rPr>
                <w:rStyle w:val="Hipercze"/>
                <w:i/>
                <w:noProof/>
              </w:rPr>
              <w:t>wpł</w:t>
            </w:r>
            <w:r w:rsidRPr="00D55EAA">
              <w:rPr>
                <w:rStyle w:val="Hipercze"/>
                <w:i/>
                <w:noProof/>
              </w:rPr>
              <w:t>yw</w:t>
            </w:r>
            <w:r>
              <w:rPr>
                <w:noProof/>
                <w:webHidden/>
              </w:rPr>
              <w:tab/>
            </w:r>
            <w:r>
              <w:rPr>
                <w:noProof/>
                <w:webHidden/>
              </w:rPr>
              <w:fldChar w:fldCharType="begin"/>
            </w:r>
            <w:r>
              <w:rPr>
                <w:noProof/>
                <w:webHidden/>
              </w:rPr>
              <w:instrText xml:space="preserve"> PAGEREF _Toc210923258 \h </w:instrText>
            </w:r>
            <w:r>
              <w:rPr>
                <w:noProof/>
                <w:webHidden/>
              </w:rPr>
            </w:r>
            <w:r>
              <w:rPr>
                <w:noProof/>
                <w:webHidden/>
              </w:rPr>
              <w:fldChar w:fldCharType="separate"/>
            </w:r>
            <w:r>
              <w:rPr>
                <w:noProof/>
                <w:webHidden/>
              </w:rPr>
              <w:t>4</w:t>
            </w:r>
            <w:r>
              <w:rPr>
                <w:noProof/>
                <w:webHidden/>
              </w:rPr>
              <w:fldChar w:fldCharType="end"/>
            </w:r>
          </w:hyperlink>
        </w:p>
        <w:p w14:paraId="07832D99" w14:textId="5906745A"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59" w:history="1">
            <w:r w:rsidRPr="00D55EAA">
              <w:rPr>
                <w:rStyle w:val="Hipercze"/>
                <w:i/>
                <w:noProof/>
              </w:rPr>
              <w:t>1.3.4.</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Wskaźniki dotyczące realizacji celów</w:t>
            </w:r>
            <w:r>
              <w:rPr>
                <w:noProof/>
                <w:webHidden/>
              </w:rPr>
              <w:tab/>
            </w:r>
            <w:r>
              <w:rPr>
                <w:noProof/>
                <w:webHidden/>
              </w:rPr>
              <w:fldChar w:fldCharType="begin"/>
            </w:r>
            <w:r>
              <w:rPr>
                <w:noProof/>
                <w:webHidden/>
              </w:rPr>
              <w:instrText xml:space="preserve"> PAGEREF _Toc210923259 \h </w:instrText>
            </w:r>
            <w:r>
              <w:rPr>
                <w:noProof/>
                <w:webHidden/>
              </w:rPr>
            </w:r>
            <w:r>
              <w:rPr>
                <w:noProof/>
                <w:webHidden/>
              </w:rPr>
              <w:fldChar w:fldCharType="separate"/>
            </w:r>
            <w:r>
              <w:rPr>
                <w:noProof/>
                <w:webHidden/>
              </w:rPr>
              <w:t>5</w:t>
            </w:r>
            <w:r>
              <w:rPr>
                <w:noProof/>
                <w:webHidden/>
              </w:rPr>
              <w:fldChar w:fldCharType="end"/>
            </w:r>
          </w:hyperlink>
        </w:p>
        <w:p w14:paraId="4E7904D9" w14:textId="5965A2BE"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60" w:history="1">
            <w:r w:rsidRPr="00D55EAA">
              <w:rPr>
                <w:rStyle w:val="Hipercze"/>
                <w:b/>
                <w:noProof/>
              </w:rPr>
              <w:t>1.4.</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Wniosek/inicjatywa dotyczy:</w:t>
            </w:r>
            <w:r>
              <w:rPr>
                <w:noProof/>
                <w:webHidden/>
              </w:rPr>
              <w:tab/>
            </w:r>
            <w:r>
              <w:rPr>
                <w:noProof/>
                <w:webHidden/>
              </w:rPr>
              <w:fldChar w:fldCharType="begin"/>
            </w:r>
            <w:r>
              <w:rPr>
                <w:noProof/>
                <w:webHidden/>
              </w:rPr>
              <w:instrText xml:space="preserve"> PAGEREF _Toc210923260 \h </w:instrText>
            </w:r>
            <w:r>
              <w:rPr>
                <w:noProof/>
                <w:webHidden/>
              </w:rPr>
            </w:r>
            <w:r>
              <w:rPr>
                <w:noProof/>
                <w:webHidden/>
              </w:rPr>
              <w:fldChar w:fldCharType="separate"/>
            </w:r>
            <w:r>
              <w:rPr>
                <w:noProof/>
                <w:webHidden/>
              </w:rPr>
              <w:t>5</w:t>
            </w:r>
            <w:r>
              <w:rPr>
                <w:noProof/>
                <w:webHidden/>
              </w:rPr>
              <w:fldChar w:fldCharType="end"/>
            </w:r>
          </w:hyperlink>
        </w:p>
        <w:p w14:paraId="13BBD080" w14:textId="7698B2D6"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61" w:history="1">
            <w:r w:rsidRPr="00D55EAA">
              <w:rPr>
                <w:rStyle w:val="Hipercze"/>
                <w:b/>
                <w:noProof/>
              </w:rPr>
              <w:t>1.5.</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Uzasadnienie wniosku/inicjatywy</w:t>
            </w:r>
            <w:r>
              <w:rPr>
                <w:noProof/>
                <w:webHidden/>
              </w:rPr>
              <w:tab/>
            </w:r>
            <w:r>
              <w:rPr>
                <w:noProof/>
                <w:webHidden/>
              </w:rPr>
              <w:fldChar w:fldCharType="begin"/>
            </w:r>
            <w:r>
              <w:rPr>
                <w:noProof/>
                <w:webHidden/>
              </w:rPr>
              <w:instrText xml:space="preserve"> PAGEREF _Toc210923261 \h </w:instrText>
            </w:r>
            <w:r>
              <w:rPr>
                <w:noProof/>
                <w:webHidden/>
              </w:rPr>
            </w:r>
            <w:r>
              <w:rPr>
                <w:noProof/>
                <w:webHidden/>
              </w:rPr>
              <w:fldChar w:fldCharType="separate"/>
            </w:r>
            <w:r>
              <w:rPr>
                <w:noProof/>
                <w:webHidden/>
              </w:rPr>
              <w:t>5</w:t>
            </w:r>
            <w:r>
              <w:rPr>
                <w:noProof/>
                <w:webHidden/>
              </w:rPr>
              <w:fldChar w:fldCharType="end"/>
            </w:r>
          </w:hyperlink>
        </w:p>
        <w:p w14:paraId="273A85E9" w14:textId="0AABBDB3"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62" w:history="1">
            <w:r w:rsidRPr="00D55EAA">
              <w:rPr>
                <w:rStyle w:val="Hipercze"/>
                <w:i/>
                <w:noProof/>
              </w:rPr>
              <w:t>1.5.1.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Potrzeby, które należy zaspokoić</w:t>
            </w:r>
            <w:r w:rsidR="001C6403" w:rsidRPr="00D55EAA">
              <w:rPr>
                <w:rStyle w:val="Hipercze"/>
                <w:i/>
                <w:noProof/>
              </w:rPr>
              <w:t xml:space="preserve"> w</w:t>
            </w:r>
            <w:r w:rsidR="001C6403">
              <w:rPr>
                <w:rStyle w:val="Hipercze"/>
                <w:i/>
                <w:noProof/>
              </w:rPr>
              <w:t> </w:t>
            </w:r>
            <w:r w:rsidR="001C6403" w:rsidRPr="00D55EAA">
              <w:rPr>
                <w:rStyle w:val="Hipercze"/>
                <w:i/>
                <w:noProof/>
              </w:rPr>
              <w:t>per</w:t>
            </w:r>
            <w:r w:rsidRPr="00D55EAA">
              <w:rPr>
                <w:rStyle w:val="Hipercze"/>
                <w:i/>
                <w:noProof/>
              </w:rPr>
              <w:t>spektywie krótko- lub długoterminowej,</w:t>
            </w:r>
            <w:r w:rsidR="001C6403" w:rsidRPr="00D55EAA">
              <w:rPr>
                <w:rStyle w:val="Hipercze"/>
                <w:i/>
                <w:noProof/>
              </w:rPr>
              <w:t xml:space="preserve"> w</w:t>
            </w:r>
            <w:r w:rsidR="001C6403">
              <w:rPr>
                <w:rStyle w:val="Hipercze"/>
                <w:i/>
                <w:noProof/>
              </w:rPr>
              <w:t> </w:t>
            </w:r>
            <w:r w:rsidR="001C6403" w:rsidRPr="00D55EAA">
              <w:rPr>
                <w:rStyle w:val="Hipercze"/>
                <w:i/>
                <w:noProof/>
              </w:rPr>
              <w:t>tym</w:t>
            </w:r>
            <w:r w:rsidRPr="00D55EAA">
              <w:rPr>
                <w:rStyle w:val="Hipercze"/>
                <w:i/>
                <w:noProof/>
              </w:rPr>
              <w:t xml:space="preserve"> szczegółowy terminarz przebiegu realizacji inicjatywy</w:t>
            </w:r>
            <w:r>
              <w:rPr>
                <w:noProof/>
                <w:webHidden/>
              </w:rPr>
              <w:tab/>
            </w:r>
            <w:r>
              <w:rPr>
                <w:noProof/>
                <w:webHidden/>
              </w:rPr>
              <w:fldChar w:fldCharType="begin"/>
            </w:r>
            <w:r>
              <w:rPr>
                <w:noProof/>
                <w:webHidden/>
              </w:rPr>
              <w:instrText xml:space="preserve"> PAGEREF _Toc210923262 \h </w:instrText>
            </w:r>
            <w:r>
              <w:rPr>
                <w:noProof/>
                <w:webHidden/>
              </w:rPr>
            </w:r>
            <w:r>
              <w:rPr>
                <w:noProof/>
                <w:webHidden/>
              </w:rPr>
              <w:fldChar w:fldCharType="separate"/>
            </w:r>
            <w:r>
              <w:rPr>
                <w:noProof/>
                <w:webHidden/>
              </w:rPr>
              <w:t>5</w:t>
            </w:r>
            <w:r>
              <w:rPr>
                <w:noProof/>
                <w:webHidden/>
              </w:rPr>
              <w:fldChar w:fldCharType="end"/>
            </w:r>
          </w:hyperlink>
        </w:p>
        <w:p w14:paraId="0B2FF318" w14:textId="543F80D5"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63" w:history="1">
            <w:r w:rsidRPr="00D55EAA">
              <w:rPr>
                <w:rStyle w:val="Hipercze"/>
                <w:i/>
                <w:noProof/>
              </w:rPr>
              <w:t>1.5.2.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Wartość dodana</w:t>
            </w:r>
            <w:r w:rsidR="001C6403" w:rsidRPr="00D55EAA">
              <w:rPr>
                <w:rStyle w:val="Hipercze"/>
                <w:i/>
                <w:noProof/>
              </w:rPr>
              <w:t xml:space="preserve"> z</w:t>
            </w:r>
            <w:r w:rsidR="001C6403">
              <w:rPr>
                <w:rStyle w:val="Hipercze"/>
                <w:i/>
                <w:noProof/>
              </w:rPr>
              <w:t> </w:t>
            </w:r>
            <w:r w:rsidR="001C6403" w:rsidRPr="00D55EAA">
              <w:rPr>
                <w:rStyle w:val="Hipercze"/>
                <w:i/>
                <w:noProof/>
              </w:rPr>
              <w:t>tyt</w:t>
            </w:r>
            <w:r w:rsidRPr="00D55EAA">
              <w:rPr>
                <w:rStyle w:val="Hipercze"/>
                <w:i/>
                <w:noProof/>
              </w:rPr>
              <w:t>ułu zaangażowania Unii Europejskiej (może wynikać</w:t>
            </w:r>
            <w:r w:rsidR="001C6403" w:rsidRPr="00D55EAA">
              <w:rPr>
                <w:rStyle w:val="Hipercze"/>
                <w:i/>
                <w:noProof/>
              </w:rPr>
              <w:t xml:space="preserve"> z</w:t>
            </w:r>
            <w:r w:rsidR="001C6403">
              <w:rPr>
                <w:rStyle w:val="Hipercze"/>
                <w:i/>
                <w:noProof/>
              </w:rPr>
              <w:t> </w:t>
            </w:r>
            <w:r w:rsidR="001C6403" w:rsidRPr="00D55EAA">
              <w:rPr>
                <w:rStyle w:val="Hipercze"/>
                <w:i/>
                <w:noProof/>
              </w:rPr>
              <w:t>róż</w:t>
            </w:r>
            <w:r w:rsidRPr="00D55EAA">
              <w:rPr>
                <w:rStyle w:val="Hipercze"/>
                <w:i/>
                <w:noProof/>
              </w:rPr>
              <w:t>nych czynników, na przykład korzyści koordynacyjnych, pewności prawa, większej efektywności lub komplementarności). Na potrzeby tej sekcji „wartość dodaną</w:t>
            </w:r>
            <w:r w:rsidR="001C6403" w:rsidRPr="00D55EAA">
              <w:rPr>
                <w:rStyle w:val="Hipercze"/>
                <w:i/>
                <w:noProof/>
              </w:rPr>
              <w:t xml:space="preserve"> z</w:t>
            </w:r>
            <w:r w:rsidR="001C6403">
              <w:rPr>
                <w:rStyle w:val="Hipercze"/>
                <w:i/>
                <w:noProof/>
              </w:rPr>
              <w:t> </w:t>
            </w:r>
            <w:r w:rsidR="001C6403" w:rsidRPr="00D55EAA">
              <w:rPr>
                <w:rStyle w:val="Hipercze"/>
                <w:i/>
                <w:noProof/>
              </w:rPr>
              <w:t>tyt</w:t>
            </w:r>
            <w:r w:rsidRPr="00D55EAA">
              <w:rPr>
                <w:rStyle w:val="Hipercze"/>
                <w:i/>
                <w:noProof/>
              </w:rPr>
              <w:t>ułu zaangażowania Unii Europejskiej” należy rozumieć jako wartość wynikającą</w:t>
            </w:r>
            <w:r w:rsidR="001C6403" w:rsidRPr="00D55EAA">
              <w:rPr>
                <w:rStyle w:val="Hipercze"/>
                <w:i/>
                <w:noProof/>
              </w:rPr>
              <w:t xml:space="preserve"> z</w:t>
            </w:r>
            <w:r w:rsidR="001C6403">
              <w:rPr>
                <w:rStyle w:val="Hipercze"/>
                <w:i/>
                <w:noProof/>
              </w:rPr>
              <w:t> </w:t>
            </w:r>
            <w:r w:rsidR="001C6403" w:rsidRPr="00D55EAA">
              <w:rPr>
                <w:rStyle w:val="Hipercze"/>
                <w:i/>
                <w:noProof/>
              </w:rPr>
              <w:t>uni</w:t>
            </w:r>
            <w:r w:rsidRPr="00D55EAA">
              <w:rPr>
                <w:rStyle w:val="Hipercze"/>
                <w:i/>
                <w:noProof/>
              </w:rPr>
              <w:t>jnej interwencji, wykraczającą poza wartość, która zostałaby wytworzona przez same państwa członkowskie.</w:t>
            </w:r>
            <w:r>
              <w:rPr>
                <w:noProof/>
                <w:webHidden/>
              </w:rPr>
              <w:tab/>
            </w:r>
            <w:r>
              <w:rPr>
                <w:noProof/>
                <w:webHidden/>
              </w:rPr>
              <w:fldChar w:fldCharType="begin"/>
            </w:r>
            <w:r>
              <w:rPr>
                <w:noProof/>
                <w:webHidden/>
              </w:rPr>
              <w:instrText xml:space="preserve"> PAGEREF _Toc210923263 \h </w:instrText>
            </w:r>
            <w:r>
              <w:rPr>
                <w:noProof/>
                <w:webHidden/>
              </w:rPr>
            </w:r>
            <w:r>
              <w:rPr>
                <w:noProof/>
                <w:webHidden/>
              </w:rPr>
              <w:fldChar w:fldCharType="separate"/>
            </w:r>
            <w:r>
              <w:rPr>
                <w:noProof/>
                <w:webHidden/>
              </w:rPr>
              <w:t>7</w:t>
            </w:r>
            <w:r>
              <w:rPr>
                <w:noProof/>
                <w:webHidden/>
              </w:rPr>
              <w:fldChar w:fldCharType="end"/>
            </w:r>
          </w:hyperlink>
        </w:p>
        <w:p w14:paraId="498DA314" w14:textId="68D25DD0"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64" w:history="1">
            <w:r w:rsidRPr="00D55EAA">
              <w:rPr>
                <w:rStyle w:val="Hipercze"/>
                <w:i/>
                <w:noProof/>
              </w:rPr>
              <w:t>1.5.3.</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Główne wnioski wyciągnięte</w:t>
            </w:r>
            <w:r w:rsidR="001C6403" w:rsidRPr="00D55EAA">
              <w:rPr>
                <w:rStyle w:val="Hipercze"/>
                <w:i/>
                <w:noProof/>
              </w:rPr>
              <w:t xml:space="preserve"> z</w:t>
            </w:r>
            <w:r w:rsidR="001C6403">
              <w:rPr>
                <w:rStyle w:val="Hipercze"/>
                <w:i/>
                <w:noProof/>
              </w:rPr>
              <w:t> </w:t>
            </w:r>
            <w:r w:rsidR="001C6403" w:rsidRPr="00D55EAA">
              <w:rPr>
                <w:rStyle w:val="Hipercze"/>
                <w:i/>
                <w:noProof/>
              </w:rPr>
              <w:t>pod</w:t>
            </w:r>
            <w:r w:rsidRPr="00D55EAA">
              <w:rPr>
                <w:rStyle w:val="Hipercze"/>
                <w:i/>
                <w:noProof/>
              </w:rPr>
              <w:t>obnych działań</w:t>
            </w:r>
            <w:r>
              <w:rPr>
                <w:noProof/>
                <w:webHidden/>
              </w:rPr>
              <w:tab/>
            </w:r>
            <w:r>
              <w:rPr>
                <w:noProof/>
                <w:webHidden/>
              </w:rPr>
              <w:fldChar w:fldCharType="begin"/>
            </w:r>
            <w:r>
              <w:rPr>
                <w:noProof/>
                <w:webHidden/>
              </w:rPr>
              <w:instrText xml:space="preserve"> PAGEREF _Toc210923264 \h </w:instrText>
            </w:r>
            <w:r>
              <w:rPr>
                <w:noProof/>
                <w:webHidden/>
              </w:rPr>
            </w:r>
            <w:r>
              <w:rPr>
                <w:noProof/>
                <w:webHidden/>
              </w:rPr>
              <w:fldChar w:fldCharType="separate"/>
            </w:r>
            <w:r>
              <w:rPr>
                <w:noProof/>
                <w:webHidden/>
              </w:rPr>
              <w:t>7</w:t>
            </w:r>
            <w:r>
              <w:rPr>
                <w:noProof/>
                <w:webHidden/>
              </w:rPr>
              <w:fldChar w:fldCharType="end"/>
            </w:r>
          </w:hyperlink>
        </w:p>
        <w:p w14:paraId="59B61B6B" w14:textId="4B4273BA"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65" w:history="1">
            <w:r w:rsidRPr="00D55EAA">
              <w:rPr>
                <w:rStyle w:val="Hipercze"/>
                <w:i/>
                <w:noProof/>
              </w:rPr>
              <w:t>1.5.4.</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Spójność</w:t>
            </w:r>
            <w:r w:rsidR="001C6403" w:rsidRPr="00D55EAA">
              <w:rPr>
                <w:rStyle w:val="Hipercze"/>
                <w:i/>
                <w:noProof/>
              </w:rPr>
              <w:t xml:space="preserve"> z</w:t>
            </w:r>
            <w:r w:rsidR="001C6403">
              <w:rPr>
                <w:rStyle w:val="Hipercze"/>
                <w:i/>
                <w:noProof/>
              </w:rPr>
              <w:t> </w:t>
            </w:r>
            <w:r w:rsidR="001C6403" w:rsidRPr="00D55EAA">
              <w:rPr>
                <w:rStyle w:val="Hipercze"/>
                <w:i/>
                <w:noProof/>
              </w:rPr>
              <w:t>wie</w:t>
            </w:r>
            <w:r w:rsidRPr="00D55EAA">
              <w:rPr>
                <w:rStyle w:val="Hipercze"/>
                <w:i/>
                <w:noProof/>
              </w:rPr>
              <w:t>loletnimi ramami finansowymi oraz możliwa synergia</w:t>
            </w:r>
            <w:r w:rsidR="001C6403" w:rsidRPr="00D55EAA">
              <w:rPr>
                <w:rStyle w:val="Hipercze"/>
                <w:i/>
                <w:noProof/>
              </w:rPr>
              <w:t xml:space="preserve"> z</w:t>
            </w:r>
            <w:r w:rsidR="001C6403">
              <w:rPr>
                <w:rStyle w:val="Hipercze"/>
                <w:i/>
                <w:noProof/>
              </w:rPr>
              <w:t> </w:t>
            </w:r>
            <w:r w:rsidR="001C6403" w:rsidRPr="00D55EAA">
              <w:rPr>
                <w:rStyle w:val="Hipercze"/>
                <w:i/>
                <w:noProof/>
              </w:rPr>
              <w:t>inn</w:t>
            </w:r>
            <w:r w:rsidRPr="00D55EAA">
              <w:rPr>
                <w:rStyle w:val="Hipercze"/>
                <w:i/>
                <w:noProof/>
              </w:rPr>
              <w:t>ymi właściwymi instrumentami</w:t>
            </w:r>
            <w:r>
              <w:rPr>
                <w:noProof/>
                <w:webHidden/>
              </w:rPr>
              <w:tab/>
            </w:r>
            <w:r>
              <w:rPr>
                <w:noProof/>
                <w:webHidden/>
              </w:rPr>
              <w:fldChar w:fldCharType="begin"/>
            </w:r>
            <w:r>
              <w:rPr>
                <w:noProof/>
                <w:webHidden/>
              </w:rPr>
              <w:instrText xml:space="preserve"> PAGEREF _Toc210923265 \h </w:instrText>
            </w:r>
            <w:r>
              <w:rPr>
                <w:noProof/>
                <w:webHidden/>
              </w:rPr>
            </w:r>
            <w:r>
              <w:rPr>
                <w:noProof/>
                <w:webHidden/>
              </w:rPr>
              <w:fldChar w:fldCharType="separate"/>
            </w:r>
            <w:r>
              <w:rPr>
                <w:noProof/>
                <w:webHidden/>
              </w:rPr>
              <w:t>8</w:t>
            </w:r>
            <w:r>
              <w:rPr>
                <w:noProof/>
                <w:webHidden/>
              </w:rPr>
              <w:fldChar w:fldCharType="end"/>
            </w:r>
          </w:hyperlink>
        </w:p>
        <w:p w14:paraId="3A46B9F4" w14:textId="3CBF449F"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66" w:history="1">
            <w:r w:rsidRPr="00D55EAA">
              <w:rPr>
                <w:rStyle w:val="Hipercze"/>
                <w:i/>
                <w:noProof/>
              </w:rPr>
              <w:t>1.5.5.</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Ocena różnych dostępnych możliwości finansowania,</w:t>
            </w:r>
            <w:r w:rsidR="001C6403" w:rsidRPr="00D55EAA">
              <w:rPr>
                <w:rStyle w:val="Hipercze"/>
                <w:i/>
                <w:noProof/>
              </w:rPr>
              <w:t xml:space="preserve"> w</w:t>
            </w:r>
            <w:r w:rsidR="001C6403">
              <w:rPr>
                <w:rStyle w:val="Hipercze"/>
                <w:i/>
                <w:noProof/>
              </w:rPr>
              <w:t> </w:t>
            </w:r>
            <w:r w:rsidR="001C6403" w:rsidRPr="00D55EAA">
              <w:rPr>
                <w:rStyle w:val="Hipercze"/>
                <w:i/>
                <w:noProof/>
              </w:rPr>
              <w:t>tym</w:t>
            </w:r>
            <w:r w:rsidRPr="00D55EAA">
              <w:rPr>
                <w:rStyle w:val="Hipercze"/>
                <w:i/>
                <w:noProof/>
              </w:rPr>
              <w:t xml:space="preserve"> możliwości przegrupowania środków</w:t>
            </w:r>
            <w:r>
              <w:rPr>
                <w:noProof/>
                <w:webHidden/>
              </w:rPr>
              <w:tab/>
            </w:r>
            <w:r>
              <w:rPr>
                <w:noProof/>
                <w:webHidden/>
              </w:rPr>
              <w:fldChar w:fldCharType="begin"/>
            </w:r>
            <w:r>
              <w:rPr>
                <w:noProof/>
                <w:webHidden/>
              </w:rPr>
              <w:instrText xml:space="preserve"> PAGEREF _Toc210923266 \h </w:instrText>
            </w:r>
            <w:r>
              <w:rPr>
                <w:noProof/>
                <w:webHidden/>
              </w:rPr>
            </w:r>
            <w:r>
              <w:rPr>
                <w:noProof/>
                <w:webHidden/>
              </w:rPr>
              <w:fldChar w:fldCharType="separate"/>
            </w:r>
            <w:r>
              <w:rPr>
                <w:noProof/>
                <w:webHidden/>
              </w:rPr>
              <w:t>8</w:t>
            </w:r>
            <w:r>
              <w:rPr>
                <w:noProof/>
                <w:webHidden/>
              </w:rPr>
              <w:fldChar w:fldCharType="end"/>
            </w:r>
          </w:hyperlink>
        </w:p>
        <w:p w14:paraId="46589690" w14:textId="22E328FC"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67" w:history="1">
            <w:r w:rsidRPr="00D55EAA">
              <w:rPr>
                <w:rStyle w:val="Hipercze"/>
                <w:b/>
                <w:noProof/>
              </w:rPr>
              <w:t>1.6.</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Czas trwania wniosku/inicjatywy</w:t>
            </w:r>
            <w:r w:rsidR="001C6403" w:rsidRPr="00D55EAA">
              <w:rPr>
                <w:rStyle w:val="Hipercze"/>
                <w:b/>
                <w:noProof/>
              </w:rPr>
              <w:t xml:space="preserve"> i</w:t>
            </w:r>
            <w:r w:rsidR="001C6403">
              <w:rPr>
                <w:rStyle w:val="Hipercze"/>
                <w:b/>
                <w:noProof/>
              </w:rPr>
              <w:t> </w:t>
            </w:r>
            <w:r w:rsidR="001C6403" w:rsidRPr="00D55EAA">
              <w:rPr>
                <w:rStyle w:val="Hipercze"/>
                <w:b/>
                <w:noProof/>
              </w:rPr>
              <w:t>jeg</w:t>
            </w:r>
            <w:r w:rsidRPr="00D55EAA">
              <w:rPr>
                <w:rStyle w:val="Hipercze"/>
                <w:b/>
                <w:noProof/>
              </w:rPr>
              <w:t>o/jej wpływu finansowego</w:t>
            </w:r>
            <w:r>
              <w:rPr>
                <w:noProof/>
                <w:webHidden/>
              </w:rPr>
              <w:tab/>
            </w:r>
            <w:r>
              <w:rPr>
                <w:noProof/>
                <w:webHidden/>
              </w:rPr>
              <w:fldChar w:fldCharType="begin"/>
            </w:r>
            <w:r>
              <w:rPr>
                <w:noProof/>
                <w:webHidden/>
              </w:rPr>
              <w:instrText xml:space="preserve"> PAGEREF _Toc210923267 \h </w:instrText>
            </w:r>
            <w:r>
              <w:rPr>
                <w:noProof/>
                <w:webHidden/>
              </w:rPr>
            </w:r>
            <w:r>
              <w:rPr>
                <w:noProof/>
                <w:webHidden/>
              </w:rPr>
              <w:fldChar w:fldCharType="separate"/>
            </w:r>
            <w:r>
              <w:rPr>
                <w:noProof/>
                <w:webHidden/>
              </w:rPr>
              <w:t>9</w:t>
            </w:r>
            <w:r>
              <w:rPr>
                <w:noProof/>
                <w:webHidden/>
              </w:rPr>
              <w:fldChar w:fldCharType="end"/>
            </w:r>
          </w:hyperlink>
        </w:p>
        <w:p w14:paraId="4F94F2BF" w14:textId="52ECF65F"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68" w:history="1">
            <w:r w:rsidRPr="00D55EAA">
              <w:rPr>
                <w:rStyle w:val="Hipercze"/>
                <w:b/>
                <w:noProof/>
              </w:rPr>
              <w:t>1.7.</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Planowane metody wykonania budżetu</w:t>
            </w:r>
            <w:r>
              <w:rPr>
                <w:noProof/>
                <w:webHidden/>
              </w:rPr>
              <w:tab/>
            </w:r>
            <w:r>
              <w:rPr>
                <w:noProof/>
                <w:webHidden/>
              </w:rPr>
              <w:fldChar w:fldCharType="begin"/>
            </w:r>
            <w:r>
              <w:rPr>
                <w:noProof/>
                <w:webHidden/>
              </w:rPr>
              <w:instrText xml:space="preserve"> PAGEREF _Toc210923268 \h </w:instrText>
            </w:r>
            <w:r>
              <w:rPr>
                <w:noProof/>
                <w:webHidden/>
              </w:rPr>
            </w:r>
            <w:r>
              <w:rPr>
                <w:noProof/>
                <w:webHidden/>
              </w:rPr>
              <w:fldChar w:fldCharType="separate"/>
            </w:r>
            <w:r>
              <w:rPr>
                <w:noProof/>
                <w:webHidden/>
              </w:rPr>
              <w:t>9</w:t>
            </w:r>
            <w:r>
              <w:rPr>
                <w:noProof/>
                <w:webHidden/>
              </w:rPr>
              <w:fldChar w:fldCharType="end"/>
            </w:r>
          </w:hyperlink>
        </w:p>
        <w:p w14:paraId="20315A76" w14:textId="18DA94D1" w:rsidR="001357D3" w:rsidRDefault="001357D3">
          <w:pPr>
            <w:pStyle w:val="Spistreci1"/>
            <w:rPr>
              <w:rFonts w:asciiTheme="minorHAnsi" w:eastAsiaTheme="minorEastAsia" w:hAnsiTheme="minorHAnsi" w:cstheme="minorBidi"/>
              <w:noProof/>
              <w:kern w:val="2"/>
              <w:szCs w:val="24"/>
              <w:lang w:val="en-IE" w:eastAsia="en-IE"/>
              <w14:ligatures w14:val="standardContextual"/>
            </w:rPr>
          </w:pPr>
          <w:hyperlink w:anchor="_Toc210923269" w:history="1">
            <w:r w:rsidRPr="00D55EAA">
              <w:rPr>
                <w:rStyle w:val="Hipercze"/>
                <w:b/>
                <w:smallCaps/>
                <w:noProof/>
              </w:rPr>
              <w:t>2.</w:t>
            </w:r>
            <w:r>
              <w:rPr>
                <w:rFonts w:asciiTheme="minorHAnsi" w:eastAsiaTheme="minorEastAsia" w:hAnsiTheme="minorHAnsi" w:cstheme="minorBidi"/>
                <w:noProof/>
                <w:kern w:val="2"/>
                <w:szCs w:val="24"/>
                <w:lang w:val="en-IE" w:eastAsia="en-IE"/>
                <w14:ligatures w14:val="standardContextual"/>
              </w:rPr>
              <w:tab/>
            </w:r>
            <w:r w:rsidRPr="00D55EAA">
              <w:rPr>
                <w:rStyle w:val="Hipercze"/>
                <w:b/>
                <w:smallCaps/>
                <w:noProof/>
              </w:rPr>
              <w:t>ŚRODKI ZARZĄDZANIA</w:t>
            </w:r>
            <w:r>
              <w:rPr>
                <w:noProof/>
                <w:webHidden/>
              </w:rPr>
              <w:tab/>
            </w:r>
            <w:r>
              <w:rPr>
                <w:noProof/>
                <w:webHidden/>
              </w:rPr>
              <w:fldChar w:fldCharType="begin"/>
            </w:r>
            <w:r>
              <w:rPr>
                <w:noProof/>
                <w:webHidden/>
              </w:rPr>
              <w:instrText xml:space="preserve"> PAGEREF _Toc210923269 \h </w:instrText>
            </w:r>
            <w:r>
              <w:rPr>
                <w:noProof/>
                <w:webHidden/>
              </w:rPr>
            </w:r>
            <w:r>
              <w:rPr>
                <w:noProof/>
                <w:webHidden/>
              </w:rPr>
              <w:fldChar w:fldCharType="separate"/>
            </w:r>
            <w:r>
              <w:rPr>
                <w:noProof/>
                <w:webHidden/>
              </w:rPr>
              <w:t>11</w:t>
            </w:r>
            <w:r>
              <w:rPr>
                <w:noProof/>
                <w:webHidden/>
              </w:rPr>
              <w:fldChar w:fldCharType="end"/>
            </w:r>
          </w:hyperlink>
        </w:p>
        <w:p w14:paraId="206828E0" w14:textId="63F23BFD"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70" w:history="1">
            <w:r w:rsidRPr="00D55EAA">
              <w:rPr>
                <w:rStyle w:val="Hipercze"/>
                <w:b/>
                <w:noProof/>
              </w:rPr>
              <w:t>2.1.</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Zasady nadzoru</w:t>
            </w:r>
            <w:r w:rsidR="001C6403" w:rsidRPr="00D55EAA">
              <w:rPr>
                <w:rStyle w:val="Hipercze"/>
                <w:b/>
                <w:noProof/>
              </w:rPr>
              <w:t xml:space="preserve"> i</w:t>
            </w:r>
            <w:r w:rsidR="001C6403">
              <w:rPr>
                <w:rStyle w:val="Hipercze"/>
                <w:b/>
                <w:noProof/>
              </w:rPr>
              <w:t> </w:t>
            </w:r>
            <w:r w:rsidR="001C6403" w:rsidRPr="00D55EAA">
              <w:rPr>
                <w:rStyle w:val="Hipercze"/>
                <w:b/>
                <w:noProof/>
              </w:rPr>
              <w:t>spr</w:t>
            </w:r>
            <w:r w:rsidRPr="00D55EAA">
              <w:rPr>
                <w:rStyle w:val="Hipercze"/>
                <w:b/>
                <w:noProof/>
              </w:rPr>
              <w:t>awozdawczości</w:t>
            </w:r>
            <w:r>
              <w:rPr>
                <w:noProof/>
                <w:webHidden/>
              </w:rPr>
              <w:tab/>
            </w:r>
            <w:r>
              <w:rPr>
                <w:noProof/>
                <w:webHidden/>
              </w:rPr>
              <w:fldChar w:fldCharType="begin"/>
            </w:r>
            <w:r>
              <w:rPr>
                <w:noProof/>
                <w:webHidden/>
              </w:rPr>
              <w:instrText xml:space="preserve"> PAGEREF _Toc210923270 \h </w:instrText>
            </w:r>
            <w:r>
              <w:rPr>
                <w:noProof/>
                <w:webHidden/>
              </w:rPr>
            </w:r>
            <w:r>
              <w:rPr>
                <w:noProof/>
                <w:webHidden/>
              </w:rPr>
              <w:fldChar w:fldCharType="separate"/>
            </w:r>
            <w:r>
              <w:rPr>
                <w:noProof/>
                <w:webHidden/>
              </w:rPr>
              <w:t>11</w:t>
            </w:r>
            <w:r>
              <w:rPr>
                <w:noProof/>
                <w:webHidden/>
              </w:rPr>
              <w:fldChar w:fldCharType="end"/>
            </w:r>
          </w:hyperlink>
        </w:p>
        <w:p w14:paraId="56F4E234" w14:textId="1D6C8CCA"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71" w:history="1">
            <w:r w:rsidRPr="00D55EAA">
              <w:rPr>
                <w:rStyle w:val="Hipercze"/>
                <w:b/>
                <w:noProof/>
              </w:rPr>
              <w:t>2.2.</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System zarządzania</w:t>
            </w:r>
            <w:r w:rsidR="001C6403" w:rsidRPr="00D55EAA">
              <w:rPr>
                <w:rStyle w:val="Hipercze"/>
                <w:b/>
                <w:noProof/>
              </w:rPr>
              <w:t xml:space="preserve"> i</w:t>
            </w:r>
            <w:r w:rsidR="001C6403">
              <w:rPr>
                <w:rStyle w:val="Hipercze"/>
                <w:b/>
                <w:noProof/>
              </w:rPr>
              <w:t> </w:t>
            </w:r>
            <w:r w:rsidR="001C6403" w:rsidRPr="00D55EAA">
              <w:rPr>
                <w:rStyle w:val="Hipercze"/>
                <w:b/>
                <w:noProof/>
              </w:rPr>
              <w:t>kon</w:t>
            </w:r>
            <w:r w:rsidRPr="00D55EAA">
              <w:rPr>
                <w:rStyle w:val="Hipercze"/>
                <w:b/>
                <w:noProof/>
              </w:rPr>
              <w:t>troli</w:t>
            </w:r>
            <w:r>
              <w:rPr>
                <w:noProof/>
                <w:webHidden/>
              </w:rPr>
              <w:tab/>
            </w:r>
            <w:r>
              <w:rPr>
                <w:noProof/>
                <w:webHidden/>
              </w:rPr>
              <w:fldChar w:fldCharType="begin"/>
            </w:r>
            <w:r>
              <w:rPr>
                <w:noProof/>
                <w:webHidden/>
              </w:rPr>
              <w:instrText xml:space="preserve"> PAGEREF _Toc210923271 \h </w:instrText>
            </w:r>
            <w:r>
              <w:rPr>
                <w:noProof/>
                <w:webHidden/>
              </w:rPr>
            </w:r>
            <w:r>
              <w:rPr>
                <w:noProof/>
                <w:webHidden/>
              </w:rPr>
              <w:fldChar w:fldCharType="separate"/>
            </w:r>
            <w:r>
              <w:rPr>
                <w:noProof/>
                <w:webHidden/>
              </w:rPr>
              <w:t>11</w:t>
            </w:r>
            <w:r>
              <w:rPr>
                <w:noProof/>
                <w:webHidden/>
              </w:rPr>
              <w:fldChar w:fldCharType="end"/>
            </w:r>
          </w:hyperlink>
        </w:p>
        <w:p w14:paraId="0B96D403" w14:textId="7DB86B62"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72" w:history="1">
            <w:r w:rsidRPr="00D55EAA">
              <w:rPr>
                <w:rStyle w:val="Hipercze"/>
                <w:i/>
                <w:noProof/>
              </w:rPr>
              <w:t>2.2.1.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Uzasadnienie dla proponowanych metod wykonania budżetu, mechanizmów finansowania wykonania, sposobów dokonywania płatności</w:t>
            </w:r>
            <w:r w:rsidR="001C6403" w:rsidRPr="00D55EAA">
              <w:rPr>
                <w:rStyle w:val="Hipercze"/>
                <w:i/>
                <w:noProof/>
              </w:rPr>
              <w:t xml:space="preserve"> i</w:t>
            </w:r>
            <w:r w:rsidR="001C6403">
              <w:rPr>
                <w:rStyle w:val="Hipercze"/>
                <w:i/>
                <w:noProof/>
              </w:rPr>
              <w:t> </w:t>
            </w:r>
            <w:r w:rsidR="001C6403" w:rsidRPr="00D55EAA">
              <w:rPr>
                <w:rStyle w:val="Hipercze"/>
                <w:i/>
                <w:noProof/>
              </w:rPr>
              <w:t>str</w:t>
            </w:r>
            <w:r w:rsidRPr="00D55EAA">
              <w:rPr>
                <w:rStyle w:val="Hipercze"/>
                <w:i/>
                <w:noProof/>
              </w:rPr>
              <w:t>ategii kontroli</w:t>
            </w:r>
            <w:r>
              <w:rPr>
                <w:noProof/>
                <w:webHidden/>
              </w:rPr>
              <w:tab/>
            </w:r>
            <w:r>
              <w:rPr>
                <w:noProof/>
                <w:webHidden/>
              </w:rPr>
              <w:fldChar w:fldCharType="begin"/>
            </w:r>
            <w:r>
              <w:rPr>
                <w:noProof/>
                <w:webHidden/>
              </w:rPr>
              <w:instrText xml:space="preserve"> PAGEREF _Toc210923272 \h </w:instrText>
            </w:r>
            <w:r>
              <w:rPr>
                <w:noProof/>
                <w:webHidden/>
              </w:rPr>
            </w:r>
            <w:r>
              <w:rPr>
                <w:noProof/>
                <w:webHidden/>
              </w:rPr>
              <w:fldChar w:fldCharType="separate"/>
            </w:r>
            <w:r>
              <w:rPr>
                <w:noProof/>
                <w:webHidden/>
              </w:rPr>
              <w:t>11</w:t>
            </w:r>
            <w:r>
              <w:rPr>
                <w:noProof/>
                <w:webHidden/>
              </w:rPr>
              <w:fldChar w:fldCharType="end"/>
            </w:r>
          </w:hyperlink>
        </w:p>
        <w:p w14:paraId="345038E1" w14:textId="76EC18CA"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73" w:history="1">
            <w:r w:rsidRPr="00D55EAA">
              <w:rPr>
                <w:rStyle w:val="Hipercze"/>
                <w:i/>
                <w:noProof/>
              </w:rPr>
              <w:t>2.2.2.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Informacje dotyczące zidentyfikowanego ryzyka</w:t>
            </w:r>
            <w:r w:rsidR="001C6403" w:rsidRPr="00D55EAA">
              <w:rPr>
                <w:rStyle w:val="Hipercze"/>
                <w:i/>
                <w:noProof/>
              </w:rPr>
              <w:t xml:space="preserve"> i</w:t>
            </w:r>
            <w:r w:rsidR="001C6403">
              <w:rPr>
                <w:rStyle w:val="Hipercze"/>
                <w:i/>
                <w:noProof/>
              </w:rPr>
              <w:t> </w:t>
            </w:r>
            <w:r w:rsidR="001C6403" w:rsidRPr="00D55EAA">
              <w:rPr>
                <w:rStyle w:val="Hipercze"/>
                <w:i/>
                <w:noProof/>
              </w:rPr>
              <w:t>sys</w:t>
            </w:r>
            <w:r w:rsidRPr="00D55EAA">
              <w:rPr>
                <w:rStyle w:val="Hipercze"/>
                <w:i/>
                <w:noProof/>
              </w:rPr>
              <w:t>temów kontroli wewnętrznej ustanowionych</w:t>
            </w:r>
            <w:r w:rsidR="001C6403" w:rsidRPr="00D55EAA">
              <w:rPr>
                <w:rStyle w:val="Hipercze"/>
                <w:i/>
                <w:noProof/>
              </w:rPr>
              <w:t xml:space="preserve"> w</w:t>
            </w:r>
            <w:r w:rsidR="001C6403">
              <w:rPr>
                <w:rStyle w:val="Hipercze"/>
                <w:i/>
                <w:noProof/>
              </w:rPr>
              <w:t> </w:t>
            </w:r>
            <w:r w:rsidR="001C6403" w:rsidRPr="00D55EAA">
              <w:rPr>
                <w:rStyle w:val="Hipercze"/>
                <w:i/>
                <w:noProof/>
              </w:rPr>
              <w:t>cel</w:t>
            </w:r>
            <w:r w:rsidRPr="00D55EAA">
              <w:rPr>
                <w:rStyle w:val="Hipercze"/>
                <w:i/>
                <w:noProof/>
              </w:rPr>
              <w:t>u jego ograniczenia</w:t>
            </w:r>
            <w:r>
              <w:rPr>
                <w:noProof/>
                <w:webHidden/>
              </w:rPr>
              <w:tab/>
            </w:r>
            <w:r>
              <w:rPr>
                <w:noProof/>
                <w:webHidden/>
              </w:rPr>
              <w:fldChar w:fldCharType="begin"/>
            </w:r>
            <w:r>
              <w:rPr>
                <w:noProof/>
                <w:webHidden/>
              </w:rPr>
              <w:instrText xml:space="preserve"> PAGEREF _Toc210923273 \h </w:instrText>
            </w:r>
            <w:r>
              <w:rPr>
                <w:noProof/>
                <w:webHidden/>
              </w:rPr>
            </w:r>
            <w:r>
              <w:rPr>
                <w:noProof/>
                <w:webHidden/>
              </w:rPr>
              <w:fldChar w:fldCharType="separate"/>
            </w:r>
            <w:r>
              <w:rPr>
                <w:noProof/>
                <w:webHidden/>
              </w:rPr>
              <w:t>11</w:t>
            </w:r>
            <w:r>
              <w:rPr>
                <w:noProof/>
                <w:webHidden/>
              </w:rPr>
              <w:fldChar w:fldCharType="end"/>
            </w:r>
          </w:hyperlink>
        </w:p>
        <w:p w14:paraId="04A2D5A6" w14:textId="01672B20"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74" w:history="1">
            <w:r w:rsidRPr="00D55EAA">
              <w:rPr>
                <w:rStyle w:val="Hipercze"/>
                <w:i/>
                <w:noProof/>
              </w:rPr>
              <w:t>2.2.3.</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Oszacowanie</w:t>
            </w:r>
            <w:r w:rsidR="001C6403" w:rsidRPr="00D55EAA">
              <w:rPr>
                <w:rStyle w:val="Hipercze"/>
                <w:i/>
                <w:noProof/>
              </w:rPr>
              <w:t xml:space="preserve"> i</w:t>
            </w:r>
            <w:r w:rsidR="001C6403">
              <w:rPr>
                <w:rStyle w:val="Hipercze"/>
                <w:i/>
                <w:noProof/>
              </w:rPr>
              <w:t> </w:t>
            </w:r>
            <w:r w:rsidR="001C6403" w:rsidRPr="00D55EAA">
              <w:rPr>
                <w:rStyle w:val="Hipercze"/>
                <w:i/>
                <w:noProof/>
              </w:rPr>
              <w:t>uza</w:t>
            </w:r>
            <w:r w:rsidRPr="00D55EAA">
              <w:rPr>
                <w:rStyle w:val="Hipercze"/>
                <w:i/>
                <w:noProof/>
              </w:rPr>
              <w:t>sadnienie efektywności kosztowej kontroli (relacja kosztów kontroli do wartości zarządzanych funduszy powiązanych) oraz ocena prawdopodobnego ryzyka błędu (przy płatności</w:t>
            </w:r>
            <w:r w:rsidR="001C6403" w:rsidRPr="00D55EAA">
              <w:rPr>
                <w:rStyle w:val="Hipercze"/>
                <w:i/>
                <w:noProof/>
              </w:rPr>
              <w:t xml:space="preserve"> i</w:t>
            </w:r>
            <w:r w:rsidR="001C6403">
              <w:rPr>
                <w:rStyle w:val="Hipercze"/>
                <w:i/>
                <w:noProof/>
              </w:rPr>
              <w:t> </w:t>
            </w:r>
            <w:r w:rsidR="001C6403" w:rsidRPr="00D55EAA">
              <w:rPr>
                <w:rStyle w:val="Hipercze"/>
                <w:i/>
                <w:noProof/>
              </w:rPr>
              <w:t>prz</w:t>
            </w:r>
            <w:r w:rsidRPr="00D55EAA">
              <w:rPr>
                <w:rStyle w:val="Hipercze"/>
                <w:i/>
                <w:noProof/>
              </w:rPr>
              <w:t>y zamykaniu)</w:t>
            </w:r>
            <w:r>
              <w:rPr>
                <w:noProof/>
                <w:webHidden/>
              </w:rPr>
              <w:tab/>
            </w:r>
            <w:r>
              <w:rPr>
                <w:noProof/>
                <w:webHidden/>
              </w:rPr>
              <w:fldChar w:fldCharType="begin"/>
            </w:r>
            <w:r>
              <w:rPr>
                <w:noProof/>
                <w:webHidden/>
              </w:rPr>
              <w:instrText xml:space="preserve"> PAGEREF _Toc210923274 \h </w:instrText>
            </w:r>
            <w:r>
              <w:rPr>
                <w:noProof/>
                <w:webHidden/>
              </w:rPr>
            </w:r>
            <w:r>
              <w:rPr>
                <w:noProof/>
                <w:webHidden/>
              </w:rPr>
              <w:fldChar w:fldCharType="separate"/>
            </w:r>
            <w:r>
              <w:rPr>
                <w:noProof/>
                <w:webHidden/>
              </w:rPr>
              <w:t>12</w:t>
            </w:r>
            <w:r>
              <w:rPr>
                <w:noProof/>
                <w:webHidden/>
              </w:rPr>
              <w:fldChar w:fldCharType="end"/>
            </w:r>
          </w:hyperlink>
        </w:p>
        <w:p w14:paraId="75EB06D6" w14:textId="4950D2DE"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75" w:history="1">
            <w:r w:rsidRPr="00D55EAA">
              <w:rPr>
                <w:rStyle w:val="Hipercze"/>
                <w:b/>
                <w:noProof/>
              </w:rPr>
              <w:t>2.3.</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Środki zapobiegania nadużyciom finansowym</w:t>
            </w:r>
            <w:r w:rsidR="001C6403" w:rsidRPr="00D55EAA">
              <w:rPr>
                <w:rStyle w:val="Hipercze"/>
                <w:b/>
                <w:noProof/>
              </w:rPr>
              <w:t xml:space="preserve"> i</w:t>
            </w:r>
            <w:r w:rsidR="001C6403">
              <w:rPr>
                <w:rStyle w:val="Hipercze"/>
                <w:b/>
                <w:noProof/>
              </w:rPr>
              <w:t> </w:t>
            </w:r>
            <w:r w:rsidR="001C6403" w:rsidRPr="00D55EAA">
              <w:rPr>
                <w:rStyle w:val="Hipercze"/>
                <w:b/>
                <w:noProof/>
              </w:rPr>
              <w:t>nie</w:t>
            </w:r>
            <w:r w:rsidRPr="00D55EAA">
              <w:rPr>
                <w:rStyle w:val="Hipercze"/>
                <w:b/>
                <w:noProof/>
              </w:rPr>
              <w:t>prawidłowościom</w:t>
            </w:r>
            <w:r>
              <w:rPr>
                <w:noProof/>
                <w:webHidden/>
              </w:rPr>
              <w:tab/>
            </w:r>
            <w:r>
              <w:rPr>
                <w:noProof/>
                <w:webHidden/>
              </w:rPr>
              <w:fldChar w:fldCharType="begin"/>
            </w:r>
            <w:r>
              <w:rPr>
                <w:noProof/>
                <w:webHidden/>
              </w:rPr>
              <w:instrText xml:space="preserve"> PAGEREF _Toc210923275 \h </w:instrText>
            </w:r>
            <w:r>
              <w:rPr>
                <w:noProof/>
                <w:webHidden/>
              </w:rPr>
            </w:r>
            <w:r>
              <w:rPr>
                <w:noProof/>
                <w:webHidden/>
              </w:rPr>
              <w:fldChar w:fldCharType="separate"/>
            </w:r>
            <w:r>
              <w:rPr>
                <w:noProof/>
                <w:webHidden/>
              </w:rPr>
              <w:t>12</w:t>
            </w:r>
            <w:r>
              <w:rPr>
                <w:noProof/>
                <w:webHidden/>
              </w:rPr>
              <w:fldChar w:fldCharType="end"/>
            </w:r>
          </w:hyperlink>
        </w:p>
        <w:p w14:paraId="54722F29" w14:textId="13392892" w:rsidR="001357D3" w:rsidRDefault="001357D3">
          <w:pPr>
            <w:pStyle w:val="Spistreci1"/>
            <w:rPr>
              <w:rFonts w:asciiTheme="minorHAnsi" w:eastAsiaTheme="minorEastAsia" w:hAnsiTheme="minorHAnsi" w:cstheme="minorBidi"/>
              <w:noProof/>
              <w:kern w:val="2"/>
              <w:szCs w:val="24"/>
              <w:lang w:val="en-IE" w:eastAsia="en-IE"/>
              <w14:ligatures w14:val="standardContextual"/>
            </w:rPr>
          </w:pPr>
          <w:hyperlink w:anchor="_Toc210923276" w:history="1">
            <w:r w:rsidRPr="00D55EAA">
              <w:rPr>
                <w:rStyle w:val="Hipercze"/>
                <w:b/>
                <w:smallCaps/>
                <w:noProof/>
              </w:rPr>
              <w:t>3.</w:t>
            </w:r>
            <w:r>
              <w:rPr>
                <w:rFonts w:asciiTheme="minorHAnsi" w:eastAsiaTheme="minorEastAsia" w:hAnsiTheme="minorHAnsi" w:cstheme="minorBidi"/>
                <w:noProof/>
                <w:kern w:val="2"/>
                <w:szCs w:val="24"/>
                <w:lang w:val="en-IE" w:eastAsia="en-IE"/>
                <w14:ligatures w14:val="standardContextual"/>
              </w:rPr>
              <w:tab/>
            </w:r>
            <w:r w:rsidRPr="00D55EAA">
              <w:rPr>
                <w:rStyle w:val="Hipercze"/>
                <w:b/>
                <w:smallCaps/>
                <w:noProof/>
              </w:rPr>
              <w:t>SZACUNKOWY WPŁYW FINANSOWY WNIOSKU/INICJATYWY</w:t>
            </w:r>
            <w:r>
              <w:rPr>
                <w:noProof/>
                <w:webHidden/>
              </w:rPr>
              <w:tab/>
            </w:r>
            <w:r>
              <w:rPr>
                <w:noProof/>
                <w:webHidden/>
              </w:rPr>
              <w:fldChar w:fldCharType="begin"/>
            </w:r>
            <w:r>
              <w:rPr>
                <w:noProof/>
                <w:webHidden/>
              </w:rPr>
              <w:instrText xml:space="preserve"> PAGEREF _Toc210923276 \h </w:instrText>
            </w:r>
            <w:r>
              <w:rPr>
                <w:noProof/>
                <w:webHidden/>
              </w:rPr>
            </w:r>
            <w:r>
              <w:rPr>
                <w:noProof/>
                <w:webHidden/>
              </w:rPr>
              <w:fldChar w:fldCharType="separate"/>
            </w:r>
            <w:r>
              <w:rPr>
                <w:noProof/>
                <w:webHidden/>
              </w:rPr>
              <w:t>13</w:t>
            </w:r>
            <w:r>
              <w:rPr>
                <w:noProof/>
                <w:webHidden/>
              </w:rPr>
              <w:fldChar w:fldCharType="end"/>
            </w:r>
          </w:hyperlink>
        </w:p>
        <w:p w14:paraId="3B8815A1" w14:textId="33D6EBA8"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77" w:history="1">
            <w:r w:rsidRPr="00D55EAA">
              <w:rPr>
                <w:rStyle w:val="Hipercze"/>
                <w:b/>
                <w:noProof/>
              </w:rPr>
              <w:t>3.1.</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Działy wieloletnich ram finansowych</w:t>
            </w:r>
            <w:r w:rsidR="001C6403" w:rsidRPr="00D55EAA">
              <w:rPr>
                <w:rStyle w:val="Hipercze"/>
                <w:b/>
                <w:noProof/>
              </w:rPr>
              <w:t xml:space="preserve"> i</w:t>
            </w:r>
            <w:r w:rsidR="001C6403">
              <w:rPr>
                <w:rStyle w:val="Hipercze"/>
                <w:b/>
                <w:noProof/>
              </w:rPr>
              <w:t> </w:t>
            </w:r>
            <w:r w:rsidR="001C6403" w:rsidRPr="00D55EAA">
              <w:rPr>
                <w:rStyle w:val="Hipercze"/>
                <w:b/>
                <w:noProof/>
              </w:rPr>
              <w:t>lin</w:t>
            </w:r>
            <w:r w:rsidRPr="00D55EAA">
              <w:rPr>
                <w:rStyle w:val="Hipercze"/>
                <w:b/>
                <w:noProof/>
              </w:rPr>
              <w:t>ie budżetowe po stronie wydatków, na które wniosek/inicjatywa ma wpływ</w:t>
            </w:r>
            <w:r>
              <w:rPr>
                <w:noProof/>
                <w:webHidden/>
              </w:rPr>
              <w:tab/>
            </w:r>
            <w:r>
              <w:rPr>
                <w:noProof/>
                <w:webHidden/>
              </w:rPr>
              <w:fldChar w:fldCharType="begin"/>
            </w:r>
            <w:r>
              <w:rPr>
                <w:noProof/>
                <w:webHidden/>
              </w:rPr>
              <w:instrText xml:space="preserve"> PAGEREF _Toc210923277 \h </w:instrText>
            </w:r>
            <w:r>
              <w:rPr>
                <w:noProof/>
                <w:webHidden/>
              </w:rPr>
            </w:r>
            <w:r>
              <w:rPr>
                <w:noProof/>
                <w:webHidden/>
              </w:rPr>
              <w:fldChar w:fldCharType="separate"/>
            </w:r>
            <w:r>
              <w:rPr>
                <w:noProof/>
                <w:webHidden/>
              </w:rPr>
              <w:t>13</w:t>
            </w:r>
            <w:r>
              <w:rPr>
                <w:noProof/>
                <w:webHidden/>
              </w:rPr>
              <w:fldChar w:fldCharType="end"/>
            </w:r>
          </w:hyperlink>
        </w:p>
        <w:p w14:paraId="6EB2A43E" w14:textId="52344821"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78" w:history="1">
            <w:r w:rsidRPr="00D55EAA">
              <w:rPr>
                <w:rStyle w:val="Hipercze"/>
                <w:b/>
                <w:noProof/>
              </w:rPr>
              <w:t>3.2.</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Szacunkowy wpływ finansowy wniosku na środki</w:t>
            </w:r>
            <w:r>
              <w:rPr>
                <w:noProof/>
                <w:webHidden/>
              </w:rPr>
              <w:tab/>
            </w:r>
            <w:r>
              <w:rPr>
                <w:noProof/>
                <w:webHidden/>
              </w:rPr>
              <w:fldChar w:fldCharType="begin"/>
            </w:r>
            <w:r>
              <w:rPr>
                <w:noProof/>
                <w:webHidden/>
              </w:rPr>
              <w:instrText xml:space="preserve"> PAGEREF _Toc210923278 \h </w:instrText>
            </w:r>
            <w:r>
              <w:rPr>
                <w:noProof/>
                <w:webHidden/>
              </w:rPr>
            </w:r>
            <w:r>
              <w:rPr>
                <w:noProof/>
                <w:webHidden/>
              </w:rPr>
              <w:fldChar w:fldCharType="separate"/>
            </w:r>
            <w:r>
              <w:rPr>
                <w:noProof/>
                <w:webHidden/>
              </w:rPr>
              <w:t>14</w:t>
            </w:r>
            <w:r>
              <w:rPr>
                <w:noProof/>
                <w:webHidden/>
              </w:rPr>
              <w:fldChar w:fldCharType="end"/>
            </w:r>
          </w:hyperlink>
        </w:p>
        <w:p w14:paraId="5653C7CC" w14:textId="34E3878C"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79" w:history="1">
            <w:r w:rsidRPr="00D55EAA">
              <w:rPr>
                <w:rStyle w:val="Hipercze"/>
                <w:i/>
                <w:noProof/>
              </w:rPr>
              <w:t>3.2.1.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Podsumowanie szacunkowego wpływu na środki operacyjne</w:t>
            </w:r>
            <w:r>
              <w:rPr>
                <w:noProof/>
                <w:webHidden/>
              </w:rPr>
              <w:tab/>
            </w:r>
            <w:r>
              <w:rPr>
                <w:noProof/>
                <w:webHidden/>
              </w:rPr>
              <w:fldChar w:fldCharType="begin"/>
            </w:r>
            <w:r>
              <w:rPr>
                <w:noProof/>
                <w:webHidden/>
              </w:rPr>
              <w:instrText xml:space="preserve"> PAGEREF _Toc210923279 \h </w:instrText>
            </w:r>
            <w:r>
              <w:rPr>
                <w:noProof/>
                <w:webHidden/>
              </w:rPr>
            </w:r>
            <w:r>
              <w:rPr>
                <w:noProof/>
                <w:webHidden/>
              </w:rPr>
              <w:fldChar w:fldCharType="separate"/>
            </w:r>
            <w:r>
              <w:rPr>
                <w:noProof/>
                <w:webHidden/>
              </w:rPr>
              <w:t>14</w:t>
            </w:r>
            <w:r>
              <w:rPr>
                <w:noProof/>
                <w:webHidden/>
              </w:rPr>
              <w:fldChar w:fldCharType="end"/>
            </w:r>
          </w:hyperlink>
        </w:p>
        <w:p w14:paraId="6724BEE4" w14:textId="0C39BF97"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0" w:history="1">
            <w:r w:rsidRPr="00D55EAA">
              <w:rPr>
                <w:rStyle w:val="Hipercze"/>
                <w:i/>
                <w:noProof/>
              </w:rPr>
              <w:t>3.2.1.1.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Środki</w:t>
            </w:r>
            <w:r w:rsidR="001C6403" w:rsidRPr="00D55EAA">
              <w:rPr>
                <w:rStyle w:val="Hipercze"/>
                <w:i/>
                <w:noProof/>
              </w:rPr>
              <w:t xml:space="preserve"> z</w:t>
            </w:r>
            <w:r w:rsidR="001C6403">
              <w:rPr>
                <w:rStyle w:val="Hipercze"/>
                <w:i/>
                <w:noProof/>
              </w:rPr>
              <w:t> </w:t>
            </w:r>
            <w:r w:rsidR="001C6403" w:rsidRPr="00D55EAA">
              <w:rPr>
                <w:rStyle w:val="Hipercze"/>
                <w:i/>
                <w:noProof/>
              </w:rPr>
              <w:t>prz</w:t>
            </w:r>
            <w:r w:rsidRPr="00D55EAA">
              <w:rPr>
                <w:rStyle w:val="Hipercze"/>
                <w:i/>
                <w:noProof/>
              </w:rPr>
              <w:t>egłosowanego budżetu</w:t>
            </w:r>
            <w:r w:rsidR="001C6403" w:rsidRPr="00D55EAA">
              <w:rPr>
                <w:rStyle w:val="Hipercze"/>
                <w:i/>
                <w:noProof/>
              </w:rPr>
              <w:t xml:space="preserve"> w</w:t>
            </w:r>
            <w:r w:rsidR="001C6403">
              <w:rPr>
                <w:rStyle w:val="Hipercze"/>
                <w:i/>
                <w:noProof/>
              </w:rPr>
              <w:t> </w:t>
            </w:r>
            <w:r w:rsidR="001C6403" w:rsidRPr="00D55EAA">
              <w:rPr>
                <w:rStyle w:val="Hipercze"/>
                <w:i/>
                <w:noProof/>
              </w:rPr>
              <w:t>mln</w:t>
            </w:r>
            <w:r w:rsidRPr="00D55EAA">
              <w:rPr>
                <w:rStyle w:val="Hipercze"/>
                <w:i/>
                <w:noProof/>
              </w:rPr>
              <w:t xml:space="preserve"> EUR (do trzech miejsc po przecinku)</w:t>
            </w:r>
            <w:r>
              <w:rPr>
                <w:noProof/>
                <w:webHidden/>
              </w:rPr>
              <w:tab/>
            </w:r>
            <w:r>
              <w:rPr>
                <w:noProof/>
                <w:webHidden/>
              </w:rPr>
              <w:fldChar w:fldCharType="begin"/>
            </w:r>
            <w:r>
              <w:rPr>
                <w:noProof/>
                <w:webHidden/>
              </w:rPr>
              <w:instrText xml:space="preserve"> PAGEREF _Toc210923280 \h </w:instrText>
            </w:r>
            <w:r>
              <w:rPr>
                <w:noProof/>
                <w:webHidden/>
              </w:rPr>
            </w:r>
            <w:r>
              <w:rPr>
                <w:noProof/>
                <w:webHidden/>
              </w:rPr>
              <w:fldChar w:fldCharType="separate"/>
            </w:r>
            <w:r>
              <w:rPr>
                <w:noProof/>
                <w:webHidden/>
              </w:rPr>
              <w:t>14</w:t>
            </w:r>
            <w:r>
              <w:rPr>
                <w:noProof/>
                <w:webHidden/>
              </w:rPr>
              <w:fldChar w:fldCharType="end"/>
            </w:r>
          </w:hyperlink>
        </w:p>
        <w:p w14:paraId="07BC0C3F" w14:textId="759D022E"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1" w:history="1">
            <w:r w:rsidRPr="00D55EAA">
              <w:rPr>
                <w:rStyle w:val="Hipercze"/>
                <w:i/>
                <w:noProof/>
              </w:rPr>
              <w:t>3.2.2.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Szacowany produkt finansowany ze środków operacyjnych</w:t>
            </w:r>
            <w:r w:rsidRPr="00D55EAA">
              <w:rPr>
                <w:rStyle w:val="Hipercze"/>
                <w:noProof/>
              </w:rPr>
              <w:t xml:space="preserve"> </w:t>
            </w:r>
            <w:r w:rsidRPr="00D55EAA">
              <w:rPr>
                <w:rStyle w:val="Hipercze"/>
                <w:i/>
                <w:iCs/>
                <w:noProof/>
              </w:rPr>
              <w:t>(nie wypełniać</w:t>
            </w:r>
            <w:r w:rsidR="001C6403" w:rsidRPr="00D55EAA">
              <w:rPr>
                <w:rStyle w:val="Hipercze"/>
                <w:i/>
                <w:iCs/>
                <w:noProof/>
              </w:rPr>
              <w:t xml:space="preserve"> w</w:t>
            </w:r>
            <w:r w:rsidR="001C6403">
              <w:rPr>
                <w:rStyle w:val="Hipercze"/>
                <w:i/>
                <w:iCs/>
                <w:noProof/>
              </w:rPr>
              <w:t> </w:t>
            </w:r>
            <w:r w:rsidR="001C6403" w:rsidRPr="00D55EAA">
              <w:rPr>
                <w:rStyle w:val="Hipercze"/>
                <w:i/>
                <w:iCs/>
                <w:noProof/>
              </w:rPr>
              <w:t>prz</w:t>
            </w:r>
            <w:r w:rsidRPr="00D55EAA">
              <w:rPr>
                <w:rStyle w:val="Hipercze"/>
                <w:i/>
                <w:iCs/>
                <w:noProof/>
              </w:rPr>
              <w:t>ypadku agencji zdecentralizowanych)</w:t>
            </w:r>
            <w:r>
              <w:rPr>
                <w:noProof/>
                <w:webHidden/>
              </w:rPr>
              <w:tab/>
            </w:r>
            <w:r>
              <w:rPr>
                <w:noProof/>
                <w:webHidden/>
              </w:rPr>
              <w:fldChar w:fldCharType="begin"/>
            </w:r>
            <w:r>
              <w:rPr>
                <w:noProof/>
                <w:webHidden/>
              </w:rPr>
              <w:instrText xml:space="preserve"> PAGEREF _Toc210923281 \h </w:instrText>
            </w:r>
            <w:r>
              <w:rPr>
                <w:noProof/>
                <w:webHidden/>
              </w:rPr>
            </w:r>
            <w:r>
              <w:rPr>
                <w:noProof/>
                <w:webHidden/>
              </w:rPr>
              <w:fldChar w:fldCharType="separate"/>
            </w:r>
            <w:r>
              <w:rPr>
                <w:noProof/>
                <w:webHidden/>
              </w:rPr>
              <w:t>16</w:t>
            </w:r>
            <w:r>
              <w:rPr>
                <w:noProof/>
                <w:webHidden/>
              </w:rPr>
              <w:fldChar w:fldCharType="end"/>
            </w:r>
          </w:hyperlink>
        </w:p>
        <w:p w14:paraId="542E7114" w14:textId="2E0CD633"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2" w:history="1">
            <w:r w:rsidRPr="00D55EAA">
              <w:rPr>
                <w:rStyle w:val="Hipercze"/>
                <w:i/>
                <w:noProof/>
              </w:rPr>
              <w:t>3.2.3.</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Podsumowanie szacunkowego wpływu na środki administracyjne</w:t>
            </w:r>
            <w:r>
              <w:rPr>
                <w:noProof/>
                <w:webHidden/>
              </w:rPr>
              <w:tab/>
            </w:r>
            <w:r>
              <w:rPr>
                <w:noProof/>
                <w:webHidden/>
              </w:rPr>
              <w:fldChar w:fldCharType="begin"/>
            </w:r>
            <w:r>
              <w:rPr>
                <w:noProof/>
                <w:webHidden/>
              </w:rPr>
              <w:instrText xml:space="preserve"> PAGEREF _Toc210923282 \h </w:instrText>
            </w:r>
            <w:r>
              <w:rPr>
                <w:noProof/>
                <w:webHidden/>
              </w:rPr>
            </w:r>
            <w:r>
              <w:rPr>
                <w:noProof/>
                <w:webHidden/>
              </w:rPr>
              <w:fldChar w:fldCharType="separate"/>
            </w:r>
            <w:r>
              <w:rPr>
                <w:noProof/>
                <w:webHidden/>
              </w:rPr>
              <w:t>18</w:t>
            </w:r>
            <w:r>
              <w:rPr>
                <w:noProof/>
                <w:webHidden/>
              </w:rPr>
              <w:fldChar w:fldCharType="end"/>
            </w:r>
          </w:hyperlink>
        </w:p>
        <w:p w14:paraId="14B4DBD8" w14:textId="2944753C"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3" w:history="1">
            <w:r w:rsidRPr="00D55EAA">
              <w:rPr>
                <w:rStyle w:val="Hipercze"/>
                <w:i/>
                <w:noProof/>
              </w:rPr>
              <w:t>3.2.3.1. Środki</w:t>
            </w:r>
            <w:r w:rsidR="001C6403" w:rsidRPr="00D55EAA">
              <w:rPr>
                <w:rStyle w:val="Hipercze"/>
                <w:i/>
                <w:noProof/>
              </w:rPr>
              <w:t xml:space="preserve"> z</w:t>
            </w:r>
            <w:r w:rsidR="001C6403">
              <w:rPr>
                <w:rStyle w:val="Hipercze"/>
                <w:i/>
                <w:noProof/>
              </w:rPr>
              <w:t> </w:t>
            </w:r>
            <w:r w:rsidR="001C6403" w:rsidRPr="00D55EAA">
              <w:rPr>
                <w:rStyle w:val="Hipercze"/>
                <w:i/>
                <w:noProof/>
              </w:rPr>
              <w:t>uch</w:t>
            </w:r>
            <w:r w:rsidRPr="00D55EAA">
              <w:rPr>
                <w:rStyle w:val="Hipercze"/>
                <w:i/>
                <w:noProof/>
              </w:rPr>
              <w:t>walonego budżetu</w:t>
            </w:r>
            <w:r>
              <w:rPr>
                <w:noProof/>
                <w:webHidden/>
              </w:rPr>
              <w:tab/>
            </w:r>
            <w:r>
              <w:rPr>
                <w:noProof/>
                <w:webHidden/>
              </w:rPr>
              <w:fldChar w:fldCharType="begin"/>
            </w:r>
            <w:r>
              <w:rPr>
                <w:noProof/>
                <w:webHidden/>
              </w:rPr>
              <w:instrText xml:space="preserve"> PAGEREF _Toc210923283 \h </w:instrText>
            </w:r>
            <w:r>
              <w:rPr>
                <w:noProof/>
                <w:webHidden/>
              </w:rPr>
            </w:r>
            <w:r>
              <w:rPr>
                <w:noProof/>
                <w:webHidden/>
              </w:rPr>
              <w:fldChar w:fldCharType="separate"/>
            </w:r>
            <w:r>
              <w:rPr>
                <w:noProof/>
                <w:webHidden/>
              </w:rPr>
              <w:t>18</w:t>
            </w:r>
            <w:r>
              <w:rPr>
                <w:noProof/>
                <w:webHidden/>
              </w:rPr>
              <w:fldChar w:fldCharType="end"/>
            </w:r>
          </w:hyperlink>
        </w:p>
        <w:p w14:paraId="79629D32" w14:textId="764AEA92"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4" w:history="1">
            <w:r w:rsidRPr="00D55EAA">
              <w:rPr>
                <w:rStyle w:val="Hipercze"/>
                <w:i/>
                <w:noProof/>
              </w:rPr>
              <w:t>3.2.3.2.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Środki</w:t>
            </w:r>
            <w:r w:rsidR="001C6403" w:rsidRPr="00D55EAA">
              <w:rPr>
                <w:rStyle w:val="Hipercze"/>
                <w:i/>
                <w:noProof/>
              </w:rPr>
              <w:t xml:space="preserve"> z</w:t>
            </w:r>
            <w:r w:rsidR="001C6403">
              <w:rPr>
                <w:rStyle w:val="Hipercze"/>
                <w:i/>
                <w:noProof/>
              </w:rPr>
              <w:t> </w:t>
            </w:r>
            <w:r w:rsidR="001C6403" w:rsidRPr="00D55EAA">
              <w:rPr>
                <w:rStyle w:val="Hipercze"/>
                <w:i/>
                <w:noProof/>
              </w:rPr>
              <w:t>zew</w:t>
            </w:r>
            <w:r w:rsidRPr="00D55EAA">
              <w:rPr>
                <w:rStyle w:val="Hipercze"/>
                <w:i/>
                <w:noProof/>
              </w:rPr>
              <w:t>nętrznych dochodów przeznaczonych na określony cel (nd.)</w:t>
            </w:r>
            <w:r>
              <w:rPr>
                <w:noProof/>
                <w:webHidden/>
              </w:rPr>
              <w:tab/>
            </w:r>
            <w:r>
              <w:rPr>
                <w:noProof/>
                <w:webHidden/>
              </w:rPr>
              <w:fldChar w:fldCharType="begin"/>
            </w:r>
            <w:r>
              <w:rPr>
                <w:noProof/>
                <w:webHidden/>
              </w:rPr>
              <w:instrText xml:space="preserve"> PAGEREF _Toc210923284 \h </w:instrText>
            </w:r>
            <w:r>
              <w:rPr>
                <w:noProof/>
                <w:webHidden/>
              </w:rPr>
            </w:r>
            <w:r>
              <w:rPr>
                <w:noProof/>
                <w:webHidden/>
              </w:rPr>
              <w:fldChar w:fldCharType="separate"/>
            </w:r>
            <w:r>
              <w:rPr>
                <w:noProof/>
                <w:webHidden/>
              </w:rPr>
              <w:t>18</w:t>
            </w:r>
            <w:r>
              <w:rPr>
                <w:noProof/>
                <w:webHidden/>
              </w:rPr>
              <w:fldChar w:fldCharType="end"/>
            </w:r>
          </w:hyperlink>
        </w:p>
        <w:p w14:paraId="57357C0D" w14:textId="41E961F6"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5" w:history="1">
            <w:r w:rsidRPr="00D55EAA">
              <w:rPr>
                <w:rStyle w:val="Hipercze"/>
                <w:i/>
                <w:noProof/>
              </w:rPr>
              <w:t>3.2.4.</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Szacowane zapotrzebowanie na zasoby ludzkie</w:t>
            </w:r>
            <w:r>
              <w:rPr>
                <w:noProof/>
                <w:webHidden/>
              </w:rPr>
              <w:tab/>
            </w:r>
            <w:r>
              <w:rPr>
                <w:noProof/>
                <w:webHidden/>
              </w:rPr>
              <w:fldChar w:fldCharType="begin"/>
            </w:r>
            <w:r>
              <w:rPr>
                <w:noProof/>
                <w:webHidden/>
              </w:rPr>
              <w:instrText xml:space="preserve"> PAGEREF _Toc210923285 \h </w:instrText>
            </w:r>
            <w:r>
              <w:rPr>
                <w:noProof/>
                <w:webHidden/>
              </w:rPr>
            </w:r>
            <w:r>
              <w:rPr>
                <w:noProof/>
                <w:webHidden/>
              </w:rPr>
              <w:fldChar w:fldCharType="separate"/>
            </w:r>
            <w:r>
              <w:rPr>
                <w:noProof/>
                <w:webHidden/>
              </w:rPr>
              <w:t>19</w:t>
            </w:r>
            <w:r>
              <w:rPr>
                <w:noProof/>
                <w:webHidden/>
              </w:rPr>
              <w:fldChar w:fldCharType="end"/>
            </w:r>
          </w:hyperlink>
        </w:p>
        <w:p w14:paraId="39E4E659" w14:textId="2C1C1ABC"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6" w:history="1">
            <w:r w:rsidRPr="00D55EAA">
              <w:rPr>
                <w:rStyle w:val="Hipercze"/>
                <w:i/>
                <w:noProof/>
              </w:rPr>
              <w:t>3.2.4.1.</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Finansowane</w:t>
            </w:r>
            <w:r w:rsidR="001C6403" w:rsidRPr="00D55EAA">
              <w:rPr>
                <w:rStyle w:val="Hipercze"/>
                <w:i/>
                <w:noProof/>
              </w:rPr>
              <w:t xml:space="preserve"> z</w:t>
            </w:r>
            <w:r w:rsidR="001C6403">
              <w:rPr>
                <w:rStyle w:val="Hipercze"/>
                <w:i/>
                <w:noProof/>
              </w:rPr>
              <w:t> </w:t>
            </w:r>
            <w:r w:rsidR="001C6403" w:rsidRPr="00D55EAA">
              <w:rPr>
                <w:rStyle w:val="Hipercze"/>
                <w:i/>
                <w:noProof/>
              </w:rPr>
              <w:t>uch</w:t>
            </w:r>
            <w:r w:rsidRPr="00D55EAA">
              <w:rPr>
                <w:rStyle w:val="Hipercze"/>
                <w:i/>
                <w:noProof/>
              </w:rPr>
              <w:t>walonego budżetu</w:t>
            </w:r>
            <w:r>
              <w:rPr>
                <w:noProof/>
                <w:webHidden/>
              </w:rPr>
              <w:tab/>
            </w:r>
            <w:r>
              <w:rPr>
                <w:noProof/>
                <w:webHidden/>
              </w:rPr>
              <w:fldChar w:fldCharType="begin"/>
            </w:r>
            <w:r>
              <w:rPr>
                <w:noProof/>
                <w:webHidden/>
              </w:rPr>
              <w:instrText xml:space="preserve"> PAGEREF _Toc210923286 \h </w:instrText>
            </w:r>
            <w:r>
              <w:rPr>
                <w:noProof/>
                <w:webHidden/>
              </w:rPr>
            </w:r>
            <w:r>
              <w:rPr>
                <w:noProof/>
                <w:webHidden/>
              </w:rPr>
              <w:fldChar w:fldCharType="separate"/>
            </w:r>
            <w:r>
              <w:rPr>
                <w:noProof/>
                <w:webHidden/>
              </w:rPr>
              <w:t>19</w:t>
            </w:r>
            <w:r>
              <w:rPr>
                <w:noProof/>
                <w:webHidden/>
              </w:rPr>
              <w:fldChar w:fldCharType="end"/>
            </w:r>
          </w:hyperlink>
        </w:p>
        <w:p w14:paraId="1D65C631" w14:textId="7C1A7C77"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7" w:history="1">
            <w:r w:rsidRPr="00D55EAA">
              <w:rPr>
                <w:rStyle w:val="Hipercze"/>
                <w:i/>
                <w:noProof/>
              </w:rPr>
              <w:t>3.2.4.2.</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Finansowane</w:t>
            </w:r>
            <w:r w:rsidR="001C6403" w:rsidRPr="00D55EAA">
              <w:rPr>
                <w:rStyle w:val="Hipercze"/>
                <w:i/>
                <w:noProof/>
              </w:rPr>
              <w:t xml:space="preserve"> z</w:t>
            </w:r>
            <w:r w:rsidR="001C6403">
              <w:rPr>
                <w:rStyle w:val="Hipercze"/>
                <w:i/>
                <w:noProof/>
              </w:rPr>
              <w:t> </w:t>
            </w:r>
            <w:r w:rsidR="001C6403" w:rsidRPr="00D55EAA">
              <w:rPr>
                <w:rStyle w:val="Hipercze"/>
                <w:i/>
                <w:noProof/>
              </w:rPr>
              <w:t>zew</w:t>
            </w:r>
            <w:r w:rsidRPr="00D55EAA">
              <w:rPr>
                <w:rStyle w:val="Hipercze"/>
                <w:i/>
                <w:noProof/>
              </w:rPr>
              <w:t>nętrznych dochodów przeznaczonych na określony cel (nd.)</w:t>
            </w:r>
            <w:r>
              <w:rPr>
                <w:noProof/>
                <w:webHidden/>
              </w:rPr>
              <w:tab/>
            </w:r>
            <w:r>
              <w:rPr>
                <w:noProof/>
                <w:webHidden/>
              </w:rPr>
              <w:fldChar w:fldCharType="begin"/>
            </w:r>
            <w:r>
              <w:rPr>
                <w:noProof/>
                <w:webHidden/>
              </w:rPr>
              <w:instrText xml:space="preserve"> PAGEREF _Toc210923287 \h </w:instrText>
            </w:r>
            <w:r>
              <w:rPr>
                <w:noProof/>
                <w:webHidden/>
              </w:rPr>
            </w:r>
            <w:r>
              <w:rPr>
                <w:noProof/>
                <w:webHidden/>
              </w:rPr>
              <w:fldChar w:fldCharType="separate"/>
            </w:r>
            <w:r>
              <w:rPr>
                <w:noProof/>
                <w:webHidden/>
              </w:rPr>
              <w:t>20</w:t>
            </w:r>
            <w:r>
              <w:rPr>
                <w:noProof/>
                <w:webHidden/>
              </w:rPr>
              <w:fldChar w:fldCharType="end"/>
            </w:r>
          </w:hyperlink>
        </w:p>
        <w:p w14:paraId="647101D1" w14:textId="0F0B69DD" w:rsidR="001357D3" w:rsidRDefault="001357D3">
          <w:pPr>
            <w:pStyle w:val="Spistreci3"/>
            <w:rPr>
              <w:rFonts w:asciiTheme="minorHAnsi" w:eastAsiaTheme="minorEastAsia" w:hAnsiTheme="minorHAnsi" w:cstheme="minorBidi"/>
              <w:noProof/>
              <w:kern w:val="2"/>
              <w:szCs w:val="24"/>
              <w:lang w:val="en-IE" w:eastAsia="en-IE"/>
              <w14:ligatures w14:val="standardContextual"/>
            </w:rPr>
          </w:pPr>
          <w:hyperlink w:anchor="_Toc210923288" w:history="1">
            <w:r w:rsidRPr="00D55EAA">
              <w:rPr>
                <w:rStyle w:val="Hipercze"/>
                <w:i/>
                <w:noProof/>
              </w:rPr>
              <w:t>3.2.5.</w:t>
            </w:r>
            <w:r>
              <w:rPr>
                <w:rFonts w:asciiTheme="minorHAnsi" w:eastAsiaTheme="minorEastAsia" w:hAnsiTheme="minorHAnsi" w:cstheme="minorBidi"/>
                <w:noProof/>
                <w:kern w:val="2"/>
                <w:szCs w:val="24"/>
                <w:lang w:val="en-IE" w:eastAsia="en-IE"/>
                <w14:ligatures w14:val="standardContextual"/>
              </w:rPr>
              <w:tab/>
            </w:r>
            <w:r w:rsidRPr="00D55EAA">
              <w:rPr>
                <w:rStyle w:val="Hipercze"/>
                <w:i/>
                <w:noProof/>
              </w:rPr>
              <w:t>Przegląd szacowanego wpływu na inwestycje związane</w:t>
            </w:r>
            <w:r w:rsidR="001C6403" w:rsidRPr="00D55EAA">
              <w:rPr>
                <w:rStyle w:val="Hipercze"/>
                <w:i/>
                <w:noProof/>
              </w:rPr>
              <w:t xml:space="preserve"> z</w:t>
            </w:r>
            <w:r w:rsidR="001C6403">
              <w:rPr>
                <w:rStyle w:val="Hipercze"/>
                <w:i/>
                <w:noProof/>
              </w:rPr>
              <w:t> </w:t>
            </w:r>
            <w:r w:rsidR="001C6403" w:rsidRPr="00D55EAA">
              <w:rPr>
                <w:rStyle w:val="Hipercze"/>
                <w:i/>
                <w:noProof/>
              </w:rPr>
              <w:t>tec</w:t>
            </w:r>
            <w:r w:rsidRPr="00D55EAA">
              <w:rPr>
                <w:rStyle w:val="Hipercze"/>
                <w:i/>
                <w:noProof/>
              </w:rPr>
              <w:t>hnologiami cyfrowymi</w:t>
            </w:r>
            <w:r>
              <w:rPr>
                <w:noProof/>
                <w:webHidden/>
              </w:rPr>
              <w:tab/>
            </w:r>
            <w:r>
              <w:rPr>
                <w:noProof/>
                <w:webHidden/>
              </w:rPr>
              <w:fldChar w:fldCharType="begin"/>
            </w:r>
            <w:r>
              <w:rPr>
                <w:noProof/>
                <w:webHidden/>
              </w:rPr>
              <w:instrText xml:space="preserve"> PAGEREF _Toc210923288 \h </w:instrText>
            </w:r>
            <w:r>
              <w:rPr>
                <w:noProof/>
                <w:webHidden/>
              </w:rPr>
            </w:r>
            <w:r>
              <w:rPr>
                <w:noProof/>
                <w:webHidden/>
              </w:rPr>
              <w:fldChar w:fldCharType="separate"/>
            </w:r>
            <w:r>
              <w:rPr>
                <w:noProof/>
                <w:webHidden/>
              </w:rPr>
              <w:t>22</w:t>
            </w:r>
            <w:r>
              <w:rPr>
                <w:noProof/>
                <w:webHidden/>
              </w:rPr>
              <w:fldChar w:fldCharType="end"/>
            </w:r>
          </w:hyperlink>
        </w:p>
        <w:p w14:paraId="5E5F9BB8" w14:textId="389DE170" w:rsidR="001357D3" w:rsidRDefault="001357D3">
          <w:pPr>
            <w:pStyle w:val="Spistreci1"/>
            <w:rPr>
              <w:rFonts w:asciiTheme="minorHAnsi" w:eastAsiaTheme="minorEastAsia" w:hAnsiTheme="minorHAnsi" w:cstheme="minorBidi"/>
              <w:noProof/>
              <w:kern w:val="2"/>
              <w:szCs w:val="24"/>
              <w:lang w:val="en-IE" w:eastAsia="en-IE"/>
              <w14:ligatures w14:val="standardContextual"/>
            </w:rPr>
          </w:pPr>
          <w:hyperlink w:anchor="_Toc210923289" w:history="1">
            <w:r w:rsidRPr="00D55EAA">
              <w:rPr>
                <w:rStyle w:val="Hipercze"/>
                <w:noProof/>
              </w:rPr>
              <w:t>4.</w:t>
            </w:r>
            <w:r>
              <w:rPr>
                <w:rFonts w:asciiTheme="minorHAnsi" w:eastAsiaTheme="minorEastAsia" w:hAnsiTheme="minorHAnsi" w:cstheme="minorBidi"/>
                <w:noProof/>
                <w:kern w:val="2"/>
                <w:szCs w:val="24"/>
                <w:lang w:val="en-IE" w:eastAsia="en-IE"/>
                <w14:ligatures w14:val="standardContextual"/>
              </w:rPr>
              <w:tab/>
            </w:r>
            <w:r w:rsidRPr="00D55EAA">
              <w:rPr>
                <w:rStyle w:val="Hipercze"/>
                <w:caps/>
                <w:noProof/>
              </w:rPr>
              <w:t>Wymiar cyfrowy</w:t>
            </w:r>
            <w:r>
              <w:rPr>
                <w:noProof/>
                <w:webHidden/>
              </w:rPr>
              <w:tab/>
            </w:r>
            <w:r>
              <w:rPr>
                <w:noProof/>
                <w:webHidden/>
              </w:rPr>
              <w:fldChar w:fldCharType="begin"/>
            </w:r>
            <w:r>
              <w:rPr>
                <w:noProof/>
                <w:webHidden/>
              </w:rPr>
              <w:instrText xml:space="preserve"> PAGEREF _Toc210923289 \h </w:instrText>
            </w:r>
            <w:r>
              <w:rPr>
                <w:noProof/>
                <w:webHidden/>
              </w:rPr>
            </w:r>
            <w:r>
              <w:rPr>
                <w:noProof/>
                <w:webHidden/>
              </w:rPr>
              <w:fldChar w:fldCharType="separate"/>
            </w:r>
            <w:r>
              <w:rPr>
                <w:noProof/>
                <w:webHidden/>
              </w:rPr>
              <w:t>24</w:t>
            </w:r>
            <w:r>
              <w:rPr>
                <w:noProof/>
                <w:webHidden/>
              </w:rPr>
              <w:fldChar w:fldCharType="end"/>
            </w:r>
          </w:hyperlink>
        </w:p>
        <w:p w14:paraId="14E5D829" w14:textId="3744F7BE"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90" w:history="1">
            <w:r w:rsidRPr="00D55EAA">
              <w:rPr>
                <w:rStyle w:val="Hipercze"/>
                <w:b/>
                <w:noProof/>
              </w:rPr>
              <w:t>4.1.</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Wymogi cyfrowe</w:t>
            </w:r>
            <w:r>
              <w:rPr>
                <w:noProof/>
                <w:webHidden/>
              </w:rPr>
              <w:tab/>
            </w:r>
            <w:r>
              <w:rPr>
                <w:noProof/>
                <w:webHidden/>
              </w:rPr>
              <w:fldChar w:fldCharType="begin"/>
            </w:r>
            <w:r>
              <w:rPr>
                <w:noProof/>
                <w:webHidden/>
              </w:rPr>
              <w:instrText xml:space="preserve"> PAGEREF _Toc210923290 \h </w:instrText>
            </w:r>
            <w:r>
              <w:rPr>
                <w:noProof/>
                <w:webHidden/>
              </w:rPr>
            </w:r>
            <w:r>
              <w:rPr>
                <w:noProof/>
                <w:webHidden/>
              </w:rPr>
              <w:fldChar w:fldCharType="separate"/>
            </w:r>
            <w:r>
              <w:rPr>
                <w:noProof/>
                <w:webHidden/>
              </w:rPr>
              <w:t>24</w:t>
            </w:r>
            <w:r>
              <w:rPr>
                <w:noProof/>
                <w:webHidden/>
              </w:rPr>
              <w:fldChar w:fldCharType="end"/>
            </w:r>
          </w:hyperlink>
        </w:p>
        <w:p w14:paraId="50A2491A" w14:textId="36CFFDC9"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91" w:history="1">
            <w:r w:rsidRPr="00D55EAA">
              <w:rPr>
                <w:rStyle w:val="Hipercze"/>
                <w:b/>
                <w:noProof/>
              </w:rPr>
              <w:t>4.2.</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Dane</w:t>
            </w:r>
            <w:r>
              <w:rPr>
                <w:noProof/>
                <w:webHidden/>
              </w:rPr>
              <w:tab/>
            </w:r>
            <w:r>
              <w:rPr>
                <w:noProof/>
                <w:webHidden/>
              </w:rPr>
              <w:fldChar w:fldCharType="begin"/>
            </w:r>
            <w:r>
              <w:rPr>
                <w:noProof/>
                <w:webHidden/>
              </w:rPr>
              <w:instrText xml:space="preserve"> PAGEREF _Toc210923291 \h </w:instrText>
            </w:r>
            <w:r>
              <w:rPr>
                <w:noProof/>
                <w:webHidden/>
              </w:rPr>
            </w:r>
            <w:r>
              <w:rPr>
                <w:noProof/>
                <w:webHidden/>
              </w:rPr>
              <w:fldChar w:fldCharType="separate"/>
            </w:r>
            <w:r>
              <w:rPr>
                <w:noProof/>
                <w:webHidden/>
              </w:rPr>
              <w:t>26</w:t>
            </w:r>
            <w:r>
              <w:rPr>
                <w:noProof/>
                <w:webHidden/>
              </w:rPr>
              <w:fldChar w:fldCharType="end"/>
            </w:r>
          </w:hyperlink>
        </w:p>
        <w:p w14:paraId="7CDB4ABA" w14:textId="365FFC07"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92" w:history="1">
            <w:r w:rsidRPr="00D55EAA">
              <w:rPr>
                <w:rStyle w:val="Hipercze"/>
                <w:b/>
                <w:noProof/>
              </w:rPr>
              <w:t>4.3.</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Rozwiązania cyfrowe</w:t>
            </w:r>
            <w:r>
              <w:rPr>
                <w:noProof/>
                <w:webHidden/>
              </w:rPr>
              <w:tab/>
            </w:r>
            <w:r>
              <w:rPr>
                <w:noProof/>
                <w:webHidden/>
              </w:rPr>
              <w:fldChar w:fldCharType="begin"/>
            </w:r>
            <w:r>
              <w:rPr>
                <w:noProof/>
                <w:webHidden/>
              </w:rPr>
              <w:instrText xml:space="preserve"> PAGEREF _Toc210923292 \h </w:instrText>
            </w:r>
            <w:r>
              <w:rPr>
                <w:noProof/>
                <w:webHidden/>
              </w:rPr>
            </w:r>
            <w:r>
              <w:rPr>
                <w:noProof/>
                <w:webHidden/>
              </w:rPr>
              <w:fldChar w:fldCharType="separate"/>
            </w:r>
            <w:r>
              <w:rPr>
                <w:noProof/>
                <w:webHidden/>
              </w:rPr>
              <w:t>28</w:t>
            </w:r>
            <w:r>
              <w:rPr>
                <w:noProof/>
                <w:webHidden/>
              </w:rPr>
              <w:fldChar w:fldCharType="end"/>
            </w:r>
          </w:hyperlink>
        </w:p>
        <w:p w14:paraId="03CEAB13" w14:textId="7CFAC3DD"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93" w:history="1">
            <w:r w:rsidRPr="00D55EAA">
              <w:rPr>
                <w:rStyle w:val="Hipercze"/>
                <w:b/>
                <w:noProof/>
              </w:rPr>
              <w:t>4.4.</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Ocena interoperacyjności</w:t>
            </w:r>
            <w:r>
              <w:rPr>
                <w:noProof/>
                <w:webHidden/>
              </w:rPr>
              <w:tab/>
            </w:r>
            <w:r>
              <w:rPr>
                <w:noProof/>
                <w:webHidden/>
              </w:rPr>
              <w:fldChar w:fldCharType="begin"/>
            </w:r>
            <w:r>
              <w:rPr>
                <w:noProof/>
                <w:webHidden/>
              </w:rPr>
              <w:instrText xml:space="preserve"> PAGEREF _Toc210923293 \h </w:instrText>
            </w:r>
            <w:r>
              <w:rPr>
                <w:noProof/>
                <w:webHidden/>
              </w:rPr>
            </w:r>
            <w:r>
              <w:rPr>
                <w:noProof/>
                <w:webHidden/>
              </w:rPr>
              <w:fldChar w:fldCharType="separate"/>
            </w:r>
            <w:r>
              <w:rPr>
                <w:noProof/>
                <w:webHidden/>
              </w:rPr>
              <w:t>31</w:t>
            </w:r>
            <w:r>
              <w:rPr>
                <w:noProof/>
                <w:webHidden/>
              </w:rPr>
              <w:fldChar w:fldCharType="end"/>
            </w:r>
          </w:hyperlink>
        </w:p>
        <w:p w14:paraId="2A85A1CA" w14:textId="6422DE4A" w:rsidR="001357D3" w:rsidRDefault="001357D3">
          <w:pPr>
            <w:pStyle w:val="Spistreci2"/>
            <w:rPr>
              <w:rFonts w:asciiTheme="minorHAnsi" w:eastAsiaTheme="minorEastAsia" w:hAnsiTheme="minorHAnsi" w:cstheme="minorBidi"/>
              <w:noProof/>
              <w:kern w:val="2"/>
              <w:szCs w:val="24"/>
              <w:lang w:val="en-IE" w:eastAsia="en-IE"/>
              <w14:ligatures w14:val="standardContextual"/>
            </w:rPr>
          </w:pPr>
          <w:hyperlink w:anchor="_Toc210923294" w:history="1">
            <w:r w:rsidRPr="00D55EAA">
              <w:rPr>
                <w:rStyle w:val="Hipercze"/>
                <w:b/>
                <w:noProof/>
              </w:rPr>
              <w:t>4.5.</w:t>
            </w:r>
            <w:r>
              <w:rPr>
                <w:rFonts w:asciiTheme="minorHAnsi" w:eastAsiaTheme="minorEastAsia" w:hAnsiTheme="minorHAnsi" w:cstheme="minorBidi"/>
                <w:noProof/>
                <w:kern w:val="2"/>
                <w:szCs w:val="24"/>
                <w:lang w:val="en-IE" w:eastAsia="en-IE"/>
                <w14:ligatures w14:val="standardContextual"/>
              </w:rPr>
              <w:tab/>
            </w:r>
            <w:r w:rsidRPr="00D55EAA">
              <w:rPr>
                <w:rStyle w:val="Hipercze"/>
                <w:b/>
                <w:noProof/>
              </w:rPr>
              <w:t>Środki wspierające cyfrowe wdrażanie</w:t>
            </w:r>
            <w:r>
              <w:rPr>
                <w:noProof/>
                <w:webHidden/>
              </w:rPr>
              <w:tab/>
            </w:r>
            <w:r>
              <w:rPr>
                <w:noProof/>
                <w:webHidden/>
              </w:rPr>
              <w:fldChar w:fldCharType="begin"/>
            </w:r>
            <w:r>
              <w:rPr>
                <w:noProof/>
                <w:webHidden/>
              </w:rPr>
              <w:instrText xml:space="preserve"> PAGEREF _Toc210923294 \h </w:instrText>
            </w:r>
            <w:r>
              <w:rPr>
                <w:noProof/>
                <w:webHidden/>
              </w:rPr>
            </w:r>
            <w:r>
              <w:rPr>
                <w:noProof/>
                <w:webHidden/>
              </w:rPr>
              <w:fldChar w:fldCharType="separate"/>
            </w:r>
            <w:r>
              <w:rPr>
                <w:noProof/>
                <w:webHidden/>
              </w:rPr>
              <w:t>31</w:t>
            </w:r>
            <w:r>
              <w:rPr>
                <w:noProof/>
                <w:webHidden/>
              </w:rPr>
              <w:fldChar w:fldCharType="end"/>
            </w:r>
          </w:hyperlink>
        </w:p>
        <w:p w14:paraId="100FAD8E" w14:textId="28B69E11" w:rsidR="001357D3" w:rsidRDefault="001357D3">
          <w:pPr>
            <w:rPr>
              <w:noProof/>
            </w:rPr>
          </w:pPr>
          <w:r>
            <w:rPr>
              <w:b/>
              <w:bCs/>
              <w:noProof/>
            </w:rPr>
            <w:fldChar w:fldCharType="end"/>
          </w:r>
        </w:p>
      </w:sdtContent>
    </w:sdt>
    <w:p w14:paraId="29847964" w14:textId="116974FF" w:rsidR="00FA0CA8" w:rsidRPr="001357D3" w:rsidRDefault="00FA0CA8" w:rsidP="004B567E">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sectPr w:rsidR="00FA0CA8" w:rsidRPr="001357D3" w:rsidSect="007B3949">
          <w:footnotePr>
            <w:numRestart w:val="eachSect"/>
          </w:footnotePr>
          <w:pgSz w:w="11907" w:h="16840" w:code="9"/>
          <w:pgMar w:top="1134" w:right="1418" w:bottom="1134" w:left="1418" w:header="709" w:footer="709" w:gutter="0"/>
          <w:pgNumType w:start="1"/>
          <w:cols w:space="720"/>
          <w:docGrid w:linePitch="360"/>
        </w:sectPr>
      </w:pPr>
      <w:r w:rsidRPr="001357D3">
        <w:rPr>
          <w:noProof/>
        </w:rPr>
        <w:tab/>
      </w:r>
    </w:p>
    <w:p w14:paraId="5A31BE21" w14:textId="0D278B5F" w:rsidR="00FA0CA8" w:rsidRPr="001357D3" w:rsidRDefault="00FA0CA8" w:rsidP="00FA0CA8">
      <w:pPr>
        <w:keepNext/>
        <w:tabs>
          <w:tab w:val="left" w:pos="850"/>
        </w:tabs>
        <w:spacing w:before="360"/>
        <w:ind w:left="850" w:hanging="850"/>
        <w:outlineLvl w:val="0"/>
        <w:rPr>
          <w:b/>
          <w:smallCaps/>
          <w:noProof/>
        </w:rPr>
      </w:pPr>
      <w:bookmarkStart w:id="51" w:name="_Toc514938007"/>
      <w:bookmarkStart w:id="52" w:name="_Toc520485025"/>
      <w:bookmarkStart w:id="53" w:name="_Toc160804567"/>
      <w:bookmarkStart w:id="54" w:name="_Toc167220259"/>
      <w:bookmarkStart w:id="55" w:name="_Toc177548992"/>
      <w:bookmarkStart w:id="56" w:name="_Toc210923252"/>
      <w:r w:rsidRPr="001357D3">
        <w:rPr>
          <w:b/>
          <w:smallCaps/>
          <w:noProof/>
        </w:rPr>
        <w:lastRenderedPageBreak/>
        <w:t>1.</w:t>
      </w:r>
      <w:r w:rsidRPr="001357D3">
        <w:rPr>
          <w:noProof/>
        </w:rPr>
        <w:tab/>
      </w:r>
      <w:r w:rsidRPr="001357D3">
        <w:rPr>
          <w:b/>
          <w:smallCaps/>
          <w:noProof/>
        </w:rPr>
        <w:t>STRUKTURA WNIOSKU/INICJATYWY</w:t>
      </w:r>
      <w:bookmarkEnd w:id="51"/>
      <w:bookmarkEnd w:id="52"/>
      <w:bookmarkEnd w:id="53"/>
      <w:bookmarkEnd w:id="54"/>
      <w:bookmarkEnd w:id="55"/>
      <w:bookmarkEnd w:id="56"/>
    </w:p>
    <w:p w14:paraId="4157D8CC" w14:textId="77777777" w:rsidR="00FA0CA8" w:rsidRPr="001357D3" w:rsidRDefault="00FA0CA8" w:rsidP="00FA0CA8">
      <w:pPr>
        <w:keepNext/>
        <w:tabs>
          <w:tab w:val="left" w:pos="850"/>
        </w:tabs>
        <w:ind w:left="850" w:hanging="850"/>
        <w:outlineLvl w:val="1"/>
        <w:rPr>
          <w:b/>
          <w:noProof/>
        </w:rPr>
      </w:pPr>
      <w:bookmarkStart w:id="57" w:name="_Toc514938008"/>
      <w:bookmarkStart w:id="58" w:name="_Toc520485026"/>
      <w:bookmarkStart w:id="59" w:name="_Toc160804568"/>
      <w:bookmarkStart w:id="60" w:name="_Toc167220260"/>
      <w:bookmarkStart w:id="61" w:name="_Toc177548993"/>
      <w:bookmarkStart w:id="62" w:name="_Toc210923253"/>
      <w:r w:rsidRPr="001357D3">
        <w:rPr>
          <w:b/>
          <w:noProof/>
        </w:rPr>
        <w:t>1.1.</w:t>
      </w:r>
      <w:r w:rsidRPr="001357D3">
        <w:rPr>
          <w:noProof/>
        </w:rPr>
        <w:tab/>
      </w:r>
      <w:r w:rsidRPr="001357D3">
        <w:rPr>
          <w:b/>
          <w:noProof/>
        </w:rPr>
        <w:t>Tytuł wniosku/inicjatywy</w:t>
      </w:r>
      <w:bookmarkEnd w:id="57"/>
      <w:bookmarkEnd w:id="58"/>
      <w:bookmarkEnd w:id="59"/>
      <w:bookmarkEnd w:id="60"/>
      <w:bookmarkEnd w:id="61"/>
      <w:bookmarkEnd w:id="62"/>
    </w:p>
    <w:p w14:paraId="6224D7A9" w14:textId="1907F21F"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rPr>
      </w:pPr>
      <w:r w:rsidRPr="001357D3">
        <w:rPr>
          <w:noProof/>
        </w:rPr>
        <w:t>Wniosek dotyczący rozporządzenia Parlamentu Europejskiego</w:t>
      </w:r>
      <w:r w:rsidR="001C6403" w:rsidRPr="001357D3">
        <w:rPr>
          <w:noProof/>
        </w:rPr>
        <w:t xml:space="preserve"> i</w:t>
      </w:r>
      <w:r w:rsidR="001C6403">
        <w:rPr>
          <w:noProof/>
        </w:rPr>
        <w:t> </w:t>
      </w:r>
      <w:r w:rsidR="001C6403" w:rsidRPr="001357D3">
        <w:rPr>
          <w:noProof/>
        </w:rPr>
        <w:t>Rad</w:t>
      </w:r>
      <w:r w:rsidRPr="001357D3">
        <w:rPr>
          <w:noProof/>
        </w:rPr>
        <w:t>y ustanawiającego program „Sprawiedliwość” na lata 2028–2034</w:t>
      </w:r>
      <w:r w:rsidR="001C6403" w:rsidRPr="001357D3">
        <w:rPr>
          <w:noProof/>
        </w:rPr>
        <w:t xml:space="preserve"> i</w:t>
      </w:r>
      <w:r w:rsidR="001C6403">
        <w:rPr>
          <w:noProof/>
        </w:rPr>
        <w:t> </w:t>
      </w:r>
      <w:r w:rsidR="001C6403" w:rsidRPr="001357D3">
        <w:rPr>
          <w:noProof/>
        </w:rPr>
        <w:t>uch</w:t>
      </w:r>
      <w:r w:rsidRPr="001357D3">
        <w:rPr>
          <w:noProof/>
        </w:rPr>
        <w:t>ylającego rozporządzenie (UE) 2021/693.</w:t>
      </w:r>
    </w:p>
    <w:p w14:paraId="3A724829" w14:textId="6280113B" w:rsidR="00FA0CA8" w:rsidRPr="001357D3" w:rsidRDefault="00FA0CA8" w:rsidP="00FA0CA8">
      <w:pPr>
        <w:keepNext/>
        <w:tabs>
          <w:tab w:val="left" w:pos="850"/>
        </w:tabs>
        <w:ind w:left="850" w:hanging="850"/>
        <w:outlineLvl w:val="1"/>
        <w:rPr>
          <w:b/>
          <w:i/>
          <w:iCs/>
          <w:noProof/>
        </w:rPr>
      </w:pPr>
      <w:bookmarkStart w:id="63" w:name="_Toc514938011"/>
      <w:bookmarkStart w:id="64" w:name="_Toc520485027"/>
      <w:bookmarkStart w:id="65" w:name="_Toc160804569"/>
      <w:bookmarkStart w:id="66" w:name="_Toc167220261"/>
      <w:bookmarkStart w:id="67" w:name="_Toc177548994"/>
      <w:bookmarkStart w:id="68" w:name="_Toc210923254"/>
      <w:r w:rsidRPr="001357D3">
        <w:rPr>
          <w:b/>
          <w:noProof/>
        </w:rPr>
        <w:t>1.2.</w:t>
      </w:r>
      <w:r w:rsidRPr="001357D3">
        <w:rPr>
          <w:noProof/>
        </w:rPr>
        <w:tab/>
      </w:r>
      <w:r w:rsidRPr="001357D3">
        <w:rPr>
          <w:b/>
          <w:noProof/>
        </w:rPr>
        <w:t>Obszary polityki, których dotyczy wniosek/inicjatywa</w:t>
      </w:r>
      <w:bookmarkEnd w:id="63"/>
      <w:bookmarkEnd w:id="64"/>
      <w:bookmarkEnd w:id="65"/>
      <w:bookmarkEnd w:id="66"/>
      <w:bookmarkEnd w:id="67"/>
      <w:bookmarkEnd w:id="68"/>
    </w:p>
    <w:p w14:paraId="4D471799" w14:textId="5820B499"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rPr>
      </w:pPr>
      <w:r w:rsidRPr="001357D3">
        <w:rPr>
          <w:noProof/>
        </w:rPr>
        <w:t>Współpraca sądowa</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szkolenie kadr wymiaru sprawiedliwości, dostęp do wymiaru sprawiedliwości, praworządność, prawa podstawowe.</w:t>
      </w:r>
    </w:p>
    <w:p w14:paraId="3B612618" w14:textId="77777777" w:rsidR="00FA0CA8" w:rsidRPr="00463E26" w:rsidRDefault="00FA0CA8" w:rsidP="00FA0CA8">
      <w:pPr>
        <w:keepNext/>
        <w:tabs>
          <w:tab w:val="left" w:pos="850"/>
        </w:tabs>
        <w:ind w:left="850" w:hanging="850"/>
        <w:outlineLvl w:val="1"/>
        <w:rPr>
          <w:b/>
          <w:noProof/>
          <w:lang w:val="de-DE"/>
        </w:rPr>
      </w:pPr>
      <w:bookmarkStart w:id="69" w:name="_Toc514938015"/>
      <w:bookmarkStart w:id="70" w:name="_Toc520485029"/>
      <w:bookmarkStart w:id="71" w:name="_Toc160804571"/>
      <w:bookmarkStart w:id="72" w:name="_Toc167220263"/>
      <w:bookmarkStart w:id="73" w:name="_Toc177548995"/>
      <w:bookmarkStart w:id="74" w:name="_Toc210923255"/>
      <w:r w:rsidRPr="00463E26">
        <w:rPr>
          <w:b/>
          <w:noProof/>
          <w:lang w:val="de-DE"/>
        </w:rPr>
        <w:t>1.3.</w:t>
      </w:r>
      <w:r w:rsidRPr="00463E26">
        <w:rPr>
          <w:noProof/>
          <w:lang w:val="de-DE"/>
        </w:rPr>
        <w:tab/>
      </w:r>
      <w:r w:rsidRPr="00463E26">
        <w:rPr>
          <w:b/>
          <w:noProof/>
          <w:lang w:val="de-DE"/>
        </w:rPr>
        <w:t>Cel(e)</w:t>
      </w:r>
      <w:bookmarkEnd w:id="69"/>
      <w:bookmarkEnd w:id="70"/>
      <w:bookmarkEnd w:id="71"/>
      <w:bookmarkEnd w:id="72"/>
      <w:bookmarkEnd w:id="73"/>
      <w:bookmarkEnd w:id="74"/>
    </w:p>
    <w:p w14:paraId="18FF3492" w14:textId="77777777" w:rsidR="00FA0CA8" w:rsidRPr="00463E26" w:rsidRDefault="00FA0CA8" w:rsidP="00FA0CA8">
      <w:pPr>
        <w:keepNext/>
        <w:tabs>
          <w:tab w:val="left" w:pos="850"/>
        </w:tabs>
        <w:ind w:left="850" w:hanging="850"/>
        <w:outlineLvl w:val="2"/>
        <w:rPr>
          <w:i/>
          <w:noProof/>
          <w:lang w:val="de-DE"/>
        </w:rPr>
      </w:pPr>
      <w:bookmarkStart w:id="75" w:name="_Toc514938016"/>
      <w:bookmarkStart w:id="76" w:name="_Toc520485030"/>
      <w:bookmarkStart w:id="77" w:name="_Toc160804572"/>
      <w:bookmarkStart w:id="78" w:name="_Toc167220264"/>
      <w:bookmarkStart w:id="79" w:name="_Toc177548996"/>
      <w:bookmarkStart w:id="80" w:name="_Toc210923256"/>
      <w:r w:rsidRPr="00463E26">
        <w:rPr>
          <w:i/>
          <w:noProof/>
          <w:lang w:val="de-DE"/>
        </w:rPr>
        <w:t>1.3.1.</w:t>
      </w:r>
      <w:r w:rsidRPr="00463E26">
        <w:rPr>
          <w:noProof/>
          <w:lang w:val="de-DE"/>
        </w:rPr>
        <w:tab/>
      </w:r>
      <w:r w:rsidRPr="00463E26">
        <w:rPr>
          <w:i/>
          <w:noProof/>
          <w:lang w:val="de-DE"/>
        </w:rPr>
        <w:t>Cel(e) ogólny(-e)</w:t>
      </w:r>
      <w:bookmarkEnd w:id="75"/>
      <w:bookmarkEnd w:id="76"/>
      <w:bookmarkEnd w:id="77"/>
      <w:bookmarkEnd w:id="78"/>
      <w:bookmarkEnd w:id="79"/>
      <w:bookmarkEnd w:id="80"/>
    </w:p>
    <w:p w14:paraId="11909451" w14:textId="3177EAF8"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rPr>
      </w:pPr>
      <w:r w:rsidRPr="001357D3">
        <w:rPr>
          <w:noProof/>
        </w:rPr>
        <w:t>Ogólnym celem Programu jest przyczynianie się do dalszego rozwoju wydajnej, integracyjnej, odpornej</w:t>
      </w:r>
      <w:r w:rsidR="001C6403" w:rsidRPr="001357D3">
        <w:rPr>
          <w:noProof/>
        </w:rPr>
        <w:t xml:space="preserve"> i</w:t>
      </w:r>
      <w:r w:rsidR="001C6403">
        <w:rPr>
          <w:noProof/>
        </w:rPr>
        <w:t> </w:t>
      </w:r>
      <w:r w:rsidR="001C6403" w:rsidRPr="001357D3">
        <w:rPr>
          <w:noProof/>
        </w:rPr>
        <w:t>cyf</w:t>
      </w:r>
      <w:r w:rsidRPr="001357D3">
        <w:rPr>
          <w:noProof/>
        </w:rPr>
        <w:t>rowej unijnej przestrzeni sprawiedliwości, opartej na praworządności, wzajemnym uznawaniu</w:t>
      </w:r>
      <w:r w:rsidR="001C6403" w:rsidRPr="001357D3">
        <w:rPr>
          <w:noProof/>
        </w:rPr>
        <w:t xml:space="preserve"> i</w:t>
      </w:r>
      <w:r w:rsidR="001C6403">
        <w:rPr>
          <w:noProof/>
        </w:rPr>
        <w:t> </w:t>
      </w:r>
      <w:r w:rsidR="001C6403" w:rsidRPr="001357D3">
        <w:rPr>
          <w:noProof/>
        </w:rPr>
        <w:t>wza</w:t>
      </w:r>
      <w:r w:rsidRPr="001357D3">
        <w:rPr>
          <w:noProof/>
        </w:rPr>
        <w:t>jemnym zaufaniu,</w:t>
      </w:r>
      <w:r w:rsidR="001C6403" w:rsidRPr="001357D3">
        <w:rPr>
          <w:noProof/>
        </w:rPr>
        <w:t xml:space="preserve"> a</w:t>
      </w:r>
      <w:r w:rsidR="001C6403">
        <w:rPr>
          <w:noProof/>
        </w:rPr>
        <w:t> </w:t>
      </w:r>
      <w:r w:rsidR="001C6403" w:rsidRPr="001357D3">
        <w:rPr>
          <w:noProof/>
        </w:rPr>
        <w:t>tym</w:t>
      </w:r>
      <w:r w:rsidRPr="001357D3">
        <w:rPr>
          <w:noProof/>
        </w:rPr>
        <w:t xml:space="preserve"> samym wzmacnianie demokracji</w:t>
      </w:r>
      <w:r w:rsidR="001C6403" w:rsidRPr="001357D3">
        <w:rPr>
          <w:noProof/>
        </w:rPr>
        <w:t xml:space="preserve"> i</w:t>
      </w:r>
      <w:r w:rsidR="001C6403">
        <w:rPr>
          <w:noProof/>
        </w:rPr>
        <w:t> </w:t>
      </w:r>
      <w:r w:rsidR="001C6403" w:rsidRPr="001357D3">
        <w:rPr>
          <w:noProof/>
        </w:rPr>
        <w:t>och</w:t>
      </w:r>
      <w:r w:rsidRPr="001357D3">
        <w:rPr>
          <w:noProof/>
        </w:rPr>
        <w:t>rony praw podstawowych oraz przyczynianie się do wzrostu gospodarczego</w:t>
      </w:r>
      <w:r w:rsidR="001C6403" w:rsidRPr="001357D3">
        <w:rPr>
          <w:noProof/>
        </w:rPr>
        <w:t xml:space="preserve"> i</w:t>
      </w:r>
      <w:r w:rsidR="001C6403">
        <w:rPr>
          <w:noProof/>
        </w:rPr>
        <w:t> </w:t>
      </w:r>
      <w:r w:rsidR="001C6403" w:rsidRPr="001357D3">
        <w:rPr>
          <w:noProof/>
        </w:rPr>
        <w:t>kon</w:t>
      </w:r>
      <w:r w:rsidRPr="001357D3">
        <w:rPr>
          <w:noProof/>
        </w:rPr>
        <w:t>kurencyjności Unii,</w:t>
      </w:r>
      <w:r w:rsidR="001C6403" w:rsidRPr="001357D3">
        <w:rPr>
          <w:noProof/>
        </w:rPr>
        <w:t xml:space="preserve"> a</w:t>
      </w:r>
      <w:r w:rsidR="001C6403">
        <w:rPr>
          <w:noProof/>
        </w:rPr>
        <w:t> </w:t>
      </w:r>
      <w:r w:rsidR="001C6403" w:rsidRPr="001357D3">
        <w:rPr>
          <w:noProof/>
        </w:rPr>
        <w:t>tak</w:t>
      </w:r>
      <w:r w:rsidRPr="001357D3">
        <w:rPr>
          <w:noProof/>
        </w:rPr>
        <w:t>że do cyfryzacji wymiaru sprawiedliwości na szczeblu Unii.</w:t>
      </w:r>
    </w:p>
    <w:p w14:paraId="7296A1A4" w14:textId="77777777" w:rsidR="00FA0CA8" w:rsidRPr="001357D3" w:rsidRDefault="00FA0CA8" w:rsidP="00FA0CA8">
      <w:pPr>
        <w:keepNext/>
        <w:tabs>
          <w:tab w:val="left" w:pos="850"/>
        </w:tabs>
        <w:ind w:left="850" w:hanging="850"/>
        <w:outlineLvl w:val="2"/>
        <w:rPr>
          <w:i/>
          <w:noProof/>
        </w:rPr>
      </w:pPr>
      <w:bookmarkStart w:id="81" w:name="_Toc514938018"/>
      <w:bookmarkStart w:id="82" w:name="_Toc520485031"/>
      <w:bookmarkStart w:id="83" w:name="_Toc160804573"/>
      <w:bookmarkStart w:id="84" w:name="_Toc167220265"/>
      <w:bookmarkStart w:id="85" w:name="_Toc177548997"/>
      <w:bookmarkStart w:id="86" w:name="_Toc210923257"/>
      <w:r w:rsidRPr="001357D3">
        <w:rPr>
          <w:i/>
          <w:noProof/>
        </w:rPr>
        <w:t>1.3.2.</w:t>
      </w:r>
      <w:r w:rsidRPr="001357D3">
        <w:rPr>
          <w:noProof/>
        </w:rPr>
        <w:tab/>
      </w:r>
      <w:r w:rsidRPr="001357D3">
        <w:rPr>
          <w:i/>
          <w:noProof/>
        </w:rPr>
        <w:t>Cel(e) szczegółowy(-e)</w:t>
      </w:r>
      <w:bookmarkEnd w:id="81"/>
      <w:bookmarkEnd w:id="82"/>
      <w:bookmarkEnd w:id="83"/>
      <w:bookmarkEnd w:id="84"/>
      <w:bookmarkEnd w:id="85"/>
      <w:bookmarkEnd w:id="86"/>
    </w:p>
    <w:p w14:paraId="17C415F4" w14:textId="77777777"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u w:val="single"/>
        </w:rPr>
      </w:pPr>
      <w:r w:rsidRPr="001357D3">
        <w:rPr>
          <w:noProof/>
        </w:rPr>
        <w:t>Program będzie miał następujące cele szczegółowe:</w:t>
      </w:r>
    </w:p>
    <w:p w14:paraId="588AF167" w14:textId="2413974E"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u w:val="single"/>
        </w:rPr>
      </w:pPr>
      <w:r w:rsidRPr="001357D3">
        <w:rPr>
          <w:noProof/>
          <w:u w:val="single"/>
        </w:rPr>
        <w:t xml:space="preserve">Cel szczegółowy </w:t>
      </w:r>
      <w:r w:rsidRPr="001C6403">
        <w:rPr>
          <w:noProof/>
          <w:u w:val="single"/>
        </w:rPr>
        <w:t>nr</w:t>
      </w:r>
      <w:r w:rsidR="001C6403" w:rsidRPr="001C6403">
        <w:rPr>
          <w:noProof/>
          <w:u w:val="single"/>
        </w:rPr>
        <w:t> </w:t>
      </w:r>
      <w:r w:rsidRPr="001C6403">
        <w:rPr>
          <w:noProof/>
          <w:u w:val="single"/>
        </w:rPr>
        <w:t>1</w:t>
      </w:r>
      <w:r w:rsidRPr="001357D3">
        <w:rPr>
          <w:noProof/>
          <w:u w:val="single"/>
        </w:rPr>
        <w:t>:</w:t>
      </w:r>
    </w:p>
    <w:p w14:paraId="655BEC5C" w14:textId="3A0D4F5D"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współpracy sądowej</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oraz propagowanie praworządności,</w:t>
      </w:r>
      <w:r w:rsidR="001C6403" w:rsidRPr="001357D3">
        <w:rPr>
          <w:noProof/>
        </w:rPr>
        <w:t xml:space="preserve"> w</w:t>
      </w:r>
      <w:r w:rsidR="001C6403">
        <w:rPr>
          <w:noProof/>
        </w:rPr>
        <w:t> </w:t>
      </w:r>
      <w:r w:rsidR="001C6403" w:rsidRPr="001357D3">
        <w:rPr>
          <w:noProof/>
        </w:rPr>
        <w:t>szc</w:t>
      </w:r>
      <w:r w:rsidRPr="001357D3">
        <w:rPr>
          <w:noProof/>
        </w:rPr>
        <w:t>zególności niezależności, jakości</w:t>
      </w:r>
      <w:r w:rsidR="001C6403" w:rsidRPr="001357D3">
        <w:rPr>
          <w:noProof/>
        </w:rPr>
        <w:t xml:space="preserve"> i</w:t>
      </w:r>
      <w:r w:rsidR="001C6403">
        <w:rPr>
          <w:noProof/>
        </w:rPr>
        <w:t> </w:t>
      </w:r>
      <w:r w:rsidR="001C6403" w:rsidRPr="001357D3">
        <w:rPr>
          <w:noProof/>
        </w:rPr>
        <w:t>sku</w:t>
      </w:r>
      <w:r w:rsidRPr="001357D3">
        <w:rPr>
          <w:noProof/>
        </w:rPr>
        <w:t>teczności systemów wymiaru sprawiedliwości,</w:t>
      </w:r>
      <w:r w:rsidR="001C6403" w:rsidRPr="001357D3">
        <w:rPr>
          <w:noProof/>
        </w:rPr>
        <w:t xml:space="preserve"> w</w:t>
      </w:r>
      <w:r w:rsidR="001C6403">
        <w:rPr>
          <w:noProof/>
        </w:rPr>
        <w:t> </w:t>
      </w:r>
      <w:r w:rsidR="001C6403" w:rsidRPr="001357D3">
        <w:rPr>
          <w:noProof/>
        </w:rPr>
        <w:t>tym</w:t>
      </w:r>
      <w:r w:rsidRPr="001357D3">
        <w:rPr>
          <w:noProof/>
        </w:rPr>
        <w:t xml:space="preserve"> poprzez poprawę skutecznego transgranicznego uznawania</w:t>
      </w:r>
      <w:r w:rsidR="001C6403" w:rsidRPr="001357D3">
        <w:rPr>
          <w:noProof/>
        </w:rPr>
        <w:t xml:space="preserve"> i</w:t>
      </w:r>
      <w:r w:rsidR="001C6403">
        <w:rPr>
          <w:noProof/>
        </w:rPr>
        <w:t> </w:t>
      </w:r>
      <w:r w:rsidR="001C6403" w:rsidRPr="001357D3">
        <w:rPr>
          <w:noProof/>
        </w:rPr>
        <w:t>wyk</w:t>
      </w:r>
      <w:r w:rsidRPr="001357D3">
        <w:rPr>
          <w:noProof/>
        </w:rPr>
        <w:t>onywania orzeczeń sądowych.</w:t>
      </w:r>
    </w:p>
    <w:p w14:paraId="12876D80" w14:textId="06B2EAED"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u w:val="single"/>
        </w:rPr>
      </w:pPr>
      <w:r w:rsidRPr="001357D3">
        <w:rPr>
          <w:noProof/>
          <w:u w:val="single"/>
        </w:rPr>
        <w:t xml:space="preserve">Cel szczegółowy </w:t>
      </w:r>
      <w:r w:rsidRPr="001C6403">
        <w:rPr>
          <w:noProof/>
          <w:u w:val="single"/>
        </w:rPr>
        <w:t>nr</w:t>
      </w:r>
      <w:r w:rsidR="001C6403" w:rsidRPr="001C6403">
        <w:rPr>
          <w:noProof/>
          <w:u w:val="single"/>
        </w:rPr>
        <w:t> </w:t>
      </w:r>
      <w:r w:rsidRPr="001C6403">
        <w:rPr>
          <w:noProof/>
          <w:u w:val="single"/>
        </w:rPr>
        <w:t>2</w:t>
      </w:r>
      <w:r w:rsidRPr="001357D3">
        <w:rPr>
          <w:noProof/>
          <w:u w:val="single"/>
        </w:rPr>
        <w:t>:</w:t>
      </w:r>
    </w:p>
    <w:p w14:paraId="70808670" w14:textId="47FD90A4"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noProof/>
        </w:rPr>
      </w:pPr>
      <w:r w:rsidRPr="001357D3">
        <w:rPr>
          <w:noProof/>
        </w:rPr>
        <w:t>Propagowanie</w:t>
      </w:r>
      <w:r w:rsidR="001C6403" w:rsidRPr="001357D3">
        <w:rPr>
          <w:noProof/>
        </w:rPr>
        <w:t xml:space="preserve"> i</w:t>
      </w:r>
      <w:r w:rsidR="001C6403">
        <w:rPr>
          <w:noProof/>
        </w:rPr>
        <w:t> </w:t>
      </w:r>
      <w:r w:rsidR="001C6403" w:rsidRPr="001357D3">
        <w:rPr>
          <w:noProof/>
        </w:rPr>
        <w:t>wsp</w:t>
      </w:r>
      <w:r w:rsidRPr="001357D3">
        <w:rPr>
          <w:noProof/>
        </w:rPr>
        <w:t>ieranie szkoleń dla sędziów</w:t>
      </w:r>
      <w:r w:rsidR="001C6403" w:rsidRPr="001357D3">
        <w:rPr>
          <w:noProof/>
        </w:rPr>
        <w:t xml:space="preserve"> i</w:t>
      </w:r>
      <w:r w:rsidR="001C6403">
        <w:rPr>
          <w:noProof/>
        </w:rPr>
        <w:t> </w:t>
      </w:r>
      <w:r w:rsidR="001C6403" w:rsidRPr="001357D3">
        <w:rPr>
          <w:noProof/>
        </w:rPr>
        <w:t>inn</w:t>
      </w:r>
      <w:r w:rsidRPr="001357D3">
        <w:rPr>
          <w:noProof/>
        </w:rPr>
        <w:t>ych pracowników wymiaru sprawiedliwości</w:t>
      </w:r>
      <w:r w:rsidR="001C6403" w:rsidRPr="001357D3">
        <w:rPr>
          <w:noProof/>
        </w:rPr>
        <w:t xml:space="preserve"> w</w:t>
      </w:r>
      <w:r w:rsidR="001C6403">
        <w:rPr>
          <w:noProof/>
        </w:rPr>
        <w:t> </w:t>
      </w:r>
      <w:r w:rsidR="001C6403" w:rsidRPr="001357D3">
        <w:rPr>
          <w:noProof/>
        </w:rPr>
        <w:t>cel</w:t>
      </w:r>
      <w:r w:rsidRPr="001357D3">
        <w:rPr>
          <w:noProof/>
        </w:rPr>
        <w:t>u: upowszechniania praworządności, praw podstawowych</w:t>
      </w:r>
      <w:r w:rsidR="001C6403" w:rsidRPr="001357D3">
        <w:rPr>
          <w:noProof/>
        </w:rPr>
        <w:t xml:space="preserve"> i</w:t>
      </w:r>
      <w:r w:rsidR="001C6403">
        <w:rPr>
          <w:noProof/>
        </w:rPr>
        <w:t> </w:t>
      </w:r>
      <w:r w:rsidR="001C6403" w:rsidRPr="001357D3">
        <w:rPr>
          <w:noProof/>
        </w:rPr>
        <w:t>dem</w:t>
      </w:r>
      <w:r w:rsidRPr="001357D3">
        <w:rPr>
          <w:noProof/>
        </w:rPr>
        <w:t>okracji; wspierania wspólnej kultury prawnej</w:t>
      </w:r>
      <w:r w:rsidR="001C6403" w:rsidRPr="001357D3">
        <w:rPr>
          <w:noProof/>
        </w:rPr>
        <w:t xml:space="preserve"> i</w:t>
      </w:r>
      <w:r w:rsidR="001C6403">
        <w:rPr>
          <w:noProof/>
        </w:rPr>
        <w:t> </w:t>
      </w:r>
      <w:r w:rsidR="001C6403" w:rsidRPr="001357D3">
        <w:rPr>
          <w:noProof/>
        </w:rPr>
        <w:t>sąd</w:t>
      </w:r>
      <w:r w:rsidRPr="001357D3">
        <w:rPr>
          <w:noProof/>
        </w:rPr>
        <w:t>owej; zapewnienia spójnego</w:t>
      </w:r>
      <w:r w:rsidR="001C6403" w:rsidRPr="001357D3">
        <w:rPr>
          <w:noProof/>
        </w:rPr>
        <w:t xml:space="preserve"> i</w:t>
      </w:r>
      <w:r w:rsidR="001C6403">
        <w:rPr>
          <w:noProof/>
        </w:rPr>
        <w:t> </w:t>
      </w:r>
      <w:r w:rsidR="001C6403" w:rsidRPr="001357D3">
        <w:rPr>
          <w:noProof/>
        </w:rPr>
        <w:t>sku</w:t>
      </w:r>
      <w:r w:rsidRPr="001357D3">
        <w:rPr>
          <w:noProof/>
        </w:rPr>
        <w:t>tecznego wdrażania odpowiednich instrumentów prawnych Unii; oraz zapewnienia środowiska sprzyjającego cyfryzacji współpracy sądowej</w:t>
      </w:r>
      <w:r w:rsidR="001C6403" w:rsidRPr="001357D3">
        <w:rPr>
          <w:noProof/>
        </w:rPr>
        <w:t xml:space="preserve"> i</w:t>
      </w:r>
      <w:r w:rsidR="001C6403">
        <w:rPr>
          <w:noProof/>
        </w:rPr>
        <w:t> </w:t>
      </w:r>
      <w:r w:rsidR="001C6403" w:rsidRPr="001357D3">
        <w:rPr>
          <w:noProof/>
        </w:rPr>
        <w:t>sys</w:t>
      </w:r>
      <w:r w:rsidRPr="001357D3">
        <w:rPr>
          <w:noProof/>
        </w:rPr>
        <w:t>temów wymiaru sprawiedliwości;</w:t>
      </w:r>
    </w:p>
    <w:p w14:paraId="0DB266B5" w14:textId="11DBDBC9"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u w:val="single"/>
        </w:rPr>
      </w:pPr>
      <w:r w:rsidRPr="001357D3">
        <w:rPr>
          <w:noProof/>
          <w:u w:val="single"/>
        </w:rPr>
        <w:t xml:space="preserve">Cel szczegółowy </w:t>
      </w:r>
      <w:r w:rsidRPr="001C6403">
        <w:rPr>
          <w:noProof/>
          <w:u w:val="single"/>
        </w:rPr>
        <w:t>nr</w:t>
      </w:r>
      <w:r w:rsidR="001C6403" w:rsidRPr="001C6403">
        <w:rPr>
          <w:noProof/>
          <w:u w:val="single"/>
        </w:rPr>
        <w:t> </w:t>
      </w:r>
      <w:r w:rsidRPr="001C6403">
        <w:rPr>
          <w:noProof/>
          <w:u w:val="single"/>
        </w:rPr>
        <w:t>3</w:t>
      </w:r>
      <w:r w:rsidRPr="001357D3">
        <w:rPr>
          <w:noProof/>
          <w:u w:val="single"/>
        </w:rPr>
        <w:t>:</w:t>
      </w:r>
    </w:p>
    <w:p w14:paraId="756FC160" w14:textId="12B7AF75" w:rsidR="00FA0CA8" w:rsidRPr="001357D3" w:rsidRDefault="00FA0CA8" w:rsidP="00837627">
      <w:pPr>
        <w:pBdr>
          <w:top w:val="single" w:sz="4" w:space="1" w:color="000000"/>
          <w:left w:val="single" w:sz="4" w:space="4" w:color="000000"/>
          <w:bottom w:val="single" w:sz="4" w:space="0" w:color="000000"/>
          <w:right w:val="single" w:sz="4" w:space="4" w:color="000000"/>
        </w:pBdr>
        <w:ind w:left="850"/>
        <w:rPr>
          <w:noProof/>
        </w:rPr>
      </w:pPr>
      <w:r w:rsidRPr="001357D3">
        <w:rPr>
          <w:noProof/>
        </w:rPr>
        <w:t>Ułatwianie</w:t>
      </w:r>
      <w:r w:rsidR="001C6403" w:rsidRPr="001357D3">
        <w:rPr>
          <w:noProof/>
        </w:rPr>
        <w:t xml:space="preserve"> i</w:t>
      </w:r>
      <w:r w:rsidR="001C6403">
        <w:rPr>
          <w:noProof/>
        </w:rPr>
        <w:t> </w:t>
      </w:r>
      <w:r w:rsidR="001C6403" w:rsidRPr="001357D3">
        <w:rPr>
          <w:noProof/>
        </w:rPr>
        <w:t>wsp</w:t>
      </w:r>
      <w:r w:rsidRPr="001357D3">
        <w:rPr>
          <w:noProof/>
        </w:rPr>
        <w:t>ieranie skutecznego</w:t>
      </w:r>
      <w:r w:rsidR="001C6403" w:rsidRPr="001357D3">
        <w:rPr>
          <w:noProof/>
        </w:rPr>
        <w:t xml:space="preserve"> i</w:t>
      </w:r>
      <w:r w:rsidR="001C6403">
        <w:rPr>
          <w:noProof/>
        </w:rPr>
        <w:t> </w:t>
      </w:r>
      <w:r w:rsidR="001C6403" w:rsidRPr="001357D3">
        <w:rPr>
          <w:noProof/>
        </w:rPr>
        <w:t>nie</w:t>
      </w:r>
      <w:r w:rsidRPr="001357D3">
        <w:rPr>
          <w:noProof/>
        </w:rPr>
        <w:t>dyskryminacyjnego dostępu do wymiaru sprawiedliwości dla wszystkich oraz zapewnienie skutecznego środka odwoławczego,</w:t>
      </w:r>
      <w:r w:rsidR="001C6403" w:rsidRPr="001357D3">
        <w:rPr>
          <w:noProof/>
        </w:rPr>
        <w:t xml:space="preserve"> w</w:t>
      </w:r>
      <w:r w:rsidR="001C6403">
        <w:rPr>
          <w:noProof/>
        </w:rPr>
        <w:t> </w:t>
      </w:r>
      <w:r w:rsidR="001C6403" w:rsidRPr="001357D3">
        <w:rPr>
          <w:noProof/>
        </w:rPr>
        <w:t>tym</w:t>
      </w:r>
      <w:r w:rsidRPr="001357D3">
        <w:rPr>
          <w:noProof/>
        </w:rPr>
        <w:t xml:space="preserve"> za pomocą środków cyfrowych, poprzez propagowanie skutecznych procedur cywilnych</w:t>
      </w:r>
      <w:r w:rsidR="001C6403" w:rsidRPr="001357D3">
        <w:rPr>
          <w:noProof/>
        </w:rPr>
        <w:t xml:space="preserve"> i</w:t>
      </w:r>
      <w:r w:rsidR="001C6403">
        <w:rPr>
          <w:noProof/>
        </w:rPr>
        <w:t> </w:t>
      </w:r>
      <w:r w:rsidR="001C6403" w:rsidRPr="001357D3">
        <w:rPr>
          <w:noProof/>
        </w:rPr>
        <w:t>kar</w:t>
      </w:r>
      <w:r w:rsidRPr="001357D3">
        <w:rPr>
          <w:noProof/>
        </w:rPr>
        <w:t>nych oraz promowanie</w:t>
      </w:r>
      <w:r w:rsidR="001C6403" w:rsidRPr="001357D3">
        <w:rPr>
          <w:noProof/>
        </w:rPr>
        <w:t xml:space="preserve"> i</w:t>
      </w:r>
      <w:r w:rsidR="001C6403">
        <w:rPr>
          <w:noProof/>
        </w:rPr>
        <w:t> </w:t>
      </w:r>
      <w:r w:rsidR="001C6403" w:rsidRPr="001357D3">
        <w:rPr>
          <w:noProof/>
        </w:rPr>
        <w:t>wsp</w:t>
      </w:r>
      <w:r w:rsidRPr="001357D3">
        <w:rPr>
          <w:noProof/>
        </w:rPr>
        <w:t>ieranie praw wszystkich ofiar przestępstw oraz praw procesowych podejrzanych</w:t>
      </w:r>
      <w:r w:rsidR="001C6403" w:rsidRPr="001357D3">
        <w:rPr>
          <w:noProof/>
        </w:rPr>
        <w:t xml:space="preserve"> i</w:t>
      </w:r>
      <w:r w:rsidR="001C6403">
        <w:rPr>
          <w:noProof/>
        </w:rPr>
        <w:t> </w:t>
      </w:r>
      <w:r w:rsidR="001C6403" w:rsidRPr="001357D3">
        <w:rPr>
          <w:noProof/>
        </w:rPr>
        <w:t>osk</w:t>
      </w:r>
      <w:r w:rsidRPr="001357D3">
        <w:rPr>
          <w:noProof/>
        </w:rPr>
        <w:t>arżonych</w:t>
      </w:r>
      <w:r w:rsidR="001C6403" w:rsidRPr="001357D3">
        <w:rPr>
          <w:noProof/>
        </w:rPr>
        <w:t xml:space="preserve"> w</w:t>
      </w:r>
      <w:r w:rsidR="001C6403">
        <w:rPr>
          <w:noProof/>
        </w:rPr>
        <w:t> </w:t>
      </w:r>
      <w:r w:rsidR="001C6403" w:rsidRPr="001357D3">
        <w:rPr>
          <w:noProof/>
        </w:rPr>
        <w:t>pos</w:t>
      </w:r>
      <w:r w:rsidRPr="001357D3">
        <w:rPr>
          <w:noProof/>
        </w:rPr>
        <w:t>tępowaniu karnym,</w:t>
      </w:r>
      <w:r w:rsidR="001C6403" w:rsidRPr="001357D3">
        <w:rPr>
          <w:noProof/>
        </w:rPr>
        <w:t xml:space="preserve"> a</w:t>
      </w:r>
      <w:r w:rsidR="001C6403">
        <w:rPr>
          <w:noProof/>
        </w:rPr>
        <w:t> </w:t>
      </w:r>
      <w:r w:rsidR="001C6403" w:rsidRPr="001357D3">
        <w:rPr>
          <w:noProof/>
        </w:rPr>
        <w:t>tak</w:t>
      </w:r>
      <w:r w:rsidRPr="001357D3">
        <w:rPr>
          <w:noProof/>
        </w:rPr>
        <w:t>że osób, których dotyczy wniosek</w:t>
      </w:r>
      <w:r w:rsidR="001C6403" w:rsidRPr="001357D3">
        <w:rPr>
          <w:noProof/>
        </w:rPr>
        <w:t xml:space="preserve"> w</w:t>
      </w:r>
      <w:r w:rsidR="001C6403">
        <w:rPr>
          <w:noProof/>
        </w:rPr>
        <w:t> </w:t>
      </w:r>
      <w:r w:rsidR="001C6403" w:rsidRPr="001357D3">
        <w:rPr>
          <w:noProof/>
        </w:rPr>
        <w:t>pos</w:t>
      </w:r>
      <w:r w:rsidRPr="001357D3">
        <w:rPr>
          <w:noProof/>
        </w:rPr>
        <w:t>tępowaniu dotyczącym europejskiego nakazu aresztowania.</w:t>
      </w:r>
    </w:p>
    <w:p w14:paraId="05901346" w14:textId="77777777" w:rsidR="004B567E" w:rsidRPr="001357D3" w:rsidRDefault="004B567E" w:rsidP="00FA0CA8">
      <w:pPr>
        <w:keepNext/>
        <w:tabs>
          <w:tab w:val="left" w:pos="850"/>
        </w:tabs>
        <w:ind w:left="850" w:hanging="850"/>
        <w:outlineLvl w:val="2"/>
        <w:rPr>
          <w:i/>
          <w:noProof/>
        </w:rPr>
      </w:pPr>
      <w:bookmarkStart w:id="87" w:name="_Toc514938019"/>
      <w:bookmarkStart w:id="88" w:name="_Toc520485032"/>
      <w:bookmarkStart w:id="89" w:name="_Toc160804574"/>
      <w:bookmarkStart w:id="90" w:name="_Toc167220266"/>
      <w:bookmarkStart w:id="91" w:name="_Toc177548998"/>
    </w:p>
    <w:p w14:paraId="5B5A6C25" w14:textId="543909C9" w:rsidR="00FA0CA8" w:rsidRPr="001357D3" w:rsidRDefault="00FA0CA8" w:rsidP="00FA0CA8">
      <w:pPr>
        <w:keepNext/>
        <w:tabs>
          <w:tab w:val="left" w:pos="850"/>
        </w:tabs>
        <w:ind w:left="850" w:hanging="850"/>
        <w:outlineLvl w:val="2"/>
        <w:rPr>
          <w:i/>
          <w:noProof/>
        </w:rPr>
      </w:pPr>
      <w:bookmarkStart w:id="92" w:name="_Toc210923258"/>
      <w:r w:rsidRPr="001357D3">
        <w:rPr>
          <w:i/>
          <w:noProof/>
        </w:rPr>
        <w:t>1.3.3.</w:t>
      </w:r>
      <w:r w:rsidRPr="001357D3">
        <w:rPr>
          <w:noProof/>
        </w:rPr>
        <w:tab/>
      </w:r>
      <w:r w:rsidRPr="001357D3">
        <w:rPr>
          <w:i/>
          <w:noProof/>
        </w:rPr>
        <w:t>Oczekiwane wyniki</w:t>
      </w:r>
      <w:r w:rsidR="001C6403" w:rsidRPr="001357D3">
        <w:rPr>
          <w:i/>
          <w:noProof/>
        </w:rPr>
        <w:t xml:space="preserve"> i</w:t>
      </w:r>
      <w:r w:rsidR="001C6403">
        <w:rPr>
          <w:i/>
          <w:noProof/>
        </w:rPr>
        <w:t> </w:t>
      </w:r>
      <w:r w:rsidR="001C6403" w:rsidRPr="001357D3">
        <w:rPr>
          <w:i/>
          <w:noProof/>
        </w:rPr>
        <w:t>wpł</w:t>
      </w:r>
      <w:r w:rsidRPr="001357D3">
        <w:rPr>
          <w:i/>
          <w:noProof/>
        </w:rPr>
        <w:t>yw</w:t>
      </w:r>
      <w:bookmarkEnd w:id="87"/>
      <w:bookmarkEnd w:id="88"/>
      <w:bookmarkEnd w:id="89"/>
      <w:bookmarkEnd w:id="90"/>
      <w:bookmarkEnd w:id="91"/>
      <w:bookmarkEnd w:id="92"/>
    </w:p>
    <w:p w14:paraId="36F3B36A" w14:textId="77777777" w:rsidR="00FA0CA8" w:rsidRPr="001357D3" w:rsidRDefault="00FA0CA8" w:rsidP="00FA0CA8">
      <w:pPr>
        <w:ind w:left="850"/>
        <w:rPr>
          <w:i/>
          <w:iCs/>
          <w:noProof/>
          <w:sz w:val="20"/>
          <w:szCs w:val="20"/>
        </w:rPr>
      </w:pPr>
      <w:r w:rsidRPr="001357D3">
        <w:rPr>
          <w:i/>
          <w:noProof/>
          <w:sz w:val="20"/>
        </w:rPr>
        <w:t>Należy wskazać, jakie efekty przyniesie wniosek/inicjatywa beneficjentom/grupie docelowej.</w:t>
      </w:r>
    </w:p>
    <w:p w14:paraId="3E36B988" w14:textId="238495F5"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zwiększenie zdolności –</w:t>
      </w:r>
      <w:r w:rsidR="001C6403" w:rsidRPr="001357D3">
        <w:rPr>
          <w:noProof/>
        </w:rPr>
        <w:t xml:space="preserve"> w</w:t>
      </w:r>
      <w:r w:rsidR="001C6403">
        <w:rPr>
          <w:noProof/>
        </w:rPr>
        <w:t> </w:t>
      </w:r>
      <w:r w:rsidR="001C6403" w:rsidRPr="001357D3">
        <w:rPr>
          <w:noProof/>
        </w:rPr>
        <w:t>tym</w:t>
      </w:r>
      <w:r w:rsidRPr="001357D3">
        <w:rPr>
          <w:noProof/>
        </w:rPr>
        <w:t xml:space="preserve"> zdolności cyfrowych – krajowych praktyków, sądów</w:t>
      </w:r>
      <w:r w:rsidR="001C6403" w:rsidRPr="001357D3">
        <w:rPr>
          <w:noProof/>
        </w:rPr>
        <w:t xml:space="preserve"> i</w:t>
      </w:r>
      <w:r w:rsidR="001C6403">
        <w:rPr>
          <w:noProof/>
        </w:rPr>
        <w:t> </w:t>
      </w:r>
      <w:r w:rsidR="001C6403" w:rsidRPr="001357D3">
        <w:rPr>
          <w:noProof/>
        </w:rPr>
        <w:t>org</w:t>
      </w:r>
      <w:r w:rsidRPr="001357D3">
        <w:rPr>
          <w:noProof/>
        </w:rPr>
        <w:t>anów do rozwiązywania problemów związanych ze współpracą sądową</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 oraz do wdrażania instrumentów UE dotyczących prawa cywilnego</w:t>
      </w:r>
      <w:r w:rsidR="001C6403" w:rsidRPr="001357D3">
        <w:rPr>
          <w:noProof/>
        </w:rPr>
        <w:t xml:space="preserve"> i</w:t>
      </w:r>
      <w:r w:rsidR="001C6403">
        <w:rPr>
          <w:noProof/>
        </w:rPr>
        <w:t> </w:t>
      </w:r>
      <w:r w:rsidR="001C6403" w:rsidRPr="001357D3">
        <w:rPr>
          <w:noProof/>
        </w:rPr>
        <w:t>pra</w:t>
      </w:r>
      <w:r w:rsidRPr="001357D3">
        <w:rPr>
          <w:noProof/>
        </w:rPr>
        <w:t>wa procesowego cywilnego,</w:t>
      </w:r>
      <w:r w:rsidR="001C6403" w:rsidRPr="001357D3">
        <w:rPr>
          <w:noProof/>
        </w:rPr>
        <w:t xml:space="preserve"> a</w:t>
      </w:r>
      <w:r w:rsidR="001C6403">
        <w:rPr>
          <w:noProof/>
        </w:rPr>
        <w:t> </w:t>
      </w:r>
      <w:r w:rsidR="001C6403" w:rsidRPr="001357D3">
        <w:rPr>
          <w:noProof/>
        </w:rPr>
        <w:t>tak</w:t>
      </w:r>
      <w:r w:rsidRPr="001357D3">
        <w:rPr>
          <w:noProof/>
        </w:rPr>
        <w:t>że prawa karnego</w:t>
      </w:r>
      <w:r w:rsidR="001C6403" w:rsidRPr="001357D3">
        <w:rPr>
          <w:noProof/>
        </w:rPr>
        <w:t xml:space="preserve"> i</w:t>
      </w:r>
      <w:r w:rsidR="001C6403">
        <w:rPr>
          <w:noProof/>
        </w:rPr>
        <w:t> </w:t>
      </w:r>
      <w:r w:rsidR="001C6403" w:rsidRPr="001357D3">
        <w:rPr>
          <w:noProof/>
        </w:rPr>
        <w:t>pra</w:t>
      </w:r>
      <w:r w:rsidRPr="001357D3">
        <w:rPr>
          <w:noProof/>
        </w:rPr>
        <w:t>wa karnego procesowego;</w:t>
      </w:r>
    </w:p>
    <w:p w14:paraId="54786FF2" w14:textId="53A177F5"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pogłębienie współpracy transgranicznej</w:t>
      </w:r>
      <w:r w:rsidR="001C6403" w:rsidRPr="001357D3">
        <w:rPr>
          <w:noProof/>
        </w:rPr>
        <w:t xml:space="preserve"> i</w:t>
      </w:r>
      <w:r w:rsidR="001C6403">
        <w:rPr>
          <w:noProof/>
        </w:rPr>
        <w:t> </w:t>
      </w:r>
      <w:r w:rsidR="001C6403" w:rsidRPr="001357D3">
        <w:rPr>
          <w:noProof/>
        </w:rPr>
        <w:t>wza</w:t>
      </w:r>
      <w:r w:rsidRPr="001357D3">
        <w:rPr>
          <w:noProof/>
        </w:rPr>
        <w:t>jemnego zaufania między organami sądowymi odpowiedzialnymi za współpracę sądową</w:t>
      </w:r>
      <w:r w:rsidR="001C6403" w:rsidRPr="001357D3">
        <w:rPr>
          <w:noProof/>
        </w:rPr>
        <w:t xml:space="preserve"> w</w:t>
      </w:r>
      <w:r w:rsidR="001C6403">
        <w:rPr>
          <w:noProof/>
        </w:rPr>
        <w:t> </w:t>
      </w:r>
      <w:r w:rsidR="001C6403" w:rsidRPr="001357D3">
        <w:rPr>
          <w:noProof/>
        </w:rPr>
        <w:t>spr</w:t>
      </w:r>
      <w:r w:rsidRPr="001357D3">
        <w:rPr>
          <w:noProof/>
        </w:rPr>
        <w:t>awach cywilnych, handlowych</w:t>
      </w:r>
      <w:r w:rsidR="001C6403" w:rsidRPr="001357D3">
        <w:rPr>
          <w:noProof/>
        </w:rPr>
        <w:t xml:space="preserve"> i</w:t>
      </w:r>
      <w:r w:rsidR="001C6403">
        <w:rPr>
          <w:noProof/>
        </w:rPr>
        <w:t> </w:t>
      </w:r>
      <w:r w:rsidR="001C6403" w:rsidRPr="001357D3">
        <w:rPr>
          <w:noProof/>
        </w:rPr>
        <w:t>kar</w:t>
      </w:r>
      <w:r w:rsidRPr="001357D3">
        <w:rPr>
          <w:noProof/>
        </w:rPr>
        <w:t>nych oraz udoskonalenie współpracy</w:t>
      </w:r>
      <w:r w:rsidR="001C6403" w:rsidRPr="001357D3">
        <w:rPr>
          <w:noProof/>
        </w:rPr>
        <w:t xml:space="preserve"> i</w:t>
      </w:r>
      <w:r w:rsidR="001C6403">
        <w:rPr>
          <w:noProof/>
        </w:rPr>
        <w:t> </w:t>
      </w:r>
      <w:r w:rsidR="001C6403" w:rsidRPr="001357D3">
        <w:rPr>
          <w:noProof/>
        </w:rPr>
        <w:t>koo</w:t>
      </w:r>
      <w:r w:rsidRPr="001357D3">
        <w:rPr>
          <w:noProof/>
        </w:rPr>
        <w:t>rdynacji między tymi organami</w:t>
      </w:r>
      <w:r w:rsidR="001C6403" w:rsidRPr="001357D3">
        <w:rPr>
          <w:noProof/>
        </w:rPr>
        <w:t xml:space="preserve"> a</w:t>
      </w:r>
      <w:r w:rsidR="001C6403">
        <w:rPr>
          <w:noProof/>
        </w:rPr>
        <w:t> </w:t>
      </w:r>
      <w:r w:rsidR="001C6403" w:rsidRPr="001357D3">
        <w:rPr>
          <w:noProof/>
        </w:rPr>
        <w:t>inn</w:t>
      </w:r>
      <w:r w:rsidRPr="001357D3">
        <w:rPr>
          <w:noProof/>
        </w:rPr>
        <w:t>ymi odpowiedzialnymi agencjami</w:t>
      </w:r>
      <w:r w:rsidR="001C6403" w:rsidRPr="001357D3">
        <w:rPr>
          <w:noProof/>
        </w:rPr>
        <w:t xml:space="preserve"> i</w:t>
      </w:r>
      <w:r w:rsidR="001C6403">
        <w:rPr>
          <w:noProof/>
        </w:rPr>
        <w:t> </w:t>
      </w:r>
      <w:r w:rsidR="001C6403" w:rsidRPr="001357D3">
        <w:rPr>
          <w:noProof/>
        </w:rPr>
        <w:t>ins</w:t>
      </w:r>
      <w:r w:rsidRPr="001357D3">
        <w:rPr>
          <w:noProof/>
        </w:rPr>
        <w:t>tytucjami</w:t>
      </w:r>
      <w:r w:rsidR="001C6403" w:rsidRPr="001357D3">
        <w:rPr>
          <w:noProof/>
        </w:rPr>
        <w:t xml:space="preserve"> w</w:t>
      </w:r>
      <w:r w:rsidR="001C6403">
        <w:rPr>
          <w:noProof/>
        </w:rPr>
        <w:t> </w:t>
      </w:r>
      <w:r w:rsidR="001C6403" w:rsidRPr="001357D3">
        <w:rPr>
          <w:noProof/>
        </w:rPr>
        <w:t>cał</w:t>
      </w:r>
      <w:r w:rsidRPr="001357D3">
        <w:rPr>
          <w:noProof/>
        </w:rPr>
        <w:t>ej UE;</w:t>
      </w:r>
    </w:p>
    <w:p w14:paraId="2B6B7314" w14:textId="25A556BC"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 przyspieszenie postępowań dotyczących współpracy sądowej</w:t>
      </w:r>
      <w:r w:rsidR="001C6403" w:rsidRPr="001357D3">
        <w:rPr>
          <w:noProof/>
        </w:rPr>
        <w:t xml:space="preserve"> w</w:t>
      </w:r>
      <w:r w:rsidR="001C6403">
        <w:rPr>
          <w:noProof/>
        </w:rPr>
        <w:t> </w:t>
      </w:r>
      <w:r w:rsidR="001C6403" w:rsidRPr="001357D3">
        <w:rPr>
          <w:noProof/>
        </w:rPr>
        <w:t>spr</w:t>
      </w:r>
      <w:r w:rsidRPr="001357D3">
        <w:rPr>
          <w:noProof/>
        </w:rPr>
        <w:t>awach cywilnych</w:t>
      </w:r>
      <w:r w:rsidR="001C6403" w:rsidRPr="001357D3">
        <w:rPr>
          <w:noProof/>
        </w:rPr>
        <w:t xml:space="preserve"> i</w:t>
      </w:r>
      <w:r w:rsidR="001C6403">
        <w:rPr>
          <w:noProof/>
        </w:rPr>
        <w:t> </w:t>
      </w:r>
      <w:r w:rsidR="001C6403" w:rsidRPr="001357D3">
        <w:rPr>
          <w:noProof/>
        </w:rPr>
        <w:t>kar</w:t>
      </w:r>
      <w:r w:rsidRPr="001357D3">
        <w:rPr>
          <w:noProof/>
        </w:rPr>
        <w:t>nych;</w:t>
      </w:r>
    </w:p>
    <w:p w14:paraId="542A89C6" w14:textId="1F1FCF8F"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 poprawa sytuacji osób objętych środkami</w:t>
      </w:r>
      <w:r w:rsidR="001C6403" w:rsidRPr="001357D3">
        <w:rPr>
          <w:noProof/>
        </w:rPr>
        <w:t xml:space="preserve"> w</w:t>
      </w:r>
      <w:r w:rsidR="001C6403">
        <w:rPr>
          <w:noProof/>
        </w:rPr>
        <w:t> </w:t>
      </w:r>
      <w:r w:rsidR="001C6403" w:rsidRPr="001357D3">
        <w:rPr>
          <w:noProof/>
        </w:rPr>
        <w:t>dzi</w:t>
      </w:r>
      <w:r w:rsidRPr="001357D3">
        <w:rPr>
          <w:noProof/>
        </w:rPr>
        <w:t>edzinie współpracy wymiarów sprawiedliwości</w:t>
      </w:r>
      <w:r w:rsidR="001C6403" w:rsidRPr="001357D3">
        <w:rPr>
          <w:noProof/>
        </w:rPr>
        <w:t xml:space="preserve"> w</w:t>
      </w:r>
      <w:r w:rsidR="001C6403">
        <w:rPr>
          <w:noProof/>
        </w:rPr>
        <w:t> </w:t>
      </w:r>
      <w:r w:rsidR="001C6403" w:rsidRPr="001357D3">
        <w:rPr>
          <w:noProof/>
        </w:rPr>
        <w:t>spr</w:t>
      </w:r>
      <w:r w:rsidRPr="001357D3">
        <w:rPr>
          <w:noProof/>
        </w:rPr>
        <w:t>awach karnych, wzmocnienie ich rehabilitacji społecznej</w:t>
      </w:r>
      <w:r w:rsidR="001C6403" w:rsidRPr="001357D3">
        <w:rPr>
          <w:noProof/>
        </w:rPr>
        <w:t xml:space="preserve"> i</w:t>
      </w:r>
      <w:r w:rsidR="001C6403">
        <w:rPr>
          <w:noProof/>
        </w:rPr>
        <w:t> </w:t>
      </w:r>
      <w:r w:rsidR="001C6403" w:rsidRPr="001357D3">
        <w:rPr>
          <w:noProof/>
        </w:rPr>
        <w:t>rei</w:t>
      </w:r>
      <w:r w:rsidRPr="001357D3">
        <w:rPr>
          <w:noProof/>
        </w:rPr>
        <w:t>ntegracji, zmniejszenie ryzyka naruszenia ich praw podstawowych;</w:t>
      </w:r>
    </w:p>
    <w:p w14:paraId="7EF46404" w14:textId="39A14A8F"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zwiększenie zdolności</w:t>
      </w:r>
      <w:r w:rsidR="001C6403" w:rsidRPr="001357D3">
        <w:rPr>
          <w:noProof/>
        </w:rPr>
        <w:t xml:space="preserve"> i</w:t>
      </w:r>
      <w:r w:rsidR="001C6403">
        <w:rPr>
          <w:noProof/>
        </w:rPr>
        <w:t> </w:t>
      </w:r>
      <w:r w:rsidR="001C6403" w:rsidRPr="001357D3">
        <w:rPr>
          <w:noProof/>
        </w:rPr>
        <w:t>wid</w:t>
      </w:r>
      <w:r w:rsidRPr="001357D3">
        <w:rPr>
          <w:noProof/>
        </w:rPr>
        <w:t>oczności sieci działających na szczeblu UE</w:t>
      </w:r>
      <w:r w:rsidR="001C6403" w:rsidRPr="001357D3">
        <w:rPr>
          <w:noProof/>
        </w:rPr>
        <w:t xml:space="preserve"> w</w:t>
      </w:r>
      <w:r w:rsidR="001C6403">
        <w:rPr>
          <w:noProof/>
        </w:rPr>
        <w:t> </w:t>
      </w:r>
      <w:r w:rsidR="001C6403" w:rsidRPr="001357D3">
        <w:rPr>
          <w:noProof/>
        </w:rPr>
        <w:t>dzi</w:t>
      </w:r>
      <w:r w:rsidRPr="001357D3">
        <w:rPr>
          <w:noProof/>
        </w:rPr>
        <w:t>edzinie szkolenia kadr wymiaru sprawiedliwości, dostępu do wymiaru sprawiedliwości</w:t>
      </w:r>
      <w:r w:rsidR="001C6403" w:rsidRPr="001357D3">
        <w:rPr>
          <w:noProof/>
        </w:rPr>
        <w:t xml:space="preserve"> i</w:t>
      </w:r>
      <w:r w:rsidR="001C6403">
        <w:rPr>
          <w:noProof/>
        </w:rPr>
        <w:t> </w:t>
      </w:r>
      <w:r w:rsidR="001C6403" w:rsidRPr="001357D3">
        <w:rPr>
          <w:noProof/>
        </w:rPr>
        <w:t>wsp</w:t>
      </w:r>
      <w:r w:rsidRPr="001357D3">
        <w:rPr>
          <w:noProof/>
        </w:rPr>
        <w:t>ółpracy sądowej;</w:t>
      </w:r>
    </w:p>
    <w:p w14:paraId="00ADEDA9" w14:textId="40BF1D7E"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lepsze propagowanie praworządności, niezależności</w:t>
      </w:r>
      <w:r w:rsidR="001C6403" w:rsidRPr="001357D3">
        <w:rPr>
          <w:noProof/>
        </w:rPr>
        <w:t xml:space="preserve"> i</w:t>
      </w:r>
      <w:r w:rsidR="001C6403">
        <w:rPr>
          <w:noProof/>
        </w:rPr>
        <w:t> </w:t>
      </w:r>
      <w:r w:rsidR="001C6403" w:rsidRPr="001357D3">
        <w:rPr>
          <w:noProof/>
        </w:rPr>
        <w:t>bez</w:t>
      </w:r>
      <w:r w:rsidRPr="001357D3">
        <w:rPr>
          <w:noProof/>
        </w:rPr>
        <w:t>stronności sądownictwa,</w:t>
      </w:r>
      <w:r w:rsidR="001C6403" w:rsidRPr="001357D3">
        <w:rPr>
          <w:noProof/>
        </w:rPr>
        <w:t xml:space="preserve"> w</w:t>
      </w:r>
      <w:r w:rsidR="001C6403">
        <w:rPr>
          <w:noProof/>
        </w:rPr>
        <w:t> </w:t>
      </w:r>
      <w:r w:rsidR="001C6403" w:rsidRPr="001357D3">
        <w:rPr>
          <w:noProof/>
        </w:rPr>
        <w:t>tym</w:t>
      </w:r>
      <w:r w:rsidRPr="001357D3">
        <w:rPr>
          <w:noProof/>
        </w:rPr>
        <w:t xml:space="preserve"> poprzez wspieranie działań na rzecz zwiększenia skuteczności krajowych systemów wymiaru sprawiedliwości,</w:t>
      </w:r>
      <w:r w:rsidR="001C6403" w:rsidRPr="001357D3">
        <w:rPr>
          <w:noProof/>
        </w:rPr>
        <w:t xml:space="preserve"> w</w:t>
      </w:r>
      <w:r w:rsidR="001C6403">
        <w:rPr>
          <w:noProof/>
        </w:rPr>
        <w:t> </w:t>
      </w:r>
      <w:r w:rsidR="001C6403" w:rsidRPr="001357D3">
        <w:rPr>
          <w:noProof/>
        </w:rPr>
        <w:t>szc</w:t>
      </w:r>
      <w:r w:rsidRPr="001357D3">
        <w:rPr>
          <w:noProof/>
        </w:rPr>
        <w:t>zególności poprzez gromadzenie informacji na temat sytuacji</w:t>
      </w:r>
      <w:r w:rsidR="001C6403" w:rsidRPr="001357D3">
        <w:rPr>
          <w:noProof/>
        </w:rPr>
        <w:t xml:space="preserve"> w</w:t>
      </w:r>
      <w:r w:rsidR="001C6403">
        <w:rPr>
          <w:noProof/>
        </w:rPr>
        <w:t> </w:t>
      </w:r>
      <w:r w:rsidR="001C6403" w:rsidRPr="001357D3">
        <w:rPr>
          <w:noProof/>
        </w:rPr>
        <w:t>zak</w:t>
      </w:r>
      <w:r w:rsidRPr="001357D3">
        <w:rPr>
          <w:noProof/>
        </w:rPr>
        <w:t>resie praworządności na szczeblu krajowym, gromadzenie danych na temat niezależności, jakości</w:t>
      </w:r>
      <w:r w:rsidR="001C6403" w:rsidRPr="001357D3">
        <w:rPr>
          <w:noProof/>
        </w:rPr>
        <w:t xml:space="preserve"> i</w:t>
      </w:r>
      <w:r w:rsidR="001C6403">
        <w:rPr>
          <w:noProof/>
        </w:rPr>
        <w:t> </w:t>
      </w:r>
      <w:r w:rsidR="001C6403" w:rsidRPr="001357D3">
        <w:rPr>
          <w:noProof/>
        </w:rPr>
        <w:t>sku</w:t>
      </w:r>
      <w:r w:rsidRPr="001357D3">
        <w:rPr>
          <w:noProof/>
        </w:rPr>
        <w:t>teczności krajowych systemów wymiaru sprawiedliwości, propagowanie</w:t>
      </w:r>
      <w:r w:rsidR="001C6403" w:rsidRPr="001357D3">
        <w:rPr>
          <w:noProof/>
        </w:rPr>
        <w:t xml:space="preserve"> i</w:t>
      </w:r>
      <w:r w:rsidR="001C6403">
        <w:rPr>
          <w:noProof/>
        </w:rPr>
        <w:t> </w:t>
      </w:r>
      <w:r w:rsidR="001C6403" w:rsidRPr="001357D3">
        <w:rPr>
          <w:noProof/>
        </w:rPr>
        <w:t>prz</w:t>
      </w:r>
      <w:r w:rsidRPr="001357D3">
        <w:rPr>
          <w:noProof/>
        </w:rPr>
        <w:t>estrzeganie europejskich standardów</w:t>
      </w:r>
      <w:r w:rsidR="001C6403" w:rsidRPr="001357D3">
        <w:rPr>
          <w:noProof/>
        </w:rPr>
        <w:t xml:space="preserve"> i</w:t>
      </w:r>
      <w:r w:rsidR="001C6403">
        <w:rPr>
          <w:noProof/>
        </w:rPr>
        <w:t> </w:t>
      </w:r>
      <w:r w:rsidR="001C6403" w:rsidRPr="001357D3">
        <w:rPr>
          <w:noProof/>
        </w:rPr>
        <w:t>naj</w:t>
      </w:r>
      <w:r w:rsidRPr="001357D3">
        <w:rPr>
          <w:noProof/>
        </w:rPr>
        <w:t>lepszych praktyk</w:t>
      </w:r>
      <w:r w:rsidR="001C6403" w:rsidRPr="001357D3">
        <w:rPr>
          <w:noProof/>
        </w:rPr>
        <w:t xml:space="preserve"> w</w:t>
      </w:r>
      <w:r w:rsidR="001C6403">
        <w:rPr>
          <w:noProof/>
        </w:rPr>
        <w:t> </w:t>
      </w:r>
      <w:r w:rsidR="001C6403" w:rsidRPr="001357D3">
        <w:rPr>
          <w:noProof/>
        </w:rPr>
        <w:t>tyc</w:t>
      </w:r>
      <w:r w:rsidRPr="001357D3">
        <w:rPr>
          <w:noProof/>
        </w:rPr>
        <w:t>h obszarach;</w:t>
      </w:r>
    </w:p>
    <w:p w14:paraId="046BCFBF" w14:textId="4009B86C" w:rsidR="00BE1D84" w:rsidRPr="001357D3" w:rsidRDefault="00FA0CA8" w:rsidP="00BE1D84">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pogłębiona współpraca</w:t>
      </w:r>
      <w:r w:rsidR="001C6403" w:rsidRPr="001357D3">
        <w:rPr>
          <w:noProof/>
        </w:rPr>
        <w:t xml:space="preserve"> i</w:t>
      </w:r>
      <w:r w:rsidR="001C6403">
        <w:rPr>
          <w:noProof/>
        </w:rPr>
        <w:t> </w:t>
      </w:r>
      <w:r w:rsidR="001C6403" w:rsidRPr="001357D3">
        <w:rPr>
          <w:noProof/>
        </w:rPr>
        <w:t>wym</w:t>
      </w:r>
      <w:r w:rsidRPr="001357D3">
        <w:rPr>
          <w:noProof/>
        </w:rPr>
        <w:t>iana informacji między właściwymi organami krajowymi, sieciami europejskimi, organizacjami pozarządowymi lub organizacjami zawodowymi</w:t>
      </w:r>
      <w:r w:rsidR="001C6403" w:rsidRPr="001357D3">
        <w:rPr>
          <w:noProof/>
        </w:rPr>
        <w:t xml:space="preserve"> w</w:t>
      </w:r>
      <w:r w:rsidR="001C6403">
        <w:rPr>
          <w:noProof/>
        </w:rPr>
        <w:t> </w:t>
      </w:r>
      <w:r w:rsidR="001C6403" w:rsidRPr="001357D3">
        <w:rPr>
          <w:noProof/>
        </w:rPr>
        <w:t>odn</w:t>
      </w:r>
      <w:r w:rsidRPr="001357D3">
        <w:rPr>
          <w:noProof/>
        </w:rPr>
        <w:t>iesieniu do praw osób podejrzanych lub oskarżonych</w:t>
      </w:r>
      <w:r w:rsidR="001C6403" w:rsidRPr="001357D3">
        <w:rPr>
          <w:noProof/>
        </w:rPr>
        <w:t xml:space="preserve"> o</w:t>
      </w:r>
      <w:r w:rsidR="001C6403">
        <w:rPr>
          <w:noProof/>
        </w:rPr>
        <w:t> </w:t>
      </w:r>
      <w:r w:rsidR="001C6403" w:rsidRPr="001357D3">
        <w:rPr>
          <w:noProof/>
        </w:rPr>
        <w:t>pop</w:t>
      </w:r>
      <w:r w:rsidRPr="001357D3">
        <w:rPr>
          <w:noProof/>
        </w:rPr>
        <w:t>ełnienie przestępstwa oraz ofiar przestępstw;</w:t>
      </w:r>
    </w:p>
    <w:p w14:paraId="090C4BB2" w14:textId="77777777" w:rsidR="00BE1D84" w:rsidRPr="001357D3" w:rsidRDefault="00BE1D84" w:rsidP="00BE1D84">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zmniejszenie ryzyka naruszenia prawa do rzetelnego procesu sądowego;</w:t>
      </w:r>
    </w:p>
    <w:p w14:paraId="6AFC9545" w14:textId="10DB20A6" w:rsidR="00FA0CA8" w:rsidRPr="001357D3" w:rsidRDefault="00BE1D84" w:rsidP="00BE1D84">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ułatwianie współpracy</w:t>
      </w:r>
      <w:r w:rsidR="001C6403" w:rsidRPr="001357D3">
        <w:rPr>
          <w:noProof/>
        </w:rPr>
        <w:t xml:space="preserve"> w</w:t>
      </w:r>
      <w:r w:rsidR="001C6403">
        <w:rPr>
          <w:noProof/>
        </w:rPr>
        <w:t> </w:t>
      </w:r>
      <w:r w:rsidR="001C6403" w:rsidRPr="001357D3">
        <w:rPr>
          <w:noProof/>
        </w:rPr>
        <w:t>prz</w:t>
      </w:r>
      <w:r w:rsidRPr="001357D3">
        <w:rPr>
          <w:noProof/>
        </w:rPr>
        <w:t>ypadku różnych form poważnej przestępczości, takich jak korupcja, terroryzm</w:t>
      </w:r>
      <w:r w:rsidR="001C6403" w:rsidRPr="001357D3">
        <w:rPr>
          <w:noProof/>
        </w:rPr>
        <w:t xml:space="preserve"> i</w:t>
      </w:r>
      <w:r w:rsidR="001C6403">
        <w:rPr>
          <w:noProof/>
        </w:rPr>
        <w:t> </w:t>
      </w:r>
      <w:r w:rsidR="001C6403" w:rsidRPr="001357D3">
        <w:rPr>
          <w:noProof/>
        </w:rPr>
        <w:t>prz</w:t>
      </w:r>
      <w:r w:rsidRPr="001357D3">
        <w:rPr>
          <w:noProof/>
        </w:rPr>
        <w:t>estępstwa przeciwko środowisku;</w:t>
      </w:r>
    </w:p>
    <w:p w14:paraId="76F7793D" w14:textId="054F6AEF"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zwiększenie świadomości społecznej</w:t>
      </w:r>
      <w:r w:rsidR="001C6403" w:rsidRPr="001357D3">
        <w:rPr>
          <w:noProof/>
        </w:rPr>
        <w:t xml:space="preserve"> i</w:t>
      </w:r>
      <w:r w:rsidR="001C6403">
        <w:rPr>
          <w:noProof/>
        </w:rPr>
        <w:t> </w:t>
      </w:r>
      <w:r w:rsidR="001C6403" w:rsidRPr="001357D3">
        <w:rPr>
          <w:noProof/>
        </w:rPr>
        <w:t>wie</w:t>
      </w:r>
      <w:r w:rsidRPr="001357D3">
        <w:rPr>
          <w:noProof/>
        </w:rPr>
        <w:t>dzy, również wśród odpowiednich decydentów, na temat praw procesowych osób podejrzanych</w:t>
      </w:r>
      <w:r w:rsidR="001C6403" w:rsidRPr="001357D3">
        <w:rPr>
          <w:noProof/>
        </w:rPr>
        <w:t xml:space="preserve"> i</w:t>
      </w:r>
      <w:r w:rsidR="001C6403">
        <w:rPr>
          <w:noProof/>
        </w:rPr>
        <w:t> </w:t>
      </w:r>
      <w:r w:rsidR="001C6403" w:rsidRPr="001357D3">
        <w:rPr>
          <w:noProof/>
        </w:rPr>
        <w:t>osk</w:t>
      </w:r>
      <w:r w:rsidRPr="001357D3">
        <w:rPr>
          <w:noProof/>
        </w:rPr>
        <w:t>arżonych oraz praw ofiar – zarówno na szczeblu unijnym, jak</w:t>
      </w:r>
      <w:r w:rsidR="001C6403" w:rsidRPr="001357D3">
        <w:rPr>
          <w:noProof/>
        </w:rPr>
        <w:t xml:space="preserve"> i</w:t>
      </w:r>
      <w:r w:rsidR="001C6403">
        <w:rPr>
          <w:noProof/>
        </w:rPr>
        <w:t> </w:t>
      </w:r>
      <w:r w:rsidR="001C6403" w:rsidRPr="001357D3">
        <w:rPr>
          <w:noProof/>
        </w:rPr>
        <w:t>kra</w:t>
      </w:r>
      <w:r w:rsidRPr="001357D3">
        <w:rPr>
          <w:noProof/>
        </w:rPr>
        <w:t>jowym;</w:t>
      </w:r>
    </w:p>
    <w:p w14:paraId="0EF31F0F" w14:textId="2F4F9B2C"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zwiększenie świadomości</w:t>
      </w:r>
      <w:r w:rsidR="001C6403" w:rsidRPr="001357D3">
        <w:rPr>
          <w:noProof/>
        </w:rPr>
        <w:t xml:space="preserve"> i</w:t>
      </w:r>
      <w:r w:rsidR="001C6403">
        <w:rPr>
          <w:noProof/>
        </w:rPr>
        <w:t> </w:t>
      </w:r>
      <w:r w:rsidR="001C6403" w:rsidRPr="001357D3">
        <w:rPr>
          <w:noProof/>
        </w:rPr>
        <w:t>wie</w:t>
      </w:r>
      <w:r w:rsidRPr="001357D3">
        <w:rPr>
          <w:noProof/>
        </w:rPr>
        <w:t>dzy na temat korzystania</w:t>
      </w:r>
      <w:r w:rsidR="001C6403" w:rsidRPr="001357D3">
        <w:rPr>
          <w:noProof/>
        </w:rPr>
        <w:t xml:space="preserve"> z</w:t>
      </w:r>
      <w:r w:rsidR="001C6403">
        <w:rPr>
          <w:noProof/>
        </w:rPr>
        <w:t> </w:t>
      </w:r>
      <w:r w:rsidR="001C6403" w:rsidRPr="001357D3">
        <w:rPr>
          <w:noProof/>
        </w:rPr>
        <w:t>nar</w:t>
      </w:r>
      <w:r w:rsidRPr="001357D3">
        <w:rPr>
          <w:noProof/>
        </w:rPr>
        <w:t>zędzi cyfrowych</w:t>
      </w:r>
      <w:r w:rsidR="001C6403" w:rsidRPr="001357D3">
        <w:rPr>
          <w:noProof/>
        </w:rPr>
        <w:t xml:space="preserve"> i</w:t>
      </w:r>
      <w:r w:rsidR="001C6403">
        <w:rPr>
          <w:noProof/>
        </w:rPr>
        <w:t> </w:t>
      </w:r>
      <w:r w:rsidR="001C6403" w:rsidRPr="001357D3">
        <w:rPr>
          <w:noProof/>
        </w:rPr>
        <w:t>nar</w:t>
      </w:r>
      <w:r w:rsidRPr="001357D3">
        <w:rPr>
          <w:noProof/>
        </w:rPr>
        <w:t>zędzi sztucznej inteligencji</w:t>
      </w:r>
      <w:r w:rsidR="001C6403" w:rsidRPr="001357D3">
        <w:rPr>
          <w:noProof/>
        </w:rPr>
        <w:t xml:space="preserve"> w</w:t>
      </w:r>
      <w:r w:rsidR="001C6403">
        <w:rPr>
          <w:noProof/>
        </w:rPr>
        <w:t> </w:t>
      </w:r>
      <w:r w:rsidR="001C6403" w:rsidRPr="001357D3">
        <w:rPr>
          <w:noProof/>
        </w:rPr>
        <w:t>pos</w:t>
      </w:r>
      <w:r w:rsidRPr="001357D3">
        <w:rPr>
          <w:noProof/>
        </w:rPr>
        <w:t>tępowaniu karnym (w szczególności wykorzystania technologii wideokonferencji)</w:t>
      </w:r>
      <w:r w:rsidR="001C6403" w:rsidRPr="001357D3">
        <w:rPr>
          <w:noProof/>
        </w:rPr>
        <w:t xml:space="preserve"> i</w:t>
      </w:r>
      <w:r w:rsidR="001C6403">
        <w:rPr>
          <w:noProof/>
        </w:rPr>
        <w:t> </w:t>
      </w:r>
      <w:r w:rsidR="001C6403" w:rsidRPr="001357D3">
        <w:rPr>
          <w:noProof/>
        </w:rPr>
        <w:t>wpł</w:t>
      </w:r>
      <w:r w:rsidRPr="001357D3">
        <w:rPr>
          <w:noProof/>
        </w:rPr>
        <w:t>ywu tych narzędzi (szanse</w:t>
      </w:r>
      <w:r w:rsidR="001C6403" w:rsidRPr="001357D3">
        <w:rPr>
          <w:noProof/>
        </w:rPr>
        <w:t xml:space="preserve"> i</w:t>
      </w:r>
      <w:r w:rsidR="001C6403">
        <w:rPr>
          <w:noProof/>
        </w:rPr>
        <w:t> </w:t>
      </w:r>
      <w:r w:rsidR="001C6403" w:rsidRPr="001357D3">
        <w:rPr>
          <w:noProof/>
        </w:rPr>
        <w:t>zag</w:t>
      </w:r>
      <w:r w:rsidRPr="001357D3">
        <w:rPr>
          <w:noProof/>
        </w:rPr>
        <w:t>rożenia) na prawa procesowe osób podejrzanych</w:t>
      </w:r>
      <w:r w:rsidR="001C6403" w:rsidRPr="001357D3">
        <w:rPr>
          <w:noProof/>
        </w:rPr>
        <w:t xml:space="preserve"> i</w:t>
      </w:r>
      <w:r w:rsidR="001C6403">
        <w:rPr>
          <w:noProof/>
        </w:rPr>
        <w:t> </w:t>
      </w:r>
      <w:r w:rsidR="001C6403" w:rsidRPr="001357D3">
        <w:rPr>
          <w:noProof/>
        </w:rPr>
        <w:t>osk</w:t>
      </w:r>
      <w:r w:rsidRPr="001357D3">
        <w:rPr>
          <w:noProof/>
        </w:rPr>
        <w:t>arżonych oraz na prawa ofiar – zarówno na szczeblu unijnym, jak</w:t>
      </w:r>
      <w:r w:rsidR="001C6403" w:rsidRPr="001357D3">
        <w:rPr>
          <w:noProof/>
        </w:rPr>
        <w:t xml:space="preserve"> i</w:t>
      </w:r>
      <w:r w:rsidR="001C6403">
        <w:rPr>
          <w:noProof/>
        </w:rPr>
        <w:t> </w:t>
      </w:r>
      <w:r w:rsidR="001C6403" w:rsidRPr="001357D3">
        <w:rPr>
          <w:noProof/>
        </w:rPr>
        <w:t>kra</w:t>
      </w:r>
      <w:r w:rsidRPr="001357D3">
        <w:rPr>
          <w:noProof/>
        </w:rPr>
        <w:t>jowym;</w:t>
      </w:r>
    </w:p>
    <w:p w14:paraId="1FFB4CB5" w14:textId="74594172"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zwiększenie świadomości</w:t>
      </w:r>
      <w:r w:rsidR="001C6403" w:rsidRPr="001357D3">
        <w:rPr>
          <w:noProof/>
        </w:rPr>
        <w:t xml:space="preserve"> i</w:t>
      </w:r>
      <w:r w:rsidR="001C6403">
        <w:rPr>
          <w:noProof/>
        </w:rPr>
        <w:t> </w:t>
      </w:r>
      <w:r w:rsidR="001C6403" w:rsidRPr="001357D3">
        <w:rPr>
          <w:noProof/>
        </w:rPr>
        <w:t>wie</w:t>
      </w:r>
      <w:r w:rsidRPr="001357D3">
        <w:rPr>
          <w:noProof/>
        </w:rPr>
        <w:t>dzy na temat szczególnych potrzeb najbardziej bezbronnych ofiar przestępstw,</w:t>
      </w:r>
      <w:r w:rsidR="001C6403" w:rsidRPr="001357D3">
        <w:rPr>
          <w:noProof/>
        </w:rPr>
        <w:t xml:space="preserve"> w</w:t>
      </w:r>
      <w:r w:rsidR="001C6403">
        <w:rPr>
          <w:noProof/>
        </w:rPr>
        <w:t> </w:t>
      </w:r>
      <w:r w:rsidR="001C6403" w:rsidRPr="001357D3">
        <w:rPr>
          <w:noProof/>
        </w:rPr>
        <w:t>tym</w:t>
      </w:r>
      <w:r w:rsidRPr="001357D3">
        <w:rPr>
          <w:noProof/>
        </w:rPr>
        <w:t xml:space="preserve"> ofiar terroryzmu, oraz najbardziej bezbronnych osób podejrzanych</w:t>
      </w:r>
      <w:r w:rsidR="001C6403" w:rsidRPr="001357D3">
        <w:rPr>
          <w:noProof/>
        </w:rPr>
        <w:t xml:space="preserve"> i</w:t>
      </w:r>
      <w:r w:rsidR="001C6403">
        <w:rPr>
          <w:noProof/>
        </w:rPr>
        <w:t> </w:t>
      </w:r>
      <w:r w:rsidR="001C6403" w:rsidRPr="001357D3">
        <w:rPr>
          <w:noProof/>
        </w:rPr>
        <w:t>osk</w:t>
      </w:r>
      <w:r w:rsidRPr="001357D3">
        <w:rPr>
          <w:noProof/>
        </w:rPr>
        <w:t>arżonych;</w:t>
      </w:r>
    </w:p>
    <w:p w14:paraId="06BA6F75" w14:textId="6B059147"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lastRenderedPageBreak/>
        <w:t>- poszerzenie wiedzy na temat środków odwoławczych dostępnych dla ofiar</w:t>
      </w:r>
      <w:r w:rsidR="001C6403" w:rsidRPr="001357D3">
        <w:rPr>
          <w:noProof/>
        </w:rPr>
        <w:t xml:space="preserve"> w</w:t>
      </w:r>
      <w:r w:rsidR="001C6403">
        <w:rPr>
          <w:noProof/>
        </w:rPr>
        <w:t> </w:t>
      </w:r>
      <w:r w:rsidR="001C6403" w:rsidRPr="001357D3">
        <w:rPr>
          <w:noProof/>
        </w:rPr>
        <w:t>prz</w:t>
      </w:r>
      <w:r w:rsidRPr="001357D3">
        <w:rPr>
          <w:noProof/>
        </w:rPr>
        <w:t>ypadku naruszenia ich praw,</w:t>
      </w:r>
      <w:r w:rsidR="001C6403" w:rsidRPr="001357D3">
        <w:rPr>
          <w:noProof/>
        </w:rPr>
        <w:t xml:space="preserve"> a</w:t>
      </w:r>
      <w:r w:rsidR="001C6403">
        <w:rPr>
          <w:noProof/>
        </w:rPr>
        <w:t> </w:t>
      </w:r>
      <w:r w:rsidR="001C6403" w:rsidRPr="001357D3">
        <w:rPr>
          <w:noProof/>
        </w:rPr>
        <w:t>tak</w:t>
      </w:r>
      <w:r w:rsidRPr="001357D3">
        <w:rPr>
          <w:noProof/>
        </w:rPr>
        <w:t>że na temat wyzwań</w:t>
      </w:r>
      <w:r w:rsidR="001C6403" w:rsidRPr="001357D3">
        <w:rPr>
          <w:noProof/>
        </w:rPr>
        <w:t xml:space="preserve"> i</w:t>
      </w:r>
      <w:r w:rsidR="001C6403">
        <w:rPr>
          <w:noProof/>
        </w:rPr>
        <w:t> </w:t>
      </w:r>
      <w:r w:rsidR="001C6403" w:rsidRPr="001357D3">
        <w:rPr>
          <w:noProof/>
        </w:rPr>
        <w:t>kor</w:t>
      </w:r>
      <w:r w:rsidRPr="001357D3">
        <w:rPr>
          <w:noProof/>
        </w:rPr>
        <w:t>zyści związanych</w:t>
      </w:r>
      <w:r w:rsidR="001C6403" w:rsidRPr="001357D3">
        <w:rPr>
          <w:noProof/>
        </w:rPr>
        <w:t xml:space="preserve"> z</w:t>
      </w:r>
      <w:r w:rsidR="001C6403">
        <w:rPr>
          <w:noProof/>
        </w:rPr>
        <w:t> </w:t>
      </w:r>
      <w:r w:rsidR="001C6403" w:rsidRPr="001357D3">
        <w:rPr>
          <w:noProof/>
        </w:rPr>
        <w:t>cyf</w:t>
      </w:r>
      <w:r w:rsidRPr="001357D3">
        <w:rPr>
          <w:noProof/>
        </w:rPr>
        <w:t>ryzacją wymiaru sprawiedliwości</w:t>
      </w:r>
      <w:r w:rsidR="001C6403" w:rsidRPr="001357D3">
        <w:rPr>
          <w:noProof/>
        </w:rPr>
        <w:t xml:space="preserve"> z</w:t>
      </w:r>
      <w:r w:rsidR="001C6403">
        <w:rPr>
          <w:noProof/>
        </w:rPr>
        <w:t> </w:t>
      </w:r>
      <w:r w:rsidR="001C6403" w:rsidRPr="001357D3">
        <w:rPr>
          <w:noProof/>
        </w:rPr>
        <w:t>per</w:t>
      </w:r>
      <w:r w:rsidRPr="001357D3">
        <w:rPr>
          <w:noProof/>
        </w:rPr>
        <w:t>spektywy ofiar;</w:t>
      </w:r>
    </w:p>
    <w:p w14:paraId="39529BB8" w14:textId="77777777"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ulepszone usługi wsparcia dla ofiar;</w:t>
      </w:r>
    </w:p>
    <w:p w14:paraId="312CAEDF" w14:textId="70773AC8"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 większa znajomość unijnego prawa cywilnego, prawa handlowego, prawa karnego</w:t>
      </w:r>
      <w:r w:rsidR="001C6403" w:rsidRPr="001357D3">
        <w:rPr>
          <w:noProof/>
        </w:rPr>
        <w:t xml:space="preserve"> i</w:t>
      </w:r>
      <w:r w:rsidR="001C6403">
        <w:rPr>
          <w:noProof/>
        </w:rPr>
        <w:t> </w:t>
      </w:r>
      <w:r w:rsidR="001C6403" w:rsidRPr="001357D3">
        <w:rPr>
          <w:noProof/>
        </w:rPr>
        <w:t>ins</w:t>
      </w:r>
      <w:r w:rsidRPr="001357D3">
        <w:rPr>
          <w:noProof/>
        </w:rPr>
        <w:t>trumentów związanych</w:t>
      </w:r>
      <w:r w:rsidR="001C6403" w:rsidRPr="001357D3">
        <w:rPr>
          <w:noProof/>
        </w:rPr>
        <w:t xml:space="preserve"> z</w:t>
      </w:r>
      <w:r w:rsidR="001C6403">
        <w:rPr>
          <w:noProof/>
        </w:rPr>
        <w:t> </w:t>
      </w:r>
      <w:r w:rsidR="001C6403" w:rsidRPr="001357D3">
        <w:rPr>
          <w:noProof/>
        </w:rPr>
        <w:t>pra</w:t>
      </w:r>
      <w:r w:rsidRPr="001357D3">
        <w:rPr>
          <w:noProof/>
        </w:rPr>
        <w:t>wami podstawowymi (w tym na temat zakresu stosowania Karty praw podstawowych Unii Europejskiej oraz istniejących środków odwoławczych</w:t>
      </w:r>
      <w:r w:rsidR="001C6403" w:rsidRPr="001357D3">
        <w:rPr>
          <w:noProof/>
        </w:rPr>
        <w:t xml:space="preserve"> i</w:t>
      </w:r>
      <w:r w:rsidR="001C6403">
        <w:rPr>
          <w:noProof/>
        </w:rPr>
        <w:t> </w:t>
      </w:r>
      <w:r w:rsidR="001C6403" w:rsidRPr="001357D3">
        <w:rPr>
          <w:noProof/>
        </w:rPr>
        <w:t>śro</w:t>
      </w:r>
      <w:r w:rsidRPr="001357D3">
        <w:rPr>
          <w:noProof/>
        </w:rPr>
        <w:t>dków zaskarżenia) wśród pracowników wymiaru sprawiedliwości;</w:t>
      </w:r>
    </w:p>
    <w:p w14:paraId="1A3D705D" w14:textId="3B183386"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 zwiększenie „zdolności cyfrowych” pracowników wymiaru sprawiedliwości tj. skutecznego korzystania</w:t>
      </w:r>
      <w:r w:rsidR="001C6403" w:rsidRPr="001357D3">
        <w:rPr>
          <w:noProof/>
        </w:rPr>
        <w:t xml:space="preserve"> z</w:t>
      </w:r>
      <w:r w:rsidR="001C6403">
        <w:rPr>
          <w:noProof/>
        </w:rPr>
        <w:t> </w:t>
      </w:r>
      <w:r w:rsidR="001C6403" w:rsidRPr="001357D3">
        <w:rPr>
          <w:noProof/>
        </w:rPr>
        <w:t>nar</w:t>
      </w:r>
      <w:r w:rsidRPr="001357D3">
        <w:rPr>
          <w:noProof/>
        </w:rPr>
        <w:t>zędzi</w:t>
      </w:r>
      <w:r w:rsidR="001C6403" w:rsidRPr="001357D3">
        <w:rPr>
          <w:noProof/>
        </w:rPr>
        <w:t xml:space="preserve"> i</w:t>
      </w:r>
      <w:r w:rsidR="001C6403">
        <w:rPr>
          <w:noProof/>
        </w:rPr>
        <w:t> </w:t>
      </w:r>
      <w:r w:rsidR="001C6403" w:rsidRPr="001357D3">
        <w:rPr>
          <w:noProof/>
        </w:rPr>
        <w:t>inf</w:t>
      </w:r>
      <w:r w:rsidRPr="001357D3">
        <w:rPr>
          <w:noProof/>
        </w:rPr>
        <w:t>rastruktur cyfrowych, radzenia sobie</w:t>
      </w:r>
      <w:r w:rsidR="001C6403" w:rsidRPr="001357D3">
        <w:rPr>
          <w:noProof/>
        </w:rPr>
        <w:t xml:space="preserve"> z</w:t>
      </w:r>
      <w:r w:rsidR="001C6403">
        <w:rPr>
          <w:noProof/>
        </w:rPr>
        <w:t> </w:t>
      </w:r>
      <w:r w:rsidR="001C6403" w:rsidRPr="001357D3">
        <w:rPr>
          <w:noProof/>
        </w:rPr>
        <w:t>wpł</w:t>
      </w:r>
      <w:r w:rsidRPr="001357D3">
        <w:rPr>
          <w:noProof/>
        </w:rPr>
        <w:t>ywem cyfryzacji na postępowania sądowe</w:t>
      </w:r>
      <w:r w:rsidR="001C6403" w:rsidRPr="001357D3">
        <w:rPr>
          <w:noProof/>
        </w:rPr>
        <w:t xml:space="preserve"> i</w:t>
      </w:r>
      <w:r w:rsidR="001C6403">
        <w:rPr>
          <w:noProof/>
        </w:rPr>
        <w:t> </w:t>
      </w:r>
      <w:r w:rsidR="001C6403" w:rsidRPr="001357D3">
        <w:rPr>
          <w:noProof/>
        </w:rPr>
        <w:t>pra</w:t>
      </w:r>
      <w:r w:rsidRPr="001357D3">
        <w:rPr>
          <w:noProof/>
        </w:rPr>
        <w:t>wa procesowe oraz stosowania narzędzi współpracy transgranicznej;</w:t>
      </w:r>
    </w:p>
    <w:p w14:paraId="420C60F9" w14:textId="380355E2"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 zwiększenie pewności prawa dla obywateli</w:t>
      </w:r>
      <w:r w:rsidR="001C6403" w:rsidRPr="001357D3">
        <w:rPr>
          <w:noProof/>
        </w:rPr>
        <w:t xml:space="preserve"> i</w:t>
      </w:r>
      <w:r w:rsidR="001C6403">
        <w:rPr>
          <w:noProof/>
        </w:rPr>
        <w:t> </w:t>
      </w:r>
      <w:r w:rsidR="001C6403" w:rsidRPr="001357D3">
        <w:rPr>
          <w:noProof/>
        </w:rPr>
        <w:t>prz</w:t>
      </w:r>
      <w:r w:rsidRPr="001357D3">
        <w:rPr>
          <w:noProof/>
        </w:rPr>
        <w:t>edsiębiorstw.</w:t>
      </w:r>
    </w:p>
    <w:p w14:paraId="6FF10B58" w14:textId="77777777" w:rsidR="00FA0CA8" w:rsidRPr="001357D3" w:rsidRDefault="00FA0CA8" w:rsidP="00FA0CA8">
      <w:pPr>
        <w:keepNext/>
        <w:tabs>
          <w:tab w:val="left" w:pos="850"/>
        </w:tabs>
        <w:ind w:left="850" w:hanging="850"/>
        <w:outlineLvl w:val="2"/>
        <w:rPr>
          <w:i/>
          <w:noProof/>
        </w:rPr>
      </w:pPr>
      <w:bookmarkStart w:id="93" w:name="_Toc514938023"/>
      <w:bookmarkStart w:id="94" w:name="_Toc520485033"/>
      <w:bookmarkStart w:id="95" w:name="_Toc160804575"/>
      <w:bookmarkStart w:id="96" w:name="_Toc167220267"/>
      <w:bookmarkStart w:id="97" w:name="_Toc177548999"/>
      <w:bookmarkStart w:id="98" w:name="_Toc210923259"/>
      <w:r w:rsidRPr="001357D3">
        <w:rPr>
          <w:i/>
          <w:noProof/>
        </w:rPr>
        <w:t>1.3.4.</w:t>
      </w:r>
      <w:r w:rsidRPr="001357D3">
        <w:rPr>
          <w:noProof/>
        </w:rPr>
        <w:tab/>
      </w:r>
      <w:r w:rsidRPr="001357D3">
        <w:rPr>
          <w:i/>
          <w:noProof/>
        </w:rPr>
        <w:t>Wskaźniki dotyczące realizacji celów</w:t>
      </w:r>
      <w:bookmarkEnd w:id="93"/>
      <w:bookmarkEnd w:id="94"/>
      <w:bookmarkEnd w:id="95"/>
      <w:bookmarkEnd w:id="96"/>
      <w:bookmarkEnd w:id="97"/>
      <w:bookmarkEnd w:id="98"/>
    </w:p>
    <w:p w14:paraId="0D4D1579" w14:textId="62F7DBB2" w:rsidR="00FA0CA8" w:rsidRPr="001357D3" w:rsidRDefault="00FA0CA8" w:rsidP="00FA0CA8">
      <w:pPr>
        <w:ind w:left="850"/>
        <w:rPr>
          <w:i/>
          <w:noProof/>
          <w:sz w:val="20"/>
        </w:rPr>
      </w:pPr>
      <w:r w:rsidRPr="001357D3">
        <w:rPr>
          <w:i/>
          <w:noProof/>
          <w:sz w:val="20"/>
        </w:rPr>
        <w:t>Należy wskazać wskaźniki stosowane do monitorowania postępów</w:t>
      </w:r>
      <w:r w:rsidR="001C6403" w:rsidRPr="001357D3">
        <w:rPr>
          <w:i/>
          <w:noProof/>
          <w:sz w:val="20"/>
        </w:rPr>
        <w:t xml:space="preserve"> i</w:t>
      </w:r>
      <w:r w:rsidR="001C6403">
        <w:rPr>
          <w:i/>
          <w:noProof/>
          <w:sz w:val="20"/>
        </w:rPr>
        <w:t> </w:t>
      </w:r>
      <w:r w:rsidR="001C6403" w:rsidRPr="001357D3">
        <w:rPr>
          <w:i/>
          <w:noProof/>
          <w:sz w:val="20"/>
        </w:rPr>
        <w:t>osi</w:t>
      </w:r>
      <w:r w:rsidRPr="001357D3">
        <w:rPr>
          <w:i/>
          <w:noProof/>
          <w:sz w:val="20"/>
        </w:rPr>
        <w:t>ągnięć.</w:t>
      </w:r>
    </w:p>
    <w:p w14:paraId="613D8903" w14:textId="74355B3D"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noProof/>
          <w:highlight w:val="yellow"/>
        </w:rPr>
      </w:pPr>
      <w:r w:rsidRPr="001357D3">
        <w:rPr>
          <w:noProof/>
        </w:rPr>
        <w:t>Wskaźniki produktu</w:t>
      </w:r>
      <w:r w:rsidR="001C6403" w:rsidRPr="001357D3">
        <w:rPr>
          <w:noProof/>
        </w:rPr>
        <w:t xml:space="preserve"> i</w:t>
      </w:r>
      <w:r w:rsidR="001C6403">
        <w:rPr>
          <w:noProof/>
        </w:rPr>
        <w:t> </w:t>
      </w:r>
      <w:r w:rsidR="001C6403" w:rsidRPr="001357D3">
        <w:rPr>
          <w:noProof/>
        </w:rPr>
        <w:t>rez</w:t>
      </w:r>
      <w:r w:rsidRPr="001357D3">
        <w:rPr>
          <w:noProof/>
        </w:rPr>
        <w:t>ultatu służące monitorowaniu postępów</w:t>
      </w:r>
      <w:r w:rsidR="001C6403" w:rsidRPr="001357D3">
        <w:rPr>
          <w:noProof/>
        </w:rPr>
        <w:t xml:space="preserve"> i</w:t>
      </w:r>
      <w:r w:rsidR="001C6403">
        <w:rPr>
          <w:noProof/>
        </w:rPr>
        <w:t> </w:t>
      </w:r>
      <w:r w:rsidR="001C6403" w:rsidRPr="001357D3">
        <w:rPr>
          <w:noProof/>
        </w:rPr>
        <w:t>osi</w:t>
      </w:r>
      <w:r w:rsidRPr="001357D3">
        <w:rPr>
          <w:noProof/>
        </w:rPr>
        <w:t>ągnięć niniejszego Programu będą odpowiadać wspólnym wskaźnikom określonym</w:t>
      </w:r>
      <w:r w:rsidR="001C6403" w:rsidRPr="001357D3">
        <w:rPr>
          <w:noProof/>
        </w:rPr>
        <w:t xml:space="preserve"> w</w:t>
      </w:r>
      <w:r w:rsidR="001C6403">
        <w:rPr>
          <w:noProof/>
        </w:rPr>
        <w:t> </w:t>
      </w:r>
      <w:r w:rsidR="001C6403" w:rsidRPr="001357D3">
        <w:rPr>
          <w:noProof/>
        </w:rPr>
        <w:t>roz</w:t>
      </w:r>
      <w:r w:rsidRPr="001357D3">
        <w:rPr>
          <w:noProof/>
        </w:rPr>
        <w:t>porządzeniu Parlamentu Europejskiego</w:t>
      </w:r>
      <w:r w:rsidR="001C6403" w:rsidRPr="001357D3">
        <w:rPr>
          <w:noProof/>
        </w:rPr>
        <w:t xml:space="preserve"> i</w:t>
      </w:r>
      <w:r w:rsidR="001C6403">
        <w:rPr>
          <w:noProof/>
        </w:rPr>
        <w:t> </w:t>
      </w:r>
      <w:r w:rsidR="001C6403" w:rsidRPr="001357D3">
        <w:rPr>
          <w:noProof/>
        </w:rPr>
        <w:t>Rad</w:t>
      </w:r>
      <w:r w:rsidRPr="001357D3">
        <w:rPr>
          <w:noProof/>
        </w:rPr>
        <w:t>y (UE) XXX</w:t>
      </w:r>
      <w:r w:rsidRPr="001357D3">
        <w:rPr>
          <w:rFonts w:asciiTheme="minorHAnsi" w:hAnsiTheme="minorHAnsi"/>
          <w:noProof/>
          <w:sz w:val="16"/>
        </w:rPr>
        <w:t xml:space="preserve"> </w:t>
      </w:r>
      <w:r w:rsidRPr="001357D3">
        <w:rPr>
          <w:noProof/>
        </w:rPr>
        <w:t>[rozporządzenie</w:t>
      </w:r>
      <w:r w:rsidR="001C6403" w:rsidRPr="001357D3">
        <w:rPr>
          <w:noProof/>
        </w:rPr>
        <w:t xml:space="preserve"> w</w:t>
      </w:r>
      <w:r w:rsidR="001C6403">
        <w:rPr>
          <w:noProof/>
        </w:rPr>
        <w:t> </w:t>
      </w:r>
      <w:r w:rsidR="001C6403" w:rsidRPr="001357D3">
        <w:rPr>
          <w:noProof/>
        </w:rPr>
        <w:t>spr</w:t>
      </w:r>
      <w:r w:rsidRPr="001357D3">
        <w:rPr>
          <w:noProof/>
        </w:rPr>
        <w:t>awie wykonania]</w:t>
      </w:r>
      <w:r w:rsidRPr="001357D3">
        <w:rPr>
          <w:rStyle w:val="Odwoanieprzypisudolnego"/>
          <w:rFonts w:eastAsia="Times New Roman"/>
          <w:noProof/>
          <w:szCs w:val="24"/>
        </w:rPr>
        <w:footnoteReference w:id="60"/>
      </w:r>
      <w:r w:rsidRPr="001357D3">
        <w:rPr>
          <w:noProof/>
        </w:rPr>
        <w:t>.</w:t>
      </w:r>
    </w:p>
    <w:p w14:paraId="10BE31ED" w14:textId="31F7D99F" w:rsidR="00FA0CA8" w:rsidRPr="001357D3" w:rsidRDefault="00FA0CA8" w:rsidP="00FA0CA8">
      <w:pPr>
        <w:keepNext/>
        <w:tabs>
          <w:tab w:val="left" w:pos="850"/>
        </w:tabs>
        <w:ind w:left="850" w:hanging="850"/>
        <w:outlineLvl w:val="1"/>
        <w:rPr>
          <w:b/>
          <w:noProof/>
        </w:rPr>
      </w:pPr>
      <w:bookmarkStart w:id="99" w:name="_Toc177549000"/>
      <w:bookmarkStart w:id="100" w:name="_Toc210923260"/>
      <w:r w:rsidRPr="001357D3">
        <w:rPr>
          <w:b/>
          <w:noProof/>
        </w:rPr>
        <w:t>1.4.</w:t>
      </w:r>
      <w:r w:rsidRPr="001357D3">
        <w:rPr>
          <w:noProof/>
        </w:rPr>
        <w:tab/>
      </w:r>
      <w:bookmarkStart w:id="101" w:name="_Hlk205126550"/>
      <w:r w:rsidRPr="001357D3">
        <w:rPr>
          <w:b/>
          <w:noProof/>
        </w:rPr>
        <w:t>Wniosek/inicjatywa dotyczy:</w:t>
      </w:r>
      <w:bookmarkEnd w:id="99"/>
      <w:bookmarkEnd w:id="100"/>
    </w:p>
    <w:p w14:paraId="6B8E11E9" w14:textId="0C647724" w:rsidR="00FA0CA8" w:rsidRPr="001357D3" w:rsidRDefault="00FA0CA8" w:rsidP="00FA0CA8">
      <w:pPr>
        <w:ind w:left="850"/>
        <w:rPr>
          <w:noProof/>
          <w:sz w:val="22"/>
        </w:rPr>
      </w:pPr>
      <w:r w:rsidRPr="001357D3">
        <w:rPr>
          <w:rFonts w:ascii="Wingdings" w:hAnsi="Wingdings"/>
          <w:noProof/>
          <w:sz w:val="22"/>
        </w:rPr>
        <w:t></w:t>
      </w:r>
      <w:r w:rsidRPr="001357D3">
        <w:rPr>
          <w:i/>
          <w:noProof/>
          <w:sz w:val="22"/>
        </w:rPr>
        <w:t xml:space="preserve"> </w:t>
      </w:r>
      <w:r w:rsidRPr="001357D3">
        <w:rPr>
          <w:noProof/>
        </w:rPr>
        <w:t>nowego działania</w:t>
      </w:r>
    </w:p>
    <w:p w14:paraId="4451F60E" w14:textId="57D010CC" w:rsidR="00FA0CA8" w:rsidRPr="001357D3" w:rsidRDefault="00FA0CA8" w:rsidP="00FA0CA8">
      <w:pPr>
        <w:ind w:left="850"/>
        <w:rPr>
          <w:noProof/>
          <w:sz w:val="22"/>
        </w:rPr>
      </w:pPr>
      <w:r w:rsidRPr="001357D3">
        <w:rPr>
          <w:rFonts w:ascii="Wingdings" w:hAnsi="Wingdings"/>
          <w:noProof/>
          <w:sz w:val="22"/>
        </w:rPr>
        <w:t></w:t>
      </w:r>
      <w:r w:rsidRPr="001357D3">
        <w:rPr>
          <w:i/>
          <w:noProof/>
          <w:sz w:val="22"/>
        </w:rPr>
        <w:t xml:space="preserve"> </w:t>
      </w:r>
      <w:r w:rsidRPr="001357D3">
        <w:rPr>
          <w:noProof/>
        </w:rPr>
        <w:t>nowego działania, będącego następstwem projektu pilotażowego/działania przygotowawczego</w:t>
      </w:r>
      <w:bookmarkEnd w:id="101"/>
      <w:r w:rsidRPr="001357D3">
        <w:rPr>
          <w:rStyle w:val="Odwoanieprzypisudolnego"/>
          <w:noProof/>
        </w:rPr>
        <w:footnoteReference w:id="61"/>
      </w:r>
    </w:p>
    <w:p w14:paraId="17594BD5" w14:textId="64213953" w:rsidR="00FA0CA8" w:rsidRPr="001357D3" w:rsidRDefault="00FA0CA8" w:rsidP="00FA0CA8">
      <w:pPr>
        <w:ind w:left="850"/>
        <w:rPr>
          <w:noProof/>
          <w:sz w:val="22"/>
        </w:rPr>
      </w:pPr>
      <w:r w:rsidRPr="001357D3">
        <w:rPr>
          <w:rFonts w:ascii="Wingdings" w:hAnsi="Wingdings"/>
          <w:noProof/>
          <w:sz w:val="22"/>
        </w:rPr>
        <w:t></w:t>
      </w:r>
      <w:r w:rsidRPr="001357D3">
        <w:rPr>
          <w:i/>
          <w:noProof/>
          <w:sz w:val="22"/>
        </w:rPr>
        <w:t xml:space="preserve"> </w:t>
      </w:r>
      <w:r w:rsidRPr="001357D3">
        <w:rPr>
          <w:noProof/>
        </w:rPr>
        <w:t>przedłużenia bieżącego działania</w:t>
      </w:r>
    </w:p>
    <w:p w14:paraId="57BEEE90" w14:textId="77777777" w:rsidR="00FA0CA8" w:rsidRPr="001357D3" w:rsidRDefault="00FA0CA8" w:rsidP="00FA0CA8">
      <w:pPr>
        <w:ind w:left="850"/>
        <w:rPr>
          <w:noProof/>
        </w:rPr>
      </w:pPr>
      <w:r w:rsidRPr="001357D3">
        <w:rPr>
          <w:rFonts w:ascii="Wingdings" w:hAnsi="Wingdings"/>
          <w:noProof/>
          <w:sz w:val="22"/>
        </w:rPr>
        <w:t></w:t>
      </w:r>
      <w:r w:rsidRPr="001357D3">
        <w:rPr>
          <w:i/>
          <w:noProof/>
          <w:sz w:val="22"/>
        </w:rPr>
        <w:t xml:space="preserve"> </w:t>
      </w:r>
      <w:r w:rsidRPr="001357D3">
        <w:rPr>
          <w:noProof/>
        </w:rPr>
        <w:t>połączenia lub przekształcenia co najmniej jednego działania pod kątem innego/nowego działania</w:t>
      </w:r>
    </w:p>
    <w:p w14:paraId="52D2EF64" w14:textId="2D673740" w:rsidR="00FA0CA8" w:rsidRPr="001357D3" w:rsidRDefault="00FA0CA8" w:rsidP="00FA0CA8">
      <w:pPr>
        <w:keepNext/>
        <w:tabs>
          <w:tab w:val="left" w:pos="850"/>
        </w:tabs>
        <w:ind w:left="850" w:hanging="850"/>
        <w:outlineLvl w:val="1"/>
        <w:rPr>
          <w:b/>
          <w:bCs/>
          <w:noProof/>
          <w:szCs w:val="24"/>
        </w:rPr>
      </w:pPr>
      <w:bookmarkStart w:id="103" w:name="_Toc514938025"/>
      <w:bookmarkStart w:id="104" w:name="_Toc520485034"/>
      <w:bookmarkStart w:id="105" w:name="_Toc160804576"/>
      <w:bookmarkStart w:id="106" w:name="_Toc167220268"/>
      <w:bookmarkStart w:id="107" w:name="_Toc177549001"/>
      <w:bookmarkStart w:id="108" w:name="_Toc210923261"/>
      <w:r w:rsidRPr="001357D3">
        <w:rPr>
          <w:b/>
          <w:noProof/>
        </w:rPr>
        <w:t>1.5.</w:t>
      </w:r>
      <w:r w:rsidRPr="001357D3">
        <w:rPr>
          <w:noProof/>
        </w:rPr>
        <w:tab/>
      </w:r>
      <w:r w:rsidRPr="001357D3">
        <w:rPr>
          <w:b/>
          <w:noProof/>
        </w:rPr>
        <w:t>Uzasadnienie wniosku/inicjatywy</w:t>
      </w:r>
      <w:bookmarkEnd w:id="103"/>
      <w:bookmarkEnd w:id="104"/>
      <w:bookmarkEnd w:id="105"/>
      <w:bookmarkEnd w:id="106"/>
      <w:bookmarkEnd w:id="107"/>
      <w:bookmarkEnd w:id="108"/>
    </w:p>
    <w:p w14:paraId="0136AA72" w14:textId="0437BA70" w:rsidR="00FA0CA8" w:rsidRPr="001357D3" w:rsidRDefault="00FA0CA8" w:rsidP="00FA0CA8">
      <w:pPr>
        <w:keepNext/>
        <w:tabs>
          <w:tab w:val="left" w:pos="850"/>
        </w:tabs>
        <w:ind w:left="850" w:hanging="850"/>
        <w:outlineLvl w:val="2"/>
        <w:rPr>
          <w:i/>
          <w:noProof/>
        </w:rPr>
      </w:pPr>
      <w:bookmarkStart w:id="109" w:name="_Toc514938026"/>
      <w:bookmarkStart w:id="110" w:name="_Toc520485035"/>
      <w:bookmarkStart w:id="111" w:name="_Toc160804577"/>
      <w:bookmarkStart w:id="112" w:name="_Toc167220269"/>
      <w:bookmarkStart w:id="113" w:name="_Toc177549002"/>
      <w:bookmarkStart w:id="114" w:name="_Toc210923262"/>
      <w:r w:rsidRPr="001357D3">
        <w:rPr>
          <w:i/>
          <w:noProof/>
        </w:rPr>
        <w:t>1.5.1.</w:t>
      </w:r>
      <w:r w:rsidRPr="001357D3">
        <w:rPr>
          <w:noProof/>
        </w:rPr>
        <w:tab/>
      </w:r>
      <w:r w:rsidRPr="001357D3">
        <w:rPr>
          <w:i/>
          <w:noProof/>
        </w:rPr>
        <w:t>Potrzeby, które należy zaspokoić</w:t>
      </w:r>
      <w:r w:rsidR="001C6403" w:rsidRPr="001357D3">
        <w:rPr>
          <w:i/>
          <w:noProof/>
        </w:rPr>
        <w:t xml:space="preserve"> w</w:t>
      </w:r>
      <w:r w:rsidR="001C6403">
        <w:rPr>
          <w:i/>
          <w:noProof/>
        </w:rPr>
        <w:t> </w:t>
      </w:r>
      <w:r w:rsidR="001C6403" w:rsidRPr="001357D3">
        <w:rPr>
          <w:i/>
          <w:noProof/>
        </w:rPr>
        <w:t>per</w:t>
      </w:r>
      <w:r w:rsidRPr="001357D3">
        <w:rPr>
          <w:i/>
          <w:noProof/>
        </w:rPr>
        <w:t>spektywie krótko- lub długoterminowej,</w:t>
      </w:r>
      <w:r w:rsidR="001C6403" w:rsidRPr="001357D3">
        <w:rPr>
          <w:i/>
          <w:noProof/>
        </w:rPr>
        <w:t xml:space="preserve"> w</w:t>
      </w:r>
      <w:r w:rsidR="001C6403">
        <w:rPr>
          <w:i/>
          <w:noProof/>
        </w:rPr>
        <w:t> </w:t>
      </w:r>
      <w:r w:rsidR="001C6403" w:rsidRPr="001357D3">
        <w:rPr>
          <w:i/>
          <w:noProof/>
        </w:rPr>
        <w:t>tym</w:t>
      </w:r>
      <w:r w:rsidRPr="001357D3">
        <w:rPr>
          <w:i/>
          <w:noProof/>
        </w:rPr>
        <w:t xml:space="preserve"> szczegółowy terminarz przebiegu realizacji inicjatywy</w:t>
      </w:r>
      <w:bookmarkEnd w:id="109"/>
      <w:bookmarkEnd w:id="110"/>
      <w:bookmarkEnd w:id="111"/>
      <w:bookmarkEnd w:id="112"/>
      <w:bookmarkEnd w:id="113"/>
      <w:bookmarkEnd w:id="114"/>
    </w:p>
    <w:p w14:paraId="29358619" w14:textId="5578AE72"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Mimo że prawodawstwo jest jednym</w:t>
      </w:r>
      <w:r w:rsidR="001C6403" w:rsidRPr="001357D3">
        <w:rPr>
          <w:noProof/>
        </w:rPr>
        <w:t xml:space="preserve"> z</w:t>
      </w:r>
      <w:r w:rsidR="001C6403">
        <w:rPr>
          <w:noProof/>
        </w:rPr>
        <w:t> </w:t>
      </w:r>
      <w:r w:rsidR="001C6403" w:rsidRPr="001357D3">
        <w:rPr>
          <w:noProof/>
        </w:rPr>
        <w:t>pod</w:t>
      </w:r>
      <w:r w:rsidRPr="001357D3">
        <w:rPr>
          <w:noProof/>
        </w:rPr>
        <w:t>stawowych narzędzi wdrażania celów Unii</w:t>
      </w:r>
      <w:r w:rsidR="001C6403" w:rsidRPr="001357D3">
        <w:rPr>
          <w:noProof/>
        </w:rPr>
        <w:t xml:space="preserve"> w</w:t>
      </w:r>
      <w:r w:rsidR="001C6403">
        <w:rPr>
          <w:noProof/>
        </w:rPr>
        <w:t> </w:t>
      </w:r>
      <w:r w:rsidR="001C6403" w:rsidRPr="001357D3">
        <w:rPr>
          <w:noProof/>
        </w:rPr>
        <w:t>dzi</w:t>
      </w:r>
      <w:r w:rsidRPr="001357D3">
        <w:rPr>
          <w:noProof/>
        </w:rPr>
        <w:t>edzinie wymiaru sprawiedliwości, musi ono być uzupełnione innymi środkami</w:t>
      </w:r>
      <w:r w:rsidR="001C6403" w:rsidRPr="001357D3">
        <w:rPr>
          <w:noProof/>
        </w:rPr>
        <w:t>. W</w:t>
      </w:r>
      <w:r w:rsidR="001C6403">
        <w:rPr>
          <w:noProof/>
        </w:rPr>
        <w:t> </w:t>
      </w:r>
      <w:r w:rsidR="001C6403" w:rsidRPr="001357D3">
        <w:rPr>
          <w:noProof/>
        </w:rPr>
        <w:t>tym</w:t>
      </w:r>
      <w:r w:rsidRPr="001357D3">
        <w:rPr>
          <w:noProof/>
        </w:rPr>
        <w:t xml:space="preserve"> kontekście finansowanie odgrywa istotną rolę</w:t>
      </w:r>
      <w:r w:rsidR="001C6403" w:rsidRPr="001357D3">
        <w:rPr>
          <w:noProof/>
        </w:rPr>
        <w:t xml:space="preserve"> w</w:t>
      </w:r>
      <w:r w:rsidR="001C6403">
        <w:rPr>
          <w:noProof/>
        </w:rPr>
        <w:t> </w:t>
      </w:r>
      <w:r w:rsidR="001C6403" w:rsidRPr="001357D3">
        <w:rPr>
          <w:noProof/>
        </w:rPr>
        <w:t>pod</w:t>
      </w:r>
      <w:r w:rsidRPr="001357D3">
        <w:rPr>
          <w:noProof/>
        </w:rPr>
        <w:t>noszeniu skuteczności przepisów poprzez zwiększanie wiedzy, świadomości</w:t>
      </w:r>
      <w:r w:rsidR="001C6403" w:rsidRPr="001357D3">
        <w:rPr>
          <w:noProof/>
        </w:rPr>
        <w:t xml:space="preserve"> i</w:t>
      </w:r>
      <w:r w:rsidR="001C6403">
        <w:rPr>
          <w:noProof/>
        </w:rPr>
        <w:t> </w:t>
      </w:r>
      <w:r w:rsidR="001C6403" w:rsidRPr="001357D3">
        <w:rPr>
          <w:noProof/>
        </w:rPr>
        <w:t>zdo</w:t>
      </w:r>
      <w:r w:rsidRPr="001357D3">
        <w:rPr>
          <w:noProof/>
        </w:rPr>
        <w:t>lności pracowników wymiaru sprawiedliwości</w:t>
      </w:r>
      <w:r w:rsidR="001C6403" w:rsidRPr="001357D3">
        <w:rPr>
          <w:noProof/>
        </w:rPr>
        <w:t xml:space="preserve"> i</w:t>
      </w:r>
      <w:r w:rsidR="001C6403">
        <w:rPr>
          <w:noProof/>
        </w:rPr>
        <w:t> </w:t>
      </w:r>
      <w:r w:rsidR="001C6403" w:rsidRPr="001357D3">
        <w:rPr>
          <w:noProof/>
        </w:rPr>
        <w:t>inn</w:t>
      </w:r>
      <w:r w:rsidRPr="001357D3">
        <w:rPr>
          <w:noProof/>
        </w:rPr>
        <w:t>ych kluczowych zainteresowanych stron, między innymi dzięki wspieraniu:</w:t>
      </w:r>
    </w:p>
    <w:p w14:paraId="056626C8" w14:textId="5216CD1C"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rozpowszechniania informacji</w:t>
      </w:r>
      <w:r w:rsidR="001C6403" w:rsidRPr="001357D3">
        <w:rPr>
          <w:noProof/>
        </w:rPr>
        <w:t xml:space="preserve"> i</w:t>
      </w:r>
      <w:r w:rsidR="001C6403">
        <w:rPr>
          <w:noProof/>
        </w:rPr>
        <w:t> </w:t>
      </w:r>
      <w:r w:rsidR="001C6403" w:rsidRPr="001357D3">
        <w:rPr>
          <w:noProof/>
        </w:rPr>
        <w:t>pod</w:t>
      </w:r>
      <w:r w:rsidRPr="001357D3">
        <w:rPr>
          <w:noProof/>
        </w:rPr>
        <w:t>noszenia świadomości,</w:t>
      </w:r>
      <w:r w:rsidR="001C6403" w:rsidRPr="001357D3">
        <w:rPr>
          <w:noProof/>
        </w:rPr>
        <w:t xml:space="preserve"> w</w:t>
      </w:r>
      <w:r w:rsidR="001C6403">
        <w:rPr>
          <w:noProof/>
        </w:rPr>
        <w:t> </w:t>
      </w:r>
      <w:r w:rsidR="001C6403" w:rsidRPr="001357D3">
        <w:rPr>
          <w:noProof/>
        </w:rPr>
        <w:t>tym</w:t>
      </w:r>
      <w:r w:rsidRPr="001357D3">
        <w:rPr>
          <w:noProof/>
        </w:rPr>
        <w:t xml:space="preserve"> wsparcia krajowych</w:t>
      </w:r>
      <w:r w:rsidR="001C6403" w:rsidRPr="001357D3">
        <w:rPr>
          <w:noProof/>
        </w:rPr>
        <w:t xml:space="preserve"> i</w:t>
      </w:r>
      <w:r w:rsidR="001C6403">
        <w:rPr>
          <w:noProof/>
        </w:rPr>
        <w:t> </w:t>
      </w:r>
      <w:r w:rsidR="001C6403" w:rsidRPr="001357D3">
        <w:rPr>
          <w:noProof/>
        </w:rPr>
        <w:t>eur</w:t>
      </w:r>
      <w:r w:rsidRPr="001357D3">
        <w:rPr>
          <w:noProof/>
        </w:rPr>
        <w:t>opejskich kampanii mających na celu informowanie obywateli</w:t>
      </w:r>
      <w:r w:rsidR="001C6403" w:rsidRPr="001357D3">
        <w:rPr>
          <w:noProof/>
        </w:rPr>
        <w:t xml:space="preserve"> o</w:t>
      </w:r>
      <w:r w:rsidR="001C6403">
        <w:rPr>
          <w:noProof/>
        </w:rPr>
        <w:t> </w:t>
      </w:r>
      <w:r w:rsidR="001C6403" w:rsidRPr="001357D3">
        <w:rPr>
          <w:noProof/>
        </w:rPr>
        <w:t>ich</w:t>
      </w:r>
      <w:r w:rsidRPr="001357D3">
        <w:rPr>
          <w:noProof/>
        </w:rPr>
        <w:t xml:space="preserve"> prawach oraz tworzenia forów dyskusyjnych dla zainteresowanych stron</w:t>
      </w:r>
      <w:r w:rsidR="001C6403" w:rsidRPr="001357D3">
        <w:rPr>
          <w:noProof/>
        </w:rPr>
        <w:t xml:space="preserve"> w</w:t>
      </w:r>
      <w:r w:rsidR="001C6403">
        <w:rPr>
          <w:noProof/>
        </w:rPr>
        <w:t> </w:t>
      </w:r>
      <w:r w:rsidR="001C6403" w:rsidRPr="001357D3">
        <w:rPr>
          <w:noProof/>
        </w:rPr>
        <w:t>cel</w:t>
      </w:r>
      <w:r w:rsidRPr="001357D3">
        <w:rPr>
          <w:noProof/>
        </w:rPr>
        <w:t xml:space="preserve">u </w:t>
      </w:r>
      <w:r w:rsidRPr="001357D3">
        <w:rPr>
          <w:noProof/>
        </w:rPr>
        <w:lastRenderedPageBreak/>
        <w:t>pogłębiania wiedzy na temat Programu</w:t>
      </w:r>
      <w:r w:rsidR="001C6403" w:rsidRPr="001357D3">
        <w:rPr>
          <w:noProof/>
        </w:rPr>
        <w:t xml:space="preserve"> i</w:t>
      </w:r>
      <w:r w:rsidR="001C6403">
        <w:rPr>
          <w:noProof/>
        </w:rPr>
        <w:t> </w:t>
      </w:r>
      <w:r w:rsidR="001C6403" w:rsidRPr="001357D3">
        <w:rPr>
          <w:noProof/>
        </w:rPr>
        <w:t>zwi</w:t>
      </w:r>
      <w:r w:rsidRPr="001357D3">
        <w:rPr>
          <w:noProof/>
        </w:rPr>
        <w:t>ększania możliwości przenoszenia jego rezultatów;</w:t>
      </w:r>
    </w:p>
    <w:p w14:paraId="3AEA8064" w14:textId="6DDCD7CC"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szkoleń, wymiany doświadczeń</w:t>
      </w:r>
      <w:r w:rsidR="001C6403" w:rsidRPr="001357D3">
        <w:rPr>
          <w:noProof/>
        </w:rPr>
        <w:t xml:space="preserve"> i</w:t>
      </w:r>
      <w:r w:rsidR="001C6403">
        <w:rPr>
          <w:noProof/>
        </w:rPr>
        <w:t> </w:t>
      </w:r>
      <w:r w:rsidR="001C6403" w:rsidRPr="001357D3">
        <w:rPr>
          <w:noProof/>
        </w:rPr>
        <w:t>dzi</w:t>
      </w:r>
      <w:r w:rsidRPr="001357D3">
        <w:rPr>
          <w:noProof/>
        </w:rPr>
        <w:t>ałań</w:t>
      </w:r>
      <w:r w:rsidR="001C6403" w:rsidRPr="001357D3">
        <w:rPr>
          <w:noProof/>
        </w:rPr>
        <w:t xml:space="preserve"> w</w:t>
      </w:r>
      <w:r w:rsidR="001C6403">
        <w:rPr>
          <w:noProof/>
        </w:rPr>
        <w:t> </w:t>
      </w:r>
      <w:r w:rsidR="001C6403" w:rsidRPr="001357D3">
        <w:rPr>
          <w:noProof/>
        </w:rPr>
        <w:t>zak</w:t>
      </w:r>
      <w:r w:rsidRPr="001357D3">
        <w:rPr>
          <w:noProof/>
        </w:rPr>
        <w:t>resie budowania zdolności dla sędziów</w:t>
      </w:r>
      <w:r w:rsidR="001C6403" w:rsidRPr="001357D3">
        <w:rPr>
          <w:noProof/>
        </w:rPr>
        <w:t xml:space="preserve"> i</w:t>
      </w:r>
      <w:r w:rsidR="001C6403">
        <w:rPr>
          <w:noProof/>
        </w:rPr>
        <w:t> </w:t>
      </w:r>
      <w:r w:rsidR="001C6403" w:rsidRPr="001357D3">
        <w:rPr>
          <w:noProof/>
        </w:rPr>
        <w:t>inn</w:t>
      </w:r>
      <w:r w:rsidRPr="001357D3">
        <w:rPr>
          <w:noProof/>
        </w:rPr>
        <w:t>ych pracowników wymiaru sprawiedliwości, innych praktyków oraz właściwych organów krajowych, co pozwoli wyposażyć ich</w:t>
      </w:r>
      <w:r w:rsidR="001C6403" w:rsidRPr="001357D3">
        <w:rPr>
          <w:noProof/>
        </w:rPr>
        <w:t xml:space="preserve"> w</w:t>
      </w:r>
      <w:r w:rsidR="001C6403">
        <w:rPr>
          <w:noProof/>
        </w:rPr>
        <w:t> </w:t>
      </w:r>
      <w:r w:rsidR="001C6403" w:rsidRPr="001357D3">
        <w:rPr>
          <w:noProof/>
        </w:rPr>
        <w:t>nar</w:t>
      </w:r>
      <w:r w:rsidRPr="001357D3">
        <w:rPr>
          <w:noProof/>
        </w:rPr>
        <w:t>zędzia umożliwiające skuteczne wdrażanie praw</w:t>
      </w:r>
      <w:r w:rsidR="001C6403" w:rsidRPr="001357D3">
        <w:rPr>
          <w:noProof/>
        </w:rPr>
        <w:t xml:space="preserve"> i</w:t>
      </w:r>
      <w:r w:rsidR="001C6403">
        <w:rPr>
          <w:noProof/>
        </w:rPr>
        <w:t> </w:t>
      </w:r>
      <w:r w:rsidR="001C6403" w:rsidRPr="001357D3">
        <w:rPr>
          <w:noProof/>
        </w:rPr>
        <w:t>pol</w:t>
      </w:r>
      <w:r w:rsidRPr="001357D3">
        <w:rPr>
          <w:noProof/>
        </w:rPr>
        <w:t>ityk Unii</w:t>
      </w:r>
      <w:r w:rsidR="001C6403" w:rsidRPr="001357D3">
        <w:rPr>
          <w:noProof/>
        </w:rPr>
        <w:t xml:space="preserve"> w</w:t>
      </w:r>
      <w:r w:rsidR="001C6403">
        <w:rPr>
          <w:noProof/>
        </w:rPr>
        <w:t> </w:t>
      </w:r>
      <w:r w:rsidR="001C6403" w:rsidRPr="001357D3">
        <w:rPr>
          <w:noProof/>
        </w:rPr>
        <w:t>pra</w:t>
      </w:r>
      <w:r w:rsidRPr="001357D3">
        <w:rPr>
          <w:noProof/>
        </w:rPr>
        <w:t>ktyce.</w:t>
      </w:r>
    </w:p>
    <w:p w14:paraId="514C4139" w14:textId="7B3D0E33"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Finansowanie odgrywa również centralną rolę</w:t>
      </w:r>
      <w:r w:rsidR="001C6403" w:rsidRPr="001357D3">
        <w:rPr>
          <w:noProof/>
        </w:rPr>
        <w:t xml:space="preserve"> w</w:t>
      </w:r>
      <w:r w:rsidR="001C6403">
        <w:rPr>
          <w:noProof/>
        </w:rPr>
        <w:t> </w:t>
      </w:r>
      <w:r w:rsidR="001C6403" w:rsidRPr="001357D3">
        <w:rPr>
          <w:noProof/>
        </w:rPr>
        <w:t>pro</w:t>
      </w:r>
      <w:r w:rsidRPr="001357D3">
        <w:rPr>
          <w:noProof/>
        </w:rPr>
        <w:t>pagowaniu współpracy na szczeblu międzynarodowym oraz pogłębianiu wzajemnego zaufania, między innymi poprzez:</w:t>
      </w:r>
    </w:p>
    <w:p w14:paraId="756F1566" w14:textId="7650D75E"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rozwijanie</w:t>
      </w:r>
      <w:r w:rsidR="001C6403" w:rsidRPr="001357D3">
        <w:rPr>
          <w:noProof/>
        </w:rPr>
        <w:t xml:space="preserve"> i</w:t>
      </w:r>
      <w:r w:rsidR="001C6403">
        <w:rPr>
          <w:noProof/>
        </w:rPr>
        <w:t> </w:t>
      </w:r>
      <w:r w:rsidR="001C6403" w:rsidRPr="001357D3">
        <w:rPr>
          <w:noProof/>
        </w:rPr>
        <w:t>wzm</w:t>
      </w:r>
      <w:r w:rsidRPr="001357D3">
        <w:rPr>
          <w:noProof/>
        </w:rPr>
        <w:t>acnianie zdolności kluczowych sieci na szczeblu europejskim, stowarzyszeń sądowych na szczeblu europejskim</w:t>
      </w:r>
      <w:r w:rsidR="001C6403" w:rsidRPr="001357D3">
        <w:rPr>
          <w:noProof/>
        </w:rPr>
        <w:t xml:space="preserve"> i</w:t>
      </w:r>
      <w:r w:rsidR="001C6403">
        <w:rPr>
          <w:noProof/>
        </w:rPr>
        <w:t> </w:t>
      </w:r>
      <w:r w:rsidR="001C6403" w:rsidRPr="001357D3">
        <w:rPr>
          <w:noProof/>
        </w:rPr>
        <w:t>org</w:t>
      </w:r>
      <w:r w:rsidRPr="001357D3">
        <w:rPr>
          <w:noProof/>
        </w:rPr>
        <w:t>anizatorów szkoleń kadr wymiaru sprawiedliwości na szczeblu europejskim, co pomoże</w:t>
      </w:r>
      <w:r w:rsidR="001C6403" w:rsidRPr="001357D3">
        <w:rPr>
          <w:noProof/>
        </w:rPr>
        <w:t xml:space="preserve"> w</w:t>
      </w:r>
      <w:r w:rsidR="001C6403">
        <w:rPr>
          <w:noProof/>
        </w:rPr>
        <w:t> </w:t>
      </w:r>
      <w:r w:rsidR="001C6403" w:rsidRPr="001357D3">
        <w:rPr>
          <w:noProof/>
        </w:rPr>
        <w:t>prz</w:t>
      </w:r>
      <w:r w:rsidRPr="001357D3">
        <w:rPr>
          <w:noProof/>
        </w:rPr>
        <w:t>ygotowaniu przyszłych inicjatyw</w:t>
      </w:r>
      <w:r w:rsidR="001C6403" w:rsidRPr="001357D3">
        <w:rPr>
          <w:noProof/>
        </w:rPr>
        <w:t xml:space="preserve"> w</w:t>
      </w:r>
      <w:r w:rsidR="001C6403">
        <w:rPr>
          <w:noProof/>
        </w:rPr>
        <w:t> </w:t>
      </w:r>
      <w:r w:rsidR="001C6403" w:rsidRPr="001357D3">
        <w:rPr>
          <w:noProof/>
        </w:rPr>
        <w:t>obs</w:t>
      </w:r>
      <w:r w:rsidRPr="001357D3">
        <w:rPr>
          <w:noProof/>
        </w:rPr>
        <w:t>zarach objętych Programem,</w:t>
      </w:r>
      <w:r w:rsidR="001C6403" w:rsidRPr="001357D3">
        <w:rPr>
          <w:noProof/>
        </w:rPr>
        <w:t xml:space="preserve"> a</w:t>
      </w:r>
      <w:r w:rsidR="001C6403">
        <w:rPr>
          <w:noProof/>
        </w:rPr>
        <w:t> </w:t>
      </w:r>
      <w:r w:rsidR="001C6403" w:rsidRPr="001357D3">
        <w:rPr>
          <w:noProof/>
        </w:rPr>
        <w:t>tak</w:t>
      </w:r>
      <w:r w:rsidRPr="001357D3">
        <w:rPr>
          <w:noProof/>
        </w:rPr>
        <w:t>że</w:t>
      </w:r>
      <w:r w:rsidR="001C6403" w:rsidRPr="001357D3">
        <w:rPr>
          <w:noProof/>
        </w:rPr>
        <w:t xml:space="preserve"> w</w:t>
      </w:r>
      <w:r w:rsidR="001C6403">
        <w:rPr>
          <w:noProof/>
        </w:rPr>
        <w:t> </w:t>
      </w:r>
      <w:r w:rsidR="001C6403" w:rsidRPr="001357D3">
        <w:rPr>
          <w:noProof/>
        </w:rPr>
        <w:t>pro</w:t>
      </w:r>
      <w:r w:rsidRPr="001357D3">
        <w:rPr>
          <w:noProof/>
        </w:rPr>
        <w:t>pagowaniu ich spójnego wdrażania</w:t>
      </w:r>
      <w:r w:rsidR="001C6403" w:rsidRPr="001357D3">
        <w:rPr>
          <w:noProof/>
        </w:rPr>
        <w:t xml:space="preserve"> w</w:t>
      </w:r>
      <w:r w:rsidR="001C6403">
        <w:rPr>
          <w:noProof/>
        </w:rPr>
        <w:t> </w:t>
      </w:r>
      <w:r w:rsidR="001C6403" w:rsidRPr="001357D3">
        <w:rPr>
          <w:noProof/>
        </w:rPr>
        <w:t>cał</w:t>
      </w:r>
      <w:r w:rsidRPr="001357D3">
        <w:rPr>
          <w:noProof/>
        </w:rPr>
        <w:t>ej Europie;</w:t>
      </w:r>
    </w:p>
    <w:p w14:paraId="4194E743" w14:textId="157D5BC4"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współpracę transgraniczną</w:t>
      </w:r>
      <w:r w:rsidR="001C6403" w:rsidRPr="001357D3">
        <w:rPr>
          <w:noProof/>
        </w:rPr>
        <w:t xml:space="preserve"> w</w:t>
      </w:r>
      <w:r w:rsidR="001C6403">
        <w:rPr>
          <w:noProof/>
        </w:rPr>
        <w:t> </w:t>
      </w:r>
      <w:r w:rsidR="001C6403" w:rsidRPr="001357D3">
        <w:rPr>
          <w:noProof/>
        </w:rPr>
        <w:t>zak</w:t>
      </w:r>
      <w:r w:rsidRPr="001357D3">
        <w:rPr>
          <w:noProof/>
        </w:rPr>
        <w:t>resie egzekwowania</w:t>
      </w:r>
      <w:r w:rsidR="001C6403" w:rsidRPr="001357D3">
        <w:rPr>
          <w:noProof/>
        </w:rPr>
        <w:t xml:space="preserve"> i</w:t>
      </w:r>
      <w:r w:rsidR="001C6403">
        <w:rPr>
          <w:noProof/>
        </w:rPr>
        <w:t> </w:t>
      </w:r>
      <w:r w:rsidR="001C6403" w:rsidRPr="001357D3">
        <w:rPr>
          <w:noProof/>
        </w:rPr>
        <w:t>koo</w:t>
      </w:r>
      <w:r w:rsidRPr="001357D3">
        <w:rPr>
          <w:noProof/>
        </w:rPr>
        <w:t>rdynacji innych działań krajowych</w:t>
      </w:r>
      <w:r w:rsidR="001C6403" w:rsidRPr="001357D3">
        <w:rPr>
          <w:noProof/>
        </w:rPr>
        <w:t xml:space="preserve"> w</w:t>
      </w:r>
      <w:r w:rsidR="001C6403">
        <w:rPr>
          <w:noProof/>
        </w:rPr>
        <w:t> </w:t>
      </w:r>
      <w:r w:rsidR="001C6403" w:rsidRPr="001357D3">
        <w:rPr>
          <w:noProof/>
        </w:rPr>
        <w:t>cel</w:t>
      </w:r>
      <w:r w:rsidRPr="001357D3">
        <w:rPr>
          <w:noProof/>
        </w:rPr>
        <w:t>u maksymalizacji</w:t>
      </w:r>
      <w:r w:rsidR="001C6403" w:rsidRPr="001357D3">
        <w:rPr>
          <w:noProof/>
        </w:rPr>
        <w:t xml:space="preserve"> i</w:t>
      </w:r>
      <w:r w:rsidR="001C6403">
        <w:rPr>
          <w:noProof/>
        </w:rPr>
        <w:t> </w:t>
      </w:r>
      <w:r w:rsidR="001C6403" w:rsidRPr="001357D3">
        <w:rPr>
          <w:noProof/>
        </w:rPr>
        <w:t>pog</w:t>
      </w:r>
      <w:r w:rsidRPr="001357D3">
        <w:rPr>
          <w:noProof/>
        </w:rPr>
        <w:t>łębienia wpływu działań na szczeblu Unii;</w:t>
      </w:r>
    </w:p>
    <w:p w14:paraId="0878BCE6" w14:textId="65B00346"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zapewnienie interoperacyjności transgranicznej systemów</w:t>
      </w:r>
      <w:r w:rsidR="001C6403" w:rsidRPr="001357D3">
        <w:rPr>
          <w:noProof/>
        </w:rPr>
        <w:t xml:space="preserve"> i</w:t>
      </w:r>
      <w:r w:rsidR="001C6403">
        <w:rPr>
          <w:noProof/>
        </w:rPr>
        <w:t> </w:t>
      </w:r>
      <w:r w:rsidR="001C6403" w:rsidRPr="001357D3">
        <w:rPr>
          <w:noProof/>
        </w:rPr>
        <w:t>apl</w:t>
      </w:r>
      <w:r w:rsidRPr="001357D3">
        <w:rPr>
          <w:noProof/>
        </w:rPr>
        <w:t>ikacji dzięki wdrażaniu</w:t>
      </w:r>
      <w:r w:rsidR="001C6403" w:rsidRPr="001357D3">
        <w:rPr>
          <w:noProof/>
        </w:rPr>
        <w:t xml:space="preserve"> i</w:t>
      </w:r>
      <w:r w:rsidR="001C6403">
        <w:rPr>
          <w:noProof/>
        </w:rPr>
        <w:t> </w:t>
      </w:r>
      <w:r w:rsidR="001C6403" w:rsidRPr="001357D3">
        <w:rPr>
          <w:noProof/>
        </w:rPr>
        <w:t>utr</w:t>
      </w:r>
      <w:r w:rsidRPr="001357D3">
        <w:rPr>
          <w:noProof/>
        </w:rPr>
        <w:t>zymywaniu innowacyjnych technik</w:t>
      </w:r>
      <w:r w:rsidR="001C6403" w:rsidRPr="001357D3">
        <w:rPr>
          <w:noProof/>
        </w:rPr>
        <w:t xml:space="preserve"> i</w:t>
      </w:r>
      <w:r w:rsidR="001C6403">
        <w:rPr>
          <w:noProof/>
        </w:rPr>
        <w:t> </w:t>
      </w:r>
      <w:r w:rsidR="001C6403" w:rsidRPr="001357D3">
        <w:rPr>
          <w:noProof/>
        </w:rPr>
        <w:t>tec</w:t>
      </w:r>
      <w:r w:rsidRPr="001357D3">
        <w:rPr>
          <w:noProof/>
        </w:rPr>
        <w:t>hnologii,</w:t>
      </w:r>
      <w:r w:rsidR="001C6403" w:rsidRPr="001357D3">
        <w:rPr>
          <w:noProof/>
        </w:rPr>
        <w:t xml:space="preserve"> w</w:t>
      </w:r>
      <w:r w:rsidR="001C6403">
        <w:rPr>
          <w:noProof/>
        </w:rPr>
        <w:t> </w:t>
      </w:r>
      <w:r w:rsidR="001C6403" w:rsidRPr="001357D3">
        <w:rPr>
          <w:noProof/>
        </w:rPr>
        <w:t>szc</w:t>
      </w:r>
      <w:r w:rsidRPr="001357D3">
        <w:rPr>
          <w:noProof/>
        </w:rPr>
        <w:t>zególności cyfrowych.</w:t>
      </w:r>
    </w:p>
    <w:p w14:paraId="1AF388F1" w14:textId="77777777"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Ponadto finansowanie powinno być przeznaczone również na wspieranie między innymi:</w:t>
      </w:r>
    </w:p>
    <w:p w14:paraId="0BD940AC" w14:textId="4E08BA14"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 badań naukowych, badań, ankiet, ocen, ocen skutków, analiz, monitorowania</w:t>
      </w:r>
      <w:r w:rsidR="001C6403" w:rsidRPr="001357D3">
        <w:rPr>
          <w:noProof/>
        </w:rPr>
        <w:t xml:space="preserve"> i</w:t>
      </w:r>
      <w:r w:rsidR="001C6403">
        <w:rPr>
          <w:noProof/>
        </w:rPr>
        <w:t> </w:t>
      </w:r>
      <w:r w:rsidR="001C6403" w:rsidRPr="001357D3">
        <w:rPr>
          <w:noProof/>
        </w:rPr>
        <w:t>inn</w:t>
      </w:r>
      <w:r w:rsidRPr="001357D3">
        <w:rPr>
          <w:noProof/>
        </w:rPr>
        <w:t>ych działań wspierających, które umożliwiają bieżącą orientację, jeżeli chodzi</w:t>
      </w:r>
      <w:r w:rsidR="001C6403" w:rsidRPr="001357D3">
        <w:rPr>
          <w:noProof/>
        </w:rPr>
        <w:t xml:space="preserve"> o</w:t>
      </w:r>
      <w:r w:rsidR="001C6403">
        <w:rPr>
          <w:noProof/>
        </w:rPr>
        <w:t> </w:t>
      </w:r>
      <w:r w:rsidR="001C6403" w:rsidRPr="001357D3">
        <w:rPr>
          <w:noProof/>
        </w:rPr>
        <w:t>now</w:t>
      </w:r>
      <w:r w:rsidRPr="001357D3">
        <w:rPr>
          <w:noProof/>
        </w:rPr>
        <w:t>e usprawnienia</w:t>
      </w:r>
      <w:r w:rsidR="001C6403" w:rsidRPr="001357D3">
        <w:rPr>
          <w:noProof/>
        </w:rPr>
        <w:t xml:space="preserve"> i</w:t>
      </w:r>
      <w:r w:rsidR="001C6403">
        <w:rPr>
          <w:noProof/>
        </w:rPr>
        <w:t> </w:t>
      </w:r>
      <w:r w:rsidR="001C6403" w:rsidRPr="001357D3">
        <w:rPr>
          <w:noProof/>
        </w:rPr>
        <w:t>wyz</w:t>
      </w:r>
      <w:r w:rsidRPr="001357D3">
        <w:rPr>
          <w:noProof/>
        </w:rPr>
        <w:t>wania występujące</w:t>
      </w:r>
      <w:r w:rsidR="001C6403" w:rsidRPr="001357D3">
        <w:rPr>
          <w:noProof/>
        </w:rPr>
        <w:t xml:space="preserve"> w</w:t>
      </w:r>
      <w:r w:rsidR="001C6403">
        <w:rPr>
          <w:noProof/>
        </w:rPr>
        <w:t> </w:t>
      </w:r>
      <w:r w:rsidR="001C6403" w:rsidRPr="001357D3">
        <w:rPr>
          <w:noProof/>
        </w:rPr>
        <w:t>pra</w:t>
      </w:r>
      <w:r w:rsidRPr="001357D3">
        <w:rPr>
          <w:noProof/>
        </w:rPr>
        <w:t>ktyce. Wyniki tych działań przyczynią się następnie do rozwoju</w:t>
      </w:r>
      <w:r w:rsidR="001C6403" w:rsidRPr="001357D3">
        <w:rPr>
          <w:noProof/>
        </w:rPr>
        <w:t xml:space="preserve"> i</w:t>
      </w:r>
      <w:r w:rsidR="001C6403">
        <w:rPr>
          <w:noProof/>
        </w:rPr>
        <w:t> </w:t>
      </w:r>
      <w:r w:rsidR="001C6403" w:rsidRPr="001357D3">
        <w:rPr>
          <w:noProof/>
        </w:rPr>
        <w:t>wdr</w:t>
      </w:r>
      <w:r w:rsidRPr="001357D3">
        <w:rPr>
          <w:noProof/>
        </w:rPr>
        <w:t>ażania polityki UE</w:t>
      </w:r>
      <w:r w:rsidR="001C6403" w:rsidRPr="001357D3">
        <w:rPr>
          <w:noProof/>
        </w:rPr>
        <w:t xml:space="preserve"> i</w:t>
      </w:r>
      <w:r w:rsidR="001C6403">
        <w:rPr>
          <w:noProof/>
        </w:rPr>
        <w:t> </w:t>
      </w:r>
      <w:r w:rsidR="001C6403" w:rsidRPr="001357D3">
        <w:rPr>
          <w:noProof/>
        </w:rPr>
        <w:t>zap</w:t>
      </w:r>
      <w:r w:rsidRPr="001357D3">
        <w:rPr>
          <w:noProof/>
        </w:rPr>
        <w:t>ewniają jej właściwe ukierunkowanie, właściwą konstrukcję oraz oparcie na rzetelnych informacjach.</w:t>
      </w:r>
    </w:p>
    <w:p w14:paraId="2892C606" w14:textId="33739EDA"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Program będzie przyczyniać się do podejmowania wspólnych, transgranicznych wyzwań,</w:t>
      </w:r>
      <w:r w:rsidR="001C6403" w:rsidRPr="001357D3">
        <w:rPr>
          <w:noProof/>
        </w:rPr>
        <w:t xml:space="preserve"> z</w:t>
      </w:r>
      <w:r w:rsidR="001C6403">
        <w:rPr>
          <w:noProof/>
        </w:rPr>
        <w:t> </w:t>
      </w:r>
      <w:r w:rsidR="001C6403" w:rsidRPr="001357D3">
        <w:rPr>
          <w:noProof/>
        </w:rPr>
        <w:t>uwz</w:t>
      </w:r>
      <w:r w:rsidRPr="001357D3">
        <w:rPr>
          <w:noProof/>
        </w:rPr>
        <w:t>ględnieniem specyfiki</w:t>
      </w:r>
      <w:r w:rsidR="001C6403" w:rsidRPr="001357D3">
        <w:rPr>
          <w:noProof/>
        </w:rPr>
        <w:t xml:space="preserve"> i</w:t>
      </w:r>
      <w:r w:rsidR="001C6403">
        <w:rPr>
          <w:noProof/>
        </w:rPr>
        <w:t> </w:t>
      </w:r>
      <w:r w:rsidR="001C6403" w:rsidRPr="001357D3">
        <w:rPr>
          <w:noProof/>
        </w:rPr>
        <w:t>wyz</w:t>
      </w:r>
      <w:r w:rsidRPr="001357D3">
        <w:rPr>
          <w:noProof/>
        </w:rPr>
        <w:t>wań poszczególnych obszarów polityki, ich różnorodnych grup docelowych oraz ich szczególnych potrzeb. Dzięki połączeniu wsparcia</w:t>
      </w:r>
      <w:r w:rsidR="001C6403" w:rsidRPr="001357D3">
        <w:rPr>
          <w:noProof/>
        </w:rPr>
        <w:t xml:space="preserve"> w</w:t>
      </w:r>
      <w:r w:rsidR="001C6403">
        <w:rPr>
          <w:noProof/>
        </w:rPr>
        <w:t> </w:t>
      </w:r>
      <w:r w:rsidR="001C6403" w:rsidRPr="001357D3">
        <w:rPr>
          <w:noProof/>
        </w:rPr>
        <w:t>tyc</w:t>
      </w:r>
      <w:r w:rsidRPr="001357D3">
        <w:rPr>
          <w:noProof/>
        </w:rPr>
        <w:t>h obszarach Unia będzie lepiej przygotowana do realizowania powracających, ale także nowych</w:t>
      </w:r>
      <w:r w:rsidR="001C6403" w:rsidRPr="001357D3">
        <w:rPr>
          <w:noProof/>
        </w:rPr>
        <w:t xml:space="preserve"> i</w:t>
      </w:r>
      <w:r w:rsidR="001C6403">
        <w:rPr>
          <w:noProof/>
        </w:rPr>
        <w:t> </w:t>
      </w:r>
      <w:r w:rsidR="001C6403" w:rsidRPr="001357D3">
        <w:rPr>
          <w:noProof/>
        </w:rPr>
        <w:t>poj</w:t>
      </w:r>
      <w:r w:rsidRPr="001357D3">
        <w:rPr>
          <w:noProof/>
        </w:rPr>
        <w:t>awiających się na horyzoncie priorytetów politycznych.</w:t>
      </w:r>
    </w:p>
    <w:p w14:paraId="21C3AF38" w14:textId="30B089A7"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W ramach Programu co roku publikowanych będzie około czterech zaproszeń do składania wniosków (w tym zaproszeń do składania wniosków</w:t>
      </w:r>
      <w:r w:rsidR="001C6403" w:rsidRPr="001357D3">
        <w:rPr>
          <w:noProof/>
        </w:rPr>
        <w:t xml:space="preserve"> o</w:t>
      </w:r>
      <w:r w:rsidR="001C6403">
        <w:rPr>
          <w:noProof/>
        </w:rPr>
        <w:t> </w:t>
      </w:r>
      <w:r w:rsidR="001C6403" w:rsidRPr="001357D3">
        <w:rPr>
          <w:noProof/>
        </w:rPr>
        <w:t>dot</w:t>
      </w:r>
      <w:r w:rsidRPr="001357D3">
        <w:rPr>
          <w:noProof/>
        </w:rPr>
        <w:t>acje na działalność); Program będzie wspierać niektóre działania</w:t>
      </w:r>
      <w:r w:rsidR="001C6403" w:rsidRPr="001357D3">
        <w:rPr>
          <w:noProof/>
        </w:rPr>
        <w:t xml:space="preserve"> w</w:t>
      </w:r>
      <w:r w:rsidR="001C6403">
        <w:rPr>
          <w:noProof/>
        </w:rPr>
        <w:t> </w:t>
      </w:r>
      <w:r w:rsidR="001C6403" w:rsidRPr="001357D3">
        <w:rPr>
          <w:noProof/>
        </w:rPr>
        <w:t>ram</w:t>
      </w:r>
      <w:r w:rsidRPr="001357D3">
        <w:rPr>
          <w:noProof/>
        </w:rPr>
        <w:t>ach zarządzania pośredniego</w:t>
      </w:r>
      <w:r w:rsidR="001C6403" w:rsidRPr="001357D3">
        <w:rPr>
          <w:noProof/>
        </w:rPr>
        <w:t xml:space="preserve"> z</w:t>
      </w:r>
      <w:r w:rsidR="001C6403">
        <w:rPr>
          <w:noProof/>
        </w:rPr>
        <w:t> </w:t>
      </w:r>
      <w:r w:rsidR="001C6403" w:rsidRPr="001357D3">
        <w:rPr>
          <w:noProof/>
        </w:rPr>
        <w:t>udz</w:t>
      </w:r>
      <w:r w:rsidRPr="001357D3">
        <w:rPr>
          <w:noProof/>
        </w:rPr>
        <w:t>iałem organizacji międzynarodowych. Niektóre zaproszenia będą publikowane co dwa lata. Ponadto</w:t>
      </w:r>
      <w:r w:rsidR="001C6403" w:rsidRPr="001357D3">
        <w:rPr>
          <w:noProof/>
        </w:rPr>
        <w:t xml:space="preserve"> w</w:t>
      </w:r>
      <w:r w:rsidR="001C6403">
        <w:rPr>
          <w:noProof/>
        </w:rPr>
        <w:t> </w:t>
      </w:r>
      <w:r w:rsidR="001C6403" w:rsidRPr="001357D3">
        <w:rPr>
          <w:noProof/>
        </w:rPr>
        <w:t>ram</w:t>
      </w:r>
      <w:r w:rsidRPr="001357D3">
        <w:rPr>
          <w:noProof/>
        </w:rPr>
        <w:t>ach Programu zostaną podjęt</w:t>
      </w:r>
      <w:r w:rsidRPr="001C6403">
        <w:rPr>
          <w:noProof/>
        </w:rPr>
        <w:t>e</w:t>
      </w:r>
      <w:r w:rsidR="001C6403" w:rsidRPr="001C6403">
        <w:rPr>
          <w:noProof/>
        </w:rPr>
        <w:t xml:space="preserve"> </w:t>
      </w:r>
      <w:r w:rsidRPr="001C6403">
        <w:rPr>
          <w:noProof/>
        </w:rPr>
        <w:t>d</w:t>
      </w:r>
      <w:r w:rsidRPr="001357D3">
        <w:rPr>
          <w:noProof/>
        </w:rPr>
        <w:t>ziałania</w:t>
      </w:r>
      <w:r w:rsidR="001C6403" w:rsidRPr="001357D3">
        <w:rPr>
          <w:noProof/>
        </w:rPr>
        <w:t xml:space="preserve"> w</w:t>
      </w:r>
      <w:r w:rsidR="001C6403">
        <w:rPr>
          <w:noProof/>
        </w:rPr>
        <w:t> </w:t>
      </w:r>
      <w:r w:rsidR="001C6403" w:rsidRPr="001357D3">
        <w:rPr>
          <w:noProof/>
        </w:rPr>
        <w:t>opa</w:t>
      </w:r>
      <w:r w:rsidRPr="001357D3">
        <w:rPr>
          <w:noProof/>
        </w:rPr>
        <w:t>rciu</w:t>
      </w:r>
      <w:r w:rsidR="001C6403" w:rsidRPr="001357D3">
        <w:rPr>
          <w:noProof/>
        </w:rPr>
        <w:t xml:space="preserve"> o</w:t>
      </w:r>
      <w:r w:rsidR="001C6403">
        <w:rPr>
          <w:noProof/>
        </w:rPr>
        <w:t> </w:t>
      </w:r>
      <w:r w:rsidR="001C6403" w:rsidRPr="001357D3">
        <w:rPr>
          <w:noProof/>
        </w:rPr>
        <w:t>umo</w:t>
      </w:r>
      <w:r w:rsidRPr="001357D3">
        <w:rPr>
          <w:noProof/>
        </w:rPr>
        <w:t>wy zawierane</w:t>
      </w:r>
      <w:r w:rsidR="001C6403" w:rsidRPr="001357D3">
        <w:rPr>
          <w:noProof/>
        </w:rPr>
        <w:t xml:space="preserve"> w</w:t>
      </w:r>
      <w:r w:rsidR="001C6403">
        <w:rPr>
          <w:noProof/>
        </w:rPr>
        <w:t> </w:t>
      </w:r>
      <w:r w:rsidR="001C6403" w:rsidRPr="001357D3">
        <w:rPr>
          <w:noProof/>
        </w:rPr>
        <w:t>nas</w:t>
      </w:r>
      <w:r w:rsidRPr="001357D3">
        <w:rPr>
          <w:noProof/>
        </w:rPr>
        <w:t>tępstwie udzielania zamówień publicznych. Rodzaje finansowanych działań mogą obejmować na przykład: konferencje, spotkania ekspertów, posiedzenia komisji wspierających wdrażanie aktów ustawodawczych UE, seminaria, działania komunikacyjne, informacyjne</w:t>
      </w:r>
      <w:r w:rsidR="001C6403" w:rsidRPr="001357D3">
        <w:rPr>
          <w:noProof/>
        </w:rPr>
        <w:t xml:space="preserve"> i</w:t>
      </w:r>
      <w:r w:rsidR="001C6403">
        <w:rPr>
          <w:noProof/>
        </w:rPr>
        <w:t> </w:t>
      </w:r>
      <w:r w:rsidR="001C6403" w:rsidRPr="001357D3">
        <w:rPr>
          <w:noProof/>
        </w:rPr>
        <w:t>zap</w:t>
      </w:r>
      <w:r w:rsidRPr="001357D3">
        <w:rPr>
          <w:noProof/>
        </w:rPr>
        <w:t>ewniające widoczność; opracowywanie materiałów szkoleniowych oraz tworzenie</w:t>
      </w:r>
      <w:r w:rsidR="001C6403" w:rsidRPr="001357D3">
        <w:rPr>
          <w:noProof/>
        </w:rPr>
        <w:t xml:space="preserve"> i</w:t>
      </w:r>
      <w:r w:rsidR="001C6403">
        <w:rPr>
          <w:noProof/>
        </w:rPr>
        <w:t> </w:t>
      </w:r>
      <w:r w:rsidR="001C6403" w:rsidRPr="001357D3">
        <w:rPr>
          <w:noProof/>
        </w:rPr>
        <w:t>utr</w:t>
      </w:r>
      <w:r w:rsidRPr="001357D3">
        <w:rPr>
          <w:noProof/>
        </w:rPr>
        <w:t>zymanie platform oraz systemów informatycznych; ankiety, badania</w:t>
      </w:r>
      <w:r w:rsidR="001C6403" w:rsidRPr="001357D3">
        <w:rPr>
          <w:noProof/>
        </w:rPr>
        <w:t xml:space="preserve"> i</w:t>
      </w:r>
      <w:r w:rsidR="001C6403">
        <w:rPr>
          <w:noProof/>
        </w:rPr>
        <w:t> </w:t>
      </w:r>
      <w:r w:rsidR="001C6403" w:rsidRPr="001357D3">
        <w:rPr>
          <w:noProof/>
        </w:rPr>
        <w:t>oce</w:t>
      </w:r>
      <w:r w:rsidRPr="001357D3">
        <w:rPr>
          <w:noProof/>
        </w:rPr>
        <w:t>ny skutków.</w:t>
      </w:r>
    </w:p>
    <w:p w14:paraId="6B25C56B" w14:textId="657D1C18"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lastRenderedPageBreak/>
        <w:t>Wszystkie te działania będą realizowane</w:t>
      </w:r>
      <w:r w:rsidR="001C6403" w:rsidRPr="001357D3">
        <w:rPr>
          <w:noProof/>
        </w:rPr>
        <w:t xml:space="preserve"> w</w:t>
      </w:r>
      <w:r w:rsidR="001C6403">
        <w:rPr>
          <w:noProof/>
        </w:rPr>
        <w:t> </w:t>
      </w:r>
      <w:r w:rsidR="001C6403" w:rsidRPr="001357D3">
        <w:rPr>
          <w:noProof/>
        </w:rPr>
        <w:t>cał</w:t>
      </w:r>
      <w:r w:rsidRPr="001357D3">
        <w:rPr>
          <w:noProof/>
        </w:rPr>
        <w:t>ym okresie 2028–2034. Na tym etapie trudno jest określić dokładny harmonogram wdrażania, ponieważ Program został opracowany tak, aby zachować wystarczającą elastyczność umożliwiającą dostosowanie się do nowych, pojawiających się priorytetów</w:t>
      </w:r>
      <w:r w:rsidR="001C6403" w:rsidRPr="001357D3">
        <w:rPr>
          <w:noProof/>
        </w:rPr>
        <w:t xml:space="preserve"> i</w:t>
      </w:r>
      <w:r w:rsidR="001C6403">
        <w:rPr>
          <w:noProof/>
        </w:rPr>
        <w:t> </w:t>
      </w:r>
      <w:r w:rsidR="001C6403" w:rsidRPr="001357D3">
        <w:rPr>
          <w:noProof/>
        </w:rPr>
        <w:t>pot</w:t>
      </w:r>
      <w:r w:rsidRPr="001357D3">
        <w:rPr>
          <w:noProof/>
        </w:rPr>
        <w:t>rzeb.</w:t>
      </w:r>
    </w:p>
    <w:p w14:paraId="23137E0D" w14:textId="7FDDD603" w:rsidR="00FA0CA8" w:rsidRPr="001357D3" w:rsidRDefault="00FA0CA8" w:rsidP="00FA0CA8">
      <w:pPr>
        <w:keepNext/>
        <w:tabs>
          <w:tab w:val="left" w:pos="850"/>
        </w:tabs>
        <w:ind w:left="850" w:hanging="850"/>
        <w:outlineLvl w:val="2"/>
        <w:rPr>
          <w:bCs/>
          <w:i/>
          <w:noProof/>
          <w:szCs w:val="24"/>
        </w:rPr>
      </w:pPr>
      <w:bookmarkStart w:id="115" w:name="_Toc514938029"/>
      <w:bookmarkStart w:id="116" w:name="_Toc520485036"/>
      <w:bookmarkStart w:id="117" w:name="_Toc160804578"/>
      <w:bookmarkStart w:id="118" w:name="_Toc167220270"/>
      <w:bookmarkStart w:id="119" w:name="_Toc177549003"/>
      <w:bookmarkStart w:id="120" w:name="_Toc210923263"/>
      <w:r w:rsidRPr="001357D3">
        <w:rPr>
          <w:i/>
          <w:noProof/>
        </w:rPr>
        <w:t>1.5.2.</w:t>
      </w:r>
      <w:r w:rsidRPr="001357D3">
        <w:rPr>
          <w:noProof/>
        </w:rPr>
        <w:tab/>
      </w:r>
      <w:r w:rsidRPr="001357D3">
        <w:rPr>
          <w:i/>
          <w:noProof/>
        </w:rPr>
        <w:t>Wartość dodana</w:t>
      </w:r>
      <w:r w:rsidR="001C6403" w:rsidRPr="001357D3">
        <w:rPr>
          <w:i/>
          <w:noProof/>
        </w:rPr>
        <w:t xml:space="preserve"> z</w:t>
      </w:r>
      <w:r w:rsidR="001C6403">
        <w:rPr>
          <w:i/>
          <w:noProof/>
        </w:rPr>
        <w:t> </w:t>
      </w:r>
      <w:r w:rsidR="001C6403" w:rsidRPr="001357D3">
        <w:rPr>
          <w:i/>
          <w:noProof/>
        </w:rPr>
        <w:t>tyt</w:t>
      </w:r>
      <w:r w:rsidRPr="001357D3">
        <w:rPr>
          <w:i/>
          <w:noProof/>
        </w:rPr>
        <w:t>ułu zaangażowania Unii Europejskiej (może wynikać</w:t>
      </w:r>
      <w:r w:rsidR="001C6403" w:rsidRPr="001357D3">
        <w:rPr>
          <w:i/>
          <w:noProof/>
        </w:rPr>
        <w:t xml:space="preserve"> z</w:t>
      </w:r>
      <w:r w:rsidR="001C6403">
        <w:rPr>
          <w:i/>
          <w:noProof/>
        </w:rPr>
        <w:t> </w:t>
      </w:r>
      <w:r w:rsidR="001C6403" w:rsidRPr="001357D3">
        <w:rPr>
          <w:i/>
          <w:noProof/>
        </w:rPr>
        <w:t>róż</w:t>
      </w:r>
      <w:r w:rsidRPr="001357D3">
        <w:rPr>
          <w:i/>
          <w:noProof/>
        </w:rPr>
        <w:t>nych czynników, na przykład korzyści koordynacyjnych, pewności prawa, większej efektywności lub komplementarności). Na potrzeby tej sekcji „wartość dodaną</w:t>
      </w:r>
      <w:r w:rsidR="001C6403" w:rsidRPr="001357D3">
        <w:rPr>
          <w:i/>
          <w:noProof/>
        </w:rPr>
        <w:t xml:space="preserve"> z</w:t>
      </w:r>
      <w:r w:rsidR="001C6403">
        <w:rPr>
          <w:i/>
          <w:noProof/>
        </w:rPr>
        <w:t> </w:t>
      </w:r>
      <w:r w:rsidR="001C6403" w:rsidRPr="001357D3">
        <w:rPr>
          <w:i/>
          <w:noProof/>
        </w:rPr>
        <w:t>tyt</w:t>
      </w:r>
      <w:r w:rsidRPr="001357D3">
        <w:rPr>
          <w:i/>
          <w:noProof/>
        </w:rPr>
        <w:t>ułu zaangażowania Unii Europejskiej” należy rozumieć jako wartość wynikającą</w:t>
      </w:r>
      <w:r w:rsidR="001C6403" w:rsidRPr="001357D3">
        <w:rPr>
          <w:i/>
          <w:noProof/>
        </w:rPr>
        <w:t xml:space="preserve"> z</w:t>
      </w:r>
      <w:r w:rsidR="001C6403">
        <w:rPr>
          <w:i/>
          <w:noProof/>
        </w:rPr>
        <w:t> </w:t>
      </w:r>
      <w:r w:rsidR="001C6403" w:rsidRPr="001357D3">
        <w:rPr>
          <w:i/>
          <w:noProof/>
        </w:rPr>
        <w:t>uni</w:t>
      </w:r>
      <w:r w:rsidRPr="001357D3">
        <w:rPr>
          <w:i/>
          <w:noProof/>
        </w:rPr>
        <w:t>jnej interwencji, wykraczającą poza wartość, która zostałaby wytworzona przez same państwa członkowskie.</w:t>
      </w:r>
      <w:bookmarkEnd w:id="115"/>
      <w:bookmarkEnd w:id="116"/>
      <w:bookmarkEnd w:id="117"/>
      <w:bookmarkEnd w:id="118"/>
      <w:bookmarkEnd w:id="119"/>
      <w:bookmarkEnd w:id="120"/>
    </w:p>
    <w:p w14:paraId="3DD78D04" w14:textId="2FD6F9D0" w:rsidR="00FA0CA8" w:rsidRPr="001357D3" w:rsidRDefault="00FA0CA8" w:rsidP="00FA0CA8">
      <w:pPr>
        <w:pBdr>
          <w:top w:val="single" w:sz="4" w:space="1" w:color="auto"/>
          <w:left w:val="single" w:sz="4" w:space="4" w:color="auto"/>
          <w:bottom w:val="single" w:sz="4" w:space="1" w:color="auto"/>
          <w:right w:val="single" w:sz="4" w:space="4" w:color="auto"/>
        </w:pBdr>
        <w:ind w:left="850"/>
        <w:rPr>
          <w:b/>
          <w:bCs/>
          <w:noProof/>
        </w:rPr>
      </w:pPr>
      <w:r w:rsidRPr="001357D3">
        <w:rPr>
          <w:b/>
          <w:noProof/>
        </w:rPr>
        <w:t>Przyczyny działania na poziomie unijnym(ex ante)</w:t>
      </w:r>
    </w:p>
    <w:p w14:paraId="1149B98F" w14:textId="67CF23C6"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Pomimo poczynionych postępów UE nadal stoi</w:t>
      </w:r>
      <w:r w:rsidR="001C6403" w:rsidRPr="001357D3">
        <w:rPr>
          <w:noProof/>
        </w:rPr>
        <w:t xml:space="preserve"> w</w:t>
      </w:r>
      <w:r w:rsidR="001C6403">
        <w:rPr>
          <w:noProof/>
        </w:rPr>
        <w:t> </w:t>
      </w:r>
      <w:r w:rsidR="001C6403" w:rsidRPr="001357D3">
        <w:rPr>
          <w:noProof/>
        </w:rPr>
        <w:t>obl</w:t>
      </w:r>
      <w:r w:rsidRPr="001357D3">
        <w:rPr>
          <w:noProof/>
        </w:rPr>
        <w:t>iczu poważnych transgranicznych wyzwań związanych</w:t>
      </w:r>
      <w:r w:rsidR="001C6403" w:rsidRPr="001357D3">
        <w:rPr>
          <w:noProof/>
        </w:rPr>
        <w:t xml:space="preserve"> z</w:t>
      </w:r>
      <w:r w:rsidR="001C6403">
        <w:rPr>
          <w:noProof/>
        </w:rPr>
        <w:t> </w:t>
      </w:r>
      <w:r w:rsidR="001C6403" w:rsidRPr="001357D3">
        <w:rPr>
          <w:noProof/>
        </w:rPr>
        <w:t>wym</w:t>
      </w:r>
      <w:r w:rsidRPr="001357D3">
        <w:rPr>
          <w:noProof/>
        </w:rPr>
        <w:t>iarem sprawiedliwości, które wymagają skoordynowanych działań. Program „Sprawiedliwość” pozostaje wysoce adekwatny</w:t>
      </w:r>
      <w:r w:rsidR="001C6403" w:rsidRPr="001357D3">
        <w:rPr>
          <w:noProof/>
        </w:rPr>
        <w:t xml:space="preserve"> i</w:t>
      </w:r>
      <w:r w:rsidR="001C6403">
        <w:rPr>
          <w:noProof/>
        </w:rPr>
        <w:t> </w:t>
      </w:r>
      <w:r w:rsidR="001C6403" w:rsidRPr="001357D3">
        <w:rPr>
          <w:noProof/>
        </w:rPr>
        <w:t>sku</w:t>
      </w:r>
      <w:r w:rsidRPr="001357D3">
        <w:rPr>
          <w:noProof/>
        </w:rPr>
        <w:t>teczny, pomagając państwom członkowskim</w:t>
      </w:r>
      <w:r w:rsidR="001C6403" w:rsidRPr="001357D3">
        <w:rPr>
          <w:noProof/>
        </w:rPr>
        <w:t xml:space="preserve"> w</w:t>
      </w:r>
      <w:r w:rsidR="001C6403">
        <w:rPr>
          <w:noProof/>
        </w:rPr>
        <w:t> </w:t>
      </w:r>
      <w:r w:rsidR="001C6403" w:rsidRPr="001357D3">
        <w:rPr>
          <w:noProof/>
        </w:rPr>
        <w:t>prz</w:t>
      </w:r>
      <w:r w:rsidRPr="001357D3">
        <w:rPr>
          <w:noProof/>
        </w:rPr>
        <w:t>estrzeganiu unijnych wartości</w:t>
      </w:r>
      <w:r w:rsidR="001C6403" w:rsidRPr="001357D3">
        <w:rPr>
          <w:noProof/>
        </w:rPr>
        <w:t xml:space="preserve"> i</w:t>
      </w:r>
      <w:r w:rsidR="001C6403">
        <w:rPr>
          <w:noProof/>
        </w:rPr>
        <w:t> </w:t>
      </w:r>
      <w:r w:rsidR="001C6403" w:rsidRPr="001357D3">
        <w:rPr>
          <w:noProof/>
        </w:rPr>
        <w:t>pra</w:t>
      </w:r>
      <w:r w:rsidRPr="001357D3">
        <w:rPr>
          <w:noProof/>
        </w:rPr>
        <w:t>w podstawowych. Bez wsparcia na szczeblu UE reakcje krajowe byłyby rozproszone, nieskuteczne</w:t>
      </w:r>
      <w:r w:rsidR="001C6403" w:rsidRPr="001357D3">
        <w:rPr>
          <w:noProof/>
        </w:rPr>
        <w:t xml:space="preserve"> i</w:t>
      </w:r>
      <w:r w:rsidR="001C6403">
        <w:rPr>
          <w:noProof/>
        </w:rPr>
        <w:t> </w:t>
      </w:r>
      <w:r w:rsidR="001C6403" w:rsidRPr="001357D3">
        <w:rPr>
          <w:noProof/>
        </w:rPr>
        <w:t>nie</w:t>
      </w:r>
      <w:r w:rsidRPr="001357D3">
        <w:rPr>
          <w:noProof/>
        </w:rPr>
        <w:t>równomierne – zwłaszcza</w:t>
      </w:r>
      <w:r w:rsidR="001C6403" w:rsidRPr="001357D3">
        <w:rPr>
          <w:noProof/>
        </w:rPr>
        <w:t xml:space="preserve"> w</w:t>
      </w:r>
      <w:r w:rsidR="001C6403">
        <w:rPr>
          <w:noProof/>
        </w:rPr>
        <w:t> </w:t>
      </w:r>
      <w:r w:rsidR="001C6403" w:rsidRPr="001357D3">
        <w:rPr>
          <w:noProof/>
        </w:rPr>
        <w:t>tak</w:t>
      </w:r>
      <w:r w:rsidRPr="001357D3">
        <w:rPr>
          <w:noProof/>
        </w:rPr>
        <w:t>ich obszarach jak szkolenie kadr wymiaru sprawiedliwości, dostęp do wymiaru sprawiedliwości oraz cyfryzacja. Finansowanie unijne umożliwia wypracowanie wspólnych rozwiązań, nawiązanie współpracy prawnej</w:t>
      </w:r>
      <w:r w:rsidR="001C6403" w:rsidRPr="001357D3">
        <w:rPr>
          <w:noProof/>
        </w:rPr>
        <w:t xml:space="preserve"> i</w:t>
      </w:r>
      <w:r w:rsidR="001C6403">
        <w:rPr>
          <w:noProof/>
        </w:rPr>
        <w:t> </w:t>
      </w:r>
      <w:r w:rsidR="001C6403" w:rsidRPr="001357D3">
        <w:rPr>
          <w:noProof/>
        </w:rPr>
        <w:t>zap</w:t>
      </w:r>
      <w:r w:rsidRPr="001357D3">
        <w:rPr>
          <w:noProof/>
        </w:rPr>
        <w:t>ewnienie interoperacyjności systemów wymiaru sprawiedliwości,</w:t>
      </w:r>
      <w:r w:rsidR="001C6403" w:rsidRPr="001357D3">
        <w:rPr>
          <w:noProof/>
        </w:rPr>
        <w:t xml:space="preserve"> z</w:t>
      </w:r>
      <w:r w:rsidR="001C6403">
        <w:rPr>
          <w:noProof/>
        </w:rPr>
        <w:t> </w:t>
      </w:r>
      <w:r w:rsidR="001C6403" w:rsidRPr="001357D3">
        <w:rPr>
          <w:noProof/>
        </w:rPr>
        <w:t>kor</w:t>
      </w:r>
      <w:r w:rsidRPr="001357D3">
        <w:rPr>
          <w:noProof/>
        </w:rPr>
        <w:t>zyścią zwłaszcza dla mniejszych państw członkowskich. Pomaga również wypełnić luki na szczeblu krajowym, utrzymywać ogólnounijne sieci prawne oraz tworzyć wspólną europejską kulturę prawną. Program „Sprawiedliwość” odgrywa kluczową rolę we wspieraniu organizacji społeczeństwa obywatelskiego działających</w:t>
      </w:r>
      <w:r w:rsidR="001C6403" w:rsidRPr="001357D3">
        <w:rPr>
          <w:noProof/>
        </w:rPr>
        <w:t xml:space="preserve"> w</w:t>
      </w:r>
      <w:r w:rsidR="001C6403">
        <w:rPr>
          <w:noProof/>
        </w:rPr>
        <w:t> </w:t>
      </w:r>
      <w:r w:rsidR="001C6403" w:rsidRPr="001357D3">
        <w:rPr>
          <w:noProof/>
        </w:rPr>
        <w:t>dzi</w:t>
      </w:r>
      <w:r w:rsidRPr="001357D3">
        <w:rPr>
          <w:noProof/>
        </w:rPr>
        <w:t>edzinie dostępu do wymiaru sprawiedliwości</w:t>
      </w:r>
      <w:r w:rsidR="001C6403" w:rsidRPr="001357D3">
        <w:rPr>
          <w:noProof/>
        </w:rPr>
        <w:t xml:space="preserve"> i</w:t>
      </w:r>
      <w:r w:rsidR="001C6403">
        <w:rPr>
          <w:noProof/>
        </w:rPr>
        <w:t> </w:t>
      </w:r>
      <w:r w:rsidR="001C6403" w:rsidRPr="001357D3">
        <w:rPr>
          <w:noProof/>
        </w:rPr>
        <w:t>pro</w:t>
      </w:r>
      <w:r w:rsidRPr="001357D3">
        <w:rPr>
          <w:noProof/>
        </w:rPr>
        <w:t>jektów transnarodowych, które</w:t>
      </w:r>
      <w:r w:rsidR="001C6403" w:rsidRPr="001357D3">
        <w:rPr>
          <w:noProof/>
        </w:rPr>
        <w:t xml:space="preserve"> w</w:t>
      </w:r>
      <w:r w:rsidR="001C6403">
        <w:rPr>
          <w:noProof/>
        </w:rPr>
        <w:t> </w:t>
      </w:r>
      <w:r w:rsidR="001C6403" w:rsidRPr="001357D3">
        <w:rPr>
          <w:noProof/>
        </w:rPr>
        <w:t>prz</w:t>
      </w:r>
      <w:r w:rsidRPr="001357D3">
        <w:rPr>
          <w:noProof/>
        </w:rPr>
        <w:t>eciwnym razie nie mogłyby zostać zrealizowane. Działania UE zapewniają jednolite standardy, przyczyniają się do zapewnienia sprawiedliwego dostępu do wymiaru sprawiedliwości, wzmacniają jednolity rynek</w:t>
      </w:r>
      <w:r w:rsidR="001C6403" w:rsidRPr="001357D3">
        <w:rPr>
          <w:noProof/>
        </w:rPr>
        <w:t xml:space="preserve"> i</w:t>
      </w:r>
      <w:r w:rsidR="001C6403">
        <w:rPr>
          <w:noProof/>
        </w:rPr>
        <w:t> </w:t>
      </w:r>
      <w:r w:rsidR="001C6403" w:rsidRPr="001357D3">
        <w:rPr>
          <w:noProof/>
        </w:rPr>
        <w:t>zwi</w:t>
      </w:r>
      <w:r w:rsidRPr="001357D3">
        <w:rPr>
          <w:noProof/>
        </w:rPr>
        <w:t>ększają konkurencyjność poprzez zmniejszenie niepewności prawa. Kluczowe znaczenie ma również wspieranie procesu rozszerzenia UE oraz zapewnienie spójności między wewnętrznymi</w:t>
      </w:r>
      <w:r w:rsidR="001C6403" w:rsidRPr="001357D3">
        <w:rPr>
          <w:noProof/>
        </w:rPr>
        <w:t xml:space="preserve"> i</w:t>
      </w:r>
      <w:r w:rsidR="001C6403">
        <w:rPr>
          <w:noProof/>
        </w:rPr>
        <w:t> </w:t>
      </w:r>
      <w:r w:rsidR="001C6403" w:rsidRPr="001357D3">
        <w:rPr>
          <w:noProof/>
        </w:rPr>
        <w:t>zew</w:t>
      </w:r>
      <w:r w:rsidRPr="001357D3">
        <w:rPr>
          <w:noProof/>
        </w:rPr>
        <w:t>nętrznymi politykami</w:t>
      </w:r>
      <w:r w:rsidR="001C6403" w:rsidRPr="001357D3">
        <w:rPr>
          <w:noProof/>
        </w:rPr>
        <w:t xml:space="preserve"> w</w:t>
      </w:r>
      <w:r w:rsidR="001C6403">
        <w:rPr>
          <w:noProof/>
        </w:rPr>
        <w:t> </w:t>
      </w:r>
      <w:r w:rsidR="001C6403" w:rsidRPr="001357D3">
        <w:rPr>
          <w:noProof/>
        </w:rPr>
        <w:t>dzi</w:t>
      </w:r>
      <w:r w:rsidRPr="001357D3">
        <w:rPr>
          <w:noProof/>
        </w:rPr>
        <w:t>edzinie wymiaru sprawiedliwości,</w:t>
      </w:r>
      <w:r w:rsidR="001C6403" w:rsidRPr="001357D3">
        <w:rPr>
          <w:noProof/>
        </w:rPr>
        <w:t xml:space="preserve"> a</w:t>
      </w:r>
      <w:r w:rsidR="001C6403">
        <w:rPr>
          <w:noProof/>
        </w:rPr>
        <w:t> </w:t>
      </w:r>
      <w:r w:rsidR="001C6403" w:rsidRPr="001357D3">
        <w:rPr>
          <w:noProof/>
        </w:rPr>
        <w:t>tym</w:t>
      </w:r>
      <w:r w:rsidRPr="001357D3">
        <w:rPr>
          <w:noProof/>
        </w:rPr>
        <w:t xml:space="preserve"> samym wzmocnienie roli UE na świecie</w:t>
      </w:r>
      <w:r w:rsidR="001C6403" w:rsidRPr="001357D3">
        <w:rPr>
          <w:noProof/>
        </w:rPr>
        <w:t xml:space="preserve"> i</w:t>
      </w:r>
      <w:r w:rsidR="001C6403">
        <w:rPr>
          <w:noProof/>
        </w:rPr>
        <w:t> </w:t>
      </w:r>
      <w:r w:rsidR="001C6403" w:rsidRPr="001357D3">
        <w:rPr>
          <w:noProof/>
        </w:rPr>
        <w:t>och</w:t>
      </w:r>
      <w:r w:rsidRPr="001357D3">
        <w:rPr>
          <w:noProof/>
        </w:rPr>
        <w:t>rona jej porządku prawnego.</w:t>
      </w:r>
    </w:p>
    <w:p w14:paraId="54605407" w14:textId="713AF328" w:rsidR="00FA0CA8" w:rsidRPr="001357D3" w:rsidRDefault="00FA0CA8" w:rsidP="00FA0CA8">
      <w:pPr>
        <w:pBdr>
          <w:top w:val="single" w:sz="4" w:space="1" w:color="auto"/>
          <w:left w:val="single" w:sz="4" w:space="4" w:color="auto"/>
          <w:bottom w:val="single" w:sz="4" w:space="1" w:color="auto"/>
          <w:right w:val="single" w:sz="4" w:space="4" w:color="auto"/>
        </w:pBdr>
        <w:ind w:left="850"/>
        <w:rPr>
          <w:b/>
          <w:bCs/>
          <w:noProof/>
        </w:rPr>
      </w:pPr>
      <w:r w:rsidRPr="001357D3">
        <w:rPr>
          <w:b/>
          <w:noProof/>
        </w:rPr>
        <w:t>Oczekiwana wygenerowana unijna wartość dodana (</w:t>
      </w:r>
      <w:r w:rsidRPr="001357D3">
        <w:rPr>
          <w:b/>
          <w:i/>
          <w:iCs/>
          <w:noProof/>
        </w:rPr>
        <w:t>ex post</w:t>
      </w:r>
      <w:r w:rsidRPr="001357D3">
        <w:rPr>
          <w:b/>
          <w:noProof/>
        </w:rPr>
        <w:t>)</w:t>
      </w:r>
    </w:p>
    <w:p w14:paraId="0E846969" w14:textId="329568A8"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Współpraca</w:t>
      </w:r>
      <w:r w:rsidR="001C6403" w:rsidRPr="001357D3">
        <w:rPr>
          <w:noProof/>
        </w:rPr>
        <w:t xml:space="preserve"> i</w:t>
      </w:r>
      <w:r w:rsidR="001C6403">
        <w:rPr>
          <w:noProof/>
        </w:rPr>
        <w:t> </w:t>
      </w:r>
      <w:r w:rsidR="001C6403" w:rsidRPr="001357D3">
        <w:rPr>
          <w:noProof/>
        </w:rPr>
        <w:t>two</w:t>
      </w:r>
      <w:r w:rsidRPr="001357D3">
        <w:rPr>
          <w:noProof/>
        </w:rPr>
        <w:t>rzenie sieci kontaktów między zainteresowanymi stronami doprowadzi do rozpowszechniania najlepszych praktyk,</w:t>
      </w:r>
      <w:r w:rsidR="001C6403" w:rsidRPr="001357D3">
        <w:rPr>
          <w:noProof/>
        </w:rPr>
        <w:t xml:space="preserve"> w</w:t>
      </w:r>
      <w:r w:rsidR="001C6403">
        <w:rPr>
          <w:noProof/>
        </w:rPr>
        <w:t> </w:t>
      </w:r>
      <w:r w:rsidR="001C6403" w:rsidRPr="001357D3">
        <w:rPr>
          <w:noProof/>
        </w:rPr>
        <w:t>szc</w:t>
      </w:r>
      <w:r w:rsidRPr="001357D3">
        <w:rPr>
          <w:noProof/>
        </w:rPr>
        <w:t>zególności innowacyjnych</w:t>
      </w:r>
      <w:r w:rsidR="001C6403" w:rsidRPr="001357D3">
        <w:rPr>
          <w:noProof/>
        </w:rPr>
        <w:t xml:space="preserve"> i</w:t>
      </w:r>
      <w:r w:rsidR="001C6403">
        <w:rPr>
          <w:noProof/>
        </w:rPr>
        <w:t> </w:t>
      </w:r>
      <w:r w:rsidR="001C6403" w:rsidRPr="001357D3">
        <w:rPr>
          <w:noProof/>
        </w:rPr>
        <w:t>zin</w:t>
      </w:r>
      <w:r w:rsidRPr="001357D3">
        <w:rPr>
          <w:noProof/>
        </w:rPr>
        <w:t>tegrowanych podejść,</w:t>
      </w:r>
      <w:r w:rsidR="001C6403" w:rsidRPr="001357D3">
        <w:rPr>
          <w:noProof/>
        </w:rPr>
        <w:t xml:space="preserve"> w</w:t>
      </w:r>
      <w:r w:rsidR="001C6403">
        <w:rPr>
          <w:noProof/>
        </w:rPr>
        <w:t> </w:t>
      </w:r>
      <w:r w:rsidR="001C6403" w:rsidRPr="001357D3">
        <w:rPr>
          <w:noProof/>
        </w:rPr>
        <w:t>róż</w:t>
      </w:r>
      <w:r w:rsidRPr="001357D3">
        <w:rPr>
          <w:noProof/>
        </w:rPr>
        <w:t>nych państwach członkowskich. Uczestnicy działań finansowanych</w:t>
      </w:r>
      <w:r w:rsidR="001C6403" w:rsidRPr="001357D3">
        <w:rPr>
          <w:noProof/>
        </w:rPr>
        <w:t xml:space="preserve"> w</w:t>
      </w:r>
      <w:r w:rsidR="001C6403">
        <w:rPr>
          <w:noProof/>
        </w:rPr>
        <w:t> </w:t>
      </w:r>
      <w:r w:rsidR="001C6403" w:rsidRPr="001357D3">
        <w:rPr>
          <w:noProof/>
        </w:rPr>
        <w:t>ram</w:t>
      </w:r>
      <w:r w:rsidRPr="001357D3">
        <w:rPr>
          <w:noProof/>
        </w:rPr>
        <w:t>ach Programu będą działali jako podmioty rozpowszechniające informacje</w:t>
      </w:r>
      <w:r w:rsidR="001C6403" w:rsidRPr="001357D3">
        <w:rPr>
          <w:noProof/>
        </w:rPr>
        <w:t xml:space="preserve"> w</w:t>
      </w:r>
      <w:r w:rsidR="001C6403">
        <w:rPr>
          <w:noProof/>
        </w:rPr>
        <w:t> </w:t>
      </w:r>
      <w:r w:rsidR="001C6403" w:rsidRPr="001357D3">
        <w:rPr>
          <w:noProof/>
        </w:rPr>
        <w:t>ram</w:t>
      </w:r>
      <w:r w:rsidRPr="001357D3">
        <w:rPr>
          <w:noProof/>
        </w:rPr>
        <w:t>ach działalności zawodowej prowadzonej</w:t>
      </w:r>
      <w:r w:rsidR="001C6403" w:rsidRPr="001357D3">
        <w:rPr>
          <w:noProof/>
        </w:rPr>
        <w:t xml:space="preserve"> w</w:t>
      </w:r>
      <w:r w:rsidR="001C6403">
        <w:rPr>
          <w:noProof/>
        </w:rPr>
        <w:t> </w:t>
      </w:r>
      <w:r w:rsidR="001C6403" w:rsidRPr="001357D3">
        <w:rPr>
          <w:noProof/>
        </w:rPr>
        <w:t>swo</w:t>
      </w:r>
      <w:r w:rsidRPr="001357D3">
        <w:rPr>
          <w:noProof/>
        </w:rPr>
        <w:t>im państwie członkowskim. Interwencja Unii Europejskiej pozwala na spójne realizowanie tych działań</w:t>
      </w:r>
      <w:r w:rsidR="001C6403" w:rsidRPr="001357D3">
        <w:rPr>
          <w:noProof/>
        </w:rPr>
        <w:t xml:space="preserve"> w</w:t>
      </w:r>
      <w:r w:rsidR="001C6403">
        <w:rPr>
          <w:noProof/>
        </w:rPr>
        <w:t> </w:t>
      </w:r>
      <w:r w:rsidR="001C6403" w:rsidRPr="001357D3">
        <w:rPr>
          <w:noProof/>
        </w:rPr>
        <w:t>cał</w:t>
      </w:r>
      <w:r w:rsidRPr="001357D3">
        <w:rPr>
          <w:noProof/>
        </w:rPr>
        <w:t>ej UE oraz na uzyskanie korzyści skali.</w:t>
      </w:r>
    </w:p>
    <w:p w14:paraId="08CCA4F5" w14:textId="5A03B857" w:rsidR="00FA0CA8" w:rsidRPr="001357D3" w:rsidRDefault="00FA0CA8" w:rsidP="00FA0CA8">
      <w:pPr>
        <w:keepNext/>
        <w:tabs>
          <w:tab w:val="left" w:pos="850"/>
        </w:tabs>
        <w:ind w:left="850" w:hanging="850"/>
        <w:outlineLvl w:val="2"/>
        <w:rPr>
          <w:i/>
          <w:noProof/>
        </w:rPr>
      </w:pPr>
      <w:bookmarkStart w:id="121" w:name="_Toc514938030"/>
      <w:bookmarkStart w:id="122" w:name="_Toc520485037"/>
      <w:bookmarkStart w:id="123" w:name="_Toc160804579"/>
      <w:bookmarkStart w:id="124" w:name="_Toc167220271"/>
      <w:bookmarkStart w:id="125" w:name="_Toc177549004"/>
      <w:bookmarkStart w:id="126" w:name="_Toc210923264"/>
      <w:r w:rsidRPr="001357D3">
        <w:rPr>
          <w:i/>
          <w:noProof/>
        </w:rPr>
        <w:t>1.5.3.</w:t>
      </w:r>
      <w:r w:rsidRPr="001357D3">
        <w:rPr>
          <w:noProof/>
        </w:rPr>
        <w:tab/>
      </w:r>
      <w:r w:rsidRPr="001357D3">
        <w:rPr>
          <w:i/>
          <w:noProof/>
        </w:rPr>
        <w:t>Główne wnioski wyciągnięte</w:t>
      </w:r>
      <w:r w:rsidR="001C6403" w:rsidRPr="001357D3">
        <w:rPr>
          <w:i/>
          <w:noProof/>
        </w:rPr>
        <w:t xml:space="preserve"> z</w:t>
      </w:r>
      <w:r w:rsidR="001C6403">
        <w:rPr>
          <w:i/>
          <w:noProof/>
        </w:rPr>
        <w:t> </w:t>
      </w:r>
      <w:r w:rsidR="001C6403" w:rsidRPr="001357D3">
        <w:rPr>
          <w:i/>
          <w:noProof/>
        </w:rPr>
        <w:t>pod</w:t>
      </w:r>
      <w:r w:rsidRPr="001357D3">
        <w:rPr>
          <w:i/>
          <w:noProof/>
        </w:rPr>
        <w:t>obnych działań</w:t>
      </w:r>
      <w:bookmarkEnd w:id="121"/>
      <w:bookmarkEnd w:id="122"/>
      <w:bookmarkEnd w:id="123"/>
      <w:bookmarkEnd w:id="124"/>
      <w:bookmarkEnd w:id="125"/>
      <w:bookmarkEnd w:id="126"/>
    </w:p>
    <w:p w14:paraId="2DE10D3E" w14:textId="5E2E551E" w:rsidR="00FA0CA8" w:rsidRPr="001357D3" w:rsidRDefault="00FA0CA8" w:rsidP="00FA0CA8">
      <w:pPr>
        <w:pBdr>
          <w:top w:val="single" w:sz="4" w:space="1" w:color="auto"/>
          <w:left w:val="single" w:sz="4" w:space="4" w:color="auto"/>
          <w:bottom w:val="single" w:sz="4" w:space="1" w:color="auto"/>
          <w:right w:val="single" w:sz="4" w:space="4" w:color="auto"/>
        </w:pBdr>
        <w:ind w:left="850"/>
        <w:rPr>
          <w:noProof/>
        </w:rPr>
      </w:pPr>
      <w:r w:rsidRPr="001357D3">
        <w:rPr>
          <w:noProof/>
        </w:rPr>
        <w:t>Ocena śródokresowa programu „Sprawiedliwość” na lata 2021–2027 wykazała, że Program nadal skutecznie wzmacnia transgraniczną współpracę sądową</w:t>
      </w:r>
      <w:r w:rsidR="001C6403" w:rsidRPr="001357D3">
        <w:rPr>
          <w:noProof/>
        </w:rPr>
        <w:t xml:space="preserve"> i</w:t>
      </w:r>
      <w:r w:rsidR="001C6403">
        <w:rPr>
          <w:noProof/>
        </w:rPr>
        <w:t> </w:t>
      </w:r>
      <w:r w:rsidR="001C6403" w:rsidRPr="001357D3">
        <w:rPr>
          <w:noProof/>
        </w:rPr>
        <w:t>wza</w:t>
      </w:r>
      <w:r w:rsidRPr="001357D3">
        <w:rPr>
          <w:noProof/>
        </w:rPr>
        <w:t>jemne zaufanie między państwami członkowskimi,</w:t>
      </w:r>
      <w:r w:rsidR="001C6403" w:rsidRPr="001357D3">
        <w:rPr>
          <w:noProof/>
        </w:rPr>
        <w:t xml:space="preserve"> a</w:t>
      </w:r>
      <w:r w:rsidR="001C6403">
        <w:rPr>
          <w:noProof/>
        </w:rPr>
        <w:t> </w:t>
      </w:r>
      <w:r w:rsidR="001C6403" w:rsidRPr="001357D3">
        <w:rPr>
          <w:noProof/>
        </w:rPr>
        <w:t>tak</w:t>
      </w:r>
      <w:r w:rsidRPr="001357D3">
        <w:rPr>
          <w:noProof/>
        </w:rPr>
        <w:t>że upowszechnia szkolenia kadr wymiaru sprawiedliwości</w:t>
      </w:r>
      <w:r w:rsidR="001C6403" w:rsidRPr="001357D3">
        <w:rPr>
          <w:noProof/>
        </w:rPr>
        <w:t xml:space="preserve"> i</w:t>
      </w:r>
      <w:r w:rsidR="001C6403">
        <w:rPr>
          <w:noProof/>
        </w:rPr>
        <w:t> </w:t>
      </w:r>
      <w:r w:rsidR="001C6403" w:rsidRPr="001357D3">
        <w:rPr>
          <w:noProof/>
        </w:rPr>
        <w:t>roz</w:t>
      </w:r>
      <w:r w:rsidRPr="001357D3">
        <w:rPr>
          <w:noProof/>
        </w:rPr>
        <w:t>szerza dostęp słabszych grup społecznych do wymiaru sprawiedliwości. Program</w:t>
      </w:r>
      <w:r w:rsidR="001C6403" w:rsidRPr="001357D3">
        <w:rPr>
          <w:noProof/>
        </w:rPr>
        <w:t xml:space="preserve"> w</w:t>
      </w:r>
      <w:r w:rsidR="001C6403">
        <w:rPr>
          <w:noProof/>
        </w:rPr>
        <w:t> </w:t>
      </w:r>
      <w:r w:rsidR="001C6403" w:rsidRPr="001357D3">
        <w:rPr>
          <w:noProof/>
        </w:rPr>
        <w:t>cor</w:t>
      </w:r>
      <w:r w:rsidRPr="001357D3">
        <w:rPr>
          <w:noProof/>
        </w:rPr>
        <w:t xml:space="preserve">az większym stopniu propaguje również cyfryzację, </w:t>
      </w:r>
      <w:r w:rsidRPr="001357D3">
        <w:rPr>
          <w:noProof/>
        </w:rPr>
        <w:lastRenderedPageBreak/>
        <w:t>co przyczynia się do poprawy dostępu do informacji prawnych oraz unowocześnienia narzędzi współpracy sądowej. Ocena potwierdziła ogólną skuteczność Programu</w:t>
      </w:r>
      <w:r w:rsidR="001C6403" w:rsidRPr="001357D3">
        <w:rPr>
          <w:noProof/>
        </w:rPr>
        <w:t xml:space="preserve"> i</w:t>
      </w:r>
      <w:r w:rsidR="001C6403">
        <w:rPr>
          <w:noProof/>
        </w:rPr>
        <w:t> </w:t>
      </w:r>
      <w:r w:rsidR="001C6403" w:rsidRPr="001357D3">
        <w:rPr>
          <w:noProof/>
        </w:rPr>
        <w:t>zas</w:t>
      </w:r>
      <w:r w:rsidRPr="001357D3">
        <w:rPr>
          <w:noProof/>
        </w:rPr>
        <w:t>adność jego celów, ale wskazano pewne aspekty wymagające poprawy,</w:t>
      </w:r>
      <w:r w:rsidR="001C6403" w:rsidRPr="001357D3">
        <w:rPr>
          <w:noProof/>
        </w:rPr>
        <w:t xml:space="preserve"> w</w:t>
      </w:r>
      <w:r w:rsidR="001C6403">
        <w:rPr>
          <w:noProof/>
        </w:rPr>
        <w:t> </w:t>
      </w:r>
      <w:r w:rsidR="001C6403" w:rsidRPr="001357D3">
        <w:rPr>
          <w:noProof/>
        </w:rPr>
        <w:t>szc</w:t>
      </w:r>
      <w:r w:rsidRPr="001357D3">
        <w:rPr>
          <w:noProof/>
        </w:rPr>
        <w:t>zególności: ze względu na ograniczony budżet Program napotyka trudności</w:t>
      </w:r>
      <w:r w:rsidR="001C6403" w:rsidRPr="001357D3">
        <w:rPr>
          <w:noProof/>
        </w:rPr>
        <w:t xml:space="preserve"> w</w:t>
      </w:r>
      <w:r w:rsidR="001C6403">
        <w:rPr>
          <w:noProof/>
        </w:rPr>
        <w:t> </w:t>
      </w:r>
      <w:r w:rsidR="001C6403" w:rsidRPr="001357D3">
        <w:rPr>
          <w:noProof/>
        </w:rPr>
        <w:t>zas</w:t>
      </w:r>
      <w:r w:rsidRPr="001357D3">
        <w:rPr>
          <w:noProof/>
        </w:rPr>
        <w:t>pokajaniu rosnących potrzeb związanych</w:t>
      </w:r>
      <w:r w:rsidR="001C6403" w:rsidRPr="001357D3">
        <w:rPr>
          <w:noProof/>
        </w:rPr>
        <w:t xml:space="preserve"> z</w:t>
      </w:r>
      <w:r w:rsidR="001C6403">
        <w:rPr>
          <w:noProof/>
        </w:rPr>
        <w:t> </w:t>
      </w:r>
      <w:r w:rsidR="001C6403" w:rsidRPr="001357D3">
        <w:rPr>
          <w:noProof/>
        </w:rPr>
        <w:t>cyf</w:t>
      </w:r>
      <w:r w:rsidRPr="001357D3">
        <w:rPr>
          <w:noProof/>
        </w:rPr>
        <w:t>ryzacją; świadomość pozostaje nierównomierna – organizacje społeczeństwa obywatelskiego są mniej poinformowane niż organy publiczne, Program jest mniej znany</w:t>
      </w:r>
      <w:r w:rsidR="001C6403" w:rsidRPr="001357D3">
        <w:rPr>
          <w:noProof/>
        </w:rPr>
        <w:t xml:space="preserve"> w</w:t>
      </w:r>
      <w:r w:rsidR="001C6403">
        <w:rPr>
          <w:noProof/>
        </w:rPr>
        <w:t> </w:t>
      </w:r>
      <w:r w:rsidR="001C6403" w:rsidRPr="001357D3">
        <w:rPr>
          <w:noProof/>
        </w:rPr>
        <w:t>nie</w:t>
      </w:r>
      <w:r w:rsidRPr="001357D3">
        <w:rPr>
          <w:noProof/>
        </w:rPr>
        <w:t>których państwach. Ponadto niektórzy beneficjenci nadal napotykają wyzwania związane</w:t>
      </w:r>
      <w:r w:rsidR="001C6403" w:rsidRPr="001357D3">
        <w:rPr>
          <w:noProof/>
        </w:rPr>
        <w:t xml:space="preserve"> z</w:t>
      </w:r>
      <w:r w:rsidR="001C6403">
        <w:rPr>
          <w:noProof/>
        </w:rPr>
        <w:t> </w:t>
      </w:r>
      <w:r w:rsidR="001C6403" w:rsidRPr="001357D3">
        <w:rPr>
          <w:noProof/>
        </w:rPr>
        <w:t>pro</w:t>
      </w:r>
      <w:r w:rsidRPr="001357D3">
        <w:rPr>
          <w:noProof/>
        </w:rPr>
        <w:t>cedurą składania wniosków</w:t>
      </w:r>
      <w:r w:rsidR="001C6403" w:rsidRPr="001357D3">
        <w:rPr>
          <w:noProof/>
        </w:rPr>
        <w:t xml:space="preserve"> i</w:t>
      </w:r>
      <w:r w:rsidR="001C6403">
        <w:rPr>
          <w:noProof/>
        </w:rPr>
        <w:t> </w:t>
      </w:r>
      <w:r w:rsidR="001C6403" w:rsidRPr="001357D3">
        <w:rPr>
          <w:noProof/>
        </w:rPr>
        <w:t>wym</w:t>
      </w:r>
      <w:r w:rsidRPr="001357D3">
        <w:rPr>
          <w:noProof/>
        </w:rPr>
        <w:t>ogami</w:t>
      </w:r>
      <w:r w:rsidR="001C6403" w:rsidRPr="001357D3">
        <w:rPr>
          <w:noProof/>
        </w:rPr>
        <w:t xml:space="preserve"> w</w:t>
      </w:r>
      <w:r w:rsidR="001C6403">
        <w:rPr>
          <w:noProof/>
        </w:rPr>
        <w:t> </w:t>
      </w:r>
      <w:r w:rsidR="001C6403" w:rsidRPr="001357D3">
        <w:rPr>
          <w:noProof/>
        </w:rPr>
        <w:t>zak</w:t>
      </w:r>
      <w:r w:rsidRPr="001357D3">
        <w:rPr>
          <w:noProof/>
        </w:rPr>
        <w:t>resie sprawozdawczości.</w:t>
      </w:r>
    </w:p>
    <w:p w14:paraId="2DC5CCE1" w14:textId="35C6811F" w:rsidR="00FA0CA8" w:rsidRPr="001357D3" w:rsidRDefault="00FA0CA8" w:rsidP="00FA0CA8">
      <w:pPr>
        <w:keepNext/>
        <w:tabs>
          <w:tab w:val="left" w:pos="850"/>
        </w:tabs>
        <w:ind w:left="850" w:hanging="850"/>
        <w:outlineLvl w:val="2"/>
        <w:rPr>
          <w:i/>
          <w:noProof/>
        </w:rPr>
      </w:pPr>
      <w:bookmarkStart w:id="127" w:name="_Toc514938033"/>
      <w:bookmarkStart w:id="128" w:name="_Toc520485038"/>
      <w:bookmarkStart w:id="129" w:name="_Toc160804580"/>
      <w:bookmarkStart w:id="130" w:name="_Toc167220272"/>
      <w:bookmarkStart w:id="131" w:name="_Toc177549005"/>
      <w:bookmarkStart w:id="132" w:name="_Toc210923265"/>
      <w:r w:rsidRPr="001357D3">
        <w:rPr>
          <w:i/>
          <w:noProof/>
        </w:rPr>
        <w:t>1.5.4.</w:t>
      </w:r>
      <w:r w:rsidRPr="001357D3">
        <w:rPr>
          <w:noProof/>
        </w:rPr>
        <w:tab/>
      </w:r>
      <w:r w:rsidRPr="001357D3">
        <w:rPr>
          <w:i/>
          <w:noProof/>
        </w:rPr>
        <w:t>Spójność</w:t>
      </w:r>
      <w:r w:rsidR="001C6403" w:rsidRPr="001357D3">
        <w:rPr>
          <w:i/>
          <w:noProof/>
        </w:rPr>
        <w:t xml:space="preserve"> z</w:t>
      </w:r>
      <w:r w:rsidR="001C6403">
        <w:rPr>
          <w:i/>
          <w:noProof/>
        </w:rPr>
        <w:t> </w:t>
      </w:r>
      <w:r w:rsidR="001C6403" w:rsidRPr="001357D3">
        <w:rPr>
          <w:i/>
          <w:noProof/>
        </w:rPr>
        <w:t>wie</w:t>
      </w:r>
      <w:r w:rsidRPr="001357D3">
        <w:rPr>
          <w:i/>
          <w:noProof/>
        </w:rPr>
        <w:t>loletnimi ramami finansowymi oraz możliwa synergia</w:t>
      </w:r>
      <w:r w:rsidR="001C6403" w:rsidRPr="001357D3">
        <w:rPr>
          <w:i/>
          <w:noProof/>
        </w:rPr>
        <w:t xml:space="preserve"> z</w:t>
      </w:r>
      <w:r w:rsidR="001C6403">
        <w:rPr>
          <w:i/>
          <w:noProof/>
        </w:rPr>
        <w:t> </w:t>
      </w:r>
      <w:r w:rsidR="001C6403" w:rsidRPr="001357D3">
        <w:rPr>
          <w:i/>
          <w:noProof/>
        </w:rPr>
        <w:t>inn</w:t>
      </w:r>
      <w:r w:rsidRPr="001357D3">
        <w:rPr>
          <w:i/>
          <w:noProof/>
        </w:rPr>
        <w:t>ymi właściwymi instrumentami</w:t>
      </w:r>
      <w:bookmarkEnd w:id="127"/>
      <w:bookmarkEnd w:id="128"/>
      <w:bookmarkEnd w:id="129"/>
      <w:bookmarkEnd w:id="130"/>
      <w:bookmarkEnd w:id="131"/>
      <w:bookmarkEnd w:id="132"/>
    </w:p>
    <w:p w14:paraId="1851A6E9" w14:textId="77777777"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rFonts w:eastAsia="Times New Roman"/>
          <w:noProof/>
          <w:szCs w:val="24"/>
        </w:rPr>
      </w:pPr>
      <w:r w:rsidRPr="001357D3">
        <w:rPr>
          <w:noProof/>
        </w:rPr>
        <w:t>Inicjatywa jest częścią wniosku dotyczącego wieloletnich ram finansowych na lata 2028–2034.</w:t>
      </w:r>
    </w:p>
    <w:p w14:paraId="0F7D03F3" w14:textId="27B2C6F0"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rFonts w:eastAsia="Times New Roman"/>
          <w:noProof/>
          <w:szCs w:val="24"/>
        </w:rPr>
      </w:pPr>
      <w:r w:rsidRPr="001357D3">
        <w:rPr>
          <w:noProof/>
        </w:rPr>
        <w:t>W ramach Programu dążyć będzie się do synergii, spójności</w:t>
      </w:r>
      <w:r w:rsidR="001C6403" w:rsidRPr="001357D3">
        <w:rPr>
          <w:noProof/>
        </w:rPr>
        <w:t xml:space="preserve"> i</w:t>
      </w:r>
      <w:r w:rsidR="001C6403">
        <w:rPr>
          <w:noProof/>
        </w:rPr>
        <w:t> </w:t>
      </w:r>
      <w:r w:rsidR="001C6403" w:rsidRPr="001357D3">
        <w:rPr>
          <w:noProof/>
        </w:rPr>
        <w:t>kom</w:t>
      </w:r>
      <w:r w:rsidRPr="001357D3">
        <w:rPr>
          <w:noProof/>
        </w:rPr>
        <w:t>plementarności</w:t>
      </w:r>
      <w:r w:rsidR="001C6403" w:rsidRPr="001357D3">
        <w:rPr>
          <w:noProof/>
        </w:rPr>
        <w:t xml:space="preserve"> z</w:t>
      </w:r>
      <w:r w:rsidR="001C6403">
        <w:rPr>
          <w:noProof/>
        </w:rPr>
        <w:t> </w:t>
      </w:r>
      <w:r w:rsidR="001C6403" w:rsidRPr="001357D3">
        <w:rPr>
          <w:noProof/>
        </w:rPr>
        <w:t>inn</w:t>
      </w:r>
      <w:r w:rsidRPr="001357D3">
        <w:rPr>
          <w:noProof/>
        </w:rPr>
        <w:t>ymi unijnymi instrumentami wspierającymi obszary polityki, które są ze sobą ściśle powiązane, takimi jak program AgoraEU</w:t>
      </w:r>
      <w:r w:rsidR="001C6403" w:rsidRPr="001357D3">
        <w:rPr>
          <w:noProof/>
        </w:rPr>
        <w:t xml:space="preserve"> i</w:t>
      </w:r>
      <w:r w:rsidR="001C6403">
        <w:rPr>
          <w:noProof/>
        </w:rPr>
        <w:t> </w:t>
      </w:r>
      <w:r w:rsidR="001C6403" w:rsidRPr="001357D3">
        <w:rPr>
          <w:noProof/>
        </w:rPr>
        <w:t>pro</w:t>
      </w:r>
      <w:r w:rsidRPr="001357D3">
        <w:rPr>
          <w:noProof/>
        </w:rPr>
        <w:t>gramy</w:t>
      </w:r>
      <w:r w:rsidR="001C6403" w:rsidRPr="001357D3">
        <w:rPr>
          <w:noProof/>
        </w:rPr>
        <w:t xml:space="preserve"> w</w:t>
      </w:r>
      <w:r w:rsidR="001C6403">
        <w:rPr>
          <w:noProof/>
        </w:rPr>
        <w:t> </w:t>
      </w:r>
      <w:r w:rsidR="001C6403" w:rsidRPr="001357D3">
        <w:rPr>
          <w:noProof/>
        </w:rPr>
        <w:t>obs</w:t>
      </w:r>
      <w:r w:rsidRPr="001357D3">
        <w:rPr>
          <w:noProof/>
        </w:rPr>
        <w:t>zarach azylu, migracji</w:t>
      </w:r>
      <w:r w:rsidR="001C6403" w:rsidRPr="001357D3">
        <w:rPr>
          <w:noProof/>
        </w:rPr>
        <w:t xml:space="preserve"> i</w:t>
      </w:r>
      <w:r w:rsidR="001C6403">
        <w:rPr>
          <w:noProof/>
        </w:rPr>
        <w:t> </w:t>
      </w:r>
      <w:r w:rsidR="001C6403" w:rsidRPr="001357D3">
        <w:rPr>
          <w:noProof/>
        </w:rPr>
        <w:t>int</w:t>
      </w:r>
      <w:r w:rsidRPr="001357D3">
        <w:rPr>
          <w:noProof/>
        </w:rPr>
        <w:t>egracji, zarządzania granicami</w:t>
      </w:r>
      <w:r w:rsidR="001C6403" w:rsidRPr="001357D3">
        <w:rPr>
          <w:noProof/>
        </w:rPr>
        <w:t xml:space="preserve"> i</w:t>
      </w:r>
      <w:r w:rsidR="001C6403">
        <w:rPr>
          <w:noProof/>
        </w:rPr>
        <w:t> </w:t>
      </w:r>
      <w:r w:rsidR="001C6403" w:rsidRPr="001357D3">
        <w:rPr>
          <w:noProof/>
        </w:rPr>
        <w:t>bez</w:t>
      </w:r>
      <w:r w:rsidRPr="001357D3">
        <w:rPr>
          <w:noProof/>
        </w:rPr>
        <w:t>pieczeństwa wewnętrznego, konsumentów, zatrudnienia, edukacji, włączenia społecznego, badań naukowych</w:t>
      </w:r>
      <w:r w:rsidR="001C6403" w:rsidRPr="001357D3">
        <w:rPr>
          <w:noProof/>
        </w:rPr>
        <w:t xml:space="preserve"> i</w:t>
      </w:r>
      <w:r w:rsidR="001C6403">
        <w:rPr>
          <w:noProof/>
        </w:rPr>
        <w:t> </w:t>
      </w:r>
      <w:r w:rsidR="001C6403" w:rsidRPr="001357D3">
        <w:rPr>
          <w:noProof/>
        </w:rPr>
        <w:t>inn</w:t>
      </w:r>
      <w:r w:rsidRPr="001357D3">
        <w:rPr>
          <w:noProof/>
        </w:rPr>
        <w:t>owacji. Dążyć się będzie do współpracy, także</w:t>
      </w:r>
      <w:r w:rsidR="001C6403" w:rsidRPr="001357D3">
        <w:rPr>
          <w:noProof/>
        </w:rPr>
        <w:t xml:space="preserve"> w</w:t>
      </w:r>
      <w:r w:rsidR="001C6403">
        <w:rPr>
          <w:noProof/>
        </w:rPr>
        <w:t> </w:t>
      </w:r>
      <w:r w:rsidR="001C6403" w:rsidRPr="001357D3">
        <w:rPr>
          <w:noProof/>
        </w:rPr>
        <w:t>zak</w:t>
      </w:r>
      <w:r w:rsidRPr="001357D3">
        <w:rPr>
          <w:noProof/>
        </w:rPr>
        <w:t>resie działań zewnętrznych wspieranych</w:t>
      </w:r>
      <w:r w:rsidR="001C6403" w:rsidRPr="001357D3">
        <w:rPr>
          <w:noProof/>
        </w:rPr>
        <w:t xml:space="preserve"> w</w:t>
      </w:r>
      <w:r w:rsidR="001C6403">
        <w:rPr>
          <w:noProof/>
        </w:rPr>
        <w:t> </w:t>
      </w:r>
      <w:r w:rsidR="001C6403" w:rsidRPr="001357D3">
        <w:rPr>
          <w:noProof/>
        </w:rPr>
        <w:t>ram</w:t>
      </w:r>
      <w:r w:rsidRPr="001357D3">
        <w:rPr>
          <w:noProof/>
        </w:rPr>
        <w:t>ach programu „Globalny wymiar Europy” oraz planów partnerstwa krajowego</w:t>
      </w:r>
      <w:r w:rsidR="001C6403" w:rsidRPr="001357D3">
        <w:rPr>
          <w:noProof/>
        </w:rPr>
        <w:t xml:space="preserve"> i</w:t>
      </w:r>
      <w:r w:rsidR="001C6403">
        <w:rPr>
          <w:noProof/>
        </w:rPr>
        <w:t> </w:t>
      </w:r>
      <w:r w:rsidR="001C6403" w:rsidRPr="001357D3">
        <w:rPr>
          <w:noProof/>
        </w:rPr>
        <w:t>reg</w:t>
      </w:r>
      <w:r w:rsidRPr="001357D3">
        <w:rPr>
          <w:noProof/>
        </w:rPr>
        <w:t>ionalnego</w:t>
      </w:r>
      <w:r w:rsidR="001C6403" w:rsidRPr="001357D3">
        <w:rPr>
          <w:noProof/>
        </w:rPr>
        <w:t xml:space="preserve"> w</w:t>
      </w:r>
      <w:r w:rsidR="001C6403">
        <w:rPr>
          <w:noProof/>
        </w:rPr>
        <w:t> </w:t>
      </w:r>
      <w:r w:rsidR="001C6403" w:rsidRPr="001357D3">
        <w:rPr>
          <w:noProof/>
        </w:rPr>
        <w:t>odn</w:t>
      </w:r>
      <w:r w:rsidRPr="001357D3">
        <w:rPr>
          <w:noProof/>
        </w:rPr>
        <w:t>iesieniu do reform sądownictwa</w:t>
      </w:r>
      <w:r w:rsidR="001C6403" w:rsidRPr="001357D3">
        <w:rPr>
          <w:noProof/>
        </w:rPr>
        <w:t xml:space="preserve"> i</w:t>
      </w:r>
      <w:r w:rsidR="001C6403">
        <w:rPr>
          <w:noProof/>
        </w:rPr>
        <w:t> </w:t>
      </w:r>
      <w:r w:rsidR="001C6403" w:rsidRPr="001357D3">
        <w:rPr>
          <w:noProof/>
        </w:rPr>
        <w:t>cyf</w:t>
      </w:r>
      <w:r w:rsidRPr="001357D3">
        <w:rPr>
          <w:noProof/>
        </w:rPr>
        <w:t>ryzacji krajowych systemów wymiaru sprawiedliwości. Unikane będzie nakładanie się działań</w:t>
      </w:r>
      <w:r w:rsidR="001C6403" w:rsidRPr="001357D3">
        <w:rPr>
          <w:noProof/>
        </w:rPr>
        <w:t xml:space="preserve"> z</w:t>
      </w:r>
      <w:r w:rsidR="001C6403">
        <w:rPr>
          <w:noProof/>
        </w:rPr>
        <w:t> </w:t>
      </w:r>
      <w:r w:rsidR="001C6403" w:rsidRPr="001357D3">
        <w:rPr>
          <w:noProof/>
        </w:rPr>
        <w:t>dzi</w:t>
      </w:r>
      <w:r w:rsidRPr="001357D3">
        <w:rPr>
          <w:noProof/>
        </w:rPr>
        <w:t>ałaniami</w:t>
      </w:r>
      <w:r w:rsidR="001C6403" w:rsidRPr="001357D3">
        <w:rPr>
          <w:noProof/>
        </w:rPr>
        <w:t xml:space="preserve"> w</w:t>
      </w:r>
      <w:r w:rsidR="001C6403">
        <w:rPr>
          <w:noProof/>
        </w:rPr>
        <w:t> </w:t>
      </w:r>
      <w:r w:rsidR="001C6403" w:rsidRPr="001357D3">
        <w:rPr>
          <w:noProof/>
        </w:rPr>
        <w:t>ram</w:t>
      </w:r>
      <w:r w:rsidRPr="001357D3">
        <w:rPr>
          <w:noProof/>
        </w:rPr>
        <w:t>ach tych innych programów.</w:t>
      </w:r>
    </w:p>
    <w:p w14:paraId="4A0D49CF" w14:textId="4D92F680" w:rsidR="00FA0CA8" w:rsidRPr="001357D3" w:rsidRDefault="00FA0CA8" w:rsidP="00FA0CA8">
      <w:pPr>
        <w:keepNext/>
        <w:tabs>
          <w:tab w:val="left" w:pos="850"/>
        </w:tabs>
        <w:ind w:left="850" w:hanging="850"/>
        <w:outlineLvl w:val="2"/>
        <w:rPr>
          <w:i/>
          <w:noProof/>
        </w:rPr>
      </w:pPr>
      <w:bookmarkStart w:id="133" w:name="_Toc514938036"/>
      <w:bookmarkStart w:id="134" w:name="_Toc520485039"/>
      <w:bookmarkStart w:id="135" w:name="_Toc160804581"/>
      <w:bookmarkStart w:id="136" w:name="_Toc167220273"/>
      <w:bookmarkStart w:id="137" w:name="_Toc177549006"/>
      <w:bookmarkStart w:id="138" w:name="_Toc210923266"/>
      <w:r w:rsidRPr="001357D3">
        <w:rPr>
          <w:i/>
          <w:noProof/>
        </w:rPr>
        <w:t>1.5.5.</w:t>
      </w:r>
      <w:r w:rsidRPr="001357D3">
        <w:rPr>
          <w:noProof/>
        </w:rPr>
        <w:tab/>
      </w:r>
      <w:r w:rsidRPr="001357D3">
        <w:rPr>
          <w:i/>
          <w:noProof/>
        </w:rPr>
        <w:t>Ocena różnych dostępnych możliwości finansowania,</w:t>
      </w:r>
      <w:r w:rsidR="001C6403" w:rsidRPr="001357D3">
        <w:rPr>
          <w:i/>
          <w:noProof/>
        </w:rPr>
        <w:t xml:space="preserve"> w</w:t>
      </w:r>
      <w:r w:rsidR="001C6403">
        <w:rPr>
          <w:i/>
          <w:noProof/>
        </w:rPr>
        <w:t> </w:t>
      </w:r>
      <w:r w:rsidR="001C6403" w:rsidRPr="001357D3">
        <w:rPr>
          <w:i/>
          <w:noProof/>
        </w:rPr>
        <w:t>tym</w:t>
      </w:r>
      <w:r w:rsidRPr="001357D3">
        <w:rPr>
          <w:i/>
          <w:noProof/>
        </w:rPr>
        <w:t xml:space="preserve"> możliwości przegrupowania środków</w:t>
      </w:r>
      <w:bookmarkEnd w:id="133"/>
      <w:bookmarkEnd w:id="134"/>
      <w:bookmarkEnd w:id="135"/>
      <w:bookmarkEnd w:id="136"/>
      <w:bookmarkEnd w:id="137"/>
      <w:bookmarkEnd w:id="138"/>
    </w:p>
    <w:p w14:paraId="7AD55D71" w14:textId="77777777"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rFonts w:eastAsia="Times New Roman"/>
          <w:noProof/>
          <w:szCs w:val="24"/>
        </w:rPr>
      </w:pPr>
      <w:r w:rsidRPr="001357D3">
        <w:rPr>
          <w:noProof/>
        </w:rPr>
        <w:t>Nie dotyczy.</w:t>
      </w:r>
    </w:p>
    <w:p w14:paraId="666EB0AF" w14:textId="1A71C1E0" w:rsidR="00FA0CA8" w:rsidRPr="001357D3" w:rsidRDefault="00FA0CA8" w:rsidP="00FA0CA8">
      <w:pPr>
        <w:keepNext/>
        <w:tabs>
          <w:tab w:val="left" w:pos="850"/>
        </w:tabs>
        <w:ind w:left="850" w:hanging="850"/>
        <w:outlineLvl w:val="1"/>
        <w:rPr>
          <w:b/>
          <w:bCs/>
          <w:noProof/>
          <w:szCs w:val="24"/>
        </w:rPr>
      </w:pPr>
      <w:r w:rsidRPr="001357D3">
        <w:rPr>
          <w:noProof/>
        </w:rPr>
        <w:br w:type="page"/>
      </w:r>
      <w:bookmarkStart w:id="139" w:name="_Toc514938039"/>
      <w:bookmarkStart w:id="140" w:name="_Toc520485040"/>
      <w:bookmarkStart w:id="141" w:name="_Toc160804582"/>
      <w:bookmarkStart w:id="142" w:name="_Toc167220274"/>
      <w:bookmarkStart w:id="143" w:name="_Toc177549007"/>
      <w:bookmarkStart w:id="144" w:name="_Toc210923267"/>
      <w:r w:rsidRPr="001357D3">
        <w:rPr>
          <w:b/>
          <w:noProof/>
        </w:rPr>
        <w:lastRenderedPageBreak/>
        <w:t>1.6.</w:t>
      </w:r>
      <w:r w:rsidRPr="001357D3">
        <w:rPr>
          <w:noProof/>
        </w:rPr>
        <w:tab/>
      </w:r>
      <w:r w:rsidRPr="001357D3">
        <w:rPr>
          <w:b/>
          <w:noProof/>
        </w:rPr>
        <w:t>Czas trwania wniosku/inicjatywy</w:t>
      </w:r>
      <w:bookmarkEnd w:id="139"/>
      <w:r w:rsidR="001C6403" w:rsidRPr="001357D3">
        <w:rPr>
          <w:b/>
          <w:noProof/>
        </w:rPr>
        <w:t xml:space="preserve"> i</w:t>
      </w:r>
      <w:r w:rsidR="001C6403">
        <w:rPr>
          <w:b/>
          <w:noProof/>
        </w:rPr>
        <w:t> </w:t>
      </w:r>
      <w:r w:rsidR="001C6403" w:rsidRPr="001357D3">
        <w:rPr>
          <w:b/>
          <w:noProof/>
        </w:rPr>
        <w:t>jeg</w:t>
      </w:r>
      <w:r w:rsidRPr="001357D3">
        <w:rPr>
          <w:b/>
          <w:noProof/>
        </w:rPr>
        <w:t>o/jej wpływu finansowego</w:t>
      </w:r>
      <w:bookmarkEnd w:id="140"/>
      <w:bookmarkEnd w:id="141"/>
      <w:bookmarkEnd w:id="142"/>
      <w:bookmarkEnd w:id="143"/>
      <w:bookmarkEnd w:id="144"/>
    </w:p>
    <w:p w14:paraId="3F7D147F" w14:textId="468A07CA" w:rsidR="00FA0CA8" w:rsidRPr="001357D3" w:rsidRDefault="00FA0CA8" w:rsidP="00FA0CA8">
      <w:pPr>
        <w:ind w:left="850"/>
        <w:rPr>
          <w:noProof/>
        </w:rPr>
      </w:pPr>
      <w:r w:rsidRPr="001357D3">
        <w:rPr>
          <w:rFonts w:ascii="Wingdings" w:hAnsi="Wingdings"/>
          <w:noProof/>
          <w:sz w:val="22"/>
        </w:rPr>
        <w:t></w:t>
      </w:r>
      <w:r w:rsidRPr="001357D3">
        <w:rPr>
          <w:noProof/>
        </w:rPr>
        <w:t xml:space="preserve"> </w:t>
      </w:r>
      <w:r w:rsidRPr="001357D3">
        <w:rPr>
          <w:b/>
          <w:noProof/>
        </w:rPr>
        <w:t>Ograniczony czas trwania</w:t>
      </w:r>
    </w:p>
    <w:p w14:paraId="3C882DB2" w14:textId="27FA8203" w:rsidR="00FA0CA8" w:rsidRPr="001357D3" w:rsidRDefault="00FA0CA8" w:rsidP="00FA0CA8">
      <w:pPr>
        <w:tabs>
          <w:tab w:val="num" w:pos="1134"/>
        </w:tabs>
        <w:ind w:left="1134" w:hanging="283"/>
        <w:rPr>
          <w:rFonts w:eastAsia="Times New Roman"/>
          <w:noProof/>
        </w:rPr>
      </w:pPr>
      <w:r w:rsidRPr="001357D3">
        <w:rPr>
          <w:rFonts w:ascii="Wingdings" w:hAnsi="Wingdings"/>
          <w:noProof/>
          <w:sz w:val="22"/>
        </w:rPr>
        <w:t></w:t>
      </w:r>
      <w:r w:rsidRPr="001357D3">
        <w:rPr>
          <w:noProof/>
        </w:rPr>
        <w:tab/>
        <w:t xml:space="preserve">Czas trwania wniosku/inicjatywy: </w:t>
      </w:r>
      <w:r w:rsidRPr="001C6403">
        <w:rPr>
          <w:noProof/>
        </w:rPr>
        <w:t>od</w:t>
      </w:r>
      <w:r w:rsidR="001C6403" w:rsidRPr="001C6403">
        <w:rPr>
          <w:noProof/>
        </w:rPr>
        <w:t> </w:t>
      </w:r>
      <w:r w:rsidRPr="001C6403">
        <w:rPr>
          <w:noProof/>
        </w:rPr>
        <w:t>1</w:t>
      </w:r>
      <w:r w:rsidRPr="001357D3">
        <w:rPr>
          <w:noProof/>
        </w:rPr>
        <w:t xml:space="preserve">.1.2028 r. </w:t>
      </w:r>
      <w:r w:rsidRPr="001C6403">
        <w:rPr>
          <w:noProof/>
        </w:rPr>
        <w:t>do</w:t>
      </w:r>
      <w:r w:rsidR="001C6403" w:rsidRPr="001C6403">
        <w:rPr>
          <w:noProof/>
        </w:rPr>
        <w:t> </w:t>
      </w:r>
      <w:r w:rsidRPr="001C6403">
        <w:rPr>
          <w:noProof/>
        </w:rPr>
        <w:t>3</w:t>
      </w:r>
      <w:r w:rsidRPr="001357D3">
        <w:rPr>
          <w:noProof/>
        </w:rPr>
        <w:t>1.12.2034 r.</w:t>
      </w:r>
    </w:p>
    <w:p w14:paraId="4F4DCC2C" w14:textId="7817F710" w:rsidR="00FA0CA8" w:rsidRPr="001357D3" w:rsidRDefault="00FA0CA8" w:rsidP="00FA0CA8">
      <w:pPr>
        <w:tabs>
          <w:tab w:val="num" w:pos="1134"/>
        </w:tabs>
        <w:ind w:left="1134" w:hanging="283"/>
        <w:rPr>
          <w:rFonts w:eastAsia="Times New Roman"/>
          <w:noProof/>
        </w:rPr>
      </w:pPr>
      <w:r w:rsidRPr="001357D3">
        <w:rPr>
          <w:rFonts w:ascii="Wingdings" w:hAnsi="Wingdings"/>
          <w:noProof/>
          <w:sz w:val="22"/>
        </w:rPr>
        <w:t></w:t>
      </w:r>
      <w:r w:rsidRPr="001357D3">
        <w:rPr>
          <w:noProof/>
        </w:rPr>
        <w:tab/>
        <w:t xml:space="preserve">Czas trwania wpływu finansowego: </w:t>
      </w:r>
      <w:r w:rsidRPr="001C6403">
        <w:rPr>
          <w:noProof/>
        </w:rPr>
        <w:t>od</w:t>
      </w:r>
      <w:r w:rsidR="001C6403" w:rsidRPr="001C6403">
        <w:rPr>
          <w:noProof/>
        </w:rPr>
        <w:t> </w:t>
      </w:r>
      <w:r w:rsidRPr="001C6403">
        <w:rPr>
          <w:noProof/>
        </w:rPr>
        <w:t>2</w:t>
      </w:r>
      <w:r w:rsidRPr="001357D3">
        <w:rPr>
          <w:noProof/>
        </w:rPr>
        <w:t xml:space="preserve">028 r. </w:t>
      </w:r>
      <w:r w:rsidRPr="001C6403">
        <w:rPr>
          <w:noProof/>
        </w:rPr>
        <w:t>do</w:t>
      </w:r>
      <w:r w:rsidR="001C6403" w:rsidRPr="001C6403">
        <w:rPr>
          <w:noProof/>
        </w:rPr>
        <w:t> </w:t>
      </w:r>
      <w:r w:rsidRPr="001C6403">
        <w:rPr>
          <w:noProof/>
        </w:rPr>
        <w:t>2</w:t>
      </w:r>
      <w:r w:rsidRPr="001357D3">
        <w:rPr>
          <w:noProof/>
        </w:rPr>
        <w:t>034 r.</w:t>
      </w:r>
      <w:r w:rsidR="001C6403" w:rsidRPr="001357D3">
        <w:rPr>
          <w:noProof/>
        </w:rPr>
        <w:t xml:space="preserve"> w</w:t>
      </w:r>
      <w:r w:rsidR="001C6403">
        <w:rPr>
          <w:noProof/>
        </w:rPr>
        <w:t> </w:t>
      </w:r>
      <w:r w:rsidR="001C6403" w:rsidRPr="001357D3">
        <w:rPr>
          <w:noProof/>
        </w:rPr>
        <w:t>odn</w:t>
      </w:r>
      <w:r w:rsidRPr="001357D3">
        <w:rPr>
          <w:noProof/>
        </w:rPr>
        <w:t xml:space="preserve">iesieniu do środków na zobowiązania oraz </w:t>
      </w:r>
      <w:r w:rsidRPr="001C6403">
        <w:rPr>
          <w:noProof/>
        </w:rPr>
        <w:t>od</w:t>
      </w:r>
      <w:r w:rsidR="001C6403" w:rsidRPr="001C6403">
        <w:rPr>
          <w:noProof/>
        </w:rPr>
        <w:t> </w:t>
      </w:r>
      <w:r w:rsidRPr="001C6403">
        <w:rPr>
          <w:noProof/>
        </w:rPr>
        <w:t>2</w:t>
      </w:r>
      <w:r w:rsidRPr="001357D3">
        <w:rPr>
          <w:noProof/>
        </w:rPr>
        <w:t xml:space="preserve">028 r. </w:t>
      </w:r>
      <w:r w:rsidRPr="001C6403">
        <w:rPr>
          <w:noProof/>
        </w:rPr>
        <w:t>do</w:t>
      </w:r>
      <w:r w:rsidR="001C6403" w:rsidRPr="001C6403">
        <w:rPr>
          <w:noProof/>
        </w:rPr>
        <w:t> </w:t>
      </w:r>
      <w:r w:rsidRPr="001C6403">
        <w:rPr>
          <w:noProof/>
        </w:rPr>
        <w:t>2</w:t>
      </w:r>
      <w:r w:rsidRPr="001357D3">
        <w:rPr>
          <w:noProof/>
        </w:rPr>
        <w:t>034 r.</w:t>
      </w:r>
      <w:r w:rsidR="001C6403" w:rsidRPr="001357D3">
        <w:rPr>
          <w:noProof/>
        </w:rPr>
        <w:t xml:space="preserve"> w</w:t>
      </w:r>
      <w:r w:rsidR="001C6403">
        <w:rPr>
          <w:noProof/>
        </w:rPr>
        <w:t> </w:t>
      </w:r>
      <w:r w:rsidR="001C6403" w:rsidRPr="001357D3">
        <w:rPr>
          <w:noProof/>
        </w:rPr>
        <w:t>odn</w:t>
      </w:r>
      <w:r w:rsidRPr="001357D3">
        <w:rPr>
          <w:noProof/>
        </w:rPr>
        <w:t>iesieniu do środków na płatności.</w:t>
      </w:r>
    </w:p>
    <w:p w14:paraId="769E8AE6" w14:textId="77777777" w:rsidR="00FA0CA8" w:rsidRPr="001357D3" w:rsidRDefault="00FA0CA8" w:rsidP="00FA0CA8">
      <w:pPr>
        <w:ind w:left="850"/>
        <w:rPr>
          <w:noProof/>
        </w:rPr>
      </w:pPr>
      <w:r w:rsidRPr="001357D3">
        <w:rPr>
          <w:rFonts w:ascii="Wingdings" w:hAnsi="Wingdings"/>
          <w:noProof/>
        </w:rPr>
        <w:t></w:t>
      </w:r>
      <w:r w:rsidRPr="001357D3">
        <w:rPr>
          <w:noProof/>
        </w:rPr>
        <w:t xml:space="preserve"> </w:t>
      </w:r>
      <w:r w:rsidRPr="001357D3">
        <w:rPr>
          <w:b/>
          <w:noProof/>
        </w:rPr>
        <w:t>Nieograniczony czas trwania</w:t>
      </w:r>
    </w:p>
    <w:p w14:paraId="3B438E5E" w14:textId="4287C795" w:rsidR="00FA0CA8" w:rsidRPr="001357D3" w:rsidRDefault="00FA0CA8" w:rsidP="00FA0CA8">
      <w:pPr>
        <w:tabs>
          <w:tab w:val="num" w:pos="1134"/>
        </w:tabs>
        <w:ind w:left="1134" w:hanging="283"/>
        <w:rPr>
          <w:rFonts w:eastAsia="Times New Roman"/>
          <w:noProof/>
        </w:rPr>
      </w:pPr>
      <w:r w:rsidRPr="001357D3">
        <w:rPr>
          <w:noProof/>
        </w:rPr>
        <w:t>Wprowadzenie</w:t>
      </w:r>
      <w:r w:rsidR="001C6403" w:rsidRPr="001357D3">
        <w:rPr>
          <w:noProof/>
        </w:rPr>
        <w:t xml:space="preserve"> w</w:t>
      </w:r>
      <w:r w:rsidR="001C6403">
        <w:rPr>
          <w:noProof/>
        </w:rPr>
        <w:t> </w:t>
      </w:r>
      <w:r w:rsidR="001C6403" w:rsidRPr="001357D3">
        <w:rPr>
          <w:noProof/>
        </w:rPr>
        <w:t>życ</w:t>
      </w:r>
      <w:r w:rsidRPr="001357D3">
        <w:rPr>
          <w:noProof/>
        </w:rPr>
        <w:t>ie</w:t>
      </w:r>
      <w:r w:rsidR="001C6403" w:rsidRPr="001357D3">
        <w:rPr>
          <w:noProof/>
        </w:rPr>
        <w:t xml:space="preserve"> z</w:t>
      </w:r>
      <w:r w:rsidR="001C6403">
        <w:rPr>
          <w:noProof/>
        </w:rPr>
        <w:t> </w:t>
      </w:r>
      <w:r w:rsidR="001C6403" w:rsidRPr="001357D3">
        <w:rPr>
          <w:noProof/>
        </w:rPr>
        <w:t>okr</w:t>
      </w:r>
      <w:r w:rsidRPr="001357D3">
        <w:rPr>
          <w:noProof/>
        </w:rPr>
        <w:t>esem rozruchu od RRRR r. do RRRR r.,</w:t>
      </w:r>
    </w:p>
    <w:p w14:paraId="29B98CE2" w14:textId="77777777" w:rsidR="00FA0CA8" w:rsidRPr="001357D3" w:rsidRDefault="00FA0CA8" w:rsidP="00FA0CA8">
      <w:pPr>
        <w:tabs>
          <w:tab w:val="num" w:pos="1134"/>
        </w:tabs>
        <w:ind w:left="1134" w:hanging="283"/>
        <w:rPr>
          <w:rFonts w:eastAsia="Times New Roman"/>
          <w:noProof/>
        </w:rPr>
      </w:pPr>
      <w:r w:rsidRPr="001357D3">
        <w:rPr>
          <w:noProof/>
        </w:rPr>
        <w:t>po którym następuje faza operacyjna.</w:t>
      </w:r>
    </w:p>
    <w:p w14:paraId="4E5E80AF" w14:textId="784CFD03" w:rsidR="00FA0CA8" w:rsidRPr="001357D3" w:rsidRDefault="00FA0CA8" w:rsidP="00FA0CA8">
      <w:pPr>
        <w:keepNext/>
        <w:tabs>
          <w:tab w:val="left" w:pos="850"/>
        </w:tabs>
        <w:ind w:left="850" w:hanging="850"/>
        <w:outlineLvl w:val="1"/>
        <w:rPr>
          <w:b/>
          <w:bCs/>
          <w:noProof/>
          <w:szCs w:val="24"/>
        </w:rPr>
      </w:pPr>
      <w:bookmarkStart w:id="145" w:name="_Toc514938040"/>
      <w:bookmarkStart w:id="146" w:name="_Toc520485041"/>
      <w:bookmarkStart w:id="147" w:name="_Toc160804583"/>
      <w:bookmarkStart w:id="148" w:name="_Toc167220275"/>
      <w:bookmarkStart w:id="149" w:name="_Toc177549008"/>
      <w:bookmarkStart w:id="150" w:name="_Toc210923268"/>
      <w:r w:rsidRPr="001357D3">
        <w:rPr>
          <w:b/>
          <w:noProof/>
        </w:rPr>
        <w:t>1.7.</w:t>
      </w:r>
      <w:r w:rsidRPr="001357D3">
        <w:rPr>
          <w:noProof/>
        </w:rPr>
        <w:tab/>
      </w:r>
      <w:r w:rsidRPr="001357D3">
        <w:rPr>
          <w:b/>
          <w:noProof/>
        </w:rPr>
        <w:t>Planowane metody wykonania budżetu</w:t>
      </w:r>
      <w:r w:rsidRPr="001357D3">
        <w:rPr>
          <w:rStyle w:val="Odwoanieprzypisudolnego"/>
          <w:noProof/>
        </w:rPr>
        <w:footnoteReference w:id="62"/>
      </w:r>
      <w:bookmarkEnd w:id="145"/>
      <w:bookmarkEnd w:id="146"/>
      <w:bookmarkEnd w:id="147"/>
      <w:bookmarkEnd w:id="148"/>
      <w:bookmarkEnd w:id="149"/>
      <w:bookmarkEnd w:id="150"/>
    </w:p>
    <w:p w14:paraId="1A7B9776" w14:textId="77777777" w:rsidR="00FA0CA8" w:rsidRPr="001357D3" w:rsidRDefault="00FA0CA8" w:rsidP="00FA0CA8">
      <w:pPr>
        <w:ind w:left="850"/>
        <w:rPr>
          <w:noProof/>
        </w:rPr>
      </w:pPr>
      <w:r w:rsidRPr="001357D3">
        <w:rPr>
          <w:rFonts w:ascii="Wingdings" w:hAnsi="Wingdings"/>
          <w:noProof/>
          <w:sz w:val="22"/>
        </w:rPr>
        <w:t></w:t>
      </w:r>
      <w:r w:rsidRPr="001357D3">
        <w:rPr>
          <w:i/>
          <w:noProof/>
        </w:rPr>
        <w:t xml:space="preserve"> </w:t>
      </w:r>
      <w:r w:rsidRPr="001357D3">
        <w:rPr>
          <w:b/>
          <w:noProof/>
        </w:rPr>
        <w:t>Bezpośrednie zarządzanie</w:t>
      </w:r>
      <w:r w:rsidRPr="001357D3">
        <w:rPr>
          <w:noProof/>
        </w:rPr>
        <w:t xml:space="preserve"> przez Komisję</w:t>
      </w:r>
    </w:p>
    <w:p w14:paraId="126E5433" w14:textId="76355CF2" w:rsidR="00FA0CA8" w:rsidRPr="001357D3" w:rsidRDefault="00FA0CA8" w:rsidP="00FA0CA8">
      <w:pPr>
        <w:tabs>
          <w:tab w:val="num" w:pos="1134"/>
        </w:tabs>
        <w:ind w:left="1134" w:hanging="283"/>
        <w:rPr>
          <w:rFonts w:eastAsia="Times New Roman" w:cs="EUAlbertina"/>
          <w:noProof/>
        </w:rPr>
      </w:pPr>
      <w:r w:rsidRPr="001357D3">
        <w:rPr>
          <w:rFonts w:ascii="Wingdings" w:hAnsi="Wingdings"/>
          <w:noProof/>
          <w:sz w:val="22"/>
        </w:rPr>
        <w:t></w:t>
      </w:r>
      <w:r w:rsidR="001C6403" w:rsidRPr="001357D3">
        <w:rPr>
          <w:noProof/>
        </w:rPr>
        <w:t xml:space="preserve"> w</w:t>
      </w:r>
      <w:r w:rsidR="001C6403">
        <w:rPr>
          <w:noProof/>
        </w:rPr>
        <w:t> </w:t>
      </w:r>
      <w:r w:rsidR="001C6403" w:rsidRPr="001357D3">
        <w:rPr>
          <w:noProof/>
        </w:rPr>
        <w:t>ram</w:t>
      </w:r>
      <w:r w:rsidRPr="001357D3">
        <w:rPr>
          <w:noProof/>
        </w:rPr>
        <w:t>ach jej służb,</w:t>
      </w:r>
      <w:r w:rsidR="001C6403" w:rsidRPr="001357D3">
        <w:rPr>
          <w:noProof/>
        </w:rPr>
        <w:t xml:space="preserve"> w</w:t>
      </w:r>
      <w:r w:rsidR="001C6403">
        <w:rPr>
          <w:noProof/>
        </w:rPr>
        <w:t> </w:t>
      </w:r>
      <w:r w:rsidR="001C6403" w:rsidRPr="001357D3">
        <w:rPr>
          <w:noProof/>
        </w:rPr>
        <w:t>tym</w:t>
      </w:r>
      <w:r w:rsidRPr="001357D3">
        <w:rPr>
          <w:noProof/>
        </w:rPr>
        <w:t xml:space="preserve"> za pośrednictwem jej pracowników</w:t>
      </w:r>
      <w:r w:rsidR="001C6403" w:rsidRPr="001357D3">
        <w:rPr>
          <w:noProof/>
        </w:rPr>
        <w:t xml:space="preserve"> w</w:t>
      </w:r>
      <w:r w:rsidR="001C6403">
        <w:rPr>
          <w:noProof/>
        </w:rPr>
        <w:t> </w:t>
      </w:r>
      <w:r w:rsidR="001C6403" w:rsidRPr="001357D3">
        <w:rPr>
          <w:noProof/>
        </w:rPr>
        <w:t>del</w:t>
      </w:r>
      <w:r w:rsidRPr="001357D3">
        <w:rPr>
          <w:noProof/>
        </w:rPr>
        <w:t>egaturach Unii</w:t>
      </w:r>
    </w:p>
    <w:p w14:paraId="2DA0E333" w14:textId="7AF54A40"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przez agencje wykonawcze</w:t>
      </w:r>
    </w:p>
    <w:p w14:paraId="1038D7A0" w14:textId="2EA939B0" w:rsidR="00FA0CA8" w:rsidRPr="001357D3" w:rsidRDefault="00FA0CA8" w:rsidP="00FA0CA8">
      <w:pPr>
        <w:ind w:left="850"/>
        <w:rPr>
          <w:noProof/>
        </w:rPr>
      </w:pPr>
      <w:r w:rsidRPr="001357D3">
        <w:rPr>
          <w:rFonts w:ascii="Wingdings" w:hAnsi="Wingdings"/>
          <w:noProof/>
        </w:rPr>
        <w:t></w:t>
      </w:r>
      <w:r w:rsidRPr="001357D3">
        <w:rPr>
          <w:b/>
          <w:i/>
          <w:noProof/>
        </w:rPr>
        <w:t xml:space="preserve"> </w:t>
      </w:r>
      <w:r w:rsidRPr="001357D3">
        <w:rPr>
          <w:b/>
          <w:noProof/>
        </w:rPr>
        <w:t>Zarządzanie dzielone</w:t>
      </w:r>
      <w:r w:rsidR="001C6403" w:rsidRPr="001357D3">
        <w:rPr>
          <w:noProof/>
        </w:rPr>
        <w:t xml:space="preserve"> z</w:t>
      </w:r>
      <w:r w:rsidR="001C6403">
        <w:rPr>
          <w:noProof/>
        </w:rPr>
        <w:t> </w:t>
      </w:r>
      <w:r w:rsidR="001C6403" w:rsidRPr="001357D3">
        <w:rPr>
          <w:noProof/>
        </w:rPr>
        <w:t>pań</w:t>
      </w:r>
      <w:r w:rsidRPr="001357D3">
        <w:rPr>
          <w:noProof/>
        </w:rPr>
        <w:t>stwami członkowskimi</w:t>
      </w:r>
    </w:p>
    <w:p w14:paraId="6FB4BC29" w14:textId="07D5B9D8" w:rsidR="00FA0CA8" w:rsidRPr="001357D3" w:rsidRDefault="00FA0CA8" w:rsidP="00FA0CA8">
      <w:pPr>
        <w:ind w:left="850"/>
        <w:rPr>
          <w:noProof/>
        </w:rPr>
      </w:pPr>
      <w:r w:rsidRPr="001357D3">
        <w:rPr>
          <w:rFonts w:ascii="Wingdings" w:hAnsi="Wingdings"/>
          <w:noProof/>
          <w:sz w:val="22"/>
        </w:rPr>
        <w:t></w:t>
      </w:r>
      <w:r w:rsidRPr="001357D3">
        <w:rPr>
          <w:i/>
          <w:noProof/>
        </w:rPr>
        <w:t xml:space="preserve"> </w:t>
      </w:r>
      <w:r w:rsidRPr="001357D3">
        <w:rPr>
          <w:b/>
          <w:noProof/>
        </w:rPr>
        <w:t>Zarządzanie pośrednie</w:t>
      </w:r>
      <w:r w:rsidRPr="001357D3">
        <w:rPr>
          <w:noProof/>
        </w:rPr>
        <w:t xml:space="preserve"> przez przekazanie zadań związanych</w:t>
      </w:r>
      <w:r w:rsidR="001C6403" w:rsidRPr="001357D3">
        <w:rPr>
          <w:noProof/>
        </w:rPr>
        <w:t xml:space="preserve"> z</w:t>
      </w:r>
      <w:r w:rsidR="001C6403">
        <w:rPr>
          <w:noProof/>
        </w:rPr>
        <w:t> </w:t>
      </w:r>
      <w:r w:rsidR="001C6403" w:rsidRPr="001357D3">
        <w:rPr>
          <w:noProof/>
        </w:rPr>
        <w:t>wyk</w:t>
      </w:r>
      <w:r w:rsidRPr="001357D3">
        <w:rPr>
          <w:noProof/>
        </w:rPr>
        <w:t>onaniem budżetu:</w:t>
      </w:r>
    </w:p>
    <w:p w14:paraId="03A36317" w14:textId="77777777"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państwom trzecim lub organom przez nie wyznaczonym</w:t>
      </w:r>
    </w:p>
    <w:p w14:paraId="2E1D15F0" w14:textId="29554F6B" w:rsidR="00FA0CA8" w:rsidRPr="001357D3" w:rsidRDefault="00FA0CA8" w:rsidP="00FA0CA8">
      <w:pPr>
        <w:tabs>
          <w:tab w:val="num" w:pos="1134"/>
        </w:tabs>
        <w:ind w:left="1134" w:hanging="283"/>
        <w:rPr>
          <w:rFonts w:eastAsia="Times New Roman"/>
          <w:noProof/>
        </w:rPr>
      </w:pPr>
      <w:r w:rsidRPr="001357D3">
        <w:rPr>
          <w:rFonts w:ascii="Wingdings" w:hAnsi="Wingdings"/>
          <w:noProof/>
          <w:sz w:val="22"/>
        </w:rPr>
        <w:t></w:t>
      </w:r>
      <w:r w:rsidRPr="001357D3">
        <w:rPr>
          <w:noProof/>
        </w:rPr>
        <w:t xml:space="preserve"> organizacjom międzynarodowym</w:t>
      </w:r>
      <w:r w:rsidR="001C6403" w:rsidRPr="001357D3">
        <w:rPr>
          <w:noProof/>
        </w:rPr>
        <w:t xml:space="preserve"> i</w:t>
      </w:r>
      <w:r w:rsidR="001C6403">
        <w:rPr>
          <w:noProof/>
        </w:rPr>
        <w:t> </w:t>
      </w:r>
      <w:r w:rsidR="001C6403" w:rsidRPr="001357D3">
        <w:rPr>
          <w:noProof/>
        </w:rPr>
        <w:t>ich</w:t>
      </w:r>
      <w:r w:rsidRPr="001357D3">
        <w:rPr>
          <w:noProof/>
        </w:rPr>
        <w:t xml:space="preserve"> agencjom (np. RE, OECD, UNESCO itp.)</w:t>
      </w:r>
    </w:p>
    <w:p w14:paraId="2CDF74F3" w14:textId="7B0865E0"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Europejskiemu Bankowi Inwestycyjnemu</w:t>
      </w:r>
      <w:r w:rsidR="001C6403" w:rsidRPr="001357D3">
        <w:rPr>
          <w:noProof/>
        </w:rPr>
        <w:t xml:space="preserve"> i</w:t>
      </w:r>
      <w:r w:rsidR="001C6403">
        <w:rPr>
          <w:noProof/>
        </w:rPr>
        <w:t> </w:t>
      </w:r>
      <w:r w:rsidR="001C6403" w:rsidRPr="001357D3">
        <w:rPr>
          <w:noProof/>
        </w:rPr>
        <w:t>Eur</w:t>
      </w:r>
      <w:r w:rsidRPr="001357D3">
        <w:rPr>
          <w:noProof/>
        </w:rPr>
        <w:t>opejskiemu Funduszowi Inwestycyjnemu</w:t>
      </w:r>
    </w:p>
    <w:p w14:paraId="1396632D" w14:textId="7B83E1A1" w:rsidR="00FA0CA8" w:rsidRPr="001357D3" w:rsidRDefault="00FA0CA8" w:rsidP="004A33CA">
      <w:pPr>
        <w:tabs>
          <w:tab w:val="num" w:pos="1134"/>
        </w:tabs>
        <w:ind w:left="1134" w:hanging="283"/>
        <w:rPr>
          <w:rFonts w:eastAsia="Times New Roman"/>
          <w:noProof/>
        </w:rPr>
      </w:pPr>
      <w:r w:rsidRPr="001357D3">
        <w:rPr>
          <w:rFonts w:ascii="Wingdings" w:hAnsi="Wingdings"/>
          <w:noProof/>
        </w:rPr>
        <w:t></w:t>
      </w:r>
      <w:r w:rsidRPr="001357D3">
        <w:rPr>
          <w:noProof/>
        </w:rPr>
        <w:t xml:space="preserve"> organom,</w:t>
      </w:r>
      <w:r w:rsidR="001C6403" w:rsidRPr="001357D3">
        <w:rPr>
          <w:noProof/>
        </w:rPr>
        <w:t xml:space="preserve"> o</w:t>
      </w:r>
      <w:r w:rsidR="001C6403">
        <w:rPr>
          <w:noProof/>
        </w:rPr>
        <w:t> </w:t>
      </w:r>
      <w:r w:rsidR="001C6403" w:rsidRPr="001357D3">
        <w:rPr>
          <w:noProof/>
        </w:rPr>
        <w:t>któ</w:t>
      </w:r>
      <w:r w:rsidRPr="001357D3">
        <w:rPr>
          <w:noProof/>
        </w:rPr>
        <w:t>rych mowa</w:t>
      </w:r>
      <w:r w:rsidR="001C6403" w:rsidRPr="001357D3">
        <w:rPr>
          <w:noProof/>
        </w:rPr>
        <w:t xml:space="preserve"> w</w:t>
      </w:r>
      <w:r w:rsidR="001C6403">
        <w:rPr>
          <w:noProof/>
        </w:rPr>
        <w:t> </w:t>
      </w:r>
      <w:r w:rsidR="001C6403" w:rsidRPr="001357D3">
        <w:rPr>
          <w:noProof/>
        </w:rPr>
        <w:t>art</w:t>
      </w:r>
      <w:r w:rsidRPr="001357D3">
        <w:rPr>
          <w:noProof/>
        </w:rPr>
        <w:t>. 70</w:t>
      </w:r>
      <w:r w:rsidR="001C6403" w:rsidRPr="001357D3">
        <w:rPr>
          <w:noProof/>
        </w:rPr>
        <w:t xml:space="preserve"> i</w:t>
      </w:r>
      <w:r w:rsidR="001C6403">
        <w:rPr>
          <w:noProof/>
        </w:rPr>
        <w:t> </w:t>
      </w:r>
      <w:r w:rsidR="001C6403" w:rsidRPr="001357D3">
        <w:rPr>
          <w:noProof/>
        </w:rPr>
        <w:t>7</w:t>
      </w:r>
      <w:r w:rsidRPr="001357D3">
        <w:rPr>
          <w:noProof/>
        </w:rPr>
        <w:t>1 rozporządzenia (UE) 2024/2509)</w:t>
      </w:r>
    </w:p>
    <w:p w14:paraId="0B67611C" w14:textId="1B1324CE"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podmiotom prawa publicznego (np. podmiotom ocenianym</w:t>
      </w:r>
      <w:r w:rsidR="001C6403" w:rsidRPr="001357D3">
        <w:rPr>
          <w:noProof/>
        </w:rPr>
        <w:t xml:space="preserve"> w</w:t>
      </w:r>
      <w:r w:rsidR="001C6403">
        <w:rPr>
          <w:noProof/>
        </w:rPr>
        <w:t> </w:t>
      </w:r>
      <w:r w:rsidR="001C6403" w:rsidRPr="001357D3">
        <w:rPr>
          <w:noProof/>
        </w:rPr>
        <w:t>ram</w:t>
      </w:r>
      <w:r w:rsidRPr="001357D3">
        <w:rPr>
          <w:noProof/>
        </w:rPr>
        <w:t>ach filaru)</w:t>
      </w:r>
    </w:p>
    <w:p w14:paraId="180525A6" w14:textId="47145D65"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podmiotom prawa prywatnego realizującym misję publiczną,</w:t>
      </w:r>
      <w:r w:rsidR="001C6403" w:rsidRPr="001357D3">
        <w:rPr>
          <w:noProof/>
        </w:rPr>
        <w:t xml:space="preserve"> w</w:t>
      </w:r>
      <w:r w:rsidR="001C6403">
        <w:rPr>
          <w:noProof/>
        </w:rPr>
        <w:t> </w:t>
      </w:r>
      <w:r w:rsidR="001C6403" w:rsidRPr="001357D3">
        <w:rPr>
          <w:noProof/>
        </w:rPr>
        <w:t>zak</w:t>
      </w:r>
      <w:r w:rsidRPr="001357D3">
        <w:rPr>
          <w:noProof/>
        </w:rPr>
        <w:t>resie,</w:t>
      </w:r>
      <w:r w:rsidR="001C6403" w:rsidRPr="001357D3">
        <w:rPr>
          <w:noProof/>
        </w:rPr>
        <w:t xml:space="preserve"> w</w:t>
      </w:r>
      <w:r w:rsidR="001C6403">
        <w:rPr>
          <w:noProof/>
        </w:rPr>
        <w:t> </w:t>
      </w:r>
      <w:r w:rsidR="001C6403" w:rsidRPr="001357D3">
        <w:rPr>
          <w:noProof/>
        </w:rPr>
        <w:t>jak</w:t>
      </w:r>
      <w:r w:rsidRPr="001357D3">
        <w:rPr>
          <w:noProof/>
        </w:rPr>
        <w:t>im są im zapewnione odpowiednie gwarancje finansowe (np. podmiotom ocenianym</w:t>
      </w:r>
      <w:r w:rsidR="001C6403" w:rsidRPr="001357D3">
        <w:rPr>
          <w:noProof/>
        </w:rPr>
        <w:t xml:space="preserve"> w</w:t>
      </w:r>
      <w:r w:rsidR="001C6403">
        <w:rPr>
          <w:noProof/>
        </w:rPr>
        <w:t> </w:t>
      </w:r>
      <w:r w:rsidR="001C6403" w:rsidRPr="001357D3">
        <w:rPr>
          <w:noProof/>
        </w:rPr>
        <w:t>ram</w:t>
      </w:r>
      <w:r w:rsidRPr="001357D3">
        <w:rPr>
          <w:noProof/>
        </w:rPr>
        <w:t>ach filaru)</w:t>
      </w:r>
    </w:p>
    <w:p w14:paraId="188206CE" w14:textId="6F1EBFCC"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podmiotom prawa prywatnego państwa członkowskiego, którym powierzono realizację partnerstwa publiczno-prywatnego</w:t>
      </w:r>
      <w:r w:rsidR="001C6403" w:rsidRPr="001357D3">
        <w:rPr>
          <w:noProof/>
        </w:rPr>
        <w:t xml:space="preserve"> i</w:t>
      </w:r>
      <w:r w:rsidR="001C6403">
        <w:rPr>
          <w:noProof/>
        </w:rPr>
        <w:t> </w:t>
      </w:r>
      <w:r w:rsidR="001C6403" w:rsidRPr="001357D3">
        <w:rPr>
          <w:noProof/>
        </w:rPr>
        <w:t>zap</w:t>
      </w:r>
      <w:r w:rsidRPr="001357D3">
        <w:rPr>
          <w:noProof/>
        </w:rPr>
        <w:t>ewniono odpowiednie gwarancje finansowe (np. podmiotom ocenianym</w:t>
      </w:r>
      <w:r w:rsidR="001C6403" w:rsidRPr="001357D3">
        <w:rPr>
          <w:noProof/>
        </w:rPr>
        <w:t xml:space="preserve"> w</w:t>
      </w:r>
      <w:r w:rsidR="001C6403">
        <w:rPr>
          <w:noProof/>
        </w:rPr>
        <w:t> </w:t>
      </w:r>
      <w:r w:rsidR="001C6403" w:rsidRPr="001357D3">
        <w:rPr>
          <w:noProof/>
        </w:rPr>
        <w:t>ram</w:t>
      </w:r>
      <w:r w:rsidRPr="001357D3">
        <w:rPr>
          <w:noProof/>
        </w:rPr>
        <w:t>ach filaru)</w:t>
      </w:r>
    </w:p>
    <w:p w14:paraId="4F4BDAD6" w14:textId="71D244F0"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podmiotom lub osobom odpowiedzialnym za wykonanie określonych działań</w:t>
      </w:r>
      <w:r w:rsidR="001C6403" w:rsidRPr="001357D3">
        <w:rPr>
          <w:noProof/>
        </w:rPr>
        <w:t xml:space="preserve"> w</w:t>
      </w:r>
      <w:r w:rsidR="001C6403">
        <w:rPr>
          <w:noProof/>
        </w:rPr>
        <w:t> </w:t>
      </w:r>
      <w:r w:rsidR="001C6403" w:rsidRPr="001357D3">
        <w:rPr>
          <w:noProof/>
        </w:rPr>
        <w:t>dzi</w:t>
      </w:r>
      <w:r w:rsidRPr="001357D3">
        <w:rPr>
          <w:noProof/>
        </w:rPr>
        <w:t>edzinie wspólnej polityki zagranicznej</w:t>
      </w:r>
      <w:r w:rsidR="001C6403" w:rsidRPr="001357D3">
        <w:rPr>
          <w:noProof/>
        </w:rPr>
        <w:t xml:space="preserve"> i</w:t>
      </w:r>
      <w:r w:rsidR="001C6403">
        <w:rPr>
          <w:noProof/>
        </w:rPr>
        <w:t> </w:t>
      </w:r>
      <w:r w:rsidR="001C6403" w:rsidRPr="001357D3">
        <w:rPr>
          <w:noProof/>
        </w:rPr>
        <w:t>bez</w:t>
      </w:r>
      <w:r w:rsidRPr="001357D3">
        <w:rPr>
          <w:noProof/>
        </w:rPr>
        <w:t>pieczeństwa na mocy tytułu V Traktatu</w:t>
      </w:r>
      <w:r w:rsidR="001C6403" w:rsidRPr="001357D3">
        <w:rPr>
          <w:noProof/>
        </w:rPr>
        <w:t xml:space="preserve"> o</w:t>
      </w:r>
      <w:r w:rsidR="001C6403">
        <w:rPr>
          <w:noProof/>
        </w:rPr>
        <w:t> </w:t>
      </w:r>
      <w:r w:rsidR="001C6403" w:rsidRPr="001357D3">
        <w:rPr>
          <w:noProof/>
        </w:rPr>
        <w:t>Uni</w:t>
      </w:r>
      <w:r w:rsidRPr="001357D3">
        <w:rPr>
          <w:noProof/>
        </w:rPr>
        <w:t>i Europejskiej oraz określonym we właściwym podstawowym akcie prawnym</w:t>
      </w:r>
    </w:p>
    <w:p w14:paraId="2C1720F4" w14:textId="43FCD5FB"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 xml:space="preserve"> podmiotom mającym siedzibę</w:t>
      </w:r>
      <w:r w:rsidR="001C6403" w:rsidRPr="001357D3">
        <w:rPr>
          <w:noProof/>
        </w:rPr>
        <w:t xml:space="preserve"> w</w:t>
      </w:r>
      <w:r w:rsidR="001C6403">
        <w:rPr>
          <w:noProof/>
        </w:rPr>
        <w:t> </w:t>
      </w:r>
      <w:r w:rsidR="001C6403" w:rsidRPr="001357D3">
        <w:rPr>
          <w:noProof/>
        </w:rPr>
        <w:t>pań</w:t>
      </w:r>
      <w:r w:rsidRPr="001357D3">
        <w:rPr>
          <w:noProof/>
        </w:rPr>
        <w:t>stwie członkowskim, podlegającym prawu prywatnemu państwa członkowskiego lub prawu Unii</w:t>
      </w:r>
      <w:r w:rsidR="001C6403" w:rsidRPr="001357D3">
        <w:rPr>
          <w:noProof/>
        </w:rPr>
        <w:t xml:space="preserve"> i</w:t>
      </w:r>
      <w:r w:rsidR="001C6403">
        <w:rPr>
          <w:noProof/>
        </w:rPr>
        <w:t> </w:t>
      </w:r>
      <w:r w:rsidR="001C6403" w:rsidRPr="001357D3">
        <w:rPr>
          <w:noProof/>
        </w:rPr>
        <w:t>kwa</w:t>
      </w:r>
      <w:r w:rsidRPr="001357D3">
        <w:rPr>
          <w:noProof/>
        </w:rPr>
        <w:t>lifikującym się, zgodnie</w:t>
      </w:r>
      <w:r w:rsidR="001C6403" w:rsidRPr="001357D3">
        <w:rPr>
          <w:noProof/>
        </w:rPr>
        <w:t xml:space="preserve"> z</w:t>
      </w:r>
      <w:r w:rsidR="001C6403">
        <w:rPr>
          <w:noProof/>
        </w:rPr>
        <w:t> </w:t>
      </w:r>
      <w:r w:rsidR="001C6403" w:rsidRPr="001357D3">
        <w:rPr>
          <w:noProof/>
        </w:rPr>
        <w:t>prz</w:t>
      </w:r>
      <w:r w:rsidRPr="001357D3">
        <w:rPr>
          <w:noProof/>
        </w:rPr>
        <w:t>episami sektorowymi, do powierzenia im wykonywania środków finansowych Unii lub gwarancji budżetowych,</w:t>
      </w:r>
      <w:r w:rsidR="001C6403" w:rsidRPr="001357D3">
        <w:rPr>
          <w:noProof/>
        </w:rPr>
        <w:t xml:space="preserve"> w</w:t>
      </w:r>
      <w:r w:rsidR="001C6403">
        <w:rPr>
          <w:noProof/>
        </w:rPr>
        <w:t> </w:t>
      </w:r>
      <w:r w:rsidR="001C6403" w:rsidRPr="001357D3">
        <w:rPr>
          <w:noProof/>
        </w:rPr>
        <w:t>zak</w:t>
      </w:r>
      <w:r w:rsidRPr="001357D3">
        <w:rPr>
          <w:noProof/>
        </w:rPr>
        <w:t>resie,</w:t>
      </w:r>
      <w:r w:rsidR="001C6403" w:rsidRPr="001357D3">
        <w:rPr>
          <w:noProof/>
        </w:rPr>
        <w:t xml:space="preserve"> w</w:t>
      </w:r>
      <w:r w:rsidR="001C6403">
        <w:rPr>
          <w:noProof/>
        </w:rPr>
        <w:t> </w:t>
      </w:r>
      <w:r w:rsidR="001C6403" w:rsidRPr="001357D3">
        <w:rPr>
          <w:noProof/>
        </w:rPr>
        <w:t>jak</w:t>
      </w:r>
      <w:r w:rsidRPr="001357D3">
        <w:rPr>
          <w:noProof/>
        </w:rPr>
        <w:t xml:space="preserve">im podmioty te są kontrolowane przez podmioty prawa publicznego lub podmioty podlegające </w:t>
      </w:r>
      <w:r w:rsidRPr="001357D3">
        <w:rPr>
          <w:noProof/>
        </w:rPr>
        <w:lastRenderedPageBreak/>
        <w:t>prawu prywatnemu świadczące usługi użyteczności publicznej,</w:t>
      </w:r>
      <w:r w:rsidR="001C6403" w:rsidRPr="001357D3">
        <w:rPr>
          <w:noProof/>
        </w:rPr>
        <w:t xml:space="preserve"> a</w:t>
      </w:r>
      <w:r w:rsidR="001C6403">
        <w:rPr>
          <w:noProof/>
        </w:rPr>
        <w:t> </w:t>
      </w:r>
      <w:r w:rsidR="001C6403" w:rsidRPr="001357D3">
        <w:rPr>
          <w:noProof/>
        </w:rPr>
        <w:t>tak</w:t>
      </w:r>
      <w:r w:rsidRPr="001357D3">
        <w:rPr>
          <w:noProof/>
        </w:rPr>
        <w:t>że posiadają odpowiednie gwarancje finansowe</w:t>
      </w:r>
      <w:r w:rsidR="001C6403" w:rsidRPr="001357D3">
        <w:rPr>
          <w:noProof/>
        </w:rPr>
        <w:t xml:space="preserve"> w</w:t>
      </w:r>
      <w:r w:rsidR="001C6403">
        <w:rPr>
          <w:noProof/>
        </w:rPr>
        <w:t> </w:t>
      </w:r>
      <w:r w:rsidR="001C6403" w:rsidRPr="001357D3">
        <w:rPr>
          <w:noProof/>
        </w:rPr>
        <w:t>for</w:t>
      </w:r>
      <w:r w:rsidRPr="001357D3">
        <w:rPr>
          <w:noProof/>
        </w:rPr>
        <w:t>mie odpowiedzialności solidarnej organów kontrolnych lub równoważne gwarancje finansowe, które mogą być ograniczone,</w:t>
      </w:r>
      <w:r w:rsidR="001C6403" w:rsidRPr="001357D3">
        <w:rPr>
          <w:noProof/>
        </w:rPr>
        <w:t xml:space="preserve"> w</w:t>
      </w:r>
      <w:r w:rsidR="001C6403">
        <w:rPr>
          <w:noProof/>
        </w:rPr>
        <w:t> </w:t>
      </w:r>
      <w:r w:rsidR="001C6403" w:rsidRPr="001357D3">
        <w:rPr>
          <w:noProof/>
        </w:rPr>
        <w:t>odn</w:t>
      </w:r>
      <w:r w:rsidRPr="001357D3">
        <w:rPr>
          <w:noProof/>
        </w:rPr>
        <w:t>iesieniu do każdego działania, do maksymalnej kwoty wsparcia Unii.</w:t>
      </w:r>
    </w:p>
    <w:p w14:paraId="0E5808FC" w14:textId="77777777" w:rsidR="00FA0CA8" w:rsidRPr="001357D3" w:rsidRDefault="00FA0CA8" w:rsidP="00FA0CA8">
      <w:pPr>
        <w:rPr>
          <w:noProof/>
        </w:rPr>
      </w:pPr>
    </w:p>
    <w:p w14:paraId="625D64F1" w14:textId="77777777" w:rsidR="00FA0CA8" w:rsidRPr="001357D3" w:rsidRDefault="00FA0CA8" w:rsidP="00FA0CA8">
      <w:pPr>
        <w:rPr>
          <w:noProof/>
        </w:rPr>
      </w:pPr>
    </w:p>
    <w:p w14:paraId="33F650A3" w14:textId="2C2011D9" w:rsidR="00FA0CA8" w:rsidRPr="001357D3" w:rsidRDefault="00FA0CA8" w:rsidP="00FA0CA8">
      <w:pPr>
        <w:rPr>
          <w:noProof/>
        </w:rPr>
      </w:pPr>
      <w:r w:rsidRPr="001357D3">
        <w:rPr>
          <w:noProof/>
        </w:rPr>
        <w:t>Uwagi</w:t>
      </w:r>
    </w:p>
    <w:p w14:paraId="0B8043F3" w14:textId="5309C5F5" w:rsidR="00FA0CA8" w:rsidRPr="001357D3" w:rsidRDefault="00FA0CA8" w:rsidP="00FA0CA8">
      <w:pPr>
        <w:pBdr>
          <w:top w:val="single" w:sz="4" w:space="1" w:color="000000"/>
          <w:left w:val="single" w:sz="4" w:space="4" w:color="000000"/>
          <w:bottom w:val="single" w:sz="4" w:space="1" w:color="000000"/>
          <w:right w:val="single" w:sz="4" w:space="4" w:color="000000"/>
        </w:pBdr>
        <w:rPr>
          <w:rFonts w:eastAsia="Times New Roman"/>
          <w:noProof/>
          <w:szCs w:val="24"/>
        </w:rPr>
      </w:pPr>
      <w:r w:rsidRPr="001357D3">
        <w:rPr>
          <w:noProof/>
        </w:rPr>
        <w:t>Program będzie realizowany</w:t>
      </w:r>
      <w:r w:rsidR="001C6403" w:rsidRPr="001357D3">
        <w:rPr>
          <w:noProof/>
        </w:rPr>
        <w:t xml:space="preserve"> w</w:t>
      </w:r>
      <w:r w:rsidR="001C6403">
        <w:rPr>
          <w:noProof/>
        </w:rPr>
        <w:t> </w:t>
      </w:r>
      <w:r w:rsidR="001C6403" w:rsidRPr="001357D3">
        <w:rPr>
          <w:noProof/>
        </w:rPr>
        <w:t>ram</w:t>
      </w:r>
      <w:r w:rsidRPr="001357D3">
        <w:rPr>
          <w:noProof/>
        </w:rPr>
        <w:t>ach zarządzania bezpośredniego oraz zarządzania pośredniego za pośrednictwem organizacji międzynarodowych (np. RE, UNESCO, OECD itp.).</w:t>
      </w:r>
    </w:p>
    <w:p w14:paraId="52BB86BC" w14:textId="77777777" w:rsidR="00FA0CA8" w:rsidRPr="001357D3" w:rsidRDefault="00FA0CA8" w:rsidP="00FA0CA8">
      <w:pPr>
        <w:rPr>
          <w:noProof/>
        </w:rPr>
        <w:sectPr w:rsidR="00FA0CA8" w:rsidRPr="001357D3" w:rsidSect="007B3949">
          <w:footnotePr>
            <w:numRestart w:val="eachSect"/>
          </w:footnotePr>
          <w:pgSz w:w="11907" w:h="16840" w:code="9"/>
          <w:pgMar w:top="1134" w:right="1418" w:bottom="1134" w:left="1418" w:header="709" w:footer="709" w:gutter="0"/>
          <w:cols w:space="708"/>
          <w:docGrid w:linePitch="360"/>
        </w:sectPr>
      </w:pPr>
    </w:p>
    <w:p w14:paraId="7F2CC2BE" w14:textId="2D70D0E4" w:rsidR="00FA0CA8" w:rsidRPr="001357D3" w:rsidRDefault="00FA0CA8" w:rsidP="00FA0CA8">
      <w:pPr>
        <w:keepNext/>
        <w:tabs>
          <w:tab w:val="left" w:pos="850"/>
        </w:tabs>
        <w:spacing w:before="360"/>
        <w:ind w:left="850" w:hanging="850"/>
        <w:outlineLvl w:val="0"/>
        <w:rPr>
          <w:b/>
          <w:bCs/>
          <w:smallCaps/>
          <w:noProof/>
          <w:szCs w:val="24"/>
        </w:rPr>
      </w:pPr>
      <w:bookmarkStart w:id="151" w:name="_Toc514938041"/>
      <w:bookmarkStart w:id="152" w:name="_Toc520485042"/>
      <w:bookmarkStart w:id="153" w:name="_Toc160804584"/>
      <w:bookmarkStart w:id="154" w:name="_Toc167220276"/>
      <w:bookmarkStart w:id="155" w:name="_Toc177549009"/>
      <w:bookmarkStart w:id="156" w:name="_Toc210923269"/>
      <w:r w:rsidRPr="001357D3">
        <w:rPr>
          <w:b/>
          <w:smallCaps/>
          <w:noProof/>
        </w:rPr>
        <w:lastRenderedPageBreak/>
        <w:t>2.</w:t>
      </w:r>
      <w:r w:rsidRPr="001357D3">
        <w:rPr>
          <w:noProof/>
        </w:rPr>
        <w:tab/>
      </w:r>
      <w:r w:rsidRPr="001357D3">
        <w:rPr>
          <w:b/>
          <w:smallCaps/>
          <w:noProof/>
        </w:rPr>
        <w:t>ŚRODKI ZARZĄDZANIA</w:t>
      </w:r>
      <w:bookmarkEnd w:id="151"/>
      <w:bookmarkEnd w:id="152"/>
      <w:bookmarkEnd w:id="153"/>
      <w:bookmarkEnd w:id="154"/>
      <w:bookmarkEnd w:id="155"/>
      <w:bookmarkEnd w:id="156"/>
    </w:p>
    <w:p w14:paraId="7337FB2A" w14:textId="4021F009" w:rsidR="00FA0CA8" w:rsidRPr="001357D3" w:rsidRDefault="00FA0CA8" w:rsidP="00FA0CA8">
      <w:pPr>
        <w:keepNext/>
        <w:tabs>
          <w:tab w:val="left" w:pos="850"/>
        </w:tabs>
        <w:ind w:left="850" w:hanging="850"/>
        <w:outlineLvl w:val="1"/>
        <w:rPr>
          <w:b/>
          <w:noProof/>
        </w:rPr>
      </w:pPr>
      <w:bookmarkStart w:id="157" w:name="_Toc514938042"/>
      <w:bookmarkStart w:id="158" w:name="_Toc520485043"/>
      <w:bookmarkStart w:id="159" w:name="_Toc160804585"/>
      <w:bookmarkStart w:id="160" w:name="_Toc167220277"/>
      <w:bookmarkStart w:id="161" w:name="_Toc177549010"/>
      <w:bookmarkStart w:id="162" w:name="_Toc210923270"/>
      <w:r w:rsidRPr="001357D3">
        <w:rPr>
          <w:b/>
          <w:noProof/>
        </w:rPr>
        <w:t>2.1.</w:t>
      </w:r>
      <w:r w:rsidRPr="001357D3">
        <w:rPr>
          <w:noProof/>
        </w:rPr>
        <w:tab/>
      </w:r>
      <w:r w:rsidRPr="001357D3">
        <w:rPr>
          <w:b/>
          <w:noProof/>
        </w:rPr>
        <w:t>Zasady nadzoru</w:t>
      </w:r>
      <w:r w:rsidR="001C6403" w:rsidRPr="001357D3">
        <w:rPr>
          <w:b/>
          <w:noProof/>
        </w:rPr>
        <w:t xml:space="preserve"> i</w:t>
      </w:r>
      <w:r w:rsidR="001C6403">
        <w:rPr>
          <w:b/>
          <w:noProof/>
        </w:rPr>
        <w:t> </w:t>
      </w:r>
      <w:r w:rsidR="001C6403" w:rsidRPr="001357D3">
        <w:rPr>
          <w:b/>
          <w:noProof/>
        </w:rPr>
        <w:t>spr</w:t>
      </w:r>
      <w:r w:rsidRPr="001357D3">
        <w:rPr>
          <w:b/>
          <w:noProof/>
        </w:rPr>
        <w:t>awozdawczości</w:t>
      </w:r>
      <w:bookmarkEnd w:id="157"/>
      <w:bookmarkEnd w:id="158"/>
      <w:bookmarkEnd w:id="159"/>
      <w:bookmarkEnd w:id="160"/>
      <w:bookmarkEnd w:id="161"/>
      <w:bookmarkEnd w:id="162"/>
    </w:p>
    <w:p w14:paraId="45AB7C1C" w14:textId="53F4C31A" w:rsidR="00FA0CA8" w:rsidRPr="001357D3" w:rsidRDefault="00D470B7" w:rsidP="00FA0CA8">
      <w:pPr>
        <w:pBdr>
          <w:top w:val="single" w:sz="8" w:space="1" w:color="000000"/>
          <w:left w:val="single" w:sz="8" w:space="4" w:color="000000"/>
          <w:bottom w:val="single" w:sz="8" w:space="1" w:color="000000"/>
          <w:right w:val="single" w:sz="8" w:space="4" w:color="000000"/>
        </w:pBdr>
        <w:ind w:left="850"/>
        <w:rPr>
          <w:noProof/>
          <w:highlight w:val="yellow"/>
        </w:rPr>
      </w:pPr>
      <w:r w:rsidRPr="001357D3">
        <w:rPr>
          <w:noProof/>
        </w:rPr>
        <w:t>Inicjatywa ta będzie monitorowana za pomocą ram wykonania budżetu na lata 2028–2034 ustanowionych na mocy rozporządzenia Parlamentu Europejskiego</w:t>
      </w:r>
      <w:r w:rsidR="001C6403" w:rsidRPr="001357D3">
        <w:rPr>
          <w:noProof/>
        </w:rPr>
        <w:t xml:space="preserve"> i</w:t>
      </w:r>
      <w:r w:rsidR="001C6403">
        <w:rPr>
          <w:noProof/>
        </w:rPr>
        <w:t> </w:t>
      </w:r>
      <w:r w:rsidR="001C6403" w:rsidRPr="001357D3">
        <w:rPr>
          <w:noProof/>
        </w:rPr>
        <w:t>Rad</w:t>
      </w:r>
      <w:r w:rsidRPr="001357D3">
        <w:rPr>
          <w:noProof/>
        </w:rPr>
        <w:t>y (UE) XXX [rozporządzenie</w:t>
      </w:r>
      <w:r w:rsidR="001C6403" w:rsidRPr="001357D3">
        <w:rPr>
          <w:noProof/>
        </w:rPr>
        <w:t xml:space="preserve"> w</w:t>
      </w:r>
      <w:r w:rsidR="001C6403">
        <w:rPr>
          <w:noProof/>
        </w:rPr>
        <w:t> </w:t>
      </w:r>
      <w:r w:rsidR="001C6403" w:rsidRPr="001357D3">
        <w:rPr>
          <w:noProof/>
        </w:rPr>
        <w:t>spr</w:t>
      </w:r>
      <w:r w:rsidRPr="001357D3">
        <w:rPr>
          <w:noProof/>
        </w:rPr>
        <w:t>awie wykonania]. Ramy wykonania budżetu określają również zasady ocen, które przeprowadza się zgodnie</w:t>
      </w:r>
      <w:r w:rsidR="001C6403" w:rsidRPr="001357D3">
        <w:rPr>
          <w:noProof/>
        </w:rPr>
        <w:t xml:space="preserve"> z</w:t>
      </w:r>
      <w:r w:rsidR="001C6403">
        <w:rPr>
          <w:noProof/>
        </w:rPr>
        <w:t> </w:t>
      </w:r>
      <w:r w:rsidR="001C6403" w:rsidRPr="001357D3">
        <w:rPr>
          <w:noProof/>
        </w:rPr>
        <w:t>wyt</w:t>
      </w:r>
      <w:r w:rsidRPr="001357D3">
        <w:rPr>
          <w:noProof/>
        </w:rPr>
        <w:t>ycznymi Komisji dotyczącymi lepszego stanowienia prawa</w:t>
      </w:r>
      <w:r w:rsidR="001C6403" w:rsidRPr="001357D3">
        <w:rPr>
          <w:noProof/>
        </w:rPr>
        <w:t xml:space="preserve"> i</w:t>
      </w:r>
      <w:r w:rsidR="001C6403">
        <w:rPr>
          <w:noProof/>
        </w:rPr>
        <w:t> </w:t>
      </w:r>
      <w:r w:rsidR="001C6403" w:rsidRPr="001357D3">
        <w:rPr>
          <w:noProof/>
        </w:rPr>
        <w:t>któ</w:t>
      </w:r>
      <w:r w:rsidRPr="001357D3">
        <w:rPr>
          <w:noProof/>
        </w:rPr>
        <w:t>re będą oparte na wskaźnikach istotnych</w:t>
      </w:r>
      <w:r w:rsidR="001C6403" w:rsidRPr="001357D3">
        <w:rPr>
          <w:noProof/>
        </w:rPr>
        <w:t xml:space="preserve"> z</w:t>
      </w:r>
      <w:r w:rsidR="001C6403">
        <w:rPr>
          <w:noProof/>
        </w:rPr>
        <w:t> </w:t>
      </w:r>
      <w:r w:rsidR="001C6403" w:rsidRPr="001357D3">
        <w:rPr>
          <w:noProof/>
        </w:rPr>
        <w:t>pun</w:t>
      </w:r>
      <w:r w:rsidRPr="001357D3">
        <w:rPr>
          <w:noProof/>
        </w:rPr>
        <w:t>ktu widzenia celów programu.</w:t>
      </w:r>
    </w:p>
    <w:p w14:paraId="5EC50FC4" w14:textId="6311C7E6" w:rsidR="00FA0CA8" w:rsidRPr="001357D3" w:rsidRDefault="00FA0CA8" w:rsidP="00FA0CA8">
      <w:pPr>
        <w:keepNext/>
        <w:tabs>
          <w:tab w:val="left" w:pos="850"/>
        </w:tabs>
        <w:ind w:left="850" w:hanging="850"/>
        <w:outlineLvl w:val="1"/>
        <w:rPr>
          <w:b/>
          <w:bCs/>
          <w:noProof/>
          <w:szCs w:val="24"/>
        </w:rPr>
      </w:pPr>
      <w:bookmarkStart w:id="163" w:name="_Toc514938045"/>
      <w:bookmarkStart w:id="164" w:name="_Toc520485044"/>
      <w:bookmarkStart w:id="165" w:name="_Toc160804586"/>
      <w:bookmarkStart w:id="166" w:name="_Toc167220278"/>
      <w:bookmarkStart w:id="167" w:name="_Toc177549011"/>
      <w:bookmarkStart w:id="168" w:name="_Toc210923271"/>
      <w:r w:rsidRPr="001357D3">
        <w:rPr>
          <w:b/>
          <w:noProof/>
        </w:rPr>
        <w:t>2.2.</w:t>
      </w:r>
      <w:r w:rsidRPr="001357D3">
        <w:rPr>
          <w:noProof/>
        </w:rPr>
        <w:tab/>
      </w:r>
      <w:r w:rsidRPr="001357D3">
        <w:rPr>
          <w:b/>
          <w:noProof/>
        </w:rPr>
        <w:t>System zarządzania</w:t>
      </w:r>
      <w:r w:rsidR="001C6403" w:rsidRPr="001357D3">
        <w:rPr>
          <w:b/>
          <w:noProof/>
        </w:rPr>
        <w:t xml:space="preserve"> i</w:t>
      </w:r>
      <w:r w:rsidR="001C6403">
        <w:rPr>
          <w:b/>
          <w:noProof/>
        </w:rPr>
        <w:t> </w:t>
      </w:r>
      <w:r w:rsidR="001C6403" w:rsidRPr="001357D3">
        <w:rPr>
          <w:b/>
          <w:noProof/>
        </w:rPr>
        <w:t>kon</w:t>
      </w:r>
      <w:r w:rsidRPr="001357D3">
        <w:rPr>
          <w:b/>
          <w:noProof/>
        </w:rPr>
        <w:t>troli</w:t>
      </w:r>
      <w:bookmarkEnd w:id="163"/>
      <w:bookmarkEnd w:id="164"/>
      <w:bookmarkEnd w:id="165"/>
      <w:bookmarkEnd w:id="166"/>
      <w:bookmarkEnd w:id="167"/>
      <w:bookmarkEnd w:id="168"/>
    </w:p>
    <w:p w14:paraId="48FACAFD" w14:textId="38796E2F" w:rsidR="00FA0CA8" w:rsidRPr="001357D3" w:rsidRDefault="00FA0CA8" w:rsidP="00FA0CA8">
      <w:pPr>
        <w:keepNext/>
        <w:tabs>
          <w:tab w:val="left" w:pos="850"/>
        </w:tabs>
        <w:ind w:left="850" w:hanging="850"/>
        <w:outlineLvl w:val="2"/>
        <w:rPr>
          <w:i/>
          <w:noProof/>
        </w:rPr>
      </w:pPr>
      <w:bookmarkStart w:id="169" w:name="_Toc514938046"/>
      <w:bookmarkStart w:id="170" w:name="_Toc520485045"/>
      <w:bookmarkStart w:id="171" w:name="_Toc160804587"/>
      <w:bookmarkStart w:id="172" w:name="_Toc167220279"/>
      <w:bookmarkStart w:id="173" w:name="_Toc177549012"/>
      <w:bookmarkStart w:id="174" w:name="_Toc210923272"/>
      <w:r w:rsidRPr="001357D3">
        <w:rPr>
          <w:i/>
          <w:noProof/>
        </w:rPr>
        <w:t>2.2.1.</w:t>
      </w:r>
      <w:r w:rsidRPr="001357D3">
        <w:rPr>
          <w:noProof/>
        </w:rPr>
        <w:tab/>
      </w:r>
      <w:r w:rsidRPr="001357D3">
        <w:rPr>
          <w:i/>
          <w:noProof/>
        </w:rPr>
        <w:t>Uzasadnienie dla proponowanych metod wykonania budżetu, mechanizmów finansowania wykonania, sposobów dokonywania płatności</w:t>
      </w:r>
      <w:r w:rsidR="001C6403" w:rsidRPr="001357D3">
        <w:rPr>
          <w:i/>
          <w:noProof/>
        </w:rPr>
        <w:t xml:space="preserve"> i</w:t>
      </w:r>
      <w:r w:rsidR="001C6403">
        <w:rPr>
          <w:i/>
          <w:noProof/>
        </w:rPr>
        <w:t> </w:t>
      </w:r>
      <w:r w:rsidR="001C6403" w:rsidRPr="001357D3">
        <w:rPr>
          <w:i/>
          <w:noProof/>
        </w:rPr>
        <w:t>str</w:t>
      </w:r>
      <w:r w:rsidRPr="001357D3">
        <w:rPr>
          <w:i/>
          <w:noProof/>
        </w:rPr>
        <w:t>ategii kontroli</w:t>
      </w:r>
      <w:bookmarkEnd w:id="169"/>
      <w:bookmarkEnd w:id="170"/>
      <w:bookmarkEnd w:id="171"/>
      <w:bookmarkEnd w:id="172"/>
      <w:bookmarkEnd w:id="173"/>
      <w:bookmarkEnd w:id="174"/>
    </w:p>
    <w:p w14:paraId="584A1E41" w14:textId="073DB305"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rFonts w:eastAsia="Times New Roman"/>
          <w:noProof/>
          <w:szCs w:val="24"/>
        </w:rPr>
      </w:pPr>
      <w:r w:rsidRPr="001357D3">
        <w:rPr>
          <w:noProof/>
        </w:rPr>
        <w:t>Program „Sprawiedliwość” będzie zarządzany bezpośrednio przez Komisję, ponieważ umożliwi to lepsze dostosowanie Programu do potrzeb różnych polityk, większą elastyczność</w:t>
      </w:r>
      <w:r w:rsidR="001C6403" w:rsidRPr="001357D3">
        <w:rPr>
          <w:noProof/>
        </w:rPr>
        <w:t xml:space="preserve"> w</w:t>
      </w:r>
      <w:r w:rsidR="001C6403">
        <w:rPr>
          <w:noProof/>
        </w:rPr>
        <w:t> </w:t>
      </w:r>
      <w:r w:rsidR="001C6403" w:rsidRPr="001357D3">
        <w:rPr>
          <w:noProof/>
        </w:rPr>
        <w:t>zak</w:t>
      </w:r>
      <w:r w:rsidRPr="001357D3">
        <w:rPr>
          <w:noProof/>
        </w:rPr>
        <w:t>resie ponownego dostosowania priorytetów</w:t>
      </w:r>
      <w:r w:rsidR="001C6403" w:rsidRPr="001357D3">
        <w:rPr>
          <w:noProof/>
        </w:rPr>
        <w:t xml:space="preserve"> w</w:t>
      </w:r>
      <w:r w:rsidR="001C6403">
        <w:rPr>
          <w:noProof/>
        </w:rPr>
        <w:t> </w:t>
      </w:r>
      <w:r w:rsidR="001C6403" w:rsidRPr="001357D3">
        <w:rPr>
          <w:noProof/>
        </w:rPr>
        <w:t>prz</w:t>
      </w:r>
      <w:r w:rsidRPr="001357D3">
        <w:rPr>
          <w:noProof/>
        </w:rPr>
        <w:t>ypadku pojawiających się potrzeb oraz nawiązanie bezpośrednich kontaktów</w:t>
      </w:r>
      <w:r w:rsidR="001C6403" w:rsidRPr="001357D3">
        <w:rPr>
          <w:noProof/>
        </w:rPr>
        <w:t xml:space="preserve"> z</w:t>
      </w:r>
      <w:r w:rsidR="001C6403">
        <w:rPr>
          <w:noProof/>
        </w:rPr>
        <w:t> </w:t>
      </w:r>
      <w:r w:rsidR="001C6403" w:rsidRPr="001357D3">
        <w:rPr>
          <w:noProof/>
        </w:rPr>
        <w:t>ben</w:t>
      </w:r>
      <w:r w:rsidRPr="001357D3">
        <w:rPr>
          <w:noProof/>
        </w:rPr>
        <w:t>eficjentami/wykonawcami</w:t>
      </w:r>
      <w:r w:rsidR="001C6403" w:rsidRPr="001357D3">
        <w:rPr>
          <w:noProof/>
        </w:rPr>
        <w:t xml:space="preserve"> i</w:t>
      </w:r>
      <w:r w:rsidR="001C6403">
        <w:rPr>
          <w:noProof/>
        </w:rPr>
        <w:t> </w:t>
      </w:r>
      <w:r w:rsidR="001C6403" w:rsidRPr="001357D3">
        <w:rPr>
          <w:noProof/>
        </w:rPr>
        <w:t>zai</w:t>
      </w:r>
      <w:r w:rsidRPr="001357D3">
        <w:rPr>
          <w:noProof/>
        </w:rPr>
        <w:t>nteresowanymi stronami bezpośrednio zaangażowanymi</w:t>
      </w:r>
      <w:r w:rsidR="001C6403" w:rsidRPr="001357D3">
        <w:rPr>
          <w:noProof/>
        </w:rPr>
        <w:t xml:space="preserve"> w</w:t>
      </w:r>
      <w:r w:rsidR="001C6403">
        <w:rPr>
          <w:noProof/>
        </w:rPr>
        <w:t> </w:t>
      </w:r>
      <w:r w:rsidR="001C6403" w:rsidRPr="001357D3">
        <w:rPr>
          <w:noProof/>
        </w:rPr>
        <w:t>dzi</w:t>
      </w:r>
      <w:r w:rsidRPr="001357D3">
        <w:rPr>
          <w:noProof/>
        </w:rPr>
        <w:t>ałania służące realizacji odpowiednich polityk Unii. Tryb wdrażania Programu na lata 2021–2027 (zarządzanie bezpośrednie</w:t>
      </w:r>
      <w:r w:rsidR="001C6403" w:rsidRPr="001357D3">
        <w:rPr>
          <w:noProof/>
        </w:rPr>
        <w:t xml:space="preserve"> i</w:t>
      </w:r>
      <w:r w:rsidR="001C6403">
        <w:rPr>
          <w:noProof/>
        </w:rPr>
        <w:t> </w:t>
      </w:r>
      <w:r w:rsidR="001C6403" w:rsidRPr="001357D3">
        <w:rPr>
          <w:noProof/>
        </w:rPr>
        <w:t>poś</w:t>
      </w:r>
      <w:r w:rsidRPr="001357D3">
        <w:rPr>
          <w:noProof/>
        </w:rPr>
        <w:t>rednie) okazał się dotychczas skuteczny</w:t>
      </w:r>
      <w:r w:rsidR="001C6403" w:rsidRPr="001357D3">
        <w:rPr>
          <w:noProof/>
        </w:rPr>
        <w:t xml:space="preserve"> i</w:t>
      </w:r>
      <w:r w:rsidR="001C6403">
        <w:rPr>
          <w:noProof/>
        </w:rPr>
        <w:t> </w:t>
      </w:r>
      <w:r w:rsidR="001C6403" w:rsidRPr="001357D3">
        <w:rPr>
          <w:noProof/>
        </w:rPr>
        <w:t>odp</w:t>
      </w:r>
      <w:r w:rsidRPr="001357D3">
        <w:rPr>
          <w:noProof/>
        </w:rPr>
        <w:t>owiedni do potrzeb Programu oraz jego beneficjentów. Stosowanie uproszczonych form finansowania pozostanie standardową formą wkładu przy refundacji dotacji.</w:t>
      </w:r>
    </w:p>
    <w:p w14:paraId="2E77955B" w14:textId="557526E2" w:rsidR="00FA0CA8" w:rsidRPr="001357D3" w:rsidRDefault="00FA0CA8" w:rsidP="00FA0CA8">
      <w:pPr>
        <w:keepNext/>
        <w:tabs>
          <w:tab w:val="left" w:pos="850"/>
        </w:tabs>
        <w:ind w:left="850" w:hanging="850"/>
        <w:outlineLvl w:val="2"/>
        <w:rPr>
          <w:i/>
          <w:noProof/>
        </w:rPr>
      </w:pPr>
      <w:bookmarkStart w:id="175" w:name="_Toc514938047"/>
      <w:bookmarkStart w:id="176" w:name="_Toc520485046"/>
      <w:bookmarkStart w:id="177" w:name="_Toc160804588"/>
      <w:bookmarkStart w:id="178" w:name="_Toc167220280"/>
      <w:bookmarkStart w:id="179" w:name="_Toc177549013"/>
      <w:bookmarkStart w:id="180" w:name="_Toc210923273"/>
      <w:r w:rsidRPr="001357D3">
        <w:rPr>
          <w:i/>
          <w:noProof/>
        </w:rPr>
        <w:t>2.2.2.</w:t>
      </w:r>
      <w:r w:rsidRPr="001357D3">
        <w:rPr>
          <w:noProof/>
        </w:rPr>
        <w:tab/>
      </w:r>
      <w:r w:rsidRPr="001357D3">
        <w:rPr>
          <w:i/>
          <w:noProof/>
        </w:rPr>
        <w:t>Informacje dotyczące zidentyfikowanego ryzyka</w:t>
      </w:r>
      <w:r w:rsidR="001C6403" w:rsidRPr="001357D3">
        <w:rPr>
          <w:i/>
          <w:noProof/>
        </w:rPr>
        <w:t xml:space="preserve"> i</w:t>
      </w:r>
      <w:r w:rsidR="001C6403">
        <w:rPr>
          <w:i/>
          <w:noProof/>
        </w:rPr>
        <w:t> </w:t>
      </w:r>
      <w:r w:rsidR="001C6403" w:rsidRPr="001357D3">
        <w:rPr>
          <w:i/>
          <w:noProof/>
        </w:rPr>
        <w:t>sys</w:t>
      </w:r>
      <w:r w:rsidRPr="001357D3">
        <w:rPr>
          <w:i/>
          <w:noProof/>
        </w:rPr>
        <w:t>temów kontroli wewnętrznej ustanowionych</w:t>
      </w:r>
      <w:r w:rsidR="001C6403" w:rsidRPr="001357D3">
        <w:rPr>
          <w:i/>
          <w:noProof/>
        </w:rPr>
        <w:t xml:space="preserve"> w</w:t>
      </w:r>
      <w:r w:rsidR="001C6403">
        <w:rPr>
          <w:i/>
          <w:noProof/>
        </w:rPr>
        <w:t> </w:t>
      </w:r>
      <w:r w:rsidR="001C6403" w:rsidRPr="001357D3">
        <w:rPr>
          <w:i/>
          <w:noProof/>
        </w:rPr>
        <w:t>cel</w:t>
      </w:r>
      <w:r w:rsidRPr="001357D3">
        <w:rPr>
          <w:i/>
          <w:noProof/>
        </w:rPr>
        <w:t>u jego ograniczenia</w:t>
      </w:r>
      <w:bookmarkEnd w:id="175"/>
      <w:bookmarkEnd w:id="176"/>
      <w:bookmarkEnd w:id="177"/>
      <w:bookmarkEnd w:id="178"/>
      <w:bookmarkEnd w:id="179"/>
      <w:bookmarkEnd w:id="180"/>
    </w:p>
    <w:p w14:paraId="3CA9938F" w14:textId="0B43FCD4"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Program stoi</w:t>
      </w:r>
      <w:r w:rsidR="001C6403" w:rsidRPr="001357D3">
        <w:rPr>
          <w:noProof/>
        </w:rPr>
        <w:t xml:space="preserve"> w</w:t>
      </w:r>
      <w:r w:rsidR="001C6403">
        <w:rPr>
          <w:noProof/>
        </w:rPr>
        <w:t> </w:t>
      </w:r>
      <w:r w:rsidR="001C6403" w:rsidRPr="001357D3">
        <w:rPr>
          <w:noProof/>
        </w:rPr>
        <w:t>obl</w:t>
      </w:r>
      <w:r w:rsidRPr="001357D3">
        <w:rPr>
          <w:noProof/>
        </w:rPr>
        <w:t>iczu takiego samego ryzyka jak inne programy Komisji, które są skierowane do beneficjentów</w:t>
      </w:r>
      <w:r w:rsidR="001C6403" w:rsidRPr="001357D3">
        <w:rPr>
          <w:noProof/>
        </w:rPr>
        <w:t xml:space="preserve"> o</w:t>
      </w:r>
      <w:r w:rsidR="001C6403">
        <w:rPr>
          <w:noProof/>
        </w:rPr>
        <w:t> </w:t>
      </w:r>
      <w:r w:rsidR="001C6403" w:rsidRPr="001357D3">
        <w:rPr>
          <w:noProof/>
        </w:rPr>
        <w:t>róż</w:t>
      </w:r>
      <w:r w:rsidRPr="001357D3">
        <w:rPr>
          <w:noProof/>
        </w:rPr>
        <w:t>norodnym charakterze. Niektórzy beneficjenci nie składają ponownych wniosków, niektórzy nie dysponują rozbudowanymi strukturami administracyjnymi. Ryzyko to związane jest głównie</w:t>
      </w:r>
      <w:r w:rsidR="001C6403" w:rsidRPr="001357D3">
        <w:rPr>
          <w:noProof/>
        </w:rPr>
        <w:t xml:space="preserve"> z</w:t>
      </w:r>
      <w:r w:rsidR="001C6403">
        <w:rPr>
          <w:noProof/>
        </w:rPr>
        <w:t> </w:t>
      </w:r>
      <w:r w:rsidR="001C6403" w:rsidRPr="001357D3">
        <w:rPr>
          <w:noProof/>
        </w:rPr>
        <w:t>1</w:t>
      </w:r>
      <w:r w:rsidRPr="001357D3">
        <w:rPr>
          <w:noProof/>
        </w:rPr>
        <w:t>) zapewnieniem jakości wybranych projektów</w:t>
      </w:r>
      <w:r w:rsidR="001C6403" w:rsidRPr="001357D3">
        <w:rPr>
          <w:noProof/>
        </w:rPr>
        <w:t xml:space="preserve"> i</w:t>
      </w:r>
      <w:r w:rsidR="001C6403">
        <w:rPr>
          <w:noProof/>
        </w:rPr>
        <w:t> </w:t>
      </w:r>
      <w:r w:rsidR="001C6403" w:rsidRPr="001357D3">
        <w:rPr>
          <w:noProof/>
        </w:rPr>
        <w:t>ich</w:t>
      </w:r>
      <w:r w:rsidRPr="001357D3">
        <w:rPr>
          <w:noProof/>
        </w:rPr>
        <w:t xml:space="preserve"> późniejszą techniczną realizacją; 2) ryzykiem nieefektywnego lub nieekonomicznego wykorzystania przyznanych środków, zarówno</w:t>
      </w:r>
      <w:r w:rsidR="001C6403" w:rsidRPr="001357D3">
        <w:rPr>
          <w:noProof/>
        </w:rPr>
        <w:t xml:space="preserve"> w</w:t>
      </w:r>
      <w:r w:rsidR="001C6403">
        <w:rPr>
          <w:noProof/>
        </w:rPr>
        <w:t> </w:t>
      </w:r>
      <w:r w:rsidR="001C6403" w:rsidRPr="001357D3">
        <w:rPr>
          <w:noProof/>
        </w:rPr>
        <w:t>prz</w:t>
      </w:r>
      <w:r w:rsidRPr="001357D3">
        <w:rPr>
          <w:noProof/>
        </w:rPr>
        <w:t>ypadku dotacji, jak</w:t>
      </w:r>
      <w:r w:rsidR="001C6403" w:rsidRPr="001357D3">
        <w:rPr>
          <w:noProof/>
        </w:rPr>
        <w:t xml:space="preserve"> i</w:t>
      </w:r>
      <w:r w:rsidR="001C6403">
        <w:rPr>
          <w:noProof/>
        </w:rPr>
        <w:t> </w:t>
      </w:r>
      <w:r w:rsidR="001C6403" w:rsidRPr="001357D3">
        <w:rPr>
          <w:noProof/>
        </w:rPr>
        <w:t>zam</w:t>
      </w:r>
      <w:r w:rsidRPr="001357D3">
        <w:rPr>
          <w:noProof/>
        </w:rPr>
        <w:t>ówień publicznych; 3) nadużyciami finansowymi.</w:t>
      </w:r>
    </w:p>
    <w:p w14:paraId="508EA413" w14:textId="2082FD20"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1357D3">
        <w:rPr>
          <w:noProof/>
        </w:rPr>
        <w:t>Oczekuje się, że większość tych czynników ryzyka można ograniczyć dzięki: 1) starannemu projektowaniu zaproszeń do składania wniosków; 2) wytycznym dla wnioskodawców</w:t>
      </w:r>
      <w:r w:rsidR="001C6403" w:rsidRPr="001357D3">
        <w:rPr>
          <w:noProof/>
        </w:rPr>
        <w:t xml:space="preserve"> i</w:t>
      </w:r>
      <w:r w:rsidR="001C6403">
        <w:rPr>
          <w:noProof/>
        </w:rPr>
        <w:t> </w:t>
      </w:r>
      <w:r w:rsidR="001C6403" w:rsidRPr="001357D3">
        <w:rPr>
          <w:noProof/>
        </w:rPr>
        <w:t>ben</w:t>
      </w:r>
      <w:r w:rsidRPr="001357D3">
        <w:rPr>
          <w:noProof/>
        </w:rPr>
        <w:t>eficjentów; 3) stosowaniu uproszczonych metod rozliczania kosztów, takich jak koszty jednostkowe, stawki zryczałtowane</w:t>
      </w:r>
      <w:r w:rsidR="001C6403" w:rsidRPr="001357D3">
        <w:rPr>
          <w:noProof/>
        </w:rPr>
        <w:t xml:space="preserve"> i</w:t>
      </w:r>
      <w:r w:rsidR="001C6403">
        <w:rPr>
          <w:noProof/>
        </w:rPr>
        <w:t> </w:t>
      </w:r>
      <w:r w:rsidR="001C6403" w:rsidRPr="001357D3">
        <w:rPr>
          <w:noProof/>
        </w:rPr>
        <w:t>pła</w:t>
      </w:r>
      <w:r w:rsidRPr="001357D3">
        <w:rPr>
          <w:noProof/>
        </w:rPr>
        <w:t>tności ryczałtowe, które były skutecznie stosowane w WRF na lata 2021–2027 i są przewidziane</w:t>
      </w:r>
      <w:r w:rsidR="001C6403" w:rsidRPr="001357D3">
        <w:rPr>
          <w:noProof/>
        </w:rPr>
        <w:t xml:space="preserve"> w</w:t>
      </w:r>
      <w:r w:rsidR="001C6403">
        <w:rPr>
          <w:noProof/>
        </w:rPr>
        <w:t> </w:t>
      </w:r>
      <w:r w:rsidR="001C6403" w:rsidRPr="001357D3">
        <w:rPr>
          <w:noProof/>
        </w:rPr>
        <w:t>roz</w:t>
      </w:r>
      <w:r w:rsidRPr="001357D3">
        <w:rPr>
          <w:noProof/>
        </w:rPr>
        <w:t>porządzeniu (UE) 2024/2509; 4) stosowaniu procedur</w:t>
      </w:r>
      <w:r w:rsidR="001C6403" w:rsidRPr="001357D3">
        <w:rPr>
          <w:noProof/>
        </w:rPr>
        <w:t xml:space="preserve"> i</w:t>
      </w:r>
      <w:r w:rsidR="001C6403">
        <w:rPr>
          <w:noProof/>
        </w:rPr>
        <w:t> </w:t>
      </w:r>
      <w:r w:rsidR="001C6403" w:rsidRPr="001357D3">
        <w:rPr>
          <w:noProof/>
        </w:rPr>
        <w:t>sys</w:t>
      </w:r>
      <w:r w:rsidRPr="001357D3">
        <w:rPr>
          <w:noProof/>
        </w:rPr>
        <w:t>temów korporacyjnych do zarządzania wnioskami</w:t>
      </w:r>
      <w:r w:rsidR="001C6403" w:rsidRPr="001357D3">
        <w:rPr>
          <w:noProof/>
        </w:rPr>
        <w:t xml:space="preserve"> i</w:t>
      </w:r>
      <w:r w:rsidR="001C6403">
        <w:rPr>
          <w:noProof/>
        </w:rPr>
        <w:t> </w:t>
      </w:r>
      <w:r w:rsidR="001C6403" w:rsidRPr="001357D3">
        <w:rPr>
          <w:noProof/>
        </w:rPr>
        <w:t>dot</w:t>
      </w:r>
      <w:r w:rsidRPr="001357D3">
        <w:rPr>
          <w:noProof/>
        </w:rPr>
        <w:t>acjami (np. vademecum dotacji, eGrants itp.)</w:t>
      </w:r>
      <w:r w:rsidR="001C6403" w:rsidRPr="001357D3">
        <w:rPr>
          <w:noProof/>
        </w:rPr>
        <w:t xml:space="preserve"> w</w:t>
      </w:r>
      <w:r w:rsidR="001C6403">
        <w:rPr>
          <w:noProof/>
        </w:rPr>
        <w:t> </w:t>
      </w:r>
      <w:r w:rsidR="001C6403" w:rsidRPr="001357D3">
        <w:rPr>
          <w:noProof/>
        </w:rPr>
        <w:t>cel</w:t>
      </w:r>
      <w:r w:rsidRPr="001357D3">
        <w:rPr>
          <w:noProof/>
        </w:rPr>
        <w:t>u zapewnienia pełnej zgodności</w:t>
      </w:r>
      <w:r w:rsidR="001C6403" w:rsidRPr="001357D3">
        <w:rPr>
          <w:noProof/>
        </w:rPr>
        <w:t xml:space="preserve"> z</w:t>
      </w:r>
      <w:r w:rsidR="001C6403">
        <w:rPr>
          <w:noProof/>
        </w:rPr>
        <w:t> </w:t>
      </w:r>
      <w:r w:rsidR="001C6403" w:rsidRPr="001357D3">
        <w:rPr>
          <w:noProof/>
        </w:rPr>
        <w:t>naj</w:t>
      </w:r>
      <w:r w:rsidRPr="001357D3">
        <w:rPr>
          <w:noProof/>
        </w:rPr>
        <w:t>lepszymi praktykami na wszystkich etapach procesu udzielania dotacji</w:t>
      </w:r>
      <w:r w:rsidR="001C6403" w:rsidRPr="001357D3">
        <w:rPr>
          <w:noProof/>
        </w:rPr>
        <w:t xml:space="preserve"> i</w:t>
      </w:r>
      <w:r w:rsidR="001C6403">
        <w:rPr>
          <w:noProof/>
        </w:rPr>
        <w:t> </w:t>
      </w:r>
      <w:r w:rsidR="001C6403" w:rsidRPr="001357D3">
        <w:rPr>
          <w:noProof/>
        </w:rPr>
        <w:t>zam</w:t>
      </w:r>
      <w:r w:rsidRPr="001357D3">
        <w:rPr>
          <w:noProof/>
        </w:rPr>
        <w:t>ówień publicznych; 5) środkom określonym</w:t>
      </w:r>
      <w:r w:rsidR="001C6403" w:rsidRPr="001357D3">
        <w:rPr>
          <w:noProof/>
        </w:rPr>
        <w:t xml:space="preserve"> w</w:t>
      </w:r>
      <w:r w:rsidR="001C6403">
        <w:rPr>
          <w:noProof/>
        </w:rPr>
        <w:t> </w:t>
      </w:r>
      <w:r w:rsidR="001C6403" w:rsidRPr="001357D3">
        <w:rPr>
          <w:noProof/>
        </w:rPr>
        <w:t>str</w:t>
      </w:r>
      <w:r w:rsidRPr="001357D3">
        <w:rPr>
          <w:noProof/>
        </w:rPr>
        <w:t>ategii</w:t>
      </w:r>
      <w:r w:rsidR="001C6403" w:rsidRPr="001357D3">
        <w:rPr>
          <w:noProof/>
        </w:rPr>
        <w:t xml:space="preserve"> w</w:t>
      </w:r>
      <w:r w:rsidR="001C6403">
        <w:rPr>
          <w:noProof/>
        </w:rPr>
        <w:t> </w:t>
      </w:r>
      <w:r w:rsidR="001C6403" w:rsidRPr="001357D3">
        <w:rPr>
          <w:noProof/>
        </w:rPr>
        <w:t>zak</w:t>
      </w:r>
      <w:r w:rsidRPr="001357D3">
        <w:rPr>
          <w:noProof/>
        </w:rPr>
        <w:t>resie zwalczania nadużyć finansowych.</w:t>
      </w:r>
    </w:p>
    <w:p w14:paraId="0B393F8D" w14:textId="597C3E40" w:rsidR="00FA0CA8" w:rsidRPr="001357D3" w:rsidRDefault="00FA0CA8" w:rsidP="00FA0CA8">
      <w:pPr>
        <w:pBdr>
          <w:top w:val="single" w:sz="4" w:space="1" w:color="auto"/>
          <w:left w:val="single" w:sz="4" w:space="4" w:color="auto"/>
          <w:bottom w:val="single" w:sz="4" w:space="1" w:color="auto"/>
          <w:right w:val="single" w:sz="4" w:space="4" w:color="auto"/>
        </w:pBdr>
        <w:ind w:left="850"/>
        <w:rPr>
          <w:rFonts w:eastAsia="Times New Roman"/>
          <w:noProof/>
          <w:szCs w:val="24"/>
          <w:highlight w:val="yellow"/>
        </w:rPr>
      </w:pPr>
      <w:r w:rsidRPr="001357D3">
        <w:rPr>
          <w:noProof/>
        </w:rPr>
        <w:t>System kontroli przewidziany dla Programu na lata 2028–2034 będzie kontynuacją systemu kontroli stosowanego</w:t>
      </w:r>
      <w:r w:rsidR="001C6403" w:rsidRPr="001357D3">
        <w:rPr>
          <w:noProof/>
        </w:rPr>
        <w:t xml:space="preserve"> w</w:t>
      </w:r>
      <w:r w:rsidR="001C6403">
        <w:rPr>
          <w:noProof/>
        </w:rPr>
        <w:t> </w:t>
      </w:r>
      <w:r w:rsidR="001C6403" w:rsidRPr="001357D3">
        <w:rPr>
          <w:noProof/>
        </w:rPr>
        <w:t>lat</w:t>
      </w:r>
      <w:r w:rsidRPr="001357D3">
        <w:rPr>
          <w:noProof/>
        </w:rPr>
        <w:t>ach 2021–2027. Strategia kontroli składa się</w:t>
      </w:r>
      <w:r w:rsidR="001C6403" w:rsidRPr="001357D3">
        <w:rPr>
          <w:noProof/>
        </w:rPr>
        <w:t xml:space="preserve"> z</w:t>
      </w:r>
      <w:r w:rsidR="001C6403">
        <w:rPr>
          <w:noProof/>
        </w:rPr>
        <w:t> </w:t>
      </w:r>
      <w:r w:rsidR="001C6403" w:rsidRPr="001357D3">
        <w:rPr>
          <w:noProof/>
        </w:rPr>
        <w:t>róż</w:t>
      </w:r>
      <w:r w:rsidRPr="001357D3">
        <w:rPr>
          <w:noProof/>
        </w:rPr>
        <w:t>nych części składowych: 1) programowania, oceny</w:t>
      </w:r>
      <w:r w:rsidR="001C6403" w:rsidRPr="001357D3">
        <w:rPr>
          <w:noProof/>
        </w:rPr>
        <w:t xml:space="preserve"> i</w:t>
      </w:r>
      <w:r w:rsidR="001C6403">
        <w:rPr>
          <w:noProof/>
        </w:rPr>
        <w:t> </w:t>
      </w:r>
      <w:r w:rsidR="001C6403" w:rsidRPr="001357D3">
        <w:rPr>
          <w:noProof/>
        </w:rPr>
        <w:t>wyb</w:t>
      </w:r>
      <w:r w:rsidRPr="001357D3">
        <w:rPr>
          <w:noProof/>
        </w:rPr>
        <w:t>oru wniosków, które zapewniają finansowanie tylko najlepszych projektów; 2) podpisywania</w:t>
      </w:r>
      <w:r w:rsidR="001C6403" w:rsidRPr="001357D3">
        <w:rPr>
          <w:noProof/>
        </w:rPr>
        <w:t xml:space="preserve"> </w:t>
      </w:r>
      <w:r w:rsidR="001C6403" w:rsidRPr="001357D3">
        <w:rPr>
          <w:noProof/>
        </w:rPr>
        <w:lastRenderedPageBreak/>
        <w:t>i</w:t>
      </w:r>
      <w:r w:rsidR="001C6403">
        <w:rPr>
          <w:noProof/>
        </w:rPr>
        <w:t> </w:t>
      </w:r>
      <w:r w:rsidR="001C6403" w:rsidRPr="001357D3">
        <w:rPr>
          <w:noProof/>
        </w:rPr>
        <w:t>mon</w:t>
      </w:r>
      <w:r w:rsidRPr="001357D3">
        <w:rPr>
          <w:noProof/>
        </w:rPr>
        <w:t>itorowania umów</w:t>
      </w:r>
      <w:r w:rsidR="001C6403" w:rsidRPr="001357D3">
        <w:rPr>
          <w:noProof/>
        </w:rPr>
        <w:t xml:space="preserve"> o</w:t>
      </w:r>
      <w:r w:rsidR="001C6403">
        <w:rPr>
          <w:noProof/>
        </w:rPr>
        <w:t> </w:t>
      </w:r>
      <w:r w:rsidR="001C6403" w:rsidRPr="001357D3">
        <w:rPr>
          <w:noProof/>
        </w:rPr>
        <w:t>udz</w:t>
      </w:r>
      <w:r w:rsidRPr="001357D3">
        <w:rPr>
          <w:noProof/>
        </w:rPr>
        <w:t>ielenie dotacji,</w:t>
      </w:r>
      <w:r w:rsidR="001C6403" w:rsidRPr="001357D3">
        <w:rPr>
          <w:noProof/>
        </w:rPr>
        <w:t xml:space="preserve"> z</w:t>
      </w:r>
      <w:r w:rsidR="001C6403">
        <w:rPr>
          <w:noProof/>
        </w:rPr>
        <w:t> </w:t>
      </w:r>
      <w:r w:rsidR="001C6403" w:rsidRPr="001357D3">
        <w:rPr>
          <w:noProof/>
        </w:rPr>
        <w:t>zas</w:t>
      </w:r>
      <w:r w:rsidRPr="001357D3">
        <w:rPr>
          <w:noProof/>
        </w:rPr>
        <w:t xml:space="preserve">trzeżeniem weryfikacji </w:t>
      </w:r>
      <w:r w:rsidRPr="001357D3">
        <w:rPr>
          <w:i/>
          <w:noProof/>
        </w:rPr>
        <w:t>ex ante</w:t>
      </w:r>
      <w:r w:rsidRPr="001357D3">
        <w:rPr>
          <w:noProof/>
        </w:rPr>
        <w:t xml:space="preserve"> zarówno na poziomie finansowym, jak</w:t>
      </w:r>
      <w:r w:rsidR="001C6403" w:rsidRPr="001357D3">
        <w:rPr>
          <w:noProof/>
        </w:rPr>
        <w:t xml:space="preserve"> i</w:t>
      </w:r>
      <w:r w:rsidR="001C6403">
        <w:rPr>
          <w:noProof/>
        </w:rPr>
        <w:t> </w:t>
      </w:r>
      <w:r w:rsidR="001C6403" w:rsidRPr="001357D3">
        <w:rPr>
          <w:noProof/>
        </w:rPr>
        <w:t>pol</w:t>
      </w:r>
      <w:r w:rsidRPr="001357D3">
        <w:rPr>
          <w:noProof/>
        </w:rPr>
        <w:t xml:space="preserve">itycznym; 3) audytów </w:t>
      </w:r>
      <w:r w:rsidRPr="001357D3">
        <w:rPr>
          <w:i/>
          <w:noProof/>
        </w:rPr>
        <w:t>ex post</w:t>
      </w:r>
      <w:r w:rsidRPr="001357D3">
        <w:rPr>
          <w:noProof/>
        </w:rPr>
        <w:t>, opartych na „strategii wykrywania”, mających na celu określenie maksymalnej liczby nieprawidłowości</w:t>
      </w:r>
      <w:r w:rsidR="001C6403" w:rsidRPr="001357D3">
        <w:rPr>
          <w:noProof/>
        </w:rPr>
        <w:t xml:space="preserve"> w</w:t>
      </w:r>
      <w:r w:rsidR="001C6403">
        <w:rPr>
          <w:noProof/>
        </w:rPr>
        <w:t> </w:t>
      </w:r>
      <w:r w:rsidR="001C6403" w:rsidRPr="001357D3">
        <w:rPr>
          <w:noProof/>
        </w:rPr>
        <w:t>cel</w:t>
      </w:r>
      <w:r w:rsidRPr="001357D3">
        <w:rPr>
          <w:noProof/>
        </w:rPr>
        <w:t>u odzyskania nienależnych płatności.</w:t>
      </w:r>
    </w:p>
    <w:p w14:paraId="2E47C51D" w14:textId="5ACEF445" w:rsidR="00FA0CA8" w:rsidRPr="001357D3" w:rsidRDefault="00FA0CA8" w:rsidP="00FA0CA8">
      <w:pPr>
        <w:keepNext/>
        <w:tabs>
          <w:tab w:val="left" w:pos="850"/>
        </w:tabs>
        <w:ind w:left="850" w:hanging="850"/>
        <w:outlineLvl w:val="2"/>
        <w:rPr>
          <w:i/>
          <w:noProof/>
        </w:rPr>
      </w:pPr>
      <w:bookmarkStart w:id="181" w:name="_Toc514938048"/>
      <w:bookmarkStart w:id="182" w:name="_Toc520485047"/>
      <w:bookmarkStart w:id="183" w:name="_Toc160804589"/>
      <w:bookmarkStart w:id="184" w:name="_Toc167220281"/>
      <w:bookmarkStart w:id="185" w:name="_Toc177549014"/>
      <w:bookmarkStart w:id="186" w:name="_Toc210923274"/>
      <w:r w:rsidRPr="001357D3">
        <w:rPr>
          <w:i/>
          <w:noProof/>
        </w:rPr>
        <w:t>2.2.3.</w:t>
      </w:r>
      <w:r w:rsidRPr="001357D3">
        <w:rPr>
          <w:noProof/>
        </w:rPr>
        <w:tab/>
      </w:r>
      <w:r w:rsidRPr="001357D3">
        <w:rPr>
          <w:i/>
          <w:noProof/>
        </w:rPr>
        <w:t>Oszacowanie</w:t>
      </w:r>
      <w:r w:rsidR="001C6403" w:rsidRPr="001357D3">
        <w:rPr>
          <w:i/>
          <w:noProof/>
        </w:rPr>
        <w:t xml:space="preserve"> i</w:t>
      </w:r>
      <w:r w:rsidR="001C6403">
        <w:rPr>
          <w:i/>
          <w:noProof/>
        </w:rPr>
        <w:t> </w:t>
      </w:r>
      <w:r w:rsidR="001C6403" w:rsidRPr="001357D3">
        <w:rPr>
          <w:i/>
          <w:noProof/>
        </w:rPr>
        <w:t>uza</w:t>
      </w:r>
      <w:r w:rsidRPr="001357D3">
        <w:rPr>
          <w:i/>
          <w:noProof/>
        </w:rPr>
        <w:t>sadnienie efektywności kosztowej kontroli (relacja kosztów kontroli do wartości zarządzanych funduszy powiązanych) oraz ocena prawdopodobnego ryzyka błędu (przy płatności</w:t>
      </w:r>
      <w:r w:rsidR="001C6403" w:rsidRPr="001357D3">
        <w:rPr>
          <w:i/>
          <w:noProof/>
        </w:rPr>
        <w:t xml:space="preserve"> i</w:t>
      </w:r>
      <w:r w:rsidR="001C6403">
        <w:rPr>
          <w:i/>
          <w:noProof/>
        </w:rPr>
        <w:t> </w:t>
      </w:r>
      <w:r w:rsidR="001C6403" w:rsidRPr="001357D3">
        <w:rPr>
          <w:i/>
          <w:noProof/>
        </w:rPr>
        <w:t>prz</w:t>
      </w:r>
      <w:r w:rsidRPr="001357D3">
        <w:rPr>
          <w:i/>
          <w:noProof/>
        </w:rPr>
        <w:t>y zamykaniu)</w:t>
      </w:r>
      <w:bookmarkEnd w:id="181"/>
      <w:bookmarkEnd w:id="182"/>
      <w:bookmarkEnd w:id="183"/>
      <w:bookmarkEnd w:id="184"/>
      <w:bookmarkEnd w:id="185"/>
      <w:bookmarkEnd w:id="186"/>
    </w:p>
    <w:p w14:paraId="1261A88E" w14:textId="6C498E8C" w:rsidR="00FA0CA8" w:rsidRPr="001357D3" w:rsidRDefault="00FA0CA8" w:rsidP="00FA0CA8">
      <w:pPr>
        <w:pBdr>
          <w:top w:val="single" w:sz="4" w:space="1" w:color="000000"/>
          <w:left w:val="single" w:sz="4" w:space="4" w:color="000000"/>
          <w:bottom w:val="single" w:sz="4" w:space="1" w:color="000000"/>
          <w:right w:val="single" w:sz="4" w:space="4" w:color="000000"/>
        </w:pBdr>
        <w:ind w:left="850"/>
        <w:rPr>
          <w:rFonts w:eastAsia="Times New Roman"/>
          <w:noProof/>
          <w:szCs w:val="24"/>
          <w:highlight w:val="yellow"/>
        </w:rPr>
      </w:pPr>
      <w:r w:rsidRPr="001357D3">
        <w:rPr>
          <w:noProof/>
        </w:rPr>
        <w:t>Koszty kontroli Programu wynoszą około 3,2 % płatności dokonanych przez Komisję. Oczekuje się, że poziom ten pozostanie stabilny lub nieznacznie spadnie</w:t>
      </w:r>
      <w:r w:rsidR="001C6403" w:rsidRPr="001357D3">
        <w:rPr>
          <w:noProof/>
        </w:rPr>
        <w:t xml:space="preserve"> w</w:t>
      </w:r>
      <w:r w:rsidR="001C6403">
        <w:rPr>
          <w:noProof/>
        </w:rPr>
        <w:t> </w:t>
      </w:r>
      <w:r w:rsidR="001C6403" w:rsidRPr="001357D3">
        <w:rPr>
          <w:noProof/>
        </w:rPr>
        <w:t>prz</w:t>
      </w:r>
      <w:r w:rsidRPr="001357D3">
        <w:rPr>
          <w:noProof/>
        </w:rPr>
        <w:t>ypadku dalszego rozszerzenia stosowania uproszczonych metod rozliczania kosztów. Celem systemu zarządzania</w:t>
      </w:r>
      <w:r w:rsidR="001C6403" w:rsidRPr="001357D3">
        <w:rPr>
          <w:noProof/>
        </w:rPr>
        <w:t xml:space="preserve"> i</w:t>
      </w:r>
      <w:r w:rsidR="001C6403">
        <w:rPr>
          <w:noProof/>
        </w:rPr>
        <w:t> </w:t>
      </w:r>
      <w:r w:rsidR="001C6403" w:rsidRPr="001357D3">
        <w:rPr>
          <w:noProof/>
        </w:rPr>
        <w:t>kon</w:t>
      </w:r>
      <w:r w:rsidRPr="001357D3">
        <w:rPr>
          <w:noProof/>
        </w:rPr>
        <w:t>troli jest utrzymanie oczekiwanego poziomu ryzyka błędu (zarówno na etapie płatności, jak</w:t>
      </w:r>
      <w:r w:rsidR="001C6403" w:rsidRPr="001357D3">
        <w:rPr>
          <w:noProof/>
        </w:rPr>
        <w:t xml:space="preserve"> i</w:t>
      </w:r>
      <w:r w:rsidR="001C6403">
        <w:rPr>
          <w:noProof/>
        </w:rPr>
        <w:t> </w:t>
      </w:r>
      <w:r w:rsidR="001C6403" w:rsidRPr="001357D3">
        <w:rPr>
          <w:noProof/>
        </w:rPr>
        <w:t>prz</w:t>
      </w:r>
      <w:r w:rsidRPr="001357D3">
        <w:rPr>
          <w:noProof/>
        </w:rPr>
        <w:t>y zamknięciu) poniżej progu istotności wynoszącego 2 %.</w:t>
      </w:r>
    </w:p>
    <w:p w14:paraId="478BF9D8" w14:textId="2062789D" w:rsidR="00FA0CA8" w:rsidRPr="001357D3" w:rsidRDefault="00FA0CA8" w:rsidP="00FA0CA8">
      <w:pPr>
        <w:keepNext/>
        <w:tabs>
          <w:tab w:val="left" w:pos="850"/>
        </w:tabs>
        <w:ind w:left="850" w:hanging="850"/>
        <w:outlineLvl w:val="1"/>
        <w:rPr>
          <w:b/>
          <w:noProof/>
        </w:rPr>
      </w:pPr>
      <w:bookmarkStart w:id="187" w:name="_Toc514938049"/>
      <w:bookmarkStart w:id="188" w:name="_Toc520485048"/>
      <w:bookmarkStart w:id="189" w:name="_Toc160804590"/>
      <w:bookmarkStart w:id="190" w:name="_Toc167220282"/>
      <w:bookmarkStart w:id="191" w:name="_Toc177549015"/>
      <w:bookmarkStart w:id="192" w:name="_Toc210923275"/>
      <w:r w:rsidRPr="001357D3">
        <w:rPr>
          <w:b/>
          <w:noProof/>
        </w:rPr>
        <w:t>2.3.</w:t>
      </w:r>
      <w:r w:rsidRPr="001357D3">
        <w:rPr>
          <w:noProof/>
        </w:rPr>
        <w:tab/>
      </w:r>
      <w:r w:rsidRPr="001357D3">
        <w:rPr>
          <w:b/>
          <w:noProof/>
        </w:rPr>
        <w:t>Środki zapobiegania nadużyciom finansowym</w:t>
      </w:r>
      <w:r w:rsidR="001C6403" w:rsidRPr="001357D3">
        <w:rPr>
          <w:b/>
          <w:noProof/>
        </w:rPr>
        <w:t xml:space="preserve"> i</w:t>
      </w:r>
      <w:r w:rsidR="001C6403">
        <w:rPr>
          <w:b/>
          <w:noProof/>
        </w:rPr>
        <w:t> </w:t>
      </w:r>
      <w:r w:rsidR="001C6403" w:rsidRPr="001357D3">
        <w:rPr>
          <w:b/>
          <w:noProof/>
        </w:rPr>
        <w:t>nie</w:t>
      </w:r>
      <w:r w:rsidRPr="001357D3">
        <w:rPr>
          <w:b/>
          <w:noProof/>
        </w:rPr>
        <w:t>prawidłowościom</w:t>
      </w:r>
      <w:bookmarkEnd w:id="187"/>
      <w:bookmarkEnd w:id="188"/>
      <w:bookmarkEnd w:id="189"/>
      <w:bookmarkEnd w:id="190"/>
      <w:bookmarkEnd w:id="191"/>
      <w:bookmarkEnd w:id="192"/>
    </w:p>
    <w:p w14:paraId="5FFCBE64" w14:textId="02F76EEC"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DG JUST będzie</w:t>
      </w:r>
      <w:r w:rsidR="001C6403" w:rsidRPr="001357D3">
        <w:rPr>
          <w:noProof/>
        </w:rPr>
        <w:t xml:space="preserve"> w</w:t>
      </w:r>
      <w:r w:rsidR="001C6403">
        <w:rPr>
          <w:noProof/>
        </w:rPr>
        <w:t> </w:t>
      </w:r>
      <w:r w:rsidR="001C6403" w:rsidRPr="001357D3">
        <w:rPr>
          <w:noProof/>
        </w:rPr>
        <w:t>dal</w:t>
      </w:r>
      <w:r w:rsidRPr="001357D3">
        <w:rPr>
          <w:noProof/>
        </w:rPr>
        <w:t>szym ciągu stosować swoją strategię zwalczania nadużyć finansowych (zaktualizowaną</w:t>
      </w:r>
      <w:r w:rsidR="001C6403" w:rsidRPr="001357D3">
        <w:rPr>
          <w:noProof/>
        </w:rPr>
        <w:t xml:space="preserve"> w</w:t>
      </w:r>
      <w:r w:rsidR="001C6403">
        <w:rPr>
          <w:noProof/>
        </w:rPr>
        <w:t> </w:t>
      </w:r>
      <w:r w:rsidR="001C6403" w:rsidRPr="001357D3">
        <w:rPr>
          <w:noProof/>
        </w:rPr>
        <w:t>cze</w:t>
      </w:r>
      <w:r w:rsidRPr="001357D3">
        <w:rPr>
          <w:noProof/>
        </w:rPr>
        <w:t>rwcu 20</w:t>
      </w:r>
      <w:r w:rsidRPr="001C6403">
        <w:rPr>
          <w:noProof/>
        </w:rPr>
        <w:t>24</w:t>
      </w:r>
      <w:r w:rsidR="001C6403" w:rsidRPr="001C6403">
        <w:rPr>
          <w:noProof/>
        </w:rPr>
        <w:t> </w:t>
      </w:r>
      <w:r w:rsidRPr="001C6403">
        <w:rPr>
          <w:noProof/>
        </w:rPr>
        <w:t>r.</w:t>
      </w:r>
      <w:r w:rsidRPr="001357D3">
        <w:rPr>
          <w:noProof/>
        </w:rPr>
        <w:t>), zgodnie ze strategią Komisji</w:t>
      </w:r>
      <w:r w:rsidR="001C6403" w:rsidRPr="001357D3">
        <w:rPr>
          <w:noProof/>
        </w:rPr>
        <w:t xml:space="preserve"> w</w:t>
      </w:r>
      <w:r w:rsidR="001C6403">
        <w:rPr>
          <w:noProof/>
        </w:rPr>
        <w:t> </w:t>
      </w:r>
      <w:r w:rsidR="001C6403" w:rsidRPr="001357D3">
        <w:rPr>
          <w:noProof/>
        </w:rPr>
        <w:t>tym</w:t>
      </w:r>
      <w:r w:rsidRPr="001357D3">
        <w:rPr>
          <w:noProof/>
        </w:rPr>
        <w:t xml:space="preserve"> zakresie (CAFS).</w:t>
      </w:r>
      <w:r w:rsidR="001C6403" w:rsidRPr="001357D3">
        <w:rPr>
          <w:noProof/>
        </w:rPr>
        <w:t xml:space="preserve"> w</w:t>
      </w:r>
      <w:r w:rsidR="001C6403">
        <w:rPr>
          <w:noProof/>
        </w:rPr>
        <w:t> </w:t>
      </w:r>
      <w:r w:rsidR="001C6403" w:rsidRPr="001357D3">
        <w:rPr>
          <w:noProof/>
        </w:rPr>
        <w:t>cel</w:t>
      </w:r>
      <w:r w:rsidRPr="001357D3">
        <w:rPr>
          <w:noProof/>
        </w:rPr>
        <w:t>u zapewnienia m.in., by jej wewnętrzne kontrole związane ze zwalczaniem nadużyć były</w:t>
      </w:r>
      <w:r w:rsidR="001C6403" w:rsidRPr="001357D3">
        <w:rPr>
          <w:noProof/>
        </w:rPr>
        <w:t xml:space="preserve"> w</w:t>
      </w:r>
      <w:r w:rsidR="001C6403">
        <w:rPr>
          <w:noProof/>
        </w:rPr>
        <w:t> </w:t>
      </w:r>
      <w:r w:rsidR="001C6403" w:rsidRPr="001357D3">
        <w:rPr>
          <w:noProof/>
        </w:rPr>
        <w:t>peł</w:t>
      </w:r>
      <w:r w:rsidRPr="001357D3">
        <w:rPr>
          <w:noProof/>
        </w:rPr>
        <w:t>ni zgodne z CAFS oraz by jej podejście</w:t>
      </w:r>
      <w:r w:rsidR="001C6403" w:rsidRPr="001357D3">
        <w:rPr>
          <w:noProof/>
        </w:rPr>
        <w:t xml:space="preserve"> w</w:t>
      </w:r>
      <w:r w:rsidR="001C6403">
        <w:rPr>
          <w:noProof/>
        </w:rPr>
        <w:t> </w:t>
      </w:r>
      <w:r w:rsidR="001C6403" w:rsidRPr="001357D3">
        <w:rPr>
          <w:noProof/>
        </w:rPr>
        <w:t>kwe</w:t>
      </w:r>
      <w:r w:rsidRPr="001357D3">
        <w:rPr>
          <w:noProof/>
        </w:rPr>
        <w:t>stii zarządzania ryzykiem nadużyć było nastawione na wykrywanie obszarów obciążonych takim ryzykiem oraz na podejmowanie odpowiednich działań.</w:t>
      </w:r>
    </w:p>
    <w:p w14:paraId="7E20E3E2" w14:textId="4AD7346F"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Strategia</w:t>
      </w:r>
      <w:r w:rsidR="001C6403" w:rsidRPr="001357D3">
        <w:rPr>
          <w:noProof/>
        </w:rPr>
        <w:t xml:space="preserve"> w</w:t>
      </w:r>
      <w:r w:rsidR="001C6403">
        <w:rPr>
          <w:noProof/>
        </w:rPr>
        <w:t> </w:t>
      </w:r>
      <w:r w:rsidR="001C6403" w:rsidRPr="001357D3">
        <w:rPr>
          <w:noProof/>
        </w:rPr>
        <w:t>zak</w:t>
      </w:r>
      <w:r w:rsidRPr="001357D3">
        <w:rPr>
          <w:noProof/>
        </w:rPr>
        <w:t>resie zwalczania nadużyć finansowych umożliwia przeciwdziałanie ryzyku nadużyć finansowych, głównie za pomocą środków zapobiegających nieprawidłowościom, które są kontynuowane</w:t>
      </w:r>
      <w:r w:rsidR="001C6403" w:rsidRPr="001357D3">
        <w:rPr>
          <w:noProof/>
        </w:rPr>
        <w:t xml:space="preserve"> w</w:t>
      </w:r>
      <w:r w:rsidR="001C6403">
        <w:rPr>
          <w:noProof/>
        </w:rPr>
        <w:t> </w:t>
      </w:r>
      <w:r w:rsidR="001C6403" w:rsidRPr="001357D3">
        <w:rPr>
          <w:noProof/>
        </w:rPr>
        <w:t>prz</w:t>
      </w:r>
      <w:r w:rsidRPr="001357D3">
        <w:rPr>
          <w:noProof/>
        </w:rPr>
        <w:t>ypadku wykrycia nadużyć finansowych</w:t>
      </w:r>
      <w:r w:rsidR="001C6403" w:rsidRPr="001357D3">
        <w:rPr>
          <w:noProof/>
        </w:rPr>
        <w:t>. W</w:t>
      </w:r>
      <w:r w:rsidR="001C6403">
        <w:rPr>
          <w:noProof/>
        </w:rPr>
        <w:t> </w:t>
      </w:r>
      <w:r w:rsidR="001C6403" w:rsidRPr="001357D3">
        <w:rPr>
          <w:noProof/>
        </w:rPr>
        <w:t>dal</w:t>
      </w:r>
      <w:r w:rsidRPr="001357D3">
        <w:rPr>
          <w:noProof/>
        </w:rPr>
        <w:t>szym ciągu wdrażane będą następujące środki: monitorowanie na odległość, misje monitorujące według zdefiniowanej strategii monitorowania, jasno określone wymogi dotyczące sprawozdawczości</w:t>
      </w:r>
      <w:r w:rsidR="001C6403" w:rsidRPr="001357D3">
        <w:rPr>
          <w:noProof/>
        </w:rPr>
        <w:t xml:space="preserve"> w</w:t>
      </w:r>
      <w:r w:rsidR="001C6403">
        <w:rPr>
          <w:noProof/>
        </w:rPr>
        <w:t> </w:t>
      </w:r>
      <w:r w:rsidR="001C6403" w:rsidRPr="001357D3">
        <w:rPr>
          <w:noProof/>
        </w:rPr>
        <w:t>umo</w:t>
      </w:r>
      <w:r w:rsidRPr="001357D3">
        <w:rPr>
          <w:noProof/>
        </w:rPr>
        <w:t>wach</w:t>
      </w:r>
      <w:r w:rsidR="001C6403" w:rsidRPr="001357D3">
        <w:rPr>
          <w:noProof/>
        </w:rPr>
        <w:t xml:space="preserve"> o</w:t>
      </w:r>
      <w:r w:rsidR="001C6403">
        <w:rPr>
          <w:noProof/>
        </w:rPr>
        <w:t> </w:t>
      </w:r>
      <w:r w:rsidR="001C6403" w:rsidRPr="001357D3">
        <w:rPr>
          <w:noProof/>
        </w:rPr>
        <w:t>udz</w:t>
      </w:r>
      <w:r w:rsidRPr="001357D3">
        <w:rPr>
          <w:noProof/>
        </w:rPr>
        <w:t>ielenie dotacji zawieranych</w:t>
      </w:r>
      <w:r w:rsidR="001C6403" w:rsidRPr="001357D3">
        <w:rPr>
          <w:noProof/>
        </w:rPr>
        <w:t xml:space="preserve"> z</w:t>
      </w:r>
      <w:r w:rsidR="001C6403">
        <w:rPr>
          <w:noProof/>
        </w:rPr>
        <w:t> </w:t>
      </w:r>
      <w:r w:rsidR="001C6403" w:rsidRPr="001357D3">
        <w:rPr>
          <w:noProof/>
        </w:rPr>
        <w:t>ben</w:t>
      </w:r>
      <w:r w:rsidRPr="001357D3">
        <w:rPr>
          <w:noProof/>
        </w:rPr>
        <w:t>eficjentami, spotkania inauguracyjne</w:t>
      </w:r>
      <w:r w:rsidR="001C6403" w:rsidRPr="001357D3">
        <w:rPr>
          <w:noProof/>
        </w:rPr>
        <w:t xml:space="preserve"> z</w:t>
      </w:r>
      <w:r w:rsidR="001C6403">
        <w:rPr>
          <w:noProof/>
        </w:rPr>
        <w:t> </w:t>
      </w:r>
      <w:r w:rsidR="001C6403" w:rsidRPr="001357D3">
        <w:rPr>
          <w:noProof/>
        </w:rPr>
        <w:t>now</w:t>
      </w:r>
      <w:r w:rsidRPr="001357D3">
        <w:rPr>
          <w:noProof/>
        </w:rPr>
        <w:t>ymi beneficjentami, możliwość obcięcia dotacji</w:t>
      </w:r>
      <w:r w:rsidR="001C6403" w:rsidRPr="001357D3">
        <w:rPr>
          <w:noProof/>
        </w:rPr>
        <w:t xml:space="preserve"> w</w:t>
      </w:r>
      <w:r w:rsidR="001C6403">
        <w:rPr>
          <w:noProof/>
        </w:rPr>
        <w:t> </w:t>
      </w:r>
      <w:r w:rsidR="001C6403" w:rsidRPr="001357D3">
        <w:rPr>
          <w:noProof/>
        </w:rPr>
        <w:t>prz</w:t>
      </w:r>
      <w:r w:rsidRPr="001357D3">
        <w:rPr>
          <w:noProof/>
        </w:rPr>
        <w:t>ypadku niezrealizowania rezultatów lub niespełnienia określonych warunków finansowania, na przykład związanych</w:t>
      </w:r>
      <w:r w:rsidR="001C6403" w:rsidRPr="001357D3">
        <w:rPr>
          <w:noProof/>
        </w:rPr>
        <w:t xml:space="preserve"> z</w:t>
      </w:r>
      <w:r w:rsidR="001C6403">
        <w:rPr>
          <w:noProof/>
        </w:rPr>
        <w:t> </w:t>
      </w:r>
      <w:r w:rsidR="001C6403" w:rsidRPr="001357D3">
        <w:rPr>
          <w:noProof/>
        </w:rPr>
        <w:t>inf</w:t>
      </w:r>
      <w:r w:rsidRPr="001357D3">
        <w:rPr>
          <w:noProof/>
        </w:rPr>
        <w:t>ormowaniem, komunikacją</w:t>
      </w:r>
      <w:r w:rsidR="001C6403" w:rsidRPr="001357D3">
        <w:rPr>
          <w:noProof/>
        </w:rPr>
        <w:t xml:space="preserve"> i</w:t>
      </w:r>
      <w:r w:rsidR="001C6403">
        <w:rPr>
          <w:noProof/>
        </w:rPr>
        <w:t> </w:t>
      </w:r>
      <w:r w:rsidR="001C6403" w:rsidRPr="001357D3">
        <w:rPr>
          <w:noProof/>
        </w:rPr>
        <w:t>wid</w:t>
      </w:r>
      <w:r w:rsidRPr="001357D3">
        <w:rPr>
          <w:noProof/>
        </w:rPr>
        <w:t>ocznością.</w:t>
      </w:r>
    </w:p>
    <w:p w14:paraId="4ED341F9" w14:textId="7355513E" w:rsidR="00FA0CA8" w:rsidRPr="001357D3" w:rsidRDefault="00FA0CA8" w:rsidP="00FA0CA8">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1357D3">
        <w:rPr>
          <w:noProof/>
        </w:rPr>
        <w:t>Beneficjenci objęci przypadkami wykluczenia są zgłaszani do systemu wczesnego wykrywania</w:t>
      </w:r>
      <w:r w:rsidR="001C6403" w:rsidRPr="001357D3">
        <w:rPr>
          <w:noProof/>
        </w:rPr>
        <w:t xml:space="preserve"> i</w:t>
      </w:r>
      <w:r w:rsidR="001C6403">
        <w:rPr>
          <w:noProof/>
        </w:rPr>
        <w:t> </w:t>
      </w:r>
      <w:r w:rsidR="001C6403" w:rsidRPr="001357D3">
        <w:rPr>
          <w:noProof/>
        </w:rPr>
        <w:t>wyk</w:t>
      </w:r>
      <w:r w:rsidRPr="001357D3">
        <w:rPr>
          <w:noProof/>
        </w:rPr>
        <w:t>luczania (EDES),</w:t>
      </w:r>
      <w:r w:rsidR="001C6403" w:rsidRPr="001357D3">
        <w:rPr>
          <w:noProof/>
        </w:rPr>
        <w:t xml:space="preserve"> a</w:t>
      </w:r>
      <w:r w:rsidR="001C6403">
        <w:rPr>
          <w:noProof/>
        </w:rPr>
        <w:t> </w:t>
      </w:r>
      <w:r w:rsidR="001C6403" w:rsidRPr="001357D3">
        <w:rPr>
          <w:noProof/>
        </w:rPr>
        <w:t>spr</w:t>
      </w:r>
      <w:r w:rsidRPr="001357D3">
        <w:rPr>
          <w:noProof/>
        </w:rPr>
        <w:t>awy są dalej prowadzone we współpracy z OLAF-em oraz Prokuraturą Europejską (EPPO).</w:t>
      </w:r>
    </w:p>
    <w:p w14:paraId="1996C474" w14:textId="77777777" w:rsidR="00FA0CA8" w:rsidRPr="001357D3" w:rsidRDefault="00FA0CA8" w:rsidP="00FA0CA8">
      <w:pPr>
        <w:rPr>
          <w:noProof/>
        </w:rPr>
        <w:sectPr w:rsidR="00FA0CA8" w:rsidRPr="001357D3" w:rsidSect="007B3949">
          <w:pgSz w:w="11907" w:h="16840" w:code="9"/>
          <w:pgMar w:top="1134" w:right="1418" w:bottom="1134" w:left="1418" w:header="709" w:footer="709" w:gutter="0"/>
          <w:cols w:space="708"/>
          <w:docGrid w:linePitch="360"/>
        </w:sectPr>
      </w:pPr>
    </w:p>
    <w:p w14:paraId="47FB4532" w14:textId="051FBADD" w:rsidR="00FA0CA8" w:rsidRPr="001357D3" w:rsidRDefault="00FA0CA8" w:rsidP="00FA0CA8">
      <w:pPr>
        <w:keepNext/>
        <w:tabs>
          <w:tab w:val="left" w:pos="850"/>
        </w:tabs>
        <w:spacing w:before="360"/>
        <w:ind w:left="850" w:hanging="850"/>
        <w:outlineLvl w:val="0"/>
        <w:rPr>
          <w:b/>
          <w:smallCaps/>
          <w:noProof/>
        </w:rPr>
      </w:pPr>
      <w:bookmarkStart w:id="193" w:name="_Toc514938050"/>
      <w:bookmarkStart w:id="194" w:name="_Toc520485049"/>
      <w:bookmarkStart w:id="195" w:name="_Toc160804591"/>
      <w:bookmarkStart w:id="196" w:name="_Toc167220283"/>
      <w:bookmarkStart w:id="197" w:name="_Toc177549016"/>
      <w:bookmarkStart w:id="198" w:name="_Toc210923276"/>
      <w:r w:rsidRPr="001357D3">
        <w:rPr>
          <w:b/>
          <w:smallCaps/>
          <w:noProof/>
        </w:rPr>
        <w:lastRenderedPageBreak/>
        <w:t>3.</w:t>
      </w:r>
      <w:r w:rsidRPr="001357D3">
        <w:rPr>
          <w:noProof/>
        </w:rPr>
        <w:tab/>
      </w:r>
      <w:r w:rsidRPr="001357D3">
        <w:rPr>
          <w:b/>
          <w:smallCaps/>
          <w:noProof/>
        </w:rPr>
        <w:t>SZACUNKOWY WPŁYW FINANSOWY WNIOSKU/INICJATYWY</w:t>
      </w:r>
      <w:bookmarkEnd w:id="193"/>
      <w:bookmarkEnd w:id="194"/>
      <w:bookmarkEnd w:id="195"/>
      <w:bookmarkEnd w:id="196"/>
      <w:bookmarkEnd w:id="197"/>
      <w:bookmarkEnd w:id="198"/>
    </w:p>
    <w:p w14:paraId="0D9A6BB4" w14:textId="71D9D69A" w:rsidR="00FA0CA8" w:rsidRPr="001357D3" w:rsidRDefault="00FA0CA8" w:rsidP="00FA0CA8">
      <w:pPr>
        <w:keepNext/>
        <w:tabs>
          <w:tab w:val="left" w:pos="850"/>
        </w:tabs>
        <w:ind w:left="850" w:hanging="850"/>
        <w:outlineLvl w:val="1"/>
        <w:rPr>
          <w:b/>
          <w:noProof/>
        </w:rPr>
      </w:pPr>
      <w:bookmarkStart w:id="199" w:name="_Toc514938051"/>
      <w:bookmarkStart w:id="200" w:name="_Toc520485050"/>
      <w:bookmarkStart w:id="201" w:name="_Toc160804592"/>
      <w:bookmarkStart w:id="202" w:name="_Toc167220284"/>
      <w:bookmarkStart w:id="203" w:name="_Toc177549017"/>
      <w:bookmarkStart w:id="204" w:name="_Toc210923277"/>
      <w:r w:rsidRPr="001357D3">
        <w:rPr>
          <w:b/>
          <w:noProof/>
        </w:rPr>
        <w:t>3.1.</w:t>
      </w:r>
      <w:r w:rsidRPr="001357D3">
        <w:rPr>
          <w:noProof/>
        </w:rPr>
        <w:tab/>
      </w:r>
      <w:r w:rsidRPr="001357D3">
        <w:rPr>
          <w:b/>
          <w:noProof/>
        </w:rPr>
        <w:t>Działy wieloletnich ram finansowych</w:t>
      </w:r>
      <w:r w:rsidR="001C6403" w:rsidRPr="001357D3">
        <w:rPr>
          <w:b/>
          <w:noProof/>
        </w:rPr>
        <w:t xml:space="preserve"> i</w:t>
      </w:r>
      <w:r w:rsidR="001C6403">
        <w:rPr>
          <w:b/>
          <w:noProof/>
        </w:rPr>
        <w:t> </w:t>
      </w:r>
      <w:r w:rsidR="001C6403" w:rsidRPr="001357D3">
        <w:rPr>
          <w:b/>
          <w:noProof/>
        </w:rPr>
        <w:t>lin</w:t>
      </w:r>
      <w:r w:rsidRPr="001357D3">
        <w:rPr>
          <w:b/>
          <w:noProof/>
        </w:rPr>
        <w:t>ie budżetowe po stronie wydatków, na które wniosek/inicjatywa ma wpływ</w:t>
      </w:r>
      <w:bookmarkEnd w:id="199"/>
      <w:bookmarkEnd w:id="200"/>
      <w:bookmarkEnd w:id="201"/>
      <w:bookmarkEnd w:id="202"/>
      <w:bookmarkEnd w:id="203"/>
      <w:bookmarkEnd w:id="204"/>
    </w:p>
    <w:p w14:paraId="78229860" w14:textId="7F77A85D" w:rsidR="00FA0CA8" w:rsidRPr="001357D3" w:rsidRDefault="00FA0CA8" w:rsidP="00FA0CA8">
      <w:pPr>
        <w:tabs>
          <w:tab w:val="num" w:pos="1134"/>
        </w:tabs>
        <w:ind w:left="1134" w:hanging="283"/>
        <w:rPr>
          <w:rFonts w:eastAsia="Times New Roman"/>
          <w:noProof/>
        </w:rPr>
      </w:pPr>
      <w:r w:rsidRPr="001357D3">
        <w:rPr>
          <w:noProof/>
        </w:rPr>
        <w:t>Proponowane nowe linie budżetowe</w:t>
      </w:r>
    </w:p>
    <w:p w14:paraId="623C9FB9" w14:textId="28F188E4" w:rsidR="00FA0CA8" w:rsidRPr="001357D3" w:rsidRDefault="00FA0CA8" w:rsidP="00FA0CA8">
      <w:pPr>
        <w:ind w:left="850"/>
        <w:rPr>
          <w:i/>
          <w:noProof/>
          <w:sz w:val="20"/>
        </w:rPr>
      </w:pPr>
      <w:r w:rsidRPr="001357D3">
        <w:rPr>
          <w:i/>
          <w:noProof/>
          <w:u w:val="single"/>
        </w:rPr>
        <w:t>Według</w:t>
      </w:r>
      <w:r w:rsidRPr="001357D3">
        <w:rPr>
          <w:i/>
          <w:noProof/>
        </w:rPr>
        <w:t xml:space="preserve"> działów wieloletnich ram finansowych</w:t>
      </w:r>
      <w:r w:rsidR="001C6403" w:rsidRPr="001357D3">
        <w:rPr>
          <w:i/>
          <w:noProof/>
        </w:rPr>
        <w:t xml:space="preserve"> i</w:t>
      </w:r>
      <w:r w:rsidR="001C6403">
        <w:rPr>
          <w:i/>
          <w:noProof/>
        </w:rPr>
        <w:t> </w:t>
      </w:r>
      <w:r w:rsidR="001C6403" w:rsidRPr="001357D3">
        <w:rPr>
          <w:i/>
          <w:noProof/>
        </w:rPr>
        <w:t>lin</w:t>
      </w:r>
      <w:r w:rsidRPr="001357D3">
        <w:rPr>
          <w:i/>
          <w:noProof/>
        </w:rPr>
        <w:t>ii budżetowych</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1098"/>
        <w:gridCol w:w="1118"/>
        <w:gridCol w:w="1118"/>
        <w:gridCol w:w="1152"/>
      </w:tblGrid>
      <w:tr w:rsidR="00D31917" w:rsidRPr="001357D3" w14:paraId="5C575917" w14:textId="77777777">
        <w:trPr>
          <w:jc w:val="center"/>
        </w:trPr>
        <w:tc>
          <w:tcPr>
            <w:tcW w:w="1092" w:type="dxa"/>
            <w:vMerge w:val="restart"/>
            <w:vAlign w:val="center"/>
          </w:tcPr>
          <w:p w14:paraId="4AC857FE" w14:textId="77777777" w:rsidR="00FA0CA8" w:rsidRPr="001357D3" w:rsidRDefault="00FA0CA8" w:rsidP="00FA0CA8">
            <w:pPr>
              <w:spacing w:before="60" w:after="60"/>
              <w:jc w:val="center"/>
              <w:rPr>
                <w:noProof/>
                <w:sz w:val="18"/>
                <w:szCs w:val="18"/>
              </w:rPr>
            </w:pPr>
            <w:r w:rsidRPr="001357D3">
              <w:rPr>
                <w:noProof/>
                <w:sz w:val="18"/>
              </w:rPr>
              <w:t>Dział wieloletnich ram finansowych</w:t>
            </w:r>
          </w:p>
        </w:tc>
        <w:tc>
          <w:tcPr>
            <w:tcW w:w="4002" w:type="dxa"/>
            <w:vAlign w:val="center"/>
          </w:tcPr>
          <w:p w14:paraId="02E498AC" w14:textId="77777777" w:rsidR="00FA0CA8" w:rsidRPr="001357D3" w:rsidRDefault="00FA0CA8" w:rsidP="00FA0CA8">
            <w:pPr>
              <w:spacing w:before="60" w:after="60"/>
              <w:jc w:val="center"/>
              <w:rPr>
                <w:noProof/>
              </w:rPr>
            </w:pPr>
            <w:r w:rsidRPr="001357D3">
              <w:rPr>
                <w:noProof/>
                <w:sz w:val="20"/>
              </w:rPr>
              <w:t>Linia budżetowa</w:t>
            </w:r>
          </w:p>
        </w:tc>
        <w:tc>
          <w:tcPr>
            <w:tcW w:w="1092" w:type="dxa"/>
            <w:vAlign w:val="center"/>
          </w:tcPr>
          <w:p w14:paraId="16C1B975" w14:textId="77777777" w:rsidR="00FA0CA8" w:rsidRPr="001357D3" w:rsidRDefault="00FA0CA8" w:rsidP="00FA0CA8">
            <w:pPr>
              <w:spacing w:before="60" w:after="60"/>
              <w:jc w:val="center"/>
              <w:rPr>
                <w:noProof/>
              </w:rPr>
            </w:pPr>
            <w:r w:rsidRPr="001357D3">
              <w:rPr>
                <w:noProof/>
                <w:sz w:val="18"/>
              </w:rPr>
              <w:t>Rodzaj środków</w:t>
            </w:r>
          </w:p>
        </w:tc>
        <w:tc>
          <w:tcPr>
            <w:tcW w:w="4486" w:type="dxa"/>
            <w:gridSpan w:val="4"/>
            <w:vAlign w:val="center"/>
          </w:tcPr>
          <w:p w14:paraId="20F46F1C" w14:textId="77777777" w:rsidR="00FA0CA8" w:rsidRPr="001357D3" w:rsidRDefault="00FA0CA8" w:rsidP="00FA0CA8">
            <w:pPr>
              <w:spacing w:before="60" w:after="60"/>
              <w:jc w:val="center"/>
              <w:rPr>
                <w:noProof/>
              </w:rPr>
            </w:pPr>
            <w:r w:rsidRPr="001357D3">
              <w:rPr>
                <w:noProof/>
                <w:sz w:val="20"/>
              </w:rPr>
              <w:t xml:space="preserve">Wkład </w:t>
            </w:r>
          </w:p>
        </w:tc>
      </w:tr>
      <w:tr w:rsidR="00D31917" w:rsidRPr="001357D3" w14:paraId="1988235C" w14:textId="77777777">
        <w:trPr>
          <w:cantSplit/>
          <w:jc w:val="center"/>
        </w:trPr>
        <w:tc>
          <w:tcPr>
            <w:tcW w:w="1092" w:type="dxa"/>
            <w:vMerge/>
            <w:vAlign w:val="center"/>
          </w:tcPr>
          <w:p w14:paraId="1E01B1FB" w14:textId="77777777" w:rsidR="00FA0CA8" w:rsidRPr="001357D3" w:rsidRDefault="00FA0CA8" w:rsidP="00FA0CA8">
            <w:pPr>
              <w:jc w:val="center"/>
              <w:rPr>
                <w:noProof/>
              </w:rPr>
            </w:pPr>
          </w:p>
        </w:tc>
        <w:tc>
          <w:tcPr>
            <w:tcW w:w="4002" w:type="dxa"/>
            <w:vAlign w:val="center"/>
          </w:tcPr>
          <w:p w14:paraId="4215AFDE" w14:textId="0BE67A79" w:rsidR="00FA0CA8" w:rsidRPr="001357D3" w:rsidRDefault="00FA0CA8" w:rsidP="00FA0CA8">
            <w:pPr>
              <w:rPr>
                <w:noProof/>
              </w:rPr>
            </w:pPr>
            <w:r w:rsidRPr="001357D3">
              <w:rPr>
                <w:noProof/>
                <w:sz w:val="20"/>
              </w:rPr>
              <w:t>Nume</w:t>
            </w:r>
            <w:r w:rsidRPr="001C6403">
              <w:rPr>
                <w:noProof/>
                <w:sz w:val="20"/>
              </w:rPr>
              <w:t>r</w:t>
            </w:r>
            <w:r w:rsidR="001C6403" w:rsidRPr="001C6403">
              <w:rPr>
                <w:noProof/>
                <w:sz w:val="20"/>
              </w:rPr>
              <w:t xml:space="preserve"> </w:t>
            </w:r>
            <w:r w:rsidRPr="001C6403">
              <w:rPr>
                <w:noProof/>
              </w:rPr>
              <w:br/>
            </w:r>
          </w:p>
        </w:tc>
        <w:tc>
          <w:tcPr>
            <w:tcW w:w="1092" w:type="dxa"/>
            <w:vAlign w:val="center"/>
          </w:tcPr>
          <w:p w14:paraId="5508AEA4" w14:textId="77777777" w:rsidR="00FA0CA8" w:rsidRPr="001357D3" w:rsidRDefault="00FA0CA8" w:rsidP="00FA0CA8">
            <w:pPr>
              <w:jc w:val="center"/>
              <w:rPr>
                <w:noProof/>
              </w:rPr>
            </w:pPr>
            <w:r w:rsidRPr="001357D3">
              <w:rPr>
                <w:noProof/>
                <w:sz w:val="18"/>
              </w:rPr>
              <w:t>Środki niezróżnicowane</w:t>
            </w:r>
          </w:p>
        </w:tc>
        <w:tc>
          <w:tcPr>
            <w:tcW w:w="1098" w:type="dxa"/>
            <w:vAlign w:val="center"/>
          </w:tcPr>
          <w:p w14:paraId="49209EFF" w14:textId="77777777" w:rsidR="00FA0CA8" w:rsidRPr="001357D3" w:rsidRDefault="00FA0CA8" w:rsidP="00FA0CA8">
            <w:pPr>
              <w:jc w:val="center"/>
              <w:rPr>
                <w:noProof/>
                <w:sz w:val="18"/>
              </w:rPr>
            </w:pPr>
            <w:r w:rsidRPr="001357D3">
              <w:rPr>
                <w:noProof/>
                <w:sz w:val="18"/>
              </w:rPr>
              <w:t>państw EFTA</w:t>
            </w:r>
          </w:p>
        </w:tc>
        <w:tc>
          <w:tcPr>
            <w:tcW w:w="1118" w:type="dxa"/>
            <w:vAlign w:val="center"/>
          </w:tcPr>
          <w:p w14:paraId="0380792D" w14:textId="1B2C7272" w:rsidR="00FA0CA8" w:rsidRPr="001357D3" w:rsidRDefault="00FA0CA8" w:rsidP="00FA0CA8">
            <w:pPr>
              <w:jc w:val="center"/>
              <w:rPr>
                <w:noProof/>
                <w:sz w:val="18"/>
              </w:rPr>
            </w:pPr>
            <w:r w:rsidRPr="001357D3">
              <w:rPr>
                <w:noProof/>
                <w:sz w:val="18"/>
              </w:rPr>
              <w:t>krajów kandydujących</w:t>
            </w:r>
            <w:r w:rsidR="001C6403" w:rsidRPr="001357D3">
              <w:rPr>
                <w:noProof/>
                <w:sz w:val="18"/>
              </w:rPr>
              <w:t xml:space="preserve"> i</w:t>
            </w:r>
            <w:r w:rsidR="001C6403">
              <w:rPr>
                <w:noProof/>
                <w:sz w:val="18"/>
              </w:rPr>
              <w:t> </w:t>
            </w:r>
            <w:r w:rsidR="001C6403" w:rsidRPr="001357D3">
              <w:rPr>
                <w:noProof/>
                <w:sz w:val="18"/>
              </w:rPr>
              <w:t>pot</w:t>
            </w:r>
            <w:r w:rsidRPr="001357D3">
              <w:rPr>
                <w:noProof/>
                <w:sz w:val="18"/>
              </w:rPr>
              <w:t>encjalnych kandydatów</w:t>
            </w:r>
          </w:p>
        </w:tc>
        <w:tc>
          <w:tcPr>
            <w:tcW w:w="1118" w:type="dxa"/>
            <w:vAlign w:val="center"/>
          </w:tcPr>
          <w:p w14:paraId="72B57355" w14:textId="77777777" w:rsidR="00FA0CA8" w:rsidRPr="001357D3" w:rsidRDefault="00FA0CA8" w:rsidP="00FA0CA8">
            <w:pPr>
              <w:jc w:val="center"/>
              <w:rPr>
                <w:noProof/>
                <w:sz w:val="18"/>
              </w:rPr>
            </w:pPr>
            <w:r w:rsidRPr="001357D3">
              <w:rPr>
                <w:noProof/>
                <w:sz w:val="18"/>
              </w:rPr>
              <w:t>innych państw trzecich</w:t>
            </w:r>
          </w:p>
        </w:tc>
        <w:tc>
          <w:tcPr>
            <w:tcW w:w="1152" w:type="dxa"/>
            <w:vAlign w:val="center"/>
          </w:tcPr>
          <w:p w14:paraId="361688BA" w14:textId="6C365E45" w:rsidR="00FA0CA8" w:rsidRPr="001357D3" w:rsidRDefault="00FA0CA8" w:rsidP="00FA0CA8">
            <w:pPr>
              <w:jc w:val="center"/>
              <w:rPr>
                <w:noProof/>
              </w:rPr>
            </w:pPr>
            <w:r w:rsidRPr="001357D3">
              <w:rPr>
                <w:noProof/>
                <w:sz w:val="18"/>
              </w:rPr>
              <w:t>pochodzący</w:t>
            </w:r>
            <w:r w:rsidR="001C6403" w:rsidRPr="001357D3">
              <w:rPr>
                <w:noProof/>
                <w:sz w:val="18"/>
              </w:rPr>
              <w:t xml:space="preserve"> z</w:t>
            </w:r>
            <w:r w:rsidR="001C6403">
              <w:rPr>
                <w:noProof/>
                <w:sz w:val="18"/>
              </w:rPr>
              <w:t> </w:t>
            </w:r>
            <w:r w:rsidR="001C6403" w:rsidRPr="001357D3">
              <w:rPr>
                <w:noProof/>
                <w:sz w:val="18"/>
              </w:rPr>
              <w:t>poz</w:t>
            </w:r>
            <w:r w:rsidRPr="001357D3">
              <w:rPr>
                <w:noProof/>
                <w:sz w:val="18"/>
              </w:rPr>
              <w:t xml:space="preserve">ostałych dochodów przeznaczonych na określony cel </w:t>
            </w:r>
          </w:p>
        </w:tc>
      </w:tr>
      <w:tr w:rsidR="00D31917" w:rsidRPr="001357D3" w14:paraId="03A398AE" w14:textId="77777777">
        <w:trPr>
          <w:cantSplit/>
          <w:jc w:val="center"/>
        </w:trPr>
        <w:tc>
          <w:tcPr>
            <w:tcW w:w="1092" w:type="dxa"/>
            <w:vAlign w:val="center"/>
          </w:tcPr>
          <w:p w14:paraId="16C14775" w14:textId="77777777" w:rsidR="00FA0CA8" w:rsidRPr="001357D3" w:rsidRDefault="00FA0CA8" w:rsidP="00FA0CA8">
            <w:pPr>
              <w:jc w:val="center"/>
              <w:rPr>
                <w:rFonts w:eastAsia="Times New Roman"/>
                <w:noProof/>
                <w:szCs w:val="24"/>
              </w:rPr>
            </w:pPr>
            <w:r w:rsidRPr="001357D3">
              <w:rPr>
                <w:noProof/>
              </w:rPr>
              <w:t>2</w:t>
            </w:r>
          </w:p>
        </w:tc>
        <w:tc>
          <w:tcPr>
            <w:tcW w:w="4002" w:type="dxa"/>
            <w:vAlign w:val="center"/>
          </w:tcPr>
          <w:p w14:paraId="58776D1F" w14:textId="77777777" w:rsidR="00DE357E" w:rsidRPr="001357D3" w:rsidRDefault="00DE357E" w:rsidP="00FA0CA8">
            <w:pPr>
              <w:spacing w:before="60"/>
              <w:rPr>
                <w:rFonts w:eastAsia="Times New Roman"/>
                <w:noProof/>
                <w:szCs w:val="24"/>
              </w:rPr>
            </w:pPr>
          </w:p>
          <w:p w14:paraId="5EA2635C" w14:textId="77777777" w:rsidR="00DE357E" w:rsidRPr="001357D3" w:rsidRDefault="00DE357E" w:rsidP="00FA0CA8">
            <w:pPr>
              <w:spacing w:before="60"/>
              <w:rPr>
                <w:rFonts w:eastAsia="Times New Roman"/>
                <w:noProof/>
                <w:szCs w:val="24"/>
              </w:rPr>
            </w:pPr>
          </w:p>
          <w:p w14:paraId="0FDF0E7A" w14:textId="79697B0C" w:rsidR="00FA0CA8" w:rsidRPr="001357D3" w:rsidRDefault="00FA0CA8" w:rsidP="00FA0CA8">
            <w:pPr>
              <w:spacing w:before="60"/>
              <w:rPr>
                <w:rFonts w:eastAsia="Times New Roman"/>
                <w:noProof/>
                <w:szCs w:val="24"/>
              </w:rPr>
            </w:pPr>
            <w:r w:rsidRPr="001357D3">
              <w:rPr>
                <w:noProof/>
              </w:rPr>
              <w:t>06 01 04 Wydatki na wsparcie programu „Sprawiedliwość”</w:t>
            </w:r>
          </w:p>
          <w:p w14:paraId="7B3B0FEB" w14:textId="77777777" w:rsidR="00FA0CA8" w:rsidRPr="001357D3" w:rsidRDefault="00FA0CA8" w:rsidP="00FA0CA8">
            <w:pPr>
              <w:spacing w:after="60"/>
              <w:rPr>
                <w:rFonts w:eastAsia="Times New Roman"/>
                <w:noProof/>
                <w:szCs w:val="24"/>
              </w:rPr>
            </w:pPr>
          </w:p>
        </w:tc>
        <w:tc>
          <w:tcPr>
            <w:tcW w:w="1092" w:type="dxa"/>
            <w:vAlign w:val="center"/>
          </w:tcPr>
          <w:p w14:paraId="23DEB404" w14:textId="77777777" w:rsidR="00FA0CA8" w:rsidRPr="001357D3" w:rsidRDefault="00FA0CA8" w:rsidP="00FA0CA8">
            <w:pPr>
              <w:jc w:val="center"/>
              <w:rPr>
                <w:rFonts w:eastAsia="Times New Roman"/>
                <w:noProof/>
                <w:szCs w:val="24"/>
              </w:rPr>
            </w:pPr>
            <w:r w:rsidRPr="001357D3">
              <w:rPr>
                <w:noProof/>
              </w:rPr>
              <w:t>Środki niezróżnicowane</w:t>
            </w:r>
          </w:p>
        </w:tc>
        <w:tc>
          <w:tcPr>
            <w:tcW w:w="1098" w:type="dxa"/>
            <w:vAlign w:val="center"/>
          </w:tcPr>
          <w:p w14:paraId="31ACCADB" w14:textId="77777777" w:rsidR="00FA0CA8" w:rsidRPr="001357D3" w:rsidRDefault="00FA0CA8" w:rsidP="00FA0CA8">
            <w:pPr>
              <w:jc w:val="center"/>
              <w:rPr>
                <w:rFonts w:eastAsia="Times New Roman"/>
                <w:noProof/>
                <w:szCs w:val="24"/>
              </w:rPr>
            </w:pPr>
            <w:r w:rsidRPr="001357D3">
              <w:rPr>
                <w:noProof/>
              </w:rPr>
              <w:t>TAK/ NIE</w:t>
            </w:r>
          </w:p>
        </w:tc>
        <w:tc>
          <w:tcPr>
            <w:tcW w:w="1118" w:type="dxa"/>
            <w:vAlign w:val="center"/>
          </w:tcPr>
          <w:p w14:paraId="4CEEFF63" w14:textId="77777777" w:rsidR="00FA0CA8" w:rsidRPr="001357D3" w:rsidRDefault="00FA0CA8" w:rsidP="00FA0CA8">
            <w:pPr>
              <w:jc w:val="center"/>
              <w:rPr>
                <w:rFonts w:eastAsia="Times New Roman"/>
                <w:noProof/>
                <w:szCs w:val="24"/>
              </w:rPr>
            </w:pPr>
            <w:r w:rsidRPr="001357D3">
              <w:rPr>
                <w:noProof/>
              </w:rPr>
              <w:t>TAK/ NIE</w:t>
            </w:r>
          </w:p>
        </w:tc>
        <w:tc>
          <w:tcPr>
            <w:tcW w:w="1118" w:type="dxa"/>
            <w:vAlign w:val="center"/>
          </w:tcPr>
          <w:p w14:paraId="07C84BEA" w14:textId="77777777" w:rsidR="00FA0CA8" w:rsidRPr="001357D3" w:rsidRDefault="00FA0CA8" w:rsidP="00FA0CA8">
            <w:pPr>
              <w:jc w:val="center"/>
              <w:rPr>
                <w:rFonts w:eastAsia="Times New Roman"/>
                <w:noProof/>
                <w:szCs w:val="24"/>
              </w:rPr>
            </w:pPr>
            <w:r w:rsidRPr="001357D3">
              <w:rPr>
                <w:noProof/>
              </w:rPr>
              <w:t>TAK/ NIE</w:t>
            </w:r>
          </w:p>
        </w:tc>
        <w:tc>
          <w:tcPr>
            <w:tcW w:w="1152" w:type="dxa"/>
            <w:vAlign w:val="center"/>
          </w:tcPr>
          <w:p w14:paraId="2A150668" w14:textId="77777777" w:rsidR="00FA0CA8" w:rsidRPr="001357D3" w:rsidRDefault="00FA0CA8" w:rsidP="00FA0CA8">
            <w:pPr>
              <w:jc w:val="center"/>
              <w:rPr>
                <w:rFonts w:eastAsia="Times New Roman"/>
                <w:noProof/>
                <w:szCs w:val="24"/>
              </w:rPr>
            </w:pPr>
            <w:r w:rsidRPr="001357D3">
              <w:rPr>
                <w:noProof/>
              </w:rPr>
              <w:t>TAK/ NIE</w:t>
            </w:r>
          </w:p>
        </w:tc>
      </w:tr>
      <w:tr w:rsidR="00FA0CA8" w:rsidRPr="001357D3" w14:paraId="4002FBF0" w14:textId="77777777">
        <w:trPr>
          <w:cantSplit/>
          <w:jc w:val="center"/>
        </w:trPr>
        <w:tc>
          <w:tcPr>
            <w:tcW w:w="1092" w:type="dxa"/>
            <w:vAlign w:val="center"/>
          </w:tcPr>
          <w:p w14:paraId="3624F6F8" w14:textId="77777777" w:rsidR="00FA0CA8" w:rsidRPr="001357D3" w:rsidRDefault="00FA0CA8" w:rsidP="00FA0CA8">
            <w:pPr>
              <w:jc w:val="center"/>
              <w:rPr>
                <w:rFonts w:eastAsia="Times New Roman"/>
                <w:noProof/>
                <w:szCs w:val="24"/>
              </w:rPr>
            </w:pPr>
            <w:r w:rsidRPr="001357D3">
              <w:rPr>
                <w:noProof/>
              </w:rPr>
              <w:t>2</w:t>
            </w:r>
          </w:p>
        </w:tc>
        <w:tc>
          <w:tcPr>
            <w:tcW w:w="4002" w:type="dxa"/>
            <w:vAlign w:val="center"/>
          </w:tcPr>
          <w:p w14:paraId="38F9C088" w14:textId="77777777" w:rsidR="00DE357E" w:rsidRPr="001357D3" w:rsidRDefault="00DE357E" w:rsidP="00FA0CA8">
            <w:pPr>
              <w:spacing w:before="60"/>
              <w:rPr>
                <w:rFonts w:eastAsia="Times New Roman"/>
                <w:noProof/>
                <w:szCs w:val="24"/>
              </w:rPr>
            </w:pPr>
          </w:p>
          <w:p w14:paraId="432364EE" w14:textId="67EAE255" w:rsidR="00FA0CA8" w:rsidRPr="001357D3" w:rsidRDefault="00FA0CA8" w:rsidP="00FA0CA8">
            <w:pPr>
              <w:spacing w:before="60"/>
              <w:rPr>
                <w:rFonts w:eastAsia="Times New Roman"/>
                <w:noProof/>
                <w:szCs w:val="24"/>
              </w:rPr>
            </w:pPr>
            <w:r w:rsidRPr="001357D3">
              <w:rPr>
                <w:noProof/>
              </w:rPr>
              <w:t>06 05 01 Program „Sprawiedliwość”</w:t>
            </w:r>
          </w:p>
          <w:p w14:paraId="3FE3DA53" w14:textId="77777777" w:rsidR="00FA0CA8" w:rsidRPr="001357D3" w:rsidRDefault="00FA0CA8" w:rsidP="00FA0CA8">
            <w:pPr>
              <w:spacing w:after="60"/>
              <w:rPr>
                <w:rFonts w:eastAsia="Times New Roman"/>
                <w:noProof/>
                <w:szCs w:val="24"/>
              </w:rPr>
            </w:pPr>
          </w:p>
        </w:tc>
        <w:tc>
          <w:tcPr>
            <w:tcW w:w="1092" w:type="dxa"/>
            <w:vAlign w:val="center"/>
          </w:tcPr>
          <w:p w14:paraId="233B7028" w14:textId="77777777" w:rsidR="00FA0CA8" w:rsidRPr="001357D3" w:rsidRDefault="00FA0CA8" w:rsidP="00FA0CA8">
            <w:pPr>
              <w:jc w:val="center"/>
              <w:rPr>
                <w:rFonts w:eastAsia="Times New Roman"/>
                <w:noProof/>
                <w:szCs w:val="24"/>
              </w:rPr>
            </w:pPr>
            <w:r w:rsidRPr="001357D3">
              <w:rPr>
                <w:noProof/>
              </w:rPr>
              <w:t>Zróżn.</w:t>
            </w:r>
          </w:p>
        </w:tc>
        <w:tc>
          <w:tcPr>
            <w:tcW w:w="1098" w:type="dxa"/>
            <w:vAlign w:val="center"/>
          </w:tcPr>
          <w:p w14:paraId="3A4A6561" w14:textId="77777777" w:rsidR="00FA0CA8" w:rsidRPr="001357D3" w:rsidRDefault="00FA0CA8" w:rsidP="00FA0CA8">
            <w:pPr>
              <w:jc w:val="center"/>
              <w:rPr>
                <w:rFonts w:eastAsia="Times New Roman"/>
                <w:noProof/>
                <w:szCs w:val="24"/>
              </w:rPr>
            </w:pPr>
            <w:r w:rsidRPr="001357D3">
              <w:rPr>
                <w:noProof/>
              </w:rPr>
              <w:t>TAK/ NIE</w:t>
            </w:r>
          </w:p>
        </w:tc>
        <w:tc>
          <w:tcPr>
            <w:tcW w:w="1118" w:type="dxa"/>
            <w:vAlign w:val="center"/>
          </w:tcPr>
          <w:p w14:paraId="53201294" w14:textId="77777777" w:rsidR="00FA0CA8" w:rsidRPr="001357D3" w:rsidRDefault="00FA0CA8" w:rsidP="00FA0CA8">
            <w:pPr>
              <w:jc w:val="center"/>
              <w:rPr>
                <w:rFonts w:eastAsia="Times New Roman"/>
                <w:noProof/>
                <w:szCs w:val="24"/>
              </w:rPr>
            </w:pPr>
            <w:r w:rsidRPr="001357D3">
              <w:rPr>
                <w:noProof/>
              </w:rPr>
              <w:t>TAK/ NIE</w:t>
            </w:r>
          </w:p>
        </w:tc>
        <w:tc>
          <w:tcPr>
            <w:tcW w:w="1118" w:type="dxa"/>
            <w:vAlign w:val="center"/>
          </w:tcPr>
          <w:p w14:paraId="10759787" w14:textId="77777777" w:rsidR="00FA0CA8" w:rsidRPr="001357D3" w:rsidRDefault="00FA0CA8" w:rsidP="00FA0CA8">
            <w:pPr>
              <w:jc w:val="center"/>
              <w:rPr>
                <w:rFonts w:eastAsia="Times New Roman"/>
                <w:noProof/>
                <w:szCs w:val="24"/>
              </w:rPr>
            </w:pPr>
            <w:r w:rsidRPr="001357D3">
              <w:rPr>
                <w:noProof/>
              </w:rPr>
              <w:t>TAK/ NIE</w:t>
            </w:r>
          </w:p>
        </w:tc>
        <w:tc>
          <w:tcPr>
            <w:tcW w:w="1152" w:type="dxa"/>
            <w:vAlign w:val="center"/>
          </w:tcPr>
          <w:p w14:paraId="0A42CEC4" w14:textId="77777777" w:rsidR="00FA0CA8" w:rsidRPr="001357D3" w:rsidRDefault="00FA0CA8" w:rsidP="00FA0CA8">
            <w:pPr>
              <w:jc w:val="center"/>
              <w:rPr>
                <w:rFonts w:eastAsia="Times New Roman"/>
                <w:noProof/>
                <w:szCs w:val="24"/>
              </w:rPr>
            </w:pPr>
            <w:r w:rsidRPr="001357D3">
              <w:rPr>
                <w:noProof/>
              </w:rPr>
              <w:t>TAK/ NIE</w:t>
            </w:r>
          </w:p>
        </w:tc>
      </w:tr>
    </w:tbl>
    <w:p w14:paraId="4D87EBA5" w14:textId="77777777" w:rsidR="00FA0CA8" w:rsidRPr="001357D3" w:rsidRDefault="00FA0CA8" w:rsidP="00FA0CA8">
      <w:pPr>
        <w:rPr>
          <w:noProof/>
        </w:rPr>
      </w:pPr>
    </w:p>
    <w:p w14:paraId="72680164" w14:textId="77777777" w:rsidR="00FA0CA8" w:rsidRPr="001357D3" w:rsidRDefault="00FA0CA8" w:rsidP="00FA0CA8">
      <w:pPr>
        <w:rPr>
          <w:noProof/>
        </w:rPr>
        <w:sectPr w:rsidR="00FA0CA8" w:rsidRPr="001357D3" w:rsidSect="007B3949">
          <w:pgSz w:w="11907" w:h="16840" w:code="1"/>
          <w:pgMar w:top="1134" w:right="1418" w:bottom="1134" w:left="1418" w:header="709" w:footer="709" w:gutter="0"/>
          <w:cols w:space="708"/>
          <w:docGrid w:linePitch="360"/>
        </w:sectPr>
      </w:pPr>
    </w:p>
    <w:p w14:paraId="1B0A3B1D" w14:textId="472862BF" w:rsidR="00FA0CA8" w:rsidRPr="001357D3" w:rsidRDefault="00FA0CA8" w:rsidP="00FA0CA8">
      <w:pPr>
        <w:keepNext/>
        <w:tabs>
          <w:tab w:val="left" w:pos="850"/>
        </w:tabs>
        <w:ind w:left="850" w:hanging="850"/>
        <w:outlineLvl w:val="1"/>
        <w:rPr>
          <w:b/>
          <w:bCs/>
          <w:noProof/>
          <w:szCs w:val="24"/>
        </w:rPr>
      </w:pPr>
      <w:bookmarkStart w:id="205" w:name="_Toc514938052"/>
      <w:bookmarkStart w:id="206" w:name="_Toc520485051"/>
      <w:bookmarkStart w:id="207" w:name="_Toc160804593"/>
      <w:bookmarkStart w:id="208" w:name="_Toc167220285"/>
      <w:bookmarkStart w:id="209" w:name="_Toc177549018"/>
      <w:bookmarkStart w:id="210" w:name="_Toc210923278"/>
      <w:r w:rsidRPr="001357D3">
        <w:rPr>
          <w:b/>
          <w:noProof/>
        </w:rPr>
        <w:lastRenderedPageBreak/>
        <w:t>3.2.</w:t>
      </w:r>
      <w:r w:rsidRPr="001357D3">
        <w:rPr>
          <w:noProof/>
        </w:rPr>
        <w:tab/>
      </w:r>
      <w:r w:rsidRPr="001357D3">
        <w:rPr>
          <w:b/>
          <w:noProof/>
        </w:rPr>
        <w:t>Szacunkowy wpływ finansowy wniosku na środki</w:t>
      </w:r>
      <w:bookmarkEnd w:id="205"/>
      <w:bookmarkEnd w:id="206"/>
      <w:bookmarkEnd w:id="207"/>
      <w:bookmarkEnd w:id="208"/>
      <w:bookmarkEnd w:id="209"/>
      <w:bookmarkEnd w:id="210"/>
    </w:p>
    <w:p w14:paraId="728A7CA8" w14:textId="7361152C" w:rsidR="00FA0CA8" w:rsidRPr="001357D3" w:rsidRDefault="00FA0CA8" w:rsidP="00FA0CA8">
      <w:pPr>
        <w:keepNext/>
        <w:tabs>
          <w:tab w:val="left" w:pos="850"/>
        </w:tabs>
        <w:ind w:left="850" w:hanging="850"/>
        <w:outlineLvl w:val="2"/>
        <w:rPr>
          <w:i/>
          <w:noProof/>
        </w:rPr>
      </w:pPr>
      <w:bookmarkStart w:id="211" w:name="_Toc514938053"/>
      <w:bookmarkStart w:id="212" w:name="_Toc520485052"/>
      <w:bookmarkStart w:id="213" w:name="_Toc160804594"/>
      <w:bookmarkStart w:id="214" w:name="_Toc167220286"/>
      <w:bookmarkStart w:id="215" w:name="_Toc177549019"/>
      <w:bookmarkStart w:id="216" w:name="_Toc210923279"/>
      <w:r w:rsidRPr="001357D3">
        <w:rPr>
          <w:i/>
          <w:noProof/>
        </w:rPr>
        <w:t>3.2.1.</w:t>
      </w:r>
      <w:r w:rsidRPr="001357D3">
        <w:rPr>
          <w:noProof/>
        </w:rPr>
        <w:tab/>
      </w:r>
      <w:r w:rsidRPr="001357D3">
        <w:rPr>
          <w:i/>
          <w:noProof/>
        </w:rPr>
        <w:t>Podsumowanie szacunkowego wpływu na środki operacyjne</w:t>
      </w:r>
      <w:bookmarkEnd w:id="211"/>
      <w:bookmarkEnd w:id="212"/>
      <w:bookmarkEnd w:id="213"/>
      <w:bookmarkEnd w:id="214"/>
      <w:bookmarkEnd w:id="215"/>
      <w:bookmarkEnd w:id="216"/>
    </w:p>
    <w:p w14:paraId="45DD30EB" w14:textId="6DA001BF"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nie wiąże się</w:t>
      </w:r>
      <w:r w:rsidR="001C6403" w:rsidRPr="001357D3">
        <w:rPr>
          <w:noProof/>
        </w:rPr>
        <w:t xml:space="preserve"> z</w:t>
      </w:r>
      <w:r w:rsidR="001C6403">
        <w:rPr>
          <w:noProof/>
        </w:rPr>
        <w:t> </w:t>
      </w:r>
      <w:r w:rsidR="001C6403" w:rsidRPr="001357D3">
        <w:rPr>
          <w:noProof/>
        </w:rPr>
        <w:t>kon</w:t>
      </w:r>
      <w:r w:rsidRPr="001357D3">
        <w:rPr>
          <w:noProof/>
        </w:rPr>
        <w:t>iecznością wykorzystania środków operacyjnych</w:t>
      </w:r>
    </w:p>
    <w:p w14:paraId="51AA72D3" w14:textId="6DD14946"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rFonts w:ascii="Wingdings" w:hAnsi="Wingdings"/>
          <w:noProof/>
        </w:rPr>
        <w:t></w:t>
      </w:r>
      <w:r w:rsidRPr="001357D3">
        <w:rPr>
          <w:noProof/>
        </w:rPr>
        <w:t>Wniosek/inicjatywa wiąże się</w:t>
      </w:r>
      <w:r w:rsidR="001C6403" w:rsidRPr="001357D3">
        <w:rPr>
          <w:noProof/>
        </w:rPr>
        <w:t xml:space="preserve"> z</w:t>
      </w:r>
      <w:r w:rsidR="001C6403">
        <w:rPr>
          <w:noProof/>
        </w:rPr>
        <w:t> </w:t>
      </w:r>
      <w:r w:rsidR="001C6403" w:rsidRPr="001357D3">
        <w:rPr>
          <w:noProof/>
        </w:rPr>
        <w:t>kon</w:t>
      </w:r>
      <w:r w:rsidRPr="001357D3">
        <w:rPr>
          <w:noProof/>
        </w:rPr>
        <w:t>iecznością wykorzystania środków operacyjnych, jak określono poniżej</w:t>
      </w:r>
    </w:p>
    <w:p w14:paraId="1303DF1F" w14:textId="5C2727B6" w:rsidR="00FA0CA8" w:rsidRPr="001357D3" w:rsidRDefault="00FA0CA8" w:rsidP="00FA0CA8">
      <w:pPr>
        <w:keepNext/>
        <w:tabs>
          <w:tab w:val="left" w:pos="850"/>
        </w:tabs>
        <w:ind w:left="850" w:hanging="850"/>
        <w:outlineLvl w:val="2"/>
        <w:rPr>
          <w:i/>
          <w:noProof/>
        </w:rPr>
      </w:pPr>
      <w:bookmarkStart w:id="217" w:name="_Toc210923280"/>
      <w:r w:rsidRPr="001357D3">
        <w:rPr>
          <w:i/>
          <w:noProof/>
        </w:rPr>
        <w:t>3.2.1.1.</w:t>
      </w:r>
      <w:r w:rsidRPr="001357D3">
        <w:rPr>
          <w:noProof/>
        </w:rPr>
        <w:tab/>
      </w:r>
      <w:r w:rsidRPr="001357D3">
        <w:rPr>
          <w:i/>
          <w:noProof/>
        </w:rPr>
        <w:t>Środki</w:t>
      </w:r>
      <w:r w:rsidR="001C6403" w:rsidRPr="001357D3">
        <w:rPr>
          <w:i/>
          <w:noProof/>
        </w:rPr>
        <w:t xml:space="preserve"> z</w:t>
      </w:r>
      <w:r w:rsidR="001C6403">
        <w:rPr>
          <w:i/>
          <w:noProof/>
        </w:rPr>
        <w:t> </w:t>
      </w:r>
      <w:r w:rsidR="001C6403" w:rsidRPr="001357D3">
        <w:rPr>
          <w:i/>
          <w:noProof/>
        </w:rPr>
        <w:t>prz</w:t>
      </w:r>
      <w:r w:rsidRPr="001357D3">
        <w:rPr>
          <w:i/>
          <w:noProof/>
        </w:rPr>
        <w:t>egłosowanego budżetu</w:t>
      </w:r>
      <w:r w:rsidR="001C6403" w:rsidRPr="001357D3">
        <w:rPr>
          <w:i/>
          <w:noProof/>
        </w:rPr>
        <w:t xml:space="preserve"> </w:t>
      </w:r>
      <w:r w:rsidR="001C6403" w:rsidRPr="001357D3">
        <w:rPr>
          <w:i/>
          <w:noProof/>
          <w:sz w:val="18"/>
        </w:rPr>
        <w:t>w</w:t>
      </w:r>
      <w:r w:rsidR="001C6403">
        <w:rPr>
          <w:i/>
          <w:noProof/>
        </w:rPr>
        <w:t> </w:t>
      </w:r>
      <w:r w:rsidR="001C6403" w:rsidRPr="001357D3">
        <w:rPr>
          <w:i/>
          <w:noProof/>
          <w:sz w:val="18"/>
        </w:rPr>
        <w:t>mln</w:t>
      </w:r>
      <w:r w:rsidRPr="001357D3">
        <w:rPr>
          <w:i/>
          <w:noProof/>
          <w:sz w:val="18"/>
        </w:rPr>
        <w:t xml:space="preserve"> EUR (do trzech miejsc po przecinku)</w:t>
      </w:r>
      <w:bookmarkEnd w:id="217"/>
    </w:p>
    <w:p w14:paraId="16937345" w14:textId="77777777" w:rsidR="00FA0CA8" w:rsidRPr="001357D3" w:rsidRDefault="00FA0CA8" w:rsidP="00FA0CA8">
      <w:pPr>
        <w:keepNext/>
        <w:tabs>
          <w:tab w:val="left" w:pos="850"/>
        </w:tabs>
        <w:jc w:val="right"/>
        <w:outlineLvl w:val="2"/>
        <w:rPr>
          <w:rFonts w:eastAsia="Times New Roman"/>
          <w:i/>
          <w:noProof/>
          <w:sz w:val="18"/>
          <w:szCs w:val="18"/>
        </w:rPr>
      </w:pPr>
    </w:p>
    <w:tbl>
      <w:tblPr>
        <w:tblW w:w="0" w:type="auto"/>
        <w:tblLayout w:type="fixed"/>
        <w:tblLook w:val="01E0" w:firstRow="1" w:lastRow="1" w:firstColumn="1" w:lastColumn="1" w:noHBand="0" w:noVBand="0"/>
      </w:tblPr>
      <w:tblGrid>
        <w:gridCol w:w="4873"/>
        <w:gridCol w:w="1019"/>
        <w:gridCol w:w="8103"/>
      </w:tblGrid>
      <w:tr w:rsidR="00D31917" w:rsidRPr="001357D3" w14:paraId="07F368DE" w14:textId="77777777">
        <w:trPr>
          <w:trHeight w:val="300"/>
        </w:trPr>
        <w:tc>
          <w:tcPr>
            <w:tcW w:w="4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9CABA" w14:textId="77777777" w:rsidR="00FA0CA8" w:rsidRPr="001357D3" w:rsidRDefault="00FA0CA8" w:rsidP="00FA0CA8">
            <w:pPr>
              <w:spacing w:before="60" w:after="60"/>
              <w:jc w:val="center"/>
              <w:rPr>
                <w:noProof/>
              </w:rPr>
            </w:pPr>
            <w:r w:rsidRPr="001357D3">
              <w:rPr>
                <w:b/>
                <w:noProof/>
                <w:sz w:val="22"/>
              </w:rPr>
              <w:t xml:space="preserve">Dział wieloletnich ram finansowych </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2FEF0" w14:textId="77777777" w:rsidR="00FA0CA8" w:rsidRPr="001357D3" w:rsidRDefault="00FA0CA8" w:rsidP="00FA0CA8">
            <w:pPr>
              <w:spacing w:before="60" w:after="60"/>
              <w:jc w:val="center"/>
              <w:rPr>
                <w:noProof/>
              </w:rPr>
            </w:pPr>
            <w:r w:rsidRPr="001357D3">
              <w:rPr>
                <w:noProof/>
                <w:sz w:val="22"/>
              </w:rPr>
              <w:t>Numer</w:t>
            </w:r>
          </w:p>
        </w:tc>
        <w:tc>
          <w:tcPr>
            <w:tcW w:w="8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B0DF5" w14:textId="77777777" w:rsidR="00FA0CA8" w:rsidRPr="001357D3" w:rsidRDefault="00FA0CA8" w:rsidP="00FA0CA8">
            <w:pPr>
              <w:spacing w:before="60" w:after="60"/>
              <w:rPr>
                <w:noProof/>
              </w:rPr>
            </w:pPr>
            <w:r w:rsidRPr="001357D3">
              <w:rPr>
                <w:noProof/>
              </w:rPr>
              <w:t>2</w:t>
            </w:r>
          </w:p>
        </w:tc>
      </w:tr>
    </w:tbl>
    <w:p w14:paraId="200ABFAD" w14:textId="45AB3892" w:rsidR="00FA0CA8" w:rsidRPr="001357D3" w:rsidRDefault="00FA0CA8" w:rsidP="00FA0CA8">
      <w:pPr>
        <w:rPr>
          <w:noProof/>
        </w:rPr>
      </w:pPr>
    </w:p>
    <w:tbl>
      <w:tblPr>
        <w:tblW w:w="0" w:type="auto"/>
        <w:tblLayout w:type="fixed"/>
        <w:tblLook w:val="04A0" w:firstRow="1" w:lastRow="0" w:firstColumn="1" w:lastColumn="0" w:noHBand="0" w:noVBand="1"/>
      </w:tblPr>
      <w:tblGrid>
        <w:gridCol w:w="3263"/>
        <w:gridCol w:w="1587"/>
        <w:gridCol w:w="975"/>
        <w:gridCol w:w="726"/>
        <w:gridCol w:w="726"/>
        <w:gridCol w:w="726"/>
        <w:gridCol w:w="726"/>
        <w:gridCol w:w="726"/>
        <w:gridCol w:w="726"/>
        <w:gridCol w:w="726"/>
        <w:gridCol w:w="3085"/>
      </w:tblGrid>
      <w:tr w:rsidR="00D31917" w:rsidRPr="001357D3" w14:paraId="2EC91C05" w14:textId="77777777" w:rsidTr="00546451">
        <w:trPr>
          <w:trHeight w:val="405"/>
        </w:trPr>
        <w:tc>
          <w:tcPr>
            <w:tcW w:w="5825" w:type="dxa"/>
            <w:gridSpan w:val="3"/>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681E12" w14:textId="29C805A4" w:rsidR="00FA0CA8" w:rsidRPr="001357D3" w:rsidRDefault="00FA0CA8" w:rsidP="00FA0CA8">
            <w:pPr>
              <w:spacing w:before="0" w:after="0"/>
              <w:jc w:val="center"/>
              <w:rPr>
                <w:noProof/>
              </w:rPr>
            </w:pPr>
            <w:r w:rsidRPr="001357D3">
              <w:rPr>
                <w:noProof/>
                <w:sz w:val="22"/>
              </w:rPr>
              <w:t>Dyrekcja Generalna: &lt;DG ds. Sprawiedliwości</w:t>
            </w:r>
            <w:r w:rsidR="001C6403" w:rsidRPr="001357D3">
              <w:rPr>
                <w:noProof/>
                <w:sz w:val="22"/>
              </w:rPr>
              <w:t xml:space="preserve"> i</w:t>
            </w:r>
            <w:r w:rsidR="001C6403">
              <w:rPr>
                <w:noProof/>
                <w:sz w:val="22"/>
              </w:rPr>
              <w:t> </w:t>
            </w:r>
            <w:r w:rsidR="001C6403" w:rsidRPr="001357D3">
              <w:rPr>
                <w:noProof/>
                <w:sz w:val="22"/>
              </w:rPr>
              <w:t>Kon</w:t>
            </w:r>
            <w:r w:rsidRPr="001357D3">
              <w:rPr>
                <w:noProof/>
                <w:sz w:val="22"/>
              </w:rPr>
              <w:t>sumentów.&gt;</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568AA7"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121B03"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A2FC9D"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C1C130"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1D4A71"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BDC291" w14:textId="77777777" w:rsidR="00FA0CA8" w:rsidRPr="001357D3" w:rsidRDefault="00FA0CA8" w:rsidP="00FA0CA8">
            <w:pPr>
              <w:spacing w:before="0" w:after="0"/>
              <w:jc w:val="center"/>
              <w:rPr>
                <w:noProof/>
              </w:rPr>
            </w:pPr>
            <w:r w:rsidRPr="001357D3">
              <w:rPr>
                <w:noProof/>
                <w:sz w:val="20"/>
              </w:rPr>
              <w:t>Rok</w:t>
            </w:r>
          </w:p>
        </w:tc>
        <w:tc>
          <w:tcPr>
            <w:tcW w:w="726"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3FDE15B5" w14:textId="77777777" w:rsidR="00FA0CA8" w:rsidRPr="001357D3" w:rsidRDefault="00FA0CA8" w:rsidP="00FA0CA8">
            <w:pPr>
              <w:spacing w:before="0" w:after="0"/>
              <w:jc w:val="center"/>
              <w:rPr>
                <w:noProof/>
              </w:rPr>
            </w:pPr>
            <w:r w:rsidRPr="001357D3">
              <w:rPr>
                <w:noProof/>
                <w:sz w:val="20"/>
              </w:rPr>
              <w:t>Rok</w:t>
            </w:r>
          </w:p>
        </w:tc>
        <w:tc>
          <w:tcPr>
            <w:tcW w:w="3085" w:type="dxa"/>
            <w:vMerge w:val="restart"/>
            <w:tcBorders>
              <w:top w:val="single" w:sz="8" w:space="0" w:color="auto"/>
              <w:left w:val="single" w:sz="8" w:space="0" w:color="auto"/>
              <w:bottom w:val="nil"/>
              <w:right w:val="single" w:sz="8" w:space="0" w:color="auto"/>
            </w:tcBorders>
            <w:tcMar>
              <w:left w:w="108" w:type="dxa"/>
              <w:right w:w="108" w:type="dxa"/>
            </w:tcMar>
            <w:vAlign w:val="center"/>
          </w:tcPr>
          <w:p w14:paraId="45F3A336" w14:textId="77777777" w:rsidR="00FA0CA8" w:rsidRPr="001357D3" w:rsidRDefault="00FA0CA8" w:rsidP="00FA0CA8">
            <w:pPr>
              <w:spacing w:before="0" w:after="0"/>
              <w:jc w:val="center"/>
              <w:rPr>
                <w:noProof/>
              </w:rPr>
            </w:pPr>
            <w:r w:rsidRPr="001357D3">
              <w:rPr>
                <w:b/>
                <w:noProof/>
                <w:sz w:val="20"/>
              </w:rPr>
              <w:t>OGÓŁEM WRF 2028–2034</w:t>
            </w:r>
          </w:p>
        </w:tc>
      </w:tr>
      <w:tr w:rsidR="00D31917" w:rsidRPr="001357D3" w14:paraId="06C7E7BB" w14:textId="77777777" w:rsidTr="00546451">
        <w:trPr>
          <w:trHeight w:val="300"/>
        </w:trPr>
        <w:tc>
          <w:tcPr>
            <w:tcW w:w="5825" w:type="dxa"/>
            <w:gridSpan w:val="3"/>
            <w:vMerge/>
            <w:tcBorders>
              <w:top w:val="single" w:sz="4" w:space="0" w:color="auto"/>
              <w:left w:val="single" w:sz="4" w:space="0" w:color="auto"/>
              <w:bottom w:val="single" w:sz="4" w:space="0" w:color="auto"/>
              <w:right w:val="single" w:sz="4" w:space="0" w:color="auto"/>
            </w:tcBorders>
            <w:vAlign w:val="center"/>
          </w:tcPr>
          <w:p w14:paraId="7444B7A4" w14:textId="77777777" w:rsidR="00FA0CA8" w:rsidRPr="001357D3" w:rsidRDefault="00FA0CA8" w:rsidP="00FA0CA8">
            <w:pPr>
              <w:rPr>
                <w:noProof/>
              </w:rPr>
            </w:pP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4607E4" w14:textId="77777777" w:rsidR="00FA0CA8" w:rsidRPr="001357D3" w:rsidRDefault="00FA0CA8" w:rsidP="00FA0CA8">
            <w:pPr>
              <w:spacing w:before="0" w:after="0"/>
              <w:jc w:val="center"/>
              <w:rPr>
                <w:noProof/>
              </w:rPr>
            </w:pPr>
            <w:r w:rsidRPr="001357D3">
              <w:rPr>
                <w:b/>
                <w:noProof/>
                <w:sz w:val="20"/>
              </w:rPr>
              <w:t>2028</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A96C4E" w14:textId="77777777" w:rsidR="00FA0CA8" w:rsidRPr="001357D3" w:rsidRDefault="00FA0CA8" w:rsidP="00FA0CA8">
            <w:pPr>
              <w:spacing w:before="0" w:after="0"/>
              <w:jc w:val="center"/>
              <w:rPr>
                <w:noProof/>
              </w:rPr>
            </w:pPr>
            <w:r w:rsidRPr="001357D3">
              <w:rPr>
                <w:b/>
                <w:noProof/>
                <w:sz w:val="20"/>
              </w:rPr>
              <w:t>2029</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ACA1D6" w14:textId="77777777" w:rsidR="00FA0CA8" w:rsidRPr="001357D3" w:rsidRDefault="00FA0CA8" w:rsidP="00FA0CA8">
            <w:pPr>
              <w:spacing w:before="0" w:after="0"/>
              <w:jc w:val="center"/>
              <w:rPr>
                <w:noProof/>
              </w:rPr>
            </w:pPr>
            <w:r w:rsidRPr="001357D3">
              <w:rPr>
                <w:b/>
                <w:noProof/>
                <w:sz w:val="20"/>
              </w:rPr>
              <w:t>2030</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95CBF" w14:textId="77777777" w:rsidR="00FA0CA8" w:rsidRPr="001357D3" w:rsidRDefault="00FA0CA8" w:rsidP="00FA0CA8">
            <w:pPr>
              <w:spacing w:before="0" w:after="0"/>
              <w:jc w:val="center"/>
              <w:rPr>
                <w:noProof/>
              </w:rPr>
            </w:pPr>
            <w:r w:rsidRPr="001357D3">
              <w:rPr>
                <w:b/>
                <w:noProof/>
                <w:sz w:val="20"/>
              </w:rPr>
              <w:t>2031</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F7C23D" w14:textId="77777777" w:rsidR="00FA0CA8" w:rsidRPr="001357D3" w:rsidRDefault="00FA0CA8" w:rsidP="00FA0CA8">
            <w:pPr>
              <w:spacing w:before="0" w:after="0"/>
              <w:jc w:val="center"/>
              <w:rPr>
                <w:noProof/>
              </w:rPr>
            </w:pPr>
            <w:r w:rsidRPr="001357D3">
              <w:rPr>
                <w:b/>
                <w:noProof/>
                <w:sz w:val="20"/>
              </w:rPr>
              <w:t>2032</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E35024" w14:textId="77777777" w:rsidR="00FA0CA8" w:rsidRPr="001357D3" w:rsidRDefault="00FA0CA8" w:rsidP="00FA0CA8">
            <w:pPr>
              <w:spacing w:before="0" w:after="0"/>
              <w:jc w:val="center"/>
              <w:rPr>
                <w:noProof/>
              </w:rPr>
            </w:pPr>
            <w:r w:rsidRPr="001357D3">
              <w:rPr>
                <w:b/>
                <w:noProof/>
                <w:sz w:val="20"/>
              </w:rPr>
              <w:t>2033</w:t>
            </w:r>
          </w:p>
        </w:tc>
        <w:tc>
          <w:tcPr>
            <w:tcW w:w="726"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4C862E79" w14:textId="77777777" w:rsidR="00FA0CA8" w:rsidRPr="001357D3" w:rsidRDefault="00FA0CA8" w:rsidP="00FA0CA8">
            <w:pPr>
              <w:spacing w:before="0" w:after="0"/>
              <w:jc w:val="center"/>
              <w:rPr>
                <w:noProof/>
              </w:rPr>
            </w:pPr>
            <w:r w:rsidRPr="001357D3">
              <w:rPr>
                <w:b/>
                <w:noProof/>
                <w:sz w:val="20"/>
              </w:rPr>
              <w:t>2034</w:t>
            </w:r>
          </w:p>
        </w:tc>
        <w:tc>
          <w:tcPr>
            <w:tcW w:w="3085" w:type="dxa"/>
            <w:vMerge/>
            <w:vAlign w:val="center"/>
          </w:tcPr>
          <w:p w14:paraId="52B1B70A" w14:textId="77777777" w:rsidR="00FA0CA8" w:rsidRPr="001357D3" w:rsidRDefault="00FA0CA8" w:rsidP="00FA0CA8">
            <w:pPr>
              <w:rPr>
                <w:noProof/>
              </w:rPr>
            </w:pPr>
          </w:p>
        </w:tc>
      </w:tr>
      <w:tr w:rsidR="00D31917" w:rsidRPr="001357D3" w14:paraId="488F02C7" w14:textId="77777777" w:rsidTr="00BB2DD4">
        <w:trPr>
          <w:trHeight w:val="300"/>
        </w:trPr>
        <w:tc>
          <w:tcPr>
            <w:tcW w:w="13992" w:type="dxa"/>
            <w:gridSpan w:val="11"/>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11B664" w14:textId="77777777" w:rsidR="00FA0CA8" w:rsidRPr="001357D3" w:rsidRDefault="00FA0CA8" w:rsidP="00FA0CA8">
            <w:pPr>
              <w:spacing w:before="0" w:after="0"/>
              <w:jc w:val="left"/>
              <w:rPr>
                <w:noProof/>
              </w:rPr>
            </w:pPr>
            <w:r w:rsidRPr="001357D3">
              <w:rPr>
                <w:noProof/>
                <w:sz w:val="21"/>
              </w:rPr>
              <w:t xml:space="preserve">Środki operacyjne </w:t>
            </w:r>
          </w:p>
        </w:tc>
      </w:tr>
      <w:tr w:rsidR="00D31917" w:rsidRPr="001357D3" w14:paraId="667027E5" w14:textId="77777777" w:rsidTr="00BB2DD4">
        <w:trPr>
          <w:trHeight w:val="465"/>
        </w:trPr>
        <w:tc>
          <w:tcPr>
            <w:tcW w:w="3263" w:type="dxa"/>
            <w:vMerge w:val="restart"/>
            <w:tcBorders>
              <w:top w:val="single" w:sz="4" w:space="0" w:color="auto"/>
              <w:left w:val="single" w:sz="4" w:space="0" w:color="auto"/>
              <w:bottom w:val="nil"/>
              <w:right w:val="single" w:sz="4" w:space="0" w:color="auto"/>
            </w:tcBorders>
            <w:tcMar>
              <w:left w:w="108" w:type="dxa"/>
              <w:right w:w="108" w:type="dxa"/>
            </w:tcMar>
            <w:vAlign w:val="center"/>
          </w:tcPr>
          <w:p w14:paraId="316A6E13" w14:textId="351BD491" w:rsidR="00FA0CA8" w:rsidRPr="001357D3" w:rsidRDefault="00FA0CA8" w:rsidP="00FA0CA8">
            <w:pPr>
              <w:spacing w:before="0" w:after="0"/>
              <w:rPr>
                <w:noProof/>
              </w:rPr>
            </w:pPr>
            <w:r w:rsidRPr="001357D3">
              <w:rPr>
                <w:noProof/>
                <w:sz w:val="20"/>
              </w:rPr>
              <w:t>06 05 01 Program „Sprawiedliwość”</w:t>
            </w:r>
          </w:p>
        </w:tc>
        <w:tc>
          <w:tcPr>
            <w:tcW w:w="158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0DAA50" w14:textId="77777777" w:rsidR="00FA0CA8" w:rsidRPr="001357D3" w:rsidRDefault="00FA0CA8" w:rsidP="00FA0CA8">
            <w:pPr>
              <w:spacing w:before="0" w:after="0"/>
              <w:rPr>
                <w:noProof/>
              </w:rPr>
            </w:pPr>
            <w:r w:rsidRPr="001357D3">
              <w:rPr>
                <w:noProof/>
                <w:sz w:val="18"/>
              </w:rPr>
              <w:t>Środki na zobowiązania</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4BAFFB" w14:textId="77777777" w:rsidR="00FA0CA8" w:rsidRPr="001357D3" w:rsidRDefault="00FA0CA8" w:rsidP="00FA0CA8">
            <w:pPr>
              <w:spacing w:before="0" w:after="0"/>
              <w:jc w:val="center"/>
              <w:rPr>
                <w:noProof/>
              </w:rPr>
            </w:pPr>
            <w:r w:rsidRPr="001357D3">
              <w:rPr>
                <w:noProof/>
                <w:sz w:val="14"/>
              </w:rPr>
              <w:t>(1b)</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AAFFC3" w14:textId="54A61114" w:rsidR="00FA0CA8" w:rsidRPr="001357D3" w:rsidRDefault="00BB2DD4" w:rsidP="00FA0CA8">
            <w:pPr>
              <w:spacing w:before="0" w:after="0"/>
              <w:jc w:val="right"/>
              <w:rPr>
                <w:rFonts w:eastAsia="Times New Roman"/>
                <w:b/>
                <w:bCs/>
                <w:noProof/>
                <w:sz w:val="20"/>
                <w:szCs w:val="20"/>
              </w:rPr>
            </w:pPr>
            <w:r w:rsidRPr="001357D3">
              <w:rPr>
                <w:b/>
                <w:noProof/>
                <w:sz w:val="20"/>
              </w:rPr>
              <w:t>p.m.</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228B93" w14:textId="01EA1685" w:rsidR="00FA0CA8" w:rsidRPr="001357D3" w:rsidRDefault="00BB2DD4" w:rsidP="00FA0CA8">
            <w:pPr>
              <w:spacing w:before="0" w:after="0"/>
              <w:jc w:val="right"/>
              <w:rPr>
                <w:noProof/>
              </w:rPr>
            </w:pPr>
            <w:r w:rsidRPr="001357D3">
              <w:rPr>
                <w:b/>
                <w:noProof/>
                <w:sz w:val="20"/>
              </w:rPr>
              <w:t>p.m.</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512E90" w14:textId="0C6E8F29" w:rsidR="00FA0CA8" w:rsidRPr="001357D3" w:rsidRDefault="00BB2DD4" w:rsidP="00FA0CA8">
            <w:pPr>
              <w:spacing w:before="0" w:after="0"/>
              <w:jc w:val="right"/>
              <w:rPr>
                <w:noProof/>
              </w:rPr>
            </w:pPr>
            <w:r w:rsidRPr="001357D3">
              <w:rPr>
                <w:b/>
                <w:noProof/>
                <w:sz w:val="20"/>
              </w:rPr>
              <w:t>p.m.</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7431F1" w14:textId="0876DD22" w:rsidR="00FA0CA8" w:rsidRPr="001357D3" w:rsidRDefault="00BB2DD4" w:rsidP="00FA0CA8">
            <w:pPr>
              <w:spacing w:before="0" w:after="0"/>
              <w:jc w:val="right"/>
              <w:rPr>
                <w:noProof/>
              </w:rPr>
            </w:pPr>
            <w:r w:rsidRPr="001357D3">
              <w:rPr>
                <w:b/>
                <w:noProof/>
                <w:sz w:val="20"/>
              </w:rPr>
              <w:t>p.m.</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ACA60B" w14:textId="530E2587" w:rsidR="00FA0CA8" w:rsidRPr="001357D3" w:rsidRDefault="00BB2DD4" w:rsidP="00FA0CA8">
            <w:pPr>
              <w:spacing w:before="0" w:after="0"/>
              <w:jc w:val="right"/>
              <w:rPr>
                <w:noProof/>
              </w:rPr>
            </w:pPr>
            <w:r w:rsidRPr="001357D3">
              <w:rPr>
                <w:b/>
                <w:noProof/>
                <w:sz w:val="20"/>
              </w:rPr>
              <w:t>p.m.</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6AD660" w14:textId="60C281DD" w:rsidR="00FA0CA8" w:rsidRPr="001357D3" w:rsidRDefault="00BB2DD4" w:rsidP="00FA0CA8">
            <w:pPr>
              <w:spacing w:before="0" w:after="0"/>
              <w:jc w:val="right"/>
              <w:rPr>
                <w:noProof/>
              </w:rPr>
            </w:pPr>
            <w:r w:rsidRPr="001357D3">
              <w:rPr>
                <w:b/>
                <w:noProof/>
                <w:sz w:val="20"/>
              </w:rPr>
              <w:t>p.m.</w:t>
            </w:r>
          </w:p>
        </w:tc>
        <w:tc>
          <w:tcPr>
            <w:tcW w:w="726" w:type="dxa"/>
            <w:tcBorders>
              <w:top w:val="single" w:sz="4" w:space="0" w:color="auto"/>
              <w:left w:val="single" w:sz="4" w:space="0" w:color="auto"/>
              <w:bottom w:val="single" w:sz="8" w:space="0" w:color="auto"/>
              <w:right w:val="single" w:sz="8" w:space="0" w:color="auto"/>
            </w:tcBorders>
            <w:tcMar>
              <w:left w:w="108" w:type="dxa"/>
              <w:right w:w="108" w:type="dxa"/>
            </w:tcMar>
            <w:vAlign w:val="center"/>
          </w:tcPr>
          <w:p w14:paraId="63AF0DAB" w14:textId="20FCDBB8" w:rsidR="00FA0CA8" w:rsidRPr="001357D3" w:rsidRDefault="00BB2DD4" w:rsidP="00FA0CA8">
            <w:pPr>
              <w:spacing w:before="0" w:after="0"/>
              <w:jc w:val="right"/>
              <w:rPr>
                <w:noProof/>
              </w:rPr>
            </w:pPr>
            <w:r w:rsidRPr="001357D3">
              <w:rPr>
                <w:b/>
                <w:noProof/>
                <w:sz w:val="20"/>
              </w:rPr>
              <w:t>p.m.</w:t>
            </w:r>
          </w:p>
        </w:tc>
        <w:tc>
          <w:tcPr>
            <w:tcW w:w="3085"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left w:w="108" w:type="dxa"/>
              <w:right w:w="108" w:type="dxa"/>
            </w:tcMar>
            <w:vAlign w:val="center"/>
          </w:tcPr>
          <w:p w14:paraId="4DAC4F6F" w14:textId="1F85F2EB" w:rsidR="00FA0CA8" w:rsidRPr="001357D3" w:rsidRDefault="00BB2DD4" w:rsidP="00FA0CA8">
            <w:pPr>
              <w:spacing w:before="0" w:after="0"/>
              <w:jc w:val="right"/>
              <w:rPr>
                <w:rFonts w:eastAsia="Times New Roman"/>
                <w:b/>
                <w:bCs/>
                <w:noProof/>
                <w:sz w:val="20"/>
                <w:szCs w:val="20"/>
              </w:rPr>
            </w:pPr>
            <w:r w:rsidRPr="001357D3">
              <w:rPr>
                <w:b/>
                <w:noProof/>
                <w:sz w:val="20"/>
              </w:rPr>
              <w:t>p.m.</w:t>
            </w:r>
          </w:p>
        </w:tc>
      </w:tr>
      <w:tr w:rsidR="00D31917" w:rsidRPr="001357D3" w14:paraId="26FB2BCB" w14:textId="77777777" w:rsidTr="00BB2DD4">
        <w:trPr>
          <w:trHeight w:val="300"/>
        </w:trPr>
        <w:tc>
          <w:tcPr>
            <w:tcW w:w="3263" w:type="dxa"/>
            <w:vMerge/>
            <w:tcBorders>
              <w:left w:val="single" w:sz="4" w:space="0" w:color="auto"/>
              <w:right w:val="single" w:sz="4" w:space="0" w:color="auto"/>
            </w:tcBorders>
            <w:vAlign w:val="center"/>
          </w:tcPr>
          <w:p w14:paraId="77B75C79" w14:textId="77777777" w:rsidR="00FA0CA8" w:rsidRPr="001357D3" w:rsidRDefault="00FA0CA8" w:rsidP="00FA0CA8">
            <w:pPr>
              <w:rPr>
                <w:noProof/>
              </w:rPr>
            </w:pPr>
          </w:p>
        </w:tc>
        <w:tc>
          <w:tcPr>
            <w:tcW w:w="158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37775" w14:textId="77777777" w:rsidR="00FA0CA8" w:rsidRPr="001357D3" w:rsidRDefault="00FA0CA8" w:rsidP="00FA0CA8">
            <w:pPr>
              <w:spacing w:before="0" w:after="0"/>
              <w:rPr>
                <w:noProof/>
              </w:rPr>
            </w:pPr>
            <w:r w:rsidRPr="001357D3">
              <w:rPr>
                <w:noProof/>
                <w:sz w:val="18"/>
              </w:rPr>
              <w:t>Środki na płatności</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EA93C1" w14:textId="77777777" w:rsidR="00FA0CA8" w:rsidRPr="001357D3" w:rsidRDefault="00FA0CA8" w:rsidP="00FA0CA8">
            <w:pPr>
              <w:spacing w:before="0" w:after="0"/>
              <w:jc w:val="center"/>
              <w:rPr>
                <w:noProof/>
              </w:rPr>
            </w:pPr>
            <w:r w:rsidRPr="001357D3">
              <w:rPr>
                <w:noProof/>
                <w:sz w:val="14"/>
              </w:rPr>
              <w:t>(2b)</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331B32"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A71CF6"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0EF45E"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C17C50"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CACB73"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EBD211" w14:textId="77777777" w:rsidR="00FA0CA8" w:rsidRPr="001357D3" w:rsidRDefault="00FA0CA8" w:rsidP="00FA0CA8">
            <w:pPr>
              <w:spacing w:before="0" w:after="0"/>
              <w:jc w:val="right"/>
              <w:rPr>
                <w:noProof/>
              </w:rPr>
            </w:pPr>
            <w:r w:rsidRPr="001357D3">
              <w:rPr>
                <w:noProof/>
                <w:sz w:val="20"/>
              </w:rPr>
              <w:t xml:space="preserve">p.m. </w:t>
            </w:r>
          </w:p>
        </w:tc>
        <w:tc>
          <w:tcPr>
            <w:tcW w:w="726"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09E6C779" w14:textId="77777777" w:rsidR="00FA0CA8" w:rsidRPr="001357D3" w:rsidRDefault="00FA0CA8" w:rsidP="00FA0CA8">
            <w:pPr>
              <w:spacing w:before="0" w:after="0"/>
              <w:jc w:val="right"/>
              <w:rPr>
                <w:noProof/>
              </w:rPr>
            </w:pPr>
            <w:r w:rsidRPr="001357D3">
              <w:rPr>
                <w:noProof/>
                <w:sz w:val="20"/>
              </w:rPr>
              <w:t xml:space="preserve">p.m. </w:t>
            </w:r>
          </w:p>
        </w:tc>
        <w:tc>
          <w:tcPr>
            <w:tcW w:w="3085"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108" w:type="dxa"/>
              <w:right w:w="108" w:type="dxa"/>
            </w:tcMar>
            <w:vAlign w:val="center"/>
          </w:tcPr>
          <w:p w14:paraId="757F12A5" w14:textId="70C4E960" w:rsidR="00FA0CA8" w:rsidRPr="001357D3" w:rsidRDefault="00837627" w:rsidP="00FA0CA8">
            <w:pPr>
              <w:spacing w:before="0" w:after="0"/>
              <w:jc w:val="right"/>
              <w:rPr>
                <w:noProof/>
              </w:rPr>
            </w:pPr>
            <w:r w:rsidRPr="001357D3">
              <w:rPr>
                <w:b/>
                <w:noProof/>
                <w:sz w:val="20"/>
              </w:rPr>
              <w:t>p.m.</w:t>
            </w:r>
          </w:p>
        </w:tc>
      </w:tr>
      <w:tr w:rsidR="00D31917" w:rsidRPr="001357D3" w14:paraId="03A8B034" w14:textId="77777777" w:rsidTr="00BB2DD4">
        <w:trPr>
          <w:trHeight w:val="300"/>
        </w:trPr>
        <w:tc>
          <w:tcPr>
            <w:tcW w:w="13992" w:type="dxa"/>
            <w:gridSpan w:val="11"/>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0CCBDB4C" w14:textId="77777777" w:rsidR="00FA0CA8" w:rsidRPr="001357D3" w:rsidRDefault="00FA0CA8" w:rsidP="00FA0CA8">
            <w:pPr>
              <w:spacing w:before="0" w:after="0"/>
              <w:jc w:val="left"/>
              <w:rPr>
                <w:noProof/>
              </w:rPr>
            </w:pPr>
            <w:r w:rsidRPr="001357D3">
              <w:rPr>
                <w:noProof/>
                <w:sz w:val="22"/>
              </w:rPr>
              <w:t xml:space="preserve">Środki administracyjne finansowane ze środków przydzielonych na określone programy </w:t>
            </w:r>
            <w:hyperlink r:id="rId20" w:anchor="_ftn1">
              <w:r w:rsidRPr="001357D3">
                <w:rPr>
                  <w:noProof/>
                  <w:sz w:val="22"/>
                  <w:u w:val="single"/>
                  <w:vertAlign w:val="superscript"/>
                </w:rPr>
                <w:t>[1]\</w:t>
              </w:r>
            </w:hyperlink>
          </w:p>
        </w:tc>
      </w:tr>
      <w:tr w:rsidR="00D31917" w:rsidRPr="001357D3" w14:paraId="05DD9125" w14:textId="77777777" w:rsidTr="00BB2DD4">
        <w:trPr>
          <w:trHeight w:val="525"/>
        </w:trPr>
        <w:tc>
          <w:tcPr>
            <w:tcW w:w="3263" w:type="dxa"/>
            <w:tcBorders>
              <w:top w:val="single" w:sz="4" w:space="0" w:color="auto"/>
              <w:left w:val="single" w:sz="8" w:space="0" w:color="auto"/>
              <w:bottom w:val="single" w:sz="8" w:space="0" w:color="auto"/>
              <w:right w:val="single" w:sz="8" w:space="0" w:color="000000" w:themeColor="text1"/>
            </w:tcBorders>
            <w:tcMar>
              <w:left w:w="108" w:type="dxa"/>
              <w:right w:w="108" w:type="dxa"/>
            </w:tcMar>
            <w:vAlign w:val="center"/>
          </w:tcPr>
          <w:p w14:paraId="797C7A34" w14:textId="4193A329" w:rsidR="00FA0CA8" w:rsidRPr="001357D3" w:rsidRDefault="00FA0CA8" w:rsidP="00FA0CA8">
            <w:pPr>
              <w:spacing w:before="0" w:after="0"/>
              <w:rPr>
                <w:rFonts w:eastAsia="Times New Roman"/>
                <w:noProof/>
                <w:sz w:val="20"/>
                <w:szCs w:val="20"/>
              </w:rPr>
            </w:pPr>
            <w:r w:rsidRPr="001357D3">
              <w:rPr>
                <w:noProof/>
                <w:sz w:val="20"/>
              </w:rPr>
              <w:t>06 01 04 wydatki na wsparcie programu „Sprawiedliwość”</w:t>
            </w:r>
          </w:p>
        </w:tc>
        <w:tc>
          <w:tcPr>
            <w:tcW w:w="158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7690963" w14:textId="4D39F711" w:rsidR="00FA0CA8" w:rsidRPr="001357D3" w:rsidRDefault="00FA0CA8" w:rsidP="00FA0CA8">
            <w:pPr>
              <w:spacing w:before="0" w:after="0"/>
              <w:jc w:val="right"/>
              <w:rPr>
                <w:noProof/>
              </w:rPr>
            </w:pPr>
          </w:p>
        </w:tc>
        <w:tc>
          <w:tcPr>
            <w:tcW w:w="975"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5399F567" w14:textId="77777777" w:rsidR="00FA0CA8" w:rsidRPr="001357D3" w:rsidRDefault="00FA0CA8" w:rsidP="00FA0CA8">
            <w:pPr>
              <w:spacing w:before="0" w:after="0"/>
              <w:jc w:val="center"/>
              <w:rPr>
                <w:noProof/>
              </w:rPr>
            </w:pPr>
            <w:r w:rsidRPr="001357D3">
              <w:rPr>
                <w:noProof/>
                <w:sz w:val="14"/>
              </w:rPr>
              <w:t>(3)</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54685379"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15727BE"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79C753F"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584AC7D4"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7E0F6F8"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C6F519A" w14:textId="77777777" w:rsidR="00FA0CA8" w:rsidRPr="001357D3" w:rsidRDefault="00FA0CA8" w:rsidP="00FA0CA8">
            <w:pPr>
              <w:spacing w:before="0" w:after="0"/>
              <w:jc w:val="right"/>
              <w:rPr>
                <w:noProof/>
              </w:rPr>
            </w:pPr>
            <w:r w:rsidRPr="001357D3">
              <w:rPr>
                <w:b/>
                <w:noProof/>
                <w:sz w:val="20"/>
              </w:rPr>
              <w:t xml:space="preserve">p.m. </w:t>
            </w:r>
          </w:p>
        </w:tc>
        <w:tc>
          <w:tcPr>
            <w:tcW w:w="72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59A3BB0" w14:textId="77777777" w:rsidR="00FA0CA8" w:rsidRPr="001357D3" w:rsidRDefault="00FA0CA8" w:rsidP="00FA0CA8">
            <w:pPr>
              <w:spacing w:before="0" w:after="0"/>
              <w:jc w:val="right"/>
              <w:rPr>
                <w:noProof/>
              </w:rPr>
            </w:pPr>
            <w:r w:rsidRPr="001357D3">
              <w:rPr>
                <w:b/>
                <w:noProof/>
                <w:sz w:val="20"/>
              </w:rPr>
              <w:t xml:space="preserve">p.m. </w:t>
            </w:r>
          </w:p>
        </w:tc>
        <w:tc>
          <w:tcPr>
            <w:tcW w:w="3085" w:type="dxa"/>
            <w:tcBorders>
              <w:top w:val="single" w:sz="4"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38F0B85D" w14:textId="43C8364B" w:rsidR="00FA0CA8" w:rsidRPr="001357D3" w:rsidRDefault="00837627" w:rsidP="00FA0CA8">
            <w:pPr>
              <w:spacing w:before="0" w:after="0"/>
              <w:jc w:val="right"/>
              <w:rPr>
                <w:noProof/>
              </w:rPr>
            </w:pPr>
            <w:r w:rsidRPr="001357D3">
              <w:rPr>
                <w:b/>
                <w:noProof/>
                <w:sz w:val="20"/>
              </w:rPr>
              <w:t>p.m.</w:t>
            </w:r>
          </w:p>
        </w:tc>
      </w:tr>
      <w:tr w:rsidR="00D31917" w:rsidRPr="001357D3" w14:paraId="4A948779" w14:textId="77777777">
        <w:trPr>
          <w:trHeight w:val="855"/>
        </w:trPr>
        <w:tc>
          <w:tcPr>
            <w:tcW w:w="3263" w:type="dxa"/>
            <w:tcBorders>
              <w:top w:val="single" w:sz="8" w:space="0" w:color="auto"/>
              <w:left w:val="single" w:sz="8" w:space="0" w:color="auto"/>
              <w:bottom w:val="nil"/>
              <w:right w:val="single" w:sz="8" w:space="0" w:color="auto"/>
            </w:tcBorders>
            <w:tcMar>
              <w:left w:w="108" w:type="dxa"/>
              <w:right w:w="108" w:type="dxa"/>
            </w:tcMar>
            <w:vAlign w:val="center"/>
          </w:tcPr>
          <w:p w14:paraId="2015E540" w14:textId="77777777" w:rsidR="00FA0CA8" w:rsidRPr="001357D3" w:rsidRDefault="00FA0CA8" w:rsidP="00FA0CA8">
            <w:pPr>
              <w:spacing w:before="0" w:after="0"/>
              <w:jc w:val="center"/>
              <w:rPr>
                <w:noProof/>
              </w:rPr>
            </w:pPr>
            <w:r w:rsidRPr="001357D3">
              <w:rPr>
                <w:b/>
                <w:noProof/>
                <w:sz w:val="22"/>
              </w:rPr>
              <w:t>OGÓŁEM środki</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8938F" w14:textId="77777777" w:rsidR="00FA0CA8" w:rsidRPr="001357D3" w:rsidRDefault="00FA0CA8" w:rsidP="00FA0CA8">
            <w:pPr>
              <w:spacing w:before="0" w:after="0"/>
              <w:rPr>
                <w:noProof/>
              </w:rPr>
            </w:pPr>
            <w:r w:rsidRPr="001357D3">
              <w:rPr>
                <w:noProof/>
                <w:sz w:val="18"/>
              </w:rPr>
              <w:t>Środki na zobowiązania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1771D" w14:textId="77777777" w:rsidR="00FA0CA8" w:rsidRPr="001357D3" w:rsidRDefault="00FA0CA8" w:rsidP="00FA0CA8">
            <w:pPr>
              <w:spacing w:before="0" w:after="0"/>
              <w:jc w:val="center"/>
              <w:rPr>
                <w:noProof/>
              </w:rPr>
            </w:pPr>
            <w:r w:rsidRPr="001357D3">
              <w:rPr>
                <w:noProof/>
                <w:sz w:val="14"/>
              </w:rPr>
              <w:t>=1a+1b+3</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138D25" w14:textId="77777777" w:rsidR="00FA0CA8" w:rsidRPr="001357D3" w:rsidRDefault="00FA0CA8" w:rsidP="00FA0CA8">
            <w:pPr>
              <w:spacing w:before="0" w:after="0"/>
              <w:jc w:val="right"/>
              <w:rPr>
                <w:rFonts w:eastAsia="Times New Roman"/>
                <w:b/>
                <w:bCs/>
                <w:noProof/>
                <w:sz w:val="20"/>
                <w:szCs w:val="20"/>
              </w:rPr>
            </w:pPr>
            <w:r w:rsidRPr="001357D3">
              <w:rPr>
                <w:b/>
                <w:noProof/>
                <w:sz w:val="20"/>
              </w:rPr>
              <w:t>101</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1AADB7" w14:textId="77777777" w:rsidR="00FA0CA8" w:rsidRPr="001357D3" w:rsidRDefault="00FA0CA8" w:rsidP="00FA0CA8">
            <w:pPr>
              <w:spacing w:before="0" w:after="0"/>
              <w:jc w:val="right"/>
              <w:rPr>
                <w:noProof/>
              </w:rPr>
            </w:pPr>
            <w:r w:rsidRPr="001357D3">
              <w:rPr>
                <w:b/>
                <w:noProof/>
                <w:sz w:val="20"/>
              </w:rPr>
              <w:t>105</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872731" w14:textId="77777777" w:rsidR="00FA0CA8" w:rsidRPr="001357D3" w:rsidRDefault="00FA0CA8" w:rsidP="00FA0CA8">
            <w:pPr>
              <w:spacing w:before="0" w:after="0"/>
              <w:jc w:val="right"/>
              <w:rPr>
                <w:noProof/>
              </w:rPr>
            </w:pPr>
            <w:r w:rsidRPr="001357D3">
              <w:rPr>
                <w:b/>
                <w:noProof/>
                <w:sz w:val="20"/>
              </w:rPr>
              <w:t>109</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F730E1" w14:textId="77777777" w:rsidR="00FA0CA8" w:rsidRPr="001357D3" w:rsidRDefault="00FA0CA8" w:rsidP="00FA0CA8">
            <w:pPr>
              <w:spacing w:before="0" w:after="0"/>
              <w:jc w:val="right"/>
              <w:rPr>
                <w:noProof/>
              </w:rPr>
            </w:pPr>
            <w:r w:rsidRPr="001357D3">
              <w:rPr>
                <w:b/>
                <w:noProof/>
                <w:sz w:val="20"/>
              </w:rPr>
              <w:t>114</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1B1CC7" w14:textId="77777777" w:rsidR="00FA0CA8" w:rsidRPr="001357D3" w:rsidRDefault="00FA0CA8" w:rsidP="00FA0CA8">
            <w:pPr>
              <w:spacing w:before="0" w:after="0"/>
              <w:jc w:val="right"/>
              <w:rPr>
                <w:noProof/>
              </w:rPr>
            </w:pPr>
            <w:r w:rsidRPr="001357D3">
              <w:rPr>
                <w:b/>
                <w:noProof/>
                <w:sz w:val="20"/>
              </w:rPr>
              <w:t>118</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2BCD7F" w14:textId="77777777" w:rsidR="00FA0CA8" w:rsidRPr="001357D3" w:rsidRDefault="00FA0CA8" w:rsidP="00FA0CA8">
            <w:pPr>
              <w:spacing w:before="0" w:after="0"/>
              <w:jc w:val="right"/>
              <w:rPr>
                <w:noProof/>
              </w:rPr>
            </w:pPr>
            <w:r w:rsidRPr="001357D3">
              <w:rPr>
                <w:b/>
                <w:noProof/>
                <w:sz w:val="20"/>
              </w:rPr>
              <w:t>123</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773464" w14:textId="77777777" w:rsidR="00FA0CA8" w:rsidRPr="001357D3" w:rsidRDefault="00FA0CA8" w:rsidP="00FA0CA8">
            <w:pPr>
              <w:spacing w:before="0" w:after="0"/>
              <w:jc w:val="right"/>
              <w:rPr>
                <w:noProof/>
              </w:rPr>
            </w:pPr>
            <w:r w:rsidRPr="001357D3">
              <w:rPr>
                <w:b/>
                <w:noProof/>
                <w:sz w:val="20"/>
              </w:rPr>
              <w:t>128</w:t>
            </w:r>
          </w:p>
        </w:tc>
        <w:tc>
          <w:tcPr>
            <w:tcW w:w="3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219D18" w14:textId="77777777" w:rsidR="00FA0CA8" w:rsidRPr="001357D3" w:rsidRDefault="00FA0CA8" w:rsidP="00FA0CA8">
            <w:pPr>
              <w:spacing w:before="0" w:after="0"/>
              <w:jc w:val="right"/>
              <w:rPr>
                <w:rFonts w:eastAsia="Times New Roman"/>
                <w:b/>
                <w:bCs/>
                <w:noProof/>
                <w:sz w:val="20"/>
                <w:szCs w:val="20"/>
              </w:rPr>
            </w:pPr>
            <w:r w:rsidRPr="001357D3">
              <w:rPr>
                <w:b/>
                <w:noProof/>
                <w:sz w:val="20"/>
              </w:rPr>
              <w:t>798</w:t>
            </w:r>
          </w:p>
        </w:tc>
      </w:tr>
      <w:tr w:rsidR="00D31917" w:rsidRPr="001357D3" w14:paraId="514B26C5" w14:textId="77777777">
        <w:trPr>
          <w:trHeight w:val="570"/>
        </w:trPr>
        <w:tc>
          <w:tcPr>
            <w:tcW w:w="3263" w:type="dxa"/>
            <w:tcBorders>
              <w:top w:val="nil"/>
              <w:left w:val="single" w:sz="8" w:space="0" w:color="auto"/>
              <w:bottom w:val="single" w:sz="8" w:space="0" w:color="auto"/>
              <w:right w:val="single" w:sz="8" w:space="0" w:color="auto"/>
            </w:tcBorders>
            <w:tcMar>
              <w:left w:w="108" w:type="dxa"/>
              <w:right w:w="108" w:type="dxa"/>
            </w:tcMar>
            <w:vAlign w:val="center"/>
          </w:tcPr>
          <w:p w14:paraId="3F1DFA0F" w14:textId="061A41AE" w:rsidR="00FA0CA8" w:rsidRPr="001357D3" w:rsidRDefault="00FA0CA8" w:rsidP="00FA0CA8">
            <w:pPr>
              <w:spacing w:before="0" w:after="0"/>
              <w:jc w:val="center"/>
              <w:rPr>
                <w:noProof/>
              </w:rPr>
            </w:pPr>
            <w:r w:rsidRPr="001357D3">
              <w:rPr>
                <w:b/>
                <w:noProof/>
                <w:sz w:val="22"/>
              </w:rPr>
              <w:t xml:space="preserve">dla DG </w:t>
            </w:r>
            <w:r w:rsidRPr="001357D3">
              <w:rPr>
                <w:noProof/>
                <w:sz w:val="22"/>
              </w:rPr>
              <w:t>&lt;DG ds. Sprawiedliwości</w:t>
            </w:r>
            <w:r w:rsidR="001C6403" w:rsidRPr="001357D3">
              <w:rPr>
                <w:noProof/>
                <w:sz w:val="22"/>
              </w:rPr>
              <w:t xml:space="preserve"> i</w:t>
            </w:r>
            <w:r w:rsidR="001C6403">
              <w:rPr>
                <w:noProof/>
                <w:sz w:val="22"/>
              </w:rPr>
              <w:t> </w:t>
            </w:r>
            <w:r w:rsidR="001C6403" w:rsidRPr="001357D3">
              <w:rPr>
                <w:noProof/>
                <w:sz w:val="22"/>
              </w:rPr>
              <w:t>Kon</w:t>
            </w:r>
            <w:r w:rsidRPr="001357D3">
              <w:rPr>
                <w:noProof/>
                <w:sz w:val="22"/>
              </w:rPr>
              <w:t>sumentów&gt;</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EE7C3" w14:textId="77777777" w:rsidR="00FA0CA8" w:rsidRPr="001357D3" w:rsidRDefault="00FA0CA8" w:rsidP="00FA0CA8">
            <w:pPr>
              <w:spacing w:before="0" w:after="0"/>
              <w:rPr>
                <w:noProof/>
              </w:rPr>
            </w:pPr>
            <w:r w:rsidRPr="001357D3">
              <w:rPr>
                <w:noProof/>
                <w:sz w:val="18"/>
              </w:rPr>
              <w:t>Środki na płatności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E2DA2" w14:textId="77777777" w:rsidR="00FA0CA8" w:rsidRPr="001357D3" w:rsidRDefault="00FA0CA8" w:rsidP="00FA0CA8">
            <w:pPr>
              <w:spacing w:before="0" w:after="0"/>
              <w:jc w:val="center"/>
              <w:rPr>
                <w:noProof/>
              </w:rPr>
            </w:pPr>
            <w:r w:rsidRPr="001357D3">
              <w:rPr>
                <w:noProof/>
                <w:sz w:val="14"/>
              </w:rPr>
              <w:t>=2a+2b+3</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897B31"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47CA63"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2C0BAA"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C8339E"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70EEBC"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835237" w14:textId="77777777" w:rsidR="00FA0CA8" w:rsidRPr="001357D3" w:rsidRDefault="00FA0CA8" w:rsidP="00FA0CA8">
            <w:pPr>
              <w:spacing w:before="0" w:after="0"/>
              <w:jc w:val="right"/>
              <w:rPr>
                <w:noProof/>
              </w:rPr>
            </w:pPr>
            <w:r w:rsidRPr="001357D3">
              <w:rPr>
                <w:b/>
                <w:noProof/>
                <w:sz w:val="20"/>
              </w:rPr>
              <w:t>p.m.</w:t>
            </w:r>
          </w:p>
        </w:tc>
        <w:tc>
          <w:tcPr>
            <w:tcW w:w="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F5D4C0" w14:textId="77777777" w:rsidR="00FA0CA8" w:rsidRPr="001357D3" w:rsidRDefault="00FA0CA8" w:rsidP="00FA0CA8">
            <w:pPr>
              <w:spacing w:before="0" w:after="0"/>
              <w:jc w:val="right"/>
              <w:rPr>
                <w:noProof/>
              </w:rPr>
            </w:pPr>
            <w:r w:rsidRPr="001357D3">
              <w:rPr>
                <w:b/>
                <w:noProof/>
                <w:sz w:val="20"/>
              </w:rPr>
              <w:t>p.m.</w:t>
            </w:r>
          </w:p>
        </w:tc>
        <w:tc>
          <w:tcPr>
            <w:tcW w:w="3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EF6D91" w14:textId="72D7C365" w:rsidR="00FA0CA8" w:rsidRPr="001357D3" w:rsidRDefault="00837627" w:rsidP="00FA0CA8">
            <w:pPr>
              <w:spacing w:before="0" w:after="0"/>
              <w:jc w:val="right"/>
              <w:rPr>
                <w:noProof/>
              </w:rPr>
            </w:pPr>
            <w:r w:rsidRPr="001357D3">
              <w:rPr>
                <w:b/>
                <w:noProof/>
                <w:sz w:val="20"/>
              </w:rPr>
              <w:t>p.m.</w:t>
            </w:r>
          </w:p>
        </w:tc>
      </w:tr>
    </w:tbl>
    <w:p w14:paraId="4B1B3E44" w14:textId="45835D55" w:rsidR="00FA0CA8" w:rsidRPr="001357D3" w:rsidRDefault="00FA0CA8" w:rsidP="00FA0CA8">
      <w:pPr>
        <w:rPr>
          <w:noProof/>
        </w:rPr>
      </w:pPr>
      <w:r w:rsidRPr="001357D3">
        <w:rPr>
          <w:noProof/>
        </w:rPr>
        <w:t>Tabela obowiązkowa</w:t>
      </w:r>
    </w:p>
    <w:tbl>
      <w:tblPr>
        <w:tblW w:w="0" w:type="auto"/>
        <w:tblLayout w:type="fixed"/>
        <w:tblLook w:val="04A0" w:firstRow="1" w:lastRow="0" w:firstColumn="1" w:lastColumn="0" w:noHBand="0" w:noVBand="1"/>
      </w:tblPr>
      <w:tblGrid>
        <w:gridCol w:w="2237"/>
        <w:gridCol w:w="1677"/>
        <w:gridCol w:w="1025"/>
        <w:gridCol w:w="1118"/>
        <w:gridCol w:w="1118"/>
        <w:gridCol w:w="1118"/>
        <w:gridCol w:w="1118"/>
        <w:gridCol w:w="1118"/>
        <w:gridCol w:w="1118"/>
        <w:gridCol w:w="1118"/>
        <w:gridCol w:w="1232"/>
      </w:tblGrid>
      <w:tr w:rsidR="00D31917" w:rsidRPr="001357D3" w14:paraId="4EE336CC" w14:textId="77777777" w:rsidTr="00FA0CA8">
        <w:trPr>
          <w:trHeight w:val="405"/>
        </w:trPr>
        <w:tc>
          <w:tcPr>
            <w:tcW w:w="4939" w:type="dxa"/>
            <w:gridSpan w:val="3"/>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30835A" w14:textId="5A6FE5F6" w:rsidR="00FA0CA8" w:rsidRPr="001357D3" w:rsidRDefault="00FA0CA8" w:rsidP="00FA0CA8">
            <w:pPr>
              <w:spacing w:before="0" w:after="0"/>
              <w:jc w:val="center"/>
              <w:rPr>
                <w:noProof/>
              </w:rPr>
            </w:pP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2C0CEE"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F8DC67"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2C425E"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FB0005"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3C7A8F"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36A960" w14:textId="77777777" w:rsidR="00FA0CA8" w:rsidRPr="001357D3" w:rsidRDefault="00FA0CA8" w:rsidP="00FA0CA8">
            <w:pPr>
              <w:spacing w:before="0" w:after="0"/>
              <w:jc w:val="center"/>
              <w:rPr>
                <w:noProof/>
              </w:rPr>
            </w:pPr>
            <w:r w:rsidRPr="001357D3">
              <w:rPr>
                <w:noProof/>
                <w:sz w:val="20"/>
              </w:rPr>
              <w:t>Rok</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0C9127" w14:textId="77777777" w:rsidR="00FA0CA8" w:rsidRPr="001357D3" w:rsidRDefault="00FA0CA8" w:rsidP="00FA0CA8">
            <w:pPr>
              <w:spacing w:before="0" w:after="0"/>
              <w:jc w:val="center"/>
              <w:rPr>
                <w:noProof/>
              </w:rPr>
            </w:pPr>
            <w:r w:rsidRPr="001357D3">
              <w:rPr>
                <w:noProof/>
                <w:sz w:val="20"/>
              </w:rPr>
              <w:t>Rok</w:t>
            </w:r>
          </w:p>
        </w:tc>
        <w:tc>
          <w:tcPr>
            <w:tcW w:w="123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2977BC" w14:textId="77777777" w:rsidR="00FA0CA8" w:rsidRPr="001357D3" w:rsidRDefault="00FA0CA8" w:rsidP="00FA0CA8">
            <w:pPr>
              <w:spacing w:before="0" w:after="0"/>
              <w:jc w:val="center"/>
              <w:rPr>
                <w:noProof/>
              </w:rPr>
            </w:pPr>
            <w:r w:rsidRPr="001357D3">
              <w:rPr>
                <w:b/>
                <w:noProof/>
                <w:sz w:val="20"/>
              </w:rPr>
              <w:t>OGÓŁEM WRF 2028–2034</w:t>
            </w:r>
          </w:p>
        </w:tc>
      </w:tr>
      <w:tr w:rsidR="00D31917" w:rsidRPr="001357D3" w14:paraId="5AA37314" w14:textId="77777777" w:rsidTr="007642C9">
        <w:trPr>
          <w:trHeight w:val="300"/>
        </w:trPr>
        <w:tc>
          <w:tcPr>
            <w:tcW w:w="4939" w:type="dxa"/>
            <w:gridSpan w:val="3"/>
            <w:vMerge/>
            <w:tcBorders>
              <w:top w:val="single" w:sz="4" w:space="0" w:color="auto"/>
              <w:left w:val="single" w:sz="4" w:space="0" w:color="auto"/>
              <w:bottom w:val="single" w:sz="4" w:space="0" w:color="auto"/>
              <w:right w:val="single" w:sz="4" w:space="0" w:color="auto"/>
            </w:tcBorders>
            <w:vAlign w:val="center"/>
          </w:tcPr>
          <w:p w14:paraId="7DB9FF3B" w14:textId="77777777" w:rsidR="00FA0CA8" w:rsidRPr="001357D3" w:rsidRDefault="00FA0CA8" w:rsidP="00FA0CA8">
            <w:pPr>
              <w:rPr>
                <w:noProof/>
              </w:rPr>
            </w:pP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817371" w14:textId="77777777" w:rsidR="00FA0CA8" w:rsidRPr="001357D3" w:rsidRDefault="00FA0CA8" w:rsidP="00FA0CA8">
            <w:pPr>
              <w:spacing w:before="0" w:after="0"/>
              <w:jc w:val="center"/>
              <w:rPr>
                <w:noProof/>
              </w:rPr>
            </w:pPr>
            <w:r w:rsidRPr="001357D3">
              <w:rPr>
                <w:b/>
                <w:noProof/>
                <w:sz w:val="20"/>
              </w:rPr>
              <w:t>2028</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369D60" w14:textId="77777777" w:rsidR="00FA0CA8" w:rsidRPr="001357D3" w:rsidRDefault="00FA0CA8" w:rsidP="00FA0CA8">
            <w:pPr>
              <w:spacing w:before="0" w:after="0"/>
              <w:jc w:val="center"/>
              <w:rPr>
                <w:noProof/>
              </w:rPr>
            </w:pPr>
            <w:r w:rsidRPr="001357D3">
              <w:rPr>
                <w:b/>
                <w:noProof/>
                <w:sz w:val="20"/>
              </w:rPr>
              <w:t>2029</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405838" w14:textId="77777777" w:rsidR="00FA0CA8" w:rsidRPr="001357D3" w:rsidRDefault="00FA0CA8" w:rsidP="00FA0CA8">
            <w:pPr>
              <w:spacing w:before="0" w:after="0"/>
              <w:jc w:val="center"/>
              <w:rPr>
                <w:noProof/>
              </w:rPr>
            </w:pPr>
            <w:r w:rsidRPr="001357D3">
              <w:rPr>
                <w:b/>
                <w:noProof/>
                <w:sz w:val="20"/>
              </w:rPr>
              <w:t>2030</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854F5C" w14:textId="77777777" w:rsidR="00FA0CA8" w:rsidRPr="001357D3" w:rsidRDefault="00FA0CA8" w:rsidP="00FA0CA8">
            <w:pPr>
              <w:spacing w:before="0" w:after="0"/>
              <w:jc w:val="center"/>
              <w:rPr>
                <w:noProof/>
              </w:rPr>
            </w:pPr>
            <w:r w:rsidRPr="001357D3">
              <w:rPr>
                <w:b/>
                <w:noProof/>
                <w:sz w:val="20"/>
              </w:rPr>
              <w:t>2031</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424F4A" w14:textId="77777777" w:rsidR="00FA0CA8" w:rsidRPr="001357D3" w:rsidRDefault="00FA0CA8" w:rsidP="00FA0CA8">
            <w:pPr>
              <w:spacing w:before="0" w:after="0"/>
              <w:jc w:val="center"/>
              <w:rPr>
                <w:noProof/>
              </w:rPr>
            </w:pPr>
            <w:r w:rsidRPr="001357D3">
              <w:rPr>
                <w:b/>
                <w:noProof/>
                <w:sz w:val="20"/>
              </w:rPr>
              <w:t>2032</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E8C60B" w14:textId="77777777" w:rsidR="00FA0CA8" w:rsidRPr="001357D3" w:rsidRDefault="00FA0CA8" w:rsidP="00FA0CA8">
            <w:pPr>
              <w:spacing w:before="0" w:after="0"/>
              <w:jc w:val="center"/>
              <w:rPr>
                <w:noProof/>
              </w:rPr>
            </w:pPr>
            <w:r w:rsidRPr="001357D3">
              <w:rPr>
                <w:b/>
                <w:noProof/>
                <w:sz w:val="20"/>
              </w:rPr>
              <w:t>2033</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0246A5" w14:textId="77777777" w:rsidR="00FA0CA8" w:rsidRPr="001357D3" w:rsidRDefault="00FA0CA8" w:rsidP="00FA0CA8">
            <w:pPr>
              <w:spacing w:before="0" w:after="0"/>
              <w:jc w:val="center"/>
              <w:rPr>
                <w:noProof/>
              </w:rPr>
            </w:pPr>
            <w:r w:rsidRPr="001357D3">
              <w:rPr>
                <w:b/>
                <w:noProof/>
                <w:sz w:val="20"/>
              </w:rPr>
              <w:t>2034</w:t>
            </w:r>
          </w:p>
        </w:tc>
        <w:tc>
          <w:tcPr>
            <w:tcW w:w="1232" w:type="dxa"/>
            <w:vMerge/>
            <w:tcBorders>
              <w:top w:val="single" w:sz="4" w:space="0" w:color="auto"/>
              <w:left w:val="single" w:sz="4" w:space="0" w:color="auto"/>
              <w:bottom w:val="single" w:sz="4" w:space="0" w:color="auto"/>
              <w:right w:val="single" w:sz="4" w:space="0" w:color="auto"/>
            </w:tcBorders>
            <w:vAlign w:val="center"/>
          </w:tcPr>
          <w:p w14:paraId="475D200D" w14:textId="77777777" w:rsidR="00FA0CA8" w:rsidRPr="001357D3" w:rsidRDefault="00FA0CA8" w:rsidP="00FA0CA8">
            <w:pPr>
              <w:rPr>
                <w:noProof/>
              </w:rPr>
            </w:pPr>
          </w:p>
        </w:tc>
      </w:tr>
      <w:tr w:rsidR="00D31917" w:rsidRPr="001357D3" w14:paraId="21EA1C2D" w14:textId="77777777" w:rsidTr="007642C9">
        <w:trPr>
          <w:trHeight w:val="855"/>
        </w:trPr>
        <w:tc>
          <w:tcPr>
            <w:tcW w:w="2237"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82B6BC" w14:textId="77777777" w:rsidR="00FA0CA8" w:rsidRPr="001357D3" w:rsidRDefault="00FA0CA8" w:rsidP="00FA0CA8">
            <w:pPr>
              <w:spacing w:before="0" w:after="0"/>
              <w:rPr>
                <w:noProof/>
              </w:rPr>
            </w:pPr>
            <w:r w:rsidRPr="001357D3">
              <w:rPr>
                <w:noProof/>
                <w:sz w:val="21"/>
              </w:rPr>
              <w:lastRenderedPageBreak/>
              <w:t>OGÓŁEM środki operacyjne</w:t>
            </w:r>
          </w:p>
        </w:tc>
        <w:tc>
          <w:tcPr>
            <w:tcW w:w="16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A9166C" w14:textId="77777777" w:rsidR="00FA0CA8" w:rsidRPr="001357D3" w:rsidRDefault="00FA0CA8" w:rsidP="00FA0CA8">
            <w:pPr>
              <w:spacing w:before="0" w:after="0"/>
              <w:rPr>
                <w:noProof/>
              </w:rPr>
            </w:pPr>
            <w:r w:rsidRPr="001357D3">
              <w:rPr>
                <w:noProof/>
                <w:sz w:val="18"/>
              </w:rPr>
              <w:t>Środki na zobowiązania</w:t>
            </w:r>
          </w:p>
        </w:tc>
        <w:tc>
          <w:tcPr>
            <w:tcW w:w="10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CE1C0E" w14:textId="77777777" w:rsidR="00FA0CA8" w:rsidRPr="001357D3" w:rsidRDefault="00FA0CA8" w:rsidP="00FA0CA8">
            <w:pPr>
              <w:spacing w:before="0" w:after="0"/>
              <w:jc w:val="center"/>
              <w:rPr>
                <w:noProof/>
              </w:rPr>
            </w:pPr>
            <w:r w:rsidRPr="001357D3">
              <w:rPr>
                <w:noProof/>
                <w:sz w:val="14"/>
              </w:rPr>
              <w:t>(4)</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B17116F"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04D30C"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2159CA"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7E597A"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3B4E8D"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4137AA"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013053" w14:textId="77777777" w:rsidR="00FA0CA8" w:rsidRPr="001357D3" w:rsidRDefault="00FA0CA8" w:rsidP="00FA0CA8">
            <w:pPr>
              <w:spacing w:before="0" w:after="0"/>
              <w:jc w:val="right"/>
              <w:rPr>
                <w:noProof/>
              </w:rPr>
            </w:pPr>
            <w:r w:rsidRPr="001357D3">
              <w:rPr>
                <w:noProof/>
                <w:sz w:val="20"/>
              </w:rPr>
              <w:t>p.m.</w:t>
            </w:r>
          </w:p>
        </w:tc>
        <w:tc>
          <w:tcPr>
            <w:tcW w:w="1232"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A7C980" w14:textId="77777777" w:rsidR="00FA0CA8" w:rsidRPr="001357D3" w:rsidRDefault="00FA0CA8" w:rsidP="00FA0CA8">
            <w:pPr>
              <w:spacing w:before="0" w:after="0"/>
              <w:jc w:val="right"/>
              <w:rPr>
                <w:noProof/>
              </w:rPr>
            </w:pPr>
            <w:r w:rsidRPr="001357D3">
              <w:rPr>
                <w:b/>
                <w:noProof/>
                <w:sz w:val="20"/>
              </w:rPr>
              <w:t>p.m.</w:t>
            </w:r>
          </w:p>
        </w:tc>
      </w:tr>
      <w:tr w:rsidR="00D31917" w:rsidRPr="001357D3" w14:paraId="2B49B411" w14:textId="77777777" w:rsidTr="00FA0CA8">
        <w:trPr>
          <w:trHeight w:val="300"/>
        </w:trPr>
        <w:tc>
          <w:tcPr>
            <w:tcW w:w="2237" w:type="dxa"/>
            <w:vMerge/>
            <w:tcBorders>
              <w:top w:val="single" w:sz="4" w:space="0" w:color="auto"/>
              <w:left w:val="single" w:sz="4" w:space="0" w:color="auto"/>
              <w:bottom w:val="single" w:sz="4" w:space="0" w:color="auto"/>
              <w:right w:val="single" w:sz="4" w:space="0" w:color="auto"/>
            </w:tcBorders>
            <w:vAlign w:val="center"/>
          </w:tcPr>
          <w:p w14:paraId="2D47BAAC" w14:textId="77777777" w:rsidR="00FA0CA8" w:rsidRPr="001357D3" w:rsidRDefault="00FA0CA8" w:rsidP="00FA0CA8">
            <w:pPr>
              <w:rPr>
                <w:noProof/>
              </w:rPr>
            </w:pPr>
          </w:p>
        </w:tc>
        <w:tc>
          <w:tcPr>
            <w:tcW w:w="16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D12789" w14:textId="77777777" w:rsidR="00FA0CA8" w:rsidRPr="001357D3" w:rsidRDefault="00FA0CA8" w:rsidP="00FA0CA8">
            <w:pPr>
              <w:spacing w:before="0" w:after="0"/>
              <w:rPr>
                <w:noProof/>
              </w:rPr>
            </w:pPr>
            <w:r w:rsidRPr="001357D3">
              <w:rPr>
                <w:noProof/>
                <w:sz w:val="18"/>
              </w:rPr>
              <w:t>Środki na płatności</w:t>
            </w:r>
          </w:p>
        </w:tc>
        <w:tc>
          <w:tcPr>
            <w:tcW w:w="10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E67E72" w14:textId="77777777" w:rsidR="00FA0CA8" w:rsidRPr="001357D3" w:rsidRDefault="00FA0CA8" w:rsidP="00FA0CA8">
            <w:pPr>
              <w:spacing w:before="0" w:after="0"/>
              <w:jc w:val="center"/>
              <w:rPr>
                <w:noProof/>
              </w:rPr>
            </w:pPr>
            <w:r w:rsidRPr="001357D3">
              <w:rPr>
                <w:noProof/>
                <w:sz w:val="14"/>
              </w:rPr>
              <w:t>(5)</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A8DC6CA"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0FF219"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C78433"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274734"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E39C50"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F07DCE"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173263" w14:textId="77777777" w:rsidR="00FA0CA8" w:rsidRPr="001357D3" w:rsidRDefault="00FA0CA8" w:rsidP="00FA0CA8">
            <w:pPr>
              <w:spacing w:before="0" w:after="0"/>
              <w:jc w:val="right"/>
              <w:rPr>
                <w:noProof/>
              </w:rPr>
            </w:pPr>
            <w:r w:rsidRPr="001357D3">
              <w:rPr>
                <w:noProof/>
                <w:sz w:val="20"/>
              </w:rPr>
              <w:t>p.m.</w:t>
            </w:r>
          </w:p>
        </w:tc>
        <w:tc>
          <w:tcPr>
            <w:tcW w:w="1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F4BED4" w14:textId="77777777" w:rsidR="00FA0CA8" w:rsidRPr="001357D3" w:rsidRDefault="00FA0CA8" w:rsidP="00FA0CA8">
            <w:pPr>
              <w:spacing w:before="0" w:after="0"/>
              <w:jc w:val="right"/>
              <w:rPr>
                <w:noProof/>
              </w:rPr>
            </w:pPr>
            <w:r w:rsidRPr="001357D3">
              <w:rPr>
                <w:b/>
                <w:noProof/>
                <w:sz w:val="20"/>
              </w:rPr>
              <w:t>p.m.</w:t>
            </w:r>
          </w:p>
        </w:tc>
      </w:tr>
      <w:tr w:rsidR="00D31917" w:rsidRPr="001357D3" w14:paraId="692ED707" w14:textId="77777777" w:rsidTr="00FA0CA8">
        <w:trPr>
          <w:trHeight w:val="1185"/>
        </w:trPr>
        <w:tc>
          <w:tcPr>
            <w:tcW w:w="391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8DBCFA" w14:textId="77777777" w:rsidR="00FA0CA8" w:rsidRPr="001357D3" w:rsidRDefault="00FA0CA8" w:rsidP="00FA0CA8">
            <w:pPr>
              <w:spacing w:before="0" w:after="0"/>
              <w:rPr>
                <w:noProof/>
              </w:rPr>
            </w:pPr>
            <w:r w:rsidRPr="001357D3">
              <w:rPr>
                <w:noProof/>
                <w:sz w:val="21"/>
              </w:rPr>
              <w:t xml:space="preserve">OGÓŁEM środki administracyjne finansowane ze środków przydzielonych na określone programy </w:t>
            </w:r>
          </w:p>
        </w:tc>
        <w:tc>
          <w:tcPr>
            <w:tcW w:w="10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97A3A0" w14:textId="77777777" w:rsidR="00FA0CA8" w:rsidRPr="001357D3" w:rsidRDefault="00FA0CA8" w:rsidP="00FA0CA8">
            <w:pPr>
              <w:spacing w:before="0" w:after="0"/>
              <w:jc w:val="center"/>
              <w:rPr>
                <w:noProof/>
              </w:rPr>
            </w:pPr>
            <w:r w:rsidRPr="001357D3">
              <w:rPr>
                <w:noProof/>
                <w:sz w:val="14"/>
              </w:rPr>
              <w:t>(6)</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96D2509"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32CA65"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8B75E9"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3730CD"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581B6B"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207D8F" w14:textId="77777777" w:rsidR="00FA0CA8" w:rsidRPr="001357D3" w:rsidRDefault="00FA0CA8" w:rsidP="00FA0CA8">
            <w:pPr>
              <w:spacing w:before="0" w:after="0"/>
              <w:jc w:val="right"/>
              <w:rPr>
                <w:noProof/>
              </w:rPr>
            </w:pPr>
            <w:r w:rsidRPr="001357D3">
              <w:rPr>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7DBECE" w14:textId="77777777" w:rsidR="00FA0CA8" w:rsidRPr="001357D3" w:rsidRDefault="00FA0CA8" w:rsidP="00FA0CA8">
            <w:pPr>
              <w:spacing w:before="0" w:after="0"/>
              <w:jc w:val="right"/>
              <w:rPr>
                <w:noProof/>
              </w:rPr>
            </w:pPr>
            <w:r w:rsidRPr="001357D3">
              <w:rPr>
                <w:noProof/>
                <w:sz w:val="20"/>
              </w:rPr>
              <w:t>p.m.</w:t>
            </w:r>
          </w:p>
        </w:tc>
        <w:tc>
          <w:tcPr>
            <w:tcW w:w="1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0D8EDE" w14:textId="77777777" w:rsidR="00FA0CA8" w:rsidRPr="001357D3" w:rsidRDefault="00FA0CA8" w:rsidP="00FA0CA8">
            <w:pPr>
              <w:spacing w:before="0" w:after="0"/>
              <w:jc w:val="right"/>
              <w:rPr>
                <w:noProof/>
              </w:rPr>
            </w:pPr>
            <w:r w:rsidRPr="001357D3">
              <w:rPr>
                <w:b/>
                <w:noProof/>
                <w:sz w:val="20"/>
              </w:rPr>
              <w:t>p.m.</w:t>
            </w:r>
          </w:p>
        </w:tc>
      </w:tr>
      <w:tr w:rsidR="00D31917" w:rsidRPr="001357D3" w14:paraId="26034D9F" w14:textId="77777777" w:rsidTr="00FA0CA8">
        <w:trPr>
          <w:trHeight w:val="585"/>
        </w:trPr>
        <w:tc>
          <w:tcPr>
            <w:tcW w:w="2237" w:type="dxa"/>
            <w:tcBorders>
              <w:top w:val="single" w:sz="4" w:space="0" w:color="auto"/>
              <w:left w:val="single" w:sz="8" w:space="0" w:color="auto"/>
              <w:bottom w:val="nil"/>
              <w:right w:val="single" w:sz="8" w:space="0" w:color="000000" w:themeColor="text1"/>
            </w:tcBorders>
            <w:shd w:val="clear" w:color="auto" w:fill="E6E6E6"/>
            <w:tcMar>
              <w:left w:w="108" w:type="dxa"/>
              <w:right w:w="108" w:type="dxa"/>
            </w:tcMar>
            <w:vAlign w:val="center"/>
          </w:tcPr>
          <w:p w14:paraId="44FC1576" w14:textId="77777777" w:rsidR="00FA0CA8" w:rsidRPr="001357D3" w:rsidRDefault="00FA0CA8" w:rsidP="00FA0CA8">
            <w:pPr>
              <w:spacing w:before="0" w:after="0"/>
              <w:jc w:val="center"/>
              <w:rPr>
                <w:noProof/>
              </w:rPr>
            </w:pPr>
            <w:r w:rsidRPr="001357D3">
              <w:rPr>
                <w:b/>
                <w:noProof/>
                <w:sz w:val="22"/>
              </w:rPr>
              <w:t>OGÓŁEM środki na DZIAŁ &lt;2&gt;</w:t>
            </w:r>
          </w:p>
        </w:tc>
        <w:tc>
          <w:tcPr>
            <w:tcW w:w="1677" w:type="dxa"/>
            <w:tcBorders>
              <w:top w:val="single" w:sz="4" w:space="0" w:color="auto"/>
              <w:left w:val="single" w:sz="8" w:space="0" w:color="auto"/>
              <w:bottom w:val="single" w:sz="8" w:space="0" w:color="auto"/>
              <w:right w:val="single" w:sz="8" w:space="0" w:color="000000" w:themeColor="text1"/>
            </w:tcBorders>
            <w:tcMar>
              <w:left w:w="108" w:type="dxa"/>
              <w:right w:w="108" w:type="dxa"/>
            </w:tcMar>
            <w:vAlign w:val="center"/>
          </w:tcPr>
          <w:p w14:paraId="15D03B9E" w14:textId="77777777" w:rsidR="00FA0CA8" w:rsidRPr="001357D3" w:rsidRDefault="00FA0CA8" w:rsidP="00FA0CA8">
            <w:pPr>
              <w:spacing w:before="0" w:after="0"/>
              <w:rPr>
                <w:noProof/>
              </w:rPr>
            </w:pPr>
            <w:r w:rsidRPr="001357D3">
              <w:rPr>
                <w:noProof/>
                <w:sz w:val="18"/>
              </w:rPr>
              <w:t>Środki na zobowiązania</w:t>
            </w:r>
          </w:p>
        </w:tc>
        <w:tc>
          <w:tcPr>
            <w:tcW w:w="1025"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08BD784" w14:textId="77777777" w:rsidR="00FA0CA8" w:rsidRPr="001357D3" w:rsidRDefault="00FA0CA8" w:rsidP="00FA0CA8">
            <w:pPr>
              <w:spacing w:before="0" w:after="0"/>
              <w:jc w:val="center"/>
              <w:rPr>
                <w:noProof/>
              </w:rPr>
            </w:pPr>
            <w:r w:rsidRPr="001357D3">
              <w:rPr>
                <w:noProof/>
                <w:sz w:val="14"/>
              </w:rPr>
              <w:t>=4+6</w:t>
            </w:r>
          </w:p>
        </w:tc>
        <w:tc>
          <w:tcPr>
            <w:tcW w:w="111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D7C8DB" w14:textId="77777777" w:rsidR="00FA0CA8" w:rsidRPr="001357D3" w:rsidRDefault="00FA0CA8" w:rsidP="00FA0CA8">
            <w:pPr>
              <w:spacing w:before="0" w:after="0"/>
              <w:jc w:val="right"/>
              <w:rPr>
                <w:rFonts w:eastAsia="Times New Roman"/>
                <w:b/>
                <w:bCs/>
                <w:noProof/>
                <w:sz w:val="20"/>
                <w:szCs w:val="20"/>
              </w:rPr>
            </w:pPr>
            <w:r w:rsidRPr="001357D3">
              <w:rPr>
                <w:b/>
                <w:noProof/>
                <w:sz w:val="20"/>
              </w:rPr>
              <w:t>101</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415498" w14:textId="77777777" w:rsidR="00FA0CA8" w:rsidRPr="001357D3" w:rsidRDefault="00FA0CA8" w:rsidP="00FA0CA8">
            <w:pPr>
              <w:spacing w:before="0" w:after="0"/>
              <w:jc w:val="right"/>
              <w:rPr>
                <w:noProof/>
              </w:rPr>
            </w:pPr>
            <w:r w:rsidRPr="001357D3">
              <w:rPr>
                <w:b/>
                <w:noProof/>
                <w:sz w:val="20"/>
              </w:rPr>
              <w:t>105</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573FA8" w14:textId="77777777" w:rsidR="00FA0CA8" w:rsidRPr="001357D3" w:rsidRDefault="00FA0CA8" w:rsidP="00FA0CA8">
            <w:pPr>
              <w:spacing w:before="0" w:after="0"/>
              <w:jc w:val="right"/>
              <w:rPr>
                <w:noProof/>
              </w:rPr>
            </w:pPr>
            <w:r w:rsidRPr="001357D3">
              <w:rPr>
                <w:b/>
                <w:noProof/>
                <w:sz w:val="20"/>
              </w:rPr>
              <w:t>109</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31F436" w14:textId="77777777" w:rsidR="00FA0CA8" w:rsidRPr="001357D3" w:rsidRDefault="00FA0CA8" w:rsidP="00FA0CA8">
            <w:pPr>
              <w:spacing w:before="0" w:after="0"/>
              <w:jc w:val="right"/>
              <w:rPr>
                <w:noProof/>
              </w:rPr>
            </w:pPr>
            <w:r w:rsidRPr="001357D3">
              <w:rPr>
                <w:b/>
                <w:noProof/>
                <w:sz w:val="20"/>
              </w:rPr>
              <w:t>114</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728FD6" w14:textId="77777777" w:rsidR="00FA0CA8" w:rsidRPr="001357D3" w:rsidRDefault="00FA0CA8" w:rsidP="00FA0CA8">
            <w:pPr>
              <w:spacing w:before="0" w:after="0"/>
              <w:jc w:val="right"/>
              <w:rPr>
                <w:noProof/>
              </w:rPr>
            </w:pPr>
            <w:r w:rsidRPr="001357D3">
              <w:rPr>
                <w:b/>
                <w:noProof/>
                <w:sz w:val="20"/>
              </w:rPr>
              <w:t>118</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04E4E0" w14:textId="77777777" w:rsidR="00FA0CA8" w:rsidRPr="001357D3" w:rsidRDefault="00FA0CA8" w:rsidP="00FA0CA8">
            <w:pPr>
              <w:spacing w:before="0" w:after="0"/>
              <w:jc w:val="right"/>
              <w:rPr>
                <w:noProof/>
              </w:rPr>
            </w:pPr>
            <w:r w:rsidRPr="001357D3">
              <w:rPr>
                <w:b/>
                <w:noProof/>
                <w:sz w:val="20"/>
              </w:rPr>
              <w:t>123</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CD40EF" w14:textId="77777777" w:rsidR="00FA0CA8" w:rsidRPr="001357D3" w:rsidRDefault="00FA0CA8" w:rsidP="00FA0CA8">
            <w:pPr>
              <w:spacing w:before="0" w:after="0"/>
              <w:jc w:val="right"/>
              <w:rPr>
                <w:noProof/>
              </w:rPr>
            </w:pPr>
            <w:r w:rsidRPr="001357D3">
              <w:rPr>
                <w:b/>
                <w:noProof/>
                <w:sz w:val="20"/>
              </w:rPr>
              <w:t>128</w:t>
            </w:r>
          </w:p>
        </w:tc>
        <w:tc>
          <w:tcPr>
            <w:tcW w:w="1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410FAD" w14:textId="77777777" w:rsidR="00FA0CA8" w:rsidRPr="001357D3" w:rsidRDefault="00FA0CA8" w:rsidP="00FA0CA8">
            <w:pPr>
              <w:spacing w:before="0" w:after="0"/>
              <w:jc w:val="right"/>
              <w:rPr>
                <w:rFonts w:eastAsia="Times New Roman"/>
                <w:b/>
                <w:bCs/>
                <w:noProof/>
                <w:sz w:val="20"/>
                <w:szCs w:val="20"/>
              </w:rPr>
            </w:pPr>
            <w:r w:rsidRPr="001357D3">
              <w:rPr>
                <w:b/>
                <w:noProof/>
                <w:sz w:val="20"/>
              </w:rPr>
              <w:t>798</w:t>
            </w:r>
          </w:p>
        </w:tc>
      </w:tr>
      <w:tr w:rsidR="00D31917" w:rsidRPr="001357D3" w14:paraId="051C7930" w14:textId="77777777">
        <w:trPr>
          <w:trHeight w:val="555"/>
        </w:trPr>
        <w:tc>
          <w:tcPr>
            <w:tcW w:w="2237" w:type="dxa"/>
            <w:tcBorders>
              <w:top w:val="nil"/>
              <w:left w:val="single" w:sz="8" w:space="0" w:color="auto"/>
              <w:bottom w:val="single" w:sz="8" w:space="0" w:color="auto"/>
              <w:right w:val="single" w:sz="8" w:space="0" w:color="auto"/>
            </w:tcBorders>
            <w:shd w:val="clear" w:color="auto" w:fill="E6E6E6"/>
            <w:tcMar>
              <w:left w:w="108" w:type="dxa"/>
              <w:right w:w="108" w:type="dxa"/>
            </w:tcMar>
            <w:vAlign w:val="center"/>
          </w:tcPr>
          <w:p w14:paraId="67C58435" w14:textId="77777777" w:rsidR="00FA0CA8" w:rsidRPr="001357D3" w:rsidRDefault="00FA0CA8" w:rsidP="00FA0CA8">
            <w:pPr>
              <w:spacing w:before="0" w:after="0"/>
              <w:jc w:val="center"/>
              <w:rPr>
                <w:noProof/>
              </w:rPr>
            </w:pPr>
            <w:r w:rsidRPr="001357D3">
              <w:rPr>
                <w:noProof/>
                <w:sz w:val="22"/>
              </w:rPr>
              <w:t>wieloletnich ram finansowych</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DCEFB" w14:textId="77777777" w:rsidR="00FA0CA8" w:rsidRPr="001357D3" w:rsidRDefault="00FA0CA8" w:rsidP="00FA0CA8">
            <w:pPr>
              <w:spacing w:before="0" w:after="0"/>
              <w:rPr>
                <w:noProof/>
              </w:rPr>
            </w:pPr>
            <w:r w:rsidRPr="001357D3">
              <w:rPr>
                <w:noProof/>
                <w:sz w:val="18"/>
              </w:rPr>
              <w:t>Środki na płatności</w:t>
            </w:r>
          </w:p>
        </w:tc>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A31F9" w14:textId="77777777" w:rsidR="00FA0CA8" w:rsidRPr="001357D3" w:rsidRDefault="00FA0CA8" w:rsidP="00FA0CA8">
            <w:pPr>
              <w:spacing w:before="0" w:after="0"/>
              <w:jc w:val="center"/>
              <w:rPr>
                <w:noProof/>
              </w:rPr>
            </w:pPr>
            <w:r w:rsidRPr="001357D3">
              <w:rPr>
                <w:noProof/>
                <w:sz w:val="14"/>
              </w:rPr>
              <w:t>=5+6</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4BFF89"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97220F"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025385"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4AE663"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755256"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E47625" w14:textId="77777777" w:rsidR="00FA0CA8" w:rsidRPr="001357D3" w:rsidRDefault="00FA0CA8" w:rsidP="00FA0CA8">
            <w:pPr>
              <w:spacing w:before="0" w:after="0"/>
              <w:jc w:val="right"/>
              <w:rPr>
                <w:noProof/>
              </w:rPr>
            </w:pPr>
            <w:r w:rsidRPr="001357D3">
              <w:rPr>
                <w:b/>
                <w:noProof/>
                <w:sz w:val="20"/>
              </w:rPr>
              <w:t>p.m.</w:t>
            </w:r>
          </w:p>
        </w:tc>
        <w:tc>
          <w:tcPr>
            <w:tcW w:w="11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955F87" w14:textId="77777777" w:rsidR="00FA0CA8" w:rsidRPr="001357D3" w:rsidRDefault="00FA0CA8" w:rsidP="00FA0CA8">
            <w:pPr>
              <w:spacing w:before="0" w:after="0"/>
              <w:jc w:val="right"/>
              <w:rPr>
                <w:noProof/>
              </w:rPr>
            </w:pPr>
            <w:r w:rsidRPr="001357D3">
              <w:rPr>
                <w:b/>
                <w:noProof/>
                <w:sz w:val="20"/>
              </w:rPr>
              <w:t>p.m.</w:t>
            </w:r>
          </w:p>
        </w:tc>
        <w:tc>
          <w:tcPr>
            <w:tcW w:w="1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7EA213" w14:textId="77777777" w:rsidR="00FA0CA8" w:rsidRPr="001357D3" w:rsidRDefault="00FA0CA8" w:rsidP="00FA0CA8">
            <w:pPr>
              <w:spacing w:before="0" w:after="0"/>
              <w:jc w:val="right"/>
              <w:rPr>
                <w:noProof/>
              </w:rPr>
            </w:pPr>
            <w:r w:rsidRPr="001357D3">
              <w:rPr>
                <w:b/>
                <w:noProof/>
                <w:sz w:val="20"/>
              </w:rPr>
              <w:t>p.m.</w:t>
            </w:r>
          </w:p>
        </w:tc>
      </w:tr>
    </w:tbl>
    <w:p w14:paraId="3061E873" w14:textId="77777777" w:rsidR="00FA0CA8" w:rsidRPr="001357D3" w:rsidRDefault="00FA0CA8" w:rsidP="00FA0CA8">
      <w:pPr>
        <w:rPr>
          <w:noProof/>
        </w:rPr>
      </w:pPr>
      <w:r w:rsidRPr="001357D3">
        <w:rPr>
          <w:noProof/>
        </w:rPr>
        <w:t>====================================================================================================</w:t>
      </w:r>
    </w:p>
    <w:p w14:paraId="371F5E97" w14:textId="77777777" w:rsidR="00FA0CA8" w:rsidRPr="001357D3" w:rsidRDefault="00FA0CA8" w:rsidP="00FA0CA8">
      <w:pPr>
        <w:rPr>
          <w:rFonts w:eastAsia="Times New Roman"/>
          <w:noProof/>
          <w:szCs w:val="24"/>
        </w:rPr>
      </w:pPr>
    </w:p>
    <w:tbl>
      <w:tblPr>
        <w:tblW w:w="0" w:type="auto"/>
        <w:tblLayout w:type="fixed"/>
        <w:tblLook w:val="01E0" w:firstRow="1" w:lastRow="1" w:firstColumn="1" w:lastColumn="1" w:noHBand="0" w:noVBand="0"/>
      </w:tblPr>
      <w:tblGrid>
        <w:gridCol w:w="4871"/>
        <w:gridCol w:w="1019"/>
        <w:gridCol w:w="8104"/>
      </w:tblGrid>
      <w:tr w:rsidR="00D31917" w:rsidRPr="001357D3" w14:paraId="5ABB0E0F" w14:textId="77777777">
        <w:trPr>
          <w:trHeight w:val="300"/>
        </w:trPr>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CA664" w14:textId="77777777" w:rsidR="00FA0CA8" w:rsidRPr="001357D3" w:rsidRDefault="00FA0CA8" w:rsidP="00FA0CA8">
            <w:pPr>
              <w:spacing w:before="0" w:after="0"/>
              <w:rPr>
                <w:noProof/>
              </w:rPr>
            </w:pPr>
          </w:p>
          <w:p w14:paraId="4E081482" w14:textId="77777777" w:rsidR="00FA0CA8" w:rsidRPr="001357D3" w:rsidRDefault="00FA0CA8" w:rsidP="00FA0CA8">
            <w:pPr>
              <w:spacing w:before="60" w:after="60"/>
              <w:jc w:val="center"/>
              <w:rPr>
                <w:noProof/>
              </w:rPr>
            </w:pPr>
            <w:r w:rsidRPr="001357D3">
              <w:rPr>
                <w:b/>
                <w:noProof/>
                <w:sz w:val="22"/>
              </w:rPr>
              <w:t xml:space="preserve">Dział wieloletnich ram finansowych </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79253" w14:textId="77777777" w:rsidR="00FA0CA8" w:rsidRPr="001357D3" w:rsidRDefault="00FA0CA8" w:rsidP="00FA0CA8">
            <w:pPr>
              <w:spacing w:before="60" w:after="60"/>
              <w:jc w:val="center"/>
              <w:rPr>
                <w:noProof/>
              </w:rPr>
            </w:pPr>
            <w:r w:rsidRPr="001357D3">
              <w:rPr>
                <w:noProof/>
              </w:rPr>
              <w:t>4</w:t>
            </w:r>
          </w:p>
        </w:tc>
        <w:tc>
          <w:tcPr>
            <w:tcW w:w="8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853E7C" w14:textId="77777777" w:rsidR="00FA0CA8" w:rsidRPr="001357D3" w:rsidRDefault="00FA0CA8" w:rsidP="00FA0CA8">
            <w:pPr>
              <w:spacing w:before="60" w:after="60"/>
              <w:rPr>
                <w:rFonts w:eastAsia="Times New Roman"/>
                <w:noProof/>
                <w:sz w:val="22"/>
                <w:vertAlign w:val="superscript"/>
              </w:rPr>
            </w:pPr>
            <w:r w:rsidRPr="001357D3">
              <w:rPr>
                <w:noProof/>
                <w:sz w:val="22"/>
              </w:rPr>
              <w:t>„Wydatki administracyjne”</w:t>
            </w:r>
            <w:r w:rsidRPr="001357D3">
              <w:rPr>
                <w:rStyle w:val="Odwoanieprzypisudolnego"/>
                <w:noProof/>
              </w:rPr>
              <w:footnoteReference w:id="63"/>
            </w:r>
          </w:p>
        </w:tc>
      </w:tr>
    </w:tbl>
    <w:p w14:paraId="55174EAF" w14:textId="77777777" w:rsidR="00FA0CA8" w:rsidRPr="001357D3" w:rsidRDefault="00FA0CA8" w:rsidP="00FA0CA8">
      <w:pPr>
        <w:jc w:val="right"/>
        <w:rPr>
          <w:noProof/>
        </w:rPr>
      </w:pPr>
      <w:r w:rsidRPr="001357D3">
        <w:rPr>
          <w:noProof/>
          <w:sz w:val="20"/>
        </w:rPr>
        <w:t>w mln EUR (do trzech miejsc po przecinku)</w:t>
      </w:r>
    </w:p>
    <w:tbl>
      <w:tblPr>
        <w:tblW w:w="0" w:type="auto"/>
        <w:tblLayout w:type="fixed"/>
        <w:tblLook w:val="04A0" w:firstRow="1" w:lastRow="0" w:firstColumn="1" w:lastColumn="0" w:noHBand="0" w:noVBand="1"/>
      </w:tblPr>
      <w:tblGrid>
        <w:gridCol w:w="2042"/>
        <w:gridCol w:w="4171"/>
        <w:gridCol w:w="957"/>
        <w:gridCol w:w="957"/>
        <w:gridCol w:w="957"/>
        <w:gridCol w:w="957"/>
        <w:gridCol w:w="957"/>
        <w:gridCol w:w="957"/>
        <w:gridCol w:w="957"/>
        <w:gridCol w:w="1082"/>
      </w:tblGrid>
      <w:tr w:rsidR="00D31917" w:rsidRPr="001357D3" w14:paraId="2B7E9ED3" w14:textId="77777777" w:rsidTr="00FA0CA8">
        <w:trPr>
          <w:trHeight w:val="405"/>
        </w:trPr>
        <w:tc>
          <w:tcPr>
            <w:tcW w:w="6213"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32655D" w14:textId="6D17E845" w:rsidR="00FA0CA8" w:rsidRPr="001357D3" w:rsidRDefault="00FA0CA8" w:rsidP="00FA0CA8">
            <w:pPr>
              <w:spacing w:before="0" w:after="0"/>
              <w:jc w:val="center"/>
              <w:rPr>
                <w:noProof/>
              </w:rPr>
            </w:pPr>
            <w:r w:rsidRPr="001357D3">
              <w:rPr>
                <w:noProof/>
              </w:rPr>
              <w:t>Dyrekcja Generalna: &lt;DG ds. Sprawiedliwości</w:t>
            </w:r>
            <w:r w:rsidR="001C6403" w:rsidRPr="001357D3">
              <w:rPr>
                <w:noProof/>
              </w:rPr>
              <w:t xml:space="preserve"> i</w:t>
            </w:r>
            <w:r w:rsidR="001C6403">
              <w:rPr>
                <w:noProof/>
              </w:rPr>
              <w:t> </w:t>
            </w:r>
            <w:r w:rsidR="001C6403" w:rsidRPr="001357D3">
              <w:rPr>
                <w:noProof/>
              </w:rPr>
              <w:t>Kon</w:t>
            </w:r>
            <w:r w:rsidRPr="001357D3">
              <w:rPr>
                <w:noProof/>
              </w:rPr>
              <w:t>sumentów&gt;</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67A029"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783D00"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C92FCC"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3B7642"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3490F4"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A9A55A" w14:textId="77777777" w:rsidR="00FA0CA8" w:rsidRPr="001357D3" w:rsidRDefault="00FA0CA8" w:rsidP="00FA0CA8">
            <w:pPr>
              <w:spacing w:before="0" w:after="0"/>
              <w:jc w:val="center"/>
              <w:rPr>
                <w:noProof/>
              </w:rPr>
            </w:pPr>
            <w:r w:rsidRPr="001357D3">
              <w:rPr>
                <w:noProof/>
                <w:sz w:val="20"/>
              </w:rPr>
              <w:t>Rok</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3936D3" w14:textId="77777777" w:rsidR="00FA0CA8" w:rsidRPr="001357D3" w:rsidRDefault="00FA0CA8" w:rsidP="00FA0CA8">
            <w:pPr>
              <w:spacing w:before="0" w:after="0"/>
              <w:jc w:val="center"/>
              <w:rPr>
                <w:noProof/>
              </w:rPr>
            </w:pPr>
            <w:r w:rsidRPr="001357D3">
              <w:rPr>
                <w:noProof/>
                <w:sz w:val="20"/>
              </w:rPr>
              <w:t>Rok</w:t>
            </w:r>
          </w:p>
        </w:tc>
        <w:tc>
          <w:tcPr>
            <w:tcW w:w="108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F92147" w14:textId="77777777" w:rsidR="00FA0CA8" w:rsidRPr="001357D3" w:rsidRDefault="00FA0CA8" w:rsidP="00FA0CA8">
            <w:pPr>
              <w:spacing w:before="0" w:after="0"/>
              <w:jc w:val="center"/>
              <w:rPr>
                <w:noProof/>
              </w:rPr>
            </w:pPr>
            <w:r w:rsidRPr="001357D3">
              <w:rPr>
                <w:b/>
                <w:noProof/>
                <w:sz w:val="20"/>
              </w:rPr>
              <w:t>OGÓŁEM WRF 2028–2034</w:t>
            </w:r>
          </w:p>
        </w:tc>
      </w:tr>
      <w:tr w:rsidR="00D31917" w:rsidRPr="001357D3" w14:paraId="1DB3E434" w14:textId="77777777" w:rsidTr="00FA0CA8">
        <w:trPr>
          <w:trHeight w:val="675"/>
        </w:trPr>
        <w:tc>
          <w:tcPr>
            <w:tcW w:w="6213" w:type="dxa"/>
            <w:gridSpan w:val="2"/>
            <w:vMerge/>
            <w:tcBorders>
              <w:top w:val="single" w:sz="4" w:space="0" w:color="auto"/>
              <w:left w:val="single" w:sz="4" w:space="0" w:color="auto"/>
              <w:bottom w:val="single" w:sz="4" w:space="0" w:color="auto"/>
              <w:right w:val="single" w:sz="4" w:space="0" w:color="auto"/>
            </w:tcBorders>
            <w:vAlign w:val="center"/>
          </w:tcPr>
          <w:p w14:paraId="339FCC36" w14:textId="77777777" w:rsidR="00FA0CA8" w:rsidRPr="001357D3" w:rsidRDefault="00FA0CA8" w:rsidP="00FA0CA8">
            <w:pPr>
              <w:rPr>
                <w:noProof/>
              </w:rPr>
            </w:pP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69F901" w14:textId="77777777" w:rsidR="00FA0CA8" w:rsidRPr="001357D3" w:rsidRDefault="00FA0CA8" w:rsidP="00FA0CA8">
            <w:pPr>
              <w:spacing w:before="0" w:after="0"/>
              <w:jc w:val="center"/>
              <w:rPr>
                <w:noProof/>
              </w:rPr>
            </w:pPr>
            <w:r w:rsidRPr="001357D3">
              <w:rPr>
                <w:b/>
                <w:noProof/>
                <w:sz w:val="20"/>
              </w:rPr>
              <w:t>2028</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82567B" w14:textId="77777777" w:rsidR="00FA0CA8" w:rsidRPr="001357D3" w:rsidRDefault="00FA0CA8" w:rsidP="00FA0CA8">
            <w:pPr>
              <w:spacing w:before="0" w:after="0"/>
              <w:jc w:val="center"/>
              <w:rPr>
                <w:noProof/>
              </w:rPr>
            </w:pPr>
            <w:r w:rsidRPr="001357D3">
              <w:rPr>
                <w:b/>
                <w:noProof/>
                <w:sz w:val="20"/>
              </w:rPr>
              <w:t>2029</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3C9296" w14:textId="77777777" w:rsidR="00FA0CA8" w:rsidRPr="001357D3" w:rsidRDefault="00FA0CA8" w:rsidP="00FA0CA8">
            <w:pPr>
              <w:spacing w:before="0" w:after="0"/>
              <w:jc w:val="center"/>
              <w:rPr>
                <w:noProof/>
              </w:rPr>
            </w:pPr>
            <w:r w:rsidRPr="001357D3">
              <w:rPr>
                <w:b/>
                <w:noProof/>
                <w:sz w:val="20"/>
              </w:rPr>
              <w:t>2030</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D05F88" w14:textId="77777777" w:rsidR="00FA0CA8" w:rsidRPr="001357D3" w:rsidRDefault="00FA0CA8" w:rsidP="00FA0CA8">
            <w:pPr>
              <w:spacing w:before="0" w:after="0"/>
              <w:jc w:val="center"/>
              <w:rPr>
                <w:noProof/>
              </w:rPr>
            </w:pPr>
            <w:r w:rsidRPr="001357D3">
              <w:rPr>
                <w:b/>
                <w:noProof/>
                <w:sz w:val="20"/>
              </w:rPr>
              <w:t>2031</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EDB27B" w14:textId="77777777" w:rsidR="00FA0CA8" w:rsidRPr="001357D3" w:rsidRDefault="00FA0CA8" w:rsidP="00FA0CA8">
            <w:pPr>
              <w:spacing w:before="0" w:after="0"/>
              <w:jc w:val="center"/>
              <w:rPr>
                <w:noProof/>
              </w:rPr>
            </w:pPr>
            <w:r w:rsidRPr="001357D3">
              <w:rPr>
                <w:b/>
                <w:noProof/>
                <w:sz w:val="20"/>
              </w:rPr>
              <w:t>2032</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E4FCDD" w14:textId="77777777" w:rsidR="00FA0CA8" w:rsidRPr="001357D3" w:rsidRDefault="00FA0CA8" w:rsidP="00FA0CA8">
            <w:pPr>
              <w:spacing w:before="0" w:after="0"/>
              <w:jc w:val="center"/>
              <w:rPr>
                <w:noProof/>
              </w:rPr>
            </w:pPr>
            <w:r w:rsidRPr="001357D3">
              <w:rPr>
                <w:b/>
                <w:noProof/>
                <w:sz w:val="20"/>
              </w:rPr>
              <w:t>2033</w:t>
            </w:r>
          </w:p>
        </w:tc>
        <w:tc>
          <w:tcPr>
            <w:tcW w:w="9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C57E81" w14:textId="77777777" w:rsidR="00FA0CA8" w:rsidRPr="001357D3" w:rsidRDefault="00FA0CA8" w:rsidP="00FA0CA8">
            <w:pPr>
              <w:spacing w:before="0" w:after="0"/>
              <w:jc w:val="center"/>
              <w:rPr>
                <w:noProof/>
              </w:rPr>
            </w:pPr>
            <w:r w:rsidRPr="001357D3">
              <w:rPr>
                <w:b/>
                <w:noProof/>
                <w:sz w:val="20"/>
              </w:rPr>
              <w:t>2034</w:t>
            </w:r>
          </w:p>
        </w:tc>
        <w:tc>
          <w:tcPr>
            <w:tcW w:w="1082" w:type="dxa"/>
            <w:vMerge/>
            <w:tcBorders>
              <w:top w:val="single" w:sz="4" w:space="0" w:color="auto"/>
              <w:left w:val="single" w:sz="4" w:space="0" w:color="auto"/>
              <w:bottom w:val="single" w:sz="4" w:space="0" w:color="auto"/>
              <w:right w:val="single" w:sz="4" w:space="0" w:color="auto"/>
            </w:tcBorders>
            <w:vAlign w:val="center"/>
          </w:tcPr>
          <w:p w14:paraId="2C92FAFF" w14:textId="77777777" w:rsidR="00FA0CA8" w:rsidRPr="001357D3" w:rsidRDefault="00FA0CA8" w:rsidP="00FA0CA8">
            <w:pPr>
              <w:rPr>
                <w:noProof/>
              </w:rPr>
            </w:pPr>
          </w:p>
        </w:tc>
      </w:tr>
      <w:tr w:rsidR="00D31917" w:rsidRPr="001357D3" w14:paraId="7F71FC03" w14:textId="77777777" w:rsidTr="00FA0CA8">
        <w:trPr>
          <w:trHeight w:val="300"/>
        </w:trPr>
        <w:tc>
          <w:tcPr>
            <w:tcW w:w="6213" w:type="dxa"/>
            <w:gridSpan w:val="2"/>
            <w:tcBorders>
              <w:top w:val="single" w:sz="4" w:space="0" w:color="auto"/>
              <w:left w:val="single" w:sz="8" w:space="0" w:color="auto"/>
              <w:bottom w:val="single" w:sz="8" w:space="0" w:color="auto"/>
              <w:right w:val="single" w:sz="8" w:space="0" w:color="000000" w:themeColor="text1"/>
            </w:tcBorders>
            <w:tcMar>
              <w:left w:w="108" w:type="dxa"/>
              <w:right w:w="108" w:type="dxa"/>
            </w:tcMar>
            <w:vAlign w:val="center"/>
          </w:tcPr>
          <w:p w14:paraId="19465105" w14:textId="51EBD78A" w:rsidR="00FA0CA8" w:rsidRPr="001357D3" w:rsidRDefault="00FA0CA8" w:rsidP="00FA0CA8">
            <w:pPr>
              <w:spacing w:before="0" w:after="0"/>
              <w:jc w:val="left"/>
              <w:rPr>
                <w:noProof/>
              </w:rPr>
            </w:pPr>
            <w:r w:rsidRPr="001357D3">
              <w:rPr>
                <w:noProof/>
                <w:sz w:val="22"/>
              </w:rPr>
              <w:t xml:space="preserve"> Zasoby ludzkie </w:t>
            </w:r>
          </w:p>
        </w:tc>
        <w:tc>
          <w:tcPr>
            <w:tcW w:w="957" w:type="dxa"/>
            <w:tcBorders>
              <w:top w:val="single" w:sz="4"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99EF426" w14:textId="71F034E2"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092CA6" w14:textId="56C0997A"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02A3C9" w14:textId="5B9D59D6"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523ACC" w14:textId="47C1445E"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A689B7" w14:textId="7C0B7622"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FDF0A5" w14:textId="0D6161FD" w:rsidR="00FA0CA8" w:rsidRPr="001357D3" w:rsidRDefault="00FA0CA8" w:rsidP="00FA0CA8">
            <w:pPr>
              <w:spacing w:before="0" w:after="0"/>
              <w:jc w:val="right"/>
              <w:rPr>
                <w:noProof/>
              </w:rPr>
            </w:pPr>
            <w:r w:rsidRPr="001357D3">
              <w:rPr>
                <w:noProof/>
                <w:sz w:val="20"/>
              </w:rPr>
              <w:t>9,470</w:t>
            </w:r>
          </w:p>
        </w:tc>
        <w:tc>
          <w:tcPr>
            <w:tcW w:w="95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05C881" w14:textId="675DB89A" w:rsidR="00FA0CA8" w:rsidRPr="001357D3" w:rsidRDefault="00FA0CA8" w:rsidP="00FA0CA8">
            <w:pPr>
              <w:spacing w:before="0" w:after="0"/>
              <w:jc w:val="right"/>
              <w:rPr>
                <w:noProof/>
              </w:rPr>
            </w:pPr>
            <w:r w:rsidRPr="001357D3">
              <w:rPr>
                <w:noProof/>
                <w:sz w:val="20"/>
              </w:rPr>
              <w:t>9,470</w:t>
            </w:r>
          </w:p>
        </w:tc>
        <w:tc>
          <w:tcPr>
            <w:tcW w:w="1082"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E9B92D" w14:textId="364534B2" w:rsidR="00FA0CA8" w:rsidRPr="001357D3" w:rsidRDefault="00FA0CA8" w:rsidP="00FA0CA8">
            <w:pPr>
              <w:spacing w:before="0" w:after="0"/>
              <w:jc w:val="right"/>
              <w:rPr>
                <w:noProof/>
              </w:rPr>
            </w:pPr>
            <w:r w:rsidRPr="001357D3">
              <w:rPr>
                <w:b/>
                <w:noProof/>
                <w:sz w:val="20"/>
              </w:rPr>
              <w:t>66,290</w:t>
            </w:r>
          </w:p>
        </w:tc>
      </w:tr>
      <w:tr w:rsidR="00D31917" w:rsidRPr="001357D3" w14:paraId="75DB09F0" w14:textId="77777777" w:rsidTr="00FA0CA8">
        <w:trPr>
          <w:trHeight w:val="300"/>
        </w:trPr>
        <w:tc>
          <w:tcPr>
            <w:tcW w:w="6213" w:type="dxa"/>
            <w:gridSpan w:val="2"/>
            <w:tcBorders>
              <w:top w:val="single" w:sz="8" w:space="0" w:color="auto"/>
              <w:left w:val="single" w:sz="8" w:space="0" w:color="auto"/>
              <w:bottom w:val="single" w:sz="4" w:space="0" w:color="auto"/>
              <w:right w:val="single" w:sz="8" w:space="0" w:color="000000" w:themeColor="text1"/>
            </w:tcBorders>
            <w:tcMar>
              <w:left w:w="108" w:type="dxa"/>
              <w:right w:w="108" w:type="dxa"/>
            </w:tcMar>
            <w:vAlign w:val="center"/>
          </w:tcPr>
          <w:p w14:paraId="52DE0B48" w14:textId="5FB89795" w:rsidR="00FA0CA8" w:rsidRPr="001357D3" w:rsidRDefault="00FA0CA8" w:rsidP="00FA0CA8">
            <w:pPr>
              <w:spacing w:before="0" w:after="0"/>
              <w:jc w:val="left"/>
              <w:rPr>
                <w:noProof/>
              </w:rPr>
            </w:pPr>
            <w:r w:rsidRPr="001357D3">
              <w:rPr>
                <w:noProof/>
                <w:sz w:val="22"/>
              </w:rPr>
              <w:t xml:space="preserve"> Pozostałe wydatki administracyjne </w:t>
            </w:r>
          </w:p>
        </w:tc>
        <w:tc>
          <w:tcPr>
            <w:tcW w:w="957" w:type="dxa"/>
            <w:tcBorders>
              <w:top w:val="single" w:sz="8" w:space="0" w:color="auto"/>
              <w:left w:val="nil"/>
              <w:bottom w:val="single" w:sz="4" w:space="0" w:color="auto"/>
              <w:right w:val="single" w:sz="8" w:space="0" w:color="auto"/>
            </w:tcBorders>
            <w:shd w:val="clear" w:color="auto" w:fill="D9D9D9" w:themeFill="background1" w:themeFillShade="D9"/>
            <w:tcMar>
              <w:left w:w="108" w:type="dxa"/>
              <w:right w:w="108" w:type="dxa"/>
            </w:tcMar>
            <w:vAlign w:val="center"/>
          </w:tcPr>
          <w:p w14:paraId="2B639D4D" w14:textId="3024F47F" w:rsidR="00FA0CA8" w:rsidRPr="001357D3" w:rsidRDefault="00FA0CA8" w:rsidP="00FA0CA8">
            <w:pPr>
              <w:spacing w:before="0" w:after="0"/>
              <w:jc w:val="right"/>
              <w:rPr>
                <w:noProof/>
              </w:rPr>
            </w:pPr>
            <w:r w:rsidRPr="001357D3">
              <w:rPr>
                <w:noProof/>
                <w:sz w:val="20"/>
              </w:rPr>
              <w:t>0,380</w:t>
            </w:r>
          </w:p>
        </w:tc>
        <w:tc>
          <w:tcPr>
            <w:tcW w:w="95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left w:w="108" w:type="dxa"/>
              <w:right w:w="108" w:type="dxa"/>
            </w:tcMar>
            <w:vAlign w:val="center"/>
          </w:tcPr>
          <w:p w14:paraId="27966C24" w14:textId="7F83B747" w:rsidR="00FA0CA8" w:rsidRPr="001357D3" w:rsidRDefault="00FA0CA8" w:rsidP="00FA0CA8">
            <w:pPr>
              <w:spacing w:before="0" w:after="0"/>
              <w:jc w:val="right"/>
              <w:rPr>
                <w:noProof/>
              </w:rPr>
            </w:pPr>
            <w:r w:rsidRPr="001357D3">
              <w:rPr>
                <w:noProof/>
                <w:sz w:val="20"/>
              </w:rPr>
              <w:t>0,387</w:t>
            </w:r>
          </w:p>
        </w:tc>
        <w:tc>
          <w:tcPr>
            <w:tcW w:w="95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left w:w="108" w:type="dxa"/>
              <w:right w:w="108" w:type="dxa"/>
            </w:tcMar>
            <w:vAlign w:val="center"/>
          </w:tcPr>
          <w:p w14:paraId="50BF5A66" w14:textId="4000F732" w:rsidR="00FA0CA8" w:rsidRPr="001357D3" w:rsidRDefault="00FA0CA8" w:rsidP="00FA0CA8">
            <w:pPr>
              <w:spacing w:before="0" w:after="0"/>
              <w:jc w:val="right"/>
              <w:rPr>
                <w:noProof/>
              </w:rPr>
            </w:pPr>
            <w:r w:rsidRPr="001357D3">
              <w:rPr>
                <w:noProof/>
                <w:sz w:val="20"/>
              </w:rPr>
              <w:t>0,395</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FBD32B" w14:textId="0C31D88F" w:rsidR="00FA0CA8" w:rsidRPr="001357D3" w:rsidRDefault="00FA0CA8" w:rsidP="00FA0CA8">
            <w:pPr>
              <w:spacing w:before="0" w:after="0"/>
              <w:jc w:val="right"/>
              <w:rPr>
                <w:noProof/>
              </w:rPr>
            </w:pPr>
            <w:r w:rsidRPr="001357D3">
              <w:rPr>
                <w:noProof/>
                <w:sz w:val="20"/>
              </w:rPr>
              <w:t>0,403</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E109D6" w14:textId="135F33C0" w:rsidR="00FA0CA8" w:rsidRPr="001357D3" w:rsidRDefault="00FA0CA8" w:rsidP="00FA0CA8">
            <w:pPr>
              <w:spacing w:before="0" w:after="0"/>
              <w:jc w:val="right"/>
              <w:rPr>
                <w:noProof/>
              </w:rPr>
            </w:pPr>
            <w:r w:rsidRPr="001357D3">
              <w:rPr>
                <w:noProof/>
                <w:sz w:val="20"/>
              </w:rPr>
              <w:t>0,411</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434231" w14:textId="45D6D8FB" w:rsidR="00FA0CA8" w:rsidRPr="001357D3" w:rsidRDefault="00FA0CA8" w:rsidP="00FA0CA8">
            <w:pPr>
              <w:spacing w:before="0" w:after="0"/>
              <w:jc w:val="right"/>
              <w:rPr>
                <w:noProof/>
              </w:rPr>
            </w:pPr>
            <w:r w:rsidRPr="001357D3">
              <w:rPr>
                <w:noProof/>
                <w:sz w:val="20"/>
              </w:rPr>
              <w:t>0,420</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4F178F" w14:textId="2E73B063" w:rsidR="00FA0CA8" w:rsidRPr="001357D3" w:rsidRDefault="00FA0CA8" w:rsidP="00FA0CA8">
            <w:pPr>
              <w:spacing w:before="0" w:after="0"/>
              <w:jc w:val="right"/>
              <w:rPr>
                <w:noProof/>
              </w:rPr>
            </w:pPr>
            <w:r w:rsidRPr="001357D3">
              <w:rPr>
                <w:noProof/>
                <w:sz w:val="20"/>
              </w:rPr>
              <w:t>0,428</w:t>
            </w:r>
          </w:p>
        </w:tc>
        <w:tc>
          <w:tcPr>
            <w:tcW w:w="1082"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3647A6E9" w14:textId="57421EF7" w:rsidR="00FA0CA8" w:rsidRPr="001357D3" w:rsidRDefault="00FA0CA8" w:rsidP="00FA0CA8">
            <w:pPr>
              <w:spacing w:before="0" w:after="0"/>
              <w:jc w:val="right"/>
              <w:rPr>
                <w:noProof/>
              </w:rPr>
            </w:pPr>
            <w:r w:rsidRPr="001357D3">
              <w:rPr>
                <w:b/>
                <w:noProof/>
                <w:sz w:val="20"/>
              </w:rPr>
              <w:t>2,824</w:t>
            </w:r>
          </w:p>
        </w:tc>
      </w:tr>
      <w:tr w:rsidR="00D31917" w:rsidRPr="001357D3" w14:paraId="194622E8" w14:textId="77777777" w:rsidTr="00FA0CA8">
        <w:trPr>
          <w:trHeight w:val="855"/>
        </w:trPr>
        <w:tc>
          <w:tcPr>
            <w:tcW w:w="20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193F76" w14:textId="68CDB6D1" w:rsidR="00FA0CA8" w:rsidRPr="001357D3" w:rsidRDefault="00FA0CA8" w:rsidP="00FA0CA8">
            <w:pPr>
              <w:spacing w:before="0" w:after="0"/>
              <w:jc w:val="center"/>
              <w:rPr>
                <w:noProof/>
              </w:rPr>
            </w:pPr>
            <w:r w:rsidRPr="001357D3">
              <w:rPr>
                <w:b/>
                <w:noProof/>
                <w:sz w:val="22"/>
              </w:rPr>
              <w:t xml:space="preserve">OGÓŁEM DLA DG </w:t>
            </w:r>
            <w:r w:rsidRPr="001357D3">
              <w:rPr>
                <w:noProof/>
                <w:sz w:val="22"/>
              </w:rPr>
              <w:t>&lt;DG ds. Sprawiedliwości</w:t>
            </w:r>
            <w:r w:rsidR="001C6403" w:rsidRPr="001357D3">
              <w:rPr>
                <w:noProof/>
                <w:sz w:val="22"/>
              </w:rPr>
              <w:t xml:space="preserve"> </w:t>
            </w:r>
            <w:r w:rsidR="001C6403" w:rsidRPr="001357D3">
              <w:rPr>
                <w:noProof/>
                <w:sz w:val="22"/>
              </w:rPr>
              <w:lastRenderedPageBreak/>
              <w:t>i</w:t>
            </w:r>
            <w:r w:rsidR="001C6403">
              <w:rPr>
                <w:noProof/>
                <w:sz w:val="22"/>
              </w:rPr>
              <w:t> </w:t>
            </w:r>
            <w:r w:rsidR="001C6403" w:rsidRPr="001357D3">
              <w:rPr>
                <w:noProof/>
                <w:sz w:val="22"/>
              </w:rPr>
              <w:t>Kon</w:t>
            </w:r>
            <w:r w:rsidRPr="001357D3">
              <w:rPr>
                <w:noProof/>
                <w:sz w:val="22"/>
              </w:rPr>
              <w:t>sumentów&gt;</w:t>
            </w:r>
          </w:p>
        </w:tc>
        <w:tc>
          <w:tcPr>
            <w:tcW w:w="417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A474B3" w14:textId="77777777" w:rsidR="00FA0CA8" w:rsidRPr="001357D3" w:rsidRDefault="00FA0CA8" w:rsidP="00FA0CA8">
            <w:pPr>
              <w:spacing w:before="0" w:after="0"/>
              <w:jc w:val="left"/>
              <w:rPr>
                <w:noProof/>
              </w:rPr>
            </w:pPr>
            <w:r w:rsidRPr="001357D3">
              <w:rPr>
                <w:noProof/>
                <w:sz w:val="18"/>
              </w:rPr>
              <w:lastRenderedPageBreak/>
              <w:t xml:space="preserve">Środki </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E1DC0FB" w14:textId="4B27E476" w:rsidR="00FA0CA8" w:rsidRPr="001357D3" w:rsidRDefault="00FA0CA8" w:rsidP="00FA0CA8">
            <w:pPr>
              <w:spacing w:before="0" w:after="0"/>
              <w:jc w:val="right"/>
              <w:rPr>
                <w:noProof/>
              </w:rPr>
            </w:pPr>
            <w:r w:rsidRPr="001357D3">
              <w:rPr>
                <w:b/>
                <w:noProof/>
                <w:sz w:val="20"/>
              </w:rPr>
              <w:t>9,850</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368141BD" w14:textId="564361B2" w:rsidR="00FA0CA8" w:rsidRPr="001357D3" w:rsidRDefault="00FA0CA8" w:rsidP="00FA0CA8">
            <w:pPr>
              <w:spacing w:before="0" w:after="0"/>
              <w:jc w:val="right"/>
              <w:rPr>
                <w:noProof/>
              </w:rPr>
            </w:pPr>
            <w:r w:rsidRPr="001357D3">
              <w:rPr>
                <w:b/>
                <w:noProof/>
                <w:sz w:val="20"/>
              </w:rPr>
              <w:t>9,857</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7C3C05C" w14:textId="63298250" w:rsidR="00FA0CA8" w:rsidRPr="001357D3" w:rsidRDefault="00FA0CA8" w:rsidP="00FA0CA8">
            <w:pPr>
              <w:spacing w:before="0" w:after="0"/>
              <w:jc w:val="right"/>
              <w:rPr>
                <w:noProof/>
              </w:rPr>
            </w:pPr>
            <w:r w:rsidRPr="001357D3">
              <w:rPr>
                <w:b/>
                <w:noProof/>
                <w:sz w:val="20"/>
              </w:rPr>
              <w:t>9,865</w:t>
            </w:r>
          </w:p>
        </w:tc>
        <w:tc>
          <w:tcPr>
            <w:tcW w:w="957"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B754F3" w14:textId="4A792655" w:rsidR="00FA0CA8" w:rsidRPr="001357D3" w:rsidRDefault="00FA0CA8" w:rsidP="00FA0CA8">
            <w:pPr>
              <w:spacing w:before="0" w:after="0"/>
              <w:jc w:val="right"/>
              <w:rPr>
                <w:noProof/>
              </w:rPr>
            </w:pPr>
            <w:r w:rsidRPr="001357D3">
              <w:rPr>
                <w:b/>
                <w:noProof/>
                <w:sz w:val="20"/>
              </w:rPr>
              <w:t>9,873</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42CBB6" w14:textId="24C05A9B" w:rsidR="00FA0CA8" w:rsidRPr="001357D3" w:rsidRDefault="00FA0CA8" w:rsidP="00FA0CA8">
            <w:pPr>
              <w:spacing w:before="0" w:after="0"/>
              <w:jc w:val="right"/>
              <w:rPr>
                <w:noProof/>
              </w:rPr>
            </w:pPr>
            <w:r w:rsidRPr="001357D3">
              <w:rPr>
                <w:b/>
                <w:noProof/>
                <w:sz w:val="20"/>
              </w:rPr>
              <w:t>9,881</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8DF25D" w14:textId="700D3621" w:rsidR="00FA0CA8" w:rsidRPr="001357D3" w:rsidRDefault="00FA0CA8" w:rsidP="00FA0CA8">
            <w:pPr>
              <w:spacing w:before="0" w:after="0"/>
              <w:jc w:val="right"/>
              <w:rPr>
                <w:noProof/>
              </w:rPr>
            </w:pPr>
            <w:r w:rsidRPr="001357D3">
              <w:rPr>
                <w:b/>
                <w:noProof/>
                <w:sz w:val="20"/>
              </w:rPr>
              <w:t>9,890</w:t>
            </w:r>
          </w:p>
        </w:tc>
        <w:tc>
          <w:tcPr>
            <w:tcW w:w="9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97AD2F" w14:textId="45E273B8" w:rsidR="00FA0CA8" w:rsidRPr="001357D3" w:rsidRDefault="00FA0CA8" w:rsidP="00FA0CA8">
            <w:pPr>
              <w:spacing w:before="0" w:after="0"/>
              <w:jc w:val="right"/>
              <w:rPr>
                <w:noProof/>
              </w:rPr>
            </w:pPr>
            <w:r w:rsidRPr="001357D3">
              <w:rPr>
                <w:b/>
                <w:noProof/>
                <w:sz w:val="20"/>
              </w:rPr>
              <w:t>9,898</w:t>
            </w:r>
          </w:p>
        </w:tc>
        <w:tc>
          <w:tcPr>
            <w:tcW w:w="10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DB9DEC" w14:textId="7C62D7AC" w:rsidR="00FA0CA8" w:rsidRPr="001357D3" w:rsidRDefault="00FA0CA8" w:rsidP="00FA0CA8">
            <w:pPr>
              <w:spacing w:before="0" w:after="0"/>
              <w:jc w:val="right"/>
              <w:rPr>
                <w:noProof/>
              </w:rPr>
            </w:pPr>
            <w:r w:rsidRPr="001357D3">
              <w:rPr>
                <w:b/>
                <w:noProof/>
                <w:sz w:val="20"/>
              </w:rPr>
              <w:t>69,114</w:t>
            </w:r>
          </w:p>
        </w:tc>
      </w:tr>
    </w:tbl>
    <w:p w14:paraId="32B5CC4A" w14:textId="77777777" w:rsidR="00FA0CA8" w:rsidRPr="001357D3" w:rsidRDefault="00FA0CA8" w:rsidP="00FA0CA8">
      <w:pPr>
        <w:jc w:val="right"/>
        <w:rPr>
          <w:noProof/>
        </w:rPr>
      </w:pPr>
      <w:r w:rsidRPr="001357D3">
        <w:rPr>
          <w:noProof/>
          <w:sz w:val="20"/>
        </w:rPr>
        <w:t>w mln EUR (do trzech miejsc po przecinku)</w:t>
      </w:r>
    </w:p>
    <w:tbl>
      <w:tblPr>
        <w:tblW w:w="0" w:type="auto"/>
        <w:tblLayout w:type="fixed"/>
        <w:tblLook w:val="04A0" w:firstRow="1" w:lastRow="0" w:firstColumn="1" w:lastColumn="0" w:noHBand="0" w:noVBand="1"/>
      </w:tblPr>
      <w:tblGrid>
        <w:gridCol w:w="2451"/>
        <w:gridCol w:w="1838"/>
        <w:gridCol w:w="1192"/>
        <w:gridCol w:w="1192"/>
        <w:gridCol w:w="1195"/>
        <w:gridCol w:w="1195"/>
        <w:gridCol w:w="1195"/>
        <w:gridCol w:w="1195"/>
        <w:gridCol w:w="1195"/>
        <w:gridCol w:w="1345"/>
      </w:tblGrid>
      <w:tr w:rsidR="00D31917" w:rsidRPr="001357D3" w14:paraId="4ADD17F5" w14:textId="77777777" w:rsidTr="00FA0CA8">
        <w:trPr>
          <w:trHeight w:val="405"/>
        </w:trPr>
        <w:tc>
          <w:tcPr>
            <w:tcW w:w="4289"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6AFA98" w14:textId="11D5FA58" w:rsidR="00FA0CA8" w:rsidRPr="001357D3" w:rsidRDefault="00FA0CA8" w:rsidP="00FA0CA8">
            <w:pPr>
              <w:spacing w:before="0" w:after="0"/>
              <w:jc w:val="center"/>
              <w:rPr>
                <w:noProof/>
              </w:rPr>
            </w:pPr>
          </w:p>
        </w:tc>
        <w:tc>
          <w:tcPr>
            <w:tcW w:w="1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1C462D" w14:textId="77777777" w:rsidR="00FA0CA8" w:rsidRPr="001357D3" w:rsidRDefault="00FA0CA8" w:rsidP="00FA0CA8">
            <w:pPr>
              <w:spacing w:before="0" w:after="0"/>
              <w:jc w:val="center"/>
              <w:rPr>
                <w:noProof/>
              </w:rPr>
            </w:pPr>
            <w:r w:rsidRPr="001357D3">
              <w:rPr>
                <w:noProof/>
                <w:sz w:val="20"/>
              </w:rPr>
              <w:t>Rok</w:t>
            </w:r>
          </w:p>
        </w:tc>
        <w:tc>
          <w:tcPr>
            <w:tcW w:w="1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BD0596" w14:textId="77777777" w:rsidR="00FA0CA8" w:rsidRPr="001357D3" w:rsidRDefault="00FA0CA8" w:rsidP="00FA0CA8">
            <w:pPr>
              <w:spacing w:before="0" w:after="0"/>
              <w:jc w:val="center"/>
              <w:rPr>
                <w:noProof/>
              </w:rPr>
            </w:pPr>
            <w:r w:rsidRPr="001357D3">
              <w:rPr>
                <w:noProof/>
                <w:sz w:val="20"/>
              </w:rPr>
              <w:t>Rok</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8C3226" w14:textId="77777777" w:rsidR="00FA0CA8" w:rsidRPr="001357D3" w:rsidRDefault="00FA0CA8" w:rsidP="00FA0CA8">
            <w:pPr>
              <w:spacing w:before="0" w:after="0"/>
              <w:jc w:val="center"/>
              <w:rPr>
                <w:noProof/>
              </w:rPr>
            </w:pPr>
            <w:r w:rsidRPr="001357D3">
              <w:rPr>
                <w:noProof/>
                <w:sz w:val="20"/>
              </w:rPr>
              <w:t>Rok</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6C8971" w14:textId="77777777" w:rsidR="00FA0CA8" w:rsidRPr="001357D3" w:rsidRDefault="00FA0CA8" w:rsidP="00FA0CA8">
            <w:pPr>
              <w:spacing w:before="0" w:after="0"/>
              <w:jc w:val="center"/>
              <w:rPr>
                <w:noProof/>
              </w:rPr>
            </w:pPr>
            <w:r w:rsidRPr="001357D3">
              <w:rPr>
                <w:noProof/>
                <w:sz w:val="20"/>
              </w:rPr>
              <w:t>Rok</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E158EA" w14:textId="77777777" w:rsidR="00FA0CA8" w:rsidRPr="001357D3" w:rsidRDefault="00FA0CA8" w:rsidP="00FA0CA8">
            <w:pPr>
              <w:spacing w:before="0" w:after="0"/>
              <w:jc w:val="center"/>
              <w:rPr>
                <w:noProof/>
              </w:rPr>
            </w:pPr>
            <w:r w:rsidRPr="001357D3">
              <w:rPr>
                <w:noProof/>
                <w:sz w:val="20"/>
              </w:rPr>
              <w:t>Rok</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1CF0EF" w14:textId="77777777" w:rsidR="00FA0CA8" w:rsidRPr="001357D3" w:rsidRDefault="00FA0CA8" w:rsidP="00FA0CA8">
            <w:pPr>
              <w:spacing w:before="0" w:after="0"/>
              <w:jc w:val="center"/>
              <w:rPr>
                <w:noProof/>
              </w:rPr>
            </w:pPr>
            <w:r w:rsidRPr="001357D3">
              <w:rPr>
                <w:noProof/>
                <w:sz w:val="20"/>
              </w:rPr>
              <w:t>Rok</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53D831" w14:textId="77777777" w:rsidR="00FA0CA8" w:rsidRPr="001357D3" w:rsidRDefault="00FA0CA8" w:rsidP="00FA0CA8">
            <w:pPr>
              <w:spacing w:before="0" w:after="0"/>
              <w:jc w:val="center"/>
              <w:rPr>
                <w:noProof/>
              </w:rPr>
            </w:pPr>
            <w:r w:rsidRPr="001357D3">
              <w:rPr>
                <w:noProof/>
                <w:sz w:val="20"/>
              </w:rPr>
              <w:t>Rok</w:t>
            </w:r>
          </w:p>
        </w:tc>
        <w:tc>
          <w:tcPr>
            <w:tcW w:w="134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99A1B3" w14:textId="77777777" w:rsidR="00FA0CA8" w:rsidRPr="001357D3" w:rsidRDefault="00FA0CA8" w:rsidP="00FA0CA8">
            <w:pPr>
              <w:spacing w:before="0" w:after="0"/>
              <w:jc w:val="center"/>
              <w:rPr>
                <w:noProof/>
              </w:rPr>
            </w:pPr>
            <w:r w:rsidRPr="001357D3">
              <w:rPr>
                <w:b/>
                <w:noProof/>
                <w:sz w:val="20"/>
              </w:rPr>
              <w:t>OGÓŁEM WRF 2028–2034</w:t>
            </w:r>
          </w:p>
        </w:tc>
      </w:tr>
      <w:tr w:rsidR="00D31917" w:rsidRPr="001357D3" w14:paraId="633D8250" w14:textId="77777777" w:rsidTr="00FA0CA8">
        <w:trPr>
          <w:trHeight w:val="300"/>
        </w:trPr>
        <w:tc>
          <w:tcPr>
            <w:tcW w:w="4289" w:type="dxa"/>
            <w:gridSpan w:val="2"/>
            <w:vMerge/>
            <w:tcBorders>
              <w:top w:val="single" w:sz="4" w:space="0" w:color="auto"/>
              <w:left w:val="single" w:sz="4" w:space="0" w:color="auto"/>
              <w:bottom w:val="single" w:sz="4" w:space="0" w:color="auto"/>
              <w:right w:val="single" w:sz="4" w:space="0" w:color="auto"/>
            </w:tcBorders>
            <w:vAlign w:val="center"/>
          </w:tcPr>
          <w:p w14:paraId="1EECFA3B" w14:textId="77777777" w:rsidR="00FA0CA8" w:rsidRPr="001357D3" w:rsidRDefault="00FA0CA8" w:rsidP="00FA0CA8">
            <w:pPr>
              <w:rPr>
                <w:noProof/>
              </w:rPr>
            </w:pPr>
          </w:p>
        </w:tc>
        <w:tc>
          <w:tcPr>
            <w:tcW w:w="1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487650" w14:textId="77777777" w:rsidR="00FA0CA8" w:rsidRPr="001357D3" w:rsidRDefault="00FA0CA8" w:rsidP="00FA0CA8">
            <w:pPr>
              <w:spacing w:before="0" w:after="0"/>
              <w:jc w:val="center"/>
              <w:rPr>
                <w:noProof/>
              </w:rPr>
            </w:pPr>
            <w:r w:rsidRPr="001357D3">
              <w:rPr>
                <w:b/>
                <w:noProof/>
                <w:sz w:val="20"/>
              </w:rPr>
              <w:t>2028</w:t>
            </w:r>
          </w:p>
        </w:tc>
        <w:tc>
          <w:tcPr>
            <w:tcW w:w="1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EF9C79" w14:textId="77777777" w:rsidR="00FA0CA8" w:rsidRPr="001357D3" w:rsidRDefault="00FA0CA8" w:rsidP="00FA0CA8">
            <w:pPr>
              <w:spacing w:before="0" w:after="0"/>
              <w:jc w:val="center"/>
              <w:rPr>
                <w:noProof/>
              </w:rPr>
            </w:pPr>
            <w:r w:rsidRPr="001357D3">
              <w:rPr>
                <w:b/>
                <w:noProof/>
                <w:sz w:val="20"/>
              </w:rPr>
              <w:t>2029</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52BDC1" w14:textId="77777777" w:rsidR="00FA0CA8" w:rsidRPr="001357D3" w:rsidRDefault="00FA0CA8" w:rsidP="00FA0CA8">
            <w:pPr>
              <w:spacing w:before="0" w:after="0"/>
              <w:jc w:val="center"/>
              <w:rPr>
                <w:noProof/>
              </w:rPr>
            </w:pPr>
            <w:r w:rsidRPr="001357D3">
              <w:rPr>
                <w:b/>
                <w:noProof/>
                <w:sz w:val="20"/>
              </w:rPr>
              <w:t>2030</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4648E3" w14:textId="77777777" w:rsidR="00FA0CA8" w:rsidRPr="001357D3" w:rsidRDefault="00FA0CA8" w:rsidP="00FA0CA8">
            <w:pPr>
              <w:spacing w:before="0" w:after="0"/>
              <w:jc w:val="center"/>
              <w:rPr>
                <w:noProof/>
              </w:rPr>
            </w:pPr>
            <w:r w:rsidRPr="001357D3">
              <w:rPr>
                <w:b/>
                <w:noProof/>
                <w:sz w:val="20"/>
              </w:rPr>
              <w:t>2031</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671A02" w14:textId="77777777" w:rsidR="00FA0CA8" w:rsidRPr="001357D3" w:rsidRDefault="00FA0CA8" w:rsidP="00FA0CA8">
            <w:pPr>
              <w:spacing w:before="0" w:after="0"/>
              <w:jc w:val="center"/>
              <w:rPr>
                <w:noProof/>
              </w:rPr>
            </w:pPr>
            <w:r w:rsidRPr="001357D3">
              <w:rPr>
                <w:b/>
                <w:noProof/>
                <w:sz w:val="20"/>
              </w:rPr>
              <w:t>2032</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5DADFF" w14:textId="77777777" w:rsidR="00FA0CA8" w:rsidRPr="001357D3" w:rsidRDefault="00FA0CA8" w:rsidP="00FA0CA8">
            <w:pPr>
              <w:spacing w:before="0" w:after="0"/>
              <w:jc w:val="center"/>
              <w:rPr>
                <w:noProof/>
              </w:rPr>
            </w:pPr>
            <w:r w:rsidRPr="001357D3">
              <w:rPr>
                <w:b/>
                <w:noProof/>
                <w:sz w:val="20"/>
              </w:rPr>
              <w:t>2033</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E8DF6F" w14:textId="77777777" w:rsidR="00FA0CA8" w:rsidRPr="001357D3" w:rsidRDefault="00FA0CA8" w:rsidP="00FA0CA8">
            <w:pPr>
              <w:spacing w:before="0" w:after="0"/>
              <w:jc w:val="center"/>
              <w:rPr>
                <w:noProof/>
              </w:rPr>
            </w:pPr>
            <w:r w:rsidRPr="001357D3">
              <w:rPr>
                <w:b/>
                <w:noProof/>
                <w:sz w:val="20"/>
              </w:rPr>
              <w:t>2034</w:t>
            </w:r>
          </w:p>
        </w:tc>
        <w:tc>
          <w:tcPr>
            <w:tcW w:w="1345" w:type="dxa"/>
            <w:vMerge/>
            <w:tcBorders>
              <w:top w:val="single" w:sz="4" w:space="0" w:color="auto"/>
              <w:left w:val="single" w:sz="4" w:space="0" w:color="auto"/>
              <w:bottom w:val="single" w:sz="4" w:space="0" w:color="auto"/>
              <w:right w:val="single" w:sz="4" w:space="0" w:color="auto"/>
            </w:tcBorders>
            <w:vAlign w:val="center"/>
          </w:tcPr>
          <w:p w14:paraId="33D09053" w14:textId="77777777" w:rsidR="00FA0CA8" w:rsidRPr="001357D3" w:rsidRDefault="00FA0CA8" w:rsidP="00FA0CA8">
            <w:pPr>
              <w:rPr>
                <w:noProof/>
              </w:rPr>
            </w:pPr>
          </w:p>
        </w:tc>
      </w:tr>
      <w:tr w:rsidR="00D31917" w:rsidRPr="001357D3" w14:paraId="354CAECE" w14:textId="77777777" w:rsidTr="00FA0CA8">
        <w:trPr>
          <w:trHeight w:val="420"/>
        </w:trPr>
        <w:tc>
          <w:tcPr>
            <w:tcW w:w="2451" w:type="dxa"/>
            <w:tcBorders>
              <w:top w:val="single" w:sz="4" w:space="0" w:color="auto"/>
              <w:left w:val="single" w:sz="4" w:space="0" w:color="auto"/>
              <w:bottom w:val="single" w:sz="4" w:space="0" w:color="auto"/>
              <w:right w:val="single" w:sz="4" w:space="0" w:color="auto"/>
            </w:tcBorders>
            <w:shd w:val="clear" w:color="auto" w:fill="C0C0C0"/>
            <w:tcMar>
              <w:left w:w="108" w:type="dxa"/>
              <w:right w:w="108" w:type="dxa"/>
            </w:tcMar>
            <w:vAlign w:val="center"/>
          </w:tcPr>
          <w:p w14:paraId="49BD1FD0" w14:textId="1AB0B25B" w:rsidR="00FA0CA8" w:rsidRPr="001357D3" w:rsidRDefault="00FA0CA8" w:rsidP="00FA0CA8">
            <w:pPr>
              <w:spacing w:before="0" w:after="0"/>
              <w:jc w:val="center"/>
              <w:rPr>
                <w:noProof/>
              </w:rPr>
            </w:pPr>
            <w:r w:rsidRPr="001357D3">
              <w:rPr>
                <w:b/>
                <w:noProof/>
                <w:sz w:val="22"/>
              </w:rPr>
              <w:t xml:space="preserve">OGÓŁEM środki na DZIAŁY </w:t>
            </w:r>
            <w:r w:rsidRPr="001C6403">
              <w:rPr>
                <w:b/>
                <w:noProof/>
                <w:sz w:val="22"/>
              </w:rPr>
              <w:t>od</w:t>
            </w:r>
            <w:r w:rsidR="001C6403" w:rsidRPr="001C6403">
              <w:rPr>
                <w:b/>
                <w:noProof/>
                <w:sz w:val="22"/>
              </w:rPr>
              <w:t> </w:t>
            </w:r>
            <w:r w:rsidRPr="001C6403">
              <w:rPr>
                <w:b/>
                <w:noProof/>
                <w:sz w:val="22"/>
              </w:rPr>
              <w:t>1</w:t>
            </w:r>
            <w:r w:rsidRPr="001357D3">
              <w:rPr>
                <w:b/>
                <w:noProof/>
                <w:sz w:val="22"/>
              </w:rPr>
              <w:t xml:space="preserve"> </w:t>
            </w:r>
            <w:r w:rsidRPr="001C6403">
              <w:rPr>
                <w:b/>
                <w:noProof/>
                <w:sz w:val="22"/>
              </w:rPr>
              <w:t>do</w:t>
            </w:r>
            <w:r w:rsidR="001C6403" w:rsidRPr="001C6403">
              <w:rPr>
                <w:b/>
                <w:noProof/>
                <w:sz w:val="22"/>
              </w:rPr>
              <w:t> </w:t>
            </w:r>
            <w:r w:rsidRPr="001C6403">
              <w:rPr>
                <w:b/>
                <w:noProof/>
                <w:sz w:val="22"/>
              </w:rPr>
              <w:t>4</w:t>
            </w:r>
          </w:p>
        </w:tc>
        <w:tc>
          <w:tcPr>
            <w:tcW w:w="1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7A45DA" w14:textId="77777777" w:rsidR="00FA0CA8" w:rsidRPr="001357D3" w:rsidRDefault="00FA0CA8" w:rsidP="00FA0CA8">
            <w:pPr>
              <w:spacing w:before="0" w:after="0"/>
              <w:rPr>
                <w:noProof/>
              </w:rPr>
            </w:pPr>
            <w:r w:rsidRPr="001357D3">
              <w:rPr>
                <w:noProof/>
                <w:sz w:val="18"/>
              </w:rPr>
              <w:t>Środki na zobowiązania</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8D6AD7D" w14:textId="4A96FDB4" w:rsidR="00FA0CA8" w:rsidRPr="001357D3" w:rsidRDefault="00BB2DD4" w:rsidP="00FA0CA8">
            <w:pPr>
              <w:spacing w:before="0" w:after="0"/>
              <w:jc w:val="right"/>
              <w:rPr>
                <w:noProof/>
                <w:sz w:val="20"/>
                <w:szCs w:val="20"/>
              </w:rPr>
            </w:pPr>
            <w:r w:rsidRPr="001357D3">
              <w:rPr>
                <w:b/>
                <w:noProof/>
                <w:sz w:val="20"/>
              </w:rPr>
              <w:t>p.m.</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ECA6076" w14:textId="6F886ACC" w:rsidR="00FA0CA8" w:rsidRPr="001357D3" w:rsidRDefault="00BB2DD4" w:rsidP="00FA0CA8">
            <w:pPr>
              <w:spacing w:before="0" w:after="0"/>
              <w:jc w:val="right"/>
              <w:rPr>
                <w:noProof/>
                <w:sz w:val="20"/>
                <w:szCs w:val="20"/>
              </w:rPr>
            </w:pPr>
            <w:r w:rsidRPr="001357D3">
              <w:rPr>
                <w:b/>
                <w:noProof/>
                <w:sz w:val="20"/>
              </w:rPr>
              <w:t>p.m.</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4E376B8" w14:textId="3A443959" w:rsidR="00FA0CA8" w:rsidRPr="001357D3" w:rsidRDefault="00BB2DD4" w:rsidP="00FA0CA8">
            <w:pPr>
              <w:spacing w:before="0" w:after="0"/>
              <w:jc w:val="right"/>
              <w:rPr>
                <w:noProof/>
                <w:sz w:val="20"/>
                <w:szCs w:val="20"/>
              </w:rPr>
            </w:pPr>
            <w:r w:rsidRPr="001357D3">
              <w:rPr>
                <w:b/>
                <w:noProof/>
                <w:sz w:val="20"/>
              </w:rPr>
              <w:t>p.m.</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54E413D" w14:textId="4CAEB501" w:rsidR="00FA0CA8" w:rsidRPr="001357D3" w:rsidRDefault="00BB2DD4" w:rsidP="00FA0CA8">
            <w:pPr>
              <w:spacing w:before="0" w:after="0"/>
              <w:jc w:val="right"/>
              <w:rPr>
                <w:noProof/>
                <w:sz w:val="20"/>
                <w:szCs w:val="20"/>
              </w:rPr>
            </w:pPr>
            <w:r w:rsidRPr="001357D3">
              <w:rPr>
                <w:b/>
                <w:noProof/>
                <w:sz w:val="20"/>
              </w:rPr>
              <w:t>p.m.</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629BD8C" w14:textId="7D18F682" w:rsidR="00FA0CA8" w:rsidRPr="001357D3" w:rsidRDefault="00BB2DD4" w:rsidP="00FA0CA8">
            <w:pPr>
              <w:spacing w:before="0" w:after="0"/>
              <w:jc w:val="right"/>
              <w:rPr>
                <w:noProof/>
                <w:sz w:val="20"/>
                <w:szCs w:val="20"/>
              </w:rPr>
            </w:pPr>
            <w:r w:rsidRPr="001357D3">
              <w:rPr>
                <w:b/>
                <w:noProof/>
                <w:sz w:val="20"/>
              </w:rPr>
              <w:t>p.m.</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A59450E" w14:textId="39DEC840" w:rsidR="00FA0CA8" w:rsidRPr="001357D3" w:rsidRDefault="00BB2DD4" w:rsidP="00FA0CA8">
            <w:pPr>
              <w:spacing w:before="0" w:after="0"/>
              <w:jc w:val="right"/>
              <w:rPr>
                <w:noProof/>
                <w:sz w:val="20"/>
                <w:szCs w:val="20"/>
              </w:rPr>
            </w:pPr>
            <w:r w:rsidRPr="001357D3">
              <w:rPr>
                <w:b/>
                <w:noProof/>
                <w:sz w:val="20"/>
              </w:rPr>
              <w:t>p.m.</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DBAEF79" w14:textId="109A07BF" w:rsidR="00FA0CA8" w:rsidRPr="001357D3" w:rsidRDefault="00BB2DD4" w:rsidP="00FA0CA8">
            <w:pPr>
              <w:spacing w:before="0" w:after="0"/>
              <w:jc w:val="right"/>
              <w:rPr>
                <w:noProof/>
                <w:sz w:val="20"/>
                <w:szCs w:val="20"/>
              </w:rPr>
            </w:pPr>
            <w:r w:rsidRPr="001357D3">
              <w:rPr>
                <w:b/>
                <w:noProof/>
                <w:sz w:val="20"/>
              </w:rPr>
              <w:t>p.m.</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781B014" w14:textId="407F936A" w:rsidR="00FA0CA8" w:rsidRPr="001357D3" w:rsidRDefault="00BB2DD4" w:rsidP="00FA0CA8">
            <w:pPr>
              <w:spacing w:before="0" w:after="0"/>
              <w:jc w:val="right"/>
              <w:rPr>
                <w:noProof/>
                <w:sz w:val="20"/>
                <w:szCs w:val="20"/>
              </w:rPr>
            </w:pPr>
            <w:r w:rsidRPr="001357D3">
              <w:rPr>
                <w:b/>
                <w:noProof/>
                <w:sz w:val="20"/>
              </w:rPr>
              <w:t>p.m.</w:t>
            </w:r>
          </w:p>
        </w:tc>
      </w:tr>
      <w:tr w:rsidR="00D31917" w:rsidRPr="001357D3" w14:paraId="4500402A" w14:textId="77777777" w:rsidTr="00FA0CA8">
        <w:trPr>
          <w:trHeight w:val="420"/>
        </w:trPr>
        <w:tc>
          <w:tcPr>
            <w:tcW w:w="2451" w:type="dxa"/>
            <w:tcBorders>
              <w:top w:val="single" w:sz="4" w:space="0" w:color="auto"/>
              <w:left w:val="single" w:sz="8" w:space="0" w:color="auto"/>
              <w:bottom w:val="single" w:sz="8" w:space="0" w:color="000000" w:themeColor="text1"/>
              <w:right w:val="single" w:sz="8" w:space="0" w:color="000000" w:themeColor="text1"/>
            </w:tcBorders>
            <w:shd w:val="clear" w:color="auto" w:fill="C0C0C0"/>
            <w:tcMar>
              <w:left w:w="108" w:type="dxa"/>
              <w:right w:w="108" w:type="dxa"/>
            </w:tcMar>
            <w:vAlign w:val="center"/>
          </w:tcPr>
          <w:p w14:paraId="59DAEFDF" w14:textId="77777777" w:rsidR="00FA0CA8" w:rsidRPr="001357D3" w:rsidRDefault="00FA0CA8" w:rsidP="00FA0CA8">
            <w:pPr>
              <w:spacing w:before="0" w:after="0"/>
              <w:jc w:val="center"/>
              <w:rPr>
                <w:noProof/>
              </w:rPr>
            </w:pPr>
            <w:r w:rsidRPr="001357D3">
              <w:rPr>
                <w:noProof/>
                <w:sz w:val="22"/>
              </w:rPr>
              <w:t>wieloletnich ram finansowych</w:t>
            </w:r>
            <w:r w:rsidRPr="001357D3">
              <w:rPr>
                <w:b/>
                <w:noProof/>
                <w:sz w:val="22"/>
              </w:rPr>
              <w:t xml:space="preserve"> </w:t>
            </w:r>
          </w:p>
        </w:tc>
        <w:tc>
          <w:tcPr>
            <w:tcW w:w="1838"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313273" w14:textId="77777777" w:rsidR="00FA0CA8" w:rsidRPr="001357D3" w:rsidRDefault="00FA0CA8" w:rsidP="00FA0CA8">
            <w:pPr>
              <w:spacing w:before="0" w:after="0"/>
              <w:rPr>
                <w:noProof/>
              </w:rPr>
            </w:pPr>
            <w:r w:rsidRPr="001357D3">
              <w:rPr>
                <w:noProof/>
                <w:sz w:val="18"/>
              </w:rPr>
              <w:t>Środki na płatności</w:t>
            </w:r>
          </w:p>
        </w:tc>
        <w:tc>
          <w:tcPr>
            <w:tcW w:w="1192"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6949F4" w14:textId="77777777" w:rsidR="00FA0CA8" w:rsidRPr="001357D3" w:rsidRDefault="00FA0CA8" w:rsidP="00FA0CA8">
            <w:pPr>
              <w:spacing w:before="0" w:after="0"/>
              <w:jc w:val="right"/>
              <w:rPr>
                <w:noProof/>
              </w:rPr>
            </w:pPr>
            <w:r w:rsidRPr="001357D3">
              <w:rPr>
                <w:b/>
                <w:noProof/>
                <w:sz w:val="20"/>
              </w:rPr>
              <w:t>p.m.</w:t>
            </w:r>
          </w:p>
        </w:tc>
        <w:tc>
          <w:tcPr>
            <w:tcW w:w="1192"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47103A" w14:textId="77777777" w:rsidR="00FA0CA8" w:rsidRPr="001357D3" w:rsidRDefault="00FA0CA8" w:rsidP="00FA0CA8">
            <w:pPr>
              <w:spacing w:before="0" w:after="0"/>
              <w:jc w:val="right"/>
              <w:rPr>
                <w:noProof/>
              </w:rPr>
            </w:pPr>
            <w:r w:rsidRPr="001357D3">
              <w:rPr>
                <w:b/>
                <w:noProof/>
                <w:sz w:val="20"/>
              </w:rPr>
              <w:t>p.m.</w:t>
            </w:r>
          </w:p>
        </w:tc>
        <w:tc>
          <w:tcPr>
            <w:tcW w:w="119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463AD7" w14:textId="77777777" w:rsidR="00FA0CA8" w:rsidRPr="001357D3" w:rsidRDefault="00FA0CA8" w:rsidP="00FA0CA8">
            <w:pPr>
              <w:spacing w:before="0" w:after="0"/>
              <w:jc w:val="right"/>
              <w:rPr>
                <w:noProof/>
              </w:rPr>
            </w:pPr>
            <w:r w:rsidRPr="001357D3">
              <w:rPr>
                <w:b/>
                <w:noProof/>
                <w:sz w:val="20"/>
              </w:rPr>
              <w:t>p.m.</w:t>
            </w:r>
          </w:p>
        </w:tc>
        <w:tc>
          <w:tcPr>
            <w:tcW w:w="119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4C25AC" w14:textId="77777777" w:rsidR="00FA0CA8" w:rsidRPr="001357D3" w:rsidRDefault="00FA0CA8" w:rsidP="00FA0CA8">
            <w:pPr>
              <w:spacing w:before="0" w:after="0"/>
              <w:jc w:val="right"/>
              <w:rPr>
                <w:noProof/>
              </w:rPr>
            </w:pPr>
            <w:r w:rsidRPr="001357D3">
              <w:rPr>
                <w:b/>
                <w:noProof/>
                <w:sz w:val="20"/>
              </w:rPr>
              <w:t>p.m.</w:t>
            </w:r>
          </w:p>
        </w:tc>
        <w:tc>
          <w:tcPr>
            <w:tcW w:w="119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4DE99C" w14:textId="77777777" w:rsidR="00FA0CA8" w:rsidRPr="001357D3" w:rsidRDefault="00FA0CA8" w:rsidP="00FA0CA8">
            <w:pPr>
              <w:spacing w:before="0" w:after="0"/>
              <w:jc w:val="right"/>
              <w:rPr>
                <w:noProof/>
              </w:rPr>
            </w:pPr>
            <w:r w:rsidRPr="001357D3">
              <w:rPr>
                <w:b/>
                <w:noProof/>
                <w:sz w:val="20"/>
              </w:rPr>
              <w:t>p.m.</w:t>
            </w:r>
          </w:p>
        </w:tc>
        <w:tc>
          <w:tcPr>
            <w:tcW w:w="119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07F35F" w14:textId="77777777" w:rsidR="00FA0CA8" w:rsidRPr="001357D3" w:rsidRDefault="00FA0CA8" w:rsidP="00FA0CA8">
            <w:pPr>
              <w:spacing w:before="0" w:after="0"/>
              <w:jc w:val="right"/>
              <w:rPr>
                <w:noProof/>
              </w:rPr>
            </w:pPr>
            <w:r w:rsidRPr="001357D3">
              <w:rPr>
                <w:b/>
                <w:noProof/>
                <w:sz w:val="20"/>
              </w:rPr>
              <w:t>p.m.</w:t>
            </w:r>
          </w:p>
        </w:tc>
        <w:tc>
          <w:tcPr>
            <w:tcW w:w="119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103F75" w14:textId="77777777" w:rsidR="00FA0CA8" w:rsidRPr="001357D3" w:rsidRDefault="00FA0CA8" w:rsidP="00FA0CA8">
            <w:pPr>
              <w:spacing w:before="0" w:after="0"/>
              <w:jc w:val="right"/>
              <w:rPr>
                <w:noProof/>
              </w:rPr>
            </w:pPr>
            <w:r w:rsidRPr="001357D3">
              <w:rPr>
                <w:b/>
                <w:noProof/>
                <w:sz w:val="20"/>
              </w:rPr>
              <w:t>p.m.</w:t>
            </w:r>
          </w:p>
        </w:tc>
        <w:tc>
          <w:tcPr>
            <w:tcW w:w="1345" w:type="dxa"/>
            <w:tcBorders>
              <w:top w:val="single" w:sz="4"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135F2AF9" w14:textId="77777777" w:rsidR="00FA0CA8" w:rsidRPr="001357D3" w:rsidRDefault="00FA0CA8" w:rsidP="00FA0CA8">
            <w:pPr>
              <w:spacing w:before="0" w:after="0"/>
              <w:jc w:val="right"/>
              <w:rPr>
                <w:noProof/>
              </w:rPr>
            </w:pPr>
            <w:r w:rsidRPr="001357D3">
              <w:rPr>
                <w:b/>
                <w:noProof/>
                <w:sz w:val="20"/>
              </w:rPr>
              <w:t>p.m.</w:t>
            </w:r>
          </w:p>
        </w:tc>
      </w:tr>
    </w:tbl>
    <w:p w14:paraId="35AA5D75" w14:textId="2344D950" w:rsidR="00FA0CA8" w:rsidRPr="001357D3" w:rsidRDefault="00FA0CA8" w:rsidP="00FA0CA8">
      <w:pPr>
        <w:keepNext/>
        <w:tabs>
          <w:tab w:val="left" w:pos="850"/>
        </w:tabs>
        <w:ind w:left="850" w:hanging="850"/>
        <w:outlineLvl w:val="2"/>
        <w:rPr>
          <w:i/>
          <w:noProof/>
        </w:rPr>
      </w:pPr>
      <w:bookmarkStart w:id="218" w:name="_Toc514938054"/>
      <w:bookmarkStart w:id="219" w:name="_Toc520485053"/>
      <w:bookmarkStart w:id="220" w:name="_Toc160804597"/>
      <w:bookmarkStart w:id="221" w:name="_Toc167220289"/>
      <w:bookmarkStart w:id="222" w:name="_Toc177549022"/>
      <w:bookmarkStart w:id="223" w:name="_Toc210923281"/>
      <w:r w:rsidRPr="001357D3">
        <w:rPr>
          <w:i/>
          <w:noProof/>
        </w:rPr>
        <w:t>3.2.2.</w:t>
      </w:r>
      <w:r w:rsidRPr="001357D3">
        <w:rPr>
          <w:noProof/>
        </w:rPr>
        <w:tab/>
      </w:r>
      <w:r w:rsidRPr="001357D3">
        <w:rPr>
          <w:i/>
          <w:noProof/>
        </w:rPr>
        <w:t>Szacowany produkt finansowany ze środków operacyjnych</w:t>
      </w:r>
      <w:bookmarkEnd w:id="218"/>
      <w:bookmarkEnd w:id="219"/>
      <w:r w:rsidRPr="001357D3">
        <w:rPr>
          <w:noProof/>
        </w:rPr>
        <w:t xml:space="preserve"> </w:t>
      </w:r>
      <w:r w:rsidRPr="001357D3">
        <w:rPr>
          <w:i/>
          <w:iCs/>
          <w:noProof/>
        </w:rPr>
        <w:t>(nie wypełniać</w:t>
      </w:r>
      <w:r w:rsidR="001C6403" w:rsidRPr="001357D3">
        <w:rPr>
          <w:i/>
          <w:iCs/>
          <w:noProof/>
        </w:rPr>
        <w:t xml:space="preserve"> w</w:t>
      </w:r>
      <w:r w:rsidR="001C6403">
        <w:rPr>
          <w:i/>
          <w:iCs/>
          <w:noProof/>
        </w:rPr>
        <w:t> </w:t>
      </w:r>
      <w:r w:rsidR="001C6403" w:rsidRPr="001357D3">
        <w:rPr>
          <w:i/>
          <w:iCs/>
          <w:noProof/>
        </w:rPr>
        <w:t>prz</w:t>
      </w:r>
      <w:r w:rsidRPr="001357D3">
        <w:rPr>
          <w:i/>
          <w:iCs/>
          <w:noProof/>
        </w:rPr>
        <w:t>ypadku agencji zdecentralizowanych)</w:t>
      </w:r>
      <w:bookmarkEnd w:id="220"/>
      <w:bookmarkEnd w:id="221"/>
      <w:bookmarkEnd w:id="222"/>
      <w:bookmarkEnd w:id="223"/>
    </w:p>
    <w:p w14:paraId="63D00EF1" w14:textId="0BA4FEB1" w:rsidR="00FA0CA8" w:rsidRPr="001357D3" w:rsidRDefault="00FA0CA8" w:rsidP="00FA0CA8">
      <w:pPr>
        <w:ind w:left="850"/>
        <w:rPr>
          <w:noProof/>
        </w:rPr>
      </w:pPr>
      <w:r w:rsidRPr="001357D3">
        <w:rPr>
          <w:noProof/>
        </w:rPr>
        <w:t>Wskaźniki produktu</w:t>
      </w:r>
      <w:r w:rsidR="001C6403" w:rsidRPr="001357D3">
        <w:rPr>
          <w:noProof/>
        </w:rPr>
        <w:t xml:space="preserve"> i</w:t>
      </w:r>
      <w:r w:rsidR="001C6403">
        <w:rPr>
          <w:noProof/>
        </w:rPr>
        <w:t> </w:t>
      </w:r>
      <w:r w:rsidR="001C6403" w:rsidRPr="001357D3">
        <w:rPr>
          <w:noProof/>
        </w:rPr>
        <w:t>rez</w:t>
      </w:r>
      <w:r w:rsidRPr="001357D3">
        <w:rPr>
          <w:noProof/>
        </w:rPr>
        <w:t>ultatu służące monitorowaniu postępów</w:t>
      </w:r>
      <w:r w:rsidR="001C6403" w:rsidRPr="001357D3">
        <w:rPr>
          <w:noProof/>
        </w:rPr>
        <w:t xml:space="preserve"> i</w:t>
      </w:r>
      <w:r w:rsidR="001C6403">
        <w:rPr>
          <w:noProof/>
        </w:rPr>
        <w:t> </w:t>
      </w:r>
      <w:r w:rsidR="001C6403" w:rsidRPr="001357D3">
        <w:rPr>
          <w:noProof/>
        </w:rPr>
        <w:t>osi</w:t>
      </w:r>
      <w:r w:rsidRPr="001357D3">
        <w:rPr>
          <w:noProof/>
        </w:rPr>
        <w:t>ągnięć niniejszego programu będą odpowiadać wspólnym wskaźnikom określonym</w:t>
      </w:r>
      <w:r w:rsidR="001C6403" w:rsidRPr="001357D3">
        <w:rPr>
          <w:noProof/>
        </w:rPr>
        <w:t xml:space="preserve"> w</w:t>
      </w:r>
      <w:r w:rsidR="001C6403">
        <w:rPr>
          <w:noProof/>
        </w:rPr>
        <w:t> </w:t>
      </w:r>
      <w:r w:rsidR="001C6403" w:rsidRPr="001357D3">
        <w:rPr>
          <w:noProof/>
        </w:rPr>
        <w:t>roz</w:t>
      </w:r>
      <w:r w:rsidRPr="001357D3">
        <w:rPr>
          <w:noProof/>
        </w:rPr>
        <w:t>porządzeniu Parlamentu Europejskiego</w:t>
      </w:r>
      <w:r w:rsidR="001C6403" w:rsidRPr="001357D3">
        <w:rPr>
          <w:noProof/>
        </w:rPr>
        <w:t xml:space="preserve"> i</w:t>
      </w:r>
      <w:r w:rsidR="001C6403">
        <w:rPr>
          <w:noProof/>
        </w:rPr>
        <w:t> </w:t>
      </w:r>
      <w:r w:rsidR="001C6403" w:rsidRPr="001357D3">
        <w:rPr>
          <w:noProof/>
        </w:rPr>
        <w:t>Rad</w:t>
      </w:r>
      <w:r w:rsidRPr="001357D3">
        <w:rPr>
          <w:noProof/>
        </w:rPr>
        <w:t>y (UE) [XXX]* [rozporządzenie</w:t>
      </w:r>
      <w:r w:rsidR="001C6403" w:rsidRPr="001357D3">
        <w:rPr>
          <w:noProof/>
        </w:rPr>
        <w:t xml:space="preserve"> w</w:t>
      </w:r>
      <w:r w:rsidR="001C6403">
        <w:rPr>
          <w:noProof/>
        </w:rPr>
        <w:t> </w:t>
      </w:r>
      <w:r w:rsidR="001C6403" w:rsidRPr="001357D3">
        <w:rPr>
          <w:noProof/>
        </w:rPr>
        <w:t>spr</w:t>
      </w:r>
      <w:r w:rsidRPr="001357D3">
        <w:rPr>
          <w:noProof/>
        </w:rPr>
        <w:t>awie wykonania].</w:t>
      </w:r>
    </w:p>
    <w:p w14:paraId="3FDA31A8" w14:textId="450C61C9" w:rsidR="00FA0CA8" w:rsidRPr="001357D3" w:rsidRDefault="00FA0CA8" w:rsidP="00FA0CA8">
      <w:pPr>
        <w:jc w:val="right"/>
        <w:rPr>
          <w:noProof/>
        </w:rPr>
      </w:pPr>
      <w:r w:rsidRPr="001357D3">
        <w:rPr>
          <w:noProof/>
          <w:sz w:val="20"/>
        </w:rPr>
        <w:t>Środki na zobowiązania</w:t>
      </w:r>
      <w:r w:rsidR="001C6403" w:rsidRPr="001357D3">
        <w:rPr>
          <w:noProof/>
          <w:sz w:val="20"/>
        </w:rPr>
        <w:t xml:space="preserve"> w</w:t>
      </w:r>
      <w:r w:rsidR="001C6403">
        <w:rPr>
          <w:noProof/>
          <w:sz w:val="20"/>
        </w:rPr>
        <w:t> </w:t>
      </w:r>
      <w:r w:rsidR="001C6403" w:rsidRPr="001357D3">
        <w:rPr>
          <w:noProof/>
          <w:sz w:val="20"/>
        </w:rPr>
        <w:t>mln</w:t>
      </w:r>
      <w:r w:rsidRPr="001357D3">
        <w:rPr>
          <w:noProof/>
          <w:sz w:val="20"/>
        </w:rPr>
        <w:t xml:space="preserve"> EUR (do trzech miejsc po przecinku)</w:t>
      </w:r>
    </w:p>
    <w:tbl>
      <w:tblPr>
        <w:tblW w:w="14000" w:type="dxa"/>
        <w:tblLayout w:type="fixed"/>
        <w:tblLook w:val="01E0" w:firstRow="1" w:lastRow="1" w:firstColumn="1" w:lastColumn="1" w:noHBand="0" w:noVBand="0"/>
      </w:tblPr>
      <w:tblGrid>
        <w:gridCol w:w="825"/>
        <w:gridCol w:w="575"/>
        <w:gridCol w:w="700"/>
        <w:gridCol w:w="700"/>
        <w:gridCol w:w="700"/>
        <w:gridCol w:w="700"/>
        <w:gridCol w:w="700"/>
        <w:gridCol w:w="700"/>
        <w:gridCol w:w="700"/>
        <w:gridCol w:w="700"/>
        <w:gridCol w:w="700"/>
        <w:gridCol w:w="700"/>
        <w:gridCol w:w="700"/>
        <w:gridCol w:w="700"/>
        <w:gridCol w:w="700"/>
        <w:gridCol w:w="700"/>
        <w:gridCol w:w="700"/>
        <w:gridCol w:w="700"/>
        <w:gridCol w:w="700"/>
        <w:gridCol w:w="700"/>
      </w:tblGrid>
      <w:tr w:rsidR="00D31917" w:rsidRPr="001357D3" w14:paraId="7A1E9995" w14:textId="77777777" w:rsidTr="00FA0CA8">
        <w:trPr>
          <w:trHeight w:val="300"/>
        </w:trPr>
        <w:tc>
          <w:tcPr>
            <w:tcW w:w="82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AFC868" w14:textId="60C5BE04" w:rsidR="00FA0CA8" w:rsidRPr="001357D3" w:rsidRDefault="00FA0CA8" w:rsidP="00FA0CA8">
            <w:pPr>
              <w:ind w:right="-29"/>
              <w:jc w:val="center"/>
              <w:rPr>
                <w:noProof/>
              </w:rPr>
            </w:pPr>
            <w:r w:rsidRPr="001357D3">
              <w:rPr>
                <w:b/>
                <w:noProof/>
                <w:sz w:val="18"/>
              </w:rPr>
              <w:t>Określić cele</w:t>
            </w:r>
            <w:r w:rsidR="001C6403" w:rsidRPr="001357D3">
              <w:rPr>
                <w:b/>
                <w:noProof/>
                <w:sz w:val="18"/>
              </w:rPr>
              <w:t xml:space="preserve"> i</w:t>
            </w:r>
            <w:r w:rsidR="001C6403">
              <w:rPr>
                <w:b/>
                <w:noProof/>
                <w:sz w:val="18"/>
              </w:rPr>
              <w:t> </w:t>
            </w:r>
            <w:r w:rsidR="001C6403" w:rsidRPr="001357D3">
              <w:rPr>
                <w:b/>
                <w:noProof/>
                <w:sz w:val="18"/>
              </w:rPr>
              <w:t>pro</w:t>
            </w:r>
            <w:r w:rsidRPr="001357D3">
              <w:rPr>
                <w:b/>
                <w:noProof/>
                <w:sz w:val="18"/>
              </w:rPr>
              <w:t>dukty</w:t>
            </w:r>
          </w:p>
          <w:p w14:paraId="62A81778" w14:textId="3B7ECBE6" w:rsidR="00FA0CA8" w:rsidRPr="001357D3" w:rsidRDefault="00FA0CA8" w:rsidP="00FA0CA8">
            <w:pPr>
              <w:ind w:right="-29"/>
              <w:jc w:val="center"/>
              <w:rPr>
                <w:noProof/>
              </w:rPr>
            </w:pPr>
          </w:p>
          <w:p w14:paraId="659940B1" w14:textId="77777777" w:rsidR="00FA0CA8" w:rsidRPr="001357D3" w:rsidRDefault="00FA0CA8" w:rsidP="00FA0CA8">
            <w:pPr>
              <w:ind w:right="-29"/>
              <w:jc w:val="center"/>
              <w:rPr>
                <w:noProof/>
              </w:rPr>
            </w:pPr>
            <w:r w:rsidRPr="001357D3">
              <w:rPr>
                <w:rFonts w:ascii="Wingdings" w:hAnsi="Wingdings"/>
                <w:noProof/>
                <w:sz w:val="18"/>
              </w:rPr>
              <w:t></w:t>
            </w:r>
          </w:p>
        </w:tc>
        <w:tc>
          <w:tcPr>
            <w:tcW w:w="5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53A7EF" w14:textId="0A60FD5E"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5E494C" w14:textId="45E4A536" w:rsidR="00FA0CA8" w:rsidRPr="001357D3" w:rsidRDefault="00FA0CA8" w:rsidP="00FA0CA8">
            <w:pPr>
              <w:ind w:right="-29"/>
              <w:jc w:val="center"/>
              <w:rPr>
                <w:noProof/>
              </w:rPr>
            </w:pP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2EE1C4" w14:textId="0CCEB7D4" w:rsidR="00FA0CA8" w:rsidRPr="001357D3" w:rsidRDefault="00FA0CA8" w:rsidP="00FA0CA8">
            <w:pPr>
              <w:ind w:right="-29"/>
              <w:jc w:val="center"/>
              <w:rPr>
                <w:noProof/>
              </w:rPr>
            </w:pPr>
            <w:r w:rsidRPr="001357D3">
              <w:rPr>
                <w:noProof/>
                <w:sz w:val="18"/>
              </w:rPr>
              <w:t>Ro</w:t>
            </w:r>
            <w:r w:rsidRPr="001C6403">
              <w:rPr>
                <w:noProof/>
                <w:sz w:val="18"/>
              </w:rPr>
              <w:t>k</w:t>
            </w:r>
            <w:r w:rsidR="001C6403" w:rsidRPr="001C6403">
              <w:rPr>
                <w:noProof/>
                <w:sz w:val="18"/>
              </w:rPr>
              <w:t xml:space="preserve"> </w:t>
            </w:r>
            <w:r w:rsidRPr="001C6403">
              <w:rPr>
                <w:noProof/>
              </w:rPr>
              <w:br/>
            </w:r>
            <w:r w:rsidRPr="001357D3">
              <w:rPr>
                <w:b/>
                <w:noProof/>
                <w:sz w:val="18"/>
              </w:rPr>
              <w:t>2028</w:t>
            </w: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981178" w14:textId="4C0691D6" w:rsidR="00FA0CA8" w:rsidRPr="001357D3" w:rsidRDefault="00FA0CA8" w:rsidP="00FA0CA8">
            <w:pPr>
              <w:ind w:right="-29"/>
              <w:jc w:val="center"/>
              <w:rPr>
                <w:noProof/>
              </w:rPr>
            </w:pPr>
            <w:r w:rsidRPr="001357D3">
              <w:rPr>
                <w:noProof/>
                <w:sz w:val="18"/>
              </w:rPr>
              <w:t>Ro</w:t>
            </w:r>
            <w:r w:rsidRPr="001C6403">
              <w:rPr>
                <w:noProof/>
                <w:sz w:val="18"/>
              </w:rPr>
              <w:t>k</w:t>
            </w:r>
            <w:r w:rsidR="001C6403" w:rsidRPr="001C6403">
              <w:rPr>
                <w:noProof/>
                <w:sz w:val="18"/>
              </w:rPr>
              <w:t xml:space="preserve"> </w:t>
            </w:r>
            <w:r w:rsidRPr="001C6403">
              <w:rPr>
                <w:noProof/>
              </w:rPr>
              <w:br/>
            </w:r>
            <w:r w:rsidRPr="001357D3">
              <w:rPr>
                <w:b/>
                <w:noProof/>
                <w:sz w:val="18"/>
              </w:rPr>
              <w:t>2029</w:t>
            </w: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E2E668" w14:textId="6006CCBA" w:rsidR="00FA0CA8" w:rsidRPr="001357D3" w:rsidRDefault="00FA0CA8" w:rsidP="00FA0CA8">
            <w:pPr>
              <w:ind w:right="-29"/>
              <w:jc w:val="center"/>
              <w:rPr>
                <w:noProof/>
              </w:rPr>
            </w:pPr>
            <w:r w:rsidRPr="001357D3">
              <w:rPr>
                <w:noProof/>
                <w:sz w:val="18"/>
              </w:rPr>
              <w:t>Ro</w:t>
            </w:r>
            <w:r w:rsidRPr="001C6403">
              <w:rPr>
                <w:noProof/>
                <w:sz w:val="18"/>
              </w:rPr>
              <w:t>k</w:t>
            </w:r>
            <w:r w:rsidR="001C6403" w:rsidRPr="001C6403">
              <w:rPr>
                <w:noProof/>
                <w:sz w:val="18"/>
              </w:rPr>
              <w:t xml:space="preserve"> </w:t>
            </w:r>
            <w:r w:rsidRPr="001C6403">
              <w:rPr>
                <w:noProof/>
              </w:rPr>
              <w:br/>
            </w:r>
            <w:r w:rsidRPr="001357D3">
              <w:rPr>
                <w:b/>
                <w:noProof/>
                <w:sz w:val="18"/>
              </w:rPr>
              <w:t>2030</w:t>
            </w:r>
          </w:p>
        </w:tc>
        <w:tc>
          <w:tcPr>
            <w:tcW w:w="210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AE1E5D" w14:textId="26F5F947" w:rsidR="00FA0CA8" w:rsidRPr="001357D3" w:rsidRDefault="00FA0CA8" w:rsidP="00FA0CA8">
            <w:pPr>
              <w:ind w:right="-29"/>
              <w:jc w:val="center"/>
              <w:rPr>
                <w:noProof/>
              </w:rPr>
            </w:pPr>
            <w:r w:rsidRPr="001357D3">
              <w:rPr>
                <w:noProof/>
                <w:sz w:val="18"/>
              </w:rPr>
              <w:t>Ro</w:t>
            </w:r>
            <w:r w:rsidRPr="001C6403">
              <w:rPr>
                <w:noProof/>
                <w:sz w:val="18"/>
              </w:rPr>
              <w:t>k</w:t>
            </w:r>
            <w:r w:rsidR="001C6403" w:rsidRPr="001C6403">
              <w:rPr>
                <w:noProof/>
                <w:sz w:val="18"/>
              </w:rPr>
              <w:t xml:space="preserve"> </w:t>
            </w:r>
            <w:r w:rsidRPr="001C6403">
              <w:rPr>
                <w:noProof/>
              </w:rPr>
              <w:br/>
            </w:r>
            <w:r w:rsidRPr="001357D3">
              <w:rPr>
                <w:b/>
                <w:noProof/>
                <w:sz w:val="18"/>
              </w:rPr>
              <w:t>2031</w:t>
            </w:r>
          </w:p>
        </w:tc>
        <w:tc>
          <w:tcPr>
            <w:tcW w:w="4200"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CFC163" w14:textId="77777777" w:rsidR="00FA0CA8" w:rsidRPr="001357D3" w:rsidRDefault="00FA0CA8" w:rsidP="00FA0CA8">
            <w:pPr>
              <w:jc w:val="center"/>
              <w:rPr>
                <w:noProof/>
              </w:rPr>
            </w:pPr>
            <w:r w:rsidRPr="001357D3">
              <w:rPr>
                <w:noProof/>
                <w:sz w:val="18"/>
              </w:rPr>
              <w:t>Wprowadzić taką liczbę kolumn dla poszczególnych lat, jaka jest niezbędna, by odzwierciedlić cały okres wpływu (por. sekcja 1.6)</w:t>
            </w: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3AA026" w14:textId="77777777" w:rsidR="00FA0CA8" w:rsidRPr="001357D3" w:rsidRDefault="00FA0CA8" w:rsidP="00FA0CA8">
            <w:pPr>
              <w:ind w:right="-29"/>
              <w:jc w:val="center"/>
              <w:rPr>
                <w:noProof/>
              </w:rPr>
            </w:pPr>
            <w:r w:rsidRPr="001357D3">
              <w:rPr>
                <w:b/>
                <w:noProof/>
                <w:sz w:val="18"/>
              </w:rPr>
              <w:t>OGÓŁEM</w:t>
            </w:r>
          </w:p>
        </w:tc>
      </w:tr>
      <w:tr w:rsidR="00D31917" w:rsidRPr="001357D3" w14:paraId="4909DCD4" w14:textId="77777777" w:rsidTr="00FA0CA8">
        <w:trPr>
          <w:trHeight w:val="300"/>
        </w:trPr>
        <w:tc>
          <w:tcPr>
            <w:tcW w:w="825" w:type="dxa"/>
            <w:vMerge/>
            <w:tcBorders>
              <w:top w:val="single" w:sz="4" w:space="0" w:color="auto"/>
              <w:left w:val="single" w:sz="4" w:space="0" w:color="auto"/>
              <w:bottom w:val="single" w:sz="4" w:space="0" w:color="auto"/>
              <w:right w:val="single" w:sz="4" w:space="0" w:color="auto"/>
            </w:tcBorders>
            <w:vAlign w:val="center"/>
          </w:tcPr>
          <w:p w14:paraId="02F6E9C9" w14:textId="77777777" w:rsidR="00FA0CA8" w:rsidRPr="001357D3" w:rsidRDefault="00FA0CA8" w:rsidP="00FA0CA8">
            <w:pPr>
              <w:rPr>
                <w:noProof/>
              </w:rPr>
            </w:pPr>
          </w:p>
        </w:tc>
        <w:tc>
          <w:tcPr>
            <w:tcW w:w="13175" w:type="dxa"/>
            <w:gridSpan w:val="19"/>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7372D9" w14:textId="77777777" w:rsidR="00FA0CA8" w:rsidRPr="001357D3" w:rsidRDefault="00FA0CA8" w:rsidP="00FA0CA8">
            <w:pPr>
              <w:spacing w:before="60" w:after="60"/>
              <w:ind w:right="-29"/>
              <w:jc w:val="center"/>
              <w:rPr>
                <w:noProof/>
              </w:rPr>
            </w:pPr>
            <w:r w:rsidRPr="001357D3">
              <w:rPr>
                <w:b/>
                <w:noProof/>
                <w:sz w:val="18"/>
              </w:rPr>
              <w:t>PRODUKT</w:t>
            </w:r>
          </w:p>
        </w:tc>
      </w:tr>
      <w:tr w:rsidR="00D31917" w:rsidRPr="001357D3" w14:paraId="649566D6" w14:textId="77777777" w:rsidTr="00FA0CA8">
        <w:trPr>
          <w:trHeight w:val="1140"/>
        </w:trPr>
        <w:tc>
          <w:tcPr>
            <w:tcW w:w="825" w:type="dxa"/>
            <w:vMerge/>
            <w:tcBorders>
              <w:top w:val="single" w:sz="4" w:space="0" w:color="auto"/>
              <w:left w:val="single" w:sz="4" w:space="0" w:color="auto"/>
              <w:bottom w:val="single" w:sz="4" w:space="0" w:color="auto"/>
              <w:right w:val="single" w:sz="4" w:space="0" w:color="auto"/>
            </w:tcBorders>
            <w:vAlign w:val="center"/>
          </w:tcPr>
          <w:p w14:paraId="1A699460" w14:textId="77777777" w:rsidR="00FA0CA8" w:rsidRPr="001357D3" w:rsidRDefault="00FA0CA8" w:rsidP="00FA0CA8">
            <w:pPr>
              <w:rPr>
                <w:noProof/>
              </w:rPr>
            </w:pPr>
          </w:p>
        </w:tc>
        <w:tc>
          <w:tcPr>
            <w:tcW w:w="5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6DD4CE" w14:textId="77777777" w:rsidR="00FA0CA8" w:rsidRPr="001357D3" w:rsidRDefault="00FA0CA8" w:rsidP="00FA0CA8">
            <w:pPr>
              <w:jc w:val="center"/>
              <w:rPr>
                <w:rFonts w:eastAsia="Times New Roman"/>
                <w:noProof/>
                <w:sz w:val="18"/>
                <w:szCs w:val="18"/>
                <w:vertAlign w:val="superscript"/>
              </w:rPr>
            </w:pPr>
            <w:r w:rsidRPr="001357D3">
              <w:rPr>
                <w:noProof/>
                <w:sz w:val="18"/>
              </w:rPr>
              <w:t>Rodzaj</w:t>
            </w:r>
            <w:r w:rsidRPr="001357D3">
              <w:rPr>
                <w:rStyle w:val="Odwoanieprzypisudolnego"/>
                <w:noProof/>
              </w:rPr>
              <w:footnoteReference w:id="64"/>
            </w:r>
          </w:p>
          <w:p w14:paraId="1389C9F1" w14:textId="77777777" w:rsidR="00FA0CA8" w:rsidRPr="001357D3" w:rsidRDefault="00FA0CA8" w:rsidP="00FA0CA8">
            <w:pPr>
              <w:spacing w:before="0" w:after="0"/>
              <w:jc w:val="center"/>
              <w:rPr>
                <w:noProof/>
              </w:rPr>
            </w:pPr>
            <w:r w:rsidRPr="001357D3">
              <w:rPr>
                <w:noProof/>
                <w:sz w:val="18"/>
              </w:rPr>
              <w:t xml:space="preserve"> </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14D3A1" w14:textId="77777777" w:rsidR="00FA0CA8" w:rsidRPr="001357D3" w:rsidRDefault="00FA0CA8" w:rsidP="00FA0CA8">
            <w:pPr>
              <w:jc w:val="center"/>
              <w:rPr>
                <w:noProof/>
              </w:rPr>
            </w:pPr>
            <w:r w:rsidRPr="001357D3">
              <w:rPr>
                <w:noProof/>
                <w:sz w:val="18"/>
              </w:rPr>
              <w:t>Średni 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07A05A"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9F86DF"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05DB40"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B8EF9B"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CCE07A"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CC99FC"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3C4784" w14:textId="77777777" w:rsidR="00FA0CA8" w:rsidRPr="001357D3" w:rsidRDefault="00FA0CA8" w:rsidP="00FA0CA8">
            <w:pPr>
              <w:ind w:left="113" w:right="113"/>
              <w:jc w:val="center"/>
              <w:rPr>
                <w:noProof/>
              </w:rPr>
            </w:pPr>
            <w:r w:rsidRPr="001357D3">
              <w:rPr>
                <w:noProof/>
                <w:sz w:val="18"/>
              </w:rPr>
              <w:t>Liczba</w:t>
            </w: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906D2A"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B8D8C5"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60E8CA"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CF6474"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4D6C2A"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3B5FAC" w14:textId="77777777" w:rsidR="00FA0CA8" w:rsidRPr="001357D3" w:rsidRDefault="00FA0CA8" w:rsidP="00FA0CA8">
            <w:pPr>
              <w:ind w:left="113" w:right="113"/>
              <w:jc w:val="center"/>
              <w:rPr>
                <w:noProof/>
              </w:rPr>
            </w:pPr>
            <w:r w:rsidRPr="001357D3">
              <w:rPr>
                <w:noProof/>
                <w:sz w:val="18"/>
              </w:rPr>
              <w:t>Liczba</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D23035" w14:textId="77777777" w:rsidR="00FA0CA8" w:rsidRPr="001357D3" w:rsidRDefault="00FA0CA8" w:rsidP="00FA0CA8">
            <w:pPr>
              <w:jc w:val="center"/>
              <w:rPr>
                <w:noProof/>
              </w:rPr>
            </w:pPr>
            <w:r w:rsidRPr="001357D3">
              <w:rPr>
                <w:noProof/>
                <w:sz w:val="18"/>
              </w:rPr>
              <w:t>Koszt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906295" w14:textId="77777777" w:rsidR="00FA0CA8" w:rsidRPr="001357D3" w:rsidRDefault="00FA0CA8" w:rsidP="00FA0CA8">
            <w:pPr>
              <w:jc w:val="center"/>
              <w:rPr>
                <w:noProof/>
              </w:rPr>
            </w:pPr>
            <w:r w:rsidRPr="001357D3">
              <w:rPr>
                <w:noProof/>
                <w:sz w:val="18"/>
              </w:rPr>
              <w:t>Liczba ogółem</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22B564" w14:textId="77777777" w:rsidR="00FA0CA8" w:rsidRPr="001357D3" w:rsidRDefault="00FA0CA8" w:rsidP="00FA0CA8">
            <w:pPr>
              <w:jc w:val="center"/>
              <w:rPr>
                <w:noProof/>
              </w:rPr>
            </w:pPr>
            <w:r w:rsidRPr="001357D3">
              <w:rPr>
                <w:noProof/>
                <w:sz w:val="18"/>
              </w:rPr>
              <w:t>Koszt całkowity</w:t>
            </w:r>
          </w:p>
        </w:tc>
      </w:tr>
      <w:tr w:rsidR="00D31917" w:rsidRPr="001357D3" w14:paraId="3F88920C" w14:textId="77777777" w:rsidTr="00FA0CA8">
        <w:trPr>
          <w:trHeight w:val="300"/>
        </w:trPr>
        <w:tc>
          <w:tcPr>
            <w:tcW w:w="210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9711B5" w14:textId="77777777" w:rsidR="00FA0CA8" w:rsidRPr="001357D3" w:rsidRDefault="00FA0CA8" w:rsidP="00FA0CA8">
            <w:pPr>
              <w:spacing w:before="60" w:after="60"/>
              <w:ind w:right="-29"/>
              <w:jc w:val="center"/>
              <w:rPr>
                <w:noProof/>
              </w:rPr>
            </w:pPr>
            <w:r w:rsidRPr="001357D3">
              <w:rPr>
                <w:noProof/>
                <w:sz w:val="18"/>
              </w:rPr>
              <w:t>CEL SZCZEGÓŁOWY nr</w:t>
            </w:r>
            <w:r w:rsidRPr="001357D3">
              <w:rPr>
                <w:rStyle w:val="Odwoanieprzypisudolnego"/>
                <w:noProof/>
              </w:rPr>
              <w:footnoteReference w:id="65"/>
            </w:r>
            <w:r w:rsidRPr="001357D3">
              <w:rPr>
                <w:noProof/>
                <w:sz w:val="18"/>
              </w:rPr>
              <w:t>…</w:t>
            </w: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088F3129" w14:textId="6FA2ECF2"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85DB4A7" w14:textId="5868E212"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3DE864CD" w14:textId="4AB5A494"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176FE950" w14:textId="3577AC04"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3B565790" w14:textId="4B0EDEA8"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A69FD4F" w14:textId="1480BEA2"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4F27C346" w14:textId="2A1DFA09" w:rsidR="00FA0CA8" w:rsidRPr="001357D3" w:rsidRDefault="00FA0CA8" w:rsidP="00FA0CA8">
            <w:pPr>
              <w:spacing w:before="60" w:after="60"/>
              <w:ind w:right="-29"/>
              <w:jc w:val="center"/>
              <w:rPr>
                <w:noProof/>
              </w:rPr>
            </w:pP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37B2CC5" w14:textId="5B0DF30D"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67716153" w14:textId="41321403"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03AF8C3E" w14:textId="39368C36"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00A3C6E6" w14:textId="7CADB447"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261204A7" w14:textId="2EE9FEA1"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1C493CC2" w14:textId="61DA439F"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40ACA565" w14:textId="0D612280"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3A51FDC1" w14:textId="62754604" w:rsidR="00FA0CA8" w:rsidRPr="001357D3" w:rsidRDefault="00FA0CA8" w:rsidP="00FA0CA8">
            <w:pPr>
              <w:spacing w:before="60" w:after="60"/>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680A00A" w14:textId="480BE62A" w:rsidR="00FA0CA8" w:rsidRPr="001357D3" w:rsidRDefault="00FA0CA8" w:rsidP="00FA0CA8">
            <w:pPr>
              <w:spacing w:before="60" w:after="60"/>
              <w:ind w:right="-29"/>
              <w:jc w:val="center"/>
              <w:rPr>
                <w:noProof/>
              </w:rPr>
            </w:pPr>
          </w:p>
        </w:tc>
      </w:tr>
      <w:tr w:rsidR="00D31917" w:rsidRPr="001357D3" w14:paraId="04BBA37F" w14:textId="77777777" w:rsidTr="00FA0CA8">
        <w:trPr>
          <w:trHeight w:val="375"/>
        </w:trPr>
        <w:tc>
          <w:tcPr>
            <w:tcW w:w="825" w:type="dxa"/>
            <w:tcBorders>
              <w:top w:val="single" w:sz="4" w:space="0" w:color="auto"/>
              <w:left w:val="single" w:sz="4" w:space="0" w:color="auto"/>
              <w:bottom w:val="single" w:sz="4" w:space="0" w:color="auto"/>
              <w:right w:val="single" w:sz="4" w:space="0" w:color="auto"/>
            </w:tcBorders>
            <w:tcMar>
              <w:left w:w="108" w:type="dxa"/>
              <w:right w:w="108" w:type="dxa"/>
            </w:tcMar>
          </w:tcPr>
          <w:p w14:paraId="7557BE48" w14:textId="77777777" w:rsidR="00FA0CA8" w:rsidRPr="001357D3" w:rsidRDefault="00FA0CA8" w:rsidP="00FA0CA8">
            <w:pPr>
              <w:ind w:right="-29"/>
              <w:jc w:val="center"/>
              <w:rPr>
                <w:noProof/>
              </w:rPr>
            </w:pPr>
            <w:r w:rsidRPr="001357D3">
              <w:rPr>
                <w:noProof/>
                <w:sz w:val="18"/>
              </w:rPr>
              <w:lastRenderedPageBreak/>
              <w:t>- Produkt</w:t>
            </w:r>
          </w:p>
        </w:tc>
        <w:tc>
          <w:tcPr>
            <w:tcW w:w="575" w:type="dxa"/>
            <w:tcBorders>
              <w:top w:val="single" w:sz="4" w:space="0" w:color="auto"/>
              <w:left w:val="single" w:sz="4" w:space="0" w:color="auto"/>
              <w:bottom w:val="single" w:sz="4" w:space="0" w:color="auto"/>
              <w:right w:val="single" w:sz="4" w:space="0" w:color="auto"/>
            </w:tcBorders>
            <w:tcMar>
              <w:left w:w="108" w:type="dxa"/>
              <w:right w:w="108" w:type="dxa"/>
            </w:tcMar>
          </w:tcPr>
          <w:p w14:paraId="422BCDE3" w14:textId="0B89A384"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25864F83" w14:textId="3A52B2A8"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2CA52A76" w14:textId="119C973F"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575AAA7C" w14:textId="3F6318EA"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4C4B4B09" w14:textId="57BF985B"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F8A7900" w14:textId="6C44C29B"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E50E1F1" w14:textId="24EAB590"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7FF8DEF2" w14:textId="5B441586"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098DE89F" w14:textId="5DFAA911" w:rsidR="00FA0CA8" w:rsidRPr="001357D3" w:rsidRDefault="00FA0CA8" w:rsidP="00FA0CA8">
            <w:pPr>
              <w:ind w:right="-29"/>
              <w:jc w:val="center"/>
              <w:rPr>
                <w:noProof/>
              </w:rPr>
            </w:pPr>
          </w:p>
        </w:tc>
        <w:tc>
          <w:tcPr>
            <w:tcW w:w="140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2421D53C" w14:textId="7434E6E3"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40FE1E7C" w14:textId="2C8A7A04"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6FE46405" w14:textId="5777C67D"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27DE0004" w14:textId="29069DDA"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0AB35806" w14:textId="7DE27202"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1D4484FF" w14:textId="733CB14E"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68AEE18F" w14:textId="7A6B03D4"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18100A43" w14:textId="767EDE03" w:rsidR="00FA0CA8" w:rsidRPr="001357D3" w:rsidRDefault="00FA0CA8" w:rsidP="00FA0CA8">
            <w:pPr>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Mar>
              <w:left w:w="108" w:type="dxa"/>
              <w:right w:w="108" w:type="dxa"/>
            </w:tcMar>
          </w:tcPr>
          <w:p w14:paraId="3A66619D" w14:textId="7C181EFC" w:rsidR="00FA0CA8" w:rsidRPr="001357D3" w:rsidRDefault="00FA0CA8" w:rsidP="00FA0CA8">
            <w:pPr>
              <w:ind w:right="-29"/>
              <w:jc w:val="center"/>
              <w:rPr>
                <w:noProof/>
              </w:rPr>
            </w:pPr>
          </w:p>
        </w:tc>
      </w:tr>
      <w:tr w:rsidR="00D31917" w:rsidRPr="001357D3" w14:paraId="5734CD24" w14:textId="77777777" w:rsidTr="00FA0CA8">
        <w:trPr>
          <w:trHeight w:val="375"/>
        </w:trPr>
        <w:tc>
          <w:tcPr>
            <w:tcW w:w="825" w:type="dxa"/>
            <w:tcBorders>
              <w:top w:val="single" w:sz="4" w:space="0" w:color="auto"/>
              <w:left w:val="single" w:sz="8" w:space="0" w:color="auto"/>
              <w:bottom w:val="single" w:sz="8" w:space="0" w:color="auto"/>
              <w:right w:val="single" w:sz="8" w:space="0" w:color="auto"/>
            </w:tcBorders>
            <w:tcMar>
              <w:left w:w="108" w:type="dxa"/>
              <w:right w:w="108" w:type="dxa"/>
            </w:tcMar>
          </w:tcPr>
          <w:p w14:paraId="2D7C0259" w14:textId="77777777" w:rsidR="00FA0CA8" w:rsidRPr="001357D3" w:rsidRDefault="00FA0CA8" w:rsidP="00FA0CA8">
            <w:pPr>
              <w:ind w:right="-29"/>
              <w:jc w:val="center"/>
              <w:rPr>
                <w:noProof/>
              </w:rPr>
            </w:pPr>
            <w:r w:rsidRPr="001357D3">
              <w:rPr>
                <w:noProof/>
                <w:sz w:val="18"/>
              </w:rPr>
              <w:t>- Produkt</w:t>
            </w:r>
          </w:p>
        </w:tc>
        <w:tc>
          <w:tcPr>
            <w:tcW w:w="575" w:type="dxa"/>
            <w:tcBorders>
              <w:top w:val="single" w:sz="4" w:space="0" w:color="auto"/>
              <w:left w:val="single" w:sz="8" w:space="0" w:color="auto"/>
              <w:bottom w:val="single" w:sz="8" w:space="0" w:color="auto"/>
              <w:right w:val="single" w:sz="8" w:space="0" w:color="auto"/>
            </w:tcBorders>
            <w:tcMar>
              <w:left w:w="108" w:type="dxa"/>
              <w:right w:w="108" w:type="dxa"/>
            </w:tcMar>
          </w:tcPr>
          <w:p w14:paraId="0972E78D" w14:textId="44699A2A"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single" w:sz="8" w:space="0" w:color="auto"/>
            </w:tcBorders>
            <w:tcMar>
              <w:left w:w="108" w:type="dxa"/>
              <w:right w:w="108" w:type="dxa"/>
            </w:tcMar>
          </w:tcPr>
          <w:p w14:paraId="1829D02F" w14:textId="224C1766"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17246B40" w14:textId="5C2A6B3C"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6B33375C" w14:textId="6260CC10"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26DFBEB5" w14:textId="368177E6"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70A3EA03" w14:textId="1FE19696"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5B556123" w14:textId="2C5ABEC7"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757C52DA" w14:textId="30559A4E"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3D837EEA" w14:textId="5F0D7D26" w:rsidR="00FA0CA8" w:rsidRPr="001357D3" w:rsidRDefault="00FA0CA8" w:rsidP="00FA0CA8">
            <w:pPr>
              <w:ind w:right="-29"/>
              <w:jc w:val="center"/>
              <w:rPr>
                <w:noProof/>
              </w:rPr>
            </w:pPr>
          </w:p>
        </w:tc>
        <w:tc>
          <w:tcPr>
            <w:tcW w:w="1400" w:type="dxa"/>
            <w:gridSpan w:val="2"/>
            <w:tcBorders>
              <w:top w:val="single" w:sz="4" w:space="0" w:color="auto"/>
              <w:left w:val="dashed" w:sz="8" w:space="0" w:color="auto"/>
              <w:bottom w:val="single" w:sz="8" w:space="0" w:color="auto"/>
              <w:right w:val="single" w:sz="8" w:space="0" w:color="auto"/>
            </w:tcBorders>
            <w:tcMar>
              <w:left w:w="108" w:type="dxa"/>
              <w:right w:w="108" w:type="dxa"/>
            </w:tcMar>
          </w:tcPr>
          <w:p w14:paraId="78A8AB73" w14:textId="2386FA57" w:rsidR="00FA0CA8" w:rsidRPr="001357D3" w:rsidRDefault="00FA0CA8" w:rsidP="00FA0CA8">
            <w:pPr>
              <w:ind w:right="-29"/>
              <w:jc w:val="center"/>
              <w:rPr>
                <w:noProof/>
              </w:rPr>
            </w:pPr>
          </w:p>
        </w:tc>
        <w:tc>
          <w:tcPr>
            <w:tcW w:w="700" w:type="dxa"/>
            <w:tcBorders>
              <w:top w:val="single" w:sz="4" w:space="0" w:color="auto"/>
              <w:left w:val="nil"/>
              <w:bottom w:val="single" w:sz="8" w:space="0" w:color="auto"/>
              <w:right w:val="dashed" w:sz="8" w:space="0" w:color="auto"/>
            </w:tcBorders>
            <w:tcMar>
              <w:left w:w="108" w:type="dxa"/>
              <w:right w:w="108" w:type="dxa"/>
            </w:tcMar>
          </w:tcPr>
          <w:p w14:paraId="79C64FD0" w14:textId="0C3EA5CA"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47F0D446" w14:textId="5A6AE31D"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7D0C690D" w14:textId="5197BA3B"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60271FF1" w14:textId="44D05C73"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dashed" w:sz="8" w:space="0" w:color="auto"/>
            </w:tcBorders>
            <w:tcMar>
              <w:left w:w="108" w:type="dxa"/>
              <w:right w:w="108" w:type="dxa"/>
            </w:tcMar>
          </w:tcPr>
          <w:p w14:paraId="58014315" w14:textId="08777AA7" w:rsidR="00FA0CA8" w:rsidRPr="001357D3" w:rsidRDefault="00FA0CA8" w:rsidP="00FA0CA8">
            <w:pPr>
              <w:ind w:right="-29"/>
              <w:jc w:val="center"/>
              <w:rPr>
                <w:noProof/>
              </w:rPr>
            </w:pPr>
          </w:p>
        </w:tc>
        <w:tc>
          <w:tcPr>
            <w:tcW w:w="700" w:type="dxa"/>
            <w:tcBorders>
              <w:top w:val="single" w:sz="4" w:space="0" w:color="auto"/>
              <w:left w:val="dashed" w:sz="8" w:space="0" w:color="auto"/>
              <w:bottom w:val="single" w:sz="8" w:space="0" w:color="auto"/>
              <w:right w:val="single" w:sz="8" w:space="0" w:color="auto"/>
            </w:tcBorders>
            <w:tcMar>
              <w:left w:w="108" w:type="dxa"/>
              <w:right w:w="108" w:type="dxa"/>
            </w:tcMar>
          </w:tcPr>
          <w:p w14:paraId="43775100" w14:textId="6AA90818"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single" w:sz="8" w:space="0" w:color="auto"/>
            </w:tcBorders>
            <w:tcMar>
              <w:left w:w="108" w:type="dxa"/>
              <w:right w:w="108" w:type="dxa"/>
            </w:tcMar>
          </w:tcPr>
          <w:p w14:paraId="536B34B5" w14:textId="71A88018" w:rsidR="00FA0CA8" w:rsidRPr="001357D3" w:rsidRDefault="00FA0CA8" w:rsidP="00FA0CA8">
            <w:pPr>
              <w:ind w:right="-29"/>
              <w:jc w:val="center"/>
              <w:rPr>
                <w:noProof/>
              </w:rPr>
            </w:pPr>
          </w:p>
        </w:tc>
        <w:tc>
          <w:tcPr>
            <w:tcW w:w="700" w:type="dxa"/>
            <w:tcBorders>
              <w:top w:val="single" w:sz="4" w:space="0" w:color="auto"/>
              <w:left w:val="single" w:sz="8" w:space="0" w:color="auto"/>
              <w:bottom w:val="single" w:sz="8" w:space="0" w:color="auto"/>
              <w:right w:val="single" w:sz="8" w:space="0" w:color="auto"/>
            </w:tcBorders>
            <w:tcMar>
              <w:left w:w="108" w:type="dxa"/>
              <w:right w:w="108" w:type="dxa"/>
            </w:tcMar>
          </w:tcPr>
          <w:p w14:paraId="52D1D713" w14:textId="684710D4" w:rsidR="00FA0CA8" w:rsidRPr="001357D3" w:rsidRDefault="00FA0CA8" w:rsidP="00FA0CA8">
            <w:pPr>
              <w:ind w:right="-29"/>
              <w:jc w:val="center"/>
              <w:rPr>
                <w:noProof/>
              </w:rPr>
            </w:pPr>
          </w:p>
        </w:tc>
      </w:tr>
      <w:tr w:rsidR="00D31917" w:rsidRPr="001357D3" w14:paraId="19A7B515" w14:textId="77777777">
        <w:trPr>
          <w:trHeight w:val="37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FAEC4BB" w14:textId="77777777" w:rsidR="00FA0CA8" w:rsidRPr="001357D3" w:rsidRDefault="00FA0CA8" w:rsidP="00FA0CA8">
            <w:pPr>
              <w:ind w:right="-29"/>
              <w:jc w:val="center"/>
              <w:rPr>
                <w:noProof/>
              </w:rPr>
            </w:pPr>
            <w:r w:rsidRPr="001357D3">
              <w:rPr>
                <w:noProof/>
                <w:sz w:val="18"/>
              </w:rPr>
              <w:t>- Produkt</w:t>
            </w:r>
          </w:p>
        </w:tc>
        <w:tc>
          <w:tcPr>
            <w:tcW w:w="575" w:type="dxa"/>
            <w:tcBorders>
              <w:top w:val="single" w:sz="8" w:space="0" w:color="auto"/>
              <w:left w:val="single" w:sz="8" w:space="0" w:color="auto"/>
              <w:bottom w:val="single" w:sz="8" w:space="0" w:color="auto"/>
              <w:right w:val="single" w:sz="8" w:space="0" w:color="auto"/>
            </w:tcBorders>
            <w:tcMar>
              <w:left w:w="108" w:type="dxa"/>
              <w:right w:w="108" w:type="dxa"/>
            </w:tcMar>
          </w:tcPr>
          <w:p w14:paraId="0EBE0DEE" w14:textId="095D757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2C292EB1" w14:textId="616F8DD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42F0FDDD" w14:textId="0FA1AC3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247DEA7" w14:textId="48580FB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A357E91" w14:textId="755FF4F6"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4145489B" w14:textId="7D45698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19FF4A89" w14:textId="6AEDD95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1DB36A5" w14:textId="41B90B6C"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1CC3FB9" w14:textId="72F7F616" w:rsidR="00FA0CA8" w:rsidRPr="001357D3" w:rsidRDefault="00FA0CA8" w:rsidP="00FA0CA8">
            <w:pPr>
              <w:ind w:right="-29"/>
              <w:jc w:val="center"/>
              <w:rPr>
                <w:noProof/>
              </w:rPr>
            </w:pPr>
          </w:p>
        </w:tc>
        <w:tc>
          <w:tcPr>
            <w:tcW w:w="14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B53F5A" w14:textId="2DA8B19D" w:rsidR="00FA0CA8" w:rsidRPr="001357D3" w:rsidRDefault="00FA0CA8" w:rsidP="00FA0CA8">
            <w:pPr>
              <w:ind w:right="-29"/>
              <w:jc w:val="center"/>
              <w:rPr>
                <w:noProof/>
              </w:rPr>
            </w:pPr>
          </w:p>
        </w:tc>
        <w:tc>
          <w:tcPr>
            <w:tcW w:w="700" w:type="dxa"/>
            <w:tcBorders>
              <w:top w:val="single" w:sz="8" w:space="0" w:color="auto"/>
              <w:left w:val="nil"/>
              <w:bottom w:val="single" w:sz="8" w:space="0" w:color="auto"/>
              <w:right w:val="single" w:sz="8" w:space="0" w:color="auto"/>
            </w:tcBorders>
            <w:tcMar>
              <w:left w:w="108" w:type="dxa"/>
              <w:right w:w="108" w:type="dxa"/>
            </w:tcMar>
          </w:tcPr>
          <w:p w14:paraId="2B4C1A71" w14:textId="3BB2A52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219F3B1E" w14:textId="4F77CB0C"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4ABAE1C" w14:textId="41B5766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9435B8F" w14:textId="698D497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281C72AA" w14:textId="6C47CBC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6667A505" w14:textId="19611C3C"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13292AD" w14:textId="3D84F15B"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C31B2DD" w14:textId="302BF572" w:rsidR="00FA0CA8" w:rsidRPr="001357D3" w:rsidRDefault="00FA0CA8" w:rsidP="00FA0CA8">
            <w:pPr>
              <w:ind w:right="-29"/>
              <w:jc w:val="center"/>
              <w:rPr>
                <w:noProof/>
              </w:rPr>
            </w:pPr>
          </w:p>
        </w:tc>
      </w:tr>
      <w:tr w:rsidR="00D31917" w:rsidRPr="001357D3" w14:paraId="381240AC" w14:textId="77777777">
        <w:trPr>
          <w:trHeight w:val="75"/>
        </w:trPr>
        <w:tc>
          <w:tcPr>
            <w:tcW w:w="2100" w:type="dxa"/>
            <w:gridSpan w:val="3"/>
            <w:tcBorders>
              <w:top w:val="single" w:sz="8" w:space="0" w:color="auto"/>
              <w:left w:val="single" w:sz="8" w:space="0" w:color="auto"/>
              <w:bottom w:val="single" w:sz="12" w:space="0" w:color="auto"/>
              <w:right w:val="single" w:sz="8" w:space="0" w:color="auto"/>
            </w:tcBorders>
            <w:tcMar>
              <w:left w:w="108" w:type="dxa"/>
              <w:right w:w="108" w:type="dxa"/>
            </w:tcMar>
            <w:vAlign w:val="center"/>
          </w:tcPr>
          <w:p w14:paraId="51DAB694" w14:textId="142EC757" w:rsidR="00FA0CA8" w:rsidRPr="001357D3" w:rsidRDefault="00FA0CA8" w:rsidP="00FA0CA8">
            <w:pPr>
              <w:ind w:right="-29"/>
              <w:jc w:val="center"/>
              <w:rPr>
                <w:noProof/>
              </w:rPr>
            </w:pPr>
            <w:r w:rsidRPr="001357D3">
              <w:rPr>
                <w:noProof/>
                <w:sz w:val="18"/>
              </w:rPr>
              <w:t xml:space="preserve">Cel szczegółowy </w:t>
            </w:r>
            <w:r w:rsidRPr="001C6403">
              <w:rPr>
                <w:noProof/>
                <w:sz w:val="18"/>
              </w:rPr>
              <w:t>nr</w:t>
            </w:r>
            <w:r w:rsidR="001C6403" w:rsidRPr="001C6403">
              <w:rPr>
                <w:noProof/>
                <w:sz w:val="18"/>
              </w:rPr>
              <w:t> </w:t>
            </w:r>
            <w:r w:rsidRPr="001C6403">
              <w:rPr>
                <w:noProof/>
                <w:sz w:val="18"/>
              </w:rPr>
              <w:t>1</w:t>
            </w:r>
            <w:r w:rsidRPr="001357D3">
              <w:rPr>
                <w:noProof/>
                <w:sz w:val="18"/>
              </w:rPr>
              <w:t xml:space="preserve"> – suma cząstkowa</w:t>
            </w:r>
          </w:p>
        </w:tc>
        <w:tc>
          <w:tcPr>
            <w:tcW w:w="700" w:type="dxa"/>
            <w:tcBorders>
              <w:top w:val="single" w:sz="8" w:space="0" w:color="auto"/>
              <w:left w:val="nil"/>
              <w:bottom w:val="single" w:sz="12" w:space="0" w:color="auto"/>
              <w:right w:val="single" w:sz="8" w:space="0" w:color="auto"/>
            </w:tcBorders>
            <w:tcMar>
              <w:left w:w="108" w:type="dxa"/>
              <w:right w:w="108" w:type="dxa"/>
            </w:tcMar>
          </w:tcPr>
          <w:p w14:paraId="4E9B1E56" w14:textId="733A344E"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FE7A987" w14:textId="1AF595B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55F632D" w14:textId="5A7E41C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176CABF6" w14:textId="38AF8D5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3F0DC473" w14:textId="41CE5F6E"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0E363F94" w14:textId="252FDF78"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5231D566" w14:textId="389CD6A3" w:rsidR="00FA0CA8" w:rsidRPr="001357D3" w:rsidRDefault="00FA0CA8" w:rsidP="00FA0CA8">
            <w:pPr>
              <w:ind w:right="-29"/>
              <w:jc w:val="center"/>
              <w:rPr>
                <w:noProof/>
              </w:rPr>
            </w:pPr>
          </w:p>
        </w:tc>
        <w:tc>
          <w:tcPr>
            <w:tcW w:w="1400" w:type="dxa"/>
            <w:gridSpan w:val="2"/>
            <w:tcBorders>
              <w:top w:val="single" w:sz="8" w:space="0" w:color="auto"/>
              <w:left w:val="single" w:sz="8" w:space="0" w:color="auto"/>
              <w:bottom w:val="single" w:sz="12" w:space="0" w:color="auto"/>
              <w:right w:val="single" w:sz="8" w:space="0" w:color="auto"/>
            </w:tcBorders>
            <w:tcMar>
              <w:left w:w="108" w:type="dxa"/>
              <w:right w:w="108" w:type="dxa"/>
            </w:tcMar>
          </w:tcPr>
          <w:p w14:paraId="5CD49294" w14:textId="73E2EF19" w:rsidR="00FA0CA8" w:rsidRPr="001357D3" w:rsidRDefault="00FA0CA8" w:rsidP="00FA0CA8">
            <w:pPr>
              <w:ind w:right="-29"/>
              <w:jc w:val="center"/>
              <w:rPr>
                <w:noProof/>
              </w:rPr>
            </w:pPr>
          </w:p>
        </w:tc>
        <w:tc>
          <w:tcPr>
            <w:tcW w:w="700" w:type="dxa"/>
            <w:tcBorders>
              <w:top w:val="single" w:sz="8" w:space="0" w:color="auto"/>
              <w:left w:val="nil"/>
              <w:bottom w:val="single" w:sz="12" w:space="0" w:color="auto"/>
              <w:right w:val="single" w:sz="8" w:space="0" w:color="auto"/>
            </w:tcBorders>
            <w:tcMar>
              <w:left w:w="108" w:type="dxa"/>
              <w:right w:w="108" w:type="dxa"/>
            </w:tcMar>
          </w:tcPr>
          <w:p w14:paraId="62082083" w14:textId="63FB81A6"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CD43F3E" w14:textId="42A9A8F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58B1ED1" w14:textId="01C45956"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52A03FA" w14:textId="64A3FBE7"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17E775AC" w14:textId="0203A796"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59A17E2" w14:textId="6140E7B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3930F1F" w14:textId="1206BA4B"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5BB7DFD1" w14:textId="2725930F" w:rsidR="00FA0CA8" w:rsidRPr="001357D3" w:rsidRDefault="00FA0CA8" w:rsidP="00FA0CA8">
            <w:pPr>
              <w:ind w:right="-29"/>
              <w:jc w:val="center"/>
              <w:rPr>
                <w:noProof/>
              </w:rPr>
            </w:pPr>
          </w:p>
        </w:tc>
      </w:tr>
      <w:tr w:rsidR="00D31917" w:rsidRPr="001357D3" w14:paraId="3A81436A" w14:textId="77777777">
        <w:trPr>
          <w:trHeight w:val="300"/>
        </w:trPr>
        <w:tc>
          <w:tcPr>
            <w:tcW w:w="2100" w:type="dxa"/>
            <w:gridSpan w:val="3"/>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2F47E7F8" w14:textId="1FD222AA" w:rsidR="00FA0CA8" w:rsidRPr="001357D3" w:rsidRDefault="00FA0CA8" w:rsidP="00FA0CA8">
            <w:pPr>
              <w:spacing w:before="60" w:after="60"/>
              <w:ind w:right="-29"/>
              <w:jc w:val="center"/>
              <w:rPr>
                <w:noProof/>
              </w:rPr>
            </w:pPr>
            <w:r w:rsidRPr="001357D3">
              <w:rPr>
                <w:noProof/>
                <w:sz w:val="18"/>
              </w:rPr>
              <w:t xml:space="preserve">CEL SZCZEGÓŁOWY </w:t>
            </w:r>
            <w:r w:rsidRPr="001C6403">
              <w:rPr>
                <w:noProof/>
                <w:sz w:val="18"/>
              </w:rPr>
              <w:t>nr</w:t>
            </w:r>
            <w:r w:rsidR="001C6403" w:rsidRPr="001C6403">
              <w:rPr>
                <w:noProof/>
                <w:sz w:val="18"/>
              </w:rPr>
              <w:t> </w:t>
            </w:r>
            <w:r w:rsidRPr="001C6403">
              <w:rPr>
                <w:noProof/>
                <w:sz w:val="18"/>
              </w:rPr>
              <w:t>2</w:t>
            </w:r>
            <w:r w:rsidRPr="001357D3">
              <w:rPr>
                <w:noProof/>
                <w:sz w:val="18"/>
              </w:rPr>
              <w:t xml:space="preserve"> …</w:t>
            </w:r>
          </w:p>
        </w:tc>
        <w:tc>
          <w:tcPr>
            <w:tcW w:w="700" w:type="dxa"/>
            <w:tcBorders>
              <w:top w:val="single" w:sz="12" w:space="0" w:color="auto"/>
              <w:left w:val="nil"/>
              <w:bottom w:val="nil"/>
              <w:right w:val="nil"/>
            </w:tcBorders>
            <w:tcMar>
              <w:left w:w="108" w:type="dxa"/>
              <w:right w:w="108" w:type="dxa"/>
            </w:tcMar>
          </w:tcPr>
          <w:p w14:paraId="749AD4A1" w14:textId="678768AF"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72DC25E3" w14:textId="50C7F14B"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02A669FB" w14:textId="21809D6B"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453C870B" w14:textId="5E23DD2C"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3E158811" w14:textId="20E8CFE1"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5B11C133" w14:textId="1E7BBDFC"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532DB73D" w14:textId="0C343ED2" w:rsidR="00FA0CA8" w:rsidRPr="001357D3" w:rsidRDefault="00FA0CA8" w:rsidP="00FA0CA8">
            <w:pPr>
              <w:spacing w:before="60" w:after="60"/>
              <w:ind w:right="-29"/>
              <w:jc w:val="center"/>
              <w:rPr>
                <w:noProof/>
              </w:rPr>
            </w:pPr>
          </w:p>
        </w:tc>
        <w:tc>
          <w:tcPr>
            <w:tcW w:w="1400" w:type="dxa"/>
            <w:gridSpan w:val="2"/>
            <w:tcBorders>
              <w:top w:val="single" w:sz="12" w:space="0" w:color="auto"/>
              <w:left w:val="nil"/>
              <w:bottom w:val="nil"/>
              <w:right w:val="nil"/>
            </w:tcBorders>
            <w:tcMar>
              <w:left w:w="108" w:type="dxa"/>
              <w:right w:w="108" w:type="dxa"/>
            </w:tcMar>
          </w:tcPr>
          <w:p w14:paraId="1BDB86B7" w14:textId="4B5AC2B3"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4FCBCF01" w14:textId="73EC20A5"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58D13FDD" w14:textId="44AD4F0E"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6E8BEDB4" w14:textId="47BEA254"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092B0C3A" w14:textId="77664CF9"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5380CE08" w14:textId="2AA3F235"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0F6CF541" w14:textId="6E8F9792"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62098B1D" w14:textId="15B69E59" w:rsidR="00FA0CA8" w:rsidRPr="001357D3" w:rsidRDefault="00FA0CA8" w:rsidP="00FA0CA8">
            <w:pPr>
              <w:spacing w:before="60" w:after="60"/>
              <w:ind w:right="-29"/>
              <w:jc w:val="center"/>
              <w:rPr>
                <w:noProof/>
              </w:rPr>
            </w:pPr>
          </w:p>
        </w:tc>
        <w:tc>
          <w:tcPr>
            <w:tcW w:w="700" w:type="dxa"/>
            <w:tcBorders>
              <w:top w:val="single" w:sz="12" w:space="0" w:color="auto"/>
              <w:left w:val="nil"/>
              <w:bottom w:val="nil"/>
              <w:right w:val="nil"/>
            </w:tcBorders>
            <w:tcMar>
              <w:left w:w="108" w:type="dxa"/>
              <w:right w:w="108" w:type="dxa"/>
            </w:tcMar>
          </w:tcPr>
          <w:p w14:paraId="232AC2D6" w14:textId="19E57BCD" w:rsidR="00FA0CA8" w:rsidRPr="001357D3" w:rsidRDefault="00FA0CA8" w:rsidP="00FA0CA8">
            <w:pPr>
              <w:spacing w:before="60" w:after="60"/>
              <w:ind w:right="-29"/>
              <w:jc w:val="center"/>
              <w:rPr>
                <w:noProof/>
              </w:rPr>
            </w:pPr>
          </w:p>
        </w:tc>
      </w:tr>
      <w:tr w:rsidR="00D31917" w:rsidRPr="001357D3" w14:paraId="4D14660E" w14:textId="77777777">
        <w:trPr>
          <w:trHeight w:val="37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C0411C7" w14:textId="77777777" w:rsidR="00FA0CA8" w:rsidRPr="001357D3" w:rsidRDefault="00FA0CA8" w:rsidP="00FA0CA8">
            <w:pPr>
              <w:ind w:right="-29"/>
              <w:jc w:val="center"/>
              <w:rPr>
                <w:noProof/>
              </w:rPr>
            </w:pPr>
            <w:r w:rsidRPr="001357D3">
              <w:rPr>
                <w:noProof/>
                <w:sz w:val="18"/>
              </w:rPr>
              <w:t>- Produkt</w:t>
            </w:r>
          </w:p>
        </w:tc>
        <w:tc>
          <w:tcPr>
            <w:tcW w:w="575" w:type="dxa"/>
            <w:tcBorders>
              <w:top w:val="nil"/>
              <w:left w:val="single" w:sz="8" w:space="0" w:color="auto"/>
              <w:bottom w:val="single" w:sz="8" w:space="0" w:color="auto"/>
              <w:right w:val="single" w:sz="8" w:space="0" w:color="auto"/>
            </w:tcBorders>
            <w:tcMar>
              <w:left w:w="108" w:type="dxa"/>
              <w:right w:w="108" w:type="dxa"/>
            </w:tcMar>
          </w:tcPr>
          <w:p w14:paraId="132AB1B9" w14:textId="13CB152F" w:rsidR="00FA0CA8" w:rsidRPr="001357D3" w:rsidRDefault="00FA0CA8" w:rsidP="00FA0CA8">
            <w:pPr>
              <w:ind w:right="-29"/>
              <w:jc w:val="center"/>
              <w:rPr>
                <w:noProof/>
              </w:rPr>
            </w:pPr>
          </w:p>
        </w:tc>
        <w:tc>
          <w:tcPr>
            <w:tcW w:w="700" w:type="dxa"/>
            <w:tcBorders>
              <w:top w:val="nil"/>
              <w:left w:val="single" w:sz="8" w:space="0" w:color="auto"/>
              <w:bottom w:val="single" w:sz="8" w:space="0" w:color="auto"/>
              <w:right w:val="single" w:sz="8" w:space="0" w:color="auto"/>
            </w:tcBorders>
            <w:tcMar>
              <w:left w:w="108" w:type="dxa"/>
              <w:right w:w="108" w:type="dxa"/>
            </w:tcMar>
          </w:tcPr>
          <w:p w14:paraId="67F0C30C" w14:textId="70F857E8"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1A779015" w14:textId="02514317"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7DF3E9B" w14:textId="02877AB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4A71BD5D" w14:textId="227C4CA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87A78C6" w14:textId="1596532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5D77EB31" w14:textId="43019860"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5C869788" w14:textId="2F3F691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270295A" w14:textId="2EAFD633" w:rsidR="00FA0CA8" w:rsidRPr="001357D3" w:rsidRDefault="00FA0CA8" w:rsidP="00FA0CA8">
            <w:pPr>
              <w:ind w:right="-29"/>
              <w:jc w:val="center"/>
              <w:rPr>
                <w:noProof/>
              </w:rPr>
            </w:pPr>
          </w:p>
        </w:tc>
        <w:tc>
          <w:tcPr>
            <w:tcW w:w="14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EF3F95" w14:textId="2AB92E82" w:rsidR="00FA0CA8" w:rsidRPr="001357D3" w:rsidRDefault="00FA0CA8" w:rsidP="00FA0CA8">
            <w:pPr>
              <w:ind w:right="-29"/>
              <w:jc w:val="center"/>
              <w:rPr>
                <w:noProof/>
              </w:rPr>
            </w:pPr>
          </w:p>
        </w:tc>
        <w:tc>
          <w:tcPr>
            <w:tcW w:w="700" w:type="dxa"/>
            <w:tcBorders>
              <w:top w:val="single" w:sz="8" w:space="0" w:color="auto"/>
              <w:left w:val="nil"/>
              <w:bottom w:val="single" w:sz="8" w:space="0" w:color="auto"/>
              <w:right w:val="single" w:sz="8" w:space="0" w:color="auto"/>
            </w:tcBorders>
            <w:tcMar>
              <w:left w:w="108" w:type="dxa"/>
              <w:right w:w="108" w:type="dxa"/>
            </w:tcMar>
          </w:tcPr>
          <w:p w14:paraId="5C670175" w14:textId="1D39EBB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76AFC688" w14:textId="5215D2E8"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5060583A" w14:textId="2A48E3E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1B2576A0" w14:textId="495CC62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7448B88" w14:textId="072B8657"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6BA984BE" w14:textId="2BCD70D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615670E5" w14:textId="036F2C5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4C35F568" w14:textId="5B04FAF1" w:rsidR="00FA0CA8" w:rsidRPr="001357D3" w:rsidRDefault="00FA0CA8" w:rsidP="00FA0CA8">
            <w:pPr>
              <w:ind w:right="-29"/>
              <w:jc w:val="center"/>
              <w:rPr>
                <w:noProof/>
              </w:rPr>
            </w:pPr>
          </w:p>
        </w:tc>
      </w:tr>
      <w:tr w:rsidR="00D31917" w:rsidRPr="001357D3" w14:paraId="1A1B5D46" w14:textId="77777777">
        <w:trPr>
          <w:trHeight w:val="300"/>
        </w:trPr>
        <w:tc>
          <w:tcPr>
            <w:tcW w:w="2100" w:type="dxa"/>
            <w:gridSpan w:val="3"/>
            <w:tcBorders>
              <w:top w:val="single" w:sz="8" w:space="0" w:color="auto"/>
              <w:left w:val="single" w:sz="8" w:space="0" w:color="auto"/>
              <w:bottom w:val="single" w:sz="12" w:space="0" w:color="auto"/>
              <w:right w:val="single" w:sz="8" w:space="0" w:color="auto"/>
            </w:tcBorders>
            <w:tcMar>
              <w:left w:w="108" w:type="dxa"/>
              <w:right w:w="108" w:type="dxa"/>
            </w:tcMar>
            <w:vAlign w:val="center"/>
          </w:tcPr>
          <w:p w14:paraId="229C07AC" w14:textId="2436A6BE" w:rsidR="00FA0CA8" w:rsidRPr="001357D3" w:rsidRDefault="00FA0CA8" w:rsidP="00FA0CA8">
            <w:pPr>
              <w:jc w:val="center"/>
              <w:rPr>
                <w:noProof/>
              </w:rPr>
            </w:pPr>
            <w:r w:rsidRPr="001357D3">
              <w:rPr>
                <w:noProof/>
                <w:sz w:val="18"/>
              </w:rPr>
              <w:t xml:space="preserve">Cel szczegółowy </w:t>
            </w:r>
            <w:r w:rsidRPr="001C6403">
              <w:rPr>
                <w:noProof/>
                <w:sz w:val="18"/>
              </w:rPr>
              <w:t>nr</w:t>
            </w:r>
            <w:r w:rsidR="001C6403" w:rsidRPr="001C6403">
              <w:rPr>
                <w:noProof/>
                <w:sz w:val="18"/>
              </w:rPr>
              <w:t> </w:t>
            </w:r>
            <w:r w:rsidRPr="001C6403">
              <w:rPr>
                <w:noProof/>
                <w:sz w:val="18"/>
              </w:rPr>
              <w:t>2</w:t>
            </w:r>
            <w:r w:rsidRPr="001357D3">
              <w:rPr>
                <w:noProof/>
                <w:sz w:val="18"/>
              </w:rPr>
              <w:t xml:space="preserve"> – suma cząstkowa</w:t>
            </w:r>
          </w:p>
        </w:tc>
        <w:tc>
          <w:tcPr>
            <w:tcW w:w="700" w:type="dxa"/>
            <w:tcBorders>
              <w:top w:val="single" w:sz="8" w:space="0" w:color="auto"/>
              <w:left w:val="nil"/>
              <w:bottom w:val="single" w:sz="12" w:space="0" w:color="auto"/>
              <w:right w:val="single" w:sz="8" w:space="0" w:color="auto"/>
            </w:tcBorders>
            <w:tcMar>
              <w:left w:w="108" w:type="dxa"/>
              <w:right w:w="108" w:type="dxa"/>
            </w:tcMar>
          </w:tcPr>
          <w:p w14:paraId="56DF0A21" w14:textId="1771F43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45947A1E" w14:textId="09B2FDFC"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C1D9A7A" w14:textId="32C666C4"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46BC2265" w14:textId="00614C37"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3A806212" w14:textId="2FB599B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A3F1D29" w14:textId="64D7FDF7" w:rsidR="00FA0CA8" w:rsidRPr="001357D3" w:rsidRDefault="00FA0CA8" w:rsidP="00FA0CA8">
            <w:pPr>
              <w:ind w:right="-29"/>
              <w:jc w:val="center"/>
              <w:rPr>
                <w:noProof/>
              </w:rPr>
            </w:pPr>
          </w:p>
        </w:tc>
        <w:tc>
          <w:tcPr>
            <w:tcW w:w="1400" w:type="dxa"/>
            <w:gridSpan w:val="2"/>
            <w:tcBorders>
              <w:top w:val="single" w:sz="8" w:space="0" w:color="auto"/>
              <w:left w:val="single" w:sz="8" w:space="0" w:color="auto"/>
              <w:bottom w:val="single" w:sz="12" w:space="0" w:color="auto"/>
              <w:right w:val="single" w:sz="8" w:space="0" w:color="auto"/>
            </w:tcBorders>
            <w:tcMar>
              <w:left w:w="108" w:type="dxa"/>
              <w:right w:w="108" w:type="dxa"/>
            </w:tcMar>
          </w:tcPr>
          <w:p w14:paraId="124E98D2" w14:textId="4D36E331" w:rsidR="00FA0CA8" w:rsidRPr="001357D3" w:rsidRDefault="00FA0CA8" w:rsidP="00FA0CA8">
            <w:pPr>
              <w:ind w:right="-29"/>
              <w:jc w:val="center"/>
              <w:rPr>
                <w:noProof/>
              </w:rPr>
            </w:pPr>
          </w:p>
        </w:tc>
        <w:tc>
          <w:tcPr>
            <w:tcW w:w="700" w:type="dxa"/>
            <w:tcBorders>
              <w:top w:val="nil"/>
              <w:left w:val="nil"/>
              <w:bottom w:val="single" w:sz="12" w:space="0" w:color="auto"/>
              <w:right w:val="single" w:sz="8" w:space="0" w:color="auto"/>
            </w:tcBorders>
            <w:tcMar>
              <w:left w:w="108" w:type="dxa"/>
              <w:right w:w="108" w:type="dxa"/>
            </w:tcMar>
          </w:tcPr>
          <w:p w14:paraId="6C496B7B" w14:textId="4DB6AF4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57AD3A8E" w14:textId="747041BD"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BAC3094" w14:textId="1196D9E9"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07D07330" w14:textId="633288FF"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62DFAE9C" w14:textId="24BE982C"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3A3A7D06" w14:textId="3EE09B4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70DB2DA9" w14:textId="49B22E6A"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373AE79" w14:textId="53AB6BC1" w:rsidR="00FA0CA8" w:rsidRPr="001357D3" w:rsidRDefault="00FA0CA8" w:rsidP="00FA0CA8">
            <w:pPr>
              <w:ind w:right="-29"/>
              <w:jc w:val="center"/>
              <w:rPr>
                <w:noProof/>
              </w:rPr>
            </w:pPr>
          </w:p>
        </w:tc>
        <w:tc>
          <w:tcPr>
            <w:tcW w:w="700" w:type="dxa"/>
            <w:tcBorders>
              <w:top w:val="single" w:sz="8" w:space="0" w:color="auto"/>
              <w:left w:val="single" w:sz="8" w:space="0" w:color="auto"/>
              <w:bottom w:val="single" w:sz="12" w:space="0" w:color="auto"/>
              <w:right w:val="single" w:sz="8" w:space="0" w:color="auto"/>
            </w:tcBorders>
            <w:tcMar>
              <w:left w:w="108" w:type="dxa"/>
              <w:right w:w="108" w:type="dxa"/>
            </w:tcMar>
          </w:tcPr>
          <w:p w14:paraId="27F91806" w14:textId="72519D62" w:rsidR="00FA0CA8" w:rsidRPr="001357D3" w:rsidRDefault="00FA0CA8" w:rsidP="00FA0CA8">
            <w:pPr>
              <w:ind w:right="-29"/>
              <w:jc w:val="center"/>
              <w:rPr>
                <w:noProof/>
              </w:rPr>
            </w:pPr>
          </w:p>
        </w:tc>
      </w:tr>
      <w:tr w:rsidR="00FA0CA8" w:rsidRPr="001357D3" w14:paraId="79832F0E" w14:textId="77777777">
        <w:trPr>
          <w:trHeight w:val="300"/>
        </w:trPr>
        <w:tc>
          <w:tcPr>
            <w:tcW w:w="2100" w:type="dxa"/>
            <w:gridSpan w:val="3"/>
            <w:tcBorders>
              <w:top w:val="single" w:sz="12" w:space="0" w:color="auto"/>
              <w:left w:val="single" w:sz="12" w:space="0" w:color="auto"/>
              <w:bottom w:val="single" w:sz="12" w:space="0" w:color="auto"/>
              <w:right w:val="single" w:sz="8" w:space="0" w:color="auto"/>
            </w:tcBorders>
            <w:tcMar>
              <w:left w:w="108" w:type="dxa"/>
              <w:right w:w="108" w:type="dxa"/>
            </w:tcMar>
            <w:vAlign w:val="center"/>
          </w:tcPr>
          <w:p w14:paraId="26D5F7A9" w14:textId="77777777" w:rsidR="00FA0CA8" w:rsidRPr="001357D3" w:rsidRDefault="00FA0CA8" w:rsidP="00FA0CA8">
            <w:pPr>
              <w:ind w:right="-29"/>
              <w:jc w:val="center"/>
              <w:rPr>
                <w:noProof/>
              </w:rPr>
            </w:pPr>
            <w:r w:rsidRPr="001357D3">
              <w:rPr>
                <w:b/>
                <w:noProof/>
                <w:sz w:val="18"/>
              </w:rPr>
              <w:t>OGÓŁEM</w:t>
            </w:r>
          </w:p>
        </w:tc>
        <w:tc>
          <w:tcPr>
            <w:tcW w:w="700" w:type="dxa"/>
            <w:tcBorders>
              <w:top w:val="single" w:sz="12" w:space="0" w:color="auto"/>
              <w:left w:val="nil"/>
              <w:bottom w:val="single" w:sz="12" w:space="0" w:color="auto"/>
              <w:right w:val="single" w:sz="8" w:space="0" w:color="auto"/>
            </w:tcBorders>
            <w:tcMar>
              <w:left w:w="108" w:type="dxa"/>
              <w:right w:w="108" w:type="dxa"/>
            </w:tcMar>
          </w:tcPr>
          <w:p w14:paraId="798ACED4" w14:textId="691BDA9F"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5D2DA34F" w14:textId="6C9EF541"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3ADEF720" w14:textId="2933A33E"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16BB4FE8" w14:textId="3D0A5944"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2AF5437C" w14:textId="510F5414"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1E2ABB79" w14:textId="54195CF4"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6866D91C" w14:textId="6C0FE6BD" w:rsidR="00FA0CA8" w:rsidRPr="001357D3" w:rsidRDefault="00FA0CA8" w:rsidP="00FA0CA8">
            <w:pPr>
              <w:spacing w:before="180" w:after="180"/>
              <w:ind w:right="-29"/>
              <w:jc w:val="center"/>
              <w:rPr>
                <w:noProof/>
              </w:rPr>
            </w:pPr>
          </w:p>
        </w:tc>
        <w:tc>
          <w:tcPr>
            <w:tcW w:w="1400" w:type="dxa"/>
            <w:gridSpan w:val="2"/>
            <w:tcBorders>
              <w:top w:val="nil"/>
              <w:left w:val="single" w:sz="8" w:space="0" w:color="auto"/>
              <w:bottom w:val="single" w:sz="12" w:space="0" w:color="auto"/>
              <w:right w:val="single" w:sz="8" w:space="0" w:color="auto"/>
            </w:tcBorders>
            <w:tcMar>
              <w:left w:w="108" w:type="dxa"/>
              <w:right w:w="108" w:type="dxa"/>
            </w:tcMar>
          </w:tcPr>
          <w:p w14:paraId="4CA4044D" w14:textId="3913C24B" w:rsidR="00FA0CA8" w:rsidRPr="001357D3" w:rsidRDefault="00FA0CA8" w:rsidP="00FA0CA8">
            <w:pPr>
              <w:spacing w:before="180" w:after="180"/>
              <w:ind w:right="-29"/>
              <w:jc w:val="center"/>
              <w:rPr>
                <w:noProof/>
              </w:rPr>
            </w:pPr>
          </w:p>
        </w:tc>
        <w:tc>
          <w:tcPr>
            <w:tcW w:w="700" w:type="dxa"/>
            <w:tcBorders>
              <w:top w:val="single" w:sz="12" w:space="0" w:color="auto"/>
              <w:left w:val="nil"/>
              <w:bottom w:val="single" w:sz="12" w:space="0" w:color="auto"/>
              <w:right w:val="single" w:sz="8" w:space="0" w:color="auto"/>
            </w:tcBorders>
            <w:tcMar>
              <w:left w:w="108" w:type="dxa"/>
              <w:right w:w="108" w:type="dxa"/>
            </w:tcMar>
          </w:tcPr>
          <w:p w14:paraId="4B45E4D9" w14:textId="461184CC"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536941BB" w14:textId="29205FE0"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080B882A" w14:textId="5A0ADF14"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3D7375F2" w14:textId="6E1CDFC6"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118091B8" w14:textId="64C1A324"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0C62FA4B" w14:textId="739C91CA"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8" w:space="0" w:color="auto"/>
            </w:tcBorders>
            <w:tcMar>
              <w:left w:w="108" w:type="dxa"/>
              <w:right w:w="108" w:type="dxa"/>
            </w:tcMar>
          </w:tcPr>
          <w:p w14:paraId="4C28B66F" w14:textId="5891D9EF" w:rsidR="00FA0CA8" w:rsidRPr="001357D3" w:rsidRDefault="00FA0CA8" w:rsidP="00FA0CA8">
            <w:pPr>
              <w:spacing w:before="180" w:after="180"/>
              <w:ind w:right="-29"/>
              <w:jc w:val="center"/>
              <w:rPr>
                <w:noProof/>
              </w:rPr>
            </w:pPr>
          </w:p>
        </w:tc>
        <w:tc>
          <w:tcPr>
            <w:tcW w:w="700" w:type="dxa"/>
            <w:tcBorders>
              <w:top w:val="single" w:sz="12" w:space="0" w:color="auto"/>
              <w:left w:val="single" w:sz="8" w:space="0" w:color="auto"/>
              <w:bottom w:val="single" w:sz="12" w:space="0" w:color="auto"/>
              <w:right w:val="single" w:sz="12" w:space="0" w:color="auto"/>
            </w:tcBorders>
            <w:tcMar>
              <w:left w:w="108" w:type="dxa"/>
              <w:right w:w="108" w:type="dxa"/>
            </w:tcMar>
          </w:tcPr>
          <w:p w14:paraId="50EB9A16" w14:textId="6E6280DC" w:rsidR="00FA0CA8" w:rsidRPr="001357D3" w:rsidRDefault="00FA0CA8" w:rsidP="00FA0CA8">
            <w:pPr>
              <w:spacing w:before="180" w:after="180"/>
              <w:ind w:right="-29"/>
              <w:jc w:val="center"/>
              <w:rPr>
                <w:noProof/>
              </w:rPr>
            </w:pPr>
          </w:p>
        </w:tc>
      </w:tr>
    </w:tbl>
    <w:p w14:paraId="38B12FF6" w14:textId="77777777" w:rsidR="00FA0CA8" w:rsidRPr="001357D3" w:rsidRDefault="00FA0CA8" w:rsidP="00FA0CA8">
      <w:pPr>
        <w:spacing w:before="0" w:after="0"/>
        <w:rPr>
          <w:noProof/>
        </w:rPr>
      </w:pPr>
    </w:p>
    <w:p w14:paraId="0089BE39" w14:textId="77777777" w:rsidR="00FA0CA8" w:rsidRPr="001357D3" w:rsidRDefault="00FA0CA8" w:rsidP="00FA0CA8">
      <w:pPr>
        <w:spacing w:before="0" w:after="0"/>
        <w:rPr>
          <w:noProof/>
        </w:rPr>
      </w:pPr>
    </w:p>
    <w:p w14:paraId="3F53399E" w14:textId="77777777" w:rsidR="00FA0CA8" w:rsidRPr="001357D3" w:rsidRDefault="00FA0CA8" w:rsidP="00FA0CA8">
      <w:pPr>
        <w:ind w:left="720"/>
        <w:rPr>
          <w:noProof/>
        </w:rPr>
        <w:sectPr w:rsidR="00FA0CA8" w:rsidRPr="001357D3" w:rsidSect="007B3949">
          <w:headerReference w:type="default" r:id="rId21"/>
          <w:footerReference w:type="default" r:id="rId22"/>
          <w:footnotePr>
            <w:numRestart w:val="eachSect"/>
          </w:footnotePr>
          <w:pgSz w:w="16840" w:h="11907" w:orient="landscape" w:code="9"/>
          <w:pgMar w:top="1134" w:right="1418" w:bottom="567" w:left="1418" w:header="709" w:footer="709" w:gutter="0"/>
          <w:cols w:space="708"/>
          <w:docGrid w:linePitch="360"/>
        </w:sectPr>
      </w:pPr>
    </w:p>
    <w:p w14:paraId="76D642FB" w14:textId="53F66C5C" w:rsidR="00FA0CA8" w:rsidRPr="001357D3" w:rsidRDefault="00FA0CA8" w:rsidP="00FA0CA8">
      <w:pPr>
        <w:keepNext/>
        <w:tabs>
          <w:tab w:val="left" w:pos="850"/>
        </w:tabs>
        <w:ind w:left="850" w:hanging="850"/>
        <w:outlineLvl w:val="2"/>
        <w:rPr>
          <w:bCs/>
          <w:i/>
          <w:noProof/>
          <w:szCs w:val="24"/>
        </w:rPr>
      </w:pPr>
      <w:bookmarkStart w:id="224" w:name="_Toc514938055"/>
      <w:bookmarkStart w:id="225" w:name="_Toc520485054"/>
      <w:bookmarkStart w:id="226" w:name="_Toc160804598"/>
      <w:bookmarkStart w:id="227" w:name="_Toc167220290"/>
      <w:bookmarkStart w:id="228" w:name="_Toc177549023"/>
      <w:bookmarkStart w:id="229" w:name="_Toc210923282"/>
      <w:r w:rsidRPr="001357D3">
        <w:rPr>
          <w:i/>
          <w:noProof/>
        </w:rPr>
        <w:lastRenderedPageBreak/>
        <w:t>3.2.3.</w:t>
      </w:r>
      <w:r w:rsidRPr="001357D3">
        <w:rPr>
          <w:noProof/>
        </w:rPr>
        <w:tab/>
      </w:r>
      <w:r w:rsidRPr="001357D3">
        <w:rPr>
          <w:i/>
          <w:noProof/>
        </w:rPr>
        <w:t>Podsumowanie szacunkowego wpływu na środki administracyjne</w:t>
      </w:r>
      <w:bookmarkEnd w:id="224"/>
      <w:bookmarkEnd w:id="225"/>
      <w:bookmarkEnd w:id="226"/>
      <w:bookmarkEnd w:id="227"/>
      <w:bookmarkEnd w:id="228"/>
      <w:bookmarkEnd w:id="229"/>
    </w:p>
    <w:p w14:paraId="14D481A9" w14:textId="5F871F01"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nie wiąże się</w:t>
      </w:r>
      <w:r w:rsidR="001C6403" w:rsidRPr="001357D3">
        <w:rPr>
          <w:noProof/>
        </w:rPr>
        <w:t xml:space="preserve"> z</w:t>
      </w:r>
      <w:r w:rsidR="001C6403">
        <w:rPr>
          <w:noProof/>
        </w:rPr>
        <w:t> </w:t>
      </w:r>
      <w:r w:rsidR="001C6403" w:rsidRPr="001357D3">
        <w:rPr>
          <w:noProof/>
        </w:rPr>
        <w:t>kon</w:t>
      </w:r>
      <w:r w:rsidRPr="001357D3">
        <w:rPr>
          <w:noProof/>
        </w:rPr>
        <w:t>iecznością wykorzystania środków administracyjnych</w:t>
      </w:r>
    </w:p>
    <w:p w14:paraId="377EE838" w14:textId="20F1FE71"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wiąże się</w:t>
      </w:r>
      <w:r w:rsidR="001C6403" w:rsidRPr="001357D3">
        <w:rPr>
          <w:noProof/>
        </w:rPr>
        <w:t xml:space="preserve"> z</w:t>
      </w:r>
      <w:r w:rsidR="001C6403">
        <w:rPr>
          <w:noProof/>
        </w:rPr>
        <w:t> </w:t>
      </w:r>
      <w:r w:rsidR="001C6403" w:rsidRPr="001357D3">
        <w:rPr>
          <w:noProof/>
        </w:rPr>
        <w:t>kon</w:t>
      </w:r>
      <w:r w:rsidRPr="001357D3">
        <w:rPr>
          <w:noProof/>
        </w:rPr>
        <w:t>iecznością wykorzystania środków administracyjnych, jak określono poniżej</w:t>
      </w:r>
    </w:p>
    <w:p w14:paraId="1A9F6C2F" w14:textId="5E92D779" w:rsidR="00FA0CA8" w:rsidRPr="001357D3" w:rsidRDefault="00FA0CA8" w:rsidP="00FA0CA8">
      <w:pPr>
        <w:keepNext/>
        <w:tabs>
          <w:tab w:val="left" w:pos="850"/>
        </w:tabs>
        <w:ind w:left="850" w:hanging="850"/>
        <w:outlineLvl w:val="2"/>
        <w:rPr>
          <w:i/>
          <w:noProof/>
        </w:rPr>
      </w:pPr>
      <w:bookmarkStart w:id="230" w:name="_Toc167220291"/>
      <w:bookmarkStart w:id="231" w:name="_Toc177549024"/>
      <w:bookmarkStart w:id="232" w:name="_Toc210923283"/>
      <w:r w:rsidRPr="001357D3">
        <w:rPr>
          <w:i/>
          <w:noProof/>
        </w:rPr>
        <w:t>3.2.3.1. Środki</w:t>
      </w:r>
      <w:r w:rsidR="001C6403" w:rsidRPr="001357D3">
        <w:rPr>
          <w:i/>
          <w:noProof/>
        </w:rPr>
        <w:t xml:space="preserve"> z</w:t>
      </w:r>
      <w:r w:rsidR="001C6403">
        <w:rPr>
          <w:i/>
          <w:noProof/>
        </w:rPr>
        <w:t> </w:t>
      </w:r>
      <w:r w:rsidR="001C6403" w:rsidRPr="001357D3">
        <w:rPr>
          <w:i/>
          <w:noProof/>
        </w:rPr>
        <w:t>uch</w:t>
      </w:r>
      <w:r w:rsidRPr="001357D3">
        <w:rPr>
          <w:i/>
          <w:noProof/>
        </w:rPr>
        <w:t>walonego budżetu</w:t>
      </w:r>
      <w:bookmarkStart w:id="233" w:name="_Hlk204327989"/>
      <w:bookmarkEnd w:id="230"/>
      <w:bookmarkEnd w:id="231"/>
      <w:bookmarkEnd w:id="232"/>
    </w:p>
    <w:tbl>
      <w:tblPr>
        <w:tblW w:w="0" w:type="auto"/>
        <w:tblLayout w:type="fixed"/>
        <w:tblLook w:val="04A0" w:firstRow="1" w:lastRow="0" w:firstColumn="1" w:lastColumn="0" w:noHBand="0" w:noVBand="1"/>
      </w:tblPr>
      <w:tblGrid>
        <w:gridCol w:w="2999"/>
        <w:gridCol w:w="710"/>
        <w:gridCol w:w="708"/>
        <w:gridCol w:w="708"/>
        <w:gridCol w:w="708"/>
        <w:gridCol w:w="806"/>
        <w:gridCol w:w="802"/>
        <w:gridCol w:w="802"/>
        <w:gridCol w:w="814"/>
      </w:tblGrid>
      <w:tr w:rsidR="00D31917" w:rsidRPr="001357D3" w14:paraId="6CDDA5D4" w14:textId="77777777">
        <w:trPr>
          <w:trHeight w:val="300"/>
        </w:trPr>
        <w:tc>
          <w:tcPr>
            <w:tcW w:w="299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06179F" w14:textId="77777777" w:rsidR="00FA0CA8" w:rsidRPr="001357D3" w:rsidRDefault="00FA0CA8" w:rsidP="00FA0CA8">
            <w:pPr>
              <w:spacing w:before="0" w:after="0"/>
              <w:jc w:val="center"/>
              <w:rPr>
                <w:noProof/>
              </w:rPr>
            </w:pPr>
            <w:r w:rsidRPr="001357D3">
              <w:rPr>
                <w:b/>
                <w:noProof/>
                <w:sz w:val="18"/>
              </w:rPr>
              <w:t>ZATWIERDZONE ŚRODKI</w:t>
            </w:r>
          </w:p>
        </w:tc>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C512B8" w14:textId="77777777" w:rsidR="00FA0CA8" w:rsidRPr="001357D3" w:rsidRDefault="00FA0CA8" w:rsidP="00FA0CA8">
            <w:pPr>
              <w:spacing w:before="0" w:after="0"/>
              <w:jc w:val="center"/>
              <w:rPr>
                <w:noProof/>
              </w:rPr>
            </w:pPr>
            <w:r w:rsidRPr="001357D3">
              <w:rPr>
                <w:noProof/>
                <w:sz w:val="18"/>
              </w:rPr>
              <w:t>Rok</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BDC4F" w14:textId="77777777" w:rsidR="00FA0CA8" w:rsidRPr="001357D3" w:rsidRDefault="00FA0CA8" w:rsidP="00FA0CA8">
            <w:pPr>
              <w:spacing w:before="0" w:after="0"/>
              <w:jc w:val="center"/>
              <w:rPr>
                <w:noProof/>
              </w:rPr>
            </w:pPr>
            <w:r w:rsidRPr="001357D3">
              <w:rPr>
                <w:noProof/>
                <w:sz w:val="18"/>
              </w:rPr>
              <w:t>Rok</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EF96C5" w14:textId="77777777" w:rsidR="00FA0CA8" w:rsidRPr="001357D3" w:rsidRDefault="00FA0CA8" w:rsidP="00FA0CA8">
            <w:pPr>
              <w:spacing w:before="0" w:after="0"/>
              <w:jc w:val="center"/>
              <w:rPr>
                <w:noProof/>
              </w:rPr>
            </w:pPr>
            <w:r w:rsidRPr="001357D3">
              <w:rPr>
                <w:noProof/>
                <w:sz w:val="18"/>
              </w:rPr>
              <w:t>Rok</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77D5C4" w14:textId="77777777" w:rsidR="00FA0CA8" w:rsidRPr="001357D3" w:rsidRDefault="00FA0CA8" w:rsidP="00FA0CA8">
            <w:pPr>
              <w:spacing w:before="0" w:after="0"/>
              <w:jc w:val="center"/>
              <w:rPr>
                <w:noProof/>
              </w:rPr>
            </w:pPr>
            <w:r w:rsidRPr="001357D3">
              <w:rPr>
                <w:noProof/>
                <w:sz w:val="18"/>
              </w:rPr>
              <w:t>Rok</w:t>
            </w:r>
          </w:p>
        </w:tc>
        <w:tc>
          <w:tcPr>
            <w:tcW w:w="80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507DA5" w14:textId="77777777" w:rsidR="00FA0CA8" w:rsidRPr="001357D3" w:rsidRDefault="00FA0CA8" w:rsidP="00FA0CA8">
            <w:pPr>
              <w:spacing w:before="0" w:after="0"/>
              <w:jc w:val="center"/>
              <w:rPr>
                <w:noProof/>
              </w:rPr>
            </w:pPr>
            <w:r w:rsidRPr="001357D3">
              <w:rPr>
                <w:noProof/>
                <w:sz w:val="18"/>
              </w:rPr>
              <w:t>Rok</w:t>
            </w:r>
          </w:p>
        </w:tc>
        <w:tc>
          <w:tcPr>
            <w:tcW w:w="8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F0FAAF" w14:textId="77777777" w:rsidR="00FA0CA8" w:rsidRPr="001357D3" w:rsidRDefault="00FA0CA8" w:rsidP="00FA0CA8">
            <w:pPr>
              <w:spacing w:before="0" w:after="0"/>
              <w:jc w:val="center"/>
              <w:rPr>
                <w:noProof/>
              </w:rPr>
            </w:pPr>
            <w:r w:rsidRPr="001357D3">
              <w:rPr>
                <w:noProof/>
                <w:sz w:val="18"/>
              </w:rPr>
              <w:t>Rok</w:t>
            </w:r>
          </w:p>
        </w:tc>
        <w:tc>
          <w:tcPr>
            <w:tcW w:w="802"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27CDD9F3" w14:textId="77777777" w:rsidR="00FA0CA8" w:rsidRPr="001357D3" w:rsidRDefault="00FA0CA8" w:rsidP="00FA0CA8">
            <w:pPr>
              <w:spacing w:before="0" w:after="0"/>
              <w:jc w:val="center"/>
              <w:rPr>
                <w:noProof/>
              </w:rPr>
            </w:pPr>
            <w:r w:rsidRPr="001357D3">
              <w:rPr>
                <w:noProof/>
                <w:sz w:val="18"/>
              </w:rPr>
              <w:t>Rok</w:t>
            </w:r>
          </w:p>
        </w:tc>
        <w:tc>
          <w:tcPr>
            <w:tcW w:w="81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F18F8" w14:textId="77777777" w:rsidR="00FA0CA8" w:rsidRPr="001357D3" w:rsidRDefault="00FA0CA8" w:rsidP="00FA0CA8">
            <w:pPr>
              <w:spacing w:before="0" w:after="0"/>
              <w:jc w:val="center"/>
              <w:rPr>
                <w:noProof/>
              </w:rPr>
            </w:pPr>
            <w:r w:rsidRPr="001357D3">
              <w:rPr>
                <w:b/>
                <w:noProof/>
                <w:sz w:val="18"/>
              </w:rPr>
              <w:t>OGÓŁEM 2028–2034</w:t>
            </w:r>
          </w:p>
        </w:tc>
      </w:tr>
      <w:tr w:rsidR="00D31917" w:rsidRPr="001357D3" w14:paraId="2078D4C2" w14:textId="77777777">
        <w:trPr>
          <w:trHeight w:val="300"/>
        </w:trPr>
        <w:tc>
          <w:tcPr>
            <w:tcW w:w="2999" w:type="dxa"/>
            <w:vMerge/>
            <w:tcBorders>
              <w:top w:val="single" w:sz="4" w:space="0" w:color="auto"/>
              <w:left w:val="single" w:sz="4" w:space="0" w:color="auto"/>
              <w:bottom w:val="single" w:sz="4" w:space="0" w:color="auto"/>
              <w:right w:val="single" w:sz="4" w:space="0" w:color="auto"/>
            </w:tcBorders>
            <w:vAlign w:val="center"/>
          </w:tcPr>
          <w:p w14:paraId="0E2F97A7" w14:textId="77777777" w:rsidR="00FA0CA8" w:rsidRPr="001357D3" w:rsidRDefault="00FA0CA8" w:rsidP="00FA0CA8">
            <w:pPr>
              <w:rPr>
                <w:noProof/>
              </w:rPr>
            </w:pPr>
          </w:p>
        </w:tc>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D988DB" w14:textId="77777777" w:rsidR="00FA0CA8" w:rsidRPr="001357D3" w:rsidRDefault="00FA0CA8" w:rsidP="00FA0CA8">
            <w:pPr>
              <w:spacing w:before="0" w:after="0"/>
              <w:jc w:val="center"/>
              <w:rPr>
                <w:noProof/>
              </w:rPr>
            </w:pPr>
            <w:r w:rsidRPr="001357D3">
              <w:rPr>
                <w:b/>
                <w:noProof/>
                <w:sz w:val="18"/>
              </w:rPr>
              <w:t>2028</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641352" w14:textId="77777777" w:rsidR="00FA0CA8" w:rsidRPr="001357D3" w:rsidRDefault="00FA0CA8" w:rsidP="00FA0CA8">
            <w:pPr>
              <w:spacing w:before="0" w:after="0"/>
              <w:jc w:val="center"/>
              <w:rPr>
                <w:noProof/>
              </w:rPr>
            </w:pPr>
            <w:r w:rsidRPr="001357D3">
              <w:rPr>
                <w:b/>
                <w:noProof/>
                <w:sz w:val="18"/>
              </w:rPr>
              <w:t>2029</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4621DB" w14:textId="77777777" w:rsidR="00FA0CA8" w:rsidRPr="001357D3" w:rsidRDefault="00FA0CA8" w:rsidP="00FA0CA8">
            <w:pPr>
              <w:spacing w:before="0" w:after="0"/>
              <w:jc w:val="center"/>
              <w:rPr>
                <w:noProof/>
              </w:rPr>
            </w:pPr>
            <w:r w:rsidRPr="001357D3">
              <w:rPr>
                <w:b/>
                <w:noProof/>
                <w:sz w:val="18"/>
              </w:rPr>
              <w:t>2030</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8DAC24" w14:textId="77777777" w:rsidR="00FA0CA8" w:rsidRPr="001357D3" w:rsidRDefault="00FA0CA8" w:rsidP="00FA0CA8">
            <w:pPr>
              <w:spacing w:before="0" w:after="0"/>
              <w:jc w:val="center"/>
              <w:rPr>
                <w:noProof/>
              </w:rPr>
            </w:pPr>
            <w:r w:rsidRPr="001357D3">
              <w:rPr>
                <w:b/>
                <w:noProof/>
                <w:sz w:val="18"/>
              </w:rPr>
              <w:t>2031</w:t>
            </w:r>
          </w:p>
        </w:tc>
        <w:tc>
          <w:tcPr>
            <w:tcW w:w="80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11DC43" w14:textId="77777777" w:rsidR="00FA0CA8" w:rsidRPr="001357D3" w:rsidRDefault="00FA0CA8" w:rsidP="00FA0CA8">
            <w:pPr>
              <w:spacing w:before="0" w:after="0"/>
              <w:jc w:val="center"/>
              <w:rPr>
                <w:noProof/>
              </w:rPr>
            </w:pPr>
            <w:r w:rsidRPr="001357D3">
              <w:rPr>
                <w:b/>
                <w:noProof/>
                <w:sz w:val="18"/>
              </w:rPr>
              <w:t>2032</w:t>
            </w:r>
          </w:p>
        </w:tc>
        <w:tc>
          <w:tcPr>
            <w:tcW w:w="8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3BC17F" w14:textId="77777777" w:rsidR="00FA0CA8" w:rsidRPr="001357D3" w:rsidRDefault="00FA0CA8" w:rsidP="00FA0CA8">
            <w:pPr>
              <w:spacing w:before="0" w:after="0"/>
              <w:jc w:val="center"/>
              <w:rPr>
                <w:noProof/>
              </w:rPr>
            </w:pPr>
            <w:r w:rsidRPr="001357D3">
              <w:rPr>
                <w:b/>
                <w:noProof/>
                <w:sz w:val="18"/>
              </w:rPr>
              <w:t>2033</w:t>
            </w:r>
          </w:p>
        </w:tc>
        <w:tc>
          <w:tcPr>
            <w:tcW w:w="802"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2E7ADFBB" w14:textId="77777777" w:rsidR="00FA0CA8" w:rsidRPr="001357D3" w:rsidRDefault="00FA0CA8" w:rsidP="00FA0CA8">
            <w:pPr>
              <w:spacing w:before="0" w:after="0"/>
              <w:jc w:val="center"/>
              <w:rPr>
                <w:noProof/>
              </w:rPr>
            </w:pPr>
            <w:r w:rsidRPr="001357D3">
              <w:rPr>
                <w:b/>
                <w:noProof/>
                <w:sz w:val="18"/>
              </w:rPr>
              <w:t>2034</w:t>
            </w:r>
          </w:p>
        </w:tc>
        <w:tc>
          <w:tcPr>
            <w:tcW w:w="814" w:type="dxa"/>
            <w:vMerge/>
            <w:vAlign w:val="center"/>
          </w:tcPr>
          <w:p w14:paraId="3AE5E46C" w14:textId="77777777" w:rsidR="00FA0CA8" w:rsidRPr="001357D3" w:rsidRDefault="00FA0CA8" w:rsidP="00FA0CA8">
            <w:pPr>
              <w:rPr>
                <w:noProof/>
              </w:rPr>
            </w:pPr>
          </w:p>
        </w:tc>
      </w:tr>
      <w:tr w:rsidR="00D31917" w:rsidRPr="001357D3" w14:paraId="0F963DEE" w14:textId="77777777">
        <w:trPr>
          <w:trHeight w:val="300"/>
        </w:trPr>
        <w:tc>
          <w:tcPr>
            <w:tcW w:w="9057" w:type="dxa"/>
            <w:gridSpan w:val="9"/>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86E1EE" w14:textId="77777777" w:rsidR="00FA0CA8" w:rsidRPr="001357D3" w:rsidRDefault="00FA0CA8" w:rsidP="00FA0CA8">
            <w:pPr>
              <w:spacing w:before="0" w:after="0"/>
              <w:jc w:val="center"/>
              <w:rPr>
                <w:noProof/>
              </w:rPr>
            </w:pPr>
            <w:r w:rsidRPr="001357D3">
              <w:rPr>
                <w:b/>
                <w:noProof/>
                <w:sz w:val="16"/>
              </w:rPr>
              <w:t>DZIAŁ 4</w:t>
            </w:r>
          </w:p>
        </w:tc>
      </w:tr>
      <w:tr w:rsidR="00D31917" w:rsidRPr="001357D3" w14:paraId="3C37EF09" w14:textId="77777777">
        <w:trPr>
          <w:trHeight w:val="300"/>
        </w:trPr>
        <w:tc>
          <w:tcPr>
            <w:tcW w:w="29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D29E78" w14:textId="77777777" w:rsidR="00FA0CA8" w:rsidRPr="001357D3" w:rsidRDefault="00FA0CA8" w:rsidP="00FA0CA8">
            <w:pPr>
              <w:spacing w:before="0" w:after="0"/>
              <w:jc w:val="left"/>
              <w:rPr>
                <w:noProof/>
              </w:rPr>
            </w:pPr>
            <w:r w:rsidRPr="001357D3">
              <w:rPr>
                <w:noProof/>
                <w:sz w:val="16"/>
              </w:rPr>
              <w:t xml:space="preserve">Zasoby ludzkie </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8160E40" w14:textId="4A1448EE" w:rsidR="00FA0CA8" w:rsidRPr="001357D3" w:rsidRDefault="00FA0CA8" w:rsidP="00FA0CA8">
            <w:pPr>
              <w:spacing w:before="0" w:after="0"/>
              <w:jc w:val="right"/>
              <w:rPr>
                <w:noProof/>
              </w:rPr>
            </w:pPr>
            <w:r w:rsidRPr="001357D3">
              <w:rPr>
                <w:noProof/>
                <w:sz w:val="16"/>
              </w:rPr>
              <w:t>9,470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12D90FA" w14:textId="696972A8" w:rsidR="00FA0CA8" w:rsidRPr="001357D3" w:rsidRDefault="00FA0CA8" w:rsidP="00FA0CA8">
            <w:pPr>
              <w:spacing w:before="0" w:after="0"/>
              <w:jc w:val="right"/>
              <w:rPr>
                <w:noProof/>
              </w:rPr>
            </w:pPr>
            <w:r w:rsidRPr="001357D3">
              <w:rPr>
                <w:noProof/>
                <w:sz w:val="16"/>
              </w:rPr>
              <w:t>9,470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C1FBDF5" w14:textId="0D60791E" w:rsidR="00FA0CA8" w:rsidRPr="001357D3" w:rsidRDefault="00FA0CA8" w:rsidP="00FA0CA8">
            <w:pPr>
              <w:spacing w:before="0" w:after="0"/>
              <w:jc w:val="right"/>
              <w:rPr>
                <w:noProof/>
              </w:rPr>
            </w:pPr>
            <w:r w:rsidRPr="001357D3">
              <w:rPr>
                <w:noProof/>
                <w:sz w:val="16"/>
              </w:rPr>
              <w:t>9,470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8C73280" w14:textId="23832EA6" w:rsidR="00FA0CA8" w:rsidRPr="001357D3" w:rsidRDefault="00FA0CA8" w:rsidP="00FA0CA8">
            <w:pPr>
              <w:spacing w:before="0" w:after="0"/>
              <w:jc w:val="right"/>
              <w:rPr>
                <w:noProof/>
              </w:rPr>
            </w:pPr>
            <w:r w:rsidRPr="001357D3">
              <w:rPr>
                <w:noProof/>
                <w:sz w:val="16"/>
              </w:rPr>
              <w:t>9,470</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CE931D0" w14:textId="115C2158" w:rsidR="00FA0CA8" w:rsidRPr="001357D3" w:rsidRDefault="00FA0CA8" w:rsidP="00FA0CA8">
            <w:pPr>
              <w:spacing w:before="0" w:after="0"/>
              <w:jc w:val="right"/>
              <w:rPr>
                <w:noProof/>
              </w:rPr>
            </w:pPr>
            <w:r w:rsidRPr="001357D3">
              <w:rPr>
                <w:noProof/>
                <w:sz w:val="16"/>
              </w:rPr>
              <w:t>9,470</w:t>
            </w:r>
          </w:p>
        </w:tc>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928E62F" w14:textId="18537B47" w:rsidR="00FA0CA8" w:rsidRPr="001357D3" w:rsidRDefault="00FA0CA8" w:rsidP="00FA0CA8">
            <w:pPr>
              <w:spacing w:before="0" w:after="0"/>
              <w:jc w:val="right"/>
              <w:rPr>
                <w:noProof/>
              </w:rPr>
            </w:pPr>
            <w:r w:rsidRPr="001357D3">
              <w:rPr>
                <w:noProof/>
                <w:sz w:val="16"/>
              </w:rPr>
              <w:t>9,470</w:t>
            </w:r>
          </w:p>
        </w:tc>
        <w:tc>
          <w:tcPr>
            <w:tcW w:w="802" w:type="dxa"/>
            <w:tcBorders>
              <w:top w:val="nil"/>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136906" w14:textId="6C3AE936" w:rsidR="00FA0CA8" w:rsidRPr="001357D3" w:rsidRDefault="00FA0CA8" w:rsidP="00FA0CA8">
            <w:pPr>
              <w:spacing w:before="0" w:after="0"/>
              <w:jc w:val="right"/>
              <w:rPr>
                <w:noProof/>
              </w:rPr>
            </w:pPr>
            <w:r w:rsidRPr="001357D3">
              <w:rPr>
                <w:noProof/>
                <w:sz w:val="16"/>
              </w:rPr>
              <w:t>9,470</w:t>
            </w:r>
          </w:p>
        </w:tc>
        <w:tc>
          <w:tcPr>
            <w:tcW w:w="81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B0DDC1" w14:textId="578E8911" w:rsidR="00FA0CA8" w:rsidRPr="001357D3" w:rsidRDefault="00FA0CA8" w:rsidP="00FA0CA8">
            <w:pPr>
              <w:spacing w:before="0" w:after="0"/>
              <w:jc w:val="right"/>
              <w:rPr>
                <w:noProof/>
              </w:rPr>
            </w:pPr>
            <w:r w:rsidRPr="001357D3">
              <w:rPr>
                <w:b/>
                <w:noProof/>
                <w:sz w:val="16"/>
              </w:rPr>
              <w:t>66,290</w:t>
            </w:r>
          </w:p>
        </w:tc>
      </w:tr>
      <w:tr w:rsidR="00D31917" w:rsidRPr="001357D3" w14:paraId="50B6BCCF" w14:textId="77777777">
        <w:trPr>
          <w:trHeight w:val="300"/>
        </w:trPr>
        <w:tc>
          <w:tcPr>
            <w:tcW w:w="29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D9EF68" w14:textId="77777777" w:rsidR="00FA0CA8" w:rsidRPr="001357D3" w:rsidRDefault="00FA0CA8" w:rsidP="00FA0CA8">
            <w:pPr>
              <w:spacing w:before="0" w:after="0"/>
              <w:jc w:val="left"/>
              <w:rPr>
                <w:noProof/>
              </w:rPr>
            </w:pPr>
            <w:r w:rsidRPr="001357D3">
              <w:rPr>
                <w:noProof/>
                <w:sz w:val="16"/>
              </w:rPr>
              <w:t xml:space="preserve">Pozostałe wydatki administracyjne </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BC23907" w14:textId="65E006AA" w:rsidR="00FA0CA8" w:rsidRPr="001357D3" w:rsidRDefault="00FA0CA8" w:rsidP="00FA0CA8">
            <w:pPr>
              <w:spacing w:before="0" w:after="0"/>
              <w:jc w:val="right"/>
              <w:rPr>
                <w:noProof/>
              </w:rPr>
            </w:pPr>
            <w:r w:rsidRPr="001357D3">
              <w:rPr>
                <w:noProof/>
                <w:sz w:val="16"/>
              </w:rPr>
              <w:t>0,380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512AFFD" w14:textId="4AAF749F" w:rsidR="00FA0CA8" w:rsidRPr="001357D3" w:rsidRDefault="00FA0CA8" w:rsidP="00FA0CA8">
            <w:pPr>
              <w:spacing w:before="0" w:after="0"/>
              <w:jc w:val="right"/>
              <w:rPr>
                <w:noProof/>
              </w:rPr>
            </w:pPr>
            <w:r w:rsidRPr="001357D3">
              <w:rPr>
                <w:noProof/>
                <w:sz w:val="16"/>
              </w:rPr>
              <w:t>0,387</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8F64CDD" w14:textId="1EE6B80B" w:rsidR="00FA0CA8" w:rsidRPr="001357D3" w:rsidRDefault="00FA0CA8" w:rsidP="00FA0CA8">
            <w:pPr>
              <w:spacing w:before="0" w:after="0"/>
              <w:jc w:val="right"/>
              <w:rPr>
                <w:noProof/>
              </w:rPr>
            </w:pPr>
            <w:r w:rsidRPr="001357D3">
              <w:rPr>
                <w:noProof/>
                <w:sz w:val="16"/>
              </w:rPr>
              <w:t>0,395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BEF667E" w14:textId="7854FA7B" w:rsidR="00FA0CA8" w:rsidRPr="001357D3" w:rsidRDefault="00FA0CA8" w:rsidP="00FA0CA8">
            <w:pPr>
              <w:spacing w:before="0" w:after="0"/>
              <w:jc w:val="right"/>
              <w:rPr>
                <w:noProof/>
              </w:rPr>
            </w:pPr>
            <w:r w:rsidRPr="001357D3">
              <w:rPr>
                <w:noProof/>
                <w:sz w:val="16"/>
              </w:rPr>
              <w:t>0,403</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A3BD00E" w14:textId="745DEB28" w:rsidR="00FA0CA8" w:rsidRPr="001357D3" w:rsidRDefault="00FA0CA8" w:rsidP="00FA0CA8">
            <w:pPr>
              <w:spacing w:before="0" w:after="0"/>
              <w:jc w:val="right"/>
              <w:rPr>
                <w:noProof/>
              </w:rPr>
            </w:pPr>
            <w:r w:rsidRPr="001357D3">
              <w:rPr>
                <w:noProof/>
                <w:sz w:val="16"/>
              </w:rPr>
              <w:t>0,411</w:t>
            </w:r>
          </w:p>
        </w:tc>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3A992A9" w14:textId="4AF27877" w:rsidR="00FA0CA8" w:rsidRPr="001357D3" w:rsidRDefault="00FA0CA8" w:rsidP="00FA0CA8">
            <w:pPr>
              <w:spacing w:before="0" w:after="0"/>
              <w:jc w:val="right"/>
              <w:rPr>
                <w:noProof/>
              </w:rPr>
            </w:pPr>
            <w:r w:rsidRPr="001357D3">
              <w:rPr>
                <w:noProof/>
                <w:sz w:val="16"/>
              </w:rPr>
              <w:t>0,420</w:t>
            </w:r>
          </w:p>
        </w:tc>
        <w:tc>
          <w:tcPr>
            <w:tcW w:w="802"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6C349C" w14:textId="53044D36" w:rsidR="00FA0CA8" w:rsidRPr="001357D3" w:rsidRDefault="00FA0CA8" w:rsidP="00FA0CA8">
            <w:pPr>
              <w:spacing w:before="0" w:after="0"/>
              <w:jc w:val="right"/>
              <w:rPr>
                <w:noProof/>
              </w:rPr>
            </w:pPr>
            <w:r w:rsidRPr="001357D3">
              <w:rPr>
                <w:noProof/>
                <w:sz w:val="16"/>
              </w:rPr>
              <w:t>0,428</w:t>
            </w:r>
          </w:p>
        </w:tc>
        <w:tc>
          <w:tcPr>
            <w:tcW w:w="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2B2EFE" w14:textId="3B4F56AA" w:rsidR="00FA0CA8" w:rsidRPr="001357D3" w:rsidRDefault="00FA0CA8" w:rsidP="00FA0CA8">
            <w:pPr>
              <w:spacing w:before="0" w:after="0"/>
              <w:jc w:val="right"/>
              <w:rPr>
                <w:noProof/>
              </w:rPr>
            </w:pPr>
            <w:r w:rsidRPr="001357D3">
              <w:rPr>
                <w:b/>
                <w:noProof/>
                <w:sz w:val="16"/>
              </w:rPr>
              <w:t>2,824</w:t>
            </w:r>
          </w:p>
        </w:tc>
      </w:tr>
      <w:tr w:rsidR="00D31917" w:rsidRPr="001357D3" w14:paraId="4390A715" w14:textId="77777777">
        <w:trPr>
          <w:trHeight w:val="300"/>
        </w:trPr>
        <w:tc>
          <w:tcPr>
            <w:tcW w:w="2999" w:type="dxa"/>
            <w:tcBorders>
              <w:top w:val="single" w:sz="4"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D7638AE" w14:textId="77777777" w:rsidR="00FA0CA8" w:rsidRPr="001357D3" w:rsidRDefault="00FA0CA8" w:rsidP="00FA0CA8">
            <w:pPr>
              <w:spacing w:before="0" w:after="0"/>
              <w:jc w:val="center"/>
              <w:rPr>
                <w:noProof/>
              </w:rPr>
            </w:pPr>
            <w:r w:rsidRPr="001357D3">
              <w:rPr>
                <w:b/>
                <w:noProof/>
                <w:sz w:val="16"/>
              </w:rPr>
              <w:t>Suma cząstkowa DZIAŁ 4</w:t>
            </w:r>
          </w:p>
        </w:tc>
        <w:tc>
          <w:tcPr>
            <w:tcW w:w="710"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6918C5" w14:textId="0F986185" w:rsidR="00FA0CA8" w:rsidRPr="001357D3" w:rsidRDefault="00FA0CA8" w:rsidP="00FA0CA8">
            <w:pPr>
              <w:spacing w:before="0" w:after="0"/>
              <w:jc w:val="right"/>
              <w:rPr>
                <w:noProof/>
              </w:rPr>
            </w:pPr>
            <w:r w:rsidRPr="001357D3">
              <w:rPr>
                <w:b/>
                <w:noProof/>
                <w:sz w:val="16"/>
              </w:rPr>
              <w:t>9,850</w:t>
            </w:r>
          </w:p>
        </w:tc>
        <w:tc>
          <w:tcPr>
            <w:tcW w:w="70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E801D3" w14:textId="41DD5D02" w:rsidR="00FA0CA8" w:rsidRPr="001357D3" w:rsidRDefault="00FA0CA8" w:rsidP="00FA0CA8">
            <w:pPr>
              <w:spacing w:before="0" w:after="0"/>
              <w:jc w:val="right"/>
              <w:rPr>
                <w:noProof/>
              </w:rPr>
            </w:pPr>
            <w:r w:rsidRPr="001357D3">
              <w:rPr>
                <w:b/>
                <w:noProof/>
                <w:sz w:val="16"/>
              </w:rPr>
              <w:t>9,857</w:t>
            </w:r>
          </w:p>
        </w:tc>
        <w:tc>
          <w:tcPr>
            <w:tcW w:w="70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9AE7B3" w14:textId="6445ED9E" w:rsidR="00FA0CA8" w:rsidRPr="001357D3" w:rsidRDefault="00FA0CA8" w:rsidP="00FA0CA8">
            <w:pPr>
              <w:spacing w:before="0" w:after="0"/>
              <w:jc w:val="right"/>
              <w:rPr>
                <w:noProof/>
              </w:rPr>
            </w:pPr>
            <w:r w:rsidRPr="001357D3">
              <w:rPr>
                <w:b/>
                <w:noProof/>
                <w:sz w:val="16"/>
              </w:rPr>
              <w:t>9,865</w:t>
            </w:r>
          </w:p>
        </w:tc>
        <w:tc>
          <w:tcPr>
            <w:tcW w:w="70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B79505" w14:textId="752A2317" w:rsidR="00FA0CA8" w:rsidRPr="001357D3" w:rsidRDefault="00FA0CA8" w:rsidP="00FA0CA8">
            <w:pPr>
              <w:spacing w:before="0" w:after="0"/>
              <w:jc w:val="right"/>
              <w:rPr>
                <w:noProof/>
              </w:rPr>
            </w:pPr>
            <w:r w:rsidRPr="001357D3">
              <w:rPr>
                <w:b/>
                <w:noProof/>
                <w:sz w:val="16"/>
              </w:rPr>
              <w:t>9,873</w:t>
            </w:r>
          </w:p>
        </w:tc>
        <w:tc>
          <w:tcPr>
            <w:tcW w:w="806"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DCB63C" w14:textId="37A3C12D" w:rsidR="00FA0CA8" w:rsidRPr="001357D3" w:rsidRDefault="00FA0CA8" w:rsidP="00FA0CA8">
            <w:pPr>
              <w:spacing w:before="0" w:after="0"/>
              <w:jc w:val="right"/>
              <w:rPr>
                <w:noProof/>
              </w:rPr>
            </w:pPr>
            <w:r w:rsidRPr="001357D3">
              <w:rPr>
                <w:b/>
                <w:noProof/>
                <w:sz w:val="16"/>
              </w:rPr>
              <w:t>9,881</w:t>
            </w:r>
          </w:p>
        </w:tc>
        <w:tc>
          <w:tcPr>
            <w:tcW w:w="802"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47F855" w14:textId="095E5476" w:rsidR="00FA0CA8" w:rsidRPr="001357D3" w:rsidRDefault="00FA0CA8" w:rsidP="00FA0CA8">
            <w:pPr>
              <w:spacing w:before="0" w:after="0"/>
              <w:jc w:val="right"/>
              <w:rPr>
                <w:noProof/>
              </w:rPr>
            </w:pPr>
            <w:r w:rsidRPr="001357D3">
              <w:rPr>
                <w:b/>
                <w:noProof/>
                <w:sz w:val="16"/>
              </w:rPr>
              <w:t>9,890</w:t>
            </w:r>
          </w:p>
        </w:tc>
        <w:tc>
          <w:tcPr>
            <w:tcW w:w="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0EBB3B" w14:textId="267940A5" w:rsidR="00FA0CA8" w:rsidRPr="001357D3" w:rsidRDefault="00FA0CA8" w:rsidP="00FA0CA8">
            <w:pPr>
              <w:spacing w:before="0" w:after="0"/>
              <w:jc w:val="right"/>
              <w:rPr>
                <w:noProof/>
              </w:rPr>
            </w:pPr>
            <w:r w:rsidRPr="001357D3">
              <w:rPr>
                <w:b/>
                <w:noProof/>
                <w:sz w:val="16"/>
              </w:rPr>
              <w:t>9,898</w:t>
            </w:r>
          </w:p>
        </w:tc>
        <w:tc>
          <w:tcPr>
            <w:tcW w:w="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31A4EC" w14:textId="6054709C" w:rsidR="00FA0CA8" w:rsidRPr="001357D3" w:rsidRDefault="00FA0CA8" w:rsidP="00FA0CA8">
            <w:pPr>
              <w:spacing w:before="0" w:after="0"/>
              <w:jc w:val="right"/>
              <w:rPr>
                <w:noProof/>
              </w:rPr>
            </w:pPr>
            <w:r w:rsidRPr="001357D3">
              <w:rPr>
                <w:b/>
                <w:noProof/>
                <w:sz w:val="16"/>
              </w:rPr>
              <w:t>69,114</w:t>
            </w:r>
          </w:p>
        </w:tc>
      </w:tr>
      <w:tr w:rsidR="00D31917" w:rsidRPr="001357D3" w14:paraId="4289798A" w14:textId="77777777">
        <w:trPr>
          <w:trHeight w:val="300"/>
        </w:trPr>
        <w:tc>
          <w:tcPr>
            <w:tcW w:w="9057" w:type="dxa"/>
            <w:gridSpan w:val="9"/>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6B70F" w14:textId="77777777" w:rsidR="00FA0CA8" w:rsidRPr="001357D3" w:rsidRDefault="00FA0CA8" w:rsidP="00FA0CA8">
            <w:pPr>
              <w:spacing w:before="0" w:after="0"/>
              <w:jc w:val="center"/>
              <w:rPr>
                <w:noProof/>
              </w:rPr>
            </w:pPr>
            <w:r w:rsidRPr="001357D3">
              <w:rPr>
                <w:b/>
                <w:noProof/>
                <w:sz w:val="16"/>
              </w:rPr>
              <w:t>Poza DZIAŁEM 4</w:t>
            </w:r>
          </w:p>
        </w:tc>
      </w:tr>
      <w:tr w:rsidR="00D31917" w:rsidRPr="001357D3" w14:paraId="013CFC4E" w14:textId="77777777">
        <w:trPr>
          <w:trHeight w:val="300"/>
        </w:trPr>
        <w:tc>
          <w:tcPr>
            <w:tcW w:w="29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87ABA" w14:textId="77777777" w:rsidR="00FA0CA8" w:rsidRPr="001357D3" w:rsidRDefault="00FA0CA8" w:rsidP="00FA0CA8">
            <w:pPr>
              <w:spacing w:before="0" w:after="0"/>
              <w:jc w:val="left"/>
              <w:rPr>
                <w:noProof/>
              </w:rPr>
            </w:pPr>
            <w:r w:rsidRPr="001357D3">
              <w:rPr>
                <w:noProof/>
                <w:sz w:val="16"/>
              </w:rPr>
              <w:t xml:space="preserve">Zasoby ludzkie </w:t>
            </w:r>
          </w:p>
        </w:tc>
        <w:tc>
          <w:tcPr>
            <w:tcW w:w="71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8F201" w14:textId="20D208F2" w:rsidR="00FA0CA8" w:rsidRPr="001357D3" w:rsidRDefault="00FA0CA8" w:rsidP="00FA0CA8">
            <w:pPr>
              <w:spacing w:before="0" w:after="0"/>
              <w:jc w:val="right"/>
              <w:rPr>
                <w:noProof/>
              </w:rPr>
            </w:pPr>
            <w:r w:rsidRPr="001357D3">
              <w:rPr>
                <w:noProof/>
                <w:sz w:val="16"/>
              </w:rPr>
              <w:t>0,505</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4918A9" w14:textId="34ADFD36" w:rsidR="00FA0CA8" w:rsidRPr="001357D3" w:rsidRDefault="00FA0CA8" w:rsidP="00FA0CA8">
            <w:pPr>
              <w:spacing w:before="0" w:after="0"/>
              <w:jc w:val="right"/>
              <w:rPr>
                <w:noProof/>
              </w:rPr>
            </w:pPr>
            <w:r w:rsidRPr="001357D3">
              <w:rPr>
                <w:noProof/>
                <w:sz w:val="16"/>
              </w:rPr>
              <w:t>0,505</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43CE75" w14:textId="11D7DD88" w:rsidR="00FA0CA8" w:rsidRPr="001357D3" w:rsidRDefault="00FA0CA8" w:rsidP="00FA0CA8">
            <w:pPr>
              <w:spacing w:before="0" w:after="0"/>
              <w:jc w:val="right"/>
              <w:rPr>
                <w:noProof/>
              </w:rPr>
            </w:pPr>
            <w:r w:rsidRPr="001357D3">
              <w:rPr>
                <w:noProof/>
                <w:sz w:val="16"/>
              </w:rPr>
              <w:t>0,505</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5427C9" w14:textId="215A66E0" w:rsidR="00FA0CA8" w:rsidRPr="001357D3" w:rsidRDefault="00FA0CA8" w:rsidP="00FA0CA8">
            <w:pPr>
              <w:spacing w:before="0" w:after="0"/>
              <w:jc w:val="right"/>
              <w:rPr>
                <w:noProof/>
              </w:rPr>
            </w:pPr>
            <w:r w:rsidRPr="001357D3">
              <w:rPr>
                <w:noProof/>
                <w:sz w:val="16"/>
              </w:rPr>
              <w:t>0,505</w:t>
            </w:r>
          </w:p>
        </w:tc>
        <w:tc>
          <w:tcPr>
            <w:tcW w:w="80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871639" w14:textId="24296942" w:rsidR="00FA0CA8" w:rsidRPr="001357D3" w:rsidRDefault="00FA0CA8" w:rsidP="00FA0CA8">
            <w:pPr>
              <w:spacing w:before="0" w:after="0"/>
              <w:jc w:val="right"/>
              <w:rPr>
                <w:noProof/>
              </w:rPr>
            </w:pPr>
            <w:r w:rsidRPr="001357D3">
              <w:rPr>
                <w:noProof/>
                <w:sz w:val="16"/>
              </w:rPr>
              <w:t>0,505</w:t>
            </w:r>
          </w:p>
        </w:tc>
        <w:tc>
          <w:tcPr>
            <w:tcW w:w="80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6C5822" w14:textId="75E6E8AD" w:rsidR="00FA0CA8" w:rsidRPr="001357D3" w:rsidRDefault="00FA0CA8" w:rsidP="00FA0CA8">
            <w:pPr>
              <w:spacing w:before="0" w:after="0"/>
              <w:jc w:val="right"/>
              <w:rPr>
                <w:noProof/>
              </w:rPr>
            </w:pPr>
            <w:r w:rsidRPr="001357D3">
              <w:rPr>
                <w:noProof/>
                <w:sz w:val="16"/>
              </w:rPr>
              <w:t>0,505</w:t>
            </w:r>
          </w:p>
        </w:tc>
        <w:tc>
          <w:tcPr>
            <w:tcW w:w="80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7DD881" w14:textId="3679349A" w:rsidR="00FA0CA8" w:rsidRPr="001357D3" w:rsidRDefault="00FA0CA8" w:rsidP="00FA0CA8">
            <w:pPr>
              <w:spacing w:before="0" w:after="0"/>
              <w:jc w:val="right"/>
              <w:rPr>
                <w:noProof/>
              </w:rPr>
            </w:pPr>
            <w:r w:rsidRPr="001357D3">
              <w:rPr>
                <w:noProof/>
                <w:sz w:val="16"/>
              </w:rPr>
              <w:t>0,505</w:t>
            </w:r>
          </w:p>
        </w:tc>
        <w:tc>
          <w:tcPr>
            <w:tcW w:w="81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E7C9FF" w14:textId="62E3C63E" w:rsidR="00FA0CA8" w:rsidRPr="001357D3" w:rsidRDefault="00FA0CA8" w:rsidP="00FA0CA8">
            <w:pPr>
              <w:spacing w:before="0" w:after="0"/>
              <w:jc w:val="right"/>
              <w:rPr>
                <w:noProof/>
              </w:rPr>
            </w:pPr>
            <w:r w:rsidRPr="001357D3">
              <w:rPr>
                <w:b/>
                <w:noProof/>
                <w:sz w:val="16"/>
              </w:rPr>
              <w:t>3,535</w:t>
            </w:r>
          </w:p>
        </w:tc>
      </w:tr>
      <w:tr w:rsidR="00D31917" w:rsidRPr="001357D3" w14:paraId="09FB43B8" w14:textId="77777777">
        <w:trPr>
          <w:trHeight w:val="300"/>
        </w:trPr>
        <w:tc>
          <w:tcPr>
            <w:tcW w:w="29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7E673" w14:textId="03D8BCFE" w:rsidR="00FA0CA8" w:rsidRPr="001357D3" w:rsidRDefault="00FA0CA8" w:rsidP="00FA0CA8">
            <w:pPr>
              <w:spacing w:before="0" w:after="0"/>
              <w:jc w:val="left"/>
              <w:rPr>
                <w:noProof/>
              </w:rPr>
            </w:pPr>
            <w:r w:rsidRPr="001357D3">
              <w:rPr>
                <w:noProof/>
                <w:sz w:val="16"/>
              </w:rPr>
              <w:t>Pozostałe wydatki</w:t>
            </w:r>
            <w:r w:rsidR="001C6403" w:rsidRPr="001357D3">
              <w:rPr>
                <w:noProof/>
                <w:sz w:val="16"/>
              </w:rPr>
              <w:t xml:space="preserve"> o</w:t>
            </w:r>
            <w:r w:rsidR="001C6403">
              <w:rPr>
                <w:noProof/>
                <w:sz w:val="16"/>
              </w:rPr>
              <w:t> </w:t>
            </w:r>
            <w:r w:rsidR="001C6403" w:rsidRPr="001357D3">
              <w:rPr>
                <w:noProof/>
                <w:sz w:val="16"/>
              </w:rPr>
              <w:t>cha</w:t>
            </w:r>
            <w:r w:rsidRPr="001357D3">
              <w:rPr>
                <w:noProof/>
                <w:sz w:val="16"/>
              </w:rPr>
              <w:t>rakterze administracyjnym</w:t>
            </w:r>
          </w:p>
        </w:tc>
        <w:tc>
          <w:tcPr>
            <w:tcW w:w="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408068" w14:textId="2C031242" w:rsidR="00FA0CA8" w:rsidRPr="001357D3" w:rsidRDefault="00FA0CA8" w:rsidP="00FA0CA8">
            <w:pPr>
              <w:spacing w:before="0" w:after="0"/>
              <w:jc w:val="right"/>
              <w:rPr>
                <w:noProof/>
              </w:rPr>
            </w:pPr>
            <w:r w:rsidRPr="001357D3">
              <w:rPr>
                <w:noProof/>
                <w:sz w:val="16"/>
              </w:rPr>
              <w:t xml:space="preserve"> p.m.</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8ABE5B" w14:textId="0CE03131" w:rsidR="00FA0CA8" w:rsidRPr="001357D3" w:rsidRDefault="00FA0CA8" w:rsidP="00FA0CA8">
            <w:pPr>
              <w:spacing w:before="0" w:after="0"/>
              <w:jc w:val="right"/>
              <w:rPr>
                <w:noProof/>
              </w:rPr>
            </w:pPr>
            <w:r w:rsidRPr="001357D3">
              <w:rPr>
                <w:noProof/>
                <w:sz w:val="16"/>
              </w:rPr>
              <w:t xml:space="preserve"> p.m.</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B57D77" w14:textId="77777777" w:rsidR="00FA0CA8" w:rsidRPr="001357D3" w:rsidRDefault="00FA0CA8" w:rsidP="00FA0CA8">
            <w:pPr>
              <w:spacing w:before="0" w:after="0"/>
              <w:jc w:val="right"/>
              <w:rPr>
                <w:noProof/>
              </w:rPr>
            </w:pPr>
            <w:r w:rsidRPr="001357D3">
              <w:rPr>
                <w:noProof/>
                <w:sz w:val="16"/>
              </w:rPr>
              <w:t>p.m.</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9B1C9B" w14:textId="77777777" w:rsidR="00FA0CA8" w:rsidRPr="001357D3" w:rsidRDefault="00FA0CA8" w:rsidP="00FA0CA8">
            <w:pPr>
              <w:spacing w:before="0" w:after="0"/>
              <w:jc w:val="right"/>
              <w:rPr>
                <w:noProof/>
              </w:rPr>
            </w:pPr>
            <w:r w:rsidRPr="001357D3">
              <w:rPr>
                <w:noProof/>
                <w:sz w:val="16"/>
              </w:rPr>
              <w:t>p.m.</w:t>
            </w:r>
          </w:p>
        </w:tc>
        <w:tc>
          <w:tcPr>
            <w:tcW w:w="8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A52459" w14:textId="77777777" w:rsidR="00FA0CA8" w:rsidRPr="001357D3" w:rsidRDefault="00FA0CA8" w:rsidP="00FA0CA8">
            <w:pPr>
              <w:spacing w:before="0" w:after="0"/>
              <w:jc w:val="center"/>
              <w:rPr>
                <w:noProof/>
              </w:rPr>
            </w:pPr>
            <w:r w:rsidRPr="001357D3">
              <w:rPr>
                <w:noProof/>
                <w:sz w:val="16"/>
              </w:rPr>
              <w:t>p.m.</w:t>
            </w:r>
          </w:p>
        </w:tc>
        <w:tc>
          <w:tcPr>
            <w:tcW w:w="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705376" w14:textId="77777777" w:rsidR="00FA0CA8" w:rsidRPr="001357D3" w:rsidRDefault="00FA0CA8" w:rsidP="00FA0CA8">
            <w:pPr>
              <w:spacing w:before="0" w:after="0"/>
              <w:jc w:val="center"/>
              <w:rPr>
                <w:noProof/>
              </w:rPr>
            </w:pPr>
            <w:r w:rsidRPr="001357D3">
              <w:rPr>
                <w:noProof/>
                <w:sz w:val="16"/>
              </w:rPr>
              <w:t>p.m.</w:t>
            </w:r>
          </w:p>
        </w:tc>
        <w:tc>
          <w:tcPr>
            <w:tcW w:w="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3E835A" w14:textId="77777777" w:rsidR="00FA0CA8" w:rsidRPr="001357D3" w:rsidRDefault="00FA0CA8" w:rsidP="00FA0CA8">
            <w:pPr>
              <w:spacing w:before="0" w:after="0"/>
              <w:jc w:val="center"/>
              <w:rPr>
                <w:noProof/>
              </w:rPr>
            </w:pPr>
            <w:r w:rsidRPr="001357D3">
              <w:rPr>
                <w:noProof/>
                <w:sz w:val="16"/>
              </w:rPr>
              <w:t>p.m.</w:t>
            </w:r>
          </w:p>
        </w:tc>
        <w:tc>
          <w:tcPr>
            <w:tcW w:w="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41D0FD" w14:textId="77777777" w:rsidR="00FA0CA8" w:rsidRPr="001357D3" w:rsidRDefault="00FA0CA8" w:rsidP="00FA0CA8">
            <w:pPr>
              <w:spacing w:before="0" w:after="0"/>
              <w:jc w:val="right"/>
              <w:rPr>
                <w:noProof/>
              </w:rPr>
            </w:pPr>
            <w:r w:rsidRPr="001357D3">
              <w:rPr>
                <w:b/>
                <w:noProof/>
                <w:sz w:val="16"/>
              </w:rPr>
              <w:t>p.m.</w:t>
            </w:r>
          </w:p>
        </w:tc>
      </w:tr>
      <w:tr w:rsidR="00D31917" w:rsidRPr="001357D3" w14:paraId="16D8510E" w14:textId="77777777">
        <w:trPr>
          <w:trHeight w:val="300"/>
        </w:trPr>
        <w:tc>
          <w:tcPr>
            <w:tcW w:w="2999"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7619A1A" w14:textId="77777777" w:rsidR="00FA0CA8" w:rsidRPr="001357D3" w:rsidRDefault="00FA0CA8" w:rsidP="00FA0CA8">
            <w:pPr>
              <w:spacing w:before="0" w:after="0"/>
              <w:jc w:val="center"/>
              <w:rPr>
                <w:noProof/>
              </w:rPr>
            </w:pPr>
            <w:r w:rsidRPr="001357D3">
              <w:rPr>
                <w:b/>
                <w:noProof/>
                <w:sz w:val="16"/>
              </w:rPr>
              <w:t>Suma cząstkowa poza DZIAŁEM 4</w:t>
            </w:r>
          </w:p>
        </w:tc>
        <w:tc>
          <w:tcPr>
            <w:tcW w:w="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618A06" w14:textId="326F63BD"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F8D2F6" w14:textId="76520EF7"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C1E57C" w14:textId="45151A9B"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8D8FC7" w14:textId="55AA9655"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8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D194F0" w14:textId="0C56158C"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4BBE9D" w14:textId="2DBB4DE3"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DC5797" w14:textId="05A7C1A7" w:rsidR="00FA0CA8" w:rsidRPr="001357D3" w:rsidRDefault="00FA0CA8" w:rsidP="00FA0CA8">
            <w:pPr>
              <w:spacing w:before="0" w:after="0"/>
              <w:jc w:val="right"/>
              <w:rPr>
                <w:rFonts w:eastAsia="Times New Roman"/>
                <w:b/>
                <w:bCs/>
                <w:noProof/>
                <w:sz w:val="16"/>
                <w:szCs w:val="16"/>
              </w:rPr>
            </w:pPr>
            <w:r w:rsidRPr="001357D3">
              <w:rPr>
                <w:b/>
                <w:noProof/>
                <w:sz w:val="16"/>
              </w:rPr>
              <w:t>0,505</w:t>
            </w:r>
          </w:p>
        </w:tc>
        <w:tc>
          <w:tcPr>
            <w:tcW w:w="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190B6D" w14:textId="0FBCE263" w:rsidR="00FA0CA8" w:rsidRPr="001357D3" w:rsidRDefault="00FA0CA8" w:rsidP="00FA0CA8">
            <w:pPr>
              <w:spacing w:before="0" w:after="0"/>
              <w:jc w:val="right"/>
              <w:rPr>
                <w:noProof/>
              </w:rPr>
            </w:pPr>
            <w:r w:rsidRPr="001357D3">
              <w:rPr>
                <w:b/>
                <w:noProof/>
                <w:sz w:val="16"/>
              </w:rPr>
              <w:t>3,535</w:t>
            </w:r>
          </w:p>
        </w:tc>
      </w:tr>
      <w:tr w:rsidR="00D31917" w:rsidRPr="001357D3" w14:paraId="387FAC2B" w14:textId="77777777">
        <w:trPr>
          <w:trHeight w:val="300"/>
        </w:trPr>
        <w:tc>
          <w:tcPr>
            <w:tcW w:w="9057"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03AA54B1" w14:textId="0FCBD5A8" w:rsidR="00FA0CA8" w:rsidRPr="001357D3" w:rsidRDefault="00FA0CA8" w:rsidP="00FA0CA8">
            <w:pPr>
              <w:spacing w:before="0" w:after="0"/>
              <w:jc w:val="center"/>
              <w:rPr>
                <w:noProof/>
              </w:rPr>
            </w:pPr>
            <w:r w:rsidRPr="001357D3">
              <w:rPr>
                <w:noProof/>
                <w:sz w:val="16"/>
              </w:rPr>
              <w:t xml:space="preserve"> </w:t>
            </w:r>
          </w:p>
        </w:tc>
      </w:tr>
      <w:tr w:rsidR="00D31917" w:rsidRPr="001357D3" w14:paraId="3D315217" w14:textId="77777777">
        <w:trPr>
          <w:trHeight w:val="300"/>
        </w:trPr>
        <w:tc>
          <w:tcPr>
            <w:tcW w:w="29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CCB5C" w14:textId="77777777" w:rsidR="00FA0CA8" w:rsidRPr="001357D3" w:rsidRDefault="00FA0CA8" w:rsidP="00FA0CA8">
            <w:pPr>
              <w:spacing w:before="0" w:after="0"/>
              <w:jc w:val="center"/>
              <w:rPr>
                <w:rFonts w:eastAsia="Times New Roman"/>
                <w:b/>
                <w:bCs/>
                <w:noProof/>
                <w:sz w:val="16"/>
                <w:szCs w:val="16"/>
              </w:rPr>
            </w:pPr>
            <w:r w:rsidRPr="001357D3">
              <w:rPr>
                <w:b/>
                <w:noProof/>
                <w:sz w:val="16"/>
              </w:rPr>
              <w:t>OGÓŁEM</w:t>
            </w:r>
          </w:p>
        </w:tc>
        <w:tc>
          <w:tcPr>
            <w:tcW w:w="71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1244D0" w14:textId="219D7338" w:rsidR="00FA0CA8" w:rsidRPr="001357D3" w:rsidRDefault="00FA0CA8" w:rsidP="00FA0CA8">
            <w:pPr>
              <w:spacing w:before="0" w:after="0"/>
              <w:jc w:val="right"/>
              <w:rPr>
                <w:noProof/>
              </w:rPr>
            </w:pPr>
            <w:r w:rsidRPr="001357D3">
              <w:rPr>
                <w:b/>
                <w:noProof/>
                <w:sz w:val="16"/>
              </w:rPr>
              <w:t>10,355</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E6C8D5" w14:textId="66D82C29" w:rsidR="00FA0CA8" w:rsidRPr="001357D3" w:rsidRDefault="00FA0CA8" w:rsidP="00FA0CA8">
            <w:pPr>
              <w:spacing w:before="0" w:after="0"/>
              <w:jc w:val="right"/>
              <w:rPr>
                <w:noProof/>
              </w:rPr>
            </w:pPr>
            <w:r w:rsidRPr="001357D3">
              <w:rPr>
                <w:b/>
                <w:noProof/>
                <w:sz w:val="16"/>
              </w:rPr>
              <w:t>10,362</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B39B73" w14:textId="0E23036E" w:rsidR="00FA0CA8" w:rsidRPr="001357D3" w:rsidRDefault="00FA0CA8" w:rsidP="00FA0CA8">
            <w:pPr>
              <w:spacing w:before="0" w:after="0"/>
              <w:jc w:val="right"/>
              <w:rPr>
                <w:noProof/>
              </w:rPr>
            </w:pPr>
            <w:r w:rsidRPr="001357D3">
              <w:rPr>
                <w:b/>
                <w:noProof/>
                <w:sz w:val="16"/>
              </w:rPr>
              <w:t>10,370</w:t>
            </w:r>
          </w:p>
        </w:tc>
        <w:tc>
          <w:tcPr>
            <w:tcW w:w="70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5F5F3A" w14:textId="704740F7" w:rsidR="00FA0CA8" w:rsidRPr="001357D3" w:rsidRDefault="00FA0CA8" w:rsidP="00FA0CA8">
            <w:pPr>
              <w:spacing w:before="0" w:after="0"/>
              <w:jc w:val="right"/>
              <w:rPr>
                <w:noProof/>
              </w:rPr>
            </w:pPr>
            <w:r w:rsidRPr="001357D3">
              <w:rPr>
                <w:b/>
                <w:noProof/>
                <w:sz w:val="16"/>
              </w:rPr>
              <w:t>10,378</w:t>
            </w:r>
          </w:p>
        </w:tc>
        <w:tc>
          <w:tcPr>
            <w:tcW w:w="80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D4DC62" w14:textId="789431CC" w:rsidR="00FA0CA8" w:rsidRPr="001357D3" w:rsidRDefault="00FA0CA8" w:rsidP="00FA0CA8">
            <w:pPr>
              <w:spacing w:before="0" w:after="0"/>
              <w:jc w:val="right"/>
              <w:rPr>
                <w:noProof/>
              </w:rPr>
            </w:pPr>
            <w:r w:rsidRPr="001357D3">
              <w:rPr>
                <w:b/>
                <w:noProof/>
                <w:sz w:val="16"/>
              </w:rPr>
              <w:t>10,386</w:t>
            </w:r>
          </w:p>
        </w:tc>
        <w:tc>
          <w:tcPr>
            <w:tcW w:w="80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176ACD" w14:textId="684758DE" w:rsidR="00FA0CA8" w:rsidRPr="001357D3" w:rsidRDefault="00FA0CA8" w:rsidP="00FA0CA8">
            <w:pPr>
              <w:spacing w:before="0" w:after="0"/>
              <w:jc w:val="right"/>
              <w:rPr>
                <w:noProof/>
              </w:rPr>
            </w:pPr>
            <w:r w:rsidRPr="001357D3">
              <w:rPr>
                <w:b/>
                <w:noProof/>
                <w:sz w:val="16"/>
              </w:rPr>
              <w:t>10,395</w:t>
            </w:r>
          </w:p>
        </w:tc>
        <w:tc>
          <w:tcPr>
            <w:tcW w:w="80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691416" w14:textId="2A0557BD" w:rsidR="00FA0CA8" w:rsidRPr="001357D3" w:rsidRDefault="00FA0CA8" w:rsidP="00FA0CA8">
            <w:pPr>
              <w:spacing w:before="0" w:after="0"/>
              <w:jc w:val="right"/>
              <w:rPr>
                <w:noProof/>
              </w:rPr>
            </w:pPr>
            <w:r w:rsidRPr="001357D3">
              <w:rPr>
                <w:b/>
                <w:noProof/>
                <w:sz w:val="16"/>
              </w:rPr>
              <w:t>10,403</w:t>
            </w:r>
          </w:p>
        </w:tc>
        <w:tc>
          <w:tcPr>
            <w:tcW w:w="81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34731E" w14:textId="7414A3E0" w:rsidR="00FA0CA8" w:rsidRPr="001357D3" w:rsidRDefault="00FA0CA8" w:rsidP="00FA0CA8">
            <w:pPr>
              <w:spacing w:before="0" w:after="0"/>
              <w:jc w:val="right"/>
              <w:rPr>
                <w:noProof/>
              </w:rPr>
            </w:pPr>
            <w:r w:rsidRPr="001357D3">
              <w:rPr>
                <w:b/>
                <w:noProof/>
                <w:sz w:val="16"/>
              </w:rPr>
              <w:t>72,649</w:t>
            </w:r>
          </w:p>
        </w:tc>
      </w:tr>
    </w:tbl>
    <w:bookmarkEnd w:id="233"/>
    <w:p w14:paraId="28271080" w14:textId="77777777" w:rsidR="00FA0CA8" w:rsidRPr="001357D3" w:rsidRDefault="00FA0CA8" w:rsidP="00FA0CA8">
      <w:pPr>
        <w:rPr>
          <w:noProof/>
        </w:rPr>
      </w:pPr>
      <w:r w:rsidRPr="001357D3">
        <w:rPr>
          <w:noProof/>
        </w:rPr>
        <w:t>===================================================================</w:t>
      </w:r>
    </w:p>
    <w:p w14:paraId="7DB0D7A9" w14:textId="4FF62C45" w:rsidR="00FA0CA8" w:rsidRPr="001357D3" w:rsidRDefault="00FA0CA8" w:rsidP="00FA0CA8">
      <w:pPr>
        <w:keepNext/>
        <w:tabs>
          <w:tab w:val="left" w:pos="850"/>
        </w:tabs>
        <w:ind w:left="850" w:hanging="850"/>
        <w:outlineLvl w:val="2"/>
        <w:rPr>
          <w:i/>
          <w:noProof/>
        </w:rPr>
      </w:pPr>
      <w:bookmarkStart w:id="234" w:name="_Toc167220292"/>
      <w:bookmarkStart w:id="235" w:name="_Toc177549025"/>
      <w:bookmarkStart w:id="236" w:name="_Toc210923284"/>
      <w:r w:rsidRPr="001357D3">
        <w:rPr>
          <w:i/>
          <w:noProof/>
        </w:rPr>
        <w:t>3.2.3.2.</w:t>
      </w:r>
      <w:r w:rsidRPr="001357D3">
        <w:rPr>
          <w:noProof/>
        </w:rPr>
        <w:tab/>
      </w:r>
      <w:r w:rsidRPr="001357D3">
        <w:rPr>
          <w:i/>
          <w:noProof/>
        </w:rPr>
        <w:t>Środki</w:t>
      </w:r>
      <w:r w:rsidR="001C6403" w:rsidRPr="001357D3">
        <w:rPr>
          <w:i/>
          <w:noProof/>
        </w:rPr>
        <w:t xml:space="preserve"> z</w:t>
      </w:r>
      <w:r w:rsidR="001C6403">
        <w:rPr>
          <w:i/>
          <w:noProof/>
        </w:rPr>
        <w:t> </w:t>
      </w:r>
      <w:r w:rsidR="001C6403" w:rsidRPr="001357D3">
        <w:rPr>
          <w:i/>
          <w:noProof/>
        </w:rPr>
        <w:t>zew</w:t>
      </w:r>
      <w:r w:rsidRPr="001357D3">
        <w:rPr>
          <w:i/>
          <w:noProof/>
        </w:rPr>
        <w:t>nętrznych dochodów przeznaczonych na określony cel</w:t>
      </w:r>
      <w:bookmarkEnd w:id="234"/>
      <w:bookmarkEnd w:id="235"/>
      <w:r w:rsidRPr="001357D3">
        <w:rPr>
          <w:i/>
          <w:noProof/>
        </w:rPr>
        <w:t xml:space="preserve"> (nd.)</w:t>
      </w:r>
      <w:bookmarkEnd w:id="236"/>
    </w:p>
    <w:tbl>
      <w:tblPr>
        <w:tblW w:w="0" w:type="auto"/>
        <w:tblLayout w:type="fixed"/>
        <w:tblLook w:val="04A0" w:firstRow="1" w:lastRow="0" w:firstColumn="1" w:lastColumn="0" w:noHBand="0" w:noVBand="1"/>
      </w:tblPr>
      <w:tblGrid>
        <w:gridCol w:w="821"/>
        <w:gridCol w:w="819"/>
        <w:gridCol w:w="821"/>
        <w:gridCol w:w="391"/>
        <w:gridCol w:w="730"/>
        <w:gridCol w:w="730"/>
        <w:gridCol w:w="730"/>
        <w:gridCol w:w="730"/>
        <w:gridCol w:w="821"/>
        <w:gridCol w:w="819"/>
        <w:gridCol w:w="821"/>
        <w:gridCol w:w="827"/>
      </w:tblGrid>
      <w:tr w:rsidR="00D31917" w:rsidRPr="001357D3" w14:paraId="3101EEF3" w14:textId="77777777">
        <w:trPr>
          <w:trHeight w:val="300"/>
        </w:trPr>
        <w:tc>
          <w:tcPr>
            <w:tcW w:w="2852" w:type="dxa"/>
            <w:gridSpan w:val="4"/>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E7472" w14:textId="77777777" w:rsidR="00FA0CA8" w:rsidRPr="001357D3" w:rsidRDefault="00FA0CA8" w:rsidP="00FA0CA8">
            <w:pPr>
              <w:spacing w:before="0" w:after="0"/>
              <w:jc w:val="center"/>
              <w:rPr>
                <w:noProof/>
              </w:rPr>
            </w:pPr>
            <w:r w:rsidRPr="001357D3">
              <w:rPr>
                <w:b/>
                <w:noProof/>
                <w:sz w:val="18"/>
              </w:rPr>
              <w:t>ZEWNĘTRZNE DOCHODY PRZEZNACZONE NA OKREŚLONY CEL</w:t>
            </w:r>
          </w:p>
        </w:tc>
        <w:tc>
          <w:tcPr>
            <w:tcW w:w="730" w:type="dxa"/>
            <w:tcBorders>
              <w:top w:val="single" w:sz="8" w:space="0" w:color="auto"/>
              <w:left w:val="nil"/>
              <w:bottom w:val="nil"/>
              <w:right w:val="single" w:sz="8" w:space="0" w:color="auto"/>
            </w:tcBorders>
            <w:tcMar>
              <w:left w:w="108" w:type="dxa"/>
              <w:right w:w="108" w:type="dxa"/>
            </w:tcMar>
            <w:vAlign w:val="center"/>
          </w:tcPr>
          <w:p w14:paraId="50D5EB3E" w14:textId="77777777" w:rsidR="00FA0CA8" w:rsidRPr="001357D3" w:rsidRDefault="00FA0CA8" w:rsidP="00FA0CA8">
            <w:pPr>
              <w:spacing w:before="0" w:after="0"/>
              <w:jc w:val="center"/>
              <w:rPr>
                <w:noProof/>
              </w:rPr>
            </w:pPr>
            <w:r w:rsidRPr="001357D3">
              <w:rPr>
                <w:noProof/>
                <w:sz w:val="18"/>
              </w:rPr>
              <w:t>Rok</w:t>
            </w:r>
          </w:p>
        </w:tc>
        <w:tc>
          <w:tcPr>
            <w:tcW w:w="730" w:type="dxa"/>
            <w:tcBorders>
              <w:top w:val="single" w:sz="8" w:space="0" w:color="auto"/>
              <w:left w:val="single" w:sz="8" w:space="0" w:color="auto"/>
              <w:bottom w:val="nil"/>
              <w:right w:val="single" w:sz="8" w:space="0" w:color="auto"/>
            </w:tcBorders>
            <w:tcMar>
              <w:left w:w="108" w:type="dxa"/>
              <w:right w:w="108" w:type="dxa"/>
            </w:tcMar>
            <w:vAlign w:val="center"/>
          </w:tcPr>
          <w:p w14:paraId="39AE7B59" w14:textId="77777777" w:rsidR="00FA0CA8" w:rsidRPr="001357D3" w:rsidRDefault="00FA0CA8" w:rsidP="00FA0CA8">
            <w:pPr>
              <w:spacing w:before="0" w:after="0"/>
              <w:jc w:val="center"/>
              <w:rPr>
                <w:noProof/>
              </w:rPr>
            </w:pPr>
            <w:r w:rsidRPr="001357D3">
              <w:rPr>
                <w:noProof/>
                <w:sz w:val="18"/>
              </w:rPr>
              <w:t>Rok</w:t>
            </w:r>
          </w:p>
        </w:tc>
        <w:tc>
          <w:tcPr>
            <w:tcW w:w="730" w:type="dxa"/>
            <w:tcBorders>
              <w:top w:val="single" w:sz="8" w:space="0" w:color="auto"/>
              <w:left w:val="single" w:sz="8" w:space="0" w:color="auto"/>
              <w:bottom w:val="nil"/>
              <w:right w:val="single" w:sz="8" w:space="0" w:color="auto"/>
            </w:tcBorders>
            <w:tcMar>
              <w:left w:w="108" w:type="dxa"/>
              <w:right w:w="108" w:type="dxa"/>
            </w:tcMar>
            <w:vAlign w:val="center"/>
          </w:tcPr>
          <w:p w14:paraId="75BEC64B" w14:textId="77777777" w:rsidR="00FA0CA8" w:rsidRPr="001357D3" w:rsidRDefault="00FA0CA8" w:rsidP="00FA0CA8">
            <w:pPr>
              <w:spacing w:before="0" w:after="0"/>
              <w:jc w:val="center"/>
              <w:rPr>
                <w:noProof/>
              </w:rPr>
            </w:pPr>
            <w:r w:rsidRPr="001357D3">
              <w:rPr>
                <w:noProof/>
                <w:sz w:val="18"/>
              </w:rPr>
              <w:t>Rok</w:t>
            </w:r>
          </w:p>
        </w:tc>
        <w:tc>
          <w:tcPr>
            <w:tcW w:w="730" w:type="dxa"/>
            <w:tcBorders>
              <w:top w:val="single" w:sz="8" w:space="0" w:color="auto"/>
              <w:left w:val="single" w:sz="8" w:space="0" w:color="auto"/>
              <w:bottom w:val="nil"/>
              <w:right w:val="single" w:sz="8" w:space="0" w:color="auto"/>
            </w:tcBorders>
            <w:tcMar>
              <w:left w:w="108" w:type="dxa"/>
              <w:right w:w="108" w:type="dxa"/>
            </w:tcMar>
            <w:vAlign w:val="center"/>
          </w:tcPr>
          <w:p w14:paraId="32CA1798" w14:textId="77777777" w:rsidR="00FA0CA8" w:rsidRPr="001357D3" w:rsidRDefault="00FA0CA8" w:rsidP="00FA0CA8">
            <w:pPr>
              <w:spacing w:before="0" w:after="0"/>
              <w:jc w:val="center"/>
              <w:rPr>
                <w:noProof/>
              </w:rPr>
            </w:pPr>
            <w:r w:rsidRPr="001357D3">
              <w:rPr>
                <w:noProof/>
                <w:sz w:val="18"/>
              </w:rPr>
              <w:t>Rok</w:t>
            </w:r>
          </w:p>
        </w:tc>
        <w:tc>
          <w:tcPr>
            <w:tcW w:w="821"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0DF7EEE0" w14:textId="77777777" w:rsidR="00FA0CA8" w:rsidRPr="001357D3" w:rsidRDefault="00FA0CA8" w:rsidP="00FA0CA8">
            <w:pPr>
              <w:spacing w:before="0" w:after="0"/>
              <w:jc w:val="center"/>
              <w:rPr>
                <w:noProof/>
              </w:rPr>
            </w:pPr>
            <w:r w:rsidRPr="001357D3">
              <w:rPr>
                <w:noProof/>
                <w:sz w:val="18"/>
              </w:rPr>
              <w:t>Rok</w:t>
            </w:r>
          </w:p>
        </w:tc>
        <w:tc>
          <w:tcPr>
            <w:tcW w:w="819"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7B93B3E1" w14:textId="77777777" w:rsidR="00FA0CA8" w:rsidRPr="001357D3" w:rsidRDefault="00FA0CA8" w:rsidP="00FA0CA8">
            <w:pPr>
              <w:spacing w:before="0" w:after="0"/>
              <w:jc w:val="center"/>
              <w:rPr>
                <w:noProof/>
              </w:rPr>
            </w:pPr>
            <w:r w:rsidRPr="001357D3">
              <w:rPr>
                <w:noProof/>
                <w:sz w:val="18"/>
              </w:rPr>
              <w:t>Rok</w:t>
            </w:r>
          </w:p>
        </w:tc>
        <w:tc>
          <w:tcPr>
            <w:tcW w:w="821"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C68BAE4" w14:textId="77777777" w:rsidR="00FA0CA8" w:rsidRPr="001357D3" w:rsidRDefault="00FA0CA8" w:rsidP="00FA0CA8">
            <w:pPr>
              <w:spacing w:before="0" w:after="0"/>
              <w:jc w:val="center"/>
              <w:rPr>
                <w:noProof/>
              </w:rPr>
            </w:pPr>
            <w:r w:rsidRPr="001357D3">
              <w:rPr>
                <w:noProof/>
                <w:sz w:val="18"/>
              </w:rPr>
              <w:t>Rok</w:t>
            </w:r>
          </w:p>
        </w:tc>
        <w:tc>
          <w:tcPr>
            <w:tcW w:w="82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6BC49" w14:textId="77777777" w:rsidR="00FA0CA8" w:rsidRPr="001357D3" w:rsidRDefault="00FA0CA8" w:rsidP="00FA0CA8">
            <w:pPr>
              <w:spacing w:before="0" w:after="0"/>
              <w:jc w:val="center"/>
              <w:rPr>
                <w:noProof/>
              </w:rPr>
            </w:pPr>
            <w:r w:rsidRPr="001357D3">
              <w:rPr>
                <w:b/>
                <w:noProof/>
                <w:sz w:val="18"/>
              </w:rPr>
              <w:t>OGÓŁEM 2028–2034</w:t>
            </w:r>
          </w:p>
        </w:tc>
      </w:tr>
      <w:tr w:rsidR="00D31917" w:rsidRPr="001357D3" w14:paraId="70D6E956" w14:textId="77777777">
        <w:trPr>
          <w:trHeight w:val="300"/>
        </w:trPr>
        <w:tc>
          <w:tcPr>
            <w:tcW w:w="2852" w:type="dxa"/>
            <w:gridSpan w:val="4"/>
            <w:vMerge/>
            <w:tcBorders>
              <w:left w:val="single" w:sz="0" w:space="0" w:color="auto"/>
              <w:bottom w:val="single" w:sz="0" w:space="0" w:color="auto"/>
              <w:right w:val="single" w:sz="0" w:space="0" w:color="auto"/>
            </w:tcBorders>
            <w:vAlign w:val="center"/>
          </w:tcPr>
          <w:p w14:paraId="32389D1F" w14:textId="77777777" w:rsidR="00FA0CA8" w:rsidRPr="001357D3" w:rsidRDefault="00FA0CA8" w:rsidP="00FA0CA8">
            <w:pPr>
              <w:rPr>
                <w:noProof/>
              </w:rPr>
            </w:pPr>
          </w:p>
        </w:tc>
        <w:tc>
          <w:tcPr>
            <w:tcW w:w="730" w:type="dxa"/>
            <w:tcBorders>
              <w:top w:val="nil"/>
              <w:left w:val="nil"/>
              <w:bottom w:val="single" w:sz="8" w:space="0" w:color="auto"/>
              <w:right w:val="single" w:sz="8" w:space="0" w:color="auto"/>
            </w:tcBorders>
            <w:tcMar>
              <w:left w:w="108" w:type="dxa"/>
              <w:right w:w="108" w:type="dxa"/>
            </w:tcMar>
            <w:vAlign w:val="center"/>
          </w:tcPr>
          <w:p w14:paraId="40F0749F" w14:textId="77777777" w:rsidR="00FA0CA8" w:rsidRPr="001357D3" w:rsidRDefault="00FA0CA8" w:rsidP="00FA0CA8">
            <w:pPr>
              <w:spacing w:before="0" w:after="0"/>
              <w:jc w:val="center"/>
              <w:rPr>
                <w:noProof/>
              </w:rPr>
            </w:pPr>
            <w:r w:rsidRPr="001357D3">
              <w:rPr>
                <w:b/>
                <w:noProof/>
                <w:sz w:val="18"/>
              </w:rPr>
              <w:t>2028</w:t>
            </w:r>
          </w:p>
        </w:tc>
        <w:tc>
          <w:tcPr>
            <w:tcW w:w="730" w:type="dxa"/>
            <w:tcBorders>
              <w:top w:val="nil"/>
              <w:left w:val="single" w:sz="8" w:space="0" w:color="auto"/>
              <w:bottom w:val="single" w:sz="8" w:space="0" w:color="auto"/>
              <w:right w:val="single" w:sz="8" w:space="0" w:color="auto"/>
            </w:tcBorders>
            <w:tcMar>
              <w:left w:w="108" w:type="dxa"/>
              <w:right w:w="108" w:type="dxa"/>
            </w:tcMar>
            <w:vAlign w:val="center"/>
          </w:tcPr>
          <w:p w14:paraId="63B6C0BD" w14:textId="77777777" w:rsidR="00FA0CA8" w:rsidRPr="001357D3" w:rsidRDefault="00FA0CA8" w:rsidP="00FA0CA8">
            <w:pPr>
              <w:spacing w:before="0" w:after="0"/>
              <w:jc w:val="center"/>
              <w:rPr>
                <w:noProof/>
              </w:rPr>
            </w:pPr>
            <w:r w:rsidRPr="001357D3">
              <w:rPr>
                <w:b/>
                <w:noProof/>
                <w:sz w:val="18"/>
              </w:rPr>
              <w:t>2029</w:t>
            </w:r>
          </w:p>
        </w:tc>
        <w:tc>
          <w:tcPr>
            <w:tcW w:w="730" w:type="dxa"/>
            <w:tcBorders>
              <w:top w:val="nil"/>
              <w:left w:val="single" w:sz="8" w:space="0" w:color="auto"/>
              <w:bottom w:val="single" w:sz="8" w:space="0" w:color="auto"/>
              <w:right w:val="single" w:sz="8" w:space="0" w:color="auto"/>
            </w:tcBorders>
            <w:tcMar>
              <w:left w:w="108" w:type="dxa"/>
              <w:right w:w="108" w:type="dxa"/>
            </w:tcMar>
            <w:vAlign w:val="center"/>
          </w:tcPr>
          <w:p w14:paraId="750D0FB6" w14:textId="77777777" w:rsidR="00FA0CA8" w:rsidRPr="001357D3" w:rsidRDefault="00FA0CA8" w:rsidP="00FA0CA8">
            <w:pPr>
              <w:spacing w:before="0" w:after="0"/>
              <w:jc w:val="center"/>
              <w:rPr>
                <w:noProof/>
              </w:rPr>
            </w:pPr>
            <w:r w:rsidRPr="001357D3">
              <w:rPr>
                <w:b/>
                <w:noProof/>
                <w:sz w:val="18"/>
              </w:rPr>
              <w:t>2030</w:t>
            </w:r>
          </w:p>
        </w:tc>
        <w:tc>
          <w:tcPr>
            <w:tcW w:w="730" w:type="dxa"/>
            <w:tcBorders>
              <w:top w:val="nil"/>
              <w:left w:val="single" w:sz="8" w:space="0" w:color="auto"/>
              <w:bottom w:val="single" w:sz="8" w:space="0" w:color="auto"/>
              <w:right w:val="single" w:sz="8" w:space="0" w:color="auto"/>
            </w:tcBorders>
            <w:tcMar>
              <w:left w:w="108" w:type="dxa"/>
              <w:right w:w="108" w:type="dxa"/>
            </w:tcMar>
            <w:vAlign w:val="center"/>
          </w:tcPr>
          <w:p w14:paraId="1120BF64" w14:textId="77777777" w:rsidR="00FA0CA8" w:rsidRPr="001357D3" w:rsidRDefault="00FA0CA8" w:rsidP="00FA0CA8">
            <w:pPr>
              <w:spacing w:before="0" w:after="0"/>
              <w:jc w:val="center"/>
              <w:rPr>
                <w:noProof/>
              </w:rPr>
            </w:pPr>
            <w:r w:rsidRPr="001357D3">
              <w:rPr>
                <w:b/>
                <w:noProof/>
                <w:sz w:val="18"/>
              </w:rPr>
              <w:t>2031</w:t>
            </w:r>
          </w:p>
        </w:tc>
        <w:tc>
          <w:tcPr>
            <w:tcW w:w="821"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305B25FD" w14:textId="77777777" w:rsidR="00FA0CA8" w:rsidRPr="001357D3" w:rsidRDefault="00FA0CA8" w:rsidP="00FA0CA8">
            <w:pPr>
              <w:spacing w:before="0" w:after="0"/>
              <w:jc w:val="center"/>
              <w:rPr>
                <w:noProof/>
              </w:rPr>
            </w:pPr>
            <w:r w:rsidRPr="001357D3">
              <w:rPr>
                <w:b/>
                <w:noProof/>
                <w:sz w:val="18"/>
              </w:rPr>
              <w:t>2032</w:t>
            </w:r>
          </w:p>
        </w:tc>
        <w:tc>
          <w:tcPr>
            <w:tcW w:w="819"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33CD1967" w14:textId="77777777" w:rsidR="00FA0CA8" w:rsidRPr="001357D3" w:rsidRDefault="00FA0CA8" w:rsidP="00FA0CA8">
            <w:pPr>
              <w:spacing w:before="0" w:after="0"/>
              <w:jc w:val="center"/>
              <w:rPr>
                <w:noProof/>
              </w:rPr>
            </w:pPr>
            <w:r w:rsidRPr="001357D3">
              <w:rPr>
                <w:b/>
                <w:noProof/>
                <w:sz w:val="18"/>
              </w:rPr>
              <w:t>2033</w:t>
            </w:r>
          </w:p>
        </w:tc>
        <w:tc>
          <w:tcPr>
            <w:tcW w:w="821"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5E544AA0" w14:textId="77777777" w:rsidR="00FA0CA8" w:rsidRPr="001357D3" w:rsidRDefault="00FA0CA8" w:rsidP="00FA0CA8">
            <w:pPr>
              <w:spacing w:before="0" w:after="0"/>
              <w:jc w:val="center"/>
              <w:rPr>
                <w:noProof/>
              </w:rPr>
            </w:pPr>
            <w:r w:rsidRPr="001357D3">
              <w:rPr>
                <w:b/>
                <w:noProof/>
                <w:sz w:val="18"/>
              </w:rPr>
              <w:t>2034</w:t>
            </w:r>
          </w:p>
        </w:tc>
        <w:tc>
          <w:tcPr>
            <w:tcW w:w="827" w:type="dxa"/>
            <w:vMerge/>
            <w:tcBorders>
              <w:left w:val="single" w:sz="0" w:space="0" w:color="auto"/>
              <w:bottom w:val="single" w:sz="0" w:space="0" w:color="auto"/>
              <w:right w:val="single" w:sz="0" w:space="0" w:color="auto"/>
            </w:tcBorders>
            <w:vAlign w:val="center"/>
          </w:tcPr>
          <w:p w14:paraId="62BFBD88" w14:textId="77777777" w:rsidR="00FA0CA8" w:rsidRPr="001357D3" w:rsidRDefault="00FA0CA8" w:rsidP="00FA0CA8">
            <w:pPr>
              <w:rPr>
                <w:noProof/>
              </w:rPr>
            </w:pPr>
          </w:p>
        </w:tc>
      </w:tr>
      <w:tr w:rsidR="00D31917" w:rsidRPr="001357D3" w14:paraId="65C5660D" w14:textId="77777777">
        <w:trPr>
          <w:trHeight w:val="300"/>
        </w:trPr>
        <w:tc>
          <w:tcPr>
            <w:tcW w:w="9060" w:type="dxa"/>
            <w:gridSpan w:val="12"/>
            <w:tcBorders>
              <w:top w:val="nil"/>
              <w:left w:val="single" w:sz="8" w:space="0" w:color="auto"/>
              <w:bottom w:val="single" w:sz="8" w:space="0" w:color="auto"/>
              <w:right w:val="single" w:sz="8" w:space="0" w:color="auto"/>
            </w:tcBorders>
            <w:tcMar>
              <w:left w:w="108" w:type="dxa"/>
              <w:right w:w="108" w:type="dxa"/>
            </w:tcMar>
            <w:vAlign w:val="center"/>
          </w:tcPr>
          <w:p w14:paraId="7FC28DC3" w14:textId="77777777" w:rsidR="00FA0CA8" w:rsidRPr="001357D3" w:rsidRDefault="00FA0CA8" w:rsidP="00FA0CA8">
            <w:pPr>
              <w:spacing w:before="0" w:after="0"/>
              <w:jc w:val="center"/>
              <w:rPr>
                <w:noProof/>
              </w:rPr>
            </w:pPr>
            <w:r w:rsidRPr="001357D3">
              <w:rPr>
                <w:b/>
                <w:noProof/>
                <w:sz w:val="16"/>
              </w:rPr>
              <w:t>DZIAŁ 4</w:t>
            </w:r>
          </w:p>
        </w:tc>
      </w:tr>
      <w:tr w:rsidR="00D31917" w:rsidRPr="001357D3" w14:paraId="3D2BADD7"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8F66F" w14:textId="77777777" w:rsidR="00FA0CA8" w:rsidRPr="001357D3" w:rsidRDefault="00FA0CA8" w:rsidP="00FA0CA8">
            <w:pPr>
              <w:spacing w:before="0" w:after="0"/>
              <w:jc w:val="left"/>
              <w:rPr>
                <w:noProof/>
              </w:rPr>
            </w:pPr>
            <w:r w:rsidRPr="001357D3">
              <w:rPr>
                <w:noProof/>
                <w:sz w:val="16"/>
              </w:rPr>
              <w:t xml:space="preserve">Zasoby ludzkie </w:t>
            </w:r>
          </w:p>
        </w:tc>
        <w:tc>
          <w:tcPr>
            <w:tcW w:w="73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442E7E0"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C65743"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0E8BD7"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17A387" w14:textId="77777777" w:rsidR="00FA0CA8" w:rsidRPr="001357D3" w:rsidRDefault="00FA0CA8" w:rsidP="00FA0CA8">
            <w:pPr>
              <w:spacing w:before="0" w:after="0"/>
              <w:jc w:val="right"/>
              <w:rPr>
                <w:noProof/>
              </w:rPr>
            </w:pPr>
            <w:r w:rsidRPr="001357D3">
              <w:rPr>
                <w:noProof/>
                <w:sz w:val="16"/>
              </w:rPr>
              <w:t>0,000</w:t>
            </w:r>
          </w:p>
        </w:tc>
        <w:tc>
          <w:tcPr>
            <w:tcW w:w="82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E94583" w14:textId="77777777" w:rsidR="00FA0CA8" w:rsidRPr="001357D3" w:rsidRDefault="00FA0CA8" w:rsidP="00FA0CA8">
            <w:pPr>
              <w:spacing w:before="0" w:after="0"/>
              <w:jc w:val="center"/>
              <w:rPr>
                <w:noProof/>
              </w:rPr>
            </w:pPr>
            <w:r w:rsidRPr="001357D3">
              <w:rPr>
                <w:noProof/>
                <w:sz w:val="16"/>
              </w:rPr>
              <w:t>0,000</w:t>
            </w:r>
          </w:p>
        </w:tc>
        <w:tc>
          <w:tcPr>
            <w:tcW w:w="81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1C99C3" w14:textId="77777777" w:rsidR="00FA0CA8" w:rsidRPr="001357D3" w:rsidRDefault="00FA0CA8" w:rsidP="00FA0CA8">
            <w:pPr>
              <w:spacing w:before="0" w:after="0"/>
              <w:jc w:val="center"/>
              <w:rPr>
                <w:noProof/>
              </w:rPr>
            </w:pPr>
            <w:r w:rsidRPr="001357D3">
              <w:rPr>
                <w:noProof/>
                <w:sz w:val="16"/>
              </w:rPr>
              <w:t>0,000</w:t>
            </w:r>
          </w:p>
        </w:tc>
        <w:tc>
          <w:tcPr>
            <w:tcW w:w="82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43D29E" w14:textId="77777777" w:rsidR="00FA0CA8" w:rsidRPr="001357D3" w:rsidRDefault="00FA0CA8" w:rsidP="00FA0CA8">
            <w:pPr>
              <w:spacing w:before="0" w:after="0"/>
              <w:jc w:val="center"/>
              <w:rPr>
                <w:noProof/>
              </w:rPr>
            </w:pPr>
            <w:r w:rsidRPr="001357D3">
              <w:rPr>
                <w:noProof/>
                <w:sz w:val="16"/>
              </w:rPr>
              <w:t>0,000</w:t>
            </w:r>
          </w:p>
        </w:tc>
        <w:tc>
          <w:tcPr>
            <w:tcW w:w="82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F3A5C8" w14:textId="77777777" w:rsidR="00FA0CA8" w:rsidRPr="001357D3" w:rsidRDefault="00FA0CA8" w:rsidP="00FA0CA8">
            <w:pPr>
              <w:spacing w:before="0" w:after="0"/>
              <w:jc w:val="right"/>
              <w:rPr>
                <w:noProof/>
              </w:rPr>
            </w:pPr>
            <w:r w:rsidRPr="001357D3">
              <w:rPr>
                <w:b/>
                <w:noProof/>
                <w:sz w:val="16"/>
              </w:rPr>
              <w:t>0,000</w:t>
            </w:r>
          </w:p>
        </w:tc>
      </w:tr>
      <w:tr w:rsidR="00D31917" w:rsidRPr="001357D3" w14:paraId="19988C27"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8F62F" w14:textId="77777777" w:rsidR="00FA0CA8" w:rsidRPr="001357D3" w:rsidRDefault="00FA0CA8" w:rsidP="00FA0CA8">
            <w:pPr>
              <w:spacing w:before="0" w:after="0"/>
              <w:jc w:val="left"/>
              <w:rPr>
                <w:noProof/>
              </w:rPr>
            </w:pPr>
            <w:r w:rsidRPr="001357D3">
              <w:rPr>
                <w:noProof/>
                <w:sz w:val="16"/>
              </w:rPr>
              <w:t xml:space="preserve">Pozostałe wydatki administracyjne </w:t>
            </w:r>
          </w:p>
        </w:tc>
        <w:tc>
          <w:tcPr>
            <w:tcW w:w="73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5C94431"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49BA7C"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83E0BE"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51AD9F" w14:textId="77777777" w:rsidR="00FA0CA8" w:rsidRPr="001357D3" w:rsidRDefault="00FA0CA8" w:rsidP="00FA0CA8">
            <w:pPr>
              <w:spacing w:before="0" w:after="0"/>
              <w:jc w:val="right"/>
              <w:rPr>
                <w:noProof/>
              </w:rPr>
            </w:pPr>
            <w:r w:rsidRPr="001357D3">
              <w:rPr>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7E6303" w14:textId="77777777" w:rsidR="00FA0CA8" w:rsidRPr="001357D3" w:rsidRDefault="00FA0CA8" w:rsidP="00FA0CA8">
            <w:pPr>
              <w:spacing w:before="0" w:after="0"/>
              <w:jc w:val="center"/>
              <w:rPr>
                <w:noProof/>
              </w:rPr>
            </w:pPr>
            <w:r w:rsidRPr="001357D3">
              <w:rPr>
                <w:noProof/>
                <w:sz w:val="16"/>
              </w:rPr>
              <w:t>0,000</w:t>
            </w:r>
          </w:p>
        </w:tc>
        <w:tc>
          <w:tcPr>
            <w:tcW w:w="8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A9310C" w14:textId="77777777" w:rsidR="00FA0CA8" w:rsidRPr="001357D3" w:rsidRDefault="00FA0CA8" w:rsidP="00FA0CA8">
            <w:pPr>
              <w:spacing w:before="0" w:after="0"/>
              <w:jc w:val="center"/>
              <w:rPr>
                <w:noProof/>
              </w:rPr>
            </w:pPr>
            <w:r w:rsidRPr="001357D3">
              <w:rPr>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CB73B9" w14:textId="77777777" w:rsidR="00FA0CA8" w:rsidRPr="001357D3" w:rsidRDefault="00FA0CA8" w:rsidP="00FA0CA8">
            <w:pPr>
              <w:spacing w:before="0" w:after="0"/>
              <w:jc w:val="center"/>
              <w:rPr>
                <w:noProof/>
              </w:rPr>
            </w:pPr>
            <w:r w:rsidRPr="001357D3">
              <w:rPr>
                <w:noProof/>
                <w:sz w:val="16"/>
              </w:rPr>
              <w:t>0,000</w:t>
            </w:r>
          </w:p>
        </w:tc>
        <w:tc>
          <w:tcPr>
            <w:tcW w:w="8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235C4B" w14:textId="77777777" w:rsidR="00FA0CA8" w:rsidRPr="001357D3" w:rsidRDefault="00FA0CA8" w:rsidP="00FA0CA8">
            <w:pPr>
              <w:spacing w:before="0" w:after="0"/>
              <w:jc w:val="right"/>
              <w:rPr>
                <w:noProof/>
              </w:rPr>
            </w:pPr>
            <w:r w:rsidRPr="001357D3">
              <w:rPr>
                <w:b/>
                <w:noProof/>
                <w:sz w:val="16"/>
              </w:rPr>
              <w:t>0,000</w:t>
            </w:r>
          </w:p>
        </w:tc>
      </w:tr>
      <w:tr w:rsidR="00D31917" w:rsidRPr="001357D3" w14:paraId="2EC48122"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C458505" w14:textId="77777777" w:rsidR="00FA0CA8" w:rsidRPr="001357D3" w:rsidRDefault="00FA0CA8" w:rsidP="00FA0CA8">
            <w:pPr>
              <w:spacing w:before="0" w:after="0"/>
              <w:jc w:val="center"/>
              <w:rPr>
                <w:noProof/>
              </w:rPr>
            </w:pPr>
            <w:r w:rsidRPr="001357D3">
              <w:rPr>
                <w:b/>
                <w:noProof/>
                <w:sz w:val="16"/>
              </w:rPr>
              <w:t>Suma cząstkowa DZIAŁ 4</w:t>
            </w:r>
          </w:p>
        </w:tc>
        <w:tc>
          <w:tcPr>
            <w:tcW w:w="73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20CC3EA"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C4E391"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5AF950"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1B180C" w14:textId="77777777" w:rsidR="00FA0CA8" w:rsidRPr="001357D3" w:rsidRDefault="00FA0CA8" w:rsidP="00FA0CA8">
            <w:pPr>
              <w:spacing w:before="0" w:after="0"/>
              <w:jc w:val="right"/>
              <w:rPr>
                <w:noProof/>
              </w:rPr>
            </w:pPr>
            <w:r w:rsidRPr="001357D3">
              <w:rPr>
                <w:b/>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768815" w14:textId="77777777" w:rsidR="00FA0CA8" w:rsidRPr="001357D3" w:rsidRDefault="00FA0CA8" w:rsidP="00FA0CA8">
            <w:pPr>
              <w:spacing w:before="0" w:after="0"/>
              <w:jc w:val="center"/>
              <w:rPr>
                <w:noProof/>
              </w:rPr>
            </w:pPr>
            <w:r w:rsidRPr="001357D3">
              <w:rPr>
                <w:b/>
                <w:noProof/>
                <w:sz w:val="16"/>
              </w:rPr>
              <w:t>0,000</w:t>
            </w:r>
          </w:p>
        </w:tc>
        <w:tc>
          <w:tcPr>
            <w:tcW w:w="8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4F8AFD" w14:textId="77777777" w:rsidR="00FA0CA8" w:rsidRPr="001357D3" w:rsidRDefault="00FA0CA8" w:rsidP="00FA0CA8">
            <w:pPr>
              <w:spacing w:before="0" w:after="0"/>
              <w:jc w:val="center"/>
              <w:rPr>
                <w:noProof/>
              </w:rPr>
            </w:pPr>
            <w:r w:rsidRPr="001357D3">
              <w:rPr>
                <w:b/>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93BAF6" w14:textId="77777777" w:rsidR="00FA0CA8" w:rsidRPr="001357D3" w:rsidRDefault="00FA0CA8" w:rsidP="00FA0CA8">
            <w:pPr>
              <w:spacing w:before="0" w:after="0"/>
              <w:jc w:val="center"/>
              <w:rPr>
                <w:noProof/>
              </w:rPr>
            </w:pPr>
            <w:r w:rsidRPr="001357D3">
              <w:rPr>
                <w:b/>
                <w:noProof/>
                <w:sz w:val="16"/>
              </w:rPr>
              <w:t>0,000</w:t>
            </w:r>
          </w:p>
        </w:tc>
        <w:tc>
          <w:tcPr>
            <w:tcW w:w="8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787245" w14:textId="77777777" w:rsidR="00FA0CA8" w:rsidRPr="001357D3" w:rsidRDefault="00FA0CA8" w:rsidP="00FA0CA8">
            <w:pPr>
              <w:spacing w:before="0" w:after="0"/>
              <w:jc w:val="right"/>
              <w:rPr>
                <w:noProof/>
              </w:rPr>
            </w:pPr>
            <w:r w:rsidRPr="001357D3">
              <w:rPr>
                <w:b/>
                <w:noProof/>
                <w:sz w:val="16"/>
              </w:rPr>
              <w:t>0,000</w:t>
            </w:r>
          </w:p>
        </w:tc>
      </w:tr>
      <w:tr w:rsidR="00D31917" w:rsidRPr="001357D3" w14:paraId="21092AA5" w14:textId="77777777">
        <w:trPr>
          <w:trHeight w:val="300"/>
        </w:trPr>
        <w:tc>
          <w:tcPr>
            <w:tcW w:w="9060" w:type="dxa"/>
            <w:gridSpan w:val="1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AB471" w14:textId="77777777" w:rsidR="00FA0CA8" w:rsidRPr="001357D3" w:rsidRDefault="00FA0CA8" w:rsidP="00FA0CA8">
            <w:pPr>
              <w:spacing w:before="0" w:after="0"/>
              <w:jc w:val="center"/>
              <w:rPr>
                <w:noProof/>
              </w:rPr>
            </w:pPr>
            <w:r w:rsidRPr="001357D3">
              <w:rPr>
                <w:b/>
                <w:noProof/>
                <w:sz w:val="16"/>
              </w:rPr>
              <w:t>Poza DZIAŁEM 4</w:t>
            </w:r>
          </w:p>
        </w:tc>
      </w:tr>
      <w:tr w:rsidR="00D31917" w:rsidRPr="001357D3" w14:paraId="696B6FEC"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5BC60" w14:textId="77777777" w:rsidR="00FA0CA8" w:rsidRPr="001357D3" w:rsidRDefault="00FA0CA8" w:rsidP="00FA0CA8">
            <w:pPr>
              <w:spacing w:before="0" w:after="0"/>
              <w:jc w:val="left"/>
              <w:rPr>
                <w:noProof/>
              </w:rPr>
            </w:pPr>
            <w:r w:rsidRPr="001357D3">
              <w:rPr>
                <w:noProof/>
                <w:sz w:val="16"/>
              </w:rPr>
              <w:t xml:space="preserve">Zasoby ludzkie </w:t>
            </w:r>
          </w:p>
        </w:tc>
        <w:tc>
          <w:tcPr>
            <w:tcW w:w="73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208B72C"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67D60B"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8B53A3" w14:textId="77777777" w:rsidR="00FA0CA8" w:rsidRPr="001357D3" w:rsidRDefault="00FA0CA8" w:rsidP="00FA0CA8">
            <w:pPr>
              <w:spacing w:before="0" w:after="0"/>
              <w:jc w:val="right"/>
              <w:rPr>
                <w:noProof/>
              </w:rPr>
            </w:pPr>
            <w:r w:rsidRPr="001357D3">
              <w:rPr>
                <w:noProof/>
                <w:sz w:val="16"/>
              </w:rPr>
              <w:t>0,000</w:t>
            </w:r>
          </w:p>
        </w:tc>
        <w:tc>
          <w:tcPr>
            <w:tcW w:w="7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1486EF" w14:textId="77777777" w:rsidR="00FA0CA8" w:rsidRPr="001357D3" w:rsidRDefault="00FA0CA8" w:rsidP="00FA0CA8">
            <w:pPr>
              <w:spacing w:before="0" w:after="0"/>
              <w:jc w:val="right"/>
              <w:rPr>
                <w:noProof/>
              </w:rPr>
            </w:pPr>
            <w:r w:rsidRPr="001357D3">
              <w:rPr>
                <w:noProof/>
                <w:sz w:val="16"/>
              </w:rPr>
              <w:t>0,000</w:t>
            </w:r>
          </w:p>
        </w:tc>
        <w:tc>
          <w:tcPr>
            <w:tcW w:w="82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8935E5" w14:textId="77777777" w:rsidR="00FA0CA8" w:rsidRPr="001357D3" w:rsidRDefault="00FA0CA8" w:rsidP="00FA0CA8">
            <w:pPr>
              <w:spacing w:before="0" w:after="0"/>
              <w:jc w:val="center"/>
              <w:rPr>
                <w:noProof/>
              </w:rPr>
            </w:pPr>
            <w:r w:rsidRPr="001357D3">
              <w:rPr>
                <w:noProof/>
                <w:sz w:val="16"/>
              </w:rPr>
              <w:t>0,000</w:t>
            </w:r>
          </w:p>
        </w:tc>
        <w:tc>
          <w:tcPr>
            <w:tcW w:w="81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E57F6F" w14:textId="77777777" w:rsidR="00FA0CA8" w:rsidRPr="001357D3" w:rsidRDefault="00FA0CA8" w:rsidP="00FA0CA8">
            <w:pPr>
              <w:spacing w:before="0" w:after="0"/>
              <w:jc w:val="center"/>
              <w:rPr>
                <w:noProof/>
              </w:rPr>
            </w:pPr>
            <w:r w:rsidRPr="001357D3">
              <w:rPr>
                <w:noProof/>
                <w:sz w:val="16"/>
              </w:rPr>
              <w:t>0,000</w:t>
            </w:r>
          </w:p>
        </w:tc>
        <w:tc>
          <w:tcPr>
            <w:tcW w:w="82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56BF3C" w14:textId="77777777" w:rsidR="00FA0CA8" w:rsidRPr="001357D3" w:rsidRDefault="00FA0CA8" w:rsidP="00FA0CA8">
            <w:pPr>
              <w:spacing w:before="0" w:after="0"/>
              <w:jc w:val="center"/>
              <w:rPr>
                <w:noProof/>
              </w:rPr>
            </w:pPr>
            <w:r w:rsidRPr="001357D3">
              <w:rPr>
                <w:noProof/>
                <w:sz w:val="16"/>
              </w:rPr>
              <w:t>0,000</w:t>
            </w:r>
          </w:p>
        </w:tc>
        <w:tc>
          <w:tcPr>
            <w:tcW w:w="82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F328A6" w14:textId="77777777" w:rsidR="00FA0CA8" w:rsidRPr="001357D3" w:rsidRDefault="00FA0CA8" w:rsidP="00FA0CA8">
            <w:pPr>
              <w:spacing w:before="0" w:after="0"/>
              <w:jc w:val="right"/>
              <w:rPr>
                <w:noProof/>
              </w:rPr>
            </w:pPr>
            <w:r w:rsidRPr="001357D3">
              <w:rPr>
                <w:b/>
                <w:noProof/>
                <w:sz w:val="16"/>
              </w:rPr>
              <w:t>0,000</w:t>
            </w:r>
          </w:p>
        </w:tc>
      </w:tr>
      <w:tr w:rsidR="00D31917" w:rsidRPr="001357D3" w14:paraId="72E3B9B8"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1A83E" w14:textId="5C927A92" w:rsidR="00FA0CA8" w:rsidRPr="001357D3" w:rsidRDefault="00FA0CA8" w:rsidP="00FA0CA8">
            <w:pPr>
              <w:spacing w:before="0" w:after="0"/>
              <w:jc w:val="left"/>
              <w:rPr>
                <w:noProof/>
              </w:rPr>
            </w:pPr>
            <w:r w:rsidRPr="001357D3">
              <w:rPr>
                <w:noProof/>
                <w:sz w:val="16"/>
              </w:rPr>
              <w:t>Pozostałe wydatki</w:t>
            </w:r>
            <w:r w:rsidR="001C6403" w:rsidRPr="001357D3">
              <w:rPr>
                <w:noProof/>
                <w:sz w:val="16"/>
              </w:rPr>
              <w:t xml:space="preserve"> o</w:t>
            </w:r>
            <w:r w:rsidR="001C6403">
              <w:rPr>
                <w:noProof/>
                <w:sz w:val="16"/>
              </w:rPr>
              <w:t> </w:t>
            </w:r>
            <w:r w:rsidR="001C6403" w:rsidRPr="001357D3">
              <w:rPr>
                <w:noProof/>
                <w:sz w:val="16"/>
              </w:rPr>
              <w:t>cha</w:t>
            </w:r>
            <w:r w:rsidRPr="001357D3">
              <w:rPr>
                <w:noProof/>
                <w:sz w:val="16"/>
              </w:rPr>
              <w:t>rakterze administracyjnym</w:t>
            </w:r>
          </w:p>
        </w:tc>
        <w:tc>
          <w:tcPr>
            <w:tcW w:w="73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F9047DD"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21ADFF"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1CD8C5" w14:textId="77777777" w:rsidR="00FA0CA8" w:rsidRPr="001357D3" w:rsidRDefault="00FA0CA8" w:rsidP="00FA0CA8">
            <w:pPr>
              <w:spacing w:before="0" w:after="0"/>
              <w:jc w:val="right"/>
              <w:rPr>
                <w:noProof/>
              </w:rPr>
            </w:pPr>
            <w:r w:rsidRPr="001357D3">
              <w:rPr>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B4BBD4" w14:textId="77777777" w:rsidR="00FA0CA8" w:rsidRPr="001357D3" w:rsidRDefault="00FA0CA8" w:rsidP="00FA0CA8">
            <w:pPr>
              <w:spacing w:before="0" w:after="0"/>
              <w:jc w:val="right"/>
              <w:rPr>
                <w:noProof/>
              </w:rPr>
            </w:pPr>
            <w:r w:rsidRPr="001357D3">
              <w:rPr>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96B20C" w14:textId="77777777" w:rsidR="00FA0CA8" w:rsidRPr="001357D3" w:rsidRDefault="00FA0CA8" w:rsidP="00FA0CA8">
            <w:pPr>
              <w:spacing w:before="0" w:after="0"/>
              <w:jc w:val="center"/>
              <w:rPr>
                <w:noProof/>
              </w:rPr>
            </w:pPr>
            <w:r w:rsidRPr="001357D3">
              <w:rPr>
                <w:noProof/>
                <w:sz w:val="16"/>
              </w:rPr>
              <w:t>0,000</w:t>
            </w:r>
          </w:p>
        </w:tc>
        <w:tc>
          <w:tcPr>
            <w:tcW w:w="8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394C27" w14:textId="77777777" w:rsidR="00FA0CA8" w:rsidRPr="001357D3" w:rsidRDefault="00FA0CA8" w:rsidP="00FA0CA8">
            <w:pPr>
              <w:spacing w:before="0" w:after="0"/>
              <w:jc w:val="center"/>
              <w:rPr>
                <w:noProof/>
              </w:rPr>
            </w:pPr>
            <w:r w:rsidRPr="001357D3">
              <w:rPr>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2B4D2E" w14:textId="77777777" w:rsidR="00FA0CA8" w:rsidRPr="001357D3" w:rsidRDefault="00FA0CA8" w:rsidP="00FA0CA8">
            <w:pPr>
              <w:spacing w:before="0" w:after="0"/>
              <w:jc w:val="center"/>
              <w:rPr>
                <w:noProof/>
              </w:rPr>
            </w:pPr>
            <w:r w:rsidRPr="001357D3">
              <w:rPr>
                <w:noProof/>
                <w:sz w:val="16"/>
              </w:rPr>
              <w:t>0,000</w:t>
            </w:r>
          </w:p>
        </w:tc>
        <w:tc>
          <w:tcPr>
            <w:tcW w:w="8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3CD5D3" w14:textId="77777777" w:rsidR="00FA0CA8" w:rsidRPr="001357D3" w:rsidRDefault="00FA0CA8" w:rsidP="00FA0CA8">
            <w:pPr>
              <w:spacing w:before="0" w:after="0"/>
              <w:jc w:val="right"/>
              <w:rPr>
                <w:noProof/>
              </w:rPr>
            </w:pPr>
            <w:r w:rsidRPr="001357D3">
              <w:rPr>
                <w:b/>
                <w:noProof/>
                <w:sz w:val="16"/>
              </w:rPr>
              <w:t>0,000</w:t>
            </w:r>
          </w:p>
        </w:tc>
      </w:tr>
      <w:tr w:rsidR="00D31917" w:rsidRPr="001357D3" w14:paraId="5E5F78D8" w14:textId="77777777">
        <w:trPr>
          <w:trHeight w:val="300"/>
        </w:trPr>
        <w:tc>
          <w:tcPr>
            <w:tcW w:w="2852"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2558BF49" w14:textId="77777777" w:rsidR="00FA0CA8" w:rsidRPr="001357D3" w:rsidRDefault="00FA0CA8" w:rsidP="00FA0CA8">
            <w:pPr>
              <w:spacing w:before="0" w:after="0"/>
              <w:jc w:val="center"/>
              <w:rPr>
                <w:noProof/>
              </w:rPr>
            </w:pPr>
            <w:r w:rsidRPr="001357D3">
              <w:rPr>
                <w:b/>
                <w:noProof/>
                <w:sz w:val="16"/>
              </w:rPr>
              <w:t>Suma cząstkowa poza DZIAŁEM 4</w:t>
            </w:r>
          </w:p>
        </w:tc>
        <w:tc>
          <w:tcPr>
            <w:tcW w:w="73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8AF0C3D"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756D41"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ED4270" w14:textId="77777777" w:rsidR="00FA0CA8" w:rsidRPr="001357D3" w:rsidRDefault="00FA0CA8" w:rsidP="00FA0CA8">
            <w:pPr>
              <w:spacing w:before="0" w:after="0"/>
              <w:jc w:val="right"/>
              <w:rPr>
                <w:noProof/>
              </w:rPr>
            </w:pPr>
            <w:r w:rsidRPr="001357D3">
              <w:rPr>
                <w:b/>
                <w:noProof/>
                <w:sz w:val="16"/>
              </w:rPr>
              <w:t>0,000</w:t>
            </w:r>
          </w:p>
        </w:tc>
        <w:tc>
          <w:tcPr>
            <w:tcW w:w="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1A84C6" w14:textId="77777777" w:rsidR="00FA0CA8" w:rsidRPr="001357D3" w:rsidRDefault="00FA0CA8" w:rsidP="00FA0CA8">
            <w:pPr>
              <w:spacing w:before="0" w:after="0"/>
              <w:jc w:val="right"/>
              <w:rPr>
                <w:noProof/>
              </w:rPr>
            </w:pPr>
            <w:r w:rsidRPr="001357D3">
              <w:rPr>
                <w:b/>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6481B7" w14:textId="77777777" w:rsidR="00FA0CA8" w:rsidRPr="001357D3" w:rsidRDefault="00FA0CA8" w:rsidP="00FA0CA8">
            <w:pPr>
              <w:spacing w:before="0" w:after="0"/>
              <w:jc w:val="center"/>
              <w:rPr>
                <w:noProof/>
              </w:rPr>
            </w:pPr>
            <w:r w:rsidRPr="001357D3">
              <w:rPr>
                <w:b/>
                <w:noProof/>
                <w:sz w:val="16"/>
              </w:rPr>
              <w:t>0,000</w:t>
            </w:r>
          </w:p>
        </w:tc>
        <w:tc>
          <w:tcPr>
            <w:tcW w:w="8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D0FE9B" w14:textId="77777777" w:rsidR="00FA0CA8" w:rsidRPr="001357D3" w:rsidRDefault="00FA0CA8" w:rsidP="00FA0CA8">
            <w:pPr>
              <w:spacing w:before="0" w:after="0"/>
              <w:jc w:val="center"/>
              <w:rPr>
                <w:noProof/>
              </w:rPr>
            </w:pPr>
            <w:r w:rsidRPr="001357D3">
              <w:rPr>
                <w:b/>
                <w:noProof/>
                <w:sz w:val="16"/>
              </w:rPr>
              <w:t>0,000</w:t>
            </w:r>
          </w:p>
        </w:tc>
        <w:tc>
          <w:tcPr>
            <w:tcW w:w="8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C451D6" w14:textId="77777777" w:rsidR="00FA0CA8" w:rsidRPr="001357D3" w:rsidRDefault="00FA0CA8" w:rsidP="00FA0CA8">
            <w:pPr>
              <w:spacing w:before="0" w:after="0"/>
              <w:jc w:val="center"/>
              <w:rPr>
                <w:noProof/>
              </w:rPr>
            </w:pPr>
            <w:r w:rsidRPr="001357D3">
              <w:rPr>
                <w:b/>
                <w:noProof/>
                <w:sz w:val="16"/>
              </w:rPr>
              <w:t>0,000</w:t>
            </w:r>
          </w:p>
        </w:tc>
        <w:tc>
          <w:tcPr>
            <w:tcW w:w="8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8423D4" w14:textId="77777777" w:rsidR="00FA0CA8" w:rsidRPr="001357D3" w:rsidRDefault="00FA0CA8" w:rsidP="00FA0CA8">
            <w:pPr>
              <w:spacing w:before="0" w:after="0"/>
              <w:jc w:val="right"/>
              <w:rPr>
                <w:noProof/>
              </w:rPr>
            </w:pPr>
            <w:r w:rsidRPr="001357D3">
              <w:rPr>
                <w:b/>
                <w:noProof/>
                <w:sz w:val="16"/>
              </w:rPr>
              <w:t>0,000</w:t>
            </w:r>
          </w:p>
        </w:tc>
      </w:tr>
      <w:tr w:rsidR="00D31917" w:rsidRPr="001357D3" w14:paraId="545300CC" w14:textId="77777777">
        <w:trPr>
          <w:trHeight w:val="300"/>
        </w:trPr>
        <w:tc>
          <w:tcPr>
            <w:tcW w:w="821" w:type="dxa"/>
            <w:tcBorders>
              <w:top w:val="single" w:sz="8" w:space="0" w:color="auto"/>
              <w:left w:val="single" w:sz="8" w:space="0" w:color="auto"/>
              <w:bottom w:val="single" w:sz="8" w:space="0" w:color="auto"/>
              <w:right w:val="single" w:sz="8" w:space="0" w:color="auto"/>
            </w:tcBorders>
            <w:tcMar>
              <w:left w:w="108" w:type="dxa"/>
              <w:right w:w="108" w:type="dxa"/>
            </w:tcMar>
          </w:tcPr>
          <w:p w14:paraId="0FABE7FD" w14:textId="57BF4CE8" w:rsidR="00FA0CA8" w:rsidRPr="001357D3" w:rsidRDefault="00FA0CA8" w:rsidP="00FA0CA8">
            <w:pPr>
              <w:spacing w:before="0" w:after="0"/>
              <w:jc w:val="center"/>
              <w:rPr>
                <w:noProof/>
              </w:rPr>
            </w:pPr>
          </w:p>
        </w:tc>
        <w:tc>
          <w:tcPr>
            <w:tcW w:w="819" w:type="dxa"/>
            <w:tcBorders>
              <w:top w:val="nil"/>
              <w:left w:val="single" w:sz="8" w:space="0" w:color="auto"/>
              <w:bottom w:val="single" w:sz="8" w:space="0" w:color="auto"/>
              <w:right w:val="single" w:sz="8" w:space="0" w:color="auto"/>
            </w:tcBorders>
            <w:tcMar>
              <w:left w:w="108" w:type="dxa"/>
              <w:right w:w="108" w:type="dxa"/>
            </w:tcMar>
          </w:tcPr>
          <w:p w14:paraId="50EF8F81" w14:textId="60F6382C" w:rsidR="00FA0CA8" w:rsidRPr="001357D3" w:rsidRDefault="00FA0CA8" w:rsidP="00FA0CA8">
            <w:pPr>
              <w:spacing w:before="0" w:after="0"/>
              <w:jc w:val="center"/>
              <w:rPr>
                <w:noProof/>
              </w:rPr>
            </w:pPr>
          </w:p>
        </w:tc>
        <w:tc>
          <w:tcPr>
            <w:tcW w:w="821" w:type="dxa"/>
            <w:tcBorders>
              <w:top w:val="nil"/>
              <w:left w:val="single" w:sz="8" w:space="0" w:color="auto"/>
              <w:bottom w:val="single" w:sz="8" w:space="0" w:color="auto"/>
              <w:right w:val="single" w:sz="8" w:space="0" w:color="auto"/>
            </w:tcBorders>
            <w:tcMar>
              <w:left w:w="108" w:type="dxa"/>
              <w:right w:w="108" w:type="dxa"/>
            </w:tcMar>
          </w:tcPr>
          <w:p w14:paraId="1161235B" w14:textId="60D5CC4B" w:rsidR="00FA0CA8" w:rsidRPr="001357D3" w:rsidRDefault="00FA0CA8" w:rsidP="00FA0CA8">
            <w:pPr>
              <w:spacing w:before="0" w:after="0"/>
              <w:jc w:val="center"/>
              <w:rPr>
                <w:noProof/>
              </w:rPr>
            </w:pPr>
          </w:p>
        </w:tc>
        <w:tc>
          <w:tcPr>
            <w:tcW w:w="6599" w:type="dxa"/>
            <w:gridSpan w:val="9"/>
            <w:tcBorders>
              <w:top w:val="nil"/>
              <w:left w:val="single" w:sz="8" w:space="0" w:color="auto"/>
              <w:bottom w:val="single" w:sz="8" w:space="0" w:color="auto"/>
              <w:right w:val="single" w:sz="8" w:space="0" w:color="auto"/>
            </w:tcBorders>
            <w:tcMar>
              <w:left w:w="108" w:type="dxa"/>
              <w:right w:w="108" w:type="dxa"/>
            </w:tcMar>
            <w:vAlign w:val="center"/>
          </w:tcPr>
          <w:p w14:paraId="56960537" w14:textId="77777777" w:rsidR="00FA0CA8" w:rsidRPr="001357D3" w:rsidRDefault="00FA0CA8" w:rsidP="00FA0CA8">
            <w:pPr>
              <w:rPr>
                <w:noProof/>
              </w:rPr>
            </w:pPr>
          </w:p>
        </w:tc>
      </w:tr>
      <w:tr w:rsidR="00D31917" w:rsidRPr="001357D3" w14:paraId="008360F0" w14:textId="77777777">
        <w:trPr>
          <w:trHeight w:val="315"/>
        </w:trPr>
        <w:tc>
          <w:tcPr>
            <w:tcW w:w="2852" w:type="dxa"/>
            <w:gridSpan w:val="4"/>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F526894" w14:textId="77777777" w:rsidR="00FA0CA8" w:rsidRPr="001357D3" w:rsidRDefault="00FA0CA8" w:rsidP="00FA0CA8">
            <w:pPr>
              <w:spacing w:before="0" w:after="0"/>
              <w:jc w:val="center"/>
              <w:rPr>
                <w:noProof/>
              </w:rPr>
            </w:pPr>
            <w:r w:rsidRPr="001357D3">
              <w:rPr>
                <w:b/>
                <w:noProof/>
                <w:sz w:val="16"/>
              </w:rPr>
              <w:t>OGÓŁEM</w:t>
            </w:r>
          </w:p>
        </w:tc>
        <w:tc>
          <w:tcPr>
            <w:tcW w:w="730" w:type="dxa"/>
            <w:tcBorders>
              <w:top w:val="nil"/>
              <w:left w:val="nil"/>
              <w:bottom w:val="single" w:sz="12" w:space="0" w:color="auto"/>
              <w:right w:val="single" w:sz="8" w:space="0" w:color="auto"/>
            </w:tcBorders>
            <w:shd w:val="clear" w:color="auto" w:fill="D9D9D9" w:themeFill="background1" w:themeFillShade="D9"/>
            <w:tcMar>
              <w:left w:w="108" w:type="dxa"/>
              <w:right w:w="108" w:type="dxa"/>
            </w:tcMar>
            <w:vAlign w:val="center"/>
          </w:tcPr>
          <w:p w14:paraId="6782C0C4" w14:textId="77777777" w:rsidR="00FA0CA8" w:rsidRPr="001357D3" w:rsidRDefault="00FA0CA8" w:rsidP="00FA0CA8">
            <w:pPr>
              <w:spacing w:before="0" w:after="0"/>
              <w:jc w:val="right"/>
              <w:rPr>
                <w:noProof/>
              </w:rPr>
            </w:pPr>
            <w:r w:rsidRPr="001357D3">
              <w:rPr>
                <w:b/>
                <w:noProof/>
                <w:sz w:val="16"/>
              </w:rPr>
              <w:t>0,000</w:t>
            </w:r>
          </w:p>
        </w:tc>
        <w:tc>
          <w:tcPr>
            <w:tcW w:w="730"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E2A1897" w14:textId="77777777" w:rsidR="00FA0CA8" w:rsidRPr="001357D3" w:rsidRDefault="00FA0CA8" w:rsidP="00FA0CA8">
            <w:pPr>
              <w:spacing w:before="0" w:after="0"/>
              <w:jc w:val="right"/>
              <w:rPr>
                <w:noProof/>
              </w:rPr>
            </w:pPr>
            <w:r w:rsidRPr="001357D3">
              <w:rPr>
                <w:b/>
                <w:noProof/>
                <w:sz w:val="16"/>
              </w:rPr>
              <w:t>0,000</w:t>
            </w:r>
          </w:p>
        </w:tc>
        <w:tc>
          <w:tcPr>
            <w:tcW w:w="730"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FFE1639" w14:textId="77777777" w:rsidR="00FA0CA8" w:rsidRPr="001357D3" w:rsidRDefault="00FA0CA8" w:rsidP="00FA0CA8">
            <w:pPr>
              <w:spacing w:before="0" w:after="0"/>
              <w:jc w:val="right"/>
              <w:rPr>
                <w:noProof/>
              </w:rPr>
            </w:pPr>
            <w:r w:rsidRPr="001357D3">
              <w:rPr>
                <w:b/>
                <w:noProof/>
                <w:sz w:val="16"/>
              </w:rPr>
              <w:t>0,000</w:t>
            </w:r>
          </w:p>
        </w:tc>
        <w:tc>
          <w:tcPr>
            <w:tcW w:w="730"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1A7597A" w14:textId="77777777" w:rsidR="00FA0CA8" w:rsidRPr="001357D3" w:rsidRDefault="00FA0CA8" w:rsidP="00FA0CA8">
            <w:pPr>
              <w:spacing w:before="0" w:after="0"/>
              <w:jc w:val="right"/>
              <w:rPr>
                <w:noProof/>
              </w:rPr>
            </w:pPr>
            <w:r w:rsidRPr="001357D3">
              <w:rPr>
                <w:b/>
                <w:noProof/>
                <w:sz w:val="16"/>
              </w:rPr>
              <w:t>0,000</w:t>
            </w:r>
          </w:p>
        </w:tc>
        <w:tc>
          <w:tcPr>
            <w:tcW w:w="82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C20962D" w14:textId="77777777" w:rsidR="00FA0CA8" w:rsidRPr="001357D3" w:rsidRDefault="00FA0CA8" w:rsidP="00FA0CA8">
            <w:pPr>
              <w:spacing w:before="0" w:after="0"/>
              <w:jc w:val="center"/>
              <w:rPr>
                <w:noProof/>
              </w:rPr>
            </w:pPr>
            <w:r w:rsidRPr="001357D3">
              <w:rPr>
                <w:b/>
                <w:noProof/>
                <w:sz w:val="16"/>
              </w:rPr>
              <w:t>0,000</w:t>
            </w:r>
          </w:p>
        </w:tc>
        <w:tc>
          <w:tcPr>
            <w:tcW w:w="819"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92E3C07" w14:textId="77777777" w:rsidR="00FA0CA8" w:rsidRPr="001357D3" w:rsidRDefault="00FA0CA8" w:rsidP="00FA0CA8">
            <w:pPr>
              <w:spacing w:before="0" w:after="0"/>
              <w:jc w:val="center"/>
              <w:rPr>
                <w:noProof/>
              </w:rPr>
            </w:pPr>
            <w:r w:rsidRPr="001357D3">
              <w:rPr>
                <w:b/>
                <w:noProof/>
                <w:sz w:val="16"/>
              </w:rPr>
              <w:t>0,000</w:t>
            </w:r>
          </w:p>
        </w:tc>
        <w:tc>
          <w:tcPr>
            <w:tcW w:w="82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DC19FCD" w14:textId="77777777" w:rsidR="00FA0CA8" w:rsidRPr="001357D3" w:rsidRDefault="00FA0CA8" w:rsidP="00FA0CA8">
            <w:pPr>
              <w:spacing w:before="0" w:after="0"/>
              <w:jc w:val="center"/>
              <w:rPr>
                <w:noProof/>
              </w:rPr>
            </w:pPr>
            <w:r w:rsidRPr="001357D3">
              <w:rPr>
                <w:b/>
                <w:noProof/>
                <w:sz w:val="16"/>
              </w:rPr>
              <w:t>0,000</w:t>
            </w:r>
          </w:p>
        </w:tc>
        <w:tc>
          <w:tcPr>
            <w:tcW w:w="827"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81C4B59" w14:textId="77777777" w:rsidR="00FA0CA8" w:rsidRPr="001357D3" w:rsidRDefault="00FA0CA8" w:rsidP="00FA0CA8">
            <w:pPr>
              <w:spacing w:before="0" w:after="0"/>
              <w:jc w:val="right"/>
              <w:rPr>
                <w:noProof/>
              </w:rPr>
            </w:pPr>
            <w:r w:rsidRPr="001357D3">
              <w:rPr>
                <w:b/>
                <w:noProof/>
                <w:sz w:val="16"/>
              </w:rPr>
              <w:t>0,000</w:t>
            </w:r>
          </w:p>
        </w:tc>
      </w:tr>
      <w:tr w:rsidR="00D31917" w:rsidRPr="001357D3" w14:paraId="36F6A899" w14:textId="77777777">
        <w:trPr>
          <w:trHeight w:val="300"/>
        </w:trPr>
        <w:tc>
          <w:tcPr>
            <w:tcW w:w="821" w:type="dxa"/>
            <w:tcBorders>
              <w:top w:val="single" w:sz="12" w:space="0" w:color="auto"/>
              <w:left w:val="nil"/>
              <w:bottom w:val="nil"/>
              <w:right w:val="nil"/>
            </w:tcBorders>
            <w:vAlign w:val="center"/>
          </w:tcPr>
          <w:p w14:paraId="4B2A953A" w14:textId="77777777" w:rsidR="00FA0CA8" w:rsidRPr="001357D3" w:rsidRDefault="00FA0CA8" w:rsidP="00FA0CA8">
            <w:pPr>
              <w:rPr>
                <w:noProof/>
              </w:rPr>
            </w:pPr>
          </w:p>
        </w:tc>
        <w:tc>
          <w:tcPr>
            <w:tcW w:w="819" w:type="dxa"/>
            <w:tcBorders>
              <w:top w:val="nil"/>
              <w:left w:val="nil"/>
              <w:bottom w:val="nil"/>
              <w:right w:val="nil"/>
            </w:tcBorders>
            <w:vAlign w:val="center"/>
          </w:tcPr>
          <w:p w14:paraId="3BABBB32" w14:textId="77777777" w:rsidR="00FA0CA8" w:rsidRPr="001357D3" w:rsidRDefault="00FA0CA8" w:rsidP="00FA0CA8">
            <w:pPr>
              <w:rPr>
                <w:noProof/>
              </w:rPr>
            </w:pPr>
          </w:p>
        </w:tc>
        <w:tc>
          <w:tcPr>
            <w:tcW w:w="821" w:type="dxa"/>
            <w:tcBorders>
              <w:top w:val="nil"/>
              <w:left w:val="nil"/>
              <w:bottom w:val="nil"/>
              <w:right w:val="nil"/>
            </w:tcBorders>
            <w:vAlign w:val="center"/>
          </w:tcPr>
          <w:p w14:paraId="46394C66" w14:textId="77777777" w:rsidR="00FA0CA8" w:rsidRPr="001357D3" w:rsidRDefault="00FA0CA8" w:rsidP="00FA0CA8">
            <w:pPr>
              <w:rPr>
                <w:noProof/>
              </w:rPr>
            </w:pPr>
          </w:p>
        </w:tc>
        <w:tc>
          <w:tcPr>
            <w:tcW w:w="391" w:type="dxa"/>
            <w:tcBorders>
              <w:top w:val="nil"/>
              <w:left w:val="nil"/>
              <w:bottom w:val="nil"/>
              <w:right w:val="nil"/>
            </w:tcBorders>
            <w:vAlign w:val="center"/>
          </w:tcPr>
          <w:p w14:paraId="1F34B9BA" w14:textId="77777777" w:rsidR="00FA0CA8" w:rsidRPr="001357D3" w:rsidRDefault="00FA0CA8" w:rsidP="00FA0CA8">
            <w:pPr>
              <w:rPr>
                <w:noProof/>
              </w:rPr>
            </w:pPr>
          </w:p>
        </w:tc>
        <w:tc>
          <w:tcPr>
            <w:tcW w:w="730" w:type="dxa"/>
            <w:tcBorders>
              <w:top w:val="single" w:sz="12" w:space="0" w:color="auto"/>
              <w:left w:val="nil"/>
              <w:bottom w:val="nil"/>
              <w:right w:val="nil"/>
            </w:tcBorders>
            <w:vAlign w:val="center"/>
          </w:tcPr>
          <w:p w14:paraId="44C5D1C9" w14:textId="77777777" w:rsidR="00FA0CA8" w:rsidRPr="001357D3" w:rsidRDefault="00FA0CA8" w:rsidP="00FA0CA8">
            <w:pPr>
              <w:rPr>
                <w:noProof/>
              </w:rPr>
            </w:pPr>
          </w:p>
        </w:tc>
        <w:tc>
          <w:tcPr>
            <w:tcW w:w="730" w:type="dxa"/>
            <w:tcBorders>
              <w:top w:val="single" w:sz="12" w:space="0" w:color="auto"/>
              <w:left w:val="nil"/>
              <w:bottom w:val="nil"/>
              <w:right w:val="nil"/>
            </w:tcBorders>
            <w:vAlign w:val="center"/>
          </w:tcPr>
          <w:p w14:paraId="740DF537" w14:textId="77777777" w:rsidR="00FA0CA8" w:rsidRPr="001357D3" w:rsidRDefault="00FA0CA8" w:rsidP="00FA0CA8">
            <w:pPr>
              <w:rPr>
                <w:noProof/>
              </w:rPr>
            </w:pPr>
          </w:p>
        </w:tc>
        <w:tc>
          <w:tcPr>
            <w:tcW w:w="730" w:type="dxa"/>
            <w:tcBorders>
              <w:top w:val="single" w:sz="12" w:space="0" w:color="auto"/>
              <w:left w:val="nil"/>
              <w:bottom w:val="nil"/>
              <w:right w:val="nil"/>
            </w:tcBorders>
            <w:vAlign w:val="center"/>
          </w:tcPr>
          <w:p w14:paraId="56854015" w14:textId="77777777" w:rsidR="00FA0CA8" w:rsidRPr="001357D3" w:rsidRDefault="00FA0CA8" w:rsidP="00FA0CA8">
            <w:pPr>
              <w:rPr>
                <w:noProof/>
              </w:rPr>
            </w:pPr>
          </w:p>
        </w:tc>
        <w:tc>
          <w:tcPr>
            <w:tcW w:w="730" w:type="dxa"/>
            <w:tcBorders>
              <w:top w:val="single" w:sz="12" w:space="0" w:color="auto"/>
              <w:left w:val="nil"/>
              <w:bottom w:val="nil"/>
              <w:right w:val="nil"/>
            </w:tcBorders>
            <w:vAlign w:val="center"/>
          </w:tcPr>
          <w:p w14:paraId="50F83E45" w14:textId="77777777" w:rsidR="00FA0CA8" w:rsidRPr="001357D3" w:rsidRDefault="00FA0CA8" w:rsidP="00FA0CA8">
            <w:pPr>
              <w:rPr>
                <w:noProof/>
              </w:rPr>
            </w:pPr>
          </w:p>
        </w:tc>
        <w:tc>
          <w:tcPr>
            <w:tcW w:w="821" w:type="dxa"/>
            <w:tcBorders>
              <w:top w:val="single" w:sz="12" w:space="0" w:color="auto"/>
              <w:left w:val="nil"/>
              <w:bottom w:val="nil"/>
              <w:right w:val="nil"/>
            </w:tcBorders>
            <w:vAlign w:val="center"/>
          </w:tcPr>
          <w:p w14:paraId="5E79B255" w14:textId="77777777" w:rsidR="00FA0CA8" w:rsidRPr="001357D3" w:rsidRDefault="00FA0CA8" w:rsidP="00FA0CA8">
            <w:pPr>
              <w:rPr>
                <w:noProof/>
              </w:rPr>
            </w:pPr>
          </w:p>
        </w:tc>
        <w:tc>
          <w:tcPr>
            <w:tcW w:w="819" w:type="dxa"/>
            <w:tcBorders>
              <w:top w:val="single" w:sz="12" w:space="0" w:color="auto"/>
              <w:left w:val="nil"/>
              <w:bottom w:val="nil"/>
              <w:right w:val="nil"/>
            </w:tcBorders>
            <w:vAlign w:val="center"/>
          </w:tcPr>
          <w:p w14:paraId="7DBB5BD7" w14:textId="77777777" w:rsidR="00FA0CA8" w:rsidRPr="001357D3" w:rsidRDefault="00FA0CA8" w:rsidP="00FA0CA8">
            <w:pPr>
              <w:rPr>
                <w:noProof/>
              </w:rPr>
            </w:pPr>
          </w:p>
        </w:tc>
        <w:tc>
          <w:tcPr>
            <w:tcW w:w="821" w:type="dxa"/>
            <w:tcBorders>
              <w:top w:val="single" w:sz="12" w:space="0" w:color="auto"/>
              <w:left w:val="nil"/>
              <w:bottom w:val="nil"/>
              <w:right w:val="nil"/>
            </w:tcBorders>
            <w:vAlign w:val="center"/>
          </w:tcPr>
          <w:p w14:paraId="17BF35B4" w14:textId="77777777" w:rsidR="00FA0CA8" w:rsidRPr="001357D3" w:rsidRDefault="00FA0CA8" w:rsidP="00FA0CA8">
            <w:pPr>
              <w:rPr>
                <w:noProof/>
              </w:rPr>
            </w:pPr>
          </w:p>
        </w:tc>
        <w:tc>
          <w:tcPr>
            <w:tcW w:w="827" w:type="dxa"/>
            <w:tcBorders>
              <w:top w:val="single" w:sz="12" w:space="0" w:color="auto"/>
              <w:left w:val="nil"/>
              <w:bottom w:val="nil"/>
              <w:right w:val="nil"/>
            </w:tcBorders>
            <w:vAlign w:val="center"/>
          </w:tcPr>
          <w:p w14:paraId="1D7BF1C4" w14:textId="77777777" w:rsidR="00FA0CA8" w:rsidRPr="001357D3" w:rsidRDefault="00FA0CA8" w:rsidP="00FA0CA8">
            <w:pPr>
              <w:rPr>
                <w:noProof/>
              </w:rPr>
            </w:pPr>
          </w:p>
        </w:tc>
      </w:tr>
    </w:tbl>
    <w:p w14:paraId="2FAEB87F" w14:textId="77777777" w:rsidR="00FA0CA8" w:rsidRPr="001357D3" w:rsidRDefault="00FA0CA8" w:rsidP="00FA0CA8">
      <w:pPr>
        <w:ind w:left="850" w:hanging="850"/>
        <w:rPr>
          <w:noProof/>
        </w:rPr>
      </w:pPr>
      <w:r w:rsidRPr="001357D3">
        <w:rPr>
          <w:i/>
          <w:noProof/>
        </w:rPr>
        <w:t>3.2.3.3.</w:t>
      </w:r>
      <w:r w:rsidRPr="001357D3">
        <w:rPr>
          <w:noProof/>
        </w:rPr>
        <w:tab/>
      </w:r>
      <w:r w:rsidRPr="001357D3">
        <w:rPr>
          <w:i/>
          <w:noProof/>
        </w:rPr>
        <w:t>Ogółem środki</w:t>
      </w:r>
    </w:p>
    <w:tbl>
      <w:tblPr>
        <w:tblW w:w="9309" w:type="dxa"/>
        <w:tblLayout w:type="fixed"/>
        <w:tblLook w:val="04A0" w:firstRow="1" w:lastRow="0" w:firstColumn="1" w:lastColumn="0" w:noHBand="0" w:noVBand="1"/>
      </w:tblPr>
      <w:tblGrid>
        <w:gridCol w:w="1308"/>
        <w:gridCol w:w="1157"/>
        <w:gridCol w:w="1171"/>
        <w:gridCol w:w="702"/>
        <w:gridCol w:w="591"/>
        <w:gridCol w:w="591"/>
        <w:gridCol w:w="591"/>
        <w:gridCol w:w="591"/>
        <w:gridCol w:w="591"/>
        <w:gridCol w:w="591"/>
        <w:gridCol w:w="591"/>
        <w:gridCol w:w="834"/>
      </w:tblGrid>
      <w:tr w:rsidR="00D31917" w:rsidRPr="001357D3" w14:paraId="236580FB" w14:textId="77777777">
        <w:trPr>
          <w:trHeight w:val="525"/>
        </w:trPr>
        <w:tc>
          <w:tcPr>
            <w:tcW w:w="4338" w:type="dxa"/>
            <w:gridSpan w:val="4"/>
            <w:vMerge w:val="restart"/>
            <w:tcBorders>
              <w:top w:val="single" w:sz="4" w:space="0" w:color="auto"/>
              <w:left w:val="single" w:sz="4" w:space="0" w:color="auto"/>
              <w:bottom w:val="single" w:sz="8" w:space="0" w:color="auto"/>
              <w:right w:val="single" w:sz="4" w:space="0" w:color="auto"/>
            </w:tcBorders>
            <w:tcMar>
              <w:left w:w="108" w:type="dxa"/>
              <w:right w:w="108" w:type="dxa"/>
            </w:tcMar>
            <w:vAlign w:val="center"/>
          </w:tcPr>
          <w:p w14:paraId="5CE89B7A" w14:textId="1E3170F0" w:rsidR="00FA0CA8" w:rsidRPr="001357D3" w:rsidRDefault="00FA0CA8" w:rsidP="00FA0CA8">
            <w:pPr>
              <w:spacing w:before="0" w:after="0"/>
              <w:jc w:val="center"/>
              <w:rPr>
                <w:noProof/>
              </w:rPr>
            </w:pPr>
            <w:r w:rsidRPr="001357D3">
              <w:rPr>
                <w:b/>
                <w:noProof/>
                <w:sz w:val="18"/>
              </w:rPr>
              <w:t>OGÓŁEM</w:t>
            </w:r>
            <w:r w:rsidRPr="001357D3">
              <w:rPr>
                <w:noProof/>
              </w:rPr>
              <w:t xml:space="preserve"> </w:t>
            </w:r>
            <w:r w:rsidRPr="001357D3">
              <w:rPr>
                <w:noProof/>
              </w:rPr>
              <w:br/>
            </w:r>
            <w:r w:rsidRPr="001357D3">
              <w:rPr>
                <w:b/>
                <w:noProof/>
                <w:sz w:val="18"/>
              </w:rPr>
              <w:t xml:space="preserve"> ZATWIERDZONE ŚRODKI + ZEWNĘTRZNE DOCHODY PRZEZNACZONE NA OKREŚLONY CEL</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A19220"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6FCAA9"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BEAAF5"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B152B2"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4" w:space="0" w:color="auto"/>
              <w:left w:val="single" w:sz="4" w:space="0" w:color="auto"/>
              <w:bottom w:val="single" w:sz="8" w:space="0" w:color="000000" w:themeColor="text1"/>
              <w:right w:val="single" w:sz="4" w:space="0" w:color="auto"/>
            </w:tcBorders>
            <w:tcMar>
              <w:left w:w="108" w:type="dxa"/>
              <w:right w:w="108" w:type="dxa"/>
            </w:tcMar>
            <w:vAlign w:val="center"/>
          </w:tcPr>
          <w:p w14:paraId="10BE3A67"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8" w:space="0" w:color="auto"/>
              <w:left w:val="single" w:sz="4" w:space="0" w:color="auto"/>
              <w:bottom w:val="single" w:sz="8" w:space="0" w:color="000000" w:themeColor="text1"/>
              <w:right w:val="single" w:sz="8" w:space="0" w:color="auto"/>
            </w:tcBorders>
            <w:tcMar>
              <w:left w:w="108" w:type="dxa"/>
              <w:right w:w="108" w:type="dxa"/>
            </w:tcMar>
            <w:vAlign w:val="center"/>
          </w:tcPr>
          <w:p w14:paraId="6CD33CAF" w14:textId="77777777" w:rsidR="00FA0CA8" w:rsidRPr="001357D3" w:rsidRDefault="00FA0CA8" w:rsidP="00FA0CA8">
            <w:pPr>
              <w:spacing w:before="0" w:after="0"/>
              <w:jc w:val="center"/>
              <w:rPr>
                <w:noProof/>
              </w:rPr>
            </w:pPr>
            <w:r w:rsidRPr="001357D3">
              <w:rPr>
                <w:noProof/>
                <w:sz w:val="18"/>
              </w:rPr>
              <w:t>Rok</w:t>
            </w:r>
          </w:p>
        </w:tc>
        <w:tc>
          <w:tcPr>
            <w:tcW w:w="591" w:type="dxa"/>
            <w:tcBorders>
              <w:top w:val="single" w:sz="8" w:space="0" w:color="auto"/>
              <w:left w:val="single" w:sz="8" w:space="0" w:color="auto"/>
              <w:bottom w:val="single" w:sz="8" w:space="0" w:color="000000" w:themeColor="text1"/>
              <w:right w:val="single" w:sz="4" w:space="0" w:color="auto"/>
            </w:tcBorders>
            <w:tcMar>
              <w:left w:w="108" w:type="dxa"/>
              <w:right w:w="108" w:type="dxa"/>
            </w:tcMar>
            <w:vAlign w:val="center"/>
          </w:tcPr>
          <w:p w14:paraId="7ECBF969" w14:textId="77777777" w:rsidR="00FA0CA8" w:rsidRPr="001357D3" w:rsidRDefault="00FA0CA8" w:rsidP="00FA0CA8">
            <w:pPr>
              <w:spacing w:before="0" w:after="0"/>
              <w:jc w:val="center"/>
              <w:rPr>
                <w:noProof/>
              </w:rPr>
            </w:pPr>
            <w:r w:rsidRPr="001357D3">
              <w:rPr>
                <w:noProof/>
                <w:sz w:val="18"/>
              </w:rPr>
              <w:t>Rok</w:t>
            </w:r>
          </w:p>
        </w:tc>
        <w:tc>
          <w:tcPr>
            <w:tcW w:w="834"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2C2A73" w14:textId="77777777" w:rsidR="00FA0CA8" w:rsidRPr="001357D3" w:rsidRDefault="00FA0CA8" w:rsidP="00FA0CA8">
            <w:pPr>
              <w:spacing w:before="0" w:after="0"/>
              <w:jc w:val="center"/>
              <w:rPr>
                <w:noProof/>
              </w:rPr>
            </w:pPr>
            <w:r w:rsidRPr="001357D3">
              <w:rPr>
                <w:b/>
                <w:noProof/>
                <w:sz w:val="18"/>
              </w:rPr>
              <w:t>OGÓŁEM 2028–2034</w:t>
            </w:r>
          </w:p>
        </w:tc>
      </w:tr>
      <w:tr w:rsidR="00D31917" w:rsidRPr="001357D3" w14:paraId="35C2EC82" w14:textId="77777777">
        <w:trPr>
          <w:trHeight w:val="525"/>
        </w:trPr>
        <w:tc>
          <w:tcPr>
            <w:tcW w:w="4338" w:type="dxa"/>
            <w:gridSpan w:val="4"/>
            <w:vMerge/>
            <w:tcBorders>
              <w:left w:val="single" w:sz="4" w:space="0" w:color="auto"/>
              <w:bottom w:val="single" w:sz="4" w:space="0" w:color="auto"/>
              <w:right w:val="single" w:sz="4" w:space="0" w:color="auto"/>
            </w:tcBorders>
            <w:vAlign w:val="center"/>
          </w:tcPr>
          <w:p w14:paraId="0811D2C3" w14:textId="77777777" w:rsidR="00FA0CA8" w:rsidRPr="001357D3" w:rsidRDefault="00FA0CA8" w:rsidP="00FA0CA8">
            <w:pPr>
              <w:rPr>
                <w:noProof/>
              </w:rPr>
            </w:pP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CF3172" w14:textId="77777777" w:rsidR="00FA0CA8" w:rsidRPr="001357D3" w:rsidRDefault="00FA0CA8" w:rsidP="00FA0CA8">
            <w:pPr>
              <w:spacing w:before="0" w:after="0"/>
              <w:jc w:val="center"/>
              <w:rPr>
                <w:noProof/>
              </w:rPr>
            </w:pPr>
            <w:r w:rsidRPr="001357D3">
              <w:rPr>
                <w:b/>
                <w:noProof/>
                <w:sz w:val="18"/>
              </w:rPr>
              <w:t>2028</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A8BB81" w14:textId="77777777" w:rsidR="00FA0CA8" w:rsidRPr="001357D3" w:rsidRDefault="00FA0CA8" w:rsidP="00FA0CA8">
            <w:pPr>
              <w:spacing w:before="0" w:after="0"/>
              <w:jc w:val="center"/>
              <w:rPr>
                <w:noProof/>
              </w:rPr>
            </w:pPr>
            <w:r w:rsidRPr="001357D3">
              <w:rPr>
                <w:b/>
                <w:noProof/>
                <w:sz w:val="18"/>
              </w:rPr>
              <w:t>2029</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2E1C94" w14:textId="77777777" w:rsidR="00FA0CA8" w:rsidRPr="001357D3" w:rsidRDefault="00FA0CA8" w:rsidP="00FA0CA8">
            <w:pPr>
              <w:spacing w:before="0" w:after="0"/>
              <w:jc w:val="center"/>
              <w:rPr>
                <w:noProof/>
              </w:rPr>
            </w:pPr>
            <w:r w:rsidRPr="001357D3">
              <w:rPr>
                <w:b/>
                <w:noProof/>
                <w:sz w:val="18"/>
              </w:rPr>
              <w:t>2030</w:t>
            </w:r>
          </w:p>
        </w:tc>
        <w:tc>
          <w:tcPr>
            <w:tcW w:w="59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0B3600" w14:textId="77777777" w:rsidR="00FA0CA8" w:rsidRPr="001357D3" w:rsidRDefault="00FA0CA8" w:rsidP="00FA0CA8">
            <w:pPr>
              <w:spacing w:before="0" w:after="0"/>
              <w:jc w:val="center"/>
              <w:rPr>
                <w:noProof/>
              </w:rPr>
            </w:pPr>
            <w:r w:rsidRPr="001357D3">
              <w:rPr>
                <w:b/>
                <w:noProof/>
                <w:sz w:val="18"/>
              </w:rPr>
              <w:t>2031</w:t>
            </w:r>
          </w:p>
        </w:tc>
        <w:tc>
          <w:tcPr>
            <w:tcW w:w="591" w:type="dxa"/>
            <w:tcBorders>
              <w:top w:val="single" w:sz="8" w:space="0" w:color="000000" w:themeColor="text1"/>
              <w:left w:val="single" w:sz="4" w:space="0" w:color="auto"/>
              <w:bottom w:val="single" w:sz="4" w:space="0" w:color="auto"/>
              <w:right w:val="single" w:sz="4" w:space="0" w:color="auto"/>
            </w:tcBorders>
            <w:tcMar>
              <w:left w:w="108" w:type="dxa"/>
              <w:right w:w="108" w:type="dxa"/>
            </w:tcMar>
            <w:vAlign w:val="center"/>
          </w:tcPr>
          <w:p w14:paraId="12238ED8" w14:textId="77777777" w:rsidR="00FA0CA8" w:rsidRPr="001357D3" w:rsidRDefault="00FA0CA8" w:rsidP="00FA0CA8">
            <w:pPr>
              <w:spacing w:before="0" w:after="0"/>
              <w:jc w:val="center"/>
              <w:rPr>
                <w:noProof/>
              </w:rPr>
            </w:pPr>
            <w:r w:rsidRPr="001357D3">
              <w:rPr>
                <w:b/>
                <w:noProof/>
                <w:sz w:val="18"/>
              </w:rPr>
              <w:t>2032</w:t>
            </w:r>
          </w:p>
        </w:tc>
        <w:tc>
          <w:tcPr>
            <w:tcW w:w="591" w:type="dxa"/>
            <w:tcBorders>
              <w:top w:val="single" w:sz="8" w:space="0" w:color="000000" w:themeColor="text1"/>
              <w:left w:val="single" w:sz="4" w:space="0" w:color="auto"/>
              <w:bottom w:val="single" w:sz="8" w:space="0" w:color="auto"/>
              <w:right w:val="single" w:sz="8" w:space="0" w:color="auto"/>
            </w:tcBorders>
            <w:tcMar>
              <w:left w:w="108" w:type="dxa"/>
              <w:right w:w="108" w:type="dxa"/>
            </w:tcMar>
            <w:vAlign w:val="center"/>
          </w:tcPr>
          <w:p w14:paraId="792BBD12" w14:textId="77777777" w:rsidR="00FA0CA8" w:rsidRPr="001357D3" w:rsidRDefault="00FA0CA8" w:rsidP="00FA0CA8">
            <w:pPr>
              <w:spacing w:before="0" w:after="0"/>
              <w:jc w:val="center"/>
              <w:rPr>
                <w:noProof/>
              </w:rPr>
            </w:pPr>
            <w:r w:rsidRPr="001357D3">
              <w:rPr>
                <w:b/>
                <w:noProof/>
                <w:sz w:val="18"/>
              </w:rPr>
              <w:t>2033</w:t>
            </w:r>
          </w:p>
        </w:tc>
        <w:tc>
          <w:tcPr>
            <w:tcW w:w="591" w:type="dxa"/>
            <w:tcBorders>
              <w:top w:val="single" w:sz="8" w:space="0" w:color="000000" w:themeColor="text1"/>
              <w:left w:val="single" w:sz="8" w:space="0" w:color="auto"/>
              <w:bottom w:val="single" w:sz="8" w:space="0" w:color="auto"/>
              <w:right w:val="single" w:sz="4" w:space="0" w:color="auto"/>
            </w:tcBorders>
            <w:tcMar>
              <w:left w:w="108" w:type="dxa"/>
              <w:right w:w="108" w:type="dxa"/>
            </w:tcMar>
            <w:vAlign w:val="center"/>
          </w:tcPr>
          <w:p w14:paraId="1E015C1E" w14:textId="77777777" w:rsidR="00FA0CA8" w:rsidRPr="001357D3" w:rsidRDefault="00FA0CA8" w:rsidP="00FA0CA8">
            <w:pPr>
              <w:spacing w:before="0" w:after="0"/>
              <w:jc w:val="center"/>
              <w:rPr>
                <w:noProof/>
              </w:rPr>
            </w:pPr>
            <w:r w:rsidRPr="001357D3">
              <w:rPr>
                <w:b/>
                <w:noProof/>
                <w:sz w:val="18"/>
              </w:rPr>
              <w:t>2034</w:t>
            </w:r>
          </w:p>
        </w:tc>
        <w:tc>
          <w:tcPr>
            <w:tcW w:w="834" w:type="dxa"/>
            <w:vMerge/>
            <w:tcBorders>
              <w:top w:val="single" w:sz="8" w:space="0" w:color="auto"/>
              <w:left w:val="single" w:sz="4" w:space="0" w:color="auto"/>
              <w:bottom w:val="single" w:sz="4" w:space="0" w:color="auto"/>
              <w:right w:val="single" w:sz="4" w:space="0" w:color="auto"/>
            </w:tcBorders>
            <w:vAlign w:val="center"/>
          </w:tcPr>
          <w:p w14:paraId="3537B90D" w14:textId="77777777" w:rsidR="00FA0CA8" w:rsidRPr="001357D3" w:rsidRDefault="00FA0CA8" w:rsidP="00FA0CA8">
            <w:pPr>
              <w:rPr>
                <w:noProof/>
              </w:rPr>
            </w:pPr>
          </w:p>
        </w:tc>
      </w:tr>
      <w:tr w:rsidR="00D31917" w:rsidRPr="001357D3" w14:paraId="7FAD9679" w14:textId="77777777">
        <w:trPr>
          <w:trHeight w:val="300"/>
        </w:trPr>
        <w:tc>
          <w:tcPr>
            <w:tcW w:w="1308" w:type="dxa"/>
            <w:tcBorders>
              <w:top w:val="nil"/>
              <w:left w:val="single" w:sz="8" w:space="0" w:color="auto"/>
              <w:bottom w:val="single" w:sz="8" w:space="0" w:color="auto"/>
              <w:right w:val="single" w:sz="8" w:space="0" w:color="auto"/>
            </w:tcBorders>
            <w:tcMar>
              <w:left w:w="108" w:type="dxa"/>
              <w:right w:w="108" w:type="dxa"/>
            </w:tcMar>
          </w:tcPr>
          <w:p w14:paraId="11F80754" w14:textId="69C65B69" w:rsidR="00FA0CA8" w:rsidRPr="001357D3" w:rsidRDefault="00FA0CA8" w:rsidP="00FA0CA8">
            <w:pPr>
              <w:spacing w:before="0" w:after="0"/>
              <w:jc w:val="left"/>
              <w:rPr>
                <w:noProof/>
              </w:rPr>
            </w:pPr>
          </w:p>
        </w:tc>
        <w:tc>
          <w:tcPr>
            <w:tcW w:w="1157" w:type="dxa"/>
            <w:tcBorders>
              <w:top w:val="nil"/>
              <w:left w:val="single" w:sz="8" w:space="0" w:color="auto"/>
              <w:bottom w:val="single" w:sz="8" w:space="0" w:color="auto"/>
              <w:right w:val="single" w:sz="8" w:space="0" w:color="auto"/>
            </w:tcBorders>
            <w:tcMar>
              <w:left w:w="108" w:type="dxa"/>
              <w:right w:w="108" w:type="dxa"/>
            </w:tcMar>
          </w:tcPr>
          <w:p w14:paraId="733DDBA8" w14:textId="79ADBC22" w:rsidR="00FA0CA8" w:rsidRPr="001357D3" w:rsidRDefault="00FA0CA8" w:rsidP="00FA0CA8">
            <w:pPr>
              <w:spacing w:before="0" w:after="0"/>
              <w:jc w:val="left"/>
              <w:rPr>
                <w:noProof/>
              </w:rPr>
            </w:pPr>
          </w:p>
        </w:tc>
        <w:tc>
          <w:tcPr>
            <w:tcW w:w="1171" w:type="dxa"/>
            <w:tcBorders>
              <w:top w:val="nil"/>
              <w:left w:val="single" w:sz="8" w:space="0" w:color="auto"/>
              <w:bottom w:val="single" w:sz="8" w:space="0" w:color="auto"/>
              <w:right w:val="single" w:sz="4" w:space="0" w:color="auto"/>
            </w:tcBorders>
            <w:tcMar>
              <w:left w:w="108" w:type="dxa"/>
              <w:right w:w="108" w:type="dxa"/>
            </w:tcMar>
          </w:tcPr>
          <w:p w14:paraId="2720BA70" w14:textId="19176142" w:rsidR="00FA0CA8" w:rsidRPr="001357D3" w:rsidRDefault="00FA0CA8" w:rsidP="00FA0CA8">
            <w:pPr>
              <w:spacing w:before="0" w:after="0"/>
              <w:jc w:val="left"/>
              <w:rPr>
                <w:noProof/>
              </w:rPr>
            </w:pPr>
          </w:p>
        </w:tc>
        <w:tc>
          <w:tcPr>
            <w:tcW w:w="5673" w:type="dxa"/>
            <w:gridSpan w:val="9"/>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9D1EA6" w14:textId="77777777" w:rsidR="00FA0CA8" w:rsidRPr="001357D3" w:rsidRDefault="00FA0CA8" w:rsidP="00FA0CA8">
            <w:pPr>
              <w:spacing w:before="0" w:after="0"/>
              <w:jc w:val="left"/>
              <w:rPr>
                <w:noProof/>
              </w:rPr>
            </w:pPr>
            <w:r w:rsidRPr="001357D3">
              <w:rPr>
                <w:b/>
                <w:noProof/>
                <w:sz w:val="16"/>
              </w:rPr>
              <w:t>DZIAŁ 4</w:t>
            </w:r>
          </w:p>
        </w:tc>
      </w:tr>
      <w:tr w:rsidR="00D31917" w:rsidRPr="001357D3" w14:paraId="6A522504"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2ADCC" w14:textId="77777777" w:rsidR="00FA0CA8" w:rsidRPr="001357D3" w:rsidRDefault="00FA0CA8" w:rsidP="00FA0CA8">
            <w:pPr>
              <w:spacing w:before="0" w:after="0"/>
              <w:jc w:val="left"/>
              <w:rPr>
                <w:noProof/>
              </w:rPr>
            </w:pPr>
            <w:r w:rsidRPr="001357D3">
              <w:rPr>
                <w:noProof/>
                <w:sz w:val="16"/>
              </w:rPr>
              <w:lastRenderedPageBreak/>
              <w:t xml:space="preserve">Zasoby ludzkie </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823F1A" w14:textId="5F0069CE" w:rsidR="00FA0CA8" w:rsidRPr="001357D3" w:rsidRDefault="00FA0CA8" w:rsidP="00FA0CA8">
            <w:pPr>
              <w:spacing w:before="0" w:after="0"/>
              <w:jc w:val="right"/>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BBBA0A" w14:textId="2DE7F880" w:rsidR="00FA0CA8" w:rsidRPr="001357D3" w:rsidRDefault="00FA0CA8" w:rsidP="00FA0CA8">
            <w:pPr>
              <w:spacing w:before="0" w:after="0"/>
              <w:jc w:val="right"/>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DCD332" w14:textId="37351939" w:rsidR="00FA0CA8" w:rsidRPr="001357D3" w:rsidRDefault="00FA0CA8" w:rsidP="00FA0CA8">
            <w:pPr>
              <w:spacing w:before="0" w:after="0"/>
              <w:jc w:val="right"/>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9EFC87" w14:textId="0B156791" w:rsidR="00FA0CA8" w:rsidRPr="001357D3" w:rsidRDefault="00FA0CA8" w:rsidP="00FA0CA8">
            <w:pPr>
              <w:spacing w:before="0" w:after="0"/>
              <w:jc w:val="right"/>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4ABF4D" w14:textId="4F32E092" w:rsidR="00FA0CA8" w:rsidRPr="001357D3" w:rsidRDefault="00FA0CA8" w:rsidP="00FA0CA8">
            <w:pPr>
              <w:spacing w:before="0" w:after="0"/>
              <w:jc w:val="center"/>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99DB44" w14:textId="6DDE1209" w:rsidR="00FA0CA8" w:rsidRPr="001357D3" w:rsidRDefault="00FA0CA8" w:rsidP="00FA0CA8">
            <w:pPr>
              <w:spacing w:before="0" w:after="0"/>
              <w:jc w:val="center"/>
              <w:rPr>
                <w:noProof/>
              </w:rPr>
            </w:pPr>
            <w:r w:rsidRPr="001357D3">
              <w:rPr>
                <w:noProof/>
                <w:sz w:val="16"/>
              </w:rPr>
              <w:t>9,470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7DA7EE" w14:textId="7B66CAAB" w:rsidR="00FA0CA8" w:rsidRPr="001357D3" w:rsidRDefault="00FA0CA8" w:rsidP="00FA0CA8">
            <w:pPr>
              <w:spacing w:before="0" w:after="0"/>
              <w:jc w:val="center"/>
              <w:rPr>
                <w:noProof/>
              </w:rPr>
            </w:pPr>
            <w:r w:rsidRPr="001357D3">
              <w:rPr>
                <w:noProof/>
                <w:sz w:val="16"/>
              </w:rPr>
              <w:t>9,470</w:t>
            </w:r>
          </w:p>
        </w:tc>
        <w:tc>
          <w:tcPr>
            <w:tcW w:w="83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A02257" w14:textId="3179F570" w:rsidR="00FA0CA8" w:rsidRPr="001357D3" w:rsidRDefault="00FA0CA8" w:rsidP="00FA0CA8">
            <w:pPr>
              <w:spacing w:before="0" w:after="0"/>
              <w:jc w:val="right"/>
              <w:rPr>
                <w:noProof/>
              </w:rPr>
            </w:pPr>
            <w:r w:rsidRPr="001357D3">
              <w:rPr>
                <w:b/>
                <w:noProof/>
                <w:sz w:val="16"/>
              </w:rPr>
              <w:t>66,290</w:t>
            </w:r>
          </w:p>
        </w:tc>
      </w:tr>
      <w:tr w:rsidR="00D31917" w:rsidRPr="001357D3" w14:paraId="6120F938"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2FA3E" w14:textId="77777777" w:rsidR="00FA0CA8" w:rsidRPr="001357D3" w:rsidRDefault="00FA0CA8" w:rsidP="00FA0CA8">
            <w:pPr>
              <w:spacing w:before="0" w:after="0"/>
              <w:jc w:val="left"/>
              <w:rPr>
                <w:noProof/>
              </w:rPr>
            </w:pPr>
            <w:r w:rsidRPr="001357D3">
              <w:rPr>
                <w:noProof/>
                <w:sz w:val="16"/>
              </w:rPr>
              <w:t xml:space="preserve">Pozostałe wydatki administracyjne </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271D07" w14:textId="2EC99225" w:rsidR="00FA0CA8" w:rsidRPr="001357D3" w:rsidRDefault="00FA0CA8" w:rsidP="00FA0CA8">
            <w:pPr>
              <w:spacing w:before="0" w:after="0"/>
              <w:jc w:val="right"/>
              <w:rPr>
                <w:noProof/>
              </w:rPr>
            </w:pPr>
            <w:r w:rsidRPr="001357D3">
              <w:rPr>
                <w:noProof/>
                <w:sz w:val="16"/>
              </w:rPr>
              <w:t>0,380</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915CCC" w14:textId="05F861B9" w:rsidR="00FA0CA8" w:rsidRPr="001357D3" w:rsidRDefault="00FA0CA8" w:rsidP="00FA0CA8">
            <w:pPr>
              <w:spacing w:before="0" w:after="0"/>
              <w:jc w:val="right"/>
              <w:rPr>
                <w:noProof/>
              </w:rPr>
            </w:pPr>
            <w:r w:rsidRPr="001357D3">
              <w:rPr>
                <w:noProof/>
                <w:sz w:val="16"/>
              </w:rPr>
              <w:t>0,387</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A1F459" w14:textId="24C9A63D" w:rsidR="00FA0CA8" w:rsidRPr="001357D3" w:rsidRDefault="00FA0CA8" w:rsidP="00FA0CA8">
            <w:pPr>
              <w:spacing w:before="0" w:after="0"/>
              <w:jc w:val="right"/>
              <w:rPr>
                <w:noProof/>
              </w:rPr>
            </w:pPr>
            <w:r w:rsidRPr="001357D3">
              <w:rPr>
                <w:noProof/>
                <w:sz w:val="16"/>
              </w:rPr>
              <w:t>0,395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27C616" w14:textId="66FB3631" w:rsidR="00FA0CA8" w:rsidRPr="001357D3" w:rsidRDefault="00FA0CA8" w:rsidP="00FA0CA8">
            <w:pPr>
              <w:spacing w:before="0" w:after="0"/>
              <w:jc w:val="right"/>
              <w:rPr>
                <w:noProof/>
              </w:rPr>
            </w:pPr>
            <w:r w:rsidRPr="001357D3">
              <w:rPr>
                <w:noProof/>
                <w:sz w:val="16"/>
              </w:rPr>
              <w:t>0,403</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E705F8" w14:textId="4E5AF34E" w:rsidR="00FA0CA8" w:rsidRPr="001357D3" w:rsidRDefault="00FA0CA8" w:rsidP="00FA0CA8">
            <w:pPr>
              <w:spacing w:before="0" w:after="0"/>
              <w:jc w:val="center"/>
              <w:rPr>
                <w:noProof/>
              </w:rPr>
            </w:pPr>
            <w:r w:rsidRPr="001357D3">
              <w:rPr>
                <w:noProof/>
                <w:sz w:val="16"/>
              </w:rPr>
              <w:t>0,411</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DCDBFA" w14:textId="1234DAB2" w:rsidR="00FA0CA8" w:rsidRPr="001357D3" w:rsidRDefault="00FA0CA8" w:rsidP="00FA0CA8">
            <w:pPr>
              <w:spacing w:before="0" w:after="0"/>
              <w:jc w:val="center"/>
              <w:rPr>
                <w:noProof/>
              </w:rPr>
            </w:pPr>
            <w:r w:rsidRPr="001357D3">
              <w:rPr>
                <w:noProof/>
                <w:sz w:val="16"/>
              </w:rPr>
              <w:t>0,420</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EFDA6B" w14:textId="10B68C99" w:rsidR="00FA0CA8" w:rsidRPr="001357D3" w:rsidRDefault="00FA0CA8" w:rsidP="00FA0CA8">
            <w:pPr>
              <w:spacing w:before="0" w:after="0"/>
              <w:jc w:val="center"/>
              <w:rPr>
                <w:noProof/>
              </w:rPr>
            </w:pPr>
            <w:r w:rsidRPr="001357D3">
              <w:rPr>
                <w:noProof/>
                <w:sz w:val="16"/>
              </w:rPr>
              <w:t>0,428</w:t>
            </w:r>
          </w:p>
        </w:tc>
        <w:tc>
          <w:tcPr>
            <w:tcW w:w="8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9AF11E" w14:textId="463C8A52" w:rsidR="00FA0CA8" w:rsidRPr="001357D3" w:rsidRDefault="00FA0CA8" w:rsidP="00FA0CA8">
            <w:pPr>
              <w:spacing w:before="0" w:after="0"/>
              <w:jc w:val="right"/>
              <w:rPr>
                <w:noProof/>
              </w:rPr>
            </w:pPr>
            <w:r w:rsidRPr="001357D3">
              <w:rPr>
                <w:b/>
                <w:noProof/>
                <w:sz w:val="16"/>
              </w:rPr>
              <w:t>2,824</w:t>
            </w:r>
          </w:p>
        </w:tc>
      </w:tr>
      <w:tr w:rsidR="00D31917" w:rsidRPr="001357D3" w14:paraId="08F894DD"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905B3B5" w14:textId="77777777" w:rsidR="00FA0CA8" w:rsidRPr="001357D3" w:rsidRDefault="00FA0CA8" w:rsidP="00FA0CA8">
            <w:pPr>
              <w:spacing w:before="0" w:after="0"/>
              <w:jc w:val="center"/>
              <w:rPr>
                <w:noProof/>
              </w:rPr>
            </w:pPr>
            <w:r w:rsidRPr="001357D3">
              <w:rPr>
                <w:b/>
                <w:noProof/>
                <w:sz w:val="16"/>
              </w:rPr>
              <w:t>Suma cząstkowa DZIAŁ 4</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CC02D6" w14:textId="1B93433C" w:rsidR="00FA0CA8" w:rsidRPr="001357D3" w:rsidRDefault="00FA0CA8" w:rsidP="00FA0CA8">
            <w:pPr>
              <w:spacing w:before="0" w:after="0"/>
              <w:jc w:val="right"/>
              <w:rPr>
                <w:noProof/>
              </w:rPr>
            </w:pPr>
            <w:r w:rsidRPr="001357D3">
              <w:rPr>
                <w:b/>
                <w:noProof/>
                <w:sz w:val="16"/>
              </w:rPr>
              <w:t>9,850</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95D502" w14:textId="7B87074C" w:rsidR="00FA0CA8" w:rsidRPr="001357D3" w:rsidRDefault="00FA0CA8" w:rsidP="00FA0CA8">
            <w:pPr>
              <w:spacing w:before="0" w:after="0"/>
              <w:jc w:val="right"/>
              <w:rPr>
                <w:noProof/>
              </w:rPr>
            </w:pPr>
            <w:r w:rsidRPr="001357D3">
              <w:rPr>
                <w:b/>
                <w:noProof/>
                <w:sz w:val="16"/>
              </w:rPr>
              <w:t>9,857</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19A4F0" w14:textId="062FD8C9" w:rsidR="00FA0CA8" w:rsidRPr="001357D3" w:rsidRDefault="00FA0CA8" w:rsidP="00FA0CA8">
            <w:pPr>
              <w:spacing w:before="0" w:after="0"/>
              <w:jc w:val="right"/>
              <w:rPr>
                <w:noProof/>
              </w:rPr>
            </w:pPr>
            <w:r w:rsidRPr="001357D3">
              <w:rPr>
                <w:b/>
                <w:noProof/>
                <w:sz w:val="16"/>
              </w:rPr>
              <w:t>9,865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D964BB" w14:textId="749C5954" w:rsidR="00FA0CA8" w:rsidRPr="001357D3" w:rsidRDefault="00FA0CA8" w:rsidP="00FA0CA8">
            <w:pPr>
              <w:spacing w:before="0" w:after="0"/>
              <w:jc w:val="right"/>
              <w:rPr>
                <w:noProof/>
              </w:rPr>
            </w:pPr>
            <w:r w:rsidRPr="001357D3">
              <w:rPr>
                <w:b/>
                <w:noProof/>
                <w:sz w:val="16"/>
              </w:rPr>
              <w:t>9,873</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FA0FBB" w14:textId="2D1BE234" w:rsidR="00FA0CA8" w:rsidRPr="001357D3" w:rsidRDefault="00FA0CA8" w:rsidP="00FA0CA8">
            <w:pPr>
              <w:spacing w:before="0" w:after="0"/>
              <w:jc w:val="center"/>
              <w:rPr>
                <w:noProof/>
              </w:rPr>
            </w:pPr>
            <w:r w:rsidRPr="001357D3">
              <w:rPr>
                <w:b/>
                <w:noProof/>
                <w:sz w:val="16"/>
              </w:rPr>
              <w:t>9,881</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3A62CF" w14:textId="21C1B3F1" w:rsidR="00FA0CA8" w:rsidRPr="001357D3" w:rsidRDefault="00FA0CA8" w:rsidP="00FA0CA8">
            <w:pPr>
              <w:spacing w:before="0" w:after="0"/>
              <w:jc w:val="center"/>
              <w:rPr>
                <w:noProof/>
              </w:rPr>
            </w:pPr>
            <w:r w:rsidRPr="001357D3">
              <w:rPr>
                <w:b/>
                <w:noProof/>
                <w:sz w:val="16"/>
              </w:rPr>
              <w:t>9,890</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ED6BED" w14:textId="1F20F03B" w:rsidR="00FA0CA8" w:rsidRPr="001357D3" w:rsidRDefault="00FA0CA8" w:rsidP="00FA0CA8">
            <w:pPr>
              <w:spacing w:before="0" w:after="0"/>
              <w:jc w:val="center"/>
              <w:rPr>
                <w:noProof/>
              </w:rPr>
            </w:pPr>
            <w:r w:rsidRPr="001357D3">
              <w:rPr>
                <w:b/>
                <w:noProof/>
                <w:sz w:val="16"/>
              </w:rPr>
              <w:t>9,898</w:t>
            </w:r>
          </w:p>
        </w:tc>
        <w:tc>
          <w:tcPr>
            <w:tcW w:w="8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523CF0" w14:textId="4DACCC71" w:rsidR="00FA0CA8" w:rsidRPr="001357D3" w:rsidRDefault="00FA0CA8" w:rsidP="00FA0CA8">
            <w:pPr>
              <w:spacing w:before="0" w:after="0"/>
              <w:jc w:val="right"/>
              <w:rPr>
                <w:noProof/>
              </w:rPr>
            </w:pPr>
            <w:r w:rsidRPr="001357D3">
              <w:rPr>
                <w:b/>
                <w:noProof/>
                <w:sz w:val="16"/>
              </w:rPr>
              <w:t>69,114</w:t>
            </w:r>
          </w:p>
        </w:tc>
      </w:tr>
      <w:tr w:rsidR="00D31917" w:rsidRPr="001357D3" w14:paraId="4433EC4A" w14:textId="77777777">
        <w:trPr>
          <w:trHeight w:val="300"/>
        </w:trPr>
        <w:tc>
          <w:tcPr>
            <w:tcW w:w="9309" w:type="dxa"/>
            <w:gridSpan w:val="12"/>
            <w:tcBorders>
              <w:top w:val="single" w:sz="8" w:space="0" w:color="auto"/>
              <w:left w:val="single" w:sz="8" w:space="0" w:color="auto"/>
              <w:bottom w:val="single" w:sz="8" w:space="0" w:color="auto"/>
              <w:right w:val="single" w:sz="8" w:space="0" w:color="auto"/>
            </w:tcBorders>
            <w:tcMar>
              <w:left w:w="108" w:type="dxa"/>
              <w:right w:w="108" w:type="dxa"/>
            </w:tcMar>
          </w:tcPr>
          <w:p w14:paraId="43739550" w14:textId="77777777" w:rsidR="00FA0CA8" w:rsidRPr="001357D3" w:rsidRDefault="00FA0CA8" w:rsidP="00FA0CA8">
            <w:pPr>
              <w:spacing w:before="0" w:after="0"/>
              <w:jc w:val="center"/>
              <w:rPr>
                <w:noProof/>
              </w:rPr>
            </w:pPr>
            <w:r w:rsidRPr="001357D3">
              <w:rPr>
                <w:b/>
                <w:noProof/>
                <w:sz w:val="16"/>
              </w:rPr>
              <w:t>Poza DZIAŁEM 4</w:t>
            </w:r>
          </w:p>
        </w:tc>
      </w:tr>
      <w:tr w:rsidR="00D31917" w:rsidRPr="001357D3" w14:paraId="03D61C70"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C9EA3" w14:textId="77777777" w:rsidR="00FA0CA8" w:rsidRPr="001357D3" w:rsidRDefault="00FA0CA8" w:rsidP="00FA0CA8">
            <w:pPr>
              <w:spacing w:before="0" w:after="0"/>
              <w:jc w:val="left"/>
              <w:rPr>
                <w:noProof/>
              </w:rPr>
            </w:pPr>
            <w:r w:rsidRPr="001357D3">
              <w:rPr>
                <w:noProof/>
                <w:sz w:val="16"/>
              </w:rPr>
              <w:t xml:space="preserve">Zasoby ludzkie </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5E9F30" w14:textId="792BF00D" w:rsidR="00FA0CA8" w:rsidRPr="001357D3" w:rsidRDefault="00FA0CA8" w:rsidP="00FA0CA8">
            <w:pPr>
              <w:spacing w:before="0" w:after="0"/>
              <w:jc w:val="right"/>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0DFBAE" w14:textId="25A51D3B" w:rsidR="00FA0CA8" w:rsidRPr="001357D3" w:rsidRDefault="00FA0CA8" w:rsidP="00FA0CA8">
            <w:pPr>
              <w:spacing w:before="0" w:after="0"/>
              <w:jc w:val="right"/>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7D3D2B" w14:textId="4A5F39AC" w:rsidR="00FA0CA8" w:rsidRPr="001357D3" w:rsidRDefault="00FA0CA8" w:rsidP="00FA0CA8">
            <w:pPr>
              <w:spacing w:before="0" w:after="0"/>
              <w:jc w:val="right"/>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A0774E" w14:textId="42346223" w:rsidR="00FA0CA8" w:rsidRPr="001357D3" w:rsidRDefault="00FA0CA8" w:rsidP="00FA0CA8">
            <w:pPr>
              <w:spacing w:before="0" w:after="0"/>
              <w:jc w:val="right"/>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0DDFA0" w14:textId="6EA5ACB5" w:rsidR="00FA0CA8" w:rsidRPr="001357D3" w:rsidRDefault="00FA0CA8" w:rsidP="00FA0CA8">
            <w:pPr>
              <w:spacing w:before="0" w:after="0"/>
              <w:jc w:val="center"/>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48D35D" w14:textId="64DF8D58" w:rsidR="00FA0CA8" w:rsidRPr="001357D3" w:rsidRDefault="00FA0CA8" w:rsidP="00FA0CA8">
            <w:pPr>
              <w:spacing w:before="0" w:after="0"/>
              <w:jc w:val="center"/>
              <w:rPr>
                <w:noProof/>
              </w:rPr>
            </w:pPr>
            <w:r w:rsidRPr="001357D3">
              <w:rPr>
                <w:noProof/>
                <w:sz w:val="16"/>
              </w:rPr>
              <w:t>0,505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E1999D" w14:textId="6F3E50E4" w:rsidR="00FA0CA8" w:rsidRPr="001357D3" w:rsidRDefault="00FA0CA8" w:rsidP="00FA0CA8">
            <w:pPr>
              <w:spacing w:before="0" w:after="0"/>
              <w:jc w:val="center"/>
              <w:rPr>
                <w:noProof/>
              </w:rPr>
            </w:pPr>
            <w:r w:rsidRPr="001357D3">
              <w:rPr>
                <w:noProof/>
                <w:sz w:val="16"/>
              </w:rPr>
              <w:t>0,505</w:t>
            </w:r>
          </w:p>
        </w:tc>
        <w:tc>
          <w:tcPr>
            <w:tcW w:w="83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CED534" w14:textId="44B2388F" w:rsidR="00FA0CA8" w:rsidRPr="001357D3" w:rsidRDefault="00FA0CA8" w:rsidP="00FA0CA8">
            <w:pPr>
              <w:spacing w:before="0" w:after="0"/>
              <w:jc w:val="right"/>
              <w:rPr>
                <w:noProof/>
              </w:rPr>
            </w:pPr>
            <w:r w:rsidRPr="001357D3">
              <w:rPr>
                <w:b/>
                <w:noProof/>
                <w:sz w:val="16"/>
              </w:rPr>
              <w:t>3,535</w:t>
            </w:r>
          </w:p>
        </w:tc>
      </w:tr>
      <w:tr w:rsidR="00D31917" w:rsidRPr="001357D3" w14:paraId="5862176C"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DA192" w14:textId="23B7758F" w:rsidR="00FA0CA8" w:rsidRPr="001357D3" w:rsidRDefault="00FA0CA8" w:rsidP="00FA0CA8">
            <w:pPr>
              <w:spacing w:before="0" w:after="0"/>
              <w:jc w:val="left"/>
              <w:rPr>
                <w:noProof/>
              </w:rPr>
            </w:pPr>
            <w:r w:rsidRPr="001357D3">
              <w:rPr>
                <w:noProof/>
                <w:sz w:val="16"/>
              </w:rPr>
              <w:t>Pozostałe wydatki</w:t>
            </w:r>
            <w:r w:rsidR="001C6403" w:rsidRPr="001357D3">
              <w:rPr>
                <w:noProof/>
                <w:sz w:val="16"/>
              </w:rPr>
              <w:t xml:space="preserve"> o</w:t>
            </w:r>
            <w:r w:rsidR="001C6403">
              <w:rPr>
                <w:noProof/>
                <w:sz w:val="16"/>
              </w:rPr>
              <w:t> </w:t>
            </w:r>
            <w:r w:rsidR="001C6403" w:rsidRPr="001357D3">
              <w:rPr>
                <w:noProof/>
                <w:sz w:val="16"/>
              </w:rPr>
              <w:t>cha</w:t>
            </w:r>
            <w:r w:rsidRPr="001357D3">
              <w:rPr>
                <w:noProof/>
                <w:sz w:val="16"/>
              </w:rPr>
              <w:t>rakterze administracyjnym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FC304F" w14:textId="4CC50FCB" w:rsidR="00FA0CA8" w:rsidRPr="001357D3" w:rsidRDefault="00FA0CA8" w:rsidP="00FA0CA8">
            <w:pPr>
              <w:spacing w:before="0" w:after="0"/>
              <w:jc w:val="right"/>
              <w:rPr>
                <w:noProof/>
              </w:rPr>
            </w:pPr>
            <w:r w:rsidRPr="001357D3">
              <w:rPr>
                <w:noProof/>
                <w:sz w:val="16"/>
              </w:rPr>
              <w:t xml:space="preserve"> 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D63178" w14:textId="3EFBB032" w:rsidR="00FA0CA8" w:rsidRPr="001357D3" w:rsidRDefault="00FA0CA8" w:rsidP="00FA0CA8">
            <w:pPr>
              <w:spacing w:before="0" w:after="0"/>
              <w:jc w:val="right"/>
              <w:rPr>
                <w:noProof/>
              </w:rPr>
            </w:pPr>
            <w:r w:rsidRPr="001357D3">
              <w:rPr>
                <w:noProof/>
                <w:sz w:val="16"/>
              </w:rPr>
              <w:t xml:space="preserve"> 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34C293" w14:textId="77777777" w:rsidR="00FA0CA8" w:rsidRPr="001357D3" w:rsidRDefault="00FA0CA8" w:rsidP="00FA0CA8">
            <w:pPr>
              <w:spacing w:before="0" w:after="0"/>
              <w:jc w:val="right"/>
              <w:rPr>
                <w:noProof/>
              </w:rPr>
            </w:pPr>
            <w:r w:rsidRPr="001357D3">
              <w:rPr>
                <w:noProof/>
                <w:sz w:val="16"/>
              </w:rPr>
              <w:t>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197684" w14:textId="77777777" w:rsidR="00FA0CA8" w:rsidRPr="001357D3" w:rsidRDefault="00FA0CA8" w:rsidP="00FA0CA8">
            <w:pPr>
              <w:spacing w:before="0" w:after="0"/>
              <w:jc w:val="right"/>
              <w:rPr>
                <w:noProof/>
              </w:rPr>
            </w:pPr>
            <w:r w:rsidRPr="001357D3">
              <w:rPr>
                <w:noProof/>
                <w:sz w:val="16"/>
              </w:rPr>
              <w:t>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E47C1F" w14:textId="77777777" w:rsidR="00FA0CA8" w:rsidRPr="001357D3" w:rsidRDefault="00FA0CA8" w:rsidP="00FA0CA8">
            <w:pPr>
              <w:spacing w:before="0" w:after="0"/>
              <w:jc w:val="center"/>
              <w:rPr>
                <w:noProof/>
              </w:rPr>
            </w:pPr>
            <w:r w:rsidRPr="001357D3">
              <w:rPr>
                <w:noProof/>
                <w:sz w:val="16"/>
              </w:rPr>
              <w:t>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7A86C1" w14:textId="77777777" w:rsidR="00FA0CA8" w:rsidRPr="001357D3" w:rsidRDefault="00FA0CA8" w:rsidP="00FA0CA8">
            <w:pPr>
              <w:spacing w:before="0" w:after="0"/>
              <w:jc w:val="center"/>
              <w:rPr>
                <w:noProof/>
              </w:rPr>
            </w:pPr>
            <w:r w:rsidRPr="001357D3">
              <w:rPr>
                <w:noProof/>
                <w:sz w:val="16"/>
              </w:rPr>
              <w:t>p.m.</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907D9D" w14:textId="77777777" w:rsidR="00FA0CA8" w:rsidRPr="001357D3" w:rsidRDefault="00FA0CA8" w:rsidP="00FA0CA8">
            <w:pPr>
              <w:spacing w:before="0" w:after="0"/>
              <w:jc w:val="center"/>
              <w:rPr>
                <w:noProof/>
              </w:rPr>
            </w:pPr>
            <w:r w:rsidRPr="001357D3">
              <w:rPr>
                <w:noProof/>
                <w:sz w:val="16"/>
              </w:rPr>
              <w:t>p.m.</w:t>
            </w:r>
          </w:p>
        </w:tc>
        <w:tc>
          <w:tcPr>
            <w:tcW w:w="8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2FF8A0" w14:textId="77777777" w:rsidR="00FA0CA8" w:rsidRPr="001357D3" w:rsidRDefault="00FA0CA8" w:rsidP="00FA0CA8">
            <w:pPr>
              <w:spacing w:before="0" w:after="0"/>
              <w:jc w:val="right"/>
              <w:rPr>
                <w:noProof/>
              </w:rPr>
            </w:pPr>
            <w:r w:rsidRPr="001357D3">
              <w:rPr>
                <w:b/>
                <w:noProof/>
                <w:sz w:val="16"/>
              </w:rPr>
              <w:t>p.m.</w:t>
            </w:r>
          </w:p>
        </w:tc>
      </w:tr>
      <w:tr w:rsidR="00D31917" w:rsidRPr="001357D3" w14:paraId="1DE86613" w14:textId="77777777">
        <w:trPr>
          <w:trHeight w:val="300"/>
        </w:trPr>
        <w:tc>
          <w:tcPr>
            <w:tcW w:w="4338"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6296978" w14:textId="77777777" w:rsidR="00FA0CA8" w:rsidRPr="001357D3" w:rsidRDefault="00FA0CA8" w:rsidP="00FA0CA8">
            <w:pPr>
              <w:spacing w:before="0" w:after="0"/>
              <w:jc w:val="center"/>
              <w:rPr>
                <w:noProof/>
              </w:rPr>
            </w:pPr>
            <w:r w:rsidRPr="001357D3">
              <w:rPr>
                <w:b/>
                <w:noProof/>
                <w:sz w:val="16"/>
              </w:rPr>
              <w:t>Suma cząstkowa poza DZIAŁEM 4</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BFF543" w14:textId="11EAB2E9" w:rsidR="00FA0CA8" w:rsidRPr="001357D3" w:rsidRDefault="00FA0CA8" w:rsidP="00FA0CA8">
            <w:pPr>
              <w:spacing w:before="0" w:after="0"/>
              <w:jc w:val="right"/>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30EEEC" w14:textId="73DE5F0C" w:rsidR="00FA0CA8" w:rsidRPr="001357D3" w:rsidRDefault="00FA0CA8" w:rsidP="00FA0CA8">
            <w:pPr>
              <w:spacing w:before="0" w:after="0"/>
              <w:jc w:val="right"/>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4A9692" w14:textId="34F1375C" w:rsidR="00FA0CA8" w:rsidRPr="001357D3" w:rsidRDefault="00FA0CA8" w:rsidP="00FA0CA8">
            <w:pPr>
              <w:spacing w:before="0" w:after="0"/>
              <w:jc w:val="right"/>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7F39C7" w14:textId="24E5A2C2" w:rsidR="00FA0CA8" w:rsidRPr="001357D3" w:rsidRDefault="00FA0CA8" w:rsidP="00FA0CA8">
            <w:pPr>
              <w:spacing w:before="0" w:after="0"/>
              <w:jc w:val="right"/>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D85FDB" w14:textId="18A1BA41" w:rsidR="00FA0CA8" w:rsidRPr="001357D3" w:rsidRDefault="00FA0CA8" w:rsidP="00FA0CA8">
            <w:pPr>
              <w:spacing w:before="0" w:after="0"/>
              <w:jc w:val="center"/>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E24938" w14:textId="0F7317EC" w:rsidR="00FA0CA8" w:rsidRPr="001357D3" w:rsidRDefault="00FA0CA8" w:rsidP="00FA0CA8">
            <w:pPr>
              <w:spacing w:before="0" w:after="0"/>
              <w:jc w:val="center"/>
              <w:rPr>
                <w:noProof/>
              </w:rPr>
            </w:pPr>
            <w:r w:rsidRPr="001357D3">
              <w:rPr>
                <w:b/>
                <w:noProof/>
                <w:sz w:val="16"/>
              </w:rPr>
              <w:t>0,505</w:t>
            </w:r>
          </w:p>
        </w:tc>
        <w:tc>
          <w:tcPr>
            <w:tcW w:w="5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21FE282" w14:textId="4D697713" w:rsidR="00FA0CA8" w:rsidRPr="001357D3" w:rsidRDefault="00FA0CA8" w:rsidP="00FA0CA8">
            <w:pPr>
              <w:spacing w:before="0" w:after="0"/>
              <w:jc w:val="center"/>
              <w:rPr>
                <w:noProof/>
              </w:rPr>
            </w:pPr>
            <w:r w:rsidRPr="001357D3">
              <w:rPr>
                <w:b/>
                <w:noProof/>
                <w:sz w:val="16"/>
              </w:rPr>
              <w:t>0,505</w:t>
            </w:r>
          </w:p>
        </w:tc>
        <w:tc>
          <w:tcPr>
            <w:tcW w:w="8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413DAF" w14:textId="6209F289" w:rsidR="00FA0CA8" w:rsidRPr="001357D3" w:rsidRDefault="00FA0CA8" w:rsidP="00FA0CA8">
            <w:pPr>
              <w:spacing w:before="0" w:after="0"/>
              <w:jc w:val="right"/>
              <w:rPr>
                <w:noProof/>
              </w:rPr>
            </w:pPr>
            <w:r w:rsidRPr="001357D3">
              <w:rPr>
                <w:b/>
                <w:noProof/>
                <w:sz w:val="16"/>
              </w:rPr>
              <w:t>3,535</w:t>
            </w:r>
          </w:p>
        </w:tc>
      </w:tr>
      <w:tr w:rsidR="00D31917" w:rsidRPr="001357D3" w14:paraId="6BCD192D" w14:textId="77777777">
        <w:trPr>
          <w:trHeight w:val="300"/>
        </w:trPr>
        <w:tc>
          <w:tcPr>
            <w:tcW w:w="9309" w:type="dxa"/>
            <w:gridSpan w:val="12"/>
            <w:tcBorders>
              <w:top w:val="single" w:sz="8" w:space="0" w:color="auto"/>
              <w:left w:val="single" w:sz="8" w:space="0" w:color="auto"/>
              <w:bottom w:val="single" w:sz="8" w:space="0" w:color="auto"/>
              <w:right w:val="single" w:sz="8" w:space="0" w:color="auto"/>
            </w:tcBorders>
            <w:tcMar>
              <w:left w:w="108" w:type="dxa"/>
              <w:right w:w="108" w:type="dxa"/>
            </w:tcMar>
          </w:tcPr>
          <w:p w14:paraId="77A0B859" w14:textId="58A332A6" w:rsidR="00FA0CA8" w:rsidRPr="001357D3" w:rsidRDefault="00FA0CA8" w:rsidP="00FA0CA8">
            <w:pPr>
              <w:spacing w:before="0" w:after="0"/>
              <w:jc w:val="center"/>
              <w:rPr>
                <w:noProof/>
              </w:rPr>
            </w:pPr>
            <w:r w:rsidRPr="001357D3">
              <w:rPr>
                <w:noProof/>
                <w:sz w:val="16"/>
              </w:rPr>
              <w:t xml:space="preserve"> </w:t>
            </w:r>
          </w:p>
        </w:tc>
      </w:tr>
      <w:tr w:rsidR="00D31917" w:rsidRPr="001357D3" w14:paraId="2339D407" w14:textId="77777777">
        <w:trPr>
          <w:trHeight w:val="315"/>
        </w:trPr>
        <w:tc>
          <w:tcPr>
            <w:tcW w:w="4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D473" w14:textId="77777777" w:rsidR="00FA0CA8" w:rsidRPr="001357D3" w:rsidRDefault="00FA0CA8" w:rsidP="00FA0CA8">
            <w:pPr>
              <w:spacing w:before="0" w:after="0"/>
              <w:jc w:val="center"/>
              <w:rPr>
                <w:noProof/>
              </w:rPr>
            </w:pPr>
            <w:r w:rsidRPr="001357D3">
              <w:rPr>
                <w:b/>
                <w:noProof/>
                <w:sz w:val="16"/>
              </w:rPr>
              <w:t>OGÓŁEM</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22186C" w14:textId="32AA5B6B" w:rsidR="00FA0CA8" w:rsidRPr="001357D3" w:rsidRDefault="00FA0CA8" w:rsidP="00FA0CA8">
            <w:pPr>
              <w:spacing w:before="0" w:after="0"/>
              <w:jc w:val="right"/>
              <w:rPr>
                <w:noProof/>
              </w:rPr>
            </w:pPr>
            <w:r w:rsidRPr="001357D3">
              <w:rPr>
                <w:b/>
                <w:noProof/>
                <w:sz w:val="16"/>
              </w:rPr>
              <w:t>10,355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0F9624" w14:textId="4C81F60E" w:rsidR="00FA0CA8" w:rsidRPr="001357D3" w:rsidRDefault="00FA0CA8" w:rsidP="00FA0CA8">
            <w:pPr>
              <w:spacing w:before="0" w:after="0"/>
              <w:jc w:val="right"/>
              <w:rPr>
                <w:noProof/>
              </w:rPr>
            </w:pPr>
            <w:r w:rsidRPr="001357D3">
              <w:rPr>
                <w:b/>
                <w:noProof/>
                <w:sz w:val="16"/>
              </w:rPr>
              <w:t>10,362</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FFB1AE" w14:textId="30C95D4A" w:rsidR="00FA0CA8" w:rsidRPr="001357D3" w:rsidRDefault="00FA0CA8" w:rsidP="00FA0CA8">
            <w:pPr>
              <w:spacing w:before="0" w:after="0"/>
              <w:jc w:val="right"/>
              <w:rPr>
                <w:noProof/>
              </w:rPr>
            </w:pPr>
            <w:r w:rsidRPr="001357D3">
              <w:rPr>
                <w:b/>
                <w:noProof/>
                <w:sz w:val="16"/>
              </w:rPr>
              <w:t>10,370</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502871" w14:textId="380CB06E" w:rsidR="00FA0CA8" w:rsidRPr="001357D3" w:rsidRDefault="00FA0CA8" w:rsidP="00FA0CA8">
            <w:pPr>
              <w:spacing w:before="0" w:after="0"/>
              <w:jc w:val="right"/>
              <w:rPr>
                <w:noProof/>
              </w:rPr>
            </w:pPr>
            <w:r w:rsidRPr="001357D3">
              <w:rPr>
                <w:b/>
                <w:noProof/>
                <w:sz w:val="16"/>
              </w:rPr>
              <w:t>10,378</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2C54C9" w14:textId="59D94FEA" w:rsidR="00FA0CA8" w:rsidRPr="001357D3" w:rsidRDefault="00FA0CA8" w:rsidP="00FA0CA8">
            <w:pPr>
              <w:spacing w:before="0" w:after="0"/>
              <w:jc w:val="center"/>
              <w:rPr>
                <w:noProof/>
              </w:rPr>
            </w:pPr>
            <w:r w:rsidRPr="001357D3">
              <w:rPr>
                <w:b/>
                <w:noProof/>
                <w:sz w:val="16"/>
              </w:rPr>
              <w:t>10,386</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BD85C6" w14:textId="00DBA9B1" w:rsidR="00FA0CA8" w:rsidRPr="001357D3" w:rsidRDefault="00FA0CA8" w:rsidP="00FA0CA8">
            <w:pPr>
              <w:spacing w:before="0" w:after="0"/>
              <w:jc w:val="center"/>
              <w:rPr>
                <w:noProof/>
              </w:rPr>
            </w:pPr>
            <w:r w:rsidRPr="001357D3">
              <w:rPr>
                <w:b/>
                <w:noProof/>
                <w:sz w:val="16"/>
              </w:rPr>
              <w:t>10,395</w:t>
            </w:r>
          </w:p>
        </w:tc>
        <w:tc>
          <w:tcPr>
            <w:tcW w:w="59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C1E635" w14:textId="04E5BFCE" w:rsidR="00FA0CA8" w:rsidRPr="001357D3" w:rsidRDefault="00FA0CA8" w:rsidP="00FA0CA8">
            <w:pPr>
              <w:spacing w:before="0" w:after="0"/>
              <w:jc w:val="center"/>
              <w:rPr>
                <w:noProof/>
              </w:rPr>
            </w:pPr>
            <w:r w:rsidRPr="001357D3">
              <w:rPr>
                <w:b/>
                <w:noProof/>
                <w:sz w:val="16"/>
              </w:rPr>
              <w:t>10,403</w:t>
            </w:r>
          </w:p>
        </w:tc>
        <w:tc>
          <w:tcPr>
            <w:tcW w:w="83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A93A99" w14:textId="2B2BCE70" w:rsidR="00FA0CA8" w:rsidRPr="001357D3" w:rsidRDefault="00FA0CA8" w:rsidP="00FA0CA8">
            <w:pPr>
              <w:spacing w:before="0" w:after="0"/>
              <w:jc w:val="right"/>
              <w:rPr>
                <w:noProof/>
              </w:rPr>
            </w:pPr>
            <w:r w:rsidRPr="001357D3">
              <w:rPr>
                <w:b/>
                <w:noProof/>
                <w:sz w:val="16"/>
              </w:rPr>
              <w:t>72,649</w:t>
            </w:r>
          </w:p>
        </w:tc>
      </w:tr>
      <w:tr w:rsidR="00D31917" w:rsidRPr="001357D3" w14:paraId="58A5DA60" w14:textId="77777777">
        <w:trPr>
          <w:trHeight w:val="300"/>
        </w:trPr>
        <w:tc>
          <w:tcPr>
            <w:tcW w:w="1308" w:type="dxa"/>
            <w:tcBorders>
              <w:top w:val="single" w:sz="12" w:space="0" w:color="auto"/>
              <w:left w:val="nil"/>
              <w:bottom w:val="nil"/>
              <w:right w:val="nil"/>
            </w:tcBorders>
            <w:vAlign w:val="center"/>
          </w:tcPr>
          <w:p w14:paraId="7C87DF37" w14:textId="77777777" w:rsidR="00FA0CA8" w:rsidRPr="001357D3" w:rsidRDefault="00FA0CA8" w:rsidP="00FA0CA8">
            <w:pPr>
              <w:rPr>
                <w:noProof/>
              </w:rPr>
            </w:pPr>
          </w:p>
        </w:tc>
        <w:tc>
          <w:tcPr>
            <w:tcW w:w="1157" w:type="dxa"/>
            <w:tcBorders>
              <w:top w:val="nil"/>
              <w:left w:val="nil"/>
              <w:bottom w:val="nil"/>
              <w:right w:val="nil"/>
            </w:tcBorders>
            <w:vAlign w:val="center"/>
          </w:tcPr>
          <w:p w14:paraId="038B368C" w14:textId="77777777" w:rsidR="00FA0CA8" w:rsidRPr="001357D3" w:rsidRDefault="00FA0CA8" w:rsidP="00FA0CA8">
            <w:pPr>
              <w:rPr>
                <w:noProof/>
              </w:rPr>
            </w:pPr>
          </w:p>
        </w:tc>
        <w:tc>
          <w:tcPr>
            <w:tcW w:w="1171" w:type="dxa"/>
            <w:tcBorders>
              <w:top w:val="nil"/>
              <w:left w:val="nil"/>
              <w:bottom w:val="nil"/>
              <w:right w:val="nil"/>
            </w:tcBorders>
            <w:vAlign w:val="center"/>
          </w:tcPr>
          <w:p w14:paraId="0EB84C30" w14:textId="77777777" w:rsidR="00FA0CA8" w:rsidRPr="001357D3" w:rsidRDefault="00FA0CA8" w:rsidP="00FA0CA8">
            <w:pPr>
              <w:rPr>
                <w:noProof/>
              </w:rPr>
            </w:pPr>
          </w:p>
        </w:tc>
        <w:tc>
          <w:tcPr>
            <w:tcW w:w="702" w:type="dxa"/>
            <w:tcBorders>
              <w:top w:val="nil"/>
              <w:left w:val="nil"/>
              <w:bottom w:val="nil"/>
              <w:right w:val="nil"/>
            </w:tcBorders>
            <w:vAlign w:val="center"/>
          </w:tcPr>
          <w:p w14:paraId="4F4F912C"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3A81269E"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07B348E1"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03FF8C2D"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7DB142CE"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145CDC57"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497DA0B0" w14:textId="77777777" w:rsidR="00FA0CA8" w:rsidRPr="001357D3" w:rsidRDefault="00FA0CA8" w:rsidP="00FA0CA8">
            <w:pPr>
              <w:rPr>
                <w:noProof/>
              </w:rPr>
            </w:pPr>
          </w:p>
        </w:tc>
        <w:tc>
          <w:tcPr>
            <w:tcW w:w="591" w:type="dxa"/>
            <w:tcBorders>
              <w:top w:val="single" w:sz="12" w:space="0" w:color="auto"/>
              <w:left w:val="nil"/>
              <w:bottom w:val="nil"/>
              <w:right w:val="nil"/>
            </w:tcBorders>
            <w:vAlign w:val="center"/>
          </w:tcPr>
          <w:p w14:paraId="738A6AC8" w14:textId="77777777" w:rsidR="00FA0CA8" w:rsidRPr="001357D3" w:rsidRDefault="00FA0CA8" w:rsidP="00FA0CA8">
            <w:pPr>
              <w:rPr>
                <w:noProof/>
              </w:rPr>
            </w:pPr>
          </w:p>
        </w:tc>
        <w:tc>
          <w:tcPr>
            <w:tcW w:w="834" w:type="dxa"/>
            <w:tcBorders>
              <w:top w:val="single" w:sz="12" w:space="0" w:color="auto"/>
              <w:left w:val="nil"/>
              <w:bottom w:val="nil"/>
              <w:right w:val="nil"/>
            </w:tcBorders>
            <w:vAlign w:val="center"/>
          </w:tcPr>
          <w:p w14:paraId="202F7B9C" w14:textId="77777777" w:rsidR="00FA0CA8" w:rsidRPr="001357D3" w:rsidRDefault="00FA0CA8" w:rsidP="00FA0CA8">
            <w:pPr>
              <w:rPr>
                <w:noProof/>
              </w:rPr>
            </w:pPr>
          </w:p>
        </w:tc>
      </w:tr>
    </w:tbl>
    <w:p w14:paraId="6DB77262" w14:textId="77777777" w:rsidR="00FA0CA8" w:rsidRPr="001357D3" w:rsidRDefault="00FA0CA8" w:rsidP="00FA0CA8">
      <w:pPr>
        <w:rPr>
          <w:noProof/>
        </w:rPr>
      </w:pPr>
      <w:r w:rsidRPr="001357D3">
        <w:rPr>
          <w:noProof/>
        </w:rPr>
        <w:t>===================================================================</w:t>
      </w:r>
    </w:p>
    <w:p w14:paraId="31AC0DD1" w14:textId="2EABD7B4" w:rsidR="00FA0CA8" w:rsidRPr="001357D3" w:rsidRDefault="00FA0CA8" w:rsidP="00FA0CA8">
      <w:pPr>
        <w:rPr>
          <w:noProof/>
          <w:sz w:val="22"/>
          <w:szCs w:val="28"/>
        </w:rPr>
      </w:pPr>
      <w:r w:rsidRPr="001357D3">
        <w:rPr>
          <w:noProof/>
          <w:sz w:val="22"/>
        </w:rPr>
        <w:t>Potrzeby</w:t>
      </w:r>
      <w:r w:rsidR="001C6403" w:rsidRPr="001357D3">
        <w:rPr>
          <w:noProof/>
          <w:sz w:val="22"/>
        </w:rPr>
        <w:t xml:space="preserve"> w</w:t>
      </w:r>
      <w:r w:rsidR="001C6403">
        <w:rPr>
          <w:noProof/>
          <w:sz w:val="22"/>
        </w:rPr>
        <w:t> </w:t>
      </w:r>
      <w:r w:rsidR="001C6403" w:rsidRPr="001357D3">
        <w:rPr>
          <w:noProof/>
          <w:sz w:val="22"/>
        </w:rPr>
        <w:t>zak</w:t>
      </w:r>
      <w:r w:rsidRPr="001357D3">
        <w:rPr>
          <w:noProof/>
          <w:sz w:val="22"/>
        </w:rPr>
        <w:t>resie środków na zasoby ludzkie</w:t>
      </w:r>
      <w:r w:rsidR="001C6403" w:rsidRPr="001357D3">
        <w:rPr>
          <w:noProof/>
          <w:sz w:val="22"/>
        </w:rPr>
        <w:t xml:space="preserve"> i</w:t>
      </w:r>
      <w:r w:rsidR="001C6403">
        <w:rPr>
          <w:noProof/>
          <w:sz w:val="22"/>
        </w:rPr>
        <w:t> </w:t>
      </w:r>
      <w:r w:rsidR="001C6403" w:rsidRPr="001357D3">
        <w:rPr>
          <w:noProof/>
          <w:sz w:val="22"/>
        </w:rPr>
        <w:t>inn</w:t>
      </w:r>
      <w:r w:rsidRPr="001357D3">
        <w:rPr>
          <w:noProof/>
          <w:sz w:val="22"/>
        </w:rPr>
        <w:t>e wydatki</w:t>
      </w:r>
      <w:r w:rsidR="001C6403" w:rsidRPr="001357D3">
        <w:rPr>
          <w:noProof/>
          <w:sz w:val="22"/>
        </w:rPr>
        <w:t xml:space="preserve"> o</w:t>
      </w:r>
      <w:r w:rsidR="001C6403">
        <w:rPr>
          <w:noProof/>
          <w:sz w:val="22"/>
        </w:rPr>
        <w:t> </w:t>
      </w:r>
      <w:r w:rsidR="001C6403" w:rsidRPr="001357D3">
        <w:rPr>
          <w:noProof/>
          <w:sz w:val="22"/>
        </w:rPr>
        <w:t>cha</w:t>
      </w:r>
      <w:r w:rsidRPr="001357D3">
        <w:rPr>
          <w:noProof/>
          <w:sz w:val="22"/>
        </w:rPr>
        <w:t>rakterze administracyjnym zostaną pokryte ze środków dyrekcji generalnej już przydzielonych na zarządzanie tym działaniem lub przesuniętych</w:t>
      </w:r>
      <w:r w:rsidR="001C6403" w:rsidRPr="001357D3">
        <w:rPr>
          <w:noProof/>
          <w:sz w:val="22"/>
        </w:rPr>
        <w:t xml:space="preserve"> w</w:t>
      </w:r>
      <w:r w:rsidR="001C6403">
        <w:rPr>
          <w:noProof/>
          <w:sz w:val="22"/>
        </w:rPr>
        <w:t> </w:t>
      </w:r>
      <w:r w:rsidR="001C6403" w:rsidRPr="001357D3">
        <w:rPr>
          <w:noProof/>
          <w:sz w:val="22"/>
        </w:rPr>
        <w:t>ram</w:t>
      </w:r>
      <w:r w:rsidRPr="001357D3">
        <w:rPr>
          <w:noProof/>
          <w:sz w:val="22"/>
        </w:rPr>
        <w:t>ach dyrekcji generalnej, uzupełnionych</w:t>
      </w:r>
      <w:r w:rsidR="001C6403" w:rsidRPr="001357D3">
        <w:rPr>
          <w:noProof/>
          <w:sz w:val="22"/>
        </w:rPr>
        <w:t xml:space="preserve"> w</w:t>
      </w:r>
      <w:r w:rsidR="001C6403">
        <w:rPr>
          <w:noProof/>
          <w:sz w:val="22"/>
        </w:rPr>
        <w:t> </w:t>
      </w:r>
      <w:r w:rsidR="001C6403" w:rsidRPr="001357D3">
        <w:rPr>
          <w:noProof/>
          <w:sz w:val="22"/>
        </w:rPr>
        <w:t>raz</w:t>
      </w:r>
      <w:r w:rsidRPr="001357D3">
        <w:rPr>
          <w:noProof/>
          <w:sz w:val="22"/>
        </w:rPr>
        <w:t>ie potrzeby wszelkimi dodatkowymi zasobami, które mogą zostać przydzielone zarządzającej dyrekcji generalnej</w:t>
      </w:r>
      <w:r w:rsidR="001C6403" w:rsidRPr="001357D3">
        <w:rPr>
          <w:noProof/>
          <w:sz w:val="22"/>
        </w:rPr>
        <w:t xml:space="preserve"> w</w:t>
      </w:r>
      <w:r w:rsidR="001C6403">
        <w:rPr>
          <w:noProof/>
          <w:sz w:val="22"/>
        </w:rPr>
        <w:t> </w:t>
      </w:r>
      <w:r w:rsidR="001C6403" w:rsidRPr="001357D3">
        <w:rPr>
          <w:noProof/>
          <w:sz w:val="22"/>
        </w:rPr>
        <w:t>ram</w:t>
      </w:r>
      <w:r w:rsidRPr="001357D3">
        <w:rPr>
          <w:noProof/>
          <w:sz w:val="22"/>
        </w:rPr>
        <w:t>ach procedury rocznego przydziału środków oraz</w:t>
      </w:r>
      <w:r w:rsidR="001C6403" w:rsidRPr="001357D3">
        <w:rPr>
          <w:noProof/>
          <w:sz w:val="22"/>
        </w:rPr>
        <w:t xml:space="preserve"> w</w:t>
      </w:r>
      <w:r w:rsidR="001C6403">
        <w:rPr>
          <w:noProof/>
          <w:sz w:val="22"/>
        </w:rPr>
        <w:t> </w:t>
      </w:r>
      <w:r w:rsidR="001C6403" w:rsidRPr="001357D3">
        <w:rPr>
          <w:noProof/>
          <w:sz w:val="22"/>
        </w:rPr>
        <w:t>świ</w:t>
      </w:r>
      <w:r w:rsidRPr="001357D3">
        <w:rPr>
          <w:noProof/>
          <w:sz w:val="22"/>
        </w:rPr>
        <w:t>etle istniejących ograniczeń budżetowych.</w:t>
      </w:r>
    </w:p>
    <w:p w14:paraId="309ADA47" w14:textId="30FAF306" w:rsidR="00FA0CA8" w:rsidRPr="001357D3" w:rsidRDefault="00FA0CA8" w:rsidP="00FA0CA8">
      <w:pPr>
        <w:keepNext/>
        <w:tabs>
          <w:tab w:val="left" w:pos="850"/>
        </w:tabs>
        <w:ind w:left="850" w:hanging="850"/>
        <w:outlineLvl w:val="2"/>
        <w:rPr>
          <w:i/>
          <w:noProof/>
        </w:rPr>
      </w:pPr>
      <w:bookmarkStart w:id="237" w:name="_Toc167220294"/>
      <w:bookmarkStart w:id="238" w:name="_Toc177549027"/>
      <w:bookmarkStart w:id="239" w:name="_Toc210923285"/>
      <w:r w:rsidRPr="001357D3">
        <w:rPr>
          <w:i/>
          <w:noProof/>
        </w:rPr>
        <w:t>3.2.4.</w:t>
      </w:r>
      <w:r w:rsidRPr="001357D3">
        <w:rPr>
          <w:noProof/>
        </w:rPr>
        <w:tab/>
      </w:r>
      <w:r w:rsidRPr="001357D3">
        <w:rPr>
          <w:i/>
          <w:noProof/>
        </w:rPr>
        <w:t>Szacowane zapotrzebowanie na zasoby ludzkie</w:t>
      </w:r>
      <w:bookmarkEnd w:id="237"/>
      <w:bookmarkEnd w:id="238"/>
      <w:bookmarkEnd w:id="239"/>
    </w:p>
    <w:p w14:paraId="3FB496FB" w14:textId="759635F2"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nie wiąże się</w:t>
      </w:r>
      <w:r w:rsidR="001C6403" w:rsidRPr="001357D3">
        <w:rPr>
          <w:noProof/>
        </w:rPr>
        <w:t xml:space="preserve"> z</w:t>
      </w:r>
      <w:r w:rsidR="001C6403">
        <w:rPr>
          <w:noProof/>
        </w:rPr>
        <w:t> </w:t>
      </w:r>
      <w:r w:rsidR="001C6403" w:rsidRPr="001357D3">
        <w:rPr>
          <w:noProof/>
        </w:rPr>
        <w:t>kon</w:t>
      </w:r>
      <w:r w:rsidRPr="001357D3">
        <w:rPr>
          <w:noProof/>
        </w:rPr>
        <w:t>iecznością wykorzystania zasobów ludzkich</w:t>
      </w:r>
    </w:p>
    <w:p w14:paraId="0E10F613" w14:textId="45ED235C"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wiąże się</w:t>
      </w:r>
      <w:r w:rsidR="001C6403" w:rsidRPr="001357D3">
        <w:rPr>
          <w:noProof/>
        </w:rPr>
        <w:t xml:space="preserve"> z</w:t>
      </w:r>
      <w:r w:rsidR="001C6403">
        <w:rPr>
          <w:noProof/>
        </w:rPr>
        <w:t> </w:t>
      </w:r>
      <w:r w:rsidR="001C6403" w:rsidRPr="001357D3">
        <w:rPr>
          <w:noProof/>
        </w:rPr>
        <w:t>kon</w:t>
      </w:r>
      <w:r w:rsidRPr="001357D3">
        <w:rPr>
          <w:noProof/>
        </w:rPr>
        <w:t>iecznością wykorzystania zasobów ludzkich, jak określono poniżej</w:t>
      </w:r>
    </w:p>
    <w:p w14:paraId="3BBCF70B" w14:textId="7555E8CA" w:rsidR="00FA0CA8" w:rsidRPr="001357D3" w:rsidRDefault="00FA0CA8" w:rsidP="00FA0CA8">
      <w:pPr>
        <w:keepNext/>
        <w:tabs>
          <w:tab w:val="left" w:pos="850"/>
        </w:tabs>
        <w:ind w:left="850" w:hanging="850"/>
        <w:outlineLvl w:val="2"/>
        <w:rPr>
          <w:i/>
          <w:noProof/>
        </w:rPr>
      </w:pPr>
      <w:bookmarkStart w:id="240" w:name="_Toc167220295"/>
      <w:bookmarkStart w:id="241" w:name="_Toc177549028"/>
      <w:bookmarkStart w:id="242" w:name="_Toc210923286"/>
      <w:r w:rsidRPr="001357D3">
        <w:rPr>
          <w:i/>
          <w:noProof/>
        </w:rPr>
        <w:t>3.2.4.1.</w:t>
      </w:r>
      <w:r w:rsidRPr="001357D3">
        <w:rPr>
          <w:noProof/>
        </w:rPr>
        <w:tab/>
      </w:r>
      <w:r w:rsidRPr="001357D3">
        <w:rPr>
          <w:i/>
          <w:noProof/>
        </w:rPr>
        <w:t>Finansowane</w:t>
      </w:r>
      <w:r w:rsidR="001C6403" w:rsidRPr="001357D3">
        <w:rPr>
          <w:i/>
          <w:noProof/>
        </w:rPr>
        <w:t xml:space="preserve"> z</w:t>
      </w:r>
      <w:r w:rsidR="001C6403">
        <w:rPr>
          <w:i/>
          <w:noProof/>
        </w:rPr>
        <w:t> </w:t>
      </w:r>
      <w:r w:rsidR="001C6403" w:rsidRPr="001357D3">
        <w:rPr>
          <w:i/>
          <w:noProof/>
        </w:rPr>
        <w:t>uch</w:t>
      </w:r>
      <w:r w:rsidRPr="001357D3">
        <w:rPr>
          <w:i/>
          <w:noProof/>
        </w:rPr>
        <w:t>walonego budżetu</w:t>
      </w:r>
      <w:bookmarkEnd w:id="240"/>
      <w:bookmarkEnd w:id="241"/>
      <w:bookmarkEnd w:id="242"/>
    </w:p>
    <w:p w14:paraId="5B5E270D" w14:textId="2DFC6176" w:rsidR="00FA0CA8" w:rsidRPr="001357D3" w:rsidRDefault="00FA0CA8" w:rsidP="00FA0CA8">
      <w:pPr>
        <w:spacing w:after="60"/>
        <w:jc w:val="right"/>
        <w:rPr>
          <w:i/>
          <w:noProof/>
          <w:sz w:val="20"/>
        </w:rPr>
      </w:pPr>
      <w:r w:rsidRPr="001357D3">
        <w:rPr>
          <w:i/>
          <w:noProof/>
          <w:sz w:val="20"/>
        </w:rPr>
        <w:t>Wartości szacunkowe należy wyrazić</w:t>
      </w:r>
      <w:r w:rsidR="001C6403" w:rsidRPr="001357D3">
        <w:rPr>
          <w:i/>
          <w:noProof/>
          <w:sz w:val="20"/>
        </w:rPr>
        <w:t xml:space="preserve"> w</w:t>
      </w:r>
      <w:r w:rsidR="001C6403">
        <w:rPr>
          <w:i/>
          <w:noProof/>
          <w:sz w:val="20"/>
        </w:rPr>
        <w:t> </w:t>
      </w:r>
      <w:r w:rsidR="001C6403" w:rsidRPr="001357D3">
        <w:rPr>
          <w:i/>
          <w:noProof/>
          <w:sz w:val="20"/>
        </w:rPr>
        <w:t>ekw</w:t>
      </w:r>
      <w:r w:rsidRPr="001357D3">
        <w:rPr>
          <w:i/>
          <w:noProof/>
          <w:sz w:val="20"/>
        </w:rPr>
        <w:t>iwalentach pełnego czasu pracy (EPC)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1"/>
        <w:gridCol w:w="1241"/>
        <w:gridCol w:w="941"/>
        <w:gridCol w:w="941"/>
        <w:gridCol w:w="941"/>
        <w:gridCol w:w="941"/>
        <w:gridCol w:w="941"/>
        <w:gridCol w:w="941"/>
        <w:gridCol w:w="932"/>
      </w:tblGrid>
      <w:tr w:rsidR="00D31917" w:rsidRPr="001357D3" w14:paraId="111741AA" w14:textId="77777777">
        <w:trPr>
          <w:trHeight w:val="300"/>
        </w:trPr>
        <w:tc>
          <w:tcPr>
            <w:tcW w:w="2482" w:type="dxa"/>
            <w:gridSpan w:val="2"/>
            <w:vMerge w:val="restart"/>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center"/>
          </w:tcPr>
          <w:p w14:paraId="460D178E" w14:textId="77777777" w:rsidR="00FA0CA8" w:rsidRPr="001357D3" w:rsidRDefault="00FA0CA8" w:rsidP="00FA0CA8">
            <w:pPr>
              <w:spacing w:before="0" w:after="0"/>
              <w:jc w:val="center"/>
              <w:rPr>
                <w:rFonts w:eastAsia="Times New Roman"/>
                <w:noProof/>
                <w:sz w:val="18"/>
                <w:szCs w:val="18"/>
              </w:rPr>
            </w:pPr>
            <w:bookmarkStart w:id="243" w:name="_Hlk204328219"/>
            <w:r w:rsidRPr="001357D3">
              <w:rPr>
                <w:b/>
                <w:noProof/>
                <w:sz w:val="18"/>
              </w:rPr>
              <w:t>ZATWIERDZONE ŚRODKI</w:t>
            </w:r>
          </w:p>
        </w:tc>
        <w:tc>
          <w:tcPr>
            <w:tcW w:w="941" w:type="dxa"/>
            <w:tcBorders>
              <w:top w:val="single" w:sz="6" w:space="0" w:color="auto"/>
              <w:left w:val="nil"/>
              <w:bottom w:val="nil"/>
              <w:right w:val="single" w:sz="6" w:space="0" w:color="auto"/>
            </w:tcBorders>
            <w:tcMar>
              <w:left w:w="105" w:type="dxa"/>
              <w:right w:w="105" w:type="dxa"/>
            </w:tcMar>
            <w:vAlign w:val="center"/>
          </w:tcPr>
          <w:p w14:paraId="7F4D89C2"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41" w:type="dxa"/>
            <w:tcBorders>
              <w:top w:val="single" w:sz="6" w:space="0" w:color="auto"/>
              <w:left w:val="single" w:sz="6" w:space="0" w:color="auto"/>
              <w:bottom w:val="nil"/>
              <w:right w:val="single" w:sz="6" w:space="0" w:color="auto"/>
            </w:tcBorders>
            <w:tcMar>
              <w:left w:w="105" w:type="dxa"/>
              <w:right w:w="105" w:type="dxa"/>
            </w:tcMar>
            <w:vAlign w:val="center"/>
          </w:tcPr>
          <w:p w14:paraId="5CAADC40"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41" w:type="dxa"/>
            <w:tcBorders>
              <w:top w:val="single" w:sz="6" w:space="0" w:color="auto"/>
              <w:left w:val="single" w:sz="6" w:space="0" w:color="auto"/>
              <w:bottom w:val="nil"/>
              <w:right w:val="single" w:sz="6" w:space="0" w:color="auto"/>
            </w:tcBorders>
            <w:tcMar>
              <w:left w:w="105" w:type="dxa"/>
              <w:right w:w="105" w:type="dxa"/>
            </w:tcMar>
            <w:vAlign w:val="center"/>
          </w:tcPr>
          <w:p w14:paraId="21D057FF"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41" w:type="dxa"/>
            <w:tcBorders>
              <w:top w:val="single" w:sz="6" w:space="0" w:color="auto"/>
              <w:left w:val="single" w:sz="6" w:space="0" w:color="auto"/>
              <w:bottom w:val="nil"/>
              <w:right w:val="single" w:sz="6" w:space="0" w:color="auto"/>
            </w:tcBorders>
            <w:tcMar>
              <w:left w:w="105" w:type="dxa"/>
              <w:right w:w="105" w:type="dxa"/>
            </w:tcMar>
            <w:vAlign w:val="center"/>
          </w:tcPr>
          <w:p w14:paraId="50CC95D2"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41" w:type="dxa"/>
            <w:tcBorders>
              <w:top w:val="single" w:sz="6" w:space="0" w:color="auto"/>
              <w:left w:val="single" w:sz="6" w:space="0" w:color="auto"/>
              <w:bottom w:val="nil"/>
              <w:right w:val="single" w:sz="6" w:space="0" w:color="auto"/>
            </w:tcBorders>
            <w:tcMar>
              <w:left w:w="105" w:type="dxa"/>
              <w:right w:w="105" w:type="dxa"/>
            </w:tcMar>
            <w:vAlign w:val="center"/>
          </w:tcPr>
          <w:p w14:paraId="539C7E5E"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41" w:type="dxa"/>
            <w:tcBorders>
              <w:top w:val="single" w:sz="6" w:space="0" w:color="auto"/>
              <w:left w:val="single" w:sz="6" w:space="0" w:color="auto"/>
              <w:bottom w:val="nil"/>
              <w:right w:val="single" w:sz="6" w:space="0" w:color="auto"/>
            </w:tcBorders>
            <w:tcMar>
              <w:left w:w="105" w:type="dxa"/>
              <w:right w:w="105" w:type="dxa"/>
            </w:tcMar>
            <w:vAlign w:val="center"/>
          </w:tcPr>
          <w:p w14:paraId="35A8B743"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c>
          <w:tcPr>
            <w:tcW w:w="932" w:type="dxa"/>
            <w:tcBorders>
              <w:top w:val="single" w:sz="6" w:space="0" w:color="auto"/>
              <w:left w:val="single" w:sz="6" w:space="0" w:color="auto"/>
              <w:bottom w:val="nil"/>
              <w:right w:val="single" w:sz="6" w:space="0" w:color="auto"/>
            </w:tcBorders>
            <w:tcMar>
              <w:left w:w="105" w:type="dxa"/>
              <w:right w:w="105" w:type="dxa"/>
            </w:tcMar>
            <w:vAlign w:val="center"/>
          </w:tcPr>
          <w:p w14:paraId="248B5A63" w14:textId="77777777" w:rsidR="00FA0CA8" w:rsidRPr="001357D3" w:rsidRDefault="00FA0CA8" w:rsidP="00FA0CA8">
            <w:pPr>
              <w:spacing w:before="0" w:after="0"/>
              <w:jc w:val="center"/>
              <w:rPr>
                <w:rFonts w:eastAsia="Times New Roman"/>
                <w:noProof/>
                <w:sz w:val="20"/>
                <w:szCs w:val="20"/>
              </w:rPr>
            </w:pPr>
            <w:r w:rsidRPr="001357D3">
              <w:rPr>
                <w:noProof/>
                <w:sz w:val="20"/>
              </w:rPr>
              <w:t>Rok</w:t>
            </w:r>
          </w:p>
        </w:tc>
      </w:tr>
      <w:tr w:rsidR="00D31917" w:rsidRPr="001357D3" w14:paraId="3D9FBE50" w14:textId="77777777">
        <w:trPr>
          <w:trHeight w:val="300"/>
        </w:trPr>
        <w:tc>
          <w:tcPr>
            <w:tcW w:w="2482" w:type="dxa"/>
            <w:gridSpan w:val="2"/>
            <w:vMerge/>
            <w:vAlign w:val="center"/>
          </w:tcPr>
          <w:p w14:paraId="443EC4FD" w14:textId="77777777" w:rsidR="00FA0CA8" w:rsidRPr="001357D3" w:rsidRDefault="00FA0CA8" w:rsidP="00FA0CA8">
            <w:pPr>
              <w:rPr>
                <w:noProof/>
              </w:rPr>
            </w:pPr>
          </w:p>
        </w:tc>
        <w:tc>
          <w:tcPr>
            <w:tcW w:w="941" w:type="dxa"/>
            <w:tcBorders>
              <w:top w:val="nil"/>
              <w:left w:val="nil"/>
              <w:bottom w:val="single" w:sz="6" w:space="0" w:color="auto"/>
              <w:right w:val="single" w:sz="6" w:space="0" w:color="auto"/>
            </w:tcBorders>
            <w:tcMar>
              <w:left w:w="105" w:type="dxa"/>
              <w:right w:w="105" w:type="dxa"/>
            </w:tcMar>
            <w:vAlign w:val="center"/>
          </w:tcPr>
          <w:p w14:paraId="3717FA86" w14:textId="77777777" w:rsidR="00FA0CA8" w:rsidRPr="001357D3" w:rsidRDefault="00FA0CA8" w:rsidP="00FA0CA8">
            <w:pPr>
              <w:spacing w:before="0" w:after="0"/>
              <w:jc w:val="center"/>
              <w:rPr>
                <w:rFonts w:eastAsia="Times New Roman"/>
                <w:noProof/>
                <w:sz w:val="20"/>
                <w:szCs w:val="20"/>
              </w:rPr>
            </w:pPr>
            <w:r w:rsidRPr="001357D3">
              <w:rPr>
                <w:b/>
                <w:noProof/>
                <w:sz w:val="20"/>
              </w:rPr>
              <w:t>2028</w:t>
            </w:r>
          </w:p>
        </w:tc>
        <w:tc>
          <w:tcPr>
            <w:tcW w:w="941" w:type="dxa"/>
            <w:tcBorders>
              <w:top w:val="nil"/>
              <w:left w:val="single" w:sz="6" w:space="0" w:color="auto"/>
              <w:bottom w:val="single" w:sz="6" w:space="0" w:color="auto"/>
              <w:right w:val="single" w:sz="6" w:space="0" w:color="auto"/>
            </w:tcBorders>
            <w:tcMar>
              <w:left w:w="105" w:type="dxa"/>
              <w:right w:w="105" w:type="dxa"/>
            </w:tcMar>
            <w:vAlign w:val="center"/>
          </w:tcPr>
          <w:p w14:paraId="2DF2ADA3" w14:textId="77777777" w:rsidR="00FA0CA8" w:rsidRPr="001357D3" w:rsidRDefault="00FA0CA8" w:rsidP="00FA0CA8">
            <w:pPr>
              <w:spacing w:before="0" w:after="0"/>
              <w:jc w:val="center"/>
              <w:rPr>
                <w:rFonts w:eastAsia="Times New Roman"/>
                <w:noProof/>
                <w:sz w:val="20"/>
                <w:szCs w:val="20"/>
              </w:rPr>
            </w:pPr>
            <w:r w:rsidRPr="001357D3">
              <w:rPr>
                <w:b/>
                <w:noProof/>
                <w:sz w:val="20"/>
              </w:rPr>
              <w:t>2029</w:t>
            </w:r>
          </w:p>
        </w:tc>
        <w:tc>
          <w:tcPr>
            <w:tcW w:w="941" w:type="dxa"/>
            <w:tcBorders>
              <w:top w:val="nil"/>
              <w:left w:val="single" w:sz="6" w:space="0" w:color="auto"/>
              <w:bottom w:val="single" w:sz="6" w:space="0" w:color="auto"/>
              <w:right w:val="single" w:sz="6" w:space="0" w:color="auto"/>
            </w:tcBorders>
            <w:tcMar>
              <w:left w:w="105" w:type="dxa"/>
              <w:right w:w="105" w:type="dxa"/>
            </w:tcMar>
            <w:vAlign w:val="center"/>
          </w:tcPr>
          <w:p w14:paraId="51FC2094" w14:textId="77777777" w:rsidR="00FA0CA8" w:rsidRPr="001357D3" w:rsidRDefault="00FA0CA8" w:rsidP="00FA0CA8">
            <w:pPr>
              <w:spacing w:before="0" w:after="0"/>
              <w:jc w:val="center"/>
              <w:rPr>
                <w:rFonts w:eastAsia="Times New Roman"/>
                <w:noProof/>
                <w:sz w:val="20"/>
                <w:szCs w:val="20"/>
              </w:rPr>
            </w:pPr>
            <w:r w:rsidRPr="001357D3">
              <w:rPr>
                <w:b/>
                <w:noProof/>
                <w:sz w:val="20"/>
              </w:rPr>
              <w:t>2030</w:t>
            </w:r>
          </w:p>
        </w:tc>
        <w:tc>
          <w:tcPr>
            <w:tcW w:w="941" w:type="dxa"/>
            <w:tcBorders>
              <w:top w:val="nil"/>
              <w:left w:val="single" w:sz="6" w:space="0" w:color="auto"/>
              <w:bottom w:val="single" w:sz="6" w:space="0" w:color="auto"/>
              <w:right w:val="single" w:sz="6" w:space="0" w:color="auto"/>
            </w:tcBorders>
            <w:tcMar>
              <w:left w:w="105" w:type="dxa"/>
              <w:right w:w="105" w:type="dxa"/>
            </w:tcMar>
            <w:vAlign w:val="center"/>
          </w:tcPr>
          <w:p w14:paraId="507AA9DA" w14:textId="77777777" w:rsidR="00FA0CA8" w:rsidRPr="001357D3" w:rsidRDefault="00FA0CA8" w:rsidP="00FA0CA8">
            <w:pPr>
              <w:spacing w:before="0" w:after="0"/>
              <w:jc w:val="center"/>
              <w:rPr>
                <w:rFonts w:eastAsia="Times New Roman"/>
                <w:noProof/>
                <w:sz w:val="20"/>
                <w:szCs w:val="20"/>
              </w:rPr>
            </w:pPr>
            <w:r w:rsidRPr="001357D3">
              <w:rPr>
                <w:b/>
                <w:noProof/>
                <w:sz w:val="20"/>
              </w:rPr>
              <w:t>2031</w:t>
            </w:r>
          </w:p>
        </w:tc>
        <w:tc>
          <w:tcPr>
            <w:tcW w:w="941" w:type="dxa"/>
            <w:tcBorders>
              <w:top w:val="nil"/>
              <w:left w:val="single" w:sz="6" w:space="0" w:color="auto"/>
              <w:bottom w:val="single" w:sz="6" w:space="0" w:color="auto"/>
              <w:right w:val="single" w:sz="6" w:space="0" w:color="auto"/>
            </w:tcBorders>
            <w:tcMar>
              <w:left w:w="105" w:type="dxa"/>
              <w:right w:w="105" w:type="dxa"/>
            </w:tcMar>
            <w:vAlign w:val="center"/>
          </w:tcPr>
          <w:p w14:paraId="0CD2F31B" w14:textId="77777777" w:rsidR="00FA0CA8" w:rsidRPr="001357D3" w:rsidRDefault="00FA0CA8" w:rsidP="00FA0CA8">
            <w:pPr>
              <w:spacing w:before="0" w:after="0"/>
              <w:jc w:val="center"/>
              <w:rPr>
                <w:rFonts w:eastAsia="Times New Roman"/>
                <w:noProof/>
                <w:sz w:val="20"/>
                <w:szCs w:val="20"/>
              </w:rPr>
            </w:pPr>
            <w:r w:rsidRPr="001357D3">
              <w:rPr>
                <w:b/>
                <w:noProof/>
                <w:sz w:val="20"/>
              </w:rPr>
              <w:t>2032</w:t>
            </w:r>
          </w:p>
        </w:tc>
        <w:tc>
          <w:tcPr>
            <w:tcW w:w="941" w:type="dxa"/>
            <w:tcBorders>
              <w:top w:val="nil"/>
              <w:left w:val="single" w:sz="6" w:space="0" w:color="auto"/>
              <w:bottom w:val="single" w:sz="6" w:space="0" w:color="auto"/>
              <w:right w:val="single" w:sz="6" w:space="0" w:color="auto"/>
            </w:tcBorders>
            <w:tcMar>
              <w:left w:w="105" w:type="dxa"/>
              <w:right w:w="105" w:type="dxa"/>
            </w:tcMar>
            <w:vAlign w:val="center"/>
          </w:tcPr>
          <w:p w14:paraId="13C4FD4C" w14:textId="77777777" w:rsidR="00FA0CA8" w:rsidRPr="001357D3" w:rsidRDefault="00FA0CA8" w:rsidP="00FA0CA8">
            <w:pPr>
              <w:spacing w:before="0" w:after="0"/>
              <w:jc w:val="center"/>
              <w:rPr>
                <w:rFonts w:eastAsia="Times New Roman"/>
                <w:noProof/>
                <w:sz w:val="20"/>
                <w:szCs w:val="20"/>
              </w:rPr>
            </w:pPr>
            <w:r w:rsidRPr="001357D3">
              <w:rPr>
                <w:b/>
                <w:noProof/>
                <w:sz w:val="20"/>
              </w:rPr>
              <w:t>2033</w:t>
            </w:r>
          </w:p>
        </w:tc>
        <w:tc>
          <w:tcPr>
            <w:tcW w:w="932" w:type="dxa"/>
            <w:tcBorders>
              <w:top w:val="nil"/>
              <w:left w:val="single" w:sz="6" w:space="0" w:color="auto"/>
              <w:bottom w:val="single" w:sz="6" w:space="0" w:color="auto"/>
              <w:right w:val="single" w:sz="6" w:space="0" w:color="auto"/>
            </w:tcBorders>
            <w:tcMar>
              <w:left w:w="105" w:type="dxa"/>
              <w:right w:w="105" w:type="dxa"/>
            </w:tcMar>
            <w:vAlign w:val="center"/>
          </w:tcPr>
          <w:p w14:paraId="0735FFB7" w14:textId="77777777" w:rsidR="00FA0CA8" w:rsidRPr="001357D3" w:rsidRDefault="00FA0CA8" w:rsidP="00FA0CA8">
            <w:pPr>
              <w:spacing w:before="0" w:after="0"/>
              <w:jc w:val="center"/>
              <w:rPr>
                <w:rFonts w:eastAsia="Times New Roman"/>
                <w:noProof/>
                <w:sz w:val="20"/>
                <w:szCs w:val="20"/>
              </w:rPr>
            </w:pPr>
            <w:r w:rsidRPr="001357D3">
              <w:rPr>
                <w:b/>
                <w:noProof/>
                <w:sz w:val="20"/>
              </w:rPr>
              <w:t>2034</w:t>
            </w:r>
          </w:p>
        </w:tc>
      </w:tr>
      <w:tr w:rsidR="00D31917" w:rsidRPr="001357D3" w14:paraId="33F0DB04" w14:textId="77777777">
        <w:trPr>
          <w:trHeight w:val="300"/>
        </w:trPr>
        <w:tc>
          <w:tcPr>
            <w:tcW w:w="9060" w:type="dxa"/>
            <w:gridSpan w:val="9"/>
            <w:tcBorders>
              <w:top w:val="single" w:sz="6" w:space="0" w:color="auto"/>
              <w:left w:val="single" w:sz="6" w:space="0" w:color="auto"/>
              <w:bottom w:val="nil"/>
              <w:right w:val="nil"/>
            </w:tcBorders>
            <w:tcMar>
              <w:left w:w="105" w:type="dxa"/>
              <w:right w:w="105" w:type="dxa"/>
            </w:tcMar>
            <w:vAlign w:val="center"/>
          </w:tcPr>
          <w:p w14:paraId="3454CAB2" w14:textId="31EAA32D" w:rsidR="00FA0CA8" w:rsidRPr="001357D3" w:rsidRDefault="00FA0CA8" w:rsidP="00FA0CA8">
            <w:pPr>
              <w:spacing w:before="0" w:after="0"/>
              <w:jc w:val="center"/>
              <w:rPr>
                <w:rFonts w:eastAsia="Times New Roman"/>
                <w:noProof/>
                <w:sz w:val="16"/>
                <w:szCs w:val="16"/>
              </w:rPr>
            </w:pPr>
            <w:r w:rsidRPr="001357D3">
              <w:rPr>
                <w:rFonts w:ascii="Wingdings" w:hAnsi="Wingdings"/>
                <w:b/>
                <w:noProof/>
                <w:sz w:val="16"/>
              </w:rPr>
              <w:t></w:t>
            </w:r>
            <w:r w:rsidRPr="001357D3">
              <w:rPr>
                <w:b/>
                <w:noProof/>
                <w:sz w:val="16"/>
              </w:rPr>
              <w:t xml:space="preserve"> Stanowiska przewidziane</w:t>
            </w:r>
            <w:r w:rsidR="001C6403" w:rsidRPr="001357D3">
              <w:rPr>
                <w:b/>
                <w:noProof/>
                <w:sz w:val="16"/>
              </w:rPr>
              <w:t xml:space="preserve"> w</w:t>
            </w:r>
            <w:r w:rsidR="001C6403">
              <w:rPr>
                <w:b/>
                <w:noProof/>
                <w:sz w:val="16"/>
              </w:rPr>
              <w:t> </w:t>
            </w:r>
            <w:r w:rsidR="001C6403" w:rsidRPr="001357D3">
              <w:rPr>
                <w:b/>
                <w:noProof/>
                <w:sz w:val="16"/>
              </w:rPr>
              <w:t>pla</w:t>
            </w:r>
            <w:r w:rsidRPr="001357D3">
              <w:rPr>
                <w:b/>
                <w:noProof/>
                <w:sz w:val="16"/>
              </w:rPr>
              <w:t>nie zatrudnienia (stanowiska urzędników</w:t>
            </w:r>
            <w:r w:rsidR="001C6403" w:rsidRPr="001357D3">
              <w:rPr>
                <w:b/>
                <w:noProof/>
                <w:sz w:val="16"/>
              </w:rPr>
              <w:t xml:space="preserve"> i</w:t>
            </w:r>
            <w:r w:rsidR="001C6403">
              <w:rPr>
                <w:b/>
                <w:noProof/>
                <w:sz w:val="16"/>
              </w:rPr>
              <w:t> </w:t>
            </w:r>
            <w:r w:rsidR="001C6403" w:rsidRPr="001357D3">
              <w:rPr>
                <w:b/>
                <w:noProof/>
                <w:sz w:val="16"/>
              </w:rPr>
              <w:t>pra</w:t>
            </w:r>
            <w:r w:rsidRPr="001357D3">
              <w:rPr>
                <w:b/>
                <w:noProof/>
                <w:sz w:val="16"/>
              </w:rPr>
              <w:t>cowników zatrudnionych na czas określony)</w:t>
            </w:r>
          </w:p>
        </w:tc>
      </w:tr>
      <w:tr w:rsidR="00D31917" w:rsidRPr="001357D3" w14:paraId="1BFDD760" w14:textId="77777777">
        <w:trPr>
          <w:trHeight w:val="300"/>
        </w:trPr>
        <w:tc>
          <w:tcPr>
            <w:tcW w:w="2482" w:type="dxa"/>
            <w:gridSpan w:val="2"/>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center"/>
          </w:tcPr>
          <w:p w14:paraId="3A0F05D1" w14:textId="383A67B9" w:rsidR="00FA0CA8" w:rsidRPr="001357D3" w:rsidRDefault="00FA0CA8" w:rsidP="00FA0CA8">
            <w:pPr>
              <w:spacing w:before="0" w:after="0"/>
              <w:ind w:firstLineChars="100" w:firstLine="240"/>
              <w:jc w:val="left"/>
              <w:rPr>
                <w:rFonts w:eastAsia="Times New Roman"/>
                <w:noProof/>
                <w:sz w:val="16"/>
                <w:szCs w:val="16"/>
              </w:rPr>
            </w:pPr>
            <w:r w:rsidRPr="001357D3">
              <w:rPr>
                <w:noProof/>
              </w:rPr>
              <w:t>20 01 02 01 (w centrali</w:t>
            </w:r>
            <w:r w:rsidR="001C6403" w:rsidRPr="001357D3">
              <w:rPr>
                <w:noProof/>
              </w:rPr>
              <w:t xml:space="preserve"> i</w:t>
            </w:r>
            <w:r w:rsidR="001C6403">
              <w:rPr>
                <w:noProof/>
              </w:rPr>
              <w:t> </w:t>
            </w:r>
            <w:r w:rsidR="001C6403" w:rsidRPr="001357D3">
              <w:rPr>
                <w:noProof/>
              </w:rPr>
              <w:t>w</w:t>
            </w:r>
            <w:r w:rsidR="001C6403">
              <w:rPr>
                <w:noProof/>
              </w:rPr>
              <w:t> </w:t>
            </w:r>
            <w:r w:rsidR="001C6403" w:rsidRPr="001357D3">
              <w:rPr>
                <w:noProof/>
              </w:rPr>
              <w:t>biu</w:t>
            </w:r>
            <w:r w:rsidRPr="001357D3">
              <w:rPr>
                <w:noProof/>
              </w:rPr>
              <w:t>rach przedstawicielstw Komisji)</w:t>
            </w:r>
          </w:p>
        </w:tc>
        <w:tc>
          <w:tcPr>
            <w:tcW w:w="941" w:type="dxa"/>
            <w:tcBorders>
              <w:top w:val="nil"/>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6D5EE2D6" w14:textId="77777777" w:rsidR="00FA0CA8" w:rsidRPr="001357D3" w:rsidRDefault="00FA0CA8" w:rsidP="00FA0CA8">
            <w:pPr>
              <w:spacing w:before="0" w:after="0"/>
              <w:jc w:val="center"/>
              <w:rPr>
                <w:rFonts w:eastAsia="Times New Roman"/>
                <w:noProof/>
                <w:sz w:val="16"/>
                <w:szCs w:val="16"/>
              </w:rPr>
            </w:pPr>
            <w:r w:rsidRPr="001357D3">
              <w:rPr>
                <w:noProof/>
                <w:sz w:val="16"/>
              </w:rPr>
              <w:t>45</w:t>
            </w:r>
          </w:p>
        </w:tc>
        <w:tc>
          <w:tcPr>
            <w:tcW w:w="941"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C31299F" w14:textId="0063C359" w:rsidR="00FA0CA8" w:rsidRPr="001357D3" w:rsidRDefault="00FA0CA8" w:rsidP="00FA0CA8">
            <w:pPr>
              <w:spacing w:before="0" w:after="0"/>
              <w:jc w:val="center"/>
              <w:rPr>
                <w:rFonts w:eastAsia="Times New Roman"/>
                <w:noProof/>
                <w:sz w:val="16"/>
                <w:szCs w:val="16"/>
              </w:rPr>
            </w:pPr>
            <w:r w:rsidRPr="001357D3">
              <w:rPr>
                <w:noProof/>
                <w:sz w:val="16"/>
              </w:rPr>
              <w:t xml:space="preserve">45 </w:t>
            </w:r>
          </w:p>
        </w:tc>
        <w:tc>
          <w:tcPr>
            <w:tcW w:w="941"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5169899"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3EE8E559" w14:textId="77777777" w:rsidR="00FA0CA8" w:rsidRPr="001357D3" w:rsidRDefault="00FA0CA8" w:rsidP="00FA0CA8">
            <w:pPr>
              <w:spacing w:before="0" w:after="0"/>
              <w:jc w:val="center"/>
              <w:rPr>
                <w:rFonts w:eastAsia="Times New Roman"/>
                <w:noProof/>
                <w:sz w:val="16"/>
                <w:szCs w:val="16"/>
              </w:rPr>
            </w:pPr>
          </w:p>
        </w:tc>
        <w:tc>
          <w:tcPr>
            <w:tcW w:w="941"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7B350EA"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0533E2B9" w14:textId="77777777" w:rsidR="00FA0CA8" w:rsidRPr="001357D3" w:rsidRDefault="00FA0CA8" w:rsidP="00FA0CA8">
            <w:pPr>
              <w:spacing w:before="0" w:after="0"/>
              <w:jc w:val="center"/>
              <w:rPr>
                <w:rFonts w:eastAsia="Times New Roman"/>
                <w:noProof/>
                <w:sz w:val="16"/>
                <w:szCs w:val="16"/>
              </w:rPr>
            </w:pPr>
          </w:p>
        </w:tc>
        <w:tc>
          <w:tcPr>
            <w:tcW w:w="941"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28D9226"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7C2C8575" w14:textId="77777777" w:rsidR="00FA0CA8" w:rsidRPr="001357D3" w:rsidRDefault="00FA0CA8" w:rsidP="00FA0CA8">
            <w:pPr>
              <w:spacing w:before="0" w:after="0"/>
              <w:jc w:val="center"/>
              <w:rPr>
                <w:rFonts w:eastAsia="Times New Roman"/>
                <w:noProof/>
                <w:sz w:val="16"/>
                <w:szCs w:val="16"/>
              </w:rPr>
            </w:pPr>
          </w:p>
        </w:tc>
        <w:tc>
          <w:tcPr>
            <w:tcW w:w="941"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308C88C"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13028432" w14:textId="77777777" w:rsidR="00FA0CA8" w:rsidRPr="001357D3" w:rsidRDefault="00FA0CA8" w:rsidP="00FA0CA8">
            <w:pPr>
              <w:spacing w:before="0" w:after="0"/>
              <w:jc w:val="center"/>
              <w:rPr>
                <w:rFonts w:eastAsia="Times New Roman"/>
                <w:noProof/>
                <w:sz w:val="16"/>
                <w:szCs w:val="16"/>
              </w:rPr>
            </w:pPr>
          </w:p>
        </w:tc>
        <w:tc>
          <w:tcPr>
            <w:tcW w:w="932" w:type="dxa"/>
            <w:tcBorders>
              <w:top w:val="nil"/>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29623C4"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34E6F97C" w14:textId="77777777" w:rsidR="00FA0CA8" w:rsidRPr="001357D3" w:rsidRDefault="00FA0CA8" w:rsidP="00FA0CA8">
            <w:pPr>
              <w:spacing w:before="0" w:after="0"/>
              <w:jc w:val="center"/>
              <w:rPr>
                <w:rFonts w:eastAsia="Times New Roman"/>
                <w:noProof/>
                <w:sz w:val="16"/>
                <w:szCs w:val="16"/>
              </w:rPr>
            </w:pPr>
          </w:p>
        </w:tc>
      </w:tr>
      <w:tr w:rsidR="00D31917" w:rsidRPr="001357D3" w14:paraId="6A2D7F6E"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43C42BB"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20 01 02 03 (w delegaturach UE)</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46D8FD5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D7CB55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444F12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E3D09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5C5000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19ECC9B"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41C3BC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65A2C087"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E7E85C3"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01 01 01 01</w:t>
            </w:r>
            <w:r w:rsidRPr="001357D3">
              <w:rPr>
                <w:noProof/>
              </w:rPr>
              <w:t xml:space="preserve"> </w:t>
            </w:r>
            <w:r w:rsidRPr="001357D3">
              <w:rPr>
                <w:noProof/>
                <w:sz w:val="16"/>
              </w:rPr>
              <w:t>(pośrednie badania naukowe)</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06DE6BC6"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DD94DF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491D28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9475DC9"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E5DDC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A7B165C"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1577D4"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2B71C3EC"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FC0E3F2"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01 01 01 11 (bezpośrednie badania naukowe)</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15F579C8"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4DB059"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072ECC6"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3F2226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1D8A6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54515C"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8C2277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7EA15738"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6760296"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Inna linia budżetowa (określić)</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384E03C4"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3F356CA"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553C0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5ECBEAB"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65B961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298CBE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AD2A8C4"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0F180D19" w14:textId="77777777" w:rsidTr="00FA0CA8">
        <w:trPr>
          <w:trHeight w:val="300"/>
        </w:trPr>
        <w:tc>
          <w:tcPr>
            <w:tcW w:w="9060" w:type="dxa"/>
            <w:gridSpan w:val="9"/>
            <w:tcBorders>
              <w:top w:val="single" w:sz="6" w:space="0" w:color="auto"/>
              <w:left w:val="single" w:sz="6" w:space="0" w:color="auto"/>
              <w:bottom w:val="single" w:sz="4" w:space="0" w:color="auto"/>
              <w:right w:val="nil"/>
            </w:tcBorders>
            <w:tcMar>
              <w:left w:w="105" w:type="dxa"/>
              <w:right w:w="105" w:type="dxa"/>
            </w:tcMar>
            <w:vAlign w:val="center"/>
          </w:tcPr>
          <w:p w14:paraId="0E9BEE77" w14:textId="21AB31ED" w:rsidR="00FA0CA8" w:rsidRPr="001357D3" w:rsidRDefault="00FA0CA8" w:rsidP="00FA0CA8">
            <w:pPr>
              <w:spacing w:before="0" w:after="0"/>
              <w:jc w:val="center"/>
              <w:rPr>
                <w:rFonts w:eastAsia="Times New Roman"/>
                <w:noProof/>
                <w:sz w:val="16"/>
                <w:szCs w:val="16"/>
              </w:rPr>
            </w:pPr>
            <w:r w:rsidRPr="001357D3">
              <w:rPr>
                <w:rFonts w:ascii="Calibri" w:hAnsi="Calibri"/>
                <w:b/>
                <w:noProof/>
                <w:sz w:val="16"/>
              </w:rPr>
              <w:t>•</w:t>
            </w:r>
            <w:r w:rsidRPr="001357D3">
              <w:rPr>
                <w:b/>
                <w:noProof/>
                <w:sz w:val="16"/>
              </w:rPr>
              <w:t xml:space="preserve"> Personel zewnętrzny (w EPC)</w:t>
            </w:r>
          </w:p>
        </w:tc>
      </w:tr>
      <w:tr w:rsidR="00D31917" w:rsidRPr="001357D3" w14:paraId="77718655" w14:textId="77777777" w:rsidTr="00FA0CA8">
        <w:trPr>
          <w:trHeight w:val="300"/>
        </w:trPr>
        <w:tc>
          <w:tcPr>
            <w:tcW w:w="2482" w:type="dxa"/>
            <w:gridSpan w:val="2"/>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8BB1E99" w14:textId="3CD986F6"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20 02 01</w:t>
            </w:r>
            <w:r w:rsidRPr="001357D3">
              <w:rPr>
                <w:rFonts w:ascii="Arial Narrow" w:hAnsi="Arial Narrow"/>
                <w:noProof/>
                <w:sz w:val="20"/>
              </w:rPr>
              <w:t xml:space="preserve"> </w:t>
            </w:r>
            <w:r w:rsidRPr="001357D3">
              <w:rPr>
                <w:noProof/>
                <w:sz w:val="16"/>
              </w:rPr>
              <w:t>(CA, SNE</w:t>
            </w:r>
            <w:r w:rsidR="001C6403" w:rsidRPr="001357D3">
              <w:rPr>
                <w:noProof/>
                <w:sz w:val="16"/>
              </w:rPr>
              <w:t xml:space="preserve"> z</w:t>
            </w:r>
            <w:r w:rsidR="001C6403">
              <w:rPr>
                <w:noProof/>
                <w:sz w:val="16"/>
              </w:rPr>
              <w:t> </w:t>
            </w:r>
            <w:r w:rsidR="001C6403" w:rsidRPr="001357D3">
              <w:rPr>
                <w:noProof/>
                <w:sz w:val="16"/>
              </w:rPr>
              <w:t>glo</w:t>
            </w:r>
            <w:r w:rsidRPr="001357D3">
              <w:rPr>
                <w:noProof/>
                <w:sz w:val="16"/>
              </w:rPr>
              <w:t>balnej koperty finansowej)</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D9194FF"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50DC411"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3C279A51"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657DC9B"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3B71595"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1C39E7E"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68A40570" w14:textId="77777777" w:rsidR="00FA0CA8" w:rsidRPr="001357D3" w:rsidRDefault="00FA0CA8" w:rsidP="00FA0CA8">
            <w:pPr>
              <w:spacing w:before="0" w:after="0"/>
              <w:jc w:val="center"/>
              <w:rPr>
                <w:rFonts w:eastAsia="Times New Roman"/>
                <w:noProof/>
                <w:sz w:val="16"/>
                <w:szCs w:val="16"/>
              </w:rPr>
            </w:pPr>
            <w:r w:rsidRPr="001357D3">
              <w:rPr>
                <w:noProof/>
                <w:sz w:val="16"/>
              </w:rPr>
              <w:t>10</w:t>
            </w:r>
          </w:p>
        </w:tc>
      </w:tr>
      <w:tr w:rsidR="00D31917" w:rsidRPr="001357D3" w14:paraId="7BBA0DEB" w14:textId="77777777" w:rsidTr="00FA0CA8">
        <w:trPr>
          <w:trHeight w:val="300"/>
        </w:trPr>
        <w:tc>
          <w:tcPr>
            <w:tcW w:w="2482" w:type="dxa"/>
            <w:gridSpan w:val="2"/>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93B5341" w14:textId="69DA15D4"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20 02 03 (CA, LA, SNE i JPD</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egaturach UE)</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3F5BF8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15C07801"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13C8846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E8CF6B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0E13E91"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6C2A1F1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6F763B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76A40429" w14:textId="77777777" w:rsidTr="007642C9">
        <w:trPr>
          <w:trHeight w:val="540"/>
        </w:trPr>
        <w:tc>
          <w:tcPr>
            <w:tcW w:w="1241" w:type="dxa"/>
            <w:vMerge w:val="restart"/>
            <w:tcBorders>
              <w:top w:val="single" w:sz="4" w:space="0" w:color="auto"/>
              <w:left w:val="single" w:sz="4" w:space="0" w:color="auto"/>
              <w:right w:val="single" w:sz="4" w:space="0" w:color="auto"/>
            </w:tcBorders>
            <w:tcMar>
              <w:left w:w="105" w:type="dxa"/>
              <w:right w:w="105" w:type="dxa"/>
            </w:tcMar>
            <w:vAlign w:val="center"/>
          </w:tcPr>
          <w:p w14:paraId="3293668F" w14:textId="77777777" w:rsidR="007642C9" w:rsidRPr="001357D3" w:rsidRDefault="007642C9" w:rsidP="00FA0CA8">
            <w:pPr>
              <w:spacing w:before="0" w:after="0"/>
              <w:jc w:val="center"/>
              <w:rPr>
                <w:rFonts w:eastAsia="Times New Roman"/>
                <w:noProof/>
                <w:sz w:val="16"/>
                <w:szCs w:val="16"/>
              </w:rPr>
            </w:pPr>
            <w:r w:rsidRPr="001357D3">
              <w:rPr>
                <w:noProof/>
                <w:sz w:val="16"/>
              </w:rPr>
              <w:t>Linia budżetowa na wsparcie adm.</w:t>
            </w:r>
          </w:p>
          <w:p w14:paraId="30C0DDE5" w14:textId="77777777" w:rsidR="007642C9" w:rsidRPr="001357D3" w:rsidRDefault="007642C9" w:rsidP="00FA0CA8">
            <w:pPr>
              <w:spacing w:before="0" w:after="0"/>
              <w:jc w:val="center"/>
              <w:rPr>
                <w:rFonts w:eastAsia="Times New Roman"/>
                <w:noProof/>
                <w:sz w:val="16"/>
                <w:szCs w:val="16"/>
              </w:rPr>
            </w:pPr>
          </w:p>
          <w:p w14:paraId="0A97B373" w14:textId="77777777" w:rsidR="007642C9" w:rsidRPr="001357D3" w:rsidRDefault="007642C9" w:rsidP="00FA0CA8">
            <w:pPr>
              <w:spacing w:before="0" w:after="0"/>
              <w:jc w:val="center"/>
              <w:rPr>
                <w:rStyle w:val="cf01"/>
                <w:rFonts w:ascii="Times New Roman" w:hAnsi="Times New Roman" w:cs="Times New Roman"/>
                <w:noProof/>
                <w:sz w:val="16"/>
                <w:szCs w:val="16"/>
              </w:rPr>
            </w:pPr>
            <w:r w:rsidRPr="001357D3">
              <w:rPr>
                <w:rStyle w:val="cf01"/>
                <w:rFonts w:ascii="Times New Roman" w:hAnsi="Times New Roman"/>
                <w:noProof/>
                <w:sz w:val="16"/>
              </w:rPr>
              <w:t>06 01 04</w:t>
            </w:r>
          </w:p>
          <w:p w14:paraId="2BB4DC6B" w14:textId="5BD24F45" w:rsidR="007642C9" w:rsidRPr="001357D3" w:rsidRDefault="007642C9" w:rsidP="00FA0CA8">
            <w:pPr>
              <w:spacing w:before="0" w:after="0"/>
              <w:jc w:val="center"/>
              <w:rPr>
                <w:rFonts w:eastAsia="Times New Roman"/>
                <w:noProof/>
                <w:sz w:val="16"/>
                <w:szCs w:val="16"/>
              </w:rPr>
            </w:pPr>
          </w:p>
        </w:tc>
        <w:tc>
          <w:tcPr>
            <w:tcW w:w="124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478CC03" w14:textId="55A9F7EA" w:rsidR="007642C9" w:rsidRPr="001357D3" w:rsidRDefault="007642C9" w:rsidP="00FA0CA8">
            <w:pPr>
              <w:spacing w:before="0" w:after="0"/>
              <w:ind w:firstLineChars="100" w:firstLine="160"/>
              <w:jc w:val="left"/>
              <w:rPr>
                <w:rFonts w:eastAsia="Times New Roman"/>
                <w:noProof/>
                <w:sz w:val="16"/>
                <w:szCs w:val="16"/>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cen</w:t>
            </w:r>
            <w:r w:rsidRPr="001357D3">
              <w:rPr>
                <w:noProof/>
                <w:sz w:val="16"/>
              </w:rPr>
              <w:t>trali</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39377272" w14:textId="0E49D499"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1F2E53B6" w14:textId="416DABF4"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F4E2DDB" w14:textId="276A8498"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5420201" w14:textId="3C6D75D0"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05392DD" w14:textId="4E4D880D"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31361276" w14:textId="0F692C3F" w:rsidR="007642C9" w:rsidRPr="001357D3" w:rsidRDefault="007642C9" w:rsidP="00FA0CA8">
            <w:pPr>
              <w:spacing w:before="0" w:after="0"/>
              <w:jc w:val="center"/>
              <w:rPr>
                <w:rFonts w:eastAsia="Times New Roman"/>
                <w:noProof/>
                <w:sz w:val="16"/>
                <w:szCs w:val="16"/>
              </w:rPr>
            </w:pPr>
            <w:r w:rsidRPr="001357D3">
              <w:rPr>
                <w:noProof/>
                <w:sz w:val="16"/>
              </w:rPr>
              <w:t>5</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26EFB1C" w14:textId="50D33857" w:rsidR="007642C9" w:rsidRPr="001357D3" w:rsidRDefault="007642C9" w:rsidP="00FA0CA8">
            <w:pPr>
              <w:spacing w:before="0" w:after="0"/>
              <w:jc w:val="center"/>
              <w:rPr>
                <w:rFonts w:eastAsia="Times New Roman"/>
                <w:noProof/>
                <w:sz w:val="16"/>
                <w:szCs w:val="16"/>
              </w:rPr>
            </w:pPr>
            <w:r w:rsidRPr="001357D3">
              <w:rPr>
                <w:noProof/>
                <w:sz w:val="16"/>
              </w:rPr>
              <w:t>5</w:t>
            </w:r>
          </w:p>
        </w:tc>
      </w:tr>
      <w:tr w:rsidR="00D31917" w:rsidRPr="001357D3" w14:paraId="1D7C255C" w14:textId="77777777">
        <w:trPr>
          <w:trHeight w:val="300"/>
        </w:trPr>
        <w:tc>
          <w:tcPr>
            <w:tcW w:w="1241" w:type="dxa"/>
            <w:vMerge/>
            <w:tcBorders>
              <w:left w:val="single" w:sz="4" w:space="0" w:color="auto"/>
              <w:bottom w:val="single" w:sz="4" w:space="0" w:color="auto"/>
              <w:right w:val="single" w:sz="4" w:space="0" w:color="auto"/>
            </w:tcBorders>
            <w:tcMar>
              <w:left w:w="105" w:type="dxa"/>
              <w:right w:w="105" w:type="dxa"/>
            </w:tcMar>
            <w:vAlign w:val="center"/>
          </w:tcPr>
          <w:p w14:paraId="0D40926F" w14:textId="069238A3" w:rsidR="007642C9" w:rsidRPr="001357D3" w:rsidRDefault="007642C9" w:rsidP="00FA0CA8">
            <w:pPr>
              <w:spacing w:before="0" w:after="0"/>
              <w:jc w:val="center"/>
              <w:rPr>
                <w:rFonts w:eastAsia="Times New Roman"/>
                <w:noProof/>
                <w:sz w:val="16"/>
                <w:szCs w:val="16"/>
              </w:rPr>
            </w:pPr>
          </w:p>
        </w:tc>
        <w:tc>
          <w:tcPr>
            <w:tcW w:w="124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13E6859" w14:textId="3B6F0538" w:rsidR="007642C9" w:rsidRPr="001357D3" w:rsidRDefault="007642C9" w:rsidP="00FA0CA8">
            <w:pPr>
              <w:spacing w:before="0" w:after="0"/>
              <w:ind w:firstLineChars="100" w:firstLine="160"/>
              <w:jc w:val="left"/>
              <w:rPr>
                <w:rFonts w:eastAsia="Times New Roman"/>
                <w:noProof/>
                <w:sz w:val="16"/>
                <w:szCs w:val="16"/>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 xml:space="preserve">egaturach UE </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235BE67"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72D6455D"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1300530"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A43B46A"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26D2645"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061DDC9"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586551D" w14:textId="77777777" w:rsidR="007642C9" w:rsidRPr="001357D3" w:rsidRDefault="007642C9" w:rsidP="00FA0CA8">
            <w:pPr>
              <w:spacing w:before="0" w:after="0"/>
              <w:jc w:val="center"/>
              <w:rPr>
                <w:rFonts w:eastAsia="Times New Roman"/>
                <w:noProof/>
                <w:sz w:val="16"/>
                <w:szCs w:val="16"/>
              </w:rPr>
            </w:pPr>
            <w:r w:rsidRPr="001357D3">
              <w:rPr>
                <w:noProof/>
                <w:sz w:val="16"/>
              </w:rPr>
              <w:t>0</w:t>
            </w:r>
          </w:p>
        </w:tc>
      </w:tr>
      <w:tr w:rsidR="00D31917" w:rsidRPr="001357D3" w14:paraId="20FD1D22" w14:textId="77777777" w:rsidTr="00FA0CA8">
        <w:trPr>
          <w:trHeight w:val="300"/>
        </w:trPr>
        <w:tc>
          <w:tcPr>
            <w:tcW w:w="2482" w:type="dxa"/>
            <w:gridSpan w:val="2"/>
            <w:tcBorders>
              <w:top w:val="single" w:sz="4" w:space="0" w:color="auto"/>
              <w:left w:val="single" w:sz="6" w:space="0" w:color="auto"/>
              <w:bottom w:val="single" w:sz="6" w:space="0" w:color="auto"/>
              <w:right w:val="single" w:sz="6" w:space="0" w:color="000000" w:themeColor="text1"/>
            </w:tcBorders>
            <w:tcMar>
              <w:left w:w="105" w:type="dxa"/>
              <w:right w:w="105" w:type="dxa"/>
            </w:tcMar>
            <w:vAlign w:val="center"/>
          </w:tcPr>
          <w:p w14:paraId="3EB1FC82"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01 01 01 02</w:t>
            </w:r>
            <w:r w:rsidRPr="001357D3">
              <w:rPr>
                <w:rFonts w:ascii="Arial Narrow" w:hAnsi="Arial Narrow"/>
                <w:noProof/>
                <w:sz w:val="20"/>
              </w:rPr>
              <w:t xml:space="preserve"> </w:t>
            </w:r>
            <w:r w:rsidRPr="001357D3">
              <w:rPr>
                <w:noProof/>
                <w:sz w:val="16"/>
              </w:rPr>
              <w:t>(CA, SNE – pośrednie badania naukowe)</w:t>
            </w:r>
          </w:p>
        </w:tc>
        <w:tc>
          <w:tcPr>
            <w:tcW w:w="941" w:type="dxa"/>
            <w:tcBorders>
              <w:top w:val="single" w:sz="4"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4D30E90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67CD2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135A8A1"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2931E6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0311D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D0419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970370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3687F2B9"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9535D4C" w14:textId="5DB487E3"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lastRenderedPageBreak/>
              <w:t>01 01 01 12 (CA, SNE – bezpośrednie badania naukowe)</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7E2EEC1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2368F8"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E7EEAC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02AC3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95897B"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6C802C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22091D9"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01C1A3C0"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877623A"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Inna linia budżetowa (określić) – dział 7</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37000C5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7E5FAB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CD0E0A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44839A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1D83EE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FF18366"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F4AC05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2CBAC4DD" w14:textId="77777777">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CB39D91"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Inna linia budżetowa (określić) – poza działem 7</w:t>
            </w:r>
          </w:p>
        </w:tc>
        <w:tc>
          <w:tcPr>
            <w:tcW w:w="941"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vAlign w:val="center"/>
          </w:tcPr>
          <w:p w14:paraId="11B0B2F3" w14:textId="52253812"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2CDD4A4" w14:textId="78E4FBE7"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D63728A" w14:textId="03A0C64E"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2E059B" w14:textId="49E45BB4"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F99CD52" w14:textId="589ED92A"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A669D9A" w14:textId="60FDF2C1" w:rsidR="00FA0CA8" w:rsidRPr="001357D3" w:rsidRDefault="00DE357E"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DB8FC7B" w14:textId="0956AF6E" w:rsidR="00FA0CA8" w:rsidRPr="001357D3" w:rsidRDefault="00DE357E" w:rsidP="00FA0CA8">
            <w:pPr>
              <w:spacing w:before="0" w:after="0"/>
              <w:jc w:val="center"/>
              <w:rPr>
                <w:rFonts w:eastAsia="Times New Roman"/>
                <w:noProof/>
                <w:sz w:val="16"/>
                <w:szCs w:val="16"/>
              </w:rPr>
            </w:pPr>
            <w:r w:rsidRPr="001357D3">
              <w:rPr>
                <w:noProof/>
                <w:sz w:val="16"/>
              </w:rPr>
              <w:t>0</w:t>
            </w:r>
          </w:p>
        </w:tc>
      </w:tr>
      <w:tr w:rsidR="00D31917" w:rsidRPr="001357D3" w14:paraId="1699697C"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41F2562" w14:textId="77777777" w:rsidR="00FA0CA8" w:rsidRPr="001357D3" w:rsidRDefault="00FA0CA8" w:rsidP="00FA0CA8">
            <w:pPr>
              <w:spacing w:before="0" w:after="0"/>
              <w:ind w:firstLineChars="100" w:firstLine="161"/>
              <w:jc w:val="left"/>
              <w:rPr>
                <w:rFonts w:eastAsia="Times New Roman"/>
                <w:noProof/>
                <w:sz w:val="16"/>
                <w:szCs w:val="16"/>
              </w:rPr>
            </w:pPr>
            <w:r w:rsidRPr="001357D3">
              <w:rPr>
                <w:b/>
                <w:noProof/>
                <w:sz w:val="16"/>
              </w:rPr>
              <w:t>OGÓŁEM</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09E9E4F1" w14:textId="77777777" w:rsidR="00FA0CA8" w:rsidRPr="001357D3" w:rsidRDefault="00FA0CA8" w:rsidP="00FA0CA8">
            <w:pPr>
              <w:spacing w:before="0" w:after="0"/>
              <w:jc w:val="center"/>
              <w:rPr>
                <w:rFonts w:eastAsia="Times New Roman"/>
                <w:noProof/>
                <w:sz w:val="16"/>
                <w:szCs w:val="16"/>
                <w:highlight w:val="yellow"/>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0097D6"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DE5FA"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FC7DC3"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7188CB"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999D3F"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2815B" w14:textId="77777777" w:rsidR="00FA0CA8" w:rsidRPr="001357D3" w:rsidRDefault="00FA0CA8" w:rsidP="00FA0CA8">
            <w:pPr>
              <w:spacing w:before="0" w:after="0"/>
              <w:jc w:val="center"/>
              <w:rPr>
                <w:noProof/>
              </w:rPr>
            </w:pPr>
            <w:r w:rsidRPr="001357D3">
              <w:rPr>
                <w:b/>
                <w:noProof/>
                <w:sz w:val="16"/>
              </w:rPr>
              <w:t>60</w:t>
            </w:r>
            <w:r w:rsidRPr="001357D3">
              <w:rPr>
                <w:noProof/>
              </w:rPr>
              <w:t xml:space="preserve"> </w:t>
            </w:r>
          </w:p>
        </w:tc>
      </w:tr>
      <w:tr w:rsidR="00D31917" w:rsidRPr="001357D3" w14:paraId="75175A14" w14:textId="77777777" w:rsidTr="0001547D">
        <w:trPr>
          <w:trHeight w:val="300"/>
        </w:trPr>
        <w:tc>
          <w:tcPr>
            <w:tcW w:w="1241"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6708368" w14:textId="714342CF" w:rsidR="00FA0CA8" w:rsidRPr="001357D3" w:rsidRDefault="00DE357E" w:rsidP="00FA0CA8">
            <w:pPr>
              <w:spacing w:before="0" w:after="0"/>
              <w:jc w:val="center"/>
              <w:rPr>
                <w:rFonts w:eastAsia="Times New Roman"/>
                <w:noProof/>
                <w:sz w:val="16"/>
                <w:szCs w:val="16"/>
              </w:rPr>
            </w:pPr>
            <w:r w:rsidRPr="001357D3">
              <w:rPr>
                <w:noProof/>
                <w:sz w:val="16"/>
              </w:rPr>
              <w:t>06 01 04</w:t>
            </w:r>
          </w:p>
        </w:tc>
        <w:tc>
          <w:tcPr>
            <w:tcW w:w="1241" w:type="dxa"/>
            <w:tcBorders>
              <w:top w:val="nil"/>
              <w:left w:val="single" w:sz="6" w:space="0" w:color="auto"/>
              <w:bottom w:val="single" w:sz="6" w:space="0" w:color="auto"/>
              <w:right w:val="single" w:sz="6" w:space="0" w:color="000000" w:themeColor="text1"/>
            </w:tcBorders>
            <w:tcMar>
              <w:left w:w="105" w:type="dxa"/>
              <w:right w:w="105" w:type="dxa"/>
            </w:tcMar>
            <w:vAlign w:val="center"/>
          </w:tcPr>
          <w:p w14:paraId="756DD996" w14:textId="1FBACCF1"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 xml:space="preserve">egaturach UE </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14129"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D8A7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672AB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DE7CA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017A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77985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159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6702F7F9"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BE79B84"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01 01 01 02</w:t>
            </w:r>
            <w:r w:rsidRPr="001357D3">
              <w:rPr>
                <w:rFonts w:ascii="Arial Narrow" w:hAnsi="Arial Narrow"/>
                <w:noProof/>
                <w:sz w:val="20"/>
              </w:rPr>
              <w:t xml:space="preserve"> </w:t>
            </w:r>
            <w:r w:rsidRPr="001357D3">
              <w:rPr>
                <w:noProof/>
                <w:sz w:val="16"/>
              </w:rPr>
              <w:t>(CA, SNE – pośrednie badania naukowe)</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1F45E04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BB09D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67B5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59AF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67C40"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97586"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EE5A1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585006AD"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7F00091" w14:textId="3E7D6F6E"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01 01 01 12 (CA, SNE – bezpośrednie badania naukowe)</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4D52B73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B41E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2BDFA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F23F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848E75"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9E768"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0F76D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6A98D696"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11D077F"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Inna linia budżetowa (określić) – dział 7</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21B55527"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06D9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CA25EE"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E0C01"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F559B"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4413F1"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DEF7A"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6E937FBA"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46D2C56" w14:textId="77777777" w:rsidR="00FA0CA8" w:rsidRPr="001357D3" w:rsidRDefault="00FA0CA8" w:rsidP="00FA0CA8">
            <w:pPr>
              <w:spacing w:before="0" w:after="0"/>
              <w:ind w:firstLineChars="100" w:firstLine="160"/>
              <w:jc w:val="left"/>
              <w:rPr>
                <w:rFonts w:eastAsia="Times New Roman"/>
                <w:noProof/>
                <w:sz w:val="16"/>
                <w:szCs w:val="16"/>
              </w:rPr>
            </w:pPr>
            <w:r w:rsidRPr="001357D3">
              <w:rPr>
                <w:noProof/>
                <w:sz w:val="16"/>
              </w:rPr>
              <w:t>Inna linia budżetowa (określić) – poza działem 7</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6B4A8BAC"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DD3AAD"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20B59F"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46623"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2F0A3B"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A85824"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A4DB2" w14:textId="77777777" w:rsidR="00FA0CA8" w:rsidRPr="001357D3" w:rsidRDefault="00FA0CA8" w:rsidP="00FA0CA8">
            <w:pPr>
              <w:spacing w:before="0" w:after="0"/>
              <w:jc w:val="center"/>
              <w:rPr>
                <w:rFonts w:eastAsia="Times New Roman"/>
                <w:noProof/>
                <w:sz w:val="16"/>
                <w:szCs w:val="16"/>
              </w:rPr>
            </w:pPr>
            <w:r w:rsidRPr="001357D3">
              <w:rPr>
                <w:noProof/>
                <w:sz w:val="16"/>
              </w:rPr>
              <w:t>0</w:t>
            </w:r>
          </w:p>
        </w:tc>
      </w:tr>
      <w:tr w:rsidR="00D31917" w:rsidRPr="001357D3" w14:paraId="4AC64103" w14:textId="77777777" w:rsidTr="0001547D">
        <w:trPr>
          <w:trHeight w:val="300"/>
        </w:trPr>
        <w:tc>
          <w:tcPr>
            <w:tcW w:w="2482"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B97E926" w14:textId="77777777" w:rsidR="00FA0CA8" w:rsidRPr="001357D3" w:rsidRDefault="00FA0CA8" w:rsidP="00FA0CA8">
            <w:pPr>
              <w:spacing w:before="0" w:after="0"/>
              <w:ind w:firstLineChars="100" w:firstLine="161"/>
              <w:jc w:val="left"/>
              <w:rPr>
                <w:rFonts w:eastAsia="Times New Roman"/>
                <w:noProof/>
                <w:sz w:val="16"/>
                <w:szCs w:val="16"/>
              </w:rPr>
            </w:pPr>
            <w:r w:rsidRPr="001357D3">
              <w:rPr>
                <w:b/>
                <w:noProof/>
                <w:sz w:val="16"/>
              </w:rPr>
              <w:t>OGÓŁEM</w:t>
            </w:r>
          </w:p>
        </w:tc>
        <w:tc>
          <w:tcPr>
            <w:tcW w:w="941" w:type="dxa"/>
            <w:tcBorders>
              <w:top w:val="single" w:sz="6" w:space="0" w:color="auto"/>
              <w:left w:val="nil"/>
              <w:bottom w:val="single" w:sz="6" w:space="0" w:color="auto"/>
              <w:right w:val="single" w:sz="6" w:space="0" w:color="auto"/>
            </w:tcBorders>
            <w:tcMar>
              <w:left w:w="105" w:type="dxa"/>
              <w:right w:w="105" w:type="dxa"/>
            </w:tcMar>
            <w:vAlign w:val="center"/>
          </w:tcPr>
          <w:p w14:paraId="7DD823E7"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E65199"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53E04"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B8D45A"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B763AD"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7BBAB" w14:textId="77777777" w:rsidR="00FA0CA8" w:rsidRPr="001357D3" w:rsidRDefault="00FA0CA8" w:rsidP="00FA0CA8">
            <w:pPr>
              <w:spacing w:before="0" w:after="0"/>
              <w:jc w:val="center"/>
              <w:rPr>
                <w:rFonts w:eastAsia="Times New Roman"/>
                <w:noProof/>
                <w:sz w:val="16"/>
                <w:szCs w:val="16"/>
              </w:rPr>
            </w:pPr>
            <w:r w:rsidRPr="001357D3">
              <w:rPr>
                <w:b/>
                <w:noProof/>
                <w:sz w:val="16"/>
              </w:rPr>
              <w:t>60</w:t>
            </w:r>
          </w:p>
        </w:tc>
        <w:tc>
          <w:tcPr>
            <w:tcW w:w="9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673E1A" w14:textId="77777777" w:rsidR="00FA0CA8" w:rsidRPr="001357D3" w:rsidRDefault="00FA0CA8" w:rsidP="00FA0CA8">
            <w:pPr>
              <w:spacing w:before="0" w:after="0"/>
              <w:jc w:val="center"/>
              <w:rPr>
                <w:noProof/>
              </w:rPr>
            </w:pPr>
            <w:r w:rsidRPr="001357D3">
              <w:rPr>
                <w:b/>
                <w:noProof/>
                <w:sz w:val="16"/>
              </w:rPr>
              <w:t>60</w:t>
            </w:r>
            <w:r w:rsidRPr="001357D3">
              <w:rPr>
                <w:noProof/>
              </w:rPr>
              <w:t xml:space="preserve"> </w:t>
            </w:r>
          </w:p>
        </w:tc>
      </w:tr>
    </w:tbl>
    <w:p w14:paraId="32B8FA90" w14:textId="77777777" w:rsidR="00FA0CA8" w:rsidRPr="001357D3" w:rsidRDefault="00FA0CA8" w:rsidP="00FA0CA8">
      <w:pPr>
        <w:spacing w:before="60" w:after="60"/>
        <w:ind w:left="-426" w:right="-427"/>
        <w:rPr>
          <w:noProof/>
        </w:rPr>
      </w:pPr>
      <w:bookmarkStart w:id="244" w:name="_Hlk156979231"/>
      <w:bookmarkEnd w:id="243"/>
      <w:r w:rsidRPr="001357D3">
        <w:rPr>
          <w:noProof/>
        </w:rPr>
        <w:t>===================================================================</w:t>
      </w:r>
    </w:p>
    <w:p w14:paraId="7D71446B" w14:textId="36671037" w:rsidR="00FA0CA8" w:rsidRPr="001357D3" w:rsidRDefault="00FA0CA8" w:rsidP="00FA0CA8">
      <w:pPr>
        <w:keepNext/>
        <w:tabs>
          <w:tab w:val="left" w:pos="850"/>
        </w:tabs>
        <w:ind w:left="850" w:hanging="850"/>
        <w:outlineLvl w:val="2"/>
        <w:rPr>
          <w:i/>
          <w:noProof/>
        </w:rPr>
      </w:pPr>
      <w:bookmarkStart w:id="245" w:name="_Toc167220296"/>
      <w:bookmarkStart w:id="246" w:name="_Toc177549029"/>
      <w:bookmarkStart w:id="247" w:name="_Toc210923287"/>
      <w:r w:rsidRPr="001357D3">
        <w:rPr>
          <w:i/>
          <w:noProof/>
        </w:rPr>
        <w:t>3.2.4.2.</w:t>
      </w:r>
      <w:r w:rsidRPr="001357D3">
        <w:rPr>
          <w:noProof/>
        </w:rPr>
        <w:tab/>
      </w:r>
      <w:r w:rsidRPr="001357D3">
        <w:rPr>
          <w:i/>
          <w:noProof/>
        </w:rPr>
        <w:t>Finansowane</w:t>
      </w:r>
      <w:r w:rsidR="001C6403" w:rsidRPr="001357D3">
        <w:rPr>
          <w:i/>
          <w:noProof/>
        </w:rPr>
        <w:t xml:space="preserve"> z</w:t>
      </w:r>
      <w:r w:rsidR="001C6403">
        <w:rPr>
          <w:i/>
          <w:noProof/>
        </w:rPr>
        <w:t> </w:t>
      </w:r>
      <w:r w:rsidR="001C6403" w:rsidRPr="001357D3">
        <w:rPr>
          <w:i/>
          <w:noProof/>
        </w:rPr>
        <w:t>zew</w:t>
      </w:r>
      <w:r w:rsidRPr="001357D3">
        <w:rPr>
          <w:i/>
          <w:noProof/>
        </w:rPr>
        <w:t>nętrznych dochodów przeznaczonych na określony cel</w:t>
      </w:r>
      <w:bookmarkEnd w:id="244"/>
      <w:bookmarkEnd w:id="245"/>
      <w:bookmarkEnd w:id="246"/>
      <w:r w:rsidRPr="001357D3">
        <w:rPr>
          <w:i/>
          <w:noProof/>
        </w:rPr>
        <w:t xml:space="preserve"> (nd.)</w:t>
      </w:r>
      <w:bookmarkEnd w:id="247"/>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29"/>
      </w:tblGrid>
      <w:tr w:rsidR="00D31917" w:rsidRPr="001357D3" w14:paraId="7C83C40B" w14:textId="77777777">
        <w:trPr>
          <w:trHeight w:val="345"/>
        </w:trPr>
        <w:tc>
          <w:tcPr>
            <w:tcW w:w="2520"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D5AC277" w14:textId="77777777" w:rsidR="00FA0CA8" w:rsidRPr="001357D3" w:rsidRDefault="00FA0CA8" w:rsidP="00FA0CA8">
            <w:pPr>
              <w:spacing w:before="0" w:after="0"/>
              <w:jc w:val="center"/>
              <w:rPr>
                <w:noProof/>
              </w:rPr>
            </w:pPr>
            <w:r w:rsidRPr="001357D3">
              <w:rPr>
                <w:b/>
                <w:noProof/>
                <w:sz w:val="18"/>
              </w:rPr>
              <w:t>ZEWNĘTRZNE DOCHODY PRZEZNACZONE NA OKREŚLONY CEL</w:t>
            </w:r>
          </w:p>
        </w:tc>
        <w:tc>
          <w:tcPr>
            <w:tcW w:w="935" w:type="dxa"/>
            <w:tcBorders>
              <w:top w:val="single" w:sz="8" w:space="0" w:color="auto"/>
              <w:left w:val="nil"/>
              <w:bottom w:val="nil"/>
              <w:right w:val="single" w:sz="8" w:space="0" w:color="auto"/>
            </w:tcBorders>
            <w:tcMar>
              <w:left w:w="108" w:type="dxa"/>
              <w:right w:w="108" w:type="dxa"/>
            </w:tcMar>
            <w:vAlign w:val="center"/>
          </w:tcPr>
          <w:p w14:paraId="1DE34A57"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33A7AFDE"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43129D55"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3C2A9CDF"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49D0EC6E"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6F0B147F" w14:textId="77777777" w:rsidR="00FA0CA8" w:rsidRPr="001357D3" w:rsidRDefault="00FA0CA8" w:rsidP="00FA0CA8">
            <w:pPr>
              <w:spacing w:before="0" w:after="0"/>
              <w:jc w:val="center"/>
              <w:rPr>
                <w:noProof/>
              </w:rPr>
            </w:pPr>
            <w:r w:rsidRPr="001357D3">
              <w:rPr>
                <w:noProof/>
                <w:sz w:val="20"/>
              </w:rPr>
              <w:t>Rok</w:t>
            </w:r>
          </w:p>
        </w:tc>
        <w:tc>
          <w:tcPr>
            <w:tcW w:w="929" w:type="dxa"/>
            <w:tcBorders>
              <w:top w:val="single" w:sz="8" w:space="0" w:color="auto"/>
              <w:left w:val="single" w:sz="8" w:space="0" w:color="auto"/>
              <w:bottom w:val="nil"/>
              <w:right w:val="single" w:sz="8" w:space="0" w:color="auto"/>
            </w:tcBorders>
            <w:tcMar>
              <w:left w:w="108" w:type="dxa"/>
              <w:right w:w="108" w:type="dxa"/>
            </w:tcMar>
            <w:vAlign w:val="center"/>
          </w:tcPr>
          <w:p w14:paraId="171E327E" w14:textId="77777777" w:rsidR="00FA0CA8" w:rsidRPr="001357D3" w:rsidRDefault="00FA0CA8" w:rsidP="00FA0CA8">
            <w:pPr>
              <w:spacing w:before="0" w:after="0"/>
              <w:jc w:val="center"/>
              <w:rPr>
                <w:noProof/>
              </w:rPr>
            </w:pPr>
            <w:r w:rsidRPr="001357D3">
              <w:rPr>
                <w:noProof/>
                <w:sz w:val="20"/>
              </w:rPr>
              <w:t>Rok</w:t>
            </w:r>
          </w:p>
        </w:tc>
      </w:tr>
      <w:tr w:rsidR="00D31917" w:rsidRPr="001357D3" w14:paraId="28D32F46" w14:textId="77777777">
        <w:trPr>
          <w:trHeight w:val="300"/>
        </w:trPr>
        <w:tc>
          <w:tcPr>
            <w:tcW w:w="2520" w:type="dxa"/>
            <w:gridSpan w:val="2"/>
            <w:vMerge/>
            <w:tcBorders>
              <w:left w:val="single" w:sz="0" w:space="0" w:color="auto"/>
              <w:bottom w:val="single" w:sz="0" w:space="0" w:color="000000" w:themeColor="text1"/>
              <w:right w:val="single" w:sz="0" w:space="0" w:color="000000" w:themeColor="text1"/>
            </w:tcBorders>
            <w:vAlign w:val="center"/>
          </w:tcPr>
          <w:p w14:paraId="6604C3A5" w14:textId="77777777" w:rsidR="00FA0CA8" w:rsidRPr="001357D3" w:rsidRDefault="00FA0CA8" w:rsidP="00FA0CA8">
            <w:pPr>
              <w:rPr>
                <w:noProof/>
              </w:rPr>
            </w:pPr>
          </w:p>
        </w:tc>
        <w:tc>
          <w:tcPr>
            <w:tcW w:w="935" w:type="dxa"/>
            <w:tcBorders>
              <w:top w:val="nil"/>
              <w:left w:val="nil"/>
              <w:bottom w:val="single" w:sz="8" w:space="0" w:color="auto"/>
              <w:right w:val="single" w:sz="8" w:space="0" w:color="auto"/>
            </w:tcBorders>
            <w:tcMar>
              <w:left w:w="108" w:type="dxa"/>
              <w:right w:w="108" w:type="dxa"/>
            </w:tcMar>
            <w:vAlign w:val="center"/>
          </w:tcPr>
          <w:p w14:paraId="5FD26F46" w14:textId="77777777" w:rsidR="00FA0CA8" w:rsidRPr="001357D3" w:rsidRDefault="00FA0CA8" w:rsidP="00FA0CA8">
            <w:pPr>
              <w:spacing w:before="0" w:after="0"/>
              <w:jc w:val="center"/>
              <w:rPr>
                <w:noProof/>
              </w:rPr>
            </w:pPr>
            <w:r w:rsidRPr="001357D3">
              <w:rPr>
                <w:b/>
                <w:noProof/>
                <w:sz w:val="20"/>
              </w:rPr>
              <w:t>2028</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2703C492" w14:textId="77777777" w:rsidR="00FA0CA8" w:rsidRPr="001357D3" w:rsidRDefault="00FA0CA8" w:rsidP="00FA0CA8">
            <w:pPr>
              <w:spacing w:before="0" w:after="0"/>
              <w:jc w:val="center"/>
              <w:rPr>
                <w:noProof/>
              </w:rPr>
            </w:pPr>
            <w:r w:rsidRPr="001357D3">
              <w:rPr>
                <w:b/>
                <w:noProof/>
                <w:sz w:val="20"/>
              </w:rPr>
              <w:t>2029</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5698DD58" w14:textId="77777777" w:rsidR="00FA0CA8" w:rsidRPr="001357D3" w:rsidRDefault="00FA0CA8" w:rsidP="00FA0CA8">
            <w:pPr>
              <w:spacing w:before="0" w:after="0"/>
              <w:jc w:val="center"/>
              <w:rPr>
                <w:noProof/>
              </w:rPr>
            </w:pPr>
            <w:r w:rsidRPr="001357D3">
              <w:rPr>
                <w:b/>
                <w:noProof/>
                <w:sz w:val="20"/>
              </w:rPr>
              <w:t>2030</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1705DAC" w14:textId="77777777" w:rsidR="00FA0CA8" w:rsidRPr="001357D3" w:rsidRDefault="00FA0CA8" w:rsidP="00FA0CA8">
            <w:pPr>
              <w:spacing w:before="0" w:after="0"/>
              <w:jc w:val="center"/>
              <w:rPr>
                <w:noProof/>
              </w:rPr>
            </w:pPr>
            <w:r w:rsidRPr="001357D3">
              <w:rPr>
                <w:b/>
                <w:noProof/>
                <w:sz w:val="20"/>
              </w:rPr>
              <w:t>2031</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0EC66E1F" w14:textId="77777777" w:rsidR="00FA0CA8" w:rsidRPr="001357D3" w:rsidRDefault="00FA0CA8" w:rsidP="00FA0CA8">
            <w:pPr>
              <w:spacing w:before="0" w:after="0"/>
              <w:jc w:val="center"/>
              <w:rPr>
                <w:noProof/>
              </w:rPr>
            </w:pPr>
            <w:r w:rsidRPr="001357D3">
              <w:rPr>
                <w:b/>
                <w:noProof/>
                <w:sz w:val="20"/>
              </w:rPr>
              <w:t>2032</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6D7B5E8B" w14:textId="77777777" w:rsidR="00FA0CA8" w:rsidRPr="001357D3" w:rsidRDefault="00FA0CA8" w:rsidP="00FA0CA8">
            <w:pPr>
              <w:spacing w:before="0" w:after="0"/>
              <w:jc w:val="center"/>
              <w:rPr>
                <w:noProof/>
              </w:rPr>
            </w:pPr>
            <w:r w:rsidRPr="001357D3">
              <w:rPr>
                <w:b/>
                <w:noProof/>
                <w:sz w:val="20"/>
              </w:rPr>
              <w:t>2033</w:t>
            </w:r>
          </w:p>
        </w:tc>
        <w:tc>
          <w:tcPr>
            <w:tcW w:w="929" w:type="dxa"/>
            <w:tcBorders>
              <w:top w:val="nil"/>
              <w:left w:val="single" w:sz="8" w:space="0" w:color="auto"/>
              <w:bottom w:val="single" w:sz="8" w:space="0" w:color="auto"/>
              <w:right w:val="single" w:sz="8" w:space="0" w:color="auto"/>
            </w:tcBorders>
            <w:tcMar>
              <w:left w:w="108" w:type="dxa"/>
              <w:right w:w="108" w:type="dxa"/>
            </w:tcMar>
            <w:vAlign w:val="center"/>
          </w:tcPr>
          <w:p w14:paraId="30E6FF0C" w14:textId="77777777" w:rsidR="00FA0CA8" w:rsidRPr="001357D3" w:rsidRDefault="00FA0CA8" w:rsidP="00FA0CA8">
            <w:pPr>
              <w:spacing w:before="0" w:after="0"/>
              <w:jc w:val="center"/>
              <w:rPr>
                <w:noProof/>
              </w:rPr>
            </w:pPr>
            <w:r w:rsidRPr="001357D3">
              <w:rPr>
                <w:b/>
                <w:noProof/>
                <w:sz w:val="20"/>
              </w:rPr>
              <w:t>2034</w:t>
            </w:r>
          </w:p>
        </w:tc>
      </w:tr>
      <w:tr w:rsidR="00D31917" w:rsidRPr="001357D3" w14:paraId="71A58EBF" w14:textId="77777777">
        <w:trPr>
          <w:trHeight w:val="300"/>
        </w:trPr>
        <w:tc>
          <w:tcPr>
            <w:tcW w:w="9059" w:type="dxa"/>
            <w:gridSpan w:val="9"/>
            <w:tcBorders>
              <w:top w:val="nil"/>
              <w:left w:val="single" w:sz="8" w:space="0" w:color="auto"/>
              <w:bottom w:val="nil"/>
              <w:right w:val="single" w:sz="8" w:space="0" w:color="000000" w:themeColor="text1"/>
            </w:tcBorders>
            <w:tcMar>
              <w:left w:w="108" w:type="dxa"/>
              <w:right w:w="108" w:type="dxa"/>
            </w:tcMar>
            <w:vAlign w:val="center"/>
          </w:tcPr>
          <w:p w14:paraId="48C967F2" w14:textId="7E4ADDE7" w:rsidR="00FA0CA8" w:rsidRPr="001357D3" w:rsidRDefault="00FA0CA8" w:rsidP="00FA0CA8">
            <w:pPr>
              <w:spacing w:before="0" w:after="0"/>
              <w:jc w:val="center"/>
              <w:rPr>
                <w:noProof/>
              </w:rPr>
            </w:pPr>
            <w:r w:rsidRPr="001357D3">
              <w:rPr>
                <w:b/>
                <w:noProof/>
                <w:sz w:val="16"/>
              </w:rPr>
              <w:t>Stanowiska przewidziane</w:t>
            </w:r>
            <w:r w:rsidR="001C6403" w:rsidRPr="001357D3">
              <w:rPr>
                <w:b/>
                <w:noProof/>
                <w:sz w:val="16"/>
              </w:rPr>
              <w:t xml:space="preserve"> w</w:t>
            </w:r>
            <w:r w:rsidR="001C6403">
              <w:rPr>
                <w:b/>
                <w:noProof/>
                <w:sz w:val="16"/>
              </w:rPr>
              <w:t> </w:t>
            </w:r>
            <w:r w:rsidR="001C6403" w:rsidRPr="001357D3">
              <w:rPr>
                <w:b/>
                <w:noProof/>
                <w:sz w:val="16"/>
              </w:rPr>
              <w:t>pla</w:t>
            </w:r>
            <w:r w:rsidRPr="001357D3">
              <w:rPr>
                <w:b/>
                <w:noProof/>
                <w:sz w:val="16"/>
              </w:rPr>
              <w:t>nie zatrudnienia (stanowiska urzędników</w:t>
            </w:r>
            <w:r w:rsidR="001C6403" w:rsidRPr="001357D3">
              <w:rPr>
                <w:b/>
                <w:noProof/>
                <w:sz w:val="16"/>
              </w:rPr>
              <w:t xml:space="preserve"> i</w:t>
            </w:r>
            <w:r w:rsidR="001C6403">
              <w:rPr>
                <w:b/>
                <w:noProof/>
                <w:sz w:val="16"/>
              </w:rPr>
              <w:t> </w:t>
            </w:r>
            <w:r w:rsidR="001C6403" w:rsidRPr="001357D3">
              <w:rPr>
                <w:b/>
                <w:noProof/>
                <w:sz w:val="16"/>
              </w:rPr>
              <w:t>pra</w:t>
            </w:r>
            <w:r w:rsidRPr="001357D3">
              <w:rPr>
                <w:b/>
                <w:noProof/>
                <w:sz w:val="16"/>
              </w:rPr>
              <w:t>cowników zatrudnionych na czas określony)</w:t>
            </w:r>
          </w:p>
        </w:tc>
      </w:tr>
      <w:tr w:rsidR="00D31917" w:rsidRPr="001357D3" w14:paraId="6384AF61" w14:textId="77777777">
        <w:trPr>
          <w:trHeight w:val="555"/>
        </w:trPr>
        <w:tc>
          <w:tcPr>
            <w:tcW w:w="2520" w:type="dxa"/>
            <w:gridSpan w:val="2"/>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7621B70" w14:textId="30C51F4F" w:rsidR="00FA0CA8" w:rsidRPr="001357D3" w:rsidRDefault="00FA0CA8" w:rsidP="00FA0CA8">
            <w:pPr>
              <w:spacing w:before="0" w:after="0"/>
              <w:ind w:firstLine="160"/>
              <w:jc w:val="left"/>
              <w:rPr>
                <w:noProof/>
              </w:rPr>
            </w:pPr>
            <w:r w:rsidRPr="001357D3">
              <w:rPr>
                <w:noProof/>
              </w:rPr>
              <w:t>20 01 02 01 (w centrali</w:t>
            </w:r>
            <w:r w:rsidR="001C6403" w:rsidRPr="001357D3">
              <w:rPr>
                <w:noProof/>
              </w:rPr>
              <w:t xml:space="preserve"> i</w:t>
            </w:r>
            <w:r w:rsidR="001C6403">
              <w:rPr>
                <w:noProof/>
              </w:rPr>
              <w:t> </w:t>
            </w:r>
            <w:r w:rsidR="001C6403" w:rsidRPr="001357D3">
              <w:rPr>
                <w:noProof/>
              </w:rPr>
              <w:t>w</w:t>
            </w:r>
            <w:r w:rsidR="001C6403">
              <w:rPr>
                <w:noProof/>
              </w:rPr>
              <w:t> </w:t>
            </w:r>
            <w:r w:rsidR="001C6403" w:rsidRPr="001357D3">
              <w:rPr>
                <w:noProof/>
              </w:rPr>
              <w:t>biu</w:t>
            </w:r>
            <w:r w:rsidRPr="001357D3">
              <w:rPr>
                <w:noProof/>
              </w:rPr>
              <w:t>rach przedstawicielstw Komisji)</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9C380D1"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317F69"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F19C71"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0B3E7E"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693E65"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8B7246" w14:textId="77777777" w:rsidR="00FA0CA8" w:rsidRPr="001357D3" w:rsidRDefault="00FA0CA8" w:rsidP="00FA0CA8">
            <w:pPr>
              <w:spacing w:before="0" w:after="0"/>
              <w:jc w:val="center"/>
              <w:rPr>
                <w:noProof/>
              </w:rPr>
            </w:pPr>
            <w:r w:rsidRPr="001357D3">
              <w:rPr>
                <w:noProof/>
                <w:sz w:val="16"/>
              </w:rPr>
              <w:t>0</w:t>
            </w:r>
          </w:p>
        </w:tc>
        <w:tc>
          <w:tcPr>
            <w:tcW w:w="929" w:type="dxa"/>
            <w:tcBorders>
              <w:top w:val="nil"/>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5BABA924" w14:textId="77777777" w:rsidR="00FA0CA8" w:rsidRPr="001357D3" w:rsidRDefault="00FA0CA8" w:rsidP="00FA0CA8">
            <w:pPr>
              <w:spacing w:before="0" w:after="0"/>
              <w:jc w:val="center"/>
              <w:rPr>
                <w:noProof/>
              </w:rPr>
            </w:pPr>
            <w:r w:rsidRPr="001357D3">
              <w:rPr>
                <w:noProof/>
                <w:sz w:val="16"/>
              </w:rPr>
              <w:t>0</w:t>
            </w:r>
          </w:p>
        </w:tc>
      </w:tr>
      <w:tr w:rsidR="00D31917" w:rsidRPr="001357D3" w14:paraId="47574A35"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4490C41" w14:textId="77777777" w:rsidR="00FA0CA8" w:rsidRPr="001357D3" w:rsidRDefault="00FA0CA8" w:rsidP="00FA0CA8">
            <w:pPr>
              <w:spacing w:before="0" w:after="0"/>
              <w:ind w:firstLine="160"/>
              <w:jc w:val="left"/>
              <w:rPr>
                <w:noProof/>
              </w:rPr>
            </w:pPr>
            <w:r w:rsidRPr="001357D3">
              <w:rPr>
                <w:noProof/>
                <w:sz w:val="16"/>
              </w:rPr>
              <w:t>20 01 02 03 (w delegaturach UE)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16808A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20F65C"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9825C1"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ED1A2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1231F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140070"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61A082" w14:textId="77777777" w:rsidR="00FA0CA8" w:rsidRPr="001357D3" w:rsidRDefault="00FA0CA8" w:rsidP="00FA0CA8">
            <w:pPr>
              <w:spacing w:before="0" w:after="0"/>
              <w:jc w:val="center"/>
              <w:rPr>
                <w:noProof/>
              </w:rPr>
            </w:pPr>
            <w:r w:rsidRPr="001357D3">
              <w:rPr>
                <w:noProof/>
                <w:sz w:val="16"/>
              </w:rPr>
              <w:t>0</w:t>
            </w:r>
          </w:p>
        </w:tc>
      </w:tr>
      <w:tr w:rsidR="00D31917" w:rsidRPr="001357D3" w14:paraId="293872A2"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C6A8D2" w14:textId="0061BBB1" w:rsidR="00FA0CA8" w:rsidRPr="001357D3" w:rsidRDefault="00FA0CA8" w:rsidP="00FA0CA8">
            <w:pPr>
              <w:spacing w:before="0" w:after="0"/>
              <w:ind w:firstLine="160"/>
              <w:jc w:val="left"/>
              <w:rPr>
                <w:noProof/>
              </w:rPr>
            </w:pPr>
            <w:r w:rsidRPr="001357D3">
              <w:rPr>
                <w:noProof/>
                <w:sz w:val="16"/>
              </w:rPr>
              <w:t>(pośrednie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2476AC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D79906"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16616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A2BD2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3F3EC4"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579528"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0202F6" w14:textId="77777777" w:rsidR="00FA0CA8" w:rsidRPr="001357D3" w:rsidRDefault="00FA0CA8" w:rsidP="00FA0CA8">
            <w:pPr>
              <w:spacing w:before="0" w:after="0"/>
              <w:jc w:val="center"/>
              <w:rPr>
                <w:noProof/>
              </w:rPr>
            </w:pPr>
            <w:r w:rsidRPr="001357D3">
              <w:rPr>
                <w:noProof/>
                <w:sz w:val="16"/>
              </w:rPr>
              <w:t>0</w:t>
            </w:r>
          </w:p>
        </w:tc>
      </w:tr>
      <w:tr w:rsidR="00D31917" w:rsidRPr="001357D3" w14:paraId="0D3C4097"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5926D77" w14:textId="1819D51E" w:rsidR="00FA0CA8" w:rsidRPr="001357D3" w:rsidRDefault="00FA0CA8" w:rsidP="00FA0CA8">
            <w:pPr>
              <w:spacing w:before="0" w:after="0"/>
              <w:ind w:firstLine="160"/>
              <w:jc w:val="left"/>
              <w:rPr>
                <w:noProof/>
              </w:rPr>
            </w:pPr>
            <w:r w:rsidRPr="001357D3">
              <w:rPr>
                <w:noProof/>
                <w:sz w:val="16"/>
              </w:rPr>
              <w:t>(bezpośrednie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D7E6C6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11CD7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0509F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5CA64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64695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2AA74B"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60BCEB" w14:textId="77777777" w:rsidR="00FA0CA8" w:rsidRPr="001357D3" w:rsidRDefault="00FA0CA8" w:rsidP="00FA0CA8">
            <w:pPr>
              <w:spacing w:before="0" w:after="0"/>
              <w:jc w:val="center"/>
              <w:rPr>
                <w:noProof/>
              </w:rPr>
            </w:pPr>
            <w:r w:rsidRPr="001357D3">
              <w:rPr>
                <w:noProof/>
                <w:sz w:val="16"/>
              </w:rPr>
              <w:t>0</w:t>
            </w:r>
          </w:p>
        </w:tc>
      </w:tr>
      <w:tr w:rsidR="00D31917" w:rsidRPr="001357D3" w14:paraId="580D3453"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B86A3B1" w14:textId="77777777" w:rsidR="00FA0CA8" w:rsidRPr="001357D3" w:rsidRDefault="00FA0CA8" w:rsidP="00FA0CA8">
            <w:pPr>
              <w:spacing w:before="0" w:after="0"/>
              <w:ind w:firstLine="160"/>
              <w:jc w:val="left"/>
              <w:rPr>
                <w:noProof/>
              </w:rPr>
            </w:pPr>
            <w:r w:rsidRPr="001357D3">
              <w:rPr>
                <w:noProof/>
                <w:sz w:val="16"/>
              </w:rPr>
              <w:t>Inna linia budżetowa (określić)</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742980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CF903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DBC2D4"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CE11BC"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8B4784"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437449"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D0EC7C" w14:textId="77777777" w:rsidR="00FA0CA8" w:rsidRPr="001357D3" w:rsidRDefault="00FA0CA8" w:rsidP="00FA0CA8">
            <w:pPr>
              <w:spacing w:before="0" w:after="0"/>
              <w:jc w:val="center"/>
              <w:rPr>
                <w:noProof/>
              </w:rPr>
            </w:pPr>
            <w:r w:rsidRPr="001357D3">
              <w:rPr>
                <w:noProof/>
                <w:sz w:val="16"/>
              </w:rPr>
              <w:t>0</w:t>
            </w:r>
          </w:p>
        </w:tc>
      </w:tr>
      <w:tr w:rsidR="00D31917" w:rsidRPr="001357D3" w14:paraId="65D9EE53" w14:textId="77777777">
        <w:trPr>
          <w:trHeight w:val="300"/>
        </w:trPr>
        <w:tc>
          <w:tcPr>
            <w:tcW w:w="9059" w:type="dxa"/>
            <w:gridSpan w:val="9"/>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9D47D8" w14:textId="77777777" w:rsidR="00FA0CA8" w:rsidRPr="001357D3" w:rsidRDefault="00FA0CA8" w:rsidP="00FA0CA8">
            <w:pPr>
              <w:spacing w:before="0" w:after="0"/>
              <w:jc w:val="center"/>
              <w:rPr>
                <w:noProof/>
              </w:rPr>
            </w:pPr>
            <w:r w:rsidRPr="001357D3">
              <w:rPr>
                <w:rFonts w:ascii="Calibri" w:hAnsi="Calibri"/>
                <w:b/>
                <w:noProof/>
                <w:sz w:val="16"/>
              </w:rPr>
              <w:t>•</w:t>
            </w:r>
            <w:r w:rsidRPr="001357D3">
              <w:rPr>
                <w:b/>
                <w:noProof/>
                <w:sz w:val="16"/>
              </w:rPr>
              <w:t xml:space="preserve"> Personel zewnętrzny (w EPC)</w:t>
            </w:r>
          </w:p>
        </w:tc>
      </w:tr>
      <w:tr w:rsidR="00D31917" w:rsidRPr="001357D3" w14:paraId="54DAF54A" w14:textId="77777777">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498E394" w14:textId="5D631E13" w:rsidR="00FA0CA8" w:rsidRPr="001357D3" w:rsidRDefault="00FA0CA8" w:rsidP="00FA0CA8">
            <w:pPr>
              <w:spacing w:before="0" w:after="0"/>
              <w:ind w:firstLine="160"/>
              <w:jc w:val="left"/>
              <w:rPr>
                <w:noProof/>
              </w:rPr>
            </w:pPr>
            <w:r w:rsidRPr="001357D3">
              <w:rPr>
                <w:noProof/>
                <w:sz w:val="16"/>
              </w:rPr>
              <w:t>20 02 01</w:t>
            </w:r>
            <w:r w:rsidRPr="001357D3">
              <w:rPr>
                <w:rFonts w:ascii="Arial Narrow" w:hAnsi="Arial Narrow"/>
                <w:noProof/>
                <w:sz w:val="20"/>
              </w:rPr>
              <w:t xml:space="preserve"> </w:t>
            </w:r>
            <w:r w:rsidRPr="001357D3">
              <w:rPr>
                <w:noProof/>
                <w:sz w:val="16"/>
              </w:rPr>
              <w:t>(CA, SNE</w:t>
            </w:r>
            <w:r w:rsidR="001C6403" w:rsidRPr="001357D3">
              <w:rPr>
                <w:noProof/>
                <w:sz w:val="16"/>
              </w:rPr>
              <w:t xml:space="preserve"> z</w:t>
            </w:r>
            <w:r w:rsidR="001C6403">
              <w:rPr>
                <w:noProof/>
                <w:sz w:val="16"/>
              </w:rPr>
              <w:t> </w:t>
            </w:r>
            <w:r w:rsidR="001C6403" w:rsidRPr="001357D3">
              <w:rPr>
                <w:noProof/>
                <w:sz w:val="16"/>
              </w:rPr>
              <w:t>glo</w:t>
            </w:r>
            <w:r w:rsidRPr="001357D3">
              <w:rPr>
                <w:noProof/>
                <w:sz w:val="16"/>
              </w:rPr>
              <w:t>balnej koperty finansowej)</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85FA784"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AA4B71"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1D1BBF"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BE453A"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72AFEA" w14:textId="77777777" w:rsidR="00FA0CA8" w:rsidRPr="001357D3" w:rsidRDefault="00FA0CA8" w:rsidP="00FA0CA8">
            <w:pPr>
              <w:spacing w:before="0" w:after="0"/>
              <w:jc w:val="center"/>
              <w:rPr>
                <w:noProof/>
              </w:rPr>
            </w:pPr>
            <w:r w:rsidRPr="001357D3">
              <w:rPr>
                <w:noProof/>
                <w:sz w:val="16"/>
              </w:rPr>
              <w:t>0</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D388CA" w14:textId="77777777" w:rsidR="00FA0CA8" w:rsidRPr="001357D3" w:rsidRDefault="00FA0CA8" w:rsidP="00FA0CA8">
            <w:pPr>
              <w:spacing w:before="0" w:after="0"/>
              <w:jc w:val="center"/>
              <w:rPr>
                <w:noProof/>
              </w:rPr>
            </w:pPr>
            <w:r w:rsidRPr="001357D3">
              <w:rPr>
                <w:noProof/>
                <w:sz w:val="16"/>
              </w:rPr>
              <w:t>0</w:t>
            </w:r>
          </w:p>
        </w:tc>
        <w:tc>
          <w:tcPr>
            <w:tcW w:w="929" w:type="dxa"/>
            <w:tcBorders>
              <w:top w:val="nil"/>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49336C9F" w14:textId="77777777" w:rsidR="00FA0CA8" w:rsidRPr="001357D3" w:rsidRDefault="00FA0CA8" w:rsidP="00FA0CA8">
            <w:pPr>
              <w:spacing w:before="0" w:after="0"/>
              <w:jc w:val="center"/>
              <w:rPr>
                <w:noProof/>
              </w:rPr>
            </w:pPr>
            <w:r w:rsidRPr="001357D3">
              <w:rPr>
                <w:noProof/>
                <w:sz w:val="16"/>
              </w:rPr>
              <w:t>0</w:t>
            </w:r>
          </w:p>
        </w:tc>
      </w:tr>
      <w:tr w:rsidR="00D31917" w:rsidRPr="001357D3" w14:paraId="772B3F21" w14:textId="77777777">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F00F671" w14:textId="39245650" w:rsidR="00FA0CA8" w:rsidRPr="001357D3" w:rsidRDefault="00FA0CA8" w:rsidP="00FA0CA8">
            <w:pPr>
              <w:spacing w:before="0" w:after="0"/>
              <w:ind w:firstLine="160"/>
              <w:jc w:val="left"/>
              <w:rPr>
                <w:noProof/>
              </w:rPr>
            </w:pPr>
            <w:r w:rsidRPr="001357D3">
              <w:rPr>
                <w:noProof/>
                <w:sz w:val="16"/>
              </w:rPr>
              <w:t>20 02 03 (CA, LA, SNE i JPD</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egaturach UE)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2FB2FBC"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62FB5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5018D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D67FD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F460A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2CF449"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A453AF" w14:textId="77777777" w:rsidR="00FA0CA8" w:rsidRPr="001357D3" w:rsidRDefault="00FA0CA8" w:rsidP="00FA0CA8">
            <w:pPr>
              <w:spacing w:before="0" w:after="0"/>
              <w:jc w:val="center"/>
              <w:rPr>
                <w:noProof/>
              </w:rPr>
            </w:pPr>
            <w:r w:rsidRPr="001357D3">
              <w:rPr>
                <w:noProof/>
                <w:sz w:val="16"/>
              </w:rPr>
              <w:t>0</w:t>
            </w:r>
          </w:p>
        </w:tc>
      </w:tr>
      <w:tr w:rsidR="00D31917" w:rsidRPr="001357D3" w14:paraId="43C494A7" w14:textId="77777777">
        <w:trPr>
          <w:trHeight w:val="645"/>
        </w:trPr>
        <w:tc>
          <w:tcPr>
            <w:tcW w:w="1389" w:type="dxa"/>
            <w:tcBorders>
              <w:top w:val="single" w:sz="8" w:space="0" w:color="auto"/>
              <w:left w:val="single" w:sz="8" w:space="0" w:color="auto"/>
              <w:bottom w:val="nil"/>
              <w:right w:val="single" w:sz="8" w:space="0" w:color="000000" w:themeColor="text1"/>
            </w:tcBorders>
            <w:tcMar>
              <w:left w:w="108" w:type="dxa"/>
              <w:right w:w="108" w:type="dxa"/>
            </w:tcMar>
            <w:vAlign w:val="center"/>
          </w:tcPr>
          <w:p w14:paraId="5121DE2E" w14:textId="77777777" w:rsidR="00FA0CA8" w:rsidRPr="001357D3" w:rsidRDefault="00FA0CA8" w:rsidP="00FA0CA8">
            <w:pPr>
              <w:spacing w:before="0" w:after="0"/>
              <w:jc w:val="center"/>
              <w:rPr>
                <w:noProof/>
              </w:rPr>
            </w:pPr>
            <w:r w:rsidRPr="001357D3">
              <w:rPr>
                <w:noProof/>
                <w:sz w:val="16"/>
              </w:rPr>
              <w:t>Linia budżetowa na wsparcie adm.</w:t>
            </w:r>
          </w:p>
        </w:tc>
        <w:tc>
          <w:tcPr>
            <w:tcW w:w="1131"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1B557B08" w14:textId="2C66C735" w:rsidR="00FA0CA8" w:rsidRPr="001357D3" w:rsidRDefault="00FA0CA8" w:rsidP="00FA0CA8">
            <w:pPr>
              <w:spacing w:before="0" w:after="0"/>
              <w:ind w:firstLine="160"/>
              <w:jc w:val="left"/>
              <w:rPr>
                <w:noProof/>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cen</w:t>
            </w:r>
            <w:r w:rsidRPr="001357D3">
              <w:rPr>
                <w:noProof/>
                <w:sz w:val="16"/>
              </w:rPr>
              <w:t>trali</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5DA01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D3AFC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0B572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1C838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EDFF8C"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71783A"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1DFECC" w14:textId="77777777" w:rsidR="00FA0CA8" w:rsidRPr="001357D3" w:rsidRDefault="00FA0CA8" w:rsidP="00FA0CA8">
            <w:pPr>
              <w:spacing w:before="0" w:after="0"/>
              <w:jc w:val="center"/>
              <w:rPr>
                <w:noProof/>
              </w:rPr>
            </w:pPr>
            <w:r w:rsidRPr="001357D3">
              <w:rPr>
                <w:noProof/>
                <w:sz w:val="16"/>
              </w:rPr>
              <w:t>0</w:t>
            </w:r>
          </w:p>
        </w:tc>
      </w:tr>
      <w:tr w:rsidR="00D31917" w:rsidRPr="001357D3" w14:paraId="61B5D678" w14:textId="77777777">
        <w:trPr>
          <w:trHeight w:val="435"/>
        </w:trPr>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67879B83" w14:textId="77777777" w:rsidR="00FA0CA8" w:rsidRPr="001357D3" w:rsidRDefault="00FA0CA8" w:rsidP="00FA0CA8">
            <w:pPr>
              <w:spacing w:before="0" w:after="0"/>
              <w:jc w:val="center"/>
              <w:rPr>
                <w:noProof/>
              </w:rPr>
            </w:pPr>
            <w:r w:rsidRPr="001357D3">
              <w:rPr>
                <w:noProof/>
                <w:sz w:val="16"/>
              </w:rPr>
              <w:t>[XX.01.YY.YY]</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5F06B" w14:textId="211FC9F1" w:rsidR="00FA0CA8" w:rsidRPr="001357D3" w:rsidRDefault="00FA0CA8" w:rsidP="00FA0CA8">
            <w:pPr>
              <w:spacing w:before="0" w:after="0"/>
              <w:ind w:firstLine="160"/>
              <w:jc w:val="left"/>
              <w:rPr>
                <w:noProof/>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 xml:space="preserve">egaturach UE </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C50E1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B969C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1CF68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2B5CA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8E8646"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C22531"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1982A6" w14:textId="77777777" w:rsidR="00FA0CA8" w:rsidRPr="001357D3" w:rsidRDefault="00FA0CA8" w:rsidP="00FA0CA8">
            <w:pPr>
              <w:spacing w:before="0" w:after="0"/>
              <w:jc w:val="center"/>
              <w:rPr>
                <w:noProof/>
              </w:rPr>
            </w:pPr>
            <w:r w:rsidRPr="001357D3">
              <w:rPr>
                <w:noProof/>
                <w:sz w:val="16"/>
              </w:rPr>
              <w:t>0</w:t>
            </w:r>
          </w:p>
        </w:tc>
      </w:tr>
      <w:tr w:rsidR="00D31917" w:rsidRPr="001357D3" w14:paraId="4B43367B" w14:textId="77777777">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F1B454" w14:textId="49CCB703" w:rsidR="00FA0CA8" w:rsidRPr="001357D3" w:rsidRDefault="00FA0CA8" w:rsidP="00FA0CA8">
            <w:pPr>
              <w:spacing w:before="0" w:after="0"/>
              <w:ind w:firstLine="200"/>
              <w:jc w:val="left"/>
              <w:rPr>
                <w:noProof/>
              </w:rPr>
            </w:pPr>
            <w:r w:rsidRPr="001357D3">
              <w:rPr>
                <w:noProof/>
                <w:sz w:val="16"/>
              </w:rPr>
              <w:t>(CA, SNE – 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E9FC23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EAD80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6E5DC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10A84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15B2B1"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7521E4"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A20FC2" w14:textId="77777777" w:rsidR="00FA0CA8" w:rsidRPr="001357D3" w:rsidRDefault="00FA0CA8" w:rsidP="00FA0CA8">
            <w:pPr>
              <w:spacing w:before="0" w:after="0"/>
              <w:jc w:val="center"/>
              <w:rPr>
                <w:noProof/>
              </w:rPr>
            </w:pPr>
            <w:r w:rsidRPr="001357D3">
              <w:rPr>
                <w:noProof/>
                <w:sz w:val="16"/>
              </w:rPr>
              <w:t>0</w:t>
            </w:r>
          </w:p>
        </w:tc>
      </w:tr>
      <w:tr w:rsidR="00D31917" w:rsidRPr="001357D3" w14:paraId="35E8A821"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C8DDE94" w14:textId="64E6CFFC" w:rsidR="00FA0CA8" w:rsidRPr="001357D3" w:rsidRDefault="00FA0CA8" w:rsidP="00FA0CA8">
            <w:pPr>
              <w:spacing w:before="0" w:after="0"/>
              <w:ind w:firstLine="160"/>
              <w:jc w:val="left"/>
              <w:rPr>
                <w:noProof/>
              </w:rPr>
            </w:pPr>
            <w:r w:rsidRPr="001357D3">
              <w:rPr>
                <w:noProof/>
                <w:sz w:val="16"/>
              </w:rPr>
              <w:t>(CA, SNE – bezpośrednie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9A0C21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41A1A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E436B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143EFC"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C112F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01DAF6"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39D68D" w14:textId="77777777" w:rsidR="00FA0CA8" w:rsidRPr="001357D3" w:rsidRDefault="00FA0CA8" w:rsidP="00FA0CA8">
            <w:pPr>
              <w:spacing w:before="0" w:after="0"/>
              <w:jc w:val="center"/>
              <w:rPr>
                <w:noProof/>
              </w:rPr>
            </w:pPr>
            <w:r w:rsidRPr="001357D3">
              <w:rPr>
                <w:noProof/>
                <w:sz w:val="16"/>
              </w:rPr>
              <w:t>0</w:t>
            </w:r>
          </w:p>
        </w:tc>
      </w:tr>
      <w:tr w:rsidR="00D31917" w:rsidRPr="001357D3" w14:paraId="4929F454"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986C9B6" w14:textId="77777777" w:rsidR="00FA0CA8" w:rsidRPr="001357D3" w:rsidRDefault="00FA0CA8" w:rsidP="00FA0CA8">
            <w:pPr>
              <w:spacing w:before="0" w:after="0"/>
              <w:ind w:firstLine="160"/>
              <w:jc w:val="left"/>
              <w:rPr>
                <w:noProof/>
              </w:rPr>
            </w:pPr>
            <w:r w:rsidRPr="001357D3">
              <w:rPr>
                <w:noProof/>
                <w:sz w:val="16"/>
              </w:rPr>
              <w:t>Inna linia budżetowa (określić) – dział 4</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2F52F2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1E8B1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CAB35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500EF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5AF03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BD9F88"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9DF76D" w14:textId="77777777" w:rsidR="00FA0CA8" w:rsidRPr="001357D3" w:rsidRDefault="00FA0CA8" w:rsidP="00FA0CA8">
            <w:pPr>
              <w:spacing w:before="0" w:after="0"/>
              <w:jc w:val="center"/>
              <w:rPr>
                <w:noProof/>
              </w:rPr>
            </w:pPr>
            <w:r w:rsidRPr="001357D3">
              <w:rPr>
                <w:noProof/>
                <w:sz w:val="16"/>
              </w:rPr>
              <w:t>0</w:t>
            </w:r>
          </w:p>
        </w:tc>
      </w:tr>
      <w:tr w:rsidR="00D31917" w:rsidRPr="001357D3" w14:paraId="0D342603" w14:textId="77777777">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98F0B49" w14:textId="77777777" w:rsidR="00FA0CA8" w:rsidRPr="001357D3" w:rsidRDefault="00FA0CA8" w:rsidP="00FA0CA8">
            <w:pPr>
              <w:spacing w:before="0" w:after="0"/>
              <w:ind w:firstLine="160"/>
              <w:jc w:val="left"/>
              <w:rPr>
                <w:noProof/>
              </w:rPr>
            </w:pPr>
            <w:r w:rsidRPr="001357D3">
              <w:rPr>
                <w:noProof/>
                <w:sz w:val="16"/>
              </w:rPr>
              <w:t>Inna linia budżetowa (określić) – poza działem 4</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FB0E861"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CFAA8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CED0D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2EBE5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49019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CE2285"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0F120B" w14:textId="77777777" w:rsidR="00FA0CA8" w:rsidRPr="001357D3" w:rsidRDefault="00FA0CA8" w:rsidP="00FA0CA8">
            <w:pPr>
              <w:spacing w:before="0" w:after="0"/>
              <w:jc w:val="center"/>
              <w:rPr>
                <w:noProof/>
              </w:rPr>
            </w:pPr>
            <w:r w:rsidRPr="001357D3">
              <w:rPr>
                <w:noProof/>
                <w:sz w:val="16"/>
              </w:rPr>
              <w:t>0</w:t>
            </w:r>
          </w:p>
        </w:tc>
      </w:tr>
      <w:tr w:rsidR="00D31917" w:rsidRPr="001357D3" w14:paraId="3C444A97" w14:textId="77777777">
        <w:trPr>
          <w:trHeight w:val="300"/>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4A2F7DD" w14:textId="77777777" w:rsidR="00FA0CA8" w:rsidRPr="001357D3" w:rsidRDefault="00FA0CA8" w:rsidP="00FA0CA8">
            <w:pPr>
              <w:spacing w:before="0" w:after="0"/>
              <w:ind w:firstLine="161"/>
              <w:jc w:val="left"/>
              <w:rPr>
                <w:noProof/>
              </w:rPr>
            </w:pPr>
            <w:r w:rsidRPr="001357D3">
              <w:rPr>
                <w:b/>
                <w:noProof/>
                <w:sz w:val="16"/>
              </w:rPr>
              <w:t>OGÓŁEM</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B0BAAA9" w14:textId="77777777" w:rsidR="00FA0CA8" w:rsidRPr="001357D3" w:rsidRDefault="00FA0CA8" w:rsidP="00FA0CA8">
            <w:pPr>
              <w:spacing w:before="0" w:after="0"/>
              <w:jc w:val="center"/>
              <w:rPr>
                <w:noProof/>
              </w:rPr>
            </w:pPr>
            <w:r w:rsidRPr="001357D3">
              <w:rPr>
                <w:b/>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9ED2EA" w14:textId="77777777" w:rsidR="00FA0CA8" w:rsidRPr="001357D3" w:rsidRDefault="00FA0CA8" w:rsidP="00FA0CA8">
            <w:pPr>
              <w:spacing w:before="0" w:after="0"/>
              <w:jc w:val="center"/>
              <w:rPr>
                <w:noProof/>
              </w:rPr>
            </w:pPr>
            <w:r w:rsidRPr="001357D3">
              <w:rPr>
                <w:b/>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0E135A" w14:textId="77777777" w:rsidR="00FA0CA8" w:rsidRPr="001357D3" w:rsidRDefault="00FA0CA8" w:rsidP="00FA0CA8">
            <w:pPr>
              <w:spacing w:before="0" w:after="0"/>
              <w:jc w:val="center"/>
              <w:rPr>
                <w:noProof/>
              </w:rPr>
            </w:pPr>
            <w:r w:rsidRPr="001357D3">
              <w:rPr>
                <w:b/>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095450" w14:textId="77777777" w:rsidR="00FA0CA8" w:rsidRPr="001357D3" w:rsidRDefault="00FA0CA8" w:rsidP="00FA0CA8">
            <w:pPr>
              <w:spacing w:before="0" w:after="0"/>
              <w:jc w:val="center"/>
              <w:rPr>
                <w:noProof/>
              </w:rPr>
            </w:pPr>
            <w:r w:rsidRPr="001357D3">
              <w:rPr>
                <w:b/>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F45B20" w14:textId="77777777" w:rsidR="00FA0CA8" w:rsidRPr="001357D3" w:rsidRDefault="00FA0CA8" w:rsidP="00FA0CA8">
            <w:pPr>
              <w:spacing w:before="0" w:after="0"/>
              <w:jc w:val="center"/>
              <w:rPr>
                <w:noProof/>
              </w:rPr>
            </w:pPr>
            <w:r w:rsidRPr="001357D3">
              <w:rPr>
                <w:b/>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58C133" w14:textId="77777777" w:rsidR="00FA0CA8" w:rsidRPr="001357D3" w:rsidRDefault="00FA0CA8" w:rsidP="00FA0CA8">
            <w:pPr>
              <w:spacing w:before="0" w:after="0"/>
              <w:jc w:val="center"/>
              <w:rPr>
                <w:noProof/>
              </w:rPr>
            </w:pPr>
            <w:r w:rsidRPr="001357D3">
              <w:rPr>
                <w:b/>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F8B4FF" w14:textId="77777777" w:rsidR="00FA0CA8" w:rsidRPr="001357D3" w:rsidRDefault="00FA0CA8" w:rsidP="00FA0CA8">
            <w:pPr>
              <w:spacing w:before="0" w:after="0"/>
              <w:jc w:val="center"/>
              <w:rPr>
                <w:noProof/>
              </w:rPr>
            </w:pPr>
            <w:r w:rsidRPr="001357D3">
              <w:rPr>
                <w:b/>
                <w:noProof/>
                <w:sz w:val="16"/>
              </w:rPr>
              <w:t>0</w:t>
            </w:r>
          </w:p>
        </w:tc>
      </w:tr>
    </w:tbl>
    <w:p w14:paraId="22EE664A" w14:textId="77777777" w:rsidR="00FA0CA8" w:rsidRPr="001357D3" w:rsidRDefault="00FA0CA8" w:rsidP="00FA0CA8">
      <w:pPr>
        <w:ind w:left="850" w:hanging="850"/>
        <w:rPr>
          <w:noProof/>
        </w:rPr>
      </w:pPr>
      <w:r w:rsidRPr="001357D3">
        <w:rPr>
          <w:i/>
          <w:noProof/>
        </w:rPr>
        <w:t>3.2.4.3.</w:t>
      </w:r>
      <w:r w:rsidRPr="001357D3">
        <w:rPr>
          <w:noProof/>
        </w:rPr>
        <w:tab/>
      </w:r>
      <w:r w:rsidRPr="001357D3">
        <w:rPr>
          <w:i/>
          <w:noProof/>
        </w:rPr>
        <w:t>Zapotrzebowanie na zasoby ludzkie ogółem</w:t>
      </w: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29"/>
      </w:tblGrid>
      <w:tr w:rsidR="00D31917" w:rsidRPr="001357D3" w14:paraId="5B3024D9" w14:textId="77777777">
        <w:trPr>
          <w:trHeight w:val="795"/>
        </w:trPr>
        <w:tc>
          <w:tcPr>
            <w:tcW w:w="2520"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ED6D9C9" w14:textId="0E95EF94" w:rsidR="00FA0CA8" w:rsidRPr="001357D3" w:rsidRDefault="00FA0CA8" w:rsidP="00FA0CA8">
            <w:pPr>
              <w:spacing w:before="0" w:after="0"/>
              <w:jc w:val="center"/>
              <w:rPr>
                <w:noProof/>
              </w:rPr>
            </w:pPr>
            <w:r w:rsidRPr="001357D3">
              <w:rPr>
                <w:b/>
                <w:noProof/>
                <w:sz w:val="18"/>
              </w:rPr>
              <w:lastRenderedPageBreak/>
              <w:t>OGÓŁEM ZATWIERDZONE ŚRODKI + ZEWNĘTRZNE DOCHODY PRZEZNACZONE NA OKREŚLONY CEL</w:t>
            </w:r>
          </w:p>
        </w:tc>
        <w:tc>
          <w:tcPr>
            <w:tcW w:w="935" w:type="dxa"/>
            <w:tcBorders>
              <w:top w:val="single" w:sz="8" w:space="0" w:color="auto"/>
              <w:left w:val="nil"/>
              <w:bottom w:val="nil"/>
              <w:right w:val="single" w:sz="8" w:space="0" w:color="auto"/>
            </w:tcBorders>
            <w:tcMar>
              <w:left w:w="108" w:type="dxa"/>
              <w:right w:w="108" w:type="dxa"/>
            </w:tcMar>
            <w:vAlign w:val="center"/>
          </w:tcPr>
          <w:p w14:paraId="036DB0A4"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21E3508"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7BE5493F"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637F1D2"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4B44C98C" w14:textId="77777777" w:rsidR="00FA0CA8" w:rsidRPr="001357D3" w:rsidRDefault="00FA0CA8" w:rsidP="00FA0CA8">
            <w:pPr>
              <w:spacing w:before="0" w:after="0"/>
              <w:jc w:val="center"/>
              <w:rPr>
                <w:noProof/>
              </w:rPr>
            </w:pPr>
            <w:r w:rsidRPr="001357D3">
              <w:rPr>
                <w:noProof/>
                <w:sz w:val="20"/>
              </w:rPr>
              <w:t>Rok</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8F4EBE8" w14:textId="77777777" w:rsidR="00FA0CA8" w:rsidRPr="001357D3" w:rsidRDefault="00FA0CA8" w:rsidP="00FA0CA8">
            <w:pPr>
              <w:spacing w:before="0" w:after="0"/>
              <w:jc w:val="center"/>
              <w:rPr>
                <w:noProof/>
              </w:rPr>
            </w:pPr>
            <w:r w:rsidRPr="001357D3">
              <w:rPr>
                <w:noProof/>
                <w:sz w:val="20"/>
              </w:rPr>
              <w:t>Rok</w:t>
            </w:r>
          </w:p>
        </w:tc>
        <w:tc>
          <w:tcPr>
            <w:tcW w:w="929" w:type="dxa"/>
            <w:tcBorders>
              <w:top w:val="single" w:sz="8" w:space="0" w:color="auto"/>
              <w:left w:val="single" w:sz="8" w:space="0" w:color="auto"/>
              <w:bottom w:val="nil"/>
              <w:right w:val="single" w:sz="8" w:space="0" w:color="auto"/>
            </w:tcBorders>
            <w:tcMar>
              <w:left w:w="108" w:type="dxa"/>
              <w:right w:w="108" w:type="dxa"/>
            </w:tcMar>
            <w:vAlign w:val="center"/>
          </w:tcPr>
          <w:p w14:paraId="570AFA46" w14:textId="77777777" w:rsidR="00FA0CA8" w:rsidRPr="001357D3" w:rsidRDefault="00FA0CA8" w:rsidP="00FA0CA8">
            <w:pPr>
              <w:spacing w:before="0" w:after="0"/>
              <w:jc w:val="center"/>
              <w:rPr>
                <w:noProof/>
              </w:rPr>
            </w:pPr>
            <w:r w:rsidRPr="001357D3">
              <w:rPr>
                <w:noProof/>
                <w:sz w:val="20"/>
              </w:rPr>
              <w:t>Rok</w:t>
            </w:r>
          </w:p>
        </w:tc>
      </w:tr>
      <w:tr w:rsidR="00D31917" w:rsidRPr="001357D3" w14:paraId="20325352" w14:textId="77777777">
        <w:trPr>
          <w:trHeight w:val="300"/>
        </w:trPr>
        <w:tc>
          <w:tcPr>
            <w:tcW w:w="2520" w:type="dxa"/>
            <w:gridSpan w:val="2"/>
            <w:vMerge/>
            <w:tcBorders>
              <w:left w:val="single" w:sz="0" w:space="0" w:color="auto"/>
              <w:bottom w:val="single" w:sz="0" w:space="0" w:color="000000" w:themeColor="text1"/>
              <w:right w:val="single" w:sz="0" w:space="0" w:color="000000" w:themeColor="text1"/>
            </w:tcBorders>
            <w:vAlign w:val="center"/>
          </w:tcPr>
          <w:p w14:paraId="6102755E" w14:textId="77777777" w:rsidR="00FA0CA8" w:rsidRPr="001357D3" w:rsidRDefault="00FA0CA8" w:rsidP="00FA0CA8">
            <w:pPr>
              <w:rPr>
                <w:noProof/>
              </w:rPr>
            </w:pPr>
          </w:p>
        </w:tc>
        <w:tc>
          <w:tcPr>
            <w:tcW w:w="935" w:type="dxa"/>
            <w:tcBorders>
              <w:top w:val="nil"/>
              <w:left w:val="nil"/>
              <w:bottom w:val="single" w:sz="8" w:space="0" w:color="auto"/>
              <w:right w:val="single" w:sz="8" w:space="0" w:color="auto"/>
            </w:tcBorders>
            <w:tcMar>
              <w:left w:w="108" w:type="dxa"/>
              <w:right w:w="108" w:type="dxa"/>
            </w:tcMar>
            <w:vAlign w:val="center"/>
          </w:tcPr>
          <w:p w14:paraId="365D7D80" w14:textId="77777777" w:rsidR="00FA0CA8" w:rsidRPr="001357D3" w:rsidRDefault="00FA0CA8" w:rsidP="00FA0CA8">
            <w:pPr>
              <w:spacing w:before="0" w:after="0"/>
              <w:jc w:val="center"/>
              <w:rPr>
                <w:noProof/>
              </w:rPr>
            </w:pPr>
            <w:r w:rsidRPr="001357D3">
              <w:rPr>
                <w:b/>
                <w:noProof/>
                <w:sz w:val="20"/>
              </w:rPr>
              <w:t>2028</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3BA475FC" w14:textId="77777777" w:rsidR="00FA0CA8" w:rsidRPr="001357D3" w:rsidRDefault="00FA0CA8" w:rsidP="00FA0CA8">
            <w:pPr>
              <w:spacing w:before="0" w:after="0"/>
              <w:jc w:val="center"/>
              <w:rPr>
                <w:noProof/>
              </w:rPr>
            </w:pPr>
            <w:r w:rsidRPr="001357D3">
              <w:rPr>
                <w:b/>
                <w:noProof/>
                <w:sz w:val="20"/>
              </w:rPr>
              <w:t>2029</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2F4F2043" w14:textId="77777777" w:rsidR="00FA0CA8" w:rsidRPr="001357D3" w:rsidRDefault="00FA0CA8" w:rsidP="00FA0CA8">
            <w:pPr>
              <w:spacing w:before="0" w:after="0"/>
              <w:jc w:val="center"/>
              <w:rPr>
                <w:noProof/>
              </w:rPr>
            </w:pPr>
            <w:r w:rsidRPr="001357D3">
              <w:rPr>
                <w:b/>
                <w:noProof/>
                <w:sz w:val="20"/>
              </w:rPr>
              <w:t>2030</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09956A68" w14:textId="77777777" w:rsidR="00FA0CA8" w:rsidRPr="001357D3" w:rsidRDefault="00FA0CA8" w:rsidP="00FA0CA8">
            <w:pPr>
              <w:spacing w:before="0" w:after="0"/>
              <w:jc w:val="center"/>
              <w:rPr>
                <w:noProof/>
              </w:rPr>
            </w:pPr>
            <w:r w:rsidRPr="001357D3">
              <w:rPr>
                <w:b/>
                <w:noProof/>
                <w:sz w:val="20"/>
              </w:rPr>
              <w:t>2031</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41FD6DF" w14:textId="77777777" w:rsidR="00FA0CA8" w:rsidRPr="001357D3" w:rsidRDefault="00FA0CA8" w:rsidP="00FA0CA8">
            <w:pPr>
              <w:spacing w:before="0" w:after="0"/>
              <w:jc w:val="center"/>
              <w:rPr>
                <w:noProof/>
              </w:rPr>
            </w:pPr>
            <w:r w:rsidRPr="001357D3">
              <w:rPr>
                <w:b/>
                <w:noProof/>
                <w:sz w:val="20"/>
              </w:rPr>
              <w:t>2032</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1483009B" w14:textId="77777777" w:rsidR="00FA0CA8" w:rsidRPr="001357D3" w:rsidRDefault="00FA0CA8" w:rsidP="00FA0CA8">
            <w:pPr>
              <w:spacing w:before="0" w:after="0"/>
              <w:jc w:val="center"/>
              <w:rPr>
                <w:noProof/>
              </w:rPr>
            </w:pPr>
            <w:r w:rsidRPr="001357D3">
              <w:rPr>
                <w:b/>
                <w:noProof/>
                <w:sz w:val="20"/>
              </w:rPr>
              <w:t>2033</w:t>
            </w:r>
          </w:p>
        </w:tc>
        <w:tc>
          <w:tcPr>
            <w:tcW w:w="929" w:type="dxa"/>
            <w:tcBorders>
              <w:top w:val="nil"/>
              <w:left w:val="single" w:sz="8" w:space="0" w:color="auto"/>
              <w:bottom w:val="single" w:sz="8" w:space="0" w:color="auto"/>
              <w:right w:val="single" w:sz="8" w:space="0" w:color="auto"/>
            </w:tcBorders>
            <w:tcMar>
              <w:left w:w="108" w:type="dxa"/>
              <w:right w:w="108" w:type="dxa"/>
            </w:tcMar>
            <w:vAlign w:val="center"/>
          </w:tcPr>
          <w:p w14:paraId="00BAFAC0" w14:textId="77777777" w:rsidR="00FA0CA8" w:rsidRPr="001357D3" w:rsidRDefault="00FA0CA8" w:rsidP="00FA0CA8">
            <w:pPr>
              <w:spacing w:before="0" w:after="0"/>
              <w:jc w:val="center"/>
              <w:rPr>
                <w:noProof/>
              </w:rPr>
            </w:pPr>
            <w:r w:rsidRPr="001357D3">
              <w:rPr>
                <w:b/>
                <w:noProof/>
                <w:sz w:val="20"/>
              </w:rPr>
              <w:t>2034</w:t>
            </w:r>
          </w:p>
        </w:tc>
      </w:tr>
      <w:tr w:rsidR="00D31917" w:rsidRPr="001357D3" w14:paraId="06D6271C" w14:textId="77777777">
        <w:trPr>
          <w:trHeight w:val="300"/>
        </w:trPr>
        <w:tc>
          <w:tcPr>
            <w:tcW w:w="9059" w:type="dxa"/>
            <w:gridSpan w:val="9"/>
            <w:tcBorders>
              <w:top w:val="nil"/>
              <w:left w:val="single" w:sz="8" w:space="0" w:color="auto"/>
              <w:bottom w:val="nil"/>
              <w:right w:val="nil"/>
            </w:tcBorders>
            <w:tcMar>
              <w:left w:w="108" w:type="dxa"/>
              <w:right w:w="108" w:type="dxa"/>
            </w:tcMar>
            <w:vAlign w:val="center"/>
          </w:tcPr>
          <w:p w14:paraId="45B333C7" w14:textId="0CDFB954" w:rsidR="00FA0CA8" w:rsidRPr="001357D3" w:rsidRDefault="00FA0CA8" w:rsidP="00FA0CA8">
            <w:pPr>
              <w:spacing w:before="0" w:after="0"/>
              <w:jc w:val="center"/>
              <w:rPr>
                <w:noProof/>
              </w:rPr>
            </w:pPr>
            <w:r w:rsidRPr="001357D3">
              <w:rPr>
                <w:b/>
                <w:noProof/>
                <w:sz w:val="16"/>
              </w:rPr>
              <w:t>Stanowiska przewidziane</w:t>
            </w:r>
            <w:r w:rsidR="001C6403" w:rsidRPr="001357D3">
              <w:rPr>
                <w:b/>
                <w:noProof/>
                <w:sz w:val="16"/>
              </w:rPr>
              <w:t xml:space="preserve"> w</w:t>
            </w:r>
            <w:r w:rsidR="001C6403">
              <w:rPr>
                <w:b/>
                <w:noProof/>
                <w:sz w:val="16"/>
              </w:rPr>
              <w:t> </w:t>
            </w:r>
            <w:r w:rsidR="001C6403" w:rsidRPr="001357D3">
              <w:rPr>
                <w:b/>
                <w:noProof/>
                <w:sz w:val="16"/>
              </w:rPr>
              <w:t>pla</w:t>
            </w:r>
            <w:r w:rsidRPr="001357D3">
              <w:rPr>
                <w:b/>
                <w:noProof/>
                <w:sz w:val="16"/>
              </w:rPr>
              <w:t>nie zatrudnienia (stanowiska urzędników</w:t>
            </w:r>
            <w:r w:rsidR="001C6403" w:rsidRPr="001357D3">
              <w:rPr>
                <w:b/>
                <w:noProof/>
                <w:sz w:val="16"/>
              </w:rPr>
              <w:t xml:space="preserve"> i</w:t>
            </w:r>
            <w:r w:rsidR="001C6403">
              <w:rPr>
                <w:b/>
                <w:noProof/>
                <w:sz w:val="16"/>
              </w:rPr>
              <w:t> </w:t>
            </w:r>
            <w:r w:rsidR="001C6403" w:rsidRPr="001357D3">
              <w:rPr>
                <w:b/>
                <w:noProof/>
                <w:sz w:val="16"/>
              </w:rPr>
              <w:t>pra</w:t>
            </w:r>
            <w:r w:rsidRPr="001357D3">
              <w:rPr>
                <w:b/>
                <w:noProof/>
                <w:sz w:val="16"/>
              </w:rPr>
              <w:t>cowników zatrudnionych na czas określony)</w:t>
            </w:r>
          </w:p>
        </w:tc>
      </w:tr>
      <w:tr w:rsidR="00D31917" w:rsidRPr="001357D3" w14:paraId="07958651" w14:textId="77777777">
        <w:trPr>
          <w:trHeight w:val="555"/>
        </w:trPr>
        <w:tc>
          <w:tcPr>
            <w:tcW w:w="2520" w:type="dxa"/>
            <w:gridSpan w:val="2"/>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60A715D1" w14:textId="75620977" w:rsidR="00FA0CA8" w:rsidRPr="001357D3" w:rsidRDefault="00FA0CA8" w:rsidP="00FA0CA8">
            <w:pPr>
              <w:spacing w:before="0" w:after="0"/>
              <w:ind w:firstLine="160"/>
              <w:jc w:val="left"/>
              <w:rPr>
                <w:noProof/>
              </w:rPr>
            </w:pPr>
            <w:r w:rsidRPr="001357D3">
              <w:rPr>
                <w:noProof/>
              </w:rPr>
              <w:t>20 01 02 01 (w centrali</w:t>
            </w:r>
            <w:r w:rsidR="001C6403" w:rsidRPr="001357D3">
              <w:rPr>
                <w:noProof/>
              </w:rPr>
              <w:t xml:space="preserve"> i</w:t>
            </w:r>
            <w:r w:rsidR="001C6403">
              <w:rPr>
                <w:noProof/>
              </w:rPr>
              <w:t> </w:t>
            </w:r>
            <w:r w:rsidR="001C6403" w:rsidRPr="001357D3">
              <w:rPr>
                <w:noProof/>
              </w:rPr>
              <w:t>w</w:t>
            </w:r>
            <w:r w:rsidR="001C6403">
              <w:rPr>
                <w:noProof/>
              </w:rPr>
              <w:t> </w:t>
            </w:r>
            <w:r w:rsidR="001C6403" w:rsidRPr="001357D3">
              <w:rPr>
                <w:noProof/>
              </w:rPr>
              <w:t>biu</w:t>
            </w:r>
            <w:r w:rsidRPr="001357D3">
              <w:rPr>
                <w:noProof/>
              </w:rPr>
              <w:t>rach przedstawicielstw Komisji)</w:t>
            </w:r>
          </w:p>
        </w:tc>
        <w:tc>
          <w:tcPr>
            <w:tcW w:w="935" w:type="dxa"/>
            <w:tcBorders>
              <w:top w:val="nil"/>
              <w:left w:val="nil"/>
              <w:bottom w:val="single" w:sz="6" w:space="0" w:color="auto"/>
              <w:right w:val="single" w:sz="6" w:space="0" w:color="auto"/>
            </w:tcBorders>
            <w:shd w:val="clear" w:color="auto" w:fill="D9D9D9" w:themeFill="background1" w:themeFillShade="D9"/>
            <w:tcMar>
              <w:left w:w="108" w:type="dxa"/>
              <w:right w:w="108" w:type="dxa"/>
            </w:tcMar>
            <w:vAlign w:val="center"/>
          </w:tcPr>
          <w:p w14:paraId="04FCD90F" w14:textId="77777777" w:rsidR="00FA0CA8" w:rsidRPr="001357D3" w:rsidRDefault="00FA0CA8" w:rsidP="00FA0CA8">
            <w:pPr>
              <w:spacing w:before="0" w:after="0"/>
              <w:jc w:val="center"/>
              <w:rPr>
                <w:noProof/>
              </w:rPr>
            </w:pPr>
            <w:r w:rsidRPr="001357D3">
              <w:rPr>
                <w:noProof/>
                <w:sz w:val="16"/>
              </w:rPr>
              <w:t>45</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731FB7AA" w14:textId="2914B0F2" w:rsidR="00FA0CA8" w:rsidRPr="001357D3" w:rsidRDefault="00FA0CA8" w:rsidP="00FA0CA8">
            <w:pPr>
              <w:spacing w:before="0" w:after="0"/>
              <w:jc w:val="center"/>
              <w:rPr>
                <w:noProof/>
              </w:rPr>
            </w:pPr>
            <w:r w:rsidRPr="001357D3">
              <w:rPr>
                <w:noProof/>
                <w:sz w:val="16"/>
              </w:rPr>
              <w:t xml:space="preserve">45 </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22D5DCD6" w14:textId="77777777" w:rsidR="00FA0CA8" w:rsidRPr="001357D3" w:rsidRDefault="00FA0CA8" w:rsidP="00FA0CA8">
            <w:pPr>
              <w:spacing w:before="0" w:after="0"/>
              <w:jc w:val="center"/>
              <w:rPr>
                <w:rFonts w:eastAsia="Times New Roman"/>
                <w:noProof/>
                <w:sz w:val="16"/>
                <w:szCs w:val="16"/>
              </w:rPr>
            </w:pPr>
          </w:p>
          <w:p w14:paraId="0185BCC3"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02A72F1A" w14:textId="77777777" w:rsidR="00FA0CA8" w:rsidRPr="001357D3" w:rsidRDefault="00FA0CA8" w:rsidP="00FA0CA8">
            <w:pPr>
              <w:spacing w:before="0" w:after="0"/>
              <w:jc w:val="center"/>
              <w:rPr>
                <w:noProof/>
              </w:rPr>
            </w:pP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62C6BD01" w14:textId="77777777" w:rsidR="00FA0CA8" w:rsidRPr="001357D3" w:rsidRDefault="00FA0CA8" w:rsidP="00FA0CA8">
            <w:pPr>
              <w:spacing w:before="0" w:after="0"/>
              <w:jc w:val="center"/>
              <w:rPr>
                <w:rFonts w:eastAsia="Times New Roman"/>
                <w:noProof/>
                <w:sz w:val="16"/>
                <w:szCs w:val="16"/>
              </w:rPr>
            </w:pPr>
          </w:p>
          <w:p w14:paraId="7D4DBC6A"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2A42396D" w14:textId="77777777" w:rsidR="00FA0CA8" w:rsidRPr="001357D3" w:rsidRDefault="00FA0CA8" w:rsidP="00FA0CA8">
            <w:pPr>
              <w:spacing w:before="0" w:after="0"/>
              <w:jc w:val="center"/>
              <w:rPr>
                <w:noProof/>
              </w:rPr>
            </w:pP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49A1DB72" w14:textId="77777777" w:rsidR="00FA0CA8" w:rsidRPr="001357D3" w:rsidRDefault="00FA0CA8" w:rsidP="00FA0CA8">
            <w:pPr>
              <w:spacing w:before="0" w:after="0"/>
              <w:jc w:val="center"/>
              <w:rPr>
                <w:rFonts w:eastAsia="Times New Roman"/>
                <w:noProof/>
                <w:sz w:val="16"/>
                <w:szCs w:val="16"/>
              </w:rPr>
            </w:pPr>
          </w:p>
          <w:p w14:paraId="616C7DE0"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1A25F5EF" w14:textId="77777777" w:rsidR="00FA0CA8" w:rsidRPr="001357D3" w:rsidRDefault="00FA0CA8" w:rsidP="00FA0CA8">
            <w:pPr>
              <w:spacing w:before="0" w:after="0"/>
              <w:jc w:val="center"/>
              <w:rPr>
                <w:noProof/>
              </w:rPr>
            </w:pP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3D589975" w14:textId="77777777" w:rsidR="00FA0CA8" w:rsidRPr="001357D3" w:rsidRDefault="00FA0CA8" w:rsidP="00FA0CA8">
            <w:pPr>
              <w:spacing w:before="0" w:after="0"/>
              <w:jc w:val="center"/>
              <w:rPr>
                <w:rFonts w:eastAsia="Times New Roman"/>
                <w:noProof/>
                <w:sz w:val="16"/>
                <w:szCs w:val="16"/>
              </w:rPr>
            </w:pPr>
          </w:p>
          <w:p w14:paraId="0B03E9DC"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302F53EC" w14:textId="77777777" w:rsidR="00FA0CA8" w:rsidRPr="001357D3" w:rsidRDefault="00FA0CA8" w:rsidP="00FA0CA8">
            <w:pPr>
              <w:spacing w:before="0" w:after="0"/>
              <w:jc w:val="center"/>
              <w:rPr>
                <w:noProof/>
              </w:rPr>
            </w:pPr>
          </w:p>
        </w:tc>
        <w:tc>
          <w:tcPr>
            <w:tcW w:w="929"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22B344A6" w14:textId="77777777" w:rsidR="00FA0CA8" w:rsidRPr="001357D3" w:rsidRDefault="00FA0CA8" w:rsidP="00FA0CA8">
            <w:pPr>
              <w:spacing w:before="0" w:after="0"/>
              <w:jc w:val="center"/>
              <w:rPr>
                <w:rFonts w:eastAsia="Times New Roman"/>
                <w:noProof/>
                <w:sz w:val="16"/>
                <w:szCs w:val="16"/>
              </w:rPr>
            </w:pPr>
          </w:p>
          <w:p w14:paraId="525D6BD2" w14:textId="77777777" w:rsidR="00FA0CA8" w:rsidRPr="001357D3" w:rsidRDefault="00FA0CA8" w:rsidP="00FA0CA8">
            <w:pPr>
              <w:spacing w:before="0" w:after="0"/>
              <w:jc w:val="center"/>
              <w:rPr>
                <w:rFonts w:eastAsia="Times New Roman"/>
                <w:noProof/>
                <w:sz w:val="16"/>
                <w:szCs w:val="16"/>
              </w:rPr>
            </w:pPr>
            <w:r w:rsidRPr="001357D3">
              <w:rPr>
                <w:noProof/>
                <w:sz w:val="16"/>
              </w:rPr>
              <w:t>45</w:t>
            </w:r>
          </w:p>
          <w:p w14:paraId="64FE371F" w14:textId="77777777" w:rsidR="00FA0CA8" w:rsidRPr="001357D3" w:rsidRDefault="00FA0CA8" w:rsidP="00FA0CA8">
            <w:pPr>
              <w:spacing w:before="0" w:after="0"/>
              <w:jc w:val="center"/>
              <w:rPr>
                <w:noProof/>
              </w:rPr>
            </w:pPr>
          </w:p>
        </w:tc>
      </w:tr>
      <w:tr w:rsidR="00D31917" w:rsidRPr="001357D3" w14:paraId="632A782C"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E4E940A" w14:textId="77777777" w:rsidR="00FA0CA8" w:rsidRPr="001357D3" w:rsidRDefault="00FA0CA8" w:rsidP="00FA0CA8">
            <w:pPr>
              <w:spacing w:before="0" w:after="0"/>
              <w:ind w:firstLine="160"/>
              <w:jc w:val="left"/>
              <w:rPr>
                <w:noProof/>
              </w:rPr>
            </w:pPr>
            <w:r w:rsidRPr="001357D3">
              <w:rPr>
                <w:noProof/>
                <w:sz w:val="16"/>
              </w:rPr>
              <w:t>20 01 02 03 (w delegaturach UE)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792097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81FF2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269525"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3490B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9FD80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2E61F3"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707AF9" w14:textId="77777777" w:rsidR="00FA0CA8" w:rsidRPr="001357D3" w:rsidRDefault="00FA0CA8" w:rsidP="00FA0CA8">
            <w:pPr>
              <w:spacing w:before="0" w:after="0"/>
              <w:jc w:val="center"/>
              <w:rPr>
                <w:noProof/>
              </w:rPr>
            </w:pPr>
            <w:r w:rsidRPr="001357D3">
              <w:rPr>
                <w:noProof/>
                <w:sz w:val="16"/>
              </w:rPr>
              <w:t>0</w:t>
            </w:r>
          </w:p>
        </w:tc>
      </w:tr>
      <w:tr w:rsidR="00D31917" w:rsidRPr="001357D3" w14:paraId="11DEB7F3" w14:textId="77777777">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F512864" w14:textId="29A2FD9C" w:rsidR="00FA0CA8" w:rsidRPr="001357D3" w:rsidRDefault="00FA0CA8" w:rsidP="00FA0CA8">
            <w:pPr>
              <w:spacing w:before="0" w:after="0"/>
              <w:ind w:firstLine="160"/>
              <w:jc w:val="left"/>
              <w:rPr>
                <w:noProof/>
              </w:rPr>
            </w:pPr>
            <w:r w:rsidRPr="001357D3">
              <w:rPr>
                <w:noProof/>
                <w:sz w:val="16"/>
              </w:rPr>
              <w:t>(pośrednie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787809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5BCE15"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FDD73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354B4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964395"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AB5B9B"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E63727" w14:textId="77777777" w:rsidR="00FA0CA8" w:rsidRPr="001357D3" w:rsidRDefault="00FA0CA8" w:rsidP="00FA0CA8">
            <w:pPr>
              <w:spacing w:before="0" w:after="0"/>
              <w:jc w:val="center"/>
              <w:rPr>
                <w:noProof/>
              </w:rPr>
            </w:pPr>
            <w:r w:rsidRPr="001357D3">
              <w:rPr>
                <w:noProof/>
                <w:sz w:val="16"/>
              </w:rPr>
              <w:t>0</w:t>
            </w:r>
          </w:p>
        </w:tc>
      </w:tr>
      <w:tr w:rsidR="00D31917" w:rsidRPr="001357D3" w14:paraId="3482B311"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843A485" w14:textId="20A2D59F" w:rsidR="00FA0CA8" w:rsidRPr="001357D3" w:rsidRDefault="00FA0CA8" w:rsidP="00FA0CA8">
            <w:pPr>
              <w:spacing w:before="0" w:after="0"/>
              <w:ind w:firstLine="160"/>
              <w:jc w:val="left"/>
              <w:rPr>
                <w:noProof/>
              </w:rPr>
            </w:pPr>
            <w:r w:rsidRPr="001357D3">
              <w:rPr>
                <w:noProof/>
                <w:sz w:val="16"/>
              </w:rPr>
              <w:t>(bezpośrednie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60B417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DBEA3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B62F34"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3DC03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0323F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89B58"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BC512B" w14:textId="77777777" w:rsidR="00FA0CA8" w:rsidRPr="001357D3" w:rsidRDefault="00FA0CA8" w:rsidP="00FA0CA8">
            <w:pPr>
              <w:spacing w:before="0" w:after="0"/>
              <w:jc w:val="center"/>
              <w:rPr>
                <w:noProof/>
              </w:rPr>
            </w:pPr>
            <w:r w:rsidRPr="001357D3">
              <w:rPr>
                <w:noProof/>
                <w:sz w:val="16"/>
              </w:rPr>
              <w:t>0</w:t>
            </w:r>
          </w:p>
        </w:tc>
      </w:tr>
      <w:tr w:rsidR="00D31917" w:rsidRPr="001357D3" w14:paraId="537F5DF4"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51C61DA" w14:textId="77777777" w:rsidR="00FA0CA8" w:rsidRPr="001357D3" w:rsidRDefault="00FA0CA8" w:rsidP="00FA0CA8">
            <w:pPr>
              <w:spacing w:before="0" w:after="0"/>
              <w:ind w:firstLine="160"/>
              <w:jc w:val="left"/>
              <w:rPr>
                <w:noProof/>
              </w:rPr>
            </w:pPr>
            <w:r w:rsidRPr="001357D3">
              <w:rPr>
                <w:noProof/>
                <w:sz w:val="16"/>
              </w:rPr>
              <w:t>Inna linia budżetowa (określić)</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CE2B764"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A2774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C7CE7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4890FB"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EEE0A6"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2D16B3"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CC9510" w14:textId="77777777" w:rsidR="00FA0CA8" w:rsidRPr="001357D3" w:rsidRDefault="00FA0CA8" w:rsidP="00FA0CA8">
            <w:pPr>
              <w:spacing w:before="0" w:after="0"/>
              <w:jc w:val="center"/>
              <w:rPr>
                <w:noProof/>
              </w:rPr>
            </w:pPr>
            <w:r w:rsidRPr="001357D3">
              <w:rPr>
                <w:noProof/>
                <w:sz w:val="16"/>
              </w:rPr>
              <w:t>0</w:t>
            </w:r>
          </w:p>
        </w:tc>
      </w:tr>
      <w:tr w:rsidR="00D31917" w:rsidRPr="001357D3" w14:paraId="4CE4D6EE" w14:textId="77777777">
        <w:trPr>
          <w:trHeight w:val="300"/>
        </w:trPr>
        <w:tc>
          <w:tcPr>
            <w:tcW w:w="9059" w:type="dxa"/>
            <w:gridSpan w:val="9"/>
            <w:tcBorders>
              <w:top w:val="single" w:sz="8" w:space="0" w:color="auto"/>
              <w:left w:val="single" w:sz="8" w:space="0" w:color="auto"/>
              <w:bottom w:val="nil"/>
              <w:right w:val="single" w:sz="8" w:space="0" w:color="000000" w:themeColor="text1"/>
            </w:tcBorders>
            <w:tcMar>
              <w:left w:w="108" w:type="dxa"/>
              <w:right w:w="108" w:type="dxa"/>
            </w:tcMar>
            <w:vAlign w:val="center"/>
          </w:tcPr>
          <w:p w14:paraId="58443CFF" w14:textId="77777777" w:rsidR="00FA0CA8" w:rsidRPr="001357D3" w:rsidRDefault="00FA0CA8" w:rsidP="00FA0CA8">
            <w:pPr>
              <w:spacing w:before="0" w:after="0"/>
              <w:jc w:val="center"/>
              <w:rPr>
                <w:noProof/>
              </w:rPr>
            </w:pPr>
            <w:r w:rsidRPr="001357D3">
              <w:rPr>
                <w:rFonts w:ascii="Calibri" w:hAnsi="Calibri"/>
                <w:b/>
                <w:noProof/>
                <w:sz w:val="16"/>
              </w:rPr>
              <w:t>•</w:t>
            </w:r>
            <w:r w:rsidRPr="001357D3">
              <w:rPr>
                <w:b/>
                <w:noProof/>
                <w:sz w:val="16"/>
              </w:rPr>
              <w:t xml:space="preserve"> Personel zewnętrzny (w EPC)</w:t>
            </w:r>
          </w:p>
        </w:tc>
      </w:tr>
      <w:tr w:rsidR="00D31917" w:rsidRPr="001357D3" w14:paraId="109D8D59" w14:textId="77777777">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164F91" w14:textId="67D92937" w:rsidR="00FA0CA8" w:rsidRPr="001357D3" w:rsidRDefault="00FA0CA8" w:rsidP="00FA0CA8">
            <w:pPr>
              <w:spacing w:before="0" w:after="0"/>
              <w:ind w:firstLine="160"/>
              <w:jc w:val="left"/>
              <w:rPr>
                <w:noProof/>
              </w:rPr>
            </w:pPr>
            <w:r w:rsidRPr="001357D3">
              <w:rPr>
                <w:noProof/>
                <w:sz w:val="16"/>
              </w:rPr>
              <w:t>20 02 01</w:t>
            </w:r>
            <w:r w:rsidRPr="001357D3">
              <w:rPr>
                <w:rFonts w:ascii="Arial Narrow" w:hAnsi="Arial Narrow"/>
                <w:noProof/>
                <w:sz w:val="20"/>
              </w:rPr>
              <w:t xml:space="preserve"> </w:t>
            </w:r>
            <w:r w:rsidRPr="001357D3">
              <w:rPr>
                <w:noProof/>
                <w:sz w:val="16"/>
              </w:rPr>
              <w:t>(CA, SNE</w:t>
            </w:r>
            <w:r w:rsidR="001C6403" w:rsidRPr="001357D3">
              <w:rPr>
                <w:noProof/>
                <w:sz w:val="16"/>
              </w:rPr>
              <w:t xml:space="preserve"> z</w:t>
            </w:r>
            <w:r w:rsidR="001C6403">
              <w:rPr>
                <w:noProof/>
                <w:sz w:val="16"/>
              </w:rPr>
              <w:t> </w:t>
            </w:r>
            <w:r w:rsidR="001C6403" w:rsidRPr="001357D3">
              <w:rPr>
                <w:noProof/>
                <w:sz w:val="16"/>
              </w:rPr>
              <w:t>glo</w:t>
            </w:r>
            <w:r w:rsidRPr="001357D3">
              <w:rPr>
                <w:noProof/>
                <w:sz w:val="16"/>
              </w:rPr>
              <w:t>balnej koperty finansowej)</w:t>
            </w:r>
          </w:p>
        </w:tc>
        <w:tc>
          <w:tcPr>
            <w:tcW w:w="935" w:type="dxa"/>
            <w:tcBorders>
              <w:top w:val="nil"/>
              <w:left w:val="nil"/>
              <w:bottom w:val="single" w:sz="6" w:space="0" w:color="auto"/>
              <w:right w:val="single" w:sz="6" w:space="0" w:color="auto"/>
            </w:tcBorders>
            <w:shd w:val="clear" w:color="auto" w:fill="D9D9D9" w:themeFill="background1" w:themeFillShade="D9"/>
            <w:tcMar>
              <w:left w:w="108" w:type="dxa"/>
              <w:right w:w="108" w:type="dxa"/>
            </w:tcMar>
            <w:vAlign w:val="center"/>
          </w:tcPr>
          <w:p w14:paraId="2CF71EC1" w14:textId="77777777" w:rsidR="00FA0CA8" w:rsidRPr="001357D3" w:rsidRDefault="00FA0CA8" w:rsidP="00FA0CA8">
            <w:pPr>
              <w:spacing w:before="0" w:after="0"/>
              <w:jc w:val="center"/>
              <w:rPr>
                <w:noProof/>
              </w:rPr>
            </w:pPr>
            <w:r w:rsidRPr="001357D3">
              <w:rPr>
                <w:noProof/>
                <w:sz w:val="16"/>
              </w:rPr>
              <w:t>10</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1F63AAFC" w14:textId="77777777" w:rsidR="00FA0CA8" w:rsidRPr="001357D3" w:rsidRDefault="00FA0CA8" w:rsidP="00FA0CA8">
            <w:pPr>
              <w:spacing w:before="0" w:after="0"/>
              <w:jc w:val="center"/>
              <w:rPr>
                <w:noProof/>
              </w:rPr>
            </w:pPr>
            <w:r w:rsidRPr="001357D3">
              <w:rPr>
                <w:noProof/>
                <w:sz w:val="16"/>
              </w:rPr>
              <w:t>10</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4DA339FF" w14:textId="77777777" w:rsidR="00FA0CA8" w:rsidRPr="001357D3" w:rsidRDefault="00FA0CA8" w:rsidP="00FA0CA8">
            <w:pPr>
              <w:spacing w:before="0" w:after="0"/>
              <w:jc w:val="center"/>
              <w:rPr>
                <w:noProof/>
              </w:rPr>
            </w:pPr>
            <w:r w:rsidRPr="001357D3">
              <w:rPr>
                <w:noProof/>
                <w:sz w:val="16"/>
              </w:rPr>
              <w:t>10</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09F4CB2D" w14:textId="77777777" w:rsidR="00FA0CA8" w:rsidRPr="001357D3" w:rsidRDefault="00FA0CA8" w:rsidP="00FA0CA8">
            <w:pPr>
              <w:spacing w:before="0" w:after="0"/>
              <w:jc w:val="center"/>
              <w:rPr>
                <w:noProof/>
              </w:rPr>
            </w:pPr>
            <w:r w:rsidRPr="001357D3">
              <w:rPr>
                <w:noProof/>
                <w:sz w:val="16"/>
              </w:rPr>
              <w:t>10</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0F23212B" w14:textId="77777777" w:rsidR="00FA0CA8" w:rsidRPr="001357D3" w:rsidRDefault="00FA0CA8" w:rsidP="00FA0CA8">
            <w:pPr>
              <w:spacing w:before="0" w:after="0"/>
              <w:jc w:val="center"/>
              <w:rPr>
                <w:noProof/>
              </w:rPr>
            </w:pPr>
            <w:r w:rsidRPr="001357D3">
              <w:rPr>
                <w:noProof/>
                <w:sz w:val="16"/>
              </w:rPr>
              <w:t>10</w:t>
            </w:r>
          </w:p>
        </w:tc>
        <w:tc>
          <w:tcPr>
            <w:tcW w:w="935"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51BC1B5A" w14:textId="77777777" w:rsidR="00FA0CA8" w:rsidRPr="001357D3" w:rsidRDefault="00FA0CA8" w:rsidP="00FA0CA8">
            <w:pPr>
              <w:spacing w:before="0" w:after="0"/>
              <w:jc w:val="center"/>
              <w:rPr>
                <w:noProof/>
              </w:rPr>
            </w:pPr>
            <w:r w:rsidRPr="001357D3">
              <w:rPr>
                <w:noProof/>
                <w:sz w:val="16"/>
              </w:rPr>
              <w:t>10</w:t>
            </w:r>
          </w:p>
        </w:tc>
        <w:tc>
          <w:tcPr>
            <w:tcW w:w="929" w:type="dxa"/>
            <w:tcBorders>
              <w:top w:val="nil"/>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38723665" w14:textId="77777777" w:rsidR="00FA0CA8" w:rsidRPr="001357D3" w:rsidRDefault="00FA0CA8" w:rsidP="00FA0CA8">
            <w:pPr>
              <w:spacing w:before="0" w:after="0"/>
              <w:jc w:val="center"/>
              <w:rPr>
                <w:noProof/>
              </w:rPr>
            </w:pPr>
            <w:r w:rsidRPr="001357D3">
              <w:rPr>
                <w:noProof/>
                <w:sz w:val="16"/>
              </w:rPr>
              <w:t>10</w:t>
            </w:r>
          </w:p>
        </w:tc>
      </w:tr>
      <w:tr w:rsidR="00D31917" w:rsidRPr="001357D3" w14:paraId="098EF56A" w14:textId="77777777">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7443BD8" w14:textId="576246CF" w:rsidR="00FA0CA8" w:rsidRPr="001357D3" w:rsidRDefault="00FA0CA8" w:rsidP="00FA0CA8">
            <w:pPr>
              <w:spacing w:before="0" w:after="0"/>
              <w:ind w:firstLine="160"/>
              <w:jc w:val="left"/>
              <w:rPr>
                <w:noProof/>
              </w:rPr>
            </w:pPr>
            <w:r w:rsidRPr="001357D3">
              <w:rPr>
                <w:noProof/>
                <w:sz w:val="16"/>
              </w:rPr>
              <w:t>20 02 03 (CA, LA, SNE i JPD</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egaturach UE)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FB87CE6"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9C5C9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981EC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E1E561"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29845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C6F018"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F5B78A" w14:textId="77777777" w:rsidR="00FA0CA8" w:rsidRPr="001357D3" w:rsidRDefault="00FA0CA8" w:rsidP="00FA0CA8">
            <w:pPr>
              <w:spacing w:before="0" w:after="0"/>
              <w:jc w:val="center"/>
              <w:rPr>
                <w:noProof/>
              </w:rPr>
            </w:pPr>
            <w:r w:rsidRPr="001357D3">
              <w:rPr>
                <w:noProof/>
                <w:sz w:val="16"/>
              </w:rPr>
              <w:t>0</w:t>
            </w:r>
          </w:p>
        </w:tc>
      </w:tr>
      <w:tr w:rsidR="00D31917" w:rsidRPr="001357D3" w14:paraId="1A48C760" w14:textId="77777777">
        <w:trPr>
          <w:trHeight w:val="645"/>
        </w:trPr>
        <w:tc>
          <w:tcPr>
            <w:tcW w:w="1389" w:type="dxa"/>
            <w:tcBorders>
              <w:top w:val="single" w:sz="8" w:space="0" w:color="auto"/>
              <w:left w:val="single" w:sz="8" w:space="0" w:color="auto"/>
              <w:bottom w:val="nil"/>
              <w:right w:val="single" w:sz="8" w:space="0" w:color="000000" w:themeColor="text1"/>
            </w:tcBorders>
            <w:tcMar>
              <w:left w:w="108" w:type="dxa"/>
              <w:right w:w="108" w:type="dxa"/>
            </w:tcMar>
            <w:vAlign w:val="center"/>
          </w:tcPr>
          <w:p w14:paraId="4C699389" w14:textId="77777777" w:rsidR="00FA0CA8" w:rsidRPr="001357D3" w:rsidRDefault="00FA0CA8" w:rsidP="00FA0CA8">
            <w:pPr>
              <w:spacing w:before="0" w:after="0"/>
              <w:jc w:val="center"/>
              <w:rPr>
                <w:noProof/>
              </w:rPr>
            </w:pPr>
            <w:r w:rsidRPr="001357D3">
              <w:rPr>
                <w:noProof/>
                <w:sz w:val="16"/>
              </w:rPr>
              <w:t>Linia budżetowa na wsparcie adm.</w:t>
            </w:r>
          </w:p>
        </w:tc>
        <w:tc>
          <w:tcPr>
            <w:tcW w:w="1131"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094DD92C" w14:textId="79400CE3" w:rsidR="00FA0CA8" w:rsidRPr="001357D3" w:rsidRDefault="00FA0CA8" w:rsidP="00FA0CA8">
            <w:pPr>
              <w:spacing w:before="0" w:after="0"/>
              <w:ind w:firstLine="160"/>
              <w:jc w:val="left"/>
              <w:rPr>
                <w:noProof/>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cen</w:t>
            </w:r>
            <w:r w:rsidRPr="001357D3">
              <w:rPr>
                <w:noProof/>
                <w:sz w:val="16"/>
              </w:rPr>
              <w:t>trali</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911DC4" w14:textId="19D505E3" w:rsidR="00FA0CA8" w:rsidRPr="001357D3" w:rsidRDefault="00DE357E" w:rsidP="00FA0CA8">
            <w:pPr>
              <w:spacing w:before="0" w:after="0"/>
              <w:jc w:val="center"/>
              <w:rPr>
                <w:noProof/>
              </w:rPr>
            </w:pPr>
            <w:r w:rsidRPr="001357D3">
              <w:rPr>
                <w:noProof/>
                <w:sz w:val="16"/>
              </w:rPr>
              <w:t>5</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2FA531" w14:textId="1C4FA45E" w:rsidR="00FA0CA8" w:rsidRPr="001357D3" w:rsidRDefault="00DE357E" w:rsidP="00FA0CA8">
            <w:pPr>
              <w:spacing w:before="0" w:after="0"/>
              <w:jc w:val="center"/>
              <w:rPr>
                <w:noProof/>
              </w:rPr>
            </w:pPr>
            <w:r w:rsidRPr="001357D3">
              <w:rPr>
                <w:noProof/>
                <w:sz w:val="16"/>
              </w:rPr>
              <w:t>5</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E14375" w14:textId="366167E4" w:rsidR="00FA0CA8" w:rsidRPr="001357D3" w:rsidRDefault="00DE357E" w:rsidP="00FA0CA8">
            <w:pPr>
              <w:spacing w:before="0" w:after="0"/>
              <w:jc w:val="center"/>
              <w:rPr>
                <w:noProof/>
              </w:rPr>
            </w:pPr>
            <w:r w:rsidRPr="001357D3">
              <w:rPr>
                <w:noProof/>
                <w:sz w:val="16"/>
              </w:rPr>
              <w:t>5</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E5C6AE" w14:textId="51DB6314" w:rsidR="00FA0CA8" w:rsidRPr="001357D3" w:rsidRDefault="00DE357E" w:rsidP="00FA0CA8">
            <w:pPr>
              <w:spacing w:before="0" w:after="0"/>
              <w:jc w:val="center"/>
              <w:rPr>
                <w:noProof/>
              </w:rPr>
            </w:pPr>
            <w:r w:rsidRPr="001357D3">
              <w:rPr>
                <w:noProof/>
                <w:sz w:val="16"/>
              </w:rPr>
              <w:t>5</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03DFA0" w14:textId="6874DA84" w:rsidR="00FA0CA8" w:rsidRPr="001357D3" w:rsidRDefault="00DE357E" w:rsidP="00FA0CA8">
            <w:pPr>
              <w:spacing w:before="0" w:after="0"/>
              <w:jc w:val="center"/>
              <w:rPr>
                <w:noProof/>
              </w:rPr>
            </w:pPr>
            <w:r w:rsidRPr="001357D3">
              <w:rPr>
                <w:noProof/>
                <w:sz w:val="16"/>
              </w:rPr>
              <w:t>5</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A6AB81" w14:textId="65EFFB81" w:rsidR="00FA0CA8" w:rsidRPr="001357D3" w:rsidRDefault="00DE357E" w:rsidP="00FA0CA8">
            <w:pPr>
              <w:spacing w:before="0" w:after="0"/>
              <w:jc w:val="center"/>
              <w:rPr>
                <w:noProof/>
              </w:rPr>
            </w:pPr>
            <w:r w:rsidRPr="001357D3">
              <w:rPr>
                <w:noProof/>
                <w:sz w:val="16"/>
              </w:rPr>
              <w:t>5</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0E5E6A" w14:textId="42905FE0" w:rsidR="00FA0CA8" w:rsidRPr="001357D3" w:rsidRDefault="00DE357E" w:rsidP="00FA0CA8">
            <w:pPr>
              <w:spacing w:before="0" w:after="0"/>
              <w:jc w:val="center"/>
              <w:rPr>
                <w:noProof/>
              </w:rPr>
            </w:pPr>
            <w:r w:rsidRPr="001357D3">
              <w:rPr>
                <w:noProof/>
                <w:sz w:val="16"/>
              </w:rPr>
              <w:t>5</w:t>
            </w:r>
          </w:p>
        </w:tc>
      </w:tr>
      <w:tr w:rsidR="00D31917" w:rsidRPr="001357D3" w14:paraId="02151F22" w14:textId="77777777">
        <w:trPr>
          <w:trHeight w:val="435"/>
        </w:trPr>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7515708F" w14:textId="7DDF598F" w:rsidR="00FA0CA8" w:rsidRPr="001357D3" w:rsidRDefault="00DE357E" w:rsidP="00FA0CA8">
            <w:pPr>
              <w:spacing w:before="0" w:after="0"/>
              <w:jc w:val="center"/>
              <w:rPr>
                <w:noProof/>
              </w:rPr>
            </w:pPr>
            <w:r w:rsidRPr="001357D3">
              <w:rPr>
                <w:noProof/>
                <w:sz w:val="16"/>
              </w:rPr>
              <w:t>06 01 04</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8C111D" w14:textId="1A2752F1" w:rsidR="00FA0CA8" w:rsidRPr="001357D3" w:rsidRDefault="00FA0CA8" w:rsidP="00FA0CA8">
            <w:pPr>
              <w:spacing w:before="0" w:after="0"/>
              <w:ind w:firstLine="160"/>
              <w:jc w:val="left"/>
              <w:rPr>
                <w:noProof/>
              </w:rPr>
            </w:pPr>
            <w:r w:rsidRPr="001357D3">
              <w:rPr>
                <w:noProof/>
                <w:sz w:val="16"/>
              </w:rPr>
              <w:t>-</w:t>
            </w:r>
            <w:r w:rsidR="001C6403" w:rsidRPr="001357D3">
              <w:rPr>
                <w:noProof/>
                <w:sz w:val="16"/>
              </w:rPr>
              <w:t xml:space="preserve"> w</w:t>
            </w:r>
            <w:r w:rsidR="001C6403">
              <w:rPr>
                <w:noProof/>
                <w:sz w:val="16"/>
              </w:rPr>
              <w:t> </w:t>
            </w:r>
            <w:r w:rsidR="001C6403" w:rsidRPr="001357D3">
              <w:rPr>
                <w:noProof/>
                <w:sz w:val="16"/>
              </w:rPr>
              <w:t>del</w:t>
            </w:r>
            <w:r w:rsidRPr="001357D3">
              <w:rPr>
                <w:noProof/>
                <w:sz w:val="16"/>
              </w:rPr>
              <w:t xml:space="preserve">egaturach UE </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79666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5AEB63"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0530F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348B8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D9E0C2"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905215"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A9E724" w14:textId="77777777" w:rsidR="00FA0CA8" w:rsidRPr="001357D3" w:rsidRDefault="00FA0CA8" w:rsidP="00FA0CA8">
            <w:pPr>
              <w:spacing w:before="0" w:after="0"/>
              <w:jc w:val="center"/>
              <w:rPr>
                <w:noProof/>
              </w:rPr>
            </w:pPr>
            <w:r w:rsidRPr="001357D3">
              <w:rPr>
                <w:noProof/>
                <w:sz w:val="16"/>
              </w:rPr>
              <w:t>0</w:t>
            </w:r>
          </w:p>
        </w:tc>
      </w:tr>
      <w:tr w:rsidR="00D31917" w:rsidRPr="001357D3" w14:paraId="0A56024B" w14:textId="77777777">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F5800AA" w14:textId="556750F3" w:rsidR="00FA0CA8" w:rsidRPr="001357D3" w:rsidRDefault="00FA0CA8" w:rsidP="00FA0CA8">
            <w:pPr>
              <w:spacing w:before="0" w:after="0"/>
              <w:ind w:firstLine="200"/>
              <w:jc w:val="left"/>
              <w:rPr>
                <w:noProof/>
              </w:rPr>
            </w:pPr>
            <w:r w:rsidRPr="001357D3">
              <w:rPr>
                <w:noProof/>
                <w:sz w:val="16"/>
              </w:rPr>
              <w:t>(CA, SNE – 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E1E6521"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1A9EF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5267CA"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64915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28921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79743D"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6D39FA" w14:textId="77777777" w:rsidR="00FA0CA8" w:rsidRPr="001357D3" w:rsidRDefault="00FA0CA8" w:rsidP="00FA0CA8">
            <w:pPr>
              <w:spacing w:before="0" w:after="0"/>
              <w:jc w:val="center"/>
              <w:rPr>
                <w:noProof/>
              </w:rPr>
            </w:pPr>
            <w:r w:rsidRPr="001357D3">
              <w:rPr>
                <w:noProof/>
                <w:sz w:val="16"/>
              </w:rPr>
              <w:t>0</w:t>
            </w:r>
          </w:p>
        </w:tc>
      </w:tr>
      <w:tr w:rsidR="00D31917" w:rsidRPr="001357D3" w14:paraId="1DDB7EF4"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0A29BE3" w14:textId="77777777" w:rsidR="00FA0CA8" w:rsidRPr="001357D3" w:rsidRDefault="00FA0CA8" w:rsidP="00FA0CA8">
            <w:pPr>
              <w:spacing w:before="0" w:after="0"/>
              <w:ind w:firstLine="160"/>
              <w:jc w:val="left"/>
              <w:rPr>
                <w:noProof/>
              </w:rPr>
            </w:pPr>
            <w:r w:rsidRPr="001357D3">
              <w:rPr>
                <w:noProof/>
                <w:sz w:val="16"/>
              </w:rPr>
              <w:t>(CA, SNE – bezpośrednie badania naukowe)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943267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2846C7"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301110"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0B8BA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FA1EC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7C65BA"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5786CF" w14:textId="77777777" w:rsidR="00FA0CA8" w:rsidRPr="001357D3" w:rsidRDefault="00FA0CA8" w:rsidP="00FA0CA8">
            <w:pPr>
              <w:spacing w:before="0" w:after="0"/>
              <w:jc w:val="center"/>
              <w:rPr>
                <w:noProof/>
              </w:rPr>
            </w:pPr>
            <w:r w:rsidRPr="001357D3">
              <w:rPr>
                <w:noProof/>
                <w:sz w:val="16"/>
              </w:rPr>
              <w:t>0</w:t>
            </w:r>
          </w:p>
        </w:tc>
      </w:tr>
      <w:tr w:rsidR="00D31917" w:rsidRPr="001357D3" w14:paraId="47DA6312" w14:textId="77777777">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8A2229F" w14:textId="77777777" w:rsidR="00FA0CA8" w:rsidRPr="001357D3" w:rsidRDefault="00FA0CA8" w:rsidP="00FA0CA8">
            <w:pPr>
              <w:spacing w:before="0" w:after="0"/>
              <w:ind w:firstLine="160"/>
              <w:jc w:val="left"/>
              <w:rPr>
                <w:noProof/>
              </w:rPr>
            </w:pPr>
            <w:r w:rsidRPr="001357D3">
              <w:rPr>
                <w:noProof/>
                <w:sz w:val="16"/>
              </w:rPr>
              <w:t>Inna linia budżetowa (określić) – dział 4</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F16E848"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D9E6AD"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73507E"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E3BCD9"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D0D12F" w14:textId="77777777" w:rsidR="00FA0CA8" w:rsidRPr="001357D3" w:rsidRDefault="00FA0CA8" w:rsidP="00FA0CA8">
            <w:pPr>
              <w:spacing w:before="0" w:after="0"/>
              <w:jc w:val="center"/>
              <w:rPr>
                <w:noProof/>
              </w:rPr>
            </w:pPr>
            <w:r w:rsidRPr="001357D3">
              <w:rPr>
                <w:noProof/>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F5D7C3" w14:textId="77777777" w:rsidR="00FA0CA8" w:rsidRPr="001357D3" w:rsidRDefault="00FA0CA8" w:rsidP="00FA0CA8">
            <w:pPr>
              <w:spacing w:before="0" w:after="0"/>
              <w:jc w:val="center"/>
              <w:rPr>
                <w:noProof/>
              </w:rPr>
            </w:pPr>
            <w:r w:rsidRPr="001357D3">
              <w:rPr>
                <w:noProof/>
                <w:sz w:val="16"/>
              </w:rPr>
              <w:t>0</w:t>
            </w:r>
          </w:p>
        </w:tc>
        <w:tc>
          <w:tcPr>
            <w:tcW w:w="9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630597" w14:textId="77777777" w:rsidR="00FA0CA8" w:rsidRPr="001357D3" w:rsidRDefault="00FA0CA8" w:rsidP="00FA0CA8">
            <w:pPr>
              <w:spacing w:before="0" w:after="0"/>
              <w:jc w:val="center"/>
              <w:rPr>
                <w:noProof/>
              </w:rPr>
            </w:pPr>
            <w:r w:rsidRPr="001357D3">
              <w:rPr>
                <w:noProof/>
                <w:sz w:val="16"/>
              </w:rPr>
              <w:t>0</w:t>
            </w:r>
          </w:p>
        </w:tc>
      </w:tr>
      <w:tr w:rsidR="00D31917" w:rsidRPr="001357D3" w14:paraId="3CAE2EFE" w14:textId="77777777">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01794FD" w14:textId="77777777" w:rsidR="00FA0CA8" w:rsidRPr="001357D3" w:rsidRDefault="00FA0CA8" w:rsidP="00FA0CA8">
            <w:pPr>
              <w:spacing w:before="0" w:after="0"/>
              <w:ind w:firstLine="160"/>
              <w:jc w:val="left"/>
              <w:rPr>
                <w:noProof/>
              </w:rPr>
            </w:pPr>
            <w:r w:rsidRPr="001357D3">
              <w:rPr>
                <w:noProof/>
                <w:sz w:val="16"/>
              </w:rPr>
              <w:t>Inna linia budżetowa (określić) – poza działem 4</w:t>
            </w:r>
          </w:p>
        </w:tc>
        <w:tc>
          <w:tcPr>
            <w:tcW w:w="935" w:type="dxa"/>
            <w:tcBorders>
              <w:top w:val="single" w:sz="6" w:space="0" w:color="auto"/>
              <w:left w:val="nil"/>
              <w:bottom w:val="single" w:sz="6" w:space="0" w:color="auto"/>
              <w:right w:val="single" w:sz="6" w:space="0" w:color="auto"/>
            </w:tcBorders>
            <w:shd w:val="clear" w:color="auto" w:fill="D9D9D9" w:themeFill="background1" w:themeFillShade="D9"/>
            <w:tcMar>
              <w:left w:w="108" w:type="dxa"/>
              <w:right w:w="108" w:type="dxa"/>
            </w:tcMar>
            <w:vAlign w:val="center"/>
          </w:tcPr>
          <w:p w14:paraId="43BB7385" w14:textId="37BAF050" w:rsidR="00FA0CA8" w:rsidRPr="001357D3" w:rsidRDefault="00DE357E" w:rsidP="00FA0CA8">
            <w:pPr>
              <w:spacing w:before="0" w:after="0"/>
              <w:jc w:val="center"/>
              <w:rPr>
                <w:noProof/>
              </w:rPr>
            </w:pPr>
            <w:r w:rsidRPr="001357D3">
              <w:rPr>
                <w:noProof/>
                <w:sz w:val="16"/>
              </w:rPr>
              <w:t>0</w:t>
            </w:r>
          </w:p>
        </w:tc>
        <w:tc>
          <w:tcPr>
            <w:tcW w:w="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094B8558" w14:textId="19A20209" w:rsidR="00FA0CA8" w:rsidRPr="001357D3" w:rsidRDefault="00DE357E" w:rsidP="00FA0CA8">
            <w:pPr>
              <w:spacing w:before="0" w:after="0"/>
              <w:jc w:val="center"/>
              <w:rPr>
                <w:noProof/>
              </w:rPr>
            </w:pPr>
            <w:r w:rsidRPr="001357D3">
              <w:rPr>
                <w:noProof/>
                <w:sz w:val="16"/>
              </w:rPr>
              <w:t>0</w:t>
            </w:r>
          </w:p>
        </w:tc>
        <w:tc>
          <w:tcPr>
            <w:tcW w:w="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31473425" w14:textId="7734C5FE" w:rsidR="00FA0CA8" w:rsidRPr="001357D3" w:rsidRDefault="00DE357E" w:rsidP="00FA0CA8">
            <w:pPr>
              <w:spacing w:before="0" w:after="0"/>
              <w:jc w:val="center"/>
              <w:rPr>
                <w:noProof/>
              </w:rPr>
            </w:pPr>
            <w:r w:rsidRPr="001357D3">
              <w:rPr>
                <w:noProof/>
                <w:sz w:val="16"/>
              </w:rPr>
              <w:t>0</w:t>
            </w:r>
          </w:p>
        </w:tc>
        <w:tc>
          <w:tcPr>
            <w:tcW w:w="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13A84B9B" w14:textId="3E9CA05A" w:rsidR="00FA0CA8" w:rsidRPr="001357D3" w:rsidRDefault="00DE357E" w:rsidP="00FA0CA8">
            <w:pPr>
              <w:spacing w:before="0" w:after="0"/>
              <w:jc w:val="center"/>
              <w:rPr>
                <w:noProof/>
              </w:rPr>
            </w:pPr>
            <w:r w:rsidRPr="001357D3">
              <w:rPr>
                <w:noProof/>
                <w:sz w:val="16"/>
              </w:rPr>
              <w:t>0</w:t>
            </w:r>
          </w:p>
        </w:tc>
        <w:tc>
          <w:tcPr>
            <w:tcW w:w="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3A693CD2" w14:textId="19C078EF" w:rsidR="00FA0CA8" w:rsidRPr="001357D3" w:rsidRDefault="00DE357E" w:rsidP="00FA0CA8">
            <w:pPr>
              <w:spacing w:before="0" w:after="0"/>
              <w:jc w:val="center"/>
              <w:rPr>
                <w:noProof/>
              </w:rPr>
            </w:pPr>
            <w:r w:rsidRPr="001357D3">
              <w:rPr>
                <w:noProof/>
                <w:sz w:val="16"/>
              </w:rPr>
              <w:t>0</w:t>
            </w:r>
          </w:p>
        </w:tc>
        <w:tc>
          <w:tcPr>
            <w:tcW w:w="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724F1103" w14:textId="07EC334F" w:rsidR="00FA0CA8" w:rsidRPr="001357D3" w:rsidRDefault="00DE357E" w:rsidP="00FA0CA8">
            <w:pPr>
              <w:spacing w:before="0" w:after="0"/>
              <w:jc w:val="center"/>
              <w:rPr>
                <w:noProof/>
              </w:rPr>
            </w:pPr>
            <w:r w:rsidRPr="001357D3">
              <w:rPr>
                <w:noProof/>
                <w:sz w:val="16"/>
              </w:rPr>
              <w:t>0</w:t>
            </w:r>
          </w:p>
        </w:tc>
        <w:tc>
          <w:tcPr>
            <w:tcW w:w="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8" w:type="dxa"/>
              <w:right w:w="108" w:type="dxa"/>
            </w:tcMar>
            <w:vAlign w:val="center"/>
          </w:tcPr>
          <w:p w14:paraId="5E4CA04A" w14:textId="0B78FFF2" w:rsidR="00FA0CA8" w:rsidRPr="001357D3" w:rsidRDefault="00DE357E" w:rsidP="00FA0CA8">
            <w:pPr>
              <w:spacing w:before="0" w:after="0"/>
              <w:jc w:val="center"/>
              <w:rPr>
                <w:noProof/>
              </w:rPr>
            </w:pPr>
            <w:r w:rsidRPr="001357D3">
              <w:rPr>
                <w:noProof/>
                <w:sz w:val="16"/>
              </w:rPr>
              <w:t>0</w:t>
            </w:r>
          </w:p>
        </w:tc>
      </w:tr>
      <w:tr w:rsidR="00D31917" w:rsidRPr="001357D3" w14:paraId="4CDC9713" w14:textId="77777777" w:rsidTr="0001547D">
        <w:trPr>
          <w:trHeight w:val="300"/>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14DA6A3" w14:textId="77777777" w:rsidR="00FA0CA8" w:rsidRPr="001357D3" w:rsidRDefault="00FA0CA8" w:rsidP="00FA0CA8">
            <w:pPr>
              <w:spacing w:before="0" w:after="0"/>
              <w:ind w:firstLine="161"/>
              <w:jc w:val="left"/>
              <w:rPr>
                <w:noProof/>
              </w:rPr>
            </w:pPr>
            <w:r w:rsidRPr="001357D3">
              <w:rPr>
                <w:b/>
                <w:noProof/>
                <w:sz w:val="16"/>
              </w:rPr>
              <w:t>OGÓŁEM</w:t>
            </w:r>
          </w:p>
        </w:tc>
        <w:tc>
          <w:tcPr>
            <w:tcW w:w="935" w:type="dxa"/>
            <w:tcBorders>
              <w:top w:val="single" w:sz="6" w:space="0" w:color="auto"/>
              <w:left w:val="nil"/>
              <w:bottom w:val="single" w:sz="6" w:space="0" w:color="auto"/>
              <w:right w:val="single" w:sz="6" w:space="0" w:color="auto"/>
            </w:tcBorders>
            <w:tcMar>
              <w:left w:w="108" w:type="dxa"/>
              <w:right w:w="108" w:type="dxa"/>
            </w:tcMar>
            <w:vAlign w:val="center"/>
          </w:tcPr>
          <w:p w14:paraId="1AFE5EF5" w14:textId="77777777" w:rsidR="00FA0CA8" w:rsidRPr="001357D3" w:rsidRDefault="00FA0CA8" w:rsidP="00FA0CA8">
            <w:pPr>
              <w:spacing w:before="0" w:after="0"/>
              <w:jc w:val="center"/>
              <w:rPr>
                <w:noProof/>
              </w:rPr>
            </w:pPr>
            <w:r w:rsidRPr="001357D3">
              <w:rPr>
                <w:b/>
                <w:noProof/>
                <w:sz w:val="16"/>
              </w:rPr>
              <w:t>60</w:t>
            </w:r>
          </w:p>
        </w:tc>
        <w:tc>
          <w:tcPr>
            <w:tcW w:w="935"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2B8DA922" w14:textId="77777777" w:rsidR="00FA0CA8" w:rsidRPr="001357D3" w:rsidRDefault="00FA0CA8" w:rsidP="00FA0CA8">
            <w:pPr>
              <w:spacing w:before="0" w:after="0"/>
              <w:jc w:val="center"/>
              <w:rPr>
                <w:noProof/>
              </w:rPr>
            </w:pPr>
            <w:r w:rsidRPr="001357D3">
              <w:rPr>
                <w:b/>
                <w:noProof/>
                <w:sz w:val="16"/>
              </w:rPr>
              <w:t>60</w:t>
            </w:r>
          </w:p>
        </w:tc>
        <w:tc>
          <w:tcPr>
            <w:tcW w:w="935"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749E514E" w14:textId="77777777" w:rsidR="00FA0CA8" w:rsidRPr="001357D3" w:rsidRDefault="00FA0CA8" w:rsidP="00FA0CA8">
            <w:pPr>
              <w:spacing w:before="0" w:after="0"/>
              <w:jc w:val="center"/>
              <w:rPr>
                <w:noProof/>
              </w:rPr>
            </w:pPr>
            <w:r w:rsidRPr="001357D3">
              <w:rPr>
                <w:b/>
                <w:noProof/>
                <w:sz w:val="16"/>
              </w:rPr>
              <w:t>60</w:t>
            </w:r>
          </w:p>
        </w:tc>
        <w:tc>
          <w:tcPr>
            <w:tcW w:w="935"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78A21E9F" w14:textId="77777777" w:rsidR="00FA0CA8" w:rsidRPr="001357D3" w:rsidRDefault="00FA0CA8" w:rsidP="00FA0CA8">
            <w:pPr>
              <w:spacing w:before="0" w:after="0"/>
              <w:jc w:val="center"/>
              <w:rPr>
                <w:noProof/>
              </w:rPr>
            </w:pPr>
            <w:r w:rsidRPr="001357D3">
              <w:rPr>
                <w:b/>
                <w:noProof/>
                <w:sz w:val="16"/>
              </w:rPr>
              <w:t>60</w:t>
            </w:r>
          </w:p>
        </w:tc>
        <w:tc>
          <w:tcPr>
            <w:tcW w:w="935"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7E7DB6F7" w14:textId="77777777" w:rsidR="00FA0CA8" w:rsidRPr="001357D3" w:rsidRDefault="00FA0CA8" w:rsidP="00FA0CA8">
            <w:pPr>
              <w:spacing w:before="0" w:after="0"/>
              <w:jc w:val="center"/>
              <w:rPr>
                <w:noProof/>
              </w:rPr>
            </w:pPr>
            <w:r w:rsidRPr="001357D3">
              <w:rPr>
                <w:b/>
                <w:noProof/>
                <w:sz w:val="16"/>
              </w:rPr>
              <w:t>60</w:t>
            </w:r>
          </w:p>
        </w:tc>
        <w:tc>
          <w:tcPr>
            <w:tcW w:w="935"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37E10FA7" w14:textId="77777777" w:rsidR="00FA0CA8" w:rsidRPr="001357D3" w:rsidRDefault="00FA0CA8" w:rsidP="00FA0CA8">
            <w:pPr>
              <w:spacing w:before="0" w:after="0"/>
              <w:jc w:val="center"/>
              <w:rPr>
                <w:noProof/>
              </w:rPr>
            </w:pPr>
            <w:r w:rsidRPr="001357D3">
              <w:rPr>
                <w:b/>
                <w:noProof/>
                <w:sz w:val="16"/>
              </w:rPr>
              <w:t>60</w:t>
            </w:r>
          </w:p>
        </w:tc>
        <w:tc>
          <w:tcPr>
            <w:tcW w:w="929"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50223F20" w14:textId="77777777" w:rsidR="00FA0CA8" w:rsidRPr="001357D3" w:rsidRDefault="00FA0CA8" w:rsidP="00FA0CA8">
            <w:pPr>
              <w:spacing w:before="0" w:after="0"/>
              <w:jc w:val="center"/>
              <w:rPr>
                <w:noProof/>
              </w:rPr>
            </w:pPr>
            <w:r w:rsidRPr="001357D3">
              <w:rPr>
                <w:b/>
                <w:noProof/>
                <w:sz w:val="16"/>
              </w:rPr>
              <w:t>60</w:t>
            </w:r>
            <w:r w:rsidRPr="001357D3">
              <w:rPr>
                <w:noProof/>
              </w:rPr>
              <w:t xml:space="preserve"> </w:t>
            </w:r>
          </w:p>
        </w:tc>
      </w:tr>
    </w:tbl>
    <w:p w14:paraId="459C95AF" w14:textId="3BFF9AC4" w:rsidR="00FA0CA8" w:rsidRPr="001357D3" w:rsidRDefault="00FA0CA8" w:rsidP="00FA0CA8">
      <w:pPr>
        <w:rPr>
          <w:noProof/>
        </w:rPr>
      </w:pPr>
      <w:r w:rsidRPr="001357D3">
        <w:rPr>
          <w:noProof/>
        </w:rPr>
        <w:t>===================================================================</w:t>
      </w:r>
    </w:p>
    <w:p w14:paraId="3FFC7F91" w14:textId="57E11F5A" w:rsidR="00546451" w:rsidRPr="001357D3" w:rsidRDefault="00546451" w:rsidP="00546451">
      <w:pPr>
        <w:spacing w:before="0" w:after="0"/>
        <w:rPr>
          <w:noProof/>
        </w:rPr>
      </w:pPr>
      <w:bookmarkStart w:id="248" w:name="_Hlk167692843"/>
      <w:r w:rsidRPr="001357D3">
        <w:rPr>
          <w:noProof/>
        </w:rPr>
        <w:t>Personel niezbędny do wdrożenia wniosku (w EPC):</w:t>
      </w:r>
    </w:p>
    <w:p w14:paraId="7CEC08D1" w14:textId="77777777" w:rsidR="007642C9" w:rsidRPr="001357D3" w:rsidRDefault="007642C9" w:rsidP="00546451">
      <w:pPr>
        <w:spacing w:before="0" w:after="0"/>
        <w:rPr>
          <w:noProof/>
        </w:rPr>
      </w:pPr>
    </w:p>
    <w:tbl>
      <w:tblPr>
        <w:tblStyle w:val="Tabela-Siatka"/>
        <w:tblW w:w="9487" w:type="dxa"/>
        <w:tblInd w:w="-426" w:type="dxa"/>
        <w:tblLook w:val="04A0" w:firstRow="1" w:lastRow="0" w:firstColumn="1" w:lastColumn="0" w:noHBand="0" w:noVBand="1"/>
      </w:tblPr>
      <w:tblGrid>
        <w:gridCol w:w="1845"/>
        <w:gridCol w:w="2031"/>
        <w:gridCol w:w="1925"/>
        <w:gridCol w:w="1938"/>
        <w:gridCol w:w="1748"/>
      </w:tblGrid>
      <w:tr w:rsidR="00D31917" w:rsidRPr="001357D3" w14:paraId="4F70141C" w14:textId="77777777" w:rsidTr="00E16302">
        <w:trPr>
          <w:trHeight w:val="300"/>
        </w:trPr>
        <w:tc>
          <w:tcPr>
            <w:tcW w:w="1845" w:type="dxa"/>
          </w:tcPr>
          <w:p w14:paraId="54B6A6CE" w14:textId="77777777" w:rsidR="00546451" w:rsidRPr="001357D3" w:rsidRDefault="00546451" w:rsidP="00546451">
            <w:pPr>
              <w:spacing w:before="0" w:after="0"/>
              <w:rPr>
                <w:b/>
                <w:bCs/>
                <w:noProof/>
              </w:rPr>
            </w:pPr>
          </w:p>
        </w:tc>
        <w:tc>
          <w:tcPr>
            <w:tcW w:w="2031" w:type="dxa"/>
          </w:tcPr>
          <w:p w14:paraId="7E2A1176" w14:textId="1B7C94DC" w:rsidR="00546451" w:rsidRPr="001357D3" w:rsidRDefault="00546451" w:rsidP="00546451">
            <w:pPr>
              <w:spacing w:before="0" w:after="0"/>
              <w:rPr>
                <w:b/>
                <w:bCs/>
                <w:noProof/>
              </w:rPr>
            </w:pPr>
            <w:r w:rsidRPr="001357D3">
              <w:rPr>
                <w:b/>
                <w:noProof/>
              </w:rPr>
              <w:t>Personel już pracujący</w:t>
            </w:r>
            <w:r w:rsidR="001C6403" w:rsidRPr="001357D3">
              <w:rPr>
                <w:b/>
                <w:noProof/>
              </w:rPr>
              <w:t xml:space="preserve"> w</w:t>
            </w:r>
            <w:r w:rsidR="001C6403">
              <w:rPr>
                <w:b/>
                <w:noProof/>
              </w:rPr>
              <w:t> </w:t>
            </w:r>
            <w:r w:rsidR="001C6403" w:rsidRPr="001357D3">
              <w:rPr>
                <w:b/>
                <w:noProof/>
              </w:rPr>
              <w:t>słu</w:t>
            </w:r>
            <w:r w:rsidRPr="001357D3">
              <w:rPr>
                <w:b/>
                <w:noProof/>
              </w:rPr>
              <w:t xml:space="preserve">żbach Komisji </w:t>
            </w:r>
          </w:p>
        </w:tc>
        <w:tc>
          <w:tcPr>
            <w:tcW w:w="5611" w:type="dxa"/>
            <w:gridSpan w:val="3"/>
          </w:tcPr>
          <w:p w14:paraId="2EECD9E6" w14:textId="77777777" w:rsidR="00546451" w:rsidRPr="001357D3" w:rsidRDefault="00546451" w:rsidP="00546451">
            <w:pPr>
              <w:spacing w:before="0" w:after="0"/>
              <w:rPr>
                <w:b/>
                <w:bCs/>
                <w:noProof/>
              </w:rPr>
            </w:pPr>
            <w:r w:rsidRPr="001357D3">
              <w:rPr>
                <w:b/>
                <w:noProof/>
              </w:rPr>
              <w:t>Personel dodatkowy*</w:t>
            </w:r>
          </w:p>
        </w:tc>
      </w:tr>
      <w:tr w:rsidR="00D31917" w:rsidRPr="001357D3" w14:paraId="2BAAB26C" w14:textId="77777777" w:rsidTr="00E16302">
        <w:trPr>
          <w:trHeight w:val="300"/>
        </w:trPr>
        <w:tc>
          <w:tcPr>
            <w:tcW w:w="1845" w:type="dxa"/>
          </w:tcPr>
          <w:p w14:paraId="19C061EC" w14:textId="77777777" w:rsidR="00546451" w:rsidRPr="001357D3" w:rsidRDefault="00546451" w:rsidP="00546451">
            <w:pPr>
              <w:spacing w:before="0" w:after="0"/>
              <w:rPr>
                <w:b/>
                <w:bCs/>
                <w:noProof/>
              </w:rPr>
            </w:pPr>
          </w:p>
        </w:tc>
        <w:tc>
          <w:tcPr>
            <w:tcW w:w="2031" w:type="dxa"/>
          </w:tcPr>
          <w:p w14:paraId="047955DB" w14:textId="77777777" w:rsidR="00546451" w:rsidRPr="001357D3" w:rsidRDefault="00546451" w:rsidP="00546451">
            <w:pPr>
              <w:spacing w:before="0" w:after="0"/>
              <w:rPr>
                <w:b/>
                <w:bCs/>
                <w:noProof/>
              </w:rPr>
            </w:pPr>
          </w:p>
        </w:tc>
        <w:tc>
          <w:tcPr>
            <w:tcW w:w="1925" w:type="dxa"/>
          </w:tcPr>
          <w:p w14:paraId="3DDF7219" w14:textId="546D89F1" w:rsidR="00546451" w:rsidRPr="001357D3" w:rsidRDefault="00546451" w:rsidP="00546451">
            <w:pPr>
              <w:spacing w:before="0" w:after="0"/>
              <w:rPr>
                <w:b/>
                <w:bCs/>
                <w:noProof/>
              </w:rPr>
            </w:pPr>
            <w:r w:rsidRPr="001357D3">
              <w:rPr>
                <w:b/>
                <w:noProof/>
              </w:rPr>
              <w:t>Finansowany</w:t>
            </w:r>
            <w:r w:rsidR="001C6403" w:rsidRPr="001357D3">
              <w:rPr>
                <w:b/>
                <w:noProof/>
              </w:rPr>
              <w:t xml:space="preserve"> z</w:t>
            </w:r>
            <w:r w:rsidR="001C6403">
              <w:rPr>
                <w:b/>
                <w:noProof/>
              </w:rPr>
              <w:t> </w:t>
            </w:r>
            <w:r w:rsidR="001C6403" w:rsidRPr="001357D3">
              <w:rPr>
                <w:b/>
                <w:noProof/>
              </w:rPr>
              <w:t>dzi</w:t>
            </w:r>
            <w:r w:rsidRPr="001357D3">
              <w:rPr>
                <w:b/>
                <w:noProof/>
              </w:rPr>
              <w:t>ału 4 lub ze środków „Badania naukowe”</w:t>
            </w:r>
          </w:p>
        </w:tc>
        <w:tc>
          <w:tcPr>
            <w:tcW w:w="1938" w:type="dxa"/>
          </w:tcPr>
          <w:p w14:paraId="4029041F" w14:textId="50335E52" w:rsidR="00546451" w:rsidRPr="001357D3" w:rsidRDefault="00546451" w:rsidP="00546451">
            <w:pPr>
              <w:spacing w:before="0" w:after="0"/>
              <w:rPr>
                <w:b/>
                <w:bCs/>
                <w:noProof/>
              </w:rPr>
            </w:pPr>
            <w:r w:rsidRPr="001357D3">
              <w:rPr>
                <w:b/>
                <w:noProof/>
              </w:rPr>
              <w:t>Finansowany</w:t>
            </w:r>
            <w:r w:rsidR="001C6403" w:rsidRPr="001357D3">
              <w:rPr>
                <w:b/>
                <w:noProof/>
              </w:rPr>
              <w:t xml:space="preserve"> z</w:t>
            </w:r>
            <w:r w:rsidR="001C6403">
              <w:rPr>
                <w:b/>
                <w:noProof/>
              </w:rPr>
              <w:t> </w:t>
            </w:r>
            <w:r w:rsidR="001C6403" w:rsidRPr="001357D3">
              <w:rPr>
                <w:b/>
                <w:noProof/>
              </w:rPr>
              <w:t>lin</w:t>
            </w:r>
            <w:r w:rsidRPr="001357D3">
              <w:rPr>
                <w:b/>
                <w:noProof/>
              </w:rPr>
              <w:t>ii BA</w:t>
            </w:r>
          </w:p>
        </w:tc>
        <w:tc>
          <w:tcPr>
            <w:tcW w:w="1748" w:type="dxa"/>
          </w:tcPr>
          <w:p w14:paraId="008FE757" w14:textId="14B77D78" w:rsidR="00546451" w:rsidRPr="001357D3" w:rsidRDefault="00546451" w:rsidP="00546451">
            <w:pPr>
              <w:spacing w:before="0" w:after="0"/>
              <w:rPr>
                <w:b/>
                <w:bCs/>
                <w:noProof/>
              </w:rPr>
            </w:pPr>
            <w:r w:rsidRPr="001357D3">
              <w:rPr>
                <w:b/>
                <w:noProof/>
              </w:rPr>
              <w:t>Finansowany</w:t>
            </w:r>
            <w:r w:rsidR="001C6403" w:rsidRPr="001357D3">
              <w:rPr>
                <w:b/>
                <w:noProof/>
              </w:rPr>
              <w:t xml:space="preserve"> z</w:t>
            </w:r>
            <w:r w:rsidR="001C6403">
              <w:rPr>
                <w:b/>
                <w:noProof/>
              </w:rPr>
              <w:t> </w:t>
            </w:r>
            <w:r w:rsidR="001C6403" w:rsidRPr="001357D3">
              <w:rPr>
                <w:b/>
                <w:noProof/>
              </w:rPr>
              <w:t>opł</w:t>
            </w:r>
            <w:r w:rsidRPr="001357D3">
              <w:rPr>
                <w:b/>
                <w:noProof/>
              </w:rPr>
              <w:t>at</w:t>
            </w:r>
          </w:p>
        </w:tc>
      </w:tr>
      <w:tr w:rsidR="00D31917" w:rsidRPr="001357D3" w14:paraId="3B3E62DB" w14:textId="77777777" w:rsidTr="00E16302">
        <w:trPr>
          <w:trHeight w:val="300"/>
        </w:trPr>
        <w:tc>
          <w:tcPr>
            <w:tcW w:w="1845" w:type="dxa"/>
          </w:tcPr>
          <w:p w14:paraId="4E8BAD74" w14:textId="49259814" w:rsidR="00546451" w:rsidRPr="001357D3" w:rsidRDefault="00546451" w:rsidP="00546451">
            <w:pPr>
              <w:spacing w:before="0" w:after="0"/>
              <w:rPr>
                <w:noProof/>
              </w:rPr>
            </w:pPr>
            <w:r w:rsidRPr="001357D3">
              <w:rPr>
                <w:noProof/>
              </w:rPr>
              <w:t>Stanowiska</w:t>
            </w:r>
            <w:r w:rsidR="001C6403" w:rsidRPr="001357D3">
              <w:rPr>
                <w:noProof/>
              </w:rPr>
              <w:t xml:space="preserve"> w</w:t>
            </w:r>
            <w:r w:rsidR="001C6403">
              <w:rPr>
                <w:noProof/>
              </w:rPr>
              <w:t> </w:t>
            </w:r>
            <w:r w:rsidR="001C6403" w:rsidRPr="001357D3">
              <w:rPr>
                <w:noProof/>
              </w:rPr>
              <w:t>pla</w:t>
            </w:r>
            <w:r w:rsidRPr="001357D3">
              <w:rPr>
                <w:noProof/>
              </w:rPr>
              <w:t>nie zatrudnienia</w:t>
            </w:r>
          </w:p>
        </w:tc>
        <w:tc>
          <w:tcPr>
            <w:tcW w:w="2031" w:type="dxa"/>
          </w:tcPr>
          <w:p w14:paraId="5F8A26C6" w14:textId="1D8CA5A7" w:rsidR="00546451" w:rsidRPr="001357D3" w:rsidRDefault="005B6E4B" w:rsidP="00546451">
            <w:pPr>
              <w:spacing w:before="0" w:after="0"/>
              <w:rPr>
                <w:noProof/>
              </w:rPr>
            </w:pPr>
            <w:r w:rsidRPr="001357D3">
              <w:rPr>
                <w:noProof/>
              </w:rPr>
              <w:t>30</w:t>
            </w:r>
          </w:p>
        </w:tc>
        <w:tc>
          <w:tcPr>
            <w:tcW w:w="1925" w:type="dxa"/>
          </w:tcPr>
          <w:p w14:paraId="51FE642D" w14:textId="37BBB7BC" w:rsidR="00546451" w:rsidRPr="001357D3" w:rsidRDefault="005B6E4B" w:rsidP="00546451">
            <w:pPr>
              <w:spacing w:before="0" w:after="0"/>
              <w:rPr>
                <w:noProof/>
              </w:rPr>
            </w:pPr>
            <w:r w:rsidRPr="001357D3">
              <w:rPr>
                <w:noProof/>
              </w:rPr>
              <w:t>15</w:t>
            </w:r>
          </w:p>
        </w:tc>
        <w:tc>
          <w:tcPr>
            <w:tcW w:w="1938" w:type="dxa"/>
          </w:tcPr>
          <w:p w14:paraId="275601EB" w14:textId="77777777" w:rsidR="00546451" w:rsidRPr="001357D3" w:rsidRDefault="00546451" w:rsidP="00546451">
            <w:pPr>
              <w:spacing w:before="0" w:after="0"/>
              <w:rPr>
                <w:noProof/>
              </w:rPr>
            </w:pPr>
            <w:r w:rsidRPr="001357D3">
              <w:rPr>
                <w:noProof/>
              </w:rPr>
              <w:t>Nie dotyczy</w:t>
            </w:r>
          </w:p>
        </w:tc>
        <w:tc>
          <w:tcPr>
            <w:tcW w:w="1748" w:type="dxa"/>
          </w:tcPr>
          <w:p w14:paraId="2994599B" w14:textId="77777777" w:rsidR="00546451" w:rsidRPr="001357D3" w:rsidRDefault="00546451" w:rsidP="00546451">
            <w:pPr>
              <w:spacing w:before="0" w:after="0"/>
              <w:rPr>
                <w:noProof/>
              </w:rPr>
            </w:pPr>
          </w:p>
        </w:tc>
      </w:tr>
      <w:tr w:rsidR="00D31917" w:rsidRPr="001357D3" w14:paraId="30491FFC" w14:textId="77777777" w:rsidTr="00E16302">
        <w:trPr>
          <w:trHeight w:val="300"/>
        </w:trPr>
        <w:tc>
          <w:tcPr>
            <w:tcW w:w="1845" w:type="dxa"/>
          </w:tcPr>
          <w:p w14:paraId="63633357" w14:textId="77777777" w:rsidR="00546451" w:rsidRPr="001357D3" w:rsidRDefault="00546451" w:rsidP="00546451">
            <w:pPr>
              <w:spacing w:before="0" w:after="0"/>
              <w:rPr>
                <w:noProof/>
              </w:rPr>
            </w:pPr>
            <w:r w:rsidRPr="001357D3">
              <w:rPr>
                <w:noProof/>
              </w:rPr>
              <w:t xml:space="preserve">Personel zewnętrzny </w:t>
            </w:r>
            <w:r w:rsidRPr="001357D3">
              <w:rPr>
                <w:noProof/>
              </w:rPr>
              <w:lastRenderedPageBreak/>
              <w:t>(CA, SNE, INT)</w:t>
            </w:r>
          </w:p>
        </w:tc>
        <w:tc>
          <w:tcPr>
            <w:tcW w:w="2031" w:type="dxa"/>
          </w:tcPr>
          <w:p w14:paraId="6FB56AE4" w14:textId="21DFF601" w:rsidR="00546451" w:rsidRPr="001357D3" w:rsidRDefault="00B4630D" w:rsidP="00546451">
            <w:pPr>
              <w:spacing w:before="0" w:after="0"/>
              <w:rPr>
                <w:noProof/>
              </w:rPr>
            </w:pPr>
            <w:r w:rsidRPr="001357D3">
              <w:rPr>
                <w:noProof/>
              </w:rPr>
              <w:lastRenderedPageBreak/>
              <w:t>2</w:t>
            </w:r>
          </w:p>
        </w:tc>
        <w:tc>
          <w:tcPr>
            <w:tcW w:w="1925" w:type="dxa"/>
          </w:tcPr>
          <w:p w14:paraId="1DD2A850" w14:textId="56F371B1" w:rsidR="00546451" w:rsidRPr="001357D3" w:rsidRDefault="00B4630D" w:rsidP="00546451">
            <w:pPr>
              <w:spacing w:before="0" w:after="0"/>
              <w:rPr>
                <w:noProof/>
              </w:rPr>
            </w:pPr>
            <w:r w:rsidRPr="001357D3">
              <w:rPr>
                <w:noProof/>
              </w:rPr>
              <w:t>8</w:t>
            </w:r>
          </w:p>
        </w:tc>
        <w:tc>
          <w:tcPr>
            <w:tcW w:w="1938" w:type="dxa"/>
          </w:tcPr>
          <w:p w14:paraId="358FC5BA" w14:textId="77777777" w:rsidR="00546451" w:rsidRPr="001357D3" w:rsidRDefault="00546451" w:rsidP="00546451">
            <w:pPr>
              <w:spacing w:before="0" w:after="0"/>
              <w:rPr>
                <w:noProof/>
              </w:rPr>
            </w:pPr>
            <w:r w:rsidRPr="001357D3">
              <w:rPr>
                <w:noProof/>
              </w:rPr>
              <w:t>5</w:t>
            </w:r>
          </w:p>
        </w:tc>
        <w:tc>
          <w:tcPr>
            <w:tcW w:w="1748" w:type="dxa"/>
          </w:tcPr>
          <w:p w14:paraId="67A1410B" w14:textId="77777777" w:rsidR="00546451" w:rsidRPr="001357D3" w:rsidRDefault="00546451" w:rsidP="00546451">
            <w:pPr>
              <w:spacing w:before="0" w:after="0"/>
              <w:rPr>
                <w:noProof/>
              </w:rPr>
            </w:pPr>
          </w:p>
        </w:tc>
      </w:tr>
    </w:tbl>
    <w:p w14:paraId="22640AE5" w14:textId="77777777" w:rsidR="00B4630D" w:rsidRPr="001357D3" w:rsidRDefault="00B4630D" w:rsidP="00546451">
      <w:pPr>
        <w:spacing w:before="0" w:after="0"/>
        <w:rPr>
          <w:noProof/>
          <w:u w:val="single"/>
        </w:rPr>
      </w:pPr>
    </w:p>
    <w:p w14:paraId="719919B3" w14:textId="77777777" w:rsidR="00DE357E" w:rsidRPr="001357D3" w:rsidRDefault="00DE357E" w:rsidP="00546451">
      <w:pPr>
        <w:spacing w:before="0" w:after="0"/>
        <w:rPr>
          <w:noProof/>
          <w:u w:val="single"/>
        </w:rPr>
      </w:pPr>
    </w:p>
    <w:p w14:paraId="005CC9FD" w14:textId="4D16C169" w:rsidR="00546451" w:rsidRPr="001357D3" w:rsidRDefault="00546451" w:rsidP="00546451">
      <w:pPr>
        <w:spacing w:before="0" w:after="0"/>
        <w:rPr>
          <w:noProof/>
          <w:u w:val="single"/>
        </w:rPr>
      </w:pPr>
      <w:r w:rsidRPr="001357D3">
        <w:rPr>
          <w:noProof/>
          <w:u w:val="single"/>
        </w:rPr>
        <w:t>Metoda obliczania, opis zadań do wykonania</w:t>
      </w:r>
      <w:r w:rsidR="001C6403" w:rsidRPr="001357D3">
        <w:rPr>
          <w:noProof/>
          <w:u w:val="single"/>
        </w:rPr>
        <w:t xml:space="preserve"> i</w:t>
      </w:r>
      <w:r w:rsidR="001C6403">
        <w:rPr>
          <w:noProof/>
          <w:u w:val="single"/>
        </w:rPr>
        <w:t> </w:t>
      </w:r>
      <w:r w:rsidR="001C6403" w:rsidRPr="001357D3">
        <w:rPr>
          <w:noProof/>
          <w:u w:val="single"/>
        </w:rPr>
        <w:t>uza</w:t>
      </w:r>
      <w:r w:rsidRPr="001357D3">
        <w:rPr>
          <w:noProof/>
          <w:u w:val="single"/>
        </w:rPr>
        <w:t>sadniony wniosek</w:t>
      </w:r>
    </w:p>
    <w:p w14:paraId="67DADA37" w14:textId="77777777" w:rsidR="00DE357E" w:rsidRPr="001357D3" w:rsidRDefault="00DE357E" w:rsidP="00546451">
      <w:pPr>
        <w:spacing w:before="0" w:after="0"/>
        <w:rPr>
          <w:noProof/>
          <w:u w:val="single"/>
        </w:rPr>
      </w:pPr>
    </w:p>
    <w:p w14:paraId="5833F5B9" w14:textId="39E8D22C" w:rsidR="00FA0CA8" w:rsidRPr="001357D3" w:rsidRDefault="00FA0CA8" w:rsidP="00DE357E">
      <w:pPr>
        <w:spacing w:before="0" w:after="0"/>
        <w:rPr>
          <w:noProof/>
        </w:rPr>
      </w:pPr>
      <w:r w:rsidRPr="001357D3">
        <w:rPr>
          <w:noProof/>
        </w:rPr>
        <w:t>Personel DG ds. Sprawiedliwości</w:t>
      </w:r>
      <w:r w:rsidR="001C6403" w:rsidRPr="001357D3">
        <w:rPr>
          <w:noProof/>
        </w:rPr>
        <w:t xml:space="preserve"> i</w:t>
      </w:r>
      <w:r w:rsidR="001C6403">
        <w:rPr>
          <w:noProof/>
        </w:rPr>
        <w:t> </w:t>
      </w:r>
      <w:r w:rsidR="001C6403" w:rsidRPr="001357D3">
        <w:rPr>
          <w:noProof/>
        </w:rPr>
        <w:t>Kon</w:t>
      </w:r>
      <w:r w:rsidRPr="001357D3">
        <w:rPr>
          <w:noProof/>
        </w:rPr>
        <w:t>sumentów pracujący nad programem „Sprawiedliwość” na lata 2021–2027 obejmuje personel operacyjny, pracujący</w:t>
      </w:r>
      <w:r w:rsidR="001C6403" w:rsidRPr="001357D3">
        <w:rPr>
          <w:noProof/>
        </w:rPr>
        <w:t xml:space="preserve"> w</w:t>
      </w:r>
      <w:r w:rsidR="001C6403">
        <w:rPr>
          <w:noProof/>
        </w:rPr>
        <w:t> </w:t>
      </w:r>
      <w:r w:rsidR="001C6403" w:rsidRPr="001357D3">
        <w:rPr>
          <w:noProof/>
        </w:rPr>
        <w:t>peł</w:t>
      </w:r>
      <w:r w:rsidRPr="001357D3">
        <w:rPr>
          <w:noProof/>
        </w:rPr>
        <w:t>nym wymiarze czasu pracy nad zarządzaniem Programem, na wszystkich etapach cyklu jego realizacji (program prac, zaproszenia do składania wniosków, ocena, zawieranie umów</w:t>
      </w:r>
      <w:r w:rsidR="001C6403" w:rsidRPr="001357D3">
        <w:rPr>
          <w:noProof/>
        </w:rPr>
        <w:t xml:space="preserve"> i</w:t>
      </w:r>
      <w:r w:rsidR="001C6403">
        <w:rPr>
          <w:noProof/>
        </w:rPr>
        <w:t> </w:t>
      </w:r>
      <w:r w:rsidR="001C6403" w:rsidRPr="001357D3">
        <w:rPr>
          <w:noProof/>
        </w:rPr>
        <w:t>wdr</w:t>
      </w:r>
      <w:r w:rsidRPr="001357D3">
        <w:rPr>
          <w:noProof/>
        </w:rPr>
        <w:t>ażanie), pełniąc jednocześnie role inicjujące</w:t>
      </w:r>
      <w:r w:rsidR="001C6403" w:rsidRPr="001357D3">
        <w:rPr>
          <w:noProof/>
        </w:rPr>
        <w:t xml:space="preserve"> i</w:t>
      </w:r>
      <w:r w:rsidR="001C6403">
        <w:rPr>
          <w:noProof/>
        </w:rPr>
        <w:t> </w:t>
      </w:r>
      <w:r w:rsidR="001C6403" w:rsidRPr="001357D3">
        <w:rPr>
          <w:noProof/>
        </w:rPr>
        <w:t>wer</w:t>
      </w:r>
      <w:r w:rsidRPr="001357D3">
        <w:rPr>
          <w:noProof/>
        </w:rPr>
        <w:t>yfikujące, jak</w:t>
      </w:r>
      <w:r w:rsidR="001C6403" w:rsidRPr="001357D3">
        <w:rPr>
          <w:noProof/>
        </w:rPr>
        <w:t xml:space="preserve"> i</w:t>
      </w:r>
      <w:r w:rsidR="001C6403">
        <w:rPr>
          <w:noProof/>
        </w:rPr>
        <w:t> </w:t>
      </w:r>
      <w:r w:rsidR="001C6403" w:rsidRPr="001357D3">
        <w:rPr>
          <w:noProof/>
        </w:rPr>
        <w:t>pra</w:t>
      </w:r>
      <w:r w:rsidRPr="001357D3">
        <w:rPr>
          <w:noProof/>
        </w:rPr>
        <w:t>cowników działów ds. polityki (zapewniających wiedzę ekspercką</w:t>
      </w:r>
      <w:r w:rsidR="001C6403" w:rsidRPr="001357D3">
        <w:rPr>
          <w:noProof/>
        </w:rPr>
        <w:t xml:space="preserve"> w</w:t>
      </w:r>
      <w:r w:rsidR="001C6403">
        <w:rPr>
          <w:noProof/>
        </w:rPr>
        <w:t> </w:t>
      </w:r>
      <w:r w:rsidR="001C6403" w:rsidRPr="001357D3">
        <w:rPr>
          <w:noProof/>
        </w:rPr>
        <w:t>dan</w:t>
      </w:r>
      <w:r w:rsidRPr="001357D3">
        <w:rPr>
          <w:noProof/>
        </w:rPr>
        <w:t>ej dziedzinie) oraz personel odpowiedzialny za ogólną koordynację</w:t>
      </w:r>
      <w:r w:rsidR="001C6403" w:rsidRPr="001357D3">
        <w:rPr>
          <w:noProof/>
        </w:rPr>
        <w:t xml:space="preserve"> i</w:t>
      </w:r>
      <w:r w:rsidR="001C6403">
        <w:rPr>
          <w:noProof/>
        </w:rPr>
        <w:t> </w:t>
      </w:r>
      <w:r w:rsidR="001C6403" w:rsidRPr="001357D3">
        <w:rPr>
          <w:noProof/>
        </w:rPr>
        <w:t>zad</w:t>
      </w:r>
      <w:r w:rsidRPr="001357D3">
        <w:rPr>
          <w:noProof/>
        </w:rPr>
        <w:t>ania horyzontalne.</w:t>
      </w:r>
    </w:p>
    <w:p w14:paraId="5C66AE6B" w14:textId="01BD8FC1" w:rsidR="00FA0CA8" w:rsidRPr="001357D3" w:rsidRDefault="00FA0CA8" w:rsidP="00FA0CA8">
      <w:pPr>
        <w:rPr>
          <w:noProof/>
        </w:rPr>
      </w:pPr>
      <w:r w:rsidRPr="001357D3">
        <w:rPr>
          <w:noProof/>
        </w:rPr>
        <w:t>Szacunki dotyczące personelu operacyjnego pracującego nad Programem opierają się na podziale odpowiadającym udziałowi budżetu programu „Sprawiedliwość”</w:t>
      </w:r>
      <w:r w:rsidR="001C6403" w:rsidRPr="001357D3">
        <w:rPr>
          <w:noProof/>
        </w:rPr>
        <w:t xml:space="preserve"> w</w:t>
      </w:r>
      <w:r w:rsidR="001C6403">
        <w:rPr>
          <w:noProof/>
        </w:rPr>
        <w:t> </w:t>
      </w:r>
      <w:r w:rsidR="001C6403" w:rsidRPr="001357D3">
        <w:rPr>
          <w:noProof/>
        </w:rPr>
        <w:t>cał</w:t>
      </w:r>
      <w:r w:rsidRPr="001357D3">
        <w:rPr>
          <w:noProof/>
        </w:rPr>
        <w:t>kowitym budżecie programów zarządzanych przez DG, który obejmuje również program CERV</w:t>
      </w:r>
      <w:r w:rsidR="001C6403" w:rsidRPr="001357D3">
        <w:rPr>
          <w:noProof/>
        </w:rPr>
        <w:t xml:space="preserve"> i</w:t>
      </w:r>
      <w:r w:rsidR="001C6403">
        <w:rPr>
          <w:noProof/>
        </w:rPr>
        <w:t> </w:t>
      </w:r>
      <w:r w:rsidR="001C6403" w:rsidRPr="001357D3">
        <w:rPr>
          <w:noProof/>
        </w:rPr>
        <w:t>kom</w:t>
      </w:r>
      <w:r w:rsidRPr="001357D3">
        <w:rPr>
          <w:noProof/>
        </w:rPr>
        <w:t>ponent dotyczący konsumentów Programu na rzecz jednolitego rynku.</w:t>
      </w:r>
    </w:p>
    <w:p w14:paraId="6A3E3482" w14:textId="01568347" w:rsidR="00FA0CA8" w:rsidRPr="001357D3" w:rsidRDefault="00FA0CA8" w:rsidP="00FA0CA8">
      <w:pPr>
        <w:rPr>
          <w:noProof/>
        </w:rPr>
      </w:pPr>
      <w:r w:rsidRPr="001357D3">
        <w:rPr>
          <w:noProof/>
        </w:rPr>
        <w:t>Szacunki dotyczące personelu</w:t>
      </w:r>
      <w:r w:rsidR="001C6403" w:rsidRPr="001357D3">
        <w:rPr>
          <w:noProof/>
        </w:rPr>
        <w:t xml:space="preserve"> z</w:t>
      </w:r>
      <w:r w:rsidR="001C6403">
        <w:rPr>
          <w:noProof/>
        </w:rPr>
        <w:t> </w:t>
      </w:r>
      <w:r w:rsidR="001C6403" w:rsidRPr="001357D3">
        <w:rPr>
          <w:noProof/>
        </w:rPr>
        <w:t>dzi</w:t>
      </w:r>
      <w:r w:rsidRPr="001357D3">
        <w:rPr>
          <w:noProof/>
        </w:rPr>
        <w:t>ałów ds. polityki opierają się na wysokiej liczbie polityk</w:t>
      </w:r>
      <w:r w:rsidR="001C6403" w:rsidRPr="001357D3">
        <w:rPr>
          <w:noProof/>
        </w:rPr>
        <w:t xml:space="preserve"> i</w:t>
      </w:r>
      <w:r w:rsidR="001C6403">
        <w:rPr>
          <w:noProof/>
        </w:rPr>
        <w:t> </w:t>
      </w:r>
      <w:r w:rsidR="001C6403" w:rsidRPr="001357D3">
        <w:rPr>
          <w:noProof/>
        </w:rPr>
        <w:t>akt</w:t>
      </w:r>
      <w:r w:rsidRPr="001357D3">
        <w:rPr>
          <w:noProof/>
        </w:rPr>
        <w:t>ów prawnych wspieranych</w:t>
      </w:r>
      <w:r w:rsidR="001C6403" w:rsidRPr="001357D3">
        <w:rPr>
          <w:noProof/>
        </w:rPr>
        <w:t xml:space="preserve"> w</w:t>
      </w:r>
      <w:r w:rsidR="001C6403">
        <w:rPr>
          <w:noProof/>
        </w:rPr>
        <w:t> </w:t>
      </w:r>
      <w:r w:rsidR="001C6403" w:rsidRPr="001357D3">
        <w:rPr>
          <w:noProof/>
        </w:rPr>
        <w:t>ram</w:t>
      </w:r>
      <w:r w:rsidRPr="001357D3">
        <w:rPr>
          <w:noProof/>
        </w:rPr>
        <w:t>ach wdrażania programu „Sprawiedliwość”,</w:t>
      </w:r>
      <w:r w:rsidR="001C6403" w:rsidRPr="001357D3">
        <w:rPr>
          <w:noProof/>
        </w:rPr>
        <w:t xml:space="preserve"> a</w:t>
      </w:r>
      <w:r w:rsidR="001C6403">
        <w:rPr>
          <w:noProof/>
        </w:rPr>
        <w:t> </w:t>
      </w:r>
      <w:r w:rsidR="001C6403" w:rsidRPr="001357D3">
        <w:rPr>
          <w:noProof/>
        </w:rPr>
        <w:t>zat</w:t>
      </w:r>
      <w:r w:rsidRPr="001357D3">
        <w:rPr>
          <w:noProof/>
        </w:rPr>
        <w:t>em na zaangażowaniu działów ds. polityki na kluczowych etapach procesu, takich jak przygotowanie zaproszeń do składania wniosków, wybór projektów</w:t>
      </w:r>
      <w:r w:rsidR="001C6403" w:rsidRPr="001357D3">
        <w:rPr>
          <w:noProof/>
        </w:rPr>
        <w:t xml:space="preserve"> i</w:t>
      </w:r>
      <w:r w:rsidR="001C6403">
        <w:rPr>
          <w:noProof/>
        </w:rPr>
        <w:t> </w:t>
      </w:r>
      <w:r w:rsidR="001C6403" w:rsidRPr="001357D3">
        <w:rPr>
          <w:noProof/>
        </w:rPr>
        <w:t>ich</w:t>
      </w:r>
      <w:r w:rsidRPr="001357D3">
        <w:rPr>
          <w:noProof/>
        </w:rPr>
        <w:t xml:space="preserve"> realizacja.</w:t>
      </w:r>
    </w:p>
    <w:p w14:paraId="66A9C735" w14:textId="3555A518" w:rsidR="00FA0CA8" w:rsidRPr="001357D3" w:rsidRDefault="00FA0CA8" w:rsidP="00FA0CA8">
      <w:pPr>
        <w:rPr>
          <w:noProof/>
        </w:rPr>
      </w:pPr>
      <w:r w:rsidRPr="001357D3">
        <w:rPr>
          <w:noProof/>
        </w:rPr>
        <w:t>Łączna liczba pracowników operacyjnych, ds. polityki oraz koordynacyjnych wynosi 60 EPC,</w:t>
      </w:r>
      <w:r w:rsidR="001C6403" w:rsidRPr="001357D3">
        <w:rPr>
          <w:noProof/>
        </w:rPr>
        <w:t xml:space="preserve"> w</w:t>
      </w:r>
      <w:r w:rsidR="001C6403">
        <w:rPr>
          <w:noProof/>
        </w:rPr>
        <w:t> </w:t>
      </w:r>
      <w:r w:rsidR="001C6403" w:rsidRPr="001C6403">
        <w:rPr>
          <w:noProof/>
        </w:rPr>
        <w:t>tym </w:t>
      </w:r>
      <w:r w:rsidRPr="001C6403">
        <w:rPr>
          <w:noProof/>
        </w:rPr>
        <w:t>5</w:t>
      </w:r>
      <w:r w:rsidRPr="001357D3">
        <w:rPr>
          <w:noProof/>
        </w:rPr>
        <w:t> pracowników kontraktowych finansowanych spoza działu 4 (dawne linie budżetowe BK), co uznaje się za niezbędne do skutecznego zaspokojenia rozszerzonego, bardziej pracochłonnego portfela zadań,</w:t>
      </w:r>
      <w:r w:rsidR="001C6403" w:rsidRPr="001357D3">
        <w:rPr>
          <w:noProof/>
        </w:rPr>
        <w:t xml:space="preserve"> w</w:t>
      </w:r>
      <w:r w:rsidR="001C6403">
        <w:rPr>
          <w:noProof/>
        </w:rPr>
        <w:t> </w:t>
      </w:r>
      <w:r w:rsidR="001C6403" w:rsidRPr="001357D3">
        <w:rPr>
          <w:noProof/>
        </w:rPr>
        <w:t>szc</w:t>
      </w:r>
      <w:r w:rsidRPr="001357D3">
        <w:rPr>
          <w:noProof/>
        </w:rPr>
        <w:t>zególności inicjatyw takich jak cyfryzacja wymiaru sprawiedliwości, zwiększona liczba operacji finansowych związanych</w:t>
      </w:r>
      <w:r w:rsidR="001C6403" w:rsidRPr="001357D3">
        <w:rPr>
          <w:noProof/>
        </w:rPr>
        <w:t xml:space="preserve"> z</w:t>
      </w:r>
      <w:r w:rsidR="001C6403">
        <w:rPr>
          <w:noProof/>
        </w:rPr>
        <w:t> </w:t>
      </w:r>
      <w:r w:rsidR="001C6403" w:rsidRPr="001357D3">
        <w:rPr>
          <w:noProof/>
        </w:rPr>
        <w:t>wdr</w:t>
      </w:r>
      <w:r w:rsidRPr="001357D3">
        <w:rPr>
          <w:noProof/>
        </w:rPr>
        <w:t>ażaniem Programu oraz zgodność</w:t>
      </w:r>
      <w:r w:rsidR="001C6403" w:rsidRPr="001357D3">
        <w:rPr>
          <w:noProof/>
        </w:rPr>
        <w:t xml:space="preserve"> z</w:t>
      </w:r>
      <w:r w:rsidR="001C6403">
        <w:rPr>
          <w:noProof/>
        </w:rPr>
        <w:t> </w:t>
      </w:r>
      <w:r w:rsidR="001C6403" w:rsidRPr="001357D3">
        <w:rPr>
          <w:noProof/>
        </w:rPr>
        <w:t>zak</w:t>
      </w:r>
      <w:r w:rsidRPr="001357D3">
        <w:rPr>
          <w:noProof/>
        </w:rPr>
        <w:t>resem tematycznym Programu określonym</w:t>
      </w:r>
      <w:r w:rsidR="001C6403" w:rsidRPr="001357D3">
        <w:rPr>
          <w:noProof/>
        </w:rPr>
        <w:t xml:space="preserve"> w</w:t>
      </w:r>
      <w:r w:rsidR="001C6403">
        <w:rPr>
          <w:noProof/>
        </w:rPr>
        <w:t> </w:t>
      </w:r>
      <w:r w:rsidR="001C6403" w:rsidRPr="001357D3">
        <w:rPr>
          <w:noProof/>
        </w:rPr>
        <w:t>wyt</w:t>
      </w:r>
      <w:r w:rsidRPr="001357D3">
        <w:rPr>
          <w:noProof/>
        </w:rPr>
        <w:t>ycznych politycznych.</w:t>
      </w:r>
    </w:p>
    <w:p w14:paraId="75CFD32E" w14:textId="3325B3FE" w:rsidR="00FA0CA8" w:rsidRPr="001357D3" w:rsidRDefault="00FA0CA8" w:rsidP="00FA0CA8">
      <w:pPr>
        <w:rPr>
          <w:noProof/>
        </w:rPr>
      </w:pPr>
      <w:r w:rsidRPr="001357D3">
        <w:rPr>
          <w:noProof/>
        </w:rPr>
        <w:t>Punktem wyjścia jest obecny poziom zatrudnienia,</w:t>
      </w:r>
      <w:r w:rsidR="001C6403" w:rsidRPr="001357D3">
        <w:rPr>
          <w:noProof/>
        </w:rPr>
        <w:t xml:space="preserve"> a</w:t>
      </w:r>
      <w:r w:rsidR="001C6403">
        <w:rPr>
          <w:noProof/>
        </w:rPr>
        <w:t> </w:t>
      </w:r>
      <w:r w:rsidR="001C6403" w:rsidRPr="001357D3">
        <w:rPr>
          <w:noProof/>
        </w:rPr>
        <w:t>bio</w:t>
      </w:r>
      <w:r w:rsidRPr="001357D3">
        <w:rPr>
          <w:noProof/>
        </w:rPr>
        <w:t>rąc pod uwagę 2,7-krotne zwiększenie puli środków przeznaczonych na realizację programu „Sprawiedliwość”</w:t>
      </w:r>
      <w:r w:rsidR="001C6403" w:rsidRPr="001357D3">
        <w:rPr>
          <w:noProof/>
        </w:rPr>
        <w:t xml:space="preserve"> w</w:t>
      </w:r>
      <w:r w:rsidR="001C6403">
        <w:rPr>
          <w:noProof/>
        </w:rPr>
        <w:t> </w:t>
      </w:r>
      <w:r w:rsidR="001C6403" w:rsidRPr="001357D3">
        <w:rPr>
          <w:noProof/>
        </w:rPr>
        <w:t>kol</w:t>
      </w:r>
      <w:r w:rsidRPr="001357D3">
        <w:rPr>
          <w:noProof/>
        </w:rPr>
        <w:t>ejnych WRF, wnioskowana liczba EPC jest niezbędna, aby DG ds. Sprawiedliwości</w:t>
      </w:r>
      <w:r w:rsidR="001C6403" w:rsidRPr="001357D3">
        <w:rPr>
          <w:noProof/>
        </w:rPr>
        <w:t xml:space="preserve"> i</w:t>
      </w:r>
      <w:r w:rsidR="001C6403">
        <w:rPr>
          <w:noProof/>
        </w:rPr>
        <w:t> </w:t>
      </w:r>
      <w:r w:rsidR="001C6403" w:rsidRPr="001357D3">
        <w:rPr>
          <w:noProof/>
        </w:rPr>
        <w:t>Kon</w:t>
      </w:r>
      <w:r w:rsidRPr="001357D3">
        <w:rPr>
          <w:noProof/>
        </w:rPr>
        <w:t>sumentów mogła sprostać działaniom wymaganym do osiągnięcia celów politycznych Komisji Ursuli von der Leyen II, przy czym program „Sprawiedliwość” na lata 2028–2034 ma zasadnicze znaczenie dla pomyślnej realizacji ambicji Komisji.</w:t>
      </w:r>
    </w:p>
    <w:p w14:paraId="3D97CB66" w14:textId="099C55BF" w:rsidR="00FA0CA8" w:rsidRPr="001357D3" w:rsidRDefault="00FA0CA8" w:rsidP="00FA0CA8">
      <w:pPr>
        <w:rPr>
          <w:noProof/>
        </w:rPr>
      </w:pPr>
      <w:r w:rsidRPr="001357D3">
        <w:rPr>
          <w:noProof/>
        </w:rPr>
        <w:t>Obecne zespoły nie mają już żadnych rezerw kadrowych, które pozwalałyby na dalsze przesunięcia pracowników między poszczególnymi stanowiskami bez narażania wiarygodności Komisji</w:t>
      </w:r>
      <w:r w:rsidR="001C6403" w:rsidRPr="001357D3">
        <w:rPr>
          <w:noProof/>
        </w:rPr>
        <w:t xml:space="preserve"> w</w:t>
      </w:r>
      <w:r w:rsidR="001C6403">
        <w:rPr>
          <w:noProof/>
        </w:rPr>
        <w:t> </w:t>
      </w:r>
      <w:r w:rsidR="001C6403" w:rsidRPr="001357D3">
        <w:rPr>
          <w:noProof/>
        </w:rPr>
        <w:t>zak</w:t>
      </w:r>
      <w:r w:rsidRPr="001357D3">
        <w:rPr>
          <w:noProof/>
        </w:rPr>
        <w:t>resie realizacji zadań</w:t>
      </w:r>
      <w:r w:rsidR="001C6403" w:rsidRPr="001357D3">
        <w:rPr>
          <w:noProof/>
        </w:rPr>
        <w:t xml:space="preserve"> w</w:t>
      </w:r>
      <w:r w:rsidR="001C6403">
        <w:rPr>
          <w:noProof/>
        </w:rPr>
        <w:t> </w:t>
      </w:r>
      <w:r w:rsidR="001C6403" w:rsidRPr="001357D3">
        <w:rPr>
          <w:noProof/>
        </w:rPr>
        <w:t>obs</w:t>
      </w:r>
      <w:r w:rsidRPr="001357D3">
        <w:rPr>
          <w:noProof/>
        </w:rPr>
        <w:t>zarach wchodzących</w:t>
      </w:r>
      <w:r w:rsidR="001C6403" w:rsidRPr="001357D3">
        <w:rPr>
          <w:noProof/>
        </w:rPr>
        <w:t xml:space="preserve"> w</w:t>
      </w:r>
      <w:r w:rsidR="001C6403">
        <w:rPr>
          <w:noProof/>
        </w:rPr>
        <w:t> </w:t>
      </w:r>
      <w:r w:rsidR="001C6403" w:rsidRPr="001357D3">
        <w:rPr>
          <w:noProof/>
        </w:rPr>
        <w:t>zak</w:t>
      </w:r>
      <w:r w:rsidRPr="001357D3">
        <w:rPr>
          <w:noProof/>
        </w:rPr>
        <w:t>res kompetencji DG ds. Sprawiedliwości</w:t>
      </w:r>
      <w:r w:rsidR="001C6403" w:rsidRPr="001357D3">
        <w:rPr>
          <w:noProof/>
        </w:rPr>
        <w:t xml:space="preserve"> i</w:t>
      </w:r>
      <w:r w:rsidR="001C6403">
        <w:rPr>
          <w:noProof/>
        </w:rPr>
        <w:t> </w:t>
      </w:r>
      <w:r w:rsidR="001C6403" w:rsidRPr="001357D3">
        <w:rPr>
          <w:noProof/>
        </w:rPr>
        <w:t>Kon</w:t>
      </w:r>
      <w:r w:rsidRPr="001357D3">
        <w:rPr>
          <w:noProof/>
        </w:rPr>
        <w:t>sumentów.</w:t>
      </w:r>
    </w:p>
    <w:p w14:paraId="0362D8AE" w14:textId="77777777" w:rsidR="00FA0CA8" w:rsidRPr="001357D3" w:rsidRDefault="00FA0CA8" w:rsidP="00FA0CA8">
      <w:pPr>
        <w:spacing w:before="0" w:after="0"/>
        <w:rPr>
          <w:noProof/>
        </w:rPr>
      </w:pP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2583F" w:rsidRPr="001357D3" w14:paraId="7DAB0422" w14:textId="77777777" w:rsidTr="00E16302">
        <w:tc>
          <w:tcPr>
            <w:tcW w:w="3240" w:type="dxa"/>
          </w:tcPr>
          <w:p w14:paraId="021F4FC6" w14:textId="62919DFD" w:rsidR="00FA0CA8" w:rsidRPr="001357D3" w:rsidRDefault="00FA0CA8" w:rsidP="00FA0CA8">
            <w:pPr>
              <w:rPr>
                <w:noProof/>
                <w:sz w:val="20"/>
              </w:rPr>
            </w:pPr>
            <w:r w:rsidRPr="001357D3">
              <w:rPr>
                <w:noProof/>
                <w:sz w:val="20"/>
              </w:rPr>
              <w:t>Urzędnicy</w:t>
            </w:r>
            <w:r w:rsidR="001C6403" w:rsidRPr="001357D3">
              <w:rPr>
                <w:noProof/>
                <w:sz w:val="20"/>
              </w:rPr>
              <w:t xml:space="preserve"> i</w:t>
            </w:r>
            <w:r w:rsidR="001C6403">
              <w:rPr>
                <w:noProof/>
                <w:sz w:val="20"/>
              </w:rPr>
              <w:t> </w:t>
            </w:r>
            <w:r w:rsidR="001C6403" w:rsidRPr="001357D3">
              <w:rPr>
                <w:noProof/>
                <w:sz w:val="20"/>
              </w:rPr>
              <w:t>pra</w:t>
            </w:r>
            <w:r w:rsidRPr="001357D3">
              <w:rPr>
                <w:noProof/>
                <w:sz w:val="20"/>
              </w:rPr>
              <w:t>cownicy zatrudnieni na czas określony</w:t>
            </w:r>
          </w:p>
        </w:tc>
        <w:tc>
          <w:tcPr>
            <w:tcW w:w="7200" w:type="dxa"/>
          </w:tcPr>
          <w:p w14:paraId="06441A20" w14:textId="77777777" w:rsidR="00FA0CA8" w:rsidRPr="001357D3" w:rsidRDefault="00FA0CA8" w:rsidP="00FA0CA8">
            <w:pPr>
              <w:rPr>
                <w:noProof/>
                <w:sz w:val="20"/>
                <w:szCs w:val="20"/>
              </w:rPr>
            </w:pPr>
            <w:r w:rsidRPr="001357D3">
              <w:rPr>
                <w:noProof/>
                <w:sz w:val="20"/>
              </w:rPr>
              <w:t>45</w:t>
            </w:r>
          </w:p>
        </w:tc>
      </w:tr>
      <w:tr w:rsidR="0072583F" w:rsidRPr="001357D3" w14:paraId="3DAFCFBA" w14:textId="77777777" w:rsidTr="00E16302">
        <w:tc>
          <w:tcPr>
            <w:tcW w:w="3240" w:type="dxa"/>
          </w:tcPr>
          <w:p w14:paraId="24CA7A44" w14:textId="77777777" w:rsidR="00FA0CA8" w:rsidRPr="001357D3" w:rsidRDefault="00FA0CA8" w:rsidP="00FA0CA8">
            <w:pPr>
              <w:spacing w:before="60" w:after="60"/>
              <w:rPr>
                <w:noProof/>
                <w:sz w:val="20"/>
              </w:rPr>
            </w:pPr>
            <w:r w:rsidRPr="001357D3">
              <w:rPr>
                <w:noProof/>
                <w:sz w:val="20"/>
              </w:rPr>
              <w:t>Personel zewnętrzny</w:t>
            </w:r>
          </w:p>
        </w:tc>
        <w:tc>
          <w:tcPr>
            <w:tcW w:w="7200" w:type="dxa"/>
          </w:tcPr>
          <w:p w14:paraId="06C138E1" w14:textId="77777777" w:rsidR="00FA0CA8" w:rsidRPr="001357D3" w:rsidRDefault="00FA0CA8" w:rsidP="00FA0CA8">
            <w:pPr>
              <w:rPr>
                <w:noProof/>
                <w:sz w:val="20"/>
                <w:szCs w:val="20"/>
              </w:rPr>
            </w:pPr>
            <w:r w:rsidRPr="001357D3">
              <w:rPr>
                <w:noProof/>
                <w:sz w:val="20"/>
              </w:rPr>
              <w:t>15</w:t>
            </w:r>
          </w:p>
        </w:tc>
      </w:tr>
    </w:tbl>
    <w:p w14:paraId="1CC0F10F" w14:textId="77777777" w:rsidR="00FA0CA8" w:rsidRPr="001357D3" w:rsidRDefault="00FA0CA8" w:rsidP="00FA0CA8">
      <w:pPr>
        <w:keepNext/>
        <w:tabs>
          <w:tab w:val="left" w:pos="850"/>
        </w:tabs>
        <w:ind w:left="850" w:hanging="850"/>
        <w:outlineLvl w:val="2"/>
        <w:rPr>
          <w:i/>
          <w:noProof/>
        </w:rPr>
      </w:pPr>
    </w:p>
    <w:p w14:paraId="30EC81CD" w14:textId="5D060D90" w:rsidR="00FA0CA8" w:rsidRPr="001357D3" w:rsidRDefault="00FA0CA8" w:rsidP="00FA0CA8">
      <w:pPr>
        <w:keepNext/>
        <w:tabs>
          <w:tab w:val="left" w:pos="850"/>
        </w:tabs>
        <w:ind w:left="850" w:hanging="850"/>
        <w:outlineLvl w:val="2"/>
        <w:rPr>
          <w:i/>
          <w:noProof/>
        </w:rPr>
      </w:pPr>
      <w:bookmarkStart w:id="249" w:name="_Toc177549031"/>
      <w:bookmarkStart w:id="250" w:name="_Toc210923288"/>
      <w:r w:rsidRPr="001357D3">
        <w:rPr>
          <w:i/>
          <w:noProof/>
        </w:rPr>
        <w:t>3.2.5.</w:t>
      </w:r>
      <w:r w:rsidRPr="001357D3">
        <w:rPr>
          <w:noProof/>
        </w:rPr>
        <w:tab/>
      </w:r>
      <w:r w:rsidRPr="001357D3">
        <w:rPr>
          <w:i/>
          <w:noProof/>
        </w:rPr>
        <w:t>Przegląd szacowanego wpływu na inwestycje związane</w:t>
      </w:r>
      <w:r w:rsidR="001C6403" w:rsidRPr="001357D3">
        <w:rPr>
          <w:i/>
          <w:noProof/>
        </w:rPr>
        <w:t xml:space="preserve"> z</w:t>
      </w:r>
      <w:r w:rsidR="001C6403">
        <w:rPr>
          <w:i/>
          <w:noProof/>
        </w:rPr>
        <w:t> </w:t>
      </w:r>
      <w:r w:rsidR="001C6403" w:rsidRPr="001357D3">
        <w:rPr>
          <w:i/>
          <w:noProof/>
        </w:rPr>
        <w:t>tec</w:t>
      </w:r>
      <w:r w:rsidRPr="001357D3">
        <w:rPr>
          <w:i/>
          <w:noProof/>
        </w:rPr>
        <w:t>hnologiami cyfrowymi</w:t>
      </w:r>
      <w:bookmarkEnd w:id="249"/>
      <w:bookmarkEnd w:id="250"/>
    </w:p>
    <w:tbl>
      <w:tblPr>
        <w:tblW w:w="0" w:type="auto"/>
        <w:tblLayout w:type="fixed"/>
        <w:tblLook w:val="04A0" w:firstRow="1" w:lastRow="0" w:firstColumn="1" w:lastColumn="0" w:noHBand="0" w:noVBand="1"/>
      </w:tblPr>
      <w:tblGrid>
        <w:gridCol w:w="1467"/>
        <w:gridCol w:w="945"/>
        <w:gridCol w:w="945"/>
        <w:gridCol w:w="943"/>
        <w:gridCol w:w="945"/>
        <w:gridCol w:w="945"/>
        <w:gridCol w:w="945"/>
        <w:gridCol w:w="945"/>
        <w:gridCol w:w="979"/>
      </w:tblGrid>
      <w:tr w:rsidR="00D31917" w:rsidRPr="001357D3" w14:paraId="33FFCBC0" w14:textId="77777777" w:rsidTr="00FA0CA8">
        <w:trPr>
          <w:trHeight w:val="645"/>
        </w:trPr>
        <w:tc>
          <w:tcPr>
            <w:tcW w:w="1467"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bookmarkEnd w:id="248"/>
          <w:p w14:paraId="7C3C5588" w14:textId="39D77035" w:rsidR="00FA0CA8" w:rsidRPr="001357D3" w:rsidRDefault="00FA0CA8" w:rsidP="00FA0CA8">
            <w:pPr>
              <w:spacing w:before="0" w:after="0"/>
              <w:jc w:val="center"/>
              <w:rPr>
                <w:noProof/>
              </w:rPr>
            </w:pPr>
            <w:r w:rsidRPr="001357D3">
              <w:rPr>
                <w:b/>
                <w:noProof/>
                <w:sz w:val="18"/>
              </w:rPr>
              <w:t>OGÓŁEM środki na IT</w:t>
            </w:r>
            <w:r w:rsidR="001C6403" w:rsidRPr="001357D3">
              <w:rPr>
                <w:b/>
                <w:noProof/>
                <w:sz w:val="18"/>
              </w:rPr>
              <w:t xml:space="preserve"> i</w:t>
            </w:r>
            <w:r w:rsidR="001C6403">
              <w:rPr>
                <w:b/>
                <w:noProof/>
                <w:sz w:val="18"/>
              </w:rPr>
              <w:t> </w:t>
            </w:r>
            <w:r w:rsidR="001C6403" w:rsidRPr="001357D3">
              <w:rPr>
                <w:b/>
                <w:noProof/>
                <w:sz w:val="18"/>
              </w:rPr>
              <w:t>tec</w:t>
            </w:r>
            <w:r w:rsidRPr="001357D3">
              <w:rPr>
                <w:b/>
                <w:noProof/>
                <w:sz w:val="18"/>
              </w:rPr>
              <w:t xml:space="preserve">hnologie </w:t>
            </w:r>
            <w:r w:rsidRPr="001357D3">
              <w:rPr>
                <w:b/>
                <w:noProof/>
                <w:sz w:val="18"/>
              </w:rPr>
              <w:lastRenderedPageBreak/>
              <w:t>cyfrowe</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AA4E39" w14:textId="77777777" w:rsidR="00FA0CA8" w:rsidRPr="001357D3" w:rsidRDefault="00FA0CA8" w:rsidP="00FA0CA8">
            <w:pPr>
              <w:spacing w:before="0" w:after="0"/>
              <w:jc w:val="center"/>
              <w:rPr>
                <w:noProof/>
              </w:rPr>
            </w:pPr>
            <w:r w:rsidRPr="001357D3">
              <w:rPr>
                <w:noProof/>
                <w:sz w:val="18"/>
              </w:rPr>
              <w:lastRenderedPageBreak/>
              <w:t>Rok</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87B872" w14:textId="77777777" w:rsidR="00FA0CA8" w:rsidRPr="001357D3" w:rsidRDefault="00FA0CA8" w:rsidP="00FA0CA8">
            <w:pPr>
              <w:spacing w:before="0" w:after="0"/>
              <w:jc w:val="center"/>
              <w:rPr>
                <w:noProof/>
              </w:rPr>
            </w:pPr>
            <w:r w:rsidRPr="001357D3">
              <w:rPr>
                <w:noProof/>
                <w:sz w:val="18"/>
              </w:rPr>
              <w:t>Rok</w:t>
            </w:r>
          </w:p>
        </w:tc>
        <w:tc>
          <w:tcPr>
            <w:tcW w:w="9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BBE228" w14:textId="77777777" w:rsidR="00FA0CA8" w:rsidRPr="001357D3" w:rsidRDefault="00FA0CA8" w:rsidP="00FA0CA8">
            <w:pPr>
              <w:spacing w:before="0" w:after="0"/>
              <w:jc w:val="center"/>
              <w:rPr>
                <w:noProof/>
              </w:rPr>
            </w:pPr>
            <w:r w:rsidRPr="001357D3">
              <w:rPr>
                <w:noProof/>
                <w:sz w:val="18"/>
              </w:rPr>
              <w:t>Rok</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DFCC01" w14:textId="77777777" w:rsidR="00FA0CA8" w:rsidRPr="001357D3" w:rsidRDefault="00FA0CA8" w:rsidP="00FA0CA8">
            <w:pPr>
              <w:spacing w:before="0" w:after="0"/>
              <w:jc w:val="center"/>
              <w:rPr>
                <w:noProof/>
              </w:rPr>
            </w:pPr>
            <w:r w:rsidRPr="001357D3">
              <w:rPr>
                <w:noProof/>
                <w:sz w:val="18"/>
              </w:rPr>
              <w:t>Rok</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A23A65" w14:textId="77777777" w:rsidR="00FA0CA8" w:rsidRPr="001357D3" w:rsidRDefault="00FA0CA8" w:rsidP="00FA0CA8">
            <w:pPr>
              <w:spacing w:before="0" w:after="0"/>
              <w:jc w:val="center"/>
              <w:rPr>
                <w:noProof/>
              </w:rPr>
            </w:pPr>
            <w:r w:rsidRPr="001357D3">
              <w:rPr>
                <w:noProof/>
                <w:sz w:val="18"/>
              </w:rPr>
              <w:t>Rok</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A73473" w14:textId="77777777" w:rsidR="00FA0CA8" w:rsidRPr="001357D3" w:rsidRDefault="00FA0CA8" w:rsidP="00FA0CA8">
            <w:pPr>
              <w:spacing w:before="0" w:after="0"/>
              <w:jc w:val="center"/>
              <w:rPr>
                <w:noProof/>
              </w:rPr>
            </w:pPr>
            <w:r w:rsidRPr="001357D3">
              <w:rPr>
                <w:noProof/>
                <w:sz w:val="18"/>
              </w:rPr>
              <w:t>Rok</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93C7B6" w14:textId="77777777" w:rsidR="00FA0CA8" w:rsidRPr="001357D3" w:rsidRDefault="00FA0CA8" w:rsidP="00FA0CA8">
            <w:pPr>
              <w:spacing w:before="0" w:after="0"/>
              <w:jc w:val="center"/>
              <w:rPr>
                <w:noProof/>
              </w:rPr>
            </w:pPr>
            <w:r w:rsidRPr="001357D3">
              <w:rPr>
                <w:noProof/>
                <w:sz w:val="18"/>
              </w:rPr>
              <w:t>Rok</w:t>
            </w:r>
          </w:p>
        </w:tc>
        <w:tc>
          <w:tcPr>
            <w:tcW w:w="97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618A34" w14:textId="77777777" w:rsidR="00FA0CA8" w:rsidRPr="001357D3" w:rsidRDefault="00FA0CA8" w:rsidP="00FA0CA8">
            <w:pPr>
              <w:spacing w:before="0" w:after="0"/>
              <w:jc w:val="center"/>
              <w:rPr>
                <w:noProof/>
              </w:rPr>
            </w:pPr>
            <w:r w:rsidRPr="001357D3">
              <w:rPr>
                <w:b/>
                <w:noProof/>
                <w:sz w:val="18"/>
              </w:rPr>
              <w:t>OGÓŁEM WRF 2028–</w:t>
            </w:r>
            <w:r w:rsidRPr="001357D3">
              <w:rPr>
                <w:b/>
                <w:noProof/>
                <w:sz w:val="18"/>
              </w:rPr>
              <w:lastRenderedPageBreak/>
              <w:t>2034</w:t>
            </w:r>
          </w:p>
        </w:tc>
      </w:tr>
      <w:tr w:rsidR="00D31917" w:rsidRPr="001357D3" w14:paraId="6F488864" w14:textId="77777777" w:rsidTr="00FA0CA8">
        <w:trPr>
          <w:trHeight w:val="300"/>
        </w:trPr>
        <w:tc>
          <w:tcPr>
            <w:tcW w:w="1467" w:type="dxa"/>
            <w:vMerge/>
            <w:tcBorders>
              <w:top w:val="single" w:sz="4" w:space="0" w:color="auto"/>
              <w:left w:val="single" w:sz="4" w:space="0" w:color="auto"/>
              <w:bottom w:val="single" w:sz="4" w:space="0" w:color="auto"/>
              <w:right w:val="single" w:sz="4" w:space="0" w:color="auto"/>
            </w:tcBorders>
            <w:vAlign w:val="center"/>
          </w:tcPr>
          <w:p w14:paraId="77385CF0" w14:textId="77777777" w:rsidR="00FA0CA8" w:rsidRPr="001357D3" w:rsidRDefault="00FA0CA8" w:rsidP="00FA0CA8">
            <w:pPr>
              <w:rPr>
                <w:noProof/>
              </w:rPr>
            </w:pP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525B5F" w14:textId="77777777" w:rsidR="00FA0CA8" w:rsidRPr="001357D3" w:rsidRDefault="00FA0CA8" w:rsidP="00FA0CA8">
            <w:pPr>
              <w:spacing w:before="0" w:after="0"/>
              <w:jc w:val="center"/>
              <w:rPr>
                <w:noProof/>
              </w:rPr>
            </w:pPr>
            <w:r w:rsidRPr="001357D3">
              <w:rPr>
                <w:b/>
                <w:noProof/>
                <w:sz w:val="18"/>
              </w:rPr>
              <w:t>2028</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8832D7" w14:textId="77777777" w:rsidR="00FA0CA8" w:rsidRPr="001357D3" w:rsidRDefault="00FA0CA8" w:rsidP="00FA0CA8">
            <w:pPr>
              <w:spacing w:before="0" w:after="0"/>
              <w:jc w:val="center"/>
              <w:rPr>
                <w:noProof/>
              </w:rPr>
            </w:pPr>
            <w:r w:rsidRPr="001357D3">
              <w:rPr>
                <w:b/>
                <w:noProof/>
                <w:sz w:val="18"/>
              </w:rPr>
              <w:t>2029</w:t>
            </w:r>
          </w:p>
        </w:tc>
        <w:tc>
          <w:tcPr>
            <w:tcW w:w="9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132816" w14:textId="77777777" w:rsidR="00FA0CA8" w:rsidRPr="001357D3" w:rsidRDefault="00FA0CA8" w:rsidP="00FA0CA8">
            <w:pPr>
              <w:spacing w:before="0" w:after="0"/>
              <w:jc w:val="center"/>
              <w:rPr>
                <w:noProof/>
              </w:rPr>
            </w:pPr>
            <w:r w:rsidRPr="001357D3">
              <w:rPr>
                <w:b/>
                <w:noProof/>
                <w:sz w:val="18"/>
              </w:rPr>
              <w:t>2030</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F5C6DB" w14:textId="77777777" w:rsidR="00FA0CA8" w:rsidRPr="001357D3" w:rsidRDefault="00FA0CA8" w:rsidP="00FA0CA8">
            <w:pPr>
              <w:spacing w:before="0" w:after="0"/>
              <w:jc w:val="center"/>
              <w:rPr>
                <w:noProof/>
              </w:rPr>
            </w:pPr>
            <w:r w:rsidRPr="001357D3">
              <w:rPr>
                <w:b/>
                <w:noProof/>
                <w:sz w:val="18"/>
              </w:rPr>
              <w:t>2031</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DAAAEF" w14:textId="77777777" w:rsidR="00FA0CA8" w:rsidRPr="001357D3" w:rsidRDefault="00FA0CA8" w:rsidP="00FA0CA8">
            <w:pPr>
              <w:spacing w:before="0" w:after="0"/>
              <w:jc w:val="center"/>
              <w:rPr>
                <w:noProof/>
              </w:rPr>
            </w:pPr>
            <w:r w:rsidRPr="001357D3">
              <w:rPr>
                <w:b/>
                <w:noProof/>
                <w:sz w:val="18"/>
              </w:rPr>
              <w:t>2032</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DC5178" w14:textId="77777777" w:rsidR="00FA0CA8" w:rsidRPr="001357D3" w:rsidRDefault="00FA0CA8" w:rsidP="00FA0CA8">
            <w:pPr>
              <w:spacing w:before="0" w:after="0"/>
              <w:jc w:val="center"/>
              <w:rPr>
                <w:noProof/>
              </w:rPr>
            </w:pPr>
            <w:r w:rsidRPr="001357D3">
              <w:rPr>
                <w:b/>
                <w:noProof/>
                <w:sz w:val="18"/>
              </w:rPr>
              <w:t>2033</w:t>
            </w:r>
          </w:p>
        </w:tc>
        <w:tc>
          <w:tcPr>
            <w:tcW w:w="9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2E165F" w14:textId="77777777" w:rsidR="00FA0CA8" w:rsidRPr="001357D3" w:rsidRDefault="00FA0CA8" w:rsidP="00FA0CA8">
            <w:pPr>
              <w:spacing w:before="0" w:after="0"/>
              <w:jc w:val="center"/>
              <w:rPr>
                <w:noProof/>
              </w:rPr>
            </w:pPr>
            <w:r w:rsidRPr="001357D3">
              <w:rPr>
                <w:b/>
                <w:noProof/>
                <w:sz w:val="18"/>
              </w:rPr>
              <w:t>2034</w:t>
            </w:r>
          </w:p>
        </w:tc>
        <w:tc>
          <w:tcPr>
            <w:tcW w:w="979" w:type="dxa"/>
            <w:vMerge/>
            <w:tcBorders>
              <w:top w:val="single" w:sz="4" w:space="0" w:color="auto"/>
              <w:left w:val="single" w:sz="4" w:space="0" w:color="auto"/>
              <w:bottom w:val="single" w:sz="4" w:space="0" w:color="auto"/>
              <w:right w:val="single" w:sz="4" w:space="0" w:color="auto"/>
            </w:tcBorders>
            <w:vAlign w:val="center"/>
          </w:tcPr>
          <w:p w14:paraId="0F1D3A0C" w14:textId="77777777" w:rsidR="00FA0CA8" w:rsidRPr="001357D3" w:rsidRDefault="00FA0CA8" w:rsidP="00FA0CA8">
            <w:pPr>
              <w:rPr>
                <w:noProof/>
              </w:rPr>
            </w:pPr>
          </w:p>
        </w:tc>
      </w:tr>
      <w:tr w:rsidR="00D31917" w:rsidRPr="001357D3" w14:paraId="7F7BEDAC" w14:textId="77777777" w:rsidTr="00FA0CA8">
        <w:trPr>
          <w:trHeight w:val="300"/>
        </w:trPr>
        <w:tc>
          <w:tcPr>
            <w:tcW w:w="9059" w:type="dxa"/>
            <w:gridSpan w:val="9"/>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A560B5" w14:textId="77777777" w:rsidR="00FA0CA8" w:rsidRPr="001357D3" w:rsidRDefault="00FA0CA8" w:rsidP="00FA0CA8">
            <w:pPr>
              <w:spacing w:before="0" w:after="0"/>
              <w:jc w:val="left"/>
              <w:rPr>
                <w:noProof/>
              </w:rPr>
            </w:pPr>
            <w:r w:rsidRPr="001357D3">
              <w:rPr>
                <w:b/>
                <w:noProof/>
                <w:sz w:val="16"/>
              </w:rPr>
              <w:t>DZIAŁ 4</w:t>
            </w:r>
          </w:p>
        </w:tc>
      </w:tr>
      <w:tr w:rsidR="00D31917" w:rsidRPr="001357D3" w14:paraId="3D9811B4" w14:textId="77777777" w:rsidTr="00FA0CA8">
        <w:trPr>
          <w:trHeight w:val="795"/>
        </w:trPr>
        <w:tc>
          <w:tcPr>
            <w:tcW w:w="14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59CB3B" w14:textId="77777777" w:rsidR="00FA0CA8" w:rsidRPr="001357D3" w:rsidRDefault="00FA0CA8" w:rsidP="00FA0CA8">
            <w:pPr>
              <w:spacing w:before="0" w:after="0"/>
              <w:jc w:val="left"/>
              <w:rPr>
                <w:noProof/>
              </w:rPr>
            </w:pPr>
            <w:r w:rsidRPr="001357D3">
              <w:rPr>
                <w:noProof/>
                <w:sz w:val="20"/>
              </w:rPr>
              <w:t>Wydatki na IT (ponoszone przez organizację)</w:t>
            </w:r>
            <w:r w:rsidRPr="001357D3">
              <w:rPr>
                <w:noProof/>
                <w:sz w:val="16"/>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FD67811" w14:textId="77777777" w:rsidR="00FA0CA8" w:rsidRPr="001357D3" w:rsidRDefault="00FA0CA8" w:rsidP="00FA0CA8">
            <w:pPr>
              <w:spacing w:before="0" w:after="0"/>
              <w:jc w:val="right"/>
              <w:rPr>
                <w:noProof/>
              </w:rPr>
            </w:pPr>
            <w:r w:rsidRPr="001357D3">
              <w:rPr>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1C8F1A8" w14:textId="77777777" w:rsidR="00FA0CA8" w:rsidRPr="001357D3" w:rsidRDefault="00FA0CA8" w:rsidP="00FA0CA8">
            <w:pPr>
              <w:spacing w:before="0" w:after="0"/>
              <w:jc w:val="right"/>
              <w:rPr>
                <w:noProof/>
              </w:rPr>
            </w:pPr>
            <w:r w:rsidRPr="001357D3">
              <w:rPr>
                <w:noProof/>
                <w:sz w:val="16"/>
              </w:rPr>
              <w:t>0,492</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4EB6677" w14:textId="77777777" w:rsidR="00FA0CA8" w:rsidRPr="001357D3" w:rsidRDefault="00FA0CA8" w:rsidP="00FA0CA8">
            <w:pPr>
              <w:spacing w:before="0" w:after="0"/>
              <w:jc w:val="right"/>
              <w:rPr>
                <w:noProof/>
              </w:rPr>
            </w:pPr>
            <w:r w:rsidRPr="001357D3">
              <w:rPr>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5C6B20F" w14:textId="77777777" w:rsidR="00FA0CA8" w:rsidRPr="001357D3" w:rsidRDefault="00FA0CA8" w:rsidP="00FA0CA8">
            <w:pPr>
              <w:spacing w:before="0" w:after="0"/>
              <w:jc w:val="right"/>
              <w:rPr>
                <w:noProof/>
              </w:rPr>
            </w:pPr>
            <w:r w:rsidRPr="001357D3">
              <w:rPr>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2A9B739" w14:textId="77777777" w:rsidR="00FA0CA8" w:rsidRPr="001357D3" w:rsidRDefault="00FA0CA8" w:rsidP="00FA0CA8">
            <w:pPr>
              <w:spacing w:before="0" w:after="0"/>
              <w:jc w:val="right"/>
              <w:rPr>
                <w:noProof/>
              </w:rPr>
            </w:pPr>
            <w:r w:rsidRPr="001357D3">
              <w:rPr>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3E6F460" w14:textId="77777777" w:rsidR="00FA0CA8" w:rsidRPr="001357D3" w:rsidRDefault="00FA0CA8" w:rsidP="00FA0CA8">
            <w:pPr>
              <w:spacing w:before="0" w:after="0"/>
              <w:jc w:val="right"/>
              <w:rPr>
                <w:noProof/>
              </w:rPr>
            </w:pPr>
            <w:r w:rsidRPr="001357D3">
              <w:rPr>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E39EB94" w14:textId="77777777" w:rsidR="00FA0CA8" w:rsidRPr="001357D3" w:rsidRDefault="00FA0CA8" w:rsidP="00FA0CA8">
            <w:pPr>
              <w:spacing w:before="0" w:after="0"/>
              <w:jc w:val="right"/>
              <w:rPr>
                <w:noProof/>
              </w:rPr>
            </w:pPr>
            <w:r w:rsidRPr="001357D3">
              <w:rPr>
                <w:noProof/>
                <w:sz w:val="16"/>
              </w:rPr>
              <w:t>0,492</w:t>
            </w:r>
          </w:p>
        </w:tc>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F0F6B66" w14:textId="77777777" w:rsidR="00FA0CA8" w:rsidRPr="001357D3" w:rsidRDefault="00FA0CA8" w:rsidP="00FA0CA8">
            <w:pPr>
              <w:spacing w:before="0" w:after="0"/>
              <w:jc w:val="right"/>
              <w:rPr>
                <w:noProof/>
              </w:rPr>
            </w:pPr>
            <w:r w:rsidRPr="001357D3">
              <w:rPr>
                <w:b/>
                <w:noProof/>
                <w:sz w:val="16"/>
              </w:rPr>
              <w:t>3,444</w:t>
            </w:r>
          </w:p>
        </w:tc>
      </w:tr>
      <w:tr w:rsidR="00D31917" w:rsidRPr="001357D3" w14:paraId="53CA6615" w14:textId="77777777" w:rsidTr="00FA0CA8">
        <w:trPr>
          <w:trHeight w:val="435"/>
        </w:trPr>
        <w:tc>
          <w:tcPr>
            <w:tcW w:w="1467" w:type="dxa"/>
            <w:tcBorders>
              <w:top w:val="single" w:sz="4"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DEC04BB" w14:textId="77777777" w:rsidR="00FA0CA8" w:rsidRPr="001357D3" w:rsidRDefault="00FA0CA8" w:rsidP="00FA0CA8">
            <w:pPr>
              <w:spacing w:before="0" w:after="0"/>
              <w:jc w:val="center"/>
              <w:rPr>
                <w:noProof/>
              </w:rPr>
            </w:pPr>
            <w:r w:rsidRPr="001357D3">
              <w:rPr>
                <w:b/>
                <w:noProof/>
                <w:sz w:val="16"/>
              </w:rPr>
              <w:t>Suma cząstkowa DZIAŁ 4</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7E2159" w14:textId="77777777" w:rsidR="00FA0CA8" w:rsidRPr="001357D3" w:rsidRDefault="00FA0CA8" w:rsidP="00FA0CA8">
            <w:pPr>
              <w:spacing w:before="0" w:after="0"/>
              <w:jc w:val="right"/>
              <w:rPr>
                <w:noProof/>
              </w:rPr>
            </w:pPr>
            <w:r w:rsidRPr="001357D3">
              <w:rPr>
                <w:b/>
                <w:noProof/>
                <w:sz w:val="16"/>
              </w:rPr>
              <w:t>0,492</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D21BA4" w14:textId="77777777" w:rsidR="00FA0CA8" w:rsidRPr="001357D3" w:rsidRDefault="00FA0CA8" w:rsidP="00FA0CA8">
            <w:pPr>
              <w:spacing w:before="0" w:after="0"/>
              <w:jc w:val="right"/>
              <w:rPr>
                <w:noProof/>
              </w:rPr>
            </w:pPr>
            <w:r w:rsidRPr="001357D3">
              <w:rPr>
                <w:b/>
                <w:noProof/>
                <w:sz w:val="16"/>
              </w:rPr>
              <w:t>0,492</w:t>
            </w:r>
          </w:p>
        </w:tc>
        <w:tc>
          <w:tcPr>
            <w:tcW w:w="943"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7B20EB" w14:textId="77777777" w:rsidR="00FA0CA8" w:rsidRPr="001357D3" w:rsidRDefault="00FA0CA8" w:rsidP="00FA0CA8">
            <w:pPr>
              <w:spacing w:before="0" w:after="0"/>
              <w:jc w:val="right"/>
              <w:rPr>
                <w:noProof/>
              </w:rPr>
            </w:pPr>
            <w:r w:rsidRPr="001357D3">
              <w:rPr>
                <w:b/>
                <w:noProof/>
                <w:sz w:val="16"/>
              </w:rPr>
              <w:t>0,492</w:t>
            </w:r>
          </w:p>
        </w:tc>
        <w:tc>
          <w:tcPr>
            <w:tcW w:w="945"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left w:w="108" w:type="dxa"/>
              <w:right w:w="108" w:type="dxa"/>
            </w:tcMar>
            <w:vAlign w:val="center"/>
          </w:tcPr>
          <w:p w14:paraId="2CAAB602" w14:textId="77777777" w:rsidR="00FA0CA8" w:rsidRPr="001357D3" w:rsidRDefault="00FA0CA8" w:rsidP="00FA0CA8">
            <w:pPr>
              <w:spacing w:before="0" w:after="0"/>
              <w:jc w:val="right"/>
              <w:rPr>
                <w:noProof/>
              </w:rPr>
            </w:pPr>
            <w:r w:rsidRPr="001357D3">
              <w:rPr>
                <w:b/>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C152E04" w14:textId="77777777" w:rsidR="00FA0CA8" w:rsidRPr="001357D3" w:rsidRDefault="00FA0CA8" w:rsidP="00FA0CA8">
            <w:pPr>
              <w:spacing w:before="0" w:after="0"/>
              <w:jc w:val="right"/>
              <w:rPr>
                <w:noProof/>
              </w:rPr>
            </w:pPr>
            <w:r w:rsidRPr="001357D3">
              <w:rPr>
                <w:b/>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3930746" w14:textId="77777777" w:rsidR="00FA0CA8" w:rsidRPr="001357D3" w:rsidRDefault="00FA0CA8" w:rsidP="00FA0CA8">
            <w:pPr>
              <w:spacing w:before="0" w:after="0"/>
              <w:jc w:val="right"/>
              <w:rPr>
                <w:noProof/>
              </w:rPr>
            </w:pPr>
            <w:r w:rsidRPr="001357D3">
              <w:rPr>
                <w:b/>
                <w:noProof/>
                <w:sz w:val="16"/>
              </w:rPr>
              <w:t>0,492</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A8AEEA1" w14:textId="77777777" w:rsidR="00FA0CA8" w:rsidRPr="001357D3" w:rsidRDefault="00FA0CA8" w:rsidP="00FA0CA8">
            <w:pPr>
              <w:spacing w:before="0" w:after="0"/>
              <w:jc w:val="right"/>
              <w:rPr>
                <w:noProof/>
              </w:rPr>
            </w:pPr>
            <w:r w:rsidRPr="001357D3">
              <w:rPr>
                <w:b/>
                <w:noProof/>
                <w:sz w:val="16"/>
              </w:rPr>
              <w:t>0,492</w:t>
            </w:r>
          </w:p>
        </w:tc>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3EF18D66" w14:textId="77777777" w:rsidR="00FA0CA8" w:rsidRPr="001357D3" w:rsidRDefault="00FA0CA8" w:rsidP="00FA0CA8">
            <w:pPr>
              <w:spacing w:before="0" w:after="0"/>
              <w:jc w:val="right"/>
              <w:rPr>
                <w:noProof/>
              </w:rPr>
            </w:pPr>
            <w:r w:rsidRPr="001357D3">
              <w:rPr>
                <w:b/>
                <w:noProof/>
                <w:sz w:val="16"/>
              </w:rPr>
              <w:t>3,444</w:t>
            </w:r>
          </w:p>
        </w:tc>
      </w:tr>
      <w:tr w:rsidR="00D31917" w:rsidRPr="001357D3" w14:paraId="23D205CF" w14:textId="77777777" w:rsidTr="00FA0CA8">
        <w:trPr>
          <w:trHeight w:val="300"/>
        </w:trPr>
        <w:tc>
          <w:tcPr>
            <w:tcW w:w="9059" w:type="dxa"/>
            <w:gridSpan w:val="9"/>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BB2047" w14:textId="77777777" w:rsidR="00FA0CA8" w:rsidRPr="001357D3" w:rsidRDefault="00FA0CA8" w:rsidP="00FA0CA8">
            <w:pPr>
              <w:spacing w:before="0" w:after="0"/>
              <w:jc w:val="left"/>
              <w:rPr>
                <w:noProof/>
              </w:rPr>
            </w:pPr>
            <w:r w:rsidRPr="001357D3">
              <w:rPr>
                <w:b/>
                <w:noProof/>
                <w:sz w:val="16"/>
              </w:rPr>
              <w:t>Poza DZIAŁEM 4</w:t>
            </w:r>
          </w:p>
        </w:tc>
      </w:tr>
      <w:tr w:rsidR="00D31917" w:rsidRPr="001357D3" w14:paraId="10E67C1D" w14:textId="77777777" w:rsidTr="00FA0CA8">
        <w:trPr>
          <w:trHeight w:val="1575"/>
        </w:trPr>
        <w:tc>
          <w:tcPr>
            <w:tcW w:w="1467" w:type="dxa"/>
            <w:tcBorders>
              <w:top w:val="single" w:sz="4" w:space="0" w:color="auto"/>
              <w:left w:val="single" w:sz="8" w:space="0" w:color="auto"/>
              <w:bottom w:val="single" w:sz="8" w:space="0" w:color="auto"/>
              <w:right w:val="single" w:sz="8" w:space="0" w:color="000000" w:themeColor="text1"/>
            </w:tcBorders>
            <w:tcMar>
              <w:left w:w="108" w:type="dxa"/>
              <w:right w:w="108" w:type="dxa"/>
            </w:tcMar>
            <w:vAlign w:val="center"/>
          </w:tcPr>
          <w:p w14:paraId="4B358AA6" w14:textId="7241AAF3" w:rsidR="00FA0CA8" w:rsidRPr="001357D3" w:rsidRDefault="00FA0CA8" w:rsidP="00FA0CA8">
            <w:pPr>
              <w:spacing w:before="0" w:after="0"/>
              <w:jc w:val="left"/>
              <w:rPr>
                <w:noProof/>
              </w:rPr>
            </w:pPr>
            <w:r w:rsidRPr="001357D3">
              <w:rPr>
                <w:noProof/>
                <w:sz w:val="20"/>
              </w:rPr>
              <w:t>Wydatki na IT wynikające</w:t>
            </w:r>
            <w:r w:rsidR="001C6403" w:rsidRPr="001357D3">
              <w:rPr>
                <w:noProof/>
                <w:sz w:val="20"/>
              </w:rPr>
              <w:t xml:space="preserve"> z</w:t>
            </w:r>
            <w:r w:rsidR="001C6403">
              <w:rPr>
                <w:noProof/>
                <w:sz w:val="20"/>
              </w:rPr>
              <w:t> </w:t>
            </w:r>
            <w:r w:rsidR="001C6403" w:rsidRPr="001357D3">
              <w:rPr>
                <w:noProof/>
                <w:sz w:val="20"/>
              </w:rPr>
              <w:t>rea</w:t>
            </w:r>
            <w:r w:rsidRPr="001357D3">
              <w:rPr>
                <w:noProof/>
                <w:sz w:val="20"/>
              </w:rPr>
              <w:t>lizacji polityki tytułem programów operacyjnych</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14E1D6" w14:textId="77777777" w:rsidR="00FA0CA8" w:rsidRPr="001357D3" w:rsidRDefault="00FA0CA8" w:rsidP="00FA0CA8">
            <w:pPr>
              <w:spacing w:before="0" w:after="0"/>
              <w:jc w:val="right"/>
              <w:rPr>
                <w:noProof/>
              </w:rPr>
            </w:pPr>
            <w:r w:rsidRPr="001357D3">
              <w:rPr>
                <w:noProof/>
                <w:sz w:val="16"/>
              </w:rPr>
              <w:t>37</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28BF49" w14:textId="77777777" w:rsidR="00FA0CA8" w:rsidRPr="001357D3" w:rsidRDefault="00FA0CA8" w:rsidP="00FA0CA8">
            <w:pPr>
              <w:spacing w:before="0" w:after="0"/>
              <w:jc w:val="right"/>
              <w:rPr>
                <w:noProof/>
              </w:rPr>
            </w:pPr>
            <w:r w:rsidRPr="001357D3">
              <w:rPr>
                <w:noProof/>
                <w:sz w:val="16"/>
              </w:rPr>
              <w:t>37</w:t>
            </w:r>
          </w:p>
        </w:tc>
        <w:tc>
          <w:tcPr>
            <w:tcW w:w="943"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3F269D" w14:textId="77777777" w:rsidR="00FA0CA8" w:rsidRPr="001357D3" w:rsidRDefault="00FA0CA8" w:rsidP="00FA0CA8">
            <w:pPr>
              <w:spacing w:before="0" w:after="0"/>
              <w:jc w:val="right"/>
              <w:rPr>
                <w:noProof/>
              </w:rPr>
            </w:pPr>
            <w:r w:rsidRPr="001357D3">
              <w:rPr>
                <w:noProof/>
                <w:sz w:val="16"/>
              </w:rPr>
              <w:t>37</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B93FBC" w14:textId="77777777" w:rsidR="00FA0CA8" w:rsidRPr="001357D3" w:rsidRDefault="00FA0CA8" w:rsidP="00FA0CA8">
            <w:pPr>
              <w:spacing w:before="0" w:after="0"/>
              <w:jc w:val="right"/>
              <w:rPr>
                <w:noProof/>
              </w:rPr>
            </w:pPr>
            <w:r w:rsidRPr="001357D3">
              <w:rPr>
                <w:noProof/>
                <w:sz w:val="16"/>
              </w:rPr>
              <w:t>37</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CEDBF2" w14:textId="77777777" w:rsidR="00FA0CA8" w:rsidRPr="001357D3" w:rsidRDefault="00FA0CA8" w:rsidP="00FA0CA8">
            <w:pPr>
              <w:spacing w:before="0" w:after="0"/>
              <w:jc w:val="right"/>
              <w:rPr>
                <w:noProof/>
              </w:rPr>
            </w:pPr>
            <w:r w:rsidRPr="001357D3">
              <w:rPr>
                <w:noProof/>
                <w:sz w:val="16"/>
              </w:rPr>
              <w:t>37</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D8CC26" w14:textId="77777777" w:rsidR="00FA0CA8" w:rsidRPr="001357D3" w:rsidRDefault="00FA0CA8" w:rsidP="00FA0CA8">
            <w:pPr>
              <w:spacing w:before="0" w:after="0"/>
              <w:jc w:val="right"/>
              <w:rPr>
                <w:noProof/>
              </w:rPr>
            </w:pPr>
            <w:r w:rsidRPr="001357D3">
              <w:rPr>
                <w:noProof/>
                <w:sz w:val="16"/>
              </w:rPr>
              <w:t>37</w:t>
            </w:r>
          </w:p>
        </w:tc>
        <w:tc>
          <w:tcPr>
            <w:tcW w:w="945"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1CA3BF" w14:textId="77777777" w:rsidR="00FA0CA8" w:rsidRPr="001357D3" w:rsidRDefault="00FA0CA8" w:rsidP="00FA0CA8">
            <w:pPr>
              <w:spacing w:before="0" w:after="0"/>
              <w:jc w:val="right"/>
              <w:rPr>
                <w:noProof/>
              </w:rPr>
            </w:pPr>
            <w:r w:rsidRPr="001357D3">
              <w:rPr>
                <w:noProof/>
                <w:sz w:val="16"/>
              </w:rPr>
              <w:t>37</w:t>
            </w:r>
          </w:p>
        </w:tc>
        <w:tc>
          <w:tcPr>
            <w:tcW w:w="979" w:type="dxa"/>
            <w:tcBorders>
              <w:top w:val="single" w:sz="4"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73C2BD56" w14:textId="77777777" w:rsidR="00FA0CA8" w:rsidRPr="001357D3" w:rsidRDefault="00FA0CA8" w:rsidP="00FA0CA8">
            <w:pPr>
              <w:spacing w:before="0" w:after="0"/>
              <w:jc w:val="right"/>
              <w:rPr>
                <w:rFonts w:eastAsia="Times New Roman"/>
                <w:b/>
                <w:bCs/>
                <w:noProof/>
                <w:sz w:val="16"/>
                <w:szCs w:val="16"/>
              </w:rPr>
            </w:pPr>
            <w:r w:rsidRPr="001357D3">
              <w:rPr>
                <w:b/>
                <w:noProof/>
                <w:sz w:val="16"/>
              </w:rPr>
              <w:t>259</w:t>
            </w:r>
          </w:p>
        </w:tc>
      </w:tr>
      <w:tr w:rsidR="00D31917" w:rsidRPr="001357D3" w14:paraId="0E3D11CC" w14:textId="77777777">
        <w:trPr>
          <w:trHeight w:val="645"/>
        </w:trPr>
        <w:tc>
          <w:tcPr>
            <w:tcW w:w="1467"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5341F5A" w14:textId="77777777" w:rsidR="00FA0CA8" w:rsidRPr="001357D3" w:rsidRDefault="00FA0CA8" w:rsidP="00FA0CA8">
            <w:pPr>
              <w:spacing w:before="0" w:after="0"/>
              <w:jc w:val="center"/>
              <w:rPr>
                <w:noProof/>
              </w:rPr>
            </w:pPr>
            <w:r w:rsidRPr="001357D3">
              <w:rPr>
                <w:b/>
                <w:noProof/>
                <w:sz w:val="16"/>
              </w:rPr>
              <w:t>Suma cząstkowa poza DZIAŁEM 4</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A3B016"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A72785"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A3BF9C"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FA702F"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AE7600"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F1BE09"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146218" w14:textId="77777777" w:rsidR="00FA0CA8" w:rsidRPr="001357D3" w:rsidRDefault="00FA0CA8" w:rsidP="00FA0CA8">
            <w:pPr>
              <w:spacing w:before="0" w:after="0"/>
              <w:jc w:val="right"/>
              <w:rPr>
                <w:rFonts w:eastAsia="Times New Roman"/>
                <w:b/>
                <w:bCs/>
                <w:noProof/>
                <w:sz w:val="16"/>
                <w:szCs w:val="16"/>
              </w:rPr>
            </w:pPr>
            <w:r w:rsidRPr="001357D3">
              <w:rPr>
                <w:b/>
                <w:noProof/>
                <w:sz w:val="16"/>
              </w:rPr>
              <w:t>37</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041241" w14:textId="77777777" w:rsidR="00FA0CA8" w:rsidRPr="001357D3" w:rsidRDefault="00FA0CA8" w:rsidP="00FA0CA8">
            <w:pPr>
              <w:spacing w:before="0" w:after="0"/>
              <w:jc w:val="right"/>
              <w:rPr>
                <w:rFonts w:eastAsia="Times New Roman"/>
                <w:b/>
                <w:bCs/>
                <w:noProof/>
                <w:sz w:val="16"/>
                <w:szCs w:val="16"/>
              </w:rPr>
            </w:pPr>
            <w:r w:rsidRPr="001357D3">
              <w:rPr>
                <w:b/>
                <w:noProof/>
                <w:sz w:val="16"/>
              </w:rPr>
              <w:t>259</w:t>
            </w:r>
          </w:p>
        </w:tc>
      </w:tr>
      <w:tr w:rsidR="00D31917" w:rsidRPr="001357D3" w14:paraId="579601CD" w14:textId="77777777">
        <w:trPr>
          <w:trHeight w:val="300"/>
        </w:trPr>
        <w:tc>
          <w:tcPr>
            <w:tcW w:w="9059" w:type="dxa"/>
            <w:gridSpan w:val="9"/>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7E06BD7" w14:textId="4A47260D" w:rsidR="00FA0CA8" w:rsidRPr="001357D3" w:rsidRDefault="00FA0CA8" w:rsidP="00FA0CA8">
            <w:pPr>
              <w:spacing w:before="0" w:after="0"/>
              <w:jc w:val="center"/>
              <w:rPr>
                <w:noProof/>
              </w:rPr>
            </w:pPr>
          </w:p>
        </w:tc>
      </w:tr>
      <w:tr w:rsidR="00D31917" w:rsidRPr="001357D3" w14:paraId="1EAA257A" w14:textId="77777777">
        <w:trPr>
          <w:trHeight w:val="300"/>
        </w:trPr>
        <w:tc>
          <w:tcPr>
            <w:tcW w:w="1467" w:type="dxa"/>
            <w:tcBorders>
              <w:top w:val="single" w:sz="8" w:space="0" w:color="auto"/>
              <w:left w:val="single" w:sz="12" w:space="0" w:color="auto"/>
              <w:bottom w:val="single" w:sz="12" w:space="0" w:color="auto"/>
              <w:right w:val="single" w:sz="8" w:space="0" w:color="000000" w:themeColor="text1"/>
            </w:tcBorders>
            <w:tcMar>
              <w:left w:w="108" w:type="dxa"/>
              <w:right w:w="108" w:type="dxa"/>
            </w:tcMar>
            <w:vAlign w:val="center"/>
          </w:tcPr>
          <w:p w14:paraId="30D0087D" w14:textId="77777777" w:rsidR="00FA0CA8" w:rsidRPr="001357D3" w:rsidRDefault="00FA0CA8" w:rsidP="00FA0CA8">
            <w:pPr>
              <w:spacing w:before="0" w:after="0"/>
              <w:jc w:val="center"/>
              <w:rPr>
                <w:noProof/>
              </w:rPr>
            </w:pPr>
            <w:r w:rsidRPr="001357D3">
              <w:rPr>
                <w:b/>
                <w:noProof/>
                <w:sz w:val="16"/>
              </w:rPr>
              <w:t>OGÓŁEM</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7E27648" w14:textId="77777777" w:rsidR="00FA0CA8" w:rsidRPr="001357D3" w:rsidRDefault="00FA0CA8" w:rsidP="00FA0CA8">
            <w:pPr>
              <w:spacing w:before="0" w:after="0"/>
              <w:jc w:val="right"/>
              <w:rPr>
                <w:noProof/>
              </w:rPr>
            </w:pPr>
            <w:r w:rsidRPr="001357D3">
              <w:rPr>
                <w:b/>
                <w:noProof/>
                <w:sz w:val="16"/>
              </w:rPr>
              <w:t>37,492</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5E07DF4" w14:textId="77777777" w:rsidR="00FA0CA8" w:rsidRPr="001357D3" w:rsidRDefault="00FA0CA8" w:rsidP="00FA0CA8">
            <w:pPr>
              <w:spacing w:before="0" w:after="0"/>
              <w:jc w:val="right"/>
              <w:rPr>
                <w:noProof/>
              </w:rPr>
            </w:pPr>
            <w:r w:rsidRPr="001357D3">
              <w:rPr>
                <w:b/>
                <w:noProof/>
                <w:sz w:val="16"/>
              </w:rPr>
              <w:t>37,492</w:t>
            </w:r>
          </w:p>
        </w:tc>
        <w:tc>
          <w:tcPr>
            <w:tcW w:w="943"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04CAC4C" w14:textId="77777777" w:rsidR="00FA0CA8" w:rsidRPr="001357D3" w:rsidRDefault="00FA0CA8" w:rsidP="00FA0CA8">
            <w:pPr>
              <w:spacing w:before="0" w:after="0"/>
              <w:jc w:val="right"/>
              <w:rPr>
                <w:noProof/>
              </w:rPr>
            </w:pPr>
            <w:r w:rsidRPr="001357D3">
              <w:rPr>
                <w:b/>
                <w:noProof/>
                <w:sz w:val="16"/>
              </w:rPr>
              <w:t>37,492</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87A8AFE" w14:textId="77777777" w:rsidR="00FA0CA8" w:rsidRPr="001357D3" w:rsidRDefault="00FA0CA8" w:rsidP="00FA0CA8">
            <w:pPr>
              <w:spacing w:before="0" w:after="0"/>
              <w:jc w:val="right"/>
              <w:rPr>
                <w:noProof/>
              </w:rPr>
            </w:pPr>
            <w:r w:rsidRPr="001357D3">
              <w:rPr>
                <w:b/>
                <w:noProof/>
                <w:sz w:val="16"/>
              </w:rPr>
              <w:t>37,492</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03312A2" w14:textId="77777777" w:rsidR="00FA0CA8" w:rsidRPr="001357D3" w:rsidRDefault="00FA0CA8" w:rsidP="00FA0CA8">
            <w:pPr>
              <w:spacing w:before="0" w:after="0"/>
              <w:jc w:val="right"/>
              <w:rPr>
                <w:noProof/>
              </w:rPr>
            </w:pPr>
            <w:r w:rsidRPr="001357D3">
              <w:rPr>
                <w:b/>
                <w:noProof/>
                <w:sz w:val="16"/>
              </w:rPr>
              <w:t>37,492</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25E9AF6" w14:textId="77777777" w:rsidR="00FA0CA8" w:rsidRPr="001357D3" w:rsidRDefault="00FA0CA8" w:rsidP="00FA0CA8">
            <w:pPr>
              <w:spacing w:before="0" w:after="0"/>
              <w:jc w:val="right"/>
              <w:rPr>
                <w:noProof/>
              </w:rPr>
            </w:pPr>
            <w:r w:rsidRPr="001357D3">
              <w:rPr>
                <w:b/>
                <w:noProof/>
                <w:sz w:val="16"/>
              </w:rPr>
              <w:t>37,492</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26B7523" w14:textId="77777777" w:rsidR="00FA0CA8" w:rsidRPr="001357D3" w:rsidRDefault="00FA0CA8" w:rsidP="00FA0CA8">
            <w:pPr>
              <w:spacing w:before="0" w:after="0"/>
              <w:jc w:val="right"/>
              <w:rPr>
                <w:noProof/>
              </w:rPr>
            </w:pPr>
            <w:r w:rsidRPr="001357D3">
              <w:rPr>
                <w:b/>
                <w:noProof/>
                <w:sz w:val="16"/>
              </w:rPr>
              <w:t>37,492</w:t>
            </w:r>
          </w:p>
        </w:tc>
        <w:tc>
          <w:tcPr>
            <w:tcW w:w="979" w:type="dxa"/>
            <w:tcBorders>
              <w:top w:val="nil"/>
              <w:left w:val="single" w:sz="8" w:space="0" w:color="auto"/>
              <w:bottom w:val="single" w:sz="12" w:space="0" w:color="auto"/>
              <w:right w:val="single" w:sz="8" w:space="0" w:color="000000" w:themeColor="text1"/>
            </w:tcBorders>
            <w:shd w:val="clear" w:color="auto" w:fill="D9D9D9" w:themeFill="background1" w:themeFillShade="D9"/>
            <w:tcMar>
              <w:left w:w="108" w:type="dxa"/>
              <w:right w:w="108" w:type="dxa"/>
            </w:tcMar>
            <w:vAlign w:val="center"/>
          </w:tcPr>
          <w:p w14:paraId="6F7961CF" w14:textId="77777777" w:rsidR="00FA0CA8" w:rsidRPr="001357D3" w:rsidRDefault="00FA0CA8" w:rsidP="00FA0CA8">
            <w:pPr>
              <w:spacing w:before="0" w:after="0"/>
              <w:jc w:val="right"/>
              <w:rPr>
                <w:noProof/>
              </w:rPr>
            </w:pPr>
            <w:r w:rsidRPr="001357D3">
              <w:rPr>
                <w:b/>
                <w:noProof/>
                <w:sz w:val="16"/>
              </w:rPr>
              <w:t>262,444</w:t>
            </w:r>
          </w:p>
        </w:tc>
      </w:tr>
    </w:tbl>
    <w:p w14:paraId="006C7F15" w14:textId="77777777" w:rsidR="00FA0CA8" w:rsidRPr="001357D3" w:rsidRDefault="00FA0CA8" w:rsidP="00FA0CA8">
      <w:pPr>
        <w:rPr>
          <w:rFonts w:eastAsia="Times New Roman"/>
          <w:i/>
          <w:iCs/>
          <w:noProof/>
          <w:szCs w:val="24"/>
        </w:rPr>
      </w:pPr>
    </w:p>
    <w:p w14:paraId="5D540039" w14:textId="76C47A4E" w:rsidR="00FA0CA8" w:rsidRPr="001357D3" w:rsidRDefault="00FA0CA8" w:rsidP="00FA0CA8">
      <w:pPr>
        <w:rPr>
          <w:noProof/>
        </w:rPr>
      </w:pPr>
      <w:r w:rsidRPr="001357D3">
        <w:rPr>
          <w:i/>
          <w:noProof/>
        </w:rPr>
        <w:t>3.2.6.</w:t>
      </w:r>
      <w:r w:rsidRPr="001357D3">
        <w:rPr>
          <w:noProof/>
        </w:rPr>
        <w:tab/>
      </w:r>
      <w:r w:rsidRPr="001357D3">
        <w:rPr>
          <w:i/>
          <w:noProof/>
        </w:rPr>
        <w:t>Zgodność</w:t>
      </w:r>
      <w:r w:rsidR="001C6403" w:rsidRPr="001357D3">
        <w:rPr>
          <w:i/>
          <w:noProof/>
        </w:rPr>
        <w:t xml:space="preserve"> z</w:t>
      </w:r>
      <w:r w:rsidR="001C6403">
        <w:rPr>
          <w:i/>
          <w:noProof/>
        </w:rPr>
        <w:t> </w:t>
      </w:r>
      <w:r w:rsidR="001C6403" w:rsidRPr="001357D3">
        <w:rPr>
          <w:i/>
          <w:noProof/>
        </w:rPr>
        <w:t>obo</w:t>
      </w:r>
      <w:r w:rsidRPr="001357D3">
        <w:rPr>
          <w:i/>
          <w:noProof/>
        </w:rPr>
        <w:t>wiązującymi wieloletnimi ramami finansowymi</w:t>
      </w:r>
    </w:p>
    <w:p w14:paraId="7A99825E" w14:textId="7DF9F1FF" w:rsidR="00FA0CA8" w:rsidRPr="001357D3" w:rsidRDefault="00FA0CA8" w:rsidP="00FA0CA8">
      <w:pPr>
        <w:rPr>
          <w:noProof/>
        </w:rPr>
      </w:pPr>
      <w:r w:rsidRPr="001357D3">
        <w:rPr>
          <w:noProof/>
        </w:rPr>
        <w:t>Inicjatywa jest spójna</w:t>
      </w:r>
      <w:r w:rsidR="001C6403" w:rsidRPr="001357D3">
        <w:rPr>
          <w:noProof/>
        </w:rPr>
        <w:t xml:space="preserve"> z</w:t>
      </w:r>
      <w:r w:rsidR="001C6403">
        <w:rPr>
          <w:noProof/>
        </w:rPr>
        <w:t> </w:t>
      </w:r>
      <w:r w:rsidR="001C6403" w:rsidRPr="001357D3">
        <w:rPr>
          <w:noProof/>
        </w:rPr>
        <w:t>wni</w:t>
      </w:r>
      <w:r w:rsidRPr="001357D3">
        <w:rPr>
          <w:noProof/>
        </w:rPr>
        <w:t>oskiem dotyczącym WRF na lata 2028–2034.</w:t>
      </w:r>
    </w:p>
    <w:p w14:paraId="6E2B3885" w14:textId="7F05510F" w:rsidR="00FA0CA8" w:rsidRPr="001357D3" w:rsidRDefault="00FA0CA8" w:rsidP="00FA0CA8">
      <w:pPr>
        <w:rPr>
          <w:rFonts w:eastAsia="Times New Roman"/>
          <w:noProof/>
        </w:rPr>
      </w:pPr>
      <w:bookmarkStart w:id="251" w:name="_Toc514938058"/>
      <w:bookmarkStart w:id="252" w:name="_Toc520485056"/>
      <w:bookmarkStart w:id="253" w:name="_Toc160804600"/>
      <w:bookmarkStart w:id="254" w:name="_Toc167220299"/>
      <w:bookmarkStart w:id="255" w:name="_Toc177549033"/>
      <w:r w:rsidRPr="001357D3">
        <w:rPr>
          <w:noProof/>
        </w:rPr>
        <w:t>3.2.7.</w:t>
      </w:r>
      <w:r w:rsidRPr="001357D3">
        <w:rPr>
          <w:noProof/>
        </w:rPr>
        <w:tab/>
      </w:r>
      <w:r w:rsidRPr="001357D3">
        <w:rPr>
          <w:i/>
          <w:noProof/>
        </w:rPr>
        <w:t>Udział osób trzecich</w:t>
      </w:r>
      <w:r w:rsidR="001C6403" w:rsidRPr="001357D3">
        <w:rPr>
          <w:i/>
          <w:noProof/>
        </w:rPr>
        <w:t xml:space="preserve"> w</w:t>
      </w:r>
      <w:r w:rsidR="001C6403">
        <w:rPr>
          <w:i/>
          <w:noProof/>
        </w:rPr>
        <w:t> </w:t>
      </w:r>
      <w:r w:rsidR="001C6403" w:rsidRPr="001357D3">
        <w:rPr>
          <w:i/>
          <w:noProof/>
        </w:rPr>
        <w:t>fin</w:t>
      </w:r>
      <w:r w:rsidRPr="001357D3">
        <w:rPr>
          <w:i/>
          <w:noProof/>
        </w:rPr>
        <w:t>ansowaniu</w:t>
      </w:r>
      <w:bookmarkEnd w:id="251"/>
      <w:bookmarkEnd w:id="252"/>
      <w:bookmarkEnd w:id="253"/>
      <w:bookmarkEnd w:id="254"/>
      <w:bookmarkEnd w:id="255"/>
    </w:p>
    <w:p w14:paraId="0B244792" w14:textId="77777777" w:rsidR="00FA0CA8" w:rsidRPr="001357D3" w:rsidRDefault="00FA0CA8" w:rsidP="00FA0CA8">
      <w:pPr>
        <w:ind w:left="850"/>
        <w:rPr>
          <w:noProof/>
        </w:rPr>
      </w:pPr>
      <w:r w:rsidRPr="001357D3">
        <w:rPr>
          <w:noProof/>
        </w:rPr>
        <w:t>Wniosek/inicjatywa:</w:t>
      </w:r>
    </w:p>
    <w:p w14:paraId="09DA6C42" w14:textId="77777777"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nie przewiduje współfinansowania ze strony osób trzecich</w:t>
      </w:r>
    </w:p>
    <w:p w14:paraId="5E84973F" w14:textId="178ABE67" w:rsidR="00C1197D"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przewiduje współfinansowanie ze strony osób trzecich zgodnie</w:t>
      </w:r>
      <w:r w:rsidR="001C6403" w:rsidRPr="001357D3">
        <w:rPr>
          <w:noProof/>
        </w:rPr>
        <w:t xml:space="preserve"> z</w:t>
      </w:r>
      <w:r w:rsidR="001C6403">
        <w:rPr>
          <w:noProof/>
        </w:rPr>
        <w:t> </w:t>
      </w:r>
      <w:r w:rsidR="001C6403" w:rsidRPr="001357D3">
        <w:rPr>
          <w:noProof/>
        </w:rPr>
        <w:t>pon</w:t>
      </w:r>
      <w:r w:rsidRPr="001357D3">
        <w:rPr>
          <w:noProof/>
        </w:rPr>
        <w:t xml:space="preserve">iższymi szacunkami: </w:t>
      </w:r>
    </w:p>
    <w:p w14:paraId="1B77C6A4" w14:textId="0564EA86" w:rsidR="00FA0CA8" w:rsidRPr="001357D3" w:rsidRDefault="00FA0CA8" w:rsidP="00FA0CA8">
      <w:pPr>
        <w:tabs>
          <w:tab w:val="num" w:pos="1134"/>
        </w:tabs>
        <w:ind w:left="1134" w:hanging="283"/>
        <w:rPr>
          <w:rFonts w:eastAsia="Times New Roman"/>
          <w:noProof/>
        </w:rPr>
      </w:pPr>
      <w:r w:rsidRPr="001357D3">
        <w:rPr>
          <w:noProof/>
          <w:sz w:val="20"/>
        </w:rPr>
        <w:t>środki</w:t>
      </w:r>
      <w:r w:rsidR="001C6403" w:rsidRPr="001357D3">
        <w:rPr>
          <w:noProof/>
          <w:sz w:val="20"/>
        </w:rPr>
        <w:t xml:space="preserve"> w</w:t>
      </w:r>
      <w:r w:rsidR="001C6403">
        <w:rPr>
          <w:noProof/>
          <w:sz w:val="20"/>
        </w:rPr>
        <w:t> </w:t>
      </w:r>
      <w:r w:rsidR="001C6403" w:rsidRPr="001357D3">
        <w:rPr>
          <w:noProof/>
          <w:sz w:val="20"/>
        </w:rPr>
        <w:t>mln</w:t>
      </w:r>
      <w:r w:rsidRPr="001357D3">
        <w:rPr>
          <w:noProof/>
          <w:sz w:val="20"/>
        </w:rPr>
        <w:t xml:space="preserve"> EUR (do trzech miejsc po przecinku)</w:t>
      </w:r>
    </w:p>
    <w:tbl>
      <w:tblPr>
        <w:tblW w:w="0" w:type="auto"/>
        <w:tblLayout w:type="fixed"/>
        <w:tblLook w:val="04A0" w:firstRow="1" w:lastRow="0" w:firstColumn="1" w:lastColumn="0" w:noHBand="0" w:noVBand="1"/>
      </w:tblPr>
      <w:tblGrid>
        <w:gridCol w:w="1473"/>
        <w:gridCol w:w="947"/>
        <w:gridCol w:w="947"/>
        <w:gridCol w:w="947"/>
        <w:gridCol w:w="949"/>
        <w:gridCol w:w="949"/>
        <w:gridCol w:w="949"/>
        <w:gridCol w:w="949"/>
        <w:gridCol w:w="951"/>
      </w:tblGrid>
      <w:tr w:rsidR="00D31917" w:rsidRPr="001357D3" w14:paraId="1E3464D3" w14:textId="77777777" w:rsidTr="00C1197D">
        <w:trPr>
          <w:trHeight w:val="285"/>
        </w:trPr>
        <w:tc>
          <w:tcPr>
            <w:tcW w:w="147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0C50ED" w14:textId="65BECB18" w:rsidR="00FA0CA8" w:rsidRPr="001357D3" w:rsidRDefault="00FA0CA8" w:rsidP="00FA0CA8">
            <w:pPr>
              <w:spacing w:before="0" w:after="0"/>
              <w:rPr>
                <w:noProof/>
              </w:rPr>
            </w:pPr>
          </w:p>
        </w:tc>
        <w:tc>
          <w:tcPr>
            <w:tcW w:w="9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897BA6" w14:textId="77777777" w:rsidR="00FA0CA8" w:rsidRPr="001357D3" w:rsidRDefault="00FA0CA8" w:rsidP="00FA0CA8">
            <w:pPr>
              <w:spacing w:before="0" w:after="0"/>
              <w:jc w:val="center"/>
              <w:rPr>
                <w:noProof/>
              </w:rPr>
            </w:pPr>
            <w:r w:rsidRPr="001357D3">
              <w:rPr>
                <w:noProof/>
                <w:sz w:val="20"/>
              </w:rPr>
              <w:t xml:space="preserve">Rok </w:t>
            </w:r>
          </w:p>
        </w:tc>
        <w:tc>
          <w:tcPr>
            <w:tcW w:w="9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596A32" w14:textId="77777777" w:rsidR="00FA0CA8" w:rsidRPr="001357D3" w:rsidRDefault="00FA0CA8" w:rsidP="00FA0CA8">
            <w:pPr>
              <w:spacing w:before="0" w:after="0"/>
              <w:jc w:val="center"/>
              <w:rPr>
                <w:noProof/>
              </w:rPr>
            </w:pPr>
            <w:r w:rsidRPr="001357D3">
              <w:rPr>
                <w:noProof/>
                <w:sz w:val="20"/>
              </w:rPr>
              <w:t xml:space="preserve">Rok </w:t>
            </w:r>
          </w:p>
        </w:tc>
        <w:tc>
          <w:tcPr>
            <w:tcW w:w="9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4BC04D" w14:textId="77777777" w:rsidR="00FA0CA8" w:rsidRPr="001357D3" w:rsidRDefault="00FA0CA8" w:rsidP="00FA0CA8">
            <w:pPr>
              <w:spacing w:before="0" w:after="0"/>
              <w:jc w:val="center"/>
              <w:rPr>
                <w:noProof/>
              </w:rPr>
            </w:pPr>
            <w:r w:rsidRPr="001357D3">
              <w:rPr>
                <w:noProof/>
                <w:sz w:val="20"/>
              </w:rPr>
              <w:t xml:space="preserve">Rok </w:t>
            </w:r>
          </w:p>
        </w:tc>
        <w:tc>
          <w:tcPr>
            <w:tcW w:w="9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1D3666" w14:textId="77777777" w:rsidR="00FA0CA8" w:rsidRPr="001357D3" w:rsidRDefault="00FA0CA8" w:rsidP="00FA0CA8">
            <w:pPr>
              <w:spacing w:before="0" w:after="0"/>
              <w:jc w:val="center"/>
              <w:rPr>
                <w:noProof/>
              </w:rPr>
            </w:pPr>
            <w:r w:rsidRPr="001357D3">
              <w:rPr>
                <w:noProof/>
                <w:sz w:val="20"/>
              </w:rPr>
              <w:t xml:space="preserve">Rok </w:t>
            </w:r>
          </w:p>
        </w:tc>
        <w:tc>
          <w:tcPr>
            <w:tcW w:w="9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BC9FA0" w14:textId="77777777" w:rsidR="00FA0CA8" w:rsidRPr="001357D3" w:rsidRDefault="00FA0CA8" w:rsidP="00FA0CA8">
            <w:pPr>
              <w:spacing w:before="0" w:after="0"/>
              <w:jc w:val="center"/>
              <w:rPr>
                <w:noProof/>
              </w:rPr>
            </w:pPr>
            <w:r w:rsidRPr="001357D3">
              <w:rPr>
                <w:noProof/>
                <w:sz w:val="20"/>
              </w:rPr>
              <w:t xml:space="preserve">Rok </w:t>
            </w:r>
          </w:p>
        </w:tc>
        <w:tc>
          <w:tcPr>
            <w:tcW w:w="9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449C49" w14:textId="77777777" w:rsidR="00FA0CA8" w:rsidRPr="001357D3" w:rsidRDefault="00FA0CA8" w:rsidP="00FA0CA8">
            <w:pPr>
              <w:spacing w:before="0" w:after="0"/>
              <w:jc w:val="center"/>
              <w:rPr>
                <w:noProof/>
              </w:rPr>
            </w:pPr>
            <w:r w:rsidRPr="001357D3">
              <w:rPr>
                <w:noProof/>
                <w:sz w:val="20"/>
              </w:rPr>
              <w:t xml:space="preserve">Rok </w:t>
            </w:r>
          </w:p>
        </w:tc>
        <w:tc>
          <w:tcPr>
            <w:tcW w:w="9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2C6A39" w14:textId="77777777" w:rsidR="00FA0CA8" w:rsidRPr="001357D3" w:rsidRDefault="00FA0CA8" w:rsidP="00FA0CA8">
            <w:pPr>
              <w:spacing w:before="0" w:after="0"/>
              <w:jc w:val="center"/>
              <w:rPr>
                <w:noProof/>
              </w:rPr>
            </w:pPr>
            <w:r w:rsidRPr="001357D3">
              <w:rPr>
                <w:noProof/>
                <w:sz w:val="20"/>
              </w:rPr>
              <w:t xml:space="preserve">Rok </w:t>
            </w:r>
          </w:p>
        </w:tc>
        <w:tc>
          <w:tcPr>
            <w:tcW w:w="951"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F3CE0B" w14:textId="77777777" w:rsidR="00FA0CA8" w:rsidRPr="001357D3" w:rsidRDefault="00FA0CA8" w:rsidP="00FA0CA8">
            <w:pPr>
              <w:spacing w:before="0" w:after="0"/>
              <w:jc w:val="center"/>
              <w:rPr>
                <w:noProof/>
              </w:rPr>
            </w:pPr>
            <w:r w:rsidRPr="001357D3">
              <w:rPr>
                <w:noProof/>
                <w:sz w:val="20"/>
              </w:rPr>
              <w:t>Ogółem</w:t>
            </w:r>
          </w:p>
        </w:tc>
      </w:tr>
      <w:tr w:rsidR="00D31917" w:rsidRPr="001357D3" w14:paraId="66E7D651" w14:textId="77777777" w:rsidTr="00C1197D">
        <w:trPr>
          <w:trHeight w:val="300"/>
        </w:trPr>
        <w:tc>
          <w:tcPr>
            <w:tcW w:w="1473" w:type="dxa"/>
            <w:vMerge/>
            <w:tcBorders>
              <w:top w:val="single" w:sz="4" w:space="0" w:color="auto"/>
              <w:left w:val="single" w:sz="0" w:space="0" w:color="auto"/>
              <w:bottom w:val="single" w:sz="0" w:space="0" w:color="000000" w:themeColor="text1"/>
              <w:right w:val="single" w:sz="0" w:space="0" w:color="auto"/>
            </w:tcBorders>
            <w:vAlign w:val="center"/>
          </w:tcPr>
          <w:p w14:paraId="5B0CB8EF" w14:textId="77777777" w:rsidR="00FA0CA8" w:rsidRPr="001357D3" w:rsidRDefault="00FA0CA8" w:rsidP="00FA0CA8">
            <w:pPr>
              <w:rPr>
                <w:noProof/>
              </w:rPr>
            </w:pPr>
          </w:p>
        </w:tc>
        <w:tc>
          <w:tcPr>
            <w:tcW w:w="947" w:type="dxa"/>
            <w:tcBorders>
              <w:top w:val="single" w:sz="4" w:space="0" w:color="auto"/>
              <w:left w:val="nil"/>
              <w:bottom w:val="single" w:sz="8" w:space="0" w:color="auto"/>
              <w:right w:val="single" w:sz="8" w:space="0" w:color="auto"/>
            </w:tcBorders>
            <w:tcMar>
              <w:left w:w="108" w:type="dxa"/>
              <w:right w:w="108" w:type="dxa"/>
            </w:tcMar>
            <w:vAlign w:val="center"/>
          </w:tcPr>
          <w:p w14:paraId="121F9134" w14:textId="77777777" w:rsidR="00FA0CA8" w:rsidRPr="001357D3" w:rsidRDefault="00FA0CA8" w:rsidP="00FA0CA8">
            <w:pPr>
              <w:spacing w:before="0" w:after="0"/>
              <w:jc w:val="center"/>
              <w:rPr>
                <w:noProof/>
              </w:rPr>
            </w:pPr>
            <w:r w:rsidRPr="001357D3">
              <w:rPr>
                <w:b/>
                <w:noProof/>
                <w:sz w:val="20"/>
              </w:rPr>
              <w:t>2028</w:t>
            </w:r>
          </w:p>
        </w:tc>
        <w:tc>
          <w:tcPr>
            <w:tcW w:w="94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0122C57" w14:textId="77777777" w:rsidR="00FA0CA8" w:rsidRPr="001357D3" w:rsidRDefault="00FA0CA8" w:rsidP="00FA0CA8">
            <w:pPr>
              <w:spacing w:before="0" w:after="0"/>
              <w:jc w:val="center"/>
              <w:rPr>
                <w:noProof/>
              </w:rPr>
            </w:pPr>
            <w:r w:rsidRPr="001357D3">
              <w:rPr>
                <w:b/>
                <w:noProof/>
                <w:sz w:val="20"/>
              </w:rPr>
              <w:t>2029</w:t>
            </w:r>
          </w:p>
        </w:tc>
        <w:tc>
          <w:tcPr>
            <w:tcW w:w="94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43BE524" w14:textId="77777777" w:rsidR="00FA0CA8" w:rsidRPr="001357D3" w:rsidRDefault="00FA0CA8" w:rsidP="00FA0CA8">
            <w:pPr>
              <w:spacing w:before="0" w:after="0"/>
              <w:jc w:val="center"/>
              <w:rPr>
                <w:noProof/>
              </w:rPr>
            </w:pPr>
            <w:r w:rsidRPr="001357D3">
              <w:rPr>
                <w:b/>
                <w:noProof/>
                <w:sz w:val="20"/>
              </w:rPr>
              <w:t>2030</w:t>
            </w:r>
          </w:p>
        </w:tc>
        <w:tc>
          <w:tcPr>
            <w:tcW w:w="94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8D26041" w14:textId="77777777" w:rsidR="00FA0CA8" w:rsidRPr="001357D3" w:rsidRDefault="00FA0CA8" w:rsidP="00FA0CA8">
            <w:pPr>
              <w:spacing w:before="0" w:after="0"/>
              <w:jc w:val="center"/>
              <w:rPr>
                <w:noProof/>
              </w:rPr>
            </w:pPr>
            <w:r w:rsidRPr="001357D3">
              <w:rPr>
                <w:b/>
                <w:noProof/>
                <w:sz w:val="20"/>
              </w:rPr>
              <w:t>2031</w:t>
            </w:r>
          </w:p>
        </w:tc>
        <w:tc>
          <w:tcPr>
            <w:tcW w:w="94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9C39713" w14:textId="77777777" w:rsidR="00FA0CA8" w:rsidRPr="001357D3" w:rsidRDefault="00FA0CA8" w:rsidP="00FA0CA8">
            <w:pPr>
              <w:spacing w:before="0" w:after="0"/>
              <w:jc w:val="center"/>
              <w:rPr>
                <w:noProof/>
              </w:rPr>
            </w:pPr>
            <w:r w:rsidRPr="001357D3">
              <w:rPr>
                <w:b/>
                <w:noProof/>
                <w:sz w:val="20"/>
              </w:rPr>
              <w:t>2032</w:t>
            </w:r>
          </w:p>
        </w:tc>
        <w:tc>
          <w:tcPr>
            <w:tcW w:w="94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F877850" w14:textId="77777777" w:rsidR="00FA0CA8" w:rsidRPr="001357D3" w:rsidRDefault="00FA0CA8" w:rsidP="00FA0CA8">
            <w:pPr>
              <w:spacing w:before="0" w:after="0"/>
              <w:jc w:val="center"/>
              <w:rPr>
                <w:noProof/>
              </w:rPr>
            </w:pPr>
            <w:r w:rsidRPr="001357D3">
              <w:rPr>
                <w:b/>
                <w:noProof/>
                <w:sz w:val="20"/>
              </w:rPr>
              <w:t>2033</w:t>
            </w:r>
          </w:p>
        </w:tc>
        <w:tc>
          <w:tcPr>
            <w:tcW w:w="94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B1F68AF" w14:textId="77777777" w:rsidR="00FA0CA8" w:rsidRPr="001357D3" w:rsidRDefault="00FA0CA8" w:rsidP="00FA0CA8">
            <w:pPr>
              <w:spacing w:before="0" w:after="0"/>
              <w:jc w:val="center"/>
              <w:rPr>
                <w:noProof/>
              </w:rPr>
            </w:pPr>
            <w:r w:rsidRPr="001357D3">
              <w:rPr>
                <w:b/>
                <w:noProof/>
                <w:sz w:val="20"/>
              </w:rPr>
              <w:t>2034</w:t>
            </w:r>
          </w:p>
        </w:tc>
        <w:tc>
          <w:tcPr>
            <w:tcW w:w="951" w:type="dxa"/>
            <w:vMerge/>
            <w:tcBorders>
              <w:top w:val="single" w:sz="4" w:space="0" w:color="auto"/>
              <w:left w:val="single" w:sz="0" w:space="0" w:color="auto"/>
              <w:bottom w:val="single" w:sz="0" w:space="0" w:color="000000" w:themeColor="text1"/>
              <w:right w:val="single" w:sz="0" w:space="0" w:color="auto"/>
            </w:tcBorders>
            <w:vAlign w:val="center"/>
          </w:tcPr>
          <w:p w14:paraId="6EFFD052" w14:textId="77777777" w:rsidR="00FA0CA8" w:rsidRPr="001357D3" w:rsidRDefault="00FA0CA8" w:rsidP="00FA0CA8">
            <w:pPr>
              <w:rPr>
                <w:noProof/>
              </w:rPr>
            </w:pPr>
          </w:p>
        </w:tc>
      </w:tr>
      <w:tr w:rsidR="00D31917" w:rsidRPr="001357D3" w14:paraId="6D5B5DAA" w14:textId="77777777">
        <w:trPr>
          <w:trHeight w:val="1050"/>
        </w:trPr>
        <w:tc>
          <w:tcPr>
            <w:tcW w:w="1473" w:type="dxa"/>
            <w:tcBorders>
              <w:top w:val="nil"/>
              <w:left w:val="single" w:sz="8" w:space="0" w:color="auto"/>
              <w:bottom w:val="single" w:sz="8" w:space="0" w:color="auto"/>
              <w:right w:val="single" w:sz="8" w:space="0" w:color="auto"/>
            </w:tcBorders>
            <w:tcMar>
              <w:left w:w="108" w:type="dxa"/>
              <w:right w:w="108" w:type="dxa"/>
            </w:tcMar>
            <w:vAlign w:val="center"/>
          </w:tcPr>
          <w:p w14:paraId="6715DD6E" w14:textId="77777777" w:rsidR="00FA0CA8" w:rsidRPr="001357D3" w:rsidRDefault="00FA0CA8" w:rsidP="00FA0CA8">
            <w:pPr>
              <w:spacing w:before="0" w:after="0"/>
              <w:rPr>
                <w:noProof/>
              </w:rPr>
            </w:pPr>
            <w:r w:rsidRPr="001357D3">
              <w:rPr>
                <w:noProof/>
                <w:sz w:val="20"/>
              </w:rPr>
              <w:t>Określić organ współfinansujący</w:t>
            </w:r>
            <w:r w:rsidRPr="001357D3">
              <w:rPr>
                <w:i/>
                <w:noProof/>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CB667" w14:textId="63824244" w:rsidR="00FA0CA8" w:rsidRPr="001357D3" w:rsidRDefault="00FA0CA8" w:rsidP="00FA0CA8">
            <w:pPr>
              <w:spacing w:before="0" w:after="0"/>
              <w:jc w:val="center"/>
              <w:rPr>
                <w:noProof/>
              </w:rPr>
            </w:pP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E6768" w14:textId="17350FC9" w:rsidR="00FA0CA8" w:rsidRPr="001357D3" w:rsidRDefault="00FA0CA8" w:rsidP="00FA0CA8">
            <w:pPr>
              <w:spacing w:before="0" w:after="0"/>
              <w:jc w:val="center"/>
              <w:rPr>
                <w:noProof/>
              </w:rPr>
            </w:pP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1E064" w14:textId="69AB46C4"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A2D7A" w14:textId="6AC6C89C"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F704B" w14:textId="670AE8BA"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3D852" w14:textId="288F22AE"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E8AEB" w14:textId="16323166" w:rsidR="00FA0CA8" w:rsidRPr="001357D3" w:rsidRDefault="00FA0CA8" w:rsidP="00FA0CA8">
            <w:pPr>
              <w:spacing w:before="0" w:after="0"/>
              <w:jc w:val="center"/>
              <w:rPr>
                <w:noProof/>
              </w:rPr>
            </w:pPr>
          </w:p>
        </w:tc>
        <w:tc>
          <w:tcPr>
            <w:tcW w:w="951" w:type="dxa"/>
            <w:tcBorders>
              <w:top w:val="nil"/>
              <w:left w:val="single" w:sz="8" w:space="0" w:color="auto"/>
              <w:bottom w:val="single" w:sz="8" w:space="0" w:color="auto"/>
              <w:right w:val="single" w:sz="8" w:space="0" w:color="auto"/>
            </w:tcBorders>
            <w:tcMar>
              <w:left w:w="108" w:type="dxa"/>
              <w:right w:w="108" w:type="dxa"/>
            </w:tcMar>
            <w:vAlign w:val="center"/>
          </w:tcPr>
          <w:p w14:paraId="54D43E00" w14:textId="1E9DD4C6" w:rsidR="00FA0CA8" w:rsidRPr="001357D3" w:rsidRDefault="00FA0CA8" w:rsidP="00FA0CA8">
            <w:pPr>
              <w:spacing w:before="0" w:after="0"/>
              <w:jc w:val="center"/>
              <w:rPr>
                <w:noProof/>
              </w:rPr>
            </w:pPr>
          </w:p>
        </w:tc>
      </w:tr>
      <w:tr w:rsidR="00D31917" w:rsidRPr="001357D3" w14:paraId="334A7FA4" w14:textId="77777777">
        <w:trPr>
          <w:trHeight w:val="1050"/>
        </w:trPr>
        <w:tc>
          <w:tcPr>
            <w:tcW w:w="1473"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5253087" w14:textId="77777777" w:rsidR="00FA0CA8" w:rsidRPr="001357D3" w:rsidRDefault="00FA0CA8" w:rsidP="00FA0CA8">
            <w:pPr>
              <w:spacing w:before="0" w:after="0"/>
              <w:jc w:val="left"/>
              <w:rPr>
                <w:noProof/>
              </w:rPr>
            </w:pPr>
            <w:r w:rsidRPr="001357D3">
              <w:rPr>
                <w:noProof/>
                <w:sz w:val="20"/>
              </w:rPr>
              <w:t xml:space="preserve">OGÓŁEM środki objęte współfinansowaniem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388ED" w14:textId="27F864AE" w:rsidR="00FA0CA8" w:rsidRPr="001357D3" w:rsidRDefault="00FA0CA8" w:rsidP="00FA0CA8">
            <w:pPr>
              <w:spacing w:before="0" w:after="0"/>
              <w:jc w:val="center"/>
              <w:rPr>
                <w:noProof/>
              </w:rPr>
            </w:pP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8DCCB" w14:textId="7F3B3C40" w:rsidR="00FA0CA8" w:rsidRPr="001357D3" w:rsidRDefault="00FA0CA8" w:rsidP="00FA0CA8">
            <w:pPr>
              <w:spacing w:before="0" w:after="0"/>
              <w:jc w:val="center"/>
              <w:rPr>
                <w:noProof/>
              </w:rPr>
            </w:pP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B126A" w14:textId="1E8369AC"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E4EF7" w14:textId="3279C03B"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82722" w14:textId="03D05B9F"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20F2E" w14:textId="6B57A179" w:rsidR="00FA0CA8" w:rsidRPr="001357D3" w:rsidRDefault="00FA0CA8" w:rsidP="00FA0CA8">
            <w:pPr>
              <w:spacing w:before="0" w:after="0"/>
              <w:jc w:val="center"/>
              <w:rPr>
                <w:noProof/>
              </w:rPr>
            </w:pP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D2AA8" w14:textId="1BDAA070" w:rsidR="00FA0CA8" w:rsidRPr="001357D3" w:rsidRDefault="00FA0CA8" w:rsidP="00FA0CA8">
            <w:pPr>
              <w:spacing w:before="0" w:after="0"/>
              <w:jc w:val="center"/>
              <w:rPr>
                <w:noProof/>
              </w:rPr>
            </w:pPr>
          </w:p>
        </w:tc>
        <w:tc>
          <w:tcPr>
            <w:tcW w:w="951"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E4A4BCA" w14:textId="77777777" w:rsidR="00FA0CA8" w:rsidRPr="001357D3" w:rsidRDefault="00FA0CA8" w:rsidP="00FA0CA8">
            <w:pPr>
              <w:spacing w:before="0" w:after="0"/>
              <w:jc w:val="center"/>
              <w:rPr>
                <w:rFonts w:eastAsia="Times New Roman"/>
                <w:noProof/>
                <w:sz w:val="20"/>
                <w:szCs w:val="20"/>
              </w:rPr>
            </w:pPr>
          </w:p>
        </w:tc>
      </w:tr>
    </w:tbl>
    <w:p w14:paraId="4C0F88C6" w14:textId="2D49975F" w:rsidR="00FA0CA8" w:rsidRPr="001357D3" w:rsidRDefault="00FA0CA8" w:rsidP="00FA0CA8">
      <w:pPr>
        <w:rPr>
          <w:noProof/>
        </w:rPr>
      </w:pPr>
      <w:r w:rsidRPr="001357D3">
        <w:rPr>
          <w:noProof/>
        </w:rPr>
        <w:t xml:space="preserve"> </w:t>
      </w:r>
      <w:r w:rsidRPr="001357D3">
        <w:rPr>
          <w:noProof/>
        </w:rPr>
        <w:br/>
      </w:r>
      <w:bookmarkStart w:id="256" w:name="_Toc514938059"/>
      <w:bookmarkStart w:id="257" w:name="_Toc520485057"/>
      <w:bookmarkStart w:id="258" w:name="_Toc160804602"/>
      <w:bookmarkStart w:id="259" w:name="_Toc167220300"/>
      <w:bookmarkStart w:id="260" w:name="_Toc177549034"/>
      <w:bookmarkStart w:id="261" w:name="_Hlk166860179"/>
      <w:r w:rsidRPr="001357D3">
        <w:rPr>
          <w:noProof/>
        </w:rPr>
        <w:t>3.3.</w:t>
      </w:r>
      <w:r w:rsidRPr="001357D3">
        <w:rPr>
          <w:noProof/>
        </w:rPr>
        <w:tab/>
        <w:t>Szacunkowy wpływ na dochody</w:t>
      </w:r>
      <w:bookmarkEnd w:id="256"/>
      <w:bookmarkEnd w:id="257"/>
      <w:bookmarkEnd w:id="258"/>
      <w:bookmarkEnd w:id="259"/>
      <w:bookmarkEnd w:id="260"/>
    </w:p>
    <w:bookmarkEnd w:id="261"/>
    <w:p w14:paraId="0AFEF7BD" w14:textId="77777777"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nie ma wpływu finansowego na dochody</w:t>
      </w:r>
    </w:p>
    <w:p w14:paraId="7272BF09" w14:textId="77777777" w:rsidR="00FA0CA8" w:rsidRPr="001357D3" w:rsidRDefault="00FA0CA8" w:rsidP="00FA0CA8">
      <w:pPr>
        <w:tabs>
          <w:tab w:val="num" w:pos="1134"/>
        </w:tabs>
        <w:ind w:left="1134" w:hanging="283"/>
        <w:rPr>
          <w:rFonts w:eastAsia="Times New Roman"/>
          <w:noProof/>
        </w:rPr>
      </w:pPr>
      <w:r w:rsidRPr="001357D3">
        <w:rPr>
          <w:rFonts w:ascii="Wingdings" w:hAnsi="Wingdings"/>
          <w:noProof/>
        </w:rPr>
        <w:t></w:t>
      </w:r>
      <w:r w:rsidRPr="001357D3">
        <w:rPr>
          <w:noProof/>
        </w:rPr>
        <w:tab/>
        <w:t>Wniosek/inicjatywa ma wpływ finansowy określony poniżej:</w:t>
      </w:r>
    </w:p>
    <w:p w14:paraId="3717B102" w14:textId="194EBB3F" w:rsidR="00FA0CA8" w:rsidRPr="001357D3" w:rsidRDefault="00FA0CA8" w:rsidP="00FA0CA8">
      <w:pPr>
        <w:numPr>
          <w:ilvl w:val="2"/>
          <w:numId w:val="0"/>
        </w:numPr>
        <w:tabs>
          <w:tab w:val="num" w:pos="1843"/>
        </w:tabs>
        <w:ind w:left="2126" w:hanging="709"/>
        <w:rPr>
          <w:rFonts w:eastAsia="Times New Roman"/>
          <w:noProof/>
        </w:rPr>
      </w:pPr>
      <w:r w:rsidRPr="001357D3">
        <w:rPr>
          <w:rFonts w:ascii="Wingdings" w:hAnsi="Wingdings"/>
          <w:noProof/>
        </w:rPr>
        <w:t></w:t>
      </w:r>
      <w:r w:rsidRPr="001357D3">
        <w:rPr>
          <w:noProof/>
        </w:rPr>
        <w:tab/>
        <w:t>wpływ na zasoby własne</w:t>
      </w:r>
    </w:p>
    <w:p w14:paraId="22EE7391" w14:textId="77777777" w:rsidR="00FA0CA8" w:rsidRPr="001357D3" w:rsidRDefault="00FA0CA8" w:rsidP="00FA0CA8">
      <w:pPr>
        <w:numPr>
          <w:ilvl w:val="2"/>
          <w:numId w:val="0"/>
        </w:numPr>
        <w:tabs>
          <w:tab w:val="num" w:pos="1843"/>
        </w:tabs>
        <w:ind w:left="2126" w:hanging="709"/>
        <w:rPr>
          <w:rFonts w:eastAsia="Times New Roman"/>
          <w:noProof/>
        </w:rPr>
      </w:pPr>
      <w:r w:rsidRPr="001357D3">
        <w:rPr>
          <w:rFonts w:ascii="Wingdings" w:hAnsi="Wingdings"/>
          <w:noProof/>
        </w:rPr>
        <w:t></w:t>
      </w:r>
      <w:r w:rsidRPr="001357D3">
        <w:rPr>
          <w:noProof/>
        </w:rPr>
        <w:tab/>
        <w:t>wpływ na dochody inne</w:t>
      </w:r>
    </w:p>
    <w:p w14:paraId="30D45359" w14:textId="77777777" w:rsidR="00FA0CA8" w:rsidRPr="001357D3" w:rsidRDefault="00FA0CA8" w:rsidP="00FA0CA8">
      <w:pPr>
        <w:numPr>
          <w:ilvl w:val="2"/>
          <w:numId w:val="0"/>
        </w:numPr>
        <w:tabs>
          <w:tab w:val="num" w:pos="1843"/>
        </w:tabs>
        <w:ind w:left="2126" w:hanging="709"/>
        <w:rPr>
          <w:rFonts w:eastAsia="Times New Roman"/>
          <w:noProof/>
        </w:rPr>
      </w:pPr>
      <w:r w:rsidRPr="001357D3">
        <w:rPr>
          <w:rFonts w:ascii="Wingdings" w:hAnsi="Wingdings"/>
          <w:noProof/>
        </w:rPr>
        <w:lastRenderedPageBreak/>
        <w:t></w:t>
      </w:r>
      <w:r w:rsidRPr="001357D3">
        <w:rPr>
          <w:noProof/>
        </w:rPr>
        <w:tab/>
        <w:t>Wskazać, czy dochody są przypisane do linii budżetowej po stronie wydatków</w:t>
      </w:r>
    </w:p>
    <w:p w14:paraId="5C8E56B8" w14:textId="71A3C1D1" w:rsidR="00FA0CA8" w:rsidRPr="001357D3" w:rsidRDefault="00FA0CA8" w:rsidP="00FA0CA8">
      <w:pPr>
        <w:jc w:val="right"/>
        <w:rPr>
          <w:noProof/>
          <w:sz w:val="20"/>
          <w:szCs w:val="20"/>
        </w:rPr>
      </w:pPr>
      <w:r w:rsidRPr="001357D3">
        <w:rPr>
          <w:noProof/>
          <w:sz w:val="20"/>
        </w:rPr>
        <w:t>w mln EUR (do trzech miejsc po przecinku)</w:t>
      </w:r>
    </w:p>
    <w:tbl>
      <w:tblPr>
        <w:tblW w:w="0" w:type="auto"/>
        <w:tblLayout w:type="fixed"/>
        <w:tblLook w:val="06A0" w:firstRow="1" w:lastRow="0" w:firstColumn="1" w:lastColumn="0" w:noHBand="1" w:noVBand="1"/>
      </w:tblPr>
      <w:tblGrid>
        <w:gridCol w:w="1878"/>
        <w:gridCol w:w="1295"/>
        <w:gridCol w:w="878"/>
        <w:gridCol w:w="818"/>
        <w:gridCol w:w="824"/>
        <w:gridCol w:w="843"/>
        <w:gridCol w:w="841"/>
        <w:gridCol w:w="841"/>
        <w:gridCol w:w="842"/>
      </w:tblGrid>
      <w:tr w:rsidR="00D31917" w:rsidRPr="001357D3" w14:paraId="69572167" w14:textId="77777777">
        <w:trPr>
          <w:trHeight w:val="390"/>
        </w:trPr>
        <w:tc>
          <w:tcPr>
            <w:tcW w:w="1878"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A1C56E" w14:textId="77777777" w:rsidR="00FA0CA8" w:rsidRPr="001357D3" w:rsidRDefault="00FA0CA8" w:rsidP="00FA0CA8">
            <w:pPr>
              <w:spacing w:before="40" w:after="40"/>
              <w:rPr>
                <w:noProof/>
              </w:rPr>
            </w:pPr>
            <w:r w:rsidRPr="001357D3">
              <w:rPr>
                <w:noProof/>
                <w:sz w:val="18"/>
              </w:rPr>
              <w:t>Linia budżetowa po stronie dochodów</w:t>
            </w:r>
          </w:p>
        </w:tc>
        <w:tc>
          <w:tcPr>
            <w:tcW w:w="129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1FFF13" w14:textId="2633CD2F" w:rsidR="00FA0CA8" w:rsidRPr="001357D3" w:rsidRDefault="00FA0CA8" w:rsidP="00FA0CA8">
            <w:pPr>
              <w:jc w:val="center"/>
              <w:rPr>
                <w:noProof/>
              </w:rPr>
            </w:pPr>
            <w:r w:rsidRPr="001357D3">
              <w:rPr>
                <w:noProof/>
                <w:sz w:val="18"/>
              </w:rPr>
              <w:t>Środki zapisane</w:t>
            </w:r>
            <w:r w:rsidR="001C6403" w:rsidRPr="001357D3">
              <w:rPr>
                <w:noProof/>
                <w:sz w:val="18"/>
              </w:rPr>
              <w:t xml:space="preserve"> w</w:t>
            </w:r>
            <w:r w:rsidR="001C6403">
              <w:rPr>
                <w:noProof/>
                <w:sz w:val="18"/>
              </w:rPr>
              <w:t> </w:t>
            </w:r>
            <w:r w:rsidR="001C6403" w:rsidRPr="001357D3">
              <w:rPr>
                <w:noProof/>
                <w:sz w:val="18"/>
              </w:rPr>
              <w:t>bud</w:t>
            </w:r>
            <w:r w:rsidRPr="001357D3">
              <w:rPr>
                <w:noProof/>
                <w:sz w:val="18"/>
              </w:rPr>
              <w:t>żecie na bieżący rok budżetowy</w:t>
            </w:r>
          </w:p>
        </w:tc>
        <w:tc>
          <w:tcPr>
            <w:tcW w:w="5887" w:type="dxa"/>
            <w:gridSpan w:val="7"/>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896E3F" w14:textId="2B48DEEB" w:rsidR="00FA0CA8" w:rsidRPr="001357D3" w:rsidRDefault="00FA0CA8" w:rsidP="00FA0CA8">
            <w:pPr>
              <w:jc w:val="center"/>
              <w:rPr>
                <w:rFonts w:eastAsia="Times New Roman"/>
                <w:noProof/>
                <w:sz w:val="18"/>
                <w:szCs w:val="18"/>
                <w:vertAlign w:val="superscript"/>
              </w:rPr>
            </w:pPr>
            <w:r w:rsidRPr="001357D3">
              <w:rPr>
                <w:noProof/>
                <w:sz w:val="18"/>
              </w:rPr>
              <w:t>Wpływ wniosku/inicjatywy</w:t>
            </w:r>
          </w:p>
        </w:tc>
      </w:tr>
      <w:tr w:rsidR="00D31917" w:rsidRPr="001357D3" w14:paraId="49C277C1" w14:textId="77777777">
        <w:trPr>
          <w:trHeight w:val="390"/>
        </w:trPr>
        <w:tc>
          <w:tcPr>
            <w:tcW w:w="1878" w:type="dxa"/>
            <w:vMerge/>
            <w:tcBorders>
              <w:top w:val="single" w:sz="4" w:space="0" w:color="auto"/>
              <w:left w:val="single" w:sz="4" w:space="0" w:color="auto"/>
              <w:bottom w:val="single" w:sz="4" w:space="0" w:color="auto"/>
              <w:right w:val="single" w:sz="4" w:space="0" w:color="auto"/>
            </w:tcBorders>
            <w:vAlign w:val="center"/>
          </w:tcPr>
          <w:p w14:paraId="4EA9674D" w14:textId="77777777" w:rsidR="00FA0CA8" w:rsidRPr="001357D3" w:rsidRDefault="00FA0CA8" w:rsidP="00FA0CA8">
            <w:pPr>
              <w:rPr>
                <w:noProof/>
              </w:rPr>
            </w:pPr>
          </w:p>
        </w:tc>
        <w:tc>
          <w:tcPr>
            <w:tcW w:w="1295" w:type="dxa"/>
            <w:vMerge/>
            <w:tcBorders>
              <w:top w:val="single" w:sz="4" w:space="0" w:color="auto"/>
              <w:left w:val="single" w:sz="4" w:space="0" w:color="auto"/>
              <w:bottom w:val="single" w:sz="4" w:space="0" w:color="auto"/>
              <w:right w:val="single" w:sz="4" w:space="0" w:color="auto"/>
            </w:tcBorders>
            <w:vAlign w:val="center"/>
          </w:tcPr>
          <w:p w14:paraId="53ECCA9D" w14:textId="77777777" w:rsidR="00FA0CA8" w:rsidRPr="001357D3" w:rsidRDefault="00FA0CA8" w:rsidP="00FA0CA8">
            <w:pPr>
              <w:rPr>
                <w:noProof/>
              </w:rPr>
            </w:pPr>
          </w:p>
        </w:tc>
        <w:tc>
          <w:tcPr>
            <w:tcW w:w="8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25DA7A" w14:textId="77777777" w:rsidR="00FA0CA8" w:rsidRPr="001357D3" w:rsidRDefault="00FA0CA8" w:rsidP="00FA0CA8">
            <w:pPr>
              <w:jc w:val="center"/>
              <w:rPr>
                <w:noProof/>
              </w:rPr>
            </w:pPr>
            <w:r w:rsidRPr="001357D3">
              <w:rPr>
                <w:noProof/>
                <w:sz w:val="18"/>
              </w:rPr>
              <w:t xml:space="preserve">Rok </w:t>
            </w:r>
            <w:r w:rsidRPr="001357D3">
              <w:rPr>
                <w:b/>
                <w:noProof/>
                <w:sz w:val="18"/>
              </w:rPr>
              <w:t>2028</w:t>
            </w:r>
          </w:p>
        </w:tc>
        <w:tc>
          <w:tcPr>
            <w:tcW w:w="818" w:type="dxa"/>
            <w:tcBorders>
              <w:top w:val="nil"/>
              <w:left w:val="single" w:sz="4" w:space="0" w:color="auto"/>
              <w:bottom w:val="single" w:sz="8" w:space="0" w:color="auto"/>
              <w:right w:val="single" w:sz="8" w:space="0" w:color="auto"/>
            </w:tcBorders>
            <w:tcMar>
              <w:left w:w="108" w:type="dxa"/>
              <w:right w:w="108" w:type="dxa"/>
            </w:tcMar>
            <w:vAlign w:val="center"/>
          </w:tcPr>
          <w:p w14:paraId="4D3B544F" w14:textId="77777777" w:rsidR="00FA0CA8" w:rsidRPr="001357D3" w:rsidRDefault="00FA0CA8" w:rsidP="00FA0CA8">
            <w:pPr>
              <w:jc w:val="center"/>
              <w:rPr>
                <w:noProof/>
              </w:rPr>
            </w:pPr>
            <w:r w:rsidRPr="001357D3">
              <w:rPr>
                <w:noProof/>
                <w:sz w:val="18"/>
              </w:rPr>
              <w:t xml:space="preserve">Rok </w:t>
            </w:r>
            <w:r w:rsidRPr="001357D3">
              <w:rPr>
                <w:b/>
                <w:noProof/>
                <w:sz w:val="18"/>
              </w:rPr>
              <w:t>2029</w:t>
            </w:r>
          </w:p>
        </w:tc>
        <w:tc>
          <w:tcPr>
            <w:tcW w:w="824" w:type="dxa"/>
            <w:tcBorders>
              <w:top w:val="nil"/>
              <w:left w:val="single" w:sz="8" w:space="0" w:color="auto"/>
              <w:bottom w:val="single" w:sz="8" w:space="0" w:color="auto"/>
              <w:right w:val="single" w:sz="8" w:space="0" w:color="auto"/>
            </w:tcBorders>
            <w:tcMar>
              <w:left w:w="108" w:type="dxa"/>
              <w:right w:w="108" w:type="dxa"/>
            </w:tcMar>
            <w:vAlign w:val="center"/>
          </w:tcPr>
          <w:p w14:paraId="781E3A4E" w14:textId="77777777" w:rsidR="00FA0CA8" w:rsidRPr="001357D3" w:rsidRDefault="00FA0CA8" w:rsidP="00FA0CA8">
            <w:pPr>
              <w:jc w:val="center"/>
              <w:rPr>
                <w:noProof/>
              </w:rPr>
            </w:pPr>
            <w:r w:rsidRPr="001357D3">
              <w:rPr>
                <w:noProof/>
                <w:sz w:val="18"/>
              </w:rPr>
              <w:t xml:space="preserve">Rok </w:t>
            </w:r>
            <w:r w:rsidRPr="001357D3">
              <w:rPr>
                <w:b/>
                <w:noProof/>
                <w:sz w:val="18"/>
              </w:rPr>
              <w:t>2030</w:t>
            </w:r>
          </w:p>
        </w:tc>
        <w:tc>
          <w:tcPr>
            <w:tcW w:w="843" w:type="dxa"/>
            <w:tcBorders>
              <w:top w:val="nil"/>
              <w:left w:val="single" w:sz="8" w:space="0" w:color="auto"/>
              <w:bottom w:val="single" w:sz="8" w:space="0" w:color="auto"/>
              <w:right w:val="single" w:sz="8" w:space="0" w:color="auto"/>
            </w:tcBorders>
            <w:tcMar>
              <w:left w:w="108" w:type="dxa"/>
              <w:right w:w="108" w:type="dxa"/>
            </w:tcMar>
            <w:vAlign w:val="center"/>
          </w:tcPr>
          <w:p w14:paraId="3AAFB9D9" w14:textId="77777777" w:rsidR="00FA0CA8" w:rsidRPr="001357D3" w:rsidRDefault="00FA0CA8" w:rsidP="00FA0CA8">
            <w:pPr>
              <w:jc w:val="center"/>
              <w:rPr>
                <w:noProof/>
              </w:rPr>
            </w:pPr>
            <w:r w:rsidRPr="001357D3">
              <w:rPr>
                <w:noProof/>
                <w:sz w:val="18"/>
              </w:rPr>
              <w:t xml:space="preserve">Rok </w:t>
            </w:r>
            <w:r w:rsidRPr="001357D3">
              <w:rPr>
                <w:b/>
                <w:noProof/>
                <w:sz w:val="18"/>
              </w:rPr>
              <w:t>2031</w:t>
            </w:r>
          </w:p>
        </w:tc>
        <w:tc>
          <w:tcPr>
            <w:tcW w:w="841" w:type="dxa"/>
            <w:tcBorders>
              <w:top w:val="nil"/>
              <w:left w:val="single" w:sz="8" w:space="0" w:color="auto"/>
              <w:bottom w:val="single" w:sz="8" w:space="0" w:color="auto"/>
              <w:right w:val="single" w:sz="8" w:space="0" w:color="auto"/>
            </w:tcBorders>
            <w:tcMar>
              <w:left w:w="108" w:type="dxa"/>
              <w:right w:w="108" w:type="dxa"/>
            </w:tcMar>
          </w:tcPr>
          <w:p w14:paraId="027988E3" w14:textId="77777777" w:rsidR="00FA0CA8" w:rsidRPr="001357D3" w:rsidRDefault="00FA0CA8" w:rsidP="00FA0CA8">
            <w:pPr>
              <w:jc w:val="center"/>
              <w:rPr>
                <w:noProof/>
              </w:rPr>
            </w:pPr>
            <w:r w:rsidRPr="001357D3">
              <w:rPr>
                <w:noProof/>
                <w:sz w:val="18"/>
              </w:rPr>
              <w:t xml:space="preserve">Rok </w:t>
            </w:r>
            <w:r w:rsidRPr="001357D3">
              <w:rPr>
                <w:b/>
                <w:noProof/>
                <w:sz w:val="18"/>
              </w:rPr>
              <w:t>2032</w:t>
            </w:r>
          </w:p>
        </w:tc>
        <w:tc>
          <w:tcPr>
            <w:tcW w:w="841" w:type="dxa"/>
            <w:tcBorders>
              <w:top w:val="nil"/>
              <w:left w:val="single" w:sz="8" w:space="0" w:color="auto"/>
              <w:bottom w:val="single" w:sz="8" w:space="0" w:color="auto"/>
              <w:right w:val="single" w:sz="8" w:space="0" w:color="auto"/>
            </w:tcBorders>
            <w:tcMar>
              <w:left w:w="108" w:type="dxa"/>
              <w:right w:w="108" w:type="dxa"/>
            </w:tcMar>
          </w:tcPr>
          <w:p w14:paraId="0B8511C8" w14:textId="77777777" w:rsidR="00FA0CA8" w:rsidRPr="001357D3" w:rsidRDefault="00FA0CA8" w:rsidP="00FA0CA8">
            <w:pPr>
              <w:jc w:val="center"/>
              <w:rPr>
                <w:noProof/>
              </w:rPr>
            </w:pPr>
            <w:r w:rsidRPr="001357D3">
              <w:rPr>
                <w:noProof/>
                <w:sz w:val="18"/>
              </w:rPr>
              <w:t xml:space="preserve">Rok </w:t>
            </w:r>
            <w:r w:rsidRPr="001357D3">
              <w:rPr>
                <w:b/>
                <w:noProof/>
                <w:sz w:val="18"/>
              </w:rPr>
              <w:t>2033</w:t>
            </w:r>
          </w:p>
        </w:tc>
        <w:tc>
          <w:tcPr>
            <w:tcW w:w="842" w:type="dxa"/>
            <w:tcBorders>
              <w:top w:val="nil"/>
              <w:left w:val="single" w:sz="8" w:space="0" w:color="auto"/>
              <w:bottom w:val="single" w:sz="8" w:space="0" w:color="auto"/>
              <w:right w:val="single" w:sz="8" w:space="0" w:color="auto"/>
            </w:tcBorders>
            <w:tcMar>
              <w:left w:w="108" w:type="dxa"/>
              <w:right w:w="108" w:type="dxa"/>
            </w:tcMar>
          </w:tcPr>
          <w:p w14:paraId="0B07EAAC" w14:textId="77777777" w:rsidR="00FA0CA8" w:rsidRPr="001357D3" w:rsidRDefault="00FA0CA8" w:rsidP="00FA0CA8">
            <w:pPr>
              <w:jc w:val="center"/>
              <w:rPr>
                <w:noProof/>
              </w:rPr>
            </w:pPr>
            <w:r w:rsidRPr="001357D3">
              <w:rPr>
                <w:noProof/>
                <w:sz w:val="18"/>
              </w:rPr>
              <w:t xml:space="preserve">Rok </w:t>
            </w:r>
            <w:r w:rsidRPr="001357D3">
              <w:rPr>
                <w:b/>
                <w:noProof/>
                <w:sz w:val="18"/>
              </w:rPr>
              <w:t>2034</w:t>
            </w:r>
          </w:p>
        </w:tc>
      </w:tr>
      <w:tr w:rsidR="00FA0CA8" w:rsidRPr="001357D3" w14:paraId="7B36676A" w14:textId="77777777">
        <w:trPr>
          <w:trHeight w:val="390"/>
        </w:trPr>
        <w:tc>
          <w:tcPr>
            <w:tcW w:w="18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79094C" w14:textId="6A37BDDC" w:rsidR="00FA0CA8" w:rsidRPr="001357D3" w:rsidRDefault="00FA0CA8" w:rsidP="00FA0CA8">
            <w:pPr>
              <w:spacing w:before="40" w:after="40"/>
              <w:rPr>
                <w:noProof/>
              </w:rPr>
            </w:pPr>
            <w:r w:rsidRPr="001357D3">
              <w:rPr>
                <w:noProof/>
                <w:sz w:val="18"/>
              </w:rPr>
              <w:t>Artykuł …</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tcPr>
          <w:p w14:paraId="726687EA" w14:textId="76362084" w:rsidR="00FA0CA8" w:rsidRPr="001357D3" w:rsidRDefault="00FA0CA8" w:rsidP="00FA0CA8">
            <w:pPr>
              <w:spacing w:before="96" w:after="96"/>
              <w:jc w:val="center"/>
              <w:rPr>
                <w:noProof/>
              </w:rPr>
            </w:pPr>
          </w:p>
        </w:tc>
        <w:tc>
          <w:tcPr>
            <w:tcW w:w="878" w:type="dxa"/>
            <w:tcBorders>
              <w:top w:val="single" w:sz="4" w:space="0" w:color="auto"/>
              <w:left w:val="single" w:sz="4" w:space="0" w:color="auto"/>
              <w:bottom w:val="single" w:sz="4" w:space="0" w:color="auto"/>
              <w:right w:val="single" w:sz="4" w:space="0" w:color="auto"/>
            </w:tcBorders>
            <w:tcMar>
              <w:left w:w="108" w:type="dxa"/>
              <w:right w:w="108" w:type="dxa"/>
            </w:tcMar>
          </w:tcPr>
          <w:p w14:paraId="62791E02" w14:textId="366E018F" w:rsidR="00FA0CA8" w:rsidRPr="001357D3" w:rsidRDefault="00FA0CA8" w:rsidP="00FA0CA8">
            <w:pPr>
              <w:spacing w:before="96" w:after="96"/>
              <w:jc w:val="center"/>
              <w:rPr>
                <w:noProof/>
              </w:rPr>
            </w:pPr>
          </w:p>
        </w:tc>
        <w:tc>
          <w:tcPr>
            <w:tcW w:w="818" w:type="dxa"/>
            <w:tcBorders>
              <w:top w:val="single" w:sz="8" w:space="0" w:color="auto"/>
              <w:left w:val="single" w:sz="4" w:space="0" w:color="auto"/>
              <w:bottom w:val="single" w:sz="8" w:space="0" w:color="auto"/>
              <w:right w:val="single" w:sz="8" w:space="0" w:color="auto"/>
            </w:tcBorders>
            <w:tcMar>
              <w:left w:w="108" w:type="dxa"/>
              <w:right w:w="108" w:type="dxa"/>
            </w:tcMar>
          </w:tcPr>
          <w:p w14:paraId="5B811242" w14:textId="5CD49413" w:rsidR="00FA0CA8" w:rsidRPr="001357D3" w:rsidRDefault="00FA0CA8" w:rsidP="00FA0CA8">
            <w:pPr>
              <w:spacing w:before="96" w:after="96"/>
              <w:jc w:val="center"/>
              <w:rPr>
                <w:noProof/>
              </w:rPr>
            </w:pPr>
          </w:p>
        </w:tc>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01A65E86" w14:textId="30967A87" w:rsidR="00FA0CA8" w:rsidRPr="001357D3" w:rsidRDefault="00FA0CA8" w:rsidP="00FA0CA8">
            <w:pPr>
              <w:spacing w:before="96" w:after="96"/>
              <w:jc w:val="center"/>
              <w:rPr>
                <w:noProof/>
              </w:rPr>
            </w:pP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tcPr>
          <w:p w14:paraId="6684E769" w14:textId="619D01D4" w:rsidR="00FA0CA8" w:rsidRPr="001357D3" w:rsidRDefault="00FA0CA8" w:rsidP="00FA0CA8">
            <w:pPr>
              <w:spacing w:before="96" w:after="96"/>
              <w:jc w:val="center"/>
              <w:rPr>
                <w:noProof/>
              </w:rPr>
            </w:pP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3AE91D9" w14:textId="476ED6DE" w:rsidR="00FA0CA8" w:rsidRPr="001357D3" w:rsidRDefault="00FA0CA8" w:rsidP="00FA0CA8">
            <w:pPr>
              <w:spacing w:before="96" w:after="96"/>
              <w:jc w:val="center"/>
              <w:rPr>
                <w:noProof/>
              </w:rPr>
            </w:pP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B1DE396" w14:textId="4CD75D6E" w:rsidR="00FA0CA8" w:rsidRPr="001357D3" w:rsidRDefault="00FA0CA8" w:rsidP="00FA0CA8">
            <w:pPr>
              <w:spacing w:before="96" w:after="96"/>
              <w:jc w:val="center"/>
              <w:rPr>
                <w:noProof/>
              </w:rPr>
            </w:pPr>
          </w:p>
        </w:tc>
        <w:tc>
          <w:tcPr>
            <w:tcW w:w="842" w:type="dxa"/>
            <w:tcBorders>
              <w:top w:val="single" w:sz="8" w:space="0" w:color="auto"/>
              <w:left w:val="single" w:sz="8" w:space="0" w:color="auto"/>
              <w:bottom w:val="single" w:sz="8" w:space="0" w:color="auto"/>
              <w:right w:val="single" w:sz="8" w:space="0" w:color="auto"/>
            </w:tcBorders>
            <w:tcMar>
              <w:left w:w="108" w:type="dxa"/>
              <w:right w:w="108" w:type="dxa"/>
            </w:tcMar>
          </w:tcPr>
          <w:p w14:paraId="34B0BC59" w14:textId="75ACFD31" w:rsidR="00FA0CA8" w:rsidRPr="001357D3" w:rsidRDefault="00FA0CA8" w:rsidP="00FA0CA8">
            <w:pPr>
              <w:spacing w:before="96" w:after="96"/>
              <w:jc w:val="center"/>
              <w:rPr>
                <w:noProof/>
              </w:rPr>
            </w:pPr>
          </w:p>
        </w:tc>
      </w:tr>
    </w:tbl>
    <w:p w14:paraId="712A397A" w14:textId="77777777" w:rsidR="00FA0CA8" w:rsidRPr="001357D3" w:rsidRDefault="00FA0CA8" w:rsidP="00FA0CA8">
      <w:pPr>
        <w:spacing w:before="0" w:after="0"/>
        <w:jc w:val="right"/>
        <w:rPr>
          <w:noProof/>
        </w:rPr>
      </w:pPr>
    </w:p>
    <w:p w14:paraId="7BEBF3C7" w14:textId="77777777" w:rsidR="00FA0CA8" w:rsidRPr="001357D3" w:rsidRDefault="00FA0CA8" w:rsidP="00FA0CA8">
      <w:pPr>
        <w:rPr>
          <w:noProof/>
        </w:rPr>
      </w:pPr>
      <w:r w:rsidRPr="001357D3">
        <w:rPr>
          <w:noProof/>
        </w:rPr>
        <w:t>W przypadku wpływu na dochody przeznaczone na określony cel należy wskazać linie budżetowe po stronie wydatków, które ten wpływ obejmie.</w:t>
      </w:r>
    </w:p>
    <w:p w14:paraId="25F4203E" w14:textId="77777777" w:rsidR="00FA0CA8" w:rsidRPr="001357D3" w:rsidRDefault="00FA0CA8" w:rsidP="00FA0CA8">
      <w:pPr>
        <w:rPr>
          <w:noProof/>
        </w:rPr>
      </w:pPr>
      <w:r w:rsidRPr="001357D3">
        <w:rPr>
          <w:noProof/>
        </w:rPr>
        <w:t>[…]</w:t>
      </w:r>
    </w:p>
    <w:p w14:paraId="2185A33F" w14:textId="77777777" w:rsidR="00FA0CA8" w:rsidRPr="001357D3" w:rsidRDefault="00FA0CA8" w:rsidP="00FA0CA8">
      <w:pPr>
        <w:rPr>
          <w:noProof/>
        </w:rPr>
      </w:pPr>
      <w:r w:rsidRPr="001357D3">
        <w:rPr>
          <w:noProof/>
        </w:rPr>
        <w:t>Pozostałe uwagi (np. metoda/wzór użyte do obliczenia wpływu na dochody albo inne informacje).</w:t>
      </w:r>
    </w:p>
    <w:p w14:paraId="1ED46E9F" w14:textId="77777777" w:rsidR="00FA0CA8" w:rsidRPr="001357D3" w:rsidRDefault="00FA0CA8" w:rsidP="00FA0CA8">
      <w:pPr>
        <w:rPr>
          <w:noProof/>
        </w:rPr>
      </w:pPr>
      <w:r w:rsidRPr="001357D3">
        <w:rPr>
          <w:noProof/>
        </w:rPr>
        <w:t>[…]</w:t>
      </w:r>
    </w:p>
    <w:p w14:paraId="3B52ED07" w14:textId="77777777" w:rsidR="00596A4D" w:rsidRPr="001357D3" w:rsidRDefault="00596A4D" w:rsidP="00596A4D">
      <w:pPr>
        <w:rPr>
          <w:noProof/>
        </w:rPr>
      </w:pPr>
      <w:bookmarkStart w:id="262" w:name="_Hlk167692977"/>
    </w:p>
    <w:p w14:paraId="02EBE0C0" w14:textId="77777777" w:rsidR="00C1197D" w:rsidRPr="001357D3" w:rsidRDefault="00C1197D" w:rsidP="00596A4D">
      <w:pPr>
        <w:rPr>
          <w:noProof/>
        </w:rPr>
      </w:pPr>
    </w:p>
    <w:p w14:paraId="775BF2CA" w14:textId="77777777" w:rsidR="00596A4D" w:rsidRPr="001357D3" w:rsidRDefault="00596A4D" w:rsidP="00596A4D">
      <w:pPr>
        <w:pStyle w:val="ManualHeading1"/>
        <w:rPr>
          <w:caps/>
          <w:noProof/>
        </w:rPr>
      </w:pPr>
      <w:bookmarkStart w:id="263" w:name="_Toc167220301"/>
      <w:bookmarkStart w:id="264" w:name="_Toc177549035"/>
      <w:bookmarkStart w:id="265" w:name="_Toc210923289"/>
      <w:r w:rsidRPr="001357D3">
        <w:rPr>
          <w:noProof/>
        </w:rPr>
        <w:t>4.</w:t>
      </w:r>
      <w:r w:rsidRPr="001357D3">
        <w:rPr>
          <w:noProof/>
        </w:rPr>
        <w:tab/>
      </w:r>
      <w:r w:rsidRPr="001357D3">
        <w:rPr>
          <w:caps/>
          <w:noProof/>
        </w:rPr>
        <w:t>Wymiar cyfrowy</w:t>
      </w:r>
      <w:bookmarkEnd w:id="263"/>
      <w:bookmarkEnd w:id="264"/>
      <w:bookmarkEnd w:id="265"/>
    </w:p>
    <w:p w14:paraId="4404AED9" w14:textId="77777777" w:rsidR="00546451" w:rsidRPr="001357D3" w:rsidRDefault="00546451" w:rsidP="00596A4D">
      <w:pPr>
        <w:rPr>
          <w:noProof/>
        </w:rPr>
      </w:pPr>
    </w:p>
    <w:p w14:paraId="02B49EA4" w14:textId="77777777" w:rsidR="00546451" w:rsidRPr="001357D3" w:rsidRDefault="00546451" w:rsidP="00546451">
      <w:pPr>
        <w:keepNext/>
        <w:tabs>
          <w:tab w:val="left" w:pos="850"/>
        </w:tabs>
        <w:ind w:left="850" w:hanging="850"/>
        <w:outlineLvl w:val="1"/>
        <w:rPr>
          <w:b/>
          <w:noProof/>
        </w:rPr>
      </w:pPr>
      <w:bookmarkStart w:id="266" w:name="_Toc167220302"/>
      <w:bookmarkStart w:id="267" w:name="_Toc177549037"/>
      <w:bookmarkStart w:id="268" w:name="_Toc210923290"/>
      <w:r w:rsidRPr="001357D3">
        <w:rPr>
          <w:b/>
          <w:noProof/>
        </w:rPr>
        <w:t>4.1.</w:t>
      </w:r>
      <w:r w:rsidRPr="001357D3">
        <w:rPr>
          <w:noProof/>
        </w:rPr>
        <w:tab/>
      </w:r>
      <w:r w:rsidRPr="001357D3">
        <w:rPr>
          <w:b/>
          <w:noProof/>
        </w:rPr>
        <w:t>Wymogi cyfrowe</w:t>
      </w:r>
      <w:bookmarkEnd w:id="266"/>
      <w:bookmarkEnd w:id="267"/>
      <w:bookmarkEnd w:id="268"/>
    </w:p>
    <w:tbl>
      <w:tblPr>
        <w:tblStyle w:val="TableGrid2"/>
        <w:tblW w:w="9072" w:type="dxa"/>
        <w:tblInd w:w="-5" w:type="dxa"/>
        <w:tblLayout w:type="fixed"/>
        <w:tblLook w:val="06A0" w:firstRow="1" w:lastRow="0" w:firstColumn="1" w:lastColumn="0" w:noHBand="1" w:noVBand="1"/>
      </w:tblPr>
      <w:tblGrid>
        <w:gridCol w:w="9072"/>
      </w:tblGrid>
      <w:tr w:rsidR="00D31917" w:rsidRPr="001357D3" w14:paraId="08F33581" w14:textId="77777777" w:rsidTr="00E16302">
        <w:trPr>
          <w:trHeight w:val="300"/>
        </w:trPr>
        <w:tc>
          <w:tcPr>
            <w:tcW w:w="9072" w:type="dxa"/>
          </w:tcPr>
          <w:p w14:paraId="6636AAF4" w14:textId="6031E1BF" w:rsidR="00546451" w:rsidRPr="001357D3" w:rsidRDefault="00546451" w:rsidP="00546451">
            <w:pPr>
              <w:ind w:left="360"/>
              <w:rPr>
                <w:noProof/>
                <w:szCs w:val="24"/>
              </w:rPr>
            </w:pPr>
            <w:r w:rsidRPr="001357D3">
              <w:rPr>
                <w:noProof/>
              </w:rPr>
              <w:t>Program „Sprawiedliwość” ma kluczowe znaczenie cyfrowe, ponieważ nadal będzie finansował szereg systemów informatycznych na szczeblu UE wspierających transgraniczną współpracę sądową. Systemy te zapewniają wdrażanie różnych instrumentów prawnych</w:t>
            </w:r>
            <w:r w:rsidR="001C6403" w:rsidRPr="001357D3">
              <w:rPr>
                <w:noProof/>
              </w:rPr>
              <w:t xml:space="preserve"> i</w:t>
            </w:r>
            <w:r w:rsidR="001C6403">
              <w:rPr>
                <w:noProof/>
              </w:rPr>
              <w:t> </w:t>
            </w:r>
            <w:r w:rsidR="001C6403" w:rsidRPr="001357D3">
              <w:rPr>
                <w:noProof/>
              </w:rPr>
              <w:t>wła</w:t>
            </w:r>
            <w:r w:rsidRPr="001357D3">
              <w:rPr>
                <w:noProof/>
              </w:rPr>
              <w:t>ściwe funkcjonowanie transgranicznej współpracy sądowej.</w:t>
            </w:r>
          </w:p>
          <w:p w14:paraId="5A494761" w14:textId="77777777" w:rsidR="00546451" w:rsidRPr="001357D3" w:rsidRDefault="00546451" w:rsidP="00546451">
            <w:pPr>
              <w:rPr>
                <w:noProof/>
              </w:rPr>
            </w:pPr>
          </w:p>
          <w:tbl>
            <w:tblPr>
              <w:tblStyle w:val="TableGrid2"/>
              <w:tblW w:w="0" w:type="auto"/>
              <w:tblLayout w:type="fixed"/>
              <w:tblLook w:val="06A0" w:firstRow="1" w:lastRow="0" w:firstColumn="1" w:lastColumn="0" w:noHBand="1" w:noVBand="1"/>
            </w:tblPr>
            <w:tblGrid>
              <w:gridCol w:w="1770"/>
              <w:gridCol w:w="1770"/>
              <w:gridCol w:w="1770"/>
              <w:gridCol w:w="1770"/>
              <w:gridCol w:w="1770"/>
            </w:tblGrid>
            <w:tr w:rsidR="00D31917" w:rsidRPr="001357D3" w14:paraId="5A4BD7C4" w14:textId="77777777">
              <w:trPr>
                <w:trHeight w:val="300"/>
              </w:trPr>
              <w:tc>
                <w:tcPr>
                  <w:tcW w:w="1770" w:type="dxa"/>
                </w:tcPr>
                <w:p w14:paraId="484444EE" w14:textId="77777777" w:rsidR="00546451" w:rsidRPr="001357D3" w:rsidRDefault="00546451" w:rsidP="00546451">
                  <w:pPr>
                    <w:jc w:val="center"/>
                    <w:rPr>
                      <w:b/>
                      <w:bCs/>
                      <w:noProof/>
                      <w:szCs w:val="24"/>
                    </w:rPr>
                  </w:pPr>
                  <w:r w:rsidRPr="001357D3">
                    <w:rPr>
                      <w:b/>
                      <w:noProof/>
                    </w:rPr>
                    <w:t>Odniesienie do wymogu</w:t>
                  </w:r>
                </w:p>
              </w:tc>
              <w:tc>
                <w:tcPr>
                  <w:tcW w:w="1770" w:type="dxa"/>
                </w:tcPr>
                <w:p w14:paraId="7E153F7D" w14:textId="77777777" w:rsidR="00546451" w:rsidRPr="001357D3" w:rsidRDefault="00546451" w:rsidP="00546451">
                  <w:pPr>
                    <w:jc w:val="center"/>
                    <w:rPr>
                      <w:b/>
                      <w:bCs/>
                      <w:noProof/>
                      <w:szCs w:val="24"/>
                    </w:rPr>
                  </w:pPr>
                  <w:r w:rsidRPr="001357D3">
                    <w:rPr>
                      <w:b/>
                      <w:noProof/>
                    </w:rPr>
                    <w:t>Opis wymogu</w:t>
                  </w:r>
                </w:p>
              </w:tc>
              <w:tc>
                <w:tcPr>
                  <w:tcW w:w="1770" w:type="dxa"/>
                </w:tcPr>
                <w:p w14:paraId="1031A73C" w14:textId="77777777" w:rsidR="00546451" w:rsidRPr="001357D3" w:rsidRDefault="00546451" w:rsidP="00546451">
                  <w:pPr>
                    <w:jc w:val="center"/>
                    <w:rPr>
                      <w:b/>
                      <w:bCs/>
                      <w:noProof/>
                      <w:szCs w:val="24"/>
                    </w:rPr>
                  </w:pPr>
                  <w:r w:rsidRPr="001357D3">
                    <w:rPr>
                      <w:b/>
                      <w:noProof/>
                    </w:rPr>
                    <w:t>Podmioty, których dotyczy wymóg lub na które wymóg ten ma wpływ</w:t>
                  </w:r>
                </w:p>
              </w:tc>
              <w:tc>
                <w:tcPr>
                  <w:tcW w:w="1770" w:type="dxa"/>
                </w:tcPr>
                <w:p w14:paraId="5BE94FFC" w14:textId="77777777" w:rsidR="00546451" w:rsidRPr="001357D3" w:rsidRDefault="00546451" w:rsidP="00546451">
                  <w:pPr>
                    <w:jc w:val="center"/>
                    <w:rPr>
                      <w:b/>
                      <w:bCs/>
                      <w:noProof/>
                      <w:szCs w:val="24"/>
                    </w:rPr>
                  </w:pPr>
                  <w:r w:rsidRPr="001357D3">
                    <w:rPr>
                      <w:b/>
                      <w:noProof/>
                    </w:rPr>
                    <w:t>Procesy ogólne</w:t>
                  </w:r>
                </w:p>
              </w:tc>
              <w:tc>
                <w:tcPr>
                  <w:tcW w:w="1770" w:type="dxa"/>
                </w:tcPr>
                <w:p w14:paraId="20AE5050" w14:textId="77777777" w:rsidR="00546451" w:rsidRPr="001357D3" w:rsidRDefault="00546451" w:rsidP="00546451">
                  <w:pPr>
                    <w:jc w:val="center"/>
                    <w:rPr>
                      <w:b/>
                      <w:bCs/>
                      <w:noProof/>
                      <w:szCs w:val="24"/>
                    </w:rPr>
                  </w:pPr>
                  <w:r w:rsidRPr="001357D3">
                    <w:rPr>
                      <w:b/>
                      <w:noProof/>
                    </w:rPr>
                    <w:t>Kategorie</w:t>
                  </w:r>
                </w:p>
              </w:tc>
            </w:tr>
            <w:tr w:rsidR="00D31917" w:rsidRPr="001357D3" w14:paraId="147E857A" w14:textId="77777777">
              <w:trPr>
                <w:trHeight w:val="300"/>
              </w:trPr>
              <w:tc>
                <w:tcPr>
                  <w:tcW w:w="1770" w:type="dxa"/>
                </w:tcPr>
                <w:p w14:paraId="2AA157B7" w14:textId="397B54EA" w:rsidR="00546451" w:rsidRPr="001357D3" w:rsidRDefault="00546451" w:rsidP="00546451">
                  <w:pPr>
                    <w:jc w:val="left"/>
                    <w:rPr>
                      <w:noProof/>
                    </w:rPr>
                  </w:pPr>
                  <w:r w:rsidRPr="001357D3">
                    <w:rPr>
                      <w:noProof/>
                    </w:rPr>
                    <w:t>Artykuł 4</w:t>
                  </w:r>
                </w:p>
              </w:tc>
              <w:tc>
                <w:tcPr>
                  <w:tcW w:w="1770" w:type="dxa"/>
                </w:tcPr>
                <w:p w14:paraId="0AAED556" w14:textId="12B627F2" w:rsidR="00546451" w:rsidRPr="001357D3" w:rsidRDefault="00546451" w:rsidP="00546451">
                  <w:pPr>
                    <w:jc w:val="left"/>
                    <w:rPr>
                      <w:noProof/>
                    </w:rPr>
                  </w:pPr>
                  <w:r w:rsidRPr="001357D3">
                    <w:rPr>
                      <w:noProof/>
                    </w:rPr>
                    <w:t>[...] Pomoc techniczna</w:t>
                  </w:r>
                  <w:r w:rsidR="001C6403" w:rsidRPr="001357D3">
                    <w:rPr>
                      <w:noProof/>
                    </w:rPr>
                    <w:t xml:space="preserve"> i</w:t>
                  </w:r>
                  <w:r w:rsidR="001C6403">
                    <w:rPr>
                      <w:noProof/>
                    </w:rPr>
                    <w:t> </w:t>
                  </w:r>
                  <w:r w:rsidR="001C6403" w:rsidRPr="001357D3">
                    <w:rPr>
                      <w:noProof/>
                    </w:rPr>
                    <w:t>adm</w:t>
                  </w:r>
                  <w:r w:rsidRPr="001357D3">
                    <w:rPr>
                      <w:noProof/>
                    </w:rPr>
                    <w:t>inistracyjna na potrzeby realizacji Programu, taka jak działania przygotowawcz</w:t>
                  </w:r>
                  <w:r w:rsidRPr="001357D3">
                    <w:rPr>
                      <w:noProof/>
                    </w:rPr>
                    <w:lastRenderedPageBreak/>
                    <w:t>e, monitorowanie, kontrola, audyt</w:t>
                  </w:r>
                  <w:r w:rsidR="001C6403" w:rsidRPr="001357D3">
                    <w:rPr>
                      <w:noProof/>
                    </w:rPr>
                    <w:t xml:space="preserve"> i</w:t>
                  </w:r>
                  <w:r w:rsidR="001C6403">
                    <w:rPr>
                      <w:noProof/>
                    </w:rPr>
                    <w:t> </w:t>
                  </w:r>
                  <w:r w:rsidR="001C6403" w:rsidRPr="001357D3">
                    <w:rPr>
                      <w:noProof/>
                    </w:rPr>
                    <w:t>oce</w:t>
                  </w:r>
                  <w:r w:rsidRPr="001357D3">
                    <w:rPr>
                      <w:noProof/>
                    </w:rPr>
                    <w:t>na, instytucjonalne systemy informatyczne</w:t>
                  </w:r>
                  <w:r w:rsidR="001C6403" w:rsidRPr="001357D3">
                    <w:rPr>
                      <w:noProof/>
                    </w:rPr>
                    <w:t xml:space="preserve"> i</w:t>
                  </w:r>
                  <w:r w:rsidR="001C6403">
                    <w:rPr>
                      <w:noProof/>
                    </w:rPr>
                    <w:t> </w:t>
                  </w:r>
                  <w:r w:rsidR="001C6403" w:rsidRPr="001357D3">
                    <w:rPr>
                      <w:noProof/>
                    </w:rPr>
                    <w:t>pla</w:t>
                  </w:r>
                  <w:r w:rsidRPr="001357D3">
                    <w:rPr>
                      <w:noProof/>
                    </w:rPr>
                    <w:t>tformy...</w:t>
                  </w:r>
                </w:p>
              </w:tc>
              <w:tc>
                <w:tcPr>
                  <w:tcW w:w="1770" w:type="dxa"/>
                </w:tcPr>
                <w:p w14:paraId="703AED27" w14:textId="77777777" w:rsidR="00546451" w:rsidRPr="001357D3" w:rsidRDefault="00546451" w:rsidP="00546451">
                  <w:pPr>
                    <w:jc w:val="center"/>
                    <w:rPr>
                      <w:noProof/>
                    </w:rPr>
                  </w:pPr>
                  <w:r w:rsidRPr="001357D3">
                    <w:rPr>
                      <w:noProof/>
                    </w:rPr>
                    <w:lastRenderedPageBreak/>
                    <w:t>Komisja Europejska Beneficjenci</w:t>
                  </w:r>
                </w:p>
              </w:tc>
              <w:tc>
                <w:tcPr>
                  <w:tcW w:w="1770" w:type="dxa"/>
                </w:tcPr>
                <w:p w14:paraId="1FA8D1C1" w14:textId="77777777" w:rsidR="00546451" w:rsidRPr="001357D3" w:rsidRDefault="00546451" w:rsidP="00546451">
                  <w:pPr>
                    <w:jc w:val="center"/>
                    <w:rPr>
                      <w:noProof/>
                    </w:rPr>
                  </w:pPr>
                  <w:r w:rsidRPr="001357D3">
                    <w:rPr>
                      <w:noProof/>
                    </w:rPr>
                    <w:t>Realizacja programu poprzez bezpośrednie zarządzanie dotacjami</w:t>
                  </w:r>
                </w:p>
              </w:tc>
              <w:tc>
                <w:tcPr>
                  <w:tcW w:w="1770" w:type="dxa"/>
                </w:tcPr>
                <w:p w14:paraId="2A8391D6" w14:textId="77777777" w:rsidR="00546451" w:rsidRPr="001357D3" w:rsidRDefault="00546451" w:rsidP="00546451">
                  <w:pPr>
                    <w:jc w:val="center"/>
                    <w:rPr>
                      <w:noProof/>
                    </w:rPr>
                  </w:pPr>
                  <w:r w:rsidRPr="001357D3">
                    <w:rPr>
                      <w:noProof/>
                    </w:rPr>
                    <w:t>Rozwiązania cyfrowe</w:t>
                  </w:r>
                </w:p>
              </w:tc>
            </w:tr>
            <w:tr w:rsidR="00D31917" w:rsidRPr="001357D3" w14:paraId="74AA8BC2" w14:textId="77777777">
              <w:trPr>
                <w:trHeight w:val="300"/>
              </w:trPr>
              <w:tc>
                <w:tcPr>
                  <w:tcW w:w="1770" w:type="dxa"/>
                </w:tcPr>
                <w:p w14:paraId="54D35EC7" w14:textId="52C9A240" w:rsidR="00546451" w:rsidRPr="001357D3" w:rsidRDefault="00546451" w:rsidP="00546451">
                  <w:pPr>
                    <w:jc w:val="left"/>
                    <w:rPr>
                      <w:noProof/>
                    </w:rPr>
                  </w:pPr>
                  <w:r w:rsidRPr="001357D3">
                    <w:rPr>
                      <w:noProof/>
                    </w:rPr>
                    <w:t xml:space="preserve">Art. 3 </w:t>
                  </w:r>
                  <w:r w:rsidRPr="001C6403">
                    <w:rPr>
                      <w:noProof/>
                    </w:rPr>
                    <w:t>ust.</w:t>
                  </w:r>
                  <w:r w:rsidR="001C6403" w:rsidRPr="001C6403">
                    <w:rPr>
                      <w:noProof/>
                    </w:rPr>
                    <w:t> </w:t>
                  </w:r>
                  <w:r w:rsidRPr="001C6403">
                    <w:rPr>
                      <w:noProof/>
                    </w:rPr>
                    <w:t>1</w:t>
                  </w:r>
                </w:p>
              </w:tc>
              <w:tc>
                <w:tcPr>
                  <w:tcW w:w="1770" w:type="dxa"/>
                </w:tcPr>
                <w:p w14:paraId="4BE7E0BE" w14:textId="6D48CDF9" w:rsidR="00546451" w:rsidRPr="001357D3" w:rsidRDefault="00546451" w:rsidP="00546451">
                  <w:pPr>
                    <w:jc w:val="left"/>
                    <w:rPr>
                      <w:noProof/>
                    </w:rPr>
                  </w:pPr>
                  <w:r w:rsidRPr="001357D3">
                    <w:rPr>
                      <w:noProof/>
                    </w:rPr>
                    <w:t>[...]</w:t>
                  </w:r>
                  <w:r w:rsidR="001C6403" w:rsidRPr="001357D3">
                    <w:rPr>
                      <w:noProof/>
                    </w:rPr>
                    <w:t xml:space="preserve"> a</w:t>
                  </w:r>
                  <w:r w:rsidR="001C6403">
                    <w:rPr>
                      <w:noProof/>
                    </w:rPr>
                    <w:t> </w:t>
                  </w:r>
                  <w:r w:rsidR="001C6403" w:rsidRPr="001357D3">
                    <w:rPr>
                      <w:noProof/>
                    </w:rPr>
                    <w:t>tak</w:t>
                  </w:r>
                  <w:r w:rsidRPr="001357D3">
                    <w:rPr>
                      <w:noProof/>
                    </w:rPr>
                    <w:t>że cyfryzacji wymiaru sprawiedliwości na szczeblu UE.</w:t>
                  </w:r>
                </w:p>
              </w:tc>
              <w:tc>
                <w:tcPr>
                  <w:tcW w:w="1770" w:type="dxa"/>
                </w:tcPr>
                <w:p w14:paraId="19A5BACF" w14:textId="77777777" w:rsidR="00546451" w:rsidRPr="001357D3" w:rsidRDefault="00546451" w:rsidP="00546451">
                  <w:pPr>
                    <w:jc w:val="center"/>
                    <w:rPr>
                      <w:noProof/>
                    </w:rPr>
                  </w:pPr>
                  <w:r w:rsidRPr="001357D3">
                    <w:rPr>
                      <w:noProof/>
                    </w:rPr>
                    <w:t>Komisja Europejska Beneficjenci</w:t>
                  </w:r>
                </w:p>
                <w:p w14:paraId="05FC4C41" w14:textId="77777777" w:rsidR="00546451" w:rsidRPr="001357D3" w:rsidRDefault="00546451" w:rsidP="00546451">
                  <w:pPr>
                    <w:jc w:val="center"/>
                    <w:rPr>
                      <w:noProof/>
                    </w:rPr>
                  </w:pPr>
                </w:p>
              </w:tc>
              <w:tc>
                <w:tcPr>
                  <w:tcW w:w="1770" w:type="dxa"/>
                </w:tcPr>
                <w:p w14:paraId="3B05FDCE" w14:textId="7893380F" w:rsidR="00546451" w:rsidRPr="001357D3" w:rsidRDefault="00546451" w:rsidP="00546451">
                  <w:pPr>
                    <w:jc w:val="center"/>
                    <w:rPr>
                      <w:noProof/>
                      <w:szCs w:val="24"/>
                    </w:rPr>
                  </w:pPr>
                  <w:r w:rsidRPr="001357D3">
                    <w:rPr>
                      <w:noProof/>
                    </w:rPr>
                    <w:t>Realizacja, monitorowanie</w:t>
                  </w:r>
                  <w:r w:rsidR="001C6403" w:rsidRPr="001357D3">
                    <w:rPr>
                      <w:noProof/>
                    </w:rPr>
                    <w:t xml:space="preserve"> i</w:t>
                  </w:r>
                  <w:r w:rsidR="001C6403">
                    <w:rPr>
                      <w:noProof/>
                    </w:rPr>
                    <w:t> </w:t>
                  </w:r>
                  <w:r w:rsidR="001C6403" w:rsidRPr="001357D3">
                    <w:rPr>
                      <w:noProof/>
                    </w:rPr>
                    <w:t>oce</w:t>
                  </w:r>
                  <w:r w:rsidRPr="001357D3">
                    <w:rPr>
                      <w:noProof/>
                    </w:rPr>
                    <w:t>na programu</w:t>
                  </w:r>
                </w:p>
              </w:tc>
              <w:tc>
                <w:tcPr>
                  <w:tcW w:w="1770" w:type="dxa"/>
                </w:tcPr>
                <w:p w14:paraId="6FE69768" w14:textId="77777777" w:rsidR="00546451" w:rsidRPr="001357D3" w:rsidRDefault="00546451" w:rsidP="00546451">
                  <w:pPr>
                    <w:jc w:val="center"/>
                    <w:rPr>
                      <w:noProof/>
                    </w:rPr>
                  </w:pPr>
                  <w:r w:rsidRPr="001357D3">
                    <w:rPr>
                      <w:noProof/>
                    </w:rPr>
                    <w:t>Rozwiązania cyfrowe, dane</w:t>
                  </w:r>
                </w:p>
                <w:p w14:paraId="7C4B6D3C" w14:textId="77777777" w:rsidR="00546451" w:rsidRPr="001357D3" w:rsidRDefault="00546451" w:rsidP="00546451">
                  <w:pPr>
                    <w:jc w:val="center"/>
                    <w:rPr>
                      <w:noProof/>
                    </w:rPr>
                  </w:pPr>
                </w:p>
              </w:tc>
            </w:tr>
            <w:tr w:rsidR="00D31917" w:rsidRPr="001357D3" w14:paraId="6BD808EC" w14:textId="77777777">
              <w:trPr>
                <w:trHeight w:val="300"/>
              </w:trPr>
              <w:tc>
                <w:tcPr>
                  <w:tcW w:w="1770" w:type="dxa"/>
                </w:tcPr>
                <w:p w14:paraId="4DC08025" w14:textId="18AFD929" w:rsidR="00546451" w:rsidRPr="001357D3" w:rsidRDefault="00546451" w:rsidP="00546451">
                  <w:pPr>
                    <w:jc w:val="left"/>
                    <w:rPr>
                      <w:noProof/>
                    </w:rPr>
                  </w:pPr>
                  <w:r w:rsidRPr="001357D3">
                    <w:rPr>
                      <w:noProof/>
                    </w:rPr>
                    <w:t>Art. 3 ust. 2 lit. b)</w:t>
                  </w:r>
                </w:p>
                <w:p w14:paraId="6D00F038" w14:textId="77777777" w:rsidR="00546451" w:rsidRPr="001357D3" w:rsidRDefault="00546451" w:rsidP="00546451">
                  <w:pPr>
                    <w:jc w:val="left"/>
                    <w:rPr>
                      <w:noProof/>
                    </w:rPr>
                  </w:pPr>
                </w:p>
                <w:p w14:paraId="580C79F2" w14:textId="77777777" w:rsidR="00546451" w:rsidRPr="001357D3" w:rsidRDefault="00546451" w:rsidP="00546451">
                  <w:pPr>
                    <w:jc w:val="left"/>
                    <w:rPr>
                      <w:noProof/>
                    </w:rPr>
                  </w:pPr>
                </w:p>
                <w:p w14:paraId="71AF1E70" w14:textId="34D7E2CC" w:rsidR="00546451" w:rsidRPr="001357D3" w:rsidRDefault="00546451" w:rsidP="00546451">
                  <w:pPr>
                    <w:jc w:val="left"/>
                    <w:rPr>
                      <w:noProof/>
                    </w:rPr>
                  </w:pPr>
                  <w:r w:rsidRPr="001357D3">
                    <w:rPr>
                      <w:noProof/>
                    </w:rPr>
                    <w:t>Artykuł 4</w:t>
                  </w:r>
                </w:p>
              </w:tc>
              <w:tc>
                <w:tcPr>
                  <w:tcW w:w="1770" w:type="dxa"/>
                </w:tcPr>
                <w:p w14:paraId="662FB39C" w14:textId="241A4D70" w:rsidR="00546451" w:rsidRPr="001357D3" w:rsidRDefault="00546451" w:rsidP="00546451">
                  <w:pPr>
                    <w:jc w:val="left"/>
                    <w:rPr>
                      <w:noProof/>
                    </w:rPr>
                  </w:pPr>
                  <w:r w:rsidRPr="001357D3">
                    <w:rPr>
                      <w:noProof/>
                    </w:rPr>
                    <w:t>[...] propagowania praworządności, praw podstawowych</w:t>
                  </w:r>
                  <w:r w:rsidR="001C6403" w:rsidRPr="001357D3">
                    <w:rPr>
                      <w:noProof/>
                    </w:rPr>
                    <w:t xml:space="preserve"> i</w:t>
                  </w:r>
                  <w:r w:rsidR="001C6403">
                    <w:rPr>
                      <w:noProof/>
                    </w:rPr>
                    <w:t> </w:t>
                  </w:r>
                  <w:r w:rsidR="001C6403" w:rsidRPr="001357D3">
                    <w:rPr>
                      <w:noProof/>
                    </w:rPr>
                    <w:t>dem</w:t>
                  </w:r>
                  <w:r w:rsidRPr="001357D3">
                    <w:rPr>
                      <w:noProof/>
                    </w:rPr>
                    <w:t>okracji.</w:t>
                  </w:r>
                </w:p>
                <w:p w14:paraId="4F0A4A80" w14:textId="0EB66493" w:rsidR="00546451" w:rsidRPr="001357D3" w:rsidRDefault="00546451" w:rsidP="00546451">
                  <w:pPr>
                    <w:jc w:val="left"/>
                    <w:rPr>
                      <w:noProof/>
                      <w:szCs w:val="24"/>
                    </w:rPr>
                  </w:pPr>
                  <w:r w:rsidRPr="001357D3">
                    <w:rPr>
                      <w:noProof/>
                    </w:rPr>
                    <w:t>[...] Pomoc techniczna</w:t>
                  </w:r>
                  <w:r w:rsidR="001C6403" w:rsidRPr="001357D3">
                    <w:rPr>
                      <w:noProof/>
                    </w:rPr>
                    <w:t xml:space="preserve"> i</w:t>
                  </w:r>
                  <w:r w:rsidR="001C6403">
                    <w:rPr>
                      <w:noProof/>
                    </w:rPr>
                    <w:t> </w:t>
                  </w:r>
                  <w:r w:rsidR="001C6403" w:rsidRPr="001357D3">
                    <w:rPr>
                      <w:noProof/>
                    </w:rPr>
                    <w:t>adm</w:t>
                  </w:r>
                  <w:r w:rsidRPr="001357D3">
                    <w:rPr>
                      <w:noProof/>
                    </w:rPr>
                    <w:t>inistracyjna na potrzeby realizacji Programu, taka jak... działania informacyjne</w:t>
                  </w:r>
                  <w:r w:rsidR="001C6403" w:rsidRPr="001357D3">
                    <w:rPr>
                      <w:noProof/>
                    </w:rPr>
                    <w:t xml:space="preserve"> i</w:t>
                  </w:r>
                  <w:r w:rsidR="001C6403">
                    <w:rPr>
                      <w:noProof/>
                    </w:rPr>
                    <w:t> </w:t>
                  </w:r>
                  <w:r w:rsidR="001C6403" w:rsidRPr="001357D3">
                    <w:rPr>
                      <w:noProof/>
                    </w:rPr>
                    <w:t>kom</w:t>
                  </w:r>
                  <w:r w:rsidRPr="001357D3">
                    <w:rPr>
                      <w:noProof/>
                    </w:rPr>
                    <w:t>unikacyjne,</w:t>
                  </w:r>
                  <w:r w:rsidR="001C6403" w:rsidRPr="001357D3">
                    <w:rPr>
                      <w:noProof/>
                    </w:rPr>
                    <w:t xml:space="preserve"> w</w:t>
                  </w:r>
                  <w:r w:rsidR="001C6403">
                    <w:rPr>
                      <w:noProof/>
                    </w:rPr>
                    <w:t> </w:t>
                  </w:r>
                  <w:r w:rsidR="001C6403" w:rsidRPr="001357D3">
                    <w:rPr>
                      <w:noProof/>
                    </w:rPr>
                    <w:t>tym</w:t>
                  </w:r>
                  <w:r w:rsidRPr="001357D3">
                    <w:rPr>
                      <w:noProof/>
                    </w:rPr>
                    <w:t xml:space="preserve"> komunikacja instytucjonalna na temat priorytetów politycznych Unii.</w:t>
                  </w:r>
                </w:p>
                <w:p w14:paraId="58D900BE" w14:textId="77777777" w:rsidR="00546451" w:rsidRPr="001357D3" w:rsidRDefault="00546451" w:rsidP="00546451">
                  <w:pPr>
                    <w:jc w:val="left"/>
                    <w:rPr>
                      <w:noProof/>
                      <w:szCs w:val="24"/>
                    </w:rPr>
                  </w:pPr>
                </w:p>
                <w:p w14:paraId="17FE569D" w14:textId="77777777" w:rsidR="00546451" w:rsidRPr="001357D3" w:rsidRDefault="00546451" w:rsidP="00546451">
                  <w:pPr>
                    <w:jc w:val="left"/>
                    <w:rPr>
                      <w:noProof/>
                      <w:szCs w:val="24"/>
                    </w:rPr>
                  </w:pPr>
                </w:p>
              </w:tc>
              <w:tc>
                <w:tcPr>
                  <w:tcW w:w="1770" w:type="dxa"/>
                </w:tcPr>
                <w:p w14:paraId="134D737E" w14:textId="77777777" w:rsidR="00546451" w:rsidRPr="001357D3" w:rsidRDefault="00546451" w:rsidP="00546451">
                  <w:pPr>
                    <w:jc w:val="center"/>
                    <w:rPr>
                      <w:noProof/>
                    </w:rPr>
                  </w:pPr>
                  <w:r w:rsidRPr="001357D3">
                    <w:rPr>
                      <w:noProof/>
                    </w:rPr>
                    <w:t>Komisja Europejska Beneficjenci</w:t>
                  </w:r>
                </w:p>
                <w:p w14:paraId="1D5473EE" w14:textId="77777777" w:rsidR="00546451" w:rsidRPr="001357D3" w:rsidRDefault="00546451" w:rsidP="00546451">
                  <w:pPr>
                    <w:jc w:val="center"/>
                    <w:rPr>
                      <w:noProof/>
                    </w:rPr>
                  </w:pPr>
                </w:p>
              </w:tc>
              <w:tc>
                <w:tcPr>
                  <w:tcW w:w="1770" w:type="dxa"/>
                </w:tcPr>
                <w:p w14:paraId="4BF02C0E" w14:textId="743DF34D" w:rsidR="00546451" w:rsidRPr="001357D3" w:rsidRDefault="00546451" w:rsidP="00546451">
                  <w:pPr>
                    <w:jc w:val="center"/>
                    <w:rPr>
                      <w:noProof/>
                    </w:rPr>
                  </w:pPr>
                  <w:r w:rsidRPr="001357D3">
                    <w:rPr>
                      <w:noProof/>
                    </w:rPr>
                    <w:t>Rozpowszechnianie, wsparcie na rzecz Programu</w:t>
                  </w:r>
                </w:p>
              </w:tc>
              <w:tc>
                <w:tcPr>
                  <w:tcW w:w="1770" w:type="dxa"/>
                </w:tcPr>
                <w:p w14:paraId="57D6F092" w14:textId="77777777" w:rsidR="00546451" w:rsidRPr="001357D3" w:rsidRDefault="00546451" w:rsidP="00546451">
                  <w:pPr>
                    <w:jc w:val="center"/>
                    <w:rPr>
                      <w:noProof/>
                    </w:rPr>
                  </w:pPr>
                  <w:r w:rsidRPr="001357D3">
                    <w:rPr>
                      <w:noProof/>
                    </w:rPr>
                    <w:t>Rozwiązania cyfrowe</w:t>
                  </w:r>
                </w:p>
              </w:tc>
            </w:tr>
            <w:tr w:rsidR="00D31917" w:rsidRPr="001357D3" w14:paraId="55CD465B" w14:textId="77777777">
              <w:trPr>
                <w:trHeight w:val="300"/>
              </w:trPr>
              <w:tc>
                <w:tcPr>
                  <w:tcW w:w="1770" w:type="dxa"/>
                </w:tcPr>
                <w:p w14:paraId="59DB378D" w14:textId="747D7B2D" w:rsidR="00546451" w:rsidRPr="001357D3" w:rsidRDefault="00546451" w:rsidP="00546451">
                  <w:pPr>
                    <w:jc w:val="left"/>
                    <w:rPr>
                      <w:noProof/>
                    </w:rPr>
                  </w:pPr>
                  <w:r w:rsidRPr="001357D3">
                    <w:rPr>
                      <w:noProof/>
                    </w:rPr>
                    <w:t>Art. 3 ust. 2 lit. c)</w:t>
                  </w:r>
                </w:p>
                <w:p w14:paraId="49EEF2C4" w14:textId="77777777" w:rsidR="00546451" w:rsidRPr="001357D3" w:rsidRDefault="00546451" w:rsidP="00546451">
                  <w:pPr>
                    <w:jc w:val="left"/>
                    <w:rPr>
                      <w:noProof/>
                    </w:rPr>
                  </w:pPr>
                </w:p>
                <w:p w14:paraId="6EE41B2C" w14:textId="77777777" w:rsidR="00546451" w:rsidRPr="001357D3" w:rsidRDefault="00546451" w:rsidP="00546451">
                  <w:pPr>
                    <w:jc w:val="left"/>
                    <w:rPr>
                      <w:noProof/>
                    </w:rPr>
                  </w:pPr>
                </w:p>
                <w:p w14:paraId="3FF35C3F" w14:textId="77777777" w:rsidR="00546451" w:rsidRPr="001357D3" w:rsidRDefault="00546451" w:rsidP="00546451">
                  <w:pPr>
                    <w:jc w:val="left"/>
                    <w:rPr>
                      <w:noProof/>
                    </w:rPr>
                  </w:pPr>
                </w:p>
                <w:p w14:paraId="7626C110" w14:textId="77777777" w:rsidR="00546451" w:rsidRPr="001357D3" w:rsidRDefault="00546451" w:rsidP="00546451">
                  <w:pPr>
                    <w:jc w:val="left"/>
                    <w:rPr>
                      <w:noProof/>
                    </w:rPr>
                  </w:pPr>
                </w:p>
                <w:p w14:paraId="47C97D65" w14:textId="77777777" w:rsidR="00546451" w:rsidRPr="001357D3" w:rsidRDefault="00546451" w:rsidP="00546451">
                  <w:pPr>
                    <w:jc w:val="left"/>
                    <w:rPr>
                      <w:noProof/>
                    </w:rPr>
                  </w:pPr>
                </w:p>
                <w:p w14:paraId="17DC6BD4" w14:textId="77777777" w:rsidR="00546451" w:rsidRPr="001357D3" w:rsidRDefault="00546451" w:rsidP="00546451">
                  <w:pPr>
                    <w:jc w:val="left"/>
                    <w:rPr>
                      <w:noProof/>
                    </w:rPr>
                  </w:pPr>
                </w:p>
                <w:p w14:paraId="7E215936" w14:textId="77777777" w:rsidR="00546451" w:rsidRPr="001357D3" w:rsidRDefault="00546451" w:rsidP="00546451">
                  <w:pPr>
                    <w:jc w:val="left"/>
                    <w:rPr>
                      <w:noProof/>
                    </w:rPr>
                  </w:pPr>
                </w:p>
                <w:p w14:paraId="60686B78" w14:textId="77777777" w:rsidR="00546451" w:rsidRPr="001357D3" w:rsidRDefault="00546451" w:rsidP="00546451">
                  <w:pPr>
                    <w:jc w:val="left"/>
                    <w:rPr>
                      <w:noProof/>
                    </w:rPr>
                  </w:pPr>
                </w:p>
                <w:p w14:paraId="20EFC85E" w14:textId="77777777" w:rsidR="00546451" w:rsidRPr="001357D3" w:rsidRDefault="00546451" w:rsidP="00546451">
                  <w:pPr>
                    <w:jc w:val="left"/>
                    <w:rPr>
                      <w:noProof/>
                    </w:rPr>
                  </w:pPr>
                </w:p>
                <w:p w14:paraId="29E67599" w14:textId="77777777" w:rsidR="00546451" w:rsidRPr="001357D3" w:rsidRDefault="00546451" w:rsidP="00546451">
                  <w:pPr>
                    <w:jc w:val="left"/>
                    <w:rPr>
                      <w:noProof/>
                    </w:rPr>
                  </w:pPr>
                </w:p>
                <w:p w14:paraId="093A31F2" w14:textId="77777777" w:rsidR="00546451" w:rsidRPr="001357D3" w:rsidRDefault="00546451" w:rsidP="00546451">
                  <w:pPr>
                    <w:jc w:val="left"/>
                    <w:rPr>
                      <w:noProof/>
                    </w:rPr>
                  </w:pPr>
                </w:p>
                <w:p w14:paraId="189ACFB5" w14:textId="77777777" w:rsidR="00546451" w:rsidRPr="001357D3" w:rsidRDefault="00546451" w:rsidP="00546451">
                  <w:pPr>
                    <w:jc w:val="left"/>
                    <w:rPr>
                      <w:noProof/>
                    </w:rPr>
                  </w:pPr>
                </w:p>
                <w:p w14:paraId="061F0E7A" w14:textId="77777777" w:rsidR="00546451" w:rsidRPr="001357D3" w:rsidRDefault="00546451" w:rsidP="00546451">
                  <w:pPr>
                    <w:jc w:val="left"/>
                    <w:rPr>
                      <w:noProof/>
                    </w:rPr>
                  </w:pPr>
                </w:p>
                <w:p w14:paraId="707B08E1" w14:textId="77777777" w:rsidR="00546451" w:rsidRPr="001357D3" w:rsidRDefault="00546451" w:rsidP="00546451">
                  <w:pPr>
                    <w:jc w:val="left"/>
                    <w:rPr>
                      <w:noProof/>
                    </w:rPr>
                  </w:pPr>
                </w:p>
                <w:p w14:paraId="3B10802C" w14:textId="78E32017" w:rsidR="00546451" w:rsidRPr="001357D3" w:rsidRDefault="00546451" w:rsidP="00546451">
                  <w:pPr>
                    <w:jc w:val="left"/>
                    <w:rPr>
                      <w:noProof/>
                    </w:rPr>
                  </w:pPr>
                  <w:r w:rsidRPr="001357D3">
                    <w:rPr>
                      <w:noProof/>
                    </w:rPr>
                    <w:t>Artykuł 4</w:t>
                  </w:r>
                </w:p>
              </w:tc>
              <w:tc>
                <w:tcPr>
                  <w:tcW w:w="1770" w:type="dxa"/>
                </w:tcPr>
                <w:p w14:paraId="0311E923" w14:textId="3E8875AD" w:rsidR="00546451" w:rsidRPr="001357D3" w:rsidRDefault="00546451" w:rsidP="00546451">
                  <w:pPr>
                    <w:jc w:val="left"/>
                    <w:rPr>
                      <w:noProof/>
                    </w:rPr>
                  </w:pPr>
                  <w:r w:rsidRPr="001357D3">
                    <w:rPr>
                      <w:noProof/>
                    </w:rPr>
                    <w:lastRenderedPageBreak/>
                    <w:t>[...] propagowanie skutecznych procedur cywilnych</w:t>
                  </w:r>
                  <w:r w:rsidR="001C6403" w:rsidRPr="001357D3">
                    <w:rPr>
                      <w:noProof/>
                    </w:rPr>
                    <w:t xml:space="preserve"> i</w:t>
                  </w:r>
                  <w:r w:rsidR="001C6403">
                    <w:rPr>
                      <w:noProof/>
                    </w:rPr>
                    <w:t> </w:t>
                  </w:r>
                  <w:r w:rsidR="001C6403" w:rsidRPr="001357D3">
                    <w:rPr>
                      <w:noProof/>
                    </w:rPr>
                    <w:t>kar</w:t>
                  </w:r>
                  <w:r w:rsidRPr="001357D3">
                    <w:rPr>
                      <w:noProof/>
                    </w:rPr>
                    <w:t xml:space="preserve">nych oraz [...] promowanie </w:t>
                  </w:r>
                  <w:r w:rsidRPr="001357D3">
                    <w:rPr>
                      <w:noProof/>
                    </w:rPr>
                    <w:lastRenderedPageBreak/>
                    <w:t>[...] praw wszystkich ofiar przestępstw oraz praw procesowych podejrzanych</w:t>
                  </w:r>
                  <w:r w:rsidR="001C6403" w:rsidRPr="001357D3">
                    <w:rPr>
                      <w:noProof/>
                    </w:rPr>
                    <w:t xml:space="preserve"> i</w:t>
                  </w:r>
                  <w:r w:rsidR="001C6403">
                    <w:rPr>
                      <w:noProof/>
                    </w:rPr>
                    <w:t> </w:t>
                  </w:r>
                  <w:r w:rsidR="001C6403" w:rsidRPr="001357D3">
                    <w:rPr>
                      <w:noProof/>
                    </w:rPr>
                    <w:t>osk</w:t>
                  </w:r>
                  <w:r w:rsidRPr="001357D3">
                    <w:rPr>
                      <w:noProof/>
                    </w:rPr>
                    <w:t>arżonych</w:t>
                  </w:r>
                  <w:r w:rsidR="001C6403" w:rsidRPr="001357D3">
                    <w:rPr>
                      <w:noProof/>
                    </w:rPr>
                    <w:t xml:space="preserve"> w</w:t>
                  </w:r>
                  <w:r w:rsidR="001C6403">
                    <w:rPr>
                      <w:noProof/>
                    </w:rPr>
                    <w:t> </w:t>
                  </w:r>
                  <w:r w:rsidR="001C6403" w:rsidRPr="001357D3">
                    <w:rPr>
                      <w:noProof/>
                    </w:rPr>
                    <w:t>pos</w:t>
                  </w:r>
                  <w:r w:rsidRPr="001357D3">
                    <w:rPr>
                      <w:noProof/>
                    </w:rPr>
                    <w:t>tępowaniu karnym,</w:t>
                  </w:r>
                  <w:r w:rsidR="001C6403" w:rsidRPr="001357D3">
                    <w:rPr>
                      <w:noProof/>
                    </w:rPr>
                    <w:t xml:space="preserve"> a</w:t>
                  </w:r>
                  <w:r w:rsidR="001C6403">
                    <w:rPr>
                      <w:noProof/>
                    </w:rPr>
                    <w:t> </w:t>
                  </w:r>
                  <w:r w:rsidR="001C6403" w:rsidRPr="001357D3">
                    <w:rPr>
                      <w:noProof/>
                    </w:rPr>
                    <w:t>tak</w:t>
                  </w:r>
                  <w:r w:rsidRPr="001357D3">
                    <w:rPr>
                      <w:noProof/>
                    </w:rPr>
                    <w:t>że osób, których dotyczy wniosek</w:t>
                  </w:r>
                  <w:r w:rsidR="001C6403" w:rsidRPr="001357D3">
                    <w:rPr>
                      <w:noProof/>
                    </w:rPr>
                    <w:t xml:space="preserve"> w</w:t>
                  </w:r>
                  <w:r w:rsidR="001C6403">
                    <w:rPr>
                      <w:noProof/>
                    </w:rPr>
                    <w:t> </w:t>
                  </w:r>
                  <w:r w:rsidR="001C6403" w:rsidRPr="001357D3">
                    <w:rPr>
                      <w:noProof/>
                    </w:rPr>
                    <w:t>pos</w:t>
                  </w:r>
                  <w:r w:rsidRPr="001357D3">
                    <w:rPr>
                      <w:noProof/>
                    </w:rPr>
                    <w:t>tępowaniu dotyczącym ENA.</w:t>
                  </w:r>
                </w:p>
                <w:p w14:paraId="61298C53" w14:textId="77777777" w:rsidR="00546451" w:rsidRPr="001357D3" w:rsidRDefault="00546451" w:rsidP="00546451">
                  <w:pPr>
                    <w:jc w:val="left"/>
                    <w:rPr>
                      <w:noProof/>
                      <w:szCs w:val="24"/>
                    </w:rPr>
                  </w:pPr>
                </w:p>
                <w:p w14:paraId="11F9373B" w14:textId="77777777" w:rsidR="00546451" w:rsidRPr="001357D3" w:rsidRDefault="00546451" w:rsidP="00546451">
                  <w:pPr>
                    <w:jc w:val="left"/>
                    <w:rPr>
                      <w:noProof/>
                      <w:szCs w:val="24"/>
                    </w:rPr>
                  </w:pPr>
                </w:p>
                <w:p w14:paraId="20C88C35" w14:textId="7B1B13D0" w:rsidR="00546451" w:rsidRPr="001357D3" w:rsidRDefault="00546451" w:rsidP="00546451">
                  <w:pPr>
                    <w:jc w:val="left"/>
                    <w:rPr>
                      <w:noProof/>
                      <w:szCs w:val="24"/>
                    </w:rPr>
                  </w:pPr>
                  <w:r w:rsidRPr="001357D3">
                    <w:rPr>
                      <w:noProof/>
                    </w:rPr>
                    <w:t>[...] Pomoc techniczna</w:t>
                  </w:r>
                  <w:r w:rsidR="001C6403" w:rsidRPr="001357D3">
                    <w:rPr>
                      <w:noProof/>
                    </w:rPr>
                    <w:t xml:space="preserve"> i</w:t>
                  </w:r>
                  <w:r w:rsidR="001C6403">
                    <w:rPr>
                      <w:noProof/>
                    </w:rPr>
                    <w:t> </w:t>
                  </w:r>
                  <w:r w:rsidR="001C6403" w:rsidRPr="001357D3">
                    <w:rPr>
                      <w:noProof/>
                    </w:rPr>
                    <w:t>adm</w:t>
                  </w:r>
                  <w:r w:rsidRPr="001357D3">
                    <w:rPr>
                      <w:noProof/>
                    </w:rPr>
                    <w:t>inistracyjna na potrzeby realizacji Programu, taka jak... działania informacyjne</w:t>
                  </w:r>
                  <w:r w:rsidR="001C6403" w:rsidRPr="001357D3">
                    <w:rPr>
                      <w:noProof/>
                    </w:rPr>
                    <w:t xml:space="preserve"> i</w:t>
                  </w:r>
                  <w:r w:rsidR="001C6403">
                    <w:rPr>
                      <w:noProof/>
                    </w:rPr>
                    <w:t> </w:t>
                  </w:r>
                  <w:r w:rsidR="001C6403" w:rsidRPr="001357D3">
                    <w:rPr>
                      <w:noProof/>
                    </w:rPr>
                    <w:t>kom</w:t>
                  </w:r>
                  <w:r w:rsidRPr="001357D3">
                    <w:rPr>
                      <w:noProof/>
                    </w:rPr>
                    <w:t>unikacyjne,</w:t>
                  </w:r>
                  <w:r w:rsidR="001C6403" w:rsidRPr="001357D3">
                    <w:rPr>
                      <w:noProof/>
                    </w:rPr>
                    <w:t xml:space="preserve"> w</w:t>
                  </w:r>
                  <w:r w:rsidR="001C6403">
                    <w:rPr>
                      <w:noProof/>
                    </w:rPr>
                    <w:t> </w:t>
                  </w:r>
                  <w:r w:rsidR="001C6403" w:rsidRPr="001357D3">
                    <w:rPr>
                      <w:noProof/>
                    </w:rPr>
                    <w:t>tym</w:t>
                  </w:r>
                  <w:r w:rsidRPr="001357D3">
                    <w:rPr>
                      <w:noProof/>
                    </w:rPr>
                    <w:t xml:space="preserve"> komunikacja instytucjonalna na temat priorytetów politycznych Unii.</w:t>
                  </w:r>
                </w:p>
              </w:tc>
              <w:tc>
                <w:tcPr>
                  <w:tcW w:w="1770" w:type="dxa"/>
                </w:tcPr>
                <w:p w14:paraId="48B78274" w14:textId="77777777" w:rsidR="00546451" w:rsidRPr="001357D3" w:rsidRDefault="00546451" w:rsidP="00546451">
                  <w:pPr>
                    <w:jc w:val="center"/>
                    <w:rPr>
                      <w:noProof/>
                    </w:rPr>
                  </w:pPr>
                  <w:r w:rsidRPr="001357D3">
                    <w:rPr>
                      <w:noProof/>
                    </w:rPr>
                    <w:lastRenderedPageBreak/>
                    <w:t>Komisja Europejska Beneficjenci</w:t>
                  </w:r>
                </w:p>
                <w:p w14:paraId="431474A2" w14:textId="77777777" w:rsidR="00546451" w:rsidRPr="001357D3" w:rsidRDefault="00546451" w:rsidP="00546451">
                  <w:pPr>
                    <w:jc w:val="center"/>
                    <w:rPr>
                      <w:noProof/>
                    </w:rPr>
                  </w:pPr>
                </w:p>
              </w:tc>
              <w:tc>
                <w:tcPr>
                  <w:tcW w:w="1770" w:type="dxa"/>
                </w:tcPr>
                <w:p w14:paraId="02CB3230" w14:textId="6145EDFA" w:rsidR="00546451" w:rsidRPr="001357D3" w:rsidRDefault="00546451" w:rsidP="00546451">
                  <w:pPr>
                    <w:jc w:val="center"/>
                    <w:rPr>
                      <w:noProof/>
                    </w:rPr>
                  </w:pPr>
                  <w:r w:rsidRPr="001357D3">
                    <w:rPr>
                      <w:noProof/>
                    </w:rPr>
                    <w:t>Rozpowszechnianie, wsparcie na rzecz Programu</w:t>
                  </w:r>
                </w:p>
                <w:p w14:paraId="48510BEA" w14:textId="77777777" w:rsidR="00546451" w:rsidRPr="001357D3" w:rsidRDefault="00546451" w:rsidP="00546451">
                  <w:pPr>
                    <w:jc w:val="center"/>
                    <w:rPr>
                      <w:noProof/>
                    </w:rPr>
                  </w:pPr>
                </w:p>
              </w:tc>
              <w:tc>
                <w:tcPr>
                  <w:tcW w:w="1770" w:type="dxa"/>
                </w:tcPr>
                <w:p w14:paraId="6842FDDA" w14:textId="77777777" w:rsidR="00546451" w:rsidRPr="001357D3" w:rsidRDefault="00546451" w:rsidP="00546451">
                  <w:pPr>
                    <w:jc w:val="center"/>
                    <w:rPr>
                      <w:noProof/>
                    </w:rPr>
                  </w:pPr>
                  <w:r w:rsidRPr="001357D3">
                    <w:rPr>
                      <w:noProof/>
                    </w:rPr>
                    <w:t>Rozwiązania cyfrowe</w:t>
                  </w:r>
                </w:p>
                <w:p w14:paraId="6D118FF9" w14:textId="77777777" w:rsidR="00546451" w:rsidRPr="001357D3" w:rsidRDefault="00546451" w:rsidP="00546451">
                  <w:pPr>
                    <w:jc w:val="center"/>
                    <w:rPr>
                      <w:noProof/>
                    </w:rPr>
                  </w:pPr>
                </w:p>
              </w:tc>
            </w:tr>
          </w:tbl>
          <w:p w14:paraId="3F10F77C" w14:textId="77777777" w:rsidR="00546451" w:rsidRPr="001357D3" w:rsidRDefault="00546451" w:rsidP="00546451">
            <w:pPr>
              <w:rPr>
                <w:noProof/>
              </w:rPr>
            </w:pPr>
          </w:p>
        </w:tc>
      </w:tr>
    </w:tbl>
    <w:p w14:paraId="75584717" w14:textId="77777777" w:rsidR="00546451" w:rsidRPr="001357D3" w:rsidRDefault="00546451" w:rsidP="00546451">
      <w:pPr>
        <w:keepNext/>
        <w:tabs>
          <w:tab w:val="left" w:pos="850"/>
        </w:tabs>
        <w:outlineLvl w:val="1"/>
        <w:rPr>
          <w:b/>
          <w:noProof/>
        </w:rPr>
      </w:pPr>
      <w:bookmarkStart w:id="269" w:name="_Toc167220303"/>
      <w:bookmarkStart w:id="270" w:name="_Toc177549038"/>
      <w:bookmarkStart w:id="271" w:name="_Toc210923291"/>
      <w:r w:rsidRPr="001357D3">
        <w:rPr>
          <w:b/>
          <w:noProof/>
        </w:rPr>
        <w:lastRenderedPageBreak/>
        <w:t>4.2.</w:t>
      </w:r>
      <w:r w:rsidRPr="001357D3">
        <w:rPr>
          <w:noProof/>
        </w:rPr>
        <w:tab/>
      </w:r>
      <w:r w:rsidRPr="001357D3">
        <w:rPr>
          <w:b/>
          <w:noProof/>
        </w:rPr>
        <w:t>Dane</w:t>
      </w:r>
      <w:bookmarkEnd w:id="269"/>
      <w:bookmarkEnd w:id="270"/>
      <w:bookmarkEnd w:id="271"/>
    </w:p>
    <w:tbl>
      <w:tblPr>
        <w:tblStyle w:val="TableGrid2"/>
        <w:tblW w:w="0" w:type="auto"/>
        <w:tblLook w:val="04A0" w:firstRow="1" w:lastRow="0" w:firstColumn="1" w:lastColumn="0" w:noHBand="0" w:noVBand="1"/>
      </w:tblPr>
      <w:tblGrid>
        <w:gridCol w:w="9063"/>
      </w:tblGrid>
      <w:tr w:rsidR="00D31917" w:rsidRPr="001357D3" w14:paraId="4100E991" w14:textId="77777777">
        <w:tc>
          <w:tcPr>
            <w:tcW w:w="9063" w:type="dxa"/>
          </w:tcPr>
          <w:p w14:paraId="56AC2428" w14:textId="77777777" w:rsidR="00546451" w:rsidRPr="001357D3" w:rsidRDefault="00546451" w:rsidP="00546451">
            <w:pPr>
              <w:rPr>
                <w:noProof/>
              </w:rPr>
            </w:pPr>
          </w:p>
          <w:tbl>
            <w:tblPr>
              <w:tblStyle w:val="TableGrid2"/>
              <w:tblW w:w="0" w:type="auto"/>
              <w:tblLook w:val="06A0" w:firstRow="1" w:lastRow="0" w:firstColumn="1" w:lastColumn="0" w:noHBand="1" w:noVBand="1"/>
            </w:tblPr>
            <w:tblGrid>
              <w:gridCol w:w="2945"/>
              <w:gridCol w:w="2945"/>
              <w:gridCol w:w="2947"/>
            </w:tblGrid>
            <w:tr w:rsidR="00D31917" w:rsidRPr="001357D3" w14:paraId="4A19E75B" w14:textId="77777777">
              <w:trPr>
                <w:trHeight w:val="300"/>
              </w:trPr>
              <w:tc>
                <w:tcPr>
                  <w:tcW w:w="2950" w:type="dxa"/>
                </w:tcPr>
                <w:p w14:paraId="24F3F477" w14:textId="77777777" w:rsidR="00546451" w:rsidRPr="001357D3" w:rsidRDefault="00546451" w:rsidP="00546451">
                  <w:pPr>
                    <w:jc w:val="center"/>
                    <w:rPr>
                      <w:b/>
                      <w:bCs/>
                      <w:noProof/>
                      <w:szCs w:val="24"/>
                    </w:rPr>
                  </w:pPr>
                  <w:r w:rsidRPr="001357D3">
                    <w:rPr>
                      <w:b/>
                      <w:noProof/>
                    </w:rPr>
                    <w:t>Rodzaj danych</w:t>
                  </w:r>
                </w:p>
              </w:tc>
              <w:tc>
                <w:tcPr>
                  <w:tcW w:w="2950" w:type="dxa"/>
                </w:tcPr>
                <w:p w14:paraId="3DF63C38" w14:textId="77777777" w:rsidR="00546451" w:rsidRPr="001357D3" w:rsidRDefault="00546451" w:rsidP="00546451">
                  <w:pPr>
                    <w:jc w:val="center"/>
                    <w:rPr>
                      <w:b/>
                      <w:bCs/>
                      <w:noProof/>
                      <w:szCs w:val="24"/>
                    </w:rPr>
                  </w:pPr>
                  <w:r w:rsidRPr="001357D3">
                    <w:rPr>
                      <w:b/>
                      <w:noProof/>
                    </w:rPr>
                    <w:t>Odniesienie(-a) do wymogu</w:t>
                  </w:r>
                </w:p>
              </w:tc>
              <w:tc>
                <w:tcPr>
                  <w:tcW w:w="2950" w:type="dxa"/>
                </w:tcPr>
                <w:p w14:paraId="2A70F2A8" w14:textId="77777777" w:rsidR="00546451" w:rsidRPr="001357D3" w:rsidRDefault="00546451" w:rsidP="00546451">
                  <w:pPr>
                    <w:jc w:val="center"/>
                    <w:rPr>
                      <w:b/>
                      <w:bCs/>
                      <w:noProof/>
                      <w:szCs w:val="24"/>
                    </w:rPr>
                  </w:pPr>
                  <w:r w:rsidRPr="001357D3">
                    <w:rPr>
                      <w:b/>
                      <w:noProof/>
                    </w:rPr>
                    <w:t>Normy lub specyfikacje (stosownie do przypadku)</w:t>
                  </w:r>
                </w:p>
              </w:tc>
            </w:tr>
            <w:tr w:rsidR="00D31917" w:rsidRPr="001357D3" w14:paraId="44A06A68" w14:textId="77777777">
              <w:trPr>
                <w:trHeight w:val="300"/>
              </w:trPr>
              <w:tc>
                <w:tcPr>
                  <w:tcW w:w="2950" w:type="dxa"/>
                </w:tcPr>
                <w:p w14:paraId="5ECD5D1B" w14:textId="61A2DF42" w:rsidR="00546451" w:rsidRPr="001357D3" w:rsidRDefault="00546451" w:rsidP="00546451">
                  <w:pPr>
                    <w:rPr>
                      <w:noProof/>
                    </w:rPr>
                  </w:pPr>
                  <w:r w:rsidRPr="001357D3">
                    <w:rPr>
                      <w:noProof/>
                    </w:rPr>
                    <w:t>Państwa, organizacje, budżet, uczestnicy</w:t>
                  </w:r>
                  <w:r w:rsidR="001C6403" w:rsidRPr="001357D3">
                    <w:rPr>
                      <w:noProof/>
                    </w:rPr>
                    <w:t xml:space="preserve"> i</w:t>
                  </w:r>
                  <w:r w:rsidR="001C6403">
                    <w:rPr>
                      <w:noProof/>
                    </w:rPr>
                    <w:t> </w:t>
                  </w:r>
                  <w:r w:rsidR="001C6403" w:rsidRPr="001357D3">
                    <w:rPr>
                      <w:noProof/>
                    </w:rPr>
                    <w:t>pri</w:t>
                  </w:r>
                  <w:r w:rsidRPr="001357D3">
                    <w:rPr>
                      <w:noProof/>
                    </w:rPr>
                    <w:t>orytety dotyczące poszczególnych projektów</w:t>
                  </w:r>
                </w:p>
              </w:tc>
              <w:tc>
                <w:tcPr>
                  <w:tcW w:w="2950" w:type="dxa"/>
                </w:tcPr>
                <w:p w14:paraId="0779C6DA" w14:textId="26166685" w:rsidR="00546451" w:rsidRPr="001357D3" w:rsidRDefault="00546451" w:rsidP="00546451">
                  <w:pPr>
                    <w:jc w:val="left"/>
                    <w:rPr>
                      <w:noProof/>
                    </w:rPr>
                  </w:pPr>
                  <w:r w:rsidRPr="001357D3">
                    <w:rPr>
                      <w:noProof/>
                    </w:rPr>
                    <w:t>Art. 4, art. 3 ust. 1</w:t>
                  </w:r>
                  <w:r w:rsidR="001C6403" w:rsidRPr="001357D3">
                    <w:rPr>
                      <w:noProof/>
                    </w:rPr>
                    <w:t xml:space="preserve"> i</w:t>
                  </w:r>
                  <w:r w:rsidR="001C6403">
                    <w:rPr>
                      <w:noProof/>
                    </w:rPr>
                    <w:t> </w:t>
                  </w:r>
                  <w:r w:rsidR="001C6403" w:rsidRPr="001357D3">
                    <w:rPr>
                      <w:noProof/>
                    </w:rPr>
                    <w:t>art</w:t>
                  </w:r>
                  <w:r w:rsidRPr="001357D3">
                    <w:rPr>
                      <w:noProof/>
                    </w:rPr>
                    <w:t>. 3 ust. 2 lit. b) i c)</w:t>
                  </w:r>
                </w:p>
                <w:p w14:paraId="3900D5E5" w14:textId="5DE5C835" w:rsidR="00546451" w:rsidRPr="001357D3" w:rsidRDefault="00443036" w:rsidP="00546451">
                  <w:pPr>
                    <w:rPr>
                      <w:noProof/>
                    </w:rPr>
                  </w:pPr>
                  <w:r w:rsidRPr="001357D3">
                    <w:rPr>
                      <w:noProof/>
                    </w:rPr>
                    <w:t>Rozporządzenie (UE) XXX [rozporządzenie</w:t>
                  </w:r>
                  <w:r w:rsidR="001C6403" w:rsidRPr="001357D3">
                    <w:rPr>
                      <w:noProof/>
                    </w:rPr>
                    <w:t xml:space="preserve"> w</w:t>
                  </w:r>
                  <w:r w:rsidR="001C6403">
                    <w:rPr>
                      <w:noProof/>
                    </w:rPr>
                    <w:t> </w:t>
                  </w:r>
                  <w:r w:rsidR="001C6403" w:rsidRPr="001357D3">
                    <w:rPr>
                      <w:noProof/>
                    </w:rPr>
                    <w:t>spr</w:t>
                  </w:r>
                  <w:r w:rsidRPr="001357D3">
                    <w:rPr>
                      <w:noProof/>
                    </w:rPr>
                    <w:t>awie wykonania]</w:t>
                  </w:r>
                </w:p>
              </w:tc>
              <w:tc>
                <w:tcPr>
                  <w:tcW w:w="2950" w:type="dxa"/>
                </w:tcPr>
                <w:p w14:paraId="701A8655" w14:textId="4BC36C9B" w:rsidR="00546451" w:rsidRPr="001357D3" w:rsidRDefault="00546451" w:rsidP="00546451">
                  <w:pPr>
                    <w:rPr>
                      <w:noProof/>
                    </w:rPr>
                  </w:pPr>
                  <w:r w:rsidRPr="001357D3">
                    <w:rPr>
                      <w:noProof/>
                    </w:rPr>
                    <w:t>Narzędzia</w:t>
                  </w:r>
                  <w:r w:rsidR="001C6403" w:rsidRPr="001357D3">
                    <w:rPr>
                      <w:noProof/>
                    </w:rPr>
                    <w:t xml:space="preserve"> i</w:t>
                  </w:r>
                  <w:r w:rsidR="001C6403">
                    <w:rPr>
                      <w:noProof/>
                    </w:rPr>
                    <w:t> </w:t>
                  </w:r>
                  <w:r w:rsidR="001C6403" w:rsidRPr="001357D3">
                    <w:rPr>
                      <w:noProof/>
                    </w:rPr>
                    <w:t>baz</w:t>
                  </w:r>
                  <w:r w:rsidRPr="001357D3">
                    <w:rPr>
                      <w:noProof/>
                    </w:rPr>
                    <w:t>y danych Komisji służące do monitorowania</w:t>
                  </w:r>
                  <w:r w:rsidR="001C6403" w:rsidRPr="001357D3">
                    <w:rPr>
                      <w:noProof/>
                    </w:rPr>
                    <w:t xml:space="preserve"> i</w:t>
                  </w:r>
                  <w:r w:rsidR="001C6403">
                    <w:rPr>
                      <w:noProof/>
                    </w:rPr>
                    <w:t> </w:t>
                  </w:r>
                  <w:r w:rsidR="001C6403" w:rsidRPr="001357D3">
                    <w:rPr>
                      <w:noProof/>
                    </w:rPr>
                    <w:t>spr</w:t>
                  </w:r>
                  <w:r w:rsidRPr="001357D3">
                    <w:rPr>
                      <w:noProof/>
                    </w:rPr>
                    <w:t>awozdawczości,</w:t>
                  </w:r>
                  <w:r w:rsidR="001C6403" w:rsidRPr="001357D3">
                    <w:rPr>
                      <w:noProof/>
                    </w:rPr>
                    <w:t xml:space="preserve"> w</w:t>
                  </w:r>
                  <w:r w:rsidR="001C6403">
                    <w:rPr>
                      <w:noProof/>
                    </w:rPr>
                    <w:t> </w:t>
                  </w:r>
                  <w:r w:rsidR="001C6403" w:rsidRPr="001357D3">
                    <w:rPr>
                      <w:noProof/>
                    </w:rPr>
                    <w:t>tym</w:t>
                  </w:r>
                  <w:r w:rsidRPr="001357D3">
                    <w:rPr>
                      <w:noProof/>
                    </w:rPr>
                    <w:t xml:space="preserve"> eGrants.</w:t>
                  </w:r>
                </w:p>
              </w:tc>
            </w:tr>
          </w:tbl>
          <w:p w14:paraId="591EF79D" w14:textId="2DF94B3F" w:rsidR="00546451" w:rsidRPr="001357D3" w:rsidRDefault="00546451" w:rsidP="00546451">
            <w:pPr>
              <w:rPr>
                <w:b/>
                <w:bCs/>
                <w:i/>
                <w:iCs/>
                <w:noProof/>
                <w:szCs w:val="24"/>
              </w:rPr>
            </w:pPr>
            <w:r w:rsidRPr="001357D3">
              <w:rPr>
                <w:b/>
                <w:i/>
                <w:noProof/>
              </w:rPr>
              <w:t>Powiązanie</w:t>
            </w:r>
            <w:r w:rsidR="001C6403" w:rsidRPr="001357D3">
              <w:rPr>
                <w:b/>
                <w:i/>
                <w:noProof/>
              </w:rPr>
              <w:t xml:space="preserve"> z</w:t>
            </w:r>
            <w:r w:rsidR="001C6403">
              <w:rPr>
                <w:b/>
                <w:i/>
                <w:noProof/>
              </w:rPr>
              <w:t> </w:t>
            </w:r>
            <w:r w:rsidR="001C6403" w:rsidRPr="001357D3">
              <w:rPr>
                <w:b/>
                <w:i/>
                <w:noProof/>
              </w:rPr>
              <w:t>eur</w:t>
            </w:r>
            <w:r w:rsidRPr="001357D3">
              <w:rPr>
                <w:b/>
                <w:i/>
                <w:noProof/>
              </w:rPr>
              <w:t>opejską strategią</w:t>
            </w:r>
            <w:r w:rsidR="001C6403" w:rsidRPr="001357D3">
              <w:rPr>
                <w:b/>
                <w:i/>
                <w:noProof/>
              </w:rPr>
              <w:t xml:space="preserve"> w</w:t>
            </w:r>
            <w:r w:rsidR="001C6403">
              <w:rPr>
                <w:b/>
                <w:i/>
                <w:noProof/>
              </w:rPr>
              <w:t> </w:t>
            </w:r>
            <w:r w:rsidR="001C6403" w:rsidRPr="001357D3">
              <w:rPr>
                <w:b/>
                <w:i/>
                <w:noProof/>
              </w:rPr>
              <w:t>zak</w:t>
            </w:r>
            <w:r w:rsidRPr="001357D3">
              <w:rPr>
                <w:b/>
                <w:i/>
                <w:noProof/>
              </w:rPr>
              <w:t>resie danych</w:t>
            </w:r>
          </w:p>
          <w:p w14:paraId="140E2817" w14:textId="455FF09C" w:rsidR="00546451" w:rsidRPr="001357D3" w:rsidRDefault="00546451" w:rsidP="00546451">
            <w:pPr>
              <w:rPr>
                <w:noProof/>
                <w:szCs w:val="24"/>
              </w:rPr>
            </w:pPr>
            <w:r w:rsidRPr="001357D3">
              <w:rPr>
                <w:noProof/>
              </w:rPr>
              <w:lastRenderedPageBreak/>
              <w:t>Przepisy zawarte we wniosku wspierają interoperacyjność, możliwość ponownego wykorzystania</w:t>
            </w:r>
            <w:r w:rsidR="001C6403" w:rsidRPr="001357D3">
              <w:rPr>
                <w:noProof/>
              </w:rPr>
              <w:t xml:space="preserve"> i</w:t>
            </w:r>
            <w:r w:rsidR="001C6403">
              <w:rPr>
                <w:noProof/>
              </w:rPr>
              <w:t> </w:t>
            </w:r>
            <w:r w:rsidR="001C6403" w:rsidRPr="001357D3">
              <w:rPr>
                <w:noProof/>
              </w:rPr>
              <w:t>bez</w:t>
            </w:r>
            <w:r w:rsidRPr="001357D3">
              <w:rPr>
                <w:noProof/>
              </w:rPr>
              <w:t>pieczną wymianę danych, zgodnie</w:t>
            </w:r>
            <w:r w:rsidR="001C6403" w:rsidRPr="001357D3">
              <w:rPr>
                <w:noProof/>
              </w:rPr>
              <w:t xml:space="preserve"> z</w:t>
            </w:r>
            <w:r w:rsidR="001C6403">
              <w:rPr>
                <w:noProof/>
              </w:rPr>
              <w:t> </w:t>
            </w:r>
            <w:r w:rsidR="001C6403" w:rsidRPr="001357D3">
              <w:rPr>
                <w:noProof/>
              </w:rPr>
              <w:t>eur</w:t>
            </w:r>
            <w:r w:rsidRPr="001357D3">
              <w:rPr>
                <w:noProof/>
              </w:rPr>
              <w:t>opejską strategią</w:t>
            </w:r>
            <w:r w:rsidR="001C6403" w:rsidRPr="001357D3">
              <w:rPr>
                <w:noProof/>
              </w:rPr>
              <w:t xml:space="preserve"> w</w:t>
            </w:r>
            <w:r w:rsidR="001C6403">
              <w:rPr>
                <w:noProof/>
              </w:rPr>
              <w:t> </w:t>
            </w:r>
            <w:r w:rsidR="001C6403" w:rsidRPr="001357D3">
              <w:rPr>
                <w:noProof/>
              </w:rPr>
              <w:t>zak</w:t>
            </w:r>
            <w:r w:rsidRPr="001357D3">
              <w:rPr>
                <w:noProof/>
              </w:rPr>
              <w:t>resie danych. Przetwarzanie danych osobowych (np. uczestników) jest zgodne</w:t>
            </w:r>
            <w:r w:rsidR="001C6403" w:rsidRPr="001357D3">
              <w:rPr>
                <w:noProof/>
              </w:rPr>
              <w:t xml:space="preserve"> z</w:t>
            </w:r>
            <w:r w:rsidR="001C6403">
              <w:rPr>
                <w:noProof/>
              </w:rPr>
              <w:t> </w:t>
            </w:r>
            <w:r w:rsidR="001C6403" w:rsidRPr="001357D3">
              <w:rPr>
                <w:noProof/>
              </w:rPr>
              <w:t>ogó</w:t>
            </w:r>
            <w:r w:rsidRPr="001357D3">
              <w:rPr>
                <w:noProof/>
              </w:rPr>
              <w:t>lnym rozporządzeniem</w:t>
            </w:r>
            <w:r w:rsidR="001C6403" w:rsidRPr="001357D3">
              <w:rPr>
                <w:noProof/>
              </w:rPr>
              <w:t xml:space="preserve"> o</w:t>
            </w:r>
            <w:r w:rsidR="001C6403">
              <w:rPr>
                <w:noProof/>
              </w:rPr>
              <w:t> </w:t>
            </w:r>
            <w:r w:rsidR="001C6403" w:rsidRPr="001357D3">
              <w:rPr>
                <w:noProof/>
              </w:rPr>
              <w:t>och</w:t>
            </w:r>
            <w:r w:rsidRPr="001357D3">
              <w:rPr>
                <w:noProof/>
              </w:rPr>
              <w:t>ronie danych (RODO)</w:t>
            </w:r>
            <w:r w:rsidRPr="001357D3">
              <w:rPr>
                <w:rStyle w:val="Odwoanieprzypisudolnego"/>
                <w:noProof/>
                <w:szCs w:val="24"/>
              </w:rPr>
              <w:footnoteReference w:id="66"/>
            </w:r>
            <w:r w:rsidRPr="001357D3">
              <w:rPr>
                <w:noProof/>
              </w:rPr>
              <w:t>. Architektura jest również zgodna</w:t>
            </w:r>
            <w:r w:rsidR="001C6403" w:rsidRPr="001357D3">
              <w:rPr>
                <w:noProof/>
              </w:rPr>
              <w:t xml:space="preserve"> z</w:t>
            </w:r>
            <w:r w:rsidR="001C6403">
              <w:rPr>
                <w:noProof/>
              </w:rPr>
              <w:t> </w:t>
            </w:r>
            <w:r w:rsidR="001C6403" w:rsidRPr="001357D3">
              <w:rPr>
                <w:noProof/>
              </w:rPr>
              <w:t>dyr</w:t>
            </w:r>
            <w:r w:rsidRPr="001357D3">
              <w:rPr>
                <w:noProof/>
              </w:rPr>
              <w:t>ektywą</w:t>
            </w:r>
            <w:r w:rsidR="001C6403" w:rsidRPr="001357D3">
              <w:rPr>
                <w:noProof/>
              </w:rPr>
              <w:t xml:space="preserve"> w</w:t>
            </w:r>
            <w:r w:rsidR="001C6403">
              <w:rPr>
                <w:noProof/>
              </w:rPr>
              <w:t> </w:t>
            </w:r>
            <w:r w:rsidR="001C6403" w:rsidRPr="001357D3">
              <w:rPr>
                <w:noProof/>
              </w:rPr>
              <w:t>spr</w:t>
            </w:r>
            <w:r w:rsidRPr="001357D3">
              <w:rPr>
                <w:noProof/>
              </w:rPr>
              <w:t>awie otwartych danych</w:t>
            </w:r>
            <w:r w:rsidRPr="001357D3">
              <w:rPr>
                <w:rStyle w:val="Odwoanieprzypisudolnego"/>
                <w:noProof/>
                <w:szCs w:val="24"/>
              </w:rPr>
              <w:footnoteReference w:id="67"/>
            </w:r>
            <w:r w:rsidRPr="001357D3">
              <w:rPr>
                <w:noProof/>
              </w:rPr>
              <w:t>, ponieważ odpowiednie zagregowane dane nieosobowe mogą być udostępniane do ponownego wykorzystania przez naukowców lub organy publiczne.</w:t>
            </w:r>
          </w:p>
          <w:p w14:paraId="38CB542E" w14:textId="42BE0762" w:rsidR="009C2453" w:rsidRPr="001357D3" w:rsidRDefault="009C2453" w:rsidP="009C2453">
            <w:pPr>
              <w:rPr>
                <w:b/>
                <w:bCs/>
                <w:i/>
                <w:iCs/>
                <w:noProof/>
                <w:szCs w:val="24"/>
              </w:rPr>
            </w:pPr>
            <w:r w:rsidRPr="001357D3">
              <w:rPr>
                <w:b/>
                <w:i/>
                <w:noProof/>
              </w:rPr>
              <w:t>Zgodność</w:t>
            </w:r>
            <w:r w:rsidR="001C6403" w:rsidRPr="001357D3">
              <w:rPr>
                <w:b/>
                <w:i/>
                <w:noProof/>
              </w:rPr>
              <w:t xml:space="preserve"> z</w:t>
            </w:r>
            <w:r w:rsidR="001C6403">
              <w:rPr>
                <w:b/>
                <w:i/>
                <w:noProof/>
              </w:rPr>
              <w:t> </w:t>
            </w:r>
            <w:r w:rsidR="001C6403" w:rsidRPr="001357D3">
              <w:rPr>
                <w:b/>
                <w:i/>
                <w:noProof/>
              </w:rPr>
              <w:t>uni</w:t>
            </w:r>
            <w:r w:rsidRPr="001357D3">
              <w:rPr>
                <w:b/>
                <w:i/>
                <w:noProof/>
              </w:rPr>
              <w:t>jnymi ramami tożsamości cyfrowej</w:t>
            </w:r>
          </w:p>
          <w:p w14:paraId="6B6949F7" w14:textId="3B85BA28" w:rsidR="009C2453" w:rsidRPr="001357D3" w:rsidRDefault="009C2453" w:rsidP="009C2453">
            <w:pPr>
              <w:rPr>
                <w:noProof/>
                <w:szCs w:val="24"/>
              </w:rPr>
            </w:pPr>
            <w:r w:rsidRPr="001357D3">
              <w:rPr>
                <w:noProof/>
              </w:rPr>
              <w:t>Wniosek jest zgodny</w:t>
            </w:r>
            <w:r w:rsidR="001C6403" w:rsidRPr="001357D3">
              <w:rPr>
                <w:noProof/>
              </w:rPr>
              <w:t xml:space="preserve"> z</w:t>
            </w:r>
            <w:r w:rsidR="001C6403">
              <w:rPr>
                <w:noProof/>
              </w:rPr>
              <w:t> </w:t>
            </w:r>
            <w:r w:rsidR="001C6403" w:rsidRPr="001357D3">
              <w:rPr>
                <w:noProof/>
              </w:rPr>
              <w:t>uni</w:t>
            </w:r>
            <w:r w:rsidRPr="001357D3">
              <w:rPr>
                <w:noProof/>
              </w:rPr>
              <w:t>jnymi ramami tożsamości cyfrowej, które umożliwiają bezpieczną identyfikację</w:t>
            </w:r>
            <w:r w:rsidR="001C6403" w:rsidRPr="001357D3">
              <w:rPr>
                <w:noProof/>
              </w:rPr>
              <w:t xml:space="preserve"> i</w:t>
            </w:r>
            <w:r w:rsidR="001C6403">
              <w:rPr>
                <w:noProof/>
              </w:rPr>
              <w:t> </w:t>
            </w:r>
            <w:r w:rsidR="001C6403" w:rsidRPr="001357D3">
              <w:rPr>
                <w:noProof/>
              </w:rPr>
              <w:t>sto</w:t>
            </w:r>
            <w:r w:rsidRPr="001357D3">
              <w:rPr>
                <w:noProof/>
              </w:rPr>
              <w:t>sowanie elektronicznych poświadczeń atrybutów do weryfikacji szczególnych cech lub kwalifikacji osób fizycznych, podmiotów gospodarczych</w:t>
            </w:r>
            <w:r w:rsidR="001C6403" w:rsidRPr="001357D3">
              <w:rPr>
                <w:noProof/>
              </w:rPr>
              <w:t xml:space="preserve"> i</w:t>
            </w:r>
            <w:r w:rsidR="001C6403">
              <w:rPr>
                <w:noProof/>
              </w:rPr>
              <w:t> </w:t>
            </w:r>
            <w:r w:rsidR="001C6403" w:rsidRPr="001357D3">
              <w:rPr>
                <w:noProof/>
              </w:rPr>
              <w:t>org</w:t>
            </w:r>
            <w:r w:rsidRPr="001357D3">
              <w:rPr>
                <w:noProof/>
              </w:rPr>
              <w:t>anizacji,</w:t>
            </w:r>
            <w:r w:rsidR="001C6403" w:rsidRPr="001357D3">
              <w:rPr>
                <w:noProof/>
              </w:rPr>
              <w:t xml:space="preserve"> w</w:t>
            </w:r>
            <w:r w:rsidR="001C6403">
              <w:rPr>
                <w:noProof/>
              </w:rPr>
              <w:t> </w:t>
            </w:r>
            <w:r w:rsidR="001C6403" w:rsidRPr="001357D3">
              <w:rPr>
                <w:noProof/>
              </w:rPr>
              <w:t>tym w</w:t>
            </w:r>
            <w:r w:rsidR="001C6403">
              <w:rPr>
                <w:noProof/>
              </w:rPr>
              <w:t> </w:t>
            </w:r>
            <w:r w:rsidR="001C6403" w:rsidRPr="001357D3">
              <w:rPr>
                <w:noProof/>
              </w:rPr>
              <w:t>kon</w:t>
            </w:r>
            <w:r w:rsidRPr="001357D3">
              <w:rPr>
                <w:noProof/>
              </w:rPr>
              <w:t>tekście wymiaru sprawiedliwości</w:t>
            </w:r>
            <w:r w:rsidR="001C6403" w:rsidRPr="001357D3">
              <w:rPr>
                <w:noProof/>
              </w:rPr>
              <w:t xml:space="preserve"> i</w:t>
            </w:r>
            <w:r w:rsidR="001C6403">
              <w:rPr>
                <w:noProof/>
              </w:rPr>
              <w:t> </w:t>
            </w:r>
            <w:r w:rsidR="001C6403" w:rsidRPr="001357D3">
              <w:rPr>
                <w:noProof/>
              </w:rPr>
              <w:t>pos</w:t>
            </w:r>
            <w:r w:rsidRPr="001357D3">
              <w:rPr>
                <w:noProof/>
              </w:rPr>
              <w:t>tępowań sądowych. Ponadto wniosek będzie zgodny</w:t>
            </w:r>
            <w:r w:rsidR="001C6403" w:rsidRPr="001357D3">
              <w:rPr>
                <w:noProof/>
              </w:rPr>
              <w:t xml:space="preserve"> z</w:t>
            </w:r>
            <w:r w:rsidR="001C6403">
              <w:rPr>
                <w:noProof/>
              </w:rPr>
              <w:t> </w:t>
            </w:r>
            <w:r w:rsidR="001C6403" w:rsidRPr="001357D3">
              <w:rPr>
                <w:noProof/>
              </w:rPr>
              <w:t>prz</w:t>
            </w:r>
            <w:r w:rsidRPr="001357D3">
              <w:rPr>
                <w:noProof/>
              </w:rPr>
              <w:t>yszłymi europejskimi portfelami biznesowymi, które dopuszczają dodatkowo wymianę poświadczeń</w:t>
            </w:r>
            <w:r w:rsidR="001C6403" w:rsidRPr="001357D3">
              <w:rPr>
                <w:noProof/>
              </w:rPr>
              <w:t xml:space="preserve"> w</w:t>
            </w:r>
            <w:r w:rsidR="001C6403">
              <w:rPr>
                <w:noProof/>
              </w:rPr>
              <w:t> </w:t>
            </w:r>
            <w:r w:rsidR="001C6403" w:rsidRPr="001357D3">
              <w:rPr>
                <w:noProof/>
              </w:rPr>
              <w:t>kon</w:t>
            </w:r>
            <w:r w:rsidRPr="001357D3">
              <w:rPr>
                <w:noProof/>
              </w:rPr>
              <w:t>tekstach zawodowych, takich jak transgraniczne postępowania sądowe, umożliwiając przedstawicielom zawodów prawniczych</w:t>
            </w:r>
            <w:r w:rsidR="001C6403" w:rsidRPr="001357D3">
              <w:rPr>
                <w:noProof/>
              </w:rPr>
              <w:t xml:space="preserve"> i</w:t>
            </w:r>
            <w:r w:rsidR="001C6403">
              <w:rPr>
                <w:noProof/>
              </w:rPr>
              <w:t> </w:t>
            </w:r>
            <w:r w:rsidR="001C6403" w:rsidRPr="001357D3">
              <w:rPr>
                <w:noProof/>
              </w:rPr>
              <w:t>prz</w:t>
            </w:r>
            <w:r w:rsidRPr="001357D3">
              <w:rPr>
                <w:noProof/>
              </w:rPr>
              <w:t>edsiębiorstwom bezpieczną</w:t>
            </w:r>
            <w:r w:rsidR="001C6403" w:rsidRPr="001357D3">
              <w:rPr>
                <w:noProof/>
              </w:rPr>
              <w:t xml:space="preserve"> i</w:t>
            </w:r>
            <w:r w:rsidR="001C6403">
              <w:rPr>
                <w:noProof/>
              </w:rPr>
              <w:t> </w:t>
            </w:r>
            <w:r w:rsidR="001C6403" w:rsidRPr="001357D3">
              <w:rPr>
                <w:noProof/>
              </w:rPr>
              <w:t>sku</w:t>
            </w:r>
            <w:r w:rsidRPr="001357D3">
              <w:rPr>
                <w:noProof/>
              </w:rPr>
              <w:t>teczną wymianę zweryfikowanych informacji</w:t>
            </w:r>
            <w:r w:rsidR="001C6403" w:rsidRPr="001357D3">
              <w:rPr>
                <w:noProof/>
              </w:rPr>
              <w:t xml:space="preserve"> z</w:t>
            </w:r>
            <w:r w:rsidR="001C6403">
              <w:rPr>
                <w:noProof/>
              </w:rPr>
              <w:t> </w:t>
            </w:r>
            <w:r w:rsidR="001C6403" w:rsidRPr="001357D3">
              <w:rPr>
                <w:noProof/>
              </w:rPr>
              <w:t>sąd</w:t>
            </w:r>
            <w:r w:rsidRPr="001357D3">
              <w:rPr>
                <w:noProof/>
              </w:rPr>
              <w:t>ami, administracjami publicznymi</w:t>
            </w:r>
            <w:r w:rsidR="001C6403" w:rsidRPr="001357D3">
              <w:rPr>
                <w:noProof/>
              </w:rPr>
              <w:t xml:space="preserve"> i</w:t>
            </w:r>
            <w:r w:rsidR="001C6403">
              <w:rPr>
                <w:noProof/>
              </w:rPr>
              <w:t> </w:t>
            </w:r>
            <w:r w:rsidR="001C6403" w:rsidRPr="001357D3">
              <w:rPr>
                <w:noProof/>
              </w:rPr>
              <w:t>inn</w:t>
            </w:r>
            <w:r w:rsidRPr="001357D3">
              <w:rPr>
                <w:noProof/>
              </w:rPr>
              <w:t>ymi partnerami, co zmniejsza obciążenia administracyjne</w:t>
            </w:r>
            <w:r w:rsidR="001C6403" w:rsidRPr="001357D3">
              <w:rPr>
                <w:noProof/>
              </w:rPr>
              <w:t xml:space="preserve"> i</w:t>
            </w:r>
            <w:r w:rsidR="001C6403">
              <w:rPr>
                <w:noProof/>
              </w:rPr>
              <w:t> </w:t>
            </w:r>
            <w:r w:rsidR="001C6403" w:rsidRPr="001357D3">
              <w:rPr>
                <w:noProof/>
              </w:rPr>
              <w:t>zwi</w:t>
            </w:r>
            <w:r w:rsidRPr="001357D3">
              <w:rPr>
                <w:noProof/>
              </w:rPr>
              <w:t>ększa zaufanie do cyfrowych systemów wymiaru sprawiedliwości.</w:t>
            </w:r>
          </w:p>
          <w:p w14:paraId="2C8546DE" w14:textId="77777777" w:rsidR="009C2453" w:rsidRPr="001357D3" w:rsidRDefault="009C2453" w:rsidP="00546451">
            <w:pPr>
              <w:rPr>
                <w:noProof/>
                <w:szCs w:val="24"/>
              </w:rPr>
            </w:pPr>
          </w:p>
          <w:p w14:paraId="7E24BCF7" w14:textId="4A57C06A" w:rsidR="00546451" w:rsidRPr="001357D3" w:rsidRDefault="00546451" w:rsidP="00546451">
            <w:pPr>
              <w:rPr>
                <w:b/>
                <w:bCs/>
                <w:i/>
                <w:iCs/>
                <w:noProof/>
                <w:szCs w:val="24"/>
              </w:rPr>
            </w:pPr>
            <w:r w:rsidRPr="001357D3">
              <w:rPr>
                <w:b/>
                <w:i/>
                <w:noProof/>
              </w:rPr>
              <w:t>Powiązanie</w:t>
            </w:r>
            <w:r w:rsidR="001C6403" w:rsidRPr="001357D3">
              <w:rPr>
                <w:b/>
                <w:i/>
                <w:noProof/>
              </w:rPr>
              <w:t xml:space="preserve"> z</w:t>
            </w:r>
            <w:r w:rsidR="001C6403">
              <w:rPr>
                <w:b/>
                <w:i/>
                <w:noProof/>
              </w:rPr>
              <w:t> </w:t>
            </w:r>
            <w:r w:rsidR="001C6403" w:rsidRPr="001357D3">
              <w:rPr>
                <w:b/>
                <w:i/>
                <w:noProof/>
              </w:rPr>
              <w:t>zas</w:t>
            </w:r>
            <w:r w:rsidRPr="001357D3">
              <w:rPr>
                <w:b/>
                <w:i/>
                <w:noProof/>
              </w:rPr>
              <w:t>adą jednorazowości</w:t>
            </w:r>
          </w:p>
          <w:p w14:paraId="62723BED" w14:textId="18FAEF9C" w:rsidR="00546451" w:rsidRPr="001357D3" w:rsidRDefault="00546451" w:rsidP="00546451">
            <w:pPr>
              <w:rPr>
                <w:noProof/>
              </w:rPr>
            </w:pPr>
            <w:r w:rsidRPr="001357D3">
              <w:rPr>
                <w:noProof/>
              </w:rPr>
              <w:t>Ustanowione tablice wskaźników są źródłem identyfikowalności</w:t>
            </w:r>
            <w:r w:rsidR="001C6403" w:rsidRPr="001357D3">
              <w:rPr>
                <w:noProof/>
              </w:rPr>
              <w:t xml:space="preserve"> i</w:t>
            </w:r>
            <w:r w:rsidR="001C6403">
              <w:rPr>
                <w:noProof/>
              </w:rPr>
              <w:t> </w:t>
            </w:r>
            <w:r w:rsidR="001C6403" w:rsidRPr="001357D3">
              <w:rPr>
                <w:noProof/>
              </w:rPr>
              <w:t>moż</w:t>
            </w:r>
            <w:r w:rsidRPr="001357D3">
              <w:rPr>
                <w:noProof/>
              </w:rPr>
              <w:t>liwości ponownego wykorzystania danych dostępnych</w:t>
            </w:r>
            <w:r w:rsidR="001C6403" w:rsidRPr="001357D3">
              <w:rPr>
                <w:noProof/>
              </w:rPr>
              <w:t xml:space="preserve"> w</w:t>
            </w:r>
            <w:r w:rsidR="001C6403">
              <w:rPr>
                <w:noProof/>
              </w:rPr>
              <w:t> </w:t>
            </w:r>
            <w:r w:rsidR="001C6403" w:rsidRPr="001357D3">
              <w:rPr>
                <w:noProof/>
              </w:rPr>
              <w:t>ram</w:t>
            </w:r>
            <w:r w:rsidRPr="001357D3">
              <w:rPr>
                <w:noProof/>
              </w:rPr>
              <w:t>ach realizacji Programu. Dane te pochodzą</w:t>
            </w:r>
            <w:r w:rsidR="001C6403" w:rsidRPr="001357D3">
              <w:rPr>
                <w:noProof/>
              </w:rPr>
              <w:t xml:space="preserve"> z</w:t>
            </w:r>
            <w:r w:rsidR="001C6403">
              <w:rPr>
                <w:noProof/>
              </w:rPr>
              <w:t> </w:t>
            </w:r>
            <w:r w:rsidR="001C6403" w:rsidRPr="001357D3">
              <w:rPr>
                <w:noProof/>
              </w:rPr>
              <w:t>nar</w:t>
            </w:r>
            <w:r w:rsidRPr="001357D3">
              <w:rPr>
                <w:noProof/>
              </w:rPr>
              <w:t>zędzi/dokumentów dotyczących cyklu życia projektu (np. formularzy wniosków, sprawozdań końcowych, ankiet dla uczestników). Zapewniona zostanie identyfikowalność</w:t>
            </w:r>
            <w:r w:rsidR="001C6403" w:rsidRPr="001357D3">
              <w:rPr>
                <w:noProof/>
              </w:rPr>
              <w:t xml:space="preserve"> i</w:t>
            </w:r>
            <w:r w:rsidR="001C6403">
              <w:rPr>
                <w:noProof/>
              </w:rPr>
              <w:t> </w:t>
            </w:r>
            <w:r w:rsidR="001C6403" w:rsidRPr="001357D3">
              <w:rPr>
                <w:noProof/>
              </w:rPr>
              <w:t>moż</w:t>
            </w:r>
            <w:r w:rsidRPr="001357D3">
              <w:rPr>
                <w:noProof/>
              </w:rPr>
              <w:t>liwość ponownego wykorzystania danych dostępnych</w:t>
            </w:r>
            <w:r w:rsidR="001C6403" w:rsidRPr="001357D3">
              <w:rPr>
                <w:noProof/>
              </w:rPr>
              <w:t xml:space="preserve"> w</w:t>
            </w:r>
            <w:r w:rsidR="001C6403">
              <w:rPr>
                <w:noProof/>
              </w:rPr>
              <w:t> </w:t>
            </w:r>
            <w:r w:rsidR="001C6403" w:rsidRPr="001357D3">
              <w:rPr>
                <w:noProof/>
              </w:rPr>
              <w:t>ram</w:t>
            </w:r>
            <w:r w:rsidRPr="001357D3">
              <w:rPr>
                <w:noProof/>
              </w:rPr>
              <w:t>ach realizacji Programu. Dane będą rejestrowane za pośrednictwem dokumentów dotyczących cyklu życia projektu</w:t>
            </w:r>
            <w:r w:rsidR="001C6403" w:rsidRPr="001357D3">
              <w:rPr>
                <w:noProof/>
              </w:rPr>
              <w:t xml:space="preserve"> i</w:t>
            </w:r>
            <w:r w:rsidR="001C6403">
              <w:rPr>
                <w:noProof/>
              </w:rPr>
              <w:t> </w:t>
            </w:r>
            <w:r w:rsidR="001C6403" w:rsidRPr="001357D3">
              <w:rPr>
                <w:noProof/>
              </w:rPr>
              <w:t>udo</w:t>
            </w:r>
            <w:r w:rsidRPr="001357D3">
              <w:rPr>
                <w:noProof/>
              </w:rPr>
              <w:t>stępniane, zgodnie</w:t>
            </w:r>
            <w:r w:rsidR="001C6403" w:rsidRPr="001357D3">
              <w:rPr>
                <w:noProof/>
              </w:rPr>
              <w:t xml:space="preserve"> z</w:t>
            </w:r>
            <w:r w:rsidR="001C6403">
              <w:rPr>
                <w:noProof/>
              </w:rPr>
              <w:t> </w:t>
            </w:r>
            <w:r w:rsidR="001C6403" w:rsidRPr="001357D3">
              <w:rPr>
                <w:noProof/>
              </w:rPr>
              <w:t>prz</w:t>
            </w:r>
            <w:r w:rsidRPr="001357D3">
              <w:rPr>
                <w:noProof/>
              </w:rPr>
              <w:t>episami rozporządzenia Parlamentu Europejskiego</w:t>
            </w:r>
            <w:r w:rsidR="001C6403" w:rsidRPr="001357D3">
              <w:rPr>
                <w:noProof/>
              </w:rPr>
              <w:t xml:space="preserve"> i</w:t>
            </w:r>
            <w:r w:rsidR="001C6403">
              <w:rPr>
                <w:noProof/>
              </w:rPr>
              <w:t> </w:t>
            </w:r>
            <w:r w:rsidR="001C6403" w:rsidRPr="001357D3">
              <w:rPr>
                <w:noProof/>
              </w:rPr>
              <w:t>Rad</w:t>
            </w:r>
            <w:r w:rsidRPr="001357D3">
              <w:rPr>
                <w:noProof/>
              </w:rPr>
              <w:t>y (UE) XXX [rozporządzenie</w:t>
            </w:r>
            <w:r w:rsidR="001C6403" w:rsidRPr="001357D3">
              <w:rPr>
                <w:noProof/>
              </w:rPr>
              <w:t xml:space="preserve"> w</w:t>
            </w:r>
            <w:r w:rsidR="001C6403">
              <w:rPr>
                <w:noProof/>
              </w:rPr>
              <w:t> </w:t>
            </w:r>
            <w:r w:rsidR="001C6403" w:rsidRPr="001357D3">
              <w:rPr>
                <w:noProof/>
              </w:rPr>
              <w:t>spr</w:t>
            </w:r>
            <w:r w:rsidRPr="001357D3">
              <w:rPr>
                <w:noProof/>
              </w:rPr>
              <w:t>awie wykonania] dotyczącymi przejrzystości informacji na temat wyników</w:t>
            </w:r>
            <w:r w:rsidR="001C6403" w:rsidRPr="001357D3">
              <w:rPr>
                <w:noProof/>
              </w:rPr>
              <w:t xml:space="preserve"> i</w:t>
            </w:r>
            <w:r w:rsidR="001C6403">
              <w:rPr>
                <w:noProof/>
              </w:rPr>
              <w:t> </w:t>
            </w:r>
            <w:r w:rsidR="001C6403" w:rsidRPr="001357D3">
              <w:rPr>
                <w:noProof/>
              </w:rPr>
              <w:t>osi</w:t>
            </w:r>
            <w:r w:rsidRPr="001357D3">
              <w:rPr>
                <w:noProof/>
              </w:rPr>
              <w:t>ągnięć programów za pośrednictwem Centralnego Portalu.</w:t>
            </w:r>
          </w:p>
          <w:p w14:paraId="5371D806" w14:textId="77777777" w:rsidR="00546451" w:rsidRPr="001357D3" w:rsidRDefault="00546451" w:rsidP="00546451">
            <w:pPr>
              <w:rPr>
                <w:b/>
                <w:bCs/>
                <w:i/>
                <w:iCs/>
                <w:noProof/>
                <w:szCs w:val="24"/>
              </w:rPr>
            </w:pPr>
            <w:r w:rsidRPr="001357D3">
              <w:rPr>
                <w:b/>
                <w:i/>
                <w:noProof/>
              </w:rPr>
              <w:t>Przepływ danych</w:t>
            </w:r>
          </w:p>
          <w:tbl>
            <w:tblPr>
              <w:tblStyle w:val="TableGrid2"/>
              <w:tblW w:w="0" w:type="auto"/>
              <w:tblLook w:val="06A0" w:firstRow="1" w:lastRow="0" w:firstColumn="1" w:lastColumn="0" w:noHBand="1" w:noVBand="1"/>
            </w:tblPr>
            <w:tblGrid>
              <w:gridCol w:w="1468"/>
              <w:gridCol w:w="1479"/>
              <w:gridCol w:w="1370"/>
              <w:gridCol w:w="1349"/>
              <w:gridCol w:w="1632"/>
              <w:gridCol w:w="1539"/>
            </w:tblGrid>
            <w:tr w:rsidR="00D31917" w:rsidRPr="001357D3" w14:paraId="0BDD4F7A" w14:textId="77777777">
              <w:trPr>
                <w:trHeight w:val="300"/>
              </w:trPr>
              <w:tc>
                <w:tcPr>
                  <w:tcW w:w="1475" w:type="dxa"/>
                </w:tcPr>
                <w:p w14:paraId="517951B8" w14:textId="77777777" w:rsidR="00546451" w:rsidRPr="001357D3" w:rsidRDefault="00546451" w:rsidP="00546451">
                  <w:pPr>
                    <w:rPr>
                      <w:b/>
                      <w:bCs/>
                      <w:noProof/>
                      <w:szCs w:val="24"/>
                    </w:rPr>
                  </w:pPr>
                  <w:r w:rsidRPr="001357D3">
                    <w:rPr>
                      <w:b/>
                      <w:noProof/>
                    </w:rPr>
                    <w:t>Rodzaj danych</w:t>
                  </w:r>
                </w:p>
              </w:tc>
              <w:tc>
                <w:tcPr>
                  <w:tcW w:w="1475" w:type="dxa"/>
                </w:tcPr>
                <w:p w14:paraId="3640DD21" w14:textId="77777777" w:rsidR="00546451" w:rsidRPr="001357D3" w:rsidRDefault="00546451" w:rsidP="00546451">
                  <w:pPr>
                    <w:rPr>
                      <w:b/>
                      <w:bCs/>
                      <w:noProof/>
                      <w:szCs w:val="24"/>
                    </w:rPr>
                  </w:pPr>
                  <w:r w:rsidRPr="001357D3">
                    <w:rPr>
                      <w:b/>
                      <w:noProof/>
                    </w:rPr>
                    <w:t>Odniesienia do wymogów</w:t>
                  </w:r>
                </w:p>
              </w:tc>
              <w:tc>
                <w:tcPr>
                  <w:tcW w:w="1605" w:type="dxa"/>
                </w:tcPr>
                <w:p w14:paraId="71701A4B" w14:textId="77777777" w:rsidR="00546451" w:rsidRPr="001357D3" w:rsidRDefault="00546451" w:rsidP="00546451">
                  <w:pPr>
                    <w:rPr>
                      <w:b/>
                      <w:bCs/>
                      <w:noProof/>
                      <w:szCs w:val="24"/>
                    </w:rPr>
                  </w:pPr>
                  <w:r w:rsidRPr="001357D3">
                    <w:rPr>
                      <w:b/>
                      <w:noProof/>
                    </w:rPr>
                    <w:t>Podmiot dostarczający dane</w:t>
                  </w:r>
                </w:p>
              </w:tc>
              <w:tc>
                <w:tcPr>
                  <w:tcW w:w="1345" w:type="dxa"/>
                </w:tcPr>
                <w:p w14:paraId="74ADB13E" w14:textId="77777777" w:rsidR="00546451" w:rsidRPr="001357D3" w:rsidRDefault="00546451" w:rsidP="00546451">
                  <w:pPr>
                    <w:rPr>
                      <w:b/>
                      <w:bCs/>
                      <w:noProof/>
                      <w:szCs w:val="24"/>
                    </w:rPr>
                  </w:pPr>
                  <w:r w:rsidRPr="001357D3">
                    <w:rPr>
                      <w:b/>
                      <w:noProof/>
                    </w:rPr>
                    <w:t>Podmiot otrzymujący dane</w:t>
                  </w:r>
                </w:p>
              </w:tc>
              <w:tc>
                <w:tcPr>
                  <w:tcW w:w="1475" w:type="dxa"/>
                </w:tcPr>
                <w:p w14:paraId="46759D6C" w14:textId="77777777" w:rsidR="00546451" w:rsidRPr="001357D3" w:rsidRDefault="00546451" w:rsidP="00546451">
                  <w:pPr>
                    <w:rPr>
                      <w:b/>
                      <w:bCs/>
                      <w:noProof/>
                      <w:szCs w:val="24"/>
                    </w:rPr>
                  </w:pPr>
                  <w:r w:rsidRPr="001357D3">
                    <w:rPr>
                      <w:b/>
                      <w:noProof/>
                    </w:rPr>
                    <w:t>Czynnik uruchamiający wymianę danych</w:t>
                  </w:r>
                </w:p>
              </w:tc>
              <w:tc>
                <w:tcPr>
                  <w:tcW w:w="1475" w:type="dxa"/>
                </w:tcPr>
                <w:p w14:paraId="2925027D" w14:textId="77777777" w:rsidR="00546451" w:rsidRPr="001357D3" w:rsidRDefault="00546451" w:rsidP="00546451">
                  <w:pPr>
                    <w:rPr>
                      <w:b/>
                      <w:bCs/>
                      <w:noProof/>
                      <w:szCs w:val="24"/>
                    </w:rPr>
                  </w:pPr>
                  <w:r w:rsidRPr="001357D3">
                    <w:rPr>
                      <w:b/>
                      <w:noProof/>
                    </w:rPr>
                    <w:t>Częstotliwość (jeżeli dotyczy)</w:t>
                  </w:r>
                </w:p>
              </w:tc>
            </w:tr>
            <w:tr w:rsidR="00D31917" w:rsidRPr="001357D3" w14:paraId="16DD6E7A" w14:textId="77777777">
              <w:trPr>
                <w:trHeight w:val="300"/>
              </w:trPr>
              <w:tc>
                <w:tcPr>
                  <w:tcW w:w="1475" w:type="dxa"/>
                </w:tcPr>
                <w:p w14:paraId="443EBB89" w14:textId="0B9079D6" w:rsidR="00546451" w:rsidRPr="001357D3" w:rsidRDefault="00546451" w:rsidP="00546451">
                  <w:pPr>
                    <w:rPr>
                      <w:noProof/>
                    </w:rPr>
                  </w:pPr>
                  <w:r w:rsidRPr="001357D3">
                    <w:rPr>
                      <w:noProof/>
                    </w:rPr>
                    <w:t>Państwa, organizacje, budżet, uczestnicy</w:t>
                  </w:r>
                  <w:r w:rsidR="001C6403" w:rsidRPr="001357D3">
                    <w:rPr>
                      <w:noProof/>
                    </w:rPr>
                    <w:t xml:space="preserve"> </w:t>
                  </w:r>
                  <w:r w:rsidR="001C6403" w:rsidRPr="001357D3">
                    <w:rPr>
                      <w:noProof/>
                    </w:rPr>
                    <w:lastRenderedPageBreak/>
                    <w:t>i</w:t>
                  </w:r>
                  <w:r w:rsidR="001C6403">
                    <w:rPr>
                      <w:noProof/>
                    </w:rPr>
                    <w:t> </w:t>
                  </w:r>
                  <w:r w:rsidR="001C6403" w:rsidRPr="001357D3">
                    <w:rPr>
                      <w:noProof/>
                    </w:rPr>
                    <w:t>pri</w:t>
                  </w:r>
                  <w:r w:rsidRPr="001357D3">
                    <w:rPr>
                      <w:noProof/>
                    </w:rPr>
                    <w:t>orytety dotyczące poszczególnych projektów</w:t>
                  </w:r>
                </w:p>
              </w:tc>
              <w:tc>
                <w:tcPr>
                  <w:tcW w:w="1475" w:type="dxa"/>
                </w:tcPr>
                <w:p w14:paraId="35AD43CC" w14:textId="038E295F" w:rsidR="00546451" w:rsidRPr="001357D3" w:rsidRDefault="00546451" w:rsidP="00546451">
                  <w:pPr>
                    <w:rPr>
                      <w:noProof/>
                    </w:rPr>
                  </w:pPr>
                  <w:r w:rsidRPr="001357D3">
                    <w:rPr>
                      <w:noProof/>
                    </w:rPr>
                    <w:lastRenderedPageBreak/>
                    <w:t>Art. 4, art. 3 ust. 1</w:t>
                  </w:r>
                  <w:r w:rsidR="001C6403" w:rsidRPr="001357D3">
                    <w:rPr>
                      <w:noProof/>
                    </w:rPr>
                    <w:t xml:space="preserve"> i</w:t>
                  </w:r>
                  <w:r w:rsidR="001C6403">
                    <w:rPr>
                      <w:noProof/>
                    </w:rPr>
                    <w:t> </w:t>
                  </w:r>
                  <w:r w:rsidR="001C6403" w:rsidRPr="001357D3">
                    <w:rPr>
                      <w:noProof/>
                    </w:rPr>
                    <w:t>art</w:t>
                  </w:r>
                  <w:r w:rsidRPr="001357D3">
                    <w:rPr>
                      <w:noProof/>
                    </w:rPr>
                    <w:t>. 3 ust. 2 lit. b) i c)</w:t>
                  </w:r>
                </w:p>
                <w:p w14:paraId="76C7480D" w14:textId="29718F7A" w:rsidR="00546451" w:rsidRPr="001357D3" w:rsidRDefault="00546451" w:rsidP="00443036">
                  <w:pPr>
                    <w:jc w:val="left"/>
                    <w:rPr>
                      <w:noProof/>
                    </w:rPr>
                  </w:pPr>
                  <w:r w:rsidRPr="001357D3">
                    <w:rPr>
                      <w:noProof/>
                    </w:rPr>
                    <w:lastRenderedPageBreak/>
                    <w:t>Rozporządzenie (UE) XXX [rozporządzenie</w:t>
                  </w:r>
                  <w:r w:rsidR="001C6403" w:rsidRPr="001357D3">
                    <w:rPr>
                      <w:noProof/>
                    </w:rPr>
                    <w:t xml:space="preserve"> w</w:t>
                  </w:r>
                  <w:r w:rsidR="001C6403">
                    <w:rPr>
                      <w:noProof/>
                    </w:rPr>
                    <w:t> </w:t>
                  </w:r>
                  <w:r w:rsidR="001C6403" w:rsidRPr="001357D3">
                    <w:rPr>
                      <w:noProof/>
                    </w:rPr>
                    <w:t>spr</w:t>
                  </w:r>
                  <w:r w:rsidRPr="001357D3">
                    <w:rPr>
                      <w:noProof/>
                    </w:rPr>
                    <w:t>awie wykonania]</w:t>
                  </w:r>
                </w:p>
              </w:tc>
              <w:tc>
                <w:tcPr>
                  <w:tcW w:w="1605" w:type="dxa"/>
                </w:tcPr>
                <w:p w14:paraId="56241BF9" w14:textId="77777777" w:rsidR="00546451" w:rsidRPr="001357D3" w:rsidRDefault="00546451" w:rsidP="00546451">
                  <w:pPr>
                    <w:rPr>
                      <w:noProof/>
                    </w:rPr>
                  </w:pPr>
                  <w:r w:rsidRPr="001357D3">
                    <w:rPr>
                      <w:noProof/>
                    </w:rPr>
                    <w:lastRenderedPageBreak/>
                    <w:t>Beneficjenci</w:t>
                  </w:r>
                </w:p>
              </w:tc>
              <w:tc>
                <w:tcPr>
                  <w:tcW w:w="1345" w:type="dxa"/>
                </w:tcPr>
                <w:p w14:paraId="42520609" w14:textId="77777777" w:rsidR="00546451" w:rsidRPr="001357D3" w:rsidRDefault="00546451" w:rsidP="00546451">
                  <w:pPr>
                    <w:rPr>
                      <w:noProof/>
                    </w:rPr>
                  </w:pPr>
                  <w:r w:rsidRPr="001357D3">
                    <w:rPr>
                      <w:noProof/>
                    </w:rPr>
                    <w:t xml:space="preserve">Ogół społeczeństwa Komisja Parlament </w:t>
                  </w:r>
                  <w:r w:rsidRPr="001357D3">
                    <w:rPr>
                      <w:noProof/>
                    </w:rPr>
                    <w:lastRenderedPageBreak/>
                    <w:t>Europejski Rada Unii Europejskiej</w:t>
                  </w:r>
                </w:p>
              </w:tc>
              <w:tc>
                <w:tcPr>
                  <w:tcW w:w="1475" w:type="dxa"/>
                </w:tcPr>
                <w:p w14:paraId="5FBE544B" w14:textId="4C034BAA" w:rsidR="00546451" w:rsidRPr="001357D3" w:rsidRDefault="00443036" w:rsidP="00546451">
                  <w:pPr>
                    <w:rPr>
                      <w:noProof/>
                    </w:rPr>
                  </w:pPr>
                  <w:r w:rsidRPr="001357D3">
                    <w:rPr>
                      <w:noProof/>
                    </w:rPr>
                    <w:lastRenderedPageBreak/>
                    <w:t>Rozporządzenie (UE) XXX [rozporządzenie</w:t>
                  </w:r>
                  <w:r w:rsidR="001C6403" w:rsidRPr="001357D3">
                    <w:rPr>
                      <w:noProof/>
                    </w:rPr>
                    <w:t xml:space="preserve"> w</w:t>
                  </w:r>
                  <w:r w:rsidR="001C6403">
                    <w:rPr>
                      <w:noProof/>
                    </w:rPr>
                    <w:t> </w:t>
                  </w:r>
                  <w:r w:rsidR="001C6403" w:rsidRPr="001357D3">
                    <w:rPr>
                      <w:noProof/>
                    </w:rPr>
                    <w:t>spr</w:t>
                  </w:r>
                  <w:r w:rsidRPr="001357D3">
                    <w:rPr>
                      <w:noProof/>
                    </w:rPr>
                    <w:t xml:space="preserve">awie </w:t>
                  </w:r>
                  <w:r w:rsidRPr="001357D3">
                    <w:rPr>
                      <w:noProof/>
                    </w:rPr>
                    <w:lastRenderedPageBreak/>
                    <w:t>wykonania]: art. XXX (monitorowanie)</w:t>
                  </w:r>
                  <w:r w:rsidR="001C6403" w:rsidRPr="001357D3">
                    <w:rPr>
                      <w:noProof/>
                    </w:rPr>
                    <w:t xml:space="preserve"> i</w:t>
                  </w:r>
                  <w:r w:rsidR="001C6403">
                    <w:rPr>
                      <w:noProof/>
                    </w:rPr>
                    <w:t> </w:t>
                  </w:r>
                  <w:r w:rsidR="001C6403" w:rsidRPr="001357D3">
                    <w:rPr>
                      <w:noProof/>
                    </w:rPr>
                    <w:t>art</w:t>
                  </w:r>
                  <w:r w:rsidRPr="001357D3">
                    <w:rPr>
                      <w:noProof/>
                    </w:rPr>
                    <w:t>. XXX (sprawozdanie</w:t>
                  </w:r>
                  <w:r w:rsidR="001C6403" w:rsidRPr="001357D3">
                    <w:rPr>
                      <w:noProof/>
                    </w:rPr>
                    <w:t xml:space="preserve"> z</w:t>
                  </w:r>
                  <w:r w:rsidR="001C6403">
                    <w:rPr>
                      <w:noProof/>
                    </w:rPr>
                    <w:t> </w:t>
                  </w:r>
                  <w:r w:rsidR="001C6403" w:rsidRPr="001357D3">
                    <w:rPr>
                      <w:noProof/>
                    </w:rPr>
                    <w:t>wyk</w:t>
                  </w:r>
                  <w:r w:rsidRPr="001357D3">
                    <w:rPr>
                      <w:noProof/>
                    </w:rPr>
                    <w:t>onania</w:t>
                  </w:r>
                  <w:r w:rsidR="001C6403" w:rsidRPr="001357D3">
                    <w:rPr>
                      <w:noProof/>
                    </w:rPr>
                    <w:t xml:space="preserve"> i</w:t>
                  </w:r>
                  <w:r w:rsidR="001C6403">
                    <w:rPr>
                      <w:noProof/>
                    </w:rPr>
                    <w:t> </w:t>
                  </w:r>
                  <w:r w:rsidR="001C6403" w:rsidRPr="001357D3">
                    <w:rPr>
                      <w:noProof/>
                    </w:rPr>
                    <w:t>oce</w:t>
                  </w:r>
                  <w:r w:rsidRPr="001357D3">
                    <w:rPr>
                      <w:noProof/>
                    </w:rPr>
                    <w:t>ny retrospektywne).</w:t>
                  </w:r>
                </w:p>
                <w:p w14:paraId="23B4B6F6" w14:textId="36696B05" w:rsidR="00546451" w:rsidRPr="001357D3" w:rsidRDefault="00546451" w:rsidP="00546451">
                  <w:pPr>
                    <w:rPr>
                      <w:noProof/>
                    </w:rPr>
                  </w:pPr>
                  <w:r w:rsidRPr="001357D3">
                    <w:rPr>
                      <w:noProof/>
                    </w:rPr>
                    <w:t>Regularna sprawozdawczość</w:t>
                  </w:r>
                  <w:r w:rsidR="001C6403" w:rsidRPr="001357D3">
                    <w:rPr>
                      <w:noProof/>
                    </w:rPr>
                    <w:t xml:space="preserve"> z</w:t>
                  </w:r>
                  <w:r w:rsidR="001C6403">
                    <w:rPr>
                      <w:noProof/>
                    </w:rPr>
                    <w:t> </w:t>
                  </w:r>
                  <w:r w:rsidR="001C6403" w:rsidRPr="001357D3">
                    <w:rPr>
                      <w:noProof/>
                    </w:rPr>
                    <w:t>pro</w:t>
                  </w:r>
                  <w:r w:rsidRPr="001357D3">
                    <w:rPr>
                      <w:noProof/>
                    </w:rPr>
                    <w:t>gramu</w:t>
                  </w:r>
                </w:p>
              </w:tc>
              <w:tc>
                <w:tcPr>
                  <w:tcW w:w="1475" w:type="dxa"/>
                </w:tcPr>
                <w:p w14:paraId="66DBBC8E" w14:textId="6C3529DF" w:rsidR="00546451" w:rsidRPr="001357D3" w:rsidRDefault="00443036" w:rsidP="00546451">
                  <w:pPr>
                    <w:rPr>
                      <w:noProof/>
                    </w:rPr>
                  </w:pPr>
                  <w:r w:rsidRPr="001357D3">
                    <w:rPr>
                      <w:noProof/>
                    </w:rPr>
                    <w:lastRenderedPageBreak/>
                    <w:t>Rozporządzenie (UE) XXX [rozporządze</w:t>
                  </w:r>
                  <w:r w:rsidRPr="001357D3">
                    <w:rPr>
                      <w:noProof/>
                    </w:rPr>
                    <w:lastRenderedPageBreak/>
                    <w:t>nie</w:t>
                  </w:r>
                  <w:r w:rsidR="001C6403" w:rsidRPr="001357D3">
                    <w:rPr>
                      <w:noProof/>
                    </w:rPr>
                    <w:t xml:space="preserve"> w</w:t>
                  </w:r>
                  <w:r w:rsidR="001C6403">
                    <w:rPr>
                      <w:noProof/>
                    </w:rPr>
                    <w:t> </w:t>
                  </w:r>
                  <w:r w:rsidR="001C6403" w:rsidRPr="001357D3">
                    <w:rPr>
                      <w:noProof/>
                    </w:rPr>
                    <w:t>spr</w:t>
                  </w:r>
                  <w:r w:rsidRPr="001357D3">
                    <w:rPr>
                      <w:noProof/>
                    </w:rPr>
                    <w:t>awie wykonania]: art. XXX (monitorowanie)</w:t>
                  </w:r>
                  <w:r w:rsidR="001C6403" w:rsidRPr="001357D3">
                    <w:rPr>
                      <w:noProof/>
                    </w:rPr>
                    <w:t xml:space="preserve"> i</w:t>
                  </w:r>
                  <w:r w:rsidR="001C6403">
                    <w:rPr>
                      <w:noProof/>
                    </w:rPr>
                    <w:t> </w:t>
                  </w:r>
                  <w:r w:rsidR="001C6403" w:rsidRPr="001357D3">
                    <w:rPr>
                      <w:noProof/>
                    </w:rPr>
                    <w:t>art</w:t>
                  </w:r>
                  <w:r w:rsidRPr="001357D3">
                    <w:rPr>
                      <w:noProof/>
                    </w:rPr>
                    <w:t>. XXX (sprawozdanie</w:t>
                  </w:r>
                  <w:r w:rsidR="001C6403" w:rsidRPr="001357D3">
                    <w:rPr>
                      <w:noProof/>
                    </w:rPr>
                    <w:t xml:space="preserve"> z</w:t>
                  </w:r>
                  <w:r w:rsidR="001C6403">
                    <w:rPr>
                      <w:noProof/>
                    </w:rPr>
                    <w:t> </w:t>
                  </w:r>
                  <w:r w:rsidR="001C6403" w:rsidRPr="001357D3">
                    <w:rPr>
                      <w:noProof/>
                    </w:rPr>
                    <w:t>wyk</w:t>
                  </w:r>
                  <w:r w:rsidRPr="001357D3">
                    <w:rPr>
                      <w:noProof/>
                    </w:rPr>
                    <w:t>onania</w:t>
                  </w:r>
                  <w:r w:rsidR="001C6403" w:rsidRPr="001357D3">
                    <w:rPr>
                      <w:noProof/>
                    </w:rPr>
                    <w:t xml:space="preserve"> i</w:t>
                  </w:r>
                  <w:r w:rsidR="001C6403">
                    <w:rPr>
                      <w:noProof/>
                    </w:rPr>
                    <w:t> </w:t>
                  </w:r>
                  <w:r w:rsidR="001C6403" w:rsidRPr="001357D3">
                    <w:rPr>
                      <w:noProof/>
                    </w:rPr>
                    <w:t>oce</w:t>
                  </w:r>
                  <w:r w:rsidRPr="001357D3">
                    <w:rPr>
                      <w:noProof/>
                    </w:rPr>
                    <w:t>ny retrospektywne).</w:t>
                  </w:r>
                </w:p>
              </w:tc>
            </w:tr>
          </w:tbl>
          <w:p w14:paraId="47E3FE75" w14:textId="658247E9" w:rsidR="00546451" w:rsidRPr="001357D3" w:rsidRDefault="00546451" w:rsidP="00546451">
            <w:pPr>
              <w:rPr>
                <w:noProof/>
                <w:szCs w:val="24"/>
              </w:rPr>
            </w:pPr>
            <w:r w:rsidRPr="001357D3">
              <w:rPr>
                <w:b/>
                <w:noProof/>
              </w:rPr>
              <w:lastRenderedPageBreak/>
              <w:t>Uwaga ogólna:</w:t>
            </w:r>
          </w:p>
          <w:p w14:paraId="10A5BAEE" w14:textId="41997BF5" w:rsidR="00546451" w:rsidRPr="001357D3" w:rsidRDefault="00546451" w:rsidP="00546451">
            <w:pPr>
              <w:rPr>
                <w:noProof/>
                <w:szCs w:val="24"/>
              </w:rPr>
            </w:pPr>
            <w:r w:rsidRPr="001357D3">
              <w:rPr>
                <w:noProof/>
              </w:rPr>
              <w:t>Wymiana danych między państwami członkowskimi ma kluczowe znaczenie dla powodzenia różnych inicjatyw</w:t>
            </w:r>
            <w:r w:rsidR="001C6403" w:rsidRPr="001357D3">
              <w:rPr>
                <w:noProof/>
              </w:rPr>
              <w:t xml:space="preserve"> w</w:t>
            </w:r>
            <w:r w:rsidR="001C6403">
              <w:rPr>
                <w:noProof/>
              </w:rPr>
              <w:t> </w:t>
            </w:r>
            <w:r w:rsidR="001C6403" w:rsidRPr="001357D3">
              <w:rPr>
                <w:noProof/>
              </w:rPr>
              <w:t>dzi</w:t>
            </w:r>
            <w:r w:rsidRPr="001357D3">
              <w:rPr>
                <w:noProof/>
              </w:rPr>
              <w:t>edzinie cyfryzacji wymiaru sprawiedliwości. Wiele</w:t>
            </w:r>
            <w:r w:rsidR="001C6403" w:rsidRPr="001357D3">
              <w:rPr>
                <w:noProof/>
              </w:rPr>
              <w:t xml:space="preserve"> z</w:t>
            </w:r>
            <w:r w:rsidR="001C6403">
              <w:rPr>
                <w:noProof/>
              </w:rPr>
              <w:t> </w:t>
            </w:r>
            <w:r w:rsidR="001C6403" w:rsidRPr="001357D3">
              <w:rPr>
                <w:noProof/>
              </w:rPr>
              <w:t>tyc</w:t>
            </w:r>
            <w:r w:rsidRPr="001357D3">
              <w:rPr>
                <w:noProof/>
              </w:rPr>
              <w:t>h inicjatyw opiera się na danych</w:t>
            </w:r>
            <w:r w:rsidR="001C6403" w:rsidRPr="001357D3">
              <w:rPr>
                <w:noProof/>
              </w:rPr>
              <w:t xml:space="preserve"> i</w:t>
            </w:r>
            <w:r w:rsidR="001C6403">
              <w:rPr>
                <w:noProof/>
              </w:rPr>
              <w:t> </w:t>
            </w:r>
            <w:r w:rsidR="001C6403" w:rsidRPr="001357D3">
              <w:rPr>
                <w:noProof/>
              </w:rPr>
              <w:t>ich</w:t>
            </w:r>
            <w:r w:rsidRPr="001357D3">
              <w:rPr>
                <w:noProof/>
              </w:rPr>
              <w:t xml:space="preserve"> dostępności. Dobrym przykładem jest strategia UE na rzecz cyfryzacji wymiaru sprawiedliwości, która ma zostać przyjęta do końca 2025 r. Innym przykładem wymiany danych jest europejska przestrzeń danych prawnych</w:t>
            </w:r>
            <w:r w:rsidRPr="001357D3">
              <w:rPr>
                <w:rStyle w:val="Odwoanieprzypisudolnego"/>
                <w:noProof/>
                <w:szCs w:val="24"/>
              </w:rPr>
              <w:footnoteReference w:id="68"/>
            </w:r>
            <w:r w:rsidRPr="001357D3">
              <w:rPr>
                <w:noProof/>
              </w:rPr>
              <w:t>, której celem jest zapewnienie dostępności danych sądowych,</w:t>
            </w:r>
            <w:r w:rsidR="001C6403" w:rsidRPr="001357D3">
              <w:rPr>
                <w:noProof/>
              </w:rPr>
              <w:t xml:space="preserve"> w</w:t>
            </w:r>
            <w:r w:rsidR="001C6403">
              <w:rPr>
                <w:noProof/>
              </w:rPr>
              <w:t> </w:t>
            </w:r>
            <w:r w:rsidR="001C6403" w:rsidRPr="001357D3">
              <w:rPr>
                <w:noProof/>
              </w:rPr>
              <w:t>tym</w:t>
            </w:r>
            <w:r w:rsidRPr="001357D3">
              <w:rPr>
                <w:noProof/>
              </w:rPr>
              <w:t xml:space="preserve"> do celów trenowania AI. Wszystkie te systemy będą wspierane</w:t>
            </w:r>
            <w:r w:rsidR="001C6403" w:rsidRPr="001357D3">
              <w:rPr>
                <w:noProof/>
              </w:rPr>
              <w:t xml:space="preserve"> i</w:t>
            </w:r>
            <w:r w:rsidR="001C6403">
              <w:rPr>
                <w:noProof/>
              </w:rPr>
              <w:t> </w:t>
            </w:r>
            <w:r w:rsidR="001C6403" w:rsidRPr="001357D3">
              <w:rPr>
                <w:noProof/>
              </w:rPr>
              <w:t>utr</w:t>
            </w:r>
            <w:r w:rsidRPr="001357D3">
              <w:rPr>
                <w:noProof/>
              </w:rPr>
              <w:t>zymywane</w:t>
            </w:r>
            <w:r w:rsidR="001C6403" w:rsidRPr="001357D3">
              <w:rPr>
                <w:noProof/>
              </w:rPr>
              <w:t xml:space="preserve"> w</w:t>
            </w:r>
            <w:r w:rsidR="001C6403">
              <w:rPr>
                <w:noProof/>
              </w:rPr>
              <w:t> </w:t>
            </w:r>
            <w:r w:rsidR="001C6403" w:rsidRPr="001357D3">
              <w:rPr>
                <w:noProof/>
              </w:rPr>
              <w:t>ram</w:t>
            </w:r>
            <w:r w:rsidRPr="001357D3">
              <w:rPr>
                <w:noProof/>
              </w:rPr>
              <w:t>ach programu „Sprawiedliwość”.</w:t>
            </w:r>
          </w:p>
        </w:tc>
      </w:tr>
    </w:tbl>
    <w:p w14:paraId="5B0D46DA" w14:textId="77777777" w:rsidR="00546451" w:rsidRPr="001357D3" w:rsidRDefault="00546451" w:rsidP="00546451">
      <w:pPr>
        <w:keepNext/>
        <w:tabs>
          <w:tab w:val="left" w:pos="850"/>
        </w:tabs>
        <w:ind w:left="850" w:hanging="850"/>
        <w:outlineLvl w:val="1"/>
        <w:rPr>
          <w:b/>
          <w:noProof/>
        </w:rPr>
      </w:pPr>
      <w:bookmarkStart w:id="272" w:name="_Toc167220305"/>
      <w:bookmarkStart w:id="273" w:name="_Toc177549039"/>
      <w:bookmarkStart w:id="274" w:name="_Toc210923292"/>
      <w:r w:rsidRPr="001357D3">
        <w:rPr>
          <w:b/>
          <w:noProof/>
        </w:rPr>
        <w:lastRenderedPageBreak/>
        <w:t>4.3.</w:t>
      </w:r>
      <w:r w:rsidRPr="001357D3">
        <w:rPr>
          <w:noProof/>
        </w:rPr>
        <w:tab/>
      </w:r>
      <w:r w:rsidRPr="001357D3">
        <w:rPr>
          <w:b/>
          <w:noProof/>
        </w:rPr>
        <w:t>Rozwiązania cyfrowe</w:t>
      </w:r>
      <w:bookmarkEnd w:id="272"/>
      <w:bookmarkEnd w:id="273"/>
      <w:bookmarkEnd w:id="274"/>
    </w:p>
    <w:tbl>
      <w:tblPr>
        <w:tblStyle w:val="TableGrid2"/>
        <w:tblpPr w:leftFromText="141" w:rightFromText="141" w:vertAnchor="text" w:horzAnchor="margin" w:tblpY="2"/>
        <w:tblW w:w="9067" w:type="dxa"/>
        <w:tblLook w:val="04A0" w:firstRow="1" w:lastRow="0" w:firstColumn="1" w:lastColumn="0" w:noHBand="0" w:noVBand="1"/>
      </w:tblPr>
      <w:tblGrid>
        <w:gridCol w:w="12328"/>
      </w:tblGrid>
      <w:tr w:rsidR="00D31917" w:rsidRPr="001357D3" w14:paraId="021B2A3C" w14:textId="77777777">
        <w:tc>
          <w:tcPr>
            <w:tcW w:w="9067" w:type="dxa"/>
          </w:tcPr>
          <w:p w14:paraId="2763F79B" w14:textId="77777777" w:rsidR="00546451" w:rsidRPr="001357D3" w:rsidRDefault="00546451" w:rsidP="00546451">
            <w:pPr>
              <w:rPr>
                <w:noProof/>
              </w:rPr>
            </w:pPr>
          </w:p>
          <w:tbl>
            <w:tblPr>
              <w:tblStyle w:val="TableGrid2"/>
              <w:tblW w:w="0" w:type="auto"/>
              <w:tblLook w:val="06A0" w:firstRow="1" w:lastRow="0" w:firstColumn="1" w:lastColumn="0" w:noHBand="1" w:noVBand="1"/>
            </w:tblPr>
            <w:tblGrid>
              <w:gridCol w:w="1223"/>
              <w:gridCol w:w="1082"/>
              <w:gridCol w:w="1585"/>
              <w:gridCol w:w="1358"/>
              <w:gridCol w:w="1129"/>
              <w:gridCol w:w="1367"/>
              <w:gridCol w:w="1319"/>
            </w:tblGrid>
            <w:tr w:rsidR="00D31917" w:rsidRPr="001357D3" w14:paraId="6C3FB691" w14:textId="77777777">
              <w:trPr>
                <w:trHeight w:val="300"/>
              </w:trPr>
              <w:tc>
                <w:tcPr>
                  <w:tcW w:w="1264" w:type="dxa"/>
                </w:tcPr>
                <w:p w14:paraId="411ECA0E" w14:textId="77777777" w:rsidR="00546451" w:rsidRPr="001357D3" w:rsidRDefault="00546451" w:rsidP="00DF0B5D">
                  <w:pPr>
                    <w:framePr w:hSpace="141" w:wrap="around" w:vAnchor="text" w:hAnchor="margin" w:y="2"/>
                    <w:rPr>
                      <w:b/>
                      <w:bCs/>
                      <w:noProof/>
                      <w:szCs w:val="24"/>
                    </w:rPr>
                  </w:pPr>
                  <w:r w:rsidRPr="001357D3">
                    <w:rPr>
                      <w:b/>
                      <w:noProof/>
                    </w:rPr>
                    <w:t>Rozwiązania cyfrowe</w:t>
                  </w:r>
                </w:p>
              </w:tc>
              <w:tc>
                <w:tcPr>
                  <w:tcW w:w="1264" w:type="dxa"/>
                </w:tcPr>
                <w:p w14:paraId="553A3F45" w14:textId="77777777" w:rsidR="00546451" w:rsidRPr="001357D3" w:rsidRDefault="00546451" w:rsidP="00DF0B5D">
                  <w:pPr>
                    <w:framePr w:hSpace="141" w:wrap="around" w:vAnchor="text" w:hAnchor="margin" w:y="2"/>
                    <w:rPr>
                      <w:b/>
                      <w:bCs/>
                      <w:noProof/>
                      <w:szCs w:val="24"/>
                    </w:rPr>
                  </w:pPr>
                  <w:r w:rsidRPr="001357D3">
                    <w:rPr>
                      <w:b/>
                      <w:noProof/>
                    </w:rPr>
                    <w:t>Odniesienia do wymogów</w:t>
                  </w:r>
                </w:p>
              </w:tc>
              <w:tc>
                <w:tcPr>
                  <w:tcW w:w="1264" w:type="dxa"/>
                </w:tcPr>
                <w:p w14:paraId="369A1F25" w14:textId="77777777" w:rsidR="00546451" w:rsidRPr="001357D3" w:rsidRDefault="00546451" w:rsidP="00DF0B5D">
                  <w:pPr>
                    <w:framePr w:hSpace="141" w:wrap="around" w:vAnchor="text" w:hAnchor="margin" w:y="2"/>
                    <w:rPr>
                      <w:b/>
                      <w:bCs/>
                      <w:noProof/>
                      <w:szCs w:val="24"/>
                    </w:rPr>
                  </w:pPr>
                  <w:r w:rsidRPr="001357D3">
                    <w:rPr>
                      <w:b/>
                      <w:noProof/>
                    </w:rPr>
                    <w:t>Podstawowa wymagana funkcjonalność</w:t>
                  </w:r>
                </w:p>
              </w:tc>
              <w:tc>
                <w:tcPr>
                  <w:tcW w:w="1264" w:type="dxa"/>
                </w:tcPr>
                <w:p w14:paraId="51A9A98E" w14:textId="77777777" w:rsidR="00546451" w:rsidRPr="001357D3" w:rsidRDefault="00546451" w:rsidP="00DF0B5D">
                  <w:pPr>
                    <w:framePr w:hSpace="141" w:wrap="around" w:vAnchor="text" w:hAnchor="margin" w:y="2"/>
                    <w:rPr>
                      <w:b/>
                      <w:bCs/>
                      <w:noProof/>
                      <w:szCs w:val="24"/>
                    </w:rPr>
                  </w:pPr>
                  <w:r w:rsidRPr="001357D3">
                    <w:rPr>
                      <w:b/>
                      <w:noProof/>
                    </w:rPr>
                    <w:t>Organ odpowiedzialny</w:t>
                  </w:r>
                </w:p>
              </w:tc>
              <w:tc>
                <w:tcPr>
                  <w:tcW w:w="1264" w:type="dxa"/>
                </w:tcPr>
                <w:p w14:paraId="74DA81A0" w14:textId="77777777" w:rsidR="00546451" w:rsidRPr="001357D3" w:rsidRDefault="00546451" w:rsidP="00DF0B5D">
                  <w:pPr>
                    <w:framePr w:hSpace="141" w:wrap="around" w:vAnchor="text" w:hAnchor="margin" w:y="2"/>
                    <w:rPr>
                      <w:b/>
                      <w:bCs/>
                      <w:noProof/>
                      <w:szCs w:val="24"/>
                    </w:rPr>
                  </w:pPr>
                  <w:r w:rsidRPr="001357D3">
                    <w:rPr>
                      <w:b/>
                      <w:noProof/>
                    </w:rPr>
                    <w:t>W jaki sposób zapewniania jest dostępność?</w:t>
                  </w:r>
                </w:p>
              </w:tc>
              <w:tc>
                <w:tcPr>
                  <w:tcW w:w="1264" w:type="dxa"/>
                </w:tcPr>
                <w:p w14:paraId="7DABDD8B" w14:textId="77777777" w:rsidR="00546451" w:rsidRPr="001357D3" w:rsidRDefault="00546451" w:rsidP="00DF0B5D">
                  <w:pPr>
                    <w:framePr w:hSpace="141" w:wrap="around" w:vAnchor="text" w:hAnchor="margin" w:y="2"/>
                    <w:rPr>
                      <w:b/>
                      <w:bCs/>
                      <w:noProof/>
                      <w:szCs w:val="24"/>
                    </w:rPr>
                  </w:pPr>
                  <w:r w:rsidRPr="001357D3">
                    <w:rPr>
                      <w:b/>
                      <w:noProof/>
                    </w:rPr>
                    <w:t>W jaki sposób uwzględniono wymóg ponownego wykorzystania?</w:t>
                  </w:r>
                </w:p>
              </w:tc>
              <w:tc>
                <w:tcPr>
                  <w:tcW w:w="1264" w:type="dxa"/>
                </w:tcPr>
                <w:p w14:paraId="455F189A" w14:textId="77777777" w:rsidR="00546451" w:rsidRPr="001357D3" w:rsidRDefault="00546451" w:rsidP="00DF0B5D">
                  <w:pPr>
                    <w:framePr w:hSpace="141" w:wrap="around" w:vAnchor="text" w:hAnchor="margin" w:y="2"/>
                    <w:rPr>
                      <w:b/>
                      <w:bCs/>
                      <w:noProof/>
                      <w:szCs w:val="24"/>
                    </w:rPr>
                  </w:pPr>
                  <w:r w:rsidRPr="001357D3">
                    <w:rPr>
                      <w:b/>
                      <w:noProof/>
                    </w:rPr>
                    <w:t>Wykorzystanie technologii sztucznej inteligencji (stosownie do przypadku)</w:t>
                  </w:r>
                </w:p>
              </w:tc>
            </w:tr>
            <w:tr w:rsidR="00D31917" w:rsidRPr="001357D3" w14:paraId="0488E199" w14:textId="77777777">
              <w:trPr>
                <w:trHeight w:val="300"/>
              </w:trPr>
              <w:tc>
                <w:tcPr>
                  <w:tcW w:w="1264" w:type="dxa"/>
                </w:tcPr>
                <w:p w14:paraId="634BC4B8" w14:textId="77777777" w:rsidR="00546451" w:rsidRPr="001357D3" w:rsidRDefault="00546451" w:rsidP="00DF0B5D">
                  <w:pPr>
                    <w:framePr w:hSpace="141" w:wrap="around" w:vAnchor="text" w:hAnchor="margin" w:y="2"/>
                    <w:rPr>
                      <w:noProof/>
                    </w:rPr>
                  </w:pPr>
                  <w:r w:rsidRPr="001357D3">
                    <w:rPr>
                      <w:noProof/>
                    </w:rPr>
                    <w:t>Rozwiązanie cyfrowe #1 – Platforma zarządzania dotacjami bezpośred</w:t>
                  </w:r>
                  <w:r w:rsidRPr="001357D3">
                    <w:rPr>
                      <w:noProof/>
                    </w:rPr>
                    <w:lastRenderedPageBreak/>
                    <w:t>nimi</w:t>
                  </w:r>
                </w:p>
              </w:tc>
              <w:tc>
                <w:tcPr>
                  <w:tcW w:w="1264" w:type="dxa"/>
                </w:tcPr>
                <w:p w14:paraId="6CC6C459" w14:textId="1BDE6BD4" w:rsidR="00546451" w:rsidRPr="001357D3" w:rsidRDefault="00546451" w:rsidP="00DF0B5D">
                  <w:pPr>
                    <w:framePr w:hSpace="141" w:wrap="around" w:vAnchor="text" w:hAnchor="margin" w:y="2"/>
                    <w:rPr>
                      <w:noProof/>
                    </w:rPr>
                  </w:pPr>
                  <w:r w:rsidRPr="001357D3">
                    <w:rPr>
                      <w:noProof/>
                    </w:rPr>
                    <w:lastRenderedPageBreak/>
                    <w:t>Artykuł 4</w:t>
                  </w:r>
                </w:p>
              </w:tc>
              <w:tc>
                <w:tcPr>
                  <w:tcW w:w="1264" w:type="dxa"/>
                </w:tcPr>
                <w:p w14:paraId="20676DB0" w14:textId="77777777" w:rsidR="00546451" w:rsidRPr="001357D3" w:rsidRDefault="00546451" w:rsidP="00DF0B5D">
                  <w:pPr>
                    <w:framePr w:hSpace="141" w:wrap="around" w:vAnchor="text" w:hAnchor="margin" w:y="2"/>
                    <w:rPr>
                      <w:noProof/>
                    </w:rPr>
                  </w:pPr>
                  <w:r w:rsidRPr="001357D3">
                    <w:rPr>
                      <w:noProof/>
                    </w:rPr>
                    <w:t>Zarządzanie dotacjami bezpośrednimi</w:t>
                  </w:r>
                </w:p>
              </w:tc>
              <w:tc>
                <w:tcPr>
                  <w:tcW w:w="1264" w:type="dxa"/>
                </w:tcPr>
                <w:p w14:paraId="3AE7CD62" w14:textId="7D894F22" w:rsidR="00546451" w:rsidRPr="001357D3" w:rsidRDefault="00546451" w:rsidP="00DF0B5D">
                  <w:pPr>
                    <w:framePr w:hSpace="141" w:wrap="around" w:vAnchor="text" w:hAnchor="margin" w:y="2"/>
                    <w:rPr>
                      <w:noProof/>
                    </w:rPr>
                  </w:pPr>
                  <w:r w:rsidRPr="001357D3">
                    <w:rPr>
                      <w:noProof/>
                    </w:rPr>
                    <w:t>Komisja Europejska</w:t>
                  </w:r>
                </w:p>
              </w:tc>
              <w:tc>
                <w:tcPr>
                  <w:tcW w:w="1264" w:type="dxa"/>
                </w:tcPr>
                <w:p w14:paraId="69BEF746" w14:textId="77777777" w:rsidR="00546451" w:rsidRPr="001357D3" w:rsidRDefault="00546451" w:rsidP="00DF0B5D">
                  <w:pPr>
                    <w:framePr w:hSpace="141" w:wrap="around" w:vAnchor="text" w:hAnchor="margin" w:y="2"/>
                    <w:rPr>
                      <w:noProof/>
                    </w:rPr>
                  </w:pPr>
                  <w:r w:rsidRPr="001357D3">
                    <w:rPr>
                      <w:noProof/>
                    </w:rPr>
                    <w:t>Zgodnie ze standardem Komisji</w:t>
                  </w:r>
                </w:p>
              </w:tc>
              <w:tc>
                <w:tcPr>
                  <w:tcW w:w="1264" w:type="dxa"/>
                </w:tcPr>
                <w:p w14:paraId="5E212DFE" w14:textId="77777777" w:rsidR="00546451" w:rsidRPr="001357D3" w:rsidRDefault="00546451" w:rsidP="00DF0B5D">
                  <w:pPr>
                    <w:framePr w:hSpace="141" w:wrap="around" w:vAnchor="text" w:hAnchor="margin" w:y="2"/>
                    <w:rPr>
                      <w:noProof/>
                    </w:rPr>
                  </w:pPr>
                  <w:r w:rsidRPr="001357D3">
                    <w:rPr>
                      <w:noProof/>
                    </w:rPr>
                    <w:t>//</w:t>
                  </w:r>
                </w:p>
              </w:tc>
              <w:tc>
                <w:tcPr>
                  <w:tcW w:w="1264" w:type="dxa"/>
                </w:tcPr>
                <w:p w14:paraId="39EE42E3" w14:textId="732E96A3" w:rsidR="00546451" w:rsidRPr="001357D3" w:rsidRDefault="00546451" w:rsidP="00DF0B5D">
                  <w:pPr>
                    <w:framePr w:hSpace="141" w:wrap="around" w:vAnchor="text" w:hAnchor="margin" w:y="2"/>
                    <w:rPr>
                      <w:noProof/>
                    </w:rPr>
                  </w:pPr>
                  <w:r w:rsidRPr="001357D3">
                    <w:rPr>
                      <w:noProof/>
                    </w:rPr>
                    <w:t>Na platformie,</w:t>
                  </w:r>
                  <w:r w:rsidR="001C6403" w:rsidRPr="001357D3">
                    <w:rPr>
                      <w:noProof/>
                    </w:rPr>
                    <w:t xml:space="preserve"> w</w:t>
                  </w:r>
                  <w:r w:rsidR="001C6403">
                    <w:rPr>
                      <w:noProof/>
                    </w:rPr>
                    <w:t> </w:t>
                  </w:r>
                  <w:r w:rsidR="001C6403" w:rsidRPr="001357D3">
                    <w:rPr>
                      <w:noProof/>
                    </w:rPr>
                    <w:t>sto</w:t>
                  </w:r>
                  <w:r w:rsidRPr="001357D3">
                    <w:rPr>
                      <w:noProof/>
                    </w:rPr>
                    <w:t xml:space="preserve">sownych przypadkach, wykorzystuje się sztuczną </w:t>
                  </w:r>
                  <w:r w:rsidRPr="001357D3">
                    <w:rPr>
                      <w:noProof/>
                    </w:rPr>
                    <w:lastRenderedPageBreak/>
                    <w:t>inteligencję</w:t>
                  </w:r>
                  <w:r w:rsidR="001C6403" w:rsidRPr="001357D3">
                    <w:rPr>
                      <w:noProof/>
                    </w:rPr>
                    <w:t xml:space="preserve"> i</w:t>
                  </w:r>
                  <w:r w:rsidR="001C6403">
                    <w:rPr>
                      <w:noProof/>
                    </w:rPr>
                    <w:t> </w:t>
                  </w:r>
                  <w:r w:rsidR="001C6403" w:rsidRPr="001357D3">
                    <w:rPr>
                      <w:noProof/>
                    </w:rPr>
                    <w:t>prz</w:t>
                  </w:r>
                  <w:r w:rsidRPr="001357D3">
                    <w:rPr>
                      <w:noProof/>
                    </w:rPr>
                    <w:t>estrzega się zasady ostrożności.</w:t>
                  </w:r>
                </w:p>
              </w:tc>
            </w:tr>
            <w:tr w:rsidR="00D31917" w:rsidRPr="001357D3" w14:paraId="3CDAC38E" w14:textId="77777777">
              <w:trPr>
                <w:trHeight w:val="300"/>
              </w:trPr>
              <w:tc>
                <w:tcPr>
                  <w:tcW w:w="1264" w:type="dxa"/>
                </w:tcPr>
                <w:p w14:paraId="124369F9" w14:textId="7204A451" w:rsidR="00546451" w:rsidRPr="001357D3" w:rsidRDefault="00546451" w:rsidP="00DF0B5D">
                  <w:pPr>
                    <w:framePr w:hSpace="141" w:wrap="around" w:vAnchor="text" w:hAnchor="margin" w:y="2"/>
                    <w:rPr>
                      <w:noProof/>
                      <w:szCs w:val="24"/>
                    </w:rPr>
                  </w:pPr>
                  <w:r w:rsidRPr="001357D3">
                    <w:rPr>
                      <w:noProof/>
                    </w:rPr>
                    <w:lastRenderedPageBreak/>
                    <w:t>Rozwiązanie cyfrowe #2 – Platforma(-y) wspierająca(-e) Program</w:t>
                  </w:r>
                </w:p>
              </w:tc>
              <w:tc>
                <w:tcPr>
                  <w:tcW w:w="1264" w:type="dxa"/>
                </w:tcPr>
                <w:p w14:paraId="3F45428F" w14:textId="599EAFE7" w:rsidR="00546451" w:rsidRPr="001357D3" w:rsidRDefault="00546451" w:rsidP="00DF0B5D">
                  <w:pPr>
                    <w:framePr w:hSpace="141" w:wrap="around" w:vAnchor="text" w:hAnchor="margin" w:y="2"/>
                    <w:rPr>
                      <w:noProof/>
                    </w:rPr>
                  </w:pPr>
                  <w:r w:rsidRPr="001357D3">
                    <w:rPr>
                      <w:noProof/>
                    </w:rPr>
                    <w:t>Art. 3 ust. 1</w:t>
                  </w:r>
                  <w:r w:rsidR="001C6403" w:rsidRPr="001357D3">
                    <w:rPr>
                      <w:noProof/>
                    </w:rPr>
                    <w:t xml:space="preserve"> i</w:t>
                  </w:r>
                  <w:r w:rsidR="001C6403">
                    <w:rPr>
                      <w:noProof/>
                    </w:rPr>
                    <w:t> </w:t>
                  </w:r>
                  <w:r w:rsidR="001C6403" w:rsidRPr="001357D3">
                    <w:rPr>
                      <w:noProof/>
                    </w:rPr>
                    <w:t>art</w:t>
                  </w:r>
                  <w:r w:rsidRPr="001357D3">
                    <w:rPr>
                      <w:noProof/>
                    </w:rPr>
                    <w:t>. 3 ust. 2 lit. b) i c) oraz art. 4</w:t>
                  </w:r>
                </w:p>
                <w:p w14:paraId="5F173E44" w14:textId="77777777" w:rsidR="00546451" w:rsidRPr="001357D3" w:rsidRDefault="00546451" w:rsidP="00DF0B5D">
                  <w:pPr>
                    <w:framePr w:hSpace="141" w:wrap="around" w:vAnchor="text" w:hAnchor="margin" w:y="2"/>
                    <w:rPr>
                      <w:noProof/>
                    </w:rPr>
                  </w:pPr>
                </w:p>
              </w:tc>
              <w:tc>
                <w:tcPr>
                  <w:tcW w:w="1264" w:type="dxa"/>
                </w:tcPr>
                <w:p w14:paraId="19BC9A23" w14:textId="77777777" w:rsidR="00546451" w:rsidRPr="001357D3" w:rsidRDefault="00546451" w:rsidP="00DF0B5D">
                  <w:pPr>
                    <w:framePr w:hSpace="141" w:wrap="around" w:vAnchor="text" w:hAnchor="margin" w:y="2"/>
                    <w:rPr>
                      <w:noProof/>
                    </w:rPr>
                  </w:pPr>
                  <w:r w:rsidRPr="001357D3">
                    <w:rPr>
                      <w:noProof/>
                    </w:rPr>
                    <w:t>Rozpowszechnianie wyników Programu</w:t>
                  </w:r>
                </w:p>
              </w:tc>
              <w:tc>
                <w:tcPr>
                  <w:tcW w:w="1264" w:type="dxa"/>
                </w:tcPr>
                <w:p w14:paraId="7371E59D" w14:textId="01F3B1ED" w:rsidR="00546451" w:rsidRPr="001357D3" w:rsidRDefault="00546451" w:rsidP="00DF0B5D">
                  <w:pPr>
                    <w:framePr w:hSpace="141" w:wrap="around" w:vAnchor="text" w:hAnchor="margin" w:y="2"/>
                    <w:rPr>
                      <w:noProof/>
                    </w:rPr>
                  </w:pPr>
                  <w:r w:rsidRPr="001357D3">
                    <w:rPr>
                      <w:noProof/>
                    </w:rPr>
                    <w:t>Komisja Europejska</w:t>
                  </w:r>
                </w:p>
              </w:tc>
              <w:tc>
                <w:tcPr>
                  <w:tcW w:w="1264" w:type="dxa"/>
                </w:tcPr>
                <w:p w14:paraId="73829B03" w14:textId="77777777" w:rsidR="00546451" w:rsidRPr="001357D3" w:rsidRDefault="00546451" w:rsidP="00DF0B5D">
                  <w:pPr>
                    <w:framePr w:hSpace="141" w:wrap="around" w:vAnchor="text" w:hAnchor="margin" w:y="2"/>
                    <w:rPr>
                      <w:noProof/>
                    </w:rPr>
                  </w:pPr>
                  <w:r w:rsidRPr="001357D3">
                    <w:rPr>
                      <w:noProof/>
                    </w:rPr>
                    <w:t>Zgodnie ze standardem Komisji</w:t>
                  </w:r>
                </w:p>
              </w:tc>
              <w:tc>
                <w:tcPr>
                  <w:tcW w:w="1264" w:type="dxa"/>
                </w:tcPr>
                <w:p w14:paraId="7481C057" w14:textId="77777777" w:rsidR="00546451" w:rsidRPr="001357D3" w:rsidRDefault="00546451" w:rsidP="00DF0B5D">
                  <w:pPr>
                    <w:framePr w:hSpace="141" w:wrap="around" w:vAnchor="text" w:hAnchor="margin" w:y="2"/>
                    <w:rPr>
                      <w:noProof/>
                    </w:rPr>
                  </w:pPr>
                  <w:r w:rsidRPr="001357D3">
                    <w:rPr>
                      <w:noProof/>
                    </w:rPr>
                    <w:t>//</w:t>
                  </w:r>
                </w:p>
                <w:p w14:paraId="30BCCC5B" w14:textId="77777777" w:rsidR="00546451" w:rsidRPr="001357D3" w:rsidRDefault="00546451" w:rsidP="00DF0B5D">
                  <w:pPr>
                    <w:framePr w:hSpace="141" w:wrap="around" w:vAnchor="text" w:hAnchor="margin" w:y="2"/>
                    <w:rPr>
                      <w:noProof/>
                    </w:rPr>
                  </w:pPr>
                </w:p>
              </w:tc>
              <w:tc>
                <w:tcPr>
                  <w:tcW w:w="1264" w:type="dxa"/>
                </w:tcPr>
                <w:p w14:paraId="55F8978C" w14:textId="0C5F8647" w:rsidR="00546451" w:rsidRPr="001357D3" w:rsidRDefault="00546451" w:rsidP="00DF0B5D">
                  <w:pPr>
                    <w:framePr w:hSpace="141" w:wrap="around" w:vAnchor="text" w:hAnchor="margin" w:y="2"/>
                    <w:rPr>
                      <w:noProof/>
                    </w:rPr>
                  </w:pPr>
                  <w:r w:rsidRPr="001357D3">
                    <w:rPr>
                      <w:noProof/>
                    </w:rPr>
                    <w:t>Na platformie(-ach),</w:t>
                  </w:r>
                  <w:r w:rsidR="001C6403" w:rsidRPr="001357D3">
                    <w:rPr>
                      <w:noProof/>
                    </w:rPr>
                    <w:t xml:space="preserve"> w</w:t>
                  </w:r>
                  <w:r w:rsidR="001C6403">
                    <w:rPr>
                      <w:noProof/>
                    </w:rPr>
                    <w:t> </w:t>
                  </w:r>
                  <w:r w:rsidR="001C6403" w:rsidRPr="001357D3">
                    <w:rPr>
                      <w:noProof/>
                    </w:rPr>
                    <w:t>sto</w:t>
                  </w:r>
                  <w:r w:rsidRPr="001357D3">
                    <w:rPr>
                      <w:noProof/>
                    </w:rPr>
                    <w:t>sownych przypadkach, wykorzystuje się sztuczną inteligencję</w:t>
                  </w:r>
                  <w:r w:rsidR="001C6403" w:rsidRPr="001357D3">
                    <w:rPr>
                      <w:noProof/>
                    </w:rPr>
                    <w:t xml:space="preserve"> i</w:t>
                  </w:r>
                  <w:r w:rsidR="001C6403">
                    <w:rPr>
                      <w:noProof/>
                    </w:rPr>
                    <w:t> </w:t>
                  </w:r>
                  <w:r w:rsidR="001C6403" w:rsidRPr="001357D3">
                    <w:rPr>
                      <w:noProof/>
                    </w:rPr>
                    <w:t>prz</w:t>
                  </w:r>
                  <w:r w:rsidRPr="001357D3">
                    <w:rPr>
                      <w:noProof/>
                    </w:rPr>
                    <w:t>estrzega się zasady ostrożności.</w:t>
                  </w:r>
                </w:p>
              </w:tc>
            </w:tr>
          </w:tbl>
          <w:p w14:paraId="2F8CF56E" w14:textId="77777777" w:rsidR="00546451" w:rsidRPr="001357D3" w:rsidRDefault="00546451" w:rsidP="00546451">
            <w:pPr>
              <w:rPr>
                <w:b/>
                <w:bCs/>
                <w:i/>
                <w:iCs/>
                <w:noProof/>
                <w:szCs w:val="24"/>
              </w:rPr>
            </w:pPr>
            <w:r w:rsidRPr="001357D3">
              <w:rPr>
                <w:b/>
                <w:i/>
                <w:noProof/>
              </w:rPr>
              <w:t>Rozwiązanie cyfrowe #1 – Platforma zarządzania dotacjami bezpośrednimi</w:t>
            </w:r>
          </w:p>
          <w:p w14:paraId="4DB04471" w14:textId="77777777" w:rsidR="00546451" w:rsidRPr="001357D3" w:rsidRDefault="00546451" w:rsidP="00546451">
            <w:pPr>
              <w:rPr>
                <w:b/>
                <w:bCs/>
                <w:i/>
                <w:iCs/>
                <w:noProof/>
                <w:szCs w:val="24"/>
              </w:rPr>
            </w:pPr>
          </w:p>
          <w:tbl>
            <w:tblPr>
              <w:tblStyle w:val="TableGrid2"/>
              <w:tblW w:w="0" w:type="auto"/>
              <w:tblLook w:val="06A0" w:firstRow="1" w:lastRow="0" w:firstColumn="1" w:lastColumn="0" w:noHBand="1" w:noVBand="1"/>
            </w:tblPr>
            <w:tblGrid>
              <w:gridCol w:w="4425"/>
              <w:gridCol w:w="4425"/>
            </w:tblGrid>
            <w:tr w:rsidR="00D31917" w:rsidRPr="001357D3" w14:paraId="1D5D53EE" w14:textId="77777777">
              <w:trPr>
                <w:trHeight w:val="300"/>
              </w:trPr>
              <w:tc>
                <w:tcPr>
                  <w:tcW w:w="4425" w:type="dxa"/>
                </w:tcPr>
                <w:p w14:paraId="7E3E87D3" w14:textId="77777777" w:rsidR="00546451" w:rsidRPr="001357D3" w:rsidRDefault="00546451" w:rsidP="00DF0B5D">
                  <w:pPr>
                    <w:framePr w:hSpace="141" w:wrap="around" w:vAnchor="text" w:hAnchor="margin" w:y="2"/>
                    <w:rPr>
                      <w:b/>
                      <w:bCs/>
                      <w:noProof/>
                      <w:szCs w:val="24"/>
                    </w:rPr>
                  </w:pPr>
                  <w:r w:rsidRPr="001357D3">
                    <w:rPr>
                      <w:b/>
                      <w:noProof/>
                    </w:rPr>
                    <w:t>Polityka cyfrowa lub sektorowa (jeżeli mają zastosowanie)</w:t>
                  </w:r>
                </w:p>
              </w:tc>
              <w:tc>
                <w:tcPr>
                  <w:tcW w:w="4425" w:type="dxa"/>
                </w:tcPr>
                <w:p w14:paraId="3FEDB59E" w14:textId="29C2F086" w:rsidR="00546451" w:rsidRPr="001357D3" w:rsidRDefault="00546451" w:rsidP="00DF0B5D">
                  <w:pPr>
                    <w:framePr w:hSpace="141" w:wrap="around" w:vAnchor="text" w:hAnchor="margin" w:y="2"/>
                    <w:rPr>
                      <w:b/>
                      <w:bCs/>
                      <w:noProof/>
                      <w:szCs w:val="24"/>
                    </w:rPr>
                  </w:pPr>
                  <w:r w:rsidRPr="001357D3">
                    <w:rPr>
                      <w:b/>
                      <w:noProof/>
                    </w:rPr>
                    <w:t>Wyjaśnienie,</w:t>
                  </w:r>
                  <w:r w:rsidR="001C6403" w:rsidRPr="001357D3">
                    <w:rPr>
                      <w:b/>
                      <w:noProof/>
                    </w:rPr>
                    <w:t xml:space="preserve"> w</w:t>
                  </w:r>
                  <w:r w:rsidR="001C6403">
                    <w:rPr>
                      <w:b/>
                      <w:noProof/>
                    </w:rPr>
                    <w:t> </w:t>
                  </w:r>
                  <w:r w:rsidR="001C6403" w:rsidRPr="001357D3">
                    <w:rPr>
                      <w:b/>
                      <w:noProof/>
                    </w:rPr>
                    <w:t>jak</w:t>
                  </w:r>
                  <w:r w:rsidRPr="001357D3">
                    <w:rPr>
                      <w:b/>
                      <w:noProof/>
                    </w:rPr>
                    <w:t>i sposób te polityki są zgodne</w:t>
                  </w:r>
                </w:p>
              </w:tc>
            </w:tr>
            <w:tr w:rsidR="00D31917" w:rsidRPr="001357D3" w14:paraId="32372C6D" w14:textId="77777777">
              <w:trPr>
                <w:trHeight w:val="300"/>
              </w:trPr>
              <w:tc>
                <w:tcPr>
                  <w:tcW w:w="4425" w:type="dxa"/>
                </w:tcPr>
                <w:p w14:paraId="206989A9" w14:textId="5EB3BD93" w:rsidR="00546451" w:rsidRPr="001357D3" w:rsidRDefault="00546451" w:rsidP="00DF0B5D">
                  <w:pPr>
                    <w:framePr w:hSpace="141" w:wrap="around" w:vAnchor="text" w:hAnchor="margin" w:y="2"/>
                    <w:rPr>
                      <w:b/>
                      <w:bCs/>
                      <w:i/>
                      <w:iCs/>
                      <w:noProof/>
                      <w:szCs w:val="24"/>
                    </w:rPr>
                  </w:pPr>
                  <w:r w:rsidRPr="001357D3">
                    <w:rPr>
                      <w:b/>
                      <w:i/>
                      <w:noProof/>
                    </w:rPr>
                    <w:t>Akt</w:t>
                  </w:r>
                  <w:r w:rsidR="001C6403" w:rsidRPr="001357D3">
                    <w:rPr>
                      <w:b/>
                      <w:i/>
                      <w:noProof/>
                    </w:rPr>
                    <w:t xml:space="preserve"> w</w:t>
                  </w:r>
                  <w:r w:rsidR="001C6403">
                    <w:rPr>
                      <w:b/>
                      <w:i/>
                      <w:noProof/>
                    </w:rPr>
                    <w:t> </w:t>
                  </w:r>
                  <w:r w:rsidR="001C6403" w:rsidRPr="001357D3">
                    <w:rPr>
                      <w:b/>
                      <w:i/>
                      <w:noProof/>
                    </w:rPr>
                    <w:t>spr</w:t>
                  </w:r>
                  <w:r w:rsidRPr="001357D3">
                    <w:rPr>
                      <w:b/>
                      <w:i/>
                      <w:noProof/>
                    </w:rPr>
                    <w:t>awie sztucznej inteligencji</w:t>
                  </w:r>
                  <w:r w:rsidRPr="001357D3">
                    <w:rPr>
                      <w:rStyle w:val="Odwoanieprzypisudolnego"/>
                      <w:b/>
                      <w:bCs/>
                      <w:i/>
                      <w:iCs/>
                      <w:noProof/>
                      <w:szCs w:val="24"/>
                    </w:rPr>
                    <w:footnoteReference w:id="69"/>
                  </w:r>
                </w:p>
              </w:tc>
              <w:tc>
                <w:tcPr>
                  <w:tcW w:w="4425" w:type="dxa"/>
                </w:tcPr>
                <w:p w14:paraId="0BD2D4B7" w14:textId="766A28DB" w:rsidR="00546451" w:rsidRPr="001357D3" w:rsidRDefault="00546451" w:rsidP="00DF0B5D">
                  <w:pPr>
                    <w:framePr w:hSpace="141" w:wrap="around" w:vAnchor="text" w:hAnchor="margin" w:y="2"/>
                    <w:rPr>
                      <w:noProof/>
                    </w:rPr>
                  </w:pPr>
                  <w:r w:rsidRPr="001357D3">
                    <w:rPr>
                      <w:noProof/>
                    </w:rPr>
                    <w:t>Wykorzystując AI, Komisja Europejska zapewni zgodność</w:t>
                  </w:r>
                  <w:r w:rsidR="001C6403" w:rsidRPr="001357D3">
                    <w:rPr>
                      <w:noProof/>
                    </w:rPr>
                    <w:t xml:space="preserve"> z</w:t>
                  </w:r>
                  <w:r w:rsidR="001C6403">
                    <w:rPr>
                      <w:noProof/>
                    </w:rPr>
                    <w:t> </w:t>
                  </w:r>
                  <w:r w:rsidR="001C6403" w:rsidRPr="001357D3">
                    <w:rPr>
                      <w:noProof/>
                    </w:rPr>
                    <w:t>akt</w:t>
                  </w:r>
                  <w:r w:rsidRPr="001357D3">
                    <w:rPr>
                      <w:noProof/>
                    </w:rPr>
                    <w:t>em</w:t>
                  </w:r>
                  <w:r w:rsidR="001C6403" w:rsidRPr="001357D3">
                    <w:rPr>
                      <w:noProof/>
                    </w:rPr>
                    <w:t xml:space="preserve"> w</w:t>
                  </w:r>
                  <w:r w:rsidR="001C6403">
                    <w:rPr>
                      <w:noProof/>
                    </w:rPr>
                    <w:t> </w:t>
                  </w:r>
                  <w:r w:rsidR="001C6403" w:rsidRPr="001357D3">
                    <w:rPr>
                      <w:noProof/>
                    </w:rPr>
                    <w:t>spr</w:t>
                  </w:r>
                  <w:r w:rsidRPr="001357D3">
                    <w:rPr>
                      <w:noProof/>
                    </w:rPr>
                    <w:t>awie AI.</w:t>
                  </w:r>
                </w:p>
              </w:tc>
            </w:tr>
            <w:tr w:rsidR="00D31917" w:rsidRPr="001357D3" w14:paraId="78F6BE4B" w14:textId="77777777">
              <w:trPr>
                <w:trHeight w:val="300"/>
              </w:trPr>
              <w:tc>
                <w:tcPr>
                  <w:tcW w:w="4425" w:type="dxa"/>
                </w:tcPr>
                <w:p w14:paraId="09B01111" w14:textId="1EE60487" w:rsidR="00546451" w:rsidRPr="001357D3" w:rsidRDefault="00546451" w:rsidP="00DF0B5D">
                  <w:pPr>
                    <w:framePr w:hSpace="141" w:wrap="around" w:vAnchor="text" w:hAnchor="margin" w:y="2"/>
                    <w:rPr>
                      <w:b/>
                      <w:bCs/>
                      <w:i/>
                      <w:iCs/>
                      <w:noProof/>
                      <w:szCs w:val="24"/>
                    </w:rPr>
                  </w:pPr>
                  <w:r w:rsidRPr="001357D3">
                    <w:rPr>
                      <w:b/>
                      <w:i/>
                      <w:noProof/>
                    </w:rPr>
                    <w:lastRenderedPageBreak/>
                    <w:t>Ramy UE dotyczące cyberbezpieczeństwa</w:t>
                  </w:r>
                  <w:r w:rsidRPr="001357D3">
                    <w:rPr>
                      <w:rStyle w:val="Odwoanieprzypisudolnego"/>
                      <w:b/>
                      <w:bCs/>
                      <w:i/>
                      <w:iCs/>
                      <w:noProof/>
                      <w:szCs w:val="24"/>
                    </w:rPr>
                    <w:footnoteReference w:id="70"/>
                  </w:r>
                </w:p>
              </w:tc>
              <w:tc>
                <w:tcPr>
                  <w:tcW w:w="4425" w:type="dxa"/>
                </w:tcPr>
                <w:p w14:paraId="428B66E2" w14:textId="67789A85" w:rsidR="00546451" w:rsidRPr="001357D3" w:rsidRDefault="00546451" w:rsidP="00DF0B5D">
                  <w:pPr>
                    <w:framePr w:hSpace="141" w:wrap="around" w:vAnchor="text" w:hAnchor="margin" w:y="2"/>
                    <w:rPr>
                      <w:noProof/>
                    </w:rPr>
                  </w:pPr>
                  <w:r w:rsidRPr="001357D3">
                    <w:rPr>
                      <w:noProof/>
                    </w:rPr>
                    <w:t>Bez uszczerbku dla rozporządzenia (UE) 2016/679 Komisja Europejska zapewnia bezpieczeństwo, integralność, autentyczność</w:t>
                  </w:r>
                  <w:r w:rsidR="001C6403" w:rsidRPr="001357D3">
                    <w:rPr>
                      <w:noProof/>
                    </w:rPr>
                    <w:t xml:space="preserve"> i</w:t>
                  </w:r>
                  <w:r w:rsidR="001C6403">
                    <w:rPr>
                      <w:noProof/>
                    </w:rPr>
                    <w:t> </w:t>
                  </w:r>
                  <w:r w:rsidR="001C6403" w:rsidRPr="001357D3">
                    <w:rPr>
                      <w:noProof/>
                    </w:rPr>
                    <w:t>pou</w:t>
                  </w:r>
                  <w:r w:rsidRPr="001357D3">
                    <w:rPr>
                      <w:noProof/>
                    </w:rPr>
                    <w:t>fność danych gromadzonych</w:t>
                  </w:r>
                  <w:r w:rsidR="001C6403" w:rsidRPr="001357D3">
                    <w:rPr>
                      <w:noProof/>
                    </w:rPr>
                    <w:t xml:space="preserve"> i</w:t>
                  </w:r>
                  <w:r w:rsidR="001C6403">
                    <w:rPr>
                      <w:noProof/>
                    </w:rPr>
                    <w:t> </w:t>
                  </w:r>
                  <w:r w:rsidR="001C6403" w:rsidRPr="001357D3">
                    <w:rPr>
                      <w:noProof/>
                    </w:rPr>
                    <w:t>prz</w:t>
                  </w:r>
                  <w:r w:rsidRPr="001357D3">
                    <w:rPr>
                      <w:noProof/>
                    </w:rPr>
                    <w:t>echowywanych na użytek niniejszego rozporządzenia.</w:t>
                  </w:r>
                </w:p>
              </w:tc>
            </w:tr>
            <w:tr w:rsidR="00FF4A60" w:rsidRPr="001357D3" w14:paraId="2DBDA96F" w14:textId="77777777">
              <w:trPr>
                <w:trHeight w:val="300"/>
              </w:trPr>
              <w:tc>
                <w:tcPr>
                  <w:tcW w:w="4425" w:type="dxa"/>
                </w:tcPr>
                <w:p w14:paraId="72DE1E38" w14:textId="77777777" w:rsidR="00FF4A60" w:rsidRPr="001357D3" w:rsidRDefault="00FF4A60" w:rsidP="00DF0B5D">
                  <w:pPr>
                    <w:framePr w:hSpace="141" w:wrap="around" w:vAnchor="text" w:hAnchor="margin" w:y="2"/>
                    <w:rPr>
                      <w:b/>
                      <w:bCs/>
                      <w:i/>
                      <w:iCs/>
                      <w:noProof/>
                      <w:szCs w:val="24"/>
                    </w:rPr>
                  </w:pPr>
                  <w:r w:rsidRPr="001357D3">
                    <w:rPr>
                      <w:b/>
                      <w:i/>
                      <w:noProof/>
                    </w:rPr>
                    <w:t>Unijne ramy tożsamości cyfrowej, europejskie portfele biznesowe</w:t>
                  </w:r>
                </w:p>
              </w:tc>
              <w:tc>
                <w:tcPr>
                  <w:tcW w:w="4425" w:type="dxa"/>
                </w:tcPr>
                <w:p w14:paraId="4E3A4D8B" w14:textId="6EEA5A51" w:rsidR="00FF4A60" w:rsidRPr="001357D3" w:rsidRDefault="00666300" w:rsidP="00DF0B5D">
                  <w:pPr>
                    <w:framePr w:hSpace="141" w:wrap="around" w:vAnchor="text" w:hAnchor="margin" w:y="2"/>
                    <w:rPr>
                      <w:noProof/>
                      <w:szCs w:val="24"/>
                    </w:rPr>
                  </w:pPr>
                  <w:r w:rsidRPr="001357D3">
                    <w:rPr>
                      <w:noProof/>
                    </w:rPr>
                    <w:t>Zgodnie</w:t>
                  </w:r>
                  <w:r w:rsidR="001C6403" w:rsidRPr="001357D3">
                    <w:rPr>
                      <w:noProof/>
                    </w:rPr>
                    <w:t xml:space="preserve"> z</w:t>
                  </w:r>
                  <w:r w:rsidR="001C6403">
                    <w:rPr>
                      <w:noProof/>
                    </w:rPr>
                    <w:t> </w:t>
                  </w:r>
                  <w:r w:rsidR="001C6403" w:rsidRPr="001357D3">
                    <w:rPr>
                      <w:noProof/>
                    </w:rPr>
                    <w:t>uni</w:t>
                  </w:r>
                  <w:r w:rsidRPr="001357D3">
                    <w:rPr>
                      <w:noProof/>
                    </w:rPr>
                    <w:t>jnymi ramami tożsamości cyfrowej Komisja zapewnia interoperacyjność platformy zarządzania dotacjami</w:t>
                  </w:r>
                  <w:r w:rsidR="001C6403" w:rsidRPr="001357D3">
                    <w:rPr>
                      <w:noProof/>
                    </w:rPr>
                    <w:t xml:space="preserve"> z</w:t>
                  </w:r>
                  <w:r w:rsidR="001C6403">
                    <w:rPr>
                      <w:noProof/>
                    </w:rPr>
                    <w:t> </w:t>
                  </w:r>
                  <w:r w:rsidR="001C6403" w:rsidRPr="001357D3">
                    <w:rPr>
                      <w:noProof/>
                    </w:rPr>
                    <w:t>eur</w:t>
                  </w:r>
                  <w:r w:rsidRPr="001357D3">
                    <w:rPr>
                      <w:noProof/>
                    </w:rPr>
                    <w:t>opejskimi portfelami tożsamości cyfrowej</w:t>
                  </w:r>
                  <w:r w:rsidR="001C6403" w:rsidRPr="001357D3">
                    <w:rPr>
                      <w:noProof/>
                    </w:rPr>
                    <w:t xml:space="preserve"> i</w:t>
                  </w:r>
                  <w:r w:rsidR="001C6403">
                    <w:rPr>
                      <w:noProof/>
                    </w:rPr>
                    <w:t> </w:t>
                  </w:r>
                  <w:r w:rsidR="001C6403" w:rsidRPr="001357D3">
                    <w:rPr>
                      <w:noProof/>
                    </w:rPr>
                    <w:t>prz</w:t>
                  </w:r>
                  <w:r w:rsidRPr="001357D3">
                    <w:rPr>
                      <w:noProof/>
                    </w:rPr>
                    <w:t>yszłymi europejskimi portfelami biznesowymi</w:t>
                  </w:r>
                  <w:r w:rsidR="001C6403" w:rsidRPr="001357D3">
                    <w:rPr>
                      <w:noProof/>
                    </w:rPr>
                    <w:t xml:space="preserve"> w</w:t>
                  </w:r>
                  <w:r w:rsidR="001C6403">
                    <w:rPr>
                      <w:noProof/>
                    </w:rPr>
                    <w:t> </w:t>
                  </w:r>
                  <w:r w:rsidR="001C6403" w:rsidRPr="001357D3">
                    <w:rPr>
                      <w:noProof/>
                    </w:rPr>
                    <w:t>cel</w:t>
                  </w:r>
                  <w:r w:rsidRPr="001357D3">
                    <w:rPr>
                      <w:noProof/>
                    </w:rPr>
                    <w:t>u umożliwienia identyfikacji, uwierzytelniania, wymiany elektronicznych poświadczeń atrybutów</w:t>
                  </w:r>
                  <w:r w:rsidR="001C6403" w:rsidRPr="001357D3">
                    <w:rPr>
                      <w:noProof/>
                    </w:rPr>
                    <w:t xml:space="preserve"> i</w:t>
                  </w:r>
                  <w:r w:rsidR="001C6403">
                    <w:rPr>
                      <w:noProof/>
                    </w:rPr>
                    <w:t> </w:t>
                  </w:r>
                  <w:r w:rsidR="001C6403" w:rsidRPr="001357D3">
                    <w:rPr>
                      <w:noProof/>
                    </w:rPr>
                    <w:t>kor</w:t>
                  </w:r>
                  <w:r w:rsidRPr="001357D3">
                    <w:rPr>
                      <w:noProof/>
                    </w:rPr>
                    <w:t>zystania</w:t>
                  </w:r>
                  <w:r w:rsidR="001C6403" w:rsidRPr="001357D3">
                    <w:rPr>
                      <w:noProof/>
                    </w:rPr>
                    <w:t xml:space="preserve"> z</w:t>
                  </w:r>
                  <w:r w:rsidR="001C6403">
                    <w:rPr>
                      <w:noProof/>
                    </w:rPr>
                    <w:t> </w:t>
                  </w:r>
                  <w:r w:rsidR="001C6403" w:rsidRPr="001357D3">
                    <w:rPr>
                      <w:noProof/>
                    </w:rPr>
                    <w:t>usł</w:t>
                  </w:r>
                  <w:r w:rsidRPr="001357D3">
                    <w:rPr>
                      <w:noProof/>
                    </w:rPr>
                    <w:t>ug zaufania.</w:t>
                  </w:r>
                </w:p>
              </w:tc>
            </w:tr>
            <w:tr w:rsidR="00D31917" w:rsidRPr="001357D3" w14:paraId="1EDE6CA1" w14:textId="77777777">
              <w:trPr>
                <w:trHeight w:val="300"/>
              </w:trPr>
              <w:tc>
                <w:tcPr>
                  <w:tcW w:w="4425" w:type="dxa"/>
                </w:tcPr>
                <w:p w14:paraId="2CEF4D6A" w14:textId="7A4290D9" w:rsidR="00546451" w:rsidRPr="001357D3" w:rsidRDefault="00546451" w:rsidP="00DF0B5D">
                  <w:pPr>
                    <w:framePr w:hSpace="141" w:wrap="around" w:vAnchor="text" w:hAnchor="margin" w:y="2"/>
                    <w:rPr>
                      <w:b/>
                      <w:bCs/>
                      <w:i/>
                      <w:iCs/>
                      <w:noProof/>
                      <w:szCs w:val="24"/>
                    </w:rPr>
                  </w:pPr>
                </w:p>
              </w:tc>
              <w:tc>
                <w:tcPr>
                  <w:tcW w:w="4425" w:type="dxa"/>
                </w:tcPr>
                <w:p w14:paraId="7379B33F" w14:textId="66BBDB1A" w:rsidR="00546451" w:rsidRPr="001357D3" w:rsidRDefault="00546451" w:rsidP="00DF0B5D">
                  <w:pPr>
                    <w:framePr w:hSpace="141" w:wrap="around" w:vAnchor="text" w:hAnchor="margin" w:y="2"/>
                    <w:rPr>
                      <w:noProof/>
                      <w:szCs w:val="24"/>
                    </w:rPr>
                  </w:pPr>
                </w:p>
              </w:tc>
            </w:tr>
            <w:tr w:rsidR="00D31917" w:rsidRPr="001357D3" w14:paraId="313D70CF" w14:textId="77777777">
              <w:trPr>
                <w:trHeight w:val="300"/>
              </w:trPr>
              <w:tc>
                <w:tcPr>
                  <w:tcW w:w="4425" w:type="dxa"/>
                </w:tcPr>
                <w:p w14:paraId="55FA0FF7" w14:textId="676E910D" w:rsidR="00546451" w:rsidRPr="001357D3" w:rsidRDefault="00546451" w:rsidP="00DF0B5D">
                  <w:pPr>
                    <w:framePr w:hSpace="141" w:wrap="around" w:vAnchor="text" w:hAnchor="margin" w:y="2"/>
                    <w:rPr>
                      <w:b/>
                      <w:bCs/>
                      <w:i/>
                      <w:iCs/>
                      <w:noProof/>
                      <w:szCs w:val="24"/>
                    </w:rPr>
                  </w:pPr>
                  <w:r w:rsidRPr="001357D3">
                    <w:rPr>
                      <w:b/>
                      <w:i/>
                      <w:noProof/>
                    </w:rPr>
                    <w:t>Jednolity portal cyfrowy</w:t>
                  </w:r>
                  <w:r w:rsidRPr="001357D3">
                    <w:rPr>
                      <w:rStyle w:val="Odwoanieprzypisudolnego"/>
                      <w:b/>
                      <w:bCs/>
                      <w:i/>
                      <w:iCs/>
                      <w:noProof/>
                      <w:szCs w:val="24"/>
                    </w:rPr>
                    <w:footnoteReference w:id="71"/>
                  </w:r>
                  <w:r w:rsidRPr="001357D3">
                    <w:rPr>
                      <w:b/>
                      <w:i/>
                      <w:noProof/>
                    </w:rPr>
                    <w:t xml:space="preserve"> oraz IMI</w:t>
                  </w:r>
                  <w:r w:rsidRPr="001357D3">
                    <w:rPr>
                      <w:rStyle w:val="Odwoanieprzypisudolnego"/>
                      <w:b/>
                      <w:bCs/>
                      <w:i/>
                      <w:iCs/>
                      <w:noProof/>
                      <w:szCs w:val="24"/>
                    </w:rPr>
                    <w:footnoteReference w:id="72"/>
                  </w:r>
                </w:p>
              </w:tc>
              <w:tc>
                <w:tcPr>
                  <w:tcW w:w="4425" w:type="dxa"/>
                </w:tcPr>
                <w:p w14:paraId="75434866" w14:textId="77777777" w:rsidR="00546451" w:rsidRPr="001357D3" w:rsidRDefault="00546451" w:rsidP="00DF0B5D">
                  <w:pPr>
                    <w:framePr w:hSpace="141" w:wrap="around" w:vAnchor="text" w:hAnchor="margin" w:y="2"/>
                    <w:rPr>
                      <w:noProof/>
                      <w:szCs w:val="24"/>
                    </w:rPr>
                  </w:pPr>
                  <w:r w:rsidRPr="001357D3">
                    <w:rPr>
                      <w:noProof/>
                    </w:rPr>
                    <w:t>nd.</w:t>
                  </w:r>
                </w:p>
              </w:tc>
            </w:tr>
            <w:tr w:rsidR="00D31917" w:rsidRPr="001357D3" w14:paraId="18BE8A91" w14:textId="77777777">
              <w:trPr>
                <w:trHeight w:val="300"/>
              </w:trPr>
              <w:tc>
                <w:tcPr>
                  <w:tcW w:w="4425" w:type="dxa"/>
                </w:tcPr>
                <w:p w14:paraId="1D1D8380" w14:textId="77777777" w:rsidR="00546451" w:rsidRPr="001357D3" w:rsidRDefault="00546451" w:rsidP="00DF0B5D">
                  <w:pPr>
                    <w:framePr w:hSpace="141" w:wrap="around" w:vAnchor="text" w:hAnchor="margin" w:y="2"/>
                    <w:rPr>
                      <w:b/>
                      <w:bCs/>
                      <w:i/>
                      <w:iCs/>
                      <w:noProof/>
                      <w:szCs w:val="24"/>
                    </w:rPr>
                  </w:pPr>
                  <w:r w:rsidRPr="001357D3">
                    <w:rPr>
                      <w:b/>
                      <w:i/>
                      <w:noProof/>
                    </w:rPr>
                    <w:t>Inne</w:t>
                  </w:r>
                </w:p>
              </w:tc>
              <w:tc>
                <w:tcPr>
                  <w:tcW w:w="4425" w:type="dxa"/>
                </w:tcPr>
                <w:p w14:paraId="104A9839" w14:textId="77777777" w:rsidR="00546451" w:rsidRPr="001357D3" w:rsidRDefault="00546451" w:rsidP="00DF0B5D">
                  <w:pPr>
                    <w:framePr w:hSpace="141" w:wrap="around" w:vAnchor="text" w:hAnchor="margin" w:y="2"/>
                    <w:rPr>
                      <w:noProof/>
                      <w:szCs w:val="24"/>
                    </w:rPr>
                  </w:pPr>
                  <w:r w:rsidRPr="001357D3">
                    <w:rPr>
                      <w:noProof/>
                    </w:rPr>
                    <w:t>nd.</w:t>
                  </w:r>
                </w:p>
              </w:tc>
            </w:tr>
          </w:tbl>
          <w:p w14:paraId="60D69791" w14:textId="77777777" w:rsidR="00546451" w:rsidRPr="001357D3" w:rsidRDefault="00546451" w:rsidP="00546451">
            <w:pPr>
              <w:rPr>
                <w:b/>
                <w:bCs/>
                <w:i/>
                <w:iCs/>
                <w:noProof/>
                <w:szCs w:val="24"/>
              </w:rPr>
            </w:pPr>
          </w:p>
          <w:p w14:paraId="23818D0A" w14:textId="7AB629E3" w:rsidR="00546451" w:rsidRPr="001357D3" w:rsidRDefault="00546451" w:rsidP="00546451">
            <w:pPr>
              <w:rPr>
                <w:b/>
                <w:bCs/>
                <w:i/>
                <w:iCs/>
                <w:noProof/>
                <w:szCs w:val="24"/>
              </w:rPr>
            </w:pPr>
            <w:r w:rsidRPr="001357D3">
              <w:rPr>
                <w:b/>
                <w:i/>
                <w:noProof/>
              </w:rPr>
              <w:t>Rozwiązanie cyfrowe #2 – Platforma(-y) wspierająca(-e) Program</w:t>
            </w:r>
          </w:p>
          <w:p w14:paraId="3C0C79AC" w14:textId="77777777" w:rsidR="00546451" w:rsidRPr="001357D3" w:rsidRDefault="00546451" w:rsidP="00546451">
            <w:pPr>
              <w:rPr>
                <w:b/>
                <w:bCs/>
                <w:i/>
                <w:iCs/>
                <w:noProof/>
                <w:szCs w:val="24"/>
              </w:rPr>
            </w:pPr>
          </w:p>
          <w:tbl>
            <w:tblPr>
              <w:tblStyle w:val="TableGrid2"/>
              <w:tblW w:w="0" w:type="auto"/>
              <w:tblLook w:val="06A0" w:firstRow="1" w:lastRow="0" w:firstColumn="1" w:lastColumn="0" w:noHBand="1" w:noVBand="1"/>
            </w:tblPr>
            <w:tblGrid>
              <w:gridCol w:w="4429"/>
              <w:gridCol w:w="4425"/>
              <w:gridCol w:w="8"/>
            </w:tblGrid>
            <w:tr w:rsidR="00D31917" w:rsidRPr="001357D3" w14:paraId="76E9ECD8" w14:textId="77777777">
              <w:trPr>
                <w:trHeight w:val="300"/>
              </w:trPr>
              <w:tc>
                <w:tcPr>
                  <w:tcW w:w="4429" w:type="dxa"/>
                </w:tcPr>
                <w:p w14:paraId="45A48870" w14:textId="77777777" w:rsidR="00546451" w:rsidRPr="001357D3" w:rsidRDefault="00546451" w:rsidP="00DF0B5D">
                  <w:pPr>
                    <w:framePr w:hSpace="141" w:wrap="around" w:vAnchor="text" w:hAnchor="margin" w:y="2"/>
                    <w:rPr>
                      <w:b/>
                      <w:bCs/>
                      <w:noProof/>
                      <w:szCs w:val="24"/>
                    </w:rPr>
                  </w:pPr>
                  <w:r w:rsidRPr="001357D3">
                    <w:rPr>
                      <w:b/>
                      <w:noProof/>
                    </w:rPr>
                    <w:t>Polityka cyfrowa lub sektorowa (jeżeli mają zastosowanie)</w:t>
                  </w:r>
                </w:p>
              </w:tc>
              <w:tc>
                <w:tcPr>
                  <w:tcW w:w="4429" w:type="dxa"/>
                  <w:gridSpan w:val="2"/>
                </w:tcPr>
                <w:p w14:paraId="5412F911" w14:textId="5A0EF0EA" w:rsidR="00546451" w:rsidRPr="001357D3" w:rsidRDefault="00546451" w:rsidP="00DF0B5D">
                  <w:pPr>
                    <w:framePr w:hSpace="141" w:wrap="around" w:vAnchor="text" w:hAnchor="margin" w:y="2"/>
                    <w:rPr>
                      <w:b/>
                      <w:bCs/>
                      <w:noProof/>
                      <w:szCs w:val="24"/>
                    </w:rPr>
                  </w:pPr>
                  <w:r w:rsidRPr="001357D3">
                    <w:rPr>
                      <w:b/>
                      <w:noProof/>
                    </w:rPr>
                    <w:t>Wyjaśnienie,</w:t>
                  </w:r>
                  <w:r w:rsidR="001C6403" w:rsidRPr="001357D3">
                    <w:rPr>
                      <w:b/>
                      <w:noProof/>
                    </w:rPr>
                    <w:t xml:space="preserve"> w</w:t>
                  </w:r>
                  <w:r w:rsidR="001C6403">
                    <w:rPr>
                      <w:b/>
                      <w:noProof/>
                    </w:rPr>
                    <w:t> </w:t>
                  </w:r>
                  <w:r w:rsidR="001C6403" w:rsidRPr="001357D3">
                    <w:rPr>
                      <w:b/>
                      <w:noProof/>
                    </w:rPr>
                    <w:t>jak</w:t>
                  </w:r>
                  <w:r w:rsidRPr="001357D3">
                    <w:rPr>
                      <w:b/>
                      <w:noProof/>
                    </w:rPr>
                    <w:t>i sposób te polityki są zgodne</w:t>
                  </w:r>
                </w:p>
              </w:tc>
            </w:tr>
            <w:tr w:rsidR="00D31917" w:rsidRPr="001357D3" w14:paraId="211832F0" w14:textId="77777777">
              <w:trPr>
                <w:trHeight w:val="300"/>
              </w:trPr>
              <w:tc>
                <w:tcPr>
                  <w:tcW w:w="4429" w:type="dxa"/>
                </w:tcPr>
                <w:p w14:paraId="07301B59" w14:textId="455CFA60" w:rsidR="00546451" w:rsidRPr="001357D3" w:rsidRDefault="00546451" w:rsidP="00DF0B5D">
                  <w:pPr>
                    <w:framePr w:hSpace="141" w:wrap="around" w:vAnchor="text" w:hAnchor="margin" w:y="2"/>
                    <w:rPr>
                      <w:b/>
                      <w:bCs/>
                      <w:i/>
                      <w:iCs/>
                      <w:noProof/>
                      <w:szCs w:val="24"/>
                    </w:rPr>
                  </w:pPr>
                  <w:r w:rsidRPr="001357D3">
                    <w:rPr>
                      <w:b/>
                      <w:i/>
                      <w:noProof/>
                    </w:rPr>
                    <w:t>Akt</w:t>
                  </w:r>
                  <w:r w:rsidR="001C6403" w:rsidRPr="001357D3">
                    <w:rPr>
                      <w:b/>
                      <w:i/>
                      <w:noProof/>
                    </w:rPr>
                    <w:t xml:space="preserve"> w</w:t>
                  </w:r>
                  <w:r w:rsidR="001C6403">
                    <w:rPr>
                      <w:b/>
                      <w:i/>
                      <w:noProof/>
                    </w:rPr>
                    <w:t> </w:t>
                  </w:r>
                  <w:r w:rsidR="001C6403" w:rsidRPr="001357D3">
                    <w:rPr>
                      <w:b/>
                      <w:i/>
                      <w:noProof/>
                    </w:rPr>
                    <w:t>spr</w:t>
                  </w:r>
                  <w:r w:rsidRPr="001357D3">
                    <w:rPr>
                      <w:b/>
                      <w:i/>
                      <w:noProof/>
                    </w:rPr>
                    <w:t>awie sztucznej inteligencji</w:t>
                  </w:r>
                </w:p>
              </w:tc>
              <w:tc>
                <w:tcPr>
                  <w:tcW w:w="4429" w:type="dxa"/>
                  <w:gridSpan w:val="2"/>
                </w:tcPr>
                <w:p w14:paraId="5B95E8FE" w14:textId="07FE2A4F" w:rsidR="00546451" w:rsidRPr="001357D3" w:rsidRDefault="00546451" w:rsidP="00DF0B5D">
                  <w:pPr>
                    <w:framePr w:hSpace="141" w:wrap="around" w:vAnchor="text" w:hAnchor="margin" w:y="2"/>
                    <w:rPr>
                      <w:noProof/>
                    </w:rPr>
                  </w:pPr>
                  <w:r w:rsidRPr="001357D3">
                    <w:rPr>
                      <w:noProof/>
                    </w:rPr>
                    <w:t>Wykorzystując AI, Komisja Europejska zapewni zgodność</w:t>
                  </w:r>
                  <w:r w:rsidR="001C6403" w:rsidRPr="001357D3">
                    <w:rPr>
                      <w:noProof/>
                    </w:rPr>
                    <w:t xml:space="preserve"> z</w:t>
                  </w:r>
                  <w:r w:rsidR="001C6403">
                    <w:rPr>
                      <w:noProof/>
                    </w:rPr>
                    <w:t> </w:t>
                  </w:r>
                  <w:r w:rsidR="001C6403" w:rsidRPr="001357D3">
                    <w:rPr>
                      <w:noProof/>
                    </w:rPr>
                    <w:t>akt</w:t>
                  </w:r>
                  <w:r w:rsidRPr="001357D3">
                    <w:rPr>
                      <w:noProof/>
                    </w:rPr>
                    <w:t>em</w:t>
                  </w:r>
                  <w:r w:rsidR="001C6403" w:rsidRPr="001357D3">
                    <w:rPr>
                      <w:noProof/>
                    </w:rPr>
                    <w:t xml:space="preserve"> w</w:t>
                  </w:r>
                  <w:r w:rsidR="001C6403">
                    <w:rPr>
                      <w:noProof/>
                    </w:rPr>
                    <w:t> </w:t>
                  </w:r>
                  <w:r w:rsidR="001C6403" w:rsidRPr="001357D3">
                    <w:rPr>
                      <w:noProof/>
                    </w:rPr>
                    <w:t>spr</w:t>
                  </w:r>
                  <w:r w:rsidRPr="001357D3">
                    <w:rPr>
                      <w:noProof/>
                    </w:rPr>
                    <w:t>awie AI.</w:t>
                  </w:r>
                </w:p>
              </w:tc>
            </w:tr>
            <w:tr w:rsidR="00D31917" w:rsidRPr="001357D3" w14:paraId="30FB5066" w14:textId="77777777">
              <w:trPr>
                <w:trHeight w:val="300"/>
              </w:trPr>
              <w:tc>
                <w:tcPr>
                  <w:tcW w:w="4429" w:type="dxa"/>
                </w:tcPr>
                <w:p w14:paraId="3866F2C9" w14:textId="77777777" w:rsidR="00546451" w:rsidRPr="001357D3" w:rsidRDefault="00546451" w:rsidP="00DF0B5D">
                  <w:pPr>
                    <w:framePr w:hSpace="141" w:wrap="around" w:vAnchor="text" w:hAnchor="margin" w:y="2"/>
                    <w:rPr>
                      <w:b/>
                      <w:bCs/>
                      <w:i/>
                      <w:iCs/>
                      <w:noProof/>
                      <w:szCs w:val="24"/>
                    </w:rPr>
                  </w:pPr>
                  <w:r w:rsidRPr="001357D3">
                    <w:rPr>
                      <w:b/>
                      <w:i/>
                      <w:noProof/>
                    </w:rPr>
                    <w:t>Ramy UE dotyczące cyberbezpieczeństwa</w:t>
                  </w:r>
                </w:p>
              </w:tc>
              <w:tc>
                <w:tcPr>
                  <w:tcW w:w="4429" w:type="dxa"/>
                  <w:gridSpan w:val="2"/>
                </w:tcPr>
                <w:p w14:paraId="607CDB70" w14:textId="3A3B424B" w:rsidR="00546451" w:rsidRPr="001357D3" w:rsidRDefault="00546451" w:rsidP="00DF0B5D">
                  <w:pPr>
                    <w:framePr w:hSpace="141" w:wrap="around" w:vAnchor="text" w:hAnchor="margin" w:y="2"/>
                    <w:rPr>
                      <w:noProof/>
                    </w:rPr>
                  </w:pPr>
                  <w:r w:rsidRPr="001357D3">
                    <w:rPr>
                      <w:noProof/>
                    </w:rPr>
                    <w:t>Bez uszczerbku dla rozporządzenia (UE) 2016/679 Komisja Europejska zapewnia bezpieczeństwo, integralność, autentyczność</w:t>
                  </w:r>
                  <w:r w:rsidR="001C6403" w:rsidRPr="001357D3">
                    <w:rPr>
                      <w:noProof/>
                    </w:rPr>
                    <w:t xml:space="preserve"> i</w:t>
                  </w:r>
                  <w:r w:rsidR="001C6403">
                    <w:rPr>
                      <w:noProof/>
                    </w:rPr>
                    <w:t> </w:t>
                  </w:r>
                  <w:r w:rsidR="001C6403" w:rsidRPr="001357D3">
                    <w:rPr>
                      <w:noProof/>
                    </w:rPr>
                    <w:t>pou</w:t>
                  </w:r>
                  <w:r w:rsidRPr="001357D3">
                    <w:rPr>
                      <w:noProof/>
                    </w:rPr>
                    <w:t>fność danych gromadzonych</w:t>
                  </w:r>
                  <w:r w:rsidR="001C6403" w:rsidRPr="001357D3">
                    <w:rPr>
                      <w:noProof/>
                    </w:rPr>
                    <w:t xml:space="preserve"> i</w:t>
                  </w:r>
                  <w:r w:rsidR="001C6403">
                    <w:rPr>
                      <w:noProof/>
                    </w:rPr>
                    <w:t> </w:t>
                  </w:r>
                  <w:r w:rsidR="001C6403" w:rsidRPr="001357D3">
                    <w:rPr>
                      <w:noProof/>
                    </w:rPr>
                    <w:t>prz</w:t>
                  </w:r>
                  <w:r w:rsidRPr="001357D3">
                    <w:rPr>
                      <w:noProof/>
                    </w:rPr>
                    <w:t>echowywanych na użytek niniejszego rozporządzenia.</w:t>
                  </w:r>
                </w:p>
              </w:tc>
            </w:tr>
            <w:tr w:rsidR="006960C4" w:rsidRPr="001357D3" w14:paraId="18B9FAAA" w14:textId="77777777">
              <w:trPr>
                <w:gridAfter w:val="1"/>
                <w:wAfter w:w="8" w:type="dxa"/>
                <w:trHeight w:val="300"/>
              </w:trPr>
              <w:tc>
                <w:tcPr>
                  <w:tcW w:w="4425" w:type="dxa"/>
                </w:tcPr>
                <w:p w14:paraId="5D56325A" w14:textId="77777777" w:rsidR="006960C4" w:rsidRPr="001357D3" w:rsidRDefault="006960C4" w:rsidP="00DF0B5D">
                  <w:pPr>
                    <w:framePr w:hSpace="141" w:wrap="around" w:vAnchor="text" w:hAnchor="margin" w:y="2"/>
                    <w:rPr>
                      <w:b/>
                      <w:bCs/>
                      <w:i/>
                      <w:iCs/>
                      <w:noProof/>
                      <w:szCs w:val="24"/>
                    </w:rPr>
                  </w:pPr>
                  <w:r w:rsidRPr="001357D3">
                    <w:rPr>
                      <w:b/>
                      <w:i/>
                      <w:noProof/>
                    </w:rPr>
                    <w:lastRenderedPageBreak/>
                    <w:t>Unijne ramy tożsamości cyfrowej, europejskie portfele biznesowe</w:t>
                  </w:r>
                </w:p>
              </w:tc>
              <w:tc>
                <w:tcPr>
                  <w:tcW w:w="4425" w:type="dxa"/>
                </w:tcPr>
                <w:p w14:paraId="4ED6925E" w14:textId="702FC0C8" w:rsidR="006960C4" w:rsidRPr="001357D3" w:rsidRDefault="00666300" w:rsidP="00DF0B5D">
                  <w:pPr>
                    <w:framePr w:hSpace="141" w:wrap="around" w:vAnchor="text" w:hAnchor="margin" w:y="2"/>
                    <w:rPr>
                      <w:noProof/>
                      <w:szCs w:val="24"/>
                    </w:rPr>
                  </w:pPr>
                  <w:r w:rsidRPr="001357D3">
                    <w:rPr>
                      <w:noProof/>
                    </w:rPr>
                    <w:t>Zgodnie</w:t>
                  </w:r>
                  <w:r w:rsidR="001C6403" w:rsidRPr="001357D3">
                    <w:rPr>
                      <w:noProof/>
                    </w:rPr>
                    <w:t xml:space="preserve"> z</w:t>
                  </w:r>
                  <w:r w:rsidR="001C6403">
                    <w:rPr>
                      <w:noProof/>
                    </w:rPr>
                    <w:t> </w:t>
                  </w:r>
                  <w:r w:rsidR="001C6403" w:rsidRPr="001357D3">
                    <w:rPr>
                      <w:noProof/>
                    </w:rPr>
                    <w:t>uni</w:t>
                  </w:r>
                  <w:r w:rsidRPr="001357D3">
                    <w:rPr>
                      <w:noProof/>
                    </w:rPr>
                    <w:t>jnymi ramami tożsamości cyfrowej Komisja zapewnia interoperacyjność tych platform</w:t>
                  </w:r>
                  <w:r w:rsidR="001C6403" w:rsidRPr="001357D3">
                    <w:rPr>
                      <w:noProof/>
                    </w:rPr>
                    <w:t xml:space="preserve"> z</w:t>
                  </w:r>
                  <w:r w:rsidR="001C6403">
                    <w:rPr>
                      <w:noProof/>
                    </w:rPr>
                    <w:t> </w:t>
                  </w:r>
                  <w:r w:rsidR="001C6403" w:rsidRPr="001357D3">
                    <w:rPr>
                      <w:noProof/>
                    </w:rPr>
                    <w:t>eur</w:t>
                  </w:r>
                  <w:r w:rsidRPr="001357D3">
                    <w:rPr>
                      <w:noProof/>
                    </w:rPr>
                    <w:t>opejskimi portfelami tożsamości cyfrowej</w:t>
                  </w:r>
                  <w:r w:rsidR="001C6403" w:rsidRPr="001357D3">
                    <w:rPr>
                      <w:noProof/>
                    </w:rPr>
                    <w:t xml:space="preserve"> i</w:t>
                  </w:r>
                  <w:r w:rsidR="001C6403">
                    <w:rPr>
                      <w:noProof/>
                    </w:rPr>
                    <w:t> </w:t>
                  </w:r>
                  <w:r w:rsidR="001C6403" w:rsidRPr="001357D3">
                    <w:rPr>
                      <w:noProof/>
                    </w:rPr>
                    <w:t>prz</w:t>
                  </w:r>
                  <w:r w:rsidRPr="001357D3">
                    <w:rPr>
                      <w:noProof/>
                    </w:rPr>
                    <w:t>yszłymi europejskimi portfelami biznesowymi</w:t>
                  </w:r>
                  <w:r w:rsidR="001C6403" w:rsidRPr="001357D3">
                    <w:rPr>
                      <w:noProof/>
                    </w:rPr>
                    <w:t xml:space="preserve"> w</w:t>
                  </w:r>
                  <w:r w:rsidR="001C6403">
                    <w:rPr>
                      <w:noProof/>
                    </w:rPr>
                    <w:t> </w:t>
                  </w:r>
                  <w:r w:rsidR="001C6403" w:rsidRPr="001357D3">
                    <w:rPr>
                      <w:noProof/>
                    </w:rPr>
                    <w:t>cel</w:t>
                  </w:r>
                  <w:r w:rsidRPr="001357D3">
                    <w:rPr>
                      <w:noProof/>
                    </w:rPr>
                    <w:t>u umożliwienia identyfikacji, uwierzytelniania, wymiany elektronicznych poświadczeń atrybutów</w:t>
                  </w:r>
                  <w:r w:rsidR="001C6403" w:rsidRPr="001357D3">
                    <w:rPr>
                      <w:noProof/>
                    </w:rPr>
                    <w:t xml:space="preserve"> i</w:t>
                  </w:r>
                  <w:r w:rsidR="001C6403">
                    <w:rPr>
                      <w:noProof/>
                    </w:rPr>
                    <w:t> </w:t>
                  </w:r>
                  <w:r w:rsidR="001C6403" w:rsidRPr="001357D3">
                    <w:rPr>
                      <w:noProof/>
                    </w:rPr>
                    <w:t>kor</w:t>
                  </w:r>
                  <w:r w:rsidRPr="001357D3">
                    <w:rPr>
                      <w:noProof/>
                    </w:rPr>
                    <w:t>zystania</w:t>
                  </w:r>
                  <w:r w:rsidR="001C6403" w:rsidRPr="001357D3">
                    <w:rPr>
                      <w:noProof/>
                    </w:rPr>
                    <w:t xml:space="preserve"> z</w:t>
                  </w:r>
                  <w:r w:rsidR="001C6403">
                    <w:rPr>
                      <w:noProof/>
                    </w:rPr>
                    <w:t> </w:t>
                  </w:r>
                  <w:r w:rsidR="001C6403" w:rsidRPr="001357D3">
                    <w:rPr>
                      <w:noProof/>
                    </w:rPr>
                    <w:t>usł</w:t>
                  </w:r>
                  <w:r w:rsidRPr="001357D3">
                    <w:rPr>
                      <w:noProof/>
                    </w:rPr>
                    <w:t xml:space="preserve">ug zaufania. </w:t>
                  </w:r>
                </w:p>
              </w:tc>
            </w:tr>
            <w:tr w:rsidR="00D31917" w:rsidRPr="001357D3" w14:paraId="7EDCBEC6" w14:textId="77777777">
              <w:trPr>
                <w:trHeight w:val="300"/>
              </w:trPr>
              <w:tc>
                <w:tcPr>
                  <w:tcW w:w="4429" w:type="dxa"/>
                </w:tcPr>
                <w:p w14:paraId="3448246F" w14:textId="2E94F716" w:rsidR="00546451" w:rsidRPr="001357D3" w:rsidRDefault="00546451" w:rsidP="00DF0B5D">
                  <w:pPr>
                    <w:framePr w:hSpace="141" w:wrap="around" w:vAnchor="text" w:hAnchor="margin" w:y="2"/>
                    <w:rPr>
                      <w:b/>
                      <w:bCs/>
                      <w:i/>
                      <w:iCs/>
                      <w:noProof/>
                      <w:szCs w:val="24"/>
                    </w:rPr>
                  </w:pPr>
                </w:p>
              </w:tc>
              <w:tc>
                <w:tcPr>
                  <w:tcW w:w="4429" w:type="dxa"/>
                  <w:gridSpan w:val="2"/>
                </w:tcPr>
                <w:p w14:paraId="4EAA85D3" w14:textId="23D7CD34" w:rsidR="00546451" w:rsidRPr="001357D3" w:rsidRDefault="00546451" w:rsidP="00DF0B5D">
                  <w:pPr>
                    <w:framePr w:hSpace="141" w:wrap="around" w:vAnchor="text" w:hAnchor="margin" w:y="2"/>
                    <w:rPr>
                      <w:noProof/>
                      <w:szCs w:val="24"/>
                    </w:rPr>
                  </w:pPr>
                </w:p>
              </w:tc>
            </w:tr>
            <w:tr w:rsidR="00D31917" w:rsidRPr="001357D3" w14:paraId="7123AE02" w14:textId="77777777">
              <w:trPr>
                <w:trHeight w:val="300"/>
              </w:trPr>
              <w:tc>
                <w:tcPr>
                  <w:tcW w:w="4429" w:type="dxa"/>
                </w:tcPr>
                <w:p w14:paraId="758FAAF0" w14:textId="77777777" w:rsidR="00546451" w:rsidRPr="001357D3" w:rsidRDefault="00546451" w:rsidP="00DF0B5D">
                  <w:pPr>
                    <w:framePr w:hSpace="141" w:wrap="around" w:vAnchor="text" w:hAnchor="margin" w:y="2"/>
                    <w:rPr>
                      <w:b/>
                      <w:bCs/>
                      <w:i/>
                      <w:iCs/>
                      <w:noProof/>
                      <w:szCs w:val="24"/>
                    </w:rPr>
                  </w:pPr>
                  <w:r w:rsidRPr="001357D3">
                    <w:rPr>
                      <w:b/>
                      <w:i/>
                      <w:noProof/>
                    </w:rPr>
                    <w:t>Jednolity portal cyfrowy oraz IMI</w:t>
                  </w:r>
                </w:p>
              </w:tc>
              <w:tc>
                <w:tcPr>
                  <w:tcW w:w="4429" w:type="dxa"/>
                  <w:gridSpan w:val="2"/>
                </w:tcPr>
                <w:p w14:paraId="239DA084" w14:textId="77777777" w:rsidR="00546451" w:rsidRPr="001357D3" w:rsidRDefault="00546451" w:rsidP="00DF0B5D">
                  <w:pPr>
                    <w:framePr w:hSpace="141" w:wrap="around" w:vAnchor="text" w:hAnchor="margin" w:y="2"/>
                    <w:rPr>
                      <w:noProof/>
                      <w:szCs w:val="24"/>
                    </w:rPr>
                  </w:pPr>
                  <w:r w:rsidRPr="001357D3">
                    <w:rPr>
                      <w:noProof/>
                    </w:rPr>
                    <w:t>nd.</w:t>
                  </w:r>
                </w:p>
              </w:tc>
            </w:tr>
            <w:tr w:rsidR="00D31917" w:rsidRPr="001357D3" w14:paraId="52EAA6C7" w14:textId="77777777">
              <w:trPr>
                <w:trHeight w:val="300"/>
              </w:trPr>
              <w:tc>
                <w:tcPr>
                  <w:tcW w:w="4429" w:type="dxa"/>
                </w:tcPr>
                <w:p w14:paraId="00D77C90" w14:textId="77777777" w:rsidR="00546451" w:rsidRPr="001357D3" w:rsidRDefault="00546451" w:rsidP="00DF0B5D">
                  <w:pPr>
                    <w:framePr w:hSpace="141" w:wrap="around" w:vAnchor="text" w:hAnchor="margin" w:y="2"/>
                    <w:rPr>
                      <w:b/>
                      <w:bCs/>
                      <w:i/>
                      <w:iCs/>
                      <w:noProof/>
                      <w:szCs w:val="24"/>
                    </w:rPr>
                  </w:pPr>
                  <w:r w:rsidRPr="001357D3">
                    <w:rPr>
                      <w:b/>
                      <w:i/>
                      <w:noProof/>
                    </w:rPr>
                    <w:t>Inne</w:t>
                  </w:r>
                </w:p>
              </w:tc>
              <w:tc>
                <w:tcPr>
                  <w:tcW w:w="4429" w:type="dxa"/>
                  <w:gridSpan w:val="2"/>
                </w:tcPr>
                <w:p w14:paraId="65D26146" w14:textId="77777777" w:rsidR="00546451" w:rsidRPr="001357D3" w:rsidRDefault="00546451" w:rsidP="00DF0B5D">
                  <w:pPr>
                    <w:framePr w:hSpace="141" w:wrap="around" w:vAnchor="text" w:hAnchor="margin" w:y="2"/>
                    <w:rPr>
                      <w:noProof/>
                      <w:szCs w:val="24"/>
                    </w:rPr>
                  </w:pPr>
                  <w:r w:rsidRPr="001357D3">
                    <w:rPr>
                      <w:noProof/>
                    </w:rPr>
                    <w:t>nd.</w:t>
                  </w:r>
                </w:p>
              </w:tc>
            </w:tr>
          </w:tbl>
          <w:p w14:paraId="0F0CF843" w14:textId="77777777" w:rsidR="00546451" w:rsidRPr="001357D3" w:rsidRDefault="00546451" w:rsidP="00546451">
            <w:pPr>
              <w:rPr>
                <w:b/>
                <w:bCs/>
                <w:i/>
                <w:iCs/>
                <w:noProof/>
                <w:szCs w:val="24"/>
              </w:rPr>
            </w:pPr>
          </w:p>
          <w:p w14:paraId="7F9CDF41" w14:textId="77777777" w:rsidR="00546451" w:rsidRPr="001357D3" w:rsidRDefault="00546451" w:rsidP="00546451">
            <w:pPr>
              <w:rPr>
                <w:b/>
                <w:bCs/>
                <w:i/>
                <w:iCs/>
                <w:noProof/>
                <w:szCs w:val="24"/>
              </w:rPr>
            </w:pPr>
            <w:r w:rsidRPr="001357D3">
              <w:rPr>
                <w:b/>
                <w:i/>
                <w:noProof/>
              </w:rPr>
              <w:t>Uwaga ogólna:</w:t>
            </w:r>
          </w:p>
          <w:p w14:paraId="346AD932" w14:textId="37B1677A" w:rsidR="00546451" w:rsidRPr="001357D3" w:rsidRDefault="00546451" w:rsidP="00546451">
            <w:pPr>
              <w:rPr>
                <w:noProof/>
                <w:szCs w:val="24"/>
              </w:rPr>
            </w:pPr>
            <w:r w:rsidRPr="001357D3">
              <w:rPr>
                <w:noProof/>
              </w:rPr>
              <w:t>Program „Sprawiedliwość” nadal będzie finansował szereg rozwiązań cyfrowych, które zostały opracowane na przestrzeni lat,</w:t>
            </w:r>
            <w:r w:rsidR="001C6403" w:rsidRPr="001357D3">
              <w:rPr>
                <w:noProof/>
              </w:rPr>
              <w:t xml:space="preserve"> a</w:t>
            </w:r>
            <w:r w:rsidR="001C6403">
              <w:rPr>
                <w:noProof/>
              </w:rPr>
              <w:t> </w:t>
            </w:r>
            <w:r w:rsidR="001C6403" w:rsidRPr="001357D3">
              <w:rPr>
                <w:noProof/>
              </w:rPr>
              <w:t>tak</w:t>
            </w:r>
            <w:r w:rsidRPr="001357D3">
              <w:rPr>
                <w:noProof/>
              </w:rPr>
              <w:t>że będzie wspierał rozwój nowych systemów informatycznych. Przykładami systemów informatycznych, które będą finansowane</w:t>
            </w:r>
            <w:r w:rsidR="001C6403" w:rsidRPr="001357D3">
              <w:rPr>
                <w:noProof/>
              </w:rPr>
              <w:t xml:space="preserve"> w</w:t>
            </w:r>
            <w:r w:rsidR="001C6403">
              <w:rPr>
                <w:noProof/>
              </w:rPr>
              <w:t> </w:t>
            </w:r>
            <w:r w:rsidR="001C6403" w:rsidRPr="001357D3">
              <w:rPr>
                <w:noProof/>
              </w:rPr>
              <w:t>ram</w:t>
            </w:r>
            <w:r w:rsidRPr="001357D3">
              <w:rPr>
                <w:noProof/>
              </w:rPr>
              <w:t>ach kontynuacji programu „Sprawiedliwość”, są europejski portal „e-Sprawiedliwość”, stanowiący punkt kompleksowej obsługi we wszystkich sprawach związanych</w:t>
            </w:r>
            <w:r w:rsidR="001C6403" w:rsidRPr="001357D3">
              <w:rPr>
                <w:noProof/>
              </w:rPr>
              <w:t xml:space="preserve"> z</w:t>
            </w:r>
            <w:r w:rsidR="001C6403">
              <w:rPr>
                <w:noProof/>
              </w:rPr>
              <w:t> </w:t>
            </w:r>
            <w:r w:rsidR="001C6403" w:rsidRPr="001357D3">
              <w:rPr>
                <w:noProof/>
              </w:rPr>
              <w:t>wym</w:t>
            </w:r>
            <w:r w:rsidRPr="001357D3">
              <w:rPr>
                <w:noProof/>
              </w:rPr>
              <w:t>iarem sprawiedliwości, oraz zdecentralizowany system informatyczny opracowany na podstawie rozporządzenia (UE) 2023/2844</w:t>
            </w:r>
            <w:r w:rsidRPr="001357D3">
              <w:rPr>
                <w:rStyle w:val="Odwoanieprzypisudolnego"/>
                <w:noProof/>
                <w:szCs w:val="24"/>
              </w:rPr>
              <w:footnoteReference w:id="73"/>
            </w:r>
            <w:r w:rsidRPr="001357D3">
              <w:rPr>
                <w:noProof/>
              </w:rPr>
              <w:t xml:space="preserve"> na potrzeby cyfryzacji transgranicznej współpracy sądowej. Program „Sprawiedliwość” służy finansowaniu systemów informatycznych na szczeblu UE wynikających</w:t>
            </w:r>
            <w:r w:rsidR="001C6403" w:rsidRPr="001357D3">
              <w:rPr>
                <w:noProof/>
              </w:rPr>
              <w:t xml:space="preserve"> z</w:t>
            </w:r>
            <w:r w:rsidR="001C6403">
              <w:rPr>
                <w:noProof/>
              </w:rPr>
              <w:t> </w:t>
            </w:r>
            <w:r w:rsidR="001C6403" w:rsidRPr="001357D3">
              <w:rPr>
                <w:noProof/>
              </w:rPr>
              <w:t>ins</w:t>
            </w:r>
            <w:r w:rsidRPr="001357D3">
              <w:rPr>
                <w:noProof/>
              </w:rPr>
              <w:t>trumentów prawnych lub dobrowolnej współpracy państw członkowskich</w:t>
            </w:r>
            <w:r w:rsidR="001C6403" w:rsidRPr="001357D3">
              <w:rPr>
                <w:noProof/>
              </w:rPr>
              <w:t>. W</w:t>
            </w:r>
            <w:r w:rsidR="001C6403">
              <w:rPr>
                <w:noProof/>
              </w:rPr>
              <w:t> </w:t>
            </w:r>
            <w:r w:rsidR="001C6403" w:rsidRPr="001357D3">
              <w:rPr>
                <w:noProof/>
              </w:rPr>
              <w:t>obu</w:t>
            </w:r>
            <w:r w:rsidRPr="001357D3">
              <w:rPr>
                <w:noProof/>
              </w:rPr>
              <w:t xml:space="preserve"> przypadkach są to systemy</w:t>
            </w:r>
            <w:r w:rsidR="001C6403" w:rsidRPr="001357D3">
              <w:rPr>
                <w:noProof/>
              </w:rPr>
              <w:t xml:space="preserve"> o</w:t>
            </w:r>
            <w:r w:rsidR="001C6403">
              <w:rPr>
                <w:noProof/>
              </w:rPr>
              <w:t> </w:t>
            </w:r>
            <w:r w:rsidR="001C6403" w:rsidRPr="001357D3">
              <w:rPr>
                <w:noProof/>
              </w:rPr>
              <w:t>duż</w:t>
            </w:r>
            <w:r w:rsidRPr="001357D3">
              <w:rPr>
                <w:noProof/>
              </w:rPr>
              <w:t>ym znaczeniu politycznym</w:t>
            </w:r>
            <w:r w:rsidR="001C6403" w:rsidRPr="001357D3">
              <w:rPr>
                <w:noProof/>
              </w:rPr>
              <w:t xml:space="preserve"> i</w:t>
            </w:r>
            <w:r w:rsidR="001C6403">
              <w:rPr>
                <w:noProof/>
              </w:rPr>
              <w:t> </w:t>
            </w:r>
            <w:r w:rsidR="001C6403" w:rsidRPr="001357D3">
              <w:rPr>
                <w:noProof/>
              </w:rPr>
              <w:t>ope</w:t>
            </w:r>
            <w:r w:rsidRPr="001357D3">
              <w:rPr>
                <w:noProof/>
              </w:rPr>
              <w:t>racyjnym dla państw członkowskich, które wspierają sprawne codzienne funkcjonowanie sektora wymiaru sprawiedliwości poprzez zwiększanie skuteczności</w:t>
            </w:r>
            <w:r w:rsidR="001C6403" w:rsidRPr="001357D3">
              <w:rPr>
                <w:noProof/>
              </w:rPr>
              <w:t xml:space="preserve"> i</w:t>
            </w:r>
            <w:r w:rsidR="001C6403">
              <w:rPr>
                <w:noProof/>
              </w:rPr>
              <w:t> </w:t>
            </w:r>
            <w:r w:rsidR="001C6403" w:rsidRPr="001357D3">
              <w:rPr>
                <w:noProof/>
              </w:rPr>
              <w:t>zap</w:t>
            </w:r>
            <w:r w:rsidRPr="001357D3">
              <w:rPr>
                <w:noProof/>
              </w:rPr>
              <w:t>ewnianie interoperacyjności.</w:t>
            </w:r>
          </w:p>
        </w:tc>
      </w:tr>
    </w:tbl>
    <w:p w14:paraId="672FF5D1" w14:textId="77777777" w:rsidR="00546451" w:rsidRPr="001357D3" w:rsidRDefault="00546451" w:rsidP="00546451">
      <w:pPr>
        <w:keepNext/>
        <w:tabs>
          <w:tab w:val="left" w:pos="850"/>
        </w:tabs>
        <w:ind w:left="850" w:hanging="850"/>
        <w:outlineLvl w:val="1"/>
        <w:rPr>
          <w:bCs/>
          <w:noProof/>
        </w:rPr>
      </w:pPr>
      <w:bookmarkStart w:id="275" w:name="_Toc167220304"/>
      <w:bookmarkStart w:id="276" w:name="_Toc177549040"/>
      <w:bookmarkStart w:id="277" w:name="_Toc210923293"/>
      <w:r w:rsidRPr="001357D3">
        <w:rPr>
          <w:b/>
          <w:noProof/>
        </w:rPr>
        <w:lastRenderedPageBreak/>
        <w:t>4.4.</w:t>
      </w:r>
      <w:r w:rsidRPr="001357D3">
        <w:rPr>
          <w:noProof/>
        </w:rPr>
        <w:tab/>
      </w:r>
      <w:r w:rsidRPr="001357D3">
        <w:rPr>
          <w:b/>
          <w:noProof/>
        </w:rPr>
        <w:t>Ocena interoperacyjności</w:t>
      </w:r>
      <w:bookmarkEnd w:id="275"/>
      <w:bookmarkEnd w:id="276"/>
      <w:bookmarkEnd w:id="277"/>
    </w:p>
    <w:tbl>
      <w:tblPr>
        <w:tblStyle w:val="TableGrid2"/>
        <w:tblpPr w:leftFromText="141" w:rightFromText="141" w:vertAnchor="text" w:horzAnchor="margin" w:tblpY="36"/>
        <w:tblW w:w="9067" w:type="dxa"/>
        <w:tblLayout w:type="fixed"/>
        <w:tblLook w:val="06A0" w:firstRow="1" w:lastRow="0" w:firstColumn="1" w:lastColumn="0" w:noHBand="1" w:noVBand="1"/>
      </w:tblPr>
      <w:tblGrid>
        <w:gridCol w:w="9067"/>
      </w:tblGrid>
      <w:tr w:rsidR="00D31917" w:rsidRPr="001357D3" w14:paraId="64E8ABD3" w14:textId="77777777">
        <w:trPr>
          <w:trHeight w:val="300"/>
        </w:trPr>
        <w:tc>
          <w:tcPr>
            <w:tcW w:w="9067" w:type="dxa"/>
          </w:tcPr>
          <w:tbl>
            <w:tblPr>
              <w:tblW w:w="0" w:type="auto"/>
              <w:tblLayout w:type="fixed"/>
              <w:tblLook w:val="06A0" w:firstRow="1" w:lastRow="0" w:firstColumn="1" w:lastColumn="0" w:noHBand="1" w:noVBand="1"/>
            </w:tblPr>
            <w:tblGrid>
              <w:gridCol w:w="8857"/>
            </w:tblGrid>
            <w:tr w:rsidR="00D31917" w:rsidRPr="001357D3" w14:paraId="45A9641F" w14:textId="77777777">
              <w:trPr>
                <w:trHeight w:val="300"/>
              </w:trPr>
              <w:tc>
                <w:tcPr>
                  <w:tcW w:w="8857" w:type="dxa"/>
                  <w:tcMar>
                    <w:left w:w="141" w:type="dxa"/>
                    <w:right w:w="141" w:type="dxa"/>
                  </w:tcMar>
                </w:tcPr>
                <w:p w14:paraId="35F651B5" w14:textId="6ED604B0" w:rsidR="00546451" w:rsidRPr="001357D3" w:rsidRDefault="00546451" w:rsidP="00546451">
                  <w:pPr>
                    <w:framePr w:hSpace="141" w:wrap="around" w:vAnchor="text" w:hAnchor="margin" w:y="36"/>
                    <w:rPr>
                      <w:rFonts w:eastAsia="Times New Roman"/>
                      <w:noProof/>
                      <w:szCs w:val="24"/>
                    </w:rPr>
                  </w:pPr>
                  <w:r w:rsidRPr="001357D3">
                    <w:rPr>
                      <w:noProof/>
                    </w:rPr>
                    <w:t>Interoperacyjność ma zasadnicze znaczenie dla skutecznego funkcjonowania różnych systemów</w:t>
                  </w:r>
                  <w:r w:rsidR="001C6403" w:rsidRPr="001357D3">
                    <w:rPr>
                      <w:noProof/>
                    </w:rPr>
                    <w:t xml:space="preserve"> i</w:t>
                  </w:r>
                  <w:r w:rsidR="001C6403">
                    <w:rPr>
                      <w:noProof/>
                    </w:rPr>
                    <w:t> </w:t>
                  </w:r>
                  <w:r w:rsidR="001C6403" w:rsidRPr="001357D3">
                    <w:rPr>
                      <w:noProof/>
                    </w:rPr>
                    <w:t>nar</w:t>
                  </w:r>
                  <w:r w:rsidRPr="001357D3">
                    <w:rPr>
                      <w:noProof/>
                    </w:rPr>
                    <w:t>zędzi informatycznych. Program „Sprawiedliwość” wspiera interoperacyjność systemów krajowych, aby umożliwić ich wzajemne połączenie na szczeblu UE oraz rozwój zdecentralizowanych systemów ułatwiających współpracę transgraniczną. Systemy opracowywane na szczeblu UE są tworzone</w:t>
                  </w:r>
                  <w:r w:rsidR="001C6403" w:rsidRPr="001357D3">
                    <w:rPr>
                      <w:noProof/>
                    </w:rPr>
                    <w:t xml:space="preserve"> z</w:t>
                  </w:r>
                  <w:r w:rsidR="001C6403">
                    <w:rPr>
                      <w:noProof/>
                    </w:rPr>
                    <w:t> </w:t>
                  </w:r>
                  <w:r w:rsidR="001C6403" w:rsidRPr="001357D3">
                    <w:rPr>
                      <w:noProof/>
                    </w:rPr>
                    <w:t>zał</w:t>
                  </w:r>
                  <w:r w:rsidRPr="001357D3">
                    <w:rPr>
                      <w:noProof/>
                    </w:rPr>
                    <w:t>ożeniem, że wszystkie państwa członkowskie powinny mieć możliwość połączenia swoich systemów krajowych</w:t>
                  </w:r>
                  <w:r w:rsidR="001C6403" w:rsidRPr="001357D3">
                    <w:rPr>
                      <w:noProof/>
                    </w:rPr>
                    <w:t xml:space="preserve"> z</w:t>
                  </w:r>
                  <w:r w:rsidR="001C6403">
                    <w:rPr>
                      <w:noProof/>
                    </w:rPr>
                    <w:t> </w:t>
                  </w:r>
                  <w:r w:rsidR="001C6403" w:rsidRPr="001357D3">
                    <w:rPr>
                      <w:noProof/>
                    </w:rPr>
                    <w:t>sys</w:t>
                  </w:r>
                  <w:r w:rsidRPr="001357D3">
                    <w:rPr>
                      <w:noProof/>
                    </w:rPr>
                    <w:t>temem centralnym,</w:t>
                  </w:r>
                  <w:r w:rsidR="001C6403" w:rsidRPr="001357D3">
                    <w:rPr>
                      <w:noProof/>
                    </w:rPr>
                    <w:t xml:space="preserve"> a</w:t>
                  </w:r>
                  <w:r w:rsidR="001C6403">
                    <w:rPr>
                      <w:noProof/>
                    </w:rPr>
                    <w:t> </w:t>
                  </w:r>
                  <w:r w:rsidR="001C6403" w:rsidRPr="001357D3">
                    <w:rPr>
                      <w:noProof/>
                    </w:rPr>
                    <w:t>prz</w:t>
                  </w:r>
                  <w:r w:rsidRPr="001357D3">
                    <w:rPr>
                      <w:noProof/>
                    </w:rPr>
                    <w:t>ede wszystkim możliwość wzajemnego łączenia się między sobą przy wykorzystaniu wspólnie uzgodnionych cyfrowych standardów proceduralnych, określonych</w:t>
                  </w:r>
                  <w:r w:rsidR="001C6403" w:rsidRPr="001357D3">
                    <w:rPr>
                      <w:noProof/>
                    </w:rPr>
                    <w:t xml:space="preserve"> w</w:t>
                  </w:r>
                  <w:r w:rsidR="001C6403">
                    <w:rPr>
                      <w:noProof/>
                    </w:rPr>
                    <w:t> </w:t>
                  </w:r>
                  <w:r w:rsidR="001C6403" w:rsidRPr="001357D3">
                    <w:rPr>
                      <w:noProof/>
                    </w:rPr>
                    <w:t>roz</w:t>
                  </w:r>
                  <w:r w:rsidRPr="001357D3">
                    <w:rPr>
                      <w:noProof/>
                    </w:rPr>
                    <w:t>porządzeniu</w:t>
                  </w:r>
                  <w:r w:rsidR="001C6403" w:rsidRPr="001357D3">
                    <w:rPr>
                      <w:noProof/>
                    </w:rPr>
                    <w:t xml:space="preserve"> w</w:t>
                  </w:r>
                  <w:r w:rsidR="001C6403">
                    <w:rPr>
                      <w:noProof/>
                    </w:rPr>
                    <w:t> </w:t>
                  </w:r>
                  <w:r w:rsidR="001C6403" w:rsidRPr="001357D3">
                    <w:rPr>
                      <w:noProof/>
                    </w:rPr>
                    <w:t>spr</w:t>
                  </w:r>
                  <w:r w:rsidRPr="001357D3">
                    <w:rPr>
                      <w:noProof/>
                    </w:rPr>
                    <w:t xml:space="preserve">awie cyfryzacji. Rozwiązanie na </w:t>
                  </w:r>
                  <w:r w:rsidRPr="001357D3">
                    <w:rPr>
                      <w:noProof/>
                    </w:rPr>
                    <w:lastRenderedPageBreak/>
                    <w:t>szczeblu UE musi być interoperacyjne samo</w:t>
                  </w:r>
                  <w:r w:rsidR="001C6403" w:rsidRPr="001357D3">
                    <w:rPr>
                      <w:noProof/>
                    </w:rPr>
                    <w:t xml:space="preserve"> w</w:t>
                  </w:r>
                  <w:r w:rsidR="001C6403">
                    <w:rPr>
                      <w:noProof/>
                    </w:rPr>
                    <w:t> </w:t>
                  </w:r>
                  <w:r w:rsidR="001C6403" w:rsidRPr="001357D3">
                    <w:rPr>
                      <w:noProof/>
                    </w:rPr>
                    <w:t>sob</w:t>
                  </w:r>
                  <w:r w:rsidRPr="001357D3">
                    <w:rPr>
                      <w:noProof/>
                    </w:rPr>
                    <w:t>ie, aby umożliwiać</w:t>
                  </w:r>
                  <w:r w:rsidR="001C6403" w:rsidRPr="001357D3">
                    <w:rPr>
                      <w:noProof/>
                    </w:rPr>
                    <w:t xml:space="preserve"> i</w:t>
                  </w:r>
                  <w:r w:rsidR="001C6403">
                    <w:rPr>
                      <w:noProof/>
                    </w:rPr>
                    <w:t> </w:t>
                  </w:r>
                  <w:r w:rsidR="001C6403" w:rsidRPr="001357D3">
                    <w:rPr>
                      <w:noProof/>
                    </w:rPr>
                    <w:t>wsp</w:t>
                  </w:r>
                  <w:r w:rsidRPr="001357D3">
                    <w:rPr>
                      <w:noProof/>
                    </w:rPr>
                    <w:t>ierać integrację</w:t>
                  </w:r>
                  <w:r w:rsidR="001C6403" w:rsidRPr="001357D3">
                    <w:rPr>
                      <w:noProof/>
                    </w:rPr>
                    <w:t xml:space="preserve"> z</w:t>
                  </w:r>
                  <w:r w:rsidR="001C6403">
                    <w:rPr>
                      <w:noProof/>
                    </w:rPr>
                    <w:t> </w:t>
                  </w:r>
                  <w:r w:rsidR="001C6403" w:rsidRPr="001357D3">
                    <w:rPr>
                      <w:noProof/>
                    </w:rPr>
                    <w:t>ist</w:t>
                  </w:r>
                  <w:r w:rsidRPr="001357D3">
                    <w:rPr>
                      <w:noProof/>
                    </w:rPr>
                    <w:t>niejącymi</w:t>
                  </w:r>
                  <w:r w:rsidR="001C6403" w:rsidRPr="001357D3">
                    <w:rPr>
                      <w:noProof/>
                    </w:rPr>
                    <w:t xml:space="preserve"> i</w:t>
                  </w:r>
                  <w:r w:rsidR="001C6403">
                    <w:rPr>
                      <w:noProof/>
                    </w:rPr>
                    <w:t> </w:t>
                  </w:r>
                  <w:r w:rsidR="001C6403" w:rsidRPr="001357D3">
                    <w:rPr>
                      <w:noProof/>
                    </w:rPr>
                    <w:t>now</w:t>
                  </w:r>
                  <w:r w:rsidRPr="001357D3">
                    <w:rPr>
                      <w:noProof/>
                    </w:rPr>
                    <w:t>o opracowanymi rozwiązaniami krajowymi.</w:t>
                  </w:r>
                </w:p>
              </w:tc>
            </w:tr>
          </w:tbl>
          <w:p w14:paraId="0E72CB29" w14:textId="77777777" w:rsidR="00546451" w:rsidRPr="001357D3" w:rsidRDefault="00546451" w:rsidP="00546451">
            <w:pPr>
              <w:spacing w:line="259" w:lineRule="auto"/>
              <w:rPr>
                <w:noProof/>
              </w:rPr>
            </w:pPr>
          </w:p>
        </w:tc>
      </w:tr>
    </w:tbl>
    <w:p w14:paraId="4D14A5E1" w14:textId="77777777" w:rsidR="00546451" w:rsidRPr="001357D3" w:rsidRDefault="00546451" w:rsidP="00546451">
      <w:pPr>
        <w:keepNext/>
        <w:tabs>
          <w:tab w:val="left" w:pos="850"/>
        </w:tabs>
        <w:ind w:left="850" w:hanging="850"/>
        <w:outlineLvl w:val="1"/>
        <w:rPr>
          <w:b/>
          <w:noProof/>
        </w:rPr>
      </w:pPr>
      <w:bookmarkStart w:id="278" w:name="_Toc167220306"/>
      <w:bookmarkStart w:id="279" w:name="_Toc177549041"/>
      <w:bookmarkStart w:id="280" w:name="_Toc210923294"/>
      <w:r w:rsidRPr="001357D3">
        <w:rPr>
          <w:b/>
          <w:noProof/>
        </w:rPr>
        <w:lastRenderedPageBreak/>
        <w:t>4.5.</w:t>
      </w:r>
      <w:r w:rsidRPr="001357D3">
        <w:rPr>
          <w:noProof/>
        </w:rPr>
        <w:tab/>
      </w:r>
      <w:r w:rsidRPr="001357D3">
        <w:rPr>
          <w:b/>
          <w:noProof/>
        </w:rPr>
        <w:t>Środki wspierające cyfrowe wdrażanie</w:t>
      </w:r>
      <w:bookmarkEnd w:id="278"/>
      <w:bookmarkEnd w:id="279"/>
      <w:bookmarkEnd w:id="280"/>
    </w:p>
    <w:tbl>
      <w:tblPr>
        <w:tblStyle w:val="TableGrid2"/>
        <w:tblpPr w:leftFromText="141" w:rightFromText="141" w:vertAnchor="text" w:horzAnchor="margin" w:tblpY="49"/>
        <w:tblW w:w="9067" w:type="dxa"/>
        <w:tblLook w:val="04A0" w:firstRow="1" w:lastRow="0" w:firstColumn="1" w:lastColumn="0" w:noHBand="0" w:noVBand="1"/>
      </w:tblPr>
      <w:tblGrid>
        <w:gridCol w:w="9067"/>
      </w:tblGrid>
      <w:tr w:rsidR="00546451" w:rsidRPr="001357D3" w14:paraId="4E793569" w14:textId="77777777">
        <w:tc>
          <w:tcPr>
            <w:tcW w:w="9067" w:type="dxa"/>
          </w:tcPr>
          <w:tbl>
            <w:tblPr>
              <w:tblW w:w="0" w:type="auto"/>
              <w:tblLook w:val="06A0" w:firstRow="1" w:lastRow="0" w:firstColumn="1" w:lastColumn="0" w:noHBand="1" w:noVBand="1"/>
            </w:tblPr>
            <w:tblGrid>
              <w:gridCol w:w="8851"/>
            </w:tblGrid>
            <w:tr w:rsidR="00D31917" w:rsidRPr="001357D3" w14:paraId="40A8EFD0" w14:textId="77777777">
              <w:trPr>
                <w:trHeight w:val="300"/>
              </w:trPr>
              <w:tc>
                <w:tcPr>
                  <w:tcW w:w="8857" w:type="dxa"/>
                  <w:tcMar>
                    <w:left w:w="141" w:type="dxa"/>
                    <w:right w:w="141" w:type="dxa"/>
                  </w:tcMar>
                </w:tcPr>
                <w:p w14:paraId="2C2C759E" w14:textId="0649CC4A" w:rsidR="00546451" w:rsidRPr="001357D3" w:rsidRDefault="00546451" w:rsidP="00546451">
                  <w:pPr>
                    <w:framePr w:hSpace="141" w:wrap="around" w:vAnchor="text" w:hAnchor="margin" w:y="49"/>
                    <w:rPr>
                      <w:rFonts w:eastAsia="Times New Roman"/>
                      <w:noProof/>
                      <w:szCs w:val="24"/>
                    </w:rPr>
                  </w:pPr>
                  <w:r w:rsidRPr="001357D3">
                    <w:rPr>
                      <w:noProof/>
                    </w:rPr>
                    <w:t>W związku</w:t>
                  </w:r>
                  <w:r w:rsidR="001C6403" w:rsidRPr="001357D3">
                    <w:rPr>
                      <w:noProof/>
                    </w:rPr>
                    <w:t xml:space="preserve"> z</w:t>
                  </w:r>
                  <w:r w:rsidR="001C6403">
                    <w:rPr>
                      <w:noProof/>
                    </w:rPr>
                    <w:t> </w:t>
                  </w:r>
                  <w:r w:rsidR="001C6403" w:rsidRPr="001357D3">
                    <w:rPr>
                      <w:noProof/>
                    </w:rPr>
                    <w:t>prz</w:t>
                  </w:r>
                  <w:r w:rsidRPr="001357D3">
                    <w:rPr>
                      <w:noProof/>
                    </w:rPr>
                    <w:t>yszłym planowaniem wszystkie instrumenty prawne związane</w:t>
                  </w:r>
                  <w:r w:rsidR="001C6403" w:rsidRPr="001357D3">
                    <w:rPr>
                      <w:noProof/>
                    </w:rPr>
                    <w:t xml:space="preserve"> z</w:t>
                  </w:r>
                  <w:r w:rsidR="001C6403">
                    <w:rPr>
                      <w:noProof/>
                    </w:rPr>
                    <w:t> </w:t>
                  </w:r>
                  <w:r w:rsidR="001C6403" w:rsidRPr="001357D3">
                    <w:rPr>
                      <w:noProof/>
                    </w:rPr>
                    <w:t>wym</w:t>
                  </w:r>
                  <w:r w:rsidRPr="001357D3">
                    <w:rPr>
                      <w:noProof/>
                    </w:rPr>
                    <w:t>iarem sprawiedliwości przewidują lub mają przewidywać pewien poziom cyfryzacji. Spowoduje to nałożenie na UE obowiązku opracowania nowych systemów</w:t>
                  </w:r>
                  <w:r w:rsidR="001C6403" w:rsidRPr="001357D3">
                    <w:rPr>
                      <w:noProof/>
                    </w:rPr>
                    <w:t xml:space="preserve"> i</w:t>
                  </w:r>
                  <w:r w:rsidR="001C6403">
                    <w:rPr>
                      <w:noProof/>
                    </w:rPr>
                    <w:t> </w:t>
                  </w:r>
                  <w:r w:rsidR="001C6403" w:rsidRPr="001357D3">
                    <w:rPr>
                      <w:noProof/>
                    </w:rPr>
                    <w:t>roz</w:t>
                  </w:r>
                  <w:r w:rsidRPr="001357D3">
                    <w:rPr>
                      <w:noProof/>
                    </w:rPr>
                    <w:t>wiązań, a na państwa członkowskie – obowiązek połączenia się</w:t>
                  </w:r>
                  <w:r w:rsidR="001C6403" w:rsidRPr="001357D3">
                    <w:rPr>
                      <w:noProof/>
                    </w:rPr>
                    <w:t xml:space="preserve"> z</w:t>
                  </w:r>
                  <w:r w:rsidR="001C6403">
                    <w:rPr>
                      <w:noProof/>
                    </w:rPr>
                    <w:t> </w:t>
                  </w:r>
                  <w:r w:rsidR="001C6403" w:rsidRPr="001357D3">
                    <w:rPr>
                      <w:noProof/>
                    </w:rPr>
                    <w:t>tym</w:t>
                  </w:r>
                  <w:r w:rsidRPr="001357D3">
                    <w:rPr>
                      <w:noProof/>
                    </w:rPr>
                    <w:t>i systemami</w:t>
                  </w:r>
                  <w:r w:rsidR="001C6403" w:rsidRPr="001357D3">
                    <w:rPr>
                      <w:noProof/>
                    </w:rPr>
                    <w:t>. W</w:t>
                  </w:r>
                  <w:r w:rsidR="001C6403">
                    <w:rPr>
                      <w:noProof/>
                    </w:rPr>
                    <w:t> </w:t>
                  </w:r>
                  <w:r w:rsidR="001C6403" w:rsidRPr="001357D3">
                    <w:rPr>
                      <w:noProof/>
                    </w:rPr>
                    <w:t>tym</w:t>
                  </w:r>
                  <w:r w:rsidRPr="001357D3">
                    <w:rPr>
                      <w:noProof/>
                    </w:rPr>
                    <w:t xml:space="preserve"> względzie program „Sprawiedliwość” będzie wspierał wdrażanie cyfrowe za pomocą różnych środków. Może to obejmować postępowania</w:t>
                  </w:r>
                  <w:r w:rsidR="001C6403" w:rsidRPr="001357D3">
                    <w:rPr>
                      <w:noProof/>
                    </w:rPr>
                    <w:t xml:space="preserve"> o</w:t>
                  </w:r>
                  <w:r w:rsidR="001C6403">
                    <w:rPr>
                      <w:noProof/>
                    </w:rPr>
                    <w:t> </w:t>
                  </w:r>
                  <w:r w:rsidR="001C6403" w:rsidRPr="001357D3">
                    <w:rPr>
                      <w:noProof/>
                    </w:rPr>
                    <w:t>udz</w:t>
                  </w:r>
                  <w:r w:rsidRPr="001357D3">
                    <w:rPr>
                      <w:noProof/>
                    </w:rPr>
                    <w:t>ielenie zamówienia publicznego na ICT, wewnętrzne opracowanie rozwiązania na szczeblu UE oraz wsparcie dla państw członkowskich</w:t>
                  </w:r>
                  <w:r w:rsidR="001C6403" w:rsidRPr="001357D3">
                    <w:rPr>
                      <w:noProof/>
                    </w:rPr>
                    <w:t xml:space="preserve"> w</w:t>
                  </w:r>
                  <w:r w:rsidR="001C6403">
                    <w:rPr>
                      <w:noProof/>
                    </w:rPr>
                    <w:t> </w:t>
                  </w:r>
                  <w:r w:rsidR="001C6403" w:rsidRPr="001357D3">
                    <w:rPr>
                      <w:noProof/>
                    </w:rPr>
                    <w:t>for</w:t>
                  </w:r>
                  <w:r w:rsidRPr="001357D3">
                    <w:rPr>
                      <w:noProof/>
                    </w:rPr>
                    <w:t>mie wymiany wiedzy fachowej, udzielania dotacji na działania lub innych form pomocy.</w:t>
                  </w:r>
                </w:p>
              </w:tc>
            </w:tr>
          </w:tbl>
          <w:p w14:paraId="2C04C7FE" w14:textId="77777777" w:rsidR="00546451" w:rsidRPr="001357D3" w:rsidRDefault="00546451" w:rsidP="00546451">
            <w:pPr>
              <w:rPr>
                <w:noProof/>
                <w:szCs w:val="24"/>
              </w:rPr>
            </w:pPr>
          </w:p>
        </w:tc>
      </w:tr>
    </w:tbl>
    <w:p w14:paraId="1B02EAB1" w14:textId="77777777" w:rsidR="00546451" w:rsidRPr="001357D3" w:rsidRDefault="00546451" w:rsidP="00546451">
      <w:pPr>
        <w:rPr>
          <w:noProof/>
        </w:rPr>
      </w:pPr>
    </w:p>
    <w:bookmarkEnd w:id="262"/>
    <w:p w14:paraId="31417CB4" w14:textId="77777777" w:rsidR="00546451" w:rsidRPr="001357D3" w:rsidRDefault="00546451" w:rsidP="00546451">
      <w:pPr>
        <w:pStyle w:val="Akapitzlist"/>
        <w:keepNext/>
        <w:tabs>
          <w:tab w:val="left" w:pos="850"/>
        </w:tabs>
        <w:spacing w:before="360"/>
        <w:ind w:left="850"/>
        <w:outlineLvl w:val="0"/>
        <w:rPr>
          <w:b/>
          <w:caps/>
          <w:smallCaps/>
          <w:noProof/>
        </w:rPr>
      </w:pPr>
    </w:p>
    <w:sectPr w:rsidR="00546451" w:rsidRPr="001357D3" w:rsidSect="007B3949">
      <w:headerReference w:type="default" r:id="rId23"/>
      <w:footerReference w:type="default" r:id="rId24"/>
      <w:footnotePr>
        <w:numRestart w:val="eachSect"/>
      </w:footnotePr>
      <w:endnotePr>
        <w:numRestart w:val="eachSect"/>
      </w:end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A137" w14:textId="77777777" w:rsidR="00B82ECD" w:rsidRPr="00177934" w:rsidRDefault="00B82ECD" w:rsidP="00C5603D">
      <w:pPr>
        <w:spacing w:before="0" w:after="0"/>
      </w:pPr>
      <w:r>
        <w:separator/>
      </w:r>
    </w:p>
  </w:endnote>
  <w:endnote w:type="continuationSeparator" w:id="0">
    <w:p w14:paraId="0BD92F2F" w14:textId="77777777" w:rsidR="00B82ECD" w:rsidRPr="00177934" w:rsidRDefault="00B82ECD" w:rsidP="00C5603D">
      <w:pPr>
        <w:spacing w:before="0" w:after="0"/>
      </w:pPr>
      <w:r>
        <w:continuationSeparator/>
      </w:r>
    </w:p>
  </w:endnote>
  <w:endnote w:type="continuationNotice" w:id="1">
    <w:p w14:paraId="1827C3F6" w14:textId="77777777" w:rsidR="00B82ECD" w:rsidRPr="00177934" w:rsidRDefault="00B82E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EU Albertin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5409" w14:textId="4D2FA695" w:rsidR="007B3949" w:rsidRPr="007B3949" w:rsidRDefault="007B3949" w:rsidP="007B3949">
    <w:pPr>
      <w:pStyle w:val="Stopka"/>
      <w:rPr>
        <w:rFonts w:ascii="Arial" w:hAnsi="Arial" w:cs="Arial"/>
        <w:b/>
        <w:sz w:val="48"/>
      </w:rPr>
    </w:pPr>
    <w:r w:rsidRPr="007B3949">
      <w:rPr>
        <w:rFonts w:ascii="Arial" w:hAnsi="Arial" w:cs="Arial"/>
        <w:b/>
        <w:sz w:val="48"/>
      </w:rPr>
      <w:t>PL</w:t>
    </w:r>
    <w:r w:rsidRPr="007B3949">
      <w:rPr>
        <w:rFonts w:ascii="Arial" w:hAnsi="Arial" w:cs="Arial"/>
        <w:b/>
        <w:sz w:val="48"/>
      </w:rPr>
      <w:tab/>
    </w:r>
    <w:r w:rsidRPr="007B3949">
      <w:rPr>
        <w:rFonts w:ascii="Arial" w:hAnsi="Arial" w:cs="Arial"/>
        <w:b/>
        <w:sz w:val="48"/>
      </w:rPr>
      <w:tab/>
    </w:r>
    <w:r w:rsidRPr="007B3949">
      <w:tab/>
    </w:r>
    <w:r w:rsidRPr="007B3949">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A06" w14:textId="5D6D8463" w:rsidR="007B3949" w:rsidRPr="007B3949" w:rsidRDefault="007B3949" w:rsidP="007B3949">
    <w:pPr>
      <w:pStyle w:val="Stopka"/>
      <w:rPr>
        <w:rFonts w:ascii="Arial" w:hAnsi="Arial" w:cs="Arial"/>
        <w:b/>
        <w:sz w:val="48"/>
      </w:rPr>
    </w:pPr>
    <w:r w:rsidRPr="007B3949">
      <w:rPr>
        <w:rFonts w:ascii="Arial" w:hAnsi="Arial" w:cs="Arial"/>
        <w:b/>
        <w:sz w:val="48"/>
      </w:rPr>
      <w:t>PL</w:t>
    </w:r>
    <w:r w:rsidRPr="007B3949">
      <w:rPr>
        <w:rFonts w:ascii="Arial" w:hAnsi="Arial" w:cs="Arial"/>
        <w:b/>
        <w:sz w:val="48"/>
      </w:rPr>
      <w:tab/>
    </w:r>
    <w:r w:rsidRPr="007B3949">
      <w:rPr>
        <w:rFonts w:ascii="Arial" w:hAnsi="Arial" w:cs="Arial"/>
        <w:b/>
        <w:sz w:val="48"/>
      </w:rPr>
      <w:tab/>
    </w:r>
    <w:r w:rsidRPr="007B3949">
      <w:tab/>
    </w:r>
    <w:r w:rsidRPr="007B3949">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C815" w14:textId="77777777" w:rsidR="007B3949" w:rsidRDefault="007B394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0888" w14:textId="263C840F" w:rsidR="007B3949" w:rsidRPr="007B3949" w:rsidRDefault="007B3949" w:rsidP="007B3949">
    <w:pPr>
      <w:pStyle w:val="Stopka"/>
      <w:rPr>
        <w:rFonts w:ascii="Arial" w:hAnsi="Arial" w:cs="Arial"/>
        <w:b/>
        <w:sz w:val="48"/>
      </w:rPr>
    </w:pPr>
    <w:r w:rsidRPr="007B3949">
      <w:rPr>
        <w:rFonts w:ascii="Arial" w:hAnsi="Arial" w:cs="Arial"/>
        <w:b/>
        <w:sz w:val="48"/>
      </w:rPr>
      <w:t>PL</w:t>
    </w:r>
    <w:r w:rsidRPr="007B3949">
      <w:rPr>
        <w:rFonts w:ascii="Arial" w:hAnsi="Arial" w:cs="Arial"/>
        <w:b/>
        <w:sz w:val="48"/>
      </w:rPr>
      <w:tab/>
    </w:r>
    <w:r>
      <w:fldChar w:fldCharType="begin"/>
    </w:r>
    <w:r>
      <w:instrText xml:space="preserve"> PAGE  \* MERGEFORMAT </w:instrText>
    </w:r>
    <w:r>
      <w:fldChar w:fldCharType="separate"/>
    </w:r>
    <w:r w:rsidR="007961D3">
      <w:rPr>
        <w:noProof/>
      </w:rPr>
      <w:t>12</w:t>
    </w:r>
    <w:r>
      <w:fldChar w:fldCharType="end"/>
    </w:r>
    <w:r>
      <w:tab/>
    </w:r>
    <w:r w:rsidRPr="007B3949">
      <w:tab/>
    </w:r>
    <w:r w:rsidRPr="007B3949">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134F" w14:textId="77777777" w:rsidR="007B3949" w:rsidRDefault="007B3949" w:rsidP="007B3949">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D408" w14:textId="1F60544C" w:rsidR="007B3949" w:rsidRPr="007B3949" w:rsidRDefault="007B3949" w:rsidP="007B3949">
    <w:pPr>
      <w:pStyle w:val="FooterLandscape"/>
      <w:rPr>
        <w:rFonts w:ascii="Arial" w:hAnsi="Arial" w:cs="Arial"/>
        <w:b/>
        <w:sz w:val="48"/>
      </w:rPr>
    </w:pPr>
    <w:r w:rsidRPr="007B3949">
      <w:rPr>
        <w:rFonts w:ascii="Arial" w:hAnsi="Arial" w:cs="Arial"/>
        <w:b/>
        <w:sz w:val="48"/>
      </w:rPr>
      <w:t>PL</w:t>
    </w:r>
    <w:r w:rsidRPr="007B394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B3949">
      <w:tab/>
    </w:r>
    <w:r w:rsidRPr="007B3949">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2AE3" w14:textId="1ADB8B3F" w:rsidR="007B3949" w:rsidRPr="007B3949" w:rsidRDefault="007B3949" w:rsidP="007B3949">
    <w:pPr>
      <w:pStyle w:val="Stopka"/>
      <w:rPr>
        <w:rFonts w:ascii="Arial" w:hAnsi="Arial" w:cs="Arial"/>
        <w:b/>
        <w:sz w:val="48"/>
      </w:rPr>
    </w:pPr>
    <w:r w:rsidRPr="007B3949">
      <w:rPr>
        <w:rFonts w:ascii="Arial" w:hAnsi="Arial" w:cs="Arial"/>
        <w:b/>
        <w:sz w:val="48"/>
      </w:rPr>
      <w:t>PL</w:t>
    </w:r>
    <w:r w:rsidRPr="007B394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B3949">
      <w:tab/>
    </w:r>
    <w:r w:rsidRPr="007B3949">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4E4E" w14:textId="77777777" w:rsidR="00B82ECD" w:rsidRPr="00177934" w:rsidRDefault="00B82ECD" w:rsidP="00C5603D">
      <w:pPr>
        <w:spacing w:before="0" w:after="0"/>
      </w:pPr>
      <w:r>
        <w:separator/>
      </w:r>
    </w:p>
  </w:footnote>
  <w:footnote w:type="continuationSeparator" w:id="0">
    <w:p w14:paraId="405BCCD8" w14:textId="77777777" w:rsidR="00B82ECD" w:rsidRPr="00177934" w:rsidRDefault="00B82ECD" w:rsidP="00C5603D">
      <w:pPr>
        <w:spacing w:before="0" w:after="0"/>
      </w:pPr>
      <w:r>
        <w:continuationSeparator/>
      </w:r>
    </w:p>
  </w:footnote>
  <w:footnote w:type="continuationNotice" w:id="1">
    <w:p w14:paraId="3131FBA2" w14:textId="77777777" w:rsidR="00B82ECD" w:rsidRPr="00177934" w:rsidRDefault="00B82ECD">
      <w:pPr>
        <w:spacing w:before="0" w:after="0"/>
      </w:pPr>
    </w:p>
  </w:footnote>
  <w:footnote w:id="2">
    <w:p w14:paraId="400535FF" w14:textId="7234A38D" w:rsidR="277517E0" w:rsidRPr="001357D3" w:rsidRDefault="277517E0" w:rsidP="001B10D2">
      <w:pPr>
        <w:spacing w:before="0" w:after="0"/>
        <w:rPr>
          <w:sz w:val="16"/>
          <w:szCs w:val="16"/>
        </w:rPr>
      </w:pPr>
      <w:r>
        <w:rPr>
          <w:rStyle w:val="Odwoanieprzypisudolnego"/>
        </w:rPr>
        <w:footnoteRef/>
      </w:r>
      <w:r w:rsidRPr="001357D3">
        <w:tab/>
      </w:r>
      <w:r w:rsidRPr="001357D3">
        <w:rPr>
          <w:color w:val="000000" w:themeColor="text1"/>
          <w:sz w:val="16"/>
        </w:rPr>
        <w:t xml:space="preserve">Obejmują one </w:t>
      </w:r>
      <w:hyperlink r:id="rId1">
        <w:r w:rsidRPr="001357D3">
          <w:rPr>
            <w:rStyle w:val="Hipercze"/>
            <w:color w:val="auto"/>
            <w:sz w:val="16"/>
            <w:u w:val="none"/>
          </w:rPr>
          <w:t>europejską strategię szkolenia kadr wymiaru sprawiedliwości</w:t>
        </w:r>
      </w:hyperlink>
      <w:r w:rsidRPr="001357D3">
        <w:rPr>
          <w:color w:val="000000" w:themeColor="text1"/>
          <w:sz w:val="16"/>
        </w:rPr>
        <w:t xml:space="preserve">, </w:t>
      </w:r>
      <w:hyperlink r:id="rId2">
        <w:r w:rsidRPr="001357D3">
          <w:rPr>
            <w:rStyle w:val="Hipercze"/>
            <w:color w:val="auto"/>
            <w:sz w:val="16"/>
            <w:u w:val="none"/>
          </w:rPr>
          <w:t>Strategię UE</w:t>
        </w:r>
        <w:r w:rsidR="001C6403" w:rsidRPr="001357D3">
          <w:rPr>
            <w:rStyle w:val="Hipercze"/>
            <w:color w:val="auto"/>
            <w:sz w:val="16"/>
            <w:u w:val="none"/>
          </w:rPr>
          <w:t xml:space="preserve"> w</w:t>
        </w:r>
        <w:r w:rsidR="001C6403">
          <w:rPr>
            <w:rStyle w:val="Hipercze"/>
            <w:color w:val="auto"/>
            <w:sz w:val="16"/>
            <w:u w:val="none"/>
          </w:rPr>
          <w:t> </w:t>
        </w:r>
        <w:r w:rsidR="001C6403" w:rsidRPr="001357D3">
          <w:rPr>
            <w:rStyle w:val="Hipercze"/>
            <w:color w:val="auto"/>
            <w:sz w:val="16"/>
            <w:u w:val="none"/>
          </w:rPr>
          <w:t>zak</w:t>
        </w:r>
        <w:r w:rsidRPr="001357D3">
          <w:rPr>
            <w:rStyle w:val="Hipercze"/>
            <w:color w:val="auto"/>
            <w:sz w:val="16"/>
            <w:u w:val="none"/>
          </w:rPr>
          <w:t>resie praw ofiar</w:t>
        </w:r>
      </w:hyperlink>
      <w:r w:rsidRPr="001357D3">
        <w:rPr>
          <w:color w:val="000000" w:themeColor="text1"/>
          <w:sz w:val="16"/>
        </w:rPr>
        <w:t xml:space="preserve">, </w:t>
      </w:r>
      <w:hyperlink r:id="rId3">
        <w:r w:rsidRPr="001357D3">
          <w:rPr>
            <w:rStyle w:val="Hipercze"/>
            <w:color w:val="auto"/>
            <w:sz w:val="16"/>
            <w:u w:val="none"/>
          </w:rPr>
          <w:t>Europejską strategię Rady</w:t>
        </w:r>
        <w:r w:rsidR="001C6403" w:rsidRPr="001357D3">
          <w:rPr>
            <w:rStyle w:val="Hipercze"/>
            <w:color w:val="auto"/>
            <w:sz w:val="16"/>
            <w:u w:val="none"/>
          </w:rPr>
          <w:t xml:space="preserve"> w</w:t>
        </w:r>
        <w:r w:rsidR="001C6403">
          <w:rPr>
            <w:rStyle w:val="Hipercze"/>
            <w:color w:val="auto"/>
            <w:sz w:val="16"/>
            <w:u w:val="none"/>
          </w:rPr>
          <w:t> </w:t>
        </w:r>
        <w:r w:rsidR="001C6403" w:rsidRPr="001357D3">
          <w:rPr>
            <w:rStyle w:val="Hipercze"/>
            <w:color w:val="auto"/>
            <w:sz w:val="16"/>
            <w:u w:val="none"/>
          </w:rPr>
          <w:t>dzi</w:t>
        </w:r>
        <w:r w:rsidRPr="001357D3">
          <w:rPr>
            <w:rStyle w:val="Hipercze"/>
            <w:color w:val="auto"/>
            <w:sz w:val="16"/>
            <w:u w:val="none"/>
          </w:rPr>
          <w:t>edzinie e-sprawiedliwości</w:t>
        </w:r>
      </w:hyperlink>
      <w:r w:rsidRPr="001357D3">
        <w:rPr>
          <w:color w:val="000000" w:themeColor="text1"/>
          <w:sz w:val="16"/>
        </w:rPr>
        <w:t xml:space="preserve">, </w:t>
      </w:r>
      <w:hyperlink r:id="rId4">
        <w:r w:rsidRPr="001357D3">
          <w:rPr>
            <w:rStyle w:val="Hipercze"/>
            <w:color w:val="auto"/>
            <w:sz w:val="16"/>
            <w:u w:val="none"/>
          </w:rPr>
          <w:t>strategię UE na rzecz praw dziecka</w:t>
        </w:r>
      </w:hyperlink>
      <w:r w:rsidRPr="001357D3">
        <w:rPr>
          <w:color w:val="000000" w:themeColor="text1"/>
          <w:sz w:val="16"/>
        </w:rPr>
        <w:t xml:space="preserve"> oraz przyszłą strategię Komisji na rzecz cyfryzacji wymiaru sprawiedliwości, której celem jest propagowanie transformacji cyfrowej</w:t>
      </w:r>
      <w:r w:rsidR="001C6403" w:rsidRPr="001357D3">
        <w:rPr>
          <w:color w:val="000000" w:themeColor="text1"/>
          <w:sz w:val="16"/>
        </w:rPr>
        <w:t xml:space="preserve"> w</w:t>
      </w:r>
      <w:r w:rsidR="001C6403">
        <w:rPr>
          <w:color w:val="000000" w:themeColor="text1"/>
          <w:sz w:val="16"/>
        </w:rPr>
        <w:t> </w:t>
      </w:r>
      <w:r w:rsidR="001C6403" w:rsidRPr="001357D3">
        <w:rPr>
          <w:sz w:val="16"/>
        </w:rPr>
        <w:t>sys</w:t>
      </w:r>
      <w:r w:rsidRPr="001357D3">
        <w:rPr>
          <w:sz w:val="16"/>
        </w:rPr>
        <w:t xml:space="preserve">temach </w:t>
      </w:r>
      <w:r w:rsidRPr="001357D3">
        <w:rPr>
          <w:color w:val="000000" w:themeColor="text1"/>
          <w:sz w:val="16"/>
        </w:rPr>
        <w:t>wymiaru sprawiedliwości. Ponadto,</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cel</w:t>
      </w:r>
      <w:r w:rsidRPr="001357D3">
        <w:rPr>
          <w:color w:val="000000" w:themeColor="text1"/>
          <w:sz w:val="16"/>
        </w:rPr>
        <w:t xml:space="preserve">u dalszego wspierania praworządności, Komisja Europejska ustanowiła </w:t>
      </w:r>
      <w:hyperlink r:id="rId5">
        <w:r w:rsidRPr="001357D3">
          <w:rPr>
            <w:rStyle w:val="Hipercze"/>
            <w:color w:val="auto"/>
            <w:sz w:val="16"/>
            <w:u w:val="none"/>
          </w:rPr>
          <w:t>mechanizm praworządności</w:t>
        </w:r>
      </w:hyperlink>
      <w:r w:rsidRPr="001357D3">
        <w:rPr>
          <w:color w:val="000000" w:themeColor="text1"/>
          <w:sz w:val="16"/>
        </w:rPr>
        <w:t>,</w:t>
      </w:r>
      <w:r w:rsidR="001C6403" w:rsidRPr="001357D3">
        <w:rPr>
          <w:color w:val="000000" w:themeColor="text1"/>
          <w:sz w:val="16"/>
        </w:rPr>
        <w:t xml:space="preserve"> </w:t>
      </w:r>
      <w:r w:rsidR="001C6403" w:rsidRPr="001357D3">
        <w:t>w</w:t>
      </w:r>
      <w:r w:rsidR="001C6403">
        <w:rPr>
          <w:color w:val="000000" w:themeColor="text1"/>
          <w:sz w:val="16"/>
        </w:rPr>
        <w:t> </w:t>
      </w:r>
      <w:r w:rsidR="001C6403" w:rsidRPr="001357D3">
        <w:t>tym</w:t>
      </w:r>
      <w:r w:rsidRPr="001357D3">
        <w:t xml:space="preserve"> wprowadziła </w:t>
      </w:r>
      <w:r w:rsidRPr="001357D3">
        <w:rPr>
          <w:color w:val="000000" w:themeColor="text1"/>
          <w:sz w:val="16"/>
        </w:rPr>
        <w:t>roczne sprawozdania na temat praworządności,</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któ</w:t>
      </w:r>
      <w:r w:rsidRPr="001357D3">
        <w:rPr>
          <w:color w:val="000000" w:themeColor="text1"/>
          <w:sz w:val="16"/>
        </w:rPr>
        <w:t>rych ocenia się zmiany</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zak</w:t>
      </w:r>
      <w:r w:rsidRPr="001357D3">
        <w:rPr>
          <w:color w:val="000000" w:themeColor="text1"/>
          <w:sz w:val="16"/>
        </w:rPr>
        <w:t>resie niezależności sądownictwa, ram antykorupcyjnych</w:t>
      </w:r>
      <w:r w:rsidR="001C6403" w:rsidRPr="001357D3">
        <w:rPr>
          <w:color w:val="000000" w:themeColor="text1"/>
          <w:sz w:val="16"/>
        </w:rPr>
        <w:t xml:space="preserve"> i</w:t>
      </w:r>
      <w:r w:rsidR="001C6403">
        <w:rPr>
          <w:color w:val="000000" w:themeColor="text1"/>
          <w:sz w:val="16"/>
        </w:rPr>
        <w:t> </w:t>
      </w:r>
      <w:r w:rsidR="001C6403" w:rsidRPr="001357D3">
        <w:rPr>
          <w:color w:val="000000" w:themeColor="text1"/>
          <w:sz w:val="16"/>
        </w:rPr>
        <w:t>dos</w:t>
      </w:r>
      <w:r w:rsidRPr="001357D3">
        <w:rPr>
          <w:color w:val="000000" w:themeColor="text1"/>
          <w:sz w:val="16"/>
        </w:rPr>
        <w:t>tępu do wymiaru sprawiedliwości</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pań</w:t>
      </w:r>
      <w:r w:rsidRPr="001357D3">
        <w:rPr>
          <w:color w:val="000000" w:themeColor="text1"/>
          <w:sz w:val="16"/>
        </w:rPr>
        <w:t xml:space="preserve">stwach członkowskich. W </w:t>
      </w:r>
      <w:hyperlink r:id="rId6">
        <w:r w:rsidRPr="001357D3">
          <w:rPr>
            <w:rStyle w:val="Hipercze"/>
            <w:color w:val="auto"/>
            <w:sz w:val="16"/>
            <w:u w:val="none"/>
          </w:rPr>
          <w:t>przyjętym</w:t>
        </w:r>
        <w:r w:rsidR="001C6403" w:rsidRPr="001357D3">
          <w:rPr>
            <w:rStyle w:val="Hipercze"/>
            <w:color w:val="auto"/>
            <w:sz w:val="16"/>
            <w:u w:val="none"/>
          </w:rPr>
          <w:t xml:space="preserve"> w</w:t>
        </w:r>
        <w:r w:rsidR="001C6403">
          <w:rPr>
            <w:rStyle w:val="Hipercze"/>
            <w:color w:val="auto"/>
            <w:sz w:val="16"/>
            <w:u w:val="none"/>
          </w:rPr>
          <w:t> </w:t>
        </w:r>
        <w:r w:rsidR="001C6403" w:rsidRPr="001357D3">
          <w:rPr>
            <w:rStyle w:val="Hipercze"/>
            <w:color w:val="auto"/>
            <w:sz w:val="16"/>
            <w:u w:val="none"/>
          </w:rPr>
          <w:t>2</w:t>
        </w:r>
        <w:r w:rsidRPr="001357D3">
          <w:rPr>
            <w:rStyle w:val="Hipercze"/>
            <w:color w:val="auto"/>
            <w:sz w:val="16"/>
            <w:u w:val="none"/>
          </w:rPr>
          <w:t>023 r. pakiecie antykorupcyjnym</w:t>
        </w:r>
      </w:hyperlink>
      <w:r w:rsidRPr="001357D3">
        <w:rPr>
          <w:color w:val="000000" w:themeColor="text1"/>
          <w:sz w:val="16"/>
        </w:rPr>
        <w:t xml:space="preserve"> Komisji wprowadzono kompleksowe środki mające na celu zwalczanie korupcji, zwiększenie przejrzystości oraz ochronę integralności sądów</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cał</w:t>
      </w:r>
      <w:r w:rsidRPr="001357D3">
        <w:rPr>
          <w:color w:val="000000" w:themeColor="text1"/>
          <w:sz w:val="16"/>
        </w:rPr>
        <w:t xml:space="preserve">ej Unii. UE przyjęła również </w:t>
      </w:r>
      <w:hyperlink r:id="rId7">
        <w:r w:rsidRPr="001357D3">
          <w:rPr>
            <w:rStyle w:val="Hipercze"/>
            <w:color w:val="467886"/>
            <w:sz w:val="16"/>
          </w:rPr>
          <w:t>strategię bezpieczeństwa wewnętrznego</w:t>
        </w:r>
      </w:hyperlink>
      <w:r w:rsidRPr="001357D3">
        <w:rPr>
          <w:color w:val="000000" w:themeColor="text1"/>
          <w:sz w:val="16"/>
        </w:rPr>
        <w:t xml:space="preserve"> i </w:t>
      </w:r>
      <w:hyperlink r:id="rId8">
        <w:r w:rsidRPr="001357D3">
          <w:rPr>
            <w:rStyle w:val="Hipercze"/>
            <w:color w:val="467886"/>
            <w:sz w:val="16"/>
          </w:rPr>
          <w:t>plan</w:t>
        </w:r>
        <w:r w:rsidR="001C6403" w:rsidRPr="001357D3">
          <w:rPr>
            <w:rStyle w:val="Hipercze"/>
            <w:color w:val="467886"/>
            <w:sz w:val="16"/>
          </w:rPr>
          <w:t xml:space="preserve"> w</w:t>
        </w:r>
        <w:r w:rsidR="001C6403">
          <w:rPr>
            <w:rStyle w:val="Hipercze"/>
            <w:color w:val="467886"/>
            <w:sz w:val="16"/>
          </w:rPr>
          <w:t> </w:t>
        </w:r>
        <w:r w:rsidR="001C6403" w:rsidRPr="001357D3">
          <w:rPr>
            <w:rStyle w:val="Hipercze"/>
            <w:color w:val="467886"/>
            <w:sz w:val="16"/>
          </w:rPr>
          <w:t>dzi</w:t>
        </w:r>
        <w:r w:rsidRPr="001357D3">
          <w:rPr>
            <w:rStyle w:val="Hipercze"/>
            <w:color w:val="467886"/>
            <w:sz w:val="16"/>
          </w:rPr>
          <w:t>edzinie zwalczania terroryzmu</w:t>
        </w:r>
      </w:hyperlink>
      <w:r w:rsidRPr="001357D3">
        <w:rPr>
          <w:color w:val="000000" w:themeColor="text1"/>
          <w:sz w:val="16"/>
        </w:rPr>
        <w:t>.</w:t>
      </w:r>
    </w:p>
  </w:footnote>
  <w:footnote w:id="3">
    <w:p w14:paraId="69879500" w14:textId="5E327C16" w:rsidR="277517E0" w:rsidRPr="001357D3" w:rsidRDefault="277517E0" w:rsidP="001B10D2">
      <w:pPr>
        <w:spacing w:before="0" w:after="0"/>
        <w:rPr>
          <w:rFonts w:eastAsia="Times New Roman"/>
          <w:color w:val="000000" w:themeColor="text1"/>
          <w:sz w:val="16"/>
          <w:szCs w:val="16"/>
        </w:rPr>
      </w:pPr>
      <w:r>
        <w:rPr>
          <w:rStyle w:val="Odwoanieprzypisudolnego"/>
        </w:rPr>
        <w:footnoteRef/>
      </w:r>
      <w:r w:rsidRPr="001357D3">
        <w:tab/>
      </w:r>
      <w:r w:rsidRPr="00AC1B68">
        <w:rPr>
          <w:sz w:val="16"/>
          <w:szCs w:val="16"/>
        </w:rPr>
        <w:t xml:space="preserve">Na przykład spostrzeżenia z </w:t>
      </w:r>
      <w:hyperlink r:id="rId9">
        <w:r w:rsidRPr="00AC1B68">
          <w:rPr>
            <w:rStyle w:val="Hipercze"/>
            <w:color w:val="0000FF"/>
            <w:sz w:val="16"/>
            <w:szCs w:val="16"/>
          </w:rPr>
          <w:t>unijnej tablicy wyników wymiaru sprawiedliwości</w:t>
        </w:r>
        <w:r w:rsidR="001C6403" w:rsidRPr="00AC1B68">
          <w:rPr>
            <w:rStyle w:val="Hipercze"/>
            <w:color w:val="0000FF"/>
            <w:sz w:val="16"/>
            <w:szCs w:val="16"/>
          </w:rPr>
          <w:t xml:space="preserve"> z</w:t>
        </w:r>
        <w:r w:rsidR="001C6403">
          <w:rPr>
            <w:rStyle w:val="Hipercze"/>
            <w:color w:val="0000FF"/>
            <w:sz w:val="16"/>
            <w:szCs w:val="16"/>
          </w:rPr>
          <w:t> </w:t>
        </w:r>
        <w:r w:rsidR="001C6403" w:rsidRPr="00AC1B68">
          <w:rPr>
            <w:rStyle w:val="Hipercze"/>
            <w:color w:val="0000FF"/>
            <w:sz w:val="16"/>
            <w:szCs w:val="16"/>
          </w:rPr>
          <w:t>2</w:t>
        </w:r>
        <w:r w:rsidRPr="00AC1B68">
          <w:rPr>
            <w:rStyle w:val="Hipercze"/>
            <w:color w:val="0000FF"/>
            <w:sz w:val="16"/>
            <w:szCs w:val="16"/>
          </w:rPr>
          <w:t>0</w:t>
        </w:r>
        <w:r w:rsidRPr="001C6403">
          <w:rPr>
            <w:rStyle w:val="Hipercze"/>
            <w:color w:val="0000FF"/>
            <w:sz w:val="16"/>
            <w:szCs w:val="16"/>
          </w:rPr>
          <w:t>24</w:t>
        </w:r>
        <w:r w:rsidR="001C6403" w:rsidRPr="001C6403">
          <w:rPr>
            <w:rStyle w:val="Hipercze"/>
            <w:color w:val="0000FF"/>
            <w:sz w:val="16"/>
            <w:szCs w:val="16"/>
          </w:rPr>
          <w:t> </w:t>
        </w:r>
        <w:r w:rsidRPr="001C6403">
          <w:rPr>
            <w:rStyle w:val="Hipercze"/>
            <w:color w:val="0000FF"/>
            <w:sz w:val="16"/>
            <w:szCs w:val="16"/>
          </w:rPr>
          <w:t>r.</w:t>
        </w:r>
      </w:hyperlink>
      <w:r w:rsidRPr="00AC1B68">
        <w:rPr>
          <w:sz w:val="16"/>
          <w:szCs w:val="16"/>
        </w:rPr>
        <w:t xml:space="preserve"> oraz dane zgromadzone</w:t>
      </w:r>
      <w:r w:rsidR="001C6403" w:rsidRPr="00AC1B68">
        <w:rPr>
          <w:sz w:val="16"/>
          <w:szCs w:val="16"/>
        </w:rPr>
        <w:t xml:space="preserve"> w</w:t>
      </w:r>
      <w:r w:rsidR="001C6403">
        <w:rPr>
          <w:sz w:val="16"/>
          <w:szCs w:val="16"/>
        </w:rPr>
        <w:t> </w:t>
      </w:r>
      <w:r w:rsidR="001C6403" w:rsidRPr="00AC1B68">
        <w:rPr>
          <w:sz w:val="16"/>
          <w:szCs w:val="16"/>
        </w:rPr>
        <w:t>ram</w:t>
      </w:r>
      <w:r w:rsidRPr="00AC1B68">
        <w:rPr>
          <w:sz w:val="16"/>
          <w:szCs w:val="16"/>
        </w:rPr>
        <w:t xml:space="preserve">ach ostatnich </w:t>
      </w:r>
      <w:hyperlink r:id="rId10">
        <w:r w:rsidRPr="00AC1B68">
          <w:rPr>
            <w:rStyle w:val="Hipercze"/>
            <w:color w:val="0000FF"/>
            <w:sz w:val="16"/>
            <w:szCs w:val="16"/>
          </w:rPr>
          <w:t>badań Eurobarometr</w:t>
        </w:r>
      </w:hyperlink>
      <w:r w:rsidRPr="00AC1B68">
        <w:rPr>
          <w:sz w:val="16"/>
          <w:szCs w:val="16"/>
        </w:rPr>
        <w:t xml:space="preserve"> wskazują na postępy</w:t>
      </w:r>
      <w:r w:rsidR="001C6403" w:rsidRPr="00AC1B68">
        <w:rPr>
          <w:sz w:val="16"/>
          <w:szCs w:val="16"/>
        </w:rPr>
        <w:t xml:space="preserve"> w</w:t>
      </w:r>
      <w:r w:rsidR="001C6403">
        <w:rPr>
          <w:sz w:val="16"/>
          <w:szCs w:val="16"/>
        </w:rPr>
        <w:t> </w:t>
      </w:r>
      <w:r w:rsidR="001C6403" w:rsidRPr="00AC1B68">
        <w:rPr>
          <w:sz w:val="16"/>
          <w:szCs w:val="16"/>
        </w:rPr>
        <w:t>wys</w:t>
      </w:r>
      <w:r w:rsidRPr="00AC1B68">
        <w:rPr>
          <w:sz w:val="16"/>
          <w:szCs w:val="16"/>
        </w:rPr>
        <w:t>iłkach państw członkowskich na rzecz zapewnienia skutecznych krajowych systemów wymiaru sprawiedliwości;</w:t>
      </w:r>
      <w:r w:rsidR="001C6403" w:rsidRPr="00AC1B68">
        <w:rPr>
          <w:sz w:val="16"/>
          <w:szCs w:val="16"/>
        </w:rPr>
        <w:t xml:space="preserve"> z</w:t>
      </w:r>
      <w:r w:rsidR="001C6403">
        <w:rPr>
          <w:sz w:val="16"/>
          <w:szCs w:val="16"/>
        </w:rPr>
        <w:t> </w:t>
      </w:r>
      <w:r w:rsidR="001C6403" w:rsidRPr="00AC1B68">
        <w:rPr>
          <w:sz w:val="16"/>
          <w:szCs w:val="16"/>
        </w:rPr>
        <w:t>tyc</w:t>
      </w:r>
      <w:r w:rsidRPr="00AC1B68">
        <w:rPr>
          <w:sz w:val="16"/>
          <w:szCs w:val="16"/>
        </w:rPr>
        <w:t>h spostrzeżeń wynika jednak również, że nadal istnieje potrzeba poprawy.</w:t>
      </w:r>
      <w:r w:rsidRPr="00AC1B68">
        <w:rPr>
          <w:color w:val="000000" w:themeColor="text1"/>
          <w:sz w:val="16"/>
          <w:szCs w:val="16"/>
        </w:rPr>
        <w:t xml:space="preserve"> Możliwe ulepszenia obejmują: (i) potrzebę zmniejszenia obciążeń związanych</w:t>
      </w:r>
      <w:r w:rsidR="001C6403" w:rsidRPr="00AC1B68">
        <w:rPr>
          <w:color w:val="000000" w:themeColor="text1"/>
          <w:sz w:val="16"/>
          <w:szCs w:val="16"/>
        </w:rPr>
        <w:t xml:space="preserve"> z</w:t>
      </w:r>
      <w:r w:rsidR="001C6403">
        <w:rPr>
          <w:color w:val="000000" w:themeColor="text1"/>
          <w:sz w:val="16"/>
          <w:szCs w:val="16"/>
        </w:rPr>
        <w:t> </w:t>
      </w:r>
      <w:r w:rsidR="001C6403" w:rsidRPr="00AC1B68">
        <w:rPr>
          <w:color w:val="000000" w:themeColor="text1"/>
          <w:sz w:val="16"/>
          <w:szCs w:val="16"/>
        </w:rPr>
        <w:t>opł</w:t>
      </w:r>
      <w:r w:rsidRPr="00AC1B68">
        <w:rPr>
          <w:color w:val="000000" w:themeColor="text1"/>
          <w:sz w:val="16"/>
          <w:szCs w:val="16"/>
        </w:rPr>
        <w:t>atami sądowymi; (ii) dostępność pomocy prawnej; (iii) pr</w:t>
      </w:r>
      <w:r w:rsidRPr="001357D3">
        <w:rPr>
          <w:color w:val="000000" w:themeColor="text1"/>
          <w:sz w:val="16"/>
        </w:rPr>
        <w:t>opagowanie dobrowolnego stosowania alternatywnych metod rozwiązywania sporów (ADR); (iv) wspieranie udziału osób</w:t>
      </w:r>
      <w:r w:rsidR="001C6403" w:rsidRPr="001357D3">
        <w:rPr>
          <w:color w:val="000000" w:themeColor="text1"/>
          <w:sz w:val="16"/>
        </w:rPr>
        <w:t xml:space="preserve"> z</w:t>
      </w:r>
      <w:r w:rsidR="001C6403">
        <w:rPr>
          <w:color w:val="000000" w:themeColor="text1"/>
          <w:sz w:val="16"/>
        </w:rPr>
        <w:t> </w:t>
      </w:r>
      <w:r w:rsidR="001C6403" w:rsidRPr="001357D3">
        <w:rPr>
          <w:color w:val="000000" w:themeColor="text1"/>
          <w:sz w:val="16"/>
        </w:rPr>
        <w:t>nie</w:t>
      </w:r>
      <w:r w:rsidRPr="001357D3">
        <w:rPr>
          <w:color w:val="000000" w:themeColor="text1"/>
          <w:sz w:val="16"/>
        </w:rPr>
        <w:t>pełnosprawnościami jako specjalistów</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sys</w:t>
      </w:r>
      <w:r w:rsidRPr="001357D3">
        <w:rPr>
          <w:color w:val="000000" w:themeColor="text1"/>
          <w:sz w:val="16"/>
        </w:rPr>
        <w:t>temie wymiaru sprawiedliwości oraz (v) ułatwianie dostępu do wymiaru sprawiedliwości drogą elektroniczną, ponieważ poziom wdrażania cyfryzacji</w:t>
      </w:r>
      <w:r w:rsidR="001C6403" w:rsidRPr="001357D3">
        <w:rPr>
          <w:color w:val="000000" w:themeColor="text1"/>
          <w:sz w:val="16"/>
        </w:rPr>
        <w:t xml:space="preserve"> w</w:t>
      </w:r>
      <w:r w:rsidR="001C6403">
        <w:rPr>
          <w:color w:val="000000" w:themeColor="text1"/>
          <w:sz w:val="16"/>
        </w:rPr>
        <w:t> </w:t>
      </w:r>
      <w:r w:rsidR="001C6403" w:rsidRPr="001357D3">
        <w:rPr>
          <w:color w:val="000000" w:themeColor="text1"/>
          <w:sz w:val="16"/>
        </w:rPr>
        <w:t>kra</w:t>
      </w:r>
      <w:r w:rsidRPr="001357D3">
        <w:rPr>
          <w:color w:val="000000" w:themeColor="text1"/>
          <w:sz w:val="16"/>
        </w:rPr>
        <w:t xml:space="preserve">jowych systemach wymiaru sprawiedliwości państw członkowskich pozostaje nierówny. Ponadto </w:t>
      </w:r>
      <w:r w:rsidRPr="001C6403">
        <w:rPr>
          <w:color w:val="000000" w:themeColor="text1"/>
          <w:sz w:val="16"/>
        </w:rPr>
        <w:t>od</w:t>
      </w:r>
      <w:r w:rsidR="001C6403" w:rsidRPr="001C6403">
        <w:rPr>
          <w:color w:val="000000" w:themeColor="text1"/>
          <w:sz w:val="16"/>
        </w:rPr>
        <w:t> </w:t>
      </w:r>
      <w:r w:rsidRPr="001C6403">
        <w:rPr>
          <w:color w:val="000000" w:themeColor="text1"/>
          <w:sz w:val="16"/>
        </w:rPr>
        <w:t>2</w:t>
      </w:r>
      <w:r w:rsidRPr="001357D3">
        <w:rPr>
          <w:color w:val="000000" w:themeColor="text1"/>
          <w:sz w:val="16"/>
        </w:rPr>
        <w:t>0</w:t>
      </w:r>
      <w:r w:rsidRPr="001C6403">
        <w:rPr>
          <w:color w:val="000000" w:themeColor="text1"/>
          <w:sz w:val="16"/>
        </w:rPr>
        <w:t>20</w:t>
      </w:r>
      <w:r w:rsidR="001C6403" w:rsidRPr="001C6403">
        <w:rPr>
          <w:color w:val="000000" w:themeColor="text1"/>
          <w:sz w:val="16"/>
        </w:rPr>
        <w:t> </w:t>
      </w:r>
      <w:r w:rsidRPr="001C6403">
        <w:rPr>
          <w:color w:val="000000" w:themeColor="text1"/>
          <w:sz w:val="16"/>
        </w:rPr>
        <w:t>r.</w:t>
      </w:r>
      <w:r w:rsidRPr="001357D3">
        <w:rPr>
          <w:color w:val="000000" w:themeColor="text1"/>
          <w:sz w:val="16"/>
        </w:rPr>
        <w:t xml:space="preserve"> obserwuje się stały wzrost przestępczości transgranicznej, co sugeruje, że transgraniczna współpraca sądowa będzie zyskiwać na znaczeniu.</w:t>
      </w:r>
    </w:p>
  </w:footnote>
  <w:footnote w:id="4">
    <w:p w14:paraId="624746E4" w14:textId="70BF61CF" w:rsidR="277517E0" w:rsidRPr="001357D3" w:rsidRDefault="277517E0" w:rsidP="001B10D2">
      <w:pPr>
        <w:spacing w:before="0" w:after="0"/>
        <w:rPr>
          <w:sz w:val="16"/>
          <w:szCs w:val="16"/>
        </w:rPr>
      </w:pPr>
      <w:r>
        <w:rPr>
          <w:rStyle w:val="Odwoanieprzypisudolnego"/>
        </w:rPr>
        <w:footnoteRef/>
      </w:r>
      <w:r w:rsidRPr="001357D3">
        <w:tab/>
      </w:r>
      <w:r w:rsidRPr="001357D3">
        <w:rPr>
          <w:color w:val="0000FF"/>
          <w:sz w:val="16"/>
          <w:u w:val="single"/>
        </w:rPr>
        <w:t>Wytyczne polityczne na następną kadencję Komisji Europejskiej 2024–2029</w:t>
      </w:r>
      <w:r w:rsidRPr="001357D3">
        <w:rPr>
          <w:color w:val="000000" w:themeColor="text1"/>
          <w:sz w:val="16"/>
        </w:rPr>
        <w:t>.</w:t>
      </w:r>
    </w:p>
  </w:footnote>
  <w:footnote w:id="5">
    <w:p w14:paraId="4F54AFA7" w14:textId="0EA082D9" w:rsidR="277517E0" w:rsidRPr="001357D3" w:rsidRDefault="277517E0" w:rsidP="001B10D2">
      <w:pPr>
        <w:spacing w:before="0" w:after="0"/>
        <w:rPr>
          <w:sz w:val="16"/>
          <w:szCs w:val="16"/>
        </w:rPr>
      </w:pPr>
      <w:r>
        <w:rPr>
          <w:rStyle w:val="Odwoanieprzypisudolnego"/>
        </w:rPr>
        <w:footnoteRef/>
      </w:r>
      <w:r w:rsidRPr="001357D3">
        <w:tab/>
      </w:r>
      <w:r w:rsidRPr="00AC1B68">
        <w:rPr>
          <w:sz w:val="16"/>
          <w:szCs w:val="16"/>
        </w:rPr>
        <w:t>Specjalne badanie Eurobarometr 487b. Również</w:t>
      </w:r>
      <w:r w:rsidRPr="001357D3">
        <w:rPr>
          <w:sz w:val="16"/>
        </w:rPr>
        <w:t xml:space="preserve"> specjalne badanie Eurobarometr 552: nieco ponad sześciu na dziesięciu respondentów (62 %, 3 p.p. </w:t>
      </w:r>
      <w:r w:rsidRPr="001C6403">
        <w:rPr>
          <w:sz w:val="16"/>
        </w:rPr>
        <w:t>od</w:t>
      </w:r>
      <w:r w:rsidR="001C6403" w:rsidRPr="001C6403">
        <w:rPr>
          <w:sz w:val="16"/>
        </w:rPr>
        <w:t> </w:t>
      </w:r>
      <w:r w:rsidRPr="001C6403">
        <w:rPr>
          <w:sz w:val="16"/>
        </w:rPr>
        <w:t>2</w:t>
      </w:r>
      <w:r w:rsidRPr="001357D3">
        <w:rPr>
          <w:sz w:val="16"/>
        </w:rPr>
        <w:t>021 r.) wskazuje, że jest świadomych Karty praw podstawowych Unii Europejskiej,</w:t>
      </w:r>
      <w:r w:rsidR="001C6403" w:rsidRPr="001357D3">
        <w:rPr>
          <w:sz w:val="16"/>
        </w:rPr>
        <w:t xml:space="preserve"> w</w:t>
      </w:r>
      <w:r w:rsidR="001C6403">
        <w:rPr>
          <w:sz w:val="16"/>
        </w:rPr>
        <w:t> </w:t>
      </w:r>
      <w:r w:rsidR="001C6403" w:rsidRPr="001357D3">
        <w:rPr>
          <w:sz w:val="16"/>
        </w:rPr>
        <w:t>tym</w:t>
      </w:r>
      <w:r w:rsidRPr="001357D3">
        <w:rPr>
          <w:sz w:val="16"/>
        </w:rPr>
        <w:t xml:space="preserve"> jedna czwarta wszystkich respondentów (25 %)</w:t>
      </w:r>
      <w:r w:rsidR="001C6403" w:rsidRPr="001357D3">
        <w:rPr>
          <w:sz w:val="16"/>
        </w:rPr>
        <w:t xml:space="preserve"> o</w:t>
      </w:r>
      <w:r w:rsidR="001C6403">
        <w:rPr>
          <w:sz w:val="16"/>
        </w:rPr>
        <w:t> </w:t>
      </w:r>
      <w:r w:rsidR="001C6403" w:rsidRPr="001357D3">
        <w:rPr>
          <w:sz w:val="16"/>
        </w:rPr>
        <w:t>nie</w:t>
      </w:r>
      <w:r w:rsidRPr="001357D3">
        <w:rPr>
          <w:sz w:val="16"/>
        </w:rPr>
        <w:t>j słyszała</w:t>
      </w:r>
      <w:r w:rsidR="001C6403" w:rsidRPr="001357D3">
        <w:rPr>
          <w:sz w:val="16"/>
        </w:rPr>
        <w:t xml:space="preserve"> i</w:t>
      </w:r>
      <w:r w:rsidR="001C6403">
        <w:rPr>
          <w:sz w:val="16"/>
        </w:rPr>
        <w:t> </w:t>
      </w:r>
      <w:r w:rsidR="001C6403" w:rsidRPr="001357D3">
        <w:rPr>
          <w:sz w:val="16"/>
        </w:rPr>
        <w:t>wie</w:t>
      </w:r>
      <w:r w:rsidRPr="001357D3">
        <w:rPr>
          <w:sz w:val="16"/>
        </w:rPr>
        <w:t>, czym jest. Blisko czterech na dziesięciu respondentów (37 %) słyszało</w:t>
      </w:r>
      <w:r w:rsidR="001C6403" w:rsidRPr="001357D3">
        <w:rPr>
          <w:sz w:val="16"/>
        </w:rPr>
        <w:t xml:space="preserve"> o</w:t>
      </w:r>
      <w:r w:rsidR="001C6403">
        <w:rPr>
          <w:sz w:val="16"/>
        </w:rPr>
        <w:t> </w:t>
      </w:r>
      <w:r w:rsidR="001C6403" w:rsidRPr="001357D3">
        <w:rPr>
          <w:sz w:val="16"/>
        </w:rPr>
        <w:t>Kar</w:t>
      </w:r>
      <w:r w:rsidRPr="001357D3">
        <w:rPr>
          <w:sz w:val="16"/>
        </w:rPr>
        <w:t>cie, ale nie wie, czym jest.</w:t>
      </w:r>
    </w:p>
  </w:footnote>
  <w:footnote w:id="6">
    <w:p w14:paraId="49CA5514" w14:textId="5839DCCD" w:rsidR="277517E0" w:rsidRPr="001357D3" w:rsidRDefault="277517E0" w:rsidP="001B10D2">
      <w:pPr>
        <w:spacing w:before="0" w:after="0"/>
        <w:rPr>
          <w:sz w:val="16"/>
          <w:szCs w:val="16"/>
          <w:lang w:val="de-DE"/>
        </w:rPr>
      </w:pPr>
      <w:r>
        <w:rPr>
          <w:rStyle w:val="Odwoanieprzypisudolnego"/>
        </w:rPr>
        <w:footnoteRef/>
      </w:r>
      <w:r w:rsidRPr="001357D3">
        <w:rPr>
          <w:lang w:val="de-DE"/>
        </w:rPr>
        <w:tab/>
      </w:r>
      <w:r w:rsidRPr="001357D3">
        <w:rPr>
          <w:color w:val="0000FF"/>
          <w:sz w:val="16"/>
          <w:u w:val="single"/>
          <w:lang w:val="de-DE"/>
        </w:rPr>
        <w:t>435ae4e8-f5f4-432b-a391-b05468474a1e_en (europa.eu)</w:t>
      </w:r>
      <w:r w:rsidRPr="001357D3">
        <w:rPr>
          <w:sz w:val="16"/>
          <w:lang w:val="de-DE"/>
        </w:rPr>
        <w:t>.</w:t>
      </w:r>
    </w:p>
  </w:footnote>
  <w:footnote w:id="7">
    <w:p w14:paraId="6A8D02E6" w14:textId="1516BD34" w:rsidR="277517E0" w:rsidRPr="001357D3" w:rsidRDefault="277517E0" w:rsidP="001B10D2">
      <w:pPr>
        <w:spacing w:before="0" w:after="0"/>
        <w:rPr>
          <w:sz w:val="16"/>
          <w:szCs w:val="16"/>
        </w:rPr>
      </w:pPr>
      <w:r>
        <w:rPr>
          <w:rStyle w:val="Odwoanieprzypisudolnego"/>
        </w:rPr>
        <w:footnoteRef/>
      </w:r>
      <w:r w:rsidRPr="001357D3">
        <w:tab/>
      </w:r>
      <w:hyperlink r:id="rId11" w:history="1">
        <w:r w:rsidRPr="001357D3">
          <w:rPr>
            <w:rStyle w:val="Hipercze"/>
            <w:sz w:val="16"/>
          </w:rPr>
          <w:t>Sprawozdanie Komisji dla Parlamentu Europejskiego, Rady, Europejskiego Komitetu Ekonomiczno-Społecznego</w:t>
        </w:r>
        <w:r w:rsidR="001C6403" w:rsidRPr="001357D3">
          <w:rPr>
            <w:rStyle w:val="Hipercze"/>
            <w:sz w:val="16"/>
          </w:rPr>
          <w:t xml:space="preserve"> i</w:t>
        </w:r>
        <w:r w:rsidR="001C6403">
          <w:rPr>
            <w:rStyle w:val="Hipercze"/>
            <w:sz w:val="16"/>
          </w:rPr>
          <w:t> </w:t>
        </w:r>
        <w:r w:rsidR="001C6403" w:rsidRPr="001357D3">
          <w:rPr>
            <w:rStyle w:val="Hipercze"/>
            <w:sz w:val="16"/>
          </w:rPr>
          <w:t>Kom</w:t>
        </w:r>
        <w:r w:rsidRPr="001357D3">
          <w:rPr>
            <w:rStyle w:val="Hipercze"/>
            <w:sz w:val="16"/>
          </w:rPr>
          <w:t>itetu Regionów:</w:t>
        </w:r>
      </w:hyperlink>
      <w:hyperlink r:id="rId12" w:history="1">
        <w:r w:rsidRPr="001357D3">
          <w:rPr>
            <w:rStyle w:val="Hipercze"/>
            <w:sz w:val="16"/>
          </w:rPr>
          <w:t xml:space="preserve"> „Ochrona praw podstawowych</w:t>
        </w:r>
        <w:r w:rsidR="001C6403" w:rsidRPr="001357D3">
          <w:rPr>
            <w:rStyle w:val="Hipercze"/>
            <w:sz w:val="16"/>
          </w:rPr>
          <w:t xml:space="preserve"> w</w:t>
        </w:r>
        <w:r w:rsidR="001C6403">
          <w:rPr>
            <w:rStyle w:val="Hipercze"/>
            <w:sz w:val="16"/>
          </w:rPr>
          <w:t> </w:t>
        </w:r>
        <w:r w:rsidR="001C6403" w:rsidRPr="001357D3">
          <w:rPr>
            <w:rStyle w:val="Hipercze"/>
            <w:sz w:val="16"/>
          </w:rPr>
          <w:t>erz</w:t>
        </w:r>
        <w:r w:rsidRPr="001357D3">
          <w:rPr>
            <w:rStyle w:val="Hipercze"/>
            <w:sz w:val="16"/>
          </w:rPr>
          <w:t xml:space="preserve">e cyfrowej – roczne sprawozdanie </w:t>
        </w:r>
        <w:r w:rsidRPr="001C6403">
          <w:rPr>
            <w:rStyle w:val="Hipercze"/>
            <w:sz w:val="16"/>
          </w:rPr>
          <w:t>za</w:t>
        </w:r>
        <w:r w:rsidR="001C6403" w:rsidRPr="001C6403">
          <w:rPr>
            <w:rStyle w:val="Hipercze"/>
            <w:sz w:val="16"/>
          </w:rPr>
          <w:t> </w:t>
        </w:r>
        <w:r w:rsidRPr="001C6403">
          <w:rPr>
            <w:rStyle w:val="Hipercze"/>
            <w:sz w:val="16"/>
          </w:rPr>
          <w:t>2</w:t>
        </w:r>
        <w:r w:rsidRPr="001357D3">
          <w:rPr>
            <w:rStyle w:val="Hipercze"/>
            <w:sz w:val="16"/>
          </w:rPr>
          <w:t>021 r. dotyczące stosowania Karty praw podstawowych Unii Europejskiej</w:t>
        </w:r>
      </w:hyperlink>
      <w:r w:rsidRPr="001357D3">
        <w:rPr>
          <w:sz w:val="16"/>
        </w:rPr>
        <w:t>”.</w:t>
      </w:r>
    </w:p>
  </w:footnote>
  <w:footnote w:id="8">
    <w:p w14:paraId="2C28D9D9" w14:textId="0D9A8AB0" w:rsidR="277517E0" w:rsidRPr="00463E26" w:rsidRDefault="277517E0" w:rsidP="001B10D2">
      <w:pPr>
        <w:spacing w:before="0" w:after="0"/>
        <w:rPr>
          <w:sz w:val="16"/>
          <w:szCs w:val="16"/>
          <w:lang w:val="en-IE"/>
        </w:rPr>
      </w:pPr>
      <w:r>
        <w:rPr>
          <w:rStyle w:val="Odwoanieprzypisudolnego"/>
        </w:rPr>
        <w:footnoteRef/>
      </w:r>
      <w:r w:rsidRPr="00463E26">
        <w:rPr>
          <w:lang w:val="en-IE"/>
        </w:rPr>
        <w:tab/>
      </w:r>
      <w:r w:rsidRPr="00463E26">
        <w:rPr>
          <w:sz w:val="16"/>
          <w:lang w:val="en-IE"/>
        </w:rPr>
        <w:t xml:space="preserve">Stakeholder_contribution_on_rule_of_law_-_oecd.pdf (europa.eu); </w:t>
      </w:r>
      <w:hyperlink r:id="rId13">
        <w:r w:rsidRPr="00463E26">
          <w:rPr>
            <w:rStyle w:val="Hipercze"/>
            <w:color w:val="0000FF"/>
            <w:sz w:val="16"/>
            <w:lang w:val="en-IE"/>
          </w:rPr>
          <w:t>9789264303416-2-en.pdf (oecd-ilibrary.org)</w:t>
        </w:r>
      </w:hyperlink>
      <w:r w:rsidRPr="00463E26">
        <w:rPr>
          <w:sz w:val="16"/>
          <w:lang w:val="en-IE"/>
        </w:rPr>
        <w:t>.</w:t>
      </w:r>
    </w:p>
  </w:footnote>
  <w:footnote w:id="9">
    <w:p w14:paraId="1CB39F3E" w14:textId="3A708F48" w:rsidR="277517E0" w:rsidRPr="001357D3" w:rsidRDefault="277517E0" w:rsidP="001B10D2">
      <w:pPr>
        <w:spacing w:before="0" w:after="0"/>
        <w:rPr>
          <w:rFonts w:eastAsia="Times New Roman"/>
          <w:color w:val="008080"/>
          <w:sz w:val="16"/>
          <w:szCs w:val="16"/>
        </w:rPr>
      </w:pPr>
      <w:r>
        <w:rPr>
          <w:rStyle w:val="Odwoanieprzypisudolnego"/>
        </w:rPr>
        <w:footnoteRef/>
      </w:r>
      <w:r w:rsidRPr="001357D3">
        <w:tab/>
      </w:r>
      <w:r w:rsidRPr="001357D3">
        <w:rPr>
          <w:sz w:val="16"/>
        </w:rPr>
        <w:t>Jak podkreślono</w:t>
      </w:r>
      <w:r w:rsidR="001C6403" w:rsidRPr="001357D3">
        <w:rPr>
          <w:sz w:val="16"/>
        </w:rPr>
        <w:t xml:space="preserve"> w</w:t>
      </w:r>
      <w:r w:rsidR="001C6403">
        <w:rPr>
          <w:sz w:val="16"/>
        </w:rPr>
        <w:t> </w:t>
      </w:r>
      <w:r w:rsidR="001C6403" w:rsidRPr="001357D3">
        <w:rPr>
          <w:sz w:val="16"/>
        </w:rPr>
        <w:t>roc</w:t>
      </w:r>
      <w:r w:rsidRPr="001357D3">
        <w:rPr>
          <w:sz w:val="16"/>
        </w:rPr>
        <w:t>znych sprawozdaniach na temat europejskiego szkolenia kadr wymiaru sprawiedliwości publikowanych przez Dyrekcję Generalną ds. Sprawiedliwości</w:t>
      </w:r>
      <w:r w:rsidR="001C6403" w:rsidRPr="001357D3">
        <w:rPr>
          <w:sz w:val="16"/>
        </w:rPr>
        <w:t xml:space="preserve"> i</w:t>
      </w:r>
      <w:r w:rsidR="001C6403">
        <w:rPr>
          <w:sz w:val="16"/>
        </w:rPr>
        <w:t> </w:t>
      </w:r>
      <w:r w:rsidR="001C6403" w:rsidRPr="001357D3">
        <w:rPr>
          <w:sz w:val="16"/>
        </w:rPr>
        <w:t>Kon</w:t>
      </w:r>
      <w:r w:rsidRPr="001357D3">
        <w:rPr>
          <w:sz w:val="16"/>
        </w:rPr>
        <w:t>sumentów Komisji, od czasu wdrożenia dwóch kolejnych europejskich strategii szkolenia kadr wymiaru sprawiedliwości (</w:t>
      </w:r>
      <w:hyperlink r:id="rId14">
        <w:r w:rsidRPr="001357D3">
          <w:rPr>
            <w:rStyle w:val="Hipercze"/>
            <w:sz w:val="16"/>
          </w:rPr>
          <w:t>komunikat Komisji</w:t>
        </w:r>
        <w:r w:rsidR="001C6403" w:rsidRPr="001357D3">
          <w:rPr>
            <w:rStyle w:val="Hipercze"/>
            <w:sz w:val="16"/>
          </w:rPr>
          <w:t xml:space="preserve"> z</w:t>
        </w:r>
        <w:r w:rsidR="001C6403">
          <w:rPr>
            <w:rStyle w:val="Hipercze"/>
            <w:sz w:val="16"/>
          </w:rPr>
          <w:t> </w:t>
        </w:r>
        <w:r w:rsidR="001C6403" w:rsidRPr="001357D3">
          <w:rPr>
            <w:rStyle w:val="Hipercze"/>
            <w:sz w:val="16"/>
          </w:rPr>
          <w:t>2</w:t>
        </w:r>
        <w:r w:rsidRPr="001357D3">
          <w:rPr>
            <w:rStyle w:val="Hipercze"/>
            <w:sz w:val="16"/>
          </w:rPr>
          <w:t>020 r. pt. „Zapewnienie sprawiedliwości w UE – europejska strategia szkolenia kadr wymiaru sprawiedliwości na lata 2021–2024“ oraz komunikat Komisji</w:t>
        </w:r>
        <w:r w:rsidR="001C6403" w:rsidRPr="001357D3">
          <w:rPr>
            <w:rStyle w:val="Hipercze"/>
            <w:sz w:val="16"/>
          </w:rPr>
          <w:t xml:space="preserve"> z</w:t>
        </w:r>
        <w:r w:rsidR="001C6403">
          <w:rPr>
            <w:rStyle w:val="Hipercze"/>
            <w:sz w:val="16"/>
          </w:rPr>
          <w:t> </w:t>
        </w:r>
        <w:r w:rsidR="001C6403" w:rsidRPr="001357D3">
          <w:rPr>
            <w:rStyle w:val="Hipercze"/>
            <w:sz w:val="16"/>
          </w:rPr>
          <w:t>2</w:t>
        </w:r>
        <w:r w:rsidRPr="001357D3">
          <w:rPr>
            <w:rStyle w:val="Hipercze"/>
            <w:sz w:val="16"/>
          </w:rPr>
          <w:t>011 r. pt. „Budowanie zaufania do europejskiego wymiaru sprawiedliwości – nowy wymiar europejskiego szkolenia dla pracowników wymiaru sprawiedliwości”</w:t>
        </w:r>
      </w:hyperlink>
      <w:r w:rsidRPr="001357D3">
        <w:rPr>
          <w:sz w:val="16"/>
        </w:rPr>
        <w:t>) ponad 2 mln pracowników wymiaru sprawiedliwości w UE wzięło udział</w:t>
      </w:r>
      <w:r w:rsidR="001C6403" w:rsidRPr="001357D3">
        <w:rPr>
          <w:sz w:val="16"/>
        </w:rPr>
        <w:t xml:space="preserve"> w</w:t>
      </w:r>
      <w:r w:rsidR="001C6403">
        <w:rPr>
          <w:sz w:val="16"/>
        </w:rPr>
        <w:t> </w:t>
      </w:r>
      <w:r w:rsidR="001C6403" w:rsidRPr="001357D3">
        <w:rPr>
          <w:sz w:val="16"/>
        </w:rPr>
        <w:t>szk</w:t>
      </w:r>
      <w:r w:rsidRPr="001357D3">
        <w:rPr>
          <w:sz w:val="16"/>
        </w:rPr>
        <w:t>oleniach kadr wymiaru sprawiedliwości</w:t>
      </w:r>
      <w:r w:rsidR="001C6403" w:rsidRPr="001357D3">
        <w:rPr>
          <w:sz w:val="16"/>
        </w:rPr>
        <w:t xml:space="preserve"> w</w:t>
      </w:r>
      <w:r w:rsidR="001C6403">
        <w:rPr>
          <w:sz w:val="16"/>
        </w:rPr>
        <w:t> </w:t>
      </w:r>
      <w:r w:rsidR="001C6403" w:rsidRPr="001357D3">
        <w:rPr>
          <w:sz w:val="16"/>
        </w:rPr>
        <w:t>zak</w:t>
      </w:r>
      <w:r w:rsidRPr="001357D3">
        <w:rPr>
          <w:sz w:val="16"/>
        </w:rPr>
        <w:t>resie prawa Unii.</w:t>
      </w:r>
    </w:p>
  </w:footnote>
  <w:footnote w:id="10">
    <w:p w14:paraId="0027CB3E" w14:textId="4BCD54CA" w:rsidR="277517E0" w:rsidRPr="001357D3" w:rsidRDefault="277517E0" w:rsidP="001B10D2">
      <w:pPr>
        <w:spacing w:before="0" w:after="0"/>
        <w:rPr>
          <w:sz w:val="16"/>
          <w:szCs w:val="16"/>
        </w:rPr>
      </w:pPr>
      <w:r>
        <w:rPr>
          <w:rStyle w:val="Odwoanieprzypisudolnego"/>
        </w:rPr>
        <w:footnoteRef/>
      </w:r>
      <w:r w:rsidRPr="001357D3">
        <w:tab/>
      </w:r>
      <w:r w:rsidRPr="001357D3">
        <w:rPr>
          <w:color w:val="000000" w:themeColor="text1"/>
          <w:sz w:val="16"/>
        </w:rPr>
        <w:t xml:space="preserve">Komunikat Komisji Europejskiej „Zapewnienie sprawiedliwości w UE – europejska strategia szkolenia kadr wymiaru sprawiedliwości na lata 2021–2024”. Dostępne na stronie: </w:t>
      </w:r>
      <w:hyperlink r:id="rId15">
        <w:r w:rsidRPr="001357D3">
          <w:rPr>
            <w:rStyle w:val="Hipercze"/>
            <w:color w:val="000000" w:themeColor="text1"/>
            <w:sz w:val="16"/>
          </w:rPr>
          <w:t>https://eur-lex.europa.eu/legal-content/pl/TXT/PDF/?uri=CELEX:52020DC0713</w:t>
        </w:r>
      </w:hyperlink>
      <w:r w:rsidRPr="001357D3">
        <w:rPr>
          <w:sz w:val="16"/>
        </w:rPr>
        <w:t>.</w:t>
      </w:r>
    </w:p>
  </w:footnote>
  <w:footnote w:id="11">
    <w:p w14:paraId="0E80D2A4" w14:textId="2A2C9582" w:rsidR="277517E0" w:rsidRPr="001357D3" w:rsidRDefault="277517E0" w:rsidP="001B10D2">
      <w:pPr>
        <w:spacing w:before="0" w:after="0"/>
        <w:rPr>
          <w:sz w:val="16"/>
          <w:szCs w:val="16"/>
        </w:rPr>
      </w:pPr>
      <w:r>
        <w:rPr>
          <w:rStyle w:val="Odwoanieprzypisudolnego"/>
        </w:rPr>
        <w:footnoteRef/>
      </w:r>
      <w:r w:rsidRPr="001357D3">
        <w:tab/>
      </w:r>
      <w:hyperlink r:id="rId16">
        <w:r w:rsidRPr="001357D3">
          <w:rPr>
            <w:rStyle w:val="Hipercze"/>
            <w:color w:val="0000FF"/>
            <w:sz w:val="16"/>
          </w:rPr>
          <w:t>Wytyczne polityczne na następną kadencję Komisji Europejskiej 2024–2029</w:t>
        </w:r>
      </w:hyperlink>
      <w:r w:rsidRPr="001357D3">
        <w:rPr>
          <w:sz w:val="16"/>
        </w:rPr>
        <w:t>.</w:t>
      </w:r>
    </w:p>
  </w:footnote>
  <w:footnote w:id="12">
    <w:p w14:paraId="53FBDBF0" w14:textId="5FE7EB42" w:rsidR="00F84CC7" w:rsidRPr="001357D3" w:rsidRDefault="00F84CC7" w:rsidP="00F84CC7">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2022/2065</w:t>
      </w:r>
      <w:r w:rsidR="001C6403" w:rsidRPr="001357D3">
        <w:t xml:space="preserve"> z</w:t>
      </w:r>
      <w:r w:rsidR="001C6403">
        <w:t> </w:t>
      </w:r>
      <w:r w:rsidR="001C6403" w:rsidRPr="001357D3">
        <w:t>dni</w:t>
      </w:r>
      <w:r w:rsidRPr="001357D3">
        <w:t>a 19 października 20</w:t>
      </w:r>
      <w:r w:rsidRPr="001C6403">
        <w:t>22</w:t>
      </w:r>
      <w:r w:rsidR="001C6403" w:rsidRPr="001C6403">
        <w:t> </w:t>
      </w:r>
      <w:r w:rsidRPr="001C6403">
        <w:t>r.</w:t>
      </w:r>
      <w:r w:rsidR="001C6403" w:rsidRPr="001357D3">
        <w:t xml:space="preserve"> w</w:t>
      </w:r>
      <w:r w:rsidR="001C6403">
        <w:t> </w:t>
      </w:r>
      <w:r w:rsidR="001C6403" w:rsidRPr="001357D3">
        <w:t>spr</w:t>
      </w:r>
      <w:r w:rsidRPr="001357D3">
        <w:t>awie jednolitego rynku usług cyfrowych oraz zmiany dyrektywy 2000/31/WE (akt</w:t>
      </w:r>
      <w:r w:rsidR="001C6403" w:rsidRPr="001357D3">
        <w:t xml:space="preserve"> o</w:t>
      </w:r>
      <w:r w:rsidR="001C6403">
        <w:t> </w:t>
      </w:r>
      <w:r w:rsidR="001C6403" w:rsidRPr="001357D3">
        <w:t>usł</w:t>
      </w:r>
      <w:r w:rsidRPr="001357D3">
        <w:t xml:space="preserve">ugach cyfrowych), </w:t>
      </w:r>
      <w:r w:rsidRPr="001357D3">
        <w:rPr>
          <w:i/>
          <w:iCs/>
        </w:rPr>
        <w:t>Dz.U. L 277</w:t>
      </w:r>
      <w:r w:rsidR="001C6403" w:rsidRPr="001357D3">
        <w:rPr>
          <w:i/>
          <w:iCs/>
        </w:rPr>
        <w:t xml:space="preserve"> z</w:t>
      </w:r>
      <w:r w:rsidR="001C6403">
        <w:rPr>
          <w:i/>
          <w:iCs/>
        </w:rPr>
        <w:t> </w:t>
      </w:r>
      <w:r w:rsidR="001C6403" w:rsidRPr="001357D3">
        <w:rPr>
          <w:i/>
          <w:iCs/>
        </w:rPr>
        <w:t>2</w:t>
      </w:r>
      <w:r w:rsidRPr="001357D3">
        <w:rPr>
          <w:i/>
          <w:iCs/>
        </w:rPr>
        <w:t>7.10.2022, s. 1, ELI:</w:t>
      </w:r>
      <w:r w:rsidRPr="001357D3">
        <w:rPr>
          <w:i/>
          <w:sz w:val="16"/>
        </w:rPr>
        <w:t> </w:t>
      </w:r>
      <w:hyperlink r:id="rId17" w:tooltip="Dostęp do dokumentu poprzez identyfikator URI w systemie ELI." w:history="1">
        <w:r w:rsidRPr="001357D3">
          <w:rPr>
            <w:rStyle w:val="Hipercze"/>
            <w:i/>
            <w:sz w:val="16"/>
          </w:rPr>
          <w:t>http://data.europa.eu/eli/reg/2022/2065/oj</w:t>
        </w:r>
      </w:hyperlink>
      <w:r w:rsidRPr="001357D3">
        <w:rPr>
          <w:i/>
          <w:sz w:val="16"/>
        </w:rPr>
        <w:t>.</w:t>
      </w:r>
    </w:p>
  </w:footnote>
  <w:footnote w:id="13">
    <w:p w14:paraId="28F9E364" w14:textId="78065989" w:rsidR="00F84CC7" w:rsidRPr="001357D3" w:rsidRDefault="00F84CC7" w:rsidP="00F84CC7">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2024/1689</w:t>
      </w:r>
      <w:r w:rsidR="001C6403" w:rsidRPr="001357D3">
        <w:t xml:space="preserve"> z</w:t>
      </w:r>
      <w:r w:rsidR="001C6403">
        <w:t> </w:t>
      </w:r>
      <w:r w:rsidR="001C6403" w:rsidRPr="001357D3">
        <w:t>dni</w:t>
      </w:r>
      <w:r w:rsidRPr="001357D3">
        <w:t>a 13 czerwca 20</w:t>
      </w:r>
      <w:r w:rsidRPr="001C6403">
        <w:t>24</w:t>
      </w:r>
      <w:r w:rsidR="001C6403" w:rsidRPr="001C6403">
        <w:t> </w:t>
      </w:r>
      <w:r w:rsidRPr="001C6403">
        <w:t>r.</w:t>
      </w:r>
      <w:r w:rsidR="001C6403" w:rsidRPr="001357D3">
        <w:t xml:space="preserve"> w</w:t>
      </w:r>
      <w:r w:rsidR="001C6403">
        <w:t> </w:t>
      </w:r>
      <w:r w:rsidR="001C6403" w:rsidRPr="001357D3">
        <w:t>spr</w:t>
      </w:r>
      <w:r w:rsidRPr="001357D3">
        <w:t xml:space="preserve">awie ustanowienia zharmonizowanych przepisów dotyczących sztucznej inteligencji oraz zmiany rozporządzeń (WE) </w:t>
      </w:r>
      <w:r w:rsidRPr="001C6403">
        <w:t>nr</w:t>
      </w:r>
      <w:r w:rsidR="001C6403" w:rsidRPr="001C6403">
        <w:t> </w:t>
      </w:r>
      <w:r w:rsidRPr="001C6403">
        <w:t>3</w:t>
      </w:r>
      <w:r w:rsidRPr="001357D3">
        <w:t xml:space="preserve">00/2008, (UE) </w:t>
      </w:r>
      <w:r w:rsidRPr="001C6403">
        <w:t>nr</w:t>
      </w:r>
      <w:r w:rsidR="001C6403" w:rsidRPr="001C6403">
        <w:t> </w:t>
      </w:r>
      <w:r w:rsidRPr="001C6403">
        <w:t>1</w:t>
      </w:r>
      <w:r w:rsidRPr="001357D3">
        <w:t xml:space="preserve">67/2013, (UE) </w:t>
      </w:r>
      <w:r w:rsidRPr="001C6403">
        <w:t>nr</w:t>
      </w:r>
      <w:r w:rsidR="001C6403" w:rsidRPr="001C6403">
        <w:t> </w:t>
      </w:r>
      <w:r w:rsidRPr="001C6403">
        <w:t>1</w:t>
      </w:r>
      <w:r w:rsidRPr="001357D3">
        <w:t>68/2013, (UE) 2018/858, (UE) 2018/1139 i (UE) 2019/2144 oraz dyrektyw 2014/90/UE, (UE) 2016/797 i (UE) 2020/1828 (akt</w:t>
      </w:r>
      <w:r w:rsidR="001C6403" w:rsidRPr="001357D3">
        <w:t xml:space="preserve"> w</w:t>
      </w:r>
      <w:r w:rsidR="001C6403">
        <w:t> </w:t>
      </w:r>
      <w:r w:rsidR="001C6403" w:rsidRPr="001357D3">
        <w:t>spr</w:t>
      </w:r>
      <w:r w:rsidRPr="001357D3">
        <w:t xml:space="preserve">awie sztucznej inteligencji), </w:t>
      </w:r>
      <w:r w:rsidRPr="001357D3">
        <w:rPr>
          <w:i/>
          <w:iCs/>
        </w:rPr>
        <w:t>Dz.U. L, 2024/1689, 12.7.2024, ELI:</w:t>
      </w:r>
      <w:r w:rsidRPr="001357D3">
        <w:rPr>
          <w:i/>
          <w:sz w:val="16"/>
        </w:rPr>
        <w:t> </w:t>
      </w:r>
      <w:hyperlink r:id="rId18" w:tgtFrame="_blank" w:tooltip="Dostęp do dokumentu poprzez identyfikator URI w systemie ELI." w:history="1">
        <w:r w:rsidRPr="001357D3">
          <w:rPr>
            <w:rStyle w:val="Hipercze"/>
            <w:i/>
            <w:sz w:val="16"/>
          </w:rPr>
          <w:t>http://data.europa.eu/eli/reg/2024/1689/oj</w:t>
        </w:r>
      </w:hyperlink>
      <w:r w:rsidRPr="001357D3">
        <w:rPr>
          <w:i/>
          <w:sz w:val="16"/>
        </w:rPr>
        <w:t>.</w:t>
      </w:r>
    </w:p>
  </w:footnote>
  <w:footnote w:id="14">
    <w:p w14:paraId="05C956FB" w14:textId="153E6EF1" w:rsidR="00F84CC7" w:rsidRPr="001357D3" w:rsidRDefault="00F84CC7" w:rsidP="00F84CC7">
      <w:pPr>
        <w:pStyle w:val="Tekstprzypisudolnego"/>
        <w:ind w:left="0" w:firstLine="0"/>
      </w:pPr>
      <w:r>
        <w:rPr>
          <w:rStyle w:val="Odwoanieprzypisudolnego"/>
        </w:rPr>
        <w:footnoteRef/>
      </w:r>
      <w:r w:rsidRPr="001357D3">
        <w:tab/>
        <w:t>Dyrektywa Parlamentu Europejskiego</w:t>
      </w:r>
      <w:r w:rsidR="001C6403" w:rsidRPr="001357D3">
        <w:t xml:space="preserve"> i</w:t>
      </w:r>
      <w:r w:rsidR="001C6403">
        <w:t> </w:t>
      </w:r>
      <w:r w:rsidR="001C6403" w:rsidRPr="001357D3">
        <w:t>Rad</w:t>
      </w:r>
      <w:r w:rsidRPr="001357D3">
        <w:t>y (UE) 2019/882</w:t>
      </w:r>
      <w:r w:rsidR="001C6403" w:rsidRPr="001357D3">
        <w:t xml:space="preserve"> z</w:t>
      </w:r>
      <w:r w:rsidR="001C6403">
        <w:t> </w:t>
      </w:r>
      <w:r w:rsidR="001C6403" w:rsidRPr="001357D3">
        <w:t>dni</w:t>
      </w:r>
      <w:r w:rsidRPr="001357D3">
        <w:t>a 17 kwietnia 20</w:t>
      </w:r>
      <w:r w:rsidRPr="001C6403">
        <w:t>19</w:t>
      </w:r>
      <w:r w:rsidR="001C6403" w:rsidRPr="001C6403">
        <w:t> </w:t>
      </w:r>
      <w:r w:rsidRPr="001C6403">
        <w:t>r.</w:t>
      </w:r>
      <w:r w:rsidR="001C6403" w:rsidRPr="001357D3">
        <w:t xml:space="preserve"> w</w:t>
      </w:r>
      <w:r w:rsidR="001C6403">
        <w:t> </w:t>
      </w:r>
      <w:r w:rsidR="001C6403" w:rsidRPr="001357D3">
        <w:t>spr</w:t>
      </w:r>
      <w:r w:rsidRPr="001357D3">
        <w:t>awie wymogów dostępności produktów</w:t>
      </w:r>
      <w:r w:rsidR="001C6403" w:rsidRPr="001357D3">
        <w:t xml:space="preserve"> i</w:t>
      </w:r>
      <w:r w:rsidR="001C6403">
        <w:t> </w:t>
      </w:r>
      <w:r w:rsidR="001C6403" w:rsidRPr="001357D3">
        <w:t>usł</w:t>
      </w:r>
      <w:r w:rsidRPr="001357D3">
        <w:t xml:space="preserve">ug, </w:t>
      </w:r>
      <w:r w:rsidRPr="001357D3">
        <w:rPr>
          <w:rStyle w:val="Uwydatnienie"/>
          <w:color w:val="333333"/>
          <w:shd w:val="clear" w:color="auto" w:fill="FFFFFF"/>
        </w:rPr>
        <w:t>Dz.U. L 151</w:t>
      </w:r>
      <w:r w:rsidR="001C6403" w:rsidRPr="001357D3">
        <w:rPr>
          <w:rStyle w:val="Uwydatnienie"/>
          <w:color w:val="333333"/>
          <w:shd w:val="clear" w:color="auto" w:fill="FFFFFF"/>
        </w:rPr>
        <w:t xml:space="preserve"> z</w:t>
      </w:r>
      <w:r w:rsidR="001C6403">
        <w:rPr>
          <w:rStyle w:val="Uwydatnienie"/>
          <w:color w:val="333333"/>
          <w:shd w:val="clear" w:color="auto" w:fill="FFFFFF"/>
        </w:rPr>
        <w:t> </w:t>
      </w:r>
      <w:r w:rsidR="001C6403" w:rsidRPr="001357D3">
        <w:rPr>
          <w:rStyle w:val="Uwydatnienie"/>
          <w:color w:val="333333"/>
          <w:shd w:val="clear" w:color="auto" w:fill="FFFFFF"/>
        </w:rPr>
        <w:t>7</w:t>
      </w:r>
      <w:r w:rsidRPr="001357D3">
        <w:rPr>
          <w:rStyle w:val="Uwydatnienie"/>
          <w:color w:val="333333"/>
          <w:shd w:val="clear" w:color="auto" w:fill="FFFFFF"/>
        </w:rPr>
        <w:t xml:space="preserve">.6.2019, s. 70, </w:t>
      </w:r>
      <w:r w:rsidRPr="001357D3">
        <w:rPr>
          <w:i/>
          <w:color w:val="333333"/>
          <w:shd w:val="clear" w:color="auto" w:fill="FFFFFF"/>
        </w:rPr>
        <w:t>ELI:</w:t>
      </w:r>
      <w:r w:rsidRPr="001357D3">
        <w:rPr>
          <w:i/>
          <w:color w:val="333333"/>
          <w:sz w:val="16"/>
          <w:shd w:val="clear" w:color="auto" w:fill="FFFFFF"/>
        </w:rPr>
        <w:t> </w:t>
      </w:r>
      <w:hyperlink r:id="rId19" w:tooltip="Dostęp do dokumentu poprzez identyfikator URI w systemie ELI." w:history="1">
        <w:r w:rsidRPr="001357D3">
          <w:rPr>
            <w:rStyle w:val="Hipercze"/>
            <w:i/>
            <w:sz w:val="16"/>
            <w:shd w:val="clear" w:color="auto" w:fill="FFFFFF"/>
          </w:rPr>
          <w:t>http://data.europa.eu/eli/dir/2019/882/oj</w:t>
        </w:r>
      </w:hyperlink>
      <w:r w:rsidRPr="001357D3">
        <w:rPr>
          <w:i/>
          <w:color w:val="333333"/>
          <w:sz w:val="16"/>
          <w:shd w:val="clear" w:color="auto" w:fill="FFFFFF"/>
        </w:rPr>
        <w:t>.</w:t>
      </w:r>
    </w:p>
  </w:footnote>
  <w:footnote w:id="15">
    <w:p w14:paraId="617489DD" w14:textId="78C332A7" w:rsidR="00F84CC7" w:rsidRPr="001357D3" w:rsidRDefault="00F84CC7" w:rsidP="00C72C3E">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 program AgoraEU na lata 2028–2034 oraz uchylającego rozporządzenia (UE) 2021/692 i (UE) 2021/818, COM(2025) 550 final.</w:t>
      </w:r>
    </w:p>
  </w:footnote>
  <w:footnote w:id="16">
    <w:p w14:paraId="0E5630E1" w14:textId="6D992E72" w:rsidR="00C72C3E" w:rsidRPr="001357D3" w:rsidRDefault="00C72C3E" w:rsidP="00512C12">
      <w:pPr>
        <w:pStyle w:val="Tekstprzypisudolnego"/>
        <w:ind w:left="0" w:firstLine="0"/>
        <w:rPr>
          <w:sz w:val="16"/>
          <w:szCs w:val="16"/>
        </w:rPr>
      </w:pPr>
      <w:r>
        <w:rPr>
          <w:rStyle w:val="Odwoanieprzypisudolnego"/>
        </w:rPr>
        <w:footnoteRef/>
      </w:r>
      <w:r w:rsidRPr="001357D3">
        <w:tab/>
      </w:r>
      <w:r w:rsidRPr="001357D3">
        <w:rPr>
          <w:sz w:val="16"/>
        </w:rPr>
        <w:t>https://employment-social-affairs.ec.europa.eu/policies-and-activities/european-pillar-social-rights-building-fairer-and-more-inclusive-european-union_pl.</w:t>
      </w:r>
    </w:p>
  </w:footnote>
  <w:footnote w:id="17">
    <w:p w14:paraId="32541494" w14:textId="2069E86C" w:rsidR="00C72C3E" w:rsidRPr="001357D3" w:rsidRDefault="00C72C3E" w:rsidP="00512C12">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w:t>
      </w:r>
      <w:r w:rsidRPr="001357D3">
        <w:rPr>
          <w:color w:val="333333"/>
          <w:sz w:val="16"/>
          <w:shd w:val="clear" w:color="auto" w:fill="FFFFFF"/>
        </w:rPr>
        <w:t xml:space="preserve"> </w:t>
      </w:r>
      <w:r w:rsidRPr="001357D3">
        <w:rPr>
          <w:sz w:val="16"/>
        </w:rPr>
        <w:t>program Erasmus+ na lata 2028–2034 oraz uchylającego rozporządzenia (UE) 2021/817 i (UE) 2021/888, COM(2025) 549 final.</w:t>
      </w:r>
    </w:p>
  </w:footnote>
  <w:footnote w:id="18">
    <w:p w14:paraId="3B222336" w14:textId="328BCFA7" w:rsidR="00C72C3E" w:rsidRPr="001357D3" w:rsidRDefault="00C72C3E" w:rsidP="00512C12">
      <w:pPr>
        <w:pStyle w:val="NormalnyWeb"/>
        <w:shd w:val="clear" w:color="auto" w:fill="FFFFFF"/>
        <w:spacing w:before="0" w:after="0"/>
        <w:rPr>
          <w:rFonts w:eastAsia="Times New Roman"/>
          <w:color w:val="333333"/>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w:t>
      </w:r>
      <w:r w:rsidRPr="001357D3">
        <w:rPr>
          <w:color w:val="333333"/>
          <w:sz w:val="16"/>
          <w:shd w:val="clear" w:color="auto" w:fill="FFFFFF"/>
        </w:rPr>
        <w:t xml:space="preserve"> </w:t>
      </w:r>
      <w:r w:rsidRPr="001357D3">
        <w:rPr>
          <w:sz w:val="16"/>
        </w:rPr>
        <w:t>Europejski Fundusz Spójności Gospodarczej, Społecznej</w:t>
      </w:r>
      <w:r w:rsidR="001C6403" w:rsidRPr="001357D3">
        <w:rPr>
          <w:sz w:val="16"/>
        </w:rPr>
        <w:t xml:space="preserve"> i</w:t>
      </w:r>
      <w:r w:rsidR="001C6403">
        <w:rPr>
          <w:sz w:val="16"/>
        </w:rPr>
        <w:t> </w:t>
      </w:r>
      <w:r w:rsidR="001C6403" w:rsidRPr="001357D3">
        <w:rPr>
          <w:sz w:val="16"/>
        </w:rPr>
        <w:t>Ter</w:t>
      </w:r>
      <w:r w:rsidRPr="001357D3">
        <w:rPr>
          <w:sz w:val="16"/>
        </w:rPr>
        <w:t>ytorialnej, Rolnictwa</w:t>
      </w:r>
      <w:r w:rsidR="001C6403" w:rsidRPr="001357D3">
        <w:rPr>
          <w:sz w:val="16"/>
        </w:rPr>
        <w:t xml:space="preserve"> i</w:t>
      </w:r>
      <w:r w:rsidR="001C6403">
        <w:rPr>
          <w:sz w:val="16"/>
        </w:rPr>
        <w:t> </w:t>
      </w:r>
      <w:r w:rsidR="001C6403" w:rsidRPr="001357D3">
        <w:rPr>
          <w:sz w:val="16"/>
        </w:rPr>
        <w:t>Obs</w:t>
      </w:r>
      <w:r w:rsidRPr="001357D3">
        <w:rPr>
          <w:sz w:val="16"/>
        </w:rPr>
        <w:t>zarów Wiejskich, Rybołówstwa</w:t>
      </w:r>
      <w:r w:rsidR="001C6403" w:rsidRPr="001357D3">
        <w:rPr>
          <w:sz w:val="16"/>
        </w:rPr>
        <w:t xml:space="preserve"> i</w:t>
      </w:r>
      <w:r w:rsidR="001C6403">
        <w:rPr>
          <w:sz w:val="16"/>
        </w:rPr>
        <w:t> </w:t>
      </w:r>
      <w:r w:rsidR="001C6403" w:rsidRPr="001357D3">
        <w:rPr>
          <w:sz w:val="16"/>
        </w:rPr>
        <w:t>Pol</w:t>
      </w:r>
      <w:r w:rsidRPr="001357D3">
        <w:rPr>
          <w:sz w:val="16"/>
        </w:rPr>
        <w:t>ityki Morskiej, Dobrobytu</w:t>
      </w:r>
      <w:r w:rsidR="001C6403" w:rsidRPr="001357D3">
        <w:rPr>
          <w:sz w:val="16"/>
        </w:rPr>
        <w:t xml:space="preserve"> i</w:t>
      </w:r>
      <w:r w:rsidR="001C6403">
        <w:rPr>
          <w:sz w:val="16"/>
        </w:rPr>
        <w:t> </w:t>
      </w:r>
      <w:r w:rsidR="001C6403" w:rsidRPr="001357D3">
        <w:rPr>
          <w:sz w:val="16"/>
        </w:rPr>
        <w:t>Bez</w:t>
      </w:r>
      <w:r w:rsidRPr="001357D3">
        <w:rPr>
          <w:sz w:val="16"/>
        </w:rPr>
        <w:t>pieczeństwa na lata 2028–2034 oraz zmieniającego rozporządzenie (UE) 2023/955</w:t>
      </w:r>
      <w:r w:rsidR="001C6403" w:rsidRPr="001357D3">
        <w:rPr>
          <w:sz w:val="16"/>
        </w:rPr>
        <w:t xml:space="preserve"> i</w:t>
      </w:r>
      <w:r w:rsidR="001C6403">
        <w:rPr>
          <w:sz w:val="16"/>
        </w:rPr>
        <w:t> </w:t>
      </w:r>
      <w:r w:rsidR="001C6403" w:rsidRPr="001357D3">
        <w:rPr>
          <w:sz w:val="16"/>
        </w:rPr>
        <w:t>roz</w:t>
      </w:r>
      <w:r w:rsidRPr="001357D3">
        <w:rPr>
          <w:sz w:val="16"/>
        </w:rPr>
        <w:t xml:space="preserve">porządzenie (UE, Euratom) 2024/2509, </w:t>
      </w:r>
      <w:r w:rsidRPr="001357D3">
        <w:rPr>
          <w:color w:val="333333"/>
          <w:sz w:val="16"/>
        </w:rPr>
        <w:t>COM(2025) 565 final.</w:t>
      </w:r>
    </w:p>
  </w:footnote>
  <w:footnote w:id="19">
    <w:p w14:paraId="65FBE73E" w14:textId="74112A69" w:rsidR="00512C12" w:rsidRPr="001357D3" w:rsidRDefault="00C72C3E" w:rsidP="00512C12">
      <w:pPr>
        <w:pStyle w:val="Tekstprzypisudolnego"/>
        <w:ind w:left="0" w:firstLine="0"/>
        <w:rPr>
          <w:color w:val="333333"/>
          <w:sz w:val="16"/>
          <w:szCs w:val="16"/>
          <w:shd w:val="clear" w:color="auto" w:fill="FFFFFF"/>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w:t>
      </w:r>
      <w:r w:rsidRPr="001357D3">
        <w:rPr>
          <w:color w:val="333333"/>
          <w:sz w:val="16"/>
          <w:shd w:val="clear" w:color="auto" w:fill="FFFFFF"/>
        </w:rPr>
        <w:t xml:space="preserve"> Europejski Fundusz Społeczny</w:t>
      </w:r>
      <w:r w:rsidR="001C6403" w:rsidRPr="001357D3">
        <w:rPr>
          <w:color w:val="333333"/>
          <w:sz w:val="16"/>
          <w:shd w:val="clear" w:color="auto" w:fill="FFFFFF"/>
        </w:rPr>
        <w:t xml:space="preserve"> w</w:t>
      </w:r>
      <w:r w:rsidR="001C6403">
        <w:rPr>
          <w:color w:val="333333"/>
          <w:sz w:val="16"/>
          <w:shd w:val="clear" w:color="auto" w:fill="FFFFFF"/>
        </w:rPr>
        <w:t> </w:t>
      </w:r>
      <w:r w:rsidR="001C6403" w:rsidRPr="001357D3">
        <w:rPr>
          <w:color w:val="333333"/>
          <w:sz w:val="16"/>
          <w:shd w:val="clear" w:color="auto" w:fill="FFFFFF"/>
        </w:rPr>
        <w:t>ram</w:t>
      </w:r>
      <w:r w:rsidRPr="001357D3">
        <w:rPr>
          <w:color w:val="333333"/>
          <w:sz w:val="16"/>
          <w:shd w:val="clear" w:color="auto" w:fill="FFFFFF"/>
        </w:rPr>
        <w:t>ach planu partnerstwa krajowego</w:t>
      </w:r>
      <w:r w:rsidR="001C6403" w:rsidRPr="001357D3">
        <w:rPr>
          <w:color w:val="333333"/>
          <w:sz w:val="16"/>
          <w:shd w:val="clear" w:color="auto" w:fill="FFFFFF"/>
        </w:rPr>
        <w:t xml:space="preserve"> i</w:t>
      </w:r>
      <w:r w:rsidR="001C6403">
        <w:rPr>
          <w:color w:val="333333"/>
          <w:sz w:val="16"/>
          <w:shd w:val="clear" w:color="auto" w:fill="FFFFFF"/>
        </w:rPr>
        <w:t> </w:t>
      </w:r>
      <w:r w:rsidR="001C6403" w:rsidRPr="001357D3">
        <w:rPr>
          <w:color w:val="333333"/>
          <w:sz w:val="16"/>
          <w:shd w:val="clear" w:color="auto" w:fill="FFFFFF"/>
        </w:rPr>
        <w:t>reg</w:t>
      </w:r>
      <w:r w:rsidRPr="001357D3">
        <w:rPr>
          <w:color w:val="333333"/>
          <w:sz w:val="16"/>
          <w:shd w:val="clear" w:color="auto" w:fill="FFFFFF"/>
        </w:rPr>
        <w:t>ionalnego określonego</w:t>
      </w:r>
      <w:r w:rsidR="001C6403" w:rsidRPr="001357D3">
        <w:rPr>
          <w:color w:val="333333"/>
          <w:sz w:val="16"/>
          <w:shd w:val="clear" w:color="auto" w:fill="FFFFFF"/>
        </w:rPr>
        <w:t xml:space="preserve"> w</w:t>
      </w:r>
      <w:r w:rsidR="001C6403">
        <w:rPr>
          <w:color w:val="333333"/>
          <w:sz w:val="16"/>
          <w:shd w:val="clear" w:color="auto" w:fill="FFFFFF"/>
        </w:rPr>
        <w:t> </w:t>
      </w:r>
      <w:r w:rsidR="001C6403" w:rsidRPr="001357D3">
        <w:rPr>
          <w:color w:val="333333"/>
          <w:sz w:val="16"/>
          <w:shd w:val="clear" w:color="auto" w:fill="FFFFFF"/>
        </w:rPr>
        <w:t>roz</w:t>
      </w:r>
      <w:r w:rsidRPr="001357D3">
        <w:rPr>
          <w:color w:val="333333"/>
          <w:sz w:val="16"/>
          <w:shd w:val="clear" w:color="auto" w:fill="FFFFFF"/>
        </w:rPr>
        <w:t>porządzeniu (UE) [...] [plan PKR] oraz ustanawiającego warunki wdrażania unijnego wsparcia na rzecz wysokiej jakości zatrudnienia, umiejętności</w:t>
      </w:r>
      <w:r w:rsidR="001C6403" w:rsidRPr="001357D3">
        <w:rPr>
          <w:color w:val="333333"/>
          <w:sz w:val="16"/>
          <w:shd w:val="clear" w:color="auto" w:fill="FFFFFF"/>
        </w:rPr>
        <w:t xml:space="preserve"> i</w:t>
      </w:r>
      <w:r w:rsidR="001C6403">
        <w:rPr>
          <w:color w:val="333333"/>
          <w:sz w:val="16"/>
          <w:shd w:val="clear" w:color="auto" w:fill="FFFFFF"/>
        </w:rPr>
        <w:t> </w:t>
      </w:r>
      <w:r w:rsidR="001C6403" w:rsidRPr="001357D3">
        <w:rPr>
          <w:color w:val="333333"/>
          <w:sz w:val="16"/>
          <w:shd w:val="clear" w:color="auto" w:fill="FFFFFF"/>
        </w:rPr>
        <w:t>włą</w:t>
      </w:r>
      <w:r w:rsidRPr="001357D3">
        <w:rPr>
          <w:color w:val="333333"/>
          <w:sz w:val="16"/>
          <w:shd w:val="clear" w:color="auto" w:fill="FFFFFF"/>
        </w:rPr>
        <w:t>czenia społecznego na lata 2028–2034, COM(2025) 558 final.</w:t>
      </w:r>
    </w:p>
    <w:p w14:paraId="105D053E" w14:textId="0BE33222" w:rsidR="00C72C3E" w:rsidRPr="001357D3" w:rsidRDefault="00C72C3E" w:rsidP="00512C12">
      <w:pPr>
        <w:pStyle w:val="Tekstprzypisudolnego"/>
        <w:ind w:left="0" w:firstLine="0"/>
      </w:pPr>
    </w:p>
  </w:footnote>
  <w:footnote w:id="20">
    <w:p w14:paraId="5ADF1771" w14:textId="42CB3384" w:rsidR="00C37D9B" w:rsidRPr="001357D3" w:rsidRDefault="00C37D9B">
      <w:pPr>
        <w:pStyle w:val="Tekstprzypisudolnego"/>
        <w:rPr>
          <w:sz w:val="16"/>
          <w:szCs w:val="16"/>
        </w:rPr>
      </w:pPr>
      <w:r>
        <w:rPr>
          <w:rStyle w:val="Odwoanieprzypisudolnego"/>
        </w:rPr>
        <w:footnoteRef/>
      </w:r>
      <w:r w:rsidRPr="001357D3">
        <w:tab/>
      </w:r>
      <w:r w:rsidRPr="001357D3">
        <w:rPr>
          <w:sz w:val="16"/>
        </w:rPr>
        <w:t>https://finance.ec.europa.eu/regulation-and-supervision/savings-and-investments-union_pl.</w:t>
      </w:r>
    </w:p>
  </w:footnote>
  <w:footnote w:id="21">
    <w:p w14:paraId="2D7DC134" w14:textId="091D18A2" w:rsidR="00512C12" w:rsidRPr="001357D3" w:rsidRDefault="00512C12" w:rsidP="00860E39">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w:t>
      </w:r>
      <w:r w:rsidR="001C6403" w:rsidRPr="001357D3">
        <w:rPr>
          <w:sz w:val="16"/>
        </w:rPr>
        <w:t xml:space="preserve"> w</w:t>
      </w:r>
      <w:r w:rsidR="001C6403">
        <w:rPr>
          <w:sz w:val="16"/>
        </w:rPr>
        <w:t> </w:t>
      </w:r>
      <w:r w:rsidR="001C6403" w:rsidRPr="001357D3">
        <w:rPr>
          <w:sz w:val="16"/>
        </w:rPr>
        <w:t>spr</w:t>
      </w:r>
      <w:r w:rsidRPr="001357D3">
        <w:rPr>
          <w:sz w:val="16"/>
        </w:rPr>
        <w:t>awie ustanowienia</w:t>
      </w:r>
      <w:r w:rsidRPr="001357D3">
        <w:rPr>
          <w:color w:val="333333"/>
          <w:sz w:val="16"/>
          <w:shd w:val="clear" w:color="auto" w:fill="FFFFFF"/>
        </w:rPr>
        <w:t xml:space="preserve"> Europejskiego Funduszu Konkurencyjności („EFK”),</w:t>
      </w:r>
      <w:r w:rsidR="001C6403" w:rsidRPr="001357D3">
        <w:rPr>
          <w:color w:val="333333"/>
          <w:sz w:val="16"/>
          <w:shd w:val="clear" w:color="auto" w:fill="FFFFFF"/>
        </w:rPr>
        <w:t xml:space="preserve"> w</w:t>
      </w:r>
      <w:r w:rsidR="001C6403">
        <w:rPr>
          <w:color w:val="333333"/>
          <w:sz w:val="16"/>
          <w:shd w:val="clear" w:color="auto" w:fill="FFFFFF"/>
        </w:rPr>
        <w:t> </w:t>
      </w:r>
      <w:r w:rsidR="001C6403" w:rsidRPr="001357D3">
        <w:rPr>
          <w:color w:val="333333"/>
          <w:sz w:val="16"/>
          <w:shd w:val="clear" w:color="auto" w:fill="FFFFFF"/>
        </w:rPr>
        <w:t>tym</w:t>
      </w:r>
      <w:r w:rsidRPr="001357D3">
        <w:rPr>
          <w:color w:val="333333"/>
          <w:sz w:val="16"/>
          <w:shd w:val="clear" w:color="auto" w:fill="FFFFFF"/>
        </w:rPr>
        <w:t xml:space="preserve"> programu szczegółowego działań na rzecz badań naukowych</w:t>
      </w:r>
      <w:r w:rsidR="001C6403" w:rsidRPr="001357D3">
        <w:rPr>
          <w:color w:val="333333"/>
          <w:sz w:val="16"/>
          <w:shd w:val="clear" w:color="auto" w:fill="FFFFFF"/>
        </w:rPr>
        <w:t xml:space="preserve"> i</w:t>
      </w:r>
      <w:r w:rsidR="001C6403">
        <w:rPr>
          <w:color w:val="333333"/>
          <w:sz w:val="16"/>
          <w:shd w:val="clear" w:color="auto" w:fill="FFFFFF"/>
        </w:rPr>
        <w:t> </w:t>
      </w:r>
      <w:r w:rsidR="001C6403" w:rsidRPr="001357D3">
        <w:rPr>
          <w:color w:val="333333"/>
          <w:sz w:val="16"/>
          <w:shd w:val="clear" w:color="auto" w:fill="FFFFFF"/>
        </w:rPr>
        <w:t>inn</w:t>
      </w:r>
      <w:r w:rsidRPr="001357D3">
        <w:rPr>
          <w:color w:val="333333"/>
          <w:sz w:val="16"/>
          <w:shd w:val="clear" w:color="auto" w:fill="FFFFFF"/>
        </w:rPr>
        <w:t>owacji</w:t>
      </w:r>
      <w:r w:rsidR="001C6403" w:rsidRPr="001357D3">
        <w:rPr>
          <w:color w:val="333333"/>
          <w:sz w:val="16"/>
          <w:shd w:val="clear" w:color="auto" w:fill="FFFFFF"/>
        </w:rPr>
        <w:t xml:space="preserve"> w</w:t>
      </w:r>
      <w:r w:rsidR="001C6403">
        <w:rPr>
          <w:color w:val="333333"/>
          <w:sz w:val="16"/>
          <w:shd w:val="clear" w:color="auto" w:fill="FFFFFF"/>
        </w:rPr>
        <w:t> </w:t>
      </w:r>
      <w:r w:rsidR="001C6403" w:rsidRPr="001357D3">
        <w:rPr>
          <w:color w:val="333333"/>
          <w:sz w:val="16"/>
          <w:shd w:val="clear" w:color="auto" w:fill="FFFFFF"/>
        </w:rPr>
        <w:t>dzi</w:t>
      </w:r>
      <w:r w:rsidRPr="001357D3">
        <w:rPr>
          <w:color w:val="333333"/>
          <w:sz w:val="16"/>
          <w:shd w:val="clear" w:color="auto" w:fill="FFFFFF"/>
        </w:rPr>
        <w:t>edzinie obronności, uchylenia rozporządzeń (UE) 2021/522, (UE) 2021/694, (UE) 2021/697, (UE) 2021/783, uchylenia przepisów rozporządzeń (UE) 2021/696 i (UE) 2023/588 oraz zmiany rozporządzenia (UE) [EDIP], COM(2025) 555 final.</w:t>
      </w:r>
    </w:p>
  </w:footnote>
  <w:footnote w:id="22">
    <w:p w14:paraId="670711FF" w14:textId="6828DAD4" w:rsidR="00512C12" w:rsidRPr="001357D3" w:rsidRDefault="00512C12" w:rsidP="00860E39">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w:t>
      </w:r>
      <w:r w:rsidRPr="001357D3">
        <w:rPr>
          <w:rFonts w:ascii="Roboto" w:hAnsi="Roboto"/>
          <w:color w:val="333333"/>
          <w:sz w:val="16"/>
          <w:shd w:val="clear" w:color="auto" w:fill="FFFFFF"/>
        </w:rPr>
        <w:t xml:space="preserve"> </w:t>
      </w:r>
      <w:r w:rsidRPr="001357D3">
        <w:rPr>
          <w:sz w:val="16"/>
        </w:rPr>
        <w:t>program ramowy</w:t>
      </w:r>
      <w:r w:rsidR="001C6403" w:rsidRPr="001357D3">
        <w:rPr>
          <w:sz w:val="16"/>
        </w:rPr>
        <w:t xml:space="preserve"> w</w:t>
      </w:r>
      <w:r w:rsidR="001C6403">
        <w:rPr>
          <w:sz w:val="16"/>
        </w:rPr>
        <w:t> </w:t>
      </w:r>
      <w:r w:rsidR="001C6403" w:rsidRPr="001357D3">
        <w:rPr>
          <w:sz w:val="16"/>
        </w:rPr>
        <w:t>zak</w:t>
      </w:r>
      <w:r w:rsidRPr="001357D3">
        <w:rPr>
          <w:sz w:val="16"/>
        </w:rPr>
        <w:t>resie badań naukowych</w:t>
      </w:r>
      <w:r w:rsidR="001C6403" w:rsidRPr="001357D3">
        <w:rPr>
          <w:sz w:val="16"/>
        </w:rPr>
        <w:t xml:space="preserve"> i</w:t>
      </w:r>
      <w:r w:rsidR="001C6403">
        <w:rPr>
          <w:sz w:val="16"/>
        </w:rPr>
        <w:t> </w:t>
      </w:r>
      <w:r w:rsidR="001C6403" w:rsidRPr="001357D3">
        <w:rPr>
          <w:sz w:val="16"/>
        </w:rPr>
        <w:t>inn</w:t>
      </w:r>
      <w:r w:rsidRPr="001357D3">
        <w:rPr>
          <w:sz w:val="16"/>
        </w:rPr>
        <w:t>owacji „Horyzont Europa” na lata 2028–2034 oraz zasady uczestnictwa</w:t>
      </w:r>
      <w:r w:rsidR="001C6403" w:rsidRPr="001357D3">
        <w:rPr>
          <w:sz w:val="16"/>
        </w:rPr>
        <w:t xml:space="preserve"> i</w:t>
      </w:r>
      <w:r w:rsidR="001C6403">
        <w:rPr>
          <w:sz w:val="16"/>
        </w:rPr>
        <w:t> </w:t>
      </w:r>
      <w:r w:rsidR="001C6403" w:rsidRPr="001357D3">
        <w:rPr>
          <w:sz w:val="16"/>
        </w:rPr>
        <w:t>upo</w:t>
      </w:r>
      <w:r w:rsidRPr="001357D3">
        <w:rPr>
          <w:sz w:val="16"/>
        </w:rPr>
        <w:t>wszechniania obowiązujące</w:t>
      </w:r>
      <w:r w:rsidR="001C6403" w:rsidRPr="001357D3">
        <w:rPr>
          <w:sz w:val="16"/>
        </w:rPr>
        <w:t xml:space="preserve"> w</w:t>
      </w:r>
      <w:r w:rsidR="001C6403">
        <w:rPr>
          <w:sz w:val="16"/>
        </w:rPr>
        <w:t> </w:t>
      </w:r>
      <w:r w:rsidR="001C6403" w:rsidRPr="001357D3">
        <w:rPr>
          <w:sz w:val="16"/>
        </w:rPr>
        <w:t>tym</w:t>
      </w:r>
      <w:r w:rsidRPr="001357D3">
        <w:rPr>
          <w:sz w:val="16"/>
        </w:rPr>
        <w:t xml:space="preserve"> programie oraz uchylającego rozporządzenie (UE) 2021/695, COM(2025) 543 final.</w:t>
      </w:r>
    </w:p>
  </w:footnote>
  <w:footnote w:id="23">
    <w:p w14:paraId="5CB18943" w14:textId="2C61E4E4" w:rsidR="00B6619B" w:rsidRPr="001357D3" w:rsidRDefault="00B6619B" w:rsidP="00860E39">
      <w:pPr>
        <w:spacing w:before="0" w:after="0"/>
        <w:rPr>
          <w:sz w:val="16"/>
          <w:szCs w:val="16"/>
        </w:rPr>
      </w:pPr>
      <w:r>
        <w:rPr>
          <w:rStyle w:val="Odwoanieprzypisudolnego"/>
        </w:rPr>
        <w:footnoteRef/>
      </w:r>
      <w:r w:rsidRPr="001357D3">
        <w:tab/>
      </w:r>
      <w:r w:rsidRPr="001357D3">
        <w:rPr>
          <w:color w:val="0000FF"/>
          <w:sz w:val="16"/>
          <w:u w:val="single"/>
        </w:rPr>
        <w:t>Wytyczne polityczne na następną kadencję Komisji Europejskiej 2024–2029</w:t>
      </w:r>
      <w:r w:rsidRPr="001357D3">
        <w:rPr>
          <w:color w:val="000000" w:themeColor="text1"/>
          <w:sz w:val="16"/>
        </w:rPr>
        <w:t>.</w:t>
      </w:r>
    </w:p>
  </w:footnote>
  <w:footnote w:id="24">
    <w:p w14:paraId="29AC19E5" w14:textId="2E313EBF" w:rsidR="00512C12" w:rsidRPr="001357D3" w:rsidRDefault="00512C12" w:rsidP="00860E39">
      <w:pPr>
        <w:pStyle w:val="Tekstprzypisudolnego"/>
        <w:ind w:left="0" w:firstLine="0"/>
        <w:rPr>
          <w:sz w:val="16"/>
          <w:szCs w:val="16"/>
        </w:rPr>
      </w:pPr>
      <w:r>
        <w:rPr>
          <w:rStyle w:val="Odwoanieprzypisudolnego"/>
        </w:rPr>
        <w:footnoteRef/>
      </w:r>
      <w:r w:rsidRPr="001357D3">
        <w:tab/>
      </w:r>
      <w:r w:rsidRPr="001357D3">
        <w:rPr>
          <w:sz w:val="16"/>
        </w:rPr>
        <w:t>https://commission.europa.eu/topics/preparedness_pl.</w:t>
      </w:r>
    </w:p>
  </w:footnote>
  <w:footnote w:id="25">
    <w:p w14:paraId="67225D0C" w14:textId="7F0B4E17" w:rsidR="00512C12" w:rsidRPr="001357D3" w:rsidRDefault="00512C12" w:rsidP="00860E39">
      <w:pPr>
        <w:pStyle w:val="Tekstprzypisudolnego"/>
        <w:ind w:left="0" w:firstLine="0"/>
        <w:rPr>
          <w:sz w:val="16"/>
          <w:szCs w:val="16"/>
        </w:rPr>
      </w:pPr>
      <w:r>
        <w:rPr>
          <w:rStyle w:val="Odwoanieprzypisudolnego"/>
        </w:rPr>
        <w:footnoteRef/>
      </w:r>
      <w:r w:rsidRPr="001357D3">
        <w:tab/>
      </w:r>
      <w:r w:rsidRPr="001357D3">
        <w:rPr>
          <w:sz w:val="16"/>
        </w:rPr>
        <w:t>https://digital-strategy.ec.europa.eu/pl/policies/cybersecurity-strategy.</w:t>
      </w:r>
    </w:p>
  </w:footnote>
  <w:footnote w:id="26">
    <w:p w14:paraId="00D2A18A" w14:textId="28A3C88C" w:rsidR="00512C12" w:rsidRPr="001357D3" w:rsidRDefault="00512C12" w:rsidP="00860E39">
      <w:pPr>
        <w:pStyle w:val="Tekstprzypisudolnego"/>
        <w:ind w:left="0" w:firstLine="0"/>
      </w:pPr>
      <w:r>
        <w:rPr>
          <w:rStyle w:val="Odwoanieprzypisudolnego"/>
        </w:rPr>
        <w:footnoteRef/>
      </w:r>
      <w:r w:rsidRPr="001357D3">
        <w:tab/>
      </w:r>
      <w:hyperlink r:id="rId20" w:history="1">
        <w:r w:rsidRPr="001357D3">
          <w:rPr>
            <w:rStyle w:val="Hipercze"/>
            <w:sz w:val="16"/>
          </w:rPr>
          <w:t>https://home-affairs.ec.europa.eu/news/commission-presents-protecteu-internal-security-strategy-2025-04-01_pl</w:t>
        </w:r>
      </w:hyperlink>
      <w:r w:rsidRPr="001357D3">
        <w:rPr>
          <w:sz w:val="16"/>
        </w:rPr>
        <w:t>.</w:t>
      </w:r>
      <w:r w:rsidRPr="001357D3">
        <w:t xml:space="preserve"> </w:t>
      </w:r>
    </w:p>
  </w:footnote>
  <w:footnote w:id="27">
    <w:p w14:paraId="7ACECCE9" w14:textId="040A94A8" w:rsidR="00512C12" w:rsidRPr="001357D3" w:rsidRDefault="00512C12" w:rsidP="00860E39">
      <w:pPr>
        <w:pStyle w:val="Tekstprzypisudolnego"/>
        <w:ind w:left="0" w:firstLine="0"/>
        <w:rPr>
          <w:sz w:val="16"/>
          <w:szCs w:val="16"/>
        </w:rPr>
      </w:pPr>
      <w:r>
        <w:rPr>
          <w:rStyle w:val="Odwoanieprzypisudolnego"/>
        </w:rPr>
        <w:footnoteRef/>
      </w:r>
      <w:r w:rsidRPr="001357D3">
        <w:tab/>
      </w:r>
      <w:r w:rsidRPr="001357D3">
        <w:rPr>
          <w:sz w:val="16"/>
        </w:rPr>
        <w:t>https://sdgs.un.org/goals.</w:t>
      </w:r>
    </w:p>
  </w:footnote>
  <w:footnote w:id="28">
    <w:p w14:paraId="24F1ECE9" w14:textId="27EF168D" w:rsidR="00512C12" w:rsidRPr="001357D3" w:rsidRDefault="00512C12" w:rsidP="00860E39">
      <w:pPr>
        <w:pStyle w:val="Tekstprzypisudolnego"/>
        <w:ind w:left="0" w:firstLine="0"/>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w:t>
      </w:r>
      <w:r w:rsidRPr="001357D3">
        <w:rPr>
          <w:color w:val="333333"/>
          <w:sz w:val="16"/>
          <w:shd w:val="clear" w:color="auto" w:fill="FFFFFF"/>
        </w:rPr>
        <w:t xml:space="preserve"> program „Globalny wymiar Europy”, COM(2025) 551 final.</w:t>
      </w:r>
    </w:p>
  </w:footnote>
  <w:footnote w:id="29">
    <w:p w14:paraId="6868EFC8" w14:textId="2BFD32CE" w:rsidR="5D47DDB2" w:rsidRPr="001357D3" w:rsidRDefault="5D47DDB2" w:rsidP="001B10D2">
      <w:pPr>
        <w:spacing w:before="0" w:after="0" w:line="257" w:lineRule="auto"/>
        <w:rPr>
          <w:sz w:val="16"/>
          <w:szCs w:val="16"/>
        </w:rPr>
      </w:pPr>
      <w:r>
        <w:rPr>
          <w:rStyle w:val="Odwoanieprzypisudolnego"/>
        </w:rPr>
        <w:footnoteRef/>
      </w:r>
      <w:r w:rsidRPr="001357D3">
        <w:tab/>
      </w:r>
      <w:r w:rsidRPr="001357D3">
        <w:rPr>
          <w:sz w:val="16"/>
        </w:rPr>
        <w:t>Ocena śródokresowa programu „Sprawiedliwość” na lata 2021–2027, COM(2025) 267 i SWD(2025) 134.</w:t>
      </w:r>
    </w:p>
  </w:footnote>
  <w:footnote w:id="30">
    <w:p w14:paraId="28BBE778" w14:textId="164DE4DD" w:rsidR="5D47DDB2" w:rsidRPr="001357D3" w:rsidRDefault="5D47DDB2" w:rsidP="001B10D2">
      <w:pPr>
        <w:spacing w:before="0" w:after="0" w:line="257" w:lineRule="auto"/>
        <w:rPr>
          <w:sz w:val="16"/>
          <w:szCs w:val="16"/>
        </w:rPr>
      </w:pPr>
      <w:r>
        <w:rPr>
          <w:rStyle w:val="Odwoanieprzypisudolnego"/>
        </w:rPr>
        <w:footnoteRef/>
      </w:r>
      <w:r w:rsidRPr="001357D3">
        <w:tab/>
      </w:r>
      <w:r w:rsidRPr="001357D3">
        <w:rPr>
          <w:sz w:val="16"/>
        </w:rPr>
        <w:t>Na przykład</w:t>
      </w:r>
      <w:r w:rsidR="001C6403" w:rsidRPr="001357D3">
        <w:rPr>
          <w:sz w:val="16"/>
        </w:rPr>
        <w:t xml:space="preserve"> w</w:t>
      </w:r>
      <w:r w:rsidR="001C6403">
        <w:rPr>
          <w:sz w:val="16"/>
        </w:rPr>
        <w:t> </w:t>
      </w:r>
      <w:r w:rsidR="001C6403" w:rsidRPr="001357D3">
        <w:rPr>
          <w:sz w:val="16"/>
        </w:rPr>
        <w:t>2</w:t>
      </w:r>
      <w:r w:rsidRPr="001357D3">
        <w:rPr>
          <w:sz w:val="16"/>
        </w:rPr>
        <w:t>022 r. 24 208 pracowników wymiaru sprawiedliwości wzięło udział</w:t>
      </w:r>
      <w:r w:rsidR="001C6403" w:rsidRPr="001357D3">
        <w:rPr>
          <w:sz w:val="16"/>
        </w:rPr>
        <w:t xml:space="preserve"> w</w:t>
      </w:r>
      <w:r w:rsidR="001C6403">
        <w:rPr>
          <w:sz w:val="16"/>
        </w:rPr>
        <w:t> </w:t>
      </w:r>
      <w:r w:rsidR="001C6403" w:rsidRPr="001357D3">
        <w:rPr>
          <w:sz w:val="16"/>
        </w:rPr>
        <w:t>szk</w:t>
      </w:r>
      <w:r w:rsidRPr="001357D3">
        <w:rPr>
          <w:sz w:val="16"/>
        </w:rPr>
        <w:t>oleniach wspieranych</w:t>
      </w:r>
      <w:r w:rsidR="001C6403" w:rsidRPr="001357D3">
        <w:rPr>
          <w:sz w:val="16"/>
        </w:rPr>
        <w:t xml:space="preserve"> w</w:t>
      </w:r>
      <w:r w:rsidR="001C6403">
        <w:rPr>
          <w:sz w:val="16"/>
        </w:rPr>
        <w:t> </w:t>
      </w:r>
      <w:r w:rsidR="001C6403" w:rsidRPr="001357D3">
        <w:rPr>
          <w:sz w:val="16"/>
        </w:rPr>
        <w:t>ram</w:t>
      </w:r>
      <w:r w:rsidRPr="001357D3">
        <w:rPr>
          <w:sz w:val="16"/>
        </w:rPr>
        <w:t>ach programu „Sprawiedliwość” (około 35,3 % wszystkich osób, które</w:t>
      </w:r>
      <w:r w:rsidR="001C6403" w:rsidRPr="001357D3">
        <w:rPr>
          <w:sz w:val="16"/>
        </w:rPr>
        <w:t xml:space="preserve"> w</w:t>
      </w:r>
      <w:r w:rsidR="001C6403">
        <w:rPr>
          <w:sz w:val="16"/>
        </w:rPr>
        <w:t> </w:t>
      </w:r>
      <w:r w:rsidR="001C6403" w:rsidRPr="001357D3">
        <w:rPr>
          <w:sz w:val="16"/>
        </w:rPr>
        <w:t>tym</w:t>
      </w:r>
      <w:r w:rsidRPr="001357D3">
        <w:rPr>
          <w:sz w:val="16"/>
        </w:rPr>
        <w:t xml:space="preserve"> roku uczestniczyły</w:t>
      </w:r>
      <w:r w:rsidR="001C6403" w:rsidRPr="001357D3">
        <w:rPr>
          <w:sz w:val="16"/>
        </w:rPr>
        <w:t xml:space="preserve"> w</w:t>
      </w:r>
      <w:r w:rsidR="001C6403">
        <w:rPr>
          <w:sz w:val="16"/>
        </w:rPr>
        <w:t> </w:t>
      </w:r>
      <w:r w:rsidR="001C6403" w:rsidRPr="001357D3">
        <w:rPr>
          <w:sz w:val="16"/>
        </w:rPr>
        <w:t>szk</w:t>
      </w:r>
      <w:r w:rsidRPr="001357D3">
        <w:rPr>
          <w:sz w:val="16"/>
        </w:rPr>
        <w:t>oleniach</w:t>
      </w:r>
      <w:r w:rsidR="001C6403" w:rsidRPr="001357D3">
        <w:rPr>
          <w:sz w:val="16"/>
        </w:rPr>
        <w:t xml:space="preserve"> z</w:t>
      </w:r>
      <w:r w:rsidR="001C6403">
        <w:rPr>
          <w:sz w:val="16"/>
        </w:rPr>
        <w:t> </w:t>
      </w:r>
      <w:r w:rsidR="001C6403" w:rsidRPr="001357D3">
        <w:rPr>
          <w:sz w:val="16"/>
        </w:rPr>
        <w:t>zak</w:t>
      </w:r>
      <w:r w:rsidRPr="001357D3">
        <w:rPr>
          <w:sz w:val="16"/>
        </w:rPr>
        <w:t xml:space="preserve">resu prawa Unii (współ)finansowanych ze środków UE). Zob. </w:t>
      </w:r>
      <w:hyperlink r:id="rId21" w:anchor=":~:text=The%20justice%20programme%20mainly%20supports,an%20EU%20area%20of%20justice.">
        <w:r w:rsidRPr="001357D3">
          <w:rPr>
            <w:rStyle w:val="Hipercze"/>
            <w:color w:val="0000FF"/>
            <w:sz w:val="16"/>
          </w:rPr>
          <w:t>zestawienie wyników programu „Sprawiedliwość”</w:t>
        </w:r>
      </w:hyperlink>
      <w:r w:rsidRPr="001357D3">
        <w:rPr>
          <w:sz w:val="16"/>
        </w:rPr>
        <w:t>.</w:t>
      </w:r>
    </w:p>
  </w:footnote>
  <w:footnote w:id="31">
    <w:p w14:paraId="5681678D" w14:textId="0BB38D34" w:rsidR="5D47DDB2" w:rsidRPr="001357D3" w:rsidRDefault="5D47DDB2" w:rsidP="001B10D2">
      <w:pPr>
        <w:spacing w:before="0" w:after="0" w:line="257" w:lineRule="auto"/>
        <w:rPr>
          <w:sz w:val="16"/>
          <w:szCs w:val="16"/>
        </w:rPr>
      </w:pPr>
      <w:r>
        <w:rPr>
          <w:rStyle w:val="Odwoanieprzypisudolnego"/>
        </w:rPr>
        <w:footnoteRef/>
      </w:r>
      <w:r w:rsidRPr="001357D3">
        <w:tab/>
      </w:r>
      <w:r w:rsidRPr="001357D3">
        <w:rPr>
          <w:sz w:val="16"/>
        </w:rPr>
        <w:t>Ocena śródokresowa programu „Sprawiedliwość” na lata 2021–2027, COM(2025) 267 i SWD(2025) 134.</w:t>
      </w:r>
    </w:p>
  </w:footnote>
  <w:footnote w:id="32">
    <w:p w14:paraId="6C93A5F9" w14:textId="56AA61AD" w:rsidR="71750843" w:rsidRPr="001357D3" w:rsidRDefault="71750843" w:rsidP="001B10D2">
      <w:pPr>
        <w:spacing w:before="0" w:after="0"/>
        <w:rPr>
          <w:rFonts w:eastAsia="Times New Roman"/>
          <w:color w:val="000000" w:themeColor="text1"/>
          <w:sz w:val="16"/>
          <w:szCs w:val="16"/>
        </w:rPr>
      </w:pPr>
      <w:r>
        <w:rPr>
          <w:rStyle w:val="Odwoanieprzypisudolnego"/>
        </w:rPr>
        <w:footnoteRef/>
      </w:r>
      <w:r w:rsidRPr="001357D3">
        <w:tab/>
      </w:r>
      <w:r w:rsidRPr="001357D3">
        <w:rPr>
          <w:sz w:val="16"/>
        </w:rPr>
        <w:t>I</w:t>
      </w:r>
      <w:r w:rsidRPr="001357D3">
        <w:rPr>
          <w:rStyle w:val="normaltextrun"/>
          <w:color w:val="000000" w:themeColor="text1"/>
          <w:sz w:val="16"/>
        </w:rPr>
        <w:t>nstytucje szkolnictwa wyższego</w:t>
      </w:r>
      <w:r w:rsidR="001C6403" w:rsidRPr="001357D3">
        <w:rPr>
          <w:rStyle w:val="normaltextrun"/>
          <w:color w:val="000000" w:themeColor="text1"/>
          <w:sz w:val="16"/>
        </w:rPr>
        <w:t xml:space="preserve"> i</w:t>
      </w:r>
      <w:r w:rsidR="001C6403">
        <w:rPr>
          <w:rStyle w:val="normaltextrun"/>
          <w:color w:val="000000" w:themeColor="text1"/>
          <w:sz w:val="16"/>
        </w:rPr>
        <w:t> </w:t>
      </w:r>
      <w:r w:rsidR="001C6403" w:rsidRPr="001357D3">
        <w:rPr>
          <w:rStyle w:val="normaltextrun"/>
          <w:color w:val="000000" w:themeColor="text1"/>
          <w:sz w:val="16"/>
        </w:rPr>
        <w:t>org</w:t>
      </w:r>
      <w:r w:rsidRPr="001357D3">
        <w:rPr>
          <w:rStyle w:val="normaltextrun"/>
          <w:color w:val="000000" w:themeColor="text1"/>
          <w:sz w:val="16"/>
        </w:rPr>
        <w:t>any publiczne zgłosiły większą wiedzę na temat programu</w:t>
      </w:r>
      <w:r w:rsidR="001C6403" w:rsidRPr="001357D3">
        <w:rPr>
          <w:rStyle w:val="normaltextrun"/>
          <w:color w:val="000000" w:themeColor="text1"/>
          <w:sz w:val="16"/>
        </w:rPr>
        <w:t xml:space="preserve"> w</w:t>
      </w:r>
      <w:r w:rsidR="001C6403">
        <w:rPr>
          <w:rStyle w:val="normaltextrun"/>
          <w:color w:val="000000" w:themeColor="text1"/>
          <w:sz w:val="16"/>
        </w:rPr>
        <w:t> </w:t>
      </w:r>
      <w:r w:rsidR="001C6403" w:rsidRPr="001357D3">
        <w:rPr>
          <w:rStyle w:val="normaltextrun"/>
          <w:color w:val="000000" w:themeColor="text1"/>
          <w:sz w:val="16"/>
        </w:rPr>
        <w:t>por</w:t>
      </w:r>
      <w:r w:rsidRPr="001357D3">
        <w:rPr>
          <w:rStyle w:val="normaltextrun"/>
          <w:color w:val="000000" w:themeColor="text1"/>
          <w:sz w:val="16"/>
        </w:rPr>
        <w:t>ównaniu</w:t>
      </w:r>
      <w:r w:rsidR="001C6403" w:rsidRPr="001357D3">
        <w:rPr>
          <w:rStyle w:val="normaltextrun"/>
          <w:color w:val="000000" w:themeColor="text1"/>
          <w:sz w:val="16"/>
        </w:rPr>
        <w:t xml:space="preserve"> z</w:t>
      </w:r>
      <w:r w:rsidR="001C6403">
        <w:rPr>
          <w:rStyle w:val="normaltextrun"/>
          <w:color w:val="000000" w:themeColor="text1"/>
          <w:sz w:val="16"/>
        </w:rPr>
        <w:t> </w:t>
      </w:r>
      <w:r w:rsidR="001C6403" w:rsidRPr="001357D3">
        <w:rPr>
          <w:rStyle w:val="normaltextrun"/>
          <w:color w:val="000000" w:themeColor="text1"/>
          <w:sz w:val="16"/>
        </w:rPr>
        <w:t>org</w:t>
      </w:r>
      <w:r w:rsidRPr="001357D3">
        <w:rPr>
          <w:rStyle w:val="normaltextrun"/>
          <w:color w:val="000000" w:themeColor="text1"/>
          <w:sz w:val="16"/>
        </w:rPr>
        <w:t>anizacjami społeczeństwa obywatelskiego.</w:t>
      </w:r>
    </w:p>
  </w:footnote>
  <w:footnote w:id="33">
    <w:p w14:paraId="69B1707E" w14:textId="10F291D7" w:rsidR="5D47DDB2" w:rsidRPr="001357D3" w:rsidRDefault="5D47DDB2" w:rsidP="001B10D2">
      <w:pPr>
        <w:spacing w:before="0" w:after="0" w:line="257" w:lineRule="auto"/>
        <w:rPr>
          <w:sz w:val="16"/>
          <w:szCs w:val="16"/>
        </w:rPr>
      </w:pPr>
      <w:r>
        <w:rPr>
          <w:rStyle w:val="Odwoanieprzypisudolnego"/>
        </w:rPr>
        <w:footnoteRef/>
      </w:r>
      <w:r w:rsidRPr="001357D3">
        <w:tab/>
      </w:r>
      <w:r w:rsidRPr="001357D3">
        <w:rPr>
          <w:sz w:val="16"/>
        </w:rPr>
        <w:t>Ocena śródokresowa programu „Sprawiedliwość” na lata 2021–2027, COM(2025) 267 i SWD(2025) 134.</w:t>
      </w:r>
    </w:p>
  </w:footnote>
  <w:footnote w:id="34">
    <w:p w14:paraId="40B345D3" w14:textId="379B0084" w:rsidR="5D47DDB2" w:rsidRPr="001357D3" w:rsidRDefault="5D47DDB2" w:rsidP="001B10D2">
      <w:pPr>
        <w:spacing w:before="0" w:after="0" w:line="257" w:lineRule="auto"/>
        <w:rPr>
          <w:sz w:val="16"/>
          <w:szCs w:val="16"/>
        </w:rPr>
      </w:pPr>
      <w:r>
        <w:rPr>
          <w:rStyle w:val="Odwoanieprzypisudolnego"/>
        </w:rPr>
        <w:footnoteRef/>
      </w:r>
      <w:r w:rsidRPr="001357D3">
        <w:tab/>
        <w:t>Tamże.</w:t>
      </w:r>
    </w:p>
  </w:footnote>
  <w:footnote w:id="35">
    <w:p w14:paraId="6CCB7B66" w14:textId="67060A40" w:rsidR="5EE776FD" w:rsidRPr="001357D3" w:rsidRDefault="5EE776FD" w:rsidP="001B10D2">
      <w:pPr>
        <w:spacing w:before="0" w:after="0"/>
        <w:rPr>
          <w:rFonts w:eastAsia="Times New Roman"/>
          <w:sz w:val="16"/>
          <w:szCs w:val="16"/>
        </w:rPr>
      </w:pPr>
      <w:r>
        <w:rPr>
          <w:rStyle w:val="Odwoanieprzypisudolnego"/>
        </w:rPr>
        <w:footnoteRef/>
      </w:r>
      <w:r w:rsidRPr="001357D3">
        <w:tab/>
      </w:r>
      <w:r w:rsidRPr="001357D3">
        <w:rPr>
          <w:sz w:val="16"/>
        </w:rPr>
        <w:t>62 % respondentów uznało je za wysoce adekwatne.</w:t>
      </w:r>
    </w:p>
  </w:footnote>
  <w:footnote w:id="36">
    <w:p w14:paraId="5AFA75D9" w14:textId="504AD80A" w:rsidR="5EE776FD" w:rsidRPr="001357D3" w:rsidRDefault="5EE776FD" w:rsidP="001B10D2">
      <w:pPr>
        <w:spacing w:before="0" w:after="0"/>
        <w:rPr>
          <w:rFonts w:eastAsia="Times New Roman"/>
          <w:sz w:val="16"/>
          <w:szCs w:val="16"/>
        </w:rPr>
      </w:pPr>
      <w:r>
        <w:rPr>
          <w:rStyle w:val="Odwoanieprzypisudolnego"/>
        </w:rPr>
        <w:footnoteRef/>
      </w:r>
      <w:r w:rsidRPr="001357D3">
        <w:tab/>
      </w:r>
      <w:hyperlink r:id="rId22">
        <w:r w:rsidRPr="001357D3">
          <w:rPr>
            <w:rStyle w:val="Hipercze"/>
            <w:sz w:val="16"/>
          </w:rPr>
          <w:t>Program „Sprawiedliwość” – ocena końcowa programu na lata 2014–2020</w:t>
        </w:r>
        <w:r w:rsidR="001C6403" w:rsidRPr="001357D3">
          <w:rPr>
            <w:rStyle w:val="Hipercze"/>
            <w:sz w:val="16"/>
          </w:rPr>
          <w:t xml:space="preserve"> i</w:t>
        </w:r>
        <w:r w:rsidR="001C6403">
          <w:rPr>
            <w:rStyle w:val="Hipercze"/>
            <w:sz w:val="16"/>
          </w:rPr>
          <w:t> </w:t>
        </w:r>
        <w:r w:rsidR="001C6403" w:rsidRPr="001357D3">
          <w:rPr>
            <w:rStyle w:val="Hipercze"/>
            <w:sz w:val="16"/>
          </w:rPr>
          <w:t>oce</w:t>
        </w:r>
        <w:r w:rsidRPr="001357D3">
          <w:rPr>
            <w:rStyle w:val="Hipercze"/>
            <w:sz w:val="16"/>
          </w:rPr>
          <w:t>na śródokresowa programu na lata 2021–2027</w:t>
        </w:r>
      </w:hyperlink>
      <w:r w:rsidRPr="001357D3">
        <w:t>.</w:t>
      </w:r>
    </w:p>
  </w:footnote>
  <w:footnote w:id="37">
    <w:p w14:paraId="15BCB2CB" w14:textId="18F93BA1" w:rsidR="00227239" w:rsidRPr="001357D3" w:rsidRDefault="00227239" w:rsidP="001B10D2">
      <w:pPr>
        <w:pStyle w:val="Tekstprzypisudolnego"/>
        <w:ind w:left="0" w:firstLine="0"/>
        <w:rPr>
          <w:sz w:val="16"/>
          <w:szCs w:val="16"/>
        </w:rPr>
      </w:pPr>
      <w:r>
        <w:rPr>
          <w:rStyle w:val="Odwoanieprzypisudolnego"/>
        </w:rPr>
        <w:footnoteRef/>
      </w:r>
      <w:r w:rsidRPr="001357D3">
        <w:tab/>
      </w:r>
      <w:r w:rsidRPr="001357D3">
        <w:rPr>
          <w:sz w:val="16"/>
        </w:rPr>
        <w:t>https://ec.europa.eu/info/law/better-regulation/have-your-say/initiatives/14523-EUs-next-long-term-budget-MFF-EU-funding-for-cross-border-education-training-and-solidarity-young-people-media-culture-and-creative-sectors-values-and-civil-society_pl.</w:t>
      </w:r>
    </w:p>
  </w:footnote>
  <w:footnote w:id="38">
    <w:p w14:paraId="796556BD" w14:textId="38A280CC" w:rsidR="5EE776FD" w:rsidRPr="001357D3" w:rsidRDefault="5EE776FD" w:rsidP="001B10D2">
      <w:pPr>
        <w:spacing w:before="0" w:after="0"/>
        <w:rPr>
          <w:rFonts w:eastAsia="Times New Roman"/>
          <w:sz w:val="16"/>
          <w:szCs w:val="16"/>
        </w:rPr>
      </w:pPr>
      <w:r>
        <w:rPr>
          <w:rStyle w:val="Odwoanieprzypisudolnego"/>
        </w:rPr>
        <w:footnoteRef/>
      </w:r>
      <w:r w:rsidRPr="001357D3">
        <w:tab/>
      </w:r>
      <w:r w:rsidRPr="001357D3">
        <w:rPr>
          <w:sz w:val="16"/>
        </w:rPr>
        <w:t>Państwem zamieszkania,</w:t>
      </w:r>
      <w:r w:rsidR="001C6403" w:rsidRPr="001357D3">
        <w:rPr>
          <w:sz w:val="16"/>
        </w:rPr>
        <w:t xml:space="preserve"> z</w:t>
      </w:r>
      <w:r w:rsidR="001C6403">
        <w:rPr>
          <w:sz w:val="16"/>
        </w:rPr>
        <w:t> </w:t>
      </w:r>
      <w:r w:rsidR="001C6403" w:rsidRPr="001357D3">
        <w:rPr>
          <w:sz w:val="16"/>
        </w:rPr>
        <w:t>któ</w:t>
      </w:r>
      <w:r w:rsidRPr="001357D3">
        <w:rPr>
          <w:sz w:val="16"/>
        </w:rPr>
        <w:t>rego pochodziło najwięcej odpowiedzi, były Niemcy,</w:t>
      </w:r>
      <w:r w:rsidR="001C6403" w:rsidRPr="001357D3">
        <w:rPr>
          <w:sz w:val="16"/>
        </w:rPr>
        <w:t xml:space="preserve"> a</w:t>
      </w:r>
      <w:r w:rsidR="001C6403">
        <w:rPr>
          <w:sz w:val="16"/>
        </w:rPr>
        <w:t> </w:t>
      </w:r>
      <w:r w:rsidR="001C6403" w:rsidRPr="001357D3">
        <w:rPr>
          <w:sz w:val="16"/>
        </w:rPr>
        <w:t>nas</w:t>
      </w:r>
      <w:r w:rsidRPr="001357D3">
        <w:rPr>
          <w:sz w:val="16"/>
        </w:rPr>
        <w:t>tępnie Francja</w:t>
      </w:r>
      <w:r w:rsidR="001C6403" w:rsidRPr="001357D3">
        <w:rPr>
          <w:sz w:val="16"/>
        </w:rPr>
        <w:t xml:space="preserve"> i</w:t>
      </w:r>
      <w:r w:rsidR="001C6403">
        <w:rPr>
          <w:sz w:val="16"/>
        </w:rPr>
        <w:t> </w:t>
      </w:r>
      <w:r w:rsidR="001C6403" w:rsidRPr="001357D3">
        <w:rPr>
          <w:sz w:val="16"/>
        </w:rPr>
        <w:t>Wło</w:t>
      </w:r>
      <w:r w:rsidRPr="001357D3">
        <w:rPr>
          <w:sz w:val="16"/>
        </w:rPr>
        <w:t>chy.</w:t>
      </w:r>
    </w:p>
  </w:footnote>
  <w:footnote w:id="39">
    <w:p w14:paraId="2EA7D94A" w14:textId="7879D7A5" w:rsidR="00464B14" w:rsidRPr="00463E26" w:rsidRDefault="00464B14" w:rsidP="0097681C">
      <w:pPr>
        <w:pStyle w:val="Tekstprzypisudolnego"/>
        <w:ind w:left="0" w:firstLine="0"/>
        <w:rPr>
          <w:sz w:val="16"/>
          <w:szCs w:val="16"/>
          <w:lang w:val="en-IE"/>
        </w:rPr>
      </w:pPr>
      <w:r>
        <w:rPr>
          <w:rStyle w:val="Odwoanieprzypisudolnego"/>
        </w:rPr>
        <w:footnoteRef/>
      </w:r>
      <w:r w:rsidRPr="00463E26">
        <w:rPr>
          <w:lang w:val="en-IE"/>
        </w:rPr>
        <w:tab/>
      </w:r>
      <w:r w:rsidRPr="00463E26">
        <w:rPr>
          <w:sz w:val="16"/>
          <w:lang w:val="en-IE"/>
        </w:rPr>
        <w:t xml:space="preserve">W tym na przykład: </w:t>
      </w:r>
      <w:hyperlink r:id="rId23" w:history="1">
        <w:r w:rsidRPr="00463E26">
          <w:rPr>
            <w:rStyle w:val="Hipercze"/>
            <w:sz w:val="16"/>
            <w:lang w:val="en-IE"/>
          </w:rPr>
          <w:t>Stakeholder_contribution_on_rule_of_law_-_oecd.pdf (europa.eu)</w:t>
        </w:r>
      </w:hyperlink>
      <w:r w:rsidRPr="00463E26">
        <w:rPr>
          <w:sz w:val="16"/>
          <w:lang w:val="en-IE"/>
        </w:rPr>
        <w:t xml:space="preserve">; </w:t>
      </w:r>
      <w:hyperlink r:id="rId24" w:history="1">
        <w:r w:rsidRPr="00463E26">
          <w:rPr>
            <w:rStyle w:val="Hipercze"/>
            <w:sz w:val="16"/>
            <w:lang w:val="en-IE"/>
          </w:rPr>
          <w:t>https://eige.europa.eu/gender-statistics/dgs/indicator/wmidm_jud_natcrt__wmid_natcrt_supcrt/datatable</w:t>
        </w:r>
      </w:hyperlink>
      <w:r w:rsidRPr="00463E26">
        <w:rPr>
          <w:sz w:val="16"/>
          <w:lang w:val="en-IE"/>
        </w:rPr>
        <w:t xml:space="preserve">; </w:t>
      </w:r>
      <w:hyperlink r:id="rId25" w:history="1">
        <w:r w:rsidRPr="00463E26">
          <w:rPr>
            <w:rStyle w:val="Hipercze"/>
            <w:sz w:val="16"/>
            <w:lang w:val="en-IE"/>
          </w:rPr>
          <w:t>http://www.coe.int/t/dghl/cooperation/cepej/evaluation/default_ en.asp</w:t>
        </w:r>
      </w:hyperlink>
      <w:r w:rsidRPr="00463E26">
        <w:rPr>
          <w:sz w:val="16"/>
          <w:lang w:val="en-IE"/>
        </w:rPr>
        <w:t>.</w:t>
      </w:r>
    </w:p>
  </w:footnote>
  <w:footnote w:id="40">
    <w:p w14:paraId="57C32690" w14:textId="0662F735" w:rsidR="00B6619B" w:rsidRPr="001357D3" w:rsidRDefault="00B6619B" w:rsidP="001B10D2">
      <w:pPr>
        <w:spacing w:before="0" w:after="0"/>
        <w:rPr>
          <w:sz w:val="16"/>
          <w:szCs w:val="16"/>
        </w:rPr>
      </w:pPr>
      <w:r>
        <w:rPr>
          <w:rStyle w:val="Odwoanieprzypisudolnego"/>
        </w:rPr>
        <w:footnoteRef/>
      </w:r>
      <w:r w:rsidRPr="001357D3">
        <w:tab/>
      </w:r>
      <w:r w:rsidRPr="001357D3">
        <w:rPr>
          <w:color w:val="0000FF"/>
          <w:sz w:val="16"/>
          <w:u w:val="single"/>
        </w:rPr>
        <w:t>Wytyczne polityczne na następną kadencję Komisji Europejskiej 2024–2029</w:t>
      </w:r>
      <w:r w:rsidRPr="001357D3">
        <w:rPr>
          <w:color w:val="000000" w:themeColor="text1"/>
          <w:sz w:val="16"/>
        </w:rPr>
        <w:t>.</w:t>
      </w:r>
    </w:p>
  </w:footnote>
  <w:footnote w:id="41">
    <w:p w14:paraId="08A8F95F" w14:textId="61318208" w:rsidR="5EE776FD" w:rsidRPr="001357D3" w:rsidRDefault="5EE776FD" w:rsidP="001B10D2">
      <w:pPr>
        <w:spacing w:before="0" w:after="0"/>
        <w:rPr>
          <w:sz w:val="16"/>
          <w:szCs w:val="16"/>
        </w:rPr>
      </w:pPr>
      <w:r>
        <w:rPr>
          <w:rStyle w:val="Odwoanieprzypisudolnego"/>
        </w:rPr>
        <w:footnoteRef/>
      </w:r>
      <w:r w:rsidRPr="001357D3">
        <w:tab/>
      </w:r>
      <w:hyperlink r:id="rId26">
        <w:r w:rsidRPr="001357D3">
          <w:rPr>
            <w:rStyle w:val="Hipercze"/>
            <w:sz w:val="16"/>
          </w:rPr>
          <w:t>https://eur-lex.europa.eu/legal-content/pl/TXT/?uri=celex:52025DC0046</w:t>
        </w:r>
      </w:hyperlink>
      <w:r w:rsidRPr="001357D3">
        <w:rPr>
          <w:sz w:val="16"/>
        </w:rPr>
        <w:t xml:space="preserve">. </w:t>
      </w:r>
    </w:p>
  </w:footnote>
  <w:footnote w:id="42">
    <w:p w14:paraId="2554DC34" w14:textId="545257E0" w:rsidR="0097681C" w:rsidRPr="001357D3" w:rsidRDefault="0097681C" w:rsidP="0097681C">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2016/679</w:t>
      </w:r>
      <w:r w:rsidR="001C6403" w:rsidRPr="001357D3">
        <w:t xml:space="preserve"> z</w:t>
      </w:r>
      <w:r w:rsidR="001C6403">
        <w:t> </w:t>
      </w:r>
      <w:r w:rsidR="001C6403" w:rsidRPr="001357D3">
        <w:t>dni</w:t>
      </w:r>
      <w:r w:rsidRPr="001357D3">
        <w:t>a 27 kwietnia 2016 r.</w:t>
      </w:r>
      <w:r w:rsidR="001C6403" w:rsidRPr="001357D3">
        <w:t xml:space="preserve"> w</w:t>
      </w:r>
      <w:r w:rsidR="001C6403">
        <w:t> </w:t>
      </w:r>
      <w:r w:rsidR="001C6403" w:rsidRPr="001357D3">
        <w:t>spr</w:t>
      </w:r>
      <w:r w:rsidRPr="001357D3">
        <w:t>awie ochrony osób fizycznych</w:t>
      </w:r>
      <w:r w:rsidR="001C6403" w:rsidRPr="001357D3">
        <w:t xml:space="preserve"> w</w:t>
      </w:r>
      <w:r w:rsidR="001C6403">
        <w:t> </w:t>
      </w:r>
      <w:r w:rsidR="001C6403" w:rsidRPr="001357D3">
        <w:t>zwi</w:t>
      </w:r>
      <w:r w:rsidRPr="001357D3">
        <w:t>ązku</w:t>
      </w:r>
      <w:r w:rsidR="001C6403" w:rsidRPr="001357D3">
        <w:t xml:space="preserve"> z</w:t>
      </w:r>
      <w:r w:rsidR="001C6403">
        <w:t> </w:t>
      </w:r>
      <w:r w:rsidR="001C6403" w:rsidRPr="001357D3">
        <w:t>prz</w:t>
      </w:r>
      <w:r w:rsidRPr="001357D3">
        <w:t>etwarzaniem danych osobowych</w:t>
      </w:r>
      <w:r w:rsidR="001C6403" w:rsidRPr="001357D3">
        <w:t xml:space="preserve"> i</w:t>
      </w:r>
      <w:r w:rsidR="001C6403">
        <w:t> </w:t>
      </w:r>
      <w:r w:rsidR="001C6403" w:rsidRPr="001357D3">
        <w:t>w</w:t>
      </w:r>
      <w:r w:rsidR="001C6403">
        <w:t> </w:t>
      </w:r>
      <w:r w:rsidR="001C6403" w:rsidRPr="001357D3">
        <w:t>spr</w:t>
      </w:r>
      <w:r w:rsidRPr="001357D3">
        <w:t>awie swobodnego przepływu takich danych oraz uchylenia dyrektywy 95/46/WE (ogólne rozporządzenie</w:t>
      </w:r>
      <w:r w:rsidR="001C6403" w:rsidRPr="001357D3">
        <w:t xml:space="preserve"> o</w:t>
      </w:r>
      <w:r w:rsidR="001C6403">
        <w:t> </w:t>
      </w:r>
      <w:r w:rsidR="001C6403" w:rsidRPr="001357D3">
        <w:t>och</w:t>
      </w:r>
      <w:r w:rsidRPr="001357D3">
        <w:t xml:space="preserve">ronie danych), </w:t>
      </w:r>
      <w:r w:rsidRPr="001357D3">
        <w:rPr>
          <w:i/>
          <w:iCs/>
        </w:rPr>
        <w:t>Dz.U. L 119</w:t>
      </w:r>
      <w:r w:rsidR="001C6403" w:rsidRPr="001357D3">
        <w:rPr>
          <w:i/>
          <w:iCs/>
        </w:rPr>
        <w:t xml:space="preserve"> z</w:t>
      </w:r>
      <w:r w:rsidR="001C6403">
        <w:rPr>
          <w:i/>
          <w:iCs/>
        </w:rPr>
        <w:t> </w:t>
      </w:r>
      <w:r w:rsidR="001C6403" w:rsidRPr="001357D3">
        <w:rPr>
          <w:i/>
          <w:iCs/>
        </w:rPr>
        <w:t>4</w:t>
      </w:r>
      <w:r w:rsidRPr="001357D3">
        <w:rPr>
          <w:i/>
          <w:iCs/>
        </w:rPr>
        <w:t>.5.2016, s. 1, ELI:</w:t>
      </w:r>
      <w:r w:rsidRPr="001357D3">
        <w:rPr>
          <w:i/>
          <w:sz w:val="16"/>
        </w:rPr>
        <w:t> </w:t>
      </w:r>
      <w:hyperlink r:id="rId27" w:tooltip="Dostęp do dokumentu poprzez identyfikator URI w systemie ELI." w:history="1">
        <w:r w:rsidRPr="001357D3">
          <w:rPr>
            <w:rStyle w:val="Hipercze"/>
            <w:i/>
            <w:sz w:val="16"/>
          </w:rPr>
          <w:t>http://data.europa.eu/eli/reg/2016/679/oj</w:t>
        </w:r>
      </w:hyperlink>
      <w:r w:rsidRPr="001357D3">
        <w:rPr>
          <w:i/>
          <w:sz w:val="16"/>
        </w:rPr>
        <w:t>.</w:t>
      </w:r>
    </w:p>
  </w:footnote>
  <w:footnote w:id="43">
    <w:p w14:paraId="044AD44B" w14:textId="17A1EA5D" w:rsidR="0035056F" w:rsidRPr="001357D3" w:rsidRDefault="0035056F" w:rsidP="001B10D2">
      <w:pPr>
        <w:pStyle w:val="Tekstprzypisudolnego"/>
        <w:ind w:left="0" w:firstLine="0"/>
        <w:rPr>
          <w:sz w:val="16"/>
          <w:szCs w:val="16"/>
        </w:rPr>
      </w:pPr>
      <w:r>
        <w:rPr>
          <w:rStyle w:val="Odwoanieprzypisudolnego"/>
        </w:rPr>
        <w:footnoteRef/>
      </w:r>
      <w:r w:rsidRPr="001357D3">
        <w:tab/>
      </w:r>
      <w:r w:rsidRPr="001357D3">
        <w:rPr>
          <w:sz w:val="16"/>
        </w:rPr>
        <w:t>Dz.U. L 23</w:t>
      </w:r>
      <w:r w:rsidR="001C6403" w:rsidRPr="001357D3">
        <w:rPr>
          <w:sz w:val="16"/>
        </w:rPr>
        <w:t xml:space="preserve"> z</w:t>
      </w:r>
      <w:r w:rsidR="001C6403">
        <w:rPr>
          <w:sz w:val="16"/>
        </w:rPr>
        <w:t> </w:t>
      </w:r>
      <w:r w:rsidR="001C6403" w:rsidRPr="001357D3">
        <w:rPr>
          <w:sz w:val="16"/>
        </w:rPr>
        <w:t>2</w:t>
      </w:r>
      <w:r w:rsidRPr="001357D3">
        <w:rPr>
          <w:sz w:val="16"/>
        </w:rPr>
        <w:t xml:space="preserve">7.1.2010, s. 37, ELI: </w:t>
      </w:r>
      <w:hyperlink r:id="rId28" w:history="1">
        <w:r w:rsidRPr="001357D3">
          <w:rPr>
            <w:rStyle w:val="Hipercze"/>
            <w:sz w:val="16"/>
          </w:rPr>
          <w:t>http://data.europa.eu/eli/convention/2010/48(1)/oj</w:t>
        </w:r>
      </w:hyperlink>
      <w:r w:rsidRPr="001357D3">
        <w:rPr>
          <w:sz w:val="16"/>
        </w:rPr>
        <w:t>. Od momentu, gdy Unia stała się stroną Konwencji ONZ</w:t>
      </w:r>
      <w:r w:rsidR="001C6403" w:rsidRPr="001357D3">
        <w:rPr>
          <w:sz w:val="16"/>
        </w:rPr>
        <w:t xml:space="preserve"> o</w:t>
      </w:r>
      <w:r w:rsidR="001C6403">
        <w:rPr>
          <w:sz w:val="16"/>
        </w:rPr>
        <w:t> </w:t>
      </w:r>
      <w:r w:rsidR="001C6403" w:rsidRPr="001357D3">
        <w:rPr>
          <w:sz w:val="16"/>
        </w:rPr>
        <w:t>pra</w:t>
      </w:r>
      <w:r w:rsidRPr="001357D3">
        <w:rPr>
          <w:sz w:val="16"/>
        </w:rPr>
        <w:t>wach osób niepełnosprawnych, jej postanowienia stały się integralną częścią porządku prawnego Unii i są wiążące dla instytucji Unii oraz jej państw członkowskich,</w:t>
      </w:r>
      <w:r w:rsidR="001C6403" w:rsidRPr="001357D3">
        <w:rPr>
          <w:sz w:val="16"/>
        </w:rPr>
        <w:t xml:space="preserve"> w</w:t>
      </w:r>
      <w:r w:rsidR="001C6403">
        <w:rPr>
          <w:sz w:val="16"/>
        </w:rPr>
        <w:t> </w:t>
      </w:r>
      <w:r w:rsidR="001C6403" w:rsidRPr="001357D3">
        <w:rPr>
          <w:sz w:val="16"/>
        </w:rPr>
        <w:t>tym</w:t>
      </w:r>
      <w:r w:rsidRPr="001357D3">
        <w:rPr>
          <w:sz w:val="16"/>
        </w:rPr>
        <w:t xml:space="preserve"> art. 13 dotyczący dostępu do wymiaru sprawiedliwości. Zgodnie</w:t>
      </w:r>
      <w:r w:rsidR="001C6403" w:rsidRPr="001357D3">
        <w:rPr>
          <w:sz w:val="16"/>
        </w:rPr>
        <w:t xml:space="preserve"> z</w:t>
      </w:r>
      <w:r w:rsidR="001C6403">
        <w:rPr>
          <w:sz w:val="16"/>
        </w:rPr>
        <w:t> </w:t>
      </w:r>
      <w:r w:rsidR="001C6403" w:rsidRPr="001357D3">
        <w:rPr>
          <w:sz w:val="16"/>
        </w:rPr>
        <w:t>tym</w:t>
      </w:r>
      <w:r w:rsidRPr="001357D3">
        <w:rPr>
          <w:sz w:val="16"/>
        </w:rPr>
        <w:t xml:space="preserve"> artykułem Państwa Strony są zobowiązane do zapewnienia osobom niepełnosprawnym, na zasadzie równości</w:t>
      </w:r>
      <w:r w:rsidR="001C6403" w:rsidRPr="001357D3">
        <w:rPr>
          <w:sz w:val="16"/>
        </w:rPr>
        <w:t xml:space="preserve"> z</w:t>
      </w:r>
      <w:r w:rsidR="001C6403">
        <w:rPr>
          <w:sz w:val="16"/>
        </w:rPr>
        <w:t> </w:t>
      </w:r>
      <w:r w:rsidR="001C6403" w:rsidRPr="001357D3">
        <w:rPr>
          <w:sz w:val="16"/>
        </w:rPr>
        <w:t>inn</w:t>
      </w:r>
      <w:r w:rsidRPr="001357D3">
        <w:rPr>
          <w:sz w:val="16"/>
        </w:rPr>
        <w:t>ymi osobami, skutecznego dostępu do wymiaru sprawiedliwości (w tym poprzez wprowadzenie dostosowań proceduralnych</w:t>
      </w:r>
      <w:r w:rsidR="001C6403" w:rsidRPr="001357D3">
        <w:rPr>
          <w:sz w:val="16"/>
        </w:rPr>
        <w:t xml:space="preserve"> i</w:t>
      </w:r>
      <w:r w:rsidR="001C6403">
        <w:rPr>
          <w:sz w:val="16"/>
        </w:rPr>
        <w:t> </w:t>
      </w:r>
      <w:r w:rsidR="001C6403" w:rsidRPr="001357D3">
        <w:rPr>
          <w:sz w:val="16"/>
        </w:rPr>
        <w:t>dos</w:t>
      </w:r>
      <w:r w:rsidRPr="001357D3">
        <w:rPr>
          <w:sz w:val="16"/>
        </w:rPr>
        <w:t>tosowań odpowiednich do wieku) we wszelkich postępowaniach prawnych,</w:t>
      </w:r>
      <w:r w:rsidR="001C6403" w:rsidRPr="001357D3">
        <w:rPr>
          <w:sz w:val="16"/>
        </w:rPr>
        <w:t xml:space="preserve"> w</w:t>
      </w:r>
      <w:r w:rsidR="001C6403">
        <w:rPr>
          <w:sz w:val="16"/>
        </w:rPr>
        <w:t> </w:t>
      </w:r>
      <w:r w:rsidR="001C6403" w:rsidRPr="001357D3">
        <w:rPr>
          <w:sz w:val="16"/>
        </w:rPr>
        <w:t>tym</w:t>
      </w:r>
      <w:r w:rsidRPr="001357D3">
        <w:rPr>
          <w:sz w:val="16"/>
        </w:rPr>
        <w:t xml:space="preserve"> na etapie śledztwa</w:t>
      </w:r>
      <w:r w:rsidR="001C6403" w:rsidRPr="001357D3">
        <w:rPr>
          <w:sz w:val="16"/>
        </w:rPr>
        <w:t xml:space="preserve"> i</w:t>
      </w:r>
      <w:r w:rsidR="001C6403">
        <w:rPr>
          <w:sz w:val="16"/>
        </w:rPr>
        <w:t> </w:t>
      </w:r>
      <w:r w:rsidR="001C6403" w:rsidRPr="001357D3">
        <w:rPr>
          <w:sz w:val="16"/>
        </w:rPr>
        <w:t>inn</w:t>
      </w:r>
      <w:r w:rsidRPr="001357D3">
        <w:rPr>
          <w:sz w:val="16"/>
        </w:rPr>
        <w:t>ych form postępowania przygotowawczego. Wskazano</w:t>
      </w:r>
      <w:r w:rsidR="001C6403" w:rsidRPr="001357D3">
        <w:rPr>
          <w:sz w:val="16"/>
        </w:rPr>
        <w:t xml:space="preserve"> w</w:t>
      </w:r>
      <w:r w:rsidR="001C6403">
        <w:rPr>
          <w:sz w:val="16"/>
        </w:rPr>
        <w:t> </w:t>
      </w:r>
      <w:r w:rsidR="001C6403" w:rsidRPr="001357D3">
        <w:rPr>
          <w:sz w:val="16"/>
        </w:rPr>
        <w:t>nim</w:t>
      </w:r>
      <w:r w:rsidRPr="001357D3">
        <w:rPr>
          <w:sz w:val="16"/>
        </w:rPr>
        <w:t xml:space="preserve"> również, że Państwa Strony mają obowiązek popierać odpowiednie szkolenia osób pracujących</w:t>
      </w:r>
      <w:r w:rsidR="001C6403" w:rsidRPr="001357D3">
        <w:rPr>
          <w:sz w:val="16"/>
        </w:rPr>
        <w:t xml:space="preserve"> w</w:t>
      </w:r>
      <w:r w:rsidR="001C6403">
        <w:rPr>
          <w:sz w:val="16"/>
        </w:rPr>
        <w:t> </w:t>
      </w:r>
      <w:r w:rsidR="001C6403" w:rsidRPr="001357D3">
        <w:rPr>
          <w:sz w:val="16"/>
        </w:rPr>
        <w:t>wym</w:t>
      </w:r>
      <w:r w:rsidRPr="001357D3">
        <w:rPr>
          <w:sz w:val="16"/>
        </w:rPr>
        <w:t>iarze sprawiedliwości,</w:t>
      </w:r>
      <w:r w:rsidR="001C6403" w:rsidRPr="001357D3">
        <w:rPr>
          <w:sz w:val="16"/>
        </w:rPr>
        <w:t xml:space="preserve"> w</w:t>
      </w:r>
      <w:r w:rsidR="001C6403">
        <w:rPr>
          <w:sz w:val="16"/>
        </w:rPr>
        <w:t> </w:t>
      </w:r>
      <w:r w:rsidR="001C6403" w:rsidRPr="001357D3">
        <w:rPr>
          <w:sz w:val="16"/>
        </w:rPr>
        <w:t>tym w</w:t>
      </w:r>
      <w:r w:rsidR="001C6403">
        <w:rPr>
          <w:sz w:val="16"/>
        </w:rPr>
        <w:t> </w:t>
      </w:r>
      <w:r w:rsidR="001C6403" w:rsidRPr="001357D3">
        <w:rPr>
          <w:sz w:val="16"/>
        </w:rPr>
        <w:t>pol</w:t>
      </w:r>
      <w:r w:rsidRPr="001357D3">
        <w:rPr>
          <w:sz w:val="16"/>
        </w:rPr>
        <w:t>icji</w:t>
      </w:r>
      <w:r w:rsidR="001C6403" w:rsidRPr="001357D3">
        <w:rPr>
          <w:sz w:val="16"/>
        </w:rPr>
        <w:t xml:space="preserve"> i</w:t>
      </w:r>
      <w:r w:rsidR="001C6403">
        <w:rPr>
          <w:sz w:val="16"/>
        </w:rPr>
        <w:t> </w:t>
      </w:r>
      <w:r w:rsidR="001C6403" w:rsidRPr="001357D3">
        <w:rPr>
          <w:sz w:val="16"/>
        </w:rPr>
        <w:t>wię</w:t>
      </w:r>
      <w:r w:rsidRPr="001357D3">
        <w:rPr>
          <w:sz w:val="16"/>
        </w:rPr>
        <w:t>ziennictwie.</w:t>
      </w:r>
    </w:p>
  </w:footnote>
  <w:footnote w:id="44">
    <w:p w14:paraId="52DFD643" w14:textId="3682AA54" w:rsidR="00703939" w:rsidRPr="001357D3" w:rsidRDefault="00703939" w:rsidP="00703939">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 ramy monitorowania wydatków budżetowych</w:t>
      </w:r>
      <w:r w:rsidR="001C6403" w:rsidRPr="001357D3">
        <w:rPr>
          <w:sz w:val="16"/>
        </w:rPr>
        <w:t xml:space="preserve"> i</w:t>
      </w:r>
      <w:r w:rsidR="001C6403">
        <w:rPr>
          <w:sz w:val="16"/>
        </w:rPr>
        <w:t> </w:t>
      </w:r>
      <w:r w:rsidR="001C6403" w:rsidRPr="001357D3">
        <w:rPr>
          <w:sz w:val="16"/>
        </w:rPr>
        <w:t>ram</w:t>
      </w:r>
      <w:r w:rsidRPr="001357D3">
        <w:rPr>
          <w:sz w:val="16"/>
        </w:rPr>
        <w:t>y wykonania budżetu oraz inne przepisy horyzontalne dla programów</w:t>
      </w:r>
      <w:r w:rsidR="001C6403" w:rsidRPr="001357D3">
        <w:rPr>
          <w:sz w:val="16"/>
        </w:rPr>
        <w:t xml:space="preserve"> i</w:t>
      </w:r>
      <w:r w:rsidR="001C6403">
        <w:rPr>
          <w:sz w:val="16"/>
        </w:rPr>
        <w:t> </w:t>
      </w:r>
      <w:r w:rsidR="001C6403" w:rsidRPr="001357D3">
        <w:rPr>
          <w:sz w:val="16"/>
        </w:rPr>
        <w:t>dzi</w:t>
      </w:r>
      <w:r w:rsidRPr="001357D3">
        <w:rPr>
          <w:sz w:val="16"/>
        </w:rPr>
        <w:t>ałań Unii, COM(2025) 545 final.</w:t>
      </w:r>
    </w:p>
  </w:footnote>
  <w:footnote w:id="45">
    <w:p w14:paraId="4627555B" w14:textId="4078DD50" w:rsidR="00505C0B" w:rsidRPr="001357D3" w:rsidRDefault="00505C0B" w:rsidP="001B10D2">
      <w:pPr>
        <w:pStyle w:val="Tekstprzypisudolnego"/>
        <w:ind w:left="0" w:firstLine="0"/>
        <w:rPr>
          <w:sz w:val="16"/>
          <w:szCs w:val="16"/>
        </w:rPr>
      </w:pPr>
      <w:r>
        <w:rPr>
          <w:rStyle w:val="Odwoanieprzypisudolnego"/>
        </w:rPr>
        <w:footnoteRef/>
      </w:r>
      <w:r w:rsidRPr="001357D3">
        <w:tab/>
        <w:t>Dz.U. C, […], […], ELI:</w:t>
      </w:r>
      <w:r w:rsidRPr="001357D3">
        <w:rPr>
          <w:sz w:val="16"/>
        </w:rPr>
        <w:t xml:space="preserve"> </w:t>
      </w:r>
      <w:r w:rsidRPr="001357D3">
        <w:t>[…]</w:t>
      </w:r>
      <w:r w:rsidRPr="001357D3">
        <w:rPr>
          <w:sz w:val="16"/>
        </w:rPr>
        <w:t xml:space="preserve">. </w:t>
      </w:r>
    </w:p>
  </w:footnote>
  <w:footnote w:id="46">
    <w:p w14:paraId="61BF1DD1" w14:textId="5FD9B4A8" w:rsidR="00505C0B" w:rsidRPr="001357D3" w:rsidRDefault="00505C0B" w:rsidP="001B10D2">
      <w:pPr>
        <w:pStyle w:val="Tekstprzypisudolnego"/>
        <w:ind w:left="0" w:firstLine="0"/>
        <w:rPr>
          <w:sz w:val="16"/>
          <w:szCs w:val="16"/>
        </w:rPr>
      </w:pPr>
      <w:r>
        <w:rPr>
          <w:rStyle w:val="Odwoanieprzypisudolnego"/>
        </w:rPr>
        <w:footnoteRef/>
      </w:r>
      <w:r w:rsidRPr="001357D3">
        <w:tab/>
        <w:t>Dz.U. C, […], […], ELI:</w:t>
      </w:r>
      <w:r w:rsidRPr="001357D3">
        <w:rPr>
          <w:sz w:val="16"/>
        </w:rPr>
        <w:t xml:space="preserve"> </w:t>
      </w:r>
      <w:r w:rsidRPr="001357D3">
        <w:t>[…]</w:t>
      </w:r>
      <w:r w:rsidRPr="001357D3">
        <w:rPr>
          <w:sz w:val="16"/>
        </w:rPr>
        <w:t>.</w:t>
      </w:r>
    </w:p>
  </w:footnote>
  <w:footnote w:id="47">
    <w:p w14:paraId="033EC362" w14:textId="1174F8D5" w:rsidR="277517E0" w:rsidRPr="001357D3" w:rsidRDefault="277517E0" w:rsidP="001B10D2">
      <w:pPr>
        <w:spacing w:before="0" w:after="0"/>
        <w:rPr>
          <w:rFonts w:eastAsia="Times New Roman"/>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2021/693</w:t>
      </w:r>
      <w:r w:rsidR="001C6403" w:rsidRPr="001357D3">
        <w:t xml:space="preserve"> z</w:t>
      </w:r>
      <w:r w:rsidR="001C6403">
        <w:t> </w:t>
      </w:r>
      <w:r w:rsidR="001C6403" w:rsidRPr="001357D3">
        <w:t>dni</w:t>
      </w:r>
      <w:r w:rsidRPr="001357D3">
        <w:t>a 28 kwietnia 2021 r. ustanawiające program „Sprawiedliwość” oraz uchylające rozporządzenie (UE) 1382/2013 (Dz.U. L 156</w:t>
      </w:r>
      <w:r w:rsidR="001C6403" w:rsidRPr="001357D3">
        <w:t xml:space="preserve"> z</w:t>
      </w:r>
      <w:r w:rsidR="001C6403">
        <w:t> </w:t>
      </w:r>
      <w:r w:rsidR="001C6403" w:rsidRPr="001357D3">
        <w:t>5</w:t>
      </w:r>
      <w:r w:rsidRPr="001357D3">
        <w:t>.5.2021, s. 21, ELI:</w:t>
      </w:r>
      <w:r w:rsidRPr="001357D3">
        <w:rPr>
          <w:sz w:val="16"/>
        </w:rPr>
        <w:t> </w:t>
      </w:r>
      <w:hyperlink r:id="rId29" w:tooltip="Dostęp do dokumentu poprzez identyfikator URI w systemie ELI." w:history="1">
        <w:r w:rsidRPr="001357D3">
          <w:rPr>
            <w:rStyle w:val="Hipercze"/>
            <w:sz w:val="16"/>
          </w:rPr>
          <w:t>http://data.europa.eu/eli/reg/2021/693/oj</w:t>
        </w:r>
      </w:hyperlink>
      <w:r w:rsidRPr="001357D3">
        <w:rPr>
          <w:sz w:val="16"/>
        </w:rPr>
        <w:t>).</w:t>
      </w:r>
    </w:p>
  </w:footnote>
  <w:footnote w:id="48">
    <w:p w14:paraId="40A4772B" w14:textId="711F62D7" w:rsidR="00C222A9" w:rsidRPr="001357D3" w:rsidRDefault="00C222A9" w:rsidP="001B10D2">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Euratom) 2024/2509</w:t>
      </w:r>
      <w:r w:rsidR="001C6403" w:rsidRPr="001357D3">
        <w:t xml:space="preserve"> z</w:t>
      </w:r>
      <w:r w:rsidR="001C6403">
        <w:t> </w:t>
      </w:r>
      <w:r w:rsidR="001C6403" w:rsidRPr="001357D3">
        <w:t>dni</w:t>
      </w:r>
      <w:r w:rsidRPr="001357D3">
        <w:t>a 23 września 20</w:t>
      </w:r>
      <w:r w:rsidRPr="001C6403">
        <w:t>24</w:t>
      </w:r>
      <w:r w:rsidR="001C6403" w:rsidRPr="001C6403">
        <w:t> </w:t>
      </w:r>
      <w:r w:rsidRPr="001C6403">
        <w:t>r.</w:t>
      </w:r>
      <w:r w:rsidR="001C6403" w:rsidRPr="001357D3">
        <w:t xml:space="preserve"> w</w:t>
      </w:r>
      <w:r w:rsidR="001C6403">
        <w:t> </w:t>
      </w:r>
      <w:r w:rsidR="001C6403" w:rsidRPr="001357D3">
        <w:t>spr</w:t>
      </w:r>
      <w:r w:rsidRPr="001357D3">
        <w:t>awie zasad finansowych mających zastosowanie do budżetu ogólnego Unii (Dz.U. L, 2024/2509, 26.9.2024, ELI:</w:t>
      </w:r>
      <w:r w:rsidRPr="001357D3">
        <w:rPr>
          <w:sz w:val="16"/>
        </w:rPr>
        <w:t xml:space="preserve"> http://data.europa.eu/eli/reg/2024/2509/OJ).</w:t>
      </w:r>
    </w:p>
  </w:footnote>
  <w:footnote w:id="49">
    <w:p w14:paraId="1445F930" w14:textId="600545B7" w:rsidR="00574DFD" w:rsidRPr="001357D3" w:rsidRDefault="00574DFD" w:rsidP="001B10D2">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 xml:space="preserve">y (UE, Euratom) </w:t>
      </w:r>
      <w:r w:rsidRPr="001C6403">
        <w:t>nr</w:t>
      </w:r>
      <w:r w:rsidR="001C6403" w:rsidRPr="001C6403">
        <w:t> </w:t>
      </w:r>
      <w:r w:rsidRPr="001C6403">
        <w:t>8</w:t>
      </w:r>
      <w:r w:rsidRPr="001357D3">
        <w:t>83/2013</w:t>
      </w:r>
      <w:r w:rsidR="001C6403" w:rsidRPr="001357D3">
        <w:t xml:space="preserve"> z</w:t>
      </w:r>
      <w:r w:rsidR="001C6403">
        <w:t> </w:t>
      </w:r>
      <w:r w:rsidR="001C6403" w:rsidRPr="001357D3">
        <w:t>dni</w:t>
      </w:r>
      <w:r w:rsidRPr="001357D3">
        <w:t>a 11 września 20</w:t>
      </w:r>
      <w:r w:rsidRPr="001C6403">
        <w:t>13</w:t>
      </w:r>
      <w:r w:rsidR="001C6403" w:rsidRPr="001C6403">
        <w:t> </w:t>
      </w:r>
      <w:r w:rsidRPr="001C6403">
        <w:t>r.</w:t>
      </w:r>
      <w:r w:rsidRPr="001357D3">
        <w:t xml:space="preserve"> dotyczące dochodzeń prowadzonych przez Europejski Urząd ds. Zwalczania Nadużyć Finansowych (OLAF) oraz uchylające rozporządzenie (WE) </w:t>
      </w:r>
      <w:r w:rsidRPr="001C6403">
        <w:t>nr</w:t>
      </w:r>
      <w:r w:rsidR="001C6403" w:rsidRPr="001C6403">
        <w:t> </w:t>
      </w:r>
      <w:r w:rsidRPr="001C6403">
        <w:t>1</w:t>
      </w:r>
      <w:r w:rsidRPr="001357D3">
        <w:t>073/1999 Parlamentu Europejskiego</w:t>
      </w:r>
      <w:r w:rsidR="001C6403" w:rsidRPr="001357D3">
        <w:t xml:space="preserve"> i</w:t>
      </w:r>
      <w:r w:rsidR="001C6403">
        <w:t> </w:t>
      </w:r>
      <w:r w:rsidR="001C6403" w:rsidRPr="001357D3">
        <w:t>Rad</w:t>
      </w:r>
      <w:r w:rsidRPr="001357D3">
        <w:t>y</w:t>
      </w:r>
      <w:r w:rsidR="001C6403" w:rsidRPr="001357D3">
        <w:t xml:space="preserve"> i</w:t>
      </w:r>
      <w:r w:rsidR="001C6403">
        <w:t> </w:t>
      </w:r>
      <w:r w:rsidR="001C6403" w:rsidRPr="001357D3">
        <w:t>roz</w:t>
      </w:r>
      <w:r w:rsidRPr="001357D3">
        <w:t xml:space="preserve">porządzenie Rady (Euratom) </w:t>
      </w:r>
      <w:r w:rsidRPr="001C6403">
        <w:t>nr</w:t>
      </w:r>
      <w:r w:rsidR="001C6403" w:rsidRPr="001C6403">
        <w:t> </w:t>
      </w:r>
      <w:r w:rsidRPr="001C6403">
        <w:t>1</w:t>
      </w:r>
      <w:r w:rsidRPr="001357D3">
        <w:t>074/1999 (Dz.U. L 248</w:t>
      </w:r>
      <w:r w:rsidR="001C6403" w:rsidRPr="001357D3">
        <w:t xml:space="preserve"> z</w:t>
      </w:r>
      <w:r w:rsidR="001C6403">
        <w:t> </w:t>
      </w:r>
      <w:r w:rsidR="001C6403" w:rsidRPr="001357D3">
        <w:t>1</w:t>
      </w:r>
      <w:r w:rsidRPr="001357D3">
        <w:t>8.9.2013, s. 1, ELI:</w:t>
      </w:r>
      <w:r w:rsidRPr="001357D3">
        <w:rPr>
          <w:sz w:val="16"/>
        </w:rPr>
        <w:t> </w:t>
      </w:r>
      <w:hyperlink r:id="rId30" w:tooltip="Dostęp do dokumentu poprzez identyfikator URI w systemie ELI." w:history="1">
        <w:r w:rsidRPr="001357D3">
          <w:rPr>
            <w:rStyle w:val="Hipercze"/>
            <w:sz w:val="16"/>
          </w:rPr>
          <w:t>http://data.europa.eu/eli/reg/2013/883/oj</w:t>
        </w:r>
      </w:hyperlink>
      <w:r w:rsidRPr="001357D3">
        <w:rPr>
          <w:sz w:val="16"/>
        </w:rPr>
        <w:t>).</w:t>
      </w:r>
    </w:p>
  </w:footnote>
  <w:footnote w:id="50">
    <w:p w14:paraId="0F3DD949" w14:textId="3C74F798" w:rsidR="00574DFD" w:rsidRPr="001357D3" w:rsidRDefault="00574DFD" w:rsidP="001B10D2">
      <w:pPr>
        <w:pStyle w:val="Tekstprzypisudolnego"/>
        <w:ind w:left="0" w:firstLine="0"/>
        <w:rPr>
          <w:sz w:val="16"/>
          <w:szCs w:val="16"/>
        </w:rPr>
      </w:pPr>
      <w:r>
        <w:rPr>
          <w:rStyle w:val="Odwoanieprzypisudolnego"/>
        </w:rPr>
        <w:footnoteRef/>
      </w:r>
      <w:r w:rsidRPr="001357D3">
        <w:tab/>
        <w:t xml:space="preserve">Rozporządzenie Rady (WE, Euratom) </w:t>
      </w:r>
      <w:r w:rsidRPr="001C6403">
        <w:t>nr</w:t>
      </w:r>
      <w:r w:rsidR="001C6403" w:rsidRPr="001C6403">
        <w:t> </w:t>
      </w:r>
      <w:r w:rsidRPr="001C6403">
        <w:t>2</w:t>
      </w:r>
      <w:r w:rsidRPr="001357D3">
        <w:t>988/95</w:t>
      </w:r>
      <w:r w:rsidR="001C6403" w:rsidRPr="001357D3">
        <w:t xml:space="preserve"> z</w:t>
      </w:r>
      <w:r w:rsidR="001C6403">
        <w:t> </w:t>
      </w:r>
      <w:r w:rsidR="001C6403" w:rsidRPr="001357D3">
        <w:t>dni</w:t>
      </w:r>
      <w:r w:rsidRPr="001357D3">
        <w:t>a 18 grudnia 19</w:t>
      </w:r>
      <w:r w:rsidRPr="001C6403">
        <w:t>95</w:t>
      </w:r>
      <w:r w:rsidR="001C6403" w:rsidRPr="001C6403">
        <w:t> </w:t>
      </w:r>
      <w:r w:rsidRPr="001C6403">
        <w:t>r.</w:t>
      </w:r>
      <w:r w:rsidR="001C6403" w:rsidRPr="001357D3">
        <w:t xml:space="preserve"> w</w:t>
      </w:r>
      <w:r w:rsidR="001C6403">
        <w:t> </w:t>
      </w:r>
      <w:r w:rsidR="001C6403" w:rsidRPr="001357D3">
        <w:t>spr</w:t>
      </w:r>
      <w:r w:rsidRPr="001357D3">
        <w:t>awie ochrony interesów finansowych Wspólnot Europejskich (Dz.U. L 312</w:t>
      </w:r>
      <w:r w:rsidR="001C6403" w:rsidRPr="001357D3">
        <w:t xml:space="preserve"> z</w:t>
      </w:r>
      <w:r w:rsidR="001C6403">
        <w:t> </w:t>
      </w:r>
      <w:r w:rsidR="001C6403" w:rsidRPr="001357D3">
        <w:t>2</w:t>
      </w:r>
      <w:r w:rsidRPr="001357D3">
        <w:t>3.12.1995, s. 1, ELI:</w:t>
      </w:r>
      <w:r w:rsidRPr="001357D3">
        <w:rPr>
          <w:sz w:val="16"/>
        </w:rPr>
        <w:t> </w:t>
      </w:r>
      <w:hyperlink r:id="rId31" w:tooltip="Dostęp do dokumentu poprzez identyfikator URI w systemie ELI." w:history="1">
        <w:r w:rsidRPr="001357D3">
          <w:rPr>
            <w:rStyle w:val="Hipercze"/>
            <w:sz w:val="16"/>
          </w:rPr>
          <w:t>http://data.europa.eu/eli/reg/1995/2988/oj</w:t>
        </w:r>
      </w:hyperlink>
      <w:r w:rsidRPr="001357D3">
        <w:rPr>
          <w:sz w:val="16"/>
        </w:rPr>
        <w:t>).</w:t>
      </w:r>
    </w:p>
  </w:footnote>
  <w:footnote w:id="51">
    <w:p w14:paraId="166C9E0E" w14:textId="2928FEB2" w:rsidR="00574DFD" w:rsidRPr="001357D3" w:rsidRDefault="00574DFD" w:rsidP="001B10D2">
      <w:pPr>
        <w:pStyle w:val="Tekstprzypisudolnego"/>
        <w:ind w:left="0" w:firstLine="0"/>
        <w:rPr>
          <w:sz w:val="16"/>
          <w:szCs w:val="16"/>
        </w:rPr>
      </w:pPr>
      <w:r>
        <w:rPr>
          <w:rStyle w:val="Odwoanieprzypisudolnego"/>
        </w:rPr>
        <w:footnoteRef/>
      </w:r>
      <w:r w:rsidRPr="001357D3">
        <w:tab/>
      </w:r>
      <w:r w:rsidRPr="001357D3">
        <w:rPr>
          <w:sz w:val="16"/>
        </w:rPr>
        <w:t>Rozporządzenie Rady (Euratom, WE) nr 2185/96</w:t>
      </w:r>
      <w:r w:rsidR="001C6403" w:rsidRPr="001357D3">
        <w:rPr>
          <w:sz w:val="16"/>
        </w:rPr>
        <w:t xml:space="preserve"> z</w:t>
      </w:r>
      <w:r w:rsidR="001C6403">
        <w:rPr>
          <w:sz w:val="16"/>
        </w:rPr>
        <w:t> </w:t>
      </w:r>
      <w:r w:rsidR="001C6403" w:rsidRPr="001357D3">
        <w:rPr>
          <w:sz w:val="16"/>
        </w:rPr>
        <w:t>dni</w:t>
      </w:r>
      <w:r w:rsidRPr="001357D3">
        <w:rPr>
          <w:sz w:val="16"/>
        </w:rPr>
        <w:t>a 11 listopada 1996 r.</w:t>
      </w:r>
      <w:r w:rsidR="001C6403" w:rsidRPr="001357D3">
        <w:rPr>
          <w:sz w:val="16"/>
        </w:rPr>
        <w:t xml:space="preserve"> w</w:t>
      </w:r>
      <w:r w:rsidR="001C6403">
        <w:rPr>
          <w:sz w:val="16"/>
        </w:rPr>
        <w:t> </w:t>
      </w:r>
      <w:r w:rsidR="001C6403" w:rsidRPr="001357D3">
        <w:rPr>
          <w:sz w:val="16"/>
        </w:rPr>
        <w:t>spr</w:t>
      </w:r>
      <w:r w:rsidRPr="001357D3">
        <w:rPr>
          <w:sz w:val="16"/>
        </w:rPr>
        <w:t>awie kontroli na miejscu oraz inspekcji przeprowadzanych przez Komisję</w:t>
      </w:r>
      <w:r w:rsidR="001C6403" w:rsidRPr="001357D3">
        <w:rPr>
          <w:sz w:val="16"/>
        </w:rPr>
        <w:t xml:space="preserve"> w</w:t>
      </w:r>
      <w:r w:rsidR="001C6403">
        <w:rPr>
          <w:sz w:val="16"/>
        </w:rPr>
        <w:t> </w:t>
      </w:r>
      <w:r w:rsidR="001C6403" w:rsidRPr="001357D3">
        <w:rPr>
          <w:sz w:val="16"/>
        </w:rPr>
        <w:t>cel</w:t>
      </w:r>
      <w:r w:rsidRPr="001357D3">
        <w:rPr>
          <w:sz w:val="16"/>
        </w:rPr>
        <w:t>u ochrony interesów finansowych Wspólnot Europejskich przed nadużyciami finansowymi</w:t>
      </w:r>
      <w:r w:rsidR="001C6403" w:rsidRPr="001357D3">
        <w:rPr>
          <w:sz w:val="16"/>
        </w:rPr>
        <w:t xml:space="preserve"> i</w:t>
      </w:r>
      <w:r w:rsidR="001C6403">
        <w:rPr>
          <w:sz w:val="16"/>
        </w:rPr>
        <w:t> </w:t>
      </w:r>
      <w:r w:rsidR="001C6403" w:rsidRPr="001357D3">
        <w:rPr>
          <w:sz w:val="16"/>
        </w:rPr>
        <w:t>inn</w:t>
      </w:r>
      <w:r w:rsidRPr="001357D3">
        <w:rPr>
          <w:sz w:val="16"/>
        </w:rPr>
        <w:t xml:space="preserve">ymi nieprawidłowościami (Dz.U. </w:t>
      </w:r>
      <w:r w:rsidRPr="001357D3">
        <w:rPr>
          <w:rStyle w:val="Odwoanieprzypisudolnego"/>
          <w:sz w:val="16"/>
          <w:vertAlign w:val="baseline"/>
        </w:rPr>
        <w:t>L</w:t>
      </w:r>
      <w:r w:rsidRPr="001357D3">
        <w:rPr>
          <w:sz w:val="16"/>
        </w:rPr>
        <w:t xml:space="preserve"> </w:t>
      </w:r>
      <w:r w:rsidRPr="001357D3">
        <w:rPr>
          <w:rStyle w:val="Odwoanieprzypisudolnego"/>
          <w:sz w:val="16"/>
          <w:vertAlign w:val="baseline"/>
        </w:rPr>
        <w:t>292</w:t>
      </w:r>
      <w:r w:rsidR="001C6403" w:rsidRPr="001357D3">
        <w:rPr>
          <w:sz w:val="16"/>
        </w:rPr>
        <w:t xml:space="preserve"> z</w:t>
      </w:r>
      <w:r w:rsidR="001C6403">
        <w:rPr>
          <w:sz w:val="16"/>
        </w:rPr>
        <w:t> </w:t>
      </w:r>
      <w:r w:rsidR="001C6403" w:rsidRPr="001357D3">
        <w:rPr>
          <w:rStyle w:val="Odwoanieprzypisudolnego"/>
          <w:sz w:val="16"/>
          <w:vertAlign w:val="baseline"/>
        </w:rPr>
        <w:t>1</w:t>
      </w:r>
      <w:r w:rsidRPr="001357D3">
        <w:rPr>
          <w:rStyle w:val="Odwoanieprzypisudolnego"/>
          <w:sz w:val="16"/>
          <w:vertAlign w:val="baseline"/>
        </w:rPr>
        <w:t>5.11.96, s.</w:t>
      </w:r>
      <w:r w:rsidRPr="001357D3">
        <w:rPr>
          <w:sz w:val="16"/>
        </w:rPr>
        <w:t xml:space="preserve">. </w:t>
      </w:r>
      <w:r w:rsidRPr="001357D3">
        <w:rPr>
          <w:rStyle w:val="Odwoanieprzypisudolnego"/>
          <w:sz w:val="16"/>
          <w:vertAlign w:val="baseline"/>
        </w:rPr>
        <w:t>2,</w:t>
      </w:r>
      <w:r w:rsidRPr="001357D3">
        <w:rPr>
          <w:sz w:val="16"/>
        </w:rPr>
        <w:t xml:space="preserve"> ELI: </w:t>
      </w:r>
      <w:hyperlink r:id="rId32" w:tooltip="Dostęp do dokumentu poprzez identyfikator URI w systemie ELI." w:history="1">
        <w:r w:rsidRPr="001357D3">
          <w:rPr>
            <w:rStyle w:val="Hipercze"/>
            <w:sz w:val="16"/>
          </w:rPr>
          <w:t>http://data.europa.eu/eli/reg/1996/2185/oj</w:t>
        </w:r>
      </w:hyperlink>
      <w:r w:rsidRPr="001357D3">
        <w:rPr>
          <w:rStyle w:val="Odwoanieprzypisudolnego"/>
          <w:sz w:val="16"/>
          <w:vertAlign w:val="baseline"/>
        </w:rPr>
        <w:t>).</w:t>
      </w:r>
    </w:p>
  </w:footnote>
  <w:footnote w:id="52">
    <w:p w14:paraId="268A403C" w14:textId="51381CEC" w:rsidR="00574DFD" w:rsidRPr="001357D3" w:rsidRDefault="00574DFD" w:rsidP="001B10D2">
      <w:pPr>
        <w:pStyle w:val="Tekstprzypisudolnego"/>
        <w:ind w:left="0" w:firstLine="0"/>
        <w:rPr>
          <w:sz w:val="16"/>
          <w:szCs w:val="16"/>
        </w:rPr>
      </w:pPr>
      <w:r>
        <w:rPr>
          <w:rStyle w:val="Odwoanieprzypisudolnego"/>
        </w:rPr>
        <w:footnoteRef/>
      </w:r>
      <w:r w:rsidRPr="001357D3">
        <w:tab/>
        <w:t>Rozporządzenie Rady (UE) 2017/1939</w:t>
      </w:r>
      <w:r w:rsidR="001C6403" w:rsidRPr="001357D3">
        <w:t xml:space="preserve"> z</w:t>
      </w:r>
      <w:r w:rsidR="001C6403">
        <w:t> </w:t>
      </w:r>
      <w:r w:rsidR="001C6403" w:rsidRPr="001357D3">
        <w:t>dni</w:t>
      </w:r>
      <w:r w:rsidRPr="001357D3">
        <w:t>a 12 października 20</w:t>
      </w:r>
      <w:r w:rsidRPr="001C6403">
        <w:t>17</w:t>
      </w:r>
      <w:r w:rsidR="001C6403" w:rsidRPr="001C6403">
        <w:t> </w:t>
      </w:r>
      <w:r w:rsidRPr="001C6403">
        <w:t>r.</w:t>
      </w:r>
      <w:r w:rsidRPr="001357D3">
        <w:t xml:space="preserve"> wdrażające wzmocnioną współpracę</w:t>
      </w:r>
      <w:r w:rsidR="001C6403" w:rsidRPr="001357D3">
        <w:t xml:space="preserve"> w</w:t>
      </w:r>
      <w:r w:rsidR="001C6403">
        <w:t> </w:t>
      </w:r>
      <w:r w:rsidR="001C6403" w:rsidRPr="001357D3">
        <w:t>zak</w:t>
      </w:r>
      <w:r w:rsidRPr="001357D3">
        <w:t>resie ustanowienia Prokuratury Europejskiej (Dz.U. L 283</w:t>
      </w:r>
      <w:r w:rsidR="001C6403" w:rsidRPr="001357D3">
        <w:t xml:space="preserve"> z</w:t>
      </w:r>
      <w:r w:rsidR="001C6403">
        <w:t> </w:t>
      </w:r>
      <w:r w:rsidR="001C6403" w:rsidRPr="001357D3">
        <w:t>3</w:t>
      </w:r>
      <w:r w:rsidRPr="001357D3">
        <w:t>1.10.2017, s. 1, ELI:</w:t>
      </w:r>
      <w:r w:rsidRPr="001357D3">
        <w:rPr>
          <w:sz w:val="16"/>
        </w:rPr>
        <w:t xml:space="preserve"> http://data.europa.eu/eli/reg/2017/1939/OJ).</w:t>
      </w:r>
    </w:p>
  </w:footnote>
  <w:footnote w:id="53">
    <w:p w14:paraId="49130BC0" w14:textId="6EC6BC4A" w:rsidR="00574DFD" w:rsidRPr="001357D3" w:rsidRDefault="00574DFD" w:rsidP="001B10D2">
      <w:pPr>
        <w:pStyle w:val="Tekstprzypisudolnego"/>
        <w:ind w:left="0" w:firstLine="0"/>
        <w:rPr>
          <w:sz w:val="16"/>
          <w:szCs w:val="16"/>
        </w:rPr>
      </w:pPr>
      <w:r>
        <w:rPr>
          <w:rStyle w:val="Odwoanieprzypisudolnego"/>
        </w:rPr>
        <w:footnoteRef/>
      </w:r>
      <w:r w:rsidRPr="001357D3">
        <w:tab/>
        <w:t>Dyrektywa Parlamentu Europejskiego</w:t>
      </w:r>
      <w:r w:rsidR="001C6403" w:rsidRPr="001357D3">
        <w:t xml:space="preserve"> i</w:t>
      </w:r>
      <w:r w:rsidR="001C6403">
        <w:t> </w:t>
      </w:r>
      <w:r w:rsidR="001C6403" w:rsidRPr="001357D3">
        <w:t>Rad</w:t>
      </w:r>
      <w:r w:rsidRPr="001357D3">
        <w:t>y (UE) 2017/1371</w:t>
      </w:r>
      <w:r w:rsidR="001C6403" w:rsidRPr="001357D3">
        <w:t xml:space="preserve"> z</w:t>
      </w:r>
      <w:r w:rsidR="001C6403">
        <w:t> </w:t>
      </w:r>
      <w:r w:rsidR="001C6403" w:rsidRPr="001357D3">
        <w:t>dni</w:t>
      </w:r>
      <w:r w:rsidRPr="001357D3">
        <w:t>a 5 lipca 20</w:t>
      </w:r>
      <w:r w:rsidRPr="001C6403">
        <w:t>17</w:t>
      </w:r>
      <w:r w:rsidR="001C6403" w:rsidRPr="001C6403">
        <w:t> </w:t>
      </w:r>
      <w:r w:rsidRPr="001C6403">
        <w:t>r.</w:t>
      </w:r>
      <w:r w:rsidR="001C6403" w:rsidRPr="001357D3">
        <w:t xml:space="preserve"> w</w:t>
      </w:r>
      <w:r w:rsidR="001C6403">
        <w:t> </w:t>
      </w:r>
      <w:r w:rsidR="001C6403" w:rsidRPr="001357D3">
        <w:t>spr</w:t>
      </w:r>
      <w:r w:rsidRPr="001357D3">
        <w:t>awie zwalczania za pośrednictwem prawa karnego nadużyć na szkodę interesów finansowych Unii (Dz.U. L 198</w:t>
      </w:r>
      <w:r w:rsidR="001C6403" w:rsidRPr="001357D3">
        <w:t xml:space="preserve"> z</w:t>
      </w:r>
      <w:r w:rsidR="001C6403">
        <w:t> </w:t>
      </w:r>
      <w:r w:rsidR="001C6403" w:rsidRPr="001357D3">
        <w:t>2</w:t>
      </w:r>
      <w:r w:rsidRPr="001357D3">
        <w:t>8.7.2017, s. 29, ELI:</w:t>
      </w:r>
      <w:r w:rsidRPr="001357D3">
        <w:rPr>
          <w:sz w:val="16"/>
        </w:rPr>
        <w:t> </w:t>
      </w:r>
      <w:hyperlink r:id="rId33" w:tooltip="Dostęp do dokumentu poprzez identyfikator URI w systemie ELI." w:history="1">
        <w:r w:rsidRPr="001357D3">
          <w:rPr>
            <w:rStyle w:val="Hipercze"/>
            <w:sz w:val="16"/>
          </w:rPr>
          <w:t>http://data.europa.eu/eli/dir/2017/1371/oj</w:t>
        </w:r>
      </w:hyperlink>
      <w:r w:rsidRPr="001357D3">
        <w:rPr>
          <w:sz w:val="16"/>
        </w:rPr>
        <w:t>).</w:t>
      </w:r>
    </w:p>
  </w:footnote>
  <w:footnote w:id="54">
    <w:p w14:paraId="54991A4D" w14:textId="52C8E9E9" w:rsidR="00703939" w:rsidRPr="001357D3" w:rsidRDefault="00703939" w:rsidP="00703939">
      <w:pPr>
        <w:pStyle w:val="Tekstprzypisudolnego"/>
        <w:ind w:left="0" w:firstLine="0"/>
        <w:rPr>
          <w:sz w:val="16"/>
          <w:szCs w:val="16"/>
        </w:rPr>
      </w:pPr>
      <w:r>
        <w:rPr>
          <w:rStyle w:val="Odwoanieprzypisudolnego"/>
        </w:rPr>
        <w:footnoteRef/>
      </w:r>
      <w:r w:rsidRPr="001357D3">
        <w:tab/>
      </w:r>
      <w:bookmarkStart w:id="34" w:name="_Hlk205205911"/>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w:t>
      </w:r>
      <w:r w:rsidRPr="001357D3">
        <w:rPr>
          <w:rFonts w:ascii="Roboto" w:hAnsi="Roboto"/>
          <w:b/>
          <w:color w:val="333333"/>
          <w:sz w:val="21"/>
          <w:shd w:val="clear" w:color="auto" w:fill="FFFFFF"/>
        </w:rPr>
        <w:t xml:space="preserve"> </w:t>
      </w:r>
      <w:r w:rsidRPr="001357D3">
        <w:rPr>
          <w:sz w:val="16"/>
        </w:rPr>
        <w:t>ustanawiającego ramy monitorowania wydatków budżetowych</w:t>
      </w:r>
      <w:r w:rsidR="001C6403" w:rsidRPr="001357D3">
        <w:rPr>
          <w:sz w:val="16"/>
        </w:rPr>
        <w:t xml:space="preserve"> i</w:t>
      </w:r>
      <w:r w:rsidR="001C6403">
        <w:rPr>
          <w:sz w:val="16"/>
        </w:rPr>
        <w:t> </w:t>
      </w:r>
      <w:r w:rsidR="001C6403" w:rsidRPr="001357D3">
        <w:rPr>
          <w:sz w:val="16"/>
        </w:rPr>
        <w:t>ram</w:t>
      </w:r>
      <w:r w:rsidRPr="001357D3">
        <w:rPr>
          <w:sz w:val="16"/>
        </w:rPr>
        <w:t>y wykonania budżetu oraz inne przepisy horyzontalne dla programów</w:t>
      </w:r>
      <w:r w:rsidR="001C6403" w:rsidRPr="001357D3">
        <w:rPr>
          <w:sz w:val="16"/>
        </w:rPr>
        <w:t xml:space="preserve"> i</w:t>
      </w:r>
      <w:r w:rsidR="001C6403">
        <w:rPr>
          <w:sz w:val="16"/>
        </w:rPr>
        <w:t> </w:t>
      </w:r>
      <w:r w:rsidR="001C6403" w:rsidRPr="001357D3">
        <w:rPr>
          <w:sz w:val="16"/>
        </w:rPr>
        <w:t>dzi</w:t>
      </w:r>
      <w:r w:rsidRPr="001357D3">
        <w:rPr>
          <w:sz w:val="16"/>
        </w:rPr>
        <w:t>ałań Unii (Dz.U. L …, …., ELI: …).</w:t>
      </w:r>
      <w:bookmarkEnd w:id="34"/>
    </w:p>
  </w:footnote>
  <w:footnote w:id="55">
    <w:p w14:paraId="2F9A4062" w14:textId="5E967B8A" w:rsidR="277517E0" w:rsidRPr="001357D3" w:rsidRDefault="277517E0" w:rsidP="001B10D2">
      <w:pPr>
        <w:spacing w:before="0" w:after="0"/>
        <w:rPr>
          <w:sz w:val="16"/>
          <w:szCs w:val="16"/>
        </w:rPr>
      </w:pPr>
      <w:r>
        <w:rPr>
          <w:rStyle w:val="Odwoanieprzypisudolnego"/>
        </w:rPr>
        <w:footnoteRef/>
      </w:r>
      <w:r w:rsidRPr="001357D3">
        <w:tab/>
        <w:t>Decyzja Rady 2001/470/WE</w:t>
      </w:r>
      <w:r w:rsidR="001C6403" w:rsidRPr="001357D3">
        <w:t xml:space="preserve"> z</w:t>
      </w:r>
      <w:r w:rsidR="001C6403">
        <w:t> </w:t>
      </w:r>
      <w:r w:rsidR="001C6403" w:rsidRPr="001357D3">
        <w:t>dni</w:t>
      </w:r>
      <w:r w:rsidRPr="001357D3">
        <w:t>a 28 maja 2001 r. ustanawiająca Europejską Sieć Sądową</w:t>
      </w:r>
      <w:r w:rsidR="001C6403" w:rsidRPr="001357D3">
        <w:t xml:space="preserve"> w</w:t>
      </w:r>
      <w:r w:rsidR="001C6403">
        <w:t> </w:t>
      </w:r>
      <w:r w:rsidR="001C6403" w:rsidRPr="001357D3">
        <w:t>spr</w:t>
      </w:r>
      <w:r w:rsidRPr="001357D3">
        <w:t>awach cywilnych</w:t>
      </w:r>
      <w:r w:rsidR="001C6403" w:rsidRPr="001357D3">
        <w:t xml:space="preserve"> i</w:t>
      </w:r>
      <w:r w:rsidR="001C6403">
        <w:t> </w:t>
      </w:r>
      <w:r w:rsidR="001C6403" w:rsidRPr="001357D3">
        <w:t>han</w:t>
      </w:r>
      <w:r w:rsidRPr="001357D3">
        <w:t>dlowych (Dz.U. L 174</w:t>
      </w:r>
      <w:r w:rsidR="001C6403" w:rsidRPr="001357D3">
        <w:t xml:space="preserve"> z</w:t>
      </w:r>
      <w:r w:rsidR="001C6403">
        <w:t> </w:t>
      </w:r>
      <w:r w:rsidR="001C6403" w:rsidRPr="001357D3">
        <w:t>2</w:t>
      </w:r>
      <w:r w:rsidRPr="001357D3">
        <w:t>7.6.2001, s. 25, ELI:</w:t>
      </w:r>
      <w:r w:rsidRPr="001357D3">
        <w:rPr>
          <w:sz w:val="16"/>
        </w:rPr>
        <w:t xml:space="preserve"> </w:t>
      </w:r>
      <w:hyperlink r:id="rId34" w:history="1">
        <w:r w:rsidRPr="001357D3">
          <w:rPr>
            <w:rStyle w:val="Hipercze"/>
            <w:sz w:val="16"/>
          </w:rPr>
          <w:t>http://data.europa.eu/eli/dec/2001/470/oj</w:t>
        </w:r>
      </w:hyperlink>
      <w:r w:rsidRPr="001357D3">
        <w:rPr>
          <w:sz w:val="16"/>
        </w:rPr>
        <w:t>).</w:t>
      </w:r>
    </w:p>
  </w:footnote>
  <w:footnote w:id="56">
    <w:p w14:paraId="19D3A03F" w14:textId="4DC28EDE" w:rsidR="277517E0" w:rsidRPr="001357D3" w:rsidRDefault="277517E0" w:rsidP="001B10D2">
      <w:pPr>
        <w:spacing w:before="0" w:after="0"/>
        <w:rPr>
          <w:rFonts w:eastAsia="Times New Roman"/>
          <w:sz w:val="16"/>
          <w:szCs w:val="16"/>
        </w:rPr>
      </w:pPr>
      <w:r>
        <w:rPr>
          <w:rStyle w:val="Odwoanieprzypisudolnego"/>
        </w:rPr>
        <w:footnoteRef/>
      </w:r>
      <w:r w:rsidRPr="001357D3">
        <w:tab/>
      </w:r>
      <w:r w:rsidRPr="001357D3">
        <w:rPr>
          <w:sz w:val="16"/>
        </w:rPr>
        <w:t>Dz.U. L 23</w:t>
      </w:r>
      <w:r w:rsidR="001C6403" w:rsidRPr="001357D3">
        <w:rPr>
          <w:sz w:val="16"/>
        </w:rPr>
        <w:t xml:space="preserve"> z</w:t>
      </w:r>
      <w:r w:rsidR="001C6403">
        <w:rPr>
          <w:sz w:val="16"/>
        </w:rPr>
        <w:t> </w:t>
      </w:r>
      <w:r w:rsidR="001C6403" w:rsidRPr="001357D3">
        <w:rPr>
          <w:sz w:val="16"/>
        </w:rPr>
        <w:t>2</w:t>
      </w:r>
      <w:r w:rsidRPr="001357D3">
        <w:rPr>
          <w:sz w:val="16"/>
        </w:rPr>
        <w:t xml:space="preserve">7.1.2010, s. 37, ELI: </w:t>
      </w:r>
      <w:hyperlink r:id="rId35" w:history="1">
        <w:r w:rsidRPr="001357D3">
          <w:rPr>
            <w:rStyle w:val="Hipercze"/>
            <w:sz w:val="16"/>
          </w:rPr>
          <w:t>http://data.europa.eu/eli/convention/2010/48(1)/oj</w:t>
        </w:r>
      </w:hyperlink>
      <w:r w:rsidRPr="001357D3">
        <w:rPr>
          <w:sz w:val="16"/>
        </w:rPr>
        <w:t xml:space="preserve">. </w:t>
      </w:r>
    </w:p>
  </w:footnote>
  <w:footnote w:id="57">
    <w:p w14:paraId="7246993E" w14:textId="057E1CD7" w:rsidR="003160FB" w:rsidRPr="001357D3" w:rsidRDefault="003160FB" w:rsidP="003160FB">
      <w:pPr>
        <w:pStyle w:val="Tekstprzypisudolnego"/>
        <w:ind w:left="0" w:firstLine="0"/>
        <w:rPr>
          <w:sz w:val="16"/>
          <w:szCs w:val="16"/>
          <w:u w:val="single"/>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 Europejski Fundusz Spójności Gospodarczej, Społecznej</w:t>
      </w:r>
      <w:r w:rsidR="001C6403" w:rsidRPr="001357D3">
        <w:rPr>
          <w:sz w:val="16"/>
        </w:rPr>
        <w:t xml:space="preserve"> i</w:t>
      </w:r>
      <w:r w:rsidR="001C6403">
        <w:rPr>
          <w:sz w:val="16"/>
        </w:rPr>
        <w:t> </w:t>
      </w:r>
      <w:r w:rsidR="001C6403" w:rsidRPr="001357D3">
        <w:rPr>
          <w:sz w:val="16"/>
        </w:rPr>
        <w:t>Ter</w:t>
      </w:r>
      <w:r w:rsidRPr="001357D3">
        <w:rPr>
          <w:sz w:val="16"/>
        </w:rPr>
        <w:t>ytorialnej, Rolnictwa</w:t>
      </w:r>
      <w:r w:rsidR="001C6403" w:rsidRPr="001357D3">
        <w:rPr>
          <w:sz w:val="16"/>
        </w:rPr>
        <w:t xml:space="preserve"> i</w:t>
      </w:r>
      <w:r w:rsidR="001C6403">
        <w:rPr>
          <w:sz w:val="16"/>
        </w:rPr>
        <w:t> </w:t>
      </w:r>
      <w:r w:rsidR="001C6403" w:rsidRPr="001357D3">
        <w:rPr>
          <w:sz w:val="16"/>
        </w:rPr>
        <w:t>Obs</w:t>
      </w:r>
      <w:r w:rsidRPr="001357D3">
        <w:rPr>
          <w:sz w:val="16"/>
        </w:rPr>
        <w:t>zarów Wiejskich, Rybołówstwa</w:t>
      </w:r>
      <w:r w:rsidR="001C6403" w:rsidRPr="001357D3">
        <w:rPr>
          <w:sz w:val="16"/>
        </w:rPr>
        <w:t xml:space="preserve"> i</w:t>
      </w:r>
      <w:r w:rsidR="001C6403">
        <w:rPr>
          <w:sz w:val="16"/>
        </w:rPr>
        <w:t> </w:t>
      </w:r>
      <w:r w:rsidR="001C6403" w:rsidRPr="001357D3">
        <w:rPr>
          <w:sz w:val="16"/>
        </w:rPr>
        <w:t>Pol</w:t>
      </w:r>
      <w:r w:rsidRPr="001357D3">
        <w:rPr>
          <w:sz w:val="16"/>
        </w:rPr>
        <w:t>ityki Morskiej, Dobrobytu</w:t>
      </w:r>
      <w:r w:rsidR="001C6403" w:rsidRPr="001357D3">
        <w:rPr>
          <w:sz w:val="16"/>
        </w:rPr>
        <w:t xml:space="preserve"> i</w:t>
      </w:r>
      <w:r w:rsidR="001C6403">
        <w:rPr>
          <w:sz w:val="16"/>
        </w:rPr>
        <w:t> </w:t>
      </w:r>
      <w:r w:rsidR="001C6403" w:rsidRPr="001357D3">
        <w:rPr>
          <w:sz w:val="16"/>
        </w:rPr>
        <w:t>Bez</w:t>
      </w:r>
      <w:r w:rsidRPr="001357D3">
        <w:rPr>
          <w:sz w:val="16"/>
        </w:rPr>
        <w:t>pieczeństwa na lata 2028–2034 oraz zmieniającego rozporządzenie (UE) 2023/955</w:t>
      </w:r>
      <w:r w:rsidR="001C6403" w:rsidRPr="001357D3">
        <w:rPr>
          <w:sz w:val="16"/>
        </w:rPr>
        <w:t xml:space="preserve"> i</w:t>
      </w:r>
      <w:r w:rsidR="001C6403">
        <w:rPr>
          <w:sz w:val="16"/>
        </w:rPr>
        <w:t> </w:t>
      </w:r>
      <w:r w:rsidR="001C6403" w:rsidRPr="001357D3">
        <w:rPr>
          <w:sz w:val="16"/>
        </w:rPr>
        <w:t>roz</w:t>
      </w:r>
      <w:r w:rsidRPr="001357D3">
        <w:rPr>
          <w:sz w:val="16"/>
        </w:rPr>
        <w:t>porządzenie (UE, Euratom) 2024/2509, COM(2025) 565 final.</w:t>
      </w:r>
    </w:p>
  </w:footnote>
  <w:footnote w:id="58">
    <w:p w14:paraId="6EB9224C" w14:textId="7C74C70C" w:rsidR="00257CBC" w:rsidRPr="001357D3" w:rsidRDefault="00257CBC" w:rsidP="001B10D2">
      <w:pPr>
        <w:pStyle w:val="Tekstprzypisudolnego"/>
        <w:ind w:left="0" w:firstLine="0"/>
        <w:rPr>
          <w:sz w:val="16"/>
          <w:szCs w:val="16"/>
        </w:rPr>
      </w:pPr>
      <w:r>
        <w:rPr>
          <w:rStyle w:val="Odwoanieprzypisudolnego"/>
        </w:rPr>
        <w:footnoteRef/>
      </w:r>
      <w:r w:rsidRPr="001357D3">
        <w:tab/>
      </w:r>
      <w:bookmarkStart w:id="40" w:name="_Hlk205206085"/>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 xml:space="preserve">y (UE) XXX </w:t>
      </w:r>
      <w:bookmarkEnd w:id="40"/>
      <w:r w:rsidRPr="001357D3">
        <w:rPr>
          <w:sz w:val="16"/>
        </w:rPr>
        <w:t xml:space="preserve">ustanawiającego program AgoraEU na lata 2028–2034 oraz uchylającego rozporządzenia (UE) 2021/692 i (UE) 2021/818, COM(2025) 550 final. </w:t>
      </w:r>
    </w:p>
  </w:footnote>
  <w:footnote w:id="59">
    <w:p w14:paraId="6783AD73" w14:textId="100B2254" w:rsidR="00C23241" w:rsidRPr="001357D3" w:rsidRDefault="00C23241" w:rsidP="001B10D2">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 program „Globalny wymiar Europy”, COM(2025) 551 final.</w:t>
      </w:r>
    </w:p>
    <w:p w14:paraId="1BC5500E" w14:textId="41A21548" w:rsidR="00C23241" w:rsidRPr="001357D3" w:rsidRDefault="00C23241" w:rsidP="001B10D2">
      <w:pPr>
        <w:pStyle w:val="Tekstprzypisudolnego"/>
        <w:ind w:left="0" w:firstLine="0"/>
        <w:rPr>
          <w:sz w:val="16"/>
          <w:szCs w:val="16"/>
        </w:rPr>
      </w:pPr>
    </w:p>
  </w:footnote>
  <w:footnote w:id="60">
    <w:p w14:paraId="75605151" w14:textId="46ABDDBE" w:rsidR="00443036" w:rsidRPr="001357D3" w:rsidRDefault="00443036" w:rsidP="00443036">
      <w:pPr>
        <w:pStyle w:val="Tekstprzypisudolnego"/>
        <w:ind w:left="0" w:firstLine="0"/>
        <w:rPr>
          <w:sz w:val="16"/>
          <w:szCs w:val="16"/>
        </w:rPr>
      </w:pPr>
      <w:r>
        <w:rPr>
          <w:rStyle w:val="Odwoanieprzypisudolnego"/>
        </w:rPr>
        <w:footnoteRef/>
      </w:r>
      <w:r w:rsidRPr="001357D3">
        <w:tab/>
      </w:r>
      <w:r w:rsidRPr="001357D3">
        <w:rPr>
          <w:sz w:val="16"/>
        </w:rPr>
        <w:t>Wniosek dotyczący rozporządzenia Parlamentu Europejskiego</w:t>
      </w:r>
      <w:r w:rsidR="001C6403" w:rsidRPr="001357D3">
        <w:rPr>
          <w:sz w:val="16"/>
        </w:rPr>
        <w:t xml:space="preserve"> i</w:t>
      </w:r>
      <w:r w:rsidR="001C6403">
        <w:rPr>
          <w:sz w:val="16"/>
        </w:rPr>
        <w:t> </w:t>
      </w:r>
      <w:r w:rsidR="001C6403" w:rsidRPr="001357D3">
        <w:rPr>
          <w:sz w:val="16"/>
        </w:rPr>
        <w:t>Rad</w:t>
      </w:r>
      <w:r w:rsidRPr="001357D3">
        <w:rPr>
          <w:sz w:val="16"/>
        </w:rPr>
        <w:t>y (UE) XXX ustanawiającego ramy monitorowania wydatków budżetowych</w:t>
      </w:r>
      <w:r w:rsidR="001C6403" w:rsidRPr="001357D3">
        <w:rPr>
          <w:sz w:val="16"/>
        </w:rPr>
        <w:t xml:space="preserve"> i</w:t>
      </w:r>
      <w:r w:rsidR="001C6403">
        <w:rPr>
          <w:sz w:val="16"/>
        </w:rPr>
        <w:t> </w:t>
      </w:r>
      <w:r w:rsidR="001C6403" w:rsidRPr="001357D3">
        <w:rPr>
          <w:sz w:val="16"/>
        </w:rPr>
        <w:t>ram</w:t>
      </w:r>
      <w:r w:rsidRPr="001357D3">
        <w:rPr>
          <w:sz w:val="16"/>
        </w:rPr>
        <w:t>y wykonania budżetu oraz inne przepisy horyzontalne dla programów</w:t>
      </w:r>
      <w:r w:rsidR="001C6403" w:rsidRPr="001357D3">
        <w:rPr>
          <w:sz w:val="16"/>
        </w:rPr>
        <w:t xml:space="preserve"> i</w:t>
      </w:r>
      <w:r w:rsidR="001C6403">
        <w:rPr>
          <w:sz w:val="16"/>
        </w:rPr>
        <w:t> </w:t>
      </w:r>
      <w:r w:rsidR="001C6403" w:rsidRPr="001357D3">
        <w:rPr>
          <w:sz w:val="16"/>
        </w:rPr>
        <w:t>dzi</w:t>
      </w:r>
      <w:r w:rsidRPr="001357D3">
        <w:rPr>
          <w:sz w:val="16"/>
        </w:rPr>
        <w:t>ałań Unii, COM(2025) 545 final.</w:t>
      </w:r>
    </w:p>
  </w:footnote>
  <w:footnote w:id="61">
    <w:p w14:paraId="53A19166" w14:textId="196814CD" w:rsidR="00FA0CA8" w:rsidRPr="001357D3" w:rsidRDefault="00FA0CA8" w:rsidP="00443036">
      <w:pPr>
        <w:pStyle w:val="Tekstprzypisudolnego"/>
        <w:ind w:left="0" w:firstLine="0"/>
        <w:rPr>
          <w:sz w:val="16"/>
          <w:szCs w:val="16"/>
        </w:rPr>
      </w:pPr>
      <w:r>
        <w:rPr>
          <w:rStyle w:val="Odwoanieprzypisudolnego"/>
        </w:rPr>
        <w:footnoteRef/>
      </w:r>
      <w:bookmarkStart w:id="102" w:name="_Hlk205126580"/>
      <w:r w:rsidRPr="001357D3">
        <w:tab/>
      </w:r>
      <w:r w:rsidRPr="001357D3">
        <w:rPr>
          <w:sz w:val="16"/>
        </w:rPr>
        <w:t>Jak określono</w:t>
      </w:r>
      <w:r w:rsidR="001C6403" w:rsidRPr="001357D3">
        <w:rPr>
          <w:sz w:val="16"/>
        </w:rPr>
        <w:t xml:space="preserve"> w</w:t>
      </w:r>
      <w:r w:rsidR="001C6403">
        <w:rPr>
          <w:sz w:val="16"/>
        </w:rPr>
        <w:t> </w:t>
      </w:r>
      <w:r w:rsidR="001C6403" w:rsidRPr="001357D3">
        <w:rPr>
          <w:sz w:val="16"/>
        </w:rPr>
        <w:t>art</w:t>
      </w:r>
      <w:r w:rsidRPr="001357D3">
        <w:rPr>
          <w:sz w:val="16"/>
        </w:rPr>
        <w:t>. 58 ust. 2 lit. a) lub b) rozporządzenia (UE) 2024/2509.</w:t>
      </w:r>
      <w:bookmarkEnd w:id="102"/>
    </w:p>
  </w:footnote>
  <w:footnote w:id="62">
    <w:p w14:paraId="7853C95F" w14:textId="77777777" w:rsidR="00FA0CA8" w:rsidRPr="001357D3" w:rsidRDefault="00FA0CA8" w:rsidP="001B10D2">
      <w:pPr>
        <w:pStyle w:val="Tekstprzypisudolnego"/>
        <w:ind w:left="0" w:firstLine="0"/>
        <w:rPr>
          <w:sz w:val="16"/>
          <w:szCs w:val="16"/>
        </w:rPr>
      </w:pPr>
      <w:r>
        <w:rPr>
          <w:rStyle w:val="Odwoanieprzypisudolnego"/>
        </w:rPr>
        <w:footnoteRef/>
      </w:r>
      <w:r w:rsidRPr="001357D3">
        <w:tab/>
      </w:r>
      <w:r w:rsidRPr="001357D3">
        <w:rPr>
          <w:sz w:val="16"/>
        </w:rPr>
        <w:t xml:space="preserve">Szczegóły dotyczące metod wykonania budżetu oraz odniesienia do rozporządzenia finansowego znajdują się na stronie BUDGpedia: </w:t>
      </w:r>
      <w:hyperlink r:id="rId36" w:history="1">
        <w:r w:rsidRPr="001357D3">
          <w:rPr>
            <w:rStyle w:val="Hipercze"/>
            <w:sz w:val="16"/>
          </w:rPr>
          <w:t>https://myintracomm.ec.europa.eu/corp/budget/financial-rules/budget-implementation/Pages/implementation-methods.aspx</w:t>
        </w:r>
      </w:hyperlink>
      <w:r w:rsidRPr="001357D3">
        <w:rPr>
          <w:rStyle w:val="Hipercze"/>
          <w:sz w:val="16"/>
        </w:rPr>
        <w:t>.</w:t>
      </w:r>
    </w:p>
  </w:footnote>
  <w:footnote w:id="63">
    <w:p w14:paraId="4B0BDC43" w14:textId="61E511FA" w:rsidR="00FA0CA8" w:rsidRPr="001357D3" w:rsidRDefault="00FA0CA8" w:rsidP="001B10D2">
      <w:pPr>
        <w:pStyle w:val="Tekstprzypisudolnego"/>
        <w:ind w:left="0" w:firstLine="0"/>
        <w:rPr>
          <w:rFonts w:eastAsia="Times New Roman"/>
          <w:sz w:val="16"/>
          <w:szCs w:val="16"/>
        </w:rPr>
      </w:pPr>
      <w:r>
        <w:rPr>
          <w:rStyle w:val="Odwoanieprzypisudolnego"/>
        </w:rPr>
        <w:footnoteRef/>
      </w:r>
      <w:r w:rsidRPr="001357D3">
        <w:tab/>
      </w:r>
      <w:r w:rsidRPr="001357D3">
        <w:rPr>
          <w:sz w:val="16"/>
        </w:rPr>
        <w:t>Niezbędne środki należy określić na podstawie danych dotyczących średnich rocznych kosztów, dostępnych na odpowiedniej stronie internetowej BUDGpedia.</w:t>
      </w:r>
    </w:p>
  </w:footnote>
  <w:footnote w:id="64">
    <w:p w14:paraId="210DD14E" w14:textId="3703BB88" w:rsidR="00FA0CA8" w:rsidRPr="001357D3" w:rsidRDefault="00FA0CA8" w:rsidP="001B10D2">
      <w:pPr>
        <w:pStyle w:val="Tekstprzypisudolnego"/>
        <w:ind w:left="0" w:firstLine="0"/>
        <w:rPr>
          <w:sz w:val="16"/>
          <w:szCs w:val="16"/>
        </w:rPr>
      </w:pPr>
      <w:r>
        <w:rPr>
          <w:rStyle w:val="Odwoanieprzypisudolnego"/>
        </w:rPr>
        <w:footnoteRef/>
      </w:r>
      <w:r w:rsidRPr="001357D3">
        <w:tab/>
        <w:t>Produkty odnoszą się do produktów</w:t>
      </w:r>
      <w:r w:rsidR="001C6403" w:rsidRPr="001357D3">
        <w:t xml:space="preserve"> i</w:t>
      </w:r>
      <w:r w:rsidR="001C6403">
        <w:t> </w:t>
      </w:r>
      <w:r w:rsidR="001C6403" w:rsidRPr="001357D3">
        <w:t>usł</w:t>
      </w:r>
      <w:r w:rsidRPr="001357D3">
        <w:t>ug, które mają zostać zapewnione (np. liczba sfinansowanych wymian studentów, liczba kilometrów zbudowanych dróg itp.).</w:t>
      </w:r>
    </w:p>
  </w:footnote>
  <w:footnote w:id="65">
    <w:p w14:paraId="2A236472" w14:textId="454BE1C4" w:rsidR="00FA0CA8" w:rsidRPr="001B10D2" w:rsidRDefault="00FA0CA8" w:rsidP="001B10D2">
      <w:pPr>
        <w:pStyle w:val="Tekstprzypisudolnego"/>
        <w:ind w:left="0" w:firstLine="0"/>
        <w:rPr>
          <w:rFonts w:eastAsia="Times New Roman"/>
          <w:sz w:val="16"/>
          <w:szCs w:val="16"/>
        </w:rPr>
      </w:pPr>
      <w:r>
        <w:rPr>
          <w:rStyle w:val="Odwoanieprzypisudolnego"/>
        </w:rPr>
        <w:footnoteRef/>
      </w:r>
      <w:r w:rsidRPr="001357D3">
        <w:tab/>
        <w:t>Zgodnie</w:t>
      </w:r>
      <w:r w:rsidR="001C6403" w:rsidRPr="001357D3">
        <w:t xml:space="preserve"> z</w:t>
      </w:r>
      <w:r w:rsidR="001C6403">
        <w:t> </w:t>
      </w:r>
      <w:r w:rsidR="001C6403" w:rsidRPr="001357D3">
        <w:t>opi</w:t>
      </w:r>
      <w:r w:rsidRPr="001357D3">
        <w:t>sem</w:t>
      </w:r>
      <w:r w:rsidR="001C6403" w:rsidRPr="001357D3">
        <w:t xml:space="preserve"> w</w:t>
      </w:r>
      <w:r w:rsidR="001C6403">
        <w:t> </w:t>
      </w:r>
      <w:r w:rsidR="001C6403" w:rsidRPr="001357D3">
        <w:t>sek</w:t>
      </w:r>
      <w:r w:rsidRPr="001357D3">
        <w:t>cji 1.3.2.</w:t>
      </w:r>
      <w:r w:rsidRPr="001357D3">
        <w:rPr>
          <w:sz w:val="16"/>
        </w:rPr>
        <w:t xml:space="preserve"> </w:t>
      </w:r>
      <w:r>
        <w:rPr>
          <w:sz w:val="16"/>
        </w:rPr>
        <w:t>„Cel(e) szczegółowy(-e)”.</w:t>
      </w:r>
    </w:p>
  </w:footnote>
  <w:footnote w:id="66">
    <w:p w14:paraId="70D5B0BE" w14:textId="16594EB7" w:rsidR="00C1197D" w:rsidRPr="001357D3" w:rsidRDefault="00C1197D" w:rsidP="00662EFA">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2016/679</w:t>
      </w:r>
      <w:r w:rsidR="001C6403" w:rsidRPr="001357D3">
        <w:t xml:space="preserve"> z</w:t>
      </w:r>
      <w:r w:rsidR="001C6403">
        <w:t> </w:t>
      </w:r>
      <w:r w:rsidR="001C6403" w:rsidRPr="001357D3">
        <w:t>dni</w:t>
      </w:r>
      <w:r w:rsidRPr="001357D3">
        <w:t>a 27 kwietnia 2016 r.</w:t>
      </w:r>
      <w:r w:rsidR="001C6403" w:rsidRPr="001357D3">
        <w:t xml:space="preserve"> w</w:t>
      </w:r>
      <w:r w:rsidR="001C6403">
        <w:t> </w:t>
      </w:r>
      <w:r w:rsidR="001C6403" w:rsidRPr="001357D3">
        <w:t>spr</w:t>
      </w:r>
      <w:r w:rsidRPr="001357D3">
        <w:t>awie ochrony osób fizycznych</w:t>
      </w:r>
      <w:r w:rsidR="001C6403" w:rsidRPr="001357D3">
        <w:t xml:space="preserve"> w</w:t>
      </w:r>
      <w:r w:rsidR="001C6403">
        <w:t> </w:t>
      </w:r>
      <w:r w:rsidR="001C6403" w:rsidRPr="001357D3">
        <w:t>zwi</w:t>
      </w:r>
      <w:r w:rsidRPr="001357D3">
        <w:t>ązku</w:t>
      </w:r>
      <w:r w:rsidR="001C6403" w:rsidRPr="001357D3">
        <w:t xml:space="preserve"> z</w:t>
      </w:r>
      <w:r w:rsidR="001C6403">
        <w:t> </w:t>
      </w:r>
      <w:r w:rsidR="001C6403" w:rsidRPr="001357D3">
        <w:t>prz</w:t>
      </w:r>
      <w:r w:rsidRPr="001357D3">
        <w:t>etwarzaniem danych osobowych</w:t>
      </w:r>
      <w:r w:rsidR="001C6403" w:rsidRPr="001357D3">
        <w:t xml:space="preserve"> i</w:t>
      </w:r>
      <w:r w:rsidR="001C6403">
        <w:t> </w:t>
      </w:r>
      <w:r w:rsidR="001C6403" w:rsidRPr="001357D3">
        <w:t>w</w:t>
      </w:r>
      <w:r w:rsidR="001C6403">
        <w:t> </w:t>
      </w:r>
      <w:r w:rsidR="001C6403" w:rsidRPr="001357D3">
        <w:t>spr</w:t>
      </w:r>
      <w:r w:rsidRPr="001357D3">
        <w:t>awie swobodnego przepływu takich danych oraz uchylenia dyrektywy 95/46/WE (ogólne rozporządzenie</w:t>
      </w:r>
      <w:r w:rsidR="001C6403" w:rsidRPr="001357D3">
        <w:t xml:space="preserve"> o</w:t>
      </w:r>
      <w:r w:rsidR="001C6403">
        <w:t> </w:t>
      </w:r>
      <w:r w:rsidR="001C6403" w:rsidRPr="001357D3">
        <w:t>och</w:t>
      </w:r>
      <w:r w:rsidRPr="001357D3">
        <w:t xml:space="preserve">ronie danych), </w:t>
      </w:r>
      <w:r w:rsidRPr="001357D3">
        <w:rPr>
          <w:i/>
          <w:iCs/>
        </w:rPr>
        <w:t>Dz.U. L 119</w:t>
      </w:r>
      <w:r w:rsidR="001C6403" w:rsidRPr="001357D3">
        <w:rPr>
          <w:i/>
          <w:iCs/>
        </w:rPr>
        <w:t xml:space="preserve"> z</w:t>
      </w:r>
      <w:r w:rsidR="001C6403">
        <w:rPr>
          <w:i/>
          <w:iCs/>
        </w:rPr>
        <w:t> </w:t>
      </w:r>
      <w:r w:rsidR="001C6403" w:rsidRPr="001357D3">
        <w:rPr>
          <w:i/>
          <w:iCs/>
        </w:rPr>
        <w:t>4</w:t>
      </w:r>
      <w:r w:rsidRPr="001357D3">
        <w:rPr>
          <w:i/>
          <w:iCs/>
        </w:rPr>
        <w:t>.5.2016, s. 1, ELI:</w:t>
      </w:r>
      <w:r w:rsidRPr="001357D3">
        <w:rPr>
          <w:i/>
          <w:sz w:val="16"/>
        </w:rPr>
        <w:t> </w:t>
      </w:r>
      <w:hyperlink r:id="rId37" w:tooltip="Dostęp do dokumentu poprzez identyfikator URI w systemie ELI." w:history="1">
        <w:r w:rsidRPr="001357D3">
          <w:rPr>
            <w:rStyle w:val="Hipercze"/>
            <w:i/>
            <w:sz w:val="16"/>
          </w:rPr>
          <w:t>http://data.europa.eu/eli/reg/2016/679/oj</w:t>
        </w:r>
      </w:hyperlink>
      <w:r w:rsidRPr="001357D3">
        <w:rPr>
          <w:i/>
          <w:sz w:val="16"/>
        </w:rPr>
        <w:t>.</w:t>
      </w:r>
    </w:p>
  </w:footnote>
  <w:footnote w:id="67">
    <w:p w14:paraId="7DA24A71" w14:textId="7BF2F3D8" w:rsidR="00662EFA" w:rsidRPr="001357D3" w:rsidRDefault="00662EFA" w:rsidP="00662EFA">
      <w:pPr>
        <w:pStyle w:val="Tekstprzypisudolnego"/>
        <w:ind w:left="0" w:firstLine="0"/>
        <w:rPr>
          <w:i/>
          <w:iCs/>
          <w:sz w:val="16"/>
          <w:szCs w:val="16"/>
        </w:rPr>
      </w:pPr>
      <w:r>
        <w:rPr>
          <w:rStyle w:val="Odwoanieprzypisudolnego"/>
        </w:rPr>
        <w:footnoteRef/>
      </w:r>
      <w:r w:rsidRPr="001357D3">
        <w:tab/>
        <w:t>Dyrektywa Parlamentu Europejskiego</w:t>
      </w:r>
      <w:r w:rsidR="001C6403" w:rsidRPr="001357D3">
        <w:t xml:space="preserve"> i</w:t>
      </w:r>
      <w:r w:rsidR="001C6403">
        <w:t> </w:t>
      </w:r>
      <w:r w:rsidR="001C6403" w:rsidRPr="001357D3">
        <w:t>Rad</w:t>
      </w:r>
      <w:r w:rsidRPr="001357D3">
        <w:t>y (UE) 2019/1024</w:t>
      </w:r>
      <w:r w:rsidR="001C6403" w:rsidRPr="001357D3">
        <w:t xml:space="preserve"> z</w:t>
      </w:r>
      <w:r w:rsidR="001C6403">
        <w:t> </w:t>
      </w:r>
      <w:r w:rsidR="001C6403" w:rsidRPr="001357D3">
        <w:t>dni</w:t>
      </w:r>
      <w:r w:rsidRPr="001357D3">
        <w:t>a 20 czerwca 20</w:t>
      </w:r>
      <w:r w:rsidRPr="001C6403">
        <w:t>19</w:t>
      </w:r>
      <w:r w:rsidR="001C6403" w:rsidRPr="001C6403">
        <w:t> </w:t>
      </w:r>
      <w:r w:rsidRPr="001C6403">
        <w:t>r.</w:t>
      </w:r>
      <w:r w:rsidR="001C6403" w:rsidRPr="001357D3">
        <w:t xml:space="preserve"> w</w:t>
      </w:r>
      <w:r w:rsidR="001C6403">
        <w:t> </w:t>
      </w:r>
      <w:r w:rsidR="001C6403" w:rsidRPr="001357D3">
        <w:t>spr</w:t>
      </w:r>
      <w:r w:rsidRPr="001357D3">
        <w:t>awie otwartych danych</w:t>
      </w:r>
      <w:r w:rsidR="001C6403" w:rsidRPr="001357D3">
        <w:t xml:space="preserve"> i</w:t>
      </w:r>
      <w:r w:rsidR="001C6403">
        <w:t> </w:t>
      </w:r>
      <w:r w:rsidR="001C6403" w:rsidRPr="001357D3">
        <w:t>pon</w:t>
      </w:r>
      <w:r w:rsidRPr="001357D3">
        <w:t xml:space="preserve">ownego wykorzystywania informacji sektora publicznego (przekształcenie), </w:t>
      </w:r>
      <w:r w:rsidRPr="001357D3">
        <w:rPr>
          <w:i/>
          <w:iCs/>
        </w:rPr>
        <w:t>Dz.U. L 172</w:t>
      </w:r>
      <w:r w:rsidR="001C6403" w:rsidRPr="001357D3">
        <w:rPr>
          <w:i/>
          <w:iCs/>
        </w:rPr>
        <w:t xml:space="preserve"> z</w:t>
      </w:r>
      <w:r w:rsidR="001C6403">
        <w:rPr>
          <w:i/>
          <w:iCs/>
        </w:rPr>
        <w:t> </w:t>
      </w:r>
      <w:r w:rsidR="001C6403" w:rsidRPr="001357D3">
        <w:rPr>
          <w:i/>
          <w:iCs/>
        </w:rPr>
        <w:t>2</w:t>
      </w:r>
      <w:r w:rsidRPr="001357D3">
        <w:rPr>
          <w:i/>
          <w:iCs/>
        </w:rPr>
        <w:t>6.6.2019, s. 56, ELI:</w:t>
      </w:r>
      <w:r w:rsidRPr="001357D3">
        <w:rPr>
          <w:i/>
          <w:sz w:val="16"/>
        </w:rPr>
        <w:t> </w:t>
      </w:r>
      <w:hyperlink r:id="rId38" w:tooltip="Dostęp do dokumentu poprzez identyfikator URI w systemie ELI." w:history="1">
        <w:r w:rsidRPr="001357D3">
          <w:rPr>
            <w:rStyle w:val="Hipercze"/>
            <w:i/>
            <w:sz w:val="16"/>
          </w:rPr>
          <w:t>http://data.europa.eu/eli/dir/2019/1024/oj</w:t>
        </w:r>
      </w:hyperlink>
      <w:r w:rsidRPr="001357D3">
        <w:rPr>
          <w:i/>
          <w:sz w:val="16"/>
        </w:rPr>
        <w:t>.</w:t>
      </w:r>
    </w:p>
    <w:p w14:paraId="05F34B7C" w14:textId="560EDC6B" w:rsidR="00662EFA" w:rsidRPr="001357D3" w:rsidRDefault="00662EFA">
      <w:pPr>
        <w:pStyle w:val="Tekstprzypisudolnego"/>
      </w:pPr>
    </w:p>
  </w:footnote>
  <w:footnote w:id="68">
    <w:p w14:paraId="4AC46BCF" w14:textId="5A47EA6F" w:rsidR="00662EFA" w:rsidRPr="001357D3" w:rsidRDefault="00662EFA">
      <w:pPr>
        <w:pStyle w:val="Tekstprzypisudolnego"/>
        <w:rPr>
          <w:sz w:val="16"/>
          <w:szCs w:val="16"/>
        </w:rPr>
      </w:pPr>
      <w:r>
        <w:rPr>
          <w:rStyle w:val="Odwoanieprzypisudolnego"/>
        </w:rPr>
        <w:footnoteRef/>
      </w:r>
      <w:r w:rsidRPr="001357D3">
        <w:tab/>
      </w:r>
      <w:r w:rsidRPr="001357D3">
        <w:rPr>
          <w:sz w:val="16"/>
        </w:rPr>
        <w:t>https://data.europa.eu/pl/ELDS.</w:t>
      </w:r>
    </w:p>
  </w:footnote>
  <w:footnote w:id="69">
    <w:p w14:paraId="3ADB9CF8" w14:textId="29DE5FB7" w:rsidR="00662EFA" w:rsidRPr="001357D3" w:rsidRDefault="00662EFA" w:rsidP="002C751B">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2024/1689</w:t>
      </w:r>
      <w:r w:rsidR="001C6403" w:rsidRPr="001357D3">
        <w:t xml:space="preserve"> z</w:t>
      </w:r>
      <w:r w:rsidR="001C6403">
        <w:t> </w:t>
      </w:r>
      <w:r w:rsidR="001C6403" w:rsidRPr="001357D3">
        <w:t>dni</w:t>
      </w:r>
      <w:r w:rsidRPr="001357D3">
        <w:t>a 13 czerwca 20</w:t>
      </w:r>
      <w:r w:rsidRPr="001C6403">
        <w:t>24</w:t>
      </w:r>
      <w:r w:rsidR="001C6403" w:rsidRPr="001C6403">
        <w:t> </w:t>
      </w:r>
      <w:r w:rsidRPr="001C6403">
        <w:t>r.</w:t>
      </w:r>
      <w:r w:rsidR="001C6403" w:rsidRPr="001357D3">
        <w:t xml:space="preserve"> w</w:t>
      </w:r>
      <w:r w:rsidR="001C6403">
        <w:t> </w:t>
      </w:r>
      <w:r w:rsidR="001C6403" w:rsidRPr="001357D3">
        <w:t>spr</w:t>
      </w:r>
      <w:r w:rsidRPr="001357D3">
        <w:t xml:space="preserve">awie ustanowienia zharmonizowanych przepisów dotyczących sztucznej inteligencji oraz zmiany rozporządzeń (WE) </w:t>
      </w:r>
      <w:r w:rsidRPr="001C6403">
        <w:t>nr</w:t>
      </w:r>
      <w:r w:rsidR="001C6403" w:rsidRPr="001C6403">
        <w:t> </w:t>
      </w:r>
      <w:r w:rsidRPr="001C6403">
        <w:t>3</w:t>
      </w:r>
      <w:r w:rsidRPr="001357D3">
        <w:t xml:space="preserve">00/2008, (UE) </w:t>
      </w:r>
      <w:r w:rsidRPr="001C6403">
        <w:t>nr</w:t>
      </w:r>
      <w:r w:rsidR="001C6403" w:rsidRPr="001C6403">
        <w:t> </w:t>
      </w:r>
      <w:r w:rsidRPr="001C6403">
        <w:t>1</w:t>
      </w:r>
      <w:r w:rsidRPr="001357D3">
        <w:t xml:space="preserve">67/2013, (UE) </w:t>
      </w:r>
      <w:r w:rsidRPr="001C6403">
        <w:t>nr</w:t>
      </w:r>
      <w:r w:rsidR="001C6403" w:rsidRPr="001C6403">
        <w:t> </w:t>
      </w:r>
      <w:r w:rsidRPr="001C6403">
        <w:t>1</w:t>
      </w:r>
      <w:r w:rsidRPr="001357D3">
        <w:t>68/2013, (UE) 2018/858, (UE) 2018/1139 i (UE) 2019/2144 oraz dyrektyw 2014/90/UE, (UE) 2016/797 i (UE) 2020/1828 (akt</w:t>
      </w:r>
      <w:r w:rsidR="001C6403" w:rsidRPr="001357D3">
        <w:t xml:space="preserve"> w</w:t>
      </w:r>
      <w:r w:rsidR="001C6403">
        <w:t> </w:t>
      </w:r>
      <w:r w:rsidR="001C6403" w:rsidRPr="001357D3">
        <w:t>spr</w:t>
      </w:r>
      <w:r w:rsidRPr="001357D3">
        <w:t xml:space="preserve">awie sztucznej inteligencji), </w:t>
      </w:r>
      <w:r w:rsidRPr="001357D3">
        <w:rPr>
          <w:i/>
          <w:iCs/>
        </w:rPr>
        <w:t>Dz.U. L, 2024/1689, 12.7.2024, ELI:</w:t>
      </w:r>
      <w:r w:rsidRPr="001357D3">
        <w:rPr>
          <w:i/>
          <w:sz w:val="16"/>
        </w:rPr>
        <w:t> </w:t>
      </w:r>
      <w:hyperlink r:id="rId39" w:tgtFrame="_blank" w:tooltip="Dostęp do dokumentu poprzez identyfikator URI w systemie ELI." w:history="1">
        <w:r w:rsidRPr="001357D3">
          <w:rPr>
            <w:rStyle w:val="Hipercze"/>
            <w:i/>
            <w:sz w:val="16"/>
          </w:rPr>
          <w:t>http://data.europa.eu/eli/reg/2024/1689/oj</w:t>
        </w:r>
      </w:hyperlink>
      <w:r w:rsidRPr="001357D3">
        <w:rPr>
          <w:i/>
          <w:sz w:val="16"/>
        </w:rPr>
        <w:t>.</w:t>
      </w:r>
    </w:p>
  </w:footnote>
  <w:footnote w:id="70">
    <w:p w14:paraId="79486B5B" w14:textId="1BAF319D" w:rsidR="00662EFA" w:rsidRPr="001357D3" w:rsidRDefault="00662EFA" w:rsidP="002C751B">
      <w:pPr>
        <w:pStyle w:val="Tekstprzypisudolnego"/>
        <w:ind w:left="0" w:firstLine="0"/>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Euratom) 2023/2841</w:t>
      </w:r>
      <w:r w:rsidR="001C6403" w:rsidRPr="001357D3">
        <w:t xml:space="preserve"> z</w:t>
      </w:r>
      <w:r w:rsidR="001C6403">
        <w:t> </w:t>
      </w:r>
      <w:r w:rsidR="001C6403" w:rsidRPr="001357D3">
        <w:t>dni</w:t>
      </w:r>
      <w:r w:rsidRPr="001357D3">
        <w:t>a 13 grudnia 20</w:t>
      </w:r>
      <w:r w:rsidRPr="001C6403">
        <w:t>23</w:t>
      </w:r>
      <w:r w:rsidR="001C6403" w:rsidRPr="001C6403">
        <w:t> </w:t>
      </w:r>
      <w:r w:rsidRPr="001C6403">
        <w:t>r.</w:t>
      </w:r>
      <w:r w:rsidR="001C6403" w:rsidRPr="001357D3">
        <w:t xml:space="preserve"> w</w:t>
      </w:r>
      <w:r w:rsidR="001C6403">
        <w:t> </w:t>
      </w:r>
      <w:r w:rsidR="001C6403" w:rsidRPr="001357D3">
        <w:t>spr</w:t>
      </w:r>
      <w:r w:rsidRPr="001357D3">
        <w:t>awie ustanowienia środków na rzecz wysokiego wspólnego poziomu cyberbezpieczeństwa</w:t>
      </w:r>
      <w:r w:rsidR="001C6403" w:rsidRPr="001357D3">
        <w:t xml:space="preserve"> w</w:t>
      </w:r>
      <w:r w:rsidR="001C6403">
        <w:t> </w:t>
      </w:r>
      <w:r w:rsidR="001C6403" w:rsidRPr="001357D3">
        <w:t>ins</w:t>
      </w:r>
      <w:r w:rsidRPr="001357D3">
        <w:t>tytucjach, organach</w:t>
      </w:r>
      <w:r w:rsidR="001C6403" w:rsidRPr="001357D3">
        <w:t xml:space="preserve"> i</w:t>
      </w:r>
      <w:r w:rsidR="001C6403">
        <w:t> </w:t>
      </w:r>
      <w:r w:rsidR="001C6403" w:rsidRPr="001357D3">
        <w:t>jed</w:t>
      </w:r>
      <w:r w:rsidRPr="001357D3">
        <w:t xml:space="preserve">nostkach organizacyjnych Unii, </w:t>
      </w:r>
      <w:r w:rsidRPr="001357D3">
        <w:rPr>
          <w:i/>
          <w:iCs/>
        </w:rPr>
        <w:t>Dz.U. L, 2023/2841, 18.12.2023, ELI</w:t>
      </w:r>
      <w:r w:rsidRPr="001357D3">
        <w:t>:</w:t>
      </w:r>
      <w:r w:rsidRPr="001357D3">
        <w:rPr>
          <w:i/>
          <w:sz w:val="16"/>
        </w:rPr>
        <w:t> </w:t>
      </w:r>
      <w:hyperlink r:id="rId40" w:tgtFrame="_blank" w:tooltip="Dostęp do dokumentu poprzez identyfikator URI w systemie ELI." w:history="1">
        <w:r w:rsidRPr="001357D3">
          <w:rPr>
            <w:rStyle w:val="Hipercze"/>
            <w:i/>
            <w:sz w:val="16"/>
          </w:rPr>
          <w:t>http://data.europa.eu/eli/reg/2023/2841/oj</w:t>
        </w:r>
      </w:hyperlink>
      <w:r w:rsidRPr="001357D3">
        <w:rPr>
          <w:i/>
          <w:sz w:val="16"/>
        </w:rPr>
        <w:t>.</w:t>
      </w:r>
    </w:p>
  </w:footnote>
  <w:footnote w:id="71">
    <w:p w14:paraId="17BF97C3" w14:textId="709319E7" w:rsidR="002C751B" w:rsidRPr="001357D3" w:rsidRDefault="002C751B">
      <w:pPr>
        <w:pStyle w:val="Tekstprzypisudolnego"/>
        <w:rPr>
          <w:sz w:val="16"/>
          <w:szCs w:val="16"/>
        </w:rPr>
      </w:pPr>
      <w:r>
        <w:rPr>
          <w:rStyle w:val="Odwoanieprzypisudolnego"/>
        </w:rPr>
        <w:footnoteRef/>
      </w:r>
      <w:r w:rsidRPr="001357D3">
        <w:tab/>
      </w:r>
      <w:r w:rsidRPr="001357D3">
        <w:rPr>
          <w:sz w:val="16"/>
        </w:rPr>
        <w:t>https://single-market-economy.ec.europa.eu/single-market/single-digital-gateway_pl.</w:t>
      </w:r>
    </w:p>
  </w:footnote>
  <w:footnote w:id="72">
    <w:p w14:paraId="113A2ED0" w14:textId="0B67A83E" w:rsidR="00662EFA" w:rsidRPr="001357D3" w:rsidRDefault="00662EFA" w:rsidP="002C751B">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 xml:space="preserve">y (UE) </w:t>
      </w:r>
      <w:r w:rsidRPr="001C6403">
        <w:t>nr</w:t>
      </w:r>
      <w:r w:rsidR="001C6403" w:rsidRPr="001C6403">
        <w:t> </w:t>
      </w:r>
      <w:r w:rsidRPr="001C6403">
        <w:t>1</w:t>
      </w:r>
      <w:r w:rsidRPr="001357D3">
        <w:t>024/2012</w:t>
      </w:r>
      <w:r w:rsidR="001C6403" w:rsidRPr="001357D3">
        <w:t xml:space="preserve"> z</w:t>
      </w:r>
      <w:r w:rsidR="001C6403">
        <w:t> </w:t>
      </w:r>
      <w:r w:rsidR="001C6403" w:rsidRPr="001357D3">
        <w:t>dni</w:t>
      </w:r>
      <w:r w:rsidRPr="001357D3">
        <w:t>a 25 października 20</w:t>
      </w:r>
      <w:r w:rsidRPr="001C6403">
        <w:t>12</w:t>
      </w:r>
      <w:r w:rsidR="001C6403" w:rsidRPr="001C6403">
        <w:t> </w:t>
      </w:r>
      <w:r w:rsidRPr="001C6403">
        <w:t>r.</w:t>
      </w:r>
      <w:r w:rsidR="001C6403" w:rsidRPr="001357D3">
        <w:t xml:space="preserve"> w</w:t>
      </w:r>
      <w:r w:rsidR="001C6403">
        <w:t> </w:t>
      </w:r>
      <w:r w:rsidR="001C6403" w:rsidRPr="001357D3">
        <w:t>spr</w:t>
      </w:r>
      <w:r w:rsidRPr="001357D3">
        <w:t>awie współpracy administracyjnej za pośrednictwem systemu wymiany informacji na rynku wewnętrznym</w:t>
      </w:r>
      <w:r w:rsidR="001C6403" w:rsidRPr="001357D3">
        <w:t xml:space="preserve"> i</w:t>
      </w:r>
      <w:r w:rsidR="001C6403">
        <w:t> </w:t>
      </w:r>
      <w:r w:rsidR="001C6403" w:rsidRPr="001357D3">
        <w:t>uch</w:t>
      </w:r>
      <w:r w:rsidRPr="001357D3">
        <w:t>ylające decyzję Komisji 2008/49/WE („rozporządzenie</w:t>
      </w:r>
      <w:r w:rsidR="001C6403" w:rsidRPr="001357D3">
        <w:t xml:space="preserve"> w</w:t>
      </w:r>
      <w:r w:rsidR="001C6403">
        <w:t> </w:t>
      </w:r>
      <w:r w:rsidR="001C6403" w:rsidRPr="001357D3">
        <w:t>spr</w:t>
      </w:r>
      <w:r w:rsidRPr="001357D3">
        <w:t xml:space="preserve">awie IMI”), </w:t>
      </w:r>
      <w:r w:rsidRPr="001357D3">
        <w:rPr>
          <w:i/>
          <w:iCs/>
        </w:rPr>
        <w:t>Dz.U. L 316</w:t>
      </w:r>
      <w:r w:rsidR="001C6403" w:rsidRPr="001357D3">
        <w:rPr>
          <w:i/>
          <w:iCs/>
        </w:rPr>
        <w:t xml:space="preserve"> z</w:t>
      </w:r>
      <w:r w:rsidR="001C6403">
        <w:rPr>
          <w:i/>
          <w:iCs/>
        </w:rPr>
        <w:t> </w:t>
      </w:r>
      <w:r w:rsidR="001C6403" w:rsidRPr="001357D3">
        <w:rPr>
          <w:i/>
          <w:iCs/>
        </w:rPr>
        <w:t>1</w:t>
      </w:r>
      <w:r w:rsidRPr="001357D3">
        <w:rPr>
          <w:i/>
          <w:iCs/>
        </w:rPr>
        <w:t>4.11.2012, s. 1, ELI:</w:t>
      </w:r>
      <w:r w:rsidRPr="001357D3">
        <w:rPr>
          <w:i/>
          <w:sz w:val="16"/>
        </w:rPr>
        <w:t> </w:t>
      </w:r>
      <w:hyperlink r:id="rId41" w:tooltip="Dostęp do dokumentu poprzez identyfikator URI w systemie ELI." w:history="1">
        <w:r w:rsidRPr="001357D3">
          <w:rPr>
            <w:rStyle w:val="Hipercze"/>
            <w:i/>
            <w:sz w:val="16"/>
          </w:rPr>
          <w:t>http://data.europa.eu/eli/reg/2012/1024/oj</w:t>
        </w:r>
      </w:hyperlink>
      <w:r w:rsidRPr="001357D3">
        <w:rPr>
          <w:i/>
          <w:sz w:val="16"/>
        </w:rPr>
        <w:t>.</w:t>
      </w:r>
    </w:p>
  </w:footnote>
  <w:footnote w:id="73">
    <w:p w14:paraId="1F7783DB" w14:textId="2EC51429" w:rsidR="00662EFA" w:rsidRPr="001357D3" w:rsidRDefault="00662EFA" w:rsidP="00662EFA">
      <w:pPr>
        <w:pStyle w:val="Tekstprzypisudolnego"/>
        <w:ind w:left="0" w:firstLine="0"/>
        <w:rPr>
          <w:sz w:val="16"/>
          <w:szCs w:val="16"/>
        </w:rPr>
      </w:pPr>
      <w:r>
        <w:rPr>
          <w:rStyle w:val="Odwoanieprzypisudolnego"/>
        </w:rPr>
        <w:footnoteRef/>
      </w:r>
      <w:r w:rsidRPr="001357D3">
        <w:tab/>
        <w:t>Rozporządzenie Parlamentu Europejskiego</w:t>
      </w:r>
      <w:r w:rsidR="001C6403" w:rsidRPr="001357D3">
        <w:t xml:space="preserve"> i</w:t>
      </w:r>
      <w:r w:rsidR="001C6403">
        <w:t> </w:t>
      </w:r>
      <w:r w:rsidR="001C6403" w:rsidRPr="001357D3">
        <w:t>Rad</w:t>
      </w:r>
      <w:r w:rsidRPr="001357D3">
        <w:t>y (UE) 2023/2844</w:t>
      </w:r>
      <w:r w:rsidR="001C6403" w:rsidRPr="001357D3">
        <w:t xml:space="preserve"> z</w:t>
      </w:r>
      <w:r w:rsidR="001C6403">
        <w:t> </w:t>
      </w:r>
      <w:r w:rsidR="001C6403" w:rsidRPr="001357D3">
        <w:t>dni</w:t>
      </w:r>
      <w:r w:rsidRPr="001357D3">
        <w:t>a 13 grudnia 2023 r.</w:t>
      </w:r>
      <w:r w:rsidR="001C6403" w:rsidRPr="001357D3">
        <w:t xml:space="preserve"> w</w:t>
      </w:r>
      <w:r w:rsidR="001C6403">
        <w:t> </w:t>
      </w:r>
      <w:r w:rsidR="001C6403" w:rsidRPr="001357D3">
        <w:t>spr</w:t>
      </w:r>
      <w:r w:rsidRPr="001357D3">
        <w:t>awie cyfryzacji współpracy sądowej</w:t>
      </w:r>
      <w:r w:rsidR="001C6403" w:rsidRPr="001357D3">
        <w:t xml:space="preserve"> i</w:t>
      </w:r>
      <w:r w:rsidR="001C6403">
        <w:t> </w:t>
      </w:r>
      <w:r w:rsidR="001C6403" w:rsidRPr="001357D3">
        <w:t>dos</w:t>
      </w:r>
      <w:r w:rsidRPr="001357D3">
        <w:t>tępu do wymiaru sprawiedliwości</w:t>
      </w:r>
      <w:r w:rsidR="001C6403" w:rsidRPr="001357D3">
        <w:t xml:space="preserve"> w</w:t>
      </w:r>
      <w:r w:rsidR="001C6403">
        <w:t> </w:t>
      </w:r>
      <w:r w:rsidR="001C6403" w:rsidRPr="001357D3">
        <w:t>spr</w:t>
      </w:r>
      <w:r w:rsidRPr="001357D3">
        <w:t>awach cywilnych</w:t>
      </w:r>
      <w:r w:rsidR="001C6403" w:rsidRPr="001357D3">
        <w:t xml:space="preserve"> i</w:t>
      </w:r>
      <w:r w:rsidR="001C6403">
        <w:t> </w:t>
      </w:r>
      <w:r w:rsidR="001C6403" w:rsidRPr="001357D3">
        <w:t>han</w:t>
      </w:r>
      <w:r w:rsidRPr="001357D3">
        <w:t>dlowych</w:t>
      </w:r>
      <w:r w:rsidR="001C6403" w:rsidRPr="001357D3">
        <w:t xml:space="preserve"> o</w:t>
      </w:r>
      <w:r w:rsidR="001C6403">
        <w:t> </w:t>
      </w:r>
      <w:r w:rsidR="001C6403" w:rsidRPr="001357D3">
        <w:t>cha</w:t>
      </w:r>
      <w:r w:rsidRPr="001357D3">
        <w:t>rakterze transgranicznym oraz współpracy wymiarów sprawiedliwości</w:t>
      </w:r>
      <w:r w:rsidR="001C6403" w:rsidRPr="001357D3">
        <w:t xml:space="preserve"> i</w:t>
      </w:r>
      <w:r w:rsidR="001C6403">
        <w:t> </w:t>
      </w:r>
      <w:r w:rsidR="001C6403" w:rsidRPr="001357D3">
        <w:t>dos</w:t>
      </w:r>
      <w:r w:rsidRPr="001357D3">
        <w:t>tępu do wymiaru sprawiedliwości</w:t>
      </w:r>
      <w:r w:rsidR="001C6403" w:rsidRPr="001357D3">
        <w:t xml:space="preserve"> w</w:t>
      </w:r>
      <w:r w:rsidR="001C6403">
        <w:t> </w:t>
      </w:r>
      <w:r w:rsidR="001C6403" w:rsidRPr="001357D3">
        <w:t>spr</w:t>
      </w:r>
      <w:r w:rsidRPr="001357D3">
        <w:t>awach karnych</w:t>
      </w:r>
      <w:r w:rsidR="001C6403" w:rsidRPr="001357D3">
        <w:t xml:space="preserve"> o</w:t>
      </w:r>
      <w:r w:rsidR="001C6403">
        <w:t> </w:t>
      </w:r>
      <w:r w:rsidR="001C6403" w:rsidRPr="001357D3">
        <w:t>cha</w:t>
      </w:r>
      <w:r w:rsidRPr="001357D3">
        <w:t>rakterze transgranicznym oraz zmieniające niektóre akty</w:t>
      </w:r>
      <w:r w:rsidR="001C6403" w:rsidRPr="001357D3">
        <w:t xml:space="preserve"> w</w:t>
      </w:r>
      <w:r w:rsidR="001C6403">
        <w:t> </w:t>
      </w:r>
      <w:r w:rsidR="001C6403" w:rsidRPr="001357D3">
        <w:t>tyc</w:t>
      </w:r>
      <w:r w:rsidRPr="001357D3">
        <w:t xml:space="preserve">h dziedzinach, </w:t>
      </w:r>
      <w:r w:rsidRPr="001357D3">
        <w:rPr>
          <w:i/>
          <w:iCs/>
        </w:rPr>
        <w:t>Dz.U. L, 2023/2844, 27.12.2023, ELI:</w:t>
      </w:r>
      <w:r w:rsidRPr="001357D3">
        <w:rPr>
          <w:i/>
          <w:sz w:val="16"/>
        </w:rPr>
        <w:t> </w:t>
      </w:r>
      <w:hyperlink r:id="rId42" w:tgtFrame="_blank" w:tooltip="Dostęp do dokumentu poprzez identyfikator URI w systemie ELI." w:history="1">
        <w:r w:rsidRPr="001357D3">
          <w:rPr>
            <w:rStyle w:val="Hipercze"/>
            <w:i/>
            <w:sz w:val="16"/>
          </w:rPr>
          <w:t>http://data.europa.eu/eli/reg/2023/2844/oj</w:t>
        </w:r>
      </w:hyperlink>
      <w:r w:rsidRPr="001357D3">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FBB" w14:textId="77777777" w:rsidR="007B3949" w:rsidRDefault="007B39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291" w14:textId="77777777" w:rsidR="007B3949" w:rsidRDefault="007B3949" w:rsidP="007B39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C9A" w14:textId="77777777" w:rsidR="007B3949" w:rsidRPr="007B3949" w:rsidRDefault="007B3949" w:rsidP="007B394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70D0" w14:textId="77777777" w:rsidR="007B3949" w:rsidRPr="007B3949" w:rsidRDefault="007B3949" w:rsidP="007B39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67AC3C0"/>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E58B0E6"/>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18A49FE"/>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D26843E"/>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5CC7365"/>
    <w:multiLevelType w:val="hybridMultilevel"/>
    <w:tmpl w:val="B6F6AF66"/>
    <w:lvl w:ilvl="0" w:tplc="6A70E81E">
      <w:start w:val="1"/>
      <w:numFmt w:val="decimal"/>
      <w:pStyle w:val="Paragraph"/>
      <w:lvlText w:val="%1."/>
      <w:lvlJc w:val="left"/>
      <w:pPr>
        <w:ind w:left="360" w:hanging="360"/>
      </w:pPr>
    </w:lvl>
    <w:lvl w:ilvl="1" w:tplc="C44AD742">
      <w:start w:val="1"/>
      <w:numFmt w:val="lowerLetter"/>
      <w:pStyle w:val="Subparagraph"/>
      <w:lvlText w:val="(%2)"/>
      <w:lvlJc w:val="left"/>
      <w:pPr>
        <w:ind w:left="1080" w:hanging="360"/>
      </w:pPr>
    </w:lvl>
    <w:lvl w:ilvl="2" w:tplc="6A0CD930">
      <w:start w:val="1"/>
      <w:numFmt w:val="lowerRoman"/>
      <w:pStyle w:val="Subsubparagraph"/>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62575341">
    <w:abstractNumId w:val="3"/>
  </w:num>
  <w:num w:numId="2" w16cid:durableId="2008628025">
    <w:abstractNumId w:val="2"/>
  </w:num>
  <w:num w:numId="3" w16cid:durableId="88044603">
    <w:abstractNumId w:val="1"/>
  </w:num>
  <w:num w:numId="4" w16cid:durableId="336925501">
    <w:abstractNumId w:val="0"/>
  </w:num>
  <w:num w:numId="5" w16cid:durableId="26612608">
    <w:abstractNumId w:val="7"/>
    <w:lvlOverride w:ilvl="0">
      <w:startOverride w:val="1"/>
    </w:lvlOverride>
  </w:num>
  <w:num w:numId="6" w16cid:durableId="138957987">
    <w:abstractNumId w:val="9"/>
    <w:lvlOverride w:ilvl="0">
      <w:startOverride w:val="1"/>
    </w:lvlOverride>
  </w:num>
  <w:num w:numId="7" w16cid:durableId="576600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247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8472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810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971123">
    <w:abstractNumId w:val="4"/>
  </w:num>
  <w:num w:numId="12" w16cid:durableId="1867908270">
    <w:abstractNumId w:val="13"/>
  </w:num>
  <w:num w:numId="13" w16cid:durableId="1184975018">
    <w:abstractNumId w:val="22"/>
  </w:num>
  <w:num w:numId="14" w16cid:durableId="989020244">
    <w:abstractNumId w:val="21"/>
  </w:num>
  <w:num w:numId="15" w16cid:durableId="1807308498">
    <w:abstractNumId w:val="30"/>
  </w:num>
  <w:num w:numId="16" w16cid:durableId="1617516237">
    <w:abstractNumId w:val="5"/>
  </w:num>
  <w:num w:numId="17" w16cid:durableId="676536364">
    <w:abstractNumId w:val="15"/>
  </w:num>
  <w:num w:numId="18" w16cid:durableId="1716808413">
    <w:abstractNumId w:val="6"/>
  </w:num>
  <w:num w:numId="19" w16cid:durableId="841550933">
    <w:abstractNumId w:val="16"/>
  </w:num>
  <w:num w:numId="20" w16cid:durableId="1427073796">
    <w:abstractNumId w:val="14"/>
  </w:num>
  <w:num w:numId="21" w16cid:durableId="433088293">
    <w:abstractNumId w:val="23"/>
  </w:num>
  <w:num w:numId="22" w16cid:durableId="651718440">
    <w:abstractNumId w:val="12"/>
  </w:num>
  <w:num w:numId="23" w16cid:durableId="1418283755">
    <w:abstractNumId w:val="31"/>
    <w:lvlOverride w:ilvl="0">
      <w:startOverride w:val="1"/>
    </w:lvlOverride>
  </w:num>
  <w:num w:numId="24" w16cid:durableId="2049333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857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11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311371">
    <w:abstractNumId w:val="27"/>
    <w:lvlOverride w:ilvl="0">
      <w:startOverride w:val="1"/>
    </w:lvlOverride>
  </w:num>
  <w:num w:numId="28" w16cid:durableId="883324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111868">
    <w:abstractNumId w:val="31"/>
    <w:lvlOverride w:ilvl="0">
      <w:startOverride w:val="13"/>
    </w:lvlOverride>
  </w:num>
  <w:num w:numId="30" w16cid:durableId="1889224367">
    <w:abstractNumId w:val="27"/>
  </w:num>
  <w:num w:numId="31" w16cid:durableId="108816152">
    <w:abstractNumId w:val="17"/>
  </w:num>
  <w:num w:numId="32" w16cid:durableId="1218930864">
    <w:abstractNumId w:val="29"/>
  </w:num>
  <w:num w:numId="33" w16cid:durableId="1953974467">
    <w:abstractNumId w:val="11"/>
  </w:num>
  <w:num w:numId="34" w16cid:durableId="205414872">
    <w:abstractNumId w:val="18"/>
  </w:num>
  <w:num w:numId="35" w16cid:durableId="769394736">
    <w:abstractNumId w:val="19"/>
  </w:num>
  <w:num w:numId="36" w16cid:durableId="483857092">
    <w:abstractNumId w:val="9"/>
  </w:num>
  <w:num w:numId="37" w16cid:durableId="1375160784">
    <w:abstractNumId w:val="28"/>
  </w:num>
  <w:num w:numId="38" w16cid:durableId="394279419">
    <w:abstractNumId w:val="8"/>
  </w:num>
  <w:num w:numId="39" w16cid:durableId="1022391076">
    <w:abstractNumId w:val="20"/>
  </w:num>
  <w:num w:numId="40" w16cid:durableId="846098774">
    <w:abstractNumId w:val="25"/>
  </w:num>
  <w:num w:numId="41" w16cid:durableId="20250929">
    <w:abstractNumId w:val="26"/>
  </w:num>
  <w:num w:numId="42" w16cid:durableId="535852027">
    <w:abstractNumId w:val="10"/>
  </w:num>
  <w:num w:numId="43" w16cid:durableId="1899241420">
    <w:abstractNumId w:val="24"/>
  </w:num>
  <w:num w:numId="44" w16cid:durableId="98842081">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pl-P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attachedTemplate r:id="rId1"/>
  <w:revisionView w:markup="0"/>
  <w:doNotTrackFormattin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5-10-12 10:10:54"/>
    <w:docVar w:name="DQCRepairStyles" w:val=";Footnote Text;NumPar 1;Point 0 (number);Point 0 (letter);Footnote Text;"/>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B228E5B-C60D-4915-A923-DEF5C8F004EF"/>
    <w:docVar w:name="LW_COVERPAGE_TYPE" w:val="1"/>
    <w:docVar w:name="LW_CROSSREFERENCE" w:val="{SEC(2025) 547 final} - {SWD(2025) 550 final} - {SWD(2025) 551 final}"/>
    <w:docVar w:name="LW_DocType" w:val="COM"/>
    <w:docVar w:name="LW_EMISSION" w:val="3.9.2025"/>
    <w:docVar w:name="LW_EMISSION_ISODATE" w:val="2025-09-03"/>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255"/>
    <w:docVar w:name="LW_REF.II.NEW.CP_YEAR" w:val="2025"/>
    <w:docVar w:name="LW_REF.INST.NEW" w:val="COM"/>
    <w:docVar w:name="LW_REF.INST.NEW_ADOPTED" w:val="final"/>
    <w:docVar w:name="LW_REF.INST.NEW_TEXT" w:val="(2025) 4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stanawiaj\u261?ce program \u8222?Sprawiedliwo\u347?\u263?\u8221? na lata 2028\u8211?2034 i uchylaj\u261?ce rozporz\u261?dzenie (UE) 2021/693"/>
    <w:docVar w:name="LW_TYPE.DOC.CP" w:val="ROZPORZ\u260?DZENIE PARLAMENTU EUROPEJSKIEGO I RADY"/>
    <w:docVar w:name="LwApiVersions" w:val="LW4CoDe 1.24.5.0; LW 9.0, Build 20240221"/>
    <w:docVar w:name="Stamp" w:val="\\net1.cec.eu.int\offline\059\evansjo\Desktop\JUST - MJR-CIS 07017-ft - REG - Draft proposal for a regulation establishing the Justice programme for the post-2027 Multiannual Financial Framework.docx"/>
  </w:docVars>
  <w:rsids>
    <w:rsidRoot w:val="00C5603D"/>
    <w:rsid w:val="00000346"/>
    <w:rsid w:val="00001976"/>
    <w:rsid w:val="00001E83"/>
    <w:rsid w:val="00003CAC"/>
    <w:rsid w:val="00004ADA"/>
    <w:rsid w:val="00005564"/>
    <w:rsid w:val="00005A4B"/>
    <w:rsid w:val="00005E20"/>
    <w:rsid w:val="0001066C"/>
    <w:rsid w:val="0001153E"/>
    <w:rsid w:val="00013C01"/>
    <w:rsid w:val="00014125"/>
    <w:rsid w:val="000151A1"/>
    <w:rsid w:val="00015425"/>
    <w:rsid w:val="0001547D"/>
    <w:rsid w:val="00015A5D"/>
    <w:rsid w:val="000201CF"/>
    <w:rsid w:val="0002073F"/>
    <w:rsid w:val="00021811"/>
    <w:rsid w:val="00022188"/>
    <w:rsid w:val="0002269F"/>
    <w:rsid w:val="00022C58"/>
    <w:rsid w:val="00024400"/>
    <w:rsid w:val="00025298"/>
    <w:rsid w:val="000302CE"/>
    <w:rsid w:val="0003099C"/>
    <w:rsid w:val="00031070"/>
    <w:rsid w:val="00031BE8"/>
    <w:rsid w:val="000333DB"/>
    <w:rsid w:val="00033916"/>
    <w:rsid w:val="00033991"/>
    <w:rsid w:val="00035A34"/>
    <w:rsid w:val="00036FF9"/>
    <w:rsid w:val="00037513"/>
    <w:rsid w:val="0003791A"/>
    <w:rsid w:val="00037D3E"/>
    <w:rsid w:val="00040445"/>
    <w:rsid w:val="0004099A"/>
    <w:rsid w:val="00041D6F"/>
    <w:rsid w:val="00041E53"/>
    <w:rsid w:val="00042C01"/>
    <w:rsid w:val="00045E82"/>
    <w:rsid w:val="000461C0"/>
    <w:rsid w:val="00047EC5"/>
    <w:rsid w:val="00050011"/>
    <w:rsid w:val="00051E2E"/>
    <w:rsid w:val="000520B9"/>
    <w:rsid w:val="0005283B"/>
    <w:rsid w:val="00052D8C"/>
    <w:rsid w:val="0005302C"/>
    <w:rsid w:val="000530D2"/>
    <w:rsid w:val="00053684"/>
    <w:rsid w:val="0005372D"/>
    <w:rsid w:val="000553FC"/>
    <w:rsid w:val="00057803"/>
    <w:rsid w:val="00057D24"/>
    <w:rsid w:val="0006242E"/>
    <w:rsid w:val="000626E5"/>
    <w:rsid w:val="00062BED"/>
    <w:rsid w:val="00064513"/>
    <w:rsid w:val="000647FF"/>
    <w:rsid w:val="00065340"/>
    <w:rsid w:val="00066304"/>
    <w:rsid w:val="000666B8"/>
    <w:rsid w:val="00066BCB"/>
    <w:rsid w:val="000679C3"/>
    <w:rsid w:val="000679F7"/>
    <w:rsid w:val="00071420"/>
    <w:rsid w:val="00072F7E"/>
    <w:rsid w:val="0007335F"/>
    <w:rsid w:val="000738D2"/>
    <w:rsid w:val="00076867"/>
    <w:rsid w:val="000771D2"/>
    <w:rsid w:val="00077AA3"/>
    <w:rsid w:val="000805E1"/>
    <w:rsid w:val="000807FB"/>
    <w:rsid w:val="00080A95"/>
    <w:rsid w:val="0008220F"/>
    <w:rsid w:val="00083CC9"/>
    <w:rsid w:val="00083E0D"/>
    <w:rsid w:val="000844E4"/>
    <w:rsid w:val="00085664"/>
    <w:rsid w:val="00085C8A"/>
    <w:rsid w:val="00086753"/>
    <w:rsid w:val="000867D6"/>
    <w:rsid w:val="00086B5E"/>
    <w:rsid w:val="0008766E"/>
    <w:rsid w:val="0009130C"/>
    <w:rsid w:val="00091DCC"/>
    <w:rsid w:val="00092A5E"/>
    <w:rsid w:val="000938A9"/>
    <w:rsid w:val="000943D3"/>
    <w:rsid w:val="00095554"/>
    <w:rsid w:val="00097709"/>
    <w:rsid w:val="000A001B"/>
    <w:rsid w:val="000A07A8"/>
    <w:rsid w:val="000A0F92"/>
    <w:rsid w:val="000A1272"/>
    <w:rsid w:val="000A16A4"/>
    <w:rsid w:val="000A255E"/>
    <w:rsid w:val="000A4528"/>
    <w:rsid w:val="000A6F65"/>
    <w:rsid w:val="000B1809"/>
    <w:rsid w:val="000B2087"/>
    <w:rsid w:val="000B2583"/>
    <w:rsid w:val="000B2AB3"/>
    <w:rsid w:val="000B473D"/>
    <w:rsid w:val="000B4848"/>
    <w:rsid w:val="000B4C67"/>
    <w:rsid w:val="000B5A21"/>
    <w:rsid w:val="000B5CFA"/>
    <w:rsid w:val="000B6178"/>
    <w:rsid w:val="000B67E3"/>
    <w:rsid w:val="000B6874"/>
    <w:rsid w:val="000B6A44"/>
    <w:rsid w:val="000B6C5A"/>
    <w:rsid w:val="000B6D28"/>
    <w:rsid w:val="000B71F3"/>
    <w:rsid w:val="000B739C"/>
    <w:rsid w:val="000C03F6"/>
    <w:rsid w:val="000C1564"/>
    <w:rsid w:val="000C1BE9"/>
    <w:rsid w:val="000C20E9"/>
    <w:rsid w:val="000C2474"/>
    <w:rsid w:val="000C2756"/>
    <w:rsid w:val="000C2BC3"/>
    <w:rsid w:val="000C3703"/>
    <w:rsid w:val="000C38AE"/>
    <w:rsid w:val="000C3BAB"/>
    <w:rsid w:val="000C43C9"/>
    <w:rsid w:val="000C4FEB"/>
    <w:rsid w:val="000C5824"/>
    <w:rsid w:val="000C62B9"/>
    <w:rsid w:val="000C62EB"/>
    <w:rsid w:val="000C6D02"/>
    <w:rsid w:val="000C6EDF"/>
    <w:rsid w:val="000C7727"/>
    <w:rsid w:val="000C7A0D"/>
    <w:rsid w:val="000C7A15"/>
    <w:rsid w:val="000D21FF"/>
    <w:rsid w:val="000D2874"/>
    <w:rsid w:val="000D2FB2"/>
    <w:rsid w:val="000D3B73"/>
    <w:rsid w:val="000D4162"/>
    <w:rsid w:val="000D4533"/>
    <w:rsid w:val="000D4A74"/>
    <w:rsid w:val="000D4BE4"/>
    <w:rsid w:val="000D4FDE"/>
    <w:rsid w:val="000D63CD"/>
    <w:rsid w:val="000D6528"/>
    <w:rsid w:val="000D678B"/>
    <w:rsid w:val="000D682C"/>
    <w:rsid w:val="000E0C01"/>
    <w:rsid w:val="000E274B"/>
    <w:rsid w:val="000E29C7"/>
    <w:rsid w:val="000E2E93"/>
    <w:rsid w:val="000E4E6A"/>
    <w:rsid w:val="000E589B"/>
    <w:rsid w:val="000E5D1A"/>
    <w:rsid w:val="000E6C20"/>
    <w:rsid w:val="000E7865"/>
    <w:rsid w:val="000E7925"/>
    <w:rsid w:val="000E7F87"/>
    <w:rsid w:val="000F0D4C"/>
    <w:rsid w:val="000F0E1F"/>
    <w:rsid w:val="000F1A35"/>
    <w:rsid w:val="000F1B12"/>
    <w:rsid w:val="000F2427"/>
    <w:rsid w:val="000F28A2"/>
    <w:rsid w:val="000F3B60"/>
    <w:rsid w:val="000F4D4F"/>
    <w:rsid w:val="000F57BA"/>
    <w:rsid w:val="000F607D"/>
    <w:rsid w:val="000F7FC9"/>
    <w:rsid w:val="001012AA"/>
    <w:rsid w:val="0010175B"/>
    <w:rsid w:val="0010216F"/>
    <w:rsid w:val="001032B0"/>
    <w:rsid w:val="00103CF2"/>
    <w:rsid w:val="0010595B"/>
    <w:rsid w:val="001062B8"/>
    <w:rsid w:val="001065C9"/>
    <w:rsid w:val="00110311"/>
    <w:rsid w:val="00110733"/>
    <w:rsid w:val="00110861"/>
    <w:rsid w:val="00111074"/>
    <w:rsid w:val="00111B96"/>
    <w:rsid w:val="00111B97"/>
    <w:rsid w:val="00111DF0"/>
    <w:rsid w:val="001127BF"/>
    <w:rsid w:val="00112E1B"/>
    <w:rsid w:val="00112F2F"/>
    <w:rsid w:val="001131E1"/>
    <w:rsid w:val="00113535"/>
    <w:rsid w:val="0011382B"/>
    <w:rsid w:val="00114AE3"/>
    <w:rsid w:val="00114C38"/>
    <w:rsid w:val="00114E57"/>
    <w:rsid w:val="001152E8"/>
    <w:rsid w:val="001154C4"/>
    <w:rsid w:val="00115EB7"/>
    <w:rsid w:val="001164A4"/>
    <w:rsid w:val="001168F0"/>
    <w:rsid w:val="00117269"/>
    <w:rsid w:val="0011726E"/>
    <w:rsid w:val="001211E5"/>
    <w:rsid w:val="00121AFE"/>
    <w:rsid w:val="00122332"/>
    <w:rsid w:val="00122F13"/>
    <w:rsid w:val="00122FFD"/>
    <w:rsid w:val="00123538"/>
    <w:rsid w:val="00124685"/>
    <w:rsid w:val="00124807"/>
    <w:rsid w:val="0012523E"/>
    <w:rsid w:val="00125898"/>
    <w:rsid w:val="00127421"/>
    <w:rsid w:val="001277C2"/>
    <w:rsid w:val="00130337"/>
    <w:rsid w:val="00130623"/>
    <w:rsid w:val="00130B40"/>
    <w:rsid w:val="00130C18"/>
    <w:rsid w:val="00130D38"/>
    <w:rsid w:val="00130DB9"/>
    <w:rsid w:val="00131026"/>
    <w:rsid w:val="001320BF"/>
    <w:rsid w:val="0013210E"/>
    <w:rsid w:val="00132204"/>
    <w:rsid w:val="00133491"/>
    <w:rsid w:val="00134F3E"/>
    <w:rsid w:val="001357D3"/>
    <w:rsid w:val="001360AF"/>
    <w:rsid w:val="00136C13"/>
    <w:rsid w:val="00137475"/>
    <w:rsid w:val="00137FF6"/>
    <w:rsid w:val="001400B5"/>
    <w:rsid w:val="00140780"/>
    <w:rsid w:val="001412EC"/>
    <w:rsid w:val="001418C2"/>
    <w:rsid w:val="00141DAB"/>
    <w:rsid w:val="00141EEF"/>
    <w:rsid w:val="001434D5"/>
    <w:rsid w:val="0014387C"/>
    <w:rsid w:val="001441DB"/>
    <w:rsid w:val="0014483D"/>
    <w:rsid w:val="00145D00"/>
    <w:rsid w:val="00147873"/>
    <w:rsid w:val="00147DD0"/>
    <w:rsid w:val="0015096C"/>
    <w:rsid w:val="0015262C"/>
    <w:rsid w:val="0015265A"/>
    <w:rsid w:val="00152BA1"/>
    <w:rsid w:val="001537AA"/>
    <w:rsid w:val="00154012"/>
    <w:rsid w:val="00154A26"/>
    <w:rsid w:val="00155430"/>
    <w:rsid w:val="00156282"/>
    <w:rsid w:val="0015672B"/>
    <w:rsid w:val="00160679"/>
    <w:rsid w:val="0016116C"/>
    <w:rsid w:val="00161914"/>
    <w:rsid w:val="00162290"/>
    <w:rsid w:val="001622C8"/>
    <w:rsid w:val="00162639"/>
    <w:rsid w:val="00163A76"/>
    <w:rsid w:val="00163D2F"/>
    <w:rsid w:val="00164DDF"/>
    <w:rsid w:val="0016683B"/>
    <w:rsid w:val="00167137"/>
    <w:rsid w:val="001705C0"/>
    <w:rsid w:val="0017124D"/>
    <w:rsid w:val="00171635"/>
    <w:rsid w:val="00171801"/>
    <w:rsid w:val="00171D1B"/>
    <w:rsid w:val="001733BF"/>
    <w:rsid w:val="00174A45"/>
    <w:rsid w:val="00174C9D"/>
    <w:rsid w:val="001752EB"/>
    <w:rsid w:val="00175BF4"/>
    <w:rsid w:val="00177934"/>
    <w:rsid w:val="00177F54"/>
    <w:rsid w:val="0017BB2D"/>
    <w:rsid w:val="001815B2"/>
    <w:rsid w:val="00181B18"/>
    <w:rsid w:val="00183D79"/>
    <w:rsid w:val="00185378"/>
    <w:rsid w:val="001858DA"/>
    <w:rsid w:val="00186702"/>
    <w:rsid w:val="00186B3C"/>
    <w:rsid w:val="00187EC9"/>
    <w:rsid w:val="00190156"/>
    <w:rsid w:val="00190217"/>
    <w:rsid w:val="00190B90"/>
    <w:rsid w:val="00190EF0"/>
    <w:rsid w:val="00191A1E"/>
    <w:rsid w:val="00191EC3"/>
    <w:rsid w:val="001921DE"/>
    <w:rsid w:val="001923CC"/>
    <w:rsid w:val="00192ACC"/>
    <w:rsid w:val="00192F05"/>
    <w:rsid w:val="001937DC"/>
    <w:rsid w:val="00194D03"/>
    <w:rsid w:val="0019538D"/>
    <w:rsid w:val="00196131"/>
    <w:rsid w:val="001966F4"/>
    <w:rsid w:val="00196D18"/>
    <w:rsid w:val="00198B26"/>
    <w:rsid w:val="001A0381"/>
    <w:rsid w:val="001A0E5D"/>
    <w:rsid w:val="001A24DA"/>
    <w:rsid w:val="001A49D3"/>
    <w:rsid w:val="001A5482"/>
    <w:rsid w:val="001A5680"/>
    <w:rsid w:val="001A57D3"/>
    <w:rsid w:val="001A693E"/>
    <w:rsid w:val="001A7488"/>
    <w:rsid w:val="001A7B20"/>
    <w:rsid w:val="001B0775"/>
    <w:rsid w:val="001B10D2"/>
    <w:rsid w:val="001B1D67"/>
    <w:rsid w:val="001B2116"/>
    <w:rsid w:val="001B3D3E"/>
    <w:rsid w:val="001B408F"/>
    <w:rsid w:val="001B71B6"/>
    <w:rsid w:val="001B73B3"/>
    <w:rsid w:val="001B7D75"/>
    <w:rsid w:val="001B7E41"/>
    <w:rsid w:val="001C0476"/>
    <w:rsid w:val="001C0F27"/>
    <w:rsid w:val="001C126E"/>
    <w:rsid w:val="001C1FDC"/>
    <w:rsid w:val="001C294B"/>
    <w:rsid w:val="001C2A34"/>
    <w:rsid w:val="001C382D"/>
    <w:rsid w:val="001C4492"/>
    <w:rsid w:val="001C47BA"/>
    <w:rsid w:val="001C6403"/>
    <w:rsid w:val="001C6937"/>
    <w:rsid w:val="001C6A1B"/>
    <w:rsid w:val="001C7E4C"/>
    <w:rsid w:val="001D1153"/>
    <w:rsid w:val="001D1186"/>
    <w:rsid w:val="001D133E"/>
    <w:rsid w:val="001D1885"/>
    <w:rsid w:val="001D3DFC"/>
    <w:rsid w:val="001D4AD8"/>
    <w:rsid w:val="001D4C68"/>
    <w:rsid w:val="001D5093"/>
    <w:rsid w:val="001D5E70"/>
    <w:rsid w:val="001D6EDD"/>
    <w:rsid w:val="001D7B8B"/>
    <w:rsid w:val="001E0AD4"/>
    <w:rsid w:val="001E0C8F"/>
    <w:rsid w:val="001E1418"/>
    <w:rsid w:val="001E145F"/>
    <w:rsid w:val="001E23A9"/>
    <w:rsid w:val="001E2DE1"/>
    <w:rsid w:val="001E2F1A"/>
    <w:rsid w:val="001E4FA2"/>
    <w:rsid w:val="001E5C5F"/>
    <w:rsid w:val="001E6ECF"/>
    <w:rsid w:val="001F07AB"/>
    <w:rsid w:val="001F108E"/>
    <w:rsid w:val="001F219D"/>
    <w:rsid w:val="001F282F"/>
    <w:rsid w:val="001F2863"/>
    <w:rsid w:val="001F443C"/>
    <w:rsid w:val="001F4D90"/>
    <w:rsid w:val="001F54E4"/>
    <w:rsid w:val="001F566C"/>
    <w:rsid w:val="002014DE"/>
    <w:rsid w:val="00202D6F"/>
    <w:rsid w:val="002044A3"/>
    <w:rsid w:val="00207EE9"/>
    <w:rsid w:val="00210359"/>
    <w:rsid w:val="00211704"/>
    <w:rsid w:val="00214FEC"/>
    <w:rsid w:val="00215574"/>
    <w:rsid w:val="00216D89"/>
    <w:rsid w:val="00217560"/>
    <w:rsid w:val="00220366"/>
    <w:rsid w:val="00221ED8"/>
    <w:rsid w:val="0022205E"/>
    <w:rsid w:val="002220F8"/>
    <w:rsid w:val="00222A89"/>
    <w:rsid w:val="00222EA3"/>
    <w:rsid w:val="002230B3"/>
    <w:rsid w:val="00223D3E"/>
    <w:rsid w:val="00223FDC"/>
    <w:rsid w:val="0022449D"/>
    <w:rsid w:val="00224511"/>
    <w:rsid w:val="00224972"/>
    <w:rsid w:val="0022498C"/>
    <w:rsid w:val="00225699"/>
    <w:rsid w:val="00225D84"/>
    <w:rsid w:val="00226060"/>
    <w:rsid w:val="002267FB"/>
    <w:rsid w:val="0022693B"/>
    <w:rsid w:val="00227239"/>
    <w:rsid w:val="002278F8"/>
    <w:rsid w:val="00227F6C"/>
    <w:rsid w:val="0023059B"/>
    <w:rsid w:val="00230D93"/>
    <w:rsid w:val="002311E0"/>
    <w:rsid w:val="00231DA5"/>
    <w:rsid w:val="00232BA8"/>
    <w:rsid w:val="00236357"/>
    <w:rsid w:val="002370C7"/>
    <w:rsid w:val="002411B4"/>
    <w:rsid w:val="00241DB0"/>
    <w:rsid w:val="002425CE"/>
    <w:rsid w:val="0024464F"/>
    <w:rsid w:val="002451A7"/>
    <w:rsid w:val="00245368"/>
    <w:rsid w:val="00246EB5"/>
    <w:rsid w:val="00246F1F"/>
    <w:rsid w:val="00247593"/>
    <w:rsid w:val="0024781F"/>
    <w:rsid w:val="00247D42"/>
    <w:rsid w:val="00247F44"/>
    <w:rsid w:val="00251949"/>
    <w:rsid w:val="00251BD4"/>
    <w:rsid w:val="00251CDB"/>
    <w:rsid w:val="00251DD5"/>
    <w:rsid w:val="002525EE"/>
    <w:rsid w:val="00252CE7"/>
    <w:rsid w:val="00252D31"/>
    <w:rsid w:val="00254AA6"/>
    <w:rsid w:val="00254ED8"/>
    <w:rsid w:val="00255F0A"/>
    <w:rsid w:val="00256034"/>
    <w:rsid w:val="00256E8B"/>
    <w:rsid w:val="0025711B"/>
    <w:rsid w:val="002578F7"/>
    <w:rsid w:val="00257CBC"/>
    <w:rsid w:val="0026156C"/>
    <w:rsid w:val="0026171A"/>
    <w:rsid w:val="00261825"/>
    <w:rsid w:val="00261E74"/>
    <w:rsid w:val="00262500"/>
    <w:rsid w:val="00263476"/>
    <w:rsid w:val="00263988"/>
    <w:rsid w:val="0026420B"/>
    <w:rsid w:val="00264ED8"/>
    <w:rsid w:val="00265213"/>
    <w:rsid w:val="00265A0F"/>
    <w:rsid w:val="00267BE3"/>
    <w:rsid w:val="00267D0B"/>
    <w:rsid w:val="00267F33"/>
    <w:rsid w:val="00270499"/>
    <w:rsid w:val="00270669"/>
    <w:rsid w:val="00270783"/>
    <w:rsid w:val="002708D0"/>
    <w:rsid w:val="00270EDA"/>
    <w:rsid w:val="00270FEE"/>
    <w:rsid w:val="0027129A"/>
    <w:rsid w:val="00272383"/>
    <w:rsid w:val="00273824"/>
    <w:rsid w:val="002742EF"/>
    <w:rsid w:val="00275259"/>
    <w:rsid w:val="00275828"/>
    <w:rsid w:val="00275A29"/>
    <w:rsid w:val="0027603A"/>
    <w:rsid w:val="00276163"/>
    <w:rsid w:val="00276DA1"/>
    <w:rsid w:val="00277729"/>
    <w:rsid w:val="00277C22"/>
    <w:rsid w:val="00281286"/>
    <w:rsid w:val="00283147"/>
    <w:rsid w:val="00286167"/>
    <w:rsid w:val="00287036"/>
    <w:rsid w:val="002878A7"/>
    <w:rsid w:val="00290102"/>
    <w:rsid w:val="002901A9"/>
    <w:rsid w:val="002909CB"/>
    <w:rsid w:val="00290C8B"/>
    <w:rsid w:val="00291117"/>
    <w:rsid w:val="00291708"/>
    <w:rsid w:val="00292BF9"/>
    <w:rsid w:val="00292E5D"/>
    <w:rsid w:val="002930D7"/>
    <w:rsid w:val="00293338"/>
    <w:rsid w:val="00293659"/>
    <w:rsid w:val="00293B24"/>
    <w:rsid w:val="0029401C"/>
    <w:rsid w:val="002948D5"/>
    <w:rsid w:val="00295E23"/>
    <w:rsid w:val="0029684F"/>
    <w:rsid w:val="00296EB4"/>
    <w:rsid w:val="002A0826"/>
    <w:rsid w:val="002A1BCD"/>
    <w:rsid w:val="002A2C4C"/>
    <w:rsid w:val="002A4B5A"/>
    <w:rsid w:val="002A6281"/>
    <w:rsid w:val="002A6545"/>
    <w:rsid w:val="002A669F"/>
    <w:rsid w:val="002A69D6"/>
    <w:rsid w:val="002A7490"/>
    <w:rsid w:val="002A76D8"/>
    <w:rsid w:val="002B00A6"/>
    <w:rsid w:val="002B02AE"/>
    <w:rsid w:val="002B0C24"/>
    <w:rsid w:val="002B2557"/>
    <w:rsid w:val="002B2A43"/>
    <w:rsid w:val="002B3FC9"/>
    <w:rsid w:val="002B446D"/>
    <w:rsid w:val="002B4B81"/>
    <w:rsid w:val="002B4CD8"/>
    <w:rsid w:val="002B57C8"/>
    <w:rsid w:val="002B5CE3"/>
    <w:rsid w:val="002B5FEC"/>
    <w:rsid w:val="002B679C"/>
    <w:rsid w:val="002B6BE7"/>
    <w:rsid w:val="002B737F"/>
    <w:rsid w:val="002B7BEF"/>
    <w:rsid w:val="002C02DC"/>
    <w:rsid w:val="002C1416"/>
    <w:rsid w:val="002C1493"/>
    <w:rsid w:val="002C192F"/>
    <w:rsid w:val="002C1D18"/>
    <w:rsid w:val="002C32BB"/>
    <w:rsid w:val="002C3C53"/>
    <w:rsid w:val="002C4538"/>
    <w:rsid w:val="002C4CE9"/>
    <w:rsid w:val="002C502C"/>
    <w:rsid w:val="002C5072"/>
    <w:rsid w:val="002C5409"/>
    <w:rsid w:val="002C61E6"/>
    <w:rsid w:val="002C751B"/>
    <w:rsid w:val="002C7A49"/>
    <w:rsid w:val="002C7B62"/>
    <w:rsid w:val="002D0AE2"/>
    <w:rsid w:val="002D5878"/>
    <w:rsid w:val="002E00CE"/>
    <w:rsid w:val="002E05B0"/>
    <w:rsid w:val="002E395A"/>
    <w:rsid w:val="002E58A2"/>
    <w:rsid w:val="002F0250"/>
    <w:rsid w:val="002F04CC"/>
    <w:rsid w:val="002F0893"/>
    <w:rsid w:val="002F0941"/>
    <w:rsid w:val="002F0C4B"/>
    <w:rsid w:val="002F15CE"/>
    <w:rsid w:val="002F1659"/>
    <w:rsid w:val="002F16FC"/>
    <w:rsid w:val="002F2162"/>
    <w:rsid w:val="002F496E"/>
    <w:rsid w:val="002F56B3"/>
    <w:rsid w:val="002F5983"/>
    <w:rsid w:val="002F642B"/>
    <w:rsid w:val="002F6541"/>
    <w:rsid w:val="002F661F"/>
    <w:rsid w:val="002F79C4"/>
    <w:rsid w:val="00300A51"/>
    <w:rsid w:val="003012B1"/>
    <w:rsid w:val="00301F0F"/>
    <w:rsid w:val="00303513"/>
    <w:rsid w:val="00303EC2"/>
    <w:rsid w:val="00304505"/>
    <w:rsid w:val="00304899"/>
    <w:rsid w:val="003055E3"/>
    <w:rsid w:val="00305A2B"/>
    <w:rsid w:val="0030664A"/>
    <w:rsid w:val="00307C22"/>
    <w:rsid w:val="00310D2B"/>
    <w:rsid w:val="0031157D"/>
    <w:rsid w:val="0031271A"/>
    <w:rsid w:val="00312CD8"/>
    <w:rsid w:val="00313190"/>
    <w:rsid w:val="00313426"/>
    <w:rsid w:val="00313DCE"/>
    <w:rsid w:val="00314130"/>
    <w:rsid w:val="00314282"/>
    <w:rsid w:val="003142A1"/>
    <w:rsid w:val="003144DA"/>
    <w:rsid w:val="00314971"/>
    <w:rsid w:val="00315771"/>
    <w:rsid w:val="00315D0E"/>
    <w:rsid w:val="003160FB"/>
    <w:rsid w:val="003161ED"/>
    <w:rsid w:val="003161F2"/>
    <w:rsid w:val="003166CF"/>
    <w:rsid w:val="00317F1F"/>
    <w:rsid w:val="0032099D"/>
    <w:rsid w:val="00321048"/>
    <w:rsid w:val="00321A31"/>
    <w:rsid w:val="00321A40"/>
    <w:rsid w:val="003223B5"/>
    <w:rsid w:val="00322816"/>
    <w:rsid w:val="00322847"/>
    <w:rsid w:val="00322FE4"/>
    <w:rsid w:val="003234E2"/>
    <w:rsid w:val="00324722"/>
    <w:rsid w:val="0032557C"/>
    <w:rsid w:val="00325C6F"/>
    <w:rsid w:val="00326100"/>
    <w:rsid w:val="0032652C"/>
    <w:rsid w:val="00326885"/>
    <w:rsid w:val="003268D1"/>
    <w:rsid w:val="00327659"/>
    <w:rsid w:val="00327712"/>
    <w:rsid w:val="00327F30"/>
    <w:rsid w:val="00330FC0"/>
    <w:rsid w:val="00331EFD"/>
    <w:rsid w:val="003328D1"/>
    <w:rsid w:val="00332BD1"/>
    <w:rsid w:val="0033332F"/>
    <w:rsid w:val="00334344"/>
    <w:rsid w:val="00334A1F"/>
    <w:rsid w:val="00337E05"/>
    <w:rsid w:val="0034047B"/>
    <w:rsid w:val="00340CB5"/>
    <w:rsid w:val="0034372E"/>
    <w:rsid w:val="00343FD9"/>
    <w:rsid w:val="00344076"/>
    <w:rsid w:val="003440F3"/>
    <w:rsid w:val="003443C4"/>
    <w:rsid w:val="00344408"/>
    <w:rsid w:val="0034445E"/>
    <w:rsid w:val="003465C9"/>
    <w:rsid w:val="00346E0B"/>
    <w:rsid w:val="00347473"/>
    <w:rsid w:val="00347E74"/>
    <w:rsid w:val="00350008"/>
    <w:rsid w:val="00350362"/>
    <w:rsid w:val="0035056F"/>
    <w:rsid w:val="00350964"/>
    <w:rsid w:val="00350FD5"/>
    <w:rsid w:val="00352CC7"/>
    <w:rsid w:val="00352CDE"/>
    <w:rsid w:val="00352D57"/>
    <w:rsid w:val="00353CAF"/>
    <w:rsid w:val="00355130"/>
    <w:rsid w:val="003558D8"/>
    <w:rsid w:val="00355A20"/>
    <w:rsid w:val="00355A80"/>
    <w:rsid w:val="00356110"/>
    <w:rsid w:val="003568D2"/>
    <w:rsid w:val="003602A2"/>
    <w:rsid w:val="00360BBC"/>
    <w:rsid w:val="003624D3"/>
    <w:rsid w:val="00362F91"/>
    <w:rsid w:val="00363DF5"/>
    <w:rsid w:val="00364B12"/>
    <w:rsid w:val="00364B9A"/>
    <w:rsid w:val="003661CD"/>
    <w:rsid w:val="0036666C"/>
    <w:rsid w:val="00366B92"/>
    <w:rsid w:val="00370395"/>
    <w:rsid w:val="0037085D"/>
    <w:rsid w:val="00370E18"/>
    <w:rsid w:val="003713C4"/>
    <w:rsid w:val="00371400"/>
    <w:rsid w:val="0037233B"/>
    <w:rsid w:val="00372BB6"/>
    <w:rsid w:val="00372C38"/>
    <w:rsid w:val="00373396"/>
    <w:rsid w:val="00373BBD"/>
    <w:rsid w:val="00373BFD"/>
    <w:rsid w:val="00375416"/>
    <w:rsid w:val="00376765"/>
    <w:rsid w:val="00376FB2"/>
    <w:rsid w:val="003803B5"/>
    <w:rsid w:val="003804AF"/>
    <w:rsid w:val="003809D8"/>
    <w:rsid w:val="00380CD6"/>
    <w:rsid w:val="00381DB9"/>
    <w:rsid w:val="00381E96"/>
    <w:rsid w:val="003823C2"/>
    <w:rsid w:val="003828DF"/>
    <w:rsid w:val="003840A4"/>
    <w:rsid w:val="003845FA"/>
    <w:rsid w:val="0038562D"/>
    <w:rsid w:val="003863F1"/>
    <w:rsid w:val="0038763C"/>
    <w:rsid w:val="003904E6"/>
    <w:rsid w:val="00390E3E"/>
    <w:rsid w:val="00391C1D"/>
    <w:rsid w:val="00391E24"/>
    <w:rsid w:val="00391EE2"/>
    <w:rsid w:val="00391FF0"/>
    <w:rsid w:val="0039356D"/>
    <w:rsid w:val="00393A9B"/>
    <w:rsid w:val="003950AB"/>
    <w:rsid w:val="00395997"/>
    <w:rsid w:val="00395C23"/>
    <w:rsid w:val="00395DC8"/>
    <w:rsid w:val="00395FEB"/>
    <w:rsid w:val="003965AF"/>
    <w:rsid w:val="003968F2"/>
    <w:rsid w:val="00396F50"/>
    <w:rsid w:val="003979A4"/>
    <w:rsid w:val="003A1B12"/>
    <w:rsid w:val="003A30C2"/>
    <w:rsid w:val="003A3D68"/>
    <w:rsid w:val="003A3E71"/>
    <w:rsid w:val="003A50F4"/>
    <w:rsid w:val="003A64B5"/>
    <w:rsid w:val="003A76B8"/>
    <w:rsid w:val="003A7A7F"/>
    <w:rsid w:val="003A7D24"/>
    <w:rsid w:val="003A7D55"/>
    <w:rsid w:val="003B0ADC"/>
    <w:rsid w:val="003B0DA2"/>
    <w:rsid w:val="003B1357"/>
    <w:rsid w:val="003B29FF"/>
    <w:rsid w:val="003B33AD"/>
    <w:rsid w:val="003B484B"/>
    <w:rsid w:val="003B4916"/>
    <w:rsid w:val="003B6C88"/>
    <w:rsid w:val="003B741D"/>
    <w:rsid w:val="003B7820"/>
    <w:rsid w:val="003B7CEC"/>
    <w:rsid w:val="003C023D"/>
    <w:rsid w:val="003C04AA"/>
    <w:rsid w:val="003C0CBC"/>
    <w:rsid w:val="003C1A6A"/>
    <w:rsid w:val="003C33DE"/>
    <w:rsid w:val="003C5DCD"/>
    <w:rsid w:val="003C6A17"/>
    <w:rsid w:val="003C6D14"/>
    <w:rsid w:val="003C7061"/>
    <w:rsid w:val="003C755F"/>
    <w:rsid w:val="003C7EF6"/>
    <w:rsid w:val="003D10D9"/>
    <w:rsid w:val="003D147A"/>
    <w:rsid w:val="003D1899"/>
    <w:rsid w:val="003D1FB6"/>
    <w:rsid w:val="003D4BB0"/>
    <w:rsid w:val="003D57EB"/>
    <w:rsid w:val="003D6CAC"/>
    <w:rsid w:val="003DFA55"/>
    <w:rsid w:val="003E1659"/>
    <w:rsid w:val="003E1800"/>
    <w:rsid w:val="003E1983"/>
    <w:rsid w:val="003E1FF3"/>
    <w:rsid w:val="003E2C43"/>
    <w:rsid w:val="003E46DA"/>
    <w:rsid w:val="003E4E83"/>
    <w:rsid w:val="003E5117"/>
    <w:rsid w:val="003E5200"/>
    <w:rsid w:val="003E523E"/>
    <w:rsid w:val="003E5565"/>
    <w:rsid w:val="003E5D1A"/>
    <w:rsid w:val="003E5D95"/>
    <w:rsid w:val="003E6F68"/>
    <w:rsid w:val="003E78FA"/>
    <w:rsid w:val="003E7B5D"/>
    <w:rsid w:val="003ECE49"/>
    <w:rsid w:val="003F0D00"/>
    <w:rsid w:val="003F2AE4"/>
    <w:rsid w:val="003F2DEB"/>
    <w:rsid w:val="003F3964"/>
    <w:rsid w:val="003F4011"/>
    <w:rsid w:val="003F4119"/>
    <w:rsid w:val="003F48AF"/>
    <w:rsid w:val="003F5CDE"/>
    <w:rsid w:val="003F601E"/>
    <w:rsid w:val="003F6B6D"/>
    <w:rsid w:val="003F77F0"/>
    <w:rsid w:val="004005B4"/>
    <w:rsid w:val="004013CC"/>
    <w:rsid w:val="004015BC"/>
    <w:rsid w:val="00401747"/>
    <w:rsid w:val="00401972"/>
    <w:rsid w:val="004019D9"/>
    <w:rsid w:val="00404931"/>
    <w:rsid w:val="00404B6F"/>
    <w:rsid w:val="00404EE2"/>
    <w:rsid w:val="004065CA"/>
    <w:rsid w:val="00406E4D"/>
    <w:rsid w:val="00410B2E"/>
    <w:rsid w:val="00411AD0"/>
    <w:rsid w:val="00412D90"/>
    <w:rsid w:val="00412FEC"/>
    <w:rsid w:val="0041368A"/>
    <w:rsid w:val="0041494B"/>
    <w:rsid w:val="004155CB"/>
    <w:rsid w:val="004158FD"/>
    <w:rsid w:val="00416286"/>
    <w:rsid w:val="00416B20"/>
    <w:rsid w:val="004171D0"/>
    <w:rsid w:val="0041780D"/>
    <w:rsid w:val="004209FB"/>
    <w:rsid w:val="00420E1C"/>
    <w:rsid w:val="00421206"/>
    <w:rsid w:val="0042137F"/>
    <w:rsid w:val="004218DF"/>
    <w:rsid w:val="0042210D"/>
    <w:rsid w:val="004223A6"/>
    <w:rsid w:val="004233EA"/>
    <w:rsid w:val="004236CD"/>
    <w:rsid w:val="004236F8"/>
    <w:rsid w:val="00423ABD"/>
    <w:rsid w:val="00423F6C"/>
    <w:rsid w:val="00424F06"/>
    <w:rsid w:val="00425FCA"/>
    <w:rsid w:val="004273EB"/>
    <w:rsid w:val="0042AB1D"/>
    <w:rsid w:val="00431EFE"/>
    <w:rsid w:val="00432521"/>
    <w:rsid w:val="004326D4"/>
    <w:rsid w:val="00432D24"/>
    <w:rsid w:val="004333D2"/>
    <w:rsid w:val="00433CFD"/>
    <w:rsid w:val="00433E6B"/>
    <w:rsid w:val="00434AA0"/>
    <w:rsid w:val="0043508D"/>
    <w:rsid w:val="00436722"/>
    <w:rsid w:val="00436F53"/>
    <w:rsid w:val="004400F6"/>
    <w:rsid w:val="00440282"/>
    <w:rsid w:val="00441DE2"/>
    <w:rsid w:val="0044249F"/>
    <w:rsid w:val="00443036"/>
    <w:rsid w:val="00443766"/>
    <w:rsid w:val="00444868"/>
    <w:rsid w:val="00446E02"/>
    <w:rsid w:val="00447D84"/>
    <w:rsid w:val="00450423"/>
    <w:rsid w:val="00450707"/>
    <w:rsid w:val="00450CD7"/>
    <w:rsid w:val="00451F72"/>
    <w:rsid w:val="0045268E"/>
    <w:rsid w:val="00452C6F"/>
    <w:rsid w:val="0045440C"/>
    <w:rsid w:val="0045599B"/>
    <w:rsid w:val="00457B63"/>
    <w:rsid w:val="00460B13"/>
    <w:rsid w:val="00460E75"/>
    <w:rsid w:val="00463941"/>
    <w:rsid w:val="00463E26"/>
    <w:rsid w:val="00464718"/>
    <w:rsid w:val="00464B14"/>
    <w:rsid w:val="00464C33"/>
    <w:rsid w:val="0046529D"/>
    <w:rsid w:val="004656C8"/>
    <w:rsid w:val="00465D5E"/>
    <w:rsid w:val="00466B4E"/>
    <w:rsid w:val="00467C24"/>
    <w:rsid w:val="0046DA0A"/>
    <w:rsid w:val="00470176"/>
    <w:rsid w:val="00471289"/>
    <w:rsid w:val="0047150D"/>
    <w:rsid w:val="004743CE"/>
    <w:rsid w:val="0047573F"/>
    <w:rsid w:val="004759BF"/>
    <w:rsid w:val="00476469"/>
    <w:rsid w:val="004764F3"/>
    <w:rsid w:val="00476568"/>
    <w:rsid w:val="00476B4F"/>
    <w:rsid w:val="00476CF5"/>
    <w:rsid w:val="00477949"/>
    <w:rsid w:val="00477E7F"/>
    <w:rsid w:val="004803DF"/>
    <w:rsid w:val="00480942"/>
    <w:rsid w:val="00482D4F"/>
    <w:rsid w:val="00483399"/>
    <w:rsid w:val="00483750"/>
    <w:rsid w:val="00483939"/>
    <w:rsid w:val="00484709"/>
    <w:rsid w:val="004852D0"/>
    <w:rsid w:val="00486A16"/>
    <w:rsid w:val="00487139"/>
    <w:rsid w:val="004876B5"/>
    <w:rsid w:val="00487ADB"/>
    <w:rsid w:val="00491975"/>
    <w:rsid w:val="00491BE5"/>
    <w:rsid w:val="00491EBA"/>
    <w:rsid w:val="00492561"/>
    <w:rsid w:val="00493A5F"/>
    <w:rsid w:val="00495373"/>
    <w:rsid w:val="0049602C"/>
    <w:rsid w:val="0049694C"/>
    <w:rsid w:val="0049BA81"/>
    <w:rsid w:val="004A047E"/>
    <w:rsid w:val="004A0D5B"/>
    <w:rsid w:val="004A0F3E"/>
    <w:rsid w:val="004A13F9"/>
    <w:rsid w:val="004A153B"/>
    <w:rsid w:val="004A2898"/>
    <w:rsid w:val="004A33CA"/>
    <w:rsid w:val="004A34AF"/>
    <w:rsid w:val="004A36FA"/>
    <w:rsid w:val="004A38DF"/>
    <w:rsid w:val="004A40E8"/>
    <w:rsid w:val="004A566D"/>
    <w:rsid w:val="004A5B99"/>
    <w:rsid w:val="004A5CED"/>
    <w:rsid w:val="004A653E"/>
    <w:rsid w:val="004A65E5"/>
    <w:rsid w:val="004A6B39"/>
    <w:rsid w:val="004A6C27"/>
    <w:rsid w:val="004A7384"/>
    <w:rsid w:val="004B2668"/>
    <w:rsid w:val="004B27CA"/>
    <w:rsid w:val="004B2A63"/>
    <w:rsid w:val="004B2E90"/>
    <w:rsid w:val="004B3477"/>
    <w:rsid w:val="004B40C6"/>
    <w:rsid w:val="004B567E"/>
    <w:rsid w:val="004B7A80"/>
    <w:rsid w:val="004C0BF6"/>
    <w:rsid w:val="004C114E"/>
    <w:rsid w:val="004C16DB"/>
    <w:rsid w:val="004C1D4C"/>
    <w:rsid w:val="004C1FCB"/>
    <w:rsid w:val="004C20B5"/>
    <w:rsid w:val="004C2734"/>
    <w:rsid w:val="004C2F67"/>
    <w:rsid w:val="004C32FA"/>
    <w:rsid w:val="004C331A"/>
    <w:rsid w:val="004C5E8D"/>
    <w:rsid w:val="004C5FE1"/>
    <w:rsid w:val="004C6470"/>
    <w:rsid w:val="004C658B"/>
    <w:rsid w:val="004C6CED"/>
    <w:rsid w:val="004C6F1F"/>
    <w:rsid w:val="004C7FEB"/>
    <w:rsid w:val="004D0844"/>
    <w:rsid w:val="004D19AB"/>
    <w:rsid w:val="004D1D3F"/>
    <w:rsid w:val="004D211C"/>
    <w:rsid w:val="004D2475"/>
    <w:rsid w:val="004D2948"/>
    <w:rsid w:val="004D32D3"/>
    <w:rsid w:val="004D368F"/>
    <w:rsid w:val="004D4105"/>
    <w:rsid w:val="004D50A7"/>
    <w:rsid w:val="004D651E"/>
    <w:rsid w:val="004D74B8"/>
    <w:rsid w:val="004D7DE2"/>
    <w:rsid w:val="004E313D"/>
    <w:rsid w:val="004E3824"/>
    <w:rsid w:val="004E459F"/>
    <w:rsid w:val="004E50B2"/>
    <w:rsid w:val="004E59DC"/>
    <w:rsid w:val="004E5E54"/>
    <w:rsid w:val="004E6119"/>
    <w:rsid w:val="004E6400"/>
    <w:rsid w:val="004E6F68"/>
    <w:rsid w:val="004E723E"/>
    <w:rsid w:val="004F0543"/>
    <w:rsid w:val="004F05DB"/>
    <w:rsid w:val="004F1F7A"/>
    <w:rsid w:val="004F33DD"/>
    <w:rsid w:val="004F3793"/>
    <w:rsid w:val="004F3CC3"/>
    <w:rsid w:val="004F4133"/>
    <w:rsid w:val="004F48F1"/>
    <w:rsid w:val="004F6856"/>
    <w:rsid w:val="004F6933"/>
    <w:rsid w:val="004F730A"/>
    <w:rsid w:val="005009FF"/>
    <w:rsid w:val="00500C74"/>
    <w:rsid w:val="00501C6C"/>
    <w:rsid w:val="00502A41"/>
    <w:rsid w:val="00502DD5"/>
    <w:rsid w:val="00502E4D"/>
    <w:rsid w:val="00503041"/>
    <w:rsid w:val="005058F5"/>
    <w:rsid w:val="00505C0B"/>
    <w:rsid w:val="00507394"/>
    <w:rsid w:val="00507D99"/>
    <w:rsid w:val="005104F0"/>
    <w:rsid w:val="00510AF7"/>
    <w:rsid w:val="00510DCF"/>
    <w:rsid w:val="00511110"/>
    <w:rsid w:val="00511A98"/>
    <w:rsid w:val="00512C12"/>
    <w:rsid w:val="00520EE2"/>
    <w:rsid w:val="0052161C"/>
    <w:rsid w:val="0052162E"/>
    <w:rsid w:val="00522ADC"/>
    <w:rsid w:val="00522D3D"/>
    <w:rsid w:val="00522DD1"/>
    <w:rsid w:val="00523437"/>
    <w:rsid w:val="005236EF"/>
    <w:rsid w:val="005245C1"/>
    <w:rsid w:val="00525164"/>
    <w:rsid w:val="0052622F"/>
    <w:rsid w:val="00526D95"/>
    <w:rsid w:val="00527F0D"/>
    <w:rsid w:val="0053063E"/>
    <w:rsid w:val="00530D24"/>
    <w:rsid w:val="005311F9"/>
    <w:rsid w:val="00531FDF"/>
    <w:rsid w:val="00532129"/>
    <w:rsid w:val="00532DC7"/>
    <w:rsid w:val="005332CF"/>
    <w:rsid w:val="00533E78"/>
    <w:rsid w:val="005343BC"/>
    <w:rsid w:val="00534C60"/>
    <w:rsid w:val="00535052"/>
    <w:rsid w:val="0053644B"/>
    <w:rsid w:val="00537406"/>
    <w:rsid w:val="00537B18"/>
    <w:rsid w:val="00537F37"/>
    <w:rsid w:val="00540E45"/>
    <w:rsid w:val="0054258C"/>
    <w:rsid w:val="0054308E"/>
    <w:rsid w:val="00544397"/>
    <w:rsid w:val="005443B0"/>
    <w:rsid w:val="00544AD5"/>
    <w:rsid w:val="00545855"/>
    <w:rsid w:val="00546451"/>
    <w:rsid w:val="00547766"/>
    <w:rsid w:val="00547E8D"/>
    <w:rsid w:val="0055199B"/>
    <w:rsid w:val="00551D66"/>
    <w:rsid w:val="00552421"/>
    <w:rsid w:val="00552514"/>
    <w:rsid w:val="005532F1"/>
    <w:rsid w:val="00553ACA"/>
    <w:rsid w:val="005541A9"/>
    <w:rsid w:val="005561C9"/>
    <w:rsid w:val="005577B6"/>
    <w:rsid w:val="00560F0E"/>
    <w:rsid w:val="00561021"/>
    <w:rsid w:val="00561126"/>
    <w:rsid w:val="0056152F"/>
    <w:rsid w:val="005636BA"/>
    <w:rsid w:val="00564093"/>
    <w:rsid w:val="0056428B"/>
    <w:rsid w:val="00566596"/>
    <w:rsid w:val="005670F6"/>
    <w:rsid w:val="00570869"/>
    <w:rsid w:val="0057170C"/>
    <w:rsid w:val="005717D5"/>
    <w:rsid w:val="005723F7"/>
    <w:rsid w:val="005724F2"/>
    <w:rsid w:val="0057273D"/>
    <w:rsid w:val="00572DA1"/>
    <w:rsid w:val="0057374C"/>
    <w:rsid w:val="00573D0B"/>
    <w:rsid w:val="0057492C"/>
    <w:rsid w:val="00574DFD"/>
    <w:rsid w:val="00575454"/>
    <w:rsid w:val="00575D33"/>
    <w:rsid w:val="005764B2"/>
    <w:rsid w:val="0057A0FC"/>
    <w:rsid w:val="00580092"/>
    <w:rsid w:val="005806F4"/>
    <w:rsid w:val="00581823"/>
    <w:rsid w:val="00581FC9"/>
    <w:rsid w:val="005832BD"/>
    <w:rsid w:val="00584971"/>
    <w:rsid w:val="00585014"/>
    <w:rsid w:val="00585935"/>
    <w:rsid w:val="005869B8"/>
    <w:rsid w:val="00587A29"/>
    <w:rsid w:val="00590B4A"/>
    <w:rsid w:val="00590CCF"/>
    <w:rsid w:val="00590D22"/>
    <w:rsid w:val="00591264"/>
    <w:rsid w:val="00591A9E"/>
    <w:rsid w:val="00592184"/>
    <w:rsid w:val="00593161"/>
    <w:rsid w:val="00593576"/>
    <w:rsid w:val="00594412"/>
    <w:rsid w:val="00594469"/>
    <w:rsid w:val="005945E8"/>
    <w:rsid w:val="00595046"/>
    <w:rsid w:val="00596A4D"/>
    <w:rsid w:val="00597650"/>
    <w:rsid w:val="005976A2"/>
    <w:rsid w:val="005A129C"/>
    <w:rsid w:val="005A12FD"/>
    <w:rsid w:val="005A1CF7"/>
    <w:rsid w:val="005A206C"/>
    <w:rsid w:val="005A2138"/>
    <w:rsid w:val="005A213B"/>
    <w:rsid w:val="005A3D92"/>
    <w:rsid w:val="005A4298"/>
    <w:rsid w:val="005A460D"/>
    <w:rsid w:val="005A4F13"/>
    <w:rsid w:val="005A5531"/>
    <w:rsid w:val="005A567A"/>
    <w:rsid w:val="005A5D9C"/>
    <w:rsid w:val="005A6FDC"/>
    <w:rsid w:val="005A7DB3"/>
    <w:rsid w:val="005B0479"/>
    <w:rsid w:val="005B1489"/>
    <w:rsid w:val="005B1D95"/>
    <w:rsid w:val="005B2032"/>
    <w:rsid w:val="005B3E88"/>
    <w:rsid w:val="005B3FF1"/>
    <w:rsid w:val="005B45F8"/>
    <w:rsid w:val="005B514A"/>
    <w:rsid w:val="005B542D"/>
    <w:rsid w:val="005B5626"/>
    <w:rsid w:val="005B694C"/>
    <w:rsid w:val="005B6BD6"/>
    <w:rsid w:val="005B6E4B"/>
    <w:rsid w:val="005B76C6"/>
    <w:rsid w:val="005C0751"/>
    <w:rsid w:val="005C0FF3"/>
    <w:rsid w:val="005C1BB1"/>
    <w:rsid w:val="005C34DB"/>
    <w:rsid w:val="005C45F6"/>
    <w:rsid w:val="005C4E17"/>
    <w:rsid w:val="005C5A66"/>
    <w:rsid w:val="005C5E42"/>
    <w:rsid w:val="005C68A5"/>
    <w:rsid w:val="005C719E"/>
    <w:rsid w:val="005C73D1"/>
    <w:rsid w:val="005C7574"/>
    <w:rsid w:val="005C7645"/>
    <w:rsid w:val="005D106D"/>
    <w:rsid w:val="005D1E95"/>
    <w:rsid w:val="005D1F5C"/>
    <w:rsid w:val="005D34AC"/>
    <w:rsid w:val="005D358C"/>
    <w:rsid w:val="005D37BA"/>
    <w:rsid w:val="005D38BD"/>
    <w:rsid w:val="005D3942"/>
    <w:rsid w:val="005D3AC5"/>
    <w:rsid w:val="005D519D"/>
    <w:rsid w:val="005D5EAE"/>
    <w:rsid w:val="005D6060"/>
    <w:rsid w:val="005E09F5"/>
    <w:rsid w:val="005E12C1"/>
    <w:rsid w:val="005E1B70"/>
    <w:rsid w:val="005E20AE"/>
    <w:rsid w:val="005E5025"/>
    <w:rsid w:val="005E5311"/>
    <w:rsid w:val="005E5937"/>
    <w:rsid w:val="005E65D2"/>
    <w:rsid w:val="005E770D"/>
    <w:rsid w:val="005F0D4D"/>
    <w:rsid w:val="005F351F"/>
    <w:rsid w:val="005F3797"/>
    <w:rsid w:val="005F39FA"/>
    <w:rsid w:val="005F3D94"/>
    <w:rsid w:val="005F4033"/>
    <w:rsid w:val="005F590D"/>
    <w:rsid w:val="005F6C21"/>
    <w:rsid w:val="005F6C55"/>
    <w:rsid w:val="005F7236"/>
    <w:rsid w:val="005F741D"/>
    <w:rsid w:val="00600A37"/>
    <w:rsid w:val="00601305"/>
    <w:rsid w:val="00602225"/>
    <w:rsid w:val="00602322"/>
    <w:rsid w:val="00602C63"/>
    <w:rsid w:val="00603DBE"/>
    <w:rsid w:val="0060418C"/>
    <w:rsid w:val="006053DE"/>
    <w:rsid w:val="006056AF"/>
    <w:rsid w:val="0060A96B"/>
    <w:rsid w:val="0061134F"/>
    <w:rsid w:val="00612219"/>
    <w:rsid w:val="00612821"/>
    <w:rsid w:val="00613501"/>
    <w:rsid w:val="006139A5"/>
    <w:rsid w:val="00614033"/>
    <w:rsid w:val="00615D03"/>
    <w:rsid w:val="00616685"/>
    <w:rsid w:val="00616E20"/>
    <w:rsid w:val="00616FE3"/>
    <w:rsid w:val="006228B0"/>
    <w:rsid w:val="00623468"/>
    <w:rsid w:val="0062353E"/>
    <w:rsid w:val="0062359F"/>
    <w:rsid w:val="0062507A"/>
    <w:rsid w:val="00625C09"/>
    <w:rsid w:val="00625EA1"/>
    <w:rsid w:val="00626094"/>
    <w:rsid w:val="00626D52"/>
    <w:rsid w:val="00626DE1"/>
    <w:rsid w:val="00627071"/>
    <w:rsid w:val="00627CC8"/>
    <w:rsid w:val="00631285"/>
    <w:rsid w:val="0063506C"/>
    <w:rsid w:val="006350BB"/>
    <w:rsid w:val="00635D25"/>
    <w:rsid w:val="00637AB4"/>
    <w:rsid w:val="00640009"/>
    <w:rsid w:val="00640041"/>
    <w:rsid w:val="0064090C"/>
    <w:rsid w:val="006414E6"/>
    <w:rsid w:val="006436E5"/>
    <w:rsid w:val="006453C4"/>
    <w:rsid w:val="00646DEB"/>
    <w:rsid w:val="006478A6"/>
    <w:rsid w:val="00647D6F"/>
    <w:rsid w:val="006508EE"/>
    <w:rsid w:val="00651642"/>
    <w:rsid w:val="006519AC"/>
    <w:rsid w:val="00651B51"/>
    <w:rsid w:val="00652CD1"/>
    <w:rsid w:val="00653532"/>
    <w:rsid w:val="00653D59"/>
    <w:rsid w:val="0065452A"/>
    <w:rsid w:val="006569E5"/>
    <w:rsid w:val="00657035"/>
    <w:rsid w:val="00660D91"/>
    <w:rsid w:val="006619A8"/>
    <w:rsid w:val="00661CD7"/>
    <w:rsid w:val="006620BC"/>
    <w:rsid w:val="00662EFA"/>
    <w:rsid w:val="00663341"/>
    <w:rsid w:val="00663848"/>
    <w:rsid w:val="00663B7A"/>
    <w:rsid w:val="0066457F"/>
    <w:rsid w:val="006649B1"/>
    <w:rsid w:val="00665212"/>
    <w:rsid w:val="00666300"/>
    <w:rsid w:val="00671EF4"/>
    <w:rsid w:val="00672205"/>
    <w:rsid w:val="006722CC"/>
    <w:rsid w:val="00673264"/>
    <w:rsid w:val="00673B17"/>
    <w:rsid w:val="00675A3F"/>
    <w:rsid w:val="0067758A"/>
    <w:rsid w:val="006803B6"/>
    <w:rsid w:val="00680836"/>
    <w:rsid w:val="00680879"/>
    <w:rsid w:val="00681771"/>
    <w:rsid w:val="00681D41"/>
    <w:rsid w:val="00682043"/>
    <w:rsid w:val="00685538"/>
    <w:rsid w:val="006857D0"/>
    <w:rsid w:val="006870B7"/>
    <w:rsid w:val="00687670"/>
    <w:rsid w:val="00690096"/>
    <w:rsid w:val="00691CC7"/>
    <w:rsid w:val="00692F5A"/>
    <w:rsid w:val="006933A7"/>
    <w:rsid w:val="00693F75"/>
    <w:rsid w:val="00694106"/>
    <w:rsid w:val="00694144"/>
    <w:rsid w:val="00694658"/>
    <w:rsid w:val="0069482F"/>
    <w:rsid w:val="006954A3"/>
    <w:rsid w:val="006960C4"/>
    <w:rsid w:val="00696C91"/>
    <w:rsid w:val="00697240"/>
    <w:rsid w:val="00697FF7"/>
    <w:rsid w:val="006A0B31"/>
    <w:rsid w:val="006A125D"/>
    <w:rsid w:val="006A17C3"/>
    <w:rsid w:val="006A1A65"/>
    <w:rsid w:val="006A1EA4"/>
    <w:rsid w:val="006A384C"/>
    <w:rsid w:val="006A3E0A"/>
    <w:rsid w:val="006A3E81"/>
    <w:rsid w:val="006A405A"/>
    <w:rsid w:val="006A4A09"/>
    <w:rsid w:val="006A56A7"/>
    <w:rsid w:val="006A6286"/>
    <w:rsid w:val="006A6656"/>
    <w:rsid w:val="006A685D"/>
    <w:rsid w:val="006A6A70"/>
    <w:rsid w:val="006A7A88"/>
    <w:rsid w:val="006A7AEC"/>
    <w:rsid w:val="006B1EFF"/>
    <w:rsid w:val="006B1FA1"/>
    <w:rsid w:val="006B29FF"/>
    <w:rsid w:val="006B3862"/>
    <w:rsid w:val="006B4063"/>
    <w:rsid w:val="006B48D9"/>
    <w:rsid w:val="006B693D"/>
    <w:rsid w:val="006B6E45"/>
    <w:rsid w:val="006B7880"/>
    <w:rsid w:val="006B7B68"/>
    <w:rsid w:val="006B7D58"/>
    <w:rsid w:val="006BAB99"/>
    <w:rsid w:val="006C0BDC"/>
    <w:rsid w:val="006C0FD5"/>
    <w:rsid w:val="006C2F7E"/>
    <w:rsid w:val="006C32BC"/>
    <w:rsid w:val="006C351B"/>
    <w:rsid w:val="006C44E4"/>
    <w:rsid w:val="006C49D5"/>
    <w:rsid w:val="006C4E19"/>
    <w:rsid w:val="006D1AE2"/>
    <w:rsid w:val="006D2A9E"/>
    <w:rsid w:val="006D2F3F"/>
    <w:rsid w:val="006D337D"/>
    <w:rsid w:val="006D36DE"/>
    <w:rsid w:val="006D5387"/>
    <w:rsid w:val="006D6333"/>
    <w:rsid w:val="006D6CA2"/>
    <w:rsid w:val="006E05E8"/>
    <w:rsid w:val="006E0FE5"/>
    <w:rsid w:val="006E14D2"/>
    <w:rsid w:val="006E170D"/>
    <w:rsid w:val="006E1B4F"/>
    <w:rsid w:val="006E308A"/>
    <w:rsid w:val="006E30EC"/>
    <w:rsid w:val="006E33ED"/>
    <w:rsid w:val="006E35CC"/>
    <w:rsid w:val="006E36D3"/>
    <w:rsid w:val="006E38D8"/>
    <w:rsid w:val="006E44FE"/>
    <w:rsid w:val="006E4700"/>
    <w:rsid w:val="006E4CFC"/>
    <w:rsid w:val="006E4FCD"/>
    <w:rsid w:val="006E56B5"/>
    <w:rsid w:val="006E6829"/>
    <w:rsid w:val="006E6C82"/>
    <w:rsid w:val="006E72F8"/>
    <w:rsid w:val="006E76CC"/>
    <w:rsid w:val="006EA3B7"/>
    <w:rsid w:val="006F0140"/>
    <w:rsid w:val="006F0795"/>
    <w:rsid w:val="006F0AA2"/>
    <w:rsid w:val="006F3E87"/>
    <w:rsid w:val="006F3EFF"/>
    <w:rsid w:val="006F4041"/>
    <w:rsid w:val="006F4CFA"/>
    <w:rsid w:val="006F66E9"/>
    <w:rsid w:val="006F787A"/>
    <w:rsid w:val="007008EF"/>
    <w:rsid w:val="00700BB9"/>
    <w:rsid w:val="0070140D"/>
    <w:rsid w:val="0070190C"/>
    <w:rsid w:val="00703939"/>
    <w:rsid w:val="00704F49"/>
    <w:rsid w:val="00705E13"/>
    <w:rsid w:val="007068BB"/>
    <w:rsid w:val="00706FF6"/>
    <w:rsid w:val="00707609"/>
    <w:rsid w:val="0071041B"/>
    <w:rsid w:val="00711BB3"/>
    <w:rsid w:val="00711F97"/>
    <w:rsid w:val="00712F94"/>
    <w:rsid w:val="007138A3"/>
    <w:rsid w:val="00715214"/>
    <w:rsid w:val="00715AE5"/>
    <w:rsid w:val="00715D61"/>
    <w:rsid w:val="0071C1A8"/>
    <w:rsid w:val="00720724"/>
    <w:rsid w:val="00720B59"/>
    <w:rsid w:val="00721C3C"/>
    <w:rsid w:val="00721D65"/>
    <w:rsid w:val="007220AE"/>
    <w:rsid w:val="00722E61"/>
    <w:rsid w:val="00724278"/>
    <w:rsid w:val="00724752"/>
    <w:rsid w:val="0072518D"/>
    <w:rsid w:val="00725332"/>
    <w:rsid w:val="0072583F"/>
    <w:rsid w:val="007263B0"/>
    <w:rsid w:val="00727AB2"/>
    <w:rsid w:val="0073002E"/>
    <w:rsid w:val="00732A12"/>
    <w:rsid w:val="00732C1A"/>
    <w:rsid w:val="00733732"/>
    <w:rsid w:val="00734E20"/>
    <w:rsid w:val="00735AE1"/>
    <w:rsid w:val="00735FD2"/>
    <w:rsid w:val="00736E60"/>
    <w:rsid w:val="00736ED8"/>
    <w:rsid w:val="0073784E"/>
    <w:rsid w:val="00737D33"/>
    <w:rsid w:val="007403E8"/>
    <w:rsid w:val="00741D74"/>
    <w:rsid w:val="00742427"/>
    <w:rsid w:val="00742AD4"/>
    <w:rsid w:val="007436D8"/>
    <w:rsid w:val="00743745"/>
    <w:rsid w:val="0074426D"/>
    <w:rsid w:val="00745867"/>
    <w:rsid w:val="00746088"/>
    <w:rsid w:val="007468AE"/>
    <w:rsid w:val="00747125"/>
    <w:rsid w:val="0074799C"/>
    <w:rsid w:val="00747AE0"/>
    <w:rsid w:val="00750581"/>
    <w:rsid w:val="00751E25"/>
    <w:rsid w:val="00753054"/>
    <w:rsid w:val="0075312F"/>
    <w:rsid w:val="007534F7"/>
    <w:rsid w:val="00753769"/>
    <w:rsid w:val="007539C4"/>
    <w:rsid w:val="007546FA"/>
    <w:rsid w:val="0075523F"/>
    <w:rsid w:val="007554EF"/>
    <w:rsid w:val="007606E6"/>
    <w:rsid w:val="007607B9"/>
    <w:rsid w:val="007618BC"/>
    <w:rsid w:val="00761CBF"/>
    <w:rsid w:val="00762F6D"/>
    <w:rsid w:val="00763606"/>
    <w:rsid w:val="007639F2"/>
    <w:rsid w:val="007642C9"/>
    <w:rsid w:val="007651D1"/>
    <w:rsid w:val="0076541C"/>
    <w:rsid w:val="00765456"/>
    <w:rsid w:val="00765B88"/>
    <w:rsid w:val="00765C51"/>
    <w:rsid w:val="0076622C"/>
    <w:rsid w:val="007668F6"/>
    <w:rsid w:val="00766ACB"/>
    <w:rsid w:val="0076736C"/>
    <w:rsid w:val="00770302"/>
    <w:rsid w:val="007703F2"/>
    <w:rsid w:val="00770725"/>
    <w:rsid w:val="00770C2F"/>
    <w:rsid w:val="00770E19"/>
    <w:rsid w:val="007719DA"/>
    <w:rsid w:val="00771C23"/>
    <w:rsid w:val="00772B7E"/>
    <w:rsid w:val="00773385"/>
    <w:rsid w:val="00773B0E"/>
    <w:rsid w:val="00775387"/>
    <w:rsid w:val="0077580F"/>
    <w:rsid w:val="00775B99"/>
    <w:rsid w:val="0077660A"/>
    <w:rsid w:val="0077675C"/>
    <w:rsid w:val="007776F4"/>
    <w:rsid w:val="00781CB4"/>
    <w:rsid w:val="007824E2"/>
    <w:rsid w:val="00782961"/>
    <w:rsid w:val="00782E13"/>
    <w:rsid w:val="007831E8"/>
    <w:rsid w:val="007833F9"/>
    <w:rsid w:val="00783BC1"/>
    <w:rsid w:val="0078545C"/>
    <w:rsid w:val="0078668F"/>
    <w:rsid w:val="00786E67"/>
    <w:rsid w:val="00787E82"/>
    <w:rsid w:val="0079076A"/>
    <w:rsid w:val="00790B9B"/>
    <w:rsid w:val="00790E5C"/>
    <w:rsid w:val="00790F1E"/>
    <w:rsid w:val="007914DD"/>
    <w:rsid w:val="00793610"/>
    <w:rsid w:val="007961D3"/>
    <w:rsid w:val="007965A0"/>
    <w:rsid w:val="00796BB2"/>
    <w:rsid w:val="00796C5E"/>
    <w:rsid w:val="00797644"/>
    <w:rsid w:val="00797ED5"/>
    <w:rsid w:val="007A165F"/>
    <w:rsid w:val="007A2157"/>
    <w:rsid w:val="007A2911"/>
    <w:rsid w:val="007A3E71"/>
    <w:rsid w:val="007A4250"/>
    <w:rsid w:val="007A4513"/>
    <w:rsid w:val="007A4C22"/>
    <w:rsid w:val="007A50AB"/>
    <w:rsid w:val="007A5229"/>
    <w:rsid w:val="007A5A40"/>
    <w:rsid w:val="007A648D"/>
    <w:rsid w:val="007B05E5"/>
    <w:rsid w:val="007B0F06"/>
    <w:rsid w:val="007B1072"/>
    <w:rsid w:val="007B257A"/>
    <w:rsid w:val="007B2B1A"/>
    <w:rsid w:val="007B3949"/>
    <w:rsid w:val="007B45F2"/>
    <w:rsid w:val="007B5207"/>
    <w:rsid w:val="007B57D2"/>
    <w:rsid w:val="007B68E9"/>
    <w:rsid w:val="007B726A"/>
    <w:rsid w:val="007C208E"/>
    <w:rsid w:val="007C2409"/>
    <w:rsid w:val="007C27E5"/>
    <w:rsid w:val="007C28BF"/>
    <w:rsid w:val="007C3538"/>
    <w:rsid w:val="007C416E"/>
    <w:rsid w:val="007C4D88"/>
    <w:rsid w:val="007C5D69"/>
    <w:rsid w:val="007C5D8F"/>
    <w:rsid w:val="007C5DC9"/>
    <w:rsid w:val="007C629D"/>
    <w:rsid w:val="007C6BC1"/>
    <w:rsid w:val="007C707F"/>
    <w:rsid w:val="007D027A"/>
    <w:rsid w:val="007D2162"/>
    <w:rsid w:val="007D2344"/>
    <w:rsid w:val="007D2371"/>
    <w:rsid w:val="007D2640"/>
    <w:rsid w:val="007D2941"/>
    <w:rsid w:val="007D2B48"/>
    <w:rsid w:val="007D2F0F"/>
    <w:rsid w:val="007D3121"/>
    <w:rsid w:val="007D3587"/>
    <w:rsid w:val="007D53B6"/>
    <w:rsid w:val="007D5550"/>
    <w:rsid w:val="007D5744"/>
    <w:rsid w:val="007D5A3C"/>
    <w:rsid w:val="007D638A"/>
    <w:rsid w:val="007D7552"/>
    <w:rsid w:val="007D7EB0"/>
    <w:rsid w:val="007E170E"/>
    <w:rsid w:val="007E2448"/>
    <w:rsid w:val="007E2BE1"/>
    <w:rsid w:val="007E3754"/>
    <w:rsid w:val="007E3BCC"/>
    <w:rsid w:val="007E5469"/>
    <w:rsid w:val="007E5767"/>
    <w:rsid w:val="007E5D56"/>
    <w:rsid w:val="007E71D0"/>
    <w:rsid w:val="007E7348"/>
    <w:rsid w:val="007E736F"/>
    <w:rsid w:val="007E74FE"/>
    <w:rsid w:val="007F03D9"/>
    <w:rsid w:val="007F3DA5"/>
    <w:rsid w:val="007F4717"/>
    <w:rsid w:val="007F4E73"/>
    <w:rsid w:val="007F55F7"/>
    <w:rsid w:val="007F5CF6"/>
    <w:rsid w:val="007F6085"/>
    <w:rsid w:val="008005C7"/>
    <w:rsid w:val="00800B20"/>
    <w:rsid w:val="008016C0"/>
    <w:rsid w:val="00801728"/>
    <w:rsid w:val="008022BA"/>
    <w:rsid w:val="00802C55"/>
    <w:rsid w:val="00803409"/>
    <w:rsid w:val="00803622"/>
    <w:rsid w:val="008036AD"/>
    <w:rsid w:val="00803F8B"/>
    <w:rsid w:val="00806172"/>
    <w:rsid w:val="008065B4"/>
    <w:rsid w:val="008070B3"/>
    <w:rsid w:val="00807211"/>
    <w:rsid w:val="00810359"/>
    <w:rsid w:val="008104AA"/>
    <w:rsid w:val="0081067A"/>
    <w:rsid w:val="008123EE"/>
    <w:rsid w:val="0081287C"/>
    <w:rsid w:val="00813699"/>
    <w:rsid w:val="00814452"/>
    <w:rsid w:val="008145CF"/>
    <w:rsid w:val="00814957"/>
    <w:rsid w:val="00815FFB"/>
    <w:rsid w:val="008174C8"/>
    <w:rsid w:val="008174CA"/>
    <w:rsid w:val="008174F0"/>
    <w:rsid w:val="00817B3A"/>
    <w:rsid w:val="00817F65"/>
    <w:rsid w:val="008230D1"/>
    <w:rsid w:val="0082390F"/>
    <w:rsid w:val="008243EF"/>
    <w:rsid w:val="0082492A"/>
    <w:rsid w:val="008255DD"/>
    <w:rsid w:val="00825F61"/>
    <w:rsid w:val="00827CC7"/>
    <w:rsid w:val="008302A1"/>
    <w:rsid w:val="00830ADC"/>
    <w:rsid w:val="00830BCF"/>
    <w:rsid w:val="008320FD"/>
    <w:rsid w:val="00832ED4"/>
    <w:rsid w:val="00833791"/>
    <w:rsid w:val="008343BB"/>
    <w:rsid w:val="0083517D"/>
    <w:rsid w:val="00835B08"/>
    <w:rsid w:val="00835EF9"/>
    <w:rsid w:val="0083644B"/>
    <w:rsid w:val="00836E3F"/>
    <w:rsid w:val="00836F54"/>
    <w:rsid w:val="00837627"/>
    <w:rsid w:val="00837722"/>
    <w:rsid w:val="00840307"/>
    <w:rsid w:val="00841397"/>
    <w:rsid w:val="00841F37"/>
    <w:rsid w:val="008422F2"/>
    <w:rsid w:val="00842B59"/>
    <w:rsid w:val="008432D8"/>
    <w:rsid w:val="00843342"/>
    <w:rsid w:val="00843CFD"/>
    <w:rsid w:val="00844FAB"/>
    <w:rsid w:val="00845103"/>
    <w:rsid w:val="00845424"/>
    <w:rsid w:val="00845E3A"/>
    <w:rsid w:val="00846613"/>
    <w:rsid w:val="00846693"/>
    <w:rsid w:val="008474DF"/>
    <w:rsid w:val="008475E1"/>
    <w:rsid w:val="008507DE"/>
    <w:rsid w:val="00851041"/>
    <w:rsid w:val="0085156D"/>
    <w:rsid w:val="00851D9D"/>
    <w:rsid w:val="00852647"/>
    <w:rsid w:val="00852A8F"/>
    <w:rsid w:val="00853416"/>
    <w:rsid w:val="00853619"/>
    <w:rsid w:val="00855844"/>
    <w:rsid w:val="00855970"/>
    <w:rsid w:val="00857331"/>
    <w:rsid w:val="00860E39"/>
    <w:rsid w:val="00862060"/>
    <w:rsid w:val="00863A4D"/>
    <w:rsid w:val="00863DC9"/>
    <w:rsid w:val="00864AC2"/>
    <w:rsid w:val="00865A40"/>
    <w:rsid w:val="00866F82"/>
    <w:rsid w:val="008674CB"/>
    <w:rsid w:val="00867CF2"/>
    <w:rsid w:val="0086F981"/>
    <w:rsid w:val="00870D6A"/>
    <w:rsid w:val="00871379"/>
    <w:rsid w:val="00872629"/>
    <w:rsid w:val="00872D4B"/>
    <w:rsid w:val="00872F2B"/>
    <w:rsid w:val="00872F75"/>
    <w:rsid w:val="00874BDF"/>
    <w:rsid w:val="00874F19"/>
    <w:rsid w:val="0087524E"/>
    <w:rsid w:val="00875498"/>
    <w:rsid w:val="00875C76"/>
    <w:rsid w:val="00875D2E"/>
    <w:rsid w:val="0088000B"/>
    <w:rsid w:val="008804AA"/>
    <w:rsid w:val="0088052A"/>
    <w:rsid w:val="008813AA"/>
    <w:rsid w:val="008816F8"/>
    <w:rsid w:val="0088338D"/>
    <w:rsid w:val="00883578"/>
    <w:rsid w:val="008836DA"/>
    <w:rsid w:val="00883E27"/>
    <w:rsid w:val="00884842"/>
    <w:rsid w:val="00884870"/>
    <w:rsid w:val="00884B08"/>
    <w:rsid w:val="00885E80"/>
    <w:rsid w:val="00885F74"/>
    <w:rsid w:val="008871FE"/>
    <w:rsid w:val="00887A87"/>
    <w:rsid w:val="00890459"/>
    <w:rsid w:val="00890DC5"/>
    <w:rsid w:val="00891194"/>
    <w:rsid w:val="00891F8A"/>
    <w:rsid w:val="0089393F"/>
    <w:rsid w:val="008951B5"/>
    <w:rsid w:val="008954C7"/>
    <w:rsid w:val="008954EC"/>
    <w:rsid w:val="00895964"/>
    <w:rsid w:val="0089608C"/>
    <w:rsid w:val="00897A17"/>
    <w:rsid w:val="008A01CE"/>
    <w:rsid w:val="008A0DBC"/>
    <w:rsid w:val="008A0F14"/>
    <w:rsid w:val="008A1A3C"/>
    <w:rsid w:val="008A1EEB"/>
    <w:rsid w:val="008A3B2E"/>
    <w:rsid w:val="008A4643"/>
    <w:rsid w:val="008A4657"/>
    <w:rsid w:val="008A4B4E"/>
    <w:rsid w:val="008A53C0"/>
    <w:rsid w:val="008A5861"/>
    <w:rsid w:val="008A6910"/>
    <w:rsid w:val="008A7A1D"/>
    <w:rsid w:val="008B2F33"/>
    <w:rsid w:val="008B382E"/>
    <w:rsid w:val="008B3AB1"/>
    <w:rsid w:val="008B4165"/>
    <w:rsid w:val="008B4223"/>
    <w:rsid w:val="008B4B8D"/>
    <w:rsid w:val="008B50DD"/>
    <w:rsid w:val="008B592B"/>
    <w:rsid w:val="008B6979"/>
    <w:rsid w:val="008B6BB2"/>
    <w:rsid w:val="008C00CB"/>
    <w:rsid w:val="008C0184"/>
    <w:rsid w:val="008C1E19"/>
    <w:rsid w:val="008C2A54"/>
    <w:rsid w:val="008C4DB0"/>
    <w:rsid w:val="008C62C8"/>
    <w:rsid w:val="008C669D"/>
    <w:rsid w:val="008C6AA5"/>
    <w:rsid w:val="008C6BF4"/>
    <w:rsid w:val="008C6CE7"/>
    <w:rsid w:val="008C6FF8"/>
    <w:rsid w:val="008C7AB7"/>
    <w:rsid w:val="008D14E6"/>
    <w:rsid w:val="008D1E2B"/>
    <w:rsid w:val="008D1E64"/>
    <w:rsid w:val="008D2B4B"/>
    <w:rsid w:val="008D2D35"/>
    <w:rsid w:val="008D3225"/>
    <w:rsid w:val="008D3329"/>
    <w:rsid w:val="008D44BE"/>
    <w:rsid w:val="008D464C"/>
    <w:rsid w:val="008D4D27"/>
    <w:rsid w:val="008D6402"/>
    <w:rsid w:val="008D73F3"/>
    <w:rsid w:val="008D7690"/>
    <w:rsid w:val="008D7B03"/>
    <w:rsid w:val="008D7B29"/>
    <w:rsid w:val="008E171C"/>
    <w:rsid w:val="008E17AF"/>
    <w:rsid w:val="008E1E80"/>
    <w:rsid w:val="008E27DD"/>
    <w:rsid w:val="008E2CC0"/>
    <w:rsid w:val="008E2D53"/>
    <w:rsid w:val="008E5F39"/>
    <w:rsid w:val="008E6249"/>
    <w:rsid w:val="008E661D"/>
    <w:rsid w:val="008E7C67"/>
    <w:rsid w:val="008E7E5E"/>
    <w:rsid w:val="008F26AF"/>
    <w:rsid w:val="008F26E4"/>
    <w:rsid w:val="008F29CB"/>
    <w:rsid w:val="008F3CE1"/>
    <w:rsid w:val="008F43E8"/>
    <w:rsid w:val="008F478D"/>
    <w:rsid w:val="008F60DB"/>
    <w:rsid w:val="008F63B0"/>
    <w:rsid w:val="008F72A8"/>
    <w:rsid w:val="00901367"/>
    <w:rsid w:val="00901567"/>
    <w:rsid w:val="009019CF"/>
    <w:rsid w:val="0090220A"/>
    <w:rsid w:val="00902BCB"/>
    <w:rsid w:val="00903735"/>
    <w:rsid w:val="00903880"/>
    <w:rsid w:val="0090499A"/>
    <w:rsid w:val="0090587E"/>
    <w:rsid w:val="00905B56"/>
    <w:rsid w:val="00906013"/>
    <w:rsid w:val="00906822"/>
    <w:rsid w:val="00907C8E"/>
    <w:rsid w:val="00911203"/>
    <w:rsid w:val="0091152C"/>
    <w:rsid w:val="00911625"/>
    <w:rsid w:val="00912902"/>
    <w:rsid w:val="00912C1F"/>
    <w:rsid w:val="00913017"/>
    <w:rsid w:val="00913CB4"/>
    <w:rsid w:val="00913EA1"/>
    <w:rsid w:val="009152FD"/>
    <w:rsid w:val="0091556B"/>
    <w:rsid w:val="009156EE"/>
    <w:rsid w:val="00916F86"/>
    <w:rsid w:val="009173CA"/>
    <w:rsid w:val="00920560"/>
    <w:rsid w:val="00920FAE"/>
    <w:rsid w:val="00922527"/>
    <w:rsid w:val="00922D53"/>
    <w:rsid w:val="00922F5B"/>
    <w:rsid w:val="00922F74"/>
    <w:rsid w:val="00923851"/>
    <w:rsid w:val="009238BD"/>
    <w:rsid w:val="00923B8B"/>
    <w:rsid w:val="00924D6C"/>
    <w:rsid w:val="00924EB4"/>
    <w:rsid w:val="009277FC"/>
    <w:rsid w:val="0093016A"/>
    <w:rsid w:val="009309D9"/>
    <w:rsid w:val="00930EA0"/>
    <w:rsid w:val="00931247"/>
    <w:rsid w:val="00931C20"/>
    <w:rsid w:val="009323EE"/>
    <w:rsid w:val="00932413"/>
    <w:rsid w:val="00932528"/>
    <w:rsid w:val="00933B33"/>
    <w:rsid w:val="00933C78"/>
    <w:rsid w:val="00933D08"/>
    <w:rsid w:val="00934A69"/>
    <w:rsid w:val="00934B9F"/>
    <w:rsid w:val="0094010B"/>
    <w:rsid w:val="00940369"/>
    <w:rsid w:val="0094120E"/>
    <w:rsid w:val="0094144C"/>
    <w:rsid w:val="00941508"/>
    <w:rsid w:val="00941780"/>
    <w:rsid w:val="00943B69"/>
    <w:rsid w:val="00943C7E"/>
    <w:rsid w:val="009448A6"/>
    <w:rsid w:val="009448D1"/>
    <w:rsid w:val="009455EE"/>
    <w:rsid w:val="00946180"/>
    <w:rsid w:val="00950892"/>
    <w:rsid w:val="009511F7"/>
    <w:rsid w:val="009527A8"/>
    <w:rsid w:val="00953228"/>
    <w:rsid w:val="0095469A"/>
    <w:rsid w:val="009549C9"/>
    <w:rsid w:val="009551F0"/>
    <w:rsid w:val="0095576A"/>
    <w:rsid w:val="00955986"/>
    <w:rsid w:val="00955B7C"/>
    <w:rsid w:val="00955DA0"/>
    <w:rsid w:val="00955F67"/>
    <w:rsid w:val="00960227"/>
    <w:rsid w:val="009609A5"/>
    <w:rsid w:val="00960C37"/>
    <w:rsid w:val="00960FBF"/>
    <w:rsid w:val="009629CE"/>
    <w:rsid w:val="00962DCD"/>
    <w:rsid w:val="0096397A"/>
    <w:rsid w:val="0096408C"/>
    <w:rsid w:val="0096423A"/>
    <w:rsid w:val="00964BE6"/>
    <w:rsid w:val="0096590D"/>
    <w:rsid w:val="00966F20"/>
    <w:rsid w:val="009700DD"/>
    <w:rsid w:val="009704F2"/>
    <w:rsid w:val="00970542"/>
    <w:rsid w:val="0097236D"/>
    <w:rsid w:val="00972FF7"/>
    <w:rsid w:val="00973C39"/>
    <w:rsid w:val="00974D0E"/>
    <w:rsid w:val="00975A36"/>
    <w:rsid w:val="00975BC7"/>
    <w:rsid w:val="00975E90"/>
    <w:rsid w:val="0097681C"/>
    <w:rsid w:val="00976E08"/>
    <w:rsid w:val="00977264"/>
    <w:rsid w:val="009777F6"/>
    <w:rsid w:val="00978668"/>
    <w:rsid w:val="00982105"/>
    <w:rsid w:val="009824DB"/>
    <w:rsid w:val="009826FB"/>
    <w:rsid w:val="0098341A"/>
    <w:rsid w:val="00983640"/>
    <w:rsid w:val="009837F6"/>
    <w:rsid w:val="00984529"/>
    <w:rsid w:val="00985774"/>
    <w:rsid w:val="00985D2F"/>
    <w:rsid w:val="00986B28"/>
    <w:rsid w:val="00986C80"/>
    <w:rsid w:val="0098A520"/>
    <w:rsid w:val="0098DB46"/>
    <w:rsid w:val="0099102B"/>
    <w:rsid w:val="00991843"/>
    <w:rsid w:val="009938AE"/>
    <w:rsid w:val="009938FB"/>
    <w:rsid w:val="00994264"/>
    <w:rsid w:val="0099462D"/>
    <w:rsid w:val="00994D83"/>
    <w:rsid w:val="009955E2"/>
    <w:rsid w:val="00995B28"/>
    <w:rsid w:val="00995C36"/>
    <w:rsid w:val="009969FD"/>
    <w:rsid w:val="00997080"/>
    <w:rsid w:val="00997131"/>
    <w:rsid w:val="00997DBC"/>
    <w:rsid w:val="009A09AF"/>
    <w:rsid w:val="009A1C93"/>
    <w:rsid w:val="009A1F55"/>
    <w:rsid w:val="009A210B"/>
    <w:rsid w:val="009A2275"/>
    <w:rsid w:val="009A3B05"/>
    <w:rsid w:val="009A41D5"/>
    <w:rsid w:val="009A4A54"/>
    <w:rsid w:val="009A4DA0"/>
    <w:rsid w:val="009A69D1"/>
    <w:rsid w:val="009A6A7C"/>
    <w:rsid w:val="009A7939"/>
    <w:rsid w:val="009B0F6B"/>
    <w:rsid w:val="009B2CB8"/>
    <w:rsid w:val="009B37D7"/>
    <w:rsid w:val="009B3BF6"/>
    <w:rsid w:val="009B4264"/>
    <w:rsid w:val="009B488D"/>
    <w:rsid w:val="009B4ACF"/>
    <w:rsid w:val="009B504D"/>
    <w:rsid w:val="009B5548"/>
    <w:rsid w:val="009B56E6"/>
    <w:rsid w:val="009B58AD"/>
    <w:rsid w:val="009B5916"/>
    <w:rsid w:val="009B5F36"/>
    <w:rsid w:val="009B72EA"/>
    <w:rsid w:val="009C0752"/>
    <w:rsid w:val="009C0D19"/>
    <w:rsid w:val="009C1A89"/>
    <w:rsid w:val="009C1F79"/>
    <w:rsid w:val="009C214F"/>
    <w:rsid w:val="009C2453"/>
    <w:rsid w:val="009C2531"/>
    <w:rsid w:val="009C276B"/>
    <w:rsid w:val="009C2A77"/>
    <w:rsid w:val="009C47EB"/>
    <w:rsid w:val="009C5A10"/>
    <w:rsid w:val="009C6043"/>
    <w:rsid w:val="009C7530"/>
    <w:rsid w:val="009C761A"/>
    <w:rsid w:val="009D11F7"/>
    <w:rsid w:val="009D2299"/>
    <w:rsid w:val="009D22AC"/>
    <w:rsid w:val="009D4074"/>
    <w:rsid w:val="009D40E4"/>
    <w:rsid w:val="009D5F46"/>
    <w:rsid w:val="009D5F95"/>
    <w:rsid w:val="009D67B0"/>
    <w:rsid w:val="009D6C1A"/>
    <w:rsid w:val="009D73AF"/>
    <w:rsid w:val="009D7A45"/>
    <w:rsid w:val="009E0144"/>
    <w:rsid w:val="009E1E0B"/>
    <w:rsid w:val="009E259F"/>
    <w:rsid w:val="009E2C56"/>
    <w:rsid w:val="009E3096"/>
    <w:rsid w:val="009E3934"/>
    <w:rsid w:val="009E4277"/>
    <w:rsid w:val="009E4449"/>
    <w:rsid w:val="009E4C81"/>
    <w:rsid w:val="009E4C9D"/>
    <w:rsid w:val="009E50F5"/>
    <w:rsid w:val="009E53D0"/>
    <w:rsid w:val="009E77F9"/>
    <w:rsid w:val="009E7806"/>
    <w:rsid w:val="009F0BDA"/>
    <w:rsid w:val="009F1B6B"/>
    <w:rsid w:val="009F1C17"/>
    <w:rsid w:val="009F28AD"/>
    <w:rsid w:val="009F28CC"/>
    <w:rsid w:val="009F36B8"/>
    <w:rsid w:val="009F4CF2"/>
    <w:rsid w:val="009F512C"/>
    <w:rsid w:val="009F5730"/>
    <w:rsid w:val="009F5A97"/>
    <w:rsid w:val="009F5F62"/>
    <w:rsid w:val="009F6DA0"/>
    <w:rsid w:val="009F767A"/>
    <w:rsid w:val="00A004ED"/>
    <w:rsid w:val="00A00D7D"/>
    <w:rsid w:val="00A030AF"/>
    <w:rsid w:val="00A03B69"/>
    <w:rsid w:val="00A0547E"/>
    <w:rsid w:val="00A056ED"/>
    <w:rsid w:val="00A060DF"/>
    <w:rsid w:val="00A06DB9"/>
    <w:rsid w:val="00A06E30"/>
    <w:rsid w:val="00A0F3C1"/>
    <w:rsid w:val="00A10713"/>
    <w:rsid w:val="00A10ADD"/>
    <w:rsid w:val="00A10CC5"/>
    <w:rsid w:val="00A12073"/>
    <w:rsid w:val="00A12491"/>
    <w:rsid w:val="00A1346F"/>
    <w:rsid w:val="00A135FA"/>
    <w:rsid w:val="00A1388C"/>
    <w:rsid w:val="00A15D37"/>
    <w:rsid w:val="00A17BFC"/>
    <w:rsid w:val="00A1DA6E"/>
    <w:rsid w:val="00A21258"/>
    <w:rsid w:val="00A219DE"/>
    <w:rsid w:val="00A21A5A"/>
    <w:rsid w:val="00A21F3A"/>
    <w:rsid w:val="00A22285"/>
    <w:rsid w:val="00A24942"/>
    <w:rsid w:val="00A24D4E"/>
    <w:rsid w:val="00A2534F"/>
    <w:rsid w:val="00A26527"/>
    <w:rsid w:val="00A26BDE"/>
    <w:rsid w:val="00A272E8"/>
    <w:rsid w:val="00A3007D"/>
    <w:rsid w:val="00A300D5"/>
    <w:rsid w:val="00A30138"/>
    <w:rsid w:val="00A3097C"/>
    <w:rsid w:val="00A31D9A"/>
    <w:rsid w:val="00A31E8A"/>
    <w:rsid w:val="00A33C83"/>
    <w:rsid w:val="00A352D5"/>
    <w:rsid w:val="00A35B9F"/>
    <w:rsid w:val="00A36FD9"/>
    <w:rsid w:val="00A37F49"/>
    <w:rsid w:val="00A4086B"/>
    <w:rsid w:val="00A4230F"/>
    <w:rsid w:val="00A42430"/>
    <w:rsid w:val="00A4253A"/>
    <w:rsid w:val="00A446AB"/>
    <w:rsid w:val="00A44AF7"/>
    <w:rsid w:val="00A46D9D"/>
    <w:rsid w:val="00A472F6"/>
    <w:rsid w:val="00A475B6"/>
    <w:rsid w:val="00A50EBD"/>
    <w:rsid w:val="00A514DD"/>
    <w:rsid w:val="00A51D9E"/>
    <w:rsid w:val="00A51DB4"/>
    <w:rsid w:val="00A51EF2"/>
    <w:rsid w:val="00A522B9"/>
    <w:rsid w:val="00A52374"/>
    <w:rsid w:val="00A52BF5"/>
    <w:rsid w:val="00A536A6"/>
    <w:rsid w:val="00A552A4"/>
    <w:rsid w:val="00A55FF5"/>
    <w:rsid w:val="00A561C9"/>
    <w:rsid w:val="00A563E8"/>
    <w:rsid w:val="00A57240"/>
    <w:rsid w:val="00A5744F"/>
    <w:rsid w:val="00A5786B"/>
    <w:rsid w:val="00A578E1"/>
    <w:rsid w:val="00A60167"/>
    <w:rsid w:val="00A602E2"/>
    <w:rsid w:val="00A6162D"/>
    <w:rsid w:val="00A6163B"/>
    <w:rsid w:val="00A61D7B"/>
    <w:rsid w:val="00A62758"/>
    <w:rsid w:val="00A62B41"/>
    <w:rsid w:val="00A63D5A"/>
    <w:rsid w:val="00A64B83"/>
    <w:rsid w:val="00A6565B"/>
    <w:rsid w:val="00A65AEF"/>
    <w:rsid w:val="00A65E74"/>
    <w:rsid w:val="00A6638E"/>
    <w:rsid w:val="00A66C9D"/>
    <w:rsid w:val="00A6706F"/>
    <w:rsid w:val="00A70227"/>
    <w:rsid w:val="00A70B64"/>
    <w:rsid w:val="00A70C2D"/>
    <w:rsid w:val="00A71590"/>
    <w:rsid w:val="00A7161E"/>
    <w:rsid w:val="00A724AB"/>
    <w:rsid w:val="00A7267F"/>
    <w:rsid w:val="00A730EE"/>
    <w:rsid w:val="00A73525"/>
    <w:rsid w:val="00A7355D"/>
    <w:rsid w:val="00A74CEC"/>
    <w:rsid w:val="00A810A2"/>
    <w:rsid w:val="00A813AF"/>
    <w:rsid w:val="00A81BB4"/>
    <w:rsid w:val="00A82486"/>
    <w:rsid w:val="00A82C42"/>
    <w:rsid w:val="00A8439F"/>
    <w:rsid w:val="00A84E05"/>
    <w:rsid w:val="00A85104"/>
    <w:rsid w:val="00A8596C"/>
    <w:rsid w:val="00A8637F"/>
    <w:rsid w:val="00A86858"/>
    <w:rsid w:val="00A86F2C"/>
    <w:rsid w:val="00A87977"/>
    <w:rsid w:val="00A90A2F"/>
    <w:rsid w:val="00A91C3D"/>
    <w:rsid w:val="00A9205F"/>
    <w:rsid w:val="00A926D0"/>
    <w:rsid w:val="00A92A62"/>
    <w:rsid w:val="00A92D19"/>
    <w:rsid w:val="00A9364F"/>
    <w:rsid w:val="00A94EE7"/>
    <w:rsid w:val="00A957A0"/>
    <w:rsid w:val="00A95D38"/>
    <w:rsid w:val="00A9604A"/>
    <w:rsid w:val="00A960E1"/>
    <w:rsid w:val="00A97178"/>
    <w:rsid w:val="00A9775D"/>
    <w:rsid w:val="00A97914"/>
    <w:rsid w:val="00AA0006"/>
    <w:rsid w:val="00AA073B"/>
    <w:rsid w:val="00AA1573"/>
    <w:rsid w:val="00AA1AE2"/>
    <w:rsid w:val="00AA1B10"/>
    <w:rsid w:val="00AA212E"/>
    <w:rsid w:val="00AA21D8"/>
    <w:rsid w:val="00AA3070"/>
    <w:rsid w:val="00AA48C5"/>
    <w:rsid w:val="00AA4C90"/>
    <w:rsid w:val="00AA535C"/>
    <w:rsid w:val="00AA5778"/>
    <w:rsid w:val="00AA5A2A"/>
    <w:rsid w:val="00AA62F0"/>
    <w:rsid w:val="00AA7432"/>
    <w:rsid w:val="00AA7742"/>
    <w:rsid w:val="00AA79CB"/>
    <w:rsid w:val="00AB15E3"/>
    <w:rsid w:val="00AB27E1"/>
    <w:rsid w:val="00AB2A19"/>
    <w:rsid w:val="00AB3D37"/>
    <w:rsid w:val="00AB4835"/>
    <w:rsid w:val="00AB57C3"/>
    <w:rsid w:val="00AB5AC2"/>
    <w:rsid w:val="00AB6102"/>
    <w:rsid w:val="00AB632B"/>
    <w:rsid w:val="00AC0F40"/>
    <w:rsid w:val="00AC18CD"/>
    <w:rsid w:val="00AC1B68"/>
    <w:rsid w:val="00AC30A3"/>
    <w:rsid w:val="00AC34FE"/>
    <w:rsid w:val="00AC3750"/>
    <w:rsid w:val="00AC42BF"/>
    <w:rsid w:val="00AC52BF"/>
    <w:rsid w:val="00AC6214"/>
    <w:rsid w:val="00AC6C0C"/>
    <w:rsid w:val="00AC7DD1"/>
    <w:rsid w:val="00AD07EB"/>
    <w:rsid w:val="00AD090E"/>
    <w:rsid w:val="00AD1CDC"/>
    <w:rsid w:val="00AD23DC"/>
    <w:rsid w:val="00AD2C25"/>
    <w:rsid w:val="00AD334A"/>
    <w:rsid w:val="00AD533B"/>
    <w:rsid w:val="00AD53CE"/>
    <w:rsid w:val="00AD57A4"/>
    <w:rsid w:val="00AD5CB8"/>
    <w:rsid w:val="00AD6072"/>
    <w:rsid w:val="00AE01BE"/>
    <w:rsid w:val="00AE0E60"/>
    <w:rsid w:val="00AE0F11"/>
    <w:rsid w:val="00AE2121"/>
    <w:rsid w:val="00AE2137"/>
    <w:rsid w:val="00AE2212"/>
    <w:rsid w:val="00AE37D9"/>
    <w:rsid w:val="00AE3BD3"/>
    <w:rsid w:val="00AE3EC4"/>
    <w:rsid w:val="00AE4D86"/>
    <w:rsid w:val="00AE53EA"/>
    <w:rsid w:val="00AE5FAB"/>
    <w:rsid w:val="00AE707A"/>
    <w:rsid w:val="00AE7209"/>
    <w:rsid w:val="00AF09E2"/>
    <w:rsid w:val="00AF136B"/>
    <w:rsid w:val="00AF1A1A"/>
    <w:rsid w:val="00AF1EA1"/>
    <w:rsid w:val="00AF2FF6"/>
    <w:rsid w:val="00AF327E"/>
    <w:rsid w:val="00AF3531"/>
    <w:rsid w:val="00AF3B88"/>
    <w:rsid w:val="00AF40A0"/>
    <w:rsid w:val="00AF4673"/>
    <w:rsid w:val="00AF4E5A"/>
    <w:rsid w:val="00AF5261"/>
    <w:rsid w:val="00AF596B"/>
    <w:rsid w:val="00B00AEA"/>
    <w:rsid w:val="00B0175F"/>
    <w:rsid w:val="00B01EFD"/>
    <w:rsid w:val="00B0298C"/>
    <w:rsid w:val="00B040D0"/>
    <w:rsid w:val="00B04C86"/>
    <w:rsid w:val="00B04DCA"/>
    <w:rsid w:val="00B067B5"/>
    <w:rsid w:val="00B06EEF"/>
    <w:rsid w:val="00B07C02"/>
    <w:rsid w:val="00B07DC2"/>
    <w:rsid w:val="00B10B5D"/>
    <w:rsid w:val="00B10C8A"/>
    <w:rsid w:val="00B11716"/>
    <w:rsid w:val="00B12388"/>
    <w:rsid w:val="00B12418"/>
    <w:rsid w:val="00B12E9D"/>
    <w:rsid w:val="00B14448"/>
    <w:rsid w:val="00B14469"/>
    <w:rsid w:val="00B14A10"/>
    <w:rsid w:val="00B14F07"/>
    <w:rsid w:val="00B15213"/>
    <w:rsid w:val="00B1529D"/>
    <w:rsid w:val="00B15DA4"/>
    <w:rsid w:val="00B1748D"/>
    <w:rsid w:val="00B174CB"/>
    <w:rsid w:val="00B17F21"/>
    <w:rsid w:val="00B20737"/>
    <w:rsid w:val="00B20B11"/>
    <w:rsid w:val="00B21015"/>
    <w:rsid w:val="00B21A65"/>
    <w:rsid w:val="00B22C92"/>
    <w:rsid w:val="00B22EA2"/>
    <w:rsid w:val="00B23173"/>
    <w:rsid w:val="00B23200"/>
    <w:rsid w:val="00B246AD"/>
    <w:rsid w:val="00B25369"/>
    <w:rsid w:val="00B25D84"/>
    <w:rsid w:val="00B27496"/>
    <w:rsid w:val="00B278C6"/>
    <w:rsid w:val="00B27A4E"/>
    <w:rsid w:val="00B3006C"/>
    <w:rsid w:val="00B31483"/>
    <w:rsid w:val="00B33A79"/>
    <w:rsid w:val="00B34459"/>
    <w:rsid w:val="00B34559"/>
    <w:rsid w:val="00B354F5"/>
    <w:rsid w:val="00B35AD6"/>
    <w:rsid w:val="00B3651C"/>
    <w:rsid w:val="00B36717"/>
    <w:rsid w:val="00B36BEE"/>
    <w:rsid w:val="00B37C81"/>
    <w:rsid w:val="00B37C8E"/>
    <w:rsid w:val="00B37FC3"/>
    <w:rsid w:val="00B41E03"/>
    <w:rsid w:val="00B42DB2"/>
    <w:rsid w:val="00B42EAF"/>
    <w:rsid w:val="00B4310F"/>
    <w:rsid w:val="00B44CFD"/>
    <w:rsid w:val="00B45133"/>
    <w:rsid w:val="00B4628E"/>
    <w:rsid w:val="00B4630D"/>
    <w:rsid w:val="00B465E3"/>
    <w:rsid w:val="00B46DAF"/>
    <w:rsid w:val="00B50C42"/>
    <w:rsid w:val="00B50DB5"/>
    <w:rsid w:val="00B51947"/>
    <w:rsid w:val="00B54251"/>
    <w:rsid w:val="00B5608E"/>
    <w:rsid w:val="00B5625A"/>
    <w:rsid w:val="00B577B8"/>
    <w:rsid w:val="00B57D15"/>
    <w:rsid w:val="00B609AA"/>
    <w:rsid w:val="00B62EC5"/>
    <w:rsid w:val="00B64D8F"/>
    <w:rsid w:val="00B64F7B"/>
    <w:rsid w:val="00B657CB"/>
    <w:rsid w:val="00B65FF6"/>
    <w:rsid w:val="00B6606E"/>
    <w:rsid w:val="00B6619B"/>
    <w:rsid w:val="00B66398"/>
    <w:rsid w:val="00B665BE"/>
    <w:rsid w:val="00B67BE1"/>
    <w:rsid w:val="00B71C25"/>
    <w:rsid w:val="00B71DBF"/>
    <w:rsid w:val="00B72A37"/>
    <w:rsid w:val="00B733B3"/>
    <w:rsid w:val="00B7364E"/>
    <w:rsid w:val="00B73C87"/>
    <w:rsid w:val="00B752DD"/>
    <w:rsid w:val="00B75A4C"/>
    <w:rsid w:val="00B76707"/>
    <w:rsid w:val="00B77A05"/>
    <w:rsid w:val="00B77FA3"/>
    <w:rsid w:val="00B80CE2"/>
    <w:rsid w:val="00B81794"/>
    <w:rsid w:val="00B817EF"/>
    <w:rsid w:val="00B8222A"/>
    <w:rsid w:val="00B82810"/>
    <w:rsid w:val="00B82C0B"/>
    <w:rsid w:val="00B82ECD"/>
    <w:rsid w:val="00B85359"/>
    <w:rsid w:val="00B85DF0"/>
    <w:rsid w:val="00B8707B"/>
    <w:rsid w:val="00B877AE"/>
    <w:rsid w:val="00B9071D"/>
    <w:rsid w:val="00B911C4"/>
    <w:rsid w:val="00B91431"/>
    <w:rsid w:val="00B9162E"/>
    <w:rsid w:val="00B92883"/>
    <w:rsid w:val="00B92E2A"/>
    <w:rsid w:val="00B933B1"/>
    <w:rsid w:val="00B935B2"/>
    <w:rsid w:val="00B93794"/>
    <w:rsid w:val="00B942C0"/>
    <w:rsid w:val="00B94E9E"/>
    <w:rsid w:val="00B954EC"/>
    <w:rsid w:val="00B96424"/>
    <w:rsid w:val="00B97EB1"/>
    <w:rsid w:val="00BA2BC1"/>
    <w:rsid w:val="00BA310B"/>
    <w:rsid w:val="00BA32A3"/>
    <w:rsid w:val="00BA3EA3"/>
    <w:rsid w:val="00BA53CC"/>
    <w:rsid w:val="00BA697D"/>
    <w:rsid w:val="00BA6AD3"/>
    <w:rsid w:val="00BA77DF"/>
    <w:rsid w:val="00BA7A98"/>
    <w:rsid w:val="00BA7C3A"/>
    <w:rsid w:val="00BB0129"/>
    <w:rsid w:val="00BB15F5"/>
    <w:rsid w:val="00BB2DD4"/>
    <w:rsid w:val="00BB3FF2"/>
    <w:rsid w:val="00BB5FB5"/>
    <w:rsid w:val="00BB768C"/>
    <w:rsid w:val="00BB78E6"/>
    <w:rsid w:val="00BC06D2"/>
    <w:rsid w:val="00BC16C3"/>
    <w:rsid w:val="00BC2899"/>
    <w:rsid w:val="00BC3055"/>
    <w:rsid w:val="00BC3955"/>
    <w:rsid w:val="00BC45A8"/>
    <w:rsid w:val="00BC4F49"/>
    <w:rsid w:val="00BC56A5"/>
    <w:rsid w:val="00BC67B4"/>
    <w:rsid w:val="00BC6C43"/>
    <w:rsid w:val="00BD1036"/>
    <w:rsid w:val="00BD10BE"/>
    <w:rsid w:val="00BD32FB"/>
    <w:rsid w:val="00BD4BE0"/>
    <w:rsid w:val="00BD4C6F"/>
    <w:rsid w:val="00BD4E5D"/>
    <w:rsid w:val="00BD54F5"/>
    <w:rsid w:val="00BD574B"/>
    <w:rsid w:val="00BD62BE"/>
    <w:rsid w:val="00BD65B0"/>
    <w:rsid w:val="00BD7337"/>
    <w:rsid w:val="00BE0341"/>
    <w:rsid w:val="00BE1AD4"/>
    <w:rsid w:val="00BE1D84"/>
    <w:rsid w:val="00BE23DF"/>
    <w:rsid w:val="00BE25BD"/>
    <w:rsid w:val="00BE32D0"/>
    <w:rsid w:val="00BE39E8"/>
    <w:rsid w:val="00BE3A50"/>
    <w:rsid w:val="00BE3DA6"/>
    <w:rsid w:val="00BE4D0F"/>
    <w:rsid w:val="00BE6274"/>
    <w:rsid w:val="00BE7877"/>
    <w:rsid w:val="00BF03C8"/>
    <w:rsid w:val="00BF10F0"/>
    <w:rsid w:val="00BF1D1E"/>
    <w:rsid w:val="00BF1F2A"/>
    <w:rsid w:val="00BF1F42"/>
    <w:rsid w:val="00BF2937"/>
    <w:rsid w:val="00BF2C65"/>
    <w:rsid w:val="00BF338A"/>
    <w:rsid w:val="00BF48F6"/>
    <w:rsid w:val="00BF6220"/>
    <w:rsid w:val="00BF629C"/>
    <w:rsid w:val="00BF763A"/>
    <w:rsid w:val="00BF7AEE"/>
    <w:rsid w:val="00C015B9"/>
    <w:rsid w:val="00C03BA4"/>
    <w:rsid w:val="00C03D58"/>
    <w:rsid w:val="00C04247"/>
    <w:rsid w:val="00C04FBF"/>
    <w:rsid w:val="00C06DF8"/>
    <w:rsid w:val="00C0791E"/>
    <w:rsid w:val="00C11332"/>
    <w:rsid w:val="00C11707"/>
    <w:rsid w:val="00C1197D"/>
    <w:rsid w:val="00C11A4D"/>
    <w:rsid w:val="00C120E1"/>
    <w:rsid w:val="00C12CE5"/>
    <w:rsid w:val="00C136D4"/>
    <w:rsid w:val="00C136F3"/>
    <w:rsid w:val="00C14B76"/>
    <w:rsid w:val="00C153C3"/>
    <w:rsid w:val="00C15822"/>
    <w:rsid w:val="00C15CA6"/>
    <w:rsid w:val="00C169F9"/>
    <w:rsid w:val="00C16DFB"/>
    <w:rsid w:val="00C2108B"/>
    <w:rsid w:val="00C210A6"/>
    <w:rsid w:val="00C21126"/>
    <w:rsid w:val="00C21844"/>
    <w:rsid w:val="00C222A9"/>
    <w:rsid w:val="00C22E8B"/>
    <w:rsid w:val="00C23241"/>
    <w:rsid w:val="00C2453D"/>
    <w:rsid w:val="00C24B01"/>
    <w:rsid w:val="00C25493"/>
    <w:rsid w:val="00C257CD"/>
    <w:rsid w:val="00C2743E"/>
    <w:rsid w:val="00C30EFC"/>
    <w:rsid w:val="00C30FBA"/>
    <w:rsid w:val="00C3212B"/>
    <w:rsid w:val="00C3254B"/>
    <w:rsid w:val="00C32B43"/>
    <w:rsid w:val="00C33184"/>
    <w:rsid w:val="00C344C6"/>
    <w:rsid w:val="00C35166"/>
    <w:rsid w:val="00C355A3"/>
    <w:rsid w:val="00C35BFB"/>
    <w:rsid w:val="00C362FE"/>
    <w:rsid w:val="00C36C9F"/>
    <w:rsid w:val="00C36FD3"/>
    <w:rsid w:val="00C37D9B"/>
    <w:rsid w:val="00C37FAB"/>
    <w:rsid w:val="00C45280"/>
    <w:rsid w:val="00C456F3"/>
    <w:rsid w:val="00C4607C"/>
    <w:rsid w:val="00C46571"/>
    <w:rsid w:val="00C46C43"/>
    <w:rsid w:val="00C46D99"/>
    <w:rsid w:val="00C47219"/>
    <w:rsid w:val="00C478B0"/>
    <w:rsid w:val="00C47BA7"/>
    <w:rsid w:val="00C47BDC"/>
    <w:rsid w:val="00C504E2"/>
    <w:rsid w:val="00C505B9"/>
    <w:rsid w:val="00C53A51"/>
    <w:rsid w:val="00C53D5A"/>
    <w:rsid w:val="00C54C6F"/>
    <w:rsid w:val="00C55885"/>
    <w:rsid w:val="00C55DD0"/>
    <w:rsid w:val="00C55E2F"/>
    <w:rsid w:val="00C5603D"/>
    <w:rsid w:val="00C5706D"/>
    <w:rsid w:val="00C57072"/>
    <w:rsid w:val="00C5799D"/>
    <w:rsid w:val="00C57B88"/>
    <w:rsid w:val="00C60156"/>
    <w:rsid w:val="00C602B9"/>
    <w:rsid w:val="00C61F36"/>
    <w:rsid w:val="00C629FC"/>
    <w:rsid w:val="00C62D07"/>
    <w:rsid w:val="00C6442C"/>
    <w:rsid w:val="00C71A69"/>
    <w:rsid w:val="00C72619"/>
    <w:rsid w:val="00C729ED"/>
    <w:rsid w:val="00C72C3E"/>
    <w:rsid w:val="00C7380B"/>
    <w:rsid w:val="00C73E55"/>
    <w:rsid w:val="00C74E0E"/>
    <w:rsid w:val="00C757AF"/>
    <w:rsid w:val="00C76DFD"/>
    <w:rsid w:val="00C775B0"/>
    <w:rsid w:val="00C800B8"/>
    <w:rsid w:val="00C800B9"/>
    <w:rsid w:val="00C80227"/>
    <w:rsid w:val="00C81CFB"/>
    <w:rsid w:val="00C82AE0"/>
    <w:rsid w:val="00C83D45"/>
    <w:rsid w:val="00C84D97"/>
    <w:rsid w:val="00C856FC"/>
    <w:rsid w:val="00C85A1E"/>
    <w:rsid w:val="00C86103"/>
    <w:rsid w:val="00C87295"/>
    <w:rsid w:val="00C87499"/>
    <w:rsid w:val="00C9125E"/>
    <w:rsid w:val="00C91C9F"/>
    <w:rsid w:val="00C926F3"/>
    <w:rsid w:val="00C93C50"/>
    <w:rsid w:val="00C951FF"/>
    <w:rsid w:val="00C95392"/>
    <w:rsid w:val="00C9675A"/>
    <w:rsid w:val="00C97027"/>
    <w:rsid w:val="00C97480"/>
    <w:rsid w:val="00CA186F"/>
    <w:rsid w:val="00CA26D0"/>
    <w:rsid w:val="00CA3DE0"/>
    <w:rsid w:val="00CA5483"/>
    <w:rsid w:val="00CA6BB3"/>
    <w:rsid w:val="00CA6C58"/>
    <w:rsid w:val="00CA719B"/>
    <w:rsid w:val="00CA779E"/>
    <w:rsid w:val="00CA783B"/>
    <w:rsid w:val="00CA787E"/>
    <w:rsid w:val="00CA78B7"/>
    <w:rsid w:val="00CA7BFE"/>
    <w:rsid w:val="00CB0981"/>
    <w:rsid w:val="00CB0C37"/>
    <w:rsid w:val="00CB1240"/>
    <w:rsid w:val="00CB2149"/>
    <w:rsid w:val="00CB26CE"/>
    <w:rsid w:val="00CB335F"/>
    <w:rsid w:val="00CB4F91"/>
    <w:rsid w:val="00CB4FF5"/>
    <w:rsid w:val="00CB5856"/>
    <w:rsid w:val="00CB6044"/>
    <w:rsid w:val="00CB68DE"/>
    <w:rsid w:val="00CB798E"/>
    <w:rsid w:val="00CB7CB8"/>
    <w:rsid w:val="00CC0130"/>
    <w:rsid w:val="00CC14BC"/>
    <w:rsid w:val="00CC1ADF"/>
    <w:rsid w:val="00CC1AFE"/>
    <w:rsid w:val="00CC41E6"/>
    <w:rsid w:val="00CC55DD"/>
    <w:rsid w:val="00CC5F8C"/>
    <w:rsid w:val="00CC7C82"/>
    <w:rsid w:val="00CD254C"/>
    <w:rsid w:val="00CD2873"/>
    <w:rsid w:val="00CD4399"/>
    <w:rsid w:val="00CD442A"/>
    <w:rsid w:val="00CD4681"/>
    <w:rsid w:val="00CD4787"/>
    <w:rsid w:val="00CD504E"/>
    <w:rsid w:val="00CD69BA"/>
    <w:rsid w:val="00CD7C41"/>
    <w:rsid w:val="00CE0048"/>
    <w:rsid w:val="00CE08E0"/>
    <w:rsid w:val="00CE0BD2"/>
    <w:rsid w:val="00CE1901"/>
    <w:rsid w:val="00CE43C1"/>
    <w:rsid w:val="00CE44E0"/>
    <w:rsid w:val="00CE4711"/>
    <w:rsid w:val="00CE58DF"/>
    <w:rsid w:val="00CE6316"/>
    <w:rsid w:val="00CE6482"/>
    <w:rsid w:val="00CE65F5"/>
    <w:rsid w:val="00CE6ED7"/>
    <w:rsid w:val="00CF034F"/>
    <w:rsid w:val="00CF2351"/>
    <w:rsid w:val="00CF249C"/>
    <w:rsid w:val="00CF3463"/>
    <w:rsid w:val="00CF3565"/>
    <w:rsid w:val="00CF3FBA"/>
    <w:rsid w:val="00CF7997"/>
    <w:rsid w:val="00D006A1"/>
    <w:rsid w:val="00D00F2A"/>
    <w:rsid w:val="00D01054"/>
    <w:rsid w:val="00D03E0E"/>
    <w:rsid w:val="00D04780"/>
    <w:rsid w:val="00D06940"/>
    <w:rsid w:val="00D069C0"/>
    <w:rsid w:val="00D06A17"/>
    <w:rsid w:val="00D06C4D"/>
    <w:rsid w:val="00D07DB9"/>
    <w:rsid w:val="00D105AD"/>
    <w:rsid w:val="00D10DA6"/>
    <w:rsid w:val="00D114FF"/>
    <w:rsid w:val="00D130A8"/>
    <w:rsid w:val="00D133D1"/>
    <w:rsid w:val="00D134E5"/>
    <w:rsid w:val="00D136F6"/>
    <w:rsid w:val="00D13D82"/>
    <w:rsid w:val="00D1441F"/>
    <w:rsid w:val="00D146DC"/>
    <w:rsid w:val="00D14F97"/>
    <w:rsid w:val="00D15680"/>
    <w:rsid w:val="00D178D1"/>
    <w:rsid w:val="00D17E07"/>
    <w:rsid w:val="00D21352"/>
    <w:rsid w:val="00D21543"/>
    <w:rsid w:val="00D23CE7"/>
    <w:rsid w:val="00D2677C"/>
    <w:rsid w:val="00D27055"/>
    <w:rsid w:val="00D279F3"/>
    <w:rsid w:val="00D3043D"/>
    <w:rsid w:val="00D3067F"/>
    <w:rsid w:val="00D311D5"/>
    <w:rsid w:val="00D3134F"/>
    <w:rsid w:val="00D313D9"/>
    <w:rsid w:val="00D31533"/>
    <w:rsid w:val="00D31917"/>
    <w:rsid w:val="00D31F1A"/>
    <w:rsid w:val="00D33699"/>
    <w:rsid w:val="00D33E0C"/>
    <w:rsid w:val="00D34AA7"/>
    <w:rsid w:val="00D357DF"/>
    <w:rsid w:val="00D359EC"/>
    <w:rsid w:val="00D36282"/>
    <w:rsid w:val="00D364D4"/>
    <w:rsid w:val="00D36D40"/>
    <w:rsid w:val="00D408BC"/>
    <w:rsid w:val="00D42AA0"/>
    <w:rsid w:val="00D4569C"/>
    <w:rsid w:val="00D459EB"/>
    <w:rsid w:val="00D45AF5"/>
    <w:rsid w:val="00D45D28"/>
    <w:rsid w:val="00D4633A"/>
    <w:rsid w:val="00D470B7"/>
    <w:rsid w:val="00D47970"/>
    <w:rsid w:val="00D50143"/>
    <w:rsid w:val="00D5014F"/>
    <w:rsid w:val="00D51026"/>
    <w:rsid w:val="00D51AB2"/>
    <w:rsid w:val="00D52321"/>
    <w:rsid w:val="00D52C6F"/>
    <w:rsid w:val="00D5454E"/>
    <w:rsid w:val="00D545C6"/>
    <w:rsid w:val="00D547C9"/>
    <w:rsid w:val="00D576E6"/>
    <w:rsid w:val="00D57F78"/>
    <w:rsid w:val="00D63965"/>
    <w:rsid w:val="00D63F03"/>
    <w:rsid w:val="00D645B3"/>
    <w:rsid w:val="00D666E8"/>
    <w:rsid w:val="00D66A8F"/>
    <w:rsid w:val="00D7249C"/>
    <w:rsid w:val="00D7335F"/>
    <w:rsid w:val="00D734EA"/>
    <w:rsid w:val="00D743CA"/>
    <w:rsid w:val="00D75370"/>
    <w:rsid w:val="00D763E5"/>
    <w:rsid w:val="00D76F93"/>
    <w:rsid w:val="00D772B8"/>
    <w:rsid w:val="00D778AC"/>
    <w:rsid w:val="00D77BCD"/>
    <w:rsid w:val="00D8030F"/>
    <w:rsid w:val="00D80AAF"/>
    <w:rsid w:val="00D814E3"/>
    <w:rsid w:val="00D82647"/>
    <w:rsid w:val="00D84223"/>
    <w:rsid w:val="00D84291"/>
    <w:rsid w:val="00D8434F"/>
    <w:rsid w:val="00D84391"/>
    <w:rsid w:val="00D857F8"/>
    <w:rsid w:val="00D86387"/>
    <w:rsid w:val="00D86E83"/>
    <w:rsid w:val="00D87A74"/>
    <w:rsid w:val="00D919DE"/>
    <w:rsid w:val="00D920E3"/>
    <w:rsid w:val="00D92D39"/>
    <w:rsid w:val="00D92F4A"/>
    <w:rsid w:val="00D92FCD"/>
    <w:rsid w:val="00D932E7"/>
    <w:rsid w:val="00D95C2C"/>
    <w:rsid w:val="00D967F7"/>
    <w:rsid w:val="00D96A04"/>
    <w:rsid w:val="00D96CC1"/>
    <w:rsid w:val="00D9705D"/>
    <w:rsid w:val="00D97314"/>
    <w:rsid w:val="00D97396"/>
    <w:rsid w:val="00D97E3B"/>
    <w:rsid w:val="00DA0E82"/>
    <w:rsid w:val="00DA1164"/>
    <w:rsid w:val="00DA1360"/>
    <w:rsid w:val="00DA2FA7"/>
    <w:rsid w:val="00DA3E96"/>
    <w:rsid w:val="00DA54EF"/>
    <w:rsid w:val="00DA566F"/>
    <w:rsid w:val="00DA5D83"/>
    <w:rsid w:val="00DA5E85"/>
    <w:rsid w:val="00DA6A71"/>
    <w:rsid w:val="00DA6AB4"/>
    <w:rsid w:val="00DB18E5"/>
    <w:rsid w:val="00DB275C"/>
    <w:rsid w:val="00DB304A"/>
    <w:rsid w:val="00DB464F"/>
    <w:rsid w:val="00DB4A02"/>
    <w:rsid w:val="00DB661C"/>
    <w:rsid w:val="00DC1C38"/>
    <w:rsid w:val="00DC2D23"/>
    <w:rsid w:val="00DC2FE4"/>
    <w:rsid w:val="00DC6914"/>
    <w:rsid w:val="00DC6D2A"/>
    <w:rsid w:val="00DC73DE"/>
    <w:rsid w:val="00DC7BF6"/>
    <w:rsid w:val="00DC7E01"/>
    <w:rsid w:val="00DD0325"/>
    <w:rsid w:val="00DD075E"/>
    <w:rsid w:val="00DD0F64"/>
    <w:rsid w:val="00DD276C"/>
    <w:rsid w:val="00DD2DEA"/>
    <w:rsid w:val="00DD3C6F"/>
    <w:rsid w:val="00DD452D"/>
    <w:rsid w:val="00DD4E80"/>
    <w:rsid w:val="00DD4FE3"/>
    <w:rsid w:val="00DD60DA"/>
    <w:rsid w:val="00DD6408"/>
    <w:rsid w:val="00DE0839"/>
    <w:rsid w:val="00DE1460"/>
    <w:rsid w:val="00DE1BB2"/>
    <w:rsid w:val="00DE357E"/>
    <w:rsid w:val="00DE402C"/>
    <w:rsid w:val="00DE4552"/>
    <w:rsid w:val="00DE58B2"/>
    <w:rsid w:val="00DE5A36"/>
    <w:rsid w:val="00DE6CFA"/>
    <w:rsid w:val="00DE6FA0"/>
    <w:rsid w:val="00DE7EE0"/>
    <w:rsid w:val="00DF05B8"/>
    <w:rsid w:val="00DF077A"/>
    <w:rsid w:val="00DF0952"/>
    <w:rsid w:val="00DF0B5D"/>
    <w:rsid w:val="00DF2424"/>
    <w:rsid w:val="00DF2461"/>
    <w:rsid w:val="00DF2EBB"/>
    <w:rsid w:val="00DF348E"/>
    <w:rsid w:val="00DF47FC"/>
    <w:rsid w:val="00DF54FC"/>
    <w:rsid w:val="00DF5662"/>
    <w:rsid w:val="00DF5CB9"/>
    <w:rsid w:val="00DF5D8A"/>
    <w:rsid w:val="00DF626A"/>
    <w:rsid w:val="00DF678F"/>
    <w:rsid w:val="00DF6B43"/>
    <w:rsid w:val="00DF6F22"/>
    <w:rsid w:val="00DF7159"/>
    <w:rsid w:val="00DF7F42"/>
    <w:rsid w:val="00E0089E"/>
    <w:rsid w:val="00E00AC9"/>
    <w:rsid w:val="00E00EC2"/>
    <w:rsid w:val="00E02023"/>
    <w:rsid w:val="00E041F1"/>
    <w:rsid w:val="00E04A49"/>
    <w:rsid w:val="00E05EB8"/>
    <w:rsid w:val="00E1044F"/>
    <w:rsid w:val="00E11B9E"/>
    <w:rsid w:val="00E121D5"/>
    <w:rsid w:val="00E12D01"/>
    <w:rsid w:val="00E13386"/>
    <w:rsid w:val="00E133EE"/>
    <w:rsid w:val="00E13BEE"/>
    <w:rsid w:val="00E15035"/>
    <w:rsid w:val="00E15044"/>
    <w:rsid w:val="00E157FA"/>
    <w:rsid w:val="00E16302"/>
    <w:rsid w:val="00E1675D"/>
    <w:rsid w:val="00E16BDE"/>
    <w:rsid w:val="00E173DD"/>
    <w:rsid w:val="00E20127"/>
    <w:rsid w:val="00E20C23"/>
    <w:rsid w:val="00E21899"/>
    <w:rsid w:val="00E219E7"/>
    <w:rsid w:val="00E21B9C"/>
    <w:rsid w:val="00E227D1"/>
    <w:rsid w:val="00E22AD9"/>
    <w:rsid w:val="00E25F05"/>
    <w:rsid w:val="00E26D6A"/>
    <w:rsid w:val="00E30502"/>
    <w:rsid w:val="00E307FE"/>
    <w:rsid w:val="00E30E35"/>
    <w:rsid w:val="00E313B7"/>
    <w:rsid w:val="00E3187E"/>
    <w:rsid w:val="00E31CB1"/>
    <w:rsid w:val="00E32013"/>
    <w:rsid w:val="00E321F1"/>
    <w:rsid w:val="00E32773"/>
    <w:rsid w:val="00E3336B"/>
    <w:rsid w:val="00E3378F"/>
    <w:rsid w:val="00E33E09"/>
    <w:rsid w:val="00E34175"/>
    <w:rsid w:val="00E35413"/>
    <w:rsid w:val="00E35721"/>
    <w:rsid w:val="00E3686B"/>
    <w:rsid w:val="00E3747F"/>
    <w:rsid w:val="00E4163C"/>
    <w:rsid w:val="00E416D0"/>
    <w:rsid w:val="00E41E02"/>
    <w:rsid w:val="00E4255C"/>
    <w:rsid w:val="00E428C1"/>
    <w:rsid w:val="00E439BB"/>
    <w:rsid w:val="00E43AF9"/>
    <w:rsid w:val="00E460AD"/>
    <w:rsid w:val="00E46E94"/>
    <w:rsid w:val="00E47168"/>
    <w:rsid w:val="00E471DE"/>
    <w:rsid w:val="00E4736D"/>
    <w:rsid w:val="00E500AA"/>
    <w:rsid w:val="00E50A07"/>
    <w:rsid w:val="00E510C4"/>
    <w:rsid w:val="00E52523"/>
    <w:rsid w:val="00E54590"/>
    <w:rsid w:val="00E54B1E"/>
    <w:rsid w:val="00E5650A"/>
    <w:rsid w:val="00E5779C"/>
    <w:rsid w:val="00E57AFA"/>
    <w:rsid w:val="00E57E1F"/>
    <w:rsid w:val="00E605F6"/>
    <w:rsid w:val="00E62381"/>
    <w:rsid w:val="00E62943"/>
    <w:rsid w:val="00E63D7E"/>
    <w:rsid w:val="00E65095"/>
    <w:rsid w:val="00E662FB"/>
    <w:rsid w:val="00E66845"/>
    <w:rsid w:val="00E67578"/>
    <w:rsid w:val="00E719C5"/>
    <w:rsid w:val="00E7280F"/>
    <w:rsid w:val="00E730BE"/>
    <w:rsid w:val="00E73561"/>
    <w:rsid w:val="00E73F40"/>
    <w:rsid w:val="00E7410C"/>
    <w:rsid w:val="00E74D30"/>
    <w:rsid w:val="00E7573B"/>
    <w:rsid w:val="00E75E8A"/>
    <w:rsid w:val="00E76848"/>
    <w:rsid w:val="00E804AC"/>
    <w:rsid w:val="00E80CA1"/>
    <w:rsid w:val="00E812B3"/>
    <w:rsid w:val="00E833AA"/>
    <w:rsid w:val="00E84BBC"/>
    <w:rsid w:val="00E84C0B"/>
    <w:rsid w:val="00E85396"/>
    <w:rsid w:val="00E85680"/>
    <w:rsid w:val="00E857D6"/>
    <w:rsid w:val="00E870BE"/>
    <w:rsid w:val="00E873FB"/>
    <w:rsid w:val="00E90372"/>
    <w:rsid w:val="00E9038D"/>
    <w:rsid w:val="00E9077A"/>
    <w:rsid w:val="00E925B7"/>
    <w:rsid w:val="00E92645"/>
    <w:rsid w:val="00E92828"/>
    <w:rsid w:val="00E92CE5"/>
    <w:rsid w:val="00E9409B"/>
    <w:rsid w:val="00E944DA"/>
    <w:rsid w:val="00E94649"/>
    <w:rsid w:val="00E94FBE"/>
    <w:rsid w:val="00E95292"/>
    <w:rsid w:val="00E95830"/>
    <w:rsid w:val="00E96A1E"/>
    <w:rsid w:val="00E96B40"/>
    <w:rsid w:val="00E96DAB"/>
    <w:rsid w:val="00E971D5"/>
    <w:rsid w:val="00E97E52"/>
    <w:rsid w:val="00EA04CC"/>
    <w:rsid w:val="00EA0B74"/>
    <w:rsid w:val="00EA1DF0"/>
    <w:rsid w:val="00EA27A0"/>
    <w:rsid w:val="00EA2F85"/>
    <w:rsid w:val="00EA313D"/>
    <w:rsid w:val="00EA545F"/>
    <w:rsid w:val="00EA61A3"/>
    <w:rsid w:val="00EA6353"/>
    <w:rsid w:val="00EA66F8"/>
    <w:rsid w:val="00EA7B32"/>
    <w:rsid w:val="00EA7C07"/>
    <w:rsid w:val="00EA7CFE"/>
    <w:rsid w:val="00EB0054"/>
    <w:rsid w:val="00EB17D7"/>
    <w:rsid w:val="00EB1B0B"/>
    <w:rsid w:val="00EB1C22"/>
    <w:rsid w:val="00EB2A86"/>
    <w:rsid w:val="00EB35E7"/>
    <w:rsid w:val="00EB45BA"/>
    <w:rsid w:val="00EB4850"/>
    <w:rsid w:val="00EB50B1"/>
    <w:rsid w:val="00EB5377"/>
    <w:rsid w:val="00EB6C82"/>
    <w:rsid w:val="00EB7888"/>
    <w:rsid w:val="00EB7A57"/>
    <w:rsid w:val="00EB7E26"/>
    <w:rsid w:val="00EC023E"/>
    <w:rsid w:val="00EC0709"/>
    <w:rsid w:val="00EC07C8"/>
    <w:rsid w:val="00EC1669"/>
    <w:rsid w:val="00EC2858"/>
    <w:rsid w:val="00EC2C89"/>
    <w:rsid w:val="00EC3E6B"/>
    <w:rsid w:val="00ED0B9D"/>
    <w:rsid w:val="00ED3578"/>
    <w:rsid w:val="00ED4B7E"/>
    <w:rsid w:val="00ED5333"/>
    <w:rsid w:val="00ED5506"/>
    <w:rsid w:val="00ED66DB"/>
    <w:rsid w:val="00ED671A"/>
    <w:rsid w:val="00ED6879"/>
    <w:rsid w:val="00ED6AB8"/>
    <w:rsid w:val="00ED718F"/>
    <w:rsid w:val="00ED759B"/>
    <w:rsid w:val="00ED77BB"/>
    <w:rsid w:val="00ED7C1B"/>
    <w:rsid w:val="00EE11C9"/>
    <w:rsid w:val="00EE16CB"/>
    <w:rsid w:val="00EE265C"/>
    <w:rsid w:val="00EE3B80"/>
    <w:rsid w:val="00EE3E58"/>
    <w:rsid w:val="00EE540D"/>
    <w:rsid w:val="00EE56E5"/>
    <w:rsid w:val="00EE6BC1"/>
    <w:rsid w:val="00EE6EDD"/>
    <w:rsid w:val="00EE6FD9"/>
    <w:rsid w:val="00EF3E3B"/>
    <w:rsid w:val="00EF3FAE"/>
    <w:rsid w:val="00EF47F5"/>
    <w:rsid w:val="00EF48C8"/>
    <w:rsid w:val="00EF4B3A"/>
    <w:rsid w:val="00EF4DAC"/>
    <w:rsid w:val="00EF6846"/>
    <w:rsid w:val="00EF7AAD"/>
    <w:rsid w:val="00EFBA46"/>
    <w:rsid w:val="00F0191C"/>
    <w:rsid w:val="00F05B76"/>
    <w:rsid w:val="00F06327"/>
    <w:rsid w:val="00F06AD7"/>
    <w:rsid w:val="00F1031F"/>
    <w:rsid w:val="00F104B9"/>
    <w:rsid w:val="00F109D8"/>
    <w:rsid w:val="00F11774"/>
    <w:rsid w:val="00F131CA"/>
    <w:rsid w:val="00F149E9"/>
    <w:rsid w:val="00F15172"/>
    <w:rsid w:val="00F152AC"/>
    <w:rsid w:val="00F1560D"/>
    <w:rsid w:val="00F15D60"/>
    <w:rsid w:val="00F1613D"/>
    <w:rsid w:val="00F16C16"/>
    <w:rsid w:val="00F17A52"/>
    <w:rsid w:val="00F17B63"/>
    <w:rsid w:val="00F20853"/>
    <w:rsid w:val="00F21FD6"/>
    <w:rsid w:val="00F22FCD"/>
    <w:rsid w:val="00F242D6"/>
    <w:rsid w:val="00F2559A"/>
    <w:rsid w:val="00F25BC9"/>
    <w:rsid w:val="00F25D16"/>
    <w:rsid w:val="00F25DA0"/>
    <w:rsid w:val="00F27846"/>
    <w:rsid w:val="00F30344"/>
    <w:rsid w:val="00F30417"/>
    <w:rsid w:val="00F30E4C"/>
    <w:rsid w:val="00F313E7"/>
    <w:rsid w:val="00F32023"/>
    <w:rsid w:val="00F32777"/>
    <w:rsid w:val="00F33133"/>
    <w:rsid w:val="00F33285"/>
    <w:rsid w:val="00F3389D"/>
    <w:rsid w:val="00F33C4E"/>
    <w:rsid w:val="00F33C69"/>
    <w:rsid w:val="00F3431A"/>
    <w:rsid w:val="00F34B35"/>
    <w:rsid w:val="00F35268"/>
    <w:rsid w:val="00F35478"/>
    <w:rsid w:val="00F35DDF"/>
    <w:rsid w:val="00F37722"/>
    <w:rsid w:val="00F37B07"/>
    <w:rsid w:val="00F37C3C"/>
    <w:rsid w:val="00F37EB3"/>
    <w:rsid w:val="00F41668"/>
    <w:rsid w:val="00F42C19"/>
    <w:rsid w:val="00F44034"/>
    <w:rsid w:val="00F44057"/>
    <w:rsid w:val="00F4416C"/>
    <w:rsid w:val="00F445C3"/>
    <w:rsid w:val="00F44DA3"/>
    <w:rsid w:val="00F453EF"/>
    <w:rsid w:val="00F459EE"/>
    <w:rsid w:val="00F45FEF"/>
    <w:rsid w:val="00F465C2"/>
    <w:rsid w:val="00F46887"/>
    <w:rsid w:val="00F469D3"/>
    <w:rsid w:val="00F50B09"/>
    <w:rsid w:val="00F50B48"/>
    <w:rsid w:val="00F50E40"/>
    <w:rsid w:val="00F51496"/>
    <w:rsid w:val="00F51C8A"/>
    <w:rsid w:val="00F51F59"/>
    <w:rsid w:val="00F55942"/>
    <w:rsid w:val="00F56F1F"/>
    <w:rsid w:val="00F5729D"/>
    <w:rsid w:val="00F57383"/>
    <w:rsid w:val="00F60F07"/>
    <w:rsid w:val="00F636D6"/>
    <w:rsid w:val="00F63D7D"/>
    <w:rsid w:val="00F64490"/>
    <w:rsid w:val="00F64ECD"/>
    <w:rsid w:val="00F6626B"/>
    <w:rsid w:val="00F66676"/>
    <w:rsid w:val="00F673B2"/>
    <w:rsid w:val="00F703F6"/>
    <w:rsid w:val="00F70AAD"/>
    <w:rsid w:val="00F72C61"/>
    <w:rsid w:val="00F73118"/>
    <w:rsid w:val="00F73228"/>
    <w:rsid w:val="00F73FC2"/>
    <w:rsid w:val="00F74727"/>
    <w:rsid w:val="00F76B58"/>
    <w:rsid w:val="00F76C9F"/>
    <w:rsid w:val="00F77938"/>
    <w:rsid w:val="00F8169A"/>
    <w:rsid w:val="00F82F62"/>
    <w:rsid w:val="00F8332A"/>
    <w:rsid w:val="00F83849"/>
    <w:rsid w:val="00F83E68"/>
    <w:rsid w:val="00F84CC7"/>
    <w:rsid w:val="00F85B8D"/>
    <w:rsid w:val="00F85D48"/>
    <w:rsid w:val="00F85D80"/>
    <w:rsid w:val="00F862EA"/>
    <w:rsid w:val="00F86ACA"/>
    <w:rsid w:val="00F86F75"/>
    <w:rsid w:val="00F87183"/>
    <w:rsid w:val="00F87556"/>
    <w:rsid w:val="00F90ED3"/>
    <w:rsid w:val="00F910D9"/>
    <w:rsid w:val="00F9121E"/>
    <w:rsid w:val="00F9195E"/>
    <w:rsid w:val="00F93436"/>
    <w:rsid w:val="00F964CA"/>
    <w:rsid w:val="00F96A65"/>
    <w:rsid w:val="00F96ADF"/>
    <w:rsid w:val="00F96E13"/>
    <w:rsid w:val="00F96F18"/>
    <w:rsid w:val="00F97C4B"/>
    <w:rsid w:val="00FA025C"/>
    <w:rsid w:val="00FA0CA8"/>
    <w:rsid w:val="00FA1090"/>
    <w:rsid w:val="00FA1B80"/>
    <w:rsid w:val="00FA1C08"/>
    <w:rsid w:val="00FA1C43"/>
    <w:rsid w:val="00FA1EC2"/>
    <w:rsid w:val="00FA38C9"/>
    <w:rsid w:val="00FA4393"/>
    <w:rsid w:val="00FA56D0"/>
    <w:rsid w:val="00FA6264"/>
    <w:rsid w:val="00FA6B72"/>
    <w:rsid w:val="00FA6D53"/>
    <w:rsid w:val="00FA71A4"/>
    <w:rsid w:val="00FB0D81"/>
    <w:rsid w:val="00FB0E38"/>
    <w:rsid w:val="00FB19F2"/>
    <w:rsid w:val="00FB1A35"/>
    <w:rsid w:val="00FB21FE"/>
    <w:rsid w:val="00FB3D9F"/>
    <w:rsid w:val="00FB5434"/>
    <w:rsid w:val="00FB55E7"/>
    <w:rsid w:val="00FB579A"/>
    <w:rsid w:val="00FB5A0E"/>
    <w:rsid w:val="00FB5B2C"/>
    <w:rsid w:val="00FB5EA3"/>
    <w:rsid w:val="00FB60A0"/>
    <w:rsid w:val="00FB7114"/>
    <w:rsid w:val="00FB7BF4"/>
    <w:rsid w:val="00FC054E"/>
    <w:rsid w:val="00FC0A2C"/>
    <w:rsid w:val="00FC1B3A"/>
    <w:rsid w:val="00FC2149"/>
    <w:rsid w:val="00FC2D01"/>
    <w:rsid w:val="00FC39FC"/>
    <w:rsid w:val="00FC3C52"/>
    <w:rsid w:val="00FC5624"/>
    <w:rsid w:val="00FC5D0B"/>
    <w:rsid w:val="00FC5D12"/>
    <w:rsid w:val="00FC7FA9"/>
    <w:rsid w:val="00FD12B7"/>
    <w:rsid w:val="00FD14A1"/>
    <w:rsid w:val="00FD1BB8"/>
    <w:rsid w:val="00FD33C6"/>
    <w:rsid w:val="00FD34C0"/>
    <w:rsid w:val="00FD4027"/>
    <w:rsid w:val="00FD507F"/>
    <w:rsid w:val="00FD7A79"/>
    <w:rsid w:val="00FE10FE"/>
    <w:rsid w:val="00FE1A22"/>
    <w:rsid w:val="00FE1A9C"/>
    <w:rsid w:val="00FE2884"/>
    <w:rsid w:val="00FE28AF"/>
    <w:rsid w:val="00FE301F"/>
    <w:rsid w:val="00FE357D"/>
    <w:rsid w:val="00FE3907"/>
    <w:rsid w:val="00FE39BB"/>
    <w:rsid w:val="00FE3F2B"/>
    <w:rsid w:val="00FE42C5"/>
    <w:rsid w:val="00FE4453"/>
    <w:rsid w:val="00FE4BD7"/>
    <w:rsid w:val="00FE5912"/>
    <w:rsid w:val="00FE6BD0"/>
    <w:rsid w:val="00FE7330"/>
    <w:rsid w:val="00FE7852"/>
    <w:rsid w:val="00FE7B02"/>
    <w:rsid w:val="00FE7B07"/>
    <w:rsid w:val="00FE7CB4"/>
    <w:rsid w:val="00FF0120"/>
    <w:rsid w:val="00FF0EFA"/>
    <w:rsid w:val="00FF1FC8"/>
    <w:rsid w:val="00FF252B"/>
    <w:rsid w:val="00FF3778"/>
    <w:rsid w:val="00FF3B8F"/>
    <w:rsid w:val="00FF457F"/>
    <w:rsid w:val="00FF4896"/>
    <w:rsid w:val="00FF4A60"/>
    <w:rsid w:val="00FF5058"/>
    <w:rsid w:val="00FF5154"/>
    <w:rsid w:val="00FF5451"/>
    <w:rsid w:val="00FF7403"/>
    <w:rsid w:val="00FF7E96"/>
    <w:rsid w:val="0103534B"/>
    <w:rsid w:val="0103C249"/>
    <w:rsid w:val="01055AE0"/>
    <w:rsid w:val="0111BBEB"/>
    <w:rsid w:val="0112C4E0"/>
    <w:rsid w:val="01222106"/>
    <w:rsid w:val="012638F9"/>
    <w:rsid w:val="012811C2"/>
    <w:rsid w:val="012F11A0"/>
    <w:rsid w:val="013BD295"/>
    <w:rsid w:val="01421247"/>
    <w:rsid w:val="016068C5"/>
    <w:rsid w:val="0172E075"/>
    <w:rsid w:val="0191C254"/>
    <w:rsid w:val="01B1B6F6"/>
    <w:rsid w:val="01B4C967"/>
    <w:rsid w:val="01C26614"/>
    <w:rsid w:val="01C52880"/>
    <w:rsid w:val="01DA1A80"/>
    <w:rsid w:val="01E883D5"/>
    <w:rsid w:val="01EEBAA8"/>
    <w:rsid w:val="0213AA04"/>
    <w:rsid w:val="0223AF59"/>
    <w:rsid w:val="0227091C"/>
    <w:rsid w:val="0227AEF8"/>
    <w:rsid w:val="0235BB41"/>
    <w:rsid w:val="023EB2D9"/>
    <w:rsid w:val="023EEBC8"/>
    <w:rsid w:val="02553B4F"/>
    <w:rsid w:val="02568E9C"/>
    <w:rsid w:val="026D7236"/>
    <w:rsid w:val="0272EC89"/>
    <w:rsid w:val="0287632A"/>
    <w:rsid w:val="02906BE7"/>
    <w:rsid w:val="02912BB4"/>
    <w:rsid w:val="029311FC"/>
    <w:rsid w:val="0298D1BA"/>
    <w:rsid w:val="0299C789"/>
    <w:rsid w:val="029B3016"/>
    <w:rsid w:val="02AD9683"/>
    <w:rsid w:val="02B49240"/>
    <w:rsid w:val="02C0CECC"/>
    <w:rsid w:val="02C4E968"/>
    <w:rsid w:val="02CEC013"/>
    <w:rsid w:val="02F5E2C0"/>
    <w:rsid w:val="0301E0FA"/>
    <w:rsid w:val="030CD0B5"/>
    <w:rsid w:val="0316B260"/>
    <w:rsid w:val="03175E09"/>
    <w:rsid w:val="031924D1"/>
    <w:rsid w:val="0327EEEC"/>
    <w:rsid w:val="03443493"/>
    <w:rsid w:val="03451490"/>
    <w:rsid w:val="0358327F"/>
    <w:rsid w:val="035D4146"/>
    <w:rsid w:val="035DB7B6"/>
    <w:rsid w:val="035F5CA9"/>
    <w:rsid w:val="03670DE1"/>
    <w:rsid w:val="03813929"/>
    <w:rsid w:val="0382C70A"/>
    <w:rsid w:val="0398375A"/>
    <w:rsid w:val="0398AB4E"/>
    <w:rsid w:val="03A233BB"/>
    <w:rsid w:val="03B23A84"/>
    <w:rsid w:val="03B45C69"/>
    <w:rsid w:val="03BC5B07"/>
    <w:rsid w:val="03C33063"/>
    <w:rsid w:val="03C49193"/>
    <w:rsid w:val="03CA3D77"/>
    <w:rsid w:val="03D805E8"/>
    <w:rsid w:val="03F2D95E"/>
    <w:rsid w:val="03F440A6"/>
    <w:rsid w:val="0400507C"/>
    <w:rsid w:val="040CC1B0"/>
    <w:rsid w:val="04192F3C"/>
    <w:rsid w:val="042D666B"/>
    <w:rsid w:val="0435E477"/>
    <w:rsid w:val="0447537C"/>
    <w:rsid w:val="044C5713"/>
    <w:rsid w:val="044C97E1"/>
    <w:rsid w:val="0466F77A"/>
    <w:rsid w:val="04784573"/>
    <w:rsid w:val="0482B21D"/>
    <w:rsid w:val="048D0F51"/>
    <w:rsid w:val="048DF7B8"/>
    <w:rsid w:val="049BD8DA"/>
    <w:rsid w:val="049F2F02"/>
    <w:rsid w:val="04A21190"/>
    <w:rsid w:val="04A3E032"/>
    <w:rsid w:val="04B3A0CE"/>
    <w:rsid w:val="04CC1852"/>
    <w:rsid w:val="04DE3386"/>
    <w:rsid w:val="04E293F4"/>
    <w:rsid w:val="04E82144"/>
    <w:rsid w:val="04EE1123"/>
    <w:rsid w:val="050DB4D4"/>
    <w:rsid w:val="0510E08A"/>
    <w:rsid w:val="052C49DD"/>
    <w:rsid w:val="05302923"/>
    <w:rsid w:val="0531DB87"/>
    <w:rsid w:val="053BA7E9"/>
    <w:rsid w:val="0542DFC5"/>
    <w:rsid w:val="05441F95"/>
    <w:rsid w:val="05500A56"/>
    <w:rsid w:val="055A2635"/>
    <w:rsid w:val="0565E952"/>
    <w:rsid w:val="056F069C"/>
    <w:rsid w:val="058368AB"/>
    <w:rsid w:val="0586EF5E"/>
    <w:rsid w:val="059AAF5E"/>
    <w:rsid w:val="059DE69B"/>
    <w:rsid w:val="05BFC8B8"/>
    <w:rsid w:val="05C2AFCD"/>
    <w:rsid w:val="05C4F319"/>
    <w:rsid w:val="05EA2F9C"/>
    <w:rsid w:val="05F19D5D"/>
    <w:rsid w:val="05FA7783"/>
    <w:rsid w:val="06058534"/>
    <w:rsid w:val="0616BB3B"/>
    <w:rsid w:val="061DFE07"/>
    <w:rsid w:val="06425A1A"/>
    <w:rsid w:val="0646CE07"/>
    <w:rsid w:val="064F4FD7"/>
    <w:rsid w:val="0663187C"/>
    <w:rsid w:val="06777F08"/>
    <w:rsid w:val="067A8596"/>
    <w:rsid w:val="068B25B6"/>
    <w:rsid w:val="068D3C45"/>
    <w:rsid w:val="06963489"/>
    <w:rsid w:val="06A3DA3B"/>
    <w:rsid w:val="06AE6B8D"/>
    <w:rsid w:val="06B0000A"/>
    <w:rsid w:val="06B1C737"/>
    <w:rsid w:val="06C14935"/>
    <w:rsid w:val="06C7C9F7"/>
    <w:rsid w:val="06D1055E"/>
    <w:rsid w:val="06D72124"/>
    <w:rsid w:val="06DF707A"/>
    <w:rsid w:val="06DFD37D"/>
    <w:rsid w:val="06F84EA6"/>
    <w:rsid w:val="06FED142"/>
    <w:rsid w:val="0711A1A9"/>
    <w:rsid w:val="071CB3F4"/>
    <w:rsid w:val="073ACA3A"/>
    <w:rsid w:val="073EB95E"/>
    <w:rsid w:val="0742B01C"/>
    <w:rsid w:val="0768AAF2"/>
    <w:rsid w:val="0771DACA"/>
    <w:rsid w:val="077B61E5"/>
    <w:rsid w:val="0784B89D"/>
    <w:rsid w:val="0791259F"/>
    <w:rsid w:val="0796A9B0"/>
    <w:rsid w:val="0796FA11"/>
    <w:rsid w:val="079D9C05"/>
    <w:rsid w:val="07A503C3"/>
    <w:rsid w:val="07AEC25E"/>
    <w:rsid w:val="07B6BC9B"/>
    <w:rsid w:val="07B95647"/>
    <w:rsid w:val="07BD5642"/>
    <w:rsid w:val="07CAD27D"/>
    <w:rsid w:val="07CD3F4A"/>
    <w:rsid w:val="07CF66C3"/>
    <w:rsid w:val="07E0B42D"/>
    <w:rsid w:val="07E55FCF"/>
    <w:rsid w:val="07ED6603"/>
    <w:rsid w:val="07F93831"/>
    <w:rsid w:val="081A72E8"/>
    <w:rsid w:val="0824E737"/>
    <w:rsid w:val="082AFDB5"/>
    <w:rsid w:val="08317C16"/>
    <w:rsid w:val="083D0497"/>
    <w:rsid w:val="08421967"/>
    <w:rsid w:val="0854C148"/>
    <w:rsid w:val="08581E77"/>
    <w:rsid w:val="085D6336"/>
    <w:rsid w:val="085E60BE"/>
    <w:rsid w:val="0865D177"/>
    <w:rsid w:val="08666882"/>
    <w:rsid w:val="086C2FC3"/>
    <w:rsid w:val="0888829A"/>
    <w:rsid w:val="0892000C"/>
    <w:rsid w:val="08930179"/>
    <w:rsid w:val="08A32E37"/>
    <w:rsid w:val="08B09D67"/>
    <w:rsid w:val="08B20023"/>
    <w:rsid w:val="08B4512C"/>
    <w:rsid w:val="08B53D5A"/>
    <w:rsid w:val="08B7F497"/>
    <w:rsid w:val="08BA9D10"/>
    <w:rsid w:val="08CC9DD6"/>
    <w:rsid w:val="08D1F344"/>
    <w:rsid w:val="08D92AA4"/>
    <w:rsid w:val="08E37F00"/>
    <w:rsid w:val="08E76CB3"/>
    <w:rsid w:val="08EF087A"/>
    <w:rsid w:val="08F8BC24"/>
    <w:rsid w:val="09027CD0"/>
    <w:rsid w:val="0922851B"/>
    <w:rsid w:val="092442D3"/>
    <w:rsid w:val="0929049C"/>
    <w:rsid w:val="092CAE79"/>
    <w:rsid w:val="092DBC5C"/>
    <w:rsid w:val="093F0989"/>
    <w:rsid w:val="0952F956"/>
    <w:rsid w:val="0966D44E"/>
    <w:rsid w:val="097DE560"/>
    <w:rsid w:val="0985594A"/>
    <w:rsid w:val="09855FF6"/>
    <w:rsid w:val="099071C2"/>
    <w:rsid w:val="0998B020"/>
    <w:rsid w:val="09CCFF03"/>
    <w:rsid w:val="09CD9E8B"/>
    <w:rsid w:val="09CED76C"/>
    <w:rsid w:val="09D1F6D4"/>
    <w:rsid w:val="09D28D7F"/>
    <w:rsid w:val="09D51B16"/>
    <w:rsid w:val="09D92D05"/>
    <w:rsid w:val="09DE8A37"/>
    <w:rsid w:val="09F02256"/>
    <w:rsid w:val="0A19E272"/>
    <w:rsid w:val="0A20214B"/>
    <w:rsid w:val="0A22171F"/>
    <w:rsid w:val="0A237BDC"/>
    <w:rsid w:val="0A28F33C"/>
    <w:rsid w:val="0A2CDBC7"/>
    <w:rsid w:val="0A2D3EC3"/>
    <w:rsid w:val="0A2E21F7"/>
    <w:rsid w:val="0A310842"/>
    <w:rsid w:val="0A3EE929"/>
    <w:rsid w:val="0A51BB69"/>
    <w:rsid w:val="0A52C673"/>
    <w:rsid w:val="0A6B348C"/>
    <w:rsid w:val="0A708AB0"/>
    <w:rsid w:val="0A72FF2F"/>
    <w:rsid w:val="0A7DBF03"/>
    <w:rsid w:val="0A8BF9FB"/>
    <w:rsid w:val="0A9EE9EA"/>
    <w:rsid w:val="0AA125A7"/>
    <w:rsid w:val="0AB0AE73"/>
    <w:rsid w:val="0ABA0AAD"/>
    <w:rsid w:val="0AC5F259"/>
    <w:rsid w:val="0ACF1FF0"/>
    <w:rsid w:val="0AD4983B"/>
    <w:rsid w:val="0ADBCCB3"/>
    <w:rsid w:val="0AE8CA11"/>
    <w:rsid w:val="0AEEDFF2"/>
    <w:rsid w:val="0AF20784"/>
    <w:rsid w:val="0AF24232"/>
    <w:rsid w:val="0AFB7413"/>
    <w:rsid w:val="0B0247B0"/>
    <w:rsid w:val="0B150254"/>
    <w:rsid w:val="0B239528"/>
    <w:rsid w:val="0B31AB56"/>
    <w:rsid w:val="0B35DD09"/>
    <w:rsid w:val="0B408A28"/>
    <w:rsid w:val="0B4564D1"/>
    <w:rsid w:val="0B4A306A"/>
    <w:rsid w:val="0B4A5382"/>
    <w:rsid w:val="0B4FD2E1"/>
    <w:rsid w:val="0B66C0AD"/>
    <w:rsid w:val="0B66F702"/>
    <w:rsid w:val="0B771A5C"/>
    <w:rsid w:val="0B83ABC1"/>
    <w:rsid w:val="0B8544BB"/>
    <w:rsid w:val="0BA69643"/>
    <w:rsid w:val="0BA6F9A4"/>
    <w:rsid w:val="0BA81A08"/>
    <w:rsid w:val="0BAE8AE6"/>
    <w:rsid w:val="0BB7C558"/>
    <w:rsid w:val="0BBBC4CF"/>
    <w:rsid w:val="0BC86671"/>
    <w:rsid w:val="0BD8DEE9"/>
    <w:rsid w:val="0BE02508"/>
    <w:rsid w:val="0BEEF215"/>
    <w:rsid w:val="0BF7110A"/>
    <w:rsid w:val="0BF94E04"/>
    <w:rsid w:val="0BFD6F59"/>
    <w:rsid w:val="0C013FE0"/>
    <w:rsid w:val="0C0D046D"/>
    <w:rsid w:val="0C182002"/>
    <w:rsid w:val="0C1FF726"/>
    <w:rsid w:val="0C255254"/>
    <w:rsid w:val="0C2F845D"/>
    <w:rsid w:val="0C345A33"/>
    <w:rsid w:val="0C352466"/>
    <w:rsid w:val="0C386FCA"/>
    <w:rsid w:val="0C3D8758"/>
    <w:rsid w:val="0C43D5E7"/>
    <w:rsid w:val="0C4562C0"/>
    <w:rsid w:val="0C4BFA83"/>
    <w:rsid w:val="0C503B58"/>
    <w:rsid w:val="0C6A7E5D"/>
    <w:rsid w:val="0C6B1652"/>
    <w:rsid w:val="0C7E2AD4"/>
    <w:rsid w:val="0C86B403"/>
    <w:rsid w:val="0C95FC09"/>
    <w:rsid w:val="0CBD1055"/>
    <w:rsid w:val="0CBDDF4D"/>
    <w:rsid w:val="0CCB2861"/>
    <w:rsid w:val="0CCE1418"/>
    <w:rsid w:val="0CD0E2CB"/>
    <w:rsid w:val="0CD2C6A8"/>
    <w:rsid w:val="0CE490CF"/>
    <w:rsid w:val="0CE5EFE6"/>
    <w:rsid w:val="0D0F38D4"/>
    <w:rsid w:val="0D2141D3"/>
    <w:rsid w:val="0D41D9ED"/>
    <w:rsid w:val="0D56A057"/>
    <w:rsid w:val="0D5C86CC"/>
    <w:rsid w:val="0D6A2AC6"/>
    <w:rsid w:val="0D733EA2"/>
    <w:rsid w:val="0D783B9F"/>
    <w:rsid w:val="0D92A55A"/>
    <w:rsid w:val="0D95CB1B"/>
    <w:rsid w:val="0D95FF5A"/>
    <w:rsid w:val="0D9A45F4"/>
    <w:rsid w:val="0DA923CF"/>
    <w:rsid w:val="0DB9DB20"/>
    <w:rsid w:val="0DBCC911"/>
    <w:rsid w:val="0DC53D73"/>
    <w:rsid w:val="0DD06CB1"/>
    <w:rsid w:val="0DE77305"/>
    <w:rsid w:val="0DE91216"/>
    <w:rsid w:val="0DEEF13C"/>
    <w:rsid w:val="0DFE9127"/>
    <w:rsid w:val="0E25495F"/>
    <w:rsid w:val="0E39BB9D"/>
    <w:rsid w:val="0E556DB3"/>
    <w:rsid w:val="0E5E3EF7"/>
    <w:rsid w:val="0E7AE64E"/>
    <w:rsid w:val="0E7FCF64"/>
    <w:rsid w:val="0E846E35"/>
    <w:rsid w:val="0E8DC5CB"/>
    <w:rsid w:val="0E96B311"/>
    <w:rsid w:val="0EA44785"/>
    <w:rsid w:val="0EB1DFC0"/>
    <w:rsid w:val="0EB5A9C2"/>
    <w:rsid w:val="0EB8112E"/>
    <w:rsid w:val="0EC01674"/>
    <w:rsid w:val="0EC6FB6D"/>
    <w:rsid w:val="0ED37FF9"/>
    <w:rsid w:val="0EE2D6BA"/>
    <w:rsid w:val="0EEFA48F"/>
    <w:rsid w:val="0EEFE022"/>
    <w:rsid w:val="0EF2E2DA"/>
    <w:rsid w:val="0F442283"/>
    <w:rsid w:val="0F83C493"/>
    <w:rsid w:val="0F8581A4"/>
    <w:rsid w:val="0F8F8B60"/>
    <w:rsid w:val="0F9B1276"/>
    <w:rsid w:val="0FA0F479"/>
    <w:rsid w:val="0FAEA48D"/>
    <w:rsid w:val="0FC0C8C3"/>
    <w:rsid w:val="0FC17A25"/>
    <w:rsid w:val="0FE60EEC"/>
    <w:rsid w:val="0FE9DC5C"/>
    <w:rsid w:val="10040BA0"/>
    <w:rsid w:val="10093936"/>
    <w:rsid w:val="100E2025"/>
    <w:rsid w:val="100EAD51"/>
    <w:rsid w:val="100EB296"/>
    <w:rsid w:val="10202639"/>
    <w:rsid w:val="10202934"/>
    <w:rsid w:val="10274E6D"/>
    <w:rsid w:val="103CCF91"/>
    <w:rsid w:val="103E66B0"/>
    <w:rsid w:val="103F6379"/>
    <w:rsid w:val="10491B54"/>
    <w:rsid w:val="104B6AAA"/>
    <w:rsid w:val="1050A07F"/>
    <w:rsid w:val="105A4287"/>
    <w:rsid w:val="106CE1FE"/>
    <w:rsid w:val="107EDC0A"/>
    <w:rsid w:val="10800817"/>
    <w:rsid w:val="1082B051"/>
    <w:rsid w:val="1090C80A"/>
    <w:rsid w:val="1097A46C"/>
    <w:rsid w:val="10A0E429"/>
    <w:rsid w:val="10A3A9A4"/>
    <w:rsid w:val="10AE3392"/>
    <w:rsid w:val="10B6BB4E"/>
    <w:rsid w:val="10DB5CE3"/>
    <w:rsid w:val="10DC99D3"/>
    <w:rsid w:val="10DF68D8"/>
    <w:rsid w:val="10EEABE2"/>
    <w:rsid w:val="10F4B4E2"/>
    <w:rsid w:val="10F70023"/>
    <w:rsid w:val="10FD2DAD"/>
    <w:rsid w:val="10FDA75B"/>
    <w:rsid w:val="10FFB8E6"/>
    <w:rsid w:val="1101E71C"/>
    <w:rsid w:val="11038736"/>
    <w:rsid w:val="11131899"/>
    <w:rsid w:val="11255352"/>
    <w:rsid w:val="112ECF7D"/>
    <w:rsid w:val="112EE07A"/>
    <w:rsid w:val="1159B88B"/>
    <w:rsid w:val="116FE8CD"/>
    <w:rsid w:val="117AA4D5"/>
    <w:rsid w:val="117E88D4"/>
    <w:rsid w:val="11834156"/>
    <w:rsid w:val="119A702B"/>
    <w:rsid w:val="11A14E0B"/>
    <w:rsid w:val="11B11114"/>
    <w:rsid w:val="11B8BD3F"/>
    <w:rsid w:val="11BC7FD8"/>
    <w:rsid w:val="11C80EC3"/>
    <w:rsid w:val="11D7889C"/>
    <w:rsid w:val="11DE8046"/>
    <w:rsid w:val="11E1F9C6"/>
    <w:rsid w:val="11E6A28E"/>
    <w:rsid w:val="11ED3407"/>
    <w:rsid w:val="11FB4B5F"/>
    <w:rsid w:val="1201655D"/>
    <w:rsid w:val="1216A82D"/>
    <w:rsid w:val="122A3EE6"/>
    <w:rsid w:val="12379848"/>
    <w:rsid w:val="1239202F"/>
    <w:rsid w:val="123E601D"/>
    <w:rsid w:val="1248EDD5"/>
    <w:rsid w:val="127539E6"/>
    <w:rsid w:val="12783AD6"/>
    <w:rsid w:val="129886D3"/>
    <w:rsid w:val="12AF0C8D"/>
    <w:rsid w:val="12B3EA0C"/>
    <w:rsid w:val="12BB848F"/>
    <w:rsid w:val="12C91284"/>
    <w:rsid w:val="12CC354C"/>
    <w:rsid w:val="12CE5E85"/>
    <w:rsid w:val="12D47CF5"/>
    <w:rsid w:val="12DEE6A0"/>
    <w:rsid w:val="12DEEB41"/>
    <w:rsid w:val="12E0A738"/>
    <w:rsid w:val="12E6BC43"/>
    <w:rsid w:val="12F0926E"/>
    <w:rsid w:val="12F6CBB5"/>
    <w:rsid w:val="130579C6"/>
    <w:rsid w:val="131F3453"/>
    <w:rsid w:val="1333C192"/>
    <w:rsid w:val="13369E65"/>
    <w:rsid w:val="133F598E"/>
    <w:rsid w:val="13445DB4"/>
    <w:rsid w:val="135A258D"/>
    <w:rsid w:val="1367B0EA"/>
    <w:rsid w:val="137AB321"/>
    <w:rsid w:val="13972BE7"/>
    <w:rsid w:val="13B8CFC6"/>
    <w:rsid w:val="13C6D0EC"/>
    <w:rsid w:val="13CEFFC6"/>
    <w:rsid w:val="13D0649C"/>
    <w:rsid w:val="13DB2911"/>
    <w:rsid w:val="13ED679A"/>
    <w:rsid w:val="13F7EAE6"/>
    <w:rsid w:val="13F86824"/>
    <w:rsid w:val="140144F3"/>
    <w:rsid w:val="1405C974"/>
    <w:rsid w:val="140E3614"/>
    <w:rsid w:val="140F99FE"/>
    <w:rsid w:val="140FD9F4"/>
    <w:rsid w:val="14254726"/>
    <w:rsid w:val="1428381B"/>
    <w:rsid w:val="142B828E"/>
    <w:rsid w:val="142BE4F9"/>
    <w:rsid w:val="1430740A"/>
    <w:rsid w:val="1430884C"/>
    <w:rsid w:val="143E9608"/>
    <w:rsid w:val="1441F778"/>
    <w:rsid w:val="14454611"/>
    <w:rsid w:val="1446E01F"/>
    <w:rsid w:val="14495B9E"/>
    <w:rsid w:val="145109F1"/>
    <w:rsid w:val="14542302"/>
    <w:rsid w:val="14570167"/>
    <w:rsid w:val="14668C29"/>
    <w:rsid w:val="14669CAE"/>
    <w:rsid w:val="146A7BBD"/>
    <w:rsid w:val="146EA466"/>
    <w:rsid w:val="1470ADB2"/>
    <w:rsid w:val="147E9A29"/>
    <w:rsid w:val="14935F0B"/>
    <w:rsid w:val="1497E95E"/>
    <w:rsid w:val="14AAC229"/>
    <w:rsid w:val="14B299A2"/>
    <w:rsid w:val="14BE5AC4"/>
    <w:rsid w:val="14C1B21F"/>
    <w:rsid w:val="14C25856"/>
    <w:rsid w:val="14DF1A45"/>
    <w:rsid w:val="14E15BC6"/>
    <w:rsid w:val="14E56DB0"/>
    <w:rsid w:val="14E84E38"/>
    <w:rsid w:val="14F60D6A"/>
    <w:rsid w:val="151681D9"/>
    <w:rsid w:val="1520CD98"/>
    <w:rsid w:val="15219D8F"/>
    <w:rsid w:val="15460F80"/>
    <w:rsid w:val="1554B0EC"/>
    <w:rsid w:val="1555CE46"/>
    <w:rsid w:val="15649993"/>
    <w:rsid w:val="15673EE1"/>
    <w:rsid w:val="157C28C4"/>
    <w:rsid w:val="157D8F59"/>
    <w:rsid w:val="15833D48"/>
    <w:rsid w:val="158B9294"/>
    <w:rsid w:val="158D3F38"/>
    <w:rsid w:val="159DA943"/>
    <w:rsid w:val="15C5C2AB"/>
    <w:rsid w:val="15DD7EC2"/>
    <w:rsid w:val="15E323D8"/>
    <w:rsid w:val="15EA94C2"/>
    <w:rsid w:val="15FC9A19"/>
    <w:rsid w:val="161FCEAC"/>
    <w:rsid w:val="1630487C"/>
    <w:rsid w:val="1633871E"/>
    <w:rsid w:val="16342545"/>
    <w:rsid w:val="16374A3D"/>
    <w:rsid w:val="1639C8D1"/>
    <w:rsid w:val="163EBFBC"/>
    <w:rsid w:val="166C0C05"/>
    <w:rsid w:val="169F496F"/>
    <w:rsid w:val="16B0D02B"/>
    <w:rsid w:val="16B41650"/>
    <w:rsid w:val="16B4B8D6"/>
    <w:rsid w:val="16BD4D4F"/>
    <w:rsid w:val="16C0D4D5"/>
    <w:rsid w:val="16CAFA10"/>
    <w:rsid w:val="16D0513F"/>
    <w:rsid w:val="16D4D841"/>
    <w:rsid w:val="16EDC07D"/>
    <w:rsid w:val="16F1C93F"/>
    <w:rsid w:val="17113543"/>
    <w:rsid w:val="171B0ED9"/>
    <w:rsid w:val="17208DFE"/>
    <w:rsid w:val="17241D8D"/>
    <w:rsid w:val="17383B1E"/>
    <w:rsid w:val="1747E2C2"/>
    <w:rsid w:val="1752F670"/>
    <w:rsid w:val="176D6A5C"/>
    <w:rsid w:val="1778399A"/>
    <w:rsid w:val="177F0547"/>
    <w:rsid w:val="178AFFBB"/>
    <w:rsid w:val="1798CD25"/>
    <w:rsid w:val="17AA52D3"/>
    <w:rsid w:val="17C06EEB"/>
    <w:rsid w:val="17C34137"/>
    <w:rsid w:val="17CC16FF"/>
    <w:rsid w:val="17E93475"/>
    <w:rsid w:val="17E99196"/>
    <w:rsid w:val="17F98976"/>
    <w:rsid w:val="180E8358"/>
    <w:rsid w:val="18124806"/>
    <w:rsid w:val="1813ECF8"/>
    <w:rsid w:val="1814BFD8"/>
    <w:rsid w:val="1833A883"/>
    <w:rsid w:val="18342119"/>
    <w:rsid w:val="1839D468"/>
    <w:rsid w:val="183F401B"/>
    <w:rsid w:val="184577A2"/>
    <w:rsid w:val="1847FBC7"/>
    <w:rsid w:val="184B34A7"/>
    <w:rsid w:val="1854AA6D"/>
    <w:rsid w:val="1858A35F"/>
    <w:rsid w:val="18671604"/>
    <w:rsid w:val="1872D2D1"/>
    <w:rsid w:val="18759CBD"/>
    <w:rsid w:val="18766850"/>
    <w:rsid w:val="187A69C9"/>
    <w:rsid w:val="187B0E5C"/>
    <w:rsid w:val="187B81C6"/>
    <w:rsid w:val="188603BC"/>
    <w:rsid w:val="18951A98"/>
    <w:rsid w:val="189F0AA3"/>
    <w:rsid w:val="18A63695"/>
    <w:rsid w:val="18AE4451"/>
    <w:rsid w:val="18B6302C"/>
    <w:rsid w:val="18B8291D"/>
    <w:rsid w:val="18BE3973"/>
    <w:rsid w:val="18CB2033"/>
    <w:rsid w:val="18DAAE54"/>
    <w:rsid w:val="18EB4A3D"/>
    <w:rsid w:val="18F264AF"/>
    <w:rsid w:val="18F315C9"/>
    <w:rsid w:val="190264EB"/>
    <w:rsid w:val="19085BD7"/>
    <w:rsid w:val="190D1267"/>
    <w:rsid w:val="191722DE"/>
    <w:rsid w:val="192A55D8"/>
    <w:rsid w:val="192EDD52"/>
    <w:rsid w:val="19330DF2"/>
    <w:rsid w:val="1941E9FA"/>
    <w:rsid w:val="194A12B2"/>
    <w:rsid w:val="195B1240"/>
    <w:rsid w:val="195B17C0"/>
    <w:rsid w:val="19648483"/>
    <w:rsid w:val="197633F4"/>
    <w:rsid w:val="19950237"/>
    <w:rsid w:val="19A302D8"/>
    <w:rsid w:val="19A31CD8"/>
    <w:rsid w:val="19ABD110"/>
    <w:rsid w:val="19B00F6E"/>
    <w:rsid w:val="19BC1A59"/>
    <w:rsid w:val="19C7D9EB"/>
    <w:rsid w:val="19DBF4F2"/>
    <w:rsid w:val="19DE59B3"/>
    <w:rsid w:val="19EDCC6A"/>
    <w:rsid w:val="19F21DB4"/>
    <w:rsid w:val="1A0087B4"/>
    <w:rsid w:val="1A029442"/>
    <w:rsid w:val="1A08D5BE"/>
    <w:rsid w:val="1A17DFAA"/>
    <w:rsid w:val="1A1B597A"/>
    <w:rsid w:val="1A3EC9A5"/>
    <w:rsid w:val="1A4C25CE"/>
    <w:rsid w:val="1A6D2146"/>
    <w:rsid w:val="1A716133"/>
    <w:rsid w:val="1A731DF1"/>
    <w:rsid w:val="1A7620EF"/>
    <w:rsid w:val="1A7C314A"/>
    <w:rsid w:val="1A901CE8"/>
    <w:rsid w:val="1A95D333"/>
    <w:rsid w:val="1AA74E9E"/>
    <w:rsid w:val="1AA88D35"/>
    <w:rsid w:val="1AA9374E"/>
    <w:rsid w:val="1AABEF69"/>
    <w:rsid w:val="1AB6ACDE"/>
    <w:rsid w:val="1AC25868"/>
    <w:rsid w:val="1AD105C0"/>
    <w:rsid w:val="1AD64ECB"/>
    <w:rsid w:val="1ADB67A6"/>
    <w:rsid w:val="1AED4D07"/>
    <w:rsid w:val="1AFA8D80"/>
    <w:rsid w:val="1AFB2CBE"/>
    <w:rsid w:val="1B17EB19"/>
    <w:rsid w:val="1B1819B5"/>
    <w:rsid w:val="1B1F1E8B"/>
    <w:rsid w:val="1B2A74DA"/>
    <w:rsid w:val="1B402060"/>
    <w:rsid w:val="1B4A531E"/>
    <w:rsid w:val="1B64ACDB"/>
    <w:rsid w:val="1B96B7AD"/>
    <w:rsid w:val="1B9812C4"/>
    <w:rsid w:val="1BCD235B"/>
    <w:rsid w:val="1BD3DD0F"/>
    <w:rsid w:val="1BD77D4C"/>
    <w:rsid w:val="1BD8187E"/>
    <w:rsid w:val="1BDBF091"/>
    <w:rsid w:val="1BE784D0"/>
    <w:rsid w:val="1BEA2F36"/>
    <w:rsid w:val="1C064FDA"/>
    <w:rsid w:val="1C0749A0"/>
    <w:rsid w:val="1C0D1974"/>
    <w:rsid w:val="1C0D3063"/>
    <w:rsid w:val="1C249D3E"/>
    <w:rsid w:val="1C263B7C"/>
    <w:rsid w:val="1C527223"/>
    <w:rsid w:val="1C5B5A7E"/>
    <w:rsid w:val="1C611DE5"/>
    <w:rsid w:val="1C6337DA"/>
    <w:rsid w:val="1C7B2A65"/>
    <w:rsid w:val="1C7DADE0"/>
    <w:rsid w:val="1C9FF6F9"/>
    <w:rsid w:val="1CBAF8EC"/>
    <w:rsid w:val="1CC060E3"/>
    <w:rsid w:val="1CCA1D8F"/>
    <w:rsid w:val="1CCB6D4A"/>
    <w:rsid w:val="1CD66502"/>
    <w:rsid w:val="1CE1E77F"/>
    <w:rsid w:val="1CE6D45C"/>
    <w:rsid w:val="1CEF4D9B"/>
    <w:rsid w:val="1D1605CD"/>
    <w:rsid w:val="1D294D43"/>
    <w:rsid w:val="1D3BAB10"/>
    <w:rsid w:val="1D498CC0"/>
    <w:rsid w:val="1D4DC1AA"/>
    <w:rsid w:val="1D504FDB"/>
    <w:rsid w:val="1D5D1B80"/>
    <w:rsid w:val="1D5F1E7D"/>
    <w:rsid w:val="1D6AA61B"/>
    <w:rsid w:val="1D6BD0CB"/>
    <w:rsid w:val="1D6DC8BB"/>
    <w:rsid w:val="1D70AE29"/>
    <w:rsid w:val="1D74EAA1"/>
    <w:rsid w:val="1D8A8E66"/>
    <w:rsid w:val="1D923277"/>
    <w:rsid w:val="1D9A1781"/>
    <w:rsid w:val="1DADDC8A"/>
    <w:rsid w:val="1DB36E05"/>
    <w:rsid w:val="1DB6EF7F"/>
    <w:rsid w:val="1DB99221"/>
    <w:rsid w:val="1DC257FA"/>
    <w:rsid w:val="1DC659A3"/>
    <w:rsid w:val="1DCAF3B0"/>
    <w:rsid w:val="1DD0FB7C"/>
    <w:rsid w:val="1DD5BA6D"/>
    <w:rsid w:val="1DD8F46F"/>
    <w:rsid w:val="1DE9A88C"/>
    <w:rsid w:val="1DF3BA0E"/>
    <w:rsid w:val="1DF6F6FD"/>
    <w:rsid w:val="1DFE381D"/>
    <w:rsid w:val="1E19E9D7"/>
    <w:rsid w:val="1E258796"/>
    <w:rsid w:val="1E264BDC"/>
    <w:rsid w:val="1E265717"/>
    <w:rsid w:val="1E320161"/>
    <w:rsid w:val="1E47F278"/>
    <w:rsid w:val="1E627192"/>
    <w:rsid w:val="1E671F2A"/>
    <w:rsid w:val="1E67AACA"/>
    <w:rsid w:val="1E688FE5"/>
    <w:rsid w:val="1E6CA3CB"/>
    <w:rsid w:val="1E7A7BA2"/>
    <w:rsid w:val="1E7F24F4"/>
    <w:rsid w:val="1E82E985"/>
    <w:rsid w:val="1EA0962F"/>
    <w:rsid w:val="1EA6C8B5"/>
    <w:rsid w:val="1EB56165"/>
    <w:rsid w:val="1EB91ACA"/>
    <w:rsid w:val="1EC6436C"/>
    <w:rsid w:val="1ED988C9"/>
    <w:rsid w:val="1EEB5EE2"/>
    <w:rsid w:val="1EF71046"/>
    <w:rsid w:val="1EFF809E"/>
    <w:rsid w:val="1F136683"/>
    <w:rsid w:val="1F24A583"/>
    <w:rsid w:val="1F2869C7"/>
    <w:rsid w:val="1F2BA633"/>
    <w:rsid w:val="1F54F542"/>
    <w:rsid w:val="1F57AFE8"/>
    <w:rsid w:val="1F89D279"/>
    <w:rsid w:val="1F8B1EEB"/>
    <w:rsid w:val="1F8C8004"/>
    <w:rsid w:val="1F967BD4"/>
    <w:rsid w:val="1F9F135D"/>
    <w:rsid w:val="1FA9FC5E"/>
    <w:rsid w:val="1FD92776"/>
    <w:rsid w:val="1FDDB86D"/>
    <w:rsid w:val="1FE5A8E6"/>
    <w:rsid w:val="1FE7033D"/>
    <w:rsid w:val="1FEB711E"/>
    <w:rsid w:val="1FEFCD7E"/>
    <w:rsid w:val="20094A6B"/>
    <w:rsid w:val="200EDFDB"/>
    <w:rsid w:val="200FB03C"/>
    <w:rsid w:val="2017C385"/>
    <w:rsid w:val="20216C4F"/>
    <w:rsid w:val="2023AD5F"/>
    <w:rsid w:val="2023FE4E"/>
    <w:rsid w:val="2029A148"/>
    <w:rsid w:val="203C1615"/>
    <w:rsid w:val="2040CF25"/>
    <w:rsid w:val="204590B0"/>
    <w:rsid w:val="2046A9CA"/>
    <w:rsid w:val="204A97F2"/>
    <w:rsid w:val="204C668D"/>
    <w:rsid w:val="204D1ADD"/>
    <w:rsid w:val="205A0995"/>
    <w:rsid w:val="2063FC25"/>
    <w:rsid w:val="20739CFC"/>
    <w:rsid w:val="2076E9C1"/>
    <w:rsid w:val="20784059"/>
    <w:rsid w:val="2080828F"/>
    <w:rsid w:val="20918EEF"/>
    <w:rsid w:val="20A35237"/>
    <w:rsid w:val="20A86299"/>
    <w:rsid w:val="20ADC36A"/>
    <w:rsid w:val="20BF9ED5"/>
    <w:rsid w:val="20C02F21"/>
    <w:rsid w:val="20C90FE7"/>
    <w:rsid w:val="20CD8D76"/>
    <w:rsid w:val="20DC1A5D"/>
    <w:rsid w:val="20DFACE8"/>
    <w:rsid w:val="20E2CF80"/>
    <w:rsid w:val="20E69392"/>
    <w:rsid w:val="20F7D588"/>
    <w:rsid w:val="21039468"/>
    <w:rsid w:val="21067984"/>
    <w:rsid w:val="210B90A9"/>
    <w:rsid w:val="21152B8C"/>
    <w:rsid w:val="212D97C3"/>
    <w:rsid w:val="212FCED3"/>
    <w:rsid w:val="2130A347"/>
    <w:rsid w:val="21500C84"/>
    <w:rsid w:val="21593D57"/>
    <w:rsid w:val="215CE06A"/>
    <w:rsid w:val="2167C12C"/>
    <w:rsid w:val="216BD970"/>
    <w:rsid w:val="216D84DC"/>
    <w:rsid w:val="21709D89"/>
    <w:rsid w:val="217B2CEA"/>
    <w:rsid w:val="21817ED0"/>
    <w:rsid w:val="218F7DA4"/>
    <w:rsid w:val="219ABA37"/>
    <w:rsid w:val="21A6366F"/>
    <w:rsid w:val="21A87A17"/>
    <w:rsid w:val="21BEB73A"/>
    <w:rsid w:val="21C2E01F"/>
    <w:rsid w:val="21C87FD2"/>
    <w:rsid w:val="21CC6603"/>
    <w:rsid w:val="21CEA838"/>
    <w:rsid w:val="21D525B9"/>
    <w:rsid w:val="21D63DF0"/>
    <w:rsid w:val="21DE3651"/>
    <w:rsid w:val="21FC6DCD"/>
    <w:rsid w:val="221104F6"/>
    <w:rsid w:val="2211DABF"/>
    <w:rsid w:val="22201B93"/>
    <w:rsid w:val="2230EC25"/>
    <w:rsid w:val="22370046"/>
    <w:rsid w:val="22379021"/>
    <w:rsid w:val="223F3D69"/>
    <w:rsid w:val="22436632"/>
    <w:rsid w:val="22480B0C"/>
    <w:rsid w:val="2251E0CA"/>
    <w:rsid w:val="2257C986"/>
    <w:rsid w:val="225A63A2"/>
    <w:rsid w:val="225C4563"/>
    <w:rsid w:val="226737B6"/>
    <w:rsid w:val="2275082A"/>
    <w:rsid w:val="22767A39"/>
    <w:rsid w:val="2276DD8F"/>
    <w:rsid w:val="22795D4B"/>
    <w:rsid w:val="22804709"/>
    <w:rsid w:val="22976261"/>
    <w:rsid w:val="23103839"/>
    <w:rsid w:val="23297291"/>
    <w:rsid w:val="233F1187"/>
    <w:rsid w:val="234545A3"/>
    <w:rsid w:val="2354BDFE"/>
    <w:rsid w:val="2355D03A"/>
    <w:rsid w:val="23605E6B"/>
    <w:rsid w:val="236F10C6"/>
    <w:rsid w:val="2378459A"/>
    <w:rsid w:val="2399E6C3"/>
    <w:rsid w:val="239D9CA1"/>
    <w:rsid w:val="23A86AA9"/>
    <w:rsid w:val="23B74710"/>
    <w:rsid w:val="23C37916"/>
    <w:rsid w:val="23D3411A"/>
    <w:rsid w:val="23E898C5"/>
    <w:rsid w:val="23F07AAB"/>
    <w:rsid w:val="23F2E669"/>
    <w:rsid w:val="23FA2061"/>
    <w:rsid w:val="23FBCCF9"/>
    <w:rsid w:val="23FCC09D"/>
    <w:rsid w:val="24091939"/>
    <w:rsid w:val="24125525"/>
    <w:rsid w:val="241FF6D2"/>
    <w:rsid w:val="24290BB3"/>
    <w:rsid w:val="242A3137"/>
    <w:rsid w:val="242EF5A6"/>
    <w:rsid w:val="244E98E9"/>
    <w:rsid w:val="245058D5"/>
    <w:rsid w:val="2450B46E"/>
    <w:rsid w:val="2457F86A"/>
    <w:rsid w:val="245DA2C5"/>
    <w:rsid w:val="2464C680"/>
    <w:rsid w:val="247E89F6"/>
    <w:rsid w:val="24943878"/>
    <w:rsid w:val="24A50047"/>
    <w:rsid w:val="24B0B716"/>
    <w:rsid w:val="24B24D0B"/>
    <w:rsid w:val="24C13F2F"/>
    <w:rsid w:val="24C3402E"/>
    <w:rsid w:val="24D04FC9"/>
    <w:rsid w:val="24DE9FBD"/>
    <w:rsid w:val="24E66058"/>
    <w:rsid w:val="24FEB55E"/>
    <w:rsid w:val="2501E44E"/>
    <w:rsid w:val="250736C7"/>
    <w:rsid w:val="25143F28"/>
    <w:rsid w:val="252BE1EA"/>
    <w:rsid w:val="25376CAA"/>
    <w:rsid w:val="25391EE9"/>
    <w:rsid w:val="25502180"/>
    <w:rsid w:val="256EF5D3"/>
    <w:rsid w:val="257CDDDC"/>
    <w:rsid w:val="257E3DE1"/>
    <w:rsid w:val="2591799C"/>
    <w:rsid w:val="2595F81B"/>
    <w:rsid w:val="259C0EEA"/>
    <w:rsid w:val="25AD0FC9"/>
    <w:rsid w:val="25AF28B9"/>
    <w:rsid w:val="25B51994"/>
    <w:rsid w:val="25B9DCF1"/>
    <w:rsid w:val="25C2BF96"/>
    <w:rsid w:val="25C4B9D7"/>
    <w:rsid w:val="25C99932"/>
    <w:rsid w:val="25CDF670"/>
    <w:rsid w:val="25D0585B"/>
    <w:rsid w:val="25D49602"/>
    <w:rsid w:val="25EBE6BD"/>
    <w:rsid w:val="25F5FD4C"/>
    <w:rsid w:val="260FEC0A"/>
    <w:rsid w:val="262BE178"/>
    <w:rsid w:val="26381F17"/>
    <w:rsid w:val="266D6716"/>
    <w:rsid w:val="267703C6"/>
    <w:rsid w:val="26817599"/>
    <w:rsid w:val="268D8EA6"/>
    <w:rsid w:val="26984F59"/>
    <w:rsid w:val="269E6489"/>
    <w:rsid w:val="26A02FAF"/>
    <w:rsid w:val="26A643A0"/>
    <w:rsid w:val="26C651BA"/>
    <w:rsid w:val="26F0CC3E"/>
    <w:rsid w:val="2708AF53"/>
    <w:rsid w:val="270B2A55"/>
    <w:rsid w:val="270FC8F0"/>
    <w:rsid w:val="271B58F1"/>
    <w:rsid w:val="271D8E26"/>
    <w:rsid w:val="27236B98"/>
    <w:rsid w:val="27261AFC"/>
    <w:rsid w:val="272D97B4"/>
    <w:rsid w:val="2738DC9D"/>
    <w:rsid w:val="27394F18"/>
    <w:rsid w:val="273BC06B"/>
    <w:rsid w:val="274E5329"/>
    <w:rsid w:val="275D5566"/>
    <w:rsid w:val="2764A048"/>
    <w:rsid w:val="277517E0"/>
    <w:rsid w:val="27765F9F"/>
    <w:rsid w:val="2786A3A8"/>
    <w:rsid w:val="279BBD57"/>
    <w:rsid w:val="27AC3626"/>
    <w:rsid w:val="27AF791F"/>
    <w:rsid w:val="27B233D1"/>
    <w:rsid w:val="27B73836"/>
    <w:rsid w:val="27B82085"/>
    <w:rsid w:val="27C7C9E3"/>
    <w:rsid w:val="27C7FA43"/>
    <w:rsid w:val="27CE5560"/>
    <w:rsid w:val="27DCF553"/>
    <w:rsid w:val="27ECD62D"/>
    <w:rsid w:val="2815AC19"/>
    <w:rsid w:val="2816E26D"/>
    <w:rsid w:val="28280DBC"/>
    <w:rsid w:val="2838EE17"/>
    <w:rsid w:val="2838F1FE"/>
    <w:rsid w:val="283A672A"/>
    <w:rsid w:val="28463CE4"/>
    <w:rsid w:val="28561EF9"/>
    <w:rsid w:val="2859A7A2"/>
    <w:rsid w:val="285AFA97"/>
    <w:rsid w:val="28624A77"/>
    <w:rsid w:val="286E600A"/>
    <w:rsid w:val="28768F11"/>
    <w:rsid w:val="28794A01"/>
    <w:rsid w:val="289083D5"/>
    <w:rsid w:val="28A970B4"/>
    <w:rsid w:val="28BDED2F"/>
    <w:rsid w:val="28C5F77D"/>
    <w:rsid w:val="28D1CEE6"/>
    <w:rsid w:val="28E87048"/>
    <w:rsid w:val="28E8B9E9"/>
    <w:rsid w:val="28E92227"/>
    <w:rsid w:val="28EAC79D"/>
    <w:rsid w:val="290284A3"/>
    <w:rsid w:val="290F1DB2"/>
    <w:rsid w:val="29150E81"/>
    <w:rsid w:val="2923579C"/>
    <w:rsid w:val="2937257B"/>
    <w:rsid w:val="293ABE4E"/>
    <w:rsid w:val="29582632"/>
    <w:rsid w:val="295FD795"/>
    <w:rsid w:val="29657BD6"/>
    <w:rsid w:val="29661487"/>
    <w:rsid w:val="296AA03A"/>
    <w:rsid w:val="298C6CB7"/>
    <w:rsid w:val="29965B32"/>
    <w:rsid w:val="29A3E1C8"/>
    <w:rsid w:val="29AFE757"/>
    <w:rsid w:val="29B69F45"/>
    <w:rsid w:val="29E49475"/>
    <w:rsid w:val="29F40F10"/>
    <w:rsid w:val="29FCF68B"/>
    <w:rsid w:val="2A08A9D4"/>
    <w:rsid w:val="2A096E56"/>
    <w:rsid w:val="2A1F7979"/>
    <w:rsid w:val="2A25FE8C"/>
    <w:rsid w:val="2A347373"/>
    <w:rsid w:val="2A365EDF"/>
    <w:rsid w:val="2A49656A"/>
    <w:rsid w:val="2A55079D"/>
    <w:rsid w:val="2A5E43FF"/>
    <w:rsid w:val="2A62402E"/>
    <w:rsid w:val="2A81C74B"/>
    <w:rsid w:val="2A8775A8"/>
    <w:rsid w:val="2A8C32E4"/>
    <w:rsid w:val="2A93BBFD"/>
    <w:rsid w:val="2AA2BA09"/>
    <w:rsid w:val="2ABD379D"/>
    <w:rsid w:val="2ACC0CAA"/>
    <w:rsid w:val="2ACDCF6A"/>
    <w:rsid w:val="2AD135B9"/>
    <w:rsid w:val="2AE4D83A"/>
    <w:rsid w:val="2AE58F9B"/>
    <w:rsid w:val="2AE6BFB7"/>
    <w:rsid w:val="2AF8D773"/>
    <w:rsid w:val="2AF9C266"/>
    <w:rsid w:val="2B065BE6"/>
    <w:rsid w:val="2B2B5D5B"/>
    <w:rsid w:val="2B2BB276"/>
    <w:rsid w:val="2B2CAC71"/>
    <w:rsid w:val="2B2FC49C"/>
    <w:rsid w:val="2B44ACE2"/>
    <w:rsid w:val="2B4C25A3"/>
    <w:rsid w:val="2B4FB960"/>
    <w:rsid w:val="2B61CCD2"/>
    <w:rsid w:val="2B660660"/>
    <w:rsid w:val="2B83923F"/>
    <w:rsid w:val="2B89E1F8"/>
    <w:rsid w:val="2B92C68F"/>
    <w:rsid w:val="2B9A42BC"/>
    <w:rsid w:val="2BAC874A"/>
    <w:rsid w:val="2BC614CD"/>
    <w:rsid w:val="2BCE7546"/>
    <w:rsid w:val="2BCF2223"/>
    <w:rsid w:val="2BD0B972"/>
    <w:rsid w:val="2BD35044"/>
    <w:rsid w:val="2BD99324"/>
    <w:rsid w:val="2BDB1268"/>
    <w:rsid w:val="2BE200E6"/>
    <w:rsid w:val="2BE55E49"/>
    <w:rsid w:val="2BFA8572"/>
    <w:rsid w:val="2C05F8E7"/>
    <w:rsid w:val="2C087318"/>
    <w:rsid w:val="2C090AE0"/>
    <w:rsid w:val="2C121444"/>
    <w:rsid w:val="2C2D6A01"/>
    <w:rsid w:val="2C2F2B84"/>
    <w:rsid w:val="2C32F9E6"/>
    <w:rsid w:val="2C36DAAB"/>
    <w:rsid w:val="2C496E33"/>
    <w:rsid w:val="2C56C05C"/>
    <w:rsid w:val="2C5931CC"/>
    <w:rsid w:val="2C5D280A"/>
    <w:rsid w:val="2C5F146A"/>
    <w:rsid w:val="2C614C49"/>
    <w:rsid w:val="2C67620F"/>
    <w:rsid w:val="2C7443BD"/>
    <w:rsid w:val="2C77563B"/>
    <w:rsid w:val="2C929488"/>
    <w:rsid w:val="2C963856"/>
    <w:rsid w:val="2C9DFBBE"/>
    <w:rsid w:val="2CA5F8C6"/>
    <w:rsid w:val="2CA6B304"/>
    <w:rsid w:val="2CA999A2"/>
    <w:rsid w:val="2CB5E86F"/>
    <w:rsid w:val="2CBF5757"/>
    <w:rsid w:val="2CCEA91B"/>
    <w:rsid w:val="2CDB4410"/>
    <w:rsid w:val="2CDD5317"/>
    <w:rsid w:val="2CF383FB"/>
    <w:rsid w:val="2CFF9D4B"/>
    <w:rsid w:val="2D072CAB"/>
    <w:rsid w:val="2D2005FA"/>
    <w:rsid w:val="2D20CF9E"/>
    <w:rsid w:val="2D290D80"/>
    <w:rsid w:val="2D2EF699"/>
    <w:rsid w:val="2D30FB1C"/>
    <w:rsid w:val="2D33EAA8"/>
    <w:rsid w:val="2D3454D6"/>
    <w:rsid w:val="2D3D12D5"/>
    <w:rsid w:val="2D4E3D3D"/>
    <w:rsid w:val="2D501A0E"/>
    <w:rsid w:val="2D57427B"/>
    <w:rsid w:val="2D585BD2"/>
    <w:rsid w:val="2D62054E"/>
    <w:rsid w:val="2D78C490"/>
    <w:rsid w:val="2D7FB41D"/>
    <w:rsid w:val="2D81DEC2"/>
    <w:rsid w:val="2D875C7D"/>
    <w:rsid w:val="2D8BAB05"/>
    <w:rsid w:val="2D9404B8"/>
    <w:rsid w:val="2D963616"/>
    <w:rsid w:val="2DB469D5"/>
    <w:rsid w:val="2DCB3BE7"/>
    <w:rsid w:val="2DCCAD4C"/>
    <w:rsid w:val="2DDC63AB"/>
    <w:rsid w:val="2DDD5257"/>
    <w:rsid w:val="2DEFE1F9"/>
    <w:rsid w:val="2DF34865"/>
    <w:rsid w:val="2DF63E02"/>
    <w:rsid w:val="2E000A5F"/>
    <w:rsid w:val="2E058CBA"/>
    <w:rsid w:val="2E0E9D5A"/>
    <w:rsid w:val="2E246CB5"/>
    <w:rsid w:val="2E350736"/>
    <w:rsid w:val="2E35A012"/>
    <w:rsid w:val="2E3EE3A4"/>
    <w:rsid w:val="2E5A9456"/>
    <w:rsid w:val="2E61232A"/>
    <w:rsid w:val="2E67320A"/>
    <w:rsid w:val="2E683C15"/>
    <w:rsid w:val="2E685AB5"/>
    <w:rsid w:val="2E7C33AF"/>
    <w:rsid w:val="2E87CC70"/>
    <w:rsid w:val="2EA8299C"/>
    <w:rsid w:val="2EB58A46"/>
    <w:rsid w:val="2EB6BC0D"/>
    <w:rsid w:val="2EC1FA5E"/>
    <w:rsid w:val="2ECE8177"/>
    <w:rsid w:val="2ED3BA18"/>
    <w:rsid w:val="2ED9EE36"/>
    <w:rsid w:val="2EE1D8A6"/>
    <w:rsid w:val="2EFF4BC8"/>
    <w:rsid w:val="2EFF76AE"/>
    <w:rsid w:val="2F139C17"/>
    <w:rsid w:val="2F4DB38D"/>
    <w:rsid w:val="2F53028B"/>
    <w:rsid w:val="2F647538"/>
    <w:rsid w:val="2F76A380"/>
    <w:rsid w:val="2F96AFC5"/>
    <w:rsid w:val="2F97F517"/>
    <w:rsid w:val="2F99E947"/>
    <w:rsid w:val="2FACE63D"/>
    <w:rsid w:val="2FB2E048"/>
    <w:rsid w:val="2FBAF7F5"/>
    <w:rsid w:val="2FE1138E"/>
    <w:rsid w:val="2FEA6777"/>
    <w:rsid w:val="2FF11329"/>
    <w:rsid w:val="2FFB6BE0"/>
    <w:rsid w:val="30043155"/>
    <w:rsid w:val="30080048"/>
    <w:rsid w:val="3009A152"/>
    <w:rsid w:val="3011E2B7"/>
    <w:rsid w:val="30156349"/>
    <w:rsid w:val="30221E69"/>
    <w:rsid w:val="302BFF9D"/>
    <w:rsid w:val="302CCDA4"/>
    <w:rsid w:val="3031E05D"/>
    <w:rsid w:val="3042C216"/>
    <w:rsid w:val="3046B36B"/>
    <w:rsid w:val="306BC332"/>
    <w:rsid w:val="306CA79E"/>
    <w:rsid w:val="307528C8"/>
    <w:rsid w:val="307BAA20"/>
    <w:rsid w:val="30951EB7"/>
    <w:rsid w:val="309B2734"/>
    <w:rsid w:val="309D595A"/>
    <w:rsid w:val="30AB5D37"/>
    <w:rsid w:val="30B66B0D"/>
    <w:rsid w:val="30CC1D70"/>
    <w:rsid w:val="30FDCC33"/>
    <w:rsid w:val="3103B1A9"/>
    <w:rsid w:val="310F8690"/>
    <w:rsid w:val="311226B7"/>
    <w:rsid w:val="3123092D"/>
    <w:rsid w:val="3136FFE7"/>
    <w:rsid w:val="313E0BF2"/>
    <w:rsid w:val="314DF097"/>
    <w:rsid w:val="3155372B"/>
    <w:rsid w:val="3159D528"/>
    <w:rsid w:val="3163117E"/>
    <w:rsid w:val="318EA6E6"/>
    <w:rsid w:val="31A07C54"/>
    <w:rsid w:val="31B5A135"/>
    <w:rsid w:val="31BE6C71"/>
    <w:rsid w:val="31C3E783"/>
    <w:rsid w:val="31C52E84"/>
    <w:rsid w:val="31DEB623"/>
    <w:rsid w:val="3204C087"/>
    <w:rsid w:val="320C6408"/>
    <w:rsid w:val="3211861C"/>
    <w:rsid w:val="321A460A"/>
    <w:rsid w:val="32259659"/>
    <w:rsid w:val="323B2147"/>
    <w:rsid w:val="3251BE78"/>
    <w:rsid w:val="32535553"/>
    <w:rsid w:val="325AFAA6"/>
    <w:rsid w:val="326057EE"/>
    <w:rsid w:val="3266F7D3"/>
    <w:rsid w:val="326D4A5F"/>
    <w:rsid w:val="326E3DB3"/>
    <w:rsid w:val="326E6077"/>
    <w:rsid w:val="327AAB6F"/>
    <w:rsid w:val="3282F86A"/>
    <w:rsid w:val="329FD63B"/>
    <w:rsid w:val="32A44826"/>
    <w:rsid w:val="32B3412A"/>
    <w:rsid w:val="32CA0BD1"/>
    <w:rsid w:val="32CE6735"/>
    <w:rsid w:val="32DD269D"/>
    <w:rsid w:val="32EE8418"/>
    <w:rsid w:val="32FBDBEC"/>
    <w:rsid w:val="331D164C"/>
    <w:rsid w:val="33264776"/>
    <w:rsid w:val="3327C8BA"/>
    <w:rsid w:val="3328C1D1"/>
    <w:rsid w:val="332F1421"/>
    <w:rsid w:val="33312C2C"/>
    <w:rsid w:val="33511B1E"/>
    <w:rsid w:val="33548DF6"/>
    <w:rsid w:val="336E2EE3"/>
    <w:rsid w:val="337FA56F"/>
    <w:rsid w:val="337FAA73"/>
    <w:rsid w:val="33820394"/>
    <w:rsid w:val="3398E233"/>
    <w:rsid w:val="33A0BA55"/>
    <w:rsid w:val="33A0FDCB"/>
    <w:rsid w:val="33A86393"/>
    <w:rsid w:val="33B40CB9"/>
    <w:rsid w:val="33D06C99"/>
    <w:rsid w:val="33DCC30B"/>
    <w:rsid w:val="33DD25F7"/>
    <w:rsid w:val="33E3142F"/>
    <w:rsid w:val="33FED5F7"/>
    <w:rsid w:val="33FF1300"/>
    <w:rsid w:val="340519B1"/>
    <w:rsid w:val="3416FA71"/>
    <w:rsid w:val="344F1FBE"/>
    <w:rsid w:val="345A3447"/>
    <w:rsid w:val="345EEB58"/>
    <w:rsid w:val="346DB1E1"/>
    <w:rsid w:val="348803EC"/>
    <w:rsid w:val="34936304"/>
    <w:rsid w:val="34941BA9"/>
    <w:rsid w:val="349A8AD3"/>
    <w:rsid w:val="349CE0E6"/>
    <w:rsid w:val="349E213A"/>
    <w:rsid w:val="34A5792A"/>
    <w:rsid w:val="34AE7D45"/>
    <w:rsid w:val="34C0BA64"/>
    <w:rsid w:val="34DF06DD"/>
    <w:rsid w:val="34E81146"/>
    <w:rsid w:val="350D5138"/>
    <w:rsid w:val="3511985D"/>
    <w:rsid w:val="35120F8B"/>
    <w:rsid w:val="351E221F"/>
    <w:rsid w:val="351EC077"/>
    <w:rsid w:val="3523F06D"/>
    <w:rsid w:val="3525A46B"/>
    <w:rsid w:val="35352AE3"/>
    <w:rsid w:val="35468B49"/>
    <w:rsid w:val="3548747C"/>
    <w:rsid w:val="3556FAFD"/>
    <w:rsid w:val="35582985"/>
    <w:rsid w:val="3559321C"/>
    <w:rsid w:val="355CD540"/>
    <w:rsid w:val="355CF2EC"/>
    <w:rsid w:val="3573739B"/>
    <w:rsid w:val="357A8485"/>
    <w:rsid w:val="359A5F3A"/>
    <w:rsid w:val="35A395ED"/>
    <w:rsid w:val="35AA7B6E"/>
    <w:rsid w:val="35ABE79B"/>
    <w:rsid w:val="35C1A83D"/>
    <w:rsid w:val="35CB2C1B"/>
    <w:rsid w:val="35D7BE32"/>
    <w:rsid w:val="35DB76A7"/>
    <w:rsid w:val="35DF0C46"/>
    <w:rsid w:val="35E246D8"/>
    <w:rsid w:val="35F3A1AA"/>
    <w:rsid w:val="3606F884"/>
    <w:rsid w:val="3609CC00"/>
    <w:rsid w:val="362D8DCC"/>
    <w:rsid w:val="362EB4E4"/>
    <w:rsid w:val="36321D3C"/>
    <w:rsid w:val="364A1C1F"/>
    <w:rsid w:val="365F4DB0"/>
    <w:rsid w:val="3660978F"/>
    <w:rsid w:val="36616730"/>
    <w:rsid w:val="3684131F"/>
    <w:rsid w:val="368E34F4"/>
    <w:rsid w:val="36980772"/>
    <w:rsid w:val="36A24B40"/>
    <w:rsid w:val="36B50EE4"/>
    <w:rsid w:val="36B73F6F"/>
    <w:rsid w:val="36D7CCCF"/>
    <w:rsid w:val="36EAD033"/>
    <w:rsid w:val="36EFCAC5"/>
    <w:rsid w:val="36F98711"/>
    <w:rsid w:val="370B79B6"/>
    <w:rsid w:val="3713DD44"/>
    <w:rsid w:val="3715EC74"/>
    <w:rsid w:val="3725CDF6"/>
    <w:rsid w:val="3741358B"/>
    <w:rsid w:val="3743D67C"/>
    <w:rsid w:val="37441A72"/>
    <w:rsid w:val="3750C65D"/>
    <w:rsid w:val="37592522"/>
    <w:rsid w:val="3761AC06"/>
    <w:rsid w:val="3761E0DB"/>
    <w:rsid w:val="3783C21C"/>
    <w:rsid w:val="3794870E"/>
    <w:rsid w:val="3795867B"/>
    <w:rsid w:val="37B4D6EF"/>
    <w:rsid w:val="37BA9501"/>
    <w:rsid w:val="37C0BB3D"/>
    <w:rsid w:val="37E09FAD"/>
    <w:rsid w:val="37E217AA"/>
    <w:rsid w:val="37EE7177"/>
    <w:rsid w:val="37F4B49E"/>
    <w:rsid w:val="37FAB8F0"/>
    <w:rsid w:val="3803334E"/>
    <w:rsid w:val="3805422B"/>
    <w:rsid w:val="3828A39D"/>
    <w:rsid w:val="38315C67"/>
    <w:rsid w:val="3852D840"/>
    <w:rsid w:val="385B81E1"/>
    <w:rsid w:val="38604354"/>
    <w:rsid w:val="3860C11F"/>
    <w:rsid w:val="38782590"/>
    <w:rsid w:val="38818CFC"/>
    <w:rsid w:val="3881A150"/>
    <w:rsid w:val="38837D9A"/>
    <w:rsid w:val="388CE93A"/>
    <w:rsid w:val="38C341CC"/>
    <w:rsid w:val="38CF72A3"/>
    <w:rsid w:val="38D97D00"/>
    <w:rsid w:val="38F52C30"/>
    <w:rsid w:val="38FC16E6"/>
    <w:rsid w:val="38FC252C"/>
    <w:rsid w:val="3910C87F"/>
    <w:rsid w:val="39124F53"/>
    <w:rsid w:val="391AE1FA"/>
    <w:rsid w:val="391F2DD1"/>
    <w:rsid w:val="39269A2F"/>
    <w:rsid w:val="392CD557"/>
    <w:rsid w:val="392CF075"/>
    <w:rsid w:val="392DE091"/>
    <w:rsid w:val="392E9B50"/>
    <w:rsid w:val="3932B9B3"/>
    <w:rsid w:val="39458263"/>
    <w:rsid w:val="39701CE3"/>
    <w:rsid w:val="3972FAA5"/>
    <w:rsid w:val="399016AF"/>
    <w:rsid w:val="39A868E3"/>
    <w:rsid w:val="39B67AEE"/>
    <w:rsid w:val="39B7EB03"/>
    <w:rsid w:val="39C2E5CD"/>
    <w:rsid w:val="39C80D9E"/>
    <w:rsid w:val="39CCD92B"/>
    <w:rsid w:val="39D57D0F"/>
    <w:rsid w:val="39DF6FF5"/>
    <w:rsid w:val="39EB8805"/>
    <w:rsid w:val="39FE2E6B"/>
    <w:rsid w:val="3A037698"/>
    <w:rsid w:val="3A090F99"/>
    <w:rsid w:val="3A0A3A9C"/>
    <w:rsid w:val="3A0B7DF2"/>
    <w:rsid w:val="3A0BB641"/>
    <w:rsid w:val="3A0FC003"/>
    <w:rsid w:val="3A25F66C"/>
    <w:rsid w:val="3A30226F"/>
    <w:rsid w:val="3A3ADD60"/>
    <w:rsid w:val="3A505F8D"/>
    <w:rsid w:val="3A5555A3"/>
    <w:rsid w:val="3A612943"/>
    <w:rsid w:val="3A74F303"/>
    <w:rsid w:val="3A77D6FB"/>
    <w:rsid w:val="3A8103E3"/>
    <w:rsid w:val="3A89859D"/>
    <w:rsid w:val="3A8AB1CB"/>
    <w:rsid w:val="3A9F65D3"/>
    <w:rsid w:val="3ABC81D8"/>
    <w:rsid w:val="3ABD18C4"/>
    <w:rsid w:val="3AC5F744"/>
    <w:rsid w:val="3AD03659"/>
    <w:rsid w:val="3AD1CE0C"/>
    <w:rsid w:val="3AD3A39C"/>
    <w:rsid w:val="3AD9892B"/>
    <w:rsid w:val="3AEFADDE"/>
    <w:rsid w:val="3AEFBCEF"/>
    <w:rsid w:val="3AF4E57B"/>
    <w:rsid w:val="3AF576BE"/>
    <w:rsid w:val="3B182E79"/>
    <w:rsid w:val="3B18D699"/>
    <w:rsid w:val="3B23BD1C"/>
    <w:rsid w:val="3B2C15FF"/>
    <w:rsid w:val="3B3E8DBC"/>
    <w:rsid w:val="3B482BBB"/>
    <w:rsid w:val="3B51F8FC"/>
    <w:rsid w:val="3B5E7FFD"/>
    <w:rsid w:val="3B5E869B"/>
    <w:rsid w:val="3B6E1113"/>
    <w:rsid w:val="3B72C5C6"/>
    <w:rsid w:val="3B7912B5"/>
    <w:rsid w:val="3B7D7497"/>
    <w:rsid w:val="3B88BE65"/>
    <w:rsid w:val="3B89183C"/>
    <w:rsid w:val="3B94BEA5"/>
    <w:rsid w:val="3B94FCA8"/>
    <w:rsid w:val="3B9508AB"/>
    <w:rsid w:val="3B98C960"/>
    <w:rsid w:val="3BC1DC8B"/>
    <w:rsid w:val="3BC62BB4"/>
    <w:rsid w:val="3BD6FAA7"/>
    <w:rsid w:val="3BD9BBF8"/>
    <w:rsid w:val="3BE10865"/>
    <w:rsid w:val="3BEE55CF"/>
    <w:rsid w:val="3BF01705"/>
    <w:rsid w:val="3C0079DD"/>
    <w:rsid w:val="3C1C58FD"/>
    <w:rsid w:val="3C1E49C1"/>
    <w:rsid w:val="3C2B8403"/>
    <w:rsid w:val="3C2DD69B"/>
    <w:rsid w:val="3C340D8A"/>
    <w:rsid w:val="3C377782"/>
    <w:rsid w:val="3C3E35D9"/>
    <w:rsid w:val="3C3E7090"/>
    <w:rsid w:val="3C46800B"/>
    <w:rsid w:val="3C4C8DE9"/>
    <w:rsid w:val="3C4F1783"/>
    <w:rsid w:val="3C570071"/>
    <w:rsid w:val="3C60BDA9"/>
    <w:rsid w:val="3C629BE4"/>
    <w:rsid w:val="3C79DACB"/>
    <w:rsid w:val="3C82D63F"/>
    <w:rsid w:val="3C83B432"/>
    <w:rsid w:val="3C8726EE"/>
    <w:rsid w:val="3C91C6FD"/>
    <w:rsid w:val="3C9355BB"/>
    <w:rsid w:val="3CAD9A79"/>
    <w:rsid w:val="3CB538A2"/>
    <w:rsid w:val="3CBE4371"/>
    <w:rsid w:val="3CCDAF3A"/>
    <w:rsid w:val="3CE3D58E"/>
    <w:rsid w:val="3D05D81B"/>
    <w:rsid w:val="3D0D5721"/>
    <w:rsid w:val="3D358482"/>
    <w:rsid w:val="3D41C993"/>
    <w:rsid w:val="3D758EAE"/>
    <w:rsid w:val="3D7B58C5"/>
    <w:rsid w:val="3D7E41F1"/>
    <w:rsid w:val="3D9096AE"/>
    <w:rsid w:val="3D9A0B67"/>
    <w:rsid w:val="3DA7E980"/>
    <w:rsid w:val="3DA83611"/>
    <w:rsid w:val="3DB04CCB"/>
    <w:rsid w:val="3DB6DD08"/>
    <w:rsid w:val="3DBBBD8B"/>
    <w:rsid w:val="3DBDA4F0"/>
    <w:rsid w:val="3DC47C49"/>
    <w:rsid w:val="3DC66927"/>
    <w:rsid w:val="3DC6E13E"/>
    <w:rsid w:val="3DC78B2E"/>
    <w:rsid w:val="3DD05321"/>
    <w:rsid w:val="3DED75C4"/>
    <w:rsid w:val="3E0C5B28"/>
    <w:rsid w:val="3E0DAD82"/>
    <w:rsid w:val="3E10F2E0"/>
    <w:rsid w:val="3E123779"/>
    <w:rsid w:val="3E152F3B"/>
    <w:rsid w:val="3E1B9274"/>
    <w:rsid w:val="3E23B5CD"/>
    <w:rsid w:val="3E2D93E7"/>
    <w:rsid w:val="3E2DAE1D"/>
    <w:rsid w:val="3E2FF36A"/>
    <w:rsid w:val="3E567628"/>
    <w:rsid w:val="3E68EBC1"/>
    <w:rsid w:val="3E6C0B09"/>
    <w:rsid w:val="3E6FAAB9"/>
    <w:rsid w:val="3E70FF2C"/>
    <w:rsid w:val="3E71A0E3"/>
    <w:rsid w:val="3E760E2C"/>
    <w:rsid w:val="3E83D1A0"/>
    <w:rsid w:val="3E87245E"/>
    <w:rsid w:val="3E8C381E"/>
    <w:rsid w:val="3E935642"/>
    <w:rsid w:val="3EB5C9A0"/>
    <w:rsid w:val="3EBFDACE"/>
    <w:rsid w:val="3EC0A9E4"/>
    <w:rsid w:val="3EC2798F"/>
    <w:rsid w:val="3ECCA162"/>
    <w:rsid w:val="3ED48108"/>
    <w:rsid w:val="3EDC26B2"/>
    <w:rsid w:val="3EEB8AF2"/>
    <w:rsid w:val="3EEBBC21"/>
    <w:rsid w:val="3EF0DE5E"/>
    <w:rsid w:val="3F0916F3"/>
    <w:rsid w:val="3F1DEB54"/>
    <w:rsid w:val="3F23107D"/>
    <w:rsid w:val="3F278719"/>
    <w:rsid w:val="3F3888D5"/>
    <w:rsid w:val="3F524CBD"/>
    <w:rsid w:val="3F566C09"/>
    <w:rsid w:val="3F6D7E6F"/>
    <w:rsid w:val="3F6DBC70"/>
    <w:rsid w:val="3F7AB1AE"/>
    <w:rsid w:val="3F85064D"/>
    <w:rsid w:val="3F8FB6AA"/>
    <w:rsid w:val="3F9B8EC8"/>
    <w:rsid w:val="3FA23A97"/>
    <w:rsid w:val="3FA87230"/>
    <w:rsid w:val="3FAF9CB7"/>
    <w:rsid w:val="3FB73D7D"/>
    <w:rsid w:val="3FB96EC3"/>
    <w:rsid w:val="3FBEF4ED"/>
    <w:rsid w:val="3FBF1348"/>
    <w:rsid w:val="3FCC751E"/>
    <w:rsid w:val="3FD6943C"/>
    <w:rsid w:val="3FD8F877"/>
    <w:rsid w:val="3FF448FA"/>
    <w:rsid w:val="3FF775EF"/>
    <w:rsid w:val="3FF86EF8"/>
    <w:rsid w:val="3FF9C353"/>
    <w:rsid w:val="40072CCA"/>
    <w:rsid w:val="4007939D"/>
    <w:rsid w:val="4009101E"/>
    <w:rsid w:val="400AC81A"/>
    <w:rsid w:val="4012B0DB"/>
    <w:rsid w:val="4017D935"/>
    <w:rsid w:val="40251D94"/>
    <w:rsid w:val="403D589F"/>
    <w:rsid w:val="404F87A5"/>
    <w:rsid w:val="405BB8E8"/>
    <w:rsid w:val="405C1C77"/>
    <w:rsid w:val="40609C1E"/>
    <w:rsid w:val="407258D7"/>
    <w:rsid w:val="4085B29D"/>
    <w:rsid w:val="4089A8B0"/>
    <w:rsid w:val="408D206E"/>
    <w:rsid w:val="408E4B33"/>
    <w:rsid w:val="40A73EAC"/>
    <w:rsid w:val="40B18FB5"/>
    <w:rsid w:val="40B7C59F"/>
    <w:rsid w:val="40BBD8A7"/>
    <w:rsid w:val="40C9F919"/>
    <w:rsid w:val="40CACC3A"/>
    <w:rsid w:val="40D3DE94"/>
    <w:rsid w:val="40EB64E1"/>
    <w:rsid w:val="40EE3702"/>
    <w:rsid w:val="40F47FDC"/>
    <w:rsid w:val="40F63087"/>
    <w:rsid w:val="40F891E0"/>
    <w:rsid w:val="410F033C"/>
    <w:rsid w:val="411B107C"/>
    <w:rsid w:val="411B1EC6"/>
    <w:rsid w:val="412B3511"/>
    <w:rsid w:val="413485FC"/>
    <w:rsid w:val="4141C4BF"/>
    <w:rsid w:val="415764D0"/>
    <w:rsid w:val="415B6DA3"/>
    <w:rsid w:val="415DD1B3"/>
    <w:rsid w:val="41661DF0"/>
    <w:rsid w:val="41677B80"/>
    <w:rsid w:val="41717B08"/>
    <w:rsid w:val="417233C2"/>
    <w:rsid w:val="417339FD"/>
    <w:rsid w:val="41739B80"/>
    <w:rsid w:val="417CB04F"/>
    <w:rsid w:val="417CDE3B"/>
    <w:rsid w:val="4191A709"/>
    <w:rsid w:val="41961FC8"/>
    <w:rsid w:val="419AEB41"/>
    <w:rsid w:val="41CA4F91"/>
    <w:rsid w:val="41CACB98"/>
    <w:rsid w:val="41EA26FF"/>
    <w:rsid w:val="41F7880F"/>
    <w:rsid w:val="41F83CC5"/>
    <w:rsid w:val="421455B9"/>
    <w:rsid w:val="42171409"/>
    <w:rsid w:val="421C640B"/>
    <w:rsid w:val="422784E3"/>
    <w:rsid w:val="423AC2C5"/>
    <w:rsid w:val="42445CB1"/>
    <w:rsid w:val="42446F3D"/>
    <w:rsid w:val="4250CA22"/>
    <w:rsid w:val="4253ABE6"/>
    <w:rsid w:val="4254416D"/>
    <w:rsid w:val="42571F44"/>
    <w:rsid w:val="4258FB3A"/>
    <w:rsid w:val="425DD89A"/>
    <w:rsid w:val="42734F69"/>
    <w:rsid w:val="42781FD8"/>
    <w:rsid w:val="4278C7EB"/>
    <w:rsid w:val="4294153E"/>
    <w:rsid w:val="42A41EB1"/>
    <w:rsid w:val="42AE0728"/>
    <w:rsid w:val="42B47DEB"/>
    <w:rsid w:val="42C11AA6"/>
    <w:rsid w:val="42CE3611"/>
    <w:rsid w:val="42CF6A82"/>
    <w:rsid w:val="42FC5AEB"/>
    <w:rsid w:val="4300EBDF"/>
    <w:rsid w:val="430B67F6"/>
    <w:rsid w:val="430C5162"/>
    <w:rsid w:val="431D9785"/>
    <w:rsid w:val="4335CE35"/>
    <w:rsid w:val="433A633A"/>
    <w:rsid w:val="4346136E"/>
    <w:rsid w:val="4351247C"/>
    <w:rsid w:val="4352EB37"/>
    <w:rsid w:val="4353935D"/>
    <w:rsid w:val="43692A1D"/>
    <w:rsid w:val="436A11D8"/>
    <w:rsid w:val="437C782E"/>
    <w:rsid w:val="43876EF9"/>
    <w:rsid w:val="43A9FD46"/>
    <w:rsid w:val="43AA7FE3"/>
    <w:rsid w:val="43C3601A"/>
    <w:rsid w:val="43D9995A"/>
    <w:rsid w:val="43DAA19E"/>
    <w:rsid w:val="43F27811"/>
    <w:rsid w:val="43F5437D"/>
    <w:rsid w:val="43FC0DDD"/>
    <w:rsid w:val="440696C1"/>
    <w:rsid w:val="443E9F26"/>
    <w:rsid w:val="444EDA5A"/>
    <w:rsid w:val="4454A12B"/>
    <w:rsid w:val="445FF637"/>
    <w:rsid w:val="446076FE"/>
    <w:rsid w:val="44697C5C"/>
    <w:rsid w:val="447D0CF3"/>
    <w:rsid w:val="44823301"/>
    <w:rsid w:val="448EBD97"/>
    <w:rsid w:val="449C03F8"/>
    <w:rsid w:val="449CA247"/>
    <w:rsid w:val="44B69C65"/>
    <w:rsid w:val="44D00D05"/>
    <w:rsid w:val="44D438E1"/>
    <w:rsid w:val="44DAADE7"/>
    <w:rsid w:val="44DB182D"/>
    <w:rsid w:val="44DC6F66"/>
    <w:rsid w:val="44E0C102"/>
    <w:rsid w:val="44EC373D"/>
    <w:rsid w:val="450DAE8B"/>
    <w:rsid w:val="452C4D2A"/>
    <w:rsid w:val="4535A0DD"/>
    <w:rsid w:val="45395FE7"/>
    <w:rsid w:val="453E2BCB"/>
    <w:rsid w:val="45462125"/>
    <w:rsid w:val="45509AA9"/>
    <w:rsid w:val="45523FE6"/>
    <w:rsid w:val="4555FBB0"/>
    <w:rsid w:val="4559F453"/>
    <w:rsid w:val="456133DE"/>
    <w:rsid w:val="4566681D"/>
    <w:rsid w:val="45685853"/>
    <w:rsid w:val="4581DAD6"/>
    <w:rsid w:val="4589068A"/>
    <w:rsid w:val="4592FD99"/>
    <w:rsid w:val="45993594"/>
    <w:rsid w:val="459FB112"/>
    <w:rsid w:val="45B27F1B"/>
    <w:rsid w:val="45B2B5EB"/>
    <w:rsid w:val="45D0C164"/>
    <w:rsid w:val="45DACC27"/>
    <w:rsid w:val="45E29F28"/>
    <w:rsid w:val="45E581CD"/>
    <w:rsid w:val="45EFF4CB"/>
    <w:rsid w:val="460FA8B5"/>
    <w:rsid w:val="460FFBE6"/>
    <w:rsid w:val="46197861"/>
    <w:rsid w:val="4622B527"/>
    <w:rsid w:val="462545A8"/>
    <w:rsid w:val="4625E31F"/>
    <w:rsid w:val="4627C568"/>
    <w:rsid w:val="46396EC0"/>
    <w:rsid w:val="464E7509"/>
    <w:rsid w:val="465001F9"/>
    <w:rsid w:val="46621C2D"/>
    <w:rsid w:val="467C60A3"/>
    <w:rsid w:val="46877359"/>
    <w:rsid w:val="468D0083"/>
    <w:rsid w:val="468F589D"/>
    <w:rsid w:val="46A37E5D"/>
    <w:rsid w:val="46A406CF"/>
    <w:rsid w:val="46A63755"/>
    <w:rsid w:val="46AC4BC1"/>
    <w:rsid w:val="46B456BD"/>
    <w:rsid w:val="46B6465D"/>
    <w:rsid w:val="46B999F1"/>
    <w:rsid w:val="46C6D179"/>
    <w:rsid w:val="46CF1F47"/>
    <w:rsid w:val="46DDB760"/>
    <w:rsid w:val="46E52584"/>
    <w:rsid w:val="46E57ECC"/>
    <w:rsid w:val="46F162BC"/>
    <w:rsid w:val="46F3B62E"/>
    <w:rsid w:val="46F4AD1E"/>
    <w:rsid w:val="46F556AC"/>
    <w:rsid w:val="46F5953E"/>
    <w:rsid w:val="46FF84CD"/>
    <w:rsid w:val="4708E588"/>
    <w:rsid w:val="470FF385"/>
    <w:rsid w:val="4720F85F"/>
    <w:rsid w:val="4721E146"/>
    <w:rsid w:val="47397103"/>
    <w:rsid w:val="4739739D"/>
    <w:rsid w:val="47506522"/>
    <w:rsid w:val="47659D77"/>
    <w:rsid w:val="477DB26E"/>
    <w:rsid w:val="4780646F"/>
    <w:rsid w:val="478F3267"/>
    <w:rsid w:val="47AFCF39"/>
    <w:rsid w:val="47AFE6C9"/>
    <w:rsid w:val="47D013F5"/>
    <w:rsid w:val="47ED7188"/>
    <w:rsid w:val="47F52CB7"/>
    <w:rsid w:val="47FDC42B"/>
    <w:rsid w:val="4800E1CD"/>
    <w:rsid w:val="4805CBEB"/>
    <w:rsid w:val="480A16A9"/>
    <w:rsid w:val="480E7D11"/>
    <w:rsid w:val="48125147"/>
    <w:rsid w:val="4816D887"/>
    <w:rsid w:val="4817D91D"/>
    <w:rsid w:val="482498E9"/>
    <w:rsid w:val="482D8DEC"/>
    <w:rsid w:val="48343B10"/>
    <w:rsid w:val="4837022F"/>
    <w:rsid w:val="483966D6"/>
    <w:rsid w:val="483BD116"/>
    <w:rsid w:val="48451B30"/>
    <w:rsid w:val="484E95CE"/>
    <w:rsid w:val="4851D931"/>
    <w:rsid w:val="48561048"/>
    <w:rsid w:val="485F6A37"/>
    <w:rsid w:val="48637D0F"/>
    <w:rsid w:val="48686D72"/>
    <w:rsid w:val="48714BBA"/>
    <w:rsid w:val="48821331"/>
    <w:rsid w:val="48878484"/>
    <w:rsid w:val="489497FB"/>
    <w:rsid w:val="489AE8A7"/>
    <w:rsid w:val="48A121C0"/>
    <w:rsid w:val="48B1FA3D"/>
    <w:rsid w:val="48B47AB9"/>
    <w:rsid w:val="48BF15A4"/>
    <w:rsid w:val="48EB2A83"/>
    <w:rsid w:val="48ED34B8"/>
    <w:rsid w:val="48FCC251"/>
    <w:rsid w:val="49085445"/>
    <w:rsid w:val="4912F0F3"/>
    <w:rsid w:val="491B08F2"/>
    <w:rsid w:val="491CA09A"/>
    <w:rsid w:val="493381DE"/>
    <w:rsid w:val="4933D29A"/>
    <w:rsid w:val="494B0C5E"/>
    <w:rsid w:val="49599B68"/>
    <w:rsid w:val="495B2CDC"/>
    <w:rsid w:val="495C6C62"/>
    <w:rsid w:val="496765A3"/>
    <w:rsid w:val="4974A103"/>
    <w:rsid w:val="4977F762"/>
    <w:rsid w:val="498325EB"/>
    <w:rsid w:val="498F446B"/>
    <w:rsid w:val="49A0AED8"/>
    <w:rsid w:val="49A31AF8"/>
    <w:rsid w:val="49ACABE3"/>
    <w:rsid w:val="49B0B115"/>
    <w:rsid w:val="49B225D9"/>
    <w:rsid w:val="49CC5610"/>
    <w:rsid w:val="49CC94F6"/>
    <w:rsid w:val="49D1BD4F"/>
    <w:rsid w:val="49D84659"/>
    <w:rsid w:val="49D89B21"/>
    <w:rsid w:val="49DA0271"/>
    <w:rsid w:val="49E13648"/>
    <w:rsid w:val="49E4A96E"/>
    <w:rsid w:val="49F215FD"/>
    <w:rsid w:val="49FB2C76"/>
    <w:rsid w:val="49FEDF20"/>
    <w:rsid w:val="4A07F7B8"/>
    <w:rsid w:val="4A0BBC96"/>
    <w:rsid w:val="4A223071"/>
    <w:rsid w:val="4A28CBDF"/>
    <w:rsid w:val="4A5E6DFF"/>
    <w:rsid w:val="4A5E92E5"/>
    <w:rsid w:val="4A659466"/>
    <w:rsid w:val="4A6ABD5B"/>
    <w:rsid w:val="4A82DC67"/>
    <w:rsid w:val="4A9286FF"/>
    <w:rsid w:val="4A9A6CE7"/>
    <w:rsid w:val="4A9C01C1"/>
    <w:rsid w:val="4AA75E19"/>
    <w:rsid w:val="4ABB0097"/>
    <w:rsid w:val="4ABF9D62"/>
    <w:rsid w:val="4ADFC05E"/>
    <w:rsid w:val="4AE13B50"/>
    <w:rsid w:val="4AEBB52A"/>
    <w:rsid w:val="4AF99D4B"/>
    <w:rsid w:val="4AFD377C"/>
    <w:rsid w:val="4B045DA5"/>
    <w:rsid w:val="4B0C2342"/>
    <w:rsid w:val="4B0FFA4E"/>
    <w:rsid w:val="4B2F43FA"/>
    <w:rsid w:val="4B35F599"/>
    <w:rsid w:val="4B528FE5"/>
    <w:rsid w:val="4B5FEB4B"/>
    <w:rsid w:val="4B7F16C3"/>
    <w:rsid w:val="4B85EF3A"/>
    <w:rsid w:val="4B92838B"/>
    <w:rsid w:val="4B9F6083"/>
    <w:rsid w:val="4BA22538"/>
    <w:rsid w:val="4BAB6AA2"/>
    <w:rsid w:val="4BB5F5E2"/>
    <w:rsid w:val="4BC2F4F9"/>
    <w:rsid w:val="4BF5FC21"/>
    <w:rsid w:val="4C011E50"/>
    <w:rsid w:val="4C183AAF"/>
    <w:rsid w:val="4C1CB1F1"/>
    <w:rsid w:val="4C1CBD0E"/>
    <w:rsid w:val="4C220F99"/>
    <w:rsid w:val="4C3C41DC"/>
    <w:rsid w:val="4C5621AC"/>
    <w:rsid w:val="4C8057E7"/>
    <w:rsid w:val="4C81361D"/>
    <w:rsid w:val="4C873A51"/>
    <w:rsid w:val="4CA709DC"/>
    <w:rsid w:val="4CAABF31"/>
    <w:rsid w:val="4CAD8F30"/>
    <w:rsid w:val="4CC17A30"/>
    <w:rsid w:val="4CD1E739"/>
    <w:rsid w:val="4CDFF370"/>
    <w:rsid w:val="4CF8C82F"/>
    <w:rsid w:val="4D0F16B3"/>
    <w:rsid w:val="4D104275"/>
    <w:rsid w:val="4D20F164"/>
    <w:rsid w:val="4D23FBE4"/>
    <w:rsid w:val="4D248A62"/>
    <w:rsid w:val="4D2BA036"/>
    <w:rsid w:val="4D2F75D4"/>
    <w:rsid w:val="4D5228A9"/>
    <w:rsid w:val="4D58B7BF"/>
    <w:rsid w:val="4D58C847"/>
    <w:rsid w:val="4D6F7B66"/>
    <w:rsid w:val="4D7754E1"/>
    <w:rsid w:val="4D81CE44"/>
    <w:rsid w:val="4D97E9A0"/>
    <w:rsid w:val="4D98F3EE"/>
    <w:rsid w:val="4D9A7AB5"/>
    <w:rsid w:val="4DA54F73"/>
    <w:rsid w:val="4DA7B8C4"/>
    <w:rsid w:val="4DAE8D5F"/>
    <w:rsid w:val="4DB2A654"/>
    <w:rsid w:val="4DCF71ED"/>
    <w:rsid w:val="4DCFA485"/>
    <w:rsid w:val="4DEC7E32"/>
    <w:rsid w:val="4DEF0B48"/>
    <w:rsid w:val="4E13FC7E"/>
    <w:rsid w:val="4E25A4E1"/>
    <w:rsid w:val="4E353DA7"/>
    <w:rsid w:val="4E6221BF"/>
    <w:rsid w:val="4E69A247"/>
    <w:rsid w:val="4E82E399"/>
    <w:rsid w:val="4E864134"/>
    <w:rsid w:val="4E95E25C"/>
    <w:rsid w:val="4E978F07"/>
    <w:rsid w:val="4E9AF30B"/>
    <w:rsid w:val="4EA6F8E7"/>
    <w:rsid w:val="4EAB4B9D"/>
    <w:rsid w:val="4EE2A37E"/>
    <w:rsid w:val="4EE5E389"/>
    <w:rsid w:val="4EE99860"/>
    <w:rsid w:val="4EE9B3F8"/>
    <w:rsid w:val="4EF05E55"/>
    <w:rsid w:val="4EFAC568"/>
    <w:rsid w:val="4F0433F6"/>
    <w:rsid w:val="4F0687AF"/>
    <w:rsid w:val="4F079C92"/>
    <w:rsid w:val="4F0B46BB"/>
    <w:rsid w:val="4F25593E"/>
    <w:rsid w:val="4F2D718F"/>
    <w:rsid w:val="4F2F426F"/>
    <w:rsid w:val="4F39EADD"/>
    <w:rsid w:val="4F443137"/>
    <w:rsid w:val="4F4D1895"/>
    <w:rsid w:val="4F5BCD14"/>
    <w:rsid w:val="4F66D6BB"/>
    <w:rsid w:val="4F6B80A2"/>
    <w:rsid w:val="4F7311A1"/>
    <w:rsid w:val="4F7B8E7A"/>
    <w:rsid w:val="4FA0CE56"/>
    <w:rsid w:val="4FB7F7E8"/>
    <w:rsid w:val="4FB8D655"/>
    <w:rsid w:val="4FBB550B"/>
    <w:rsid w:val="4FCAE823"/>
    <w:rsid w:val="50000C50"/>
    <w:rsid w:val="50147F3E"/>
    <w:rsid w:val="50191DB9"/>
    <w:rsid w:val="5024E953"/>
    <w:rsid w:val="502A8443"/>
    <w:rsid w:val="503121BB"/>
    <w:rsid w:val="50395B56"/>
    <w:rsid w:val="503AFA06"/>
    <w:rsid w:val="503FD4CD"/>
    <w:rsid w:val="50413097"/>
    <w:rsid w:val="507B82DF"/>
    <w:rsid w:val="50815E1E"/>
    <w:rsid w:val="5082B116"/>
    <w:rsid w:val="508565EE"/>
    <w:rsid w:val="508A39AB"/>
    <w:rsid w:val="509FD9A7"/>
    <w:rsid w:val="50A843A3"/>
    <w:rsid w:val="50B41C32"/>
    <w:rsid w:val="50B6CDDD"/>
    <w:rsid w:val="50BCF91A"/>
    <w:rsid w:val="50C0127D"/>
    <w:rsid w:val="50D62FC8"/>
    <w:rsid w:val="50EE8E46"/>
    <w:rsid w:val="50F7A7F1"/>
    <w:rsid w:val="5105B66E"/>
    <w:rsid w:val="510FD9CC"/>
    <w:rsid w:val="51202129"/>
    <w:rsid w:val="512D6CDA"/>
    <w:rsid w:val="514D3DBB"/>
    <w:rsid w:val="51645575"/>
    <w:rsid w:val="51762D72"/>
    <w:rsid w:val="517D81EA"/>
    <w:rsid w:val="518244FF"/>
    <w:rsid w:val="51A28744"/>
    <w:rsid w:val="51A7B5D2"/>
    <w:rsid w:val="51B0715D"/>
    <w:rsid w:val="51BB54ED"/>
    <w:rsid w:val="51BE1DE8"/>
    <w:rsid w:val="51D06A71"/>
    <w:rsid w:val="51EAEBAE"/>
    <w:rsid w:val="51F12E27"/>
    <w:rsid w:val="51FDB454"/>
    <w:rsid w:val="5202BDE2"/>
    <w:rsid w:val="5205C091"/>
    <w:rsid w:val="5207BE40"/>
    <w:rsid w:val="520977ED"/>
    <w:rsid w:val="5225997A"/>
    <w:rsid w:val="5228A146"/>
    <w:rsid w:val="522F9407"/>
    <w:rsid w:val="52334E6C"/>
    <w:rsid w:val="5239B4CB"/>
    <w:rsid w:val="523ED236"/>
    <w:rsid w:val="525095C1"/>
    <w:rsid w:val="5251057E"/>
    <w:rsid w:val="525D15CD"/>
    <w:rsid w:val="526DCD48"/>
    <w:rsid w:val="52754F5F"/>
    <w:rsid w:val="5280B8BB"/>
    <w:rsid w:val="528EE866"/>
    <w:rsid w:val="52B9B39C"/>
    <w:rsid w:val="52BD440D"/>
    <w:rsid w:val="52CD323B"/>
    <w:rsid w:val="52D4CE19"/>
    <w:rsid w:val="52EE74A0"/>
    <w:rsid w:val="530BF226"/>
    <w:rsid w:val="53136953"/>
    <w:rsid w:val="53214133"/>
    <w:rsid w:val="5322C3B1"/>
    <w:rsid w:val="5342380E"/>
    <w:rsid w:val="5349F66C"/>
    <w:rsid w:val="534FF4A4"/>
    <w:rsid w:val="5354F15F"/>
    <w:rsid w:val="5364916C"/>
    <w:rsid w:val="5372FD84"/>
    <w:rsid w:val="53834F7C"/>
    <w:rsid w:val="538BAEBB"/>
    <w:rsid w:val="53B67C34"/>
    <w:rsid w:val="53BF512E"/>
    <w:rsid w:val="53C9734B"/>
    <w:rsid w:val="53D358B7"/>
    <w:rsid w:val="53D3D981"/>
    <w:rsid w:val="53DAB9CD"/>
    <w:rsid w:val="540F298B"/>
    <w:rsid w:val="5413727A"/>
    <w:rsid w:val="5424954A"/>
    <w:rsid w:val="543503EA"/>
    <w:rsid w:val="543C1299"/>
    <w:rsid w:val="5450F8A6"/>
    <w:rsid w:val="5452D1AA"/>
    <w:rsid w:val="546072FF"/>
    <w:rsid w:val="5471AAA8"/>
    <w:rsid w:val="54772707"/>
    <w:rsid w:val="54799862"/>
    <w:rsid w:val="5492A5E6"/>
    <w:rsid w:val="549EE739"/>
    <w:rsid w:val="54AFB2EE"/>
    <w:rsid w:val="54B75AE2"/>
    <w:rsid w:val="54BAC636"/>
    <w:rsid w:val="54BCDEDC"/>
    <w:rsid w:val="54C63C0C"/>
    <w:rsid w:val="54C78299"/>
    <w:rsid w:val="54CD1CB2"/>
    <w:rsid w:val="54D20C72"/>
    <w:rsid w:val="54D3E2DA"/>
    <w:rsid w:val="54D699EA"/>
    <w:rsid w:val="54D6D5C4"/>
    <w:rsid w:val="54EC8DA8"/>
    <w:rsid w:val="54FEF832"/>
    <w:rsid w:val="5503C4B4"/>
    <w:rsid w:val="550F4FA2"/>
    <w:rsid w:val="550F68D8"/>
    <w:rsid w:val="55131D6D"/>
    <w:rsid w:val="5517A16D"/>
    <w:rsid w:val="551F1550"/>
    <w:rsid w:val="554B5C53"/>
    <w:rsid w:val="5551C29D"/>
    <w:rsid w:val="55977FF7"/>
    <w:rsid w:val="55A425A4"/>
    <w:rsid w:val="55A545AE"/>
    <w:rsid w:val="55ADC6A8"/>
    <w:rsid w:val="55B42A52"/>
    <w:rsid w:val="55B46DBD"/>
    <w:rsid w:val="55B6ED68"/>
    <w:rsid w:val="55B746EC"/>
    <w:rsid w:val="55C3043D"/>
    <w:rsid w:val="55C634B6"/>
    <w:rsid w:val="55D33AE9"/>
    <w:rsid w:val="55D6C596"/>
    <w:rsid w:val="55D94628"/>
    <w:rsid w:val="55DEBF9D"/>
    <w:rsid w:val="55E32369"/>
    <w:rsid w:val="55E43AE8"/>
    <w:rsid w:val="55EC3CBE"/>
    <w:rsid w:val="55F1EBC1"/>
    <w:rsid w:val="55F9D424"/>
    <w:rsid w:val="560343BD"/>
    <w:rsid w:val="5608E206"/>
    <w:rsid w:val="560EB94C"/>
    <w:rsid w:val="56129EE6"/>
    <w:rsid w:val="5612F64E"/>
    <w:rsid w:val="5616B208"/>
    <w:rsid w:val="56245B36"/>
    <w:rsid w:val="5637F21C"/>
    <w:rsid w:val="5641E3B7"/>
    <w:rsid w:val="564A5E8A"/>
    <w:rsid w:val="564FD1B7"/>
    <w:rsid w:val="5652F13B"/>
    <w:rsid w:val="5655E299"/>
    <w:rsid w:val="56616D0B"/>
    <w:rsid w:val="5661EB1F"/>
    <w:rsid w:val="5686638F"/>
    <w:rsid w:val="569A2E29"/>
    <w:rsid w:val="569A5ACC"/>
    <w:rsid w:val="569D4055"/>
    <w:rsid w:val="569E7BE9"/>
    <w:rsid w:val="569F3C3C"/>
    <w:rsid w:val="56A53B89"/>
    <w:rsid w:val="56BEF6AF"/>
    <w:rsid w:val="56CBB439"/>
    <w:rsid w:val="56E0BB66"/>
    <w:rsid w:val="56E51DC1"/>
    <w:rsid w:val="56EDA875"/>
    <w:rsid w:val="56FA2FEE"/>
    <w:rsid w:val="5701178F"/>
    <w:rsid w:val="570248B6"/>
    <w:rsid w:val="5704DD69"/>
    <w:rsid w:val="570F4B5B"/>
    <w:rsid w:val="5711AD53"/>
    <w:rsid w:val="571A9177"/>
    <w:rsid w:val="573CAE70"/>
    <w:rsid w:val="57479A27"/>
    <w:rsid w:val="57495EB0"/>
    <w:rsid w:val="575A6D71"/>
    <w:rsid w:val="575D9056"/>
    <w:rsid w:val="57655F02"/>
    <w:rsid w:val="5766DDF8"/>
    <w:rsid w:val="578B5016"/>
    <w:rsid w:val="57AC79ED"/>
    <w:rsid w:val="57AE6769"/>
    <w:rsid w:val="57C374CA"/>
    <w:rsid w:val="57C6A38D"/>
    <w:rsid w:val="57D6AFDD"/>
    <w:rsid w:val="57DBC85F"/>
    <w:rsid w:val="57DF394B"/>
    <w:rsid w:val="57E30D6D"/>
    <w:rsid w:val="57E65CC5"/>
    <w:rsid w:val="57F3FE81"/>
    <w:rsid w:val="57FEE4E8"/>
    <w:rsid w:val="581A7562"/>
    <w:rsid w:val="581BB5C4"/>
    <w:rsid w:val="58238356"/>
    <w:rsid w:val="584BBCA5"/>
    <w:rsid w:val="58525424"/>
    <w:rsid w:val="586E8EE9"/>
    <w:rsid w:val="5874AB89"/>
    <w:rsid w:val="5880E7B7"/>
    <w:rsid w:val="588DB8AA"/>
    <w:rsid w:val="589E9FC7"/>
    <w:rsid w:val="58A32130"/>
    <w:rsid w:val="58AEE2C9"/>
    <w:rsid w:val="58B7F05D"/>
    <w:rsid w:val="58C13593"/>
    <w:rsid w:val="58C45317"/>
    <w:rsid w:val="58C892C2"/>
    <w:rsid w:val="58CE11AE"/>
    <w:rsid w:val="58DB34A4"/>
    <w:rsid w:val="58E12710"/>
    <w:rsid w:val="58E3BA36"/>
    <w:rsid w:val="58E5CDC4"/>
    <w:rsid w:val="58E7073F"/>
    <w:rsid w:val="58EBA40C"/>
    <w:rsid w:val="5901CD6C"/>
    <w:rsid w:val="59020666"/>
    <w:rsid w:val="590D97A8"/>
    <w:rsid w:val="591B78AF"/>
    <w:rsid w:val="592E6462"/>
    <w:rsid w:val="594478F2"/>
    <w:rsid w:val="59456B5C"/>
    <w:rsid w:val="59489F99"/>
    <w:rsid w:val="594F46CA"/>
    <w:rsid w:val="59638D06"/>
    <w:rsid w:val="597C287E"/>
    <w:rsid w:val="5980F55F"/>
    <w:rsid w:val="59831985"/>
    <w:rsid w:val="59857476"/>
    <w:rsid w:val="598C3FC4"/>
    <w:rsid w:val="599572E0"/>
    <w:rsid w:val="599D29F0"/>
    <w:rsid w:val="599F94CE"/>
    <w:rsid w:val="59C41DC5"/>
    <w:rsid w:val="59D1EB64"/>
    <w:rsid w:val="59D4D895"/>
    <w:rsid w:val="59DAC6E1"/>
    <w:rsid w:val="59DC18E9"/>
    <w:rsid w:val="59E956C5"/>
    <w:rsid w:val="59EC5CAE"/>
    <w:rsid w:val="59FDECDE"/>
    <w:rsid w:val="5A009049"/>
    <w:rsid w:val="5A362B60"/>
    <w:rsid w:val="5A39E6EE"/>
    <w:rsid w:val="5A3AC855"/>
    <w:rsid w:val="5A3D3858"/>
    <w:rsid w:val="5A5438CB"/>
    <w:rsid w:val="5A58561B"/>
    <w:rsid w:val="5A5FD75D"/>
    <w:rsid w:val="5A742F4A"/>
    <w:rsid w:val="5A77DED9"/>
    <w:rsid w:val="5A7FDC44"/>
    <w:rsid w:val="5A825DF4"/>
    <w:rsid w:val="5A8320A5"/>
    <w:rsid w:val="5A86AD22"/>
    <w:rsid w:val="5A904622"/>
    <w:rsid w:val="5AA6F0C9"/>
    <w:rsid w:val="5AAAC3FB"/>
    <w:rsid w:val="5AAC6F5D"/>
    <w:rsid w:val="5AB120A4"/>
    <w:rsid w:val="5AB240F1"/>
    <w:rsid w:val="5AB519B4"/>
    <w:rsid w:val="5ACF81AE"/>
    <w:rsid w:val="5AE10463"/>
    <w:rsid w:val="5AE9B195"/>
    <w:rsid w:val="5B0DF42F"/>
    <w:rsid w:val="5B3A47C4"/>
    <w:rsid w:val="5B3DDB18"/>
    <w:rsid w:val="5B5EC171"/>
    <w:rsid w:val="5B61C14C"/>
    <w:rsid w:val="5B6313C8"/>
    <w:rsid w:val="5B71E6B6"/>
    <w:rsid w:val="5B748EBE"/>
    <w:rsid w:val="5B77625A"/>
    <w:rsid w:val="5B9457E0"/>
    <w:rsid w:val="5B9AD321"/>
    <w:rsid w:val="5B9B07D5"/>
    <w:rsid w:val="5BB6B4CC"/>
    <w:rsid w:val="5BBAF930"/>
    <w:rsid w:val="5BC24D17"/>
    <w:rsid w:val="5BD11C2F"/>
    <w:rsid w:val="5BDC8DD9"/>
    <w:rsid w:val="5BE41D9B"/>
    <w:rsid w:val="5BF0454F"/>
    <w:rsid w:val="5C0ABDEA"/>
    <w:rsid w:val="5C0EEA3F"/>
    <w:rsid w:val="5C0F5BDA"/>
    <w:rsid w:val="5C1BE250"/>
    <w:rsid w:val="5C249A3C"/>
    <w:rsid w:val="5C2D2477"/>
    <w:rsid w:val="5C3022DD"/>
    <w:rsid w:val="5C312D10"/>
    <w:rsid w:val="5C382179"/>
    <w:rsid w:val="5C439073"/>
    <w:rsid w:val="5C5CC939"/>
    <w:rsid w:val="5C6ED2E9"/>
    <w:rsid w:val="5C9180AA"/>
    <w:rsid w:val="5C98EE2D"/>
    <w:rsid w:val="5CB00305"/>
    <w:rsid w:val="5CC1920D"/>
    <w:rsid w:val="5CC37F52"/>
    <w:rsid w:val="5CD0A89B"/>
    <w:rsid w:val="5CD83D81"/>
    <w:rsid w:val="5CD99BD0"/>
    <w:rsid w:val="5CDF8D57"/>
    <w:rsid w:val="5CE4B1FE"/>
    <w:rsid w:val="5CE6EABC"/>
    <w:rsid w:val="5CE866F7"/>
    <w:rsid w:val="5CED6594"/>
    <w:rsid w:val="5CF773B5"/>
    <w:rsid w:val="5CFF5C37"/>
    <w:rsid w:val="5D02980D"/>
    <w:rsid w:val="5D04531C"/>
    <w:rsid w:val="5D052F19"/>
    <w:rsid w:val="5D1148DE"/>
    <w:rsid w:val="5D2A474B"/>
    <w:rsid w:val="5D2BEDA8"/>
    <w:rsid w:val="5D381868"/>
    <w:rsid w:val="5D39348E"/>
    <w:rsid w:val="5D438180"/>
    <w:rsid w:val="5D47DDB2"/>
    <w:rsid w:val="5D7798D3"/>
    <w:rsid w:val="5D9283FC"/>
    <w:rsid w:val="5D93A202"/>
    <w:rsid w:val="5D9CC3A7"/>
    <w:rsid w:val="5DA16805"/>
    <w:rsid w:val="5DA1978F"/>
    <w:rsid w:val="5DAEB72C"/>
    <w:rsid w:val="5DB78EB8"/>
    <w:rsid w:val="5DD28CF8"/>
    <w:rsid w:val="5DDA58C5"/>
    <w:rsid w:val="5DDBEE2E"/>
    <w:rsid w:val="5DF695D2"/>
    <w:rsid w:val="5E089AC4"/>
    <w:rsid w:val="5E0C0C31"/>
    <w:rsid w:val="5E12B24E"/>
    <w:rsid w:val="5E1E71AF"/>
    <w:rsid w:val="5E2B13E0"/>
    <w:rsid w:val="5E31DDEC"/>
    <w:rsid w:val="5E3EEC6E"/>
    <w:rsid w:val="5E4AC243"/>
    <w:rsid w:val="5E4DC68E"/>
    <w:rsid w:val="5E505E45"/>
    <w:rsid w:val="5E5C68FC"/>
    <w:rsid w:val="5E5C8AF7"/>
    <w:rsid w:val="5E7AA4A3"/>
    <w:rsid w:val="5E874690"/>
    <w:rsid w:val="5EA30545"/>
    <w:rsid w:val="5EA4DFE6"/>
    <w:rsid w:val="5EADA37E"/>
    <w:rsid w:val="5EB23B25"/>
    <w:rsid w:val="5EC780A8"/>
    <w:rsid w:val="5ED044C0"/>
    <w:rsid w:val="5EE11E11"/>
    <w:rsid w:val="5EE776FD"/>
    <w:rsid w:val="5EEEE400"/>
    <w:rsid w:val="5EFEF5F4"/>
    <w:rsid w:val="5F04CA60"/>
    <w:rsid w:val="5F1E7292"/>
    <w:rsid w:val="5F338816"/>
    <w:rsid w:val="5F33F3E5"/>
    <w:rsid w:val="5F389F51"/>
    <w:rsid w:val="5F3F66FE"/>
    <w:rsid w:val="5F4CE4D6"/>
    <w:rsid w:val="5F597DCF"/>
    <w:rsid w:val="5F71F6ED"/>
    <w:rsid w:val="5F82511A"/>
    <w:rsid w:val="5F871F04"/>
    <w:rsid w:val="5F947946"/>
    <w:rsid w:val="5FAC8E57"/>
    <w:rsid w:val="5FAE64ED"/>
    <w:rsid w:val="5FB3D4A2"/>
    <w:rsid w:val="5FCD1C21"/>
    <w:rsid w:val="5FDFD84B"/>
    <w:rsid w:val="5FED0AED"/>
    <w:rsid w:val="5FF81944"/>
    <w:rsid w:val="5FFBDCDA"/>
    <w:rsid w:val="60101A3D"/>
    <w:rsid w:val="6013AAED"/>
    <w:rsid w:val="60145A9A"/>
    <w:rsid w:val="60158CDC"/>
    <w:rsid w:val="601AD3FF"/>
    <w:rsid w:val="6023EE90"/>
    <w:rsid w:val="602BF92D"/>
    <w:rsid w:val="602F7AF7"/>
    <w:rsid w:val="602FDF5A"/>
    <w:rsid w:val="603F869C"/>
    <w:rsid w:val="60550798"/>
    <w:rsid w:val="60598F19"/>
    <w:rsid w:val="607D2BC0"/>
    <w:rsid w:val="60A0A782"/>
    <w:rsid w:val="60A243B4"/>
    <w:rsid w:val="60B5F0DA"/>
    <w:rsid w:val="60BF0AF9"/>
    <w:rsid w:val="60C91452"/>
    <w:rsid w:val="60D0B753"/>
    <w:rsid w:val="60D18587"/>
    <w:rsid w:val="60DEBDF0"/>
    <w:rsid w:val="610074D1"/>
    <w:rsid w:val="61033529"/>
    <w:rsid w:val="611303C4"/>
    <w:rsid w:val="61188F2B"/>
    <w:rsid w:val="612C7517"/>
    <w:rsid w:val="612F296F"/>
    <w:rsid w:val="6142F0B3"/>
    <w:rsid w:val="6175DD31"/>
    <w:rsid w:val="61A32C9E"/>
    <w:rsid w:val="61C58F38"/>
    <w:rsid w:val="61E153E2"/>
    <w:rsid w:val="61E7C8B6"/>
    <w:rsid w:val="61E98396"/>
    <w:rsid w:val="61F28817"/>
    <w:rsid w:val="62012BB8"/>
    <w:rsid w:val="62074F90"/>
    <w:rsid w:val="62088219"/>
    <w:rsid w:val="620AEDC6"/>
    <w:rsid w:val="62197AC0"/>
    <w:rsid w:val="621B03C5"/>
    <w:rsid w:val="621E2707"/>
    <w:rsid w:val="62221C8B"/>
    <w:rsid w:val="62238A84"/>
    <w:rsid w:val="6230EFAA"/>
    <w:rsid w:val="62324EB4"/>
    <w:rsid w:val="6234C0D5"/>
    <w:rsid w:val="623AA151"/>
    <w:rsid w:val="62441A72"/>
    <w:rsid w:val="624D4B67"/>
    <w:rsid w:val="625A7AA4"/>
    <w:rsid w:val="625C42A3"/>
    <w:rsid w:val="62605310"/>
    <w:rsid w:val="6268876A"/>
    <w:rsid w:val="626BA84B"/>
    <w:rsid w:val="626E7A5C"/>
    <w:rsid w:val="62891C1C"/>
    <w:rsid w:val="6289DA48"/>
    <w:rsid w:val="62A963D5"/>
    <w:rsid w:val="62AB4091"/>
    <w:rsid w:val="62AF8DF1"/>
    <w:rsid w:val="62B3D7DE"/>
    <w:rsid w:val="62B41B4E"/>
    <w:rsid w:val="62B68961"/>
    <w:rsid w:val="62C0BAAD"/>
    <w:rsid w:val="62C7D9FD"/>
    <w:rsid w:val="62D75E2A"/>
    <w:rsid w:val="62D792DD"/>
    <w:rsid w:val="62DCB857"/>
    <w:rsid w:val="62E134DC"/>
    <w:rsid w:val="62E3AB22"/>
    <w:rsid w:val="62E98B14"/>
    <w:rsid w:val="62EF77BF"/>
    <w:rsid w:val="62F59A23"/>
    <w:rsid w:val="62FA8C5F"/>
    <w:rsid w:val="6307BF19"/>
    <w:rsid w:val="6309E1F2"/>
    <w:rsid w:val="630F9319"/>
    <w:rsid w:val="631422D0"/>
    <w:rsid w:val="63196743"/>
    <w:rsid w:val="631AD709"/>
    <w:rsid w:val="633CC08A"/>
    <w:rsid w:val="6355C4C3"/>
    <w:rsid w:val="635AECFF"/>
    <w:rsid w:val="635B88C7"/>
    <w:rsid w:val="6361AB7D"/>
    <w:rsid w:val="63670873"/>
    <w:rsid w:val="6372519A"/>
    <w:rsid w:val="63899F34"/>
    <w:rsid w:val="639B082C"/>
    <w:rsid w:val="639C8540"/>
    <w:rsid w:val="63BA1AFB"/>
    <w:rsid w:val="63BAE8AE"/>
    <w:rsid w:val="63CB03C0"/>
    <w:rsid w:val="63E3CEF9"/>
    <w:rsid w:val="63E649F4"/>
    <w:rsid w:val="63E7773E"/>
    <w:rsid w:val="64074FC7"/>
    <w:rsid w:val="6419178E"/>
    <w:rsid w:val="6436B854"/>
    <w:rsid w:val="643756CA"/>
    <w:rsid w:val="6439B8E8"/>
    <w:rsid w:val="6439CCFE"/>
    <w:rsid w:val="644A434B"/>
    <w:rsid w:val="6455DB4B"/>
    <w:rsid w:val="64636262"/>
    <w:rsid w:val="646538A0"/>
    <w:rsid w:val="646D67EC"/>
    <w:rsid w:val="64713562"/>
    <w:rsid w:val="647E78B9"/>
    <w:rsid w:val="648711F6"/>
    <w:rsid w:val="6487A99C"/>
    <w:rsid w:val="6487C9AB"/>
    <w:rsid w:val="64893A2B"/>
    <w:rsid w:val="648A807C"/>
    <w:rsid w:val="648EF188"/>
    <w:rsid w:val="64922415"/>
    <w:rsid w:val="64926407"/>
    <w:rsid w:val="649B1877"/>
    <w:rsid w:val="649F1D70"/>
    <w:rsid w:val="64A75847"/>
    <w:rsid w:val="64B7E0CF"/>
    <w:rsid w:val="64BDBCDB"/>
    <w:rsid w:val="64C6D4ED"/>
    <w:rsid w:val="64CDEC99"/>
    <w:rsid w:val="64D2E109"/>
    <w:rsid w:val="65102BCF"/>
    <w:rsid w:val="652766EA"/>
    <w:rsid w:val="6528F9C1"/>
    <w:rsid w:val="65292747"/>
    <w:rsid w:val="653728E4"/>
    <w:rsid w:val="653740E4"/>
    <w:rsid w:val="6544291E"/>
    <w:rsid w:val="654EBC41"/>
    <w:rsid w:val="655126CC"/>
    <w:rsid w:val="655A8515"/>
    <w:rsid w:val="655C6858"/>
    <w:rsid w:val="65782C59"/>
    <w:rsid w:val="657B8B7B"/>
    <w:rsid w:val="658213A9"/>
    <w:rsid w:val="658E6EA8"/>
    <w:rsid w:val="659853FB"/>
    <w:rsid w:val="65A11471"/>
    <w:rsid w:val="65C359FF"/>
    <w:rsid w:val="65C56A05"/>
    <w:rsid w:val="65CA7741"/>
    <w:rsid w:val="65DE8103"/>
    <w:rsid w:val="65ECE208"/>
    <w:rsid w:val="65ED60A4"/>
    <w:rsid w:val="65F68909"/>
    <w:rsid w:val="65F8853A"/>
    <w:rsid w:val="65FC06CC"/>
    <w:rsid w:val="6605F3FD"/>
    <w:rsid w:val="6617E8D3"/>
    <w:rsid w:val="661F3BF1"/>
    <w:rsid w:val="66277765"/>
    <w:rsid w:val="66501980"/>
    <w:rsid w:val="665D981E"/>
    <w:rsid w:val="66635A9C"/>
    <w:rsid w:val="66646481"/>
    <w:rsid w:val="667E4F52"/>
    <w:rsid w:val="668C329D"/>
    <w:rsid w:val="669B125C"/>
    <w:rsid w:val="66A76A24"/>
    <w:rsid w:val="66A9ABDA"/>
    <w:rsid w:val="66B93A76"/>
    <w:rsid w:val="66B9804D"/>
    <w:rsid w:val="66BDB7ED"/>
    <w:rsid w:val="66C0E79B"/>
    <w:rsid w:val="66CB3C41"/>
    <w:rsid w:val="66E20632"/>
    <w:rsid w:val="66F5C788"/>
    <w:rsid w:val="66F73BA9"/>
    <w:rsid w:val="66FFD3A8"/>
    <w:rsid w:val="66FFE266"/>
    <w:rsid w:val="67038D55"/>
    <w:rsid w:val="671586C6"/>
    <w:rsid w:val="671E64E2"/>
    <w:rsid w:val="672AAD49"/>
    <w:rsid w:val="6748CEB8"/>
    <w:rsid w:val="6768F275"/>
    <w:rsid w:val="676AE949"/>
    <w:rsid w:val="6785ACE9"/>
    <w:rsid w:val="678828ED"/>
    <w:rsid w:val="679550C0"/>
    <w:rsid w:val="679864F6"/>
    <w:rsid w:val="6799916D"/>
    <w:rsid w:val="67D1336E"/>
    <w:rsid w:val="67D8E776"/>
    <w:rsid w:val="67D9B701"/>
    <w:rsid w:val="67DB7A17"/>
    <w:rsid w:val="67EFFB47"/>
    <w:rsid w:val="67F8B7F0"/>
    <w:rsid w:val="68073D02"/>
    <w:rsid w:val="680F0195"/>
    <w:rsid w:val="680FD898"/>
    <w:rsid w:val="6812D1BA"/>
    <w:rsid w:val="6818BAE7"/>
    <w:rsid w:val="683D602B"/>
    <w:rsid w:val="685CF2EF"/>
    <w:rsid w:val="686C4ED7"/>
    <w:rsid w:val="6879F6E5"/>
    <w:rsid w:val="687A667B"/>
    <w:rsid w:val="6881FFF1"/>
    <w:rsid w:val="688ECFD1"/>
    <w:rsid w:val="6898C4F6"/>
    <w:rsid w:val="689C3B81"/>
    <w:rsid w:val="68AA7914"/>
    <w:rsid w:val="68AD6A04"/>
    <w:rsid w:val="68B9BECD"/>
    <w:rsid w:val="68BE20C9"/>
    <w:rsid w:val="68BF5D20"/>
    <w:rsid w:val="68D44FF3"/>
    <w:rsid w:val="68DCA342"/>
    <w:rsid w:val="68E5A314"/>
    <w:rsid w:val="68E766A5"/>
    <w:rsid w:val="68EADD2B"/>
    <w:rsid w:val="68F4C6F5"/>
    <w:rsid w:val="68F80CA3"/>
    <w:rsid w:val="690A9AD1"/>
    <w:rsid w:val="690B2E3C"/>
    <w:rsid w:val="690C56F9"/>
    <w:rsid w:val="690DA0B3"/>
    <w:rsid w:val="6910BE64"/>
    <w:rsid w:val="6912A5F2"/>
    <w:rsid w:val="692C0EA9"/>
    <w:rsid w:val="69343FF8"/>
    <w:rsid w:val="6934EBF1"/>
    <w:rsid w:val="6954BDFB"/>
    <w:rsid w:val="695E3C4E"/>
    <w:rsid w:val="69626BD4"/>
    <w:rsid w:val="6973AFB1"/>
    <w:rsid w:val="698D99CA"/>
    <w:rsid w:val="69951FE0"/>
    <w:rsid w:val="699A4179"/>
    <w:rsid w:val="69A0F878"/>
    <w:rsid w:val="69B853A4"/>
    <w:rsid w:val="69C19473"/>
    <w:rsid w:val="69DAF329"/>
    <w:rsid w:val="69E9E56E"/>
    <w:rsid w:val="69EECD44"/>
    <w:rsid w:val="69FC3087"/>
    <w:rsid w:val="69FFCA2D"/>
    <w:rsid w:val="6A019325"/>
    <w:rsid w:val="6A06CCE7"/>
    <w:rsid w:val="6A10E9D2"/>
    <w:rsid w:val="6A22428B"/>
    <w:rsid w:val="6A2FB30B"/>
    <w:rsid w:val="6A3028C9"/>
    <w:rsid w:val="6A3454C0"/>
    <w:rsid w:val="6A3CCF65"/>
    <w:rsid w:val="6A4708F1"/>
    <w:rsid w:val="6A47A69D"/>
    <w:rsid w:val="6A51E199"/>
    <w:rsid w:val="6A5828AD"/>
    <w:rsid w:val="6A5B0859"/>
    <w:rsid w:val="6A5CEF87"/>
    <w:rsid w:val="6A695495"/>
    <w:rsid w:val="6A6D60FB"/>
    <w:rsid w:val="6A750BD5"/>
    <w:rsid w:val="6A86B482"/>
    <w:rsid w:val="6A9A3A6D"/>
    <w:rsid w:val="6AAB6153"/>
    <w:rsid w:val="6AAE141F"/>
    <w:rsid w:val="6AC1F9D3"/>
    <w:rsid w:val="6ACFDBFC"/>
    <w:rsid w:val="6AD386EF"/>
    <w:rsid w:val="6AE055DF"/>
    <w:rsid w:val="6AE588D7"/>
    <w:rsid w:val="6AE780FA"/>
    <w:rsid w:val="6AE79E46"/>
    <w:rsid w:val="6AEDC53A"/>
    <w:rsid w:val="6AFF721E"/>
    <w:rsid w:val="6B0C087D"/>
    <w:rsid w:val="6B0C1F6E"/>
    <w:rsid w:val="6B0FE18F"/>
    <w:rsid w:val="6B1787E8"/>
    <w:rsid w:val="6B200791"/>
    <w:rsid w:val="6B22FE1A"/>
    <w:rsid w:val="6B2B9597"/>
    <w:rsid w:val="6B40556F"/>
    <w:rsid w:val="6B4E5F5B"/>
    <w:rsid w:val="6B5420A5"/>
    <w:rsid w:val="6B5F7EDF"/>
    <w:rsid w:val="6B612558"/>
    <w:rsid w:val="6B626BAB"/>
    <w:rsid w:val="6B638A05"/>
    <w:rsid w:val="6B7F86A5"/>
    <w:rsid w:val="6B8FAF25"/>
    <w:rsid w:val="6B9A6036"/>
    <w:rsid w:val="6B9D7ED4"/>
    <w:rsid w:val="6BA1A5E9"/>
    <w:rsid w:val="6BA4C378"/>
    <w:rsid w:val="6BC82585"/>
    <w:rsid w:val="6BC8287E"/>
    <w:rsid w:val="6BD3D6AA"/>
    <w:rsid w:val="6BEC61A6"/>
    <w:rsid w:val="6C1AC578"/>
    <w:rsid w:val="6C1C47CD"/>
    <w:rsid w:val="6C1FF87A"/>
    <w:rsid w:val="6C2703B4"/>
    <w:rsid w:val="6C2AF8A6"/>
    <w:rsid w:val="6C317386"/>
    <w:rsid w:val="6C3D3133"/>
    <w:rsid w:val="6C86E2BB"/>
    <w:rsid w:val="6CA9A1DD"/>
    <w:rsid w:val="6CB24D87"/>
    <w:rsid w:val="6CB47EBA"/>
    <w:rsid w:val="6CBF8D3F"/>
    <w:rsid w:val="6CC7CCA8"/>
    <w:rsid w:val="6CCAFF2A"/>
    <w:rsid w:val="6CCC4984"/>
    <w:rsid w:val="6CDF6FD5"/>
    <w:rsid w:val="6CE7BE3A"/>
    <w:rsid w:val="6CEBDDDD"/>
    <w:rsid w:val="6D066F55"/>
    <w:rsid w:val="6D069FF6"/>
    <w:rsid w:val="6D07F758"/>
    <w:rsid w:val="6D168F57"/>
    <w:rsid w:val="6D2CFB69"/>
    <w:rsid w:val="6D3BE110"/>
    <w:rsid w:val="6D55159E"/>
    <w:rsid w:val="6D59B9B9"/>
    <w:rsid w:val="6D6AE9CC"/>
    <w:rsid w:val="6D6CE4D4"/>
    <w:rsid w:val="6D82630F"/>
    <w:rsid w:val="6D9C5BA2"/>
    <w:rsid w:val="6DA70D14"/>
    <w:rsid w:val="6DA78396"/>
    <w:rsid w:val="6DBAFBEF"/>
    <w:rsid w:val="6DBFADDF"/>
    <w:rsid w:val="6DD330B2"/>
    <w:rsid w:val="6DE8621B"/>
    <w:rsid w:val="6DF523A9"/>
    <w:rsid w:val="6DF64FE2"/>
    <w:rsid w:val="6DF792CD"/>
    <w:rsid w:val="6DF947F6"/>
    <w:rsid w:val="6E02001C"/>
    <w:rsid w:val="6E09F468"/>
    <w:rsid w:val="6E0D322A"/>
    <w:rsid w:val="6E0E345F"/>
    <w:rsid w:val="6E161C33"/>
    <w:rsid w:val="6E18C353"/>
    <w:rsid w:val="6E1AB62F"/>
    <w:rsid w:val="6E21D52C"/>
    <w:rsid w:val="6E237974"/>
    <w:rsid w:val="6E2C232F"/>
    <w:rsid w:val="6E492783"/>
    <w:rsid w:val="6E4B8D96"/>
    <w:rsid w:val="6E570D83"/>
    <w:rsid w:val="6E5842C0"/>
    <w:rsid w:val="6E5FCD7A"/>
    <w:rsid w:val="6E75E924"/>
    <w:rsid w:val="6E847C84"/>
    <w:rsid w:val="6E9CCFF4"/>
    <w:rsid w:val="6EBD0CEA"/>
    <w:rsid w:val="6EC1ECF2"/>
    <w:rsid w:val="6ED13455"/>
    <w:rsid w:val="6ED977F6"/>
    <w:rsid w:val="6EE48583"/>
    <w:rsid w:val="6EED8D99"/>
    <w:rsid w:val="6EF345DE"/>
    <w:rsid w:val="6F0997F2"/>
    <w:rsid w:val="6F164B63"/>
    <w:rsid w:val="6F1BABB6"/>
    <w:rsid w:val="6F2049F2"/>
    <w:rsid w:val="6F277294"/>
    <w:rsid w:val="6F2FC01E"/>
    <w:rsid w:val="6F39917B"/>
    <w:rsid w:val="6F67A1CC"/>
    <w:rsid w:val="6F7241CF"/>
    <w:rsid w:val="6F79A16C"/>
    <w:rsid w:val="6F804FBA"/>
    <w:rsid w:val="6F841DE8"/>
    <w:rsid w:val="6F9EB5BF"/>
    <w:rsid w:val="6FB9208C"/>
    <w:rsid w:val="6FC97696"/>
    <w:rsid w:val="6FD2988A"/>
    <w:rsid w:val="6FD59AF8"/>
    <w:rsid w:val="6FD772CF"/>
    <w:rsid w:val="6FDDB518"/>
    <w:rsid w:val="6FE4088B"/>
    <w:rsid w:val="6FE48F68"/>
    <w:rsid w:val="6FF0571C"/>
    <w:rsid w:val="700E4BDD"/>
    <w:rsid w:val="700F03CF"/>
    <w:rsid w:val="701267D5"/>
    <w:rsid w:val="701A2B4D"/>
    <w:rsid w:val="7021AF65"/>
    <w:rsid w:val="702B1E10"/>
    <w:rsid w:val="702E144B"/>
    <w:rsid w:val="70333DE7"/>
    <w:rsid w:val="703CEE6A"/>
    <w:rsid w:val="7044D412"/>
    <w:rsid w:val="70483B58"/>
    <w:rsid w:val="705CDD43"/>
    <w:rsid w:val="70637225"/>
    <w:rsid w:val="70711FE7"/>
    <w:rsid w:val="707B13CA"/>
    <w:rsid w:val="70944B32"/>
    <w:rsid w:val="7098137E"/>
    <w:rsid w:val="70A68F64"/>
    <w:rsid w:val="70A7C0E2"/>
    <w:rsid w:val="70A8E4B5"/>
    <w:rsid w:val="70B7AB2F"/>
    <w:rsid w:val="70B7FC68"/>
    <w:rsid w:val="70C62BB8"/>
    <w:rsid w:val="70CB0126"/>
    <w:rsid w:val="70D30831"/>
    <w:rsid w:val="70DA693B"/>
    <w:rsid w:val="70E45D9E"/>
    <w:rsid w:val="70E5B58F"/>
    <w:rsid w:val="70E7D14D"/>
    <w:rsid w:val="70E90AB7"/>
    <w:rsid w:val="70E9E3FC"/>
    <w:rsid w:val="70F9F5A4"/>
    <w:rsid w:val="710A24EE"/>
    <w:rsid w:val="7125C6A7"/>
    <w:rsid w:val="712908DE"/>
    <w:rsid w:val="713293FF"/>
    <w:rsid w:val="71388B45"/>
    <w:rsid w:val="71503914"/>
    <w:rsid w:val="715127B5"/>
    <w:rsid w:val="7167A54A"/>
    <w:rsid w:val="71750843"/>
    <w:rsid w:val="717E0275"/>
    <w:rsid w:val="7180743E"/>
    <w:rsid w:val="7181E9D0"/>
    <w:rsid w:val="7185D480"/>
    <w:rsid w:val="7186A91F"/>
    <w:rsid w:val="71870D7A"/>
    <w:rsid w:val="71988E86"/>
    <w:rsid w:val="719C537A"/>
    <w:rsid w:val="71B1CA97"/>
    <w:rsid w:val="71B7C152"/>
    <w:rsid w:val="71C38DBB"/>
    <w:rsid w:val="71C59CAB"/>
    <w:rsid w:val="71CB0931"/>
    <w:rsid w:val="71CE4533"/>
    <w:rsid w:val="71D85BA7"/>
    <w:rsid w:val="71E2325E"/>
    <w:rsid w:val="71F138FC"/>
    <w:rsid w:val="7201DB99"/>
    <w:rsid w:val="72065FE2"/>
    <w:rsid w:val="7253ECC0"/>
    <w:rsid w:val="7255575B"/>
    <w:rsid w:val="725A891B"/>
    <w:rsid w:val="7268DF13"/>
    <w:rsid w:val="727438F6"/>
    <w:rsid w:val="7283C77E"/>
    <w:rsid w:val="7284C047"/>
    <w:rsid w:val="728A11D3"/>
    <w:rsid w:val="7295032A"/>
    <w:rsid w:val="72A4198A"/>
    <w:rsid w:val="72A9F91A"/>
    <w:rsid w:val="72B3D32F"/>
    <w:rsid w:val="72DE1CA2"/>
    <w:rsid w:val="72E6286A"/>
    <w:rsid w:val="72F6D08A"/>
    <w:rsid w:val="73199A15"/>
    <w:rsid w:val="731B9653"/>
    <w:rsid w:val="7322EF2E"/>
    <w:rsid w:val="734556DF"/>
    <w:rsid w:val="734C1BB2"/>
    <w:rsid w:val="734DB7A0"/>
    <w:rsid w:val="7357BEF1"/>
    <w:rsid w:val="7366B275"/>
    <w:rsid w:val="7372C43F"/>
    <w:rsid w:val="73851A70"/>
    <w:rsid w:val="7386FFC1"/>
    <w:rsid w:val="739E7308"/>
    <w:rsid w:val="73A1F23E"/>
    <w:rsid w:val="73AB3BAD"/>
    <w:rsid w:val="73AC138E"/>
    <w:rsid w:val="73ACB775"/>
    <w:rsid w:val="73AF4927"/>
    <w:rsid w:val="73BCA4CA"/>
    <w:rsid w:val="73BDA9E9"/>
    <w:rsid w:val="73BFD48E"/>
    <w:rsid w:val="73CBE9A5"/>
    <w:rsid w:val="73D4F45F"/>
    <w:rsid w:val="73D6F1EB"/>
    <w:rsid w:val="73F51B52"/>
    <w:rsid w:val="742D9A5C"/>
    <w:rsid w:val="7437A441"/>
    <w:rsid w:val="744272DD"/>
    <w:rsid w:val="7451378D"/>
    <w:rsid w:val="745DFAD0"/>
    <w:rsid w:val="7468875A"/>
    <w:rsid w:val="7469DD3C"/>
    <w:rsid w:val="7492460B"/>
    <w:rsid w:val="74A394A8"/>
    <w:rsid w:val="74A6D4C3"/>
    <w:rsid w:val="74BB8707"/>
    <w:rsid w:val="74BD33FF"/>
    <w:rsid w:val="74BEE560"/>
    <w:rsid w:val="74F19E3A"/>
    <w:rsid w:val="74F72D4F"/>
    <w:rsid w:val="74FE96D4"/>
    <w:rsid w:val="75101F01"/>
    <w:rsid w:val="7512D9A2"/>
    <w:rsid w:val="752A4C39"/>
    <w:rsid w:val="753D91BA"/>
    <w:rsid w:val="753E4ADC"/>
    <w:rsid w:val="754FD9C2"/>
    <w:rsid w:val="7555E29A"/>
    <w:rsid w:val="7558FF65"/>
    <w:rsid w:val="7563B0AD"/>
    <w:rsid w:val="7570C8E7"/>
    <w:rsid w:val="7581A39B"/>
    <w:rsid w:val="75952DDA"/>
    <w:rsid w:val="759AD632"/>
    <w:rsid w:val="759BFB3B"/>
    <w:rsid w:val="75A85A9D"/>
    <w:rsid w:val="75D3D967"/>
    <w:rsid w:val="75E38844"/>
    <w:rsid w:val="75E67611"/>
    <w:rsid w:val="7601D0BA"/>
    <w:rsid w:val="760CEBE9"/>
    <w:rsid w:val="760F8E77"/>
    <w:rsid w:val="76157A8D"/>
    <w:rsid w:val="76196378"/>
    <w:rsid w:val="761B74E0"/>
    <w:rsid w:val="761BEBEC"/>
    <w:rsid w:val="761D35AF"/>
    <w:rsid w:val="761E2367"/>
    <w:rsid w:val="7636D83D"/>
    <w:rsid w:val="7636FD5D"/>
    <w:rsid w:val="7646078D"/>
    <w:rsid w:val="765A1B24"/>
    <w:rsid w:val="765BCEF2"/>
    <w:rsid w:val="7663015F"/>
    <w:rsid w:val="76734F5F"/>
    <w:rsid w:val="767D1ABD"/>
    <w:rsid w:val="768E3FCF"/>
    <w:rsid w:val="76997AF3"/>
    <w:rsid w:val="76A27E06"/>
    <w:rsid w:val="76A52436"/>
    <w:rsid w:val="76B17667"/>
    <w:rsid w:val="76BAB6B2"/>
    <w:rsid w:val="76BFF93E"/>
    <w:rsid w:val="76C670BE"/>
    <w:rsid w:val="76CA0AA5"/>
    <w:rsid w:val="76CD42A4"/>
    <w:rsid w:val="76CF4EBB"/>
    <w:rsid w:val="76D89B38"/>
    <w:rsid w:val="76EDB5C4"/>
    <w:rsid w:val="77315E05"/>
    <w:rsid w:val="77326547"/>
    <w:rsid w:val="7741D3A2"/>
    <w:rsid w:val="774FC603"/>
    <w:rsid w:val="77535CF9"/>
    <w:rsid w:val="7756B84A"/>
    <w:rsid w:val="7770444A"/>
    <w:rsid w:val="777B4385"/>
    <w:rsid w:val="777B9188"/>
    <w:rsid w:val="777F8EA0"/>
    <w:rsid w:val="7785EE98"/>
    <w:rsid w:val="778C9DEA"/>
    <w:rsid w:val="778E9A9E"/>
    <w:rsid w:val="7794EB8C"/>
    <w:rsid w:val="77952FDA"/>
    <w:rsid w:val="77A3630F"/>
    <w:rsid w:val="77A84FC9"/>
    <w:rsid w:val="77C3F420"/>
    <w:rsid w:val="77D17866"/>
    <w:rsid w:val="77D5DB75"/>
    <w:rsid w:val="77DF6020"/>
    <w:rsid w:val="77E55386"/>
    <w:rsid w:val="77E6FB14"/>
    <w:rsid w:val="77FB94AF"/>
    <w:rsid w:val="77FB9D1B"/>
    <w:rsid w:val="77FEBCAC"/>
    <w:rsid w:val="7816CDB7"/>
    <w:rsid w:val="78376EC6"/>
    <w:rsid w:val="7838F0DB"/>
    <w:rsid w:val="783A1765"/>
    <w:rsid w:val="784C3C9D"/>
    <w:rsid w:val="785DB055"/>
    <w:rsid w:val="786626DC"/>
    <w:rsid w:val="786AE643"/>
    <w:rsid w:val="787254BA"/>
    <w:rsid w:val="78A33C75"/>
    <w:rsid w:val="78B0032B"/>
    <w:rsid w:val="78C01325"/>
    <w:rsid w:val="78C21D66"/>
    <w:rsid w:val="78D0183A"/>
    <w:rsid w:val="78D521A6"/>
    <w:rsid w:val="78E20358"/>
    <w:rsid w:val="78E2792E"/>
    <w:rsid w:val="78EBC6AF"/>
    <w:rsid w:val="78EE0B72"/>
    <w:rsid w:val="78FD3A0A"/>
    <w:rsid w:val="792F76F3"/>
    <w:rsid w:val="7934B3D5"/>
    <w:rsid w:val="7944847D"/>
    <w:rsid w:val="794502C2"/>
    <w:rsid w:val="79453907"/>
    <w:rsid w:val="794F57D9"/>
    <w:rsid w:val="795A1126"/>
    <w:rsid w:val="797552A3"/>
    <w:rsid w:val="79760B4F"/>
    <w:rsid w:val="79876FD7"/>
    <w:rsid w:val="798E09BA"/>
    <w:rsid w:val="798F0405"/>
    <w:rsid w:val="7997CCF7"/>
    <w:rsid w:val="799B2618"/>
    <w:rsid w:val="79B17C42"/>
    <w:rsid w:val="79B50C42"/>
    <w:rsid w:val="79CC6572"/>
    <w:rsid w:val="79D7409E"/>
    <w:rsid w:val="79DD3003"/>
    <w:rsid w:val="79DDB864"/>
    <w:rsid w:val="79EEC98C"/>
    <w:rsid w:val="79FA6CDC"/>
    <w:rsid w:val="7A0CED71"/>
    <w:rsid w:val="7A17708D"/>
    <w:rsid w:val="7A2F7779"/>
    <w:rsid w:val="7A3EFF01"/>
    <w:rsid w:val="7A4769FD"/>
    <w:rsid w:val="7A4DFD23"/>
    <w:rsid w:val="7A4E84D1"/>
    <w:rsid w:val="7A6D0004"/>
    <w:rsid w:val="7A761E37"/>
    <w:rsid w:val="7A7C09F1"/>
    <w:rsid w:val="7A7C3E03"/>
    <w:rsid w:val="7A8861EB"/>
    <w:rsid w:val="7A93962B"/>
    <w:rsid w:val="7A9856EF"/>
    <w:rsid w:val="7A9D8F2F"/>
    <w:rsid w:val="7AA3B0A9"/>
    <w:rsid w:val="7AADAC5D"/>
    <w:rsid w:val="7AAF5AD3"/>
    <w:rsid w:val="7ABA78DE"/>
    <w:rsid w:val="7ABFA549"/>
    <w:rsid w:val="7AC0FA62"/>
    <w:rsid w:val="7AC14C53"/>
    <w:rsid w:val="7AEA5FB0"/>
    <w:rsid w:val="7AEB3184"/>
    <w:rsid w:val="7AF3DEA4"/>
    <w:rsid w:val="7B07F0C5"/>
    <w:rsid w:val="7B0AD039"/>
    <w:rsid w:val="7B0B5081"/>
    <w:rsid w:val="7B0DDB4F"/>
    <w:rsid w:val="7B129E7E"/>
    <w:rsid w:val="7B2811B7"/>
    <w:rsid w:val="7B3CF5CE"/>
    <w:rsid w:val="7B4B6C91"/>
    <w:rsid w:val="7B765F17"/>
    <w:rsid w:val="7B897452"/>
    <w:rsid w:val="7B8B68FE"/>
    <w:rsid w:val="7B8C0883"/>
    <w:rsid w:val="7B90042E"/>
    <w:rsid w:val="7B90C751"/>
    <w:rsid w:val="7BA1833A"/>
    <w:rsid w:val="7BA62807"/>
    <w:rsid w:val="7BB939F5"/>
    <w:rsid w:val="7BC0EE65"/>
    <w:rsid w:val="7BC25360"/>
    <w:rsid w:val="7BC57227"/>
    <w:rsid w:val="7BD3E818"/>
    <w:rsid w:val="7BE5ED2A"/>
    <w:rsid w:val="7BEC3D02"/>
    <w:rsid w:val="7BFBE1A8"/>
    <w:rsid w:val="7BFC252A"/>
    <w:rsid w:val="7C0F6D29"/>
    <w:rsid w:val="7C164C19"/>
    <w:rsid w:val="7C2545FB"/>
    <w:rsid w:val="7C27356A"/>
    <w:rsid w:val="7C2E5564"/>
    <w:rsid w:val="7C3FC2B7"/>
    <w:rsid w:val="7C43E7A9"/>
    <w:rsid w:val="7C60A68C"/>
    <w:rsid w:val="7C610742"/>
    <w:rsid w:val="7C6DAD2A"/>
    <w:rsid w:val="7C76FC06"/>
    <w:rsid w:val="7C779D23"/>
    <w:rsid w:val="7C7D2647"/>
    <w:rsid w:val="7C8418DB"/>
    <w:rsid w:val="7C9E956F"/>
    <w:rsid w:val="7CA0433E"/>
    <w:rsid w:val="7CA77340"/>
    <w:rsid w:val="7CC08FF8"/>
    <w:rsid w:val="7CC0A061"/>
    <w:rsid w:val="7CD01DCA"/>
    <w:rsid w:val="7CE11E84"/>
    <w:rsid w:val="7CEBE353"/>
    <w:rsid w:val="7CEFD0C6"/>
    <w:rsid w:val="7D1D7FE2"/>
    <w:rsid w:val="7D23FB3E"/>
    <w:rsid w:val="7D319973"/>
    <w:rsid w:val="7D33D31B"/>
    <w:rsid w:val="7D33F291"/>
    <w:rsid w:val="7D362E3C"/>
    <w:rsid w:val="7D3EB25A"/>
    <w:rsid w:val="7D4302AD"/>
    <w:rsid w:val="7D508C59"/>
    <w:rsid w:val="7D573B50"/>
    <w:rsid w:val="7D57882D"/>
    <w:rsid w:val="7D5AD87E"/>
    <w:rsid w:val="7D5B088A"/>
    <w:rsid w:val="7D5FB64E"/>
    <w:rsid w:val="7D6B3565"/>
    <w:rsid w:val="7D70FDB6"/>
    <w:rsid w:val="7D728941"/>
    <w:rsid w:val="7D73F9D0"/>
    <w:rsid w:val="7D90D5B1"/>
    <w:rsid w:val="7DAC09FA"/>
    <w:rsid w:val="7DAE0120"/>
    <w:rsid w:val="7DBD77D8"/>
    <w:rsid w:val="7DC8B5BE"/>
    <w:rsid w:val="7DCDC503"/>
    <w:rsid w:val="7DD7B803"/>
    <w:rsid w:val="7DE32A07"/>
    <w:rsid w:val="7DF27DA4"/>
    <w:rsid w:val="7DFF4A99"/>
    <w:rsid w:val="7DFF590F"/>
    <w:rsid w:val="7E074AE4"/>
    <w:rsid w:val="7E0A5130"/>
    <w:rsid w:val="7E0FDB09"/>
    <w:rsid w:val="7E2443EF"/>
    <w:rsid w:val="7E2D9871"/>
    <w:rsid w:val="7E441D76"/>
    <w:rsid w:val="7E447168"/>
    <w:rsid w:val="7E5741BF"/>
    <w:rsid w:val="7E5C6078"/>
    <w:rsid w:val="7E62C0DB"/>
    <w:rsid w:val="7E7D41CB"/>
    <w:rsid w:val="7E9DE008"/>
    <w:rsid w:val="7EA29266"/>
    <w:rsid w:val="7EA7DA88"/>
    <w:rsid w:val="7EB78317"/>
    <w:rsid w:val="7ECC738D"/>
    <w:rsid w:val="7ECD00BB"/>
    <w:rsid w:val="7EDEAD07"/>
    <w:rsid w:val="7EE8A0CB"/>
    <w:rsid w:val="7EE8C4F4"/>
    <w:rsid w:val="7EF01D3D"/>
    <w:rsid w:val="7EF02B84"/>
    <w:rsid w:val="7EF1F176"/>
    <w:rsid w:val="7EF8ABAC"/>
    <w:rsid w:val="7F1E6DC7"/>
    <w:rsid w:val="7F215E7E"/>
    <w:rsid w:val="7F2519E7"/>
    <w:rsid w:val="7F251A7D"/>
    <w:rsid w:val="7F2D94EC"/>
    <w:rsid w:val="7F359A44"/>
    <w:rsid w:val="7F40B583"/>
    <w:rsid w:val="7F50A64A"/>
    <w:rsid w:val="7F69C282"/>
    <w:rsid w:val="7F6E1F66"/>
    <w:rsid w:val="7F72FC0D"/>
    <w:rsid w:val="7F81F3D7"/>
    <w:rsid w:val="7F8973D3"/>
    <w:rsid w:val="7F953CD8"/>
    <w:rsid w:val="7F98A134"/>
    <w:rsid w:val="7FA5A929"/>
    <w:rsid w:val="7FA88E02"/>
    <w:rsid w:val="7FAC6181"/>
    <w:rsid w:val="7FACAA3F"/>
    <w:rsid w:val="7FAD5895"/>
    <w:rsid w:val="7FB1EB97"/>
    <w:rsid w:val="7FC742DA"/>
    <w:rsid w:val="7FCBE787"/>
    <w:rsid w:val="7FE42421"/>
    <w:rsid w:val="7FEA8C75"/>
    <w:rsid w:val="7FEB0B07"/>
    <w:rsid w:val="7FEC7F7C"/>
    <w:rsid w:val="7FF8918D"/>
    <w:rsid w:val="7FF8F42A"/>
    <w:rsid w:val="7FFA00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37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7"/>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7"/>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7"/>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7"/>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37"/>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37"/>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37"/>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ous-titreobjet">
    <w:name w:val="Sous-titre objet"/>
    <w:basedOn w:val="Normalny"/>
    <w:rsid w:val="007D53B6"/>
    <w:pPr>
      <w:spacing w:before="0" w:after="0"/>
      <w:jc w:val="center"/>
    </w:pPr>
    <w:rPr>
      <w:b/>
    </w:rPr>
  </w:style>
  <w:style w:type="paragraph" w:customStyle="1" w:styleId="Sous-titreobjetPagedecouverture">
    <w:name w:val="Sous-titre objet (Page de couverture)"/>
    <w:basedOn w:val="Sous-titreobjet"/>
    <w:rsid w:val="007D53B6"/>
  </w:style>
  <w:style w:type="character" w:styleId="Odwoaniedokomentarza">
    <w:name w:val="annotation reference"/>
    <w:basedOn w:val="Domylnaczcionkaakapitu"/>
    <w:unhideWhenUsed/>
    <w:rsid w:val="00DE6CFA"/>
    <w:rPr>
      <w:sz w:val="16"/>
      <w:szCs w:val="16"/>
    </w:rPr>
  </w:style>
  <w:style w:type="paragraph" w:styleId="Tekstkomentarza">
    <w:name w:val="annotation text"/>
    <w:basedOn w:val="Normalny"/>
    <w:link w:val="TekstkomentarzaZnak"/>
    <w:unhideWhenUsed/>
    <w:rsid w:val="00DE6CFA"/>
    <w:rPr>
      <w:sz w:val="20"/>
      <w:szCs w:val="20"/>
    </w:rPr>
  </w:style>
  <w:style w:type="character" w:customStyle="1" w:styleId="TekstkomentarzaZnak">
    <w:name w:val="Tekst komentarza Znak"/>
    <w:basedOn w:val="Domylnaczcionkaakapitu"/>
    <w:link w:val="Tekstkomentarza"/>
    <w:rsid w:val="00DE6CFA"/>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nhideWhenUsed/>
    <w:rsid w:val="00DE6CFA"/>
    <w:rPr>
      <w:b/>
      <w:bCs/>
    </w:rPr>
  </w:style>
  <w:style w:type="character" w:customStyle="1" w:styleId="TematkomentarzaZnak">
    <w:name w:val="Temat komentarza Znak"/>
    <w:basedOn w:val="TekstkomentarzaZnak"/>
    <w:link w:val="Tematkomentarza"/>
    <w:rsid w:val="00DE6CFA"/>
    <w:rPr>
      <w:rFonts w:ascii="Times New Roman" w:hAnsi="Times New Roman" w:cs="Times New Roman"/>
      <w:b/>
      <w:bCs/>
      <w:sz w:val="20"/>
      <w:szCs w:val="20"/>
      <w:lang w:val="pl-PL"/>
    </w:rPr>
  </w:style>
  <w:style w:type="paragraph" w:styleId="Tekstdymka">
    <w:name w:val="Balloon Text"/>
    <w:basedOn w:val="Normalny"/>
    <w:link w:val="TekstdymkaZnak"/>
    <w:unhideWhenUsed/>
    <w:rsid w:val="00DE6CFA"/>
    <w:pPr>
      <w:spacing w:before="0" w:after="0"/>
    </w:pPr>
    <w:rPr>
      <w:rFonts w:ascii="Tahoma" w:hAnsi="Tahoma" w:cs="Tahoma"/>
      <w:sz w:val="16"/>
      <w:szCs w:val="16"/>
    </w:rPr>
  </w:style>
  <w:style w:type="character" w:customStyle="1" w:styleId="TekstdymkaZnak">
    <w:name w:val="Tekst dymka Znak"/>
    <w:basedOn w:val="Domylnaczcionkaakapitu"/>
    <w:link w:val="Tekstdymka"/>
    <w:rsid w:val="00DE6CFA"/>
    <w:rPr>
      <w:rFonts w:ascii="Tahoma" w:hAnsi="Tahoma" w:cs="Tahoma"/>
      <w:sz w:val="16"/>
      <w:szCs w:val="16"/>
      <w:lang w:val="pl-PL"/>
    </w:rPr>
  </w:style>
  <w:style w:type="paragraph" w:styleId="Poprawka">
    <w:name w:val="Revision"/>
    <w:hidden/>
    <w:uiPriority w:val="99"/>
    <w:semiHidden/>
    <w:rsid w:val="00DE6CFA"/>
    <w:pPr>
      <w:spacing w:after="0" w:line="240" w:lineRule="auto"/>
    </w:pPr>
    <w:rPr>
      <w:rFonts w:ascii="Times New Roman" w:hAnsi="Times New Roman" w:cs="Times New Roman"/>
      <w:sz w:val="24"/>
    </w:rPr>
  </w:style>
  <w:style w:type="paragraph" w:styleId="Listapunktowana">
    <w:name w:val="List Bullet"/>
    <w:basedOn w:val="Normalny"/>
    <w:unhideWhenUsed/>
    <w:rsid w:val="005D1F5C"/>
    <w:pPr>
      <w:numPr>
        <w:numId w:val="1"/>
      </w:numPr>
      <w:contextualSpacing/>
    </w:pPr>
  </w:style>
  <w:style w:type="paragraph" w:styleId="Listapunktowana2">
    <w:name w:val="List Bullet 2"/>
    <w:basedOn w:val="Normalny"/>
    <w:unhideWhenUsed/>
    <w:rsid w:val="005D1F5C"/>
    <w:pPr>
      <w:numPr>
        <w:numId w:val="2"/>
      </w:numPr>
      <w:contextualSpacing/>
    </w:pPr>
  </w:style>
  <w:style w:type="paragraph" w:styleId="Listapunktowana3">
    <w:name w:val="List Bullet 3"/>
    <w:basedOn w:val="Normalny"/>
    <w:unhideWhenUsed/>
    <w:rsid w:val="005D1F5C"/>
    <w:pPr>
      <w:numPr>
        <w:numId w:val="3"/>
      </w:numPr>
      <w:contextualSpacing/>
    </w:pPr>
  </w:style>
  <w:style w:type="paragraph" w:styleId="Listapunktowana4">
    <w:name w:val="List Bullet 4"/>
    <w:basedOn w:val="Normalny"/>
    <w:unhideWhenUsed/>
    <w:rsid w:val="005D1F5C"/>
    <w:pPr>
      <w:numPr>
        <w:numId w:val="4"/>
      </w:numPr>
      <w:contextualSpacing/>
    </w:pPr>
  </w:style>
  <w:style w:type="character" w:styleId="Hipercze">
    <w:name w:val="Hyperlink"/>
    <w:basedOn w:val="Domylnaczcionkaakapitu"/>
    <w:uiPriority w:val="99"/>
    <w:unhideWhenUsed/>
    <w:rsid w:val="00E74D30"/>
    <w:rPr>
      <w:color w:val="0000FF" w:themeColor="hyperlink"/>
      <w:u w:val="single"/>
    </w:rPr>
  </w:style>
  <w:style w:type="character" w:styleId="UyteHipercze">
    <w:name w:val="FollowedHyperlink"/>
    <w:basedOn w:val="Domylnaczcionkaakapitu"/>
    <w:unhideWhenUsed/>
    <w:rsid w:val="00E74D30"/>
    <w:rPr>
      <w:color w:val="800080" w:themeColor="followedHyperlink"/>
      <w:u w:val="single"/>
    </w:rPr>
  </w:style>
  <w:style w:type="character" w:customStyle="1" w:styleId="italic1">
    <w:name w:val="italic1"/>
    <w:basedOn w:val="Domylnaczcionkaakapitu"/>
    <w:rsid w:val="00247593"/>
    <w:rPr>
      <w:i/>
      <w:iCs/>
    </w:rPr>
  </w:style>
  <w:style w:type="paragraph" w:styleId="Akapitzlist">
    <w:name w:val="List Paragraph"/>
    <w:basedOn w:val="Normalny"/>
    <w:uiPriority w:val="34"/>
    <w:qFormat/>
    <w:rsid w:val="00612219"/>
    <w:pPr>
      <w:ind w:left="720"/>
      <w:contextualSpacing/>
    </w:pPr>
  </w:style>
  <w:style w:type="paragraph" w:customStyle="1" w:styleId="CM1">
    <w:name w:val="CM1"/>
    <w:basedOn w:val="Normalny"/>
    <w:next w:val="Normalny"/>
    <w:uiPriority w:val="99"/>
    <w:rsid w:val="00AD53CE"/>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ny"/>
    <w:next w:val="Normalny"/>
    <w:uiPriority w:val="99"/>
    <w:rsid w:val="00AD53CE"/>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ny"/>
    <w:rsid w:val="00E57E1F"/>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ny"/>
    <w:rsid w:val="00E57E1F"/>
    <w:pPr>
      <w:spacing w:before="100" w:beforeAutospacing="1" w:after="100" w:afterAutospacing="1"/>
      <w:jc w:val="left"/>
    </w:pPr>
    <w:rPr>
      <w:rFonts w:eastAsia="Times New Roman"/>
      <w:szCs w:val="24"/>
      <w:lang w:eastAsia="en-GB"/>
    </w:rPr>
  </w:style>
  <w:style w:type="paragraph" w:customStyle="1" w:styleId="norm">
    <w:name w:val="norm"/>
    <w:basedOn w:val="Normalny"/>
    <w:rsid w:val="00E57E1F"/>
    <w:pPr>
      <w:spacing w:before="100" w:beforeAutospacing="1" w:after="100" w:afterAutospacing="1"/>
      <w:jc w:val="left"/>
    </w:pPr>
    <w:rPr>
      <w:rFonts w:eastAsia="Times New Roman"/>
      <w:szCs w:val="24"/>
      <w:lang w:eastAsia="en-GB"/>
    </w:rPr>
  </w:style>
  <w:style w:type="paragraph" w:customStyle="1" w:styleId="CM4">
    <w:name w:val="CM4"/>
    <w:basedOn w:val="Normalny"/>
    <w:next w:val="Normalny"/>
    <w:uiPriority w:val="99"/>
    <w:rsid w:val="00623468"/>
    <w:pPr>
      <w:autoSpaceDE w:val="0"/>
      <w:autoSpaceDN w:val="0"/>
      <w:adjustRightInd w:val="0"/>
      <w:spacing w:before="0" w:after="0"/>
      <w:jc w:val="left"/>
    </w:pPr>
    <w:rPr>
      <w:rFonts w:ascii="EUAlbertina" w:hAnsi="EUAlbertina" w:cstheme="minorBidi"/>
      <w:szCs w:val="24"/>
    </w:rPr>
  </w:style>
  <w:style w:type="paragraph" w:customStyle="1" w:styleId="Default">
    <w:name w:val="Default"/>
    <w:rsid w:val="005C719E"/>
    <w:pPr>
      <w:autoSpaceDE w:val="0"/>
      <w:autoSpaceDN w:val="0"/>
      <w:adjustRightInd w:val="0"/>
      <w:spacing w:after="0" w:line="240" w:lineRule="auto"/>
    </w:pPr>
    <w:rPr>
      <w:rFonts w:ascii="EU Albertina" w:hAnsi="EU Albertina" w:cs="EU Albertina"/>
      <w:color w:val="000000"/>
      <w:sz w:val="24"/>
      <w:szCs w:val="24"/>
    </w:rPr>
  </w:style>
  <w:style w:type="paragraph" w:customStyle="1" w:styleId="paragraph0">
    <w:name w:val="paragraph"/>
    <w:basedOn w:val="Normalny"/>
    <w:rsid w:val="00D311D5"/>
    <w:pPr>
      <w:spacing w:before="100" w:beforeAutospacing="1" w:after="100" w:afterAutospacing="1"/>
      <w:jc w:val="left"/>
    </w:pPr>
    <w:rPr>
      <w:rFonts w:eastAsia="Times New Roman"/>
      <w:szCs w:val="24"/>
      <w:lang w:eastAsia="en-IE"/>
    </w:rPr>
  </w:style>
  <w:style w:type="character" w:customStyle="1" w:styleId="normaltextrun">
    <w:name w:val="normaltextrun"/>
    <w:basedOn w:val="Domylnaczcionkaakapitu"/>
    <w:rsid w:val="00D311D5"/>
  </w:style>
  <w:style w:type="character" w:customStyle="1" w:styleId="eop">
    <w:name w:val="eop"/>
    <w:basedOn w:val="Domylnaczcionkaakapitu"/>
    <w:rsid w:val="00D311D5"/>
  </w:style>
  <w:style w:type="paragraph" w:customStyle="1" w:styleId="Paragraph">
    <w:name w:val="Paragraph"/>
    <w:basedOn w:val="Normalny"/>
    <w:link w:val="ParagraphChar"/>
    <w:qFormat/>
    <w:rsid w:val="00763606"/>
    <w:pPr>
      <w:numPr>
        <w:numId w:val="5"/>
      </w:numPr>
      <w:spacing w:before="100" w:beforeAutospacing="1"/>
      <w:jc w:val="left"/>
    </w:pPr>
    <w:rPr>
      <w:rFonts w:asciiTheme="majorHAnsi" w:eastAsia="Times New Roman" w:hAnsiTheme="majorHAnsi" w:cstheme="majorHAnsi"/>
      <w:color w:val="000000" w:themeColor="text1"/>
      <w:sz w:val="20"/>
      <w:szCs w:val="20"/>
      <w:lang w:eastAsia="en-IE"/>
    </w:rPr>
  </w:style>
  <w:style w:type="paragraph" w:customStyle="1" w:styleId="Subparagraph">
    <w:name w:val="Subparagraph"/>
    <w:basedOn w:val="Paragraph"/>
    <w:link w:val="SubparagraphChar"/>
    <w:qFormat/>
    <w:rsid w:val="00763606"/>
    <w:pPr>
      <w:numPr>
        <w:ilvl w:val="1"/>
      </w:numPr>
    </w:pPr>
  </w:style>
  <w:style w:type="paragraph" w:customStyle="1" w:styleId="Subsubparagraph">
    <w:name w:val="Subsubparagraph"/>
    <w:basedOn w:val="Subparagraph"/>
    <w:qFormat/>
    <w:rsid w:val="00763606"/>
    <w:pPr>
      <w:numPr>
        <w:ilvl w:val="2"/>
      </w:numPr>
      <w:tabs>
        <w:tab w:val="num" w:pos="360"/>
      </w:tabs>
    </w:pPr>
  </w:style>
  <w:style w:type="character" w:customStyle="1" w:styleId="ParagraphChar">
    <w:name w:val="Paragraph Char"/>
    <w:basedOn w:val="Domylnaczcionkaakapitu"/>
    <w:link w:val="Paragraph"/>
    <w:locked/>
    <w:rsid w:val="00313426"/>
    <w:rPr>
      <w:rFonts w:asciiTheme="majorHAnsi" w:eastAsia="Times New Roman" w:hAnsiTheme="majorHAnsi" w:cstheme="majorHAnsi"/>
      <w:color w:val="000000" w:themeColor="text1"/>
      <w:sz w:val="20"/>
      <w:szCs w:val="20"/>
      <w:lang w:val="pl-PL" w:eastAsia="en-IE"/>
    </w:rPr>
  </w:style>
  <w:style w:type="character" w:customStyle="1" w:styleId="SubparagraphChar">
    <w:name w:val="Subparagraph Char"/>
    <w:basedOn w:val="ParagraphChar"/>
    <w:link w:val="Subparagraph"/>
    <w:locked/>
    <w:rsid w:val="00313426"/>
    <w:rPr>
      <w:rFonts w:asciiTheme="majorHAnsi" w:eastAsia="Times New Roman" w:hAnsiTheme="majorHAnsi" w:cstheme="majorHAnsi"/>
      <w:color w:val="000000" w:themeColor="text1"/>
      <w:sz w:val="20"/>
      <w:szCs w:val="20"/>
      <w:lang w:val="pl-PL" w:eastAsia="en-IE"/>
    </w:rPr>
  </w:style>
  <w:style w:type="character" w:customStyle="1" w:styleId="Instructions">
    <w:name w:val="Instructions"/>
    <w:basedOn w:val="Wyrnieniedelikatne"/>
    <w:uiPriority w:val="1"/>
    <w:qFormat/>
    <w:rsid w:val="00B4628E"/>
    <w:rPr>
      <w:rFonts w:ascii="Times New Roman" w:eastAsia="Times New Roman" w:hAnsi="Times New Roman" w:cstheme="majorHAnsi" w:hint="default"/>
      <w:i/>
      <w:iCs/>
      <w:color w:val="008000"/>
      <w:kern w:val="0"/>
      <w:sz w:val="24"/>
      <w:szCs w:val="20"/>
      <w:lang w:val="pl-PL" w:eastAsia="en-IE"/>
      <w14:ligatures w14:val="none"/>
    </w:rPr>
  </w:style>
  <w:style w:type="character" w:styleId="Wyrnieniedelikatne">
    <w:name w:val="Subtle Emphasis"/>
    <w:basedOn w:val="Domylnaczcionkaakapitu"/>
    <w:uiPriority w:val="19"/>
    <w:qFormat/>
    <w:rsid w:val="00313426"/>
    <w:rPr>
      <w:i/>
      <w:iCs/>
      <w:color w:val="404040" w:themeColor="text1" w:themeTint="BF"/>
    </w:rPr>
  </w:style>
  <w:style w:type="character" w:customStyle="1" w:styleId="UnresolvedMention1">
    <w:name w:val="Unresolved Mention1"/>
    <w:basedOn w:val="Domylnaczcionkaakapitu"/>
    <w:uiPriority w:val="99"/>
    <w:semiHidden/>
    <w:unhideWhenUsed/>
    <w:rsid w:val="001F443C"/>
    <w:rPr>
      <w:color w:val="605E5C"/>
      <w:shd w:val="clear" w:color="auto" w:fill="E1DFDD"/>
    </w:rPr>
  </w:style>
  <w:style w:type="paragraph" w:styleId="Tekstprzypisukocowego">
    <w:name w:val="endnote text"/>
    <w:basedOn w:val="Normalny"/>
    <w:link w:val="TekstprzypisukocowegoZnak"/>
    <w:uiPriority w:val="99"/>
    <w:semiHidden/>
    <w:unhideWhenUsed/>
    <w:rsid w:val="00574DFD"/>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574DFD"/>
    <w:rPr>
      <w:rFonts w:ascii="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574DFD"/>
    <w:rPr>
      <w:vertAlign w:val="superscript"/>
    </w:rPr>
  </w:style>
  <w:style w:type="table" w:styleId="Tabela-Siatka">
    <w:name w:val="Table Grid"/>
    <w:basedOn w:val="Standardowy"/>
    <w:uiPriority w:val="59"/>
    <w:rsid w:val="005B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Spacing">
    <w:name w:val="Table No Spacing"/>
    <w:basedOn w:val="Normalny"/>
    <w:uiPriority w:val="6"/>
    <w:qFormat/>
    <w:rsid w:val="5EE776FD"/>
    <w:pPr>
      <w:spacing w:after="0" w:line="260" w:lineRule="exact"/>
    </w:pPr>
    <w:rPr>
      <w:rFonts w:ascii="Arial" w:eastAsiaTheme="minorEastAsia" w:hAnsi="Arial" w:cstheme="minorBidi"/>
      <w:sz w:val="20"/>
      <w:szCs w:val="20"/>
    </w:rPr>
  </w:style>
  <w:style w:type="paragraph" w:customStyle="1" w:styleId="pf0">
    <w:name w:val="pf0"/>
    <w:basedOn w:val="Normalny"/>
    <w:rsid w:val="00337E05"/>
    <w:pPr>
      <w:spacing w:before="100" w:beforeAutospacing="1" w:after="100" w:afterAutospacing="1"/>
      <w:jc w:val="left"/>
    </w:pPr>
    <w:rPr>
      <w:rFonts w:eastAsia="Times New Roman"/>
      <w:szCs w:val="24"/>
      <w:lang w:eastAsia="en-IE"/>
    </w:rPr>
  </w:style>
  <w:style w:type="character" w:customStyle="1" w:styleId="cf01">
    <w:name w:val="cf01"/>
    <w:basedOn w:val="Domylnaczcionkaakapitu"/>
    <w:rsid w:val="00337E05"/>
    <w:rPr>
      <w:rFonts w:ascii="Segoe UI" w:hAnsi="Segoe UI" w:cs="Segoe UI" w:hint="default"/>
      <w:sz w:val="18"/>
      <w:szCs w:val="18"/>
    </w:rPr>
  </w:style>
  <w:style w:type="character" w:customStyle="1" w:styleId="tabchar">
    <w:name w:val="tabchar"/>
    <w:basedOn w:val="Domylnaczcionkaakapitu"/>
    <w:rsid w:val="007719DA"/>
  </w:style>
  <w:style w:type="character" w:customStyle="1" w:styleId="findhit">
    <w:name w:val="findhit"/>
    <w:basedOn w:val="Domylnaczcionkaakapitu"/>
    <w:rsid w:val="007719DA"/>
  </w:style>
  <w:style w:type="paragraph" w:styleId="Listanumerowana">
    <w:name w:val="List Number"/>
    <w:basedOn w:val="Normalny"/>
    <w:rsid w:val="00FA0CA8"/>
    <w:pPr>
      <w:numPr>
        <w:numId w:val="15"/>
      </w:numPr>
    </w:pPr>
    <w:rPr>
      <w:rFonts w:eastAsia="Times New Roman"/>
      <w:lang w:eastAsia="de-DE"/>
    </w:rPr>
  </w:style>
  <w:style w:type="paragraph" w:customStyle="1" w:styleId="ListBullet1">
    <w:name w:val="List Bullet 1"/>
    <w:basedOn w:val="Normalny"/>
    <w:rsid w:val="00FA0CA8"/>
    <w:pPr>
      <w:numPr>
        <w:numId w:val="11"/>
      </w:numPr>
    </w:pPr>
    <w:rPr>
      <w:rFonts w:eastAsia="Times New Roman"/>
      <w:lang w:eastAsia="de-DE"/>
    </w:rPr>
  </w:style>
  <w:style w:type="paragraph" w:customStyle="1" w:styleId="ListDash">
    <w:name w:val="List Dash"/>
    <w:basedOn w:val="Normalny"/>
    <w:rsid w:val="00FA0CA8"/>
    <w:pPr>
      <w:numPr>
        <w:numId w:val="12"/>
      </w:numPr>
    </w:pPr>
    <w:rPr>
      <w:rFonts w:eastAsia="Times New Roman"/>
      <w:lang w:eastAsia="de-DE"/>
    </w:rPr>
  </w:style>
  <w:style w:type="paragraph" w:customStyle="1" w:styleId="ListDash1">
    <w:name w:val="List Dash 1"/>
    <w:basedOn w:val="Normalny"/>
    <w:rsid w:val="00FA0CA8"/>
    <w:pPr>
      <w:numPr>
        <w:numId w:val="13"/>
      </w:numPr>
    </w:pPr>
    <w:rPr>
      <w:rFonts w:eastAsia="Times New Roman"/>
      <w:lang w:eastAsia="de-DE"/>
    </w:rPr>
  </w:style>
  <w:style w:type="paragraph" w:customStyle="1" w:styleId="ListDash2">
    <w:name w:val="List Dash 2"/>
    <w:basedOn w:val="Normalny"/>
    <w:rsid w:val="00FA0CA8"/>
    <w:pPr>
      <w:numPr>
        <w:numId w:val="14"/>
      </w:numPr>
    </w:pPr>
    <w:rPr>
      <w:rFonts w:eastAsia="Times New Roman"/>
      <w:lang w:eastAsia="de-DE"/>
    </w:rPr>
  </w:style>
  <w:style w:type="paragraph" w:customStyle="1" w:styleId="ListNumberLevel2">
    <w:name w:val="List Number (Level 2)"/>
    <w:basedOn w:val="Normalny"/>
    <w:rsid w:val="00FA0CA8"/>
    <w:pPr>
      <w:numPr>
        <w:ilvl w:val="1"/>
        <w:numId w:val="15"/>
      </w:numPr>
    </w:pPr>
    <w:rPr>
      <w:rFonts w:eastAsia="Times New Roman"/>
      <w:lang w:eastAsia="de-DE"/>
    </w:rPr>
  </w:style>
  <w:style w:type="paragraph" w:customStyle="1" w:styleId="ListNumberLevel3">
    <w:name w:val="List Number (Level 3)"/>
    <w:basedOn w:val="Normalny"/>
    <w:rsid w:val="00FA0CA8"/>
    <w:pPr>
      <w:numPr>
        <w:ilvl w:val="2"/>
        <w:numId w:val="15"/>
      </w:numPr>
    </w:pPr>
    <w:rPr>
      <w:rFonts w:eastAsia="Times New Roman"/>
      <w:lang w:eastAsia="de-DE"/>
    </w:rPr>
  </w:style>
  <w:style w:type="paragraph" w:customStyle="1" w:styleId="ListNumberLevel4">
    <w:name w:val="List Number (Level 4)"/>
    <w:basedOn w:val="Normalny"/>
    <w:rsid w:val="00FA0CA8"/>
    <w:pPr>
      <w:numPr>
        <w:ilvl w:val="3"/>
        <w:numId w:val="15"/>
      </w:numPr>
    </w:pPr>
    <w:rPr>
      <w:rFonts w:eastAsia="Times New Roman"/>
      <w:lang w:eastAsia="de-DE"/>
    </w:rPr>
  </w:style>
  <w:style w:type="table" w:customStyle="1" w:styleId="TableGrid1">
    <w:name w:val="Table Grid1"/>
    <w:basedOn w:val="Standardowy"/>
    <w:next w:val="Tabela-Siatka"/>
    <w:rsid w:val="00FA0CA8"/>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rsid w:val="00FA0CA8"/>
    <w:pPr>
      <w:numPr>
        <w:numId w:val="19"/>
      </w:numPr>
    </w:pPr>
    <w:rPr>
      <w:rFonts w:eastAsia="Times New Roman"/>
      <w:lang w:eastAsia="en-GB"/>
    </w:rPr>
  </w:style>
  <w:style w:type="paragraph" w:styleId="Listanumerowana3">
    <w:name w:val="List Number 3"/>
    <w:basedOn w:val="Normalny"/>
    <w:rsid w:val="00FA0CA8"/>
    <w:pPr>
      <w:numPr>
        <w:numId w:val="20"/>
      </w:numPr>
    </w:pPr>
    <w:rPr>
      <w:rFonts w:eastAsia="Times New Roman"/>
      <w:lang w:eastAsia="en-GB"/>
    </w:rPr>
  </w:style>
  <w:style w:type="paragraph" w:styleId="Listanumerowana4">
    <w:name w:val="List Number 4"/>
    <w:basedOn w:val="Normalny"/>
    <w:rsid w:val="00FA0CA8"/>
    <w:pPr>
      <w:numPr>
        <w:numId w:val="21"/>
      </w:numPr>
    </w:pPr>
    <w:rPr>
      <w:rFonts w:eastAsia="Times New Roman"/>
      <w:lang w:eastAsia="en-GB"/>
    </w:rPr>
  </w:style>
  <w:style w:type="paragraph" w:customStyle="1" w:styleId="ListDash3">
    <w:name w:val="List Dash 3"/>
    <w:basedOn w:val="Normalny"/>
    <w:rsid w:val="00FA0CA8"/>
    <w:pPr>
      <w:numPr>
        <w:numId w:val="16"/>
      </w:numPr>
    </w:pPr>
    <w:rPr>
      <w:rFonts w:eastAsia="Times New Roman"/>
      <w:lang w:eastAsia="en-GB"/>
    </w:rPr>
  </w:style>
  <w:style w:type="paragraph" w:customStyle="1" w:styleId="ListDash4">
    <w:name w:val="List Dash 4"/>
    <w:basedOn w:val="Normalny"/>
    <w:rsid w:val="00FA0CA8"/>
    <w:pPr>
      <w:numPr>
        <w:numId w:val="17"/>
      </w:numPr>
    </w:pPr>
    <w:rPr>
      <w:rFonts w:eastAsia="Times New Roman"/>
      <w:lang w:eastAsia="en-GB"/>
    </w:rPr>
  </w:style>
  <w:style w:type="paragraph" w:customStyle="1" w:styleId="ListNumber1">
    <w:name w:val="List Number 1"/>
    <w:basedOn w:val="Text1"/>
    <w:rsid w:val="00FA0CA8"/>
    <w:pPr>
      <w:numPr>
        <w:numId w:val="18"/>
      </w:numPr>
    </w:pPr>
    <w:rPr>
      <w:rFonts w:eastAsia="Times New Roman"/>
      <w:lang w:eastAsia="en-GB"/>
    </w:rPr>
  </w:style>
  <w:style w:type="paragraph" w:customStyle="1" w:styleId="ListNumber1Level2">
    <w:name w:val="List Number 1 (Level 2)"/>
    <w:basedOn w:val="Text1"/>
    <w:rsid w:val="00FA0CA8"/>
    <w:pPr>
      <w:numPr>
        <w:ilvl w:val="1"/>
        <w:numId w:val="18"/>
      </w:numPr>
    </w:pPr>
    <w:rPr>
      <w:rFonts w:eastAsia="Times New Roman"/>
      <w:lang w:eastAsia="en-GB"/>
    </w:rPr>
  </w:style>
  <w:style w:type="paragraph" w:customStyle="1" w:styleId="ListNumber2Level2">
    <w:name w:val="List Number 2 (Level 2)"/>
    <w:basedOn w:val="Text2"/>
    <w:rsid w:val="00FA0CA8"/>
    <w:pPr>
      <w:numPr>
        <w:ilvl w:val="1"/>
        <w:numId w:val="19"/>
      </w:numPr>
    </w:pPr>
    <w:rPr>
      <w:rFonts w:eastAsia="Times New Roman"/>
      <w:lang w:eastAsia="en-GB"/>
    </w:rPr>
  </w:style>
  <w:style w:type="paragraph" w:customStyle="1" w:styleId="ListNumber3Level2">
    <w:name w:val="List Number 3 (Level 2)"/>
    <w:basedOn w:val="Text3"/>
    <w:rsid w:val="00FA0CA8"/>
    <w:pPr>
      <w:numPr>
        <w:ilvl w:val="1"/>
        <w:numId w:val="20"/>
      </w:numPr>
    </w:pPr>
    <w:rPr>
      <w:rFonts w:eastAsia="Times New Roman"/>
      <w:lang w:eastAsia="en-GB"/>
    </w:rPr>
  </w:style>
  <w:style w:type="paragraph" w:customStyle="1" w:styleId="ListNumber4Level2">
    <w:name w:val="List Number 4 (Level 2)"/>
    <w:basedOn w:val="Text4"/>
    <w:rsid w:val="00FA0CA8"/>
    <w:pPr>
      <w:numPr>
        <w:ilvl w:val="1"/>
        <w:numId w:val="21"/>
      </w:numPr>
    </w:pPr>
    <w:rPr>
      <w:rFonts w:eastAsia="Times New Roman"/>
      <w:lang w:eastAsia="en-GB"/>
    </w:rPr>
  </w:style>
  <w:style w:type="paragraph" w:customStyle="1" w:styleId="ListNumber1Level3">
    <w:name w:val="List Number 1 (Level 3)"/>
    <w:basedOn w:val="Text1"/>
    <w:rsid w:val="00FA0CA8"/>
    <w:pPr>
      <w:numPr>
        <w:ilvl w:val="2"/>
        <w:numId w:val="18"/>
      </w:numPr>
    </w:pPr>
    <w:rPr>
      <w:rFonts w:eastAsia="Times New Roman"/>
      <w:lang w:eastAsia="en-GB"/>
    </w:rPr>
  </w:style>
  <w:style w:type="paragraph" w:customStyle="1" w:styleId="ListNumber2Level3">
    <w:name w:val="List Number 2 (Level 3)"/>
    <w:basedOn w:val="Text2"/>
    <w:rsid w:val="00FA0CA8"/>
    <w:pPr>
      <w:numPr>
        <w:ilvl w:val="2"/>
        <w:numId w:val="19"/>
      </w:numPr>
    </w:pPr>
    <w:rPr>
      <w:rFonts w:eastAsia="Times New Roman"/>
      <w:lang w:eastAsia="en-GB"/>
    </w:rPr>
  </w:style>
  <w:style w:type="paragraph" w:customStyle="1" w:styleId="ListNumber3Level3">
    <w:name w:val="List Number 3 (Level 3)"/>
    <w:basedOn w:val="Text3"/>
    <w:rsid w:val="00FA0CA8"/>
    <w:pPr>
      <w:numPr>
        <w:ilvl w:val="2"/>
        <w:numId w:val="20"/>
      </w:numPr>
    </w:pPr>
    <w:rPr>
      <w:rFonts w:eastAsia="Times New Roman"/>
      <w:lang w:eastAsia="en-GB"/>
    </w:rPr>
  </w:style>
  <w:style w:type="paragraph" w:customStyle="1" w:styleId="ListNumber4Level3">
    <w:name w:val="List Number 4 (Level 3)"/>
    <w:basedOn w:val="Text4"/>
    <w:rsid w:val="00FA0CA8"/>
    <w:pPr>
      <w:numPr>
        <w:ilvl w:val="2"/>
        <w:numId w:val="21"/>
      </w:numPr>
    </w:pPr>
    <w:rPr>
      <w:rFonts w:eastAsia="Times New Roman"/>
      <w:lang w:eastAsia="en-GB"/>
    </w:rPr>
  </w:style>
  <w:style w:type="paragraph" w:customStyle="1" w:styleId="ListNumber1Level4">
    <w:name w:val="List Number 1 (Level 4)"/>
    <w:basedOn w:val="Text1"/>
    <w:rsid w:val="00FA0CA8"/>
    <w:pPr>
      <w:numPr>
        <w:ilvl w:val="3"/>
        <w:numId w:val="18"/>
      </w:numPr>
    </w:pPr>
    <w:rPr>
      <w:rFonts w:eastAsia="Times New Roman"/>
      <w:lang w:eastAsia="en-GB"/>
    </w:rPr>
  </w:style>
  <w:style w:type="paragraph" w:customStyle="1" w:styleId="ListNumber2Level4">
    <w:name w:val="List Number 2 (Level 4)"/>
    <w:basedOn w:val="Text2"/>
    <w:rsid w:val="00FA0CA8"/>
    <w:pPr>
      <w:numPr>
        <w:ilvl w:val="3"/>
        <w:numId w:val="19"/>
      </w:numPr>
    </w:pPr>
    <w:rPr>
      <w:rFonts w:eastAsia="Times New Roman"/>
      <w:lang w:eastAsia="en-GB"/>
    </w:rPr>
  </w:style>
  <w:style w:type="paragraph" w:customStyle="1" w:styleId="ListNumber3Level4">
    <w:name w:val="List Number 3 (Level 4)"/>
    <w:basedOn w:val="Text3"/>
    <w:rsid w:val="00FA0CA8"/>
    <w:pPr>
      <w:numPr>
        <w:ilvl w:val="3"/>
        <w:numId w:val="20"/>
      </w:numPr>
    </w:pPr>
    <w:rPr>
      <w:rFonts w:eastAsia="Times New Roman"/>
      <w:lang w:eastAsia="en-GB"/>
    </w:rPr>
  </w:style>
  <w:style w:type="paragraph" w:customStyle="1" w:styleId="ListNumber4Level4">
    <w:name w:val="List Number 4 (Level 4)"/>
    <w:basedOn w:val="Text4"/>
    <w:rsid w:val="00FA0CA8"/>
    <w:pPr>
      <w:numPr>
        <w:ilvl w:val="3"/>
        <w:numId w:val="21"/>
      </w:numPr>
    </w:pPr>
    <w:rPr>
      <w:rFonts w:eastAsia="Times New Roman"/>
      <w:lang w:eastAsia="en-GB"/>
    </w:rPr>
  </w:style>
  <w:style w:type="paragraph" w:customStyle="1" w:styleId="Annexetitreacte">
    <w:name w:val="Annexe titre (acte)"/>
    <w:basedOn w:val="Normalny"/>
    <w:next w:val="Normalny"/>
    <w:rsid w:val="00FA0CA8"/>
    <w:pPr>
      <w:jc w:val="center"/>
    </w:pPr>
    <w:rPr>
      <w:rFonts w:eastAsia="Times New Roman"/>
      <w:b/>
      <w:u w:val="single"/>
      <w:lang w:eastAsia="en-GB"/>
    </w:rPr>
  </w:style>
  <w:style w:type="paragraph" w:customStyle="1" w:styleId="Annexetitreexposglobal">
    <w:name w:val="Annexe titre (exposé global)"/>
    <w:basedOn w:val="Normalny"/>
    <w:next w:val="Normalny"/>
    <w:rsid w:val="00FA0CA8"/>
    <w:pPr>
      <w:jc w:val="center"/>
    </w:pPr>
    <w:rPr>
      <w:rFonts w:eastAsia="Times New Roman"/>
      <w:b/>
      <w:u w:val="single"/>
      <w:lang w:eastAsia="en-GB"/>
    </w:rPr>
  </w:style>
  <w:style w:type="paragraph" w:customStyle="1" w:styleId="Annexetitrefichefinacte">
    <w:name w:val="Annexe titre (fiche fin. acte)"/>
    <w:basedOn w:val="Normalny"/>
    <w:next w:val="Normalny"/>
    <w:rsid w:val="00FA0CA8"/>
    <w:pPr>
      <w:jc w:val="center"/>
    </w:pPr>
    <w:rPr>
      <w:rFonts w:eastAsia="Times New Roman"/>
      <w:b/>
      <w:u w:val="single"/>
      <w:lang w:eastAsia="en-GB"/>
    </w:rPr>
  </w:style>
  <w:style w:type="paragraph" w:customStyle="1" w:styleId="Annexetitrefichefinglobale">
    <w:name w:val="Annexe titre (fiche fin. globale)"/>
    <w:basedOn w:val="Normalny"/>
    <w:next w:val="Normalny"/>
    <w:rsid w:val="00FA0CA8"/>
    <w:pPr>
      <w:jc w:val="center"/>
    </w:pPr>
    <w:rPr>
      <w:rFonts w:eastAsia="Times New Roman"/>
      <w:b/>
      <w:u w:val="single"/>
      <w:lang w:eastAsia="en-GB"/>
    </w:rPr>
  </w:style>
  <w:style w:type="paragraph" w:customStyle="1" w:styleId="Annexetitreglobale">
    <w:name w:val="Annexe titre (globale)"/>
    <w:basedOn w:val="Normalny"/>
    <w:next w:val="Normalny"/>
    <w:rsid w:val="00FA0CA8"/>
    <w:pPr>
      <w:jc w:val="center"/>
    </w:pPr>
    <w:rPr>
      <w:rFonts w:eastAsia="Times New Roman"/>
      <w:b/>
      <w:u w:val="single"/>
      <w:lang w:eastAsia="en-GB"/>
    </w:rPr>
  </w:style>
  <w:style w:type="paragraph" w:customStyle="1" w:styleId="Exposdesmotifstitreglobal">
    <w:name w:val="Exposé des motifs titre (global)"/>
    <w:basedOn w:val="Normalny"/>
    <w:next w:val="Normalny"/>
    <w:rsid w:val="00FA0CA8"/>
    <w:pPr>
      <w:jc w:val="center"/>
    </w:pPr>
    <w:rPr>
      <w:rFonts w:eastAsia="Times New Roman"/>
      <w:b/>
      <w:u w:val="single"/>
      <w:lang w:eastAsia="en-GB"/>
    </w:rPr>
  </w:style>
  <w:style w:type="paragraph" w:customStyle="1" w:styleId="Langueoriginale">
    <w:name w:val="Langue originale"/>
    <w:basedOn w:val="Normalny"/>
    <w:rsid w:val="00FA0CA8"/>
    <w:pPr>
      <w:spacing w:before="360"/>
      <w:jc w:val="center"/>
    </w:pPr>
    <w:rPr>
      <w:rFonts w:eastAsia="Times New Roman"/>
      <w:caps/>
      <w:lang w:eastAsia="en-GB"/>
    </w:rPr>
  </w:style>
  <w:style w:type="paragraph" w:customStyle="1" w:styleId="Phrasefinale">
    <w:name w:val="Phrase finale"/>
    <w:basedOn w:val="Normalny"/>
    <w:next w:val="Normalny"/>
    <w:rsid w:val="00FA0CA8"/>
    <w:pPr>
      <w:spacing w:before="360" w:after="0"/>
      <w:jc w:val="center"/>
    </w:pPr>
    <w:rPr>
      <w:rFonts w:eastAsia="Times New Roman"/>
      <w:lang w:eastAsia="en-GB"/>
    </w:rPr>
  </w:style>
  <w:style w:type="paragraph" w:customStyle="1" w:styleId="Prliminairetitre">
    <w:name w:val="Préliminaire titre"/>
    <w:basedOn w:val="Normalny"/>
    <w:next w:val="Normalny"/>
    <w:rsid w:val="00FA0CA8"/>
    <w:pPr>
      <w:spacing w:before="360" w:after="360"/>
      <w:jc w:val="center"/>
    </w:pPr>
    <w:rPr>
      <w:rFonts w:eastAsia="Times New Roman"/>
      <w:b/>
      <w:lang w:eastAsia="en-GB"/>
    </w:rPr>
  </w:style>
  <w:style w:type="paragraph" w:customStyle="1" w:styleId="Prliminairetype">
    <w:name w:val="Préliminaire type"/>
    <w:basedOn w:val="Normalny"/>
    <w:next w:val="Normalny"/>
    <w:rsid w:val="00FA0CA8"/>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FA0CA8"/>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FA0CA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FA0CA8"/>
    <w:pPr>
      <w:spacing w:before="0" w:after="0"/>
      <w:ind w:left="5103"/>
      <w:jc w:val="left"/>
    </w:pPr>
    <w:rPr>
      <w:rFonts w:eastAsia="Times New Roman"/>
      <w:lang w:eastAsia="en-GB"/>
    </w:rPr>
  </w:style>
  <w:style w:type="paragraph" w:customStyle="1" w:styleId="Sous-titreobjetprliminaire">
    <w:name w:val="Sous-titre objet (préliminaire)"/>
    <w:basedOn w:val="Normalny"/>
    <w:rsid w:val="00FA0CA8"/>
    <w:pPr>
      <w:spacing w:before="0" w:after="0"/>
      <w:jc w:val="center"/>
    </w:pPr>
    <w:rPr>
      <w:rFonts w:eastAsia="Times New Roman"/>
      <w:b/>
      <w:lang w:eastAsia="en-GB"/>
    </w:rPr>
  </w:style>
  <w:style w:type="paragraph" w:customStyle="1" w:styleId="Statutprliminaire">
    <w:name w:val="Statut (préliminaire)"/>
    <w:basedOn w:val="Normalny"/>
    <w:next w:val="Normalny"/>
    <w:rsid w:val="00FA0CA8"/>
    <w:pPr>
      <w:spacing w:before="360" w:after="0"/>
      <w:jc w:val="center"/>
    </w:pPr>
    <w:rPr>
      <w:rFonts w:eastAsia="Times New Roman"/>
      <w:lang w:eastAsia="en-GB"/>
    </w:rPr>
  </w:style>
  <w:style w:type="paragraph" w:customStyle="1" w:styleId="Titreobjetprliminaire">
    <w:name w:val="Titre objet (préliminaire)"/>
    <w:basedOn w:val="Normalny"/>
    <w:next w:val="Normalny"/>
    <w:rsid w:val="00FA0CA8"/>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FA0CA8"/>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FA0CA8"/>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FA0CA8"/>
    <w:pPr>
      <w:jc w:val="center"/>
    </w:pPr>
    <w:rPr>
      <w:rFonts w:eastAsia="Times New Roman"/>
      <w:b/>
      <w:u w:val="single"/>
      <w:lang w:eastAsia="en-GB"/>
    </w:rPr>
  </w:style>
  <w:style w:type="paragraph" w:customStyle="1" w:styleId="Fichefinanciretravailtitre">
    <w:name w:val="Fiche financière (travail) titre"/>
    <w:basedOn w:val="Normalny"/>
    <w:next w:val="Normalny"/>
    <w:rsid w:val="00FA0CA8"/>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FA0CA8"/>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FA0CA8"/>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FA0CA8"/>
    <w:pPr>
      <w:jc w:val="center"/>
    </w:pPr>
    <w:rPr>
      <w:rFonts w:eastAsia="Times New Roman"/>
      <w:b/>
      <w:u w:val="single"/>
      <w:lang w:eastAsia="en-GB"/>
    </w:rPr>
  </w:style>
  <w:style w:type="paragraph" w:styleId="Legenda">
    <w:name w:val="caption"/>
    <w:basedOn w:val="Normalny"/>
    <w:next w:val="Normalny"/>
    <w:qFormat/>
    <w:rsid w:val="00FA0CA8"/>
    <w:rPr>
      <w:rFonts w:eastAsia="Times New Roman"/>
      <w:b/>
      <w:bCs/>
      <w:sz w:val="20"/>
      <w:szCs w:val="20"/>
      <w:lang w:eastAsia="en-GB"/>
    </w:rPr>
  </w:style>
  <w:style w:type="paragraph" w:styleId="Spisilustracji">
    <w:name w:val="table of figures"/>
    <w:basedOn w:val="Normalny"/>
    <w:next w:val="Normalny"/>
    <w:rsid w:val="00FA0CA8"/>
    <w:rPr>
      <w:rFonts w:eastAsia="Times New Roman"/>
      <w:lang w:eastAsia="en-GB"/>
    </w:rPr>
  </w:style>
  <w:style w:type="character" w:styleId="Numerstrony">
    <w:name w:val="page number"/>
    <w:rsid w:val="00FA0CA8"/>
  </w:style>
  <w:style w:type="character" w:customStyle="1" w:styleId="tw4winMark">
    <w:name w:val="tw4winMark"/>
    <w:rsid w:val="00FA0CA8"/>
    <w:rPr>
      <w:vanish/>
      <w:color w:val="800080"/>
      <w:vertAlign w:val="subscript"/>
    </w:rPr>
  </w:style>
  <w:style w:type="paragraph" w:customStyle="1" w:styleId="FooterCoverPage">
    <w:name w:val="Footer Cover Page"/>
    <w:basedOn w:val="Normalny"/>
    <w:link w:val="FooterCoverPageChar"/>
    <w:rsid w:val="00FA0CA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A0CA8"/>
    <w:rPr>
      <w:rFonts w:ascii="Times New Roman" w:hAnsi="Times New Roman" w:cs="Times New Roman"/>
      <w:b/>
      <w:sz w:val="28"/>
      <w:lang w:val="pl-PL"/>
    </w:rPr>
  </w:style>
  <w:style w:type="character" w:customStyle="1" w:styleId="FooterCoverPageChar">
    <w:name w:val="Footer Cover Page Char"/>
    <w:link w:val="FooterCoverPage"/>
    <w:rsid w:val="00FA0CA8"/>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FA0CA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A0CA8"/>
    <w:rPr>
      <w:rFonts w:ascii="Times New Roman" w:eastAsia="Calibri" w:hAnsi="Times New Roman" w:cs="Times New Roman"/>
      <w:sz w:val="24"/>
      <w:lang w:val="pl-PL" w:eastAsia="en-GB"/>
    </w:rPr>
  </w:style>
  <w:style w:type="character" w:customStyle="1" w:styleId="FooterSensitivityChar">
    <w:name w:val="Footer Sensitivity Char"/>
    <w:rsid w:val="00FA0CA8"/>
    <w:rPr>
      <w:rFonts w:ascii="Times New Roman" w:hAnsi="Times New Roman" w:cs="Times New Roman"/>
      <w:b/>
      <w:sz w:val="32"/>
      <w:lang w:val="pl-PL"/>
    </w:rPr>
  </w:style>
  <w:style w:type="character" w:customStyle="1" w:styleId="HeaderSensitivityChar">
    <w:name w:val="Header Sensitivity Char"/>
    <w:rsid w:val="00FA0CA8"/>
    <w:rPr>
      <w:rFonts w:ascii="Times New Roman" w:hAnsi="Times New Roman" w:cs="Times New Roman"/>
      <w:b/>
      <w:sz w:val="32"/>
      <w:lang w:val="pl-PL"/>
    </w:rPr>
  </w:style>
  <w:style w:type="character" w:customStyle="1" w:styleId="HeaderSensitivityRightChar">
    <w:name w:val="Header Sensitivity Right Char"/>
    <w:rsid w:val="00FA0CA8"/>
    <w:rPr>
      <w:rFonts w:ascii="Times New Roman" w:hAnsi="Times New Roman" w:cs="Times New Roman"/>
      <w:sz w:val="28"/>
      <w:lang w:val="pl-PL"/>
    </w:rPr>
  </w:style>
  <w:style w:type="paragraph" w:customStyle="1" w:styleId="LegalNumPar">
    <w:name w:val="LegalNumPar"/>
    <w:basedOn w:val="Normalny"/>
    <w:rsid w:val="00FA0CA8"/>
    <w:pPr>
      <w:numPr>
        <w:numId w:val="22"/>
      </w:numPr>
      <w:spacing w:line="360" w:lineRule="auto"/>
    </w:pPr>
    <w:rPr>
      <w:rFonts w:eastAsia="Times New Roman"/>
      <w:lang w:eastAsia="en-GB"/>
    </w:rPr>
  </w:style>
  <w:style w:type="paragraph" w:customStyle="1" w:styleId="LegalNumPar2">
    <w:name w:val="LegalNumPar2"/>
    <w:basedOn w:val="Normalny"/>
    <w:rsid w:val="00FA0CA8"/>
    <w:pPr>
      <w:numPr>
        <w:ilvl w:val="1"/>
        <w:numId w:val="22"/>
      </w:numPr>
      <w:spacing w:line="360" w:lineRule="auto"/>
    </w:pPr>
    <w:rPr>
      <w:rFonts w:eastAsia="Times New Roman"/>
      <w:lang w:eastAsia="en-GB"/>
    </w:rPr>
  </w:style>
  <w:style w:type="paragraph" w:customStyle="1" w:styleId="LegalNumPar3">
    <w:name w:val="LegalNumPar3"/>
    <w:basedOn w:val="Normalny"/>
    <w:rsid w:val="00FA0CA8"/>
    <w:pPr>
      <w:numPr>
        <w:ilvl w:val="2"/>
        <w:numId w:val="22"/>
      </w:numPr>
      <w:spacing w:line="360" w:lineRule="auto"/>
    </w:pPr>
    <w:rPr>
      <w:rFonts w:eastAsia="Times New Roman"/>
      <w:lang w:eastAsia="en-GB"/>
    </w:rPr>
  </w:style>
  <w:style w:type="character" w:styleId="Pogrubienie">
    <w:name w:val="Strong"/>
    <w:basedOn w:val="Domylnaczcionkaakapitu"/>
    <w:uiPriority w:val="22"/>
    <w:qFormat/>
    <w:rsid w:val="00FA0CA8"/>
    <w:rPr>
      <w:b/>
      <w:bCs/>
    </w:rPr>
  </w:style>
  <w:style w:type="character" w:styleId="Uwydatnienie">
    <w:name w:val="Emphasis"/>
    <w:basedOn w:val="Domylnaczcionkaakapitu"/>
    <w:uiPriority w:val="20"/>
    <w:qFormat/>
    <w:rsid w:val="00FA0CA8"/>
    <w:rPr>
      <w:i/>
      <w:iCs/>
    </w:rPr>
  </w:style>
  <w:style w:type="character" w:customStyle="1" w:styleId="Mention1">
    <w:name w:val="Mention1"/>
    <w:basedOn w:val="Domylnaczcionkaakapitu"/>
    <w:uiPriority w:val="99"/>
    <w:unhideWhenUsed/>
    <w:rsid w:val="00FA0CA8"/>
    <w:rPr>
      <w:color w:val="2B579A"/>
      <w:shd w:val="clear" w:color="auto" w:fill="E1DFDD"/>
    </w:rPr>
  </w:style>
  <w:style w:type="table" w:customStyle="1" w:styleId="TableGrid2">
    <w:name w:val="Table Grid2"/>
    <w:basedOn w:val="Standardowy"/>
    <w:next w:val="Tabela-Siatka"/>
    <w:rsid w:val="00546451"/>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23241"/>
    <w:rPr>
      <w:szCs w:val="24"/>
    </w:rPr>
  </w:style>
  <w:style w:type="character" w:customStyle="1" w:styleId="NagwekZnak">
    <w:name w:val="Nagłówek Znak"/>
    <w:basedOn w:val="Domylnaczcionkaakapitu"/>
    <w:link w:val="Nagwek"/>
    <w:uiPriority w:val="99"/>
    <w:rsid w:val="007B3949"/>
    <w:rPr>
      <w:rFonts w:ascii="Times New Roman" w:hAnsi="Times New Roman" w:cs="Times New Roman"/>
      <w:sz w:val="24"/>
      <w:lang w:val="pl-PL"/>
    </w:rPr>
  </w:style>
  <w:style w:type="character" w:customStyle="1" w:styleId="StopkaZnak">
    <w:name w:val="Stopka Znak"/>
    <w:basedOn w:val="Domylnaczcionkaakapitu"/>
    <w:link w:val="Stopka"/>
    <w:uiPriority w:val="99"/>
    <w:rsid w:val="007B394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rsid w:val="007B394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7B3949"/>
    <w:pPr>
      <w:spacing w:before="0"/>
      <w:jc w:val="right"/>
    </w:pPr>
    <w:rPr>
      <w:sz w:val="28"/>
    </w:rPr>
  </w:style>
  <w:style w:type="paragraph" w:customStyle="1" w:styleId="FooterSensitivity">
    <w:name w:val="Footer Sensitivity"/>
    <w:basedOn w:val="Normalny"/>
    <w:rsid w:val="007B394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6"/>
      </w:numPr>
    </w:pPr>
  </w:style>
  <w:style w:type="paragraph" w:customStyle="1" w:styleId="NumPar2">
    <w:name w:val="NumPar 2"/>
    <w:basedOn w:val="Normalny"/>
    <w:next w:val="Text1"/>
    <w:pPr>
      <w:numPr>
        <w:ilvl w:val="1"/>
        <w:numId w:val="36"/>
      </w:numPr>
    </w:pPr>
  </w:style>
  <w:style w:type="paragraph" w:customStyle="1" w:styleId="NumPar3">
    <w:name w:val="NumPar 3"/>
    <w:basedOn w:val="Normalny"/>
    <w:next w:val="Text1"/>
    <w:pPr>
      <w:numPr>
        <w:ilvl w:val="2"/>
        <w:numId w:val="36"/>
      </w:numPr>
    </w:pPr>
  </w:style>
  <w:style w:type="paragraph" w:customStyle="1" w:styleId="NumPar4">
    <w:name w:val="NumPar 4"/>
    <w:basedOn w:val="Normalny"/>
    <w:next w:val="Text1"/>
    <w:pPr>
      <w:numPr>
        <w:ilvl w:val="3"/>
        <w:numId w:val="36"/>
      </w:numPr>
    </w:pPr>
  </w:style>
  <w:style w:type="paragraph" w:customStyle="1" w:styleId="NumPar5">
    <w:name w:val="NumPar 5"/>
    <w:basedOn w:val="Normalny"/>
    <w:next w:val="Text2"/>
    <w:pPr>
      <w:numPr>
        <w:ilvl w:val="4"/>
        <w:numId w:val="36"/>
      </w:numPr>
    </w:pPr>
  </w:style>
  <w:style w:type="paragraph" w:customStyle="1" w:styleId="NumPar6">
    <w:name w:val="NumPar 6"/>
    <w:basedOn w:val="Normalny"/>
    <w:next w:val="Text2"/>
    <w:pPr>
      <w:numPr>
        <w:ilvl w:val="5"/>
        <w:numId w:val="36"/>
      </w:numPr>
    </w:pPr>
  </w:style>
  <w:style w:type="paragraph" w:customStyle="1" w:styleId="NumPar7">
    <w:name w:val="NumPar 7"/>
    <w:basedOn w:val="Normalny"/>
    <w:next w:val="Text2"/>
    <w:pPr>
      <w:numPr>
        <w:ilvl w:val="6"/>
        <w:numId w:val="36"/>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8"/>
      </w:numPr>
    </w:pPr>
  </w:style>
  <w:style w:type="paragraph" w:customStyle="1" w:styleId="Point1number">
    <w:name w:val="Point 1 (number)"/>
    <w:basedOn w:val="Normalny"/>
    <w:pPr>
      <w:numPr>
        <w:ilvl w:val="2"/>
        <w:numId w:val="38"/>
      </w:numPr>
    </w:pPr>
  </w:style>
  <w:style w:type="paragraph" w:customStyle="1" w:styleId="Point2number">
    <w:name w:val="Point 2 (number)"/>
    <w:basedOn w:val="Normalny"/>
    <w:pPr>
      <w:numPr>
        <w:ilvl w:val="4"/>
        <w:numId w:val="38"/>
      </w:numPr>
    </w:pPr>
  </w:style>
  <w:style w:type="paragraph" w:customStyle="1" w:styleId="Point3number">
    <w:name w:val="Point 3 (number)"/>
    <w:basedOn w:val="Normalny"/>
    <w:pPr>
      <w:numPr>
        <w:ilvl w:val="6"/>
        <w:numId w:val="38"/>
      </w:numPr>
    </w:pPr>
  </w:style>
  <w:style w:type="paragraph" w:customStyle="1" w:styleId="Point0letter">
    <w:name w:val="Point 0 (letter)"/>
    <w:basedOn w:val="Normalny"/>
    <w:pPr>
      <w:numPr>
        <w:ilvl w:val="1"/>
        <w:numId w:val="38"/>
      </w:numPr>
    </w:pPr>
  </w:style>
  <w:style w:type="paragraph" w:customStyle="1" w:styleId="Point1letter">
    <w:name w:val="Point 1 (letter)"/>
    <w:basedOn w:val="Normalny"/>
    <w:pPr>
      <w:numPr>
        <w:ilvl w:val="3"/>
        <w:numId w:val="38"/>
      </w:numPr>
    </w:pPr>
  </w:style>
  <w:style w:type="paragraph" w:customStyle="1" w:styleId="Point2letter">
    <w:name w:val="Point 2 (letter)"/>
    <w:basedOn w:val="Normalny"/>
    <w:pPr>
      <w:numPr>
        <w:ilvl w:val="5"/>
        <w:numId w:val="38"/>
      </w:numPr>
    </w:pPr>
  </w:style>
  <w:style w:type="paragraph" w:customStyle="1" w:styleId="Point3letter">
    <w:name w:val="Point 3 (letter)"/>
    <w:basedOn w:val="Normalny"/>
    <w:pPr>
      <w:numPr>
        <w:ilvl w:val="7"/>
        <w:numId w:val="38"/>
      </w:numPr>
    </w:pPr>
  </w:style>
  <w:style w:type="paragraph" w:customStyle="1" w:styleId="Point4letter">
    <w:name w:val="Point 4 (letter)"/>
    <w:basedOn w:val="Normalny"/>
    <w:pPr>
      <w:numPr>
        <w:ilvl w:val="8"/>
        <w:numId w:val="38"/>
      </w:numPr>
    </w:pPr>
  </w:style>
  <w:style w:type="paragraph" w:customStyle="1" w:styleId="Bullet0">
    <w:name w:val="Bullet 0"/>
    <w:basedOn w:val="Normalny"/>
    <w:pPr>
      <w:numPr>
        <w:numId w:val="39"/>
      </w:numPr>
    </w:pPr>
  </w:style>
  <w:style w:type="paragraph" w:customStyle="1" w:styleId="Bullet1">
    <w:name w:val="Bullet 1"/>
    <w:basedOn w:val="Normalny"/>
    <w:pPr>
      <w:numPr>
        <w:numId w:val="40"/>
      </w:numPr>
    </w:pPr>
  </w:style>
  <w:style w:type="paragraph" w:customStyle="1" w:styleId="Bullet2">
    <w:name w:val="Bullet 2"/>
    <w:basedOn w:val="Normalny"/>
    <w:pPr>
      <w:numPr>
        <w:numId w:val="41"/>
      </w:numPr>
    </w:pPr>
  </w:style>
  <w:style w:type="paragraph" w:customStyle="1" w:styleId="Bullet3">
    <w:name w:val="Bullet 3"/>
    <w:basedOn w:val="Normalny"/>
    <w:pPr>
      <w:numPr>
        <w:numId w:val="42"/>
      </w:numPr>
    </w:pPr>
  </w:style>
  <w:style w:type="paragraph" w:customStyle="1" w:styleId="Bullet4">
    <w:name w:val="Bullet 4"/>
    <w:basedOn w:val="Normalny"/>
    <w:pPr>
      <w:numPr>
        <w:numId w:val="43"/>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4"/>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styleId="Nagwek">
    <w:name w:val="header"/>
    <w:basedOn w:val="Normalny"/>
    <w:link w:val="NagwekZnak"/>
    <w:uiPriority w:val="99"/>
    <w:unhideWhenUsed/>
    <w:rsid w:val="007B3949"/>
    <w:pPr>
      <w:tabs>
        <w:tab w:val="center" w:pos="4535"/>
        <w:tab w:val="right" w:pos="9071"/>
      </w:tabs>
      <w:spacing w:before="0"/>
    </w:pPr>
  </w:style>
  <w:style w:type="paragraph" w:customStyle="1" w:styleId="HeaderLandscape">
    <w:name w:val="HeaderLandscape"/>
    <w:basedOn w:val="Normalny"/>
    <w:rsid w:val="007B3949"/>
    <w:pPr>
      <w:tabs>
        <w:tab w:val="center" w:pos="7285"/>
        <w:tab w:val="right" w:pos="14003"/>
      </w:tabs>
      <w:spacing w:before="0"/>
    </w:pPr>
  </w:style>
  <w:style w:type="paragraph" w:styleId="Stopka">
    <w:name w:val="footer"/>
    <w:basedOn w:val="Normalny"/>
    <w:link w:val="StopkaZnak"/>
    <w:uiPriority w:val="99"/>
    <w:unhideWhenUsed/>
    <w:rsid w:val="007B3949"/>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7B394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743">
      <w:bodyDiv w:val="1"/>
      <w:marLeft w:val="0"/>
      <w:marRight w:val="0"/>
      <w:marTop w:val="0"/>
      <w:marBottom w:val="0"/>
      <w:divBdr>
        <w:top w:val="none" w:sz="0" w:space="0" w:color="auto"/>
        <w:left w:val="none" w:sz="0" w:space="0" w:color="auto"/>
        <w:bottom w:val="none" w:sz="0" w:space="0" w:color="auto"/>
        <w:right w:val="none" w:sz="0" w:space="0" w:color="auto"/>
      </w:divBdr>
    </w:div>
    <w:div w:id="57482360">
      <w:bodyDiv w:val="1"/>
      <w:marLeft w:val="0"/>
      <w:marRight w:val="0"/>
      <w:marTop w:val="0"/>
      <w:marBottom w:val="0"/>
      <w:divBdr>
        <w:top w:val="none" w:sz="0" w:space="0" w:color="auto"/>
        <w:left w:val="none" w:sz="0" w:space="0" w:color="auto"/>
        <w:bottom w:val="none" w:sz="0" w:space="0" w:color="auto"/>
        <w:right w:val="none" w:sz="0" w:space="0" w:color="auto"/>
      </w:divBdr>
    </w:div>
    <w:div w:id="94057397">
      <w:bodyDiv w:val="1"/>
      <w:marLeft w:val="0"/>
      <w:marRight w:val="0"/>
      <w:marTop w:val="0"/>
      <w:marBottom w:val="0"/>
      <w:divBdr>
        <w:top w:val="none" w:sz="0" w:space="0" w:color="auto"/>
        <w:left w:val="none" w:sz="0" w:space="0" w:color="auto"/>
        <w:bottom w:val="none" w:sz="0" w:space="0" w:color="auto"/>
        <w:right w:val="none" w:sz="0" w:space="0" w:color="auto"/>
      </w:divBdr>
    </w:div>
    <w:div w:id="97911608">
      <w:bodyDiv w:val="1"/>
      <w:marLeft w:val="0"/>
      <w:marRight w:val="0"/>
      <w:marTop w:val="0"/>
      <w:marBottom w:val="0"/>
      <w:divBdr>
        <w:top w:val="none" w:sz="0" w:space="0" w:color="auto"/>
        <w:left w:val="none" w:sz="0" w:space="0" w:color="auto"/>
        <w:bottom w:val="none" w:sz="0" w:space="0" w:color="auto"/>
        <w:right w:val="none" w:sz="0" w:space="0" w:color="auto"/>
      </w:divBdr>
    </w:div>
    <w:div w:id="210701178">
      <w:bodyDiv w:val="1"/>
      <w:marLeft w:val="0"/>
      <w:marRight w:val="0"/>
      <w:marTop w:val="0"/>
      <w:marBottom w:val="0"/>
      <w:divBdr>
        <w:top w:val="none" w:sz="0" w:space="0" w:color="auto"/>
        <w:left w:val="none" w:sz="0" w:space="0" w:color="auto"/>
        <w:bottom w:val="none" w:sz="0" w:space="0" w:color="auto"/>
        <w:right w:val="none" w:sz="0" w:space="0" w:color="auto"/>
      </w:divBdr>
    </w:div>
    <w:div w:id="281346941">
      <w:bodyDiv w:val="1"/>
      <w:marLeft w:val="0"/>
      <w:marRight w:val="0"/>
      <w:marTop w:val="0"/>
      <w:marBottom w:val="0"/>
      <w:divBdr>
        <w:top w:val="none" w:sz="0" w:space="0" w:color="auto"/>
        <w:left w:val="none" w:sz="0" w:space="0" w:color="auto"/>
        <w:bottom w:val="none" w:sz="0" w:space="0" w:color="auto"/>
        <w:right w:val="none" w:sz="0" w:space="0" w:color="auto"/>
      </w:divBdr>
    </w:div>
    <w:div w:id="396365288">
      <w:bodyDiv w:val="1"/>
      <w:marLeft w:val="0"/>
      <w:marRight w:val="0"/>
      <w:marTop w:val="0"/>
      <w:marBottom w:val="0"/>
      <w:divBdr>
        <w:top w:val="none" w:sz="0" w:space="0" w:color="auto"/>
        <w:left w:val="none" w:sz="0" w:space="0" w:color="auto"/>
        <w:bottom w:val="none" w:sz="0" w:space="0" w:color="auto"/>
        <w:right w:val="none" w:sz="0" w:space="0" w:color="auto"/>
      </w:divBdr>
    </w:div>
    <w:div w:id="438375584">
      <w:bodyDiv w:val="1"/>
      <w:marLeft w:val="0"/>
      <w:marRight w:val="0"/>
      <w:marTop w:val="0"/>
      <w:marBottom w:val="0"/>
      <w:divBdr>
        <w:top w:val="none" w:sz="0" w:space="0" w:color="auto"/>
        <w:left w:val="none" w:sz="0" w:space="0" w:color="auto"/>
        <w:bottom w:val="none" w:sz="0" w:space="0" w:color="auto"/>
        <w:right w:val="none" w:sz="0" w:space="0" w:color="auto"/>
      </w:divBdr>
    </w:div>
    <w:div w:id="464004431">
      <w:bodyDiv w:val="1"/>
      <w:marLeft w:val="0"/>
      <w:marRight w:val="0"/>
      <w:marTop w:val="0"/>
      <w:marBottom w:val="0"/>
      <w:divBdr>
        <w:top w:val="none" w:sz="0" w:space="0" w:color="auto"/>
        <w:left w:val="none" w:sz="0" w:space="0" w:color="auto"/>
        <w:bottom w:val="none" w:sz="0" w:space="0" w:color="auto"/>
        <w:right w:val="none" w:sz="0" w:space="0" w:color="auto"/>
      </w:divBdr>
      <w:divsChild>
        <w:div w:id="1744110136">
          <w:marLeft w:val="0"/>
          <w:marRight w:val="0"/>
          <w:marTop w:val="0"/>
          <w:marBottom w:val="0"/>
          <w:divBdr>
            <w:top w:val="none" w:sz="0" w:space="0" w:color="auto"/>
            <w:left w:val="none" w:sz="0" w:space="0" w:color="auto"/>
            <w:bottom w:val="none" w:sz="0" w:space="0" w:color="auto"/>
            <w:right w:val="none" w:sz="0" w:space="0" w:color="auto"/>
          </w:divBdr>
          <w:divsChild>
            <w:div w:id="1357388751">
              <w:marLeft w:val="0"/>
              <w:marRight w:val="0"/>
              <w:marTop w:val="0"/>
              <w:marBottom w:val="0"/>
              <w:divBdr>
                <w:top w:val="none" w:sz="0" w:space="0" w:color="auto"/>
                <w:left w:val="none" w:sz="0" w:space="0" w:color="auto"/>
                <w:bottom w:val="none" w:sz="0" w:space="0" w:color="auto"/>
                <w:right w:val="none" w:sz="0" w:space="0" w:color="auto"/>
              </w:divBdr>
              <w:divsChild>
                <w:div w:id="1022558527">
                  <w:marLeft w:val="0"/>
                  <w:marRight w:val="0"/>
                  <w:marTop w:val="0"/>
                  <w:marBottom w:val="0"/>
                  <w:divBdr>
                    <w:top w:val="none" w:sz="0" w:space="0" w:color="auto"/>
                    <w:left w:val="none" w:sz="0" w:space="0" w:color="auto"/>
                    <w:bottom w:val="none" w:sz="0" w:space="0" w:color="auto"/>
                    <w:right w:val="none" w:sz="0" w:space="0" w:color="auto"/>
                  </w:divBdr>
                  <w:divsChild>
                    <w:div w:id="5484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29370">
      <w:bodyDiv w:val="1"/>
      <w:marLeft w:val="0"/>
      <w:marRight w:val="0"/>
      <w:marTop w:val="0"/>
      <w:marBottom w:val="0"/>
      <w:divBdr>
        <w:top w:val="none" w:sz="0" w:space="0" w:color="auto"/>
        <w:left w:val="none" w:sz="0" w:space="0" w:color="auto"/>
        <w:bottom w:val="none" w:sz="0" w:space="0" w:color="auto"/>
        <w:right w:val="none" w:sz="0" w:space="0" w:color="auto"/>
      </w:divBdr>
    </w:div>
    <w:div w:id="587421938">
      <w:bodyDiv w:val="1"/>
      <w:marLeft w:val="0"/>
      <w:marRight w:val="0"/>
      <w:marTop w:val="0"/>
      <w:marBottom w:val="0"/>
      <w:divBdr>
        <w:top w:val="none" w:sz="0" w:space="0" w:color="auto"/>
        <w:left w:val="none" w:sz="0" w:space="0" w:color="auto"/>
        <w:bottom w:val="none" w:sz="0" w:space="0" w:color="auto"/>
        <w:right w:val="none" w:sz="0" w:space="0" w:color="auto"/>
      </w:divBdr>
    </w:div>
    <w:div w:id="648175179">
      <w:bodyDiv w:val="1"/>
      <w:marLeft w:val="0"/>
      <w:marRight w:val="0"/>
      <w:marTop w:val="0"/>
      <w:marBottom w:val="0"/>
      <w:divBdr>
        <w:top w:val="none" w:sz="0" w:space="0" w:color="auto"/>
        <w:left w:val="none" w:sz="0" w:space="0" w:color="auto"/>
        <w:bottom w:val="none" w:sz="0" w:space="0" w:color="auto"/>
        <w:right w:val="none" w:sz="0" w:space="0" w:color="auto"/>
      </w:divBdr>
    </w:div>
    <w:div w:id="679084806">
      <w:bodyDiv w:val="1"/>
      <w:marLeft w:val="0"/>
      <w:marRight w:val="0"/>
      <w:marTop w:val="0"/>
      <w:marBottom w:val="0"/>
      <w:divBdr>
        <w:top w:val="none" w:sz="0" w:space="0" w:color="auto"/>
        <w:left w:val="none" w:sz="0" w:space="0" w:color="auto"/>
        <w:bottom w:val="none" w:sz="0" w:space="0" w:color="auto"/>
        <w:right w:val="none" w:sz="0" w:space="0" w:color="auto"/>
      </w:divBdr>
    </w:div>
    <w:div w:id="696004529">
      <w:bodyDiv w:val="1"/>
      <w:marLeft w:val="0"/>
      <w:marRight w:val="0"/>
      <w:marTop w:val="0"/>
      <w:marBottom w:val="0"/>
      <w:divBdr>
        <w:top w:val="none" w:sz="0" w:space="0" w:color="auto"/>
        <w:left w:val="none" w:sz="0" w:space="0" w:color="auto"/>
        <w:bottom w:val="none" w:sz="0" w:space="0" w:color="auto"/>
        <w:right w:val="none" w:sz="0" w:space="0" w:color="auto"/>
      </w:divBdr>
    </w:div>
    <w:div w:id="720596350">
      <w:bodyDiv w:val="1"/>
      <w:marLeft w:val="0"/>
      <w:marRight w:val="0"/>
      <w:marTop w:val="0"/>
      <w:marBottom w:val="0"/>
      <w:divBdr>
        <w:top w:val="none" w:sz="0" w:space="0" w:color="auto"/>
        <w:left w:val="none" w:sz="0" w:space="0" w:color="auto"/>
        <w:bottom w:val="none" w:sz="0" w:space="0" w:color="auto"/>
        <w:right w:val="none" w:sz="0" w:space="0" w:color="auto"/>
      </w:divBdr>
    </w:div>
    <w:div w:id="720978691">
      <w:bodyDiv w:val="1"/>
      <w:marLeft w:val="0"/>
      <w:marRight w:val="0"/>
      <w:marTop w:val="0"/>
      <w:marBottom w:val="0"/>
      <w:divBdr>
        <w:top w:val="none" w:sz="0" w:space="0" w:color="auto"/>
        <w:left w:val="none" w:sz="0" w:space="0" w:color="auto"/>
        <w:bottom w:val="none" w:sz="0" w:space="0" w:color="auto"/>
        <w:right w:val="none" w:sz="0" w:space="0" w:color="auto"/>
      </w:divBdr>
    </w:div>
    <w:div w:id="767652889">
      <w:bodyDiv w:val="1"/>
      <w:marLeft w:val="0"/>
      <w:marRight w:val="0"/>
      <w:marTop w:val="0"/>
      <w:marBottom w:val="0"/>
      <w:divBdr>
        <w:top w:val="none" w:sz="0" w:space="0" w:color="auto"/>
        <w:left w:val="none" w:sz="0" w:space="0" w:color="auto"/>
        <w:bottom w:val="none" w:sz="0" w:space="0" w:color="auto"/>
        <w:right w:val="none" w:sz="0" w:space="0" w:color="auto"/>
      </w:divBdr>
    </w:div>
    <w:div w:id="875506146">
      <w:bodyDiv w:val="1"/>
      <w:marLeft w:val="0"/>
      <w:marRight w:val="0"/>
      <w:marTop w:val="0"/>
      <w:marBottom w:val="0"/>
      <w:divBdr>
        <w:top w:val="none" w:sz="0" w:space="0" w:color="auto"/>
        <w:left w:val="none" w:sz="0" w:space="0" w:color="auto"/>
        <w:bottom w:val="none" w:sz="0" w:space="0" w:color="auto"/>
        <w:right w:val="none" w:sz="0" w:space="0" w:color="auto"/>
      </w:divBdr>
      <w:divsChild>
        <w:div w:id="279424">
          <w:marLeft w:val="0"/>
          <w:marRight w:val="0"/>
          <w:marTop w:val="0"/>
          <w:marBottom w:val="0"/>
          <w:divBdr>
            <w:top w:val="none" w:sz="0" w:space="0" w:color="auto"/>
            <w:left w:val="none" w:sz="0" w:space="0" w:color="auto"/>
            <w:bottom w:val="none" w:sz="0" w:space="0" w:color="auto"/>
            <w:right w:val="none" w:sz="0" w:space="0" w:color="auto"/>
          </w:divBdr>
        </w:div>
        <w:div w:id="695430003">
          <w:marLeft w:val="0"/>
          <w:marRight w:val="0"/>
          <w:marTop w:val="0"/>
          <w:marBottom w:val="0"/>
          <w:divBdr>
            <w:top w:val="none" w:sz="0" w:space="0" w:color="auto"/>
            <w:left w:val="none" w:sz="0" w:space="0" w:color="auto"/>
            <w:bottom w:val="none" w:sz="0" w:space="0" w:color="auto"/>
            <w:right w:val="none" w:sz="0" w:space="0" w:color="auto"/>
          </w:divBdr>
        </w:div>
        <w:div w:id="1767919361">
          <w:marLeft w:val="0"/>
          <w:marRight w:val="0"/>
          <w:marTop w:val="0"/>
          <w:marBottom w:val="0"/>
          <w:divBdr>
            <w:top w:val="none" w:sz="0" w:space="0" w:color="auto"/>
            <w:left w:val="none" w:sz="0" w:space="0" w:color="auto"/>
            <w:bottom w:val="none" w:sz="0" w:space="0" w:color="auto"/>
            <w:right w:val="none" w:sz="0" w:space="0" w:color="auto"/>
          </w:divBdr>
        </w:div>
      </w:divsChild>
    </w:div>
    <w:div w:id="889728645">
      <w:bodyDiv w:val="1"/>
      <w:marLeft w:val="0"/>
      <w:marRight w:val="0"/>
      <w:marTop w:val="0"/>
      <w:marBottom w:val="0"/>
      <w:divBdr>
        <w:top w:val="none" w:sz="0" w:space="0" w:color="auto"/>
        <w:left w:val="none" w:sz="0" w:space="0" w:color="auto"/>
        <w:bottom w:val="none" w:sz="0" w:space="0" w:color="auto"/>
        <w:right w:val="none" w:sz="0" w:space="0" w:color="auto"/>
      </w:divBdr>
    </w:div>
    <w:div w:id="918946281">
      <w:bodyDiv w:val="1"/>
      <w:marLeft w:val="0"/>
      <w:marRight w:val="0"/>
      <w:marTop w:val="0"/>
      <w:marBottom w:val="0"/>
      <w:divBdr>
        <w:top w:val="none" w:sz="0" w:space="0" w:color="auto"/>
        <w:left w:val="none" w:sz="0" w:space="0" w:color="auto"/>
        <w:bottom w:val="none" w:sz="0" w:space="0" w:color="auto"/>
        <w:right w:val="none" w:sz="0" w:space="0" w:color="auto"/>
      </w:divBdr>
    </w:div>
    <w:div w:id="931470993">
      <w:bodyDiv w:val="1"/>
      <w:marLeft w:val="0"/>
      <w:marRight w:val="0"/>
      <w:marTop w:val="0"/>
      <w:marBottom w:val="0"/>
      <w:divBdr>
        <w:top w:val="none" w:sz="0" w:space="0" w:color="auto"/>
        <w:left w:val="none" w:sz="0" w:space="0" w:color="auto"/>
        <w:bottom w:val="none" w:sz="0" w:space="0" w:color="auto"/>
        <w:right w:val="none" w:sz="0" w:space="0" w:color="auto"/>
      </w:divBdr>
      <w:divsChild>
        <w:div w:id="974722434">
          <w:marLeft w:val="0"/>
          <w:marRight w:val="0"/>
          <w:marTop w:val="0"/>
          <w:marBottom w:val="0"/>
          <w:divBdr>
            <w:top w:val="none" w:sz="0" w:space="0" w:color="auto"/>
            <w:left w:val="none" w:sz="0" w:space="0" w:color="auto"/>
            <w:bottom w:val="none" w:sz="0" w:space="0" w:color="auto"/>
            <w:right w:val="none" w:sz="0" w:space="0" w:color="auto"/>
          </w:divBdr>
          <w:divsChild>
            <w:div w:id="284584532">
              <w:marLeft w:val="0"/>
              <w:marRight w:val="0"/>
              <w:marTop w:val="0"/>
              <w:marBottom w:val="0"/>
              <w:divBdr>
                <w:top w:val="none" w:sz="0" w:space="0" w:color="auto"/>
                <w:left w:val="none" w:sz="0" w:space="0" w:color="auto"/>
                <w:bottom w:val="none" w:sz="0" w:space="0" w:color="auto"/>
                <w:right w:val="none" w:sz="0" w:space="0" w:color="auto"/>
              </w:divBdr>
              <w:divsChild>
                <w:div w:id="2103795232">
                  <w:marLeft w:val="0"/>
                  <w:marRight w:val="0"/>
                  <w:marTop w:val="0"/>
                  <w:marBottom w:val="0"/>
                  <w:divBdr>
                    <w:top w:val="none" w:sz="0" w:space="0" w:color="auto"/>
                    <w:left w:val="none" w:sz="0" w:space="0" w:color="auto"/>
                    <w:bottom w:val="none" w:sz="0" w:space="0" w:color="auto"/>
                    <w:right w:val="none" w:sz="0" w:space="0" w:color="auto"/>
                  </w:divBdr>
                  <w:divsChild>
                    <w:div w:id="13246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26">
      <w:bodyDiv w:val="1"/>
      <w:marLeft w:val="0"/>
      <w:marRight w:val="0"/>
      <w:marTop w:val="0"/>
      <w:marBottom w:val="0"/>
      <w:divBdr>
        <w:top w:val="none" w:sz="0" w:space="0" w:color="auto"/>
        <w:left w:val="none" w:sz="0" w:space="0" w:color="auto"/>
        <w:bottom w:val="none" w:sz="0" w:space="0" w:color="auto"/>
        <w:right w:val="none" w:sz="0" w:space="0" w:color="auto"/>
      </w:divBdr>
    </w:div>
    <w:div w:id="992180075">
      <w:bodyDiv w:val="1"/>
      <w:marLeft w:val="0"/>
      <w:marRight w:val="0"/>
      <w:marTop w:val="0"/>
      <w:marBottom w:val="0"/>
      <w:divBdr>
        <w:top w:val="none" w:sz="0" w:space="0" w:color="auto"/>
        <w:left w:val="none" w:sz="0" w:space="0" w:color="auto"/>
        <w:bottom w:val="none" w:sz="0" w:space="0" w:color="auto"/>
        <w:right w:val="none" w:sz="0" w:space="0" w:color="auto"/>
      </w:divBdr>
    </w:div>
    <w:div w:id="1070540397">
      <w:bodyDiv w:val="1"/>
      <w:marLeft w:val="0"/>
      <w:marRight w:val="0"/>
      <w:marTop w:val="0"/>
      <w:marBottom w:val="0"/>
      <w:divBdr>
        <w:top w:val="none" w:sz="0" w:space="0" w:color="auto"/>
        <w:left w:val="none" w:sz="0" w:space="0" w:color="auto"/>
        <w:bottom w:val="none" w:sz="0" w:space="0" w:color="auto"/>
        <w:right w:val="none" w:sz="0" w:space="0" w:color="auto"/>
      </w:divBdr>
    </w:div>
    <w:div w:id="1071535816">
      <w:bodyDiv w:val="1"/>
      <w:marLeft w:val="0"/>
      <w:marRight w:val="0"/>
      <w:marTop w:val="0"/>
      <w:marBottom w:val="0"/>
      <w:divBdr>
        <w:top w:val="none" w:sz="0" w:space="0" w:color="auto"/>
        <w:left w:val="none" w:sz="0" w:space="0" w:color="auto"/>
        <w:bottom w:val="none" w:sz="0" w:space="0" w:color="auto"/>
        <w:right w:val="none" w:sz="0" w:space="0" w:color="auto"/>
      </w:divBdr>
    </w:div>
    <w:div w:id="1131559326">
      <w:bodyDiv w:val="1"/>
      <w:marLeft w:val="0"/>
      <w:marRight w:val="0"/>
      <w:marTop w:val="0"/>
      <w:marBottom w:val="0"/>
      <w:divBdr>
        <w:top w:val="none" w:sz="0" w:space="0" w:color="auto"/>
        <w:left w:val="none" w:sz="0" w:space="0" w:color="auto"/>
        <w:bottom w:val="none" w:sz="0" w:space="0" w:color="auto"/>
        <w:right w:val="none" w:sz="0" w:space="0" w:color="auto"/>
      </w:divBdr>
    </w:div>
    <w:div w:id="1155799556">
      <w:bodyDiv w:val="1"/>
      <w:marLeft w:val="0"/>
      <w:marRight w:val="0"/>
      <w:marTop w:val="0"/>
      <w:marBottom w:val="0"/>
      <w:divBdr>
        <w:top w:val="none" w:sz="0" w:space="0" w:color="auto"/>
        <w:left w:val="none" w:sz="0" w:space="0" w:color="auto"/>
        <w:bottom w:val="none" w:sz="0" w:space="0" w:color="auto"/>
        <w:right w:val="none" w:sz="0" w:space="0" w:color="auto"/>
      </w:divBdr>
    </w:div>
    <w:div w:id="1192039533">
      <w:bodyDiv w:val="1"/>
      <w:marLeft w:val="0"/>
      <w:marRight w:val="0"/>
      <w:marTop w:val="0"/>
      <w:marBottom w:val="0"/>
      <w:divBdr>
        <w:top w:val="none" w:sz="0" w:space="0" w:color="auto"/>
        <w:left w:val="none" w:sz="0" w:space="0" w:color="auto"/>
        <w:bottom w:val="none" w:sz="0" w:space="0" w:color="auto"/>
        <w:right w:val="none" w:sz="0" w:space="0" w:color="auto"/>
      </w:divBdr>
    </w:div>
    <w:div w:id="1223952247">
      <w:bodyDiv w:val="1"/>
      <w:marLeft w:val="0"/>
      <w:marRight w:val="0"/>
      <w:marTop w:val="0"/>
      <w:marBottom w:val="0"/>
      <w:divBdr>
        <w:top w:val="none" w:sz="0" w:space="0" w:color="auto"/>
        <w:left w:val="none" w:sz="0" w:space="0" w:color="auto"/>
        <w:bottom w:val="none" w:sz="0" w:space="0" w:color="auto"/>
        <w:right w:val="none" w:sz="0" w:space="0" w:color="auto"/>
      </w:divBdr>
    </w:div>
    <w:div w:id="1228298691">
      <w:bodyDiv w:val="1"/>
      <w:marLeft w:val="0"/>
      <w:marRight w:val="0"/>
      <w:marTop w:val="0"/>
      <w:marBottom w:val="0"/>
      <w:divBdr>
        <w:top w:val="none" w:sz="0" w:space="0" w:color="auto"/>
        <w:left w:val="none" w:sz="0" w:space="0" w:color="auto"/>
        <w:bottom w:val="none" w:sz="0" w:space="0" w:color="auto"/>
        <w:right w:val="none" w:sz="0" w:space="0" w:color="auto"/>
      </w:divBdr>
    </w:div>
    <w:div w:id="1247379077">
      <w:bodyDiv w:val="1"/>
      <w:marLeft w:val="0"/>
      <w:marRight w:val="0"/>
      <w:marTop w:val="0"/>
      <w:marBottom w:val="0"/>
      <w:divBdr>
        <w:top w:val="none" w:sz="0" w:space="0" w:color="auto"/>
        <w:left w:val="none" w:sz="0" w:space="0" w:color="auto"/>
        <w:bottom w:val="none" w:sz="0" w:space="0" w:color="auto"/>
        <w:right w:val="none" w:sz="0" w:space="0" w:color="auto"/>
      </w:divBdr>
      <w:divsChild>
        <w:div w:id="869533746">
          <w:marLeft w:val="0"/>
          <w:marRight w:val="0"/>
          <w:marTop w:val="0"/>
          <w:marBottom w:val="0"/>
          <w:divBdr>
            <w:top w:val="none" w:sz="0" w:space="0" w:color="auto"/>
            <w:left w:val="none" w:sz="0" w:space="0" w:color="auto"/>
            <w:bottom w:val="none" w:sz="0" w:space="0" w:color="auto"/>
            <w:right w:val="none" w:sz="0" w:space="0" w:color="auto"/>
          </w:divBdr>
          <w:divsChild>
            <w:div w:id="1423330667">
              <w:marLeft w:val="0"/>
              <w:marRight w:val="0"/>
              <w:marTop w:val="0"/>
              <w:marBottom w:val="0"/>
              <w:divBdr>
                <w:top w:val="none" w:sz="0" w:space="0" w:color="auto"/>
                <w:left w:val="none" w:sz="0" w:space="0" w:color="auto"/>
                <w:bottom w:val="none" w:sz="0" w:space="0" w:color="auto"/>
                <w:right w:val="none" w:sz="0" w:space="0" w:color="auto"/>
              </w:divBdr>
              <w:divsChild>
                <w:div w:id="1343901170">
                  <w:marLeft w:val="0"/>
                  <w:marRight w:val="0"/>
                  <w:marTop w:val="0"/>
                  <w:marBottom w:val="0"/>
                  <w:divBdr>
                    <w:top w:val="none" w:sz="0" w:space="0" w:color="auto"/>
                    <w:left w:val="none" w:sz="0" w:space="0" w:color="auto"/>
                    <w:bottom w:val="none" w:sz="0" w:space="0" w:color="auto"/>
                    <w:right w:val="none" w:sz="0" w:space="0" w:color="auto"/>
                  </w:divBdr>
                  <w:divsChild>
                    <w:div w:id="2845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4885">
      <w:bodyDiv w:val="1"/>
      <w:marLeft w:val="0"/>
      <w:marRight w:val="0"/>
      <w:marTop w:val="0"/>
      <w:marBottom w:val="0"/>
      <w:divBdr>
        <w:top w:val="none" w:sz="0" w:space="0" w:color="auto"/>
        <w:left w:val="none" w:sz="0" w:space="0" w:color="auto"/>
        <w:bottom w:val="none" w:sz="0" w:space="0" w:color="auto"/>
        <w:right w:val="none" w:sz="0" w:space="0" w:color="auto"/>
      </w:divBdr>
    </w:div>
    <w:div w:id="1270427844">
      <w:bodyDiv w:val="1"/>
      <w:marLeft w:val="0"/>
      <w:marRight w:val="0"/>
      <w:marTop w:val="0"/>
      <w:marBottom w:val="0"/>
      <w:divBdr>
        <w:top w:val="none" w:sz="0" w:space="0" w:color="auto"/>
        <w:left w:val="none" w:sz="0" w:space="0" w:color="auto"/>
        <w:bottom w:val="none" w:sz="0" w:space="0" w:color="auto"/>
        <w:right w:val="none" w:sz="0" w:space="0" w:color="auto"/>
      </w:divBdr>
    </w:div>
    <w:div w:id="1293175783">
      <w:bodyDiv w:val="1"/>
      <w:marLeft w:val="0"/>
      <w:marRight w:val="0"/>
      <w:marTop w:val="0"/>
      <w:marBottom w:val="0"/>
      <w:divBdr>
        <w:top w:val="none" w:sz="0" w:space="0" w:color="auto"/>
        <w:left w:val="none" w:sz="0" w:space="0" w:color="auto"/>
        <w:bottom w:val="none" w:sz="0" w:space="0" w:color="auto"/>
        <w:right w:val="none" w:sz="0" w:space="0" w:color="auto"/>
      </w:divBdr>
    </w:div>
    <w:div w:id="1317219890">
      <w:bodyDiv w:val="1"/>
      <w:marLeft w:val="0"/>
      <w:marRight w:val="0"/>
      <w:marTop w:val="0"/>
      <w:marBottom w:val="0"/>
      <w:divBdr>
        <w:top w:val="none" w:sz="0" w:space="0" w:color="auto"/>
        <w:left w:val="none" w:sz="0" w:space="0" w:color="auto"/>
        <w:bottom w:val="none" w:sz="0" w:space="0" w:color="auto"/>
        <w:right w:val="none" w:sz="0" w:space="0" w:color="auto"/>
      </w:divBdr>
    </w:div>
    <w:div w:id="1404138560">
      <w:bodyDiv w:val="1"/>
      <w:marLeft w:val="0"/>
      <w:marRight w:val="0"/>
      <w:marTop w:val="0"/>
      <w:marBottom w:val="0"/>
      <w:divBdr>
        <w:top w:val="none" w:sz="0" w:space="0" w:color="auto"/>
        <w:left w:val="none" w:sz="0" w:space="0" w:color="auto"/>
        <w:bottom w:val="none" w:sz="0" w:space="0" w:color="auto"/>
        <w:right w:val="none" w:sz="0" w:space="0" w:color="auto"/>
      </w:divBdr>
    </w:div>
    <w:div w:id="1423454194">
      <w:bodyDiv w:val="1"/>
      <w:marLeft w:val="0"/>
      <w:marRight w:val="0"/>
      <w:marTop w:val="0"/>
      <w:marBottom w:val="0"/>
      <w:divBdr>
        <w:top w:val="none" w:sz="0" w:space="0" w:color="auto"/>
        <w:left w:val="none" w:sz="0" w:space="0" w:color="auto"/>
        <w:bottom w:val="none" w:sz="0" w:space="0" w:color="auto"/>
        <w:right w:val="none" w:sz="0" w:space="0" w:color="auto"/>
      </w:divBdr>
    </w:div>
    <w:div w:id="1446845211">
      <w:bodyDiv w:val="1"/>
      <w:marLeft w:val="0"/>
      <w:marRight w:val="0"/>
      <w:marTop w:val="0"/>
      <w:marBottom w:val="0"/>
      <w:divBdr>
        <w:top w:val="none" w:sz="0" w:space="0" w:color="auto"/>
        <w:left w:val="none" w:sz="0" w:space="0" w:color="auto"/>
        <w:bottom w:val="none" w:sz="0" w:space="0" w:color="auto"/>
        <w:right w:val="none" w:sz="0" w:space="0" w:color="auto"/>
      </w:divBdr>
    </w:div>
    <w:div w:id="1481338200">
      <w:bodyDiv w:val="1"/>
      <w:marLeft w:val="0"/>
      <w:marRight w:val="0"/>
      <w:marTop w:val="0"/>
      <w:marBottom w:val="0"/>
      <w:divBdr>
        <w:top w:val="none" w:sz="0" w:space="0" w:color="auto"/>
        <w:left w:val="none" w:sz="0" w:space="0" w:color="auto"/>
        <w:bottom w:val="none" w:sz="0" w:space="0" w:color="auto"/>
        <w:right w:val="none" w:sz="0" w:space="0" w:color="auto"/>
      </w:divBdr>
    </w:div>
    <w:div w:id="1513761251">
      <w:bodyDiv w:val="1"/>
      <w:marLeft w:val="0"/>
      <w:marRight w:val="0"/>
      <w:marTop w:val="0"/>
      <w:marBottom w:val="0"/>
      <w:divBdr>
        <w:top w:val="none" w:sz="0" w:space="0" w:color="auto"/>
        <w:left w:val="none" w:sz="0" w:space="0" w:color="auto"/>
        <w:bottom w:val="none" w:sz="0" w:space="0" w:color="auto"/>
        <w:right w:val="none" w:sz="0" w:space="0" w:color="auto"/>
      </w:divBdr>
    </w:div>
    <w:div w:id="1514759926">
      <w:bodyDiv w:val="1"/>
      <w:marLeft w:val="0"/>
      <w:marRight w:val="0"/>
      <w:marTop w:val="0"/>
      <w:marBottom w:val="0"/>
      <w:divBdr>
        <w:top w:val="none" w:sz="0" w:space="0" w:color="auto"/>
        <w:left w:val="none" w:sz="0" w:space="0" w:color="auto"/>
        <w:bottom w:val="none" w:sz="0" w:space="0" w:color="auto"/>
        <w:right w:val="none" w:sz="0" w:space="0" w:color="auto"/>
      </w:divBdr>
    </w:div>
    <w:div w:id="1558318212">
      <w:bodyDiv w:val="1"/>
      <w:marLeft w:val="0"/>
      <w:marRight w:val="0"/>
      <w:marTop w:val="0"/>
      <w:marBottom w:val="0"/>
      <w:divBdr>
        <w:top w:val="none" w:sz="0" w:space="0" w:color="auto"/>
        <w:left w:val="none" w:sz="0" w:space="0" w:color="auto"/>
        <w:bottom w:val="none" w:sz="0" w:space="0" w:color="auto"/>
        <w:right w:val="none" w:sz="0" w:space="0" w:color="auto"/>
      </w:divBdr>
      <w:divsChild>
        <w:div w:id="975766741">
          <w:marLeft w:val="0"/>
          <w:marRight w:val="0"/>
          <w:marTop w:val="0"/>
          <w:marBottom w:val="0"/>
          <w:divBdr>
            <w:top w:val="none" w:sz="0" w:space="0" w:color="auto"/>
            <w:left w:val="none" w:sz="0" w:space="0" w:color="auto"/>
            <w:bottom w:val="none" w:sz="0" w:space="0" w:color="auto"/>
            <w:right w:val="none" w:sz="0" w:space="0" w:color="auto"/>
          </w:divBdr>
          <w:divsChild>
            <w:div w:id="1967268948">
              <w:marLeft w:val="0"/>
              <w:marRight w:val="0"/>
              <w:marTop w:val="0"/>
              <w:marBottom w:val="300"/>
              <w:divBdr>
                <w:top w:val="none" w:sz="0" w:space="0" w:color="auto"/>
                <w:left w:val="none" w:sz="0" w:space="0" w:color="auto"/>
                <w:bottom w:val="none" w:sz="0" w:space="0" w:color="auto"/>
                <w:right w:val="none" w:sz="0" w:space="0" w:color="auto"/>
              </w:divBdr>
              <w:divsChild>
                <w:div w:id="7603859">
                  <w:marLeft w:val="0"/>
                  <w:marRight w:val="0"/>
                  <w:marTop w:val="100"/>
                  <w:marBottom w:val="100"/>
                  <w:divBdr>
                    <w:top w:val="none" w:sz="0" w:space="0" w:color="auto"/>
                    <w:left w:val="none" w:sz="0" w:space="0" w:color="auto"/>
                    <w:bottom w:val="none" w:sz="0" w:space="0" w:color="auto"/>
                    <w:right w:val="none" w:sz="0" w:space="0" w:color="auto"/>
                  </w:divBdr>
                </w:div>
                <w:div w:id="268898560">
                  <w:marLeft w:val="0"/>
                  <w:marRight w:val="0"/>
                  <w:marTop w:val="0"/>
                  <w:marBottom w:val="0"/>
                  <w:divBdr>
                    <w:top w:val="none" w:sz="0" w:space="0" w:color="auto"/>
                    <w:left w:val="none" w:sz="0" w:space="0" w:color="auto"/>
                    <w:bottom w:val="none" w:sz="0" w:space="0" w:color="auto"/>
                    <w:right w:val="none" w:sz="0" w:space="0" w:color="auto"/>
                  </w:divBdr>
                </w:div>
                <w:div w:id="911887274">
                  <w:marLeft w:val="0"/>
                  <w:marRight w:val="0"/>
                  <w:marTop w:val="0"/>
                  <w:marBottom w:val="0"/>
                  <w:divBdr>
                    <w:top w:val="none" w:sz="0" w:space="0" w:color="auto"/>
                    <w:left w:val="none" w:sz="0" w:space="0" w:color="auto"/>
                    <w:bottom w:val="none" w:sz="0" w:space="0" w:color="auto"/>
                    <w:right w:val="none" w:sz="0" w:space="0" w:color="auto"/>
                  </w:divBdr>
                </w:div>
                <w:div w:id="1742210232">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sChild>
    </w:div>
    <w:div w:id="1640723963">
      <w:bodyDiv w:val="1"/>
      <w:marLeft w:val="0"/>
      <w:marRight w:val="0"/>
      <w:marTop w:val="0"/>
      <w:marBottom w:val="0"/>
      <w:divBdr>
        <w:top w:val="none" w:sz="0" w:space="0" w:color="auto"/>
        <w:left w:val="none" w:sz="0" w:space="0" w:color="auto"/>
        <w:bottom w:val="none" w:sz="0" w:space="0" w:color="auto"/>
        <w:right w:val="none" w:sz="0" w:space="0" w:color="auto"/>
      </w:divBdr>
    </w:div>
    <w:div w:id="1718310321">
      <w:bodyDiv w:val="1"/>
      <w:marLeft w:val="0"/>
      <w:marRight w:val="0"/>
      <w:marTop w:val="0"/>
      <w:marBottom w:val="0"/>
      <w:divBdr>
        <w:top w:val="none" w:sz="0" w:space="0" w:color="auto"/>
        <w:left w:val="none" w:sz="0" w:space="0" w:color="auto"/>
        <w:bottom w:val="none" w:sz="0" w:space="0" w:color="auto"/>
        <w:right w:val="none" w:sz="0" w:space="0" w:color="auto"/>
      </w:divBdr>
    </w:div>
    <w:div w:id="1734542190">
      <w:bodyDiv w:val="1"/>
      <w:marLeft w:val="0"/>
      <w:marRight w:val="0"/>
      <w:marTop w:val="0"/>
      <w:marBottom w:val="0"/>
      <w:divBdr>
        <w:top w:val="none" w:sz="0" w:space="0" w:color="auto"/>
        <w:left w:val="none" w:sz="0" w:space="0" w:color="auto"/>
        <w:bottom w:val="none" w:sz="0" w:space="0" w:color="auto"/>
        <w:right w:val="none" w:sz="0" w:space="0" w:color="auto"/>
      </w:divBdr>
    </w:div>
    <w:div w:id="1761219896">
      <w:bodyDiv w:val="1"/>
      <w:marLeft w:val="0"/>
      <w:marRight w:val="0"/>
      <w:marTop w:val="0"/>
      <w:marBottom w:val="0"/>
      <w:divBdr>
        <w:top w:val="none" w:sz="0" w:space="0" w:color="auto"/>
        <w:left w:val="none" w:sz="0" w:space="0" w:color="auto"/>
        <w:bottom w:val="none" w:sz="0" w:space="0" w:color="auto"/>
        <w:right w:val="none" w:sz="0" w:space="0" w:color="auto"/>
      </w:divBdr>
    </w:div>
    <w:div w:id="1790390211">
      <w:bodyDiv w:val="1"/>
      <w:marLeft w:val="0"/>
      <w:marRight w:val="0"/>
      <w:marTop w:val="0"/>
      <w:marBottom w:val="0"/>
      <w:divBdr>
        <w:top w:val="none" w:sz="0" w:space="0" w:color="auto"/>
        <w:left w:val="none" w:sz="0" w:space="0" w:color="auto"/>
        <w:bottom w:val="none" w:sz="0" w:space="0" w:color="auto"/>
        <w:right w:val="none" w:sz="0" w:space="0" w:color="auto"/>
      </w:divBdr>
    </w:div>
    <w:div w:id="1806583553">
      <w:bodyDiv w:val="1"/>
      <w:marLeft w:val="0"/>
      <w:marRight w:val="0"/>
      <w:marTop w:val="0"/>
      <w:marBottom w:val="0"/>
      <w:divBdr>
        <w:top w:val="none" w:sz="0" w:space="0" w:color="auto"/>
        <w:left w:val="none" w:sz="0" w:space="0" w:color="auto"/>
        <w:bottom w:val="none" w:sz="0" w:space="0" w:color="auto"/>
        <w:right w:val="none" w:sz="0" w:space="0" w:color="auto"/>
      </w:divBdr>
      <w:divsChild>
        <w:div w:id="199319150">
          <w:marLeft w:val="0"/>
          <w:marRight w:val="0"/>
          <w:marTop w:val="0"/>
          <w:marBottom w:val="0"/>
          <w:divBdr>
            <w:top w:val="none" w:sz="0" w:space="0" w:color="auto"/>
            <w:left w:val="none" w:sz="0" w:space="0" w:color="auto"/>
            <w:bottom w:val="none" w:sz="0" w:space="0" w:color="auto"/>
            <w:right w:val="none" w:sz="0" w:space="0" w:color="auto"/>
          </w:divBdr>
          <w:divsChild>
            <w:div w:id="313337134">
              <w:marLeft w:val="0"/>
              <w:marRight w:val="0"/>
              <w:marTop w:val="0"/>
              <w:marBottom w:val="0"/>
              <w:divBdr>
                <w:top w:val="none" w:sz="0" w:space="0" w:color="auto"/>
                <w:left w:val="none" w:sz="0" w:space="0" w:color="auto"/>
                <w:bottom w:val="none" w:sz="0" w:space="0" w:color="auto"/>
                <w:right w:val="none" w:sz="0" w:space="0" w:color="auto"/>
              </w:divBdr>
            </w:div>
            <w:div w:id="522326787">
              <w:marLeft w:val="0"/>
              <w:marRight w:val="0"/>
              <w:marTop w:val="0"/>
              <w:marBottom w:val="0"/>
              <w:divBdr>
                <w:top w:val="none" w:sz="0" w:space="0" w:color="auto"/>
                <w:left w:val="none" w:sz="0" w:space="0" w:color="auto"/>
                <w:bottom w:val="none" w:sz="0" w:space="0" w:color="auto"/>
                <w:right w:val="none" w:sz="0" w:space="0" w:color="auto"/>
              </w:divBdr>
            </w:div>
            <w:div w:id="549462778">
              <w:marLeft w:val="0"/>
              <w:marRight w:val="0"/>
              <w:marTop w:val="0"/>
              <w:marBottom w:val="0"/>
              <w:divBdr>
                <w:top w:val="none" w:sz="0" w:space="0" w:color="auto"/>
                <w:left w:val="none" w:sz="0" w:space="0" w:color="auto"/>
                <w:bottom w:val="none" w:sz="0" w:space="0" w:color="auto"/>
                <w:right w:val="none" w:sz="0" w:space="0" w:color="auto"/>
              </w:divBdr>
            </w:div>
            <w:div w:id="1029375771">
              <w:marLeft w:val="0"/>
              <w:marRight w:val="0"/>
              <w:marTop w:val="0"/>
              <w:marBottom w:val="0"/>
              <w:divBdr>
                <w:top w:val="none" w:sz="0" w:space="0" w:color="auto"/>
                <w:left w:val="none" w:sz="0" w:space="0" w:color="auto"/>
                <w:bottom w:val="none" w:sz="0" w:space="0" w:color="auto"/>
                <w:right w:val="none" w:sz="0" w:space="0" w:color="auto"/>
              </w:divBdr>
            </w:div>
            <w:div w:id="1112359711">
              <w:marLeft w:val="0"/>
              <w:marRight w:val="0"/>
              <w:marTop w:val="0"/>
              <w:marBottom w:val="0"/>
              <w:divBdr>
                <w:top w:val="none" w:sz="0" w:space="0" w:color="auto"/>
                <w:left w:val="none" w:sz="0" w:space="0" w:color="auto"/>
                <w:bottom w:val="none" w:sz="0" w:space="0" w:color="auto"/>
                <w:right w:val="none" w:sz="0" w:space="0" w:color="auto"/>
              </w:divBdr>
            </w:div>
            <w:div w:id="1536457779">
              <w:marLeft w:val="0"/>
              <w:marRight w:val="0"/>
              <w:marTop w:val="0"/>
              <w:marBottom w:val="0"/>
              <w:divBdr>
                <w:top w:val="none" w:sz="0" w:space="0" w:color="auto"/>
                <w:left w:val="none" w:sz="0" w:space="0" w:color="auto"/>
                <w:bottom w:val="none" w:sz="0" w:space="0" w:color="auto"/>
                <w:right w:val="none" w:sz="0" w:space="0" w:color="auto"/>
              </w:divBdr>
            </w:div>
            <w:div w:id="1767337473">
              <w:marLeft w:val="0"/>
              <w:marRight w:val="0"/>
              <w:marTop w:val="0"/>
              <w:marBottom w:val="0"/>
              <w:divBdr>
                <w:top w:val="none" w:sz="0" w:space="0" w:color="auto"/>
                <w:left w:val="none" w:sz="0" w:space="0" w:color="auto"/>
                <w:bottom w:val="none" w:sz="0" w:space="0" w:color="auto"/>
                <w:right w:val="none" w:sz="0" w:space="0" w:color="auto"/>
              </w:divBdr>
            </w:div>
            <w:div w:id="1905754012">
              <w:marLeft w:val="0"/>
              <w:marRight w:val="0"/>
              <w:marTop w:val="0"/>
              <w:marBottom w:val="0"/>
              <w:divBdr>
                <w:top w:val="none" w:sz="0" w:space="0" w:color="auto"/>
                <w:left w:val="none" w:sz="0" w:space="0" w:color="auto"/>
                <w:bottom w:val="none" w:sz="0" w:space="0" w:color="auto"/>
                <w:right w:val="none" w:sz="0" w:space="0" w:color="auto"/>
              </w:divBdr>
            </w:div>
          </w:divsChild>
        </w:div>
        <w:div w:id="2084180395">
          <w:marLeft w:val="0"/>
          <w:marRight w:val="0"/>
          <w:marTop w:val="0"/>
          <w:marBottom w:val="0"/>
          <w:divBdr>
            <w:top w:val="none" w:sz="0" w:space="0" w:color="auto"/>
            <w:left w:val="none" w:sz="0" w:space="0" w:color="auto"/>
            <w:bottom w:val="none" w:sz="0" w:space="0" w:color="auto"/>
            <w:right w:val="none" w:sz="0" w:space="0" w:color="auto"/>
          </w:divBdr>
          <w:divsChild>
            <w:div w:id="209388242">
              <w:marLeft w:val="0"/>
              <w:marRight w:val="0"/>
              <w:marTop w:val="0"/>
              <w:marBottom w:val="0"/>
              <w:divBdr>
                <w:top w:val="none" w:sz="0" w:space="0" w:color="auto"/>
                <w:left w:val="none" w:sz="0" w:space="0" w:color="auto"/>
                <w:bottom w:val="none" w:sz="0" w:space="0" w:color="auto"/>
                <w:right w:val="none" w:sz="0" w:space="0" w:color="auto"/>
              </w:divBdr>
            </w:div>
            <w:div w:id="457770855">
              <w:marLeft w:val="0"/>
              <w:marRight w:val="0"/>
              <w:marTop w:val="0"/>
              <w:marBottom w:val="0"/>
              <w:divBdr>
                <w:top w:val="none" w:sz="0" w:space="0" w:color="auto"/>
                <w:left w:val="none" w:sz="0" w:space="0" w:color="auto"/>
                <w:bottom w:val="none" w:sz="0" w:space="0" w:color="auto"/>
                <w:right w:val="none" w:sz="0" w:space="0" w:color="auto"/>
              </w:divBdr>
            </w:div>
            <w:div w:id="1384063589">
              <w:marLeft w:val="0"/>
              <w:marRight w:val="0"/>
              <w:marTop w:val="0"/>
              <w:marBottom w:val="0"/>
              <w:divBdr>
                <w:top w:val="none" w:sz="0" w:space="0" w:color="auto"/>
                <w:left w:val="none" w:sz="0" w:space="0" w:color="auto"/>
                <w:bottom w:val="none" w:sz="0" w:space="0" w:color="auto"/>
                <w:right w:val="none" w:sz="0" w:space="0" w:color="auto"/>
              </w:divBdr>
            </w:div>
            <w:div w:id="1712875239">
              <w:marLeft w:val="0"/>
              <w:marRight w:val="0"/>
              <w:marTop w:val="0"/>
              <w:marBottom w:val="0"/>
              <w:divBdr>
                <w:top w:val="none" w:sz="0" w:space="0" w:color="auto"/>
                <w:left w:val="none" w:sz="0" w:space="0" w:color="auto"/>
                <w:bottom w:val="none" w:sz="0" w:space="0" w:color="auto"/>
                <w:right w:val="none" w:sz="0" w:space="0" w:color="auto"/>
              </w:divBdr>
            </w:div>
            <w:div w:id="1840383800">
              <w:marLeft w:val="0"/>
              <w:marRight w:val="0"/>
              <w:marTop w:val="0"/>
              <w:marBottom w:val="0"/>
              <w:divBdr>
                <w:top w:val="none" w:sz="0" w:space="0" w:color="auto"/>
                <w:left w:val="none" w:sz="0" w:space="0" w:color="auto"/>
                <w:bottom w:val="none" w:sz="0" w:space="0" w:color="auto"/>
                <w:right w:val="none" w:sz="0" w:space="0" w:color="auto"/>
              </w:divBdr>
            </w:div>
            <w:div w:id="20794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8232">
      <w:bodyDiv w:val="1"/>
      <w:marLeft w:val="0"/>
      <w:marRight w:val="0"/>
      <w:marTop w:val="0"/>
      <w:marBottom w:val="0"/>
      <w:divBdr>
        <w:top w:val="none" w:sz="0" w:space="0" w:color="auto"/>
        <w:left w:val="none" w:sz="0" w:space="0" w:color="auto"/>
        <w:bottom w:val="none" w:sz="0" w:space="0" w:color="auto"/>
        <w:right w:val="none" w:sz="0" w:space="0" w:color="auto"/>
      </w:divBdr>
    </w:div>
    <w:div w:id="1888101634">
      <w:bodyDiv w:val="1"/>
      <w:marLeft w:val="0"/>
      <w:marRight w:val="0"/>
      <w:marTop w:val="0"/>
      <w:marBottom w:val="0"/>
      <w:divBdr>
        <w:top w:val="none" w:sz="0" w:space="0" w:color="auto"/>
        <w:left w:val="none" w:sz="0" w:space="0" w:color="auto"/>
        <w:bottom w:val="none" w:sz="0" w:space="0" w:color="auto"/>
        <w:right w:val="none" w:sz="0" w:space="0" w:color="auto"/>
      </w:divBdr>
    </w:div>
    <w:div w:id="1904169688">
      <w:bodyDiv w:val="1"/>
      <w:marLeft w:val="0"/>
      <w:marRight w:val="0"/>
      <w:marTop w:val="0"/>
      <w:marBottom w:val="0"/>
      <w:divBdr>
        <w:top w:val="none" w:sz="0" w:space="0" w:color="auto"/>
        <w:left w:val="none" w:sz="0" w:space="0" w:color="auto"/>
        <w:bottom w:val="none" w:sz="0" w:space="0" w:color="auto"/>
        <w:right w:val="none" w:sz="0" w:space="0" w:color="auto"/>
      </w:divBdr>
    </w:div>
    <w:div w:id="1934388413">
      <w:bodyDiv w:val="1"/>
      <w:marLeft w:val="0"/>
      <w:marRight w:val="0"/>
      <w:marTop w:val="0"/>
      <w:marBottom w:val="0"/>
      <w:divBdr>
        <w:top w:val="none" w:sz="0" w:space="0" w:color="auto"/>
        <w:left w:val="none" w:sz="0" w:space="0" w:color="auto"/>
        <w:bottom w:val="none" w:sz="0" w:space="0" w:color="auto"/>
        <w:right w:val="none" w:sz="0" w:space="0" w:color="auto"/>
      </w:divBdr>
      <w:divsChild>
        <w:div w:id="377364141">
          <w:marLeft w:val="0"/>
          <w:marRight w:val="0"/>
          <w:marTop w:val="0"/>
          <w:marBottom w:val="0"/>
          <w:divBdr>
            <w:top w:val="none" w:sz="0" w:space="0" w:color="auto"/>
            <w:left w:val="none" w:sz="0" w:space="0" w:color="auto"/>
            <w:bottom w:val="none" w:sz="0" w:space="0" w:color="auto"/>
            <w:right w:val="none" w:sz="0" w:space="0" w:color="auto"/>
          </w:divBdr>
          <w:divsChild>
            <w:div w:id="693506270">
              <w:marLeft w:val="0"/>
              <w:marRight w:val="0"/>
              <w:marTop w:val="0"/>
              <w:marBottom w:val="0"/>
              <w:divBdr>
                <w:top w:val="none" w:sz="0" w:space="0" w:color="auto"/>
                <w:left w:val="none" w:sz="0" w:space="0" w:color="auto"/>
                <w:bottom w:val="none" w:sz="0" w:space="0" w:color="auto"/>
                <w:right w:val="none" w:sz="0" w:space="0" w:color="auto"/>
              </w:divBdr>
              <w:divsChild>
                <w:div w:id="1606691837">
                  <w:marLeft w:val="0"/>
                  <w:marRight w:val="0"/>
                  <w:marTop w:val="0"/>
                  <w:marBottom w:val="0"/>
                  <w:divBdr>
                    <w:top w:val="none" w:sz="0" w:space="0" w:color="auto"/>
                    <w:left w:val="none" w:sz="0" w:space="0" w:color="auto"/>
                    <w:bottom w:val="none" w:sz="0" w:space="0" w:color="auto"/>
                    <w:right w:val="none" w:sz="0" w:space="0" w:color="auto"/>
                  </w:divBdr>
                  <w:divsChild>
                    <w:div w:id="16527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4366">
      <w:bodyDiv w:val="1"/>
      <w:marLeft w:val="0"/>
      <w:marRight w:val="0"/>
      <w:marTop w:val="0"/>
      <w:marBottom w:val="0"/>
      <w:divBdr>
        <w:top w:val="none" w:sz="0" w:space="0" w:color="auto"/>
        <w:left w:val="none" w:sz="0" w:space="0" w:color="auto"/>
        <w:bottom w:val="none" w:sz="0" w:space="0" w:color="auto"/>
        <w:right w:val="none" w:sz="0" w:space="0" w:color="auto"/>
      </w:divBdr>
    </w:div>
    <w:div w:id="1969431929">
      <w:bodyDiv w:val="1"/>
      <w:marLeft w:val="0"/>
      <w:marRight w:val="0"/>
      <w:marTop w:val="0"/>
      <w:marBottom w:val="0"/>
      <w:divBdr>
        <w:top w:val="none" w:sz="0" w:space="0" w:color="auto"/>
        <w:left w:val="none" w:sz="0" w:space="0" w:color="auto"/>
        <w:bottom w:val="none" w:sz="0" w:space="0" w:color="auto"/>
        <w:right w:val="none" w:sz="0" w:space="0" w:color="auto"/>
      </w:divBdr>
    </w:div>
    <w:div w:id="1988584216">
      <w:bodyDiv w:val="1"/>
      <w:marLeft w:val="0"/>
      <w:marRight w:val="0"/>
      <w:marTop w:val="0"/>
      <w:marBottom w:val="0"/>
      <w:divBdr>
        <w:top w:val="none" w:sz="0" w:space="0" w:color="auto"/>
        <w:left w:val="none" w:sz="0" w:space="0" w:color="auto"/>
        <w:bottom w:val="none" w:sz="0" w:space="0" w:color="auto"/>
        <w:right w:val="none" w:sz="0" w:space="0" w:color="auto"/>
      </w:divBdr>
      <w:divsChild>
        <w:div w:id="1546256726">
          <w:marLeft w:val="0"/>
          <w:marRight w:val="0"/>
          <w:marTop w:val="0"/>
          <w:marBottom w:val="0"/>
          <w:divBdr>
            <w:top w:val="none" w:sz="0" w:space="0" w:color="auto"/>
            <w:left w:val="none" w:sz="0" w:space="0" w:color="auto"/>
            <w:bottom w:val="none" w:sz="0" w:space="0" w:color="auto"/>
            <w:right w:val="none" w:sz="0" w:space="0" w:color="auto"/>
          </w:divBdr>
          <w:divsChild>
            <w:div w:id="1775785826">
              <w:marLeft w:val="0"/>
              <w:marRight w:val="0"/>
              <w:marTop w:val="0"/>
              <w:marBottom w:val="0"/>
              <w:divBdr>
                <w:top w:val="none" w:sz="0" w:space="0" w:color="auto"/>
                <w:left w:val="none" w:sz="0" w:space="0" w:color="auto"/>
                <w:bottom w:val="none" w:sz="0" w:space="0" w:color="auto"/>
                <w:right w:val="none" w:sz="0" w:space="0" w:color="auto"/>
              </w:divBdr>
              <w:divsChild>
                <w:div w:id="1379861453">
                  <w:marLeft w:val="0"/>
                  <w:marRight w:val="0"/>
                  <w:marTop w:val="0"/>
                  <w:marBottom w:val="0"/>
                  <w:divBdr>
                    <w:top w:val="none" w:sz="0" w:space="0" w:color="auto"/>
                    <w:left w:val="none" w:sz="0" w:space="0" w:color="auto"/>
                    <w:bottom w:val="none" w:sz="0" w:space="0" w:color="auto"/>
                    <w:right w:val="none" w:sz="0" w:space="0" w:color="auto"/>
                  </w:divBdr>
                  <w:divsChild>
                    <w:div w:id="15209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95696">
      <w:bodyDiv w:val="1"/>
      <w:marLeft w:val="0"/>
      <w:marRight w:val="0"/>
      <w:marTop w:val="0"/>
      <w:marBottom w:val="0"/>
      <w:divBdr>
        <w:top w:val="none" w:sz="0" w:space="0" w:color="auto"/>
        <w:left w:val="none" w:sz="0" w:space="0" w:color="auto"/>
        <w:bottom w:val="none" w:sz="0" w:space="0" w:color="auto"/>
        <w:right w:val="none" w:sz="0" w:space="0" w:color="auto"/>
      </w:divBdr>
    </w:div>
    <w:div w:id="2041317111">
      <w:bodyDiv w:val="1"/>
      <w:marLeft w:val="0"/>
      <w:marRight w:val="0"/>
      <w:marTop w:val="0"/>
      <w:marBottom w:val="0"/>
      <w:divBdr>
        <w:top w:val="none" w:sz="0" w:space="0" w:color="auto"/>
        <w:left w:val="none" w:sz="0" w:space="0" w:color="auto"/>
        <w:bottom w:val="none" w:sz="0" w:space="0" w:color="auto"/>
        <w:right w:val="none" w:sz="0" w:space="0" w:color="auto"/>
      </w:divBdr>
    </w:div>
    <w:div w:id="2054192364">
      <w:bodyDiv w:val="1"/>
      <w:marLeft w:val="0"/>
      <w:marRight w:val="0"/>
      <w:marTop w:val="0"/>
      <w:marBottom w:val="0"/>
      <w:divBdr>
        <w:top w:val="none" w:sz="0" w:space="0" w:color="auto"/>
        <w:left w:val="none" w:sz="0" w:space="0" w:color="auto"/>
        <w:bottom w:val="none" w:sz="0" w:space="0" w:color="auto"/>
        <w:right w:val="none" w:sz="0" w:space="0" w:color="auto"/>
      </w:divBdr>
      <w:divsChild>
        <w:div w:id="480849850">
          <w:marLeft w:val="0"/>
          <w:marRight w:val="0"/>
          <w:marTop w:val="0"/>
          <w:marBottom w:val="0"/>
          <w:divBdr>
            <w:top w:val="none" w:sz="0" w:space="0" w:color="auto"/>
            <w:left w:val="none" w:sz="0" w:space="0" w:color="auto"/>
            <w:bottom w:val="none" w:sz="0" w:space="0" w:color="auto"/>
            <w:right w:val="none" w:sz="0" w:space="0" w:color="auto"/>
          </w:divBdr>
        </w:div>
        <w:div w:id="1037196674">
          <w:marLeft w:val="0"/>
          <w:marRight w:val="0"/>
          <w:marTop w:val="0"/>
          <w:marBottom w:val="0"/>
          <w:divBdr>
            <w:top w:val="none" w:sz="0" w:space="0" w:color="auto"/>
            <w:left w:val="none" w:sz="0" w:space="0" w:color="auto"/>
            <w:bottom w:val="none" w:sz="0" w:space="0" w:color="auto"/>
            <w:right w:val="none" w:sz="0" w:space="0" w:color="auto"/>
          </w:divBdr>
        </w:div>
        <w:div w:id="1119566626">
          <w:marLeft w:val="0"/>
          <w:marRight w:val="0"/>
          <w:marTop w:val="0"/>
          <w:marBottom w:val="0"/>
          <w:divBdr>
            <w:top w:val="none" w:sz="0" w:space="0" w:color="auto"/>
            <w:left w:val="none" w:sz="0" w:space="0" w:color="auto"/>
            <w:bottom w:val="none" w:sz="0" w:space="0" w:color="auto"/>
            <w:right w:val="none" w:sz="0" w:space="0" w:color="auto"/>
          </w:divBdr>
        </w:div>
        <w:div w:id="1374160496">
          <w:marLeft w:val="0"/>
          <w:marRight w:val="0"/>
          <w:marTop w:val="0"/>
          <w:marBottom w:val="0"/>
          <w:divBdr>
            <w:top w:val="none" w:sz="0" w:space="0" w:color="auto"/>
            <w:left w:val="none" w:sz="0" w:space="0" w:color="auto"/>
            <w:bottom w:val="none" w:sz="0" w:space="0" w:color="auto"/>
            <w:right w:val="none" w:sz="0" w:space="0" w:color="auto"/>
          </w:divBdr>
        </w:div>
        <w:div w:id="1719620936">
          <w:marLeft w:val="0"/>
          <w:marRight w:val="0"/>
          <w:marTop w:val="0"/>
          <w:marBottom w:val="0"/>
          <w:divBdr>
            <w:top w:val="none" w:sz="0" w:space="0" w:color="auto"/>
            <w:left w:val="none" w:sz="0" w:space="0" w:color="auto"/>
            <w:bottom w:val="none" w:sz="0" w:space="0" w:color="auto"/>
            <w:right w:val="none" w:sz="0" w:space="0" w:color="auto"/>
          </w:divBdr>
        </w:div>
        <w:div w:id="1825974800">
          <w:marLeft w:val="0"/>
          <w:marRight w:val="0"/>
          <w:marTop w:val="0"/>
          <w:marBottom w:val="0"/>
          <w:divBdr>
            <w:top w:val="none" w:sz="0" w:space="0" w:color="auto"/>
            <w:left w:val="none" w:sz="0" w:space="0" w:color="auto"/>
            <w:bottom w:val="none" w:sz="0" w:space="0" w:color="auto"/>
            <w:right w:val="none" w:sz="0" w:space="0" w:color="auto"/>
          </w:divBdr>
        </w:div>
        <w:div w:id="2126266020">
          <w:marLeft w:val="0"/>
          <w:marRight w:val="0"/>
          <w:marTop w:val="0"/>
          <w:marBottom w:val="0"/>
          <w:divBdr>
            <w:top w:val="none" w:sz="0" w:space="0" w:color="auto"/>
            <w:left w:val="none" w:sz="0" w:space="0" w:color="auto"/>
            <w:bottom w:val="none" w:sz="0" w:space="0" w:color="auto"/>
            <w:right w:val="none" w:sz="0" w:space="0" w:color="auto"/>
          </w:divBdr>
        </w:div>
        <w:div w:id="2130467639">
          <w:marLeft w:val="0"/>
          <w:marRight w:val="0"/>
          <w:marTop w:val="0"/>
          <w:marBottom w:val="0"/>
          <w:divBdr>
            <w:top w:val="none" w:sz="0" w:space="0" w:color="auto"/>
            <w:left w:val="none" w:sz="0" w:space="0" w:color="auto"/>
            <w:bottom w:val="none" w:sz="0" w:space="0" w:color="auto"/>
            <w:right w:val="none" w:sz="0" w:space="0" w:color="auto"/>
          </w:divBdr>
        </w:div>
      </w:divsChild>
    </w:div>
    <w:div w:id="2066440472">
      <w:bodyDiv w:val="1"/>
      <w:marLeft w:val="0"/>
      <w:marRight w:val="0"/>
      <w:marTop w:val="0"/>
      <w:marBottom w:val="0"/>
      <w:divBdr>
        <w:top w:val="none" w:sz="0" w:space="0" w:color="auto"/>
        <w:left w:val="none" w:sz="0" w:space="0" w:color="auto"/>
        <w:bottom w:val="none" w:sz="0" w:space="0" w:color="auto"/>
        <w:right w:val="none" w:sz="0" w:space="0" w:color="auto"/>
      </w:divBdr>
    </w:div>
    <w:div w:id="2114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c-word-edit.officeapps.live.com/we/wordeditorframe.aspx?ui=fr-fr&amp;rs=fr-be&amp;wopisrc=https%3A%2F%2Feceuropaeu.sharepoint.com%2Fteams%2FGRP-JUSTMFFpreparation-H3workingspace%2F_vti_bin%2Fwopi.ashx%2Ffiles%2Fe7d869e8251e4033845a8641386b4958&amp;wdenableroaming=1&amp;mscc=1&amp;hid=4f864719-7e99-4317-8446-8000b3c47445.0&amp;uih=teams&amp;uiembed=1&amp;wdlcid=fr-fr&amp;jsapi=1&amp;jsapiver=v2&amp;corrid=4dc5b857-6fe4-43b2-bbaf-4dc5648ef7e0&amp;usid=4dc5b857-6fe4-43b2-bbaf-4dc5648ef7e0&amp;newsession=1&amp;sftc=1&amp;uihit=TeamsModern&amp;muv=v1&amp;to=https%3A%2F%2Fteams.microsoft.com&amp;accloop=1&amp;sdr=6&amp;scnd=1&amp;sat=1&amp;ats=ParentFrame&amp;rat=1&amp;sams=1&amp;mtf=1&amp;sfp=1&amp;halh=1&amp;hch=1&amp;hmh=1&amp;hwfh=1&amp;hsth=1&amp;sih=1&amp;unh=1&amp;onw=1&amp;dchat=1&amp;sc=%7B%22pmo%22%3A%22https%3A%2F%2Fwww.microsoft365.com%22%2C%22pmshare%22%3Atrue%7D&amp;ctp=LeastProtected&amp;rct=Normal&amp;wdhostclicktime=1753170711136&amp;afdflight=96&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ALL/?uri=CELEX:32016R0679&amp;qid=1613382053477"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www.oecd-ilibrary.org/docserver/9789264303416-2-en.pdf?expires=1728396746&amp;id=id&amp;accname=oid031827&amp;checksum=AB987B44E8FCDB3DBCD78DD056F56827" TargetMode="External"/><Relationship Id="rId18" Type="http://schemas.openxmlformats.org/officeDocument/2006/relationships/hyperlink" Target="http://data.europa.eu/eli/reg/2024/1689/oj" TargetMode="External"/><Relationship Id="rId26" Type="http://schemas.openxmlformats.org/officeDocument/2006/relationships/hyperlink" Target="https://eur-lex.europa.eu/legal-content/pl/TXT/?uri=celex:52025DC0046" TargetMode="External"/><Relationship Id="rId39" Type="http://schemas.openxmlformats.org/officeDocument/2006/relationships/hyperlink" Target="http://data.europa.eu/eli/reg/2024/1689/oj" TargetMode="External"/><Relationship Id="rId21" Type="http://schemas.openxmlformats.org/officeDocument/2006/relationships/hyperlink" Target="Https://commission.europa.eu/strategy-and-policy/eu-budget/performance-and-reporting/programme-performance-statements/justice-programme-performance_pl" TargetMode="External"/><Relationship Id="rId34" Type="http://schemas.openxmlformats.org/officeDocument/2006/relationships/hyperlink" Target="http://data.europa.eu/eli/dec/2001/470/oj" TargetMode="External"/><Relationship Id="rId42" Type="http://schemas.openxmlformats.org/officeDocument/2006/relationships/hyperlink" Target="http://data.europa.eu/eli/reg/2023/2844/oj" TargetMode="External"/><Relationship Id="rId7" Type="http://schemas.openxmlformats.org/officeDocument/2006/relationships/hyperlink" Target="https://commission.europa.eu/news/commission-presents-european-internal-security-strategy-2025-04-01_pl" TargetMode="External"/><Relationship Id="rId2" Type="http://schemas.openxmlformats.org/officeDocument/2006/relationships/hyperlink" Target="https://commission.europa.eu/strategy-and-policy/policies/justice-and-fundamental-rights/criminal-justice/protecting-victims-rights/eu-strategy-victims-rights-2020-2025_pl" TargetMode="External"/><Relationship Id="rId16" Type="http://schemas.openxmlformats.org/officeDocument/2006/relationships/hyperlink" Target="https://commission.europa.eu/document/download/e6cd4328-673c-4e7a-8683-f63ffb2cf648_pl?filename=Political%20Guidelines%202024-2029_PL.pdf" TargetMode="External"/><Relationship Id="rId20" Type="http://schemas.openxmlformats.org/officeDocument/2006/relationships/hyperlink" Target="https://home-affairs.ec.europa.eu/news/commission-presents-protecteu-internal-security-strategy-2025-04-01_pl" TargetMode="External"/><Relationship Id="rId29" Type="http://schemas.openxmlformats.org/officeDocument/2006/relationships/hyperlink" Target="http://data.europa.eu/eli/reg/2021/693/oj" TargetMode="External"/><Relationship Id="rId41" Type="http://schemas.openxmlformats.org/officeDocument/2006/relationships/hyperlink" Target="http://data.europa.eu/eli/reg/2012/1024/oj" TargetMode="External"/><Relationship Id="rId1" Type="http://schemas.openxmlformats.org/officeDocument/2006/relationships/hyperlink" Target="https://eur-lex.europa.eu/legal-content/pl/TXT/?uri=legissum:4578250" TargetMode="External"/><Relationship Id="rId6" Type="http://schemas.openxmlformats.org/officeDocument/2006/relationships/hyperlink" Target="https://ec.europa.eu/commission/presscorner/detail/pl/ip_23_2516" TargetMode="External"/><Relationship Id="rId11" Type="http://schemas.openxmlformats.org/officeDocument/2006/relationships/hyperlink" Target="https://eur-lex.europa.eu/legal-content/pl/TXT/?uri=celex:52021DC0819" TargetMode="External"/><Relationship Id="rId24" Type="http://schemas.openxmlformats.org/officeDocument/2006/relationships/hyperlink" Target="https://eige.europa.eu/gender-statistics/dgs/indicator/wmidm_jud_natcrt__wmid_natcrt_supcrt/datatable" TargetMode="External"/><Relationship Id="rId32" Type="http://schemas.openxmlformats.org/officeDocument/2006/relationships/hyperlink" Target="http://data.europa.eu/eli/reg/1996/2185/oj" TargetMode="External"/><Relationship Id="rId37" Type="http://schemas.openxmlformats.org/officeDocument/2006/relationships/hyperlink" Target="http://data.europa.eu/eli/reg/2016/679/oj" TargetMode="External"/><Relationship Id="rId40" Type="http://schemas.openxmlformats.org/officeDocument/2006/relationships/hyperlink" Target="http://data.europa.eu/eli/reg/2023/2841/oj" TargetMode="External"/><Relationship Id="rId5" Type="http://schemas.openxmlformats.org/officeDocument/2006/relationships/hyperlink" Target="https://commission.europa.eu/strategy-and-policy/policies/justice-and-fundamental-rights/upholding-rule-law/rule-law_pl" TargetMode="External"/><Relationship Id="rId15" Type="http://schemas.openxmlformats.org/officeDocument/2006/relationships/hyperlink" Target="https://eur-lex.europa.eu/legal-content/pl/TXT/PDF/?uri=CELEX:52020DC0713" TargetMode="External"/><Relationship Id="rId23" Type="http://schemas.openxmlformats.org/officeDocument/2006/relationships/hyperlink" Target="file:///C:/Users/ziebami/AppData/Local/Microsoft/Windows/INetCache/Content.Outlook/YQ3VJ1XH/Stakeholder_contribution_on_rule_of_law_-_oecd.pdf%20(europa.eu)" TargetMode="External"/><Relationship Id="rId28" Type="http://schemas.openxmlformats.org/officeDocument/2006/relationships/hyperlink" Target="http://data.europa.eu/eli/convention/2010/48(1)/oj" TargetMode="External"/><Relationship Id="rId36" Type="http://schemas.openxmlformats.org/officeDocument/2006/relationships/hyperlink" Target="https://myintracomm.ec.europa.eu/corp/budget/financial-rules/budget-implementation/Pages/implementation-methods.aspx" TargetMode="External"/><Relationship Id="rId10" Type="http://schemas.openxmlformats.org/officeDocument/2006/relationships/hyperlink" Target="https://europa.eu/eurobarometer/surveys/detail/3193" TargetMode="External"/><Relationship Id="rId19" Type="http://schemas.openxmlformats.org/officeDocument/2006/relationships/hyperlink" Target="http://data.europa.eu/eli/dir/2019/882/oj" TargetMode="External"/><Relationship Id="rId31" Type="http://schemas.openxmlformats.org/officeDocument/2006/relationships/hyperlink" Target="http://data.europa.eu/eli/reg/1995/2988/oj" TargetMode="External"/><Relationship Id="rId4" Type="http://schemas.openxmlformats.org/officeDocument/2006/relationships/hyperlink" Target="https://commission.europa.eu/strategy-and-policy/policies/justice-and-fundamental-rights/rights-child/eu-strategy-rights-child-and-european-child-guarantee_pl" TargetMode="External"/><Relationship Id="rId9" Type="http://schemas.openxmlformats.org/officeDocument/2006/relationships/hyperlink" Target="https://eur-lex.europa.eu/legal-content/pl/TXT/HTML/?uri=CELEX:52024DC0950" TargetMode="External"/><Relationship Id="rId14" Type="http://schemas.openxmlformats.org/officeDocument/2006/relationships/hyperlink" Target="https://eur-lex.europa.eu/LexUriServ/LexUriServ.do?uri=COM:2011:0551:FIN:PL:PDF" TargetMode="External"/><Relationship Id="rId22" Type="http://schemas.openxmlformats.org/officeDocument/2006/relationships/hyperlink" Target="https://ec.europa.eu/info/law/better-regulation/have-your-say/initiatives/13930-Justice-programme-final-evaluation-of-the-2014-2020-programme-and-interim-evaluation-of-the-2021-2027-programme_pl" TargetMode="External"/><Relationship Id="rId27" Type="http://schemas.openxmlformats.org/officeDocument/2006/relationships/hyperlink" Target="http://data.europa.eu/eli/reg/2016/679/oj" TargetMode="External"/><Relationship Id="rId30" Type="http://schemas.openxmlformats.org/officeDocument/2006/relationships/hyperlink" Target="http://data.europa.eu/eli/reg/2013/883/oj" TargetMode="External"/><Relationship Id="rId35" Type="http://schemas.openxmlformats.org/officeDocument/2006/relationships/hyperlink" Target="http://data.europa.eu/eli/convention/2010/48(1)/oj" TargetMode="External"/><Relationship Id="rId8" Type="http://schemas.openxmlformats.org/officeDocument/2006/relationships/hyperlink" Target="https://ec.europa.eu/commission/presscorner/detail/pl/ip_20_2326" TargetMode="External"/><Relationship Id="rId3" Type="http://schemas.openxmlformats.org/officeDocument/2006/relationships/hyperlink" Target="https://eur-lex.europa.eu/legal-content/pl/TXT/PDF/?uri=OJ:C_202500437" TargetMode="External"/><Relationship Id="rId12" Type="http://schemas.openxmlformats.org/officeDocument/2006/relationships/hyperlink" Target="https://eur-lex.europa.eu/legal-content/pl/TXT/?uri=celex:52021DC0819" TargetMode="External"/><Relationship Id="rId17" Type="http://schemas.openxmlformats.org/officeDocument/2006/relationships/hyperlink" Target="http://data.europa.eu/eli/reg/2022/2065/oj" TargetMode="External"/><Relationship Id="rId25" Type="http://schemas.openxmlformats.org/officeDocument/2006/relationships/hyperlink" Target="http://www.coe.int/t/dghl/cooperation/cepej/evaluation/default_%20en.asp" TargetMode="External"/><Relationship Id="rId33" Type="http://schemas.openxmlformats.org/officeDocument/2006/relationships/hyperlink" Target="http://data.europa.eu/eli/dir/2017/1371/oj" TargetMode="External"/><Relationship Id="rId38" Type="http://schemas.openxmlformats.org/officeDocument/2006/relationships/hyperlink" Target="http://data.europa.eu/eli/dir/2019/102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9bf195-a079-4620-91bb-e3b8391e84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E688341CA26E419DE2DCFC8FC07399" ma:contentTypeVersion="10" ma:contentTypeDescription="Create a new document." ma:contentTypeScope="" ma:versionID="22f0eb074053605c066bf88a42937648">
  <xsd:schema xmlns:xsd="http://www.w3.org/2001/XMLSchema" xmlns:xs="http://www.w3.org/2001/XMLSchema" xmlns:p="http://schemas.microsoft.com/office/2006/metadata/properties" xmlns:ns2="0c9bf195-a079-4620-91bb-e3b8391e8403" targetNamespace="http://schemas.microsoft.com/office/2006/metadata/properties" ma:root="true" ma:fieldsID="4a9996b442fdf877c0df59d1f3ff380b" ns2:_="">
    <xsd:import namespace="0c9bf195-a079-4620-91bb-e3b8391e8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bf195-a079-4620-91bb-e3b8391e8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47249-139F-4B02-9EE4-BB1C47C2A46D}">
  <ds:schemaRefs>
    <ds:schemaRef ds:uri="http://schemas.openxmlformats.org/officeDocument/2006/bibliography"/>
  </ds:schemaRefs>
</ds:datastoreItem>
</file>

<file path=customXml/itemProps2.xml><?xml version="1.0" encoding="utf-8"?>
<ds:datastoreItem xmlns:ds="http://schemas.openxmlformats.org/officeDocument/2006/customXml" ds:itemID="{DFE6904E-CABA-4690-8FC7-E5391E47AAD3}">
  <ds:schemaRefs>
    <ds:schemaRef ds:uri="http://schemas.microsoft.com/office/2006/metadata/properties"/>
    <ds:schemaRef ds:uri="http://schemas.microsoft.com/office/infopath/2007/PartnerControls"/>
    <ds:schemaRef ds:uri="0c9bf195-a079-4620-91bb-e3b8391e8403"/>
  </ds:schemaRefs>
</ds:datastoreItem>
</file>

<file path=customXml/itemProps3.xml><?xml version="1.0" encoding="utf-8"?>
<ds:datastoreItem xmlns:ds="http://schemas.openxmlformats.org/officeDocument/2006/customXml" ds:itemID="{8811C40A-3BF5-4361-A0C4-6200ACBE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bf195-a079-4620-91bb-e3b8391e8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BF4AE-7390-4277-B8B9-E76FA6BBF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62</Pages>
  <Words>20442</Words>
  <Characters>122654</Characters>
  <Application>Microsoft Office Word</Application>
  <DocSecurity>0</DocSecurity>
  <Lines>1022</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2025-10-17T12:41:00Z</dcterms:created>
  <dcterms:modified xsi:type="dcterms:W3CDTF">2025-10-17T12:41:00Z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2025-08-07T13:41:19Z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c5280a6c-3c11-4993-bb72-4c8b08713ed8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Category">
    <vt:lpwstr>COM/PL/ORG</vt:lpwstr>
  </property>
  <property fmtid="{D5CDD505-2E9C-101B-9397-08002B2CF9AE}" pid="12" name="Last edited using">
    <vt:lpwstr>LW 9.1, Build 20240808</vt:lpwstr>
  </property>
  <property fmtid="{D5CDD505-2E9C-101B-9397-08002B2CF9AE}" pid="13" name="ContentTypeId">
    <vt:lpwstr>0x0101002AE688341CA26E419DE2DCFC8FC07399</vt:lpwstr>
  </property>
  <property fmtid="{D5CDD505-2E9C-101B-9397-08002B2CF9AE}" pid="14" name="MediaServiceImageTags">
    <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SJ-023</vt:lpwstr>
  </property>
  <property fmtid="{D5CDD505-2E9C-101B-9397-08002B2CF9AE}" pid="18" name="DQCStatus">
    <vt:lpwstr>Green (DQC version 03)</vt:lpwstr>
  </property>
</Properties>
</file>