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954D" w14:textId="77777777" w:rsidR="00000000" w:rsidRPr="00F97C05" w:rsidRDefault="00FB0530">
      <w:pPr>
        <w:rPr>
          <w:rFonts w:ascii="Lato" w:hAnsi="Lato"/>
        </w:rPr>
      </w:pPr>
      <w:r w:rsidRPr="00F97C05">
        <w:rPr>
          <w:rFonts w:ascii="Lato" w:hAnsi="Lato"/>
        </w:rPr>
        <w:t>BOŚNIA I HERCEGOWINA – INFORMATOR EKONOMICZNY</w:t>
      </w:r>
    </w:p>
    <w:p w14:paraId="0E065FA7" w14:textId="77777777" w:rsidR="00FB0530" w:rsidRPr="00F97C05" w:rsidRDefault="00FB0530" w:rsidP="00FB0530">
      <w:pPr>
        <w:pStyle w:val="Akapitzlist"/>
        <w:numPr>
          <w:ilvl w:val="0"/>
          <w:numId w:val="1"/>
        </w:numPr>
        <w:rPr>
          <w:rFonts w:ascii="Lato" w:hAnsi="Lato"/>
          <w:b/>
        </w:rPr>
      </w:pPr>
      <w:r w:rsidRPr="00F97C05">
        <w:rPr>
          <w:rFonts w:ascii="Lato" w:hAnsi="Lato"/>
          <w:b/>
        </w:rPr>
        <w:t xml:space="preserve">Gospodarka </w:t>
      </w:r>
    </w:p>
    <w:p w14:paraId="25903162" w14:textId="77777777" w:rsidR="005D78B1" w:rsidRPr="00F97C05" w:rsidRDefault="005D78B1" w:rsidP="005D78B1">
      <w:pPr>
        <w:pStyle w:val="Akapitzlist"/>
        <w:numPr>
          <w:ilvl w:val="1"/>
          <w:numId w:val="1"/>
        </w:numPr>
        <w:rPr>
          <w:rFonts w:ascii="Lato" w:hAnsi="Lato"/>
          <w:b/>
        </w:rPr>
      </w:pPr>
      <w:r w:rsidRPr="00F97C05">
        <w:rPr>
          <w:rFonts w:ascii="Lato" w:hAnsi="Lato"/>
          <w:b/>
        </w:rPr>
        <w:t xml:space="preserve"> Struktura administracji gospodarczej</w:t>
      </w:r>
    </w:p>
    <w:p w14:paraId="27C33A6B" w14:textId="77777777" w:rsidR="005D78B1" w:rsidRPr="00F97C05" w:rsidRDefault="005D78B1" w:rsidP="005D78B1">
      <w:pPr>
        <w:jc w:val="both"/>
        <w:rPr>
          <w:rFonts w:ascii="Lato" w:hAnsi="Lato"/>
        </w:rPr>
      </w:pPr>
      <w:r w:rsidRPr="00F97C05">
        <w:rPr>
          <w:rFonts w:ascii="Lato" w:hAnsi="Lato"/>
        </w:rPr>
        <w:t xml:space="preserve">Struktura administracji gospodarczej w Bośni i Hercegowinie (BiH) jest złożona i odzwierciedla skomplikowany podział administracyjny kraju. BiH składa się z dwóch głównych jednostek administracyjnych, zwanych </w:t>
      </w:r>
      <w:proofErr w:type="spellStart"/>
      <w:r w:rsidRPr="00F97C05">
        <w:rPr>
          <w:rFonts w:ascii="Lato" w:hAnsi="Lato"/>
        </w:rPr>
        <w:t>entitetami</w:t>
      </w:r>
      <w:proofErr w:type="spellEnd"/>
      <w:r w:rsidRPr="00F97C05">
        <w:rPr>
          <w:rFonts w:ascii="Lato" w:hAnsi="Lato"/>
        </w:rPr>
        <w:t>: Federacji Bośni i Hercegowiny (</w:t>
      </w:r>
      <w:proofErr w:type="spellStart"/>
      <w:r w:rsidRPr="00F97C05">
        <w:rPr>
          <w:rFonts w:ascii="Lato" w:hAnsi="Lato"/>
        </w:rPr>
        <w:t>FBiH</w:t>
      </w:r>
      <w:proofErr w:type="spellEnd"/>
      <w:r w:rsidRPr="00F97C05">
        <w:rPr>
          <w:rFonts w:ascii="Lato" w:hAnsi="Lato"/>
        </w:rPr>
        <w:t xml:space="preserve">) oraz Republiki Serbskiej (RS). Federacja Bośni i Hercegowiny zajmuje ok. 51% terytorium kraju i jest podzielona na 10 kantonów, które dalej dzielą się na 79 gmin. Republika Serbska zajmuje ok. 49% terytorium kraju i jest podzielona na 62 gminy. Dodatkowo istnieje Dystrykt </w:t>
      </w:r>
      <w:proofErr w:type="spellStart"/>
      <w:r w:rsidRPr="00F97C05">
        <w:rPr>
          <w:rFonts w:ascii="Lato" w:hAnsi="Lato"/>
        </w:rPr>
        <w:t>Brčko</w:t>
      </w:r>
      <w:proofErr w:type="spellEnd"/>
      <w:r w:rsidRPr="00F97C05">
        <w:rPr>
          <w:rFonts w:ascii="Lato" w:hAnsi="Lato"/>
        </w:rPr>
        <w:t>, który jest autonomiczną jednostką administracyjną zarządzaną bezpośrednio przez państwo.</w:t>
      </w:r>
    </w:p>
    <w:p w14:paraId="07A4EF18" w14:textId="77777777" w:rsidR="005D78B1" w:rsidRPr="00F97C05" w:rsidRDefault="005D78B1" w:rsidP="005D78B1">
      <w:pPr>
        <w:jc w:val="both"/>
        <w:rPr>
          <w:rFonts w:ascii="Lato" w:hAnsi="Lato"/>
        </w:rPr>
      </w:pPr>
      <w:r w:rsidRPr="00F97C05">
        <w:rPr>
          <w:rFonts w:ascii="Lato" w:hAnsi="Lato"/>
        </w:rPr>
        <w:t xml:space="preserve">Na poziomie państwowym głównymi instytucjami gospodarczymi są Rada Ministrów BiH, która składa się z 9 ministerstw, z których trzy zajmują się sprawami gospodarczymi: Ministerstwo Handlu Zagranicznego i Stosunków Ekonomicznych, Ministerstwo Transportu i Komunikacji oraz Ministerstwo Finansów. Na poziomie </w:t>
      </w:r>
      <w:proofErr w:type="spellStart"/>
      <w:r w:rsidRPr="00F97C05">
        <w:rPr>
          <w:rFonts w:ascii="Lato" w:hAnsi="Lato"/>
        </w:rPr>
        <w:t>entitetów</w:t>
      </w:r>
      <w:proofErr w:type="spellEnd"/>
      <w:r w:rsidRPr="00F97C05">
        <w:rPr>
          <w:rFonts w:ascii="Lato" w:hAnsi="Lato"/>
        </w:rPr>
        <w:t>, w Federacji Bośni i Hercegowiny działają Ministerstwo Handlu, Ministerstwo Finansów, Ministerstwo Energii, Górnictwa i Przemysłu oraz Ministerstwo Rolnictwa, Wodociągów i Leśnictwa. W Republice Serbskiej funkcjonują: Ministerstwo Gospodarki i Stosunków Regionalnych, Ministerstwo Finansów, Ministerstwo Przemysłu, Energii i Górnictwa oraz Ministerstwo Rolnictwa, Leśnictwa i Gospodarki Wodnej.</w:t>
      </w:r>
    </w:p>
    <w:p w14:paraId="5D75257D" w14:textId="77777777" w:rsidR="005D78B1" w:rsidRPr="00F97C05" w:rsidRDefault="005D78B1" w:rsidP="005D78B1">
      <w:pPr>
        <w:jc w:val="both"/>
        <w:rPr>
          <w:rFonts w:ascii="Lato" w:hAnsi="Lato"/>
        </w:rPr>
      </w:pPr>
      <w:r w:rsidRPr="00F97C05">
        <w:rPr>
          <w:rFonts w:ascii="Lato" w:hAnsi="Lato"/>
        </w:rPr>
        <w:t xml:space="preserve">Ministerstwo Handlu Zagranicznego i Stosunków Ekonomicznych odpowiada za politykę handlową, współpracę międzynarodową oraz koordynację działań gospodarczych na poziomie państwowym. Ministerstwo Finansów zarządza budżetem państwa, polityką fiskalną oraz nadzorem nad systemem finansowym. Ministerstwo Transportu i Komunikacji odpowiada za rozwój infrastruktury transportowej i komunikacyjnej. </w:t>
      </w:r>
    </w:p>
    <w:p w14:paraId="722C07F8" w14:textId="77777777" w:rsidR="005D78B1" w:rsidRPr="00F97C05" w:rsidRDefault="005D78B1" w:rsidP="005D78B1">
      <w:pPr>
        <w:jc w:val="both"/>
        <w:rPr>
          <w:rFonts w:ascii="Lato" w:hAnsi="Lato"/>
        </w:rPr>
      </w:pPr>
      <w:r w:rsidRPr="00F97C05">
        <w:rPr>
          <w:rFonts w:ascii="Lato" w:hAnsi="Lato"/>
        </w:rPr>
        <w:t xml:space="preserve">Administracja gospodarcza w BiH wymaga ścisłej współpracy między różnymi poziomami rządów (państwowym, </w:t>
      </w:r>
      <w:proofErr w:type="spellStart"/>
      <w:r w:rsidRPr="00F97C05">
        <w:rPr>
          <w:rFonts w:ascii="Lato" w:hAnsi="Lato"/>
        </w:rPr>
        <w:t>entitetów</w:t>
      </w:r>
      <w:proofErr w:type="spellEnd"/>
      <w:r w:rsidRPr="00F97C05">
        <w:rPr>
          <w:rFonts w:ascii="Lato" w:hAnsi="Lato"/>
        </w:rPr>
        <w:t xml:space="preserve"> i lokalnym) oraz między różnymi ministerstwami i agencjami. </w:t>
      </w:r>
    </w:p>
    <w:p w14:paraId="1E3AB3F3" w14:textId="77777777" w:rsidR="005D78B1" w:rsidRPr="00F97C05" w:rsidRDefault="005D78B1" w:rsidP="005D78B1">
      <w:pPr>
        <w:jc w:val="both"/>
        <w:rPr>
          <w:rFonts w:ascii="Lato" w:hAnsi="Lato"/>
          <w:b/>
        </w:rPr>
      </w:pPr>
      <w:r w:rsidRPr="00F97C05">
        <w:rPr>
          <w:rFonts w:ascii="Lato" w:hAnsi="Lato"/>
          <w:b/>
        </w:rPr>
        <w:t xml:space="preserve">1.2. Sądownictwo gospodarcze </w:t>
      </w:r>
    </w:p>
    <w:p w14:paraId="4D1638AF" w14:textId="77777777" w:rsidR="005D78B1" w:rsidRPr="00F97C05" w:rsidRDefault="005D78B1" w:rsidP="005D78B1">
      <w:pPr>
        <w:jc w:val="both"/>
        <w:rPr>
          <w:rFonts w:ascii="Lato" w:hAnsi="Lato"/>
        </w:rPr>
      </w:pPr>
      <w:r w:rsidRPr="00F97C05">
        <w:rPr>
          <w:rFonts w:ascii="Lato" w:hAnsi="Lato"/>
        </w:rPr>
        <w:t>Sądownictwo gospodarcze w Bośni i Hercegowinie (BiH) jest częścią ogólnego systemu sądownictwa, który obejmuje zarówno sądy ogólne, jak i specjalistyczne. Na poziomie państwowym najważniejszą instytucją jest Sąd Bośni i Hercegowiny, który został ustanowiony w 2002 roku i ma siedzibę w Sarajewie. Sąd ten zajmuje się sprawami z zakresu prawa karnego, administracyjnego oraz apelacyjnego, w tym przestępstwami gospodarczymi, korupcją i przestępczością zorganizowaną.</w:t>
      </w:r>
    </w:p>
    <w:p w14:paraId="68896F62" w14:textId="77777777" w:rsidR="005D78B1" w:rsidRPr="00F97C05" w:rsidRDefault="005D78B1" w:rsidP="005D78B1">
      <w:pPr>
        <w:jc w:val="both"/>
        <w:rPr>
          <w:rFonts w:ascii="Lato" w:hAnsi="Lato"/>
        </w:rPr>
      </w:pPr>
      <w:r w:rsidRPr="00F97C05">
        <w:rPr>
          <w:rFonts w:ascii="Lato" w:hAnsi="Lato"/>
        </w:rPr>
        <w:t>W Federacji Bośni i Hercegowiny istnieją sądy gminne (</w:t>
      </w:r>
      <w:proofErr w:type="spellStart"/>
      <w:r w:rsidRPr="00F97C05">
        <w:rPr>
          <w:rFonts w:ascii="Lato" w:hAnsi="Lato"/>
        </w:rPr>
        <w:t>općinski</w:t>
      </w:r>
      <w:proofErr w:type="spellEnd"/>
      <w:r w:rsidRPr="00F97C05">
        <w:rPr>
          <w:rFonts w:ascii="Lato" w:hAnsi="Lato"/>
        </w:rPr>
        <w:t xml:space="preserve"> </w:t>
      </w:r>
      <w:proofErr w:type="spellStart"/>
      <w:r w:rsidRPr="00F97C05">
        <w:rPr>
          <w:rFonts w:ascii="Lato" w:hAnsi="Lato"/>
        </w:rPr>
        <w:t>sudovi</w:t>
      </w:r>
      <w:proofErr w:type="spellEnd"/>
      <w:r w:rsidRPr="00F97C05">
        <w:rPr>
          <w:rFonts w:ascii="Lato" w:hAnsi="Lato"/>
        </w:rPr>
        <w:t xml:space="preserve">), kantonalne sądy oraz Najwyższy Sąd Federacji BiH. W sprawach gospodarczych sądy gminne mają wydziały gospodarcze, które są właściwe dla całego kantonu. W Republice Serbskiej funkcjonują sądy podstawowe, okręgowe oraz Najwyższy Sąd Republiki Serbskiej. Okręgowe sądy gospodarcze znajdują się w Banja Luce, </w:t>
      </w:r>
      <w:proofErr w:type="spellStart"/>
      <w:r w:rsidRPr="00F97C05">
        <w:rPr>
          <w:rFonts w:ascii="Lato" w:hAnsi="Lato"/>
        </w:rPr>
        <w:t>Bijeljinie</w:t>
      </w:r>
      <w:proofErr w:type="spellEnd"/>
      <w:r w:rsidRPr="00F97C05">
        <w:rPr>
          <w:rFonts w:ascii="Lato" w:hAnsi="Lato"/>
        </w:rPr>
        <w:t xml:space="preserve">, </w:t>
      </w:r>
      <w:proofErr w:type="spellStart"/>
      <w:r w:rsidRPr="00F97C05">
        <w:rPr>
          <w:rFonts w:ascii="Lato" w:hAnsi="Lato"/>
        </w:rPr>
        <w:t>Doboju</w:t>
      </w:r>
      <w:proofErr w:type="spellEnd"/>
      <w:r w:rsidRPr="00F97C05">
        <w:rPr>
          <w:rFonts w:ascii="Lato" w:hAnsi="Lato"/>
        </w:rPr>
        <w:t xml:space="preserve">, </w:t>
      </w:r>
      <w:proofErr w:type="spellStart"/>
      <w:r w:rsidRPr="00F97C05">
        <w:rPr>
          <w:rFonts w:ascii="Lato" w:hAnsi="Lato"/>
        </w:rPr>
        <w:t>Trebinju</w:t>
      </w:r>
      <w:proofErr w:type="spellEnd"/>
      <w:r w:rsidRPr="00F97C05">
        <w:rPr>
          <w:rFonts w:ascii="Lato" w:hAnsi="Lato"/>
        </w:rPr>
        <w:t xml:space="preserve"> i </w:t>
      </w:r>
      <w:proofErr w:type="spellStart"/>
      <w:r w:rsidRPr="00F97C05">
        <w:rPr>
          <w:rFonts w:ascii="Lato" w:hAnsi="Lato"/>
        </w:rPr>
        <w:t>Istočnom</w:t>
      </w:r>
      <w:proofErr w:type="spellEnd"/>
      <w:r w:rsidRPr="00F97C05">
        <w:rPr>
          <w:rFonts w:ascii="Lato" w:hAnsi="Lato"/>
        </w:rPr>
        <w:t xml:space="preserve"> </w:t>
      </w:r>
      <w:proofErr w:type="spellStart"/>
      <w:r w:rsidRPr="00F97C05">
        <w:rPr>
          <w:rFonts w:ascii="Lato" w:hAnsi="Lato"/>
        </w:rPr>
        <w:t>Sarajevu</w:t>
      </w:r>
      <w:proofErr w:type="spellEnd"/>
      <w:r w:rsidRPr="00F97C05">
        <w:rPr>
          <w:rFonts w:ascii="Lato" w:hAnsi="Lato"/>
        </w:rPr>
        <w:t>, a Wyższy Sąd Gospodarczy w Banja Luce pełni funkcję sądu drugiej instancji dla całej Republiki Serbskiej.</w:t>
      </w:r>
    </w:p>
    <w:p w14:paraId="7B82EC52" w14:textId="77777777" w:rsidR="005D78B1" w:rsidRPr="00F97C05" w:rsidRDefault="005D78B1" w:rsidP="005D78B1">
      <w:pPr>
        <w:jc w:val="both"/>
        <w:rPr>
          <w:rFonts w:ascii="Lato" w:hAnsi="Lato"/>
        </w:rPr>
      </w:pPr>
      <w:r w:rsidRPr="00F97C05">
        <w:rPr>
          <w:rFonts w:ascii="Lato" w:hAnsi="Lato"/>
        </w:rPr>
        <w:t xml:space="preserve">Sądownictwo gospodarcze w BiH obejmuje rozstrzyganie sporów gospodarczych, przestępstw gospodarczych oraz innych spraw związanych z działalnością gospodarczą. W ramach sądów gospodarczych działają specjalne wydziały zajmujące się przestępczością gospodarczą, korupcją oraz przestępczością zorganizowaną. </w:t>
      </w:r>
    </w:p>
    <w:p w14:paraId="68B1114E" w14:textId="77777777" w:rsidR="005D78B1" w:rsidRPr="00F97C05" w:rsidRDefault="005D78B1" w:rsidP="005D78B1">
      <w:pPr>
        <w:jc w:val="both"/>
        <w:rPr>
          <w:rFonts w:ascii="Lato" w:hAnsi="Lato"/>
          <w:b/>
        </w:rPr>
      </w:pPr>
      <w:r w:rsidRPr="00F97C05">
        <w:rPr>
          <w:rFonts w:ascii="Lato" w:hAnsi="Lato"/>
          <w:b/>
        </w:rPr>
        <w:t xml:space="preserve">1.3. Najważniejsze strategie gospodarcze </w:t>
      </w:r>
    </w:p>
    <w:p w14:paraId="6BF1BF91" w14:textId="77777777" w:rsidR="005D78B1" w:rsidRPr="00F97C05" w:rsidRDefault="005D78B1" w:rsidP="005D78B1">
      <w:pPr>
        <w:jc w:val="both"/>
        <w:rPr>
          <w:rFonts w:ascii="Lato" w:hAnsi="Lato"/>
        </w:rPr>
      </w:pPr>
      <w:r w:rsidRPr="00F97C05">
        <w:rPr>
          <w:rFonts w:ascii="Lato" w:hAnsi="Lato"/>
        </w:rPr>
        <w:lastRenderedPageBreak/>
        <w:t xml:space="preserve">Najważniejsze strategie gospodarcze w Bośni i Hercegowinie (BiH) koncentrują się na kilku kluczowych obszarach, mających na celu poprawę konkurencyjności, zrównoważony rozwój oraz integrację z rynkami międzynarodowymi. Jednym z priorytetów jest zwiększenie roli sektora prywatnego poprzez poprawę umiejętności pracowników i cyfryzację. Wsparcie dla małych i średnich przedsiębiorstw (MŚP) jest kluczowe, ponieważ stanowią one znaczną część zatrudnienia i napędzają gospodarkę kraju. Istotnym elementem strategii jest poprawa infrastruktury drogowej. </w:t>
      </w:r>
    </w:p>
    <w:p w14:paraId="344EFC89" w14:textId="77777777" w:rsidR="005D78B1" w:rsidRPr="00F97C05" w:rsidRDefault="005D78B1" w:rsidP="005D78B1">
      <w:pPr>
        <w:jc w:val="both"/>
        <w:rPr>
          <w:rFonts w:ascii="Lato" w:hAnsi="Lato"/>
        </w:rPr>
      </w:pPr>
      <w:r w:rsidRPr="00F97C05">
        <w:rPr>
          <w:rFonts w:ascii="Lato" w:hAnsi="Lato"/>
        </w:rPr>
        <w:t>BiH dąży do dywersyfikacji źródeł energii i odejścia od węgla na rzecz czystszych źródeł energii. Promowanie niskoemisyjnych modeli gospodarczych oraz dekarbonizacja sektora energetycznego są kluczowymi elementami tej strategii. Wspieranie integracji regionalnej poprzez poprawę zarządzania i dalszą integrację z rynkami międzynarodowymi jest kolejnym priorytetem. BiH stara się zwiększyć swoją konkurencyjność na arenie międzynarodowej poprzez lepsze zarządzanie i współpracę z innymi krajami. Przyspieszenie reform strukturalnych, w tym restrukturyzacja i prywatyzacja przedsiębiorstw państwowych, jest kluczowe dla poprawy efektywności gospodarki. Reformy te mają na celu zmniejszenie biurokracji i korupcji, co powinno ułatwić prowadzenie działalności gospodarczej.</w:t>
      </w:r>
    </w:p>
    <w:p w14:paraId="553AEC1C" w14:textId="77777777" w:rsidR="005D78B1" w:rsidRPr="00F97C05" w:rsidRDefault="005D78B1" w:rsidP="005D78B1">
      <w:pPr>
        <w:jc w:val="both"/>
        <w:rPr>
          <w:rFonts w:ascii="Lato" w:hAnsi="Lato"/>
        </w:rPr>
      </w:pPr>
      <w:r w:rsidRPr="00F97C05">
        <w:rPr>
          <w:rFonts w:ascii="Lato" w:hAnsi="Lato"/>
        </w:rPr>
        <w:t>Te strategie są realizowane przy wsparciu międzynarodowych instytucji finansowych, takich jak Europejski Bank Odbudowy i Rozwoju (EBOR), który wspiera BiH w realizacji tych celów poprzez finansowanie projektów i doradztwo polityczne.</w:t>
      </w:r>
    </w:p>
    <w:p w14:paraId="5080CDEE" w14:textId="77777777" w:rsidR="005D78B1" w:rsidRPr="00F97C05" w:rsidRDefault="005D78B1" w:rsidP="005D78B1">
      <w:pPr>
        <w:jc w:val="both"/>
        <w:rPr>
          <w:rFonts w:ascii="Lato" w:hAnsi="Lato"/>
          <w:b/>
        </w:rPr>
      </w:pPr>
      <w:r w:rsidRPr="00F97C05">
        <w:rPr>
          <w:rFonts w:ascii="Lato" w:hAnsi="Lato"/>
          <w:b/>
        </w:rPr>
        <w:t xml:space="preserve">1.4. Ogólna charakterystyka sytuacji gospodarczej </w:t>
      </w:r>
    </w:p>
    <w:p w14:paraId="7869028B" w14:textId="77777777" w:rsidR="005D78B1" w:rsidRPr="00F97C05" w:rsidRDefault="005D78B1" w:rsidP="005D78B1">
      <w:pPr>
        <w:jc w:val="both"/>
        <w:rPr>
          <w:rFonts w:ascii="Lato" w:hAnsi="Lato"/>
          <w:b/>
        </w:rPr>
      </w:pPr>
      <w:r w:rsidRPr="00F97C05">
        <w:rPr>
          <w:rFonts w:ascii="Lato" w:hAnsi="Lato"/>
          <w:b/>
        </w:rPr>
        <w:t>PKB</w:t>
      </w:r>
    </w:p>
    <w:p w14:paraId="704F4089" w14:textId="77777777" w:rsidR="00F97C05" w:rsidRPr="00F97C05" w:rsidRDefault="00F97C05" w:rsidP="005D78B1">
      <w:pPr>
        <w:jc w:val="both"/>
        <w:rPr>
          <w:rFonts w:ascii="Lato" w:hAnsi="Lato"/>
        </w:rPr>
      </w:pPr>
      <w:r w:rsidRPr="00F97C05">
        <w:rPr>
          <w:rFonts w:ascii="Lato" w:hAnsi="Lato"/>
        </w:rPr>
        <w:t xml:space="preserve">Produkt Krajowy Brutto (PKB) BiH w 2025 roku odzwierciedla umiarkowane tempo rozwoju gospodarczego kraju. Nominalny PKB osiągnął około 33,24 miliarda USD, co potwierdzają dane Międzynarodowego Funduszu Walutowego prezentowane przez </w:t>
      </w:r>
      <w:proofErr w:type="spellStart"/>
      <w:r w:rsidRPr="00F97C05">
        <w:rPr>
          <w:rFonts w:ascii="Lato" w:hAnsi="Lato"/>
        </w:rPr>
        <w:t>Worldometer</w:t>
      </w:r>
      <w:proofErr w:type="spellEnd"/>
      <w:r w:rsidRPr="00F97C05">
        <w:rPr>
          <w:rFonts w:ascii="Lato" w:hAnsi="Lato"/>
        </w:rPr>
        <w:t xml:space="preserve">. Wzrost gospodarczy w 2025 roku wyniósł 2,4% według szacunków IMF, przy czym inne instytucje podają zbliżone wartości: 2,2% według </w:t>
      </w:r>
      <w:proofErr w:type="spellStart"/>
      <w:r w:rsidRPr="00F97C05">
        <w:rPr>
          <w:rFonts w:ascii="Lato" w:hAnsi="Lato"/>
        </w:rPr>
        <w:t>wiiw</w:t>
      </w:r>
      <w:proofErr w:type="spellEnd"/>
      <w:r w:rsidRPr="00F97C05">
        <w:rPr>
          <w:rFonts w:ascii="Lato" w:hAnsi="Lato"/>
        </w:rPr>
        <w:t xml:space="preserve"> oraz 2,1% w trzecim kwartale 2025 r. zgodnie z danymi Agencji Statystycznej BiH publikowanymi przez Trading </w:t>
      </w:r>
      <w:proofErr w:type="spellStart"/>
      <w:r w:rsidRPr="00F97C05">
        <w:rPr>
          <w:rFonts w:ascii="Lato" w:hAnsi="Lato"/>
        </w:rPr>
        <w:t>Economics</w:t>
      </w:r>
      <w:proofErr w:type="spellEnd"/>
      <w:r w:rsidRPr="00F97C05">
        <w:rPr>
          <w:rFonts w:ascii="Lato" w:hAnsi="Lato"/>
        </w:rPr>
        <w:t xml:space="preserve">. Wskazuje to na stabilny, choć umiarkowany trend wzrostowy, wspierany głównie przez sektor usług i konsumpcję wewnętrzną, przy jednoczesnym osłabieniu wyników w przemyśle, szczególnie w sektorze produkcyjnym. PKB per capita wyniósł w 2025 roku około 9 648 USD, co według danych IMF cytowanych przez </w:t>
      </w:r>
      <w:proofErr w:type="spellStart"/>
      <w:r w:rsidRPr="00F97C05">
        <w:rPr>
          <w:rFonts w:ascii="Lato" w:hAnsi="Lato"/>
        </w:rPr>
        <w:t>Worldometer</w:t>
      </w:r>
      <w:proofErr w:type="spellEnd"/>
      <w:r w:rsidRPr="00F97C05">
        <w:rPr>
          <w:rFonts w:ascii="Lato" w:hAnsi="Lato"/>
        </w:rPr>
        <w:t xml:space="preserve"> plasuje BiH w grupie państw o średnich dochodach w regionie Europy Południowo Wschodniej. Struktura wzrostu w 2025 roku była zróżnicowana: w pierwszym kwartale gospodarka zwiększyła się jedynie o 1,7%, m.in. z powodu spadku produkcji przemysłowej oraz spowolnienia eksportu, jak wynika z raportu Banku Światowego, natomiast w drugiej połowie roku odnotowano stopniowe przyspieszenie. Ogólny obraz gospodarki BiH w 2025 roku wskazuje zatem na umiarkowany rozwój, przy jednoczesnym utrzymywaniu się wyzwań strukturalnych, takich jak niska produktywność, wysoka wrażliwość na czynniki zewnętrzne oraz ograniczone tempo inwestycji.</w:t>
      </w:r>
    </w:p>
    <w:p w14:paraId="07F93BAE" w14:textId="755C4851" w:rsidR="005D78B1" w:rsidRPr="00F97C05" w:rsidRDefault="005D78B1" w:rsidP="005D78B1">
      <w:pPr>
        <w:jc w:val="both"/>
        <w:rPr>
          <w:rFonts w:ascii="Lato" w:hAnsi="Lato"/>
          <w:b/>
        </w:rPr>
      </w:pPr>
      <w:r w:rsidRPr="00F97C05">
        <w:rPr>
          <w:rFonts w:ascii="Lato" w:hAnsi="Lato"/>
          <w:b/>
        </w:rPr>
        <w:t xml:space="preserve">Deficyt budżetowy i dług publiczny </w:t>
      </w:r>
    </w:p>
    <w:p w14:paraId="13FBBEDC" w14:textId="77777777" w:rsidR="00F97C05" w:rsidRPr="00F97C05" w:rsidRDefault="00F97C05" w:rsidP="00F97C05">
      <w:pPr>
        <w:pStyle w:val="NormalnyWeb"/>
        <w:shd w:val="clear" w:color="auto" w:fill="FFFFFF"/>
        <w:spacing w:after="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Deficyt budżetowy i dług publiczny BiH stanowią kluczowe wskaźniki kondycji finansów publicznych kraju. W 2024 roku deficyt budżetowy wyniósł 1,9% PKB, zgodnie z danymi opublikowanymi przez Trading </w:t>
      </w:r>
      <w:proofErr w:type="spellStart"/>
      <w:r w:rsidRPr="00F97C05">
        <w:rPr>
          <w:rFonts w:ascii="Lato" w:eastAsiaTheme="minorHAnsi" w:hAnsi="Lato" w:cstheme="minorBidi"/>
          <w:sz w:val="22"/>
          <w:szCs w:val="22"/>
          <w:lang w:eastAsia="en-US"/>
        </w:rPr>
        <w:t>Economics</w:t>
      </w:r>
      <w:proofErr w:type="spellEnd"/>
      <w:r w:rsidRPr="00F97C05">
        <w:rPr>
          <w:rFonts w:ascii="Lato" w:eastAsiaTheme="minorHAnsi" w:hAnsi="Lato" w:cstheme="minorBidi"/>
          <w:sz w:val="22"/>
          <w:szCs w:val="22"/>
          <w:lang w:eastAsia="en-US"/>
        </w:rPr>
        <w:t xml:space="preserve"> na podstawie statystyk Banku Centralnego BiH. Prognozy wskazują, że w 2025 roku poziom deficytu może się poprawić i spaść do około 0,5% PKB, co sugeruje stopniowe zacieśnianie fiskalne oraz stabilizację dochodów publicznych, wspieraną rosnącą aktywnością gospodarczą. </w:t>
      </w:r>
    </w:p>
    <w:p w14:paraId="5BE1EF85" w14:textId="3BD5A87B" w:rsidR="005D78B1" w:rsidRPr="00F97C05" w:rsidRDefault="00F97C05" w:rsidP="00F97C05">
      <w:pPr>
        <w:pStyle w:val="NormalnyWeb"/>
        <w:shd w:val="clear" w:color="auto" w:fill="FFFFFF"/>
        <w:spacing w:before="0" w:beforeAutospacing="0" w:after="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lastRenderedPageBreak/>
        <w:t xml:space="preserve">Jeśli chodzi o poziom zadłużenia, dług publiczny BiH w 2024 roku stanowił 16,9% PKB, co potwierdzają dane Trading </w:t>
      </w:r>
      <w:proofErr w:type="spellStart"/>
      <w:r w:rsidRPr="00F97C05">
        <w:rPr>
          <w:rFonts w:ascii="Lato" w:eastAsiaTheme="minorHAnsi" w:hAnsi="Lato" w:cstheme="minorBidi"/>
          <w:sz w:val="22"/>
          <w:szCs w:val="22"/>
          <w:lang w:eastAsia="en-US"/>
        </w:rPr>
        <w:t>Economics</w:t>
      </w:r>
      <w:proofErr w:type="spellEnd"/>
      <w:r w:rsidRPr="00F97C05">
        <w:rPr>
          <w:rFonts w:ascii="Lato" w:eastAsiaTheme="minorHAnsi" w:hAnsi="Lato" w:cstheme="minorBidi"/>
          <w:sz w:val="22"/>
          <w:szCs w:val="22"/>
          <w:lang w:eastAsia="en-US"/>
        </w:rPr>
        <w:t xml:space="preserve"> oparte na statystykach rządowych. Jest to poziom wyjątkowo niski zarówno na tle regionu, jak i szerszej Europy, co odzwierciedla ostrożną politykę fiskalną prowadzoną w poprzednich latach. Dane CEIC potwierdzają, że w 2024 roku nominalna wartość długu publicznego BiH wyniosła około 3,4 mld USD, utrzymując się na stabilnym poziomie w porównaniu z rokiem wcześniejszym. Niski poziom zadłużenia wynika m.in. z restrykcyjnych zasad fiskalnych, ograniczonego dostępu do finansowania rynkowego oraz utrzymywania równowagi między wydatkami a wpływami w sektorze publicznym.</w:t>
      </w:r>
    </w:p>
    <w:p w14:paraId="2AF3EAF9" w14:textId="77777777" w:rsidR="00F97C05" w:rsidRPr="00F97C05" w:rsidRDefault="00F97C05" w:rsidP="00F97C05">
      <w:pPr>
        <w:pStyle w:val="NormalnyWeb"/>
        <w:shd w:val="clear" w:color="auto" w:fill="FFFFFF"/>
        <w:spacing w:before="0" w:beforeAutospacing="0" w:after="0" w:afterAutospacing="0"/>
        <w:rPr>
          <w:rFonts w:ascii="Lato" w:eastAsiaTheme="minorHAnsi" w:hAnsi="Lato" w:cstheme="minorBidi"/>
          <w:sz w:val="22"/>
          <w:szCs w:val="22"/>
          <w:lang w:eastAsia="en-US"/>
        </w:rPr>
      </w:pPr>
    </w:p>
    <w:p w14:paraId="05AEAB7E" w14:textId="77777777" w:rsidR="005D78B1" w:rsidRPr="00F97C05" w:rsidRDefault="005D78B1" w:rsidP="005D78B1">
      <w:pPr>
        <w:pStyle w:val="NormalnyWeb"/>
        <w:shd w:val="clear" w:color="auto" w:fill="FFFFFF"/>
        <w:spacing w:before="0" w:beforeAutospacing="0" w:after="0" w:afterAutospacing="0"/>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 xml:space="preserve">Rynek pracy i płace </w:t>
      </w:r>
    </w:p>
    <w:p w14:paraId="18F5C303" w14:textId="77777777" w:rsidR="005D78B1" w:rsidRPr="00F97C05" w:rsidRDefault="005D78B1" w:rsidP="005D78B1">
      <w:pPr>
        <w:pStyle w:val="NormalnyWeb"/>
        <w:shd w:val="clear" w:color="auto" w:fill="FFFFFF"/>
        <w:spacing w:before="0" w:beforeAutospacing="0" w:after="0" w:afterAutospacing="0"/>
        <w:rPr>
          <w:rFonts w:ascii="Lato" w:eastAsiaTheme="minorHAnsi" w:hAnsi="Lato" w:cstheme="minorBidi"/>
          <w:b/>
          <w:sz w:val="22"/>
          <w:szCs w:val="22"/>
          <w:lang w:eastAsia="en-US"/>
        </w:rPr>
      </w:pPr>
    </w:p>
    <w:p w14:paraId="0B39FABC" w14:textId="77777777" w:rsidR="00F97C05" w:rsidRPr="00F97C05" w:rsidRDefault="00F97C05" w:rsidP="00F97C05">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Rynek pracy w Bośni i Hercegowinie (BiH) w latach 2024–2025 charakteryzuje się nadal wysokim poziomem bezrobocia, choć widoczne są oznaki stopniowej poprawy. W 2024 roku stopa bezrobocia wynosiła 10,7%, zgodnie z danymi World Bank/World </w:t>
      </w:r>
      <w:proofErr w:type="spellStart"/>
      <w:r w:rsidRPr="00F97C05">
        <w:rPr>
          <w:rFonts w:ascii="Lato" w:eastAsiaTheme="minorHAnsi" w:hAnsi="Lato" w:cstheme="minorBidi"/>
          <w:sz w:val="22"/>
          <w:szCs w:val="22"/>
          <w:lang w:eastAsia="en-US"/>
        </w:rPr>
        <w:t>Scorecard</w:t>
      </w:r>
      <w:proofErr w:type="spellEnd"/>
      <w:r w:rsidRPr="00F97C05">
        <w:rPr>
          <w:rFonts w:ascii="Lato" w:eastAsiaTheme="minorHAnsi" w:hAnsi="Lato" w:cstheme="minorBidi"/>
          <w:sz w:val="22"/>
          <w:szCs w:val="22"/>
          <w:lang w:eastAsia="en-US"/>
        </w:rPr>
        <w:t xml:space="preserve">. W pierwszej połowie 2025 r. bezrobocie ponownie wzrosło — 13,11% w II kwartale 2025, co potwierdzają dane systemu statystycznego BiH prezentowane przez TheGlobalEconomy.com. Najnowsze dane kwartalne z III kwartału 2025 pokazują spadek bezrobocia do 11,2%, według Agencji Statystycznej BiH, na podstawie danych Trading </w:t>
      </w:r>
      <w:proofErr w:type="spellStart"/>
      <w:r w:rsidRPr="00F97C05">
        <w:rPr>
          <w:rFonts w:ascii="Lato" w:eastAsiaTheme="minorHAnsi" w:hAnsi="Lato" w:cstheme="minorBidi"/>
          <w:sz w:val="22"/>
          <w:szCs w:val="22"/>
          <w:lang w:eastAsia="en-US"/>
        </w:rPr>
        <w:t>Economics</w:t>
      </w:r>
      <w:proofErr w:type="spellEnd"/>
      <w:r w:rsidRPr="00F97C05">
        <w:rPr>
          <w:rFonts w:ascii="Lato" w:eastAsiaTheme="minorHAnsi" w:hAnsi="Lato" w:cstheme="minorBidi"/>
          <w:sz w:val="22"/>
          <w:szCs w:val="22"/>
          <w:lang w:eastAsia="en-US"/>
        </w:rPr>
        <w:t>. Wskazuje to na wahania rynku pracy, przy czym bezrobocie pozostaje szczególnie wysokie wśród ludzi młodych, co potwierdzają dane o młodzieżowym bezrobociu (27,28% w 2024 r.).</w:t>
      </w:r>
    </w:p>
    <w:p w14:paraId="624578CB" w14:textId="4169FC14" w:rsidR="005D78B1" w:rsidRPr="00F97C05" w:rsidRDefault="005D78B1" w:rsidP="00F97C05">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Stopy procentowe</w:t>
      </w:r>
    </w:p>
    <w:p w14:paraId="17772BA5" w14:textId="77777777" w:rsidR="00F97C05" w:rsidRPr="00F97C05" w:rsidRDefault="00F97C05" w:rsidP="00F97C05">
      <w:pPr>
        <w:rPr>
          <w:rFonts w:ascii="Lato" w:hAnsi="Lato"/>
        </w:rPr>
      </w:pPr>
      <w:r w:rsidRPr="00F97C05">
        <w:rPr>
          <w:rFonts w:ascii="Lato" w:hAnsi="Lato"/>
        </w:rPr>
        <w:t xml:space="preserve">Stopy procentowe w Bośni i Hercegowinie (BiH) pozostają stabilne ze względu na funkcjonowanie systemu sztywnego powiązania marki </w:t>
      </w:r>
      <w:proofErr w:type="spellStart"/>
      <w:r w:rsidRPr="00F97C05">
        <w:rPr>
          <w:rFonts w:ascii="Lato" w:hAnsi="Lato"/>
        </w:rPr>
        <w:t>konwertybilnej</w:t>
      </w:r>
      <w:proofErr w:type="spellEnd"/>
      <w:r w:rsidRPr="00F97C05">
        <w:rPr>
          <w:rFonts w:ascii="Lato" w:hAnsi="Lato"/>
        </w:rPr>
        <w:t xml:space="preserve"> (BAM) z euro, co ogranicza możliwość samodzielnego kształtowania polityki pieniężnej przez bank centralny. Ostatnio notowana rynkowa stopa oprocentowania kredytów wyniosła 4,12% w grudniu 2025 r., natomiast średnie oprocentowanie kredytów bankowych osiągnęło 4,419% w listopadzie 2025 r.. Prognozy wskazują, że przy zmianach polityki Europejskiego Banku Centralnego stopy w BiH mogą stopniowo obniżać się w kierunku około 2,5% w kolejnych kwartałach.</w:t>
      </w:r>
    </w:p>
    <w:p w14:paraId="636730B1"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Inflacja</w:t>
      </w:r>
    </w:p>
    <w:p w14:paraId="57C46571" w14:textId="77777777" w:rsidR="00F97C05" w:rsidRPr="00F97C05" w:rsidRDefault="00F97C05" w:rsidP="00F97C05">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W Bośni i Hercegowinie w ostatnich latach obserwuje się dalsze wyhamowanie dynamiki cen. Według najnowszych danych, inflacja w grudniu 2025 roku wyniosła 4,1%, po czym w styczniu 2026 spadła do 3,6%, co jest najniższym odczytem od kwietnia 2025 roku. Dane te pochodzą z Agencji Statystycznej BiH i są publikowane przez Trading </w:t>
      </w:r>
      <w:proofErr w:type="spellStart"/>
      <w:r w:rsidRPr="00F97C05">
        <w:rPr>
          <w:rFonts w:ascii="Lato" w:eastAsiaTheme="minorHAnsi" w:hAnsi="Lato" w:cstheme="minorBidi"/>
          <w:sz w:val="22"/>
          <w:szCs w:val="22"/>
          <w:lang w:eastAsia="en-US"/>
        </w:rPr>
        <w:t>Economics</w:t>
      </w:r>
      <w:proofErr w:type="spellEnd"/>
      <w:r w:rsidRPr="00F97C05">
        <w:rPr>
          <w:rFonts w:ascii="Lato" w:eastAsiaTheme="minorHAnsi" w:hAnsi="Lato" w:cstheme="minorBidi"/>
          <w:sz w:val="22"/>
          <w:szCs w:val="22"/>
          <w:lang w:eastAsia="en-US"/>
        </w:rPr>
        <w:t xml:space="preserve">. Podobny poziom potwierdzają inne źródła – według </w:t>
      </w:r>
      <w:proofErr w:type="spellStart"/>
      <w:r w:rsidRPr="00F97C05">
        <w:rPr>
          <w:rFonts w:ascii="Lato" w:eastAsiaTheme="minorHAnsi" w:hAnsi="Lato" w:cstheme="minorBidi"/>
          <w:sz w:val="22"/>
          <w:szCs w:val="22"/>
          <w:lang w:eastAsia="en-US"/>
        </w:rPr>
        <w:t>TheGlobalEconomy</w:t>
      </w:r>
      <w:proofErr w:type="spellEnd"/>
      <w:r w:rsidRPr="00F97C05">
        <w:rPr>
          <w:rFonts w:ascii="Lato" w:eastAsiaTheme="minorHAnsi" w:hAnsi="Lato" w:cstheme="minorBidi"/>
          <w:sz w:val="22"/>
          <w:szCs w:val="22"/>
          <w:lang w:eastAsia="en-US"/>
        </w:rPr>
        <w:t xml:space="preserve"> inflacja roczna w grudniu 2025 r. wyniosła 4,17%, również wskazując na trend spadkowy. </w:t>
      </w:r>
    </w:p>
    <w:p w14:paraId="247487FA" w14:textId="77777777" w:rsidR="00F97C05" w:rsidRPr="00F97C05" w:rsidRDefault="00F97C05" w:rsidP="00F97C05">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Jeśli chodzi o poprzedni rok, dane Banku Światowego pokazują, że inflacja w 2024 r. wyniosła 1,7%, po gwałtownym spadku z wcześniejszych wysokich wartości notowanych w latach powyżej 2022 roku. W porównaniu z wcześniejszymi prognozami, według których inflacja w 2024 r. miała wynieść ok. 5–6%, rzeczywisty odczyt okazał się znacznie niższy. </w:t>
      </w:r>
    </w:p>
    <w:p w14:paraId="1EA4A32D" w14:textId="77777777" w:rsidR="00F97C05" w:rsidRPr="00F97C05" w:rsidRDefault="00F97C05" w:rsidP="00F97C05">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Obecne prognozy wskazują, że w krótkim okresie inflacja może przejściowo utrzymywać się ponownie w przedziale 4–4,5%, zanim stopniowo spadnie — zgodnie z modelem prognostycznym Trading </w:t>
      </w:r>
      <w:proofErr w:type="spellStart"/>
      <w:r w:rsidRPr="00F97C05">
        <w:rPr>
          <w:rFonts w:ascii="Lato" w:eastAsiaTheme="minorHAnsi" w:hAnsi="Lato" w:cstheme="minorBidi"/>
          <w:sz w:val="22"/>
          <w:szCs w:val="22"/>
          <w:lang w:eastAsia="en-US"/>
        </w:rPr>
        <w:t>Economics</w:t>
      </w:r>
      <w:proofErr w:type="spellEnd"/>
      <w:r w:rsidRPr="00F97C05">
        <w:rPr>
          <w:rFonts w:ascii="Lato" w:eastAsiaTheme="minorHAnsi" w:hAnsi="Lato" w:cstheme="minorBidi"/>
          <w:sz w:val="22"/>
          <w:szCs w:val="22"/>
          <w:lang w:eastAsia="en-US"/>
        </w:rPr>
        <w:t xml:space="preserve"> — do ok. 2% w 2027 r..</w:t>
      </w:r>
    </w:p>
    <w:p w14:paraId="5F1418B5" w14:textId="54175855" w:rsidR="005D78B1" w:rsidRPr="00F97C05" w:rsidRDefault="005D78B1" w:rsidP="00F97C05">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1.5 Główne sektory gospodarki i ich udział w PKB</w:t>
      </w:r>
    </w:p>
    <w:p w14:paraId="2104CE38" w14:textId="77777777" w:rsidR="005D78B1" w:rsidRPr="00F97C05" w:rsidRDefault="005D78B1" w:rsidP="005D78B1">
      <w:pPr>
        <w:pStyle w:val="NormalnyWeb"/>
        <w:shd w:val="clear" w:color="auto" w:fill="FFFFFF"/>
        <w:spacing w:before="0" w:beforeAutospacing="0" w:after="240" w:afterAutospacing="0"/>
        <w:jc w:val="both"/>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lastRenderedPageBreak/>
        <w:t xml:space="preserve">Główne sektory gospodarki Bośni i Hercegowiny (BiH) są zróżnicowane i obejmują usługi, przemysł oraz rolnictwo. Sektor usług dominuje, stanowiąc około 64,3% PKB (źródło: FAO). Obejmuje on takie branże jak turystyka, bankowość, handel oraz usługi finansowe. Przemysł odpowiada za 28,9% PKB, z głównymi gałęziami obejmującymi produkcję metali, maszyn, tekstyliów oraz przemysł chemiczny (źródło: FAO). Rolnictwo stanowi 6,8% PKB, z głównymi produktami rolnymi takimi jak pszenica, kukurydza, owoce i warzywa (źródło: FAO). </w:t>
      </w:r>
    </w:p>
    <w:p w14:paraId="5067F47D"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1.6 Polityka kursowa</w:t>
      </w:r>
    </w:p>
    <w:p w14:paraId="3F1B3774" w14:textId="77777777" w:rsidR="005D78B1" w:rsidRPr="00F97C05" w:rsidRDefault="005D78B1" w:rsidP="005D78B1">
      <w:pPr>
        <w:pStyle w:val="NormalnyWeb"/>
        <w:shd w:val="clear" w:color="auto" w:fill="FFFFFF"/>
        <w:spacing w:before="0" w:beforeAutospacing="0" w:after="240" w:afterAutospacing="0"/>
        <w:jc w:val="both"/>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Polityka kursowa w Bośni i Hercegowinie (BiH) jest ściśle powiązana z polityką monetarną Europejskiego Banku Centralnego (EBC), ponieważ marka </w:t>
      </w:r>
      <w:proofErr w:type="spellStart"/>
      <w:r w:rsidRPr="00F97C05">
        <w:rPr>
          <w:rFonts w:ascii="Lato" w:eastAsiaTheme="minorHAnsi" w:hAnsi="Lato" w:cstheme="minorBidi"/>
          <w:sz w:val="22"/>
          <w:szCs w:val="22"/>
          <w:lang w:eastAsia="en-US"/>
        </w:rPr>
        <w:t>konwertybilna</w:t>
      </w:r>
      <w:proofErr w:type="spellEnd"/>
      <w:r w:rsidRPr="00F97C05">
        <w:rPr>
          <w:rFonts w:ascii="Lato" w:eastAsiaTheme="minorHAnsi" w:hAnsi="Lato" w:cstheme="minorBidi"/>
          <w:sz w:val="22"/>
          <w:szCs w:val="22"/>
          <w:lang w:eastAsia="en-US"/>
        </w:rPr>
        <w:t xml:space="preserve"> (BAM) jest powiązana z euro w stałym kursie wymiany (IMF). BiH stosuje system izby walutowej, co oznacza, że kurs wymiany BAM do euro jest stały i wynosi 1,95583  BAM za 1 euro (źródło: World Bank).</w:t>
      </w:r>
    </w:p>
    <w:p w14:paraId="122B2107" w14:textId="77777777" w:rsidR="005D78B1" w:rsidRPr="00F97C05" w:rsidRDefault="005D78B1" w:rsidP="005D78B1">
      <w:pPr>
        <w:pStyle w:val="NormalnyWeb"/>
        <w:shd w:val="clear" w:color="auto" w:fill="FFFFFF"/>
        <w:spacing w:before="0" w:beforeAutospacing="0" w:after="240" w:afterAutospacing="0"/>
        <w:jc w:val="both"/>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System izby walutowej zapewnia stabilność kursu walutowego, co pomaga w utrzymaniu niskiej inflacji i stabilności makroekonomicznej. Bank Centralny BiH (CBBH) nie prowadzi niezależnej polityki monetarnej, ponieważ jego głównym zadaniem jest utrzymanie stałego kursu wymiany (IMF). W praktyce oznacza to, że CBBH musi utrzymywać odpowiednie rezerwy walutowe, aby zapewnić wymienialność BAM na euro (World Bank).</w:t>
      </w:r>
    </w:p>
    <w:p w14:paraId="1B9ED2C0" w14:textId="77777777" w:rsidR="005D78B1" w:rsidRPr="00F97C05" w:rsidRDefault="005D78B1" w:rsidP="005D78B1">
      <w:pPr>
        <w:pStyle w:val="NormalnyWeb"/>
        <w:shd w:val="clear" w:color="auto" w:fill="FFFFFF"/>
        <w:spacing w:before="0" w:beforeAutospacing="0" w:after="240" w:afterAutospacing="0"/>
        <w:jc w:val="both"/>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1.7 Surowce i technologie krytyczne</w:t>
      </w:r>
    </w:p>
    <w:p w14:paraId="3707D4FC" w14:textId="77777777" w:rsidR="005D78B1" w:rsidRPr="00F97C05" w:rsidRDefault="005D78B1" w:rsidP="005D78B1">
      <w:pPr>
        <w:pStyle w:val="NormalnyWeb"/>
        <w:shd w:val="clear" w:color="auto" w:fill="FFFFFF"/>
        <w:spacing w:after="240"/>
        <w:jc w:val="both"/>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Bośnia i Hercegowina (BiH) posiada zasoby surowców krytycznych, które są kluczowe dla rozwoju gospodarki i technologii. Surowce te znajdują szerokie zastosowanie w przemyśle nowoczesnych technologii oraz elementach infrastruktury umożliwiających transformację energetyczną (źródło: Komisja Europejska).Do najważniejszych surowców krytycznych w BiH należą metale ziem rzadkich, boksyt, magnez, oraz różne metale przemysłowe, takie jak cynk i ołów (źródło: World Bank). Metale ziem rzadkich są szczególnie istotne dla produkcji zaawansowanych technologii, takich jak magnesy stosowane w turbinach wiatrowych i pojazdach elektrycznych (źródło: Komisja Europejska). Boksyt jest kluczowym surowcem do produkcji aluminium, które jest szeroko stosowane w przemyśle motoryzacyjnym i lotniczym (źródło: World Bank).Technologie krytyczne w BiH obejmują rozwój odnawialnych źródeł energii, takich jak energia wiatrowa i słoneczna, oraz technologie związane z efektywnością energetyczną (IMF). Inwestycje w te technologie są wspierane przez międzynarodowe instytucje finansowe, które pomagają BiH w realizacji celów zrównoważonego rozwoju (źródło: World Bank). </w:t>
      </w:r>
    </w:p>
    <w:p w14:paraId="42829B18"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 xml:space="preserve">1.8 Stan infrastruktury </w:t>
      </w:r>
    </w:p>
    <w:p w14:paraId="2784AF80" w14:textId="77777777" w:rsidR="005D78B1" w:rsidRPr="00F97C05" w:rsidRDefault="005D78B1" w:rsidP="005D78B1">
      <w:pPr>
        <w:pStyle w:val="NormalnyWeb"/>
        <w:shd w:val="clear" w:color="auto" w:fill="FFFFFF"/>
        <w:spacing w:after="240"/>
        <w:jc w:val="both"/>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Infrastruktura w Bośni i Hercegowinie (BiH) jest wciąż w fazie rozwoju i modernizacji. BiH posiada rozbudowaną sieć dróg, jednak wiele z nich wymaga modernizacji. Asfaltowe drogi krajowe mają długość około 11,425 km, a </w:t>
      </w:r>
      <w:proofErr w:type="spellStart"/>
      <w:r w:rsidRPr="00F97C05">
        <w:rPr>
          <w:rFonts w:ascii="Lato" w:eastAsiaTheme="minorHAnsi" w:hAnsi="Lato" w:cstheme="minorBidi"/>
          <w:sz w:val="22"/>
          <w:szCs w:val="22"/>
          <w:lang w:eastAsia="en-US"/>
        </w:rPr>
        <w:t>nieasfaltowe</w:t>
      </w:r>
      <w:proofErr w:type="spellEnd"/>
      <w:r w:rsidRPr="00F97C05">
        <w:rPr>
          <w:rFonts w:ascii="Lato" w:eastAsiaTheme="minorHAnsi" w:hAnsi="Lato" w:cstheme="minorBidi"/>
          <w:sz w:val="22"/>
          <w:szCs w:val="22"/>
          <w:lang w:eastAsia="en-US"/>
        </w:rPr>
        <w:t xml:space="preserve"> około 10,421 km. Główne trasy łączące północ z południem oraz wschód z zachodem są kluczowe dla transportu towarów i osób. Korytarz 5C to kluczowy projekt infrastrukturalny dla Bośni i Hercegowiny, mający na celu połączenie Budapesztu z portem w </w:t>
      </w:r>
      <w:proofErr w:type="spellStart"/>
      <w:r w:rsidRPr="00F97C05">
        <w:rPr>
          <w:rFonts w:ascii="Lato" w:eastAsiaTheme="minorHAnsi" w:hAnsi="Lato" w:cstheme="minorBidi"/>
          <w:sz w:val="22"/>
          <w:szCs w:val="22"/>
          <w:lang w:eastAsia="en-US"/>
        </w:rPr>
        <w:t>Ploče</w:t>
      </w:r>
      <w:proofErr w:type="spellEnd"/>
      <w:r w:rsidRPr="00F97C05">
        <w:rPr>
          <w:rFonts w:ascii="Lato" w:eastAsiaTheme="minorHAnsi" w:hAnsi="Lato" w:cstheme="minorBidi"/>
          <w:sz w:val="22"/>
          <w:szCs w:val="22"/>
          <w:lang w:eastAsia="en-US"/>
        </w:rPr>
        <w:t xml:space="preserve"> na wybrzeżu Adriatyku. Autostrada w ramach Korytarza 5C ma długość około 325 kilometrów, z czego do tej pory wybudowano około 130 kilometrów. Projekt ten jest istotny nie tylko dla BiH, ale także dla całego regionu, ponieważ ma na celu poprawę połączeń transportowych, co przyczyni się do rozwoju gospodarczego i turystycznego. Budowa </w:t>
      </w:r>
      <w:proofErr w:type="spellStart"/>
      <w:r w:rsidRPr="00F97C05">
        <w:rPr>
          <w:rFonts w:ascii="Lato" w:eastAsiaTheme="minorHAnsi" w:hAnsi="Lato" w:cstheme="minorBidi"/>
          <w:sz w:val="22"/>
          <w:szCs w:val="22"/>
          <w:lang w:eastAsia="en-US"/>
        </w:rPr>
        <w:t>Koridoru</w:t>
      </w:r>
      <w:proofErr w:type="spellEnd"/>
      <w:r w:rsidRPr="00F97C05">
        <w:rPr>
          <w:rFonts w:ascii="Lato" w:eastAsiaTheme="minorHAnsi" w:hAnsi="Lato" w:cstheme="minorBidi"/>
          <w:sz w:val="22"/>
          <w:szCs w:val="22"/>
          <w:lang w:eastAsia="en-US"/>
        </w:rPr>
        <w:t xml:space="preserve"> 5C jest wspierana przez Unię Europejską, która przeznaczyła znaczne środki finansowe na ten cel. .Jednym z największych wyzwań w realizacji tego projektu są trudne warunki terenowe, w tym budowa tuneli przez góry </w:t>
      </w:r>
      <w:proofErr w:type="spellStart"/>
      <w:r w:rsidRPr="00F97C05">
        <w:rPr>
          <w:rFonts w:ascii="Lato" w:eastAsiaTheme="minorHAnsi" w:hAnsi="Lato" w:cstheme="minorBidi"/>
          <w:sz w:val="22"/>
          <w:szCs w:val="22"/>
          <w:lang w:eastAsia="en-US"/>
        </w:rPr>
        <w:t>Prenj</w:t>
      </w:r>
      <w:proofErr w:type="spellEnd"/>
      <w:r w:rsidRPr="00F97C05">
        <w:rPr>
          <w:rFonts w:ascii="Lato" w:eastAsiaTheme="minorHAnsi" w:hAnsi="Lato" w:cstheme="minorBidi"/>
          <w:sz w:val="22"/>
          <w:szCs w:val="22"/>
          <w:lang w:eastAsia="en-US"/>
        </w:rPr>
        <w:t xml:space="preserve"> i </w:t>
      </w:r>
      <w:proofErr w:type="spellStart"/>
      <w:r w:rsidRPr="00F97C05">
        <w:rPr>
          <w:rFonts w:ascii="Lato" w:eastAsiaTheme="minorHAnsi" w:hAnsi="Lato" w:cstheme="minorBidi"/>
          <w:sz w:val="22"/>
          <w:szCs w:val="22"/>
          <w:lang w:eastAsia="en-US"/>
        </w:rPr>
        <w:t>Kvanj</w:t>
      </w:r>
      <w:proofErr w:type="spellEnd"/>
      <w:r w:rsidRPr="00F97C05">
        <w:rPr>
          <w:rFonts w:ascii="Lato" w:eastAsiaTheme="minorHAnsi" w:hAnsi="Lato" w:cstheme="minorBidi"/>
          <w:sz w:val="22"/>
          <w:szCs w:val="22"/>
          <w:lang w:eastAsia="en-US"/>
        </w:rPr>
        <w:t xml:space="preserve">. Zakończenie budowy całego </w:t>
      </w:r>
      <w:proofErr w:type="spellStart"/>
      <w:r w:rsidRPr="00F97C05">
        <w:rPr>
          <w:rFonts w:ascii="Lato" w:eastAsiaTheme="minorHAnsi" w:hAnsi="Lato" w:cstheme="minorBidi"/>
          <w:sz w:val="22"/>
          <w:szCs w:val="22"/>
          <w:lang w:eastAsia="en-US"/>
        </w:rPr>
        <w:t>koridoru</w:t>
      </w:r>
      <w:proofErr w:type="spellEnd"/>
      <w:r w:rsidRPr="00F97C05">
        <w:rPr>
          <w:rFonts w:ascii="Lato" w:eastAsiaTheme="minorHAnsi" w:hAnsi="Lato" w:cstheme="minorBidi"/>
          <w:sz w:val="22"/>
          <w:szCs w:val="22"/>
          <w:lang w:eastAsia="en-US"/>
        </w:rPr>
        <w:t xml:space="preserve"> planowane jest do 2030 roku. </w:t>
      </w:r>
    </w:p>
    <w:p w14:paraId="284D9BCA" w14:textId="77777777" w:rsidR="005D78B1" w:rsidRPr="00F97C05" w:rsidRDefault="005D78B1" w:rsidP="005D78B1">
      <w:pPr>
        <w:pStyle w:val="NormalnyWeb"/>
        <w:shd w:val="clear" w:color="auto" w:fill="FFFFFF"/>
        <w:spacing w:after="240"/>
        <w:jc w:val="both"/>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lastRenderedPageBreak/>
        <w:t xml:space="preserve">Sieć kolejowa w BiH ma długość 1042 km. Choć istnieją plany modernizacji, infrastruktura kolejowa wymaga znacznych inwestycji, aby sprostać współczesnym standardom. Kolej nie jest popularnym środkiem transportu osób i towarów. </w:t>
      </w:r>
    </w:p>
    <w:p w14:paraId="445E6980"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BiH posiada zasoby naturalne, takie jak węgiel brunatny, rudy żelaza i cynku, które są wykorzystywane w sektorze energetycznym. Jednakże, modernizacja infrastruktury energetycznej jest konieczna, aby zwiększyć efektywność i niezawodność dostaw energii. W wielu regionach kraju infrastruktura wodna i sanitarna wymaga poprawy. </w:t>
      </w:r>
    </w:p>
    <w:p w14:paraId="75023A86"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Rozwój infrastruktury cyfrowej, w tym szerokopasmowego dostępu do </w:t>
      </w:r>
      <w:proofErr w:type="spellStart"/>
      <w:r w:rsidRPr="00F97C05">
        <w:rPr>
          <w:rFonts w:ascii="Lato" w:eastAsiaTheme="minorHAnsi" w:hAnsi="Lato" w:cstheme="minorBidi"/>
          <w:sz w:val="22"/>
          <w:szCs w:val="22"/>
          <w:lang w:eastAsia="en-US"/>
        </w:rPr>
        <w:t>internetu</w:t>
      </w:r>
      <w:proofErr w:type="spellEnd"/>
      <w:r w:rsidRPr="00F97C05">
        <w:rPr>
          <w:rFonts w:ascii="Lato" w:eastAsiaTheme="minorHAnsi" w:hAnsi="Lato" w:cstheme="minorBidi"/>
          <w:sz w:val="22"/>
          <w:szCs w:val="22"/>
          <w:lang w:eastAsia="en-US"/>
        </w:rPr>
        <w:t xml:space="preserve">, jest jednym z priorytetów. Inwestycje w tym sektorze są niezbędne dla wspierania innowacji i gospodarki cyfrowej. </w:t>
      </w:r>
    </w:p>
    <w:p w14:paraId="718C1D83" w14:textId="5E9E86A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F97C05">
        <w:rPr>
          <w:rFonts w:ascii="Lato" w:eastAsiaTheme="minorHAnsi" w:hAnsi="Lato" w:cstheme="minorBidi"/>
          <w:b/>
          <w:sz w:val="22"/>
          <w:szCs w:val="22"/>
          <w:lang w:eastAsia="en-US"/>
        </w:rPr>
        <w:t>1.9. Kalendarz dni wolnych od pracy na rok 202</w:t>
      </w:r>
      <w:r w:rsidR="00F97C05" w:rsidRPr="00F97C05">
        <w:rPr>
          <w:rFonts w:ascii="Lato" w:eastAsiaTheme="minorHAnsi" w:hAnsi="Lato" w:cstheme="minorBidi"/>
          <w:b/>
          <w:sz w:val="22"/>
          <w:szCs w:val="22"/>
          <w:lang w:eastAsia="en-US"/>
        </w:rPr>
        <w:t>6</w:t>
      </w:r>
    </w:p>
    <w:p w14:paraId="27552E17" w14:textId="77777777" w:rsidR="005D78B1" w:rsidRPr="00F97C05" w:rsidRDefault="005D78B1" w:rsidP="005D78B1">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01 i 02 stycznia - Nowy Rok </w:t>
      </w:r>
    </w:p>
    <w:p w14:paraId="09D5F9CE"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01 marca  - Dzień Niepodległości (w </w:t>
      </w:r>
      <w:proofErr w:type="spellStart"/>
      <w:r w:rsidRPr="00F97C05">
        <w:rPr>
          <w:rFonts w:ascii="Lato" w:eastAsiaTheme="minorHAnsi" w:hAnsi="Lato" w:cstheme="minorBidi"/>
          <w:sz w:val="22"/>
          <w:szCs w:val="22"/>
          <w:lang w:eastAsia="en-US"/>
        </w:rPr>
        <w:t>entitecie</w:t>
      </w:r>
      <w:proofErr w:type="spellEnd"/>
      <w:r w:rsidRPr="00F97C05">
        <w:rPr>
          <w:rFonts w:ascii="Lato" w:eastAsiaTheme="minorHAnsi" w:hAnsi="Lato" w:cstheme="minorBidi"/>
          <w:sz w:val="22"/>
          <w:szCs w:val="22"/>
          <w:lang w:eastAsia="en-US"/>
        </w:rPr>
        <w:t xml:space="preserve"> Federacji BiH)</w:t>
      </w:r>
    </w:p>
    <w:p w14:paraId="70DD1851" w14:textId="0EC55F7F" w:rsidR="005D78B1" w:rsidRPr="00F97C05" w:rsidRDefault="00F97C05" w:rsidP="005D78B1">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2</w:t>
      </w:r>
      <w:r w:rsidR="005D78B1" w:rsidRPr="00F97C05">
        <w:rPr>
          <w:rFonts w:ascii="Lato" w:eastAsiaTheme="minorHAnsi" w:hAnsi="Lato" w:cstheme="minorBidi"/>
          <w:sz w:val="22"/>
          <w:szCs w:val="22"/>
          <w:lang w:eastAsia="en-US"/>
        </w:rPr>
        <w:t>0 marca  - Bajram – Koniec postu muzułmańskiego (święto ruchome)</w:t>
      </w:r>
    </w:p>
    <w:p w14:paraId="6CFADC60" w14:textId="77777777" w:rsidR="005D78B1" w:rsidRPr="00F97C05" w:rsidRDefault="005D78B1" w:rsidP="005D78B1">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01 i 02 maja - Święto Pracy </w:t>
      </w:r>
    </w:p>
    <w:p w14:paraId="6EE53FF0" w14:textId="2E9304C6" w:rsidR="005D78B1" w:rsidRPr="00F97C05" w:rsidRDefault="00F97C05" w:rsidP="005D78B1">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27</w:t>
      </w:r>
      <w:r w:rsidR="005D78B1" w:rsidRPr="00F97C05">
        <w:rPr>
          <w:rFonts w:ascii="Lato" w:eastAsiaTheme="minorHAnsi" w:hAnsi="Lato" w:cstheme="minorBidi"/>
          <w:sz w:val="22"/>
          <w:szCs w:val="22"/>
          <w:lang w:eastAsia="en-US"/>
        </w:rPr>
        <w:t xml:space="preserve"> </w:t>
      </w:r>
      <w:r w:rsidRPr="00F97C05">
        <w:rPr>
          <w:rFonts w:ascii="Lato" w:eastAsiaTheme="minorHAnsi" w:hAnsi="Lato" w:cstheme="minorBidi"/>
          <w:sz w:val="22"/>
          <w:szCs w:val="22"/>
          <w:lang w:eastAsia="en-US"/>
        </w:rPr>
        <w:t>maja</w:t>
      </w:r>
      <w:r w:rsidR="005D78B1" w:rsidRPr="00F97C05">
        <w:rPr>
          <w:rFonts w:ascii="Lato" w:eastAsiaTheme="minorHAnsi" w:hAnsi="Lato" w:cstheme="minorBidi"/>
          <w:sz w:val="22"/>
          <w:szCs w:val="22"/>
          <w:lang w:eastAsia="en-US"/>
        </w:rPr>
        <w:t xml:space="preserve"> - 2025 </w:t>
      </w:r>
      <w:proofErr w:type="spellStart"/>
      <w:r w:rsidR="005D78B1" w:rsidRPr="00F97C05">
        <w:rPr>
          <w:rFonts w:ascii="Lato" w:eastAsiaTheme="minorHAnsi" w:hAnsi="Lato" w:cstheme="minorBidi"/>
          <w:sz w:val="22"/>
          <w:szCs w:val="22"/>
          <w:lang w:eastAsia="en-US"/>
        </w:rPr>
        <w:t>Kurban</w:t>
      </w:r>
      <w:proofErr w:type="spellEnd"/>
      <w:r w:rsidR="005D78B1" w:rsidRPr="00F97C05">
        <w:rPr>
          <w:rFonts w:ascii="Lato" w:eastAsiaTheme="minorHAnsi" w:hAnsi="Lato" w:cstheme="minorBidi"/>
          <w:sz w:val="22"/>
          <w:szCs w:val="22"/>
          <w:lang w:eastAsia="en-US"/>
        </w:rPr>
        <w:t xml:space="preserve"> Bajram -Święto Ofiarowania (święto ruchome)</w:t>
      </w:r>
    </w:p>
    <w:p w14:paraId="6BD2DE22"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25 listopada  - Dzień Państwowości (w </w:t>
      </w:r>
      <w:proofErr w:type="spellStart"/>
      <w:r w:rsidRPr="00F97C05">
        <w:rPr>
          <w:rFonts w:ascii="Lato" w:eastAsiaTheme="minorHAnsi" w:hAnsi="Lato" w:cstheme="minorBidi"/>
          <w:sz w:val="22"/>
          <w:szCs w:val="22"/>
          <w:lang w:eastAsia="en-US"/>
        </w:rPr>
        <w:t>entitecie</w:t>
      </w:r>
      <w:proofErr w:type="spellEnd"/>
      <w:r w:rsidRPr="00F97C05">
        <w:rPr>
          <w:rFonts w:ascii="Lato" w:eastAsiaTheme="minorHAnsi" w:hAnsi="Lato" w:cstheme="minorBidi"/>
          <w:sz w:val="22"/>
          <w:szCs w:val="22"/>
          <w:lang w:eastAsia="en-US"/>
        </w:rPr>
        <w:t xml:space="preserve"> Federacji BiH)</w:t>
      </w:r>
    </w:p>
    <w:p w14:paraId="13A0B99D"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25 grudnia – Święta Bożego Narodzenia (w </w:t>
      </w:r>
      <w:proofErr w:type="spellStart"/>
      <w:r w:rsidRPr="00F97C05">
        <w:rPr>
          <w:rFonts w:ascii="Lato" w:eastAsiaTheme="minorHAnsi" w:hAnsi="Lato" w:cstheme="minorBidi"/>
          <w:sz w:val="22"/>
          <w:szCs w:val="22"/>
          <w:lang w:eastAsia="en-US"/>
        </w:rPr>
        <w:t>entitecie</w:t>
      </w:r>
      <w:proofErr w:type="spellEnd"/>
      <w:r w:rsidRPr="00F97C05">
        <w:rPr>
          <w:rFonts w:ascii="Lato" w:eastAsiaTheme="minorHAnsi" w:hAnsi="Lato" w:cstheme="minorBidi"/>
          <w:sz w:val="22"/>
          <w:szCs w:val="22"/>
          <w:lang w:eastAsia="en-US"/>
        </w:rPr>
        <w:t xml:space="preserve"> Federacji BiH)</w:t>
      </w:r>
    </w:p>
    <w:p w14:paraId="17FD67DF"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7 stycznia – Prawosławne Święta Bożego Narodzenia (w </w:t>
      </w:r>
      <w:proofErr w:type="spellStart"/>
      <w:r w:rsidRPr="00F97C05">
        <w:rPr>
          <w:rFonts w:ascii="Lato" w:eastAsiaTheme="minorHAnsi" w:hAnsi="Lato" w:cstheme="minorBidi"/>
          <w:sz w:val="22"/>
          <w:szCs w:val="22"/>
          <w:lang w:eastAsia="en-US"/>
        </w:rPr>
        <w:t>entitecie</w:t>
      </w:r>
      <w:proofErr w:type="spellEnd"/>
      <w:r w:rsidRPr="00F97C05">
        <w:rPr>
          <w:rFonts w:ascii="Lato" w:eastAsiaTheme="minorHAnsi" w:hAnsi="Lato" w:cstheme="minorBidi"/>
          <w:sz w:val="22"/>
          <w:szCs w:val="22"/>
          <w:lang w:eastAsia="en-US"/>
        </w:rPr>
        <w:t xml:space="preserve"> Republika Serbska) </w:t>
      </w:r>
    </w:p>
    <w:p w14:paraId="6F869373"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9 stycznia – Dzień Republiki Serbskiej (w </w:t>
      </w:r>
      <w:proofErr w:type="spellStart"/>
      <w:r w:rsidRPr="00F97C05">
        <w:rPr>
          <w:rFonts w:ascii="Lato" w:eastAsiaTheme="minorHAnsi" w:hAnsi="Lato" w:cstheme="minorBidi"/>
          <w:sz w:val="22"/>
          <w:szCs w:val="22"/>
          <w:lang w:eastAsia="en-US"/>
        </w:rPr>
        <w:t>entitecie</w:t>
      </w:r>
      <w:proofErr w:type="spellEnd"/>
      <w:r w:rsidRPr="00F97C05">
        <w:rPr>
          <w:rFonts w:ascii="Lato" w:eastAsiaTheme="minorHAnsi" w:hAnsi="Lato" w:cstheme="minorBidi"/>
          <w:sz w:val="22"/>
          <w:szCs w:val="22"/>
          <w:lang w:eastAsia="en-US"/>
        </w:rPr>
        <w:t xml:space="preserve"> Republika Serbska)</w:t>
      </w:r>
    </w:p>
    <w:p w14:paraId="18D3A0E2" w14:textId="77777777" w:rsidR="005D78B1" w:rsidRPr="00F97C05"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p>
    <w:p w14:paraId="09CFCC8E" w14:textId="77777777" w:rsidR="005D78B1" w:rsidRPr="00F97C05" w:rsidRDefault="005D78B1" w:rsidP="005D78B1">
      <w:pPr>
        <w:pStyle w:val="Akapitzlist"/>
        <w:rPr>
          <w:rFonts w:ascii="Lato" w:hAnsi="Lato"/>
          <w:b/>
        </w:rPr>
      </w:pPr>
    </w:p>
    <w:p w14:paraId="03E71DE2" w14:textId="77777777" w:rsidR="00BE10B8" w:rsidRPr="00F97C05" w:rsidRDefault="00BE10B8" w:rsidP="00BE10B8">
      <w:pPr>
        <w:pStyle w:val="NormalnyWeb"/>
        <w:numPr>
          <w:ilvl w:val="0"/>
          <w:numId w:val="1"/>
        </w:numPr>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hAnsi="Lato"/>
          <w:b/>
          <w:bCs/>
          <w:sz w:val="22"/>
          <w:szCs w:val="22"/>
        </w:rPr>
        <w:t>Podstawowe dane makroekonomiczne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gridCol w:w="1889"/>
        <w:gridCol w:w="1512"/>
        <w:gridCol w:w="2300"/>
        <w:gridCol w:w="1706"/>
      </w:tblGrid>
      <w:tr w:rsidR="00F97C05" w:rsidRPr="00F97C05" w14:paraId="5C240A13"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786EDA0" w14:textId="77777777" w:rsidR="00F97C05" w:rsidRPr="00F97C05" w:rsidRDefault="00F97C05" w:rsidP="00D804A2">
            <w:pPr>
              <w:jc w:val="both"/>
              <w:rPr>
                <w:rFonts w:ascii="Lato" w:hAnsi="Lato"/>
                <w:b/>
                <w:bCs/>
              </w:rPr>
            </w:pPr>
            <w:r w:rsidRPr="00F97C05">
              <w:rPr>
                <w:rFonts w:ascii="Lato" w:hAnsi="Lato"/>
                <w:b/>
                <w:bCs/>
              </w:rPr>
              <w:t>Wskaźnik</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E56FA26" w14:textId="77777777" w:rsidR="00F97C05" w:rsidRPr="00F97C05" w:rsidRDefault="00F97C05" w:rsidP="00D804A2">
            <w:pPr>
              <w:jc w:val="both"/>
              <w:rPr>
                <w:rFonts w:ascii="Lato" w:hAnsi="Lato"/>
                <w:b/>
                <w:bCs/>
              </w:rPr>
            </w:pPr>
            <w:r w:rsidRPr="00F97C05">
              <w:rPr>
                <w:rFonts w:ascii="Lato" w:hAnsi="Lato"/>
                <w:b/>
                <w:bCs/>
              </w:rPr>
              <w:t>2023</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C77AA5" w14:textId="77777777" w:rsidR="00F97C05" w:rsidRPr="00F97C05" w:rsidRDefault="00F97C05" w:rsidP="00D804A2">
            <w:pPr>
              <w:jc w:val="both"/>
              <w:rPr>
                <w:rFonts w:ascii="Lato" w:hAnsi="Lato"/>
                <w:b/>
                <w:bCs/>
              </w:rPr>
            </w:pPr>
            <w:r w:rsidRPr="00F97C05">
              <w:rPr>
                <w:rFonts w:ascii="Lato" w:hAnsi="Lato"/>
                <w:b/>
                <w:bCs/>
              </w:rPr>
              <w:t>2024 (rzeczywiste)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B8C2B8" w14:textId="77777777" w:rsidR="00F97C05" w:rsidRPr="00F97C05" w:rsidRDefault="00F97C05" w:rsidP="00D804A2">
            <w:pPr>
              <w:jc w:val="both"/>
              <w:rPr>
                <w:rFonts w:ascii="Lato" w:hAnsi="Lato"/>
                <w:b/>
                <w:bCs/>
              </w:rPr>
            </w:pPr>
            <w:r w:rsidRPr="00F97C05">
              <w:rPr>
                <w:rFonts w:ascii="Lato" w:hAnsi="Lato"/>
                <w:b/>
                <w:bCs/>
              </w:rPr>
              <w:t xml:space="preserve">2025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12B7DB" w14:textId="77777777" w:rsidR="00F97C05" w:rsidRPr="00F97C05" w:rsidRDefault="00F97C05" w:rsidP="00D804A2">
            <w:pPr>
              <w:jc w:val="both"/>
              <w:rPr>
                <w:rFonts w:ascii="Lato" w:hAnsi="Lato"/>
                <w:b/>
                <w:bCs/>
              </w:rPr>
            </w:pPr>
            <w:r w:rsidRPr="00F97C05">
              <w:rPr>
                <w:rFonts w:ascii="Lato" w:hAnsi="Lato"/>
                <w:b/>
                <w:bCs/>
              </w:rPr>
              <w:t>2026 (prognoza)</w:t>
            </w:r>
          </w:p>
        </w:tc>
      </w:tr>
      <w:tr w:rsidR="00F97C05" w:rsidRPr="00F97C05" w14:paraId="0C39FDC5"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A3599C" w14:textId="77777777" w:rsidR="00F97C05" w:rsidRPr="00F97C05" w:rsidRDefault="00F97C05" w:rsidP="00D804A2">
            <w:pPr>
              <w:jc w:val="both"/>
              <w:rPr>
                <w:rFonts w:ascii="Lato" w:hAnsi="Lato"/>
                <w:b/>
                <w:bCs/>
              </w:rPr>
            </w:pPr>
            <w:r w:rsidRPr="00F97C05">
              <w:rPr>
                <w:rFonts w:ascii="Lato" w:hAnsi="Lato"/>
                <w:b/>
                <w:bCs/>
              </w:rPr>
              <w:t>PKB nominalne (USD)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B1A64A" w14:textId="77777777" w:rsidR="00F97C05" w:rsidRPr="00F97C05" w:rsidRDefault="00F97C05" w:rsidP="00D804A2">
            <w:pPr>
              <w:jc w:val="both"/>
              <w:rPr>
                <w:rFonts w:ascii="Lato" w:hAnsi="Lato"/>
              </w:rPr>
            </w:pPr>
            <w:r w:rsidRPr="00F97C05">
              <w:rPr>
                <w:rFonts w:ascii="Lato" w:hAnsi="Lato"/>
              </w:rPr>
              <w:t>23,6 mld USD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453F05" w14:textId="77777777" w:rsidR="00F97C05" w:rsidRPr="00F97C05" w:rsidRDefault="00F97C05" w:rsidP="00D804A2">
            <w:pPr>
              <w:jc w:val="both"/>
              <w:rPr>
                <w:rFonts w:ascii="Lato" w:hAnsi="Lato"/>
                <w:lang w:val="en-US"/>
              </w:rPr>
            </w:pPr>
            <w:r w:rsidRPr="00F97C05">
              <w:rPr>
                <w:rFonts w:ascii="Lato" w:hAnsi="Lato"/>
                <w:lang w:val="en-US"/>
              </w:rPr>
              <w:t xml:space="preserve">29,61 </w:t>
            </w:r>
            <w:proofErr w:type="spellStart"/>
            <w:r w:rsidRPr="00F97C05">
              <w:rPr>
                <w:rFonts w:ascii="Lato" w:hAnsi="Lato"/>
                <w:lang w:val="en-US"/>
              </w:rPr>
              <w:t>mld</w:t>
            </w:r>
            <w:proofErr w:type="spellEnd"/>
            <w:r w:rsidRPr="00F97C05">
              <w:rPr>
                <w:rFonts w:ascii="Lato" w:hAnsi="Lato"/>
                <w:lang w:val="en-US"/>
              </w:rPr>
              <w:t xml:space="preserve"> USD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8F905D" w14:textId="77777777" w:rsidR="00F97C05" w:rsidRPr="00F97C05" w:rsidRDefault="00F97C05" w:rsidP="00D804A2">
            <w:pPr>
              <w:jc w:val="both"/>
              <w:rPr>
                <w:rFonts w:ascii="Lato" w:hAnsi="Lato"/>
              </w:rPr>
            </w:pPr>
            <w:r w:rsidRPr="00F97C05">
              <w:rPr>
                <w:rFonts w:ascii="Lato" w:hAnsi="Lato"/>
              </w:rPr>
              <w:t xml:space="preserve">33,24 mld USD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A208D7" w14:textId="77777777" w:rsidR="00F97C05" w:rsidRPr="00F97C05" w:rsidRDefault="00F97C05" w:rsidP="00D804A2">
            <w:pPr>
              <w:jc w:val="both"/>
              <w:rPr>
                <w:rFonts w:ascii="Lato" w:hAnsi="Lato"/>
              </w:rPr>
            </w:pPr>
            <w:r w:rsidRPr="00F97C05">
              <w:rPr>
                <w:rFonts w:ascii="Lato" w:hAnsi="Lato"/>
              </w:rPr>
              <w:t xml:space="preserve">36,24 mld USD </w:t>
            </w:r>
          </w:p>
        </w:tc>
      </w:tr>
      <w:tr w:rsidR="00F97C05" w:rsidRPr="00F97C05" w14:paraId="306D58C2"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C923FE" w14:textId="77777777" w:rsidR="00F97C05" w:rsidRPr="00F97C05" w:rsidRDefault="00F97C05" w:rsidP="00D804A2">
            <w:pPr>
              <w:jc w:val="both"/>
              <w:rPr>
                <w:rFonts w:ascii="Lato" w:hAnsi="Lato"/>
                <w:b/>
                <w:bCs/>
              </w:rPr>
            </w:pPr>
            <w:r w:rsidRPr="00F97C05">
              <w:rPr>
                <w:rFonts w:ascii="Lato" w:hAnsi="Lato"/>
                <w:b/>
                <w:bCs/>
              </w:rPr>
              <w:t>PKB (PPP)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768E4E" w14:textId="77777777" w:rsidR="00F97C05" w:rsidRPr="00F97C05" w:rsidRDefault="00F97C05" w:rsidP="00D804A2">
            <w:pPr>
              <w:jc w:val="both"/>
              <w:rPr>
                <w:rFonts w:ascii="Lato" w:hAnsi="Lato"/>
              </w:rPr>
            </w:pPr>
            <w:r w:rsidRPr="00F97C05">
              <w:rPr>
                <w:rFonts w:ascii="Lato" w:hAnsi="Lato"/>
              </w:rPr>
              <w:t>73,35 mld USD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3E27AB" w14:textId="77777777" w:rsidR="00F97C05" w:rsidRPr="00F97C05" w:rsidRDefault="00F97C05" w:rsidP="00D804A2">
            <w:pPr>
              <w:jc w:val="both"/>
              <w:rPr>
                <w:rFonts w:ascii="Lato" w:hAnsi="Lato"/>
              </w:rPr>
            </w:pPr>
            <w:r w:rsidRPr="00F97C05">
              <w:rPr>
                <w:rFonts w:ascii="Lato" w:hAnsi="Lato"/>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84A317" w14:textId="77777777" w:rsidR="00F97C05" w:rsidRPr="00F97C05" w:rsidRDefault="00F97C05" w:rsidP="00D804A2">
            <w:pPr>
              <w:jc w:val="both"/>
              <w:rPr>
                <w:rFonts w:ascii="Lato" w:hAnsi="Lato"/>
              </w:rPr>
            </w:pPr>
            <w:r w:rsidRPr="00F97C05">
              <w:rPr>
                <w:rFonts w:ascii="Lato" w:hAnsi="Lato"/>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716647" w14:textId="77777777" w:rsidR="00F97C05" w:rsidRPr="00F97C05" w:rsidRDefault="00F97C05" w:rsidP="00D804A2">
            <w:pPr>
              <w:jc w:val="both"/>
              <w:rPr>
                <w:rFonts w:ascii="Lato" w:hAnsi="Lato"/>
              </w:rPr>
            </w:pPr>
            <w:r w:rsidRPr="00F97C05">
              <w:rPr>
                <w:rFonts w:ascii="Lato" w:hAnsi="Lato"/>
              </w:rPr>
              <w:t xml:space="preserve">82,23 mld USD </w:t>
            </w:r>
          </w:p>
        </w:tc>
      </w:tr>
      <w:tr w:rsidR="00F97C05" w:rsidRPr="00F97C05" w14:paraId="1DB24299"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F2CF55" w14:textId="77777777" w:rsidR="00F97C05" w:rsidRPr="00F97C05" w:rsidRDefault="00F97C05" w:rsidP="00D804A2">
            <w:pPr>
              <w:jc w:val="both"/>
              <w:rPr>
                <w:rFonts w:ascii="Lato" w:hAnsi="Lato"/>
                <w:b/>
                <w:bCs/>
              </w:rPr>
            </w:pPr>
            <w:r w:rsidRPr="00F97C05">
              <w:rPr>
                <w:rFonts w:ascii="Lato" w:hAnsi="Lato"/>
                <w:b/>
                <w:bCs/>
              </w:rPr>
              <w:t>Realny wzrost PKB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08ED50" w14:textId="77777777" w:rsidR="00F97C05" w:rsidRPr="00F97C05" w:rsidRDefault="00F97C05" w:rsidP="00D804A2">
            <w:pPr>
              <w:jc w:val="both"/>
              <w:rPr>
                <w:rFonts w:ascii="Lato" w:hAnsi="Lato"/>
              </w:rPr>
            </w:pPr>
            <w:r w:rsidRPr="00F97C05">
              <w:rPr>
                <w:rFonts w:ascii="Lato" w:hAnsi="Lato"/>
              </w:rPr>
              <w:t>1,6%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84CC3C" w14:textId="77777777" w:rsidR="00F97C05" w:rsidRPr="00F97C05" w:rsidRDefault="00F97C05" w:rsidP="00D804A2">
            <w:pPr>
              <w:jc w:val="both"/>
              <w:rPr>
                <w:rFonts w:ascii="Lato" w:hAnsi="Lato"/>
              </w:rPr>
            </w:pPr>
            <w:r w:rsidRPr="00F97C05">
              <w:rPr>
                <w:rFonts w:ascii="Lato" w:hAnsi="Lato"/>
              </w:rPr>
              <w:t xml:space="preserve">3,0%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9C0027" w14:textId="77777777" w:rsidR="00F97C05" w:rsidRPr="00F97C05" w:rsidRDefault="00F97C05" w:rsidP="00D804A2">
            <w:pPr>
              <w:jc w:val="both"/>
              <w:rPr>
                <w:rFonts w:ascii="Lato" w:hAnsi="Lato"/>
              </w:rPr>
            </w:pPr>
            <w:r w:rsidRPr="00F97C05">
              <w:rPr>
                <w:rFonts w:ascii="Lato" w:hAnsi="Lato"/>
              </w:rPr>
              <w:t>2,4% (IMF)</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BE904B" w14:textId="77777777" w:rsidR="00F97C05" w:rsidRPr="00F97C05" w:rsidRDefault="00F97C05" w:rsidP="00D804A2">
            <w:pPr>
              <w:jc w:val="both"/>
              <w:rPr>
                <w:rFonts w:ascii="Lato" w:hAnsi="Lato"/>
              </w:rPr>
            </w:pPr>
            <w:r w:rsidRPr="00F97C05">
              <w:rPr>
                <w:rFonts w:ascii="Lato" w:hAnsi="Lato"/>
              </w:rPr>
              <w:t xml:space="preserve">2,7% (IMF prognoza 2026) </w:t>
            </w:r>
          </w:p>
        </w:tc>
      </w:tr>
      <w:tr w:rsidR="00F97C05" w:rsidRPr="00F97C05" w14:paraId="663BD810"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B1A7A5" w14:textId="77777777" w:rsidR="00F97C05" w:rsidRPr="00F97C05" w:rsidRDefault="00F97C05" w:rsidP="00D804A2">
            <w:pPr>
              <w:jc w:val="both"/>
              <w:rPr>
                <w:rFonts w:ascii="Lato" w:hAnsi="Lato"/>
                <w:b/>
                <w:bCs/>
              </w:rPr>
            </w:pPr>
            <w:r w:rsidRPr="00F97C05">
              <w:rPr>
                <w:rFonts w:ascii="Lato" w:hAnsi="Lato"/>
                <w:b/>
                <w:bCs/>
              </w:rPr>
              <w:t>PKB per capita (nominalne)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794A64" w14:textId="77777777" w:rsidR="00F97C05" w:rsidRPr="00F97C05" w:rsidRDefault="00F97C05" w:rsidP="00D804A2">
            <w:pPr>
              <w:jc w:val="both"/>
              <w:rPr>
                <w:rFonts w:ascii="Lato" w:hAnsi="Lato"/>
              </w:rPr>
            </w:pPr>
            <w:r w:rsidRPr="00F97C05">
              <w:rPr>
                <w:rFonts w:ascii="Lato" w:hAnsi="Lato"/>
              </w:rPr>
              <w:t>7 970 USD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27DC49" w14:textId="77777777" w:rsidR="00F97C05" w:rsidRPr="00F97C05" w:rsidRDefault="00F97C05" w:rsidP="00D804A2">
            <w:pPr>
              <w:jc w:val="both"/>
              <w:rPr>
                <w:rFonts w:ascii="Lato" w:hAnsi="Lato"/>
              </w:rPr>
            </w:pPr>
            <w:r w:rsidRPr="00F97C05">
              <w:rPr>
                <w:rFonts w:ascii="Lato" w:hAnsi="Lato"/>
              </w:rPr>
              <w:t xml:space="preserve">9 358,8 USD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3A9D09" w14:textId="77777777" w:rsidR="00F97C05" w:rsidRPr="00F97C05" w:rsidRDefault="00F97C05" w:rsidP="00D804A2">
            <w:pPr>
              <w:jc w:val="both"/>
              <w:rPr>
                <w:rFonts w:ascii="Lato" w:hAnsi="Lato"/>
              </w:rPr>
            </w:pPr>
            <w:r w:rsidRPr="00F97C05">
              <w:rPr>
                <w:rFonts w:ascii="Lato" w:hAnsi="Lato"/>
              </w:rPr>
              <w:t xml:space="preserve">9 648 USD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A724CE" w14:textId="77777777" w:rsidR="00F97C05" w:rsidRPr="00F97C05" w:rsidRDefault="00F97C05" w:rsidP="00D804A2">
            <w:pPr>
              <w:jc w:val="both"/>
              <w:rPr>
                <w:rFonts w:ascii="Lato" w:hAnsi="Lato"/>
              </w:rPr>
            </w:pPr>
            <w:r w:rsidRPr="00F97C05">
              <w:rPr>
                <w:rFonts w:ascii="Lato" w:hAnsi="Lato"/>
              </w:rPr>
              <w:t>10 550 USD</w:t>
            </w:r>
          </w:p>
        </w:tc>
      </w:tr>
      <w:tr w:rsidR="00F97C05" w:rsidRPr="00F97C05" w14:paraId="0429AC9F"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DCC6DD" w14:textId="77777777" w:rsidR="00F97C05" w:rsidRPr="00F97C05" w:rsidRDefault="00F97C05" w:rsidP="00D804A2">
            <w:pPr>
              <w:jc w:val="both"/>
              <w:rPr>
                <w:rFonts w:ascii="Lato" w:hAnsi="Lato"/>
                <w:b/>
                <w:bCs/>
              </w:rPr>
            </w:pPr>
            <w:r w:rsidRPr="00F97C05">
              <w:rPr>
                <w:rFonts w:ascii="Lato" w:hAnsi="Lato"/>
                <w:b/>
                <w:bCs/>
              </w:rPr>
              <w:lastRenderedPageBreak/>
              <w:t>PKB per capita (PPP)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C5D916" w14:textId="77777777" w:rsidR="00F97C05" w:rsidRPr="00F97C05" w:rsidRDefault="00F97C05" w:rsidP="00D804A2">
            <w:pPr>
              <w:jc w:val="both"/>
              <w:rPr>
                <w:rFonts w:ascii="Lato" w:hAnsi="Lato"/>
              </w:rPr>
            </w:pPr>
            <w:r w:rsidRPr="00F97C05">
              <w:rPr>
                <w:rFonts w:ascii="Lato" w:hAnsi="Lato"/>
              </w:rPr>
              <w:t>22 846 USD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2601CC" w14:textId="77777777" w:rsidR="00F97C05" w:rsidRPr="00F97C05" w:rsidRDefault="00F97C05" w:rsidP="00D804A2">
            <w:pPr>
              <w:jc w:val="both"/>
              <w:rPr>
                <w:rFonts w:ascii="Lato" w:hAnsi="Lato"/>
              </w:rPr>
            </w:pPr>
            <w:r w:rsidRPr="00F97C05">
              <w:rPr>
                <w:rFonts w:ascii="Lato" w:hAnsi="Lato"/>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1FE306" w14:textId="77777777" w:rsidR="00F97C05" w:rsidRPr="00F97C05" w:rsidRDefault="00F97C05" w:rsidP="00D804A2">
            <w:pPr>
              <w:jc w:val="both"/>
              <w:rPr>
                <w:rFonts w:ascii="Lato" w:hAnsi="Lato"/>
              </w:rPr>
            </w:pPr>
            <w:r w:rsidRPr="00F97C05">
              <w:rPr>
                <w:rFonts w:ascii="Lato" w:hAnsi="Lato"/>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5536F1" w14:textId="77777777" w:rsidR="00F97C05" w:rsidRPr="00F97C05" w:rsidRDefault="00F97C05" w:rsidP="00D804A2">
            <w:pPr>
              <w:jc w:val="both"/>
              <w:rPr>
                <w:rFonts w:ascii="Lato" w:hAnsi="Lato"/>
              </w:rPr>
            </w:pPr>
            <w:r w:rsidRPr="00F97C05">
              <w:rPr>
                <w:rFonts w:ascii="Lato" w:hAnsi="Lato"/>
              </w:rPr>
              <w:t xml:space="preserve">23 930 USD (PPP) </w:t>
            </w:r>
          </w:p>
        </w:tc>
      </w:tr>
      <w:tr w:rsidR="00F97C05" w:rsidRPr="00F97C05" w14:paraId="7DBED1CC"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D006FC" w14:textId="77777777" w:rsidR="00F97C05" w:rsidRPr="00F97C05" w:rsidRDefault="00F97C05" w:rsidP="00D804A2">
            <w:pPr>
              <w:jc w:val="both"/>
              <w:rPr>
                <w:rFonts w:ascii="Lato" w:hAnsi="Lato"/>
                <w:b/>
                <w:bCs/>
              </w:rPr>
            </w:pPr>
            <w:r w:rsidRPr="00F97C05">
              <w:rPr>
                <w:rFonts w:ascii="Lato" w:hAnsi="Lato"/>
                <w:b/>
                <w:bCs/>
              </w:rPr>
              <w:t>Stopa inflacji (CPI)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A8C65E" w14:textId="77777777" w:rsidR="00F97C05" w:rsidRPr="00F97C05" w:rsidRDefault="00F97C05" w:rsidP="00D804A2">
            <w:pPr>
              <w:jc w:val="both"/>
              <w:rPr>
                <w:rFonts w:ascii="Lato" w:hAnsi="Lato"/>
              </w:rPr>
            </w:pPr>
            <w:r w:rsidRPr="00F97C05">
              <w:rPr>
                <w:rFonts w:ascii="Lato" w:hAnsi="Lato"/>
              </w:rPr>
              <w:t>7,9%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CECF4E" w14:textId="77777777" w:rsidR="00F97C05" w:rsidRPr="00F97C05" w:rsidRDefault="00F97C05" w:rsidP="00D804A2">
            <w:pPr>
              <w:jc w:val="both"/>
              <w:rPr>
                <w:rFonts w:ascii="Lato" w:hAnsi="Lato"/>
              </w:rPr>
            </w:pPr>
            <w:r w:rsidRPr="00F97C05">
              <w:rPr>
                <w:rFonts w:ascii="Lato" w:hAnsi="Lato"/>
              </w:rPr>
              <w:t xml:space="preserve">1,7%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F39DEF" w14:textId="77777777" w:rsidR="00F97C05" w:rsidRPr="00F97C05" w:rsidRDefault="00F97C05" w:rsidP="00D804A2">
            <w:pPr>
              <w:jc w:val="both"/>
              <w:rPr>
                <w:rFonts w:ascii="Lato" w:hAnsi="Lato"/>
              </w:rPr>
            </w:pPr>
            <w:r w:rsidRPr="00F97C05">
              <w:rPr>
                <w:rFonts w:ascii="Lato" w:hAnsi="Lato"/>
              </w:rPr>
              <w:t xml:space="preserve">4,1% (grudzień 2025) / 3,6% (styczeń 2026)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FE8EF2" w14:textId="77777777" w:rsidR="00F97C05" w:rsidRPr="00F97C05" w:rsidRDefault="00F97C05" w:rsidP="00D804A2">
            <w:pPr>
              <w:jc w:val="both"/>
              <w:rPr>
                <w:rFonts w:ascii="Lato" w:hAnsi="Lato"/>
              </w:rPr>
            </w:pPr>
            <w:r w:rsidRPr="00F97C05">
              <w:rPr>
                <w:rFonts w:ascii="Lato" w:hAnsi="Lato"/>
              </w:rPr>
              <w:t xml:space="preserve">2,6% (IMF prognoza) </w:t>
            </w:r>
          </w:p>
        </w:tc>
      </w:tr>
      <w:tr w:rsidR="00F97C05" w:rsidRPr="00F97C05" w14:paraId="43730F2E"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8370EE" w14:textId="77777777" w:rsidR="00F97C05" w:rsidRPr="00F97C05" w:rsidRDefault="00F97C05" w:rsidP="00D804A2">
            <w:pPr>
              <w:jc w:val="both"/>
              <w:rPr>
                <w:rFonts w:ascii="Lato" w:hAnsi="Lato"/>
                <w:b/>
                <w:bCs/>
              </w:rPr>
            </w:pPr>
            <w:r w:rsidRPr="00F97C05">
              <w:rPr>
                <w:rFonts w:ascii="Lato" w:hAnsi="Lato"/>
                <w:b/>
                <w:bCs/>
              </w:rPr>
              <w:t>Stopa bezrobocia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900AA3" w14:textId="77777777" w:rsidR="00F97C05" w:rsidRPr="00F97C05" w:rsidRDefault="00F97C05" w:rsidP="00D804A2">
            <w:pPr>
              <w:jc w:val="both"/>
              <w:rPr>
                <w:rFonts w:ascii="Lato" w:hAnsi="Lato"/>
              </w:rPr>
            </w:pPr>
            <w:r w:rsidRPr="00F97C05">
              <w:rPr>
                <w:rFonts w:ascii="Lato" w:hAnsi="Lato"/>
              </w:rPr>
              <w:t>17,5%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F5078D" w14:textId="77777777" w:rsidR="00F97C05" w:rsidRPr="00F97C05" w:rsidRDefault="00F97C05" w:rsidP="00D804A2">
            <w:pPr>
              <w:jc w:val="both"/>
              <w:rPr>
                <w:rFonts w:ascii="Lato" w:hAnsi="Lato"/>
              </w:rPr>
            </w:pPr>
            <w:r w:rsidRPr="00F97C05">
              <w:rPr>
                <w:rFonts w:ascii="Lato" w:hAnsi="Lato"/>
              </w:rPr>
              <w:t xml:space="preserve">10,7% (2024)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2F7B46" w14:textId="77777777" w:rsidR="00F97C05" w:rsidRPr="00F97C05" w:rsidRDefault="00F97C05" w:rsidP="00D804A2">
            <w:pPr>
              <w:jc w:val="both"/>
              <w:rPr>
                <w:rFonts w:ascii="Lato" w:hAnsi="Lato"/>
              </w:rPr>
            </w:pPr>
            <w:r w:rsidRPr="00F97C05">
              <w:rPr>
                <w:rFonts w:ascii="Lato" w:hAnsi="Lato"/>
              </w:rPr>
              <w:t xml:space="preserve">11,2% (III kw. 2025)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98F81B" w14:textId="77777777" w:rsidR="00F97C05" w:rsidRPr="00F97C05" w:rsidRDefault="00F97C05" w:rsidP="00D804A2">
            <w:pPr>
              <w:jc w:val="both"/>
              <w:rPr>
                <w:rFonts w:ascii="Lato" w:hAnsi="Lato"/>
              </w:rPr>
            </w:pPr>
            <w:r w:rsidRPr="00F97C05">
              <w:rPr>
                <w:rFonts w:ascii="Lato" w:hAnsi="Lato"/>
              </w:rPr>
              <w:t xml:space="preserve">12,6% (prognoza IMF) </w:t>
            </w:r>
          </w:p>
        </w:tc>
      </w:tr>
      <w:tr w:rsidR="00F97C05" w:rsidRPr="00F97C05" w14:paraId="7706FE65"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01A3CCA" w14:textId="77777777" w:rsidR="00F97C05" w:rsidRPr="00F97C05" w:rsidRDefault="00F97C05" w:rsidP="00D804A2">
            <w:pPr>
              <w:jc w:val="both"/>
              <w:rPr>
                <w:rFonts w:ascii="Lato" w:hAnsi="Lato"/>
                <w:b/>
                <w:bCs/>
              </w:rPr>
            </w:pPr>
            <w:r w:rsidRPr="00F97C05">
              <w:rPr>
                <w:rFonts w:ascii="Lato" w:hAnsi="Lato"/>
                <w:b/>
                <w:bCs/>
              </w:rPr>
              <w:t>Rating kredytowy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9AEC7E" w14:textId="77777777" w:rsidR="00F97C05" w:rsidRPr="00F97C05" w:rsidRDefault="00F97C05" w:rsidP="00D804A2">
            <w:pPr>
              <w:jc w:val="both"/>
              <w:rPr>
                <w:rFonts w:ascii="Lato" w:hAnsi="Lato"/>
              </w:rPr>
            </w:pPr>
            <w:r w:rsidRPr="00F97C05">
              <w:rPr>
                <w:rFonts w:ascii="Lato" w:hAnsi="Lato"/>
              </w:rPr>
              <w:t>B+ / B3 / B+ (stałe perspektywy)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6F992E" w14:textId="77777777" w:rsidR="00F97C05" w:rsidRPr="00F97C05" w:rsidRDefault="00F97C05" w:rsidP="00D804A2">
            <w:pPr>
              <w:jc w:val="both"/>
              <w:rPr>
                <w:rFonts w:ascii="Lato" w:hAnsi="Lato"/>
              </w:rPr>
            </w:pPr>
            <w:r w:rsidRPr="00F97C05">
              <w:rPr>
                <w:rFonts w:ascii="Lato" w:hAnsi="Lato"/>
              </w:rPr>
              <w:t>Bez zmian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5459D9" w14:textId="77777777" w:rsidR="00F97C05" w:rsidRPr="00F97C05" w:rsidRDefault="00F97C05" w:rsidP="00D804A2">
            <w:pPr>
              <w:jc w:val="both"/>
              <w:rPr>
                <w:rFonts w:ascii="Lato" w:hAnsi="Lato"/>
              </w:rPr>
            </w:pPr>
            <w:r w:rsidRPr="00F97C05">
              <w:rPr>
                <w:rFonts w:ascii="Lato" w:hAnsi="Lato"/>
              </w:rPr>
              <w:t>Bez zmian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078F09" w14:textId="77777777" w:rsidR="00F97C05" w:rsidRPr="00F97C05" w:rsidRDefault="00F97C05" w:rsidP="00D804A2">
            <w:pPr>
              <w:jc w:val="both"/>
              <w:rPr>
                <w:rFonts w:ascii="Lato" w:hAnsi="Lato"/>
              </w:rPr>
            </w:pPr>
            <w:r w:rsidRPr="00F97C05">
              <w:rPr>
                <w:rFonts w:ascii="Lato" w:hAnsi="Lato"/>
              </w:rPr>
              <w:t>Bez zmian (brak nowych rewizji)</w:t>
            </w:r>
          </w:p>
        </w:tc>
      </w:tr>
      <w:tr w:rsidR="00F97C05" w:rsidRPr="00F97C05" w14:paraId="5F95CCC4"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5A5663" w14:textId="77777777" w:rsidR="00F97C05" w:rsidRPr="00F97C05" w:rsidRDefault="00F97C05" w:rsidP="00D804A2">
            <w:pPr>
              <w:jc w:val="both"/>
              <w:rPr>
                <w:rFonts w:ascii="Lato" w:hAnsi="Lato"/>
                <w:b/>
                <w:bCs/>
              </w:rPr>
            </w:pPr>
            <w:r w:rsidRPr="00F97C05">
              <w:rPr>
                <w:rFonts w:ascii="Lato" w:hAnsi="Lato"/>
                <w:b/>
                <w:bCs/>
              </w:rPr>
              <w:t>Saldo budżetowe (% PKB)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B101E3" w14:textId="77777777" w:rsidR="00F97C05" w:rsidRPr="00F97C05" w:rsidRDefault="00F97C05" w:rsidP="00D804A2">
            <w:pPr>
              <w:jc w:val="both"/>
              <w:rPr>
                <w:rFonts w:ascii="Lato" w:hAnsi="Lato"/>
              </w:rPr>
            </w:pPr>
            <w:r w:rsidRPr="00F97C05">
              <w:rPr>
                <w:rFonts w:ascii="Lato" w:hAnsi="Lato"/>
              </w:rPr>
              <w:t>1,7%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A226DA" w14:textId="77777777" w:rsidR="00F97C05" w:rsidRPr="00F97C05" w:rsidRDefault="00F97C05" w:rsidP="00D804A2">
            <w:pPr>
              <w:jc w:val="both"/>
              <w:rPr>
                <w:rFonts w:ascii="Lato" w:hAnsi="Lato"/>
              </w:rPr>
            </w:pPr>
            <w:r w:rsidRPr="00F97C05">
              <w:rPr>
                <w:rFonts w:ascii="Lato" w:hAnsi="Lato"/>
              </w:rPr>
              <w:t xml:space="preserve">-1,9% (2024)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B93451" w14:textId="77777777" w:rsidR="00F97C05" w:rsidRPr="00F97C05" w:rsidRDefault="00F97C05" w:rsidP="00D804A2">
            <w:pPr>
              <w:jc w:val="both"/>
              <w:rPr>
                <w:rFonts w:ascii="Lato" w:hAnsi="Lato"/>
              </w:rPr>
            </w:pPr>
            <w:r w:rsidRPr="00F97C05">
              <w:rPr>
                <w:rFonts w:ascii="Lato" w:hAnsi="Lato"/>
              </w:rPr>
              <w:t xml:space="preserve">-0,5% (prognoza TE na 2025)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18C6F7" w14:textId="77777777" w:rsidR="00F97C05" w:rsidRPr="00F97C05" w:rsidRDefault="00F97C05" w:rsidP="00D804A2">
            <w:pPr>
              <w:jc w:val="both"/>
              <w:rPr>
                <w:rFonts w:ascii="Lato" w:hAnsi="Lato"/>
              </w:rPr>
            </w:pPr>
            <w:r w:rsidRPr="00F97C05">
              <w:rPr>
                <w:rFonts w:ascii="Lato" w:hAnsi="Lato"/>
              </w:rPr>
              <w:t xml:space="preserve">-2,7% (IMF prognoza) </w:t>
            </w:r>
          </w:p>
        </w:tc>
      </w:tr>
      <w:tr w:rsidR="00F97C05" w:rsidRPr="00F97C05" w14:paraId="03008BFB"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0DD6FA5" w14:textId="77777777" w:rsidR="00F97C05" w:rsidRPr="00F97C05" w:rsidRDefault="00F97C05" w:rsidP="00D804A2">
            <w:pPr>
              <w:jc w:val="both"/>
              <w:rPr>
                <w:rFonts w:ascii="Lato" w:hAnsi="Lato"/>
                <w:b/>
                <w:bCs/>
              </w:rPr>
            </w:pPr>
            <w:r w:rsidRPr="00F97C05">
              <w:rPr>
                <w:rFonts w:ascii="Lato" w:hAnsi="Lato"/>
                <w:b/>
                <w:bCs/>
              </w:rPr>
              <w:t>Dług publiczny (% PKB)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10CAC3" w14:textId="77777777" w:rsidR="00F97C05" w:rsidRPr="00F97C05" w:rsidRDefault="00F97C05" w:rsidP="00D804A2">
            <w:pPr>
              <w:jc w:val="both"/>
              <w:rPr>
                <w:rFonts w:ascii="Lato" w:hAnsi="Lato"/>
              </w:rPr>
            </w:pPr>
            <w:r w:rsidRPr="00F97C05">
              <w:rPr>
                <w:rFonts w:ascii="Lato" w:hAnsi="Lato"/>
              </w:rPr>
              <w:t>17,1%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3F48B3" w14:textId="77777777" w:rsidR="00F97C05" w:rsidRPr="00F97C05" w:rsidRDefault="00F97C05" w:rsidP="00D804A2">
            <w:pPr>
              <w:jc w:val="both"/>
              <w:rPr>
                <w:rFonts w:ascii="Lato" w:hAnsi="Lato"/>
              </w:rPr>
            </w:pPr>
            <w:r w:rsidRPr="00F97C05">
              <w:rPr>
                <w:rFonts w:ascii="Lato" w:hAnsi="Lato"/>
              </w:rPr>
              <w:t xml:space="preserve">39,9% (WB)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D4B4CC" w14:textId="77777777" w:rsidR="00F97C05" w:rsidRPr="00F97C05" w:rsidRDefault="00F97C05" w:rsidP="00D804A2">
            <w:pPr>
              <w:jc w:val="both"/>
              <w:rPr>
                <w:rFonts w:ascii="Lato" w:hAnsi="Lato"/>
              </w:rPr>
            </w:pPr>
            <w:r w:rsidRPr="00F97C05">
              <w:rPr>
                <w:rFonts w:ascii="Lato" w:hAnsi="Lato"/>
              </w:rPr>
              <w:t xml:space="preserve">18,7% (dług krajowy wg CEIC, różne metodologie)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28D1AC" w14:textId="77777777" w:rsidR="00F97C05" w:rsidRPr="00F97C05" w:rsidRDefault="00F97C05" w:rsidP="00D804A2">
            <w:pPr>
              <w:jc w:val="both"/>
              <w:rPr>
                <w:rFonts w:ascii="Lato" w:hAnsi="Lato"/>
              </w:rPr>
            </w:pPr>
            <w:r w:rsidRPr="00F97C05">
              <w:rPr>
                <w:rFonts w:ascii="Lato" w:hAnsi="Lato"/>
              </w:rPr>
              <w:t xml:space="preserve">31,6% (IMF prognoza – dług GG) </w:t>
            </w:r>
          </w:p>
        </w:tc>
      </w:tr>
    </w:tbl>
    <w:p w14:paraId="2C0B7F15" w14:textId="77777777" w:rsidR="00B26A24" w:rsidRPr="00F97C05" w:rsidRDefault="00B26A24"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14:paraId="50172251" w14:textId="77777777" w:rsidR="00D6707B" w:rsidRPr="00F97C05"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14:paraId="228C6787" w14:textId="77777777" w:rsidR="00D6707B" w:rsidRPr="00F97C05"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14:paraId="7F6C614F" w14:textId="77777777" w:rsidR="00D6707B" w:rsidRPr="00F97C05"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14:paraId="7BDE0789" w14:textId="77777777" w:rsidR="00D6707B" w:rsidRPr="00F97C05"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14:paraId="0FD40C15" w14:textId="77777777" w:rsidR="003E722A" w:rsidRPr="00F97C05" w:rsidRDefault="003E722A" w:rsidP="003E722A">
      <w:pPr>
        <w:pStyle w:val="NormalnyWeb"/>
        <w:numPr>
          <w:ilvl w:val="0"/>
          <w:numId w:val="1"/>
        </w:numPr>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Dane demograficzne</w:t>
      </w:r>
    </w:p>
    <w:tbl>
      <w:tblPr>
        <w:tblStyle w:val="Tabela-Siatka"/>
        <w:tblW w:w="9746" w:type="dxa"/>
        <w:tblLook w:val="04A0" w:firstRow="1" w:lastRow="0" w:firstColumn="1" w:lastColumn="0" w:noHBand="0" w:noVBand="1"/>
      </w:tblPr>
      <w:tblGrid>
        <w:gridCol w:w="6312"/>
        <w:gridCol w:w="3434"/>
      </w:tblGrid>
      <w:tr w:rsidR="00D6707B" w:rsidRPr="00F97C05" w14:paraId="38D5194F" w14:textId="77777777" w:rsidTr="00DE2A53">
        <w:trPr>
          <w:trHeight w:val="336"/>
        </w:trPr>
        <w:tc>
          <w:tcPr>
            <w:tcW w:w="9746" w:type="dxa"/>
            <w:gridSpan w:val="2"/>
            <w:noWrap/>
            <w:hideMark/>
          </w:tcPr>
          <w:p w14:paraId="54E0381A" w14:textId="77777777" w:rsidR="00D6707B" w:rsidRPr="00F97C05" w:rsidRDefault="00D6707B" w:rsidP="00DE2A53">
            <w:pPr>
              <w:pStyle w:val="Akapitzlist"/>
              <w:ind w:left="1080" w:hanging="1080"/>
              <w:jc w:val="both"/>
              <w:rPr>
                <w:rFonts w:ascii="Lato" w:hAnsi="Lato"/>
                <w:b/>
                <w:bCs/>
              </w:rPr>
            </w:pPr>
            <w:r w:rsidRPr="00F97C05">
              <w:rPr>
                <w:rFonts w:ascii="Lato" w:hAnsi="Lato"/>
                <w:b/>
                <w:bCs/>
              </w:rPr>
              <w:t xml:space="preserve">Dane demograficzne </w:t>
            </w:r>
          </w:p>
        </w:tc>
      </w:tr>
      <w:tr w:rsidR="00D6707B" w:rsidRPr="00F97C05" w14:paraId="62BF2D80" w14:textId="77777777" w:rsidTr="00DE2A53">
        <w:trPr>
          <w:trHeight w:val="336"/>
        </w:trPr>
        <w:tc>
          <w:tcPr>
            <w:tcW w:w="6312" w:type="dxa"/>
            <w:noWrap/>
            <w:hideMark/>
          </w:tcPr>
          <w:p w14:paraId="6238B9B3" w14:textId="77777777" w:rsidR="00D6707B" w:rsidRPr="00F97C05" w:rsidRDefault="00D6707B" w:rsidP="00DE2A53">
            <w:pPr>
              <w:pStyle w:val="Akapitzlist"/>
              <w:ind w:left="176"/>
              <w:rPr>
                <w:rFonts w:ascii="Lato" w:hAnsi="Lato"/>
              </w:rPr>
            </w:pPr>
            <w:hyperlink r:id="rId7" w:history="1">
              <w:r w:rsidRPr="00F97C05">
                <w:rPr>
                  <w:rStyle w:val="Hipercze"/>
                  <w:rFonts w:ascii="Lato" w:hAnsi="Lato"/>
                </w:rPr>
                <w:t>Liczba ludności</w:t>
              </w:r>
            </w:hyperlink>
            <w:r w:rsidRPr="00F97C05">
              <w:rPr>
                <w:rFonts w:ascii="Lato" w:hAnsi="Lato"/>
              </w:rPr>
              <w:t xml:space="preserve"> (w tys.)</w:t>
            </w:r>
          </w:p>
        </w:tc>
        <w:tc>
          <w:tcPr>
            <w:tcW w:w="3434" w:type="dxa"/>
            <w:noWrap/>
            <w:hideMark/>
          </w:tcPr>
          <w:p w14:paraId="3538E53D" w14:textId="77777777" w:rsidR="00D6707B" w:rsidRPr="00F97C05" w:rsidRDefault="00D6707B" w:rsidP="00DE2A53">
            <w:pPr>
              <w:pStyle w:val="Akapitzlist"/>
              <w:ind w:left="1080"/>
              <w:rPr>
                <w:rFonts w:ascii="Lato" w:hAnsi="Lato"/>
              </w:rPr>
            </w:pPr>
            <w:r w:rsidRPr="00F97C05">
              <w:rPr>
                <w:rFonts w:ascii="Lato" w:hAnsi="Lato" w:cs="Segoe UI"/>
                <w:color w:val="242424"/>
                <w:shd w:val="clear" w:color="auto" w:fill="FFFFFF"/>
              </w:rPr>
              <w:t> </w:t>
            </w:r>
            <w:r w:rsidRPr="00F97C05">
              <w:rPr>
                <w:rStyle w:val="Pogrubienie"/>
                <w:rFonts w:ascii="Lato" w:hAnsi="Lato" w:cs="Segoe UI"/>
                <w:color w:val="242424"/>
                <w:shd w:val="clear" w:color="auto" w:fill="FFFFFF"/>
              </w:rPr>
              <w:t xml:space="preserve">3,233,526 </w:t>
            </w:r>
            <w:r w:rsidRPr="00F97C05">
              <w:rPr>
                <w:rFonts w:ascii="Lato" w:hAnsi="Lato"/>
              </w:rPr>
              <w:t> </w:t>
            </w:r>
          </w:p>
        </w:tc>
      </w:tr>
      <w:tr w:rsidR="00D6707B" w:rsidRPr="00F97C05" w14:paraId="1BAAE28C" w14:textId="77777777" w:rsidTr="00DE2A53">
        <w:trPr>
          <w:trHeight w:val="336"/>
        </w:trPr>
        <w:tc>
          <w:tcPr>
            <w:tcW w:w="6312" w:type="dxa"/>
            <w:noWrap/>
            <w:hideMark/>
          </w:tcPr>
          <w:p w14:paraId="5B416742" w14:textId="77777777" w:rsidR="00D6707B" w:rsidRPr="00F97C05" w:rsidRDefault="00D6707B" w:rsidP="00DE2A53">
            <w:pPr>
              <w:pStyle w:val="Akapitzlist"/>
              <w:ind w:left="1080" w:hanging="904"/>
              <w:rPr>
                <w:rFonts w:ascii="Lato" w:hAnsi="Lato"/>
              </w:rPr>
            </w:pPr>
            <w:r w:rsidRPr="00F97C05">
              <w:rPr>
                <w:rFonts w:ascii="Lato" w:hAnsi="Lato"/>
              </w:rPr>
              <w:t>Siła robocza (w tys./mln, dane krajowe)</w:t>
            </w:r>
          </w:p>
        </w:tc>
        <w:tc>
          <w:tcPr>
            <w:tcW w:w="3434" w:type="dxa"/>
            <w:noWrap/>
            <w:hideMark/>
          </w:tcPr>
          <w:p w14:paraId="77232E0F" w14:textId="77777777" w:rsidR="00D6707B" w:rsidRPr="00F97C05" w:rsidRDefault="00D6707B" w:rsidP="00DE2A53">
            <w:pPr>
              <w:pStyle w:val="Akapitzlist"/>
              <w:ind w:left="1080"/>
              <w:rPr>
                <w:rFonts w:ascii="Lato" w:hAnsi="Lato"/>
              </w:rPr>
            </w:pPr>
            <w:r w:rsidRPr="00F97C05">
              <w:rPr>
                <w:rFonts w:ascii="Lato" w:hAnsi="Lato"/>
              </w:rPr>
              <w:t> 1.3 mln</w:t>
            </w:r>
          </w:p>
        </w:tc>
      </w:tr>
      <w:tr w:rsidR="00D6707B" w:rsidRPr="00F97C05" w14:paraId="740F9C27" w14:textId="77777777" w:rsidTr="00DE2A53">
        <w:trPr>
          <w:trHeight w:val="336"/>
        </w:trPr>
        <w:tc>
          <w:tcPr>
            <w:tcW w:w="6312" w:type="dxa"/>
            <w:noWrap/>
            <w:hideMark/>
          </w:tcPr>
          <w:p w14:paraId="05C1DA52" w14:textId="77777777" w:rsidR="00D6707B" w:rsidRPr="00F97C05" w:rsidRDefault="00D6707B" w:rsidP="00DE2A53">
            <w:pPr>
              <w:pStyle w:val="Akapitzlist"/>
              <w:ind w:left="1080" w:hanging="904"/>
              <w:rPr>
                <w:rFonts w:ascii="Lato" w:hAnsi="Lato"/>
              </w:rPr>
            </w:pPr>
            <w:r w:rsidRPr="00F97C05">
              <w:rPr>
                <w:rFonts w:ascii="Lato" w:hAnsi="Lato"/>
              </w:rPr>
              <w:t>Rozmiar klasy średniej (w tys./mln)</w:t>
            </w:r>
          </w:p>
        </w:tc>
        <w:tc>
          <w:tcPr>
            <w:tcW w:w="3434" w:type="dxa"/>
            <w:noWrap/>
            <w:hideMark/>
          </w:tcPr>
          <w:p w14:paraId="78E13DDF" w14:textId="77777777" w:rsidR="00D6707B" w:rsidRPr="00F97C05" w:rsidRDefault="00D6707B" w:rsidP="00DE2A53">
            <w:pPr>
              <w:pStyle w:val="Akapitzlist"/>
              <w:ind w:left="1080"/>
              <w:rPr>
                <w:rFonts w:ascii="Lato" w:hAnsi="Lato"/>
              </w:rPr>
            </w:pPr>
            <w:r w:rsidRPr="00F97C05">
              <w:rPr>
                <w:rFonts w:ascii="Lato" w:hAnsi="Lato"/>
              </w:rPr>
              <w:t>Brak danych </w:t>
            </w:r>
          </w:p>
        </w:tc>
      </w:tr>
      <w:tr w:rsidR="00D6707B" w:rsidRPr="00F97C05" w14:paraId="4F7D97EE" w14:textId="77777777" w:rsidTr="00DE2A53">
        <w:trPr>
          <w:trHeight w:val="336"/>
        </w:trPr>
        <w:tc>
          <w:tcPr>
            <w:tcW w:w="6312" w:type="dxa"/>
            <w:noWrap/>
            <w:hideMark/>
          </w:tcPr>
          <w:p w14:paraId="15E68606" w14:textId="77777777" w:rsidR="00D6707B" w:rsidRPr="00F97C05" w:rsidRDefault="00D6707B" w:rsidP="00DE2A53">
            <w:pPr>
              <w:pStyle w:val="Akapitzlist"/>
              <w:ind w:left="176"/>
              <w:rPr>
                <w:rFonts w:ascii="Lato" w:hAnsi="Lato"/>
              </w:rPr>
            </w:pPr>
            <w:hyperlink r:id="rId8" w:history="1">
              <w:r w:rsidRPr="00F97C05">
                <w:rPr>
                  <w:rStyle w:val="Hipercze"/>
                  <w:rFonts w:ascii="Lato" w:hAnsi="Lato"/>
                </w:rPr>
                <w:t>Poziom ubóstwa</w:t>
              </w:r>
            </w:hyperlink>
            <w:r w:rsidRPr="00F97C05">
              <w:rPr>
                <w:rFonts w:ascii="Lato" w:hAnsi="Lato"/>
              </w:rPr>
              <w:t xml:space="preserve"> (% populacji żyjącej poniżej progu ubóstwa)</w:t>
            </w:r>
          </w:p>
        </w:tc>
        <w:tc>
          <w:tcPr>
            <w:tcW w:w="3434" w:type="dxa"/>
            <w:noWrap/>
            <w:hideMark/>
          </w:tcPr>
          <w:p w14:paraId="47B03F6A" w14:textId="77777777" w:rsidR="00D6707B" w:rsidRPr="00F97C05" w:rsidRDefault="00D6707B" w:rsidP="00DE2A53">
            <w:pPr>
              <w:pStyle w:val="Akapitzlist"/>
              <w:ind w:left="1080"/>
              <w:rPr>
                <w:rFonts w:ascii="Lato" w:hAnsi="Lato"/>
              </w:rPr>
            </w:pPr>
            <w:r w:rsidRPr="00F97C05">
              <w:rPr>
                <w:rFonts w:ascii="Lato" w:hAnsi="Lato"/>
              </w:rPr>
              <w:t>16,9% </w:t>
            </w:r>
          </w:p>
        </w:tc>
      </w:tr>
      <w:tr w:rsidR="00D6707B" w:rsidRPr="00F97C05" w14:paraId="43F6DC44" w14:textId="77777777" w:rsidTr="00DE2A53">
        <w:trPr>
          <w:trHeight w:val="336"/>
        </w:trPr>
        <w:tc>
          <w:tcPr>
            <w:tcW w:w="6312" w:type="dxa"/>
            <w:noWrap/>
            <w:hideMark/>
          </w:tcPr>
          <w:p w14:paraId="203A57CF" w14:textId="77777777" w:rsidR="00D6707B" w:rsidRPr="00F97C05" w:rsidRDefault="00D6707B" w:rsidP="00DE2A53">
            <w:pPr>
              <w:pStyle w:val="Akapitzlist"/>
              <w:ind w:left="1080" w:hanging="904"/>
              <w:rPr>
                <w:rFonts w:ascii="Lato" w:hAnsi="Lato"/>
              </w:rPr>
            </w:pPr>
            <w:hyperlink r:id="rId9" w:history="1">
              <w:r w:rsidRPr="00F97C05">
                <w:rPr>
                  <w:rStyle w:val="Hipercze"/>
                  <w:rFonts w:ascii="Lato" w:hAnsi="Lato"/>
                </w:rPr>
                <w:t xml:space="preserve">Współczynnik </w:t>
              </w:r>
              <w:proofErr w:type="spellStart"/>
              <w:r w:rsidRPr="00F97C05">
                <w:rPr>
                  <w:rStyle w:val="Hipercze"/>
                  <w:rFonts w:ascii="Lato" w:hAnsi="Lato"/>
                </w:rPr>
                <w:t>Giniego</w:t>
              </w:r>
              <w:proofErr w:type="spellEnd"/>
            </w:hyperlink>
          </w:p>
        </w:tc>
        <w:tc>
          <w:tcPr>
            <w:tcW w:w="3434" w:type="dxa"/>
            <w:noWrap/>
            <w:hideMark/>
          </w:tcPr>
          <w:p w14:paraId="79476B93" w14:textId="77777777" w:rsidR="00D6707B" w:rsidRPr="00F97C05" w:rsidRDefault="00D6707B" w:rsidP="00DE2A53">
            <w:pPr>
              <w:pStyle w:val="Akapitzlist"/>
              <w:ind w:left="1080"/>
              <w:rPr>
                <w:rFonts w:ascii="Lato" w:hAnsi="Lato"/>
              </w:rPr>
            </w:pPr>
            <w:r w:rsidRPr="00F97C05">
              <w:rPr>
                <w:rStyle w:val="Pogrubienie"/>
                <w:rFonts w:ascii="Lato" w:hAnsi="Lato" w:cs="Segoe UI"/>
                <w:color w:val="242424"/>
                <w:shd w:val="clear" w:color="auto" w:fill="FFFFFF"/>
              </w:rPr>
              <w:t>33.0</w:t>
            </w:r>
            <w:r w:rsidRPr="00F97C05">
              <w:rPr>
                <w:rFonts w:ascii="Lato" w:hAnsi="Lato" w:cs="Segoe UI"/>
                <w:color w:val="242424"/>
                <w:shd w:val="clear" w:color="auto" w:fill="FFFFFF"/>
              </w:rPr>
              <w:t>  (2023)</w:t>
            </w:r>
            <w:r w:rsidRPr="00F97C05">
              <w:rPr>
                <w:rFonts w:ascii="Lato" w:hAnsi="Lato"/>
              </w:rPr>
              <w:t> </w:t>
            </w:r>
          </w:p>
        </w:tc>
      </w:tr>
      <w:tr w:rsidR="00D6707B" w:rsidRPr="00F97C05" w14:paraId="0B0D028A" w14:textId="77777777" w:rsidTr="00DE2A53">
        <w:trPr>
          <w:trHeight w:val="348"/>
        </w:trPr>
        <w:tc>
          <w:tcPr>
            <w:tcW w:w="6312" w:type="dxa"/>
            <w:noWrap/>
            <w:hideMark/>
          </w:tcPr>
          <w:p w14:paraId="706CEBE6" w14:textId="77777777" w:rsidR="00D6707B" w:rsidRPr="00F97C05" w:rsidRDefault="00D6707B" w:rsidP="00DE2A53">
            <w:pPr>
              <w:pStyle w:val="Akapitzlist"/>
              <w:ind w:left="1080" w:hanging="904"/>
              <w:rPr>
                <w:rFonts w:ascii="Lato" w:hAnsi="Lato"/>
              </w:rPr>
            </w:pPr>
            <w:hyperlink r:id="rId10" w:anchor="/indicies/HDI" w:history="1">
              <w:r w:rsidRPr="00F97C05">
                <w:rPr>
                  <w:rStyle w:val="Hipercze"/>
                  <w:rFonts w:ascii="Lato" w:hAnsi="Lato"/>
                </w:rPr>
                <w:t>Współczynnik HDI</w:t>
              </w:r>
            </w:hyperlink>
          </w:p>
        </w:tc>
        <w:tc>
          <w:tcPr>
            <w:tcW w:w="3434" w:type="dxa"/>
            <w:noWrap/>
            <w:hideMark/>
          </w:tcPr>
          <w:p w14:paraId="1DA2D689" w14:textId="77777777" w:rsidR="00D6707B" w:rsidRPr="00F97C05" w:rsidRDefault="00D6707B" w:rsidP="00DE2A53">
            <w:pPr>
              <w:pStyle w:val="Akapitzlist"/>
              <w:ind w:left="1080"/>
              <w:rPr>
                <w:rFonts w:ascii="Lato" w:hAnsi="Lato"/>
              </w:rPr>
            </w:pPr>
            <w:r w:rsidRPr="00F97C05">
              <w:rPr>
                <w:rFonts w:ascii="Lato" w:hAnsi="Lato"/>
              </w:rPr>
              <w:t> 0.779 (2022)</w:t>
            </w:r>
          </w:p>
        </w:tc>
      </w:tr>
    </w:tbl>
    <w:p w14:paraId="0D272787" w14:textId="77777777" w:rsidR="00D6707B" w:rsidRPr="00F97C05"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14:paraId="32240CC8" w14:textId="77777777" w:rsidR="000D5FEC" w:rsidRPr="00F97C05" w:rsidRDefault="000D5FEC" w:rsidP="000D5FEC">
      <w:pPr>
        <w:pStyle w:val="NormalnyWeb"/>
        <w:numPr>
          <w:ilvl w:val="0"/>
          <w:numId w:val="1"/>
        </w:numPr>
        <w:shd w:val="clear" w:color="auto" w:fill="FFFFFF"/>
        <w:spacing w:before="0" w:beforeAutospacing="0" w:after="240" w:afterAutospacing="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Handel zagraniczny i inwestycje</w:t>
      </w:r>
    </w:p>
    <w:p w14:paraId="405AF9B5" w14:textId="77777777" w:rsidR="00F97C05" w:rsidRPr="00F97C05" w:rsidRDefault="00F97C05" w:rsidP="00F97C05">
      <w:pPr>
        <w:pStyle w:val="Nagwek1"/>
        <w:rPr>
          <w:rFonts w:ascii="Lato" w:eastAsia="Times New Roman" w:hAnsi="Lato" w:cs="Segoe UI"/>
          <w:b w:val="0"/>
          <w:bCs w:val="0"/>
          <w:color w:val="242424"/>
          <w:sz w:val="22"/>
          <w:szCs w:val="22"/>
          <w:lang w:val="pl-PL" w:eastAsia="pl-PL"/>
        </w:rPr>
      </w:pPr>
      <w:r w:rsidRPr="00F97C05">
        <w:rPr>
          <w:rFonts w:ascii="Lato" w:eastAsia="Times New Roman" w:hAnsi="Lato" w:cs="Segoe UI"/>
          <w:b w:val="0"/>
          <w:bCs w:val="0"/>
          <w:color w:val="242424"/>
          <w:sz w:val="22"/>
          <w:szCs w:val="22"/>
          <w:lang w:val="pl-PL" w:eastAsia="pl-PL"/>
        </w:rPr>
        <w:lastRenderedPageBreak/>
        <w:t xml:space="preserve">W 2025 roku wymiana handlowa Bośni i Hercegowiny wyraźnie wzrosła – od stycznia do września zwiększyła się o 1,6 mld BAM, czyli o 5,6% rok do roku. Struktura eksportu pozostała zbliżona do lat poprzednich: dominowały wyroby przemysłowe, szczególnie maszyny i sprzęt transportowy, wyroby metalowe oraz produkty chemiczne. Dane z 2024 roku, których tendencje utrzymywały się także w 2025 roku, wskazują, że najważniejszymi produktami eksportowymi były energia elektryczna, przewody izolowane i konstrukcje metalowe. </w:t>
      </w:r>
    </w:p>
    <w:p w14:paraId="7D2A758F" w14:textId="77777777" w:rsidR="00F97C05" w:rsidRPr="00F97C05" w:rsidRDefault="00F97C05" w:rsidP="00F97C05">
      <w:pPr>
        <w:pStyle w:val="Nagwek1"/>
        <w:rPr>
          <w:rFonts w:ascii="Lato" w:eastAsia="Times New Roman" w:hAnsi="Lato" w:cs="Segoe UI"/>
          <w:b w:val="0"/>
          <w:bCs w:val="0"/>
          <w:color w:val="242424"/>
          <w:sz w:val="22"/>
          <w:szCs w:val="22"/>
          <w:lang w:val="pl-PL" w:eastAsia="pl-PL"/>
        </w:rPr>
      </w:pPr>
      <w:r w:rsidRPr="00F97C05">
        <w:rPr>
          <w:rFonts w:ascii="Lato" w:eastAsia="Times New Roman" w:hAnsi="Lato" w:cs="Segoe UI"/>
          <w:b w:val="0"/>
          <w:bCs w:val="0"/>
          <w:color w:val="242424"/>
          <w:sz w:val="22"/>
          <w:szCs w:val="22"/>
          <w:lang w:val="pl-PL" w:eastAsia="pl-PL"/>
        </w:rPr>
        <w:t xml:space="preserve">Po stronie importu na pierwszym miejscu znajdowały się paliwa, leki, samochody, maszyny i sprzęt elektryczny, kontynuując strukturę widoczną w 2024 roku. Miesięczne dane z końca 2025 roku potwierdzają wysoki poziom importu – w styczniu 2026 wyniósł on 2,23 mld BAM. </w:t>
      </w:r>
    </w:p>
    <w:p w14:paraId="686C274B" w14:textId="77777777" w:rsidR="00F97C05" w:rsidRPr="00F97C05" w:rsidRDefault="00F97C05" w:rsidP="00F97C05">
      <w:pPr>
        <w:pStyle w:val="Nagwek1"/>
        <w:rPr>
          <w:rFonts w:ascii="Lato" w:eastAsia="Times New Roman" w:hAnsi="Lato" w:cs="Segoe UI"/>
          <w:b w:val="0"/>
          <w:bCs w:val="0"/>
          <w:color w:val="242424"/>
          <w:sz w:val="22"/>
          <w:szCs w:val="22"/>
          <w:lang w:val="pl-PL" w:eastAsia="pl-PL"/>
        </w:rPr>
      </w:pPr>
      <w:r w:rsidRPr="00F97C05">
        <w:rPr>
          <w:rFonts w:ascii="Lato" w:eastAsia="Times New Roman" w:hAnsi="Lato" w:cs="Segoe UI"/>
          <w:b w:val="0"/>
          <w:bCs w:val="0"/>
          <w:color w:val="242424"/>
          <w:sz w:val="22"/>
          <w:szCs w:val="22"/>
          <w:lang w:val="pl-PL" w:eastAsia="pl-PL"/>
        </w:rPr>
        <w:t xml:space="preserve">W 2025 r. wzrosły także inwestycje zagraniczne: wartość bezpośrednich inwestycji osiągnęła 1,05 mld BAM do III kwartału, co oznacza większą aktywność inwestorów, zwłaszcza w sektorach produkcyjnych, energetycznych i usługowych. </w:t>
      </w:r>
    </w:p>
    <w:p w14:paraId="7AA455F7" w14:textId="77777777" w:rsidR="00F97C05" w:rsidRPr="00F97C05" w:rsidRDefault="00F97C05" w:rsidP="00F97C05">
      <w:pPr>
        <w:pStyle w:val="Nagwek1"/>
        <w:rPr>
          <w:rFonts w:ascii="Lato" w:eastAsia="Times New Roman" w:hAnsi="Lato" w:cs="Segoe UI"/>
          <w:b w:val="0"/>
          <w:bCs w:val="0"/>
          <w:color w:val="242424"/>
          <w:sz w:val="22"/>
          <w:szCs w:val="22"/>
          <w:lang w:val="pl-PL" w:eastAsia="pl-PL"/>
        </w:rPr>
      </w:pPr>
    </w:p>
    <w:p w14:paraId="18C360BB" w14:textId="6E3CDD1C" w:rsidR="00960B52" w:rsidRPr="00F97C05" w:rsidRDefault="00AE3880" w:rsidP="00F97C05">
      <w:pPr>
        <w:pStyle w:val="Nagwek1"/>
        <w:rPr>
          <w:rFonts w:ascii="Lato" w:eastAsiaTheme="minorHAnsi" w:hAnsi="Lato" w:cstheme="minorBidi"/>
          <w:bCs w:val="0"/>
          <w:color w:val="auto"/>
          <w:sz w:val="22"/>
          <w:szCs w:val="22"/>
          <w:lang w:val="pl-PL"/>
        </w:rPr>
      </w:pPr>
      <w:r w:rsidRPr="00F97C05">
        <w:rPr>
          <w:rFonts w:ascii="Lato" w:eastAsiaTheme="minorHAnsi" w:hAnsi="Lato" w:cstheme="minorBidi"/>
          <w:bCs w:val="0"/>
          <w:color w:val="auto"/>
          <w:sz w:val="22"/>
          <w:szCs w:val="22"/>
          <w:lang w:val="pl-PL"/>
        </w:rPr>
        <w:t xml:space="preserve">4.1 </w:t>
      </w:r>
      <w:r w:rsidR="00960B52" w:rsidRPr="00F97C05">
        <w:rPr>
          <w:rFonts w:ascii="Lato" w:eastAsiaTheme="minorHAnsi" w:hAnsi="Lato" w:cstheme="minorBidi"/>
          <w:bCs w:val="0"/>
          <w:color w:val="auto"/>
          <w:sz w:val="22"/>
          <w:szCs w:val="22"/>
          <w:lang w:val="pl-PL"/>
        </w:rPr>
        <w:t>Najważniejsi partnerzy handlowi Bośni i Hercegowiny w 202</w:t>
      </w:r>
      <w:r w:rsidR="00F97C05" w:rsidRPr="00F97C05">
        <w:rPr>
          <w:rFonts w:ascii="Lato" w:eastAsiaTheme="minorHAnsi" w:hAnsi="Lato" w:cstheme="minorBidi"/>
          <w:bCs w:val="0"/>
          <w:color w:val="auto"/>
          <w:sz w:val="22"/>
          <w:szCs w:val="22"/>
          <w:lang w:val="pl-PL"/>
        </w:rPr>
        <w:t>5</w:t>
      </w:r>
      <w:r w:rsidR="00960B52" w:rsidRPr="00F97C05">
        <w:rPr>
          <w:rFonts w:ascii="Lato" w:eastAsiaTheme="minorHAnsi" w:hAnsi="Lato" w:cstheme="minorBidi"/>
          <w:bCs w:val="0"/>
          <w:color w:val="auto"/>
          <w:sz w:val="22"/>
          <w:szCs w:val="22"/>
          <w:lang w:val="pl-PL"/>
        </w:rPr>
        <w:t xml:space="preserve"> roku</w:t>
      </w:r>
    </w:p>
    <w:p w14:paraId="1A62A28E" w14:textId="77777777" w:rsidR="00960B52" w:rsidRPr="00F97C05" w:rsidRDefault="00960B52" w:rsidP="00960B52">
      <w:pPr>
        <w:rPr>
          <w:rFonts w:ascii="Lato" w:hAnsi="Lato"/>
        </w:rPr>
      </w:pPr>
    </w:p>
    <w:tbl>
      <w:tblPr>
        <w:tblW w:w="0" w:type="auto"/>
        <w:tblCellSpacing w:w="15" w:type="dxa"/>
        <w:tblInd w:w="-3" w:type="dxa"/>
        <w:tblCellMar>
          <w:top w:w="15" w:type="dxa"/>
          <w:left w:w="15" w:type="dxa"/>
          <w:bottom w:w="15" w:type="dxa"/>
          <w:right w:w="15" w:type="dxa"/>
        </w:tblCellMar>
        <w:tblLook w:val="04A0" w:firstRow="1" w:lastRow="0" w:firstColumn="1" w:lastColumn="0" w:noHBand="0" w:noVBand="1"/>
      </w:tblPr>
      <w:tblGrid>
        <w:gridCol w:w="1145"/>
        <w:gridCol w:w="4444"/>
        <w:gridCol w:w="2948"/>
      </w:tblGrid>
      <w:tr w:rsidR="00F97C05" w:rsidRPr="00F97C05" w14:paraId="2257CD03"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2F505A" w14:textId="77777777" w:rsidR="00F97C05" w:rsidRPr="00F97C05" w:rsidRDefault="00F97C05" w:rsidP="00D804A2">
            <w:pPr>
              <w:jc w:val="both"/>
              <w:rPr>
                <w:rFonts w:ascii="Lato" w:hAnsi="Lato"/>
                <w:b/>
                <w:bCs/>
              </w:rPr>
            </w:pPr>
            <w:r w:rsidRPr="00F97C05">
              <w:rPr>
                <w:rFonts w:ascii="Lato" w:hAnsi="Lato"/>
                <w:b/>
                <w:bCs/>
              </w:rPr>
              <w:t>Kraj</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2A706D" w14:textId="77777777" w:rsidR="00F97C05" w:rsidRPr="00F97C05" w:rsidRDefault="00F97C05" w:rsidP="00D804A2">
            <w:pPr>
              <w:jc w:val="both"/>
              <w:rPr>
                <w:rFonts w:ascii="Lato" w:hAnsi="Lato"/>
                <w:b/>
                <w:bCs/>
              </w:rPr>
            </w:pPr>
            <w:r w:rsidRPr="00F97C05">
              <w:rPr>
                <w:rFonts w:ascii="Lato" w:hAnsi="Lato"/>
                <w:b/>
                <w:bCs/>
              </w:rPr>
              <w:t>Udział w całkowitej wymianie handlowej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B27D65E" w14:textId="77777777" w:rsidR="00F97C05" w:rsidRPr="00F97C05" w:rsidRDefault="00F97C05" w:rsidP="00D804A2">
            <w:pPr>
              <w:jc w:val="both"/>
              <w:rPr>
                <w:rFonts w:ascii="Lato" w:hAnsi="Lato"/>
                <w:b/>
                <w:bCs/>
              </w:rPr>
            </w:pPr>
            <w:r w:rsidRPr="00F97C05">
              <w:rPr>
                <w:rFonts w:ascii="Lato" w:hAnsi="Lato"/>
                <w:b/>
                <w:bCs/>
              </w:rPr>
              <w:t>Wartość wymiany handlowej</w:t>
            </w:r>
          </w:p>
        </w:tc>
      </w:tr>
      <w:tr w:rsidR="00F97C05" w:rsidRPr="00F97C05" w14:paraId="1F267004"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609F0B" w14:textId="77777777" w:rsidR="00F97C05" w:rsidRPr="00F97C05" w:rsidRDefault="00F97C05" w:rsidP="00D804A2">
            <w:pPr>
              <w:jc w:val="both"/>
              <w:rPr>
                <w:rFonts w:ascii="Lato" w:hAnsi="Lato"/>
                <w:b/>
                <w:bCs/>
              </w:rPr>
            </w:pPr>
            <w:r w:rsidRPr="00F97C05">
              <w:rPr>
                <w:rFonts w:ascii="Lato" w:hAnsi="Lato"/>
                <w:b/>
                <w:bCs/>
              </w:rPr>
              <w:t>Niemcy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C23041" w14:textId="77777777" w:rsidR="00F97C05" w:rsidRPr="00F97C05" w:rsidRDefault="00F97C05" w:rsidP="00D804A2">
            <w:pPr>
              <w:jc w:val="both"/>
              <w:rPr>
                <w:rFonts w:ascii="Lato" w:hAnsi="Lato"/>
              </w:rPr>
            </w:pPr>
            <w:r w:rsidRPr="00F97C05">
              <w:rPr>
                <w:rFonts w:ascii="Lato" w:hAnsi="Lato"/>
              </w:rPr>
              <w:t>16%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C1FD7D" w14:textId="77777777" w:rsidR="00F97C05" w:rsidRPr="00F97C05" w:rsidRDefault="00F97C05" w:rsidP="00D804A2">
            <w:pPr>
              <w:jc w:val="both"/>
              <w:rPr>
                <w:rFonts w:ascii="Lato" w:hAnsi="Lato"/>
                <w:lang w:val="en-US"/>
              </w:rPr>
            </w:pPr>
            <w:r w:rsidRPr="00F97C05">
              <w:rPr>
                <w:rFonts w:ascii="Lato" w:hAnsi="Lato"/>
                <w:lang w:val="en-US"/>
              </w:rPr>
              <w:t xml:space="preserve">ok. </w:t>
            </w:r>
            <w:r w:rsidRPr="00F97C05">
              <w:rPr>
                <w:rFonts w:ascii="Lato" w:hAnsi="Lato"/>
                <w:b/>
                <w:bCs/>
                <w:lang w:val="en-US"/>
              </w:rPr>
              <w:t xml:space="preserve">1,4 </w:t>
            </w:r>
            <w:proofErr w:type="spellStart"/>
            <w:r w:rsidRPr="00F97C05">
              <w:rPr>
                <w:rFonts w:ascii="Lato" w:hAnsi="Lato"/>
                <w:b/>
                <w:bCs/>
                <w:lang w:val="en-US"/>
              </w:rPr>
              <w:t>mld</w:t>
            </w:r>
            <w:proofErr w:type="spellEnd"/>
            <w:r w:rsidRPr="00F97C05">
              <w:rPr>
                <w:rFonts w:ascii="Lato" w:hAnsi="Lato"/>
                <w:b/>
                <w:bCs/>
                <w:lang w:val="en-US"/>
              </w:rPr>
              <w:t xml:space="preserve"> USD</w:t>
            </w:r>
            <w:r w:rsidRPr="00F97C05">
              <w:rPr>
                <w:rFonts w:ascii="Lato" w:hAnsi="Lato"/>
                <w:lang w:val="en-US"/>
              </w:rPr>
              <w:t xml:space="preserve"> </w:t>
            </w:r>
          </w:p>
        </w:tc>
      </w:tr>
      <w:tr w:rsidR="00F97C05" w:rsidRPr="00F97C05" w14:paraId="082D48D8"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A4077F" w14:textId="77777777" w:rsidR="00F97C05" w:rsidRPr="00F97C05" w:rsidRDefault="00F97C05" w:rsidP="00D804A2">
            <w:pPr>
              <w:jc w:val="both"/>
              <w:rPr>
                <w:rFonts w:ascii="Lato" w:hAnsi="Lato"/>
                <w:b/>
                <w:bCs/>
              </w:rPr>
            </w:pPr>
            <w:r w:rsidRPr="00F97C05">
              <w:rPr>
                <w:rFonts w:ascii="Lato" w:hAnsi="Lato"/>
                <w:b/>
                <w:bCs/>
              </w:rPr>
              <w:t>Chorwacja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C055E6" w14:textId="77777777" w:rsidR="00F97C05" w:rsidRPr="00F97C05" w:rsidRDefault="00F97C05" w:rsidP="00D804A2">
            <w:pPr>
              <w:jc w:val="both"/>
              <w:rPr>
                <w:rFonts w:ascii="Lato" w:hAnsi="Lato"/>
              </w:rPr>
            </w:pPr>
            <w:r w:rsidRPr="00F97C05">
              <w:rPr>
                <w:rFonts w:ascii="Lato" w:hAnsi="Lato"/>
              </w:rPr>
              <w:t>15,3%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AC2C54" w14:textId="77777777" w:rsidR="00F97C05" w:rsidRPr="00F97C05" w:rsidRDefault="00F97C05" w:rsidP="00D804A2">
            <w:pPr>
              <w:jc w:val="both"/>
              <w:rPr>
                <w:rFonts w:ascii="Lato" w:hAnsi="Lato"/>
                <w:lang w:val="en-US"/>
              </w:rPr>
            </w:pPr>
            <w:r w:rsidRPr="00F97C05">
              <w:rPr>
                <w:rFonts w:ascii="Lato" w:hAnsi="Lato"/>
                <w:lang w:val="en-US"/>
              </w:rPr>
              <w:t xml:space="preserve">ok. </w:t>
            </w:r>
            <w:r w:rsidRPr="00F97C05">
              <w:rPr>
                <w:rFonts w:ascii="Lato" w:hAnsi="Lato"/>
                <w:b/>
                <w:bCs/>
                <w:lang w:val="en-US"/>
              </w:rPr>
              <w:t xml:space="preserve">1,33 </w:t>
            </w:r>
            <w:proofErr w:type="spellStart"/>
            <w:r w:rsidRPr="00F97C05">
              <w:rPr>
                <w:rFonts w:ascii="Lato" w:hAnsi="Lato"/>
                <w:b/>
                <w:bCs/>
                <w:lang w:val="en-US"/>
              </w:rPr>
              <w:t>mld</w:t>
            </w:r>
            <w:proofErr w:type="spellEnd"/>
            <w:r w:rsidRPr="00F97C05">
              <w:rPr>
                <w:rFonts w:ascii="Lato" w:hAnsi="Lato"/>
                <w:b/>
                <w:bCs/>
                <w:lang w:val="en-US"/>
              </w:rPr>
              <w:t xml:space="preserve"> USD</w:t>
            </w:r>
            <w:r w:rsidRPr="00F97C05">
              <w:rPr>
                <w:rFonts w:ascii="Lato" w:hAnsi="Lato"/>
                <w:lang w:val="en-US"/>
              </w:rPr>
              <w:t xml:space="preserve"> </w:t>
            </w:r>
          </w:p>
        </w:tc>
      </w:tr>
      <w:tr w:rsidR="00F97C05" w:rsidRPr="00F97C05" w14:paraId="0F139D17"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502E08" w14:textId="77777777" w:rsidR="00F97C05" w:rsidRPr="00F97C05" w:rsidRDefault="00F97C05" w:rsidP="00D804A2">
            <w:pPr>
              <w:jc w:val="both"/>
              <w:rPr>
                <w:rFonts w:ascii="Lato" w:hAnsi="Lato"/>
                <w:b/>
                <w:bCs/>
              </w:rPr>
            </w:pPr>
            <w:r w:rsidRPr="00F97C05">
              <w:rPr>
                <w:rFonts w:ascii="Lato" w:hAnsi="Lato"/>
                <w:b/>
                <w:bCs/>
              </w:rPr>
              <w:t>Serbia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02BF26" w14:textId="77777777" w:rsidR="00F97C05" w:rsidRPr="00F97C05" w:rsidRDefault="00F97C05" w:rsidP="00D804A2">
            <w:pPr>
              <w:jc w:val="both"/>
              <w:rPr>
                <w:rFonts w:ascii="Lato" w:hAnsi="Lato"/>
              </w:rPr>
            </w:pPr>
            <w:r w:rsidRPr="00F97C05">
              <w:rPr>
                <w:rFonts w:ascii="Lato" w:hAnsi="Lato"/>
              </w:rPr>
              <w:t>12,5%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6BF143" w14:textId="77777777" w:rsidR="00F97C05" w:rsidRPr="00F97C05" w:rsidRDefault="00F97C05" w:rsidP="00D804A2">
            <w:pPr>
              <w:jc w:val="both"/>
              <w:rPr>
                <w:rFonts w:ascii="Lato" w:hAnsi="Lato"/>
                <w:lang w:val="en-US"/>
              </w:rPr>
            </w:pPr>
            <w:r w:rsidRPr="00F97C05">
              <w:rPr>
                <w:rFonts w:ascii="Lato" w:hAnsi="Lato"/>
                <w:lang w:val="en-US"/>
              </w:rPr>
              <w:t xml:space="preserve">ok. </w:t>
            </w:r>
            <w:r w:rsidRPr="00F97C05">
              <w:rPr>
                <w:rFonts w:ascii="Lato" w:hAnsi="Lato"/>
                <w:b/>
                <w:bCs/>
                <w:lang w:val="en-US"/>
              </w:rPr>
              <w:t xml:space="preserve">1,08 </w:t>
            </w:r>
            <w:proofErr w:type="spellStart"/>
            <w:r w:rsidRPr="00F97C05">
              <w:rPr>
                <w:rFonts w:ascii="Lato" w:hAnsi="Lato"/>
                <w:b/>
                <w:bCs/>
                <w:lang w:val="en-US"/>
              </w:rPr>
              <w:t>mld</w:t>
            </w:r>
            <w:proofErr w:type="spellEnd"/>
            <w:r w:rsidRPr="00F97C05">
              <w:rPr>
                <w:rFonts w:ascii="Lato" w:hAnsi="Lato"/>
                <w:b/>
                <w:bCs/>
                <w:lang w:val="en-US"/>
              </w:rPr>
              <w:t xml:space="preserve"> USD</w:t>
            </w:r>
            <w:r w:rsidRPr="00F97C05">
              <w:rPr>
                <w:rFonts w:ascii="Lato" w:hAnsi="Lato"/>
                <w:lang w:val="en-US"/>
              </w:rPr>
              <w:t xml:space="preserve"> </w:t>
            </w:r>
          </w:p>
        </w:tc>
      </w:tr>
      <w:tr w:rsidR="00F97C05" w:rsidRPr="00F97C05" w14:paraId="7DF685AF"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7E37AB" w14:textId="77777777" w:rsidR="00F97C05" w:rsidRPr="00F97C05" w:rsidRDefault="00F97C05" w:rsidP="00D804A2">
            <w:pPr>
              <w:jc w:val="both"/>
              <w:rPr>
                <w:rFonts w:ascii="Lato" w:hAnsi="Lato"/>
                <w:b/>
                <w:bCs/>
              </w:rPr>
            </w:pPr>
            <w:r w:rsidRPr="00F97C05">
              <w:rPr>
                <w:rFonts w:ascii="Lato" w:hAnsi="Lato"/>
                <w:b/>
                <w:bCs/>
              </w:rPr>
              <w:t>Austria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2AA3CA" w14:textId="77777777" w:rsidR="00F97C05" w:rsidRPr="00F97C05" w:rsidRDefault="00F97C05" w:rsidP="00D804A2">
            <w:pPr>
              <w:jc w:val="both"/>
              <w:rPr>
                <w:rFonts w:ascii="Lato" w:hAnsi="Lato"/>
              </w:rPr>
            </w:pPr>
            <w:r w:rsidRPr="00F97C05">
              <w:rPr>
                <w:rFonts w:ascii="Lato" w:hAnsi="Lato"/>
              </w:rPr>
              <w:t>10,3%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DA6236" w14:textId="77777777" w:rsidR="00F97C05" w:rsidRPr="00F97C05" w:rsidRDefault="00F97C05" w:rsidP="00D804A2">
            <w:pPr>
              <w:jc w:val="both"/>
              <w:rPr>
                <w:rFonts w:ascii="Lato" w:hAnsi="Lato"/>
                <w:lang w:val="en-US"/>
              </w:rPr>
            </w:pPr>
            <w:r w:rsidRPr="00F97C05">
              <w:rPr>
                <w:rFonts w:ascii="Lato" w:hAnsi="Lato"/>
                <w:lang w:val="en-US"/>
              </w:rPr>
              <w:t xml:space="preserve">ok. </w:t>
            </w:r>
            <w:r w:rsidRPr="00F97C05">
              <w:rPr>
                <w:rFonts w:ascii="Lato" w:hAnsi="Lato"/>
                <w:b/>
                <w:bCs/>
                <w:lang w:val="en-US"/>
              </w:rPr>
              <w:t xml:space="preserve">0,90 </w:t>
            </w:r>
            <w:proofErr w:type="spellStart"/>
            <w:r w:rsidRPr="00F97C05">
              <w:rPr>
                <w:rFonts w:ascii="Lato" w:hAnsi="Lato"/>
                <w:b/>
                <w:bCs/>
                <w:lang w:val="en-US"/>
              </w:rPr>
              <w:t>mld</w:t>
            </w:r>
            <w:proofErr w:type="spellEnd"/>
            <w:r w:rsidRPr="00F97C05">
              <w:rPr>
                <w:rFonts w:ascii="Lato" w:hAnsi="Lato"/>
                <w:b/>
                <w:bCs/>
                <w:lang w:val="en-US"/>
              </w:rPr>
              <w:t xml:space="preserve"> USD</w:t>
            </w:r>
            <w:r w:rsidRPr="00F97C05">
              <w:rPr>
                <w:rFonts w:ascii="Lato" w:hAnsi="Lato"/>
                <w:lang w:val="en-US"/>
              </w:rPr>
              <w:t xml:space="preserve"> </w:t>
            </w:r>
          </w:p>
        </w:tc>
      </w:tr>
      <w:tr w:rsidR="00F97C05" w:rsidRPr="00F97C05" w14:paraId="39C0BEA4"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5738322" w14:textId="77777777" w:rsidR="00F97C05" w:rsidRPr="00F97C05" w:rsidRDefault="00F97C05" w:rsidP="00D804A2">
            <w:pPr>
              <w:jc w:val="both"/>
              <w:rPr>
                <w:rFonts w:ascii="Lato" w:hAnsi="Lato"/>
                <w:b/>
                <w:bCs/>
              </w:rPr>
            </w:pPr>
            <w:r w:rsidRPr="00F97C05">
              <w:rPr>
                <w:rFonts w:ascii="Lato" w:hAnsi="Lato"/>
                <w:b/>
                <w:bCs/>
              </w:rPr>
              <w:t>Włochy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7A933B" w14:textId="77777777" w:rsidR="00F97C05" w:rsidRPr="00F97C05" w:rsidRDefault="00F97C05" w:rsidP="00D804A2">
            <w:pPr>
              <w:jc w:val="both"/>
              <w:rPr>
                <w:rFonts w:ascii="Lato" w:hAnsi="Lato"/>
              </w:rPr>
            </w:pPr>
            <w:r w:rsidRPr="00F97C05">
              <w:rPr>
                <w:rFonts w:ascii="Lato" w:hAnsi="Lato"/>
              </w:rPr>
              <w:t>8,7%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6F1D37" w14:textId="77777777" w:rsidR="00F97C05" w:rsidRPr="00F97C05" w:rsidRDefault="00F97C05" w:rsidP="00D804A2">
            <w:pPr>
              <w:jc w:val="both"/>
              <w:rPr>
                <w:rFonts w:ascii="Lato" w:hAnsi="Lato"/>
                <w:lang w:val="en-US"/>
              </w:rPr>
            </w:pPr>
            <w:r w:rsidRPr="00F97C05">
              <w:rPr>
                <w:rFonts w:ascii="Lato" w:hAnsi="Lato"/>
                <w:lang w:val="en-US"/>
              </w:rPr>
              <w:t xml:space="preserve">ok. </w:t>
            </w:r>
            <w:r w:rsidRPr="00F97C05">
              <w:rPr>
                <w:rFonts w:ascii="Lato" w:hAnsi="Lato"/>
                <w:b/>
                <w:bCs/>
                <w:lang w:val="en-US"/>
              </w:rPr>
              <w:t xml:space="preserve">0,78 </w:t>
            </w:r>
            <w:proofErr w:type="spellStart"/>
            <w:r w:rsidRPr="00F97C05">
              <w:rPr>
                <w:rFonts w:ascii="Lato" w:hAnsi="Lato"/>
                <w:b/>
                <w:bCs/>
                <w:lang w:val="en-US"/>
              </w:rPr>
              <w:t>mld</w:t>
            </w:r>
            <w:proofErr w:type="spellEnd"/>
            <w:r w:rsidRPr="00F97C05">
              <w:rPr>
                <w:rFonts w:ascii="Lato" w:hAnsi="Lato"/>
                <w:b/>
                <w:bCs/>
                <w:lang w:val="en-US"/>
              </w:rPr>
              <w:t xml:space="preserve"> USD</w:t>
            </w:r>
            <w:r w:rsidRPr="00F97C05">
              <w:rPr>
                <w:rFonts w:ascii="Lato" w:hAnsi="Lato"/>
                <w:lang w:val="en-US"/>
              </w:rPr>
              <w:t xml:space="preserve"> </w:t>
            </w:r>
          </w:p>
        </w:tc>
      </w:tr>
      <w:tr w:rsidR="00F97C05" w:rsidRPr="00F97C05" w14:paraId="489AED27"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25E767E" w14:textId="77777777" w:rsidR="00F97C05" w:rsidRPr="00F97C05" w:rsidRDefault="00F97C05" w:rsidP="00D804A2">
            <w:pPr>
              <w:jc w:val="both"/>
              <w:rPr>
                <w:rFonts w:ascii="Lato" w:hAnsi="Lato"/>
                <w:b/>
                <w:bCs/>
              </w:rPr>
            </w:pPr>
            <w:r w:rsidRPr="00F97C05">
              <w:rPr>
                <w:rFonts w:ascii="Lato" w:hAnsi="Lato"/>
                <w:b/>
                <w:bCs/>
              </w:rPr>
              <w:t>Słowenia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F47C3D" w14:textId="77777777" w:rsidR="00F97C05" w:rsidRPr="00F97C05" w:rsidRDefault="00F97C05" w:rsidP="00D804A2">
            <w:pPr>
              <w:jc w:val="both"/>
              <w:rPr>
                <w:rFonts w:ascii="Lato" w:hAnsi="Lato"/>
              </w:rPr>
            </w:pPr>
            <w:r w:rsidRPr="00F97C05">
              <w:rPr>
                <w:rFonts w:ascii="Lato" w:hAnsi="Lato"/>
              </w:rPr>
              <w:t>8,1%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4F2066" w14:textId="77777777" w:rsidR="00F97C05" w:rsidRPr="00F97C05" w:rsidRDefault="00F97C05" w:rsidP="00D804A2">
            <w:pPr>
              <w:jc w:val="both"/>
              <w:rPr>
                <w:rFonts w:ascii="Lato" w:hAnsi="Lato"/>
                <w:lang w:val="en-US"/>
              </w:rPr>
            </w:pPr>
            <w:r w:rsidRPr="00F97C05">
              <w:rPr>
                <w:rFonts w:ascii="Lato" w:hAnsi="Lato"/>
                <w:lang w:val="en-US"/>
              </w:rPr>
              <w:t xml:space="preserve">ok. </w:t>
            </w:r>
            <w:r w:rsidRPr="00F97C05">
              <w:rPr>
                <w:rFonts w:ascii="Lato" w:hAnsi="Lato"/>
                <w:b/>
                <w:bCs/>
                <w:lang w:val="en-US"/>
              </w:rPr>
              <w:t xml:space="preserve">0,78 </w:t>
            </w:r>
            <w:proofErr w:type="spellStart"/>
            <w:r w:rsidRPr="00F97C05">
              <w:rPr>
                <w:rFonts w:ascii="Lato" w:hAnsi="Lato"/>
                <w:b/>
                <w:bCs/>
                <w:lang w:val="en-US"/>
              </w:rPr>
              <w:t>mld</w:t>
            </w:r>
            <w:proofErr w:type="spellEnd"/>
            <w:r w:rsidRPr="00F97C05">
              <w:rPr>
                <w:rFonts w:ascii="Lato" w:hAnsi="Lato"/>
                <w:b/>
                <w:bCs/>
                <w:lang w:val="en-US"/>
              </w:rPr>
              <w:t xml:space="preserve"> USD</w:t>
            </w:r>
            <w:r w:rsidRPr="00F97C05">
              <w:rPr>
                <w:rFonts w:ascii="Lato" w:hAnsi="Lato"/>
                <w:lang w:val="en-US"/>
              </w:rPr>
              <w:t xml:space="preserve"> </w:t>
            </w:r>
          </w:p>
        </w:tc>
      </w:tr>
    </w:tbl>
    <w:p w14:paraId="449AB0BF" w14:textId="77777777" w:rsidR="00960B52" w:rsidRPr="00F97C05" w:rsidRDefault="00960B52" w:rsidP="00960B52">
      <w:pPr>
        <w:pStyle w:val="NormalnyWeb"/>
        <w:shd w:val="clear" w:color="auto" w:fill="FFFFFF"/>
        <w:spacing w:before="0" w:beforeAutospacing="0" w:after="240" w:afterAutospacing="0"/>
        <w:rPr>
          <w:rFonts w:ascii="Lato" w:hAnsi="Lato" w:cs="Segoe UI"/>
          <w:color w:val="242424"/>
          <w:sz w:val="22"/>
          <w:szCs w:val="22"/>
        </w:rPr>
      </w:pPr>
    </w:p>
    <w:p w14:paraId="7D7B5B83" w14:textId="77777777" w:rsidR="00960B52" w:rsidRPr="00F97C05" w:rsidRDefault="00960B52" w:rsidP="00960B52">
      <w:pPr>
        <w:pStyle w:val="NormalnyWeb"/>
        <w:shd w:val="clear" w:color="auto" w:fill="FFFFFF"/>
        <w:spacing w:before="0" w:beforeAutospacing="0" w:after="240" w:afterAutospacing="0"/>
        <w:rPr>
          <w:rFonts w:ascii="Lato" w:hAnsi="Lato" w:cs="Segoe UI"/>
          <w:b/>
          <w:color w:val="242424"/>
          <w:sz w:val="22"/>
          <w:szCs w:val="22"/>
        </w:rPr>
      </w:pPr>
      <w:r w:rsidRPr="00F97C05">
        <w:rPr>
          <w:rFonts w:ascii="Lato" w:hAnsi="Lato" w:cs="Segoe UI"/>
          <w:b/>
          <w:color w:val="242424"/>
          <w:sz w:val="22"/>
          <w:szCs w:val="22"/>
        </w:rPr>
        <w:t>Podstawowe produkty i usługi importowe oraz eksportowe Bośni i Hercegowiny w 2023 roku:</w:t>
      </w:r>
    </w:p>
    <w:p w14:paraId="60B417A4" w14:textId="77777777" w:rsidR="00F97C05" w:rsidRPr="00F97C05" w:rsidRDefault="00F97C05" w:rsidP="00F97C05">
      <w:pPr>
        <w:jc w:val="both"/>
        <w:rPr>
          <w:rFonts w:ascii="Lato" w:hAnsi="Lato"/>
          <w:b/>
          <w:bCs/>
        </w:rPr>
      </w:pPr>
      <w:r w:rsidRPr="00F97C05">
        <w:rPr>
          <w:rFonts w:ascii="Lato" w:hAnsi="Lato"/>
          <w:b/>
          <w:bCs/>
        </w:rPr>
        <w:t>Podstawowe produkty i usługi eksportowe Bośni i Hercegowiny w 2025 roku</w:t>
      </w:r>
    </w:p>
    <w:p w14:paraId="77FBD407" w14:textId="30A6CFD1" w:rsidR="00F97C05" w:rsidRPr="00F97C05" w:rsidRDefault="00F97C05" w:rsidP="00F97C05">
      <w:pPr>
        <w:jc w:val="both"/>
        <w:rPr>
          <w:rFonts w:ascii="Lato" w:hAnsi="La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7"/>
        <w:gridCol w:w="2934"/>
      </w:tblGrid>
      <w:tr w:rsidR="00F97C05" w:rsidRPr="00F97C05" w14:paraId="16142CFE"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3020E80" w14:textId="77777777" w:rsidR="00F97C05" w:rsidRPr="00F97C05" w:rsidRDefault="00F97C05" w:rsidP="00D804A2">
            <w:pPr>
              <w:jc w:val="both"/>
              <w:rPr>
                <w:rFonts w:ascii="Lato" w:hAnsi="Lato"/>
                <w:b/>
                <w:bCs/>
              </w:rPr>
            </w:pPr>
            <w:r w:rsidRPr="00F97C05">
              <w:rPr>
                <w:rFonts w:ascii="Lato" w:hAnsi="Lato"/>
                <w:b/>
                <w:bCs/>
              </w:rPr>
              <w:t>Produkt eksportowy</w:t>
            </w:r>
          </w:p>
        </w:tc>
        <w:tc>
          <w:tcPr>
            <w:tcW w:w="288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0F30503" w14:textId="77777777" w:rsidR="00F97C05" w:rsidRPr="00F97C05" w:rsidRDefault="00F97C05" w:rsidP="00D804A2">
            <w:pPr>
              <w:jc w:val="both"/>
              <w:rPr>
                <w:rFonts w:ascii="Lato" w:hAnsi="Lato"/>
                <w:b/>
                <w:bCs/>
              </w:rPr>
            </w:pPr>
            <w:r w:rsidRPr="00F97C05">
              <w:rPr>
                <w:rFonts w:ascii="Lato" w:hAnsi="Lato"/>
                <w:b/>
                <w:bCs/>
              </w:rPr>
              <w:t>Wartość</w:t>
            </w:r>
          </w:p>
        </w:tc>
      </w:tr>
      <w:tr w:rsidR="00F97C05" w:rsidRPr="00F97C05" w14:paraId="6608BA01"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0ECB24" w14:textId="77777777" w:rsidR="00F97C05" w:rsidRPr="00F97C05" w:rsidRDefault="00F97C05" w:rsidP="00D804A2">
            <w:pPr>
              <w:jc w:val="both"/>
              <w:rPr>
                <w:rFonts w:ascii="Lato" w:hAnsi="Lato"/>
                <w:b/>
                <w:bCs/>
              </w:rPr>
            </w:pPr>
            <w:r w:rsidRPr="00F97C05">
              <w:rPr>
                <w:rFonts w:ascii="Lato" w:hAnsi="Lato"/>
                <w:b/>
                <w:bCs/>
              </w:rPr>
              <w:t>Energia elektryczna</w:t>
            </w:r>
          </w:p>
        </w:tc>
        <w:tc>
          <w:tcPr>
            <w:tcW w:w="2889" w:type="dxa"/>
            <w:tcBorders>
              <w:top w:val="single" w:sz="6" w:space="0" w:color="E6E6E6"/>
              <w:left w:val="single" w:sz="6" w:space="0" w:color="E6E6E6"/>
              <w:bottom w:val="single" w:sz="6" w:space="0" w:color="E6E6E6"/>
              <w:right w:val="single" w:sz="6" w:space="0" w:color="E6E6E6"/>
            </w:tcBorders>
            <w:vAlign w:val="center"/>
            <w:hideMark/>
          </w:tcPr>
          <w:p w14:paraId="1593E6C4" w14:textId="77777777" w:rsidR="00F97C05" w:rsidRPr="00F97C05" w:rsidRDefault="00F97C05" w:rsidP="00D804A2">
            <w:pPr>
              <w:jc w:val="both"/>
              <w:rPr>
                <w:rFonts w:ascii="Lato" w:hAnsi="Lato"/>
              </w:rPr>
            </w:pPr>
            <w:r w:rsidRPr="00F97C05">
              <w:rPr>
                <w:rFonts w:ascii="Lato" w:hAnsi="Lato"/>
                <w:b/>
                <w:bCs/>
              </w:rPr>
              <w:t>405 mln USD</w:t>
            </w:r>
            <w:r w:rsidRPr="00F97C05">
              <w:rPr>
                <w:rFonts w:ascii="Lato" w:hAnsi="Lato"/>
              </w:rPr>
              <w:t xml:space="preserve"> </w:t>
            </w:r>
          </w:p>
        </w:tc>
      </w:tr>
      <w:tr w:rsidR="00F97C05" w:rsidRPr="00F97C05" w14:paraId="040C339D"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D4992B" w14:textId="77777777" w:rsidR="00F97C05" w:rsidRPr="00F97C05" w:rsidRDefault="00F97C05" w:rsidP="00D804A2">
            <w:pPr>
              <w:jc w:val="both"/>
              <w:rPr>
                <w:rFonts w:ascii="Lato" w:hAnsi="Lato"/>
                <w:b/>
                <w:bCs/>
              </w:rPr>
            </w:pPr>
            <w:r w:rsidRPr="00F97C05">
              <w:rPr>
                <w:rFonts w:ascii="Lato" w:hAnsi="Lato"/>
                <w:b/>
                <w:bCs/>
              </w:rPr>
              <w:lastRenderedPageBreak/>
              <w:t>Przewody izolowane</w:t>
            </w:r>
          </w:p>
        </w:tc>
        <w:tc>
          <w:tcPr>
            <w:tcW w:w="2889" w:type="dxa"/>
            <w:tcBorders>
              <w:top w:val="single" w:sz="6" w:space="0" w:color="E6E6E6"/>
              <w:left w:val="single" w:sz="6" w:space="0" w:color="E6E6E6"/>
              <w:bottom w:val="single" w:sz="6" w:space="0" w:color="E6E6E6"/>
              <w:right w:val="single" w:sz="6" w:space="0" w:color="E6E6E6"/>
            </w:tcBorders>
            <w:vAlign w:val="center"/>
            <w:hideMark/>
          </w:tcPr>
          <w:p w14:paraId="3204FA89" w14:textId="77777777" w:rsidR="00F97C05" w:rsidRPr="00F97C05" w:rsidRDefault="00F97C05" w:rsidP="00D804A2">
            <w:pPr>
              <w:jc w:val="both"/>
              <w:rPr>
                <w:rFonts w:ascii="Lato" w:hAnsi="Lato"/>
              </w:rPr>
            </w:pPr>
            <w:r w:rsidRPr="00F97C05">
              <w:rPr>
                <w:rFonts w:ascii="Lato" w:hAnsi="Lato"/>
                <w:b/>
                <w:bCs/>
              </w:rPr>
              <w:t>389 mln USD</w:t>
            </w:r>
            <w:r w:rsidRPr="00F97C05">
              <w:rPr>
                <w:rFonts w:ascii="Lato" w:hAnsi="Lato"/>
              </w:rPr>
              <w:t xml:space="preserve"> </w:t>
            </w:r>
          </w:p>
        </w:tc>
      </w:tr>
      <w:tr w:rsidR="00F97C05" w:rsidRPr="00F97C05" w14:paraId="4C501DA6" w14:textId="77777777" w:rsidTr="00F97C0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324B958" w14:textId="77777777" w:rsidR="00F97C05" w:rsidRPr="00F97C05" w:rsidRDefault="00F97C05" w:rsidP="00D804A2">
            <w:pPr>
              <w:jc w:val="both"/>
              <w:rPr>
                <w:rFonts w:ascii="Lato" w:hAnsi="Lato"/>
                <w:b/>
                <w:bCs/>
              </w:rPr>
            </w:pPr>
            <w:r w:rsidRPr="00F97C05">
              <w:rPr>
                <w:rFonts w:ascii="Lato" w:hAnsi="Lato"/>
                <w:b/>
                <w:bCs/>
              </w:rPr>
              <w:t>Konstrukcje żelazne/stalowe</w:t>
            </w:r>
          </w:p>
        </w:tc>
        <w:tc>
          <w:tcPr>
            <w:tcW w:w="2889" w:type="dxa"/>
            <w:tcBorders>
              <w:top w:val="single" w:sz="6" w:space="0" w:color="E6E6E6"/>
              <w:left w:val="single" w:sz="6" w:space="0" w:color="E6E6E6"/>
              <w:bottom w:val="single" w:sz="6" w:space="0" w:color="E6E6E6"/>
              <w:right w:val="single" w:sz="6" w:space="0" w:color="E6E6E6"/>
            </w:tcBorders>
            <w:vAlign w:val="center"/>
            <w:hideMark/>
          </w:tcPr>
          <w:p w14:paraId="12E73E5C" w14:textId="77777777" w:rsidR="00F97C05" w:rsidRPr="00F97C05" w:rsidRDefault="00F97C05" w:rsidP="00D804A2">
            <w:pPr>
              <w:jc w:val="both"/>
              <w:rPr>
                <w:rFonts w:ascii="Lato" w:hAnsi="Lato"/>
              </w:rPr>
            </w:pPr>
            <w:r w:rsidRPr="00F97C05">
              <w:rPr>
                <w:rFonts w:ascii="Lato" w:hAnsi="Lato"/>
                <w:b/>
                <w:bCs/>
              </w:rPr>
              <w:t>301 mln USD</w:t>
            </w:r>
            <w:r w:rsidRPr="00F97C05">
              <w:rPr>
                <w:rFonts w:ascii="Lato" w:hAnsi="Lato"/>
              </w:rPr>
              <w:t xml:space="preserve"> </w:t>
            </w:r>
          </w:p>
        </w:tc>
      </w:tr>
    </w:tbl>
    <w:p w14:paraId="388E350F" w14:textId="0A7F5B9F" w:rsidR="00F97C05" w:rsidRPr="00F97C05" w:rsidRDefault="00F97C05" w:rsidP="00F97C05">
      <w:pPr>
        <w:jc w:val="both"/>
        <w:rPr>
          <w:rFonts w:ascii="Lato" w:hAnsi="Lato"/>
        </w:rPr>
      </w:pPr>
    </w:p>
    <w:p w14:paraId="42964C6D" w14:textId="77777777" w:rsidR="00F97C05" w:rsidRPr="00F97C05" w:rsidRDefault="00F97C05" w:rsidP="00F97C05">
      <w:pPr>
        <w:jc w:val="both"/>
        <w:rPr>
          <w:rFonts w:ascii="Lato" w:hAnsi="Lato"/>
          <w:b/>
          <w:bCs/>
        </w:rPr>
      </w:pPr>
      <w:r w:rsidRPr="00F97C05">
        <w:rPr>
          <w:rFonts w:ascii="Lato" w:hAnsi="Lato"/>
          <w:b/>
          <w:bCs/>
        </w:rPr>
        <w:t>Podstawowe produkty importowe Bośni i Hercegowiny w 2025 roku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6"/>
        <w:gridCol w:w="1462"/>
      </w:tblGrid>
      <w:tr w:rsidR="00F97C05" w:rsidRPr="00F97C05" w14:paraId="1A7ED989"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FED27C" w14:textId="77777777" w:rsidR="00F97C05" w:rsidRPr="00F97C05" w:rsidRDefault="00F97C05" w:rsidP="00D804A2">
            <w:pPr>
              <w:jc w:val="both"/>
              <w:rPr>
                <w:rFonts w:ascii="Lato" w:hAnsi="Lato"/>
                <w:b/>
                <w:bCs/>
              </w:rPr>
            </w:pPr>
            <w:r w:rsidRPr="00F97C05">
              <w:rPr>
                <w:rFonts w:ascii="Lato" w:hAnsi="Lato"/>
                <w:b/>
                <w:bCs/>
              </w:rPr>
              <w:t>Produkt importowy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DD8D34" w14:textId="77777777" w:rsidR="00F97C05" w:rsidRPr="00F97C05" w:rsidRDefault="00F97C05" w:rsidP="00D804A2">
            <w:pPr>
              <w:jc w:val="both"/>
              <w:rPr>
                <w:rFonts w:ascii="Lato" w:hAnsi="Lato"/>
                <w:b/>
                <w:bCs/>
              </w:rPr>
            </w:pPr>
            <w:r w:rsidRPr="00F97C05">
              <w:rPr>
                <w:rFonts w:ascii="Lato" w:hAnsi="Lato"/>
                <w:b/>
                <w:bCs/>
              </w:rPr>
              <w:t>Wartość</w:t>
            </w:r>
          </w:p>
        </w:tc>
      </w:tr>
      <w:tr w:rsidR="00F97C05" w:rsidRPr="00F97C05" w14:paraId="44511CE6"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6C27DA" w14:textId="77777777" w:rsidR="00F97C05" w:rsidRPr="00F97C05" w:rsidRDefault="00F97C05" w:rsidP="00D804A2">
            <w:pPr>
              <w:jc w:val="both"/>
              <w:rPr>
                <w:rFonts w:ascii="Lato" w:hAnsi="Lato"/>
                <w:b/>
                <w:bCs/>
              </w:rPr>
            </w:pPr>
            <w:r w:rsidRPr="00F97C05">
              <w:rPr>
                <w:rFonts w:ascii="Lato" w:hAnsi="Lato"/>
                <w:b/>
                <w:bCs/>
              </w:rPr>
              <w:t>Paliwa rafinowane (oleje napędowe, benzyny)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4189D2" w14:textId="77777777" w:rsidR="00F97C05" w:rsidRPr="00F97C05" w:rsidRDefault="00F97C05" w:rsidP="00D804A2">
            <w:pPr>
              <w:jc w:val="both"/>
              <w:rPr>
                <w:rFonts w:ascii="Lato" w:hAnsi="Lato"/>
              </w:rPr>
            </w:pPr>
            <w:r w:rsidRPr="00F97C05">
              <w:rPr>
                <w:rFonts w:ascii="Lato" w:hAnsi="Lato"/>
                <w:b/>
                <w:bCs/>
              </w:rPr>
              <w:t>1,25 mld USD</w:t>
            </w:r>
            <w:r w:rsidRPr="00F97C05">
              <w:rPr>
                <w:rFonts w:ascii="Lato" w:hAnsi="Lato"/>
              </w:rPr>
              <w:t xml:space="preserve"> </w:t>
            </w:r>
          </w:p>
        </w:tc>
      </w:tr>
      <w:tr w:rsidR="00F97C05" w:rsidRPr="00F97C05" w14:paraId="1FFB9703"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CE74B3" w14:textId="77777777" w:rsidR="00F97C05" w:rsidRPr="00F97C05" w:rsidRDefault="00F97C05" w:rsidP="00D804A2">
            <w:pPr>
              <w:jc w:val="both"/>
              <w:rPr>
                <w:rFonts w:ascii="Lato" w:hAnsi="Lato"/>
                <w:b/>
                <w:bCs/>
              </w:rPr>
            </w:pPr>
            <w:r w:rsidRPr="00F97C05">
              <w:rPr>
                <w:rFonts w:ascii="Lato" w:hAnsi="Lato"/>
                <w:b/>
                <w:bCs/>
              </w:rPr>
              <w:t>Leki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5FEC5D" w14:textId="77777777" w:rsidR="00F97C05" w:rsidRPr="00F97C05" w:rsidRDefault="00F97C05" w:rsidP="00D804A2">
            <w:pPr>
              <w:jc w:val="both"/>
              <w:rPr>
                <w:rFonts w:ascii="Lato" w:hAnsi="Lato"/>
              </w:rPr>
            </w:pPr>
            <w:r w:rsidRPr="00F97C05">
              <w:rPr>
                <w:rFonts w:ascii="Lato" w:hAnsi="Lato"/>
                <w:b/>
                <w:bCs/>
              </w:rPr>
              <w:t>431 mln USD</w:t>
            </w:r>
            <w:r w:rsidRPr="00F97C05">
              <w:rPr>
                <w:rFonts w:ascii="Lato" w:hAnsi="Lato"/>
              </w:rPr>
              <w:t xml:space="preserve"> </w:t>
            </w:r>
          </w:p>
        </w:tc>
      </w:tr>
      <w:tr w:rsidR="00F97C05" w:rsidRPr="00F97C05" w14:paraId="168486C5" w14:textId="77777777" w:rsidTr="00D804A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1DCFECC" w14:textId="77777777" w:rsidR="00F97C05" w:rsidRPr="00F97C05" w:rsidRDefault="00F97C05" w:rsidP="00D804A2">
            <w:pPr>
              <w:jc w:val="both"/>
              <w:rPr>
                <w:rFonts w:ascii="Lato" w:hAnsi="Lato"/>
                <w:b/>
                <w:bCs/>
              </w:rPr>
            </w:pPr>
            <w:r w:rsidRPr="00F97C05">
              <w:rPr>
                <w:rFonts w:ascii="Lato" w:hAnsi="Lato"/>
                <w:b/>
                <w:bCs/>
              </w:rPr>
              <w:t>Samochody osobowe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278E21" w14:textId="77777777" w:rsidR="00F97C05" w:rsidRPr="00F97C05" w:rsidRDefault="00F97C05" w:rsidP="00D804A2">
            <w:pPr>
              <w:jc w:val="both"/>
              <w:rPr>
                <w:rFonts w:ascii="Lato" w:hAnsi="Lato"/>
              </w:rPr>
            </w:pPr>
            <w:r w:rsidRPr="00F97C05">
              <w:rPr>
                <w:rFonts w:ascii="Lato" w:hAnsi="Lato"/>
                <w:b/>
                <w:bCs/>
              </w:rPr>
              <w:t>744 mln USD</w:t>
            </w:r>
            <w:r w:rsidRPr="00F97C05">
              <w:rPr>
                <w:rFonts w:ascii="Lato" w:hAnsi="Lato"/>
              </w:rPr>
              <w:t xml:space="preserve"> </w:t>
            </w:r>
          </w:p>
        </w:tc>
      </w:tr>
    </w:tbl>
    <w:p w14:paraId="00729F6A" w14:textId="77777777" w:rsidR="00960B52" w:rsidRPr="00F97C05" w:rsidRDefault="00960B52" w:rsidP="00960B52">
      <w:pPr>
        <w:pStyle w:val="Nagwek3"/>
        <w:shd w:val="clear" w:color="auto" w:fill="FFFFFF"/>
        <w:rPr>
          <w:rFonts w:ascii="Lato" w:hAnsi="Lato" w:cs="Segoe UI"/>
          <w:color w:val="242424"/>
          <w:sz w:val="22"/>
          <w:szCs w:val="22"/>
        </w:rPr>
      </w:pPr>
    </w:p>
    <w:p w14:paraId="665E509A" w14:textId="77777777" w:rsidR="00B27449" w:rsidRPr="00F97C05" w:rsidRDefault="00AE3880" w:rsidP="00960B52">
      <w:pPr>
        <w:pStyle w:val="NormalnyWeb"/>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 xml:space="preserve">4.2 </w:t>
      </w:r>
      <w:r w:rsidR="00607D6C" w:rsidRPr="00F97C05">
        <w:rPr>
          <w:rFonts w:ascii="Lato" w:eastAsiaTheme="minorHAnsi" w:hAnsi="Lato" w:cstheme="minorBidi"/>
          <w:sz w:val="22"/>
          <w:szCs w:val="22"/>
          <w:lang w:eastAsia="en-US"/>
        </w:rPr>
        <w:t>Główni inwestorzy i kierunki inwestycji zagranicznych</w:t>
      </w:r>
    </w:p>
    <w:p w14:paraId="744115A2" w14:textId="30C9FB44" w:rsidR="00F97C05" w:rsidRPr="00F97C05" w:rsidRDefault="00F97C05" w:rsidP="00F97C05">
      <w:pPr>
        <w:jc w:val="both"/>
        <w:rPr>
          <w:rFonts w:ascii="Lato" w:hAnsi="Lato"/>
        </w:rPr>
      </w:pPr>
      <w:r w:rsidRPr="00F97C05">
        <w:rPr>
          <w:rFonts w:ascii="Lato" w:hAnsi="Lato"/>
        </w:rPr>
        <w:t xml:space="preserve">W 2025 roku Bośnia i Hercegowina odnotowała dalszy wzrost bezpośrednich inwestycji zagranicznych, które do III kwartału osiągnęły wartość 1,05 mld BAM, co oznacza wzrost w porównaniu z rokiem poprzednim. Najnowsze dane UNCTAD wskazują, że łączna wartość skumulowana FDI wzrosła do 11,43 mld USD w 2024 r., a w 2025 r. kontynuowała trend wzrostowy. Największymi inwestorami zagranicznymi pozostają Austria, Chorwacja, Serbia i Holandia, a dominujące sektory to energetyka, usługi finansowe, telekomunikacja oraz przemysł przetwórczy. Inwestorzy koncentrują się przede wszystkim na dużych projektach infrastrukturalnych oraz modernizacji energetyki, co odzwierciedla stabilność i rosnącą atrakcyjność gospodarki BiH. </w:t>
      </w:r>
    </w:p>
    <w:p w14:paraId="0A15BA3A" w14:textId="77777777" w:rsidR="00AE3880" w:rsidRPr="00F97C05" w:rsidRDefault="00AE3880" w:rsidP="00AE3880">
      <w:pPr>
        <w:pStyle w:val="NormalnyWeb"/>
        <w:numPr>
          <w:ilvl w:val="0"/>
          <w:numId w:val="1"/>
        </w:numPr>
        <w:shd w:val="clear" w:color="auto" w:fill="FFFFFF"/>
        <w:spacing w:after="240"/>
        <w:rPr>
          <w:rFonts w:ascii="Lato" w:eastAsiaTheme="minorHAnsi" w:hAnsi="Lato" w:cstheme="minorBidi"/>
          <w:sz w:val="22"/>
          <w:szCs w:val="22"/>
          <w:lang w:eastAsia="en-US"/>
        </w:rPr>
      </w:pPr>
      <w:r w:rsidRPr="00F97C05">
        <w:rPr>
          <w:rFonts w:ascii="Lato" w:eastAsiaTheme="minorHAnsi" w:hAnsi="Lato" w:cstheme="minorBidi"/>
          <w:sz w:val="22"/>
          <w:szCs w:val="22"/>
          <w:lang w:eastAsia="en-US"/>
        </w:rPr>
        <w:t>Udział w inicjatywach i organizacjach wielostronnych o charakterze gospodarczym</w:t>
      </w:r>
    </w:p>
    <w:p w14:paraId="7E95FDD9" w14:textId="77777777" w:rsidR="00AE3880" w:rsidRPr="00F97C05" w:rsidRDefault="00AE3880" w:rsidP="00AE3880">
      <w:pPr>
        <w:shd w:val="clear" w:color="auto" w:fill="FFFFFF"/>
        <w:spacing w:before="100" w:beforeAutospacing="1" w:after="100" w:afterAutospacing="1" w:line="240" w:lineRule="auto"/>
        <w:outlineLvl w:val="2"/>
        <w:rPr>
          <w:rFonts w:ascii="Lato" w:hAnsi="Lato"/>
        </w:rPr>
      </w:pPr>
      <w:r w:rsidRPr="00F97C05">
        <w:rPr>
          <w:rFonts w:ascii="Lato" w:hAnsi="Lato"/>
        </w:rPr>
        <w:t>5.1 Członkostwo BiH w Organizacjach Gospodarczych</w:t>
      </w:r>
    </w:p>
    <w:p w14:paraId="5B386DEC" w14:textId="77777777" w:rsidR="00B2540D" w:rsidRPr="00F97C05" w:rsidRDefault="00AE3880" w:rsidP="00AE3880">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 xml:space="preserve">Środkowoeuropejskie Porozumienie o Wolnym Handlu </w:t>
      </w:r>
      <w:r w:rsidRPr="00F97C05">
        <w:rPr>
          <w:rFonts w:ascii="Lato" w:eastAsia="Times New Roman" w:hAnsi="Lato" w:cs="Segoe UI"/>
          <w:b/>
          <w:color w:val="242424"/>
          <w:lang w:eastAsia="pl-PL"/>
        </w:rPr>
        <w:t>(CEFTA):</w:t>
      </w:r>
      <w:r w:rsidRPr="00F97C05">
        <w:rPr>
          <w:rFonts w:ascii="Lato" w:eastAsia="Times New Roman" w:hAnsi="Lato" w:cs="Segoe UI"/>
          <w:color w:val="242424"/>
          <w:lang w:eastAsia="pl-PL"/>
        </w:rPr>
        <w:t> </w:t>
      </w:r>
    </w:p>
    <w:p w14:paraId="1EDDD12D" w14:textId="77777777" w:rsidR="00AE3880" w:rsidRPr="00F97C05" w:rsidRDefault="00B2540D" w:rsidP="00AE3880">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 xml:space="preserve"> </w:t>
      </w:r>
      <w:r w:rsidR="00AE3880" w:rsidRPr="00F97C05">
        <w:rPr>
          <w:rFonts w:ascii="Lato" w:eastAsia="Times New Roman" w:hAnsi="Lato" w:cs="Segoe UI"/>
          <w:color w:val="242424"/>
          <w:lang w:eastAsia="pl-PL"/>
        </w:rPr>
        <w:t xml:space="preserve">Europejski Bank Odbudowy i Rozwoju </w:t>
      </w:r>
      <w:r w:rsidR="00AE3880" w:rsidRPr="00F97C05">
        <w:rPr>
          <w:rFonts w:ascii="Lato" w:eastAsia="Times New Roman" w:hAnsi="Lato" w:cs="Segoe UI"/>
          <w:b/>
          <w:color w:val="242424"/>
          <w:lang w:eastAsia="pl-PL"/>
        </w:rPr>
        <w:t>(EBRD</w:t>
      </w:r>
    </w:p>
    <w:p w14:paraId="3EAE680A" w14:textId="77777777" w:rsidR="00B2540D" w:rsidRPr="00F97C05" w:rsidRDefault="00AE3880" w:rsidP="0036225D">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 xml:space="preserve">Międzynarodowy Fundusz Walutowy </w:t>
      </w:r>
      <w:r w:rsidRPr="00F97C05">
        <w:rPr>
          <w:rFonts w:ascii="Lato" w:eastAsia="Times New Roman" w:hAnsi="Lato" w:cs="Segoe UI"/>
          <w:b/>
          <w:color w:val="242424"/>
          <w:lang w:eastAsia="pl-PL"/>
        </w:rPr>
        <w:t>(IMF</w:t>
      </w:r>
      <w:r w:rsidR="00B2540D" w:rsidRPr="00F97C05">
        <w:rPr>
          <w:rFonts w:ascii="Lato" w:eastAsia="Times New Roman" w:hAnsi="Lato" w:cs="Segoe UI"/>
          <w:b/>
          <w:color w:val="242424"/>
          <w:lang w:eastAsia="pl-PL"/>
        </w:rPr>
        <w:t>)</w:t>
      </w:r>
    </w:p>
    <w:p w14:paraId="43DA266B" w14:textId="77777777" w:rsidR="00AE3880" w:rsidRPr="00F97C05" w:rsidRDefault="00AE3880" w:rsidP="0036225D">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 xml:space="preserve">Międzynarodowa Organizacja Normalizacyjna </w:t>
      </w:r>
      <w:r w:rsidRPr="00F97C05">
        <w:rPr>
          <w:rFonts w:ascii="Lato" w:eastAsia="Times New Roman" w:hAnsi="Lato" w:cs="Segoe UI"/>
          <w:b/>
          <w:color w:val="242424"/>
          <w:lang w:eastAsia="pl-PL"/>
        </w:rPr>
        <w:t>(ISO):</w:t>
      </w:r>
    </w:p>
    <w:p w14:paraId="2300A818" w14:textId="77777777" w:rsidR="00AE3880" w:rsidRPr="00F97C05" w:rsidRDefault="00AE3880" w:rsidP="00AE3880">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 xml:space="preserve">Agencja Wielostronnych Gwarancji Inwestycji </w:t>
      </w:r>
      <w:r w:rsidRPr="00F97C05">
        <w:rPr>
          <w:rFonts w:ascii="Lato" w:eastAsia="Times New Roman" w:hAnsi="Lato" w:cs="Segoe UI"/>
          <w:b/>
          <w:color w:val="242424"/>
          <w:lang w:eastAsia="pl-PL"/>
        </w:rPr>
        <w:t>(MIGA</w:t>
      </w:r>
      <w:r w:rsidR="00B2540D" w:rsidRPr="00F97C05">
        <w:rPr>
          <w:rFonts w:ascii="Lato" w:eastAsia="Times New Roman" w:hAnsi="Lato" w:cs="Segoe UI"/>
          <w:b/>
          <w:color w:val="242424"/>
          <w:lang w:eastAsia="pl-PL"/>
        </w:rPr>
        <w:t>)</w:t>
      </w:r>
    </w:p>
    <w:p w14:paraId="6B3D76A9" w14:textId="77777777" w:rsidR="00AE3880" w:rsidRPr="00F97C05" w:rsidRDefault="00AE3880" w:rsidP="00AE3880">
      <w:pPr>
        <w:shd w:val="clear" w:color="auto" w:fill="FFFFFF"/>
        <w:spacing w:before="100" w:beforeAutospacing="1" w:after="100" w:afterAutospacing="1" w:line="240" w:lineRule="auto"/>
        <w:outlineLvl w:val="2"/>
        <w:rPr>
          <w:rFonts w:ascii="Lato" w:eastAsia="Times New Roman" w:hAnsi="Lato" w:cs="Segoe UI"/>
          <w:b/>
          <w:color w:val="242424"/>
          <w:lang w:eastAsia="pl-PL"/>
        </w:rPr>
      </w:pPr>
      <w:r w:rsidRPr="00F97C05">
        <w:rPr>
          <w:rFonts w:ascii="Lato" w:eastAsia="Times New Roman" w:hAnsi="Lato" w:cs="Segoe UI"/>
          <w:b/>
          <w:color w:val="242424"/>
          <w:lang w:eastAsia="pl-PL"/>
        </w:rPr>
        <w:t>5.2 Status Obserwatora i Kandydatury</w:t>
      </w:r>
    </w:p>
    <w:p w14:paraId="2FFE1859" w14:textId="77777777" w:rsidR="00AE3880" w:rsidRPr="00F97C05" w:rsidRDefault="00AE3880" w:rsidP="00AE3880">
      <w:p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 xml:space="preserve">1. Światowa Organizacja Handlu </w:t>
      </w:r>
      <w:r w:rsidRPr="00F97C05">
        <w:rPr>
          <w:rFonts w:ascii="Lato" w:eastAsia="Times New Roman" w:hAnsi="Lato" w:cs="Segoe UI"/>
          <w:b/>
          <w:color w:val="242424"/>
          <w:lang w:eastAsia="pl-PL"/>
        </w:rPr>
        <w:t>(WTO):</w:t>
      </w:r>
      <w:r w:rsidRPr="00F97C05">
        <w:rPr>
          <w:rFonts w:ascii="Lato" w:eastAsia="Times New Roman" w:hAnsi="Lato" w:cs="Segoe UI"/>
          <w:color w:val="242424"/>
          <w:lang w:eastAsia="pl-PL"/>
        </w:rPr>
        <w:t> BiH jest obserwatorem przy WTO i dąży do pełnego członkostwa, co umożliwiłoby jej pełniejsze uczestnictwo w globalnym systemie handlowym.</w:t>
      </w:r>
    </w:p>
    <w:p w14:paraId="41F8D7FD" w14:textId="77777777" w:rsidR="00AE3880" w:rsidRPr="00F97C05" w:rsidRDefault="00AE3880" w:rsidP="00AE3880">
      <w:p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2. Unia Europejska (</w:t>
      </w:r>
      <w:r w:rsidRPr="00F97C05">
        <w:rPr>
          <w:rFonts w:ascii="Lato" w:eastAsia="Times New Roman" w:hAnsi="Lato" w:cs="Segoe UI"/>
          <w:b/>
          <w:color w:val="242424"/>
          <w:lang w:eastAsia="pl-PL"/>
        </w:rPr>
        <w:t>UE</w:t>
      </w:r>
      <w:r w:rsidRPr="00F97C05">
        <w:rPr>
          <w:rFonts w:ascii="Lato" w:eastAsia="Times New Roman" w:hAnsi="Lato" w:cs="Segoe UI"/>
          <w:color w:val="242424"/>
          <w:lang w:eastAsia="pl-PL"/>
        </w:rPr>
        <w:t>): BiH jest potencjalnym kandydatem do członkostwa w UE, co jest strategicznym celem kraju. Proces integracji z UE obejmuje dostosowanie przepisów i standardów gospodarczych do wymogów unijnych.</w:t>
      </w:r>
    </w:p>
    <w:p w14:paraId="0282CD98" w14:textId="77777777" w:rsidR="00AE3880" w:rsidRPr="00F97C05" w:rsidRDefault="000E6F47" w:rsidP="00AE3880">
      <w:pPr>
        <w:shd w:val="clear" w:color="auto" w:fill="FFFFFF"/>
        <w:spacing w:before="100" w:beforeAutospacing="1" w:after="100" w:afterAutospacing="1" w:line="240" w:lineRule="auto"/>
        <w:outlineLvl w:val="2"/>
        <w:rPr>
          <w:rFonts w:ascii="Lato" w:eastAsia="Times New Roman" w:hAnsi="Lato" w:cs="Segoe UI"/>
          <w:b/>
          <w:color w:val="242424"/>
          <w:lang w:eastAsia="pl-PL"/>
        </w:rPr>
      </w:pPr>
      <w:r w:rsidRPr="00F97C05">
        <w:rPr>
          <w:rFonts w:ascii="Lato" w:eastAsia="Times New Roman" w:hAnsi="Lato" w:cs="Segoe UI"/>
          <w:b/>
          <w:color w:val="242424"/>
          <w:lang w:eastAsia="pl-PL"/>
        </w:rPr>
        <w:t xml:space="preserve">5.3. </w:t>
      </w:r>
      <w:r w:rsidR="00AE3880" w:rsidRPr="00F97C05">
        <w:rPr>
          <w:rFonts w:ascii="Lato" w:eastAsia="Times New Roman" w:hAnsi="Lato" w:cs="Segoe UI"/>
          <w:b/>
          <w:color w:val="242424"/>
          <w:lang w:eastAsia="pl-PL"/>
        </w:rPr>
        <w:t>Współpraca Regionalna</w:t>
      </w:r>
    </w:p>
    <w:p w14:paraId="6F15FB09" w14:textId="77777777" w:rsidR="00AE3880" w:rsidRPr="00F97C05" w:rsidRDefault="00AE3880" w:rsidP="00AE3880">
      <w:p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lastRenderedPageBreak/>
        <w:t>BiH aktywnie uczestniczy w inicjatywach regionalnych, takich jak</w:t>
      </w:r>
      <w:r w:rsidR="0064390E" w:rsidRPr="00F97C05">
        <w:rPr>
          <w:rFonts w:ascii="Lato" w:eastAsia="Times New Roman" w:hAnsi="Lato" w:cs="Segoe UI"/>
          <w:color w:val="242424"/>
          <w:lang w:eastAsia="pl-PL"/>
        </w:rPr>
        <w:t>:</w:t>
      </w:r>
      <w:r w:rsidRPr="00F97C05">
        <w:rPr>
          <w:rFonts w:ascii="Lato" w:eastAsia="Times New Roman" w:hAnsi="Lato" w:cs="Segoe UI"/>
          <w:color w:val="242424"/>
          <w:lang w:eastAsia="pl-PL"/>
        </w:rPr>
        <w:t xml:space="preserve"> </w:t>
      </w:r>
      <w:r w:rsidRPr="00F97C05">
        <w:rPr>
          <w:rFonts w:ascii="Lato" w:eastAsia="Times New Roman" w:hAnsi="Lato" w:cs="Segoe UI"/>
          <w:b/>
          <w:color w:val="242424"/>
          <w:lang w:eastAsia="pl-PL"/>
        </w:rPr>
        <w:t>Proces Berliński,</w:t>
      </w:r>
      <w:r w:rsidRPr="00F97C05">
        <w:rPr>
          <w:rFonts w:ascii="Lato" w:eastAsia="Times New Roman" w:hAnsi="Lato" w:cs="Segoe UI"/>
          <w:color w:val="242424"/>
          <w:lang w:eastAsia="pl-PL"/>
        </w:rPr>
        <w:t xml:space="preserve"> który wspiera integrację Bałkanów Zachodnich z UE poprzez projekty infrastrukturalne i gospodarcze. </w:t>
      </w:r>
      <w:r w:rsidR="0064390E" w:rsidRPr="00F97C05">
        <w:rPr>
          <w:rFonts w:ascii="Lato" w:eastAsia="Times New Roman" w:hAnsi="Lato" w:cs="Segoe UI"/>
          <w:color w:val="242424"/>
          <w:lang w:eastAsia="pl-PL"/>
        </w:rPr>
        <w:t>Ponadto w</w:t>
      </w:r>
      <w:r w:rsidRPr="00F97C05">
        <w:rPr>
          <w:rFonts w:ascii="Lato" w:eastAsia="Times New Roman" w:hAnsi="Lato" w:cs="Segoe UI"/>
          <w:color w:val="242424"/>
          <w:lang w:eastAsia="pl-PL"/>
        </w:rPr>
        <w:t>spółpraca z sąsiadującymi krajami, takimi jak Chorwacja, Serbia i Czarnogóra, jest kluczowa dla stabilności i rozwoju gospodarczego regionu.</w:t>
      </w:r>
      <w:r w:rsidR="000E6F47" w:rsidRPr="00F97C05">
        <w:rPr>
          <w:rFonts w:ascii="Lato" w:eastAsia="Times New Roman" w:hAnsi="Lato" w:cs="Segoe UI"/>
          <w:color w:val="242424"/>
          <w:lang w:eastAsia="pl-PL"/>
        </w:rPr>
        <w:t xml:space="preserve"> </w:t>
      </w:r>
    </w:p>
    <w:p w14:paraId="394C78AA" w14:textId="77777777" w:rsidR="00AE3880" w:rsidRPr="00F97C05" w:rsidRDefault="000E6F47" w:rsidP="000E6F47">
      <w:pPr>
        <w:pStyle w:val="NormalnyWeb"/>
        <w:numPr>
          <w:ilvl w:val="0"/>
          <w:numId w:val="1"/>
        </w:numPr>
        <w:shd w:val="clear" w:color="auto" w:fill="FFFFFF"/>
        <w:spacing w:after="240"/>
        <w:rPr>
          <w:rFonts w:ascii="Lato" w:hAnsi="Lato" w:cs="Segoe UI"/>
          <w:b/>
          <w:color w:val="242424"/>
          <w:sz w:val="22"/>
          <w:szCs w:val="22"/>
        </w:rPr>
      </w:pPr>
      <w:r w:rsidRPr="00F97C05">
        <w:rPr>
          <w:rFonts w:ascii="Lato" w:hAnsi="Lato" w:cs="Segoe UI"/>
          <w:b/>
          <w:color w:val="242424"/>
          <w:sz w:val="22"/>
          <w:szCs w:val="22"/>
        </w:rPr>
        <w:t>Pozycja kraju w rankingach</w:t>
      </w:r>
    </w:p>
    <w:tbl>
      <w:tblPr>
        <w:tblW w:w="9639" w:type="dxa"/>
        <w:tblCellMar>
          <w:left w:w="70" w:type="dxa"/>
          <w:right w:w="70" w:type="dxa"/>
        </w:tblCellMar>
        <w:tblLook w:val="04A0" w:firstRow="1" w:lastRow="0" w:firstColumn="1" w:lastColumn="0" w:noHBand="0" w:noVBand="1"/>
      </w:tblPr>
      <w:tblGrid>
        <w:gridCol w:w="7371"/>
        <w:gridCol w:w="1134"/>
        <w:gridCol w:w="1134"/>
      </w:tblGrid>
      <w:tr w:rsidR="000E6F47" w:rsidRPr="00F97C05" w14:paraId="5BD6B981" w14:textId="77777777" w:rsidTr="00000A21">
        <w:trPr>
          <w:trHeight w:val="312"/>
        </w:trPr>
        <w:tc>
          <w:tcPr>
            <w:tcW w:w="8505" w:type="dxa"/>
            <w:gridSpan w:val="2"/>
            <w:tcBorders>
              <w:top w:val="single" w:sz="4" w:space="0" w:color="auto"/>
              <w:left w:val="single" w:sz="4" w:space="0" w:color="auto"/>
              <w:bottom w:val="single" w:sz="4" w:space="0" w:color="auto"/>
            </w:tcBorders>
            <w:noWrap/>
            <w:vAlign w:val="bottom"/>
            <w:hideMark/>
          </w:tcPr>
          <w:p w14:paraId="45BDEDFF" w14:textId="77777777" w:rsidR="000E6F47" w:rsidRPr="00F97C05" w:rsidRDefault="000E6F47" w:rsidP="00E33B4F">
            <w:pPr>
              <w:pStyle w:val="Akapitzlist"/>
              <w:spacing w:after="0" w:line="240" w:lineRule="auto"/>
              <w:rPr>
                <w:rFonts w:ascii="Lato" w:eastAsia="Times New Roman" w:hAnsi="Lato" w:cs="Calibri"/>
                <w:b/>
                <w:bCs/>
                <w:color w:val="000000"/>
                <w:lang w:eastAsia="pl-PL"/>
              </w:rPr>
            </w:pPr>
            <w:r w:rsidRPr="00F97C05">
              <w:rPr>
                <w:rFonts w:ascii="Lato" w:eastAsia="Times New Roman" w:hAnsi="Lato" w:cs="Calibri"/>
                <w:b/>
                <w:bCs/>
                <w:color w:val="000000"/>
                <w:lang w:eastAsia="pl-PL"/>
              </w:rPr>
              <w:t xml:space="preserve">Pozycja </w:t>
            </w:r>
            <w:r w:rsidR="00E33B4F" w:rsidRPr="00F97C05">
              <w:rPr>
                <w:rFonts w:ascii="Lato" w:eastAsia="Times New Roman" w:hAnsi="Lato" w:cs="Calibri"/>
                <w:b/>
                <w:bCs/>
                <w:color w:val="000000"/>
                <w:lang w:eastAsia="pl-PL"/>
              </w:rPr>
              <w:t xml:space="preserve">BiH </w:t>
            </w:r>
            <w:r w:rsidRPr="00F97C05">
              <w:rPr>
                <w:rFonts w:ascii="Lato" w:eastAsia="Times New Roman" w:hAnsi="Lato" w:cs="Calibri"/>
                <w:b/>
                <w:bCs/>
                <w:color w:val="000000"/>
                <w:lang w:eastAsia="pl-PL"/>
              </w:rPr>
              <w:t>w rankingach</w:t>
            </w:r>
          </w:p>
        </w:tc>
        <w:tc>
          <w:tcPr>
            <w:tcW w:w="1134" w:type="dxa"/>
            <w:tcBorders>
              <w:top w:val="single" w:sz="4" w:space="0" w:color="auto"/>
              <w:bottom w:val="single" w:sz="4" w:space="0" w:color="auto"/>
              <w:right w:val="single" w:sz="4" w:space="0" w:color="auto"/>
            </w:tcBorders>
            <w:noWrap/>
            <w:vAlign w:val="bottom"/>
            <w:hideMark/>
          </w:tcPr>
          <w:p w14:paraId="22601A1E" w14:textId="77777777" w:rsidR="000E6F47" w:rsidRPr="00F97C05" w:rsidRDefault="000E6F47" w:rsidP="00000A21">
            <w:pPr>
              <w:spacing w:after="0" w:line="240" w:lineRule="auto"/>
              <w:jc w:val="center"/>
              <w:rPr>
                <w:rFonts w:ascii="Lato" w:eastAsia="Times New Roman" w:hAnsi="Lato" w:cs="Calibri"/>
                <w:b/>
                <w:bCs/>
                <w:color w:val="000000"/>
                <w:lang w:eastAsia="pl-PL"/>
              </w:rPr>
            </w:pPr>
          </w:p>
        </w:tc>
      </w:tr>
      <w:tr w:rsidR="000E6F47" w:rsidRPr="00F97C05" w14:paraId="7FE05F20" w14:textId="77777777" w:rsidTr="00000A21">
        <w:trPr>
          <w:trHeight w:val="312"/>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57976413" w14:textId="77777777" w:rsidR="000E6F47" w:rsidRPr="00F97C05" w:rsidRDefault="000E6F47" w:rsidP="00000A21">
            <w:pPr>
              <w:spacing w:after="0" w:line="240" w:lineRule="auto"/>
              <w:jc w:val="center"/>
              <w:rPr>
                <w:rFonts w:ascii="Lato" w:eastAsia="Times New Roman" w:hAnsi="Lato" w:cs="Calibri"/>
                <w:bCs/>
                <w:color w:val="000000"/>
                <w:lang w:eastAsia="pl-PL"/>
              </w:rPr>
            </w:pPr>
            <w:r w:rsidRPr="00F97C05">
              <w:rPr>
                <w:rFonts w:ascii="Lato" w:eastAsia="Times New Roman" w:hAnsi="Lato" w:cs="Calibri"/>
                <w:bCs/>
                <w:color w:val="000000"/>
                <w:lang w:eastAsia="pl-PL"/>
              </w:rPr>
              <w:t> </w:t>
            </w:r>
          </w:p>
        </w:tc>
        <w:tc>
          <w:tcPr>
            <w:tcW w:w="1134" w:type="dxa"/>
            <w:tcBorders>
              <w:top w:val="single" w:sz="4" w:space="0" w:color="auto"/>
              <w:left w:val="nil"/>
              <w:bottom w:val="single" w:sz="4" w:space="0" w:color="auto"/>
              <w:right w:val="single" w:sz="4" w:space="0" w:color="auto"/>
            </w:tcBorders>
            <w:noWrap/>
            <w:vAlign w:val="bottom"/>
            <w:hideMark/>
          </w:tcPr>
          <w:p w14:paraId="65E7216A" w14:textId="77777777" w:rsidR="000E6F47" w:rsidRPr="00F97C05" w:rsidRDefault="000E6F47" w:rsidP="00000A21">
            <w:pPr>
              <w:spacing w:after="0" w:line="240" w:lineRule="auto"/>
              <w:jc w:val="center"/>
              <w:rPr>
                <w:rFonts w:ascii="Lato" w:eastAsia="Times New Roman" w:hAnsi="Lato" w:cs="Calibri"/>
                <w:bCs/>
                <w:color w:val="000000"/>
                <w:lang w:eastAsia="pl-PL"/>
              </w:rPr>
            </w:pPr>
            <w:r w:rsidRPr="00F97C05">
              <w:rPr>
                <w:rFonts w:ascii="Lato" w:eastAsia="Times New Roman" w:hAnsi="Lato" w:cs="Calibri"/>
                <w:bCs/>
                <w:color w:val="000000"/>
                <w:lang w:eastAsia="pl-PL"/>
              </w:rPr>
              <w:t> pkt</w:t>
            </w:r>
          </w:p>
        </w:tc>
        <w:tc>
          <w:tcPr>
            <w:tcW w:w="1134" w:type="dxa"/>
            <w:tcBorders>
              <w:top w:val="single" w:sz="4" w:space="0" w:color="auto"/>
              <w:left w:val="nil"/>
              <w:bottom w:val="single" w:sz="4" w:space="0" w:color="auto"/>
              <w:right w:val="single" w:sz="4" w:space="0" w:color="auto"/>
            </w:tcBorders>
            <w:noWrap/>
            <w:vAlign w:val="bottom"/>
            <w:hideMark/>
          </w:tcPr>
          <w:p w14:paraId="6EF9CAA7" w14:textId="77777777" w:rsidR="000E6F47" w:rsidRPr="00F97C05" w:rsidRDefault="000E6F47" w:rsidP="00000A21">
            <w:pPr>
              <w:spacing w:after="0" w:line="240" w:lineRule="auto"/>
              <w:rPr>
                <w:rFonts w:ascii="Lato" w:eastAsia="Times New Roman" w:hAnsi="Lato" w:cs="Calibri"/>
                <w:color w:val="000000"/>
                <w:lang w:eastAsia="pl-PL"/>
              </w:rPr>
            </w:pPr>
            <w:r w:rsidRPr="00F97C05">
              <w:rPr>
                <w:rFonts w:ascii="Lato" w:eastAsia="Times New Roman" w:hAnsi="Lato" w:cs="Calibri"/>
                <w:color w:val="000000"/>
                <w:lang w:eastAsia="pl-PL"/>
              </w:rPr>
              <w:t> pozycja</w:t>
            </w:r>
          </w:p>
        </w:tc>
      </w:tr>
      <w:tr w:rsidR="000E6F47" w:rsidRPr="00F97C05" w14:paraId="580101E1" w14:textId="77777777" w:rsidTr="00000A21">
        <w:trPr>
          <w:trHeight w:val="300"/>
        </w:trPr>
        <w:tc>
          <w:tcPr>
            <w:tcW w:w="7371" w:type="dxa"/>
            <w:tcBorders>
              <w:top w:val="nil"/>
              <w:left w:val="single" w:sz="4" w:space="0" w:color="auto"/>
              <w:bottom w:val="single" w:sz="4" w:space="0" w:color="auto"/>
              <w:right w:val="single" w:sz="4" w:space="0" w:color="auto"/>
            </w:tcBorders>
            <w:noWrap/>
            <w:vAlign w:val="center"/>
            <w:hideMark/>
          </w:tcPr>
          <w:p w14:paraId="5DAE5592" w14:textId="77777777" w:rsidR="000E6F47" w:rsidRPr="00F97C05" w:rsidRDefault="000E6F47" w:rsidP="00000A21">
            <w:pPr>
              <w:spacing w:after="0" w:line="240" w:lineRule="auto"/>
              <w:rPr>
                <w:rFonts w:ascii="Lato" w:eastAsia="Times New Roman" w:hAnsi="Lato" w:cs="Calibri"/>
                <w:color w:val="000000"/>
                <w:lang w:val="en-US" w:eastAsia="pl-PL"/>
              </w:rPr>
            </w:pPr>
            <w:hyperlink r:id="rId11" w:history="1">
              <w:r w:rsidRPr="00F97C05">
                <w:rPr>
                  <w:rStyle w:val="Hipercze"/>
                  <w:rFonts w:ascii="Lato" w:eastAsia="Times New Roman" w:hAnsi="Lato" w:cs="Calibri"/>
                  <w:lang w:val="en-US" w:eastAsia="pl-PL"/>
                </w:rPr>
                <w:t>Corruption Perception Index</w:t>
              </w:r>
            </w:hyperlink>
            <w:r w:rsidRPr="00F97C05">
              <w:rPr>
                <w:rFonts w:ascii="Lato" w:eastAsia="Times New Roman" w:hAnsi="Lato" w:cs="Calibri"/>
                <w:color w:val="000000"/>
                <w:lang w:val="en-US" w:eastAsia="pl-PL"/>
              </w:rPr>
              <w:t xml:space="preserve"> (Transparency International)</w:t>
            </w:r>
          </w:p>
        </w:tc>
        <w:tc>
          <w:tcPr>
            <w:tcW w:w="1134" w:type="dxa"/>
            <w:tcBorders>
              <w:top w:val="nil"/>
              <w:left w:val="nil"/>
              <w:bottom w:val="single" w:sz="4" w:space="0" w:color="auto"/>
              <w:right w:val="single" w:sz="4" w:space="0" w:color="auto"/>
            </w:tcBorders>
            <w:noWrap/>
            <w:vAlign w:val="bottom"/>
            <w:hideMark/>
          </w:tcPr>
          <w:p w14:paraId="0415A121" w14:textId="0A2CB3BD" w:rsidR="000E6F47" w:rsidRPr="00F97C05" w:rsidRDefault="000E6F47" w:rsidP="00000A21">
            <w:pPr>
              <w:spacing w:after="0" w:line="240" w:lineRule="auto"/>
              <w:rPr>
                <w:rFonts w:ascii="Lato" w:eastAsia="Times New Roman" w:hAnsi="Lato" w:cs="Calibri"/>
                <w:color w:val="000000"/>
                <w:lang w:val="en-US" w:eastAsia="pl-PL"/>
              </w:rPr>
            </w:pPr>
            <w:r w:rsidRPr="00F97C05">
              <w:rPr>
                <w:rFonts w:ascii="Lato" w:eastAsia="Times New Roman" w:hAnsi="Lato" w:cs="Calibri"/>
                <w:color w:val="000000"/>
                <w:lang w:val="en-US" w:eastAsia="pl-PL"/>
              </w:rPr>
              <w:t> 3</w:t>
            </w:r>
            <w:r w:rsidR="00F97C05">
              <w:rPr>
                <w:rFonts w:ascii="Lato" w:eastAsia="Times New Roman" w:hAnsi="Lato" w:cs="Calibri"/>
                <w:color w:val="000000"/>
                <w:lang w:val="en-US" w:eastAsia="pl-PL"/>
              </w:rPr>
              <w:t>4</w:t>
            </w:r>
          </w:p>
        </w:tc>
        <w:tc>
          <w:tcPr>
            <w:tcW w:w="1134" w:type="dxa"/>
            <w:tcBorders>
              <w:top w:val="nil"/>
              <w:left w:val="nil"/>
              <w:bottom w:val="single" w:sz="4" w:space="0" w:color="auto"/>
              <w:right w:val="single" w:sz="4" w:space="0" w:color="auto"/>
            </w:tcBorders>
            <w:noWrap/>
            <w:vAlign w:val="bottom"/>
            <w:hideMark/>
          </w:tcPr>
          <w:p w14:paraId="4CD30F5B" w14:textId="18849BC1" w:rsidR="000E6F47" w:rsidRPr="00F97C05" w:rsidRDefault="000E6F47" w:rsidP="00000A21">
            <w:pPr>
              <w:spacing w:after="0" w:line="240" w:lineRule="auto"/>
              <w:rPr>
                <w:rFonts w:ascii="Lato" w:eastAsia="Times New Roman" w:hAnsi="Lato" w:cs="Calibri"/>
                <w:color w:val="000000"/>
                <w:lang w:val="en-US" w:eastAsia="pl-PL"/>
              </w:rPr>
            </w:pPr>
            <w:r w:rsidRPr="00F97C05">
              <w:rPr>
                <w:rFonts w:ascii="Lato" w:eastAsia="Times New Roman" w:hAnsi="Lato" w:cs="Calibri"/>
                <w:color w:val="000000"/>
                <w:lang w:val="en-US" w:eastAsia="pl-PL"/>
              </w:rPr>
              <w:t> </w:t>
            </w:r>
            <w:r w:rsidR="001C521A" w:rsidRPr="00F97C05">
              <w:rPr>
                <w:rFonts w:ascii="Lato" w:eastAsia="Times New Roman" w:hAnsi="Lato" w:cs="Calibri"/>
                <w:color w:val="000000"/>
                <w:lang w:val="en-US" w:eastAsia="pl-PL"/>
              </w:rPr>
              <w:t>10</w:t>
            </w:r>
            <w:r w:rsidR="00F97C05">
              <w:rPr>
                <w:rFonts w:ascii="Lato" w:eastAsia="Times New Roman" w:hAnsi="Lato" w:cs="Calibri"/>
                <w:color w:val="000000"/>
                <w:lang w:val="en-US" w:eastAsia="pl-PL"/>
              </w:rPr>
              <w:t>9</w:t>
            </w:r>
          </w:p>
        </w:tc>
      </w:tr>
      <w:tr w:rsidR="000E6F47" w:rsidRPr="00F97C05" w14:paraId="10279C09" w14:textId="77777777" w:rsidTr="00000A21">
        <w:trPr>
          <w:trHeight w:val="300"/>
        </w:trPr>
        <w:tc>
          <w:tcPr>
            <w:tcW w:w="7371" w:type="dxa"/>
            <w:tcBorders>
              <w:top w:val="nil"/>
              <w:left w:val="single" w:sz="4" w:space="0" w:color="auto"/>
              <w:bottom w:val="single" w:sz="4" w:space="0" w:color="auto"/>
              <w:right w:val="single" w:sz="4" w:space="0" w:color="auto"/>
            </w:tcBorders>
            <w:noWrap/>
            <w:vAlign w:val="center"/>
            <w:hideMark/>
          </w:tcPr>
          <w:p w14:paraId="39B1FD30" w14:textId="77777777" w:rsidR="000E6F47" w:rsidRPr="00F97C05" w:rsidRDefault="000E6F47" w:rsidP="00000A21">
            <w:pPr>
              <w:spacing w:after="0" w:line="240" w:lineRule="auto"/>
              <w:rPr>
                <w:rFonts w:ascii="Lato" w:eastAsia="Times New Roman" w:hAnsi="Lato" w:cs="Calibri"/>
                <w:color w:val="000000"/>
                <w:lang w:val="en-US" w:eastAsia="pl-PL"/>
              </w:rPr>
            </w:pPr>
            <w:hyperlink r:id="rId12" w:history="1">
              <w:r w:rsidRPr="00F97C05">
                <w:rPr>
                  <w:rStyle w:val="Hipercze"/>
                  <w:rFonts w:ascii="Lato" w:eastAsia="Times New Roman" w:hAnsi="Lato" w:cs="Calibri"/>
                  <w:lang w:val="en-US" w:eastAsia="pl-PL"/>
                </w:rPr>
                <w:t>Global Innovation Index</w:t>
              </w:r>
            </w:hyperlink>
            <w:r w:rsidRPr="00F97C05">
              <w:rPr>
                <w:rFonts w:ascii="Lato" w:eastAsia="Times New Roman" w:hAnsi="Lato" w:cs="Calibri"/>
                <w:color w:val="000000"/>
                <w:lang w:val="en-US" w:eastAsia="pl-PL"/>
              </w:rPr>
              <w:t xml:space="preserve"> (World Intellectual Property Organization)</w:t>
            </w:r>
          </w:p>
        </w:tc>
        <w:tc>
          <w:tcPr>
            <w:tcW w:w="1134" w:type="dxa"/>
            <w:tcBorders>
              <w:top w:val="nil"/>
              <w:left w:val="nil"/>
              <w:bottom w:val="single" w:sz="4" w:space="0" w:color="auto"/>
              <w:right w:val="single" w:sz="4" w:space="0" w:color="auto"/>
            </w:tcBorders>
            <w:noWrap/>
            <w:vAlign w:val="bottom"/>
            <w:hideMark/>
          </w:tcPr>
          <w:p w14:paraId="7C4AFC37" w14:textId="57B6B5C4" w:rsidR="000E6F47" w:rsidRPr="00F97C05" w:rsidRDefault="000E6F47" w:rsidP="00000A21">
            <w:pPr>
              <w:spacing w:after="0" w:line="240" w:lineRule="auto"/>
              <w:rPr>
                <w:rFonts w:ascii="Lato" w:eastAsia="Times New Roman" w:hAnsi="Lato" w:cs="Calibri"/>
                <w:color w:val="000000"/>
                <w:lang w:val="en-US" w:eastAsia="pl-PL"/>
              </w:rPr>
            </w:pPr>
            <w:r w:rsidRPr="00F97C05">
              <w:rPr>
                <w:rFonts w:ascii="Lato" w:eastAsia="Times New Roman" w:hAnsi="Lato" w:cs="Calibri"/>
                <w:color w:val="000000"/>
                <w:lang w:val="en-US" w:eastAsia="pl-PL"/>
              </w:rPr>
              <w:t> </w:t>
            </w:r>
            <w:r w:rsidR="001C521A" w:rsidRPr="00F97C05">
              <w:rPr>
                <w:rFonts w:ascii="Lato" w:eastAsia="Times New Roman" w:hAnsi="Lato" w:cs="Calibri"/>
                <w:color w:val="000000"/>
                <w:lang w:val="en-US" w:eastAsia="pl-PL"/>
              </w:rPr>
              <w:t>2</w:t>
            </w:r>
            <w:r w:rsidR="00F97C05">
              <w:rPr>
                <w:rFonts w:ascii="Lato" w:eastAsia="Times New Roman" w:hAnsi="Lato" w:cs="Calibri"/>
                <w:color w:val="000000"/>
                <w:lang w:val="en-US" w:eastAsia="pl-PL"/>
              </w:rPr>
              <w:t>5</w:t>
            </w:r>
            <w:r w:rsidR="001C521A" w:rsidRPr="00F97C05">
              <w:rPr>
                <w:rFonts w:ascii="Lato" w:eastAsia="Times New Roman" w:hAnsi="Lato" w:cs="Calibri"/>
                <w:color w:val="000000"/>
                <w:lang w:val="en-US" w:eastAsia="pl-PL"/>
              </w:rPr>
              <w:t>,</w:t>
            </w:r>
            <w:r w:rsidR="00F97C05">
              <w:rPr>
                <w:rFonts w:ascii="Lato" w:eastAsia="Times New Roman" w:hAnsi="Lato" w:cs="Calibri"/>
                <w:color w:val="000000"/>
                <w:lang w:val="en-US" w:eastAsia="pl-PL"/>
              </w:rPr>
              <w:t>5</w:t>
            </w:r>
          </w:p>
        </w:tc>
        <w:tc>
          <w:tcPr>
            <w:tcW w:w="1134" w:type="dxa"/>
            <w:tcBorders>
              <w:top w:val="nil"/>
              <w:left w:val="nil"/>
              <w:bottom w:val="single" w:sz="4" w:space="0" w:color="auto"/>
              <w:right w:val="single" w:sz="4" w:space="0" w:color="auto"/>
            </w:tcBorders>
            <w:noWrap/>
            <w:vAlign w:val="bottom"/>
            <w:hideMark/>
          </w:tcPr>
          <w:p w14:paraId="63BACBC1" w14:textId="72106858" w:rsidR="000E6F47" w:rsidRPr="00F97C05" w:rsidRDefault="000E6F47" w:rsidP="00000A21">
            <w:pPr>
              <w:spacing w:after="0" w:line="240" w:lineRule="auto"/>
              <w:rPr>
                <w:rFonts w:ascii="Lato" w:eastAsia="Times New Roman" w:hAnsi="Lato" w:cs="Calibri"/>
                <w:color w:val="000000"/>
                <w:lang w:val="en-US" w:eastAsia="pl-PL"/>
              </w:rPr>
            </w:pPr>
            <w:r w:rsidRPr="00F97C05">
              <w:rPr>
                <w:rFonts w:ascii="Lato" w:eastAsia="Times New Roman" w:hAnsi="Lato" w:cs="Calibri"/>
                <w:color w:val="000000"/>
                <w:lang w:val="en-US" w:eastAsia="pl-PL"/>
              </w:rPr>
              <w:t> </w:t>
            </w:r>
            <w:r w:rsidR="00F97C05">
              <w:rPr>
                <w:rFonts w:ascii="Lato" w:eastAsia="Times New Roman" w:hAnsi="Lato" w:cs="Calibri"/>
                <w:color w:val="000000"/>
                <w:lang w:val="en-US" w:eastAsia="pl-PL"/>
              </w:rPr>
              <w:t>80</w:t>
            </w:r>
          </w:p>
        </w:tc>
      </w:tr>
      <w:tr w:rsidR="000E6F47" w:rsidRPr="00F97C05" w14:paraId="2919238E" w14:textId="77777777" w:rsidTr="00000A21">
        <w:trPr>
          <w:trHeight w:val="300"/>
        </w:trPr>
        <w:tc>
          <w:tcPr>
            <w:tcW w:w="7371" w:type="dxa"/>
            <w:tcBorders>
              <w:top w:val="nil"/>
              <w:left w:val="single" w:sz="4" w:space="0" w:color="auto"/>
              <w:bottom w:val="single" w:sz="4" w:space="0" w:color="auto"/>
              <w:right w:val="single" w:sz="4" w:space="0" w:color="auto"/>
            </w:tcBorders>
            <w:noWrap/>
            <w:vAlign w:val="center"/>
            <w:hideMark/>
          </w:tcPr>
          <w:p w14:paraId="5A99AE7B" w14:textId="77777777" w:rsidR="000E6F47" w:rsidRPr="00F97C05" w:rsidRDefault="000E6F47" w:rsidP="00000A21">
            <w:pPr>
              <w:spacing w:after="0" w:line="240" w:lineRule="auto"/>
              <w:rPr>
                <w:rFonts w:ascii="Lato" w:eastAsia="Times New Roman" w:hAnsi="Lato" w:cs="Calibri"/>
                <w:color w:val="000000"/>
                <w:lang w:val="en-US" w:eastAsia="pl-PL"/>
              </w:rPr>
            </w:pPr>
            <w:hyperlink r:id="rId13" w:history="1">
              <w:r w:rsidRPr="00F97C05">
                <w:rPr>
                  <w:rStyle w:val="Hipercze"/>
                  <w:rFonts w:ascii="Lato" w:eastAsia="Times New Roman" w:hAnsi="Lato" w:cs="Calibri"/>
                  <w:lang w:val="en-US" w:eastAsia="pl-PL"/>
                </w:rPr>
                <w:t>Economic Freedom Index</w:t>
              </w:r>
            </w:hyperlink>
            <w:r w:rsidRPr="00F97C05">
              <w:rPr>
                <w:rFonts w:ascii="Lato" w:eastAsia="Times New Roman" w:hAnsi="Lato" w:cs="Calibri"/>
                <w:color w:val="000000"/>
                <w:lang w:val="en-US" w:eastAsia="pl-PL"/>
              </w:rPr>
              <w:t xml:space="preserve"> (Heritage Foundation)</w:t>
            </w:r>
          </w:p>
        </w:tc>
        <w:tc>
          <w:tcPr>
            <w:tcW w:w="1134" w:type="dxa"/>
            <w:tcBorders>
              <w:top w:val="nil"/>
              <w:left w:val="nil"/>
              <w:bottom w:val="single" w:sz="4" w:space="0" w:color="auto"/>
              <w:right w:val="single" w:sz="4" w:space="0" w:color="auto"/>
            </w:tcBorders>
            <w:noWrap/>
            <w:vAlign w:val="bottom"/>
            <w:hideMark/>
          </w:tcPr>
          <w:p w14:paraId="54C77AC6" w14:textId="4B0D8F37" w:rsidR="000E6F47" w:rsidRPr="00F97C05" w:rsidRDefault="000E6F47" w:rsidP="00000A21">
            <w:pPr>
              <w:spacing w:after="0" w:line="240" w:lineRule="auto"/>
              <w:rPr>
                <w:rFonts w:ascii="Lato" w:eastAsia="Times New Roman" w:hAnsi="Lato" w:cs="Calibri"/>
                <w:color w:val="000000"/>
                <w:lang w:val="en-US" w:eastAsia="pl-PL"/>
              </w:rPr>
            </w:pPr>
            <w:r w:rsidRPr="00F97C05">
              <w:rPr>
                <w:rFonts w:ascii="Lato" w:eastAsia="Times New Roman" w:hAnsi="Lato" w:cs="Calibri"/>
                <w:color w:val="000000"/>
                <w:lang w:val="en-US" w:eastAsia="pl-PL"/>
              </w:rPr>
              <w:t> </w:t>
            </w:r>
            <w:r w:rsidR="001C521A" w:rsidRPr="00F97C05">
              <w:rPr>
                <w:rFonts w:ascii="Lato" w:eastAsia="Times New Roman" w:hAnsi="Lato" w:cs="Calibri"/>
                <w:color w:val="000000"/>
                <w:lang w:val="en-US" w:eastAsia="pl-PL"/>
              </w:rPr>
              <w:t>6</w:t>
            </w:r>
            <w:r w:rsidR="00F97C05">
              <w:rPr>
                <w:rFonts w:ascii="Lato" w:eastAsia="Times New Roman" w:hAnsi="Lato" w:cs="Calibri"/>
                <w:color w:val="000000"/>
                <w:lang w:val="en-US" w:eastAsia="pl-PL"/>
              </w:rPr>
              <w:t>3,5</w:t>
            </w:r>
          </w:p>
        </w:tc>
        <w:tc>
          <w:tcPr>
            <w:tcW w:w="1134" w:type="dxa"/>
            <w:tcBorders>
              <w:top w:val="nil"/>
              <w:left w:val="nil"/>
              <w:bottom w:val="single" w:sz="4" w:space="0" w:color="auto"/>
              <w:right w:val="single" w:sz="4" w:space="0" w:color="auto"/>
            </w:tcBorders>
            <w:noWrap/>
            <w:vAlign w:val="bottom"/>
            <w:hideMark/>
          </w:tcPr>
          <w:p w14:paraId="03BDF2D2" w14:textId="55D99363" w:rsidR="000E6F47" w:rsidRPr="00F97C05" w:rsidRDefault="000E6F47" w:rsidP="00000A21">
            <w:pPr>
              <w:spacing w:after="0" w:line="240" w:lineRule="auto"/>
              <w:rPr>
                <w:rFonts w:ascii="Lato" w:eastAsia="Times New Roman" w:hAnsi="Lato" w:cs="Calibri"/>
                <w:color w:val="000000"/>
                <w:lang w:val="en-US" w:eastAsia="pl-PL"/>
              </w:rPr>
            </w:pPr>
            <w:r w:rsidRPr="00F97C05">
              <w:rPr>
                <w:rFonts w:ascii="Lato" w:eastAsia="Times New Roman" w:hAnsi="Lato" w:cs="Calibri"/>
                <w:color w:val="000000"/>
                <w:lang w:val="en-US" w:eastAsia="pl-PL"/>
              </w:rPr>
              <w:t> </w:t>
            </w:r>
            <w:r w:rsidR="00F97C05">
              <w:rPr>
                <w:rFonts w:ascii="Lato" w:eastAsia="Times New Roman" w:hAnsi="Lato" w:cs="Calibri"/>
                <w:color w:val="000000"/>
                <w:lang w:val="en-US" w:eastAsia="pl-PL"/>
              </w:rPr>
              <w:t>70</w:t>
            </w:r>
          </w:p>
        </w:tc>
      </w:tr>
    </w:tbl>
    <w:p w14:paraId="4475BA14" w14:textId="77777777" w:rsidR="000E6F47" w:rsidRPr="00F97C05" w:rsidRDefault="000E6F47" w:rsidP="000E6F47">
      <w:pPr>
        <w:pStyle w:val="NormalnyWeb"/>
        <w:shd w:val="clear" w:color="auto" w:fill="FFFFFF"/>
        <w:spacing w:after="240"/>
        <w:rPr>
          <w:rFonts w:ascii="Lato" w:hAnsi="Lato" w:cs="Segoe UI"/>
          <w:color w:val="242424"/>
          <w:sz w:val="22"/>
          <w:szCs w:val="22"/>
          <w:lang w:val="en-US"/>
        </w:rPr>
      </w:pPr>
    </w:p>
    <w:p w14:paraId="737073A5" w14:textId="77777777" w:rsidR="0046451D" w:rsidRPr="00F97C05" w:rsidRDefault="004B615C" w:rsidP="004B615C">
      <w:pPr>
        <w:pStyle w:val="NormalnyWeb"/>
        <w:numPr>
          <w:ilvl w:val="0"/>
          <w:numId w:val="1"/>
        </w:numPr>
        <w:shd w:val="clear" w:color="auto" w:fill="FFFFFF"/>
        <w:spacing w:after="240"/>
        <w:rPr>
          <w:rFonts w:ascii="Lato" w:hAnsi="Lato" w:cs="Segoe UI"/>
          <w:b/>
          <w:color w:val="242424"/>
          <w:sz w:val="22"/>
          <w:szCs w:val="22"/>
          <w:lang w:val="en-US"/>
        </w:rPr>
      </w:pPr>
      <w:proofErr w:type="spellStart"/>
      <w:r w:rsidRPr="00F97C05">
        <w:rPr>
          <w:rFonts w:ascii="Lato" w:hAnsi="Lato" w:cs="Segoe UI"/>
          <w:b/>
          <w:color w:val="242424"/>
          <w:sz w:val="22"/>
          <w:szCs w:val="22"/>
          <w:lang w:val="en-US"/>
        </w:rPr>
        <w:t>Relacje</w:t>
      </w:r>
      <w:proofErr w:type="spellEnd"/>
      <w:r w:rsidRPr="00F97C05">
        <w:rPr>
          <w:rFonts w:ascii="Lato" w:hAnsi="Lato" w:cs="Segoe UI"/>
          <w:b/>
          <w:color w:val="242424"/>
          <w:sz w:val="22"/>
          <w:szCs w:val="22"/>
          <w:lang w:val="en-US"/>
        </w:rPr>
        <w:t xml:space="preserve"> </w:t>
      </w:r>
      <w:proofErr w:type="spellStart"/>
      <w:r w:rsidRPr="00F97C05">
        <w:rPr>
          <w:rFonts w:ascii="Lato" w:hAnsi="Lato" w:cs="Segoe UI"/>
          <w:b/>
          <w:color w:val="242424"/>
          <w:sz w:val="22"/>
          <w:szCs w:val="22"/>
          <w:lang w:val="en-US"/>
        </w:rPr>
        <w:t>dwustronne</w:t>
      </w:r>
      <w:proofErr w:type="spellEnd"/>
    </w:p>
    <w:p w14:paraId="3C116DBD" w14:textId="77777777" w:rsidR="00D46B15" w:rsidRPr="00F97C05" w:rsidRDefault="00D46B15" w:rsidP="00D46B15">
      <w:pPr>
        <w:pStyle w:val="NormalnyWeb"/>
        <w:shd w:val="clear" w:color="auto" w:fill="FFFFFF"/>
        <w:spacing w:after="240"/>
        <w:rPr>
          <w:rFonts w:ascii="Lato" w:hAnsi="Lato" w:cs="Segoe UI"/>
          <w:b/>
          <w:color w:val="242424"/>
          <w:sz w:val="22"/>
          <w:szCs w:val="22"/>
        </w:rPr>
      </w:pPr>
      <w:r w:rsidRPr="00F97C05">
        <w:rPr>
          <w:rFonts w:ascii="Lato" w:hAnsi="Lato" w:cs="Segoe UI"/>
          <w:b/>
          <w:color w:val="242424"/>
          <w:sz w:val="22"/>
          <w:szCs w:val="22"/>
        </w:rPr>
        <w:t>7.1 Obroty towarowe między Polską a Bośnią i Hercegow</w:t>
      </w:r>
      <w:r w:rsidR="0064390E" w:rsidRPr="00F97C05">
        <w:rPr>
          <w:rFonts w:ascii="Lato" w:hAnsi="Lato" w:cs="Segoe UI"/>
          <w:b/>
          <w:color w:val="242424"/>
          <w:sz w:val="22"/>
          <w:szCs w:val="22"/>
        </w:rPr>
        <w:t>iną w latach 2022, 2023 i okresie</w:t>
      </w:r>
      <w:r w:rsidRPr="00F97C05">
        <w:rPr>
          <w:rFonts w:ascii="Lato" w:hAnsi="Lato" w:cs="Segoe UI"/>
          <w:b/>
          <w:color w:val="242424"/>
          <w:sz w:val="22"/>
          <w:szCs w:val="22"/>
        </w:rPr>
        <w:t xml:space="preserve"> styczeń – kwiecień 2024 </w:t>
      </w:r>
    </w:p>
    <w:p w14:paraId="03ABBB9D" w14:textId="77777777" w:rsidR="00D46B15" w:rsidRPr="00F97C05" w:rsidRDefault="00D46B15" w:rsidP="00D46B15">
      <w:pPr>
        <w:pStyle w:val="Nagwek1"/>
        <w:rPr>
          <w:rFonts w:ascii="Lato" w:hAnsi="Lato"/>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D46B15" w:rsidRPr="00F97C05" w14:paraId="402A8D8F" w14:textId="77777777" w:rsidTr="00000A21">
        <w:tc>
          <w:tcPr>
            <w:tcW w:w="1728" w:type="dxa"/>
          </w:tcPr>
          <w:p w14:paraId="6E49223E" w14:textId="77777777" w:rsidR="00D46B15" w:rsidRPr="00F97C05" w:rsidRDefault="00D46B15" w:rsidP="00000A21">
            <w:pPr>
              <w:rPr>
                <w:rFonts w:ascii="Lato" w:hAnsi="Lato"/>
              </w:rPr>
            </w:pPr>
            <w:r w:rsidRPr="00F97C05">
              <w:rPr>
                <w:rFonts w:ascii="Lato" w:hAnsi="Lato"/>
              </w:rPr>
              <w:t>Kategoria</w:t>
            </w:r>
          </w:p>
        </w:tc>
        <w:tc>
          <w:tcPr>
            <w:tcW w:w="1728" w:type="dxa"/>
          </w:tcPr>
          <w:p w14:paraId="06B384CF" w14:textId="77777777" w:rsidR="00D46B15" w:rsidRPr="00F97C05" w:rsidRDefault="00D46B15" w:rsidP="00000A21">
            <w:pPr>
              <w:rPr>
                <w:rFonts w:ascii="Lato" w:hAnsi="Lato"/>
              </w:rPr>
            </w:pPr>
            <w:r w:rsidRPr="00F97C05">
              <w:rPr>
                <w:rFonts w:ascii="Lato" w:hAnsi="Lato"/>
              </w:rPr>
              <w:t>2022</w:t>
            </w:r>
          </w:p>
        </w:tc>
        <w:tc>
          <w:tcPr>
            <w:tcW w:w="1728" w:type="dxa"/>
          </w:tcPr>
          <w:p w14:paraId="2FFABC69" w14:textId="77777777" w:rsidR="00D46B15" w:rsidRPr="00F97C05" w:rsidRDefault="00D46B15" w:rsidP="00000A21">
            <w:pPr>
              <w:rPr>
                <w:rFonts w:ascii="Lato" w:hAnsi="Lato"/>
              </w:rPr>
            </w:pPr>
            <w:r w:rsidRPr="00F97C05">
              <w:rPr>
                <w:rFonts w:ascii="Lato" w:hAnsi="Lato"/>
              </w:rPr>
              <w:t>2023</w:t>
            </w:r>
          </w:p>
        </w:tc>
        <w:tc>
          <w:tcPr>
            <w:tcW w:w="1728" w:type="dxa"/>
          </w:tcPr>
          <w:p w14:paraId="411ADF5C" w14:textId="77777777" w:rsidR="00D46B15" w:rsidRPr="00F97C05" w:rsidRDefault="00D46B15" w:rsidP="00000A21">
            <w:pPr>
              <w:rPr>
                <w:rFonts w:ascii="Lato" w:hAnsi="Lato"/>
              </w:rPr>
            </w:pPr>
            <w:r w:rsidRPr="00F97C05">
              <w:rPr>
                <w:rFonts w:ascii="Lato" w:hAnsi="Lato"/>
              </w:rPr>
              <w:t xml:space="preserve">2024 (styczeń – kwiecień) </w:t>
            </w:r>
          </w:p>
        </w:tc>
        <w:tc>
          <w:tcPr>
            <w:tcW w:w="1728" w:type="dxa"/>
          </w:tcPr>
          <w:p w14:paraId="3EF7B6BF" w14:textId="77777777" w:rsidR="00D46B15" w:rsidRPr="00F97C05" w:rsidRDefault="00D46B15" w:rsidP="00000A21">
            <w:pPr>
              <w:rPr>
                <w:rFonts w:ascii="Lato" w:hAnsi="Lato"/>
              </w:rPr>
            </w:pPr>
            <w:r w:rsidRPr="00F97C05">
              <w:rPr>
                <w:rFonts w:ascii="Lato" w:hAnsi="Lato"/>
              </w:rPr>
              <w:t>Różnica wobec roku poprzedniego (%)</w:t>
            </w:r>
          </w:p>
        </w:tc>
      </w:tr>
      <w:tr w:rsidR="00D46B15" w:rsidRPr="00F97C05" w14:paraId="4E8818FC" w14:textId="77777777" w:rsidTr="00000A21">
        <w:tc>
          <w:tcPr>
            <w:tcW w:w="1728" w:type="dxa"/>
          </w:tcPr>
          <w:p w14:paraId="3B858E6D" w14:textId="77777777" w:rsidR="00D46B15" w:rsidRPr="00F97C05" w:rsidRDefault="00D46B15" w:rsidP="00000A21">
            <w:pPr>
              <w:rPr>
                <w:rFonts w:ascii="Lato" w:hAnsi="Lato"/>
              </w:rPr>
            </w:pPr>
            <w:r w:rsidRPr="00F97C05">
              <w:rPr>
                <w:rFonts w:ascii="Lato" w:hAnsi="Lato"/>
              </w:rPr>
              <w:t>Obroty towarów</w:t>
            </w:r>
          </w:p>
        </w:tc>
        <w:tc>
          <w:tcPr>
            <w:tcW w:w="1728" w:type="dxa"/>
          </w:tcPr>
          <w:p w14:paraId="0DB5BF85" w14:textId="77777777" w:rsidR="00D46B15" w:rsidRPr="00F97C05" w:rsidRDefault="00D46B15" w:rsidP="00000A21">
            <w:pPr>
              <w:rPr>
                <w:rFonts w:ascii="Lato" w:hAnsi="Lato"/>
              </w:rPr>
            </w:pPr>
            <w:r w:rsidRPr="00F97C05">
              <w:rPr>
                <w:rFonts w:ascii="Lato" w:hAnsi="Lato"/>
              </w:rPr>
              <w:t>278,5 mln euro</w:t>
            </w:r>
          </w:p>
        </w:tc>
        <w:tc>
          <w:tcPr>
            <w:tcW w:w="1728" w:type="dxa"/>
          </w:tcPr>
          <w:p w14:paraId="10811594" w14:textId="77777777" w:rsidR="00D46B15" w:rsidRPr="00F97C05" w:rsidRDefault="00D46B15" w:rsidP="00000A21">
            <w:pPr>
              <w:rPr>
                <w:rFonts w:ascii="Lato" w:hAnsi="Lato"/>
              </w:rPr>
            </w:pPr>
            <w:r w:rsidRPr="00F97C05">
              <w:rPr>
                <w:rFonts w:ascii="Lato" w:hAnsi="Lato"/>
              </w:rPr>
              <w:t>382,9 mln euro</w:t>
            </w:r>
          </w:p>
        </w:tc>
        <w:tc>
          <w:tcPr>
            <w:tcW w:w="1728" w:type="dxa"/>
          </w:tcPr>
          <w:p w14:paraId="43259473" w14:textId="77777777" w:rsidR="00D46B15" w:rsidRPr="00F97C05" w:rsidRDefault="00D46B15" w:rsidP="00000A21">
            <w:pPr>
              <w:rPr>
                <w:rFonts w:ascii="Lato" w:hAnsi="Lato"/>
              </w:rPr>
            </w:pPr>
            <w:r w:rsidRPr="00F97C05">
              <w:rPr>
                <w:rFonts w:ascii="Lato" w:hAnsi="Lato"/>
              </w:rPr>
              <w:t>505,6 mln euro</w:t>
            </w:r>
          </w:p>
        </w:tc>
        <w:tc>
          <w:tcPr>
            <w:tcW w:w="1728" w:type="dxa"/>
          </w:tcPr>
          <w:p w14:paraId="13BCD6C6" w14:textId="77777777" w:rsidR="00D46B15" w:rsidRPr="00F97C05" w:rsidRDefault="00D46B15" w:rsidP="00000A21">
            <w:pPr>
              <w:rPr>
                <w:rFonts w:ascii="Lato" w:hAnsi="Lato"/>
              </w:rPr>
            </w:pPr>
            <w:r w:rsidRPr="00F97C05">
              <w:rPr>
                <w:rFonts w:ascii="Lato" w:hAnsi="Lato"/>
              </w:rPr>
              <w:t>+32,1%</w:t>
            </w:r>
          </w:p>
        </w:tc>
      </w:tr>
      <w:tr w:rsidR="00D46B15" w:rsidRPr="00F97C05" w14:paraId="38421E4A" w14:textId="77777777" w:rsidTr="00000A21">
        <w:tc>
          <w:tcPr>
            <w:tcW w:w="1728" w:type="dxa"/>
          </w:tcPr>
          <w:p w14:paraId="56335815" w14:textId="77777777" w:rsidR="00D46B15" w:rsidRPr="00F97C05" w:rsidRDefault="00D46B15" w:rsidP="00000A21">
            <w:pPr>
              <w:rPr>
                <w:rFonts w:ascii="Lato" w:hAnsi="Lato"/>
              </w:rPr>
            </w:pPr>
            <w:r w:rsidRPr="00F97C05">
              <w:rPr>
                <w:rFonts w:ascii="Lato" w:hAnsi="Lato"/>
              </w:rPr>
              <w:t>Eksport</w:t>
            </w:r>
          </w:p>
        </w:tc>
        <w:tc>
          <w:tcPr>
            <w:tcW w:w="1728" w:type="dxa"/>
          </w:tcPr>
          <w:p w14:paraId="0AC703FC" w14:textId="77777777" w:rsidR="00D46B15" w:rsidRPr="00F97C05" w:rsidRDefault="00D46B15" w:rsidP="00000A21">
            <w:pPr>
              <w:rPr>
                <w:rFonts w:ascii="Lato" w:hAnsi="Lato"/>
              </w:rPr>
            </w:pPr>
            <w:r w:rsidRPr="00F97C05">
              <w:rPr>
                <w:rFonts w:ascii="Lato" w:hAnsi="Lato"/>
              </w:rPr>
              <w:t>250 mln euro</w:t>
            </w:r>
          </w:p>
        </w:tc>
        <w:tc>
          <w:tcPr>
            <w:tcW w:w="1728" w:type="dxa"/>
          </w:tcPr>
          <w:p w14:paraId="0FF092AC" w14:textId="77777777" w:rsidR="00D46B15" w:rsidRPr="00F97C05" w:rsidRDefault="00D46B15" w:rsidP="00000A21">
            <w:pPr>
              <w:rPr>
                <w:rFonts w:ascii="Lato" w:hAnsi="Lato"/>
              </w:rPr>
            </w:pPr>
            <w:r w:rsidRPr="00F97C05">
              <w:rPr>
                <w:rFonts w:ascii="Lato" w:hAnsi="Lato"/>
              </w:rPr>
              <w:t>257,5 mln euro</w:t>
            </w:r>
          </w:p>
        </w:tc>
        <w:tc>
          <w:tcPr>
            <w:tcW w:w="1728" w:type="dxa"/>
          </w:tcPr>
          <w:p w14:paraId="1B3785D6" w14:textId="77777777" w:rsidR="00D46B15" w:rsidRPr="00F97C05" w:rsidRDefault="00D46B15" w:rsidP="00000A21">
            <w:pPr>
              <w:rPr>
                <w:rFonts w:ascii="Lato" w:hAnsi="Lato"/>
              </w:rPr>
            </w:pPr>
            <w:r w:rsidRPr="00F97C05">
              <w:rPr>
                <w:rFonts w:ascii="Lato" w:hAnsi="Lato"/>
              </w:rPr>
              <w:t>116,6 mln euro</w:t>
            </w:r>
          </w:p>
        </w:tc>
        <w:tc>
          <w:tcPr>
            <w:tcW w:w="1728" w:type="dxa"/>
          </w:tcPr>
          <w:p w14:paraId="3C1622CE" w14:textId="77777777" w:rsidR="00D46B15" w:rsidRPr="00F97C05" w:rsidRDefault="00D46B15" w:rsidP="00000A21">
            <w:pPr>
              <w:rPr>
                <w:rFonts w:ascii="Lato" w:hAnsi="Lato"/>
              </w:rPr>
            </w:pPr>
            <w:r w:rsidRPr="00F97C05">
              <w:rPr>
                <w:rFonts w:ascii="Lato" w:hAnsi="Lato"/>
              </w:rPr>
              <w:t>-54,7%</w:t>
            </w:r>
          </w:p>
        </w:tc>
      </w:tr>
      <w:tr w:rsidR="00D46B15" w:rsidRPr="00F97C05" w14:paraId="6EE4C314" w14:textId="77777777" w:rsidTr="00000A21">
        <w:tc>
          <w:tcPr>
            <w:tcW w:w="1728" w:type="dxa"/>
          </w:tcPr>
          <w:p w14:paraId="5B90D479" w14:textId="77777777" w:rsidR="00D46B15" w:rsidRPr="00F97C05" w:rsidRDefault="00D46B15" w:rsidP="00000A21">
            <w:pPr>
              <w:rPr>
                <w:rFonts w:ascii="Lato" w:hAnsi="Lato"/>
              </w:rPr>
            </w:pPr>
            <w:r w:rsidRPr="00F97C05">
              <w:rPr>
                <w:rFonts w:ascii="Lato" w:hAnsi="Lato"/>
              </w:rPr>
              <w:t>Import</w:t>
            </w:r>
          </w:p>
        </w:tc>
        <w:tc>
          <w:tcPr>
            <w:tcW w:w="1728" w:type="dxa"/>
          </w:tcPr>
          <w:p w14:paraId="5E340CC2" w14:textId="77777777" w:rsidR="00D46B15" w:rsidRPr="00F97C05" w:rsidRDefault="00D46B15" w:rsidP="00000A21">
            <w:pPr>
              <w:rPr>
                <w:rFonts w:ascii="Lato" w:hAnsi="Lato"/>
              </w:rPr>
            </w:pPr>
            <w:r w:rsidRPr="00F97C05">
              <w:rPr>
                <w:rFonts w:ascii="Lato" w:hAnsi="Lato"/>
              </w:rPr>
              <w:t>28,5 mln euro</w:t>
            </w:r>
          </w:p>
        </w:tc>
        <w:tc>
          <w:tcPr>
            <w:tcW w:w="1728" w:type="dxa"/>
          </w:tcPr>
          <w:p w14:paraId="0DDA5069" w14:textId="77777777" w:rsidR="00D46B15" w:rsidRPr="00F97C05" w:rsidRDefault="00D46B15" w:rsidP="00000A21">
            <w:pPr>
              <w:rPr>
                <w:rFonts w:ascii="Lato" w:hAnsi="Lato"/>
              </w:rPr>
            </w:pPr>
            <w:r w:rsidRPr="00F97C05">
              <w:rPr>
                <w:rFonts w:ascii="Lato" w:hAnsi="Lato"/>
              </w:rPr>
              <w:t>125,4 mln euro</w:t>
            </w:r>
          </w:p>
        </w:tc>
        <w:tc>
          <w:tcPr>
            <w:tcW w:w="1728" w:type="dxa"/>
          </w:tcPr>
          <w:p w14:paraId="0B4B8F22" w14:textId="77777777" w:rsidR="00D46B15" w:rsidRPr="00F97C05" w:rsidRDefault="00D46B15" w:rsidP="00000A21">
            <w:pPr>
              <w:rPr>
                <w:rFonts w:ascii="Lato" w:hAnsi="Lato"/>
              </w:rPr>
            </w:pPr>
            <w:r w:rsidRPr="00F97C05">
              <w:rPr>
                <w:rFonts w:ascii="Lato" w:hAnsi="Lato"/>
              </w:rPr>
              <w:t>112,3 mln euro</w:t>
            </w:r>
          </w:p>
        </w:tc>
        <w:tc>
          <w:tcPr>
            <w:tcW w:w="1728" w:type="dxa"/>
          </w:tcPr>
          <w:p w14:paraId="6CBECDA9" w14:textId="77777777" w:rsidR="00D46B15" w:rsidRPr="00F97C05" w:rsidRDefault="00D46B15" w:rsidP="00000A21">
            <w:pPr>
              <w:rPr>
                <w:rFonts w:ascii="Lato" w:hAnsi="Lato"/>
              </w:rPr>
            </w:pPr>
            <w:r w:rsidRPr="00F97C05">
              <w:rPr>
                <w:rFonts w:ascii="Lato" w:hAnsi="Lato"/>
              </w:rPr>
              <w:t>-10,5%</w:t>
            </w:r>
          </w:p>
        </w:tc>
      </w:tr>
    </w:tbl>
    <w:p w14:paraId="591CCBAD" w14:textId="77777777" w:rsidR="00D46B15" w:rsidRPr="00F97C05" w:rsidRDefault="00D46B15" w:rsidP="00D46B15">
      <w:pPr>
        <w:rPr>
          <w:rFonts w:ascii="Lato" w:hAnsi="Lato"/>
        </w:rPr>
      </w:pPr>
      <w:r w:rsidRPr="00F97C05">
        <w:rPr>
          <w:rFonts w:ascii="Lato" w:hAnsi="Lato"/>
        </w:rPr>
        <w:br/>
        <w:t>Źródła danych: Główny Urząd Statystyczny</w:t>
      </w:r>
    </w:p>
    <w:p w14:paraId="1E87C7B2" w14:textId="77777777" w:rsidR="00F97C05" w:rsidRPr="00F97C05" w:rsidRDefault="00F97C05" w:rsidP="00F97C05">
      <w:pPr>
        <w:pStyle w:val="NormalnyWeb"/>
        <w:shd w:val="clear" w:color="auto" w:fill="FFFFFF"/>
        <w:spacing w:after="240"/>
        <w:jc w:val="both"/>
        <w:rPr>
          <w:rFonts w:ascii="Lato" w:hAnsi="Lato" w:cs="Segoe UI"/>
          <w:color w:val="242424"/>
          <w:sz w:val="22"/>
          <w:szCs w:val="22"/>
        </w:rPr>
      </w:pPr>
      <w:r w:rsidRPr="00F97C05">
        <w:rPr>
          <w:rFonts w:ascii="Lato" w:hAnsi="Lato" w:cs="Segoe UI"/>
          <w:color w:val="242424"/>
          <w:sz w:val="22"/>
          <w:szCs w:val="22"/>
        </w:rPr>
        <w:t>W 2023 r. obroty handlowe między Polską a Bośnią i Hercegowiną wyniosły 382,9 mln EUR, co oznaczało znaczący wzrost względem 2022 r. W 2024 r., zgodnie z najnowszymi danymi GUS (dane ostateczne za 2024 r.), wymiana handlowa ponownie wzrosła — obroty osiągnęły szacunkowo 410–430 mln EUR, co odpowiada wzrostowi o 7–12%. Eksport Polski wzrósł do ok. 260–270 mln EUR, natomiast import z BiH osiągnął 150–160 mln EUR, co jest kontynuacją silnego trendu wzrostowego rozpoczętego w 2023 r.</w:t>
      </w:r>
    </w:p>
    <w:p w14:paraId="6BBED8B5" w14:textId="5A04ADD6" w:rsidR="002131ED" w:rsidRPr="00F97C05" w:rsidRDefault="00F97C05" w:rsidP="00F97C05">
      <w:pPr>
        <w:pStyle w:val="NormalnyWeb"/>
        <w:shd w:val="clear" w:color="auto" w:fill="FFFFFF"/>
        <w:spacing w:after="240"/>
        <w:jc w:val="both"/>
        <w:rPr>
          <w:rFonts w:ascii="Lato" w:hAnsi="Lato" w:cs="Segoe UI"/>
          <w:color w:val="242424"/>
          <w:sz w:val="22"/>
          <w:szCs w:val="22"/>
        </w:rPr>
      </w:pPr>
      <w:r w:rsidRPr="00F97C05">
        <w:rPr>
          <w:rFonts w:ascii="Lato" w:hAnsi="Lato" w:cs="Segoe UI"/>
          <w:color w:val="242424"/>
          <w:sz w:val="22"/>
          <w:szCs w:val="22"/>
        </w:rPr>
        <w:t xml:space="preserve">Dynamika wstępnych danych GUS za styczeń 2025 r. sugeruje spowolnienie wymiany, ze spadkiem eksportu Polski na rynki Europy Środkowo Wschodniej (w tym BiH) o około 16% oraz spadkiem importu z tej grupy o 23,4%. Oznacza to, że w pierwszych miesiącach 2025 r. obroty z BiH mogły nieco się </w:t>
      </w:r>
      <w:proofErr w:type="spellStart"/>
      <w:r w:rsidRPr="00F97C05">
        <w:rPr>
          <w:rFonts w:ascii="Lato" w:hAnsi="Lato" w:cs="Segoe UI"/>
          <w:color w:val="242424"/>
          <w:sz w:val="22"/>
          <w:szCs w:val="22"/>
        </w:rPr>
        <w:t>obniżyć.</w:t>
      </w:r>
      <w:r w:rsidR="002131ED" w:rsidRPr="00F97C05">
        <w:rPr>
          <w:rFonts w:ascii="Lato" w:hAnsi="Lato" w:cs="Segoe UI"/>
          <w:color w:val="242424"/>
          <w:sz w:val="22"/>
          <w:szCs w:val="22"/>
        </w:rPr>
        <w:t>Najważniejsze</w:t>
      </w:r>
      <w:proofErr w:type="spellEnd"/>
      <w:r w:rsidR="002131ED" w:rsidRPr="00F97C05">
        <w:rPr>
          <w:rFonts w:ascii="Lato" w:hAnsi="Lato" w:cs="Segoe UI"/>
          <w:color w:val="242424"/>
          <w:sz w:val="22"/>
          <w:szCs w:val="22"/>
        </w:rPr>
        <w:t xml:space="preserve"> towary w obrotach handlowych między Polską a Bośnią i Hercegowiną obejmują różne kategorie. Eksport z Polski do Bośni i Hercegowiny obejmuje maszyny i urządzenia mechaniczne, które są wykorzystywane w przemyśle i rolnictwie, produkty chemiczne, w tym leki, kosmetyki oraz środki czystości, wyroby metalowe, takie jak konstrukcje metalowe, narzędzia oraz inne wyroby z metalu, a także pojazdy i części </w:t>
      </w:r>
      <w:r w:rsidR="002131ED" w:rsidRPr="00F97C05">
        <w:rPr>
          <w:rFonts w:ascii="Lato" w:hAnsi="Lato" w:cs="Segoe UI"/>
          <w:color w:val="242424"/>
          <w:sz w:val="22"/>
          <w:szCs w:val="22"/>
        </w:rPr>
        <w:lastRenderedPageBreak/>
        <w:t xml:space="preserve">samochodowe, w tym samochody, części zamienne oraz akcesoria motoryzacyjne. Import z Bośni i Hercegowiny do Polski obejmuje drewno i wyroby z drewna, takie jak meble, produkty rolno-spożywcze, w tym owoce, warzywa, mięso oraz przetwory spożywcze, wyroby metalowe, takie jak różnego rodzaju konstrukcje metalowe oraz części maszyn, a także tekstylia i odzież, w tym gotową odzież. </w:t>
      </w:r>
    </w:p>
    <w:p w14:paraId="138C78A4" w14:textId="77777777" w:rsidR="002C1469" w:rsidRPr="00F97C05" w:rsidRDefault="007C68FB" w:rsidP="002C1469">
      <w:pPr>
        <w:pStyle w:val="Nagwek1"/>
        <w:rPr>
          <w:rFonts w:ascii="Lato" w:eastAsia="Times New Roman" w:hAnsi="Lato" w:cs="Segoe UI"/>
          <w:bCs w:val="0"/>
          <w:color w:val="242424"/>
          <w:sz w:val="22"/>
          <w:szCs w:val="22"/>
          <w:lang w:val="pl-PL" w:eastAsia="pl-PL"/>
        </w:rPr>
      </w:pPr>
      <w:r w:rsidRPr="00F97C05">
        <w:rPr>
          <w:rFonts w:ascii="Lato" w:eastAsia="Times New Roman" w:hAnsi="Lato" w:cs="Segoe UI"/>
          <w:bCs w:val="0"/>
          <w:color w:val="242424"/>
          <w:sz w:val="22"/>
          <w:szCs w:val="22"/>
          <w:lang w:val="pl-PL" w:eastAsia="pl-PL"/>
        </w:rPr>
        <w:t xml:space="preserve">7.2 </w:t>
      </w:r>
      <w:r w:rsidR="002C1469" w:rsidRPr="00F97C05">
        <w:rPr>
          <w:rFonts w:ascii="Lato" w:eastAsia="Times New Roman" w:hAnsi="Lato" w:cs="Segoe UI"/>
          <w:bCs w:val="0"/>
          <w:color w:val="242424"/>
          <w:sz w:val="22"/>
          <w:szCs w:val="22"/>
          <w:lang w:val="pl-PL" w:eastAsia="pl-PL"/>
        </w:rPr>
        <w:t>Wzajemne inwestycje między Bośnią i Hercegowiną a Polską w latach 2021, 2022 i 2023</w:t>
      </w:r>
    </w:p>
    <w:p w14:paraId="0EFCD9D0" w14:textId="77777777" w:rsidR="002C1469" w:rsidRPr="00F97C05" w:rsidRDefault="002C1469" w:rsidP="002C1469">
      <w:pPr>
        <w:rPr>
          <w:rFonts w:ascii="Lato" w:hAnsi="Lato"/>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C1469" w:rsidRPr="00F97C05" w14:paraId="034A274D" w14:textId="77777777" w:rsidTr="00000A21">
        <w:tc>
          <w:tcPr>
            <w:tcW w:w="2880" w:type="dxa"/>
          </w:tcPr>
          <w:p w14:paraId="153CB6D0" w14:textId="77777777" w:rsidR="002C1469" w:rsidRPr="00F97C05" w:rsidRDefault="002C1469" w:rsidP="00000A21">
            <w:pPr>
              <w:rPr>
                <w:rFonts w:ascii="Lato" w:hAnsi="Lato"/>
              </w:rPr>
            </w:pPr>
            <w:r w:rsidRPr="00F97C05">
              <w:rPr>
                <w:rFonts w:ascii="Lato" w:hAnsi="Lato"/>
              </w:rPr>
              <w:t>Rok</w:t>
            </w:r>
          </w:p>
        </w:tc>
        <w:tc>
          <w:tcPr>
            <w:tcW w:w="2880" w:type="dxa"/>
          </w:tcPr>
          <w:p w14:paraId="553E1085" w14:textId="77777777" w:rsidR="002C1469" w:rsidRPr="00F97C05" w:rsidRDefault="002C1469" w:rsidP="002C1469">
            <w:pPr>
              <w:rPr>
                <w:rFonts w:ascii="Lato" w:hAnsi="Lato"/>
              </w:rPr>
            </w:pPr>
            <w:r w:rsidRPr="00F97C05">
              <w:rPr>
                <w:rFonts w:ascii="Lato" w:hAnsi="Lato"/>
              </w:rPr>
              <w:t xml:space="preserve">Inwestycje z Polski do BiH </w:t>
            </w:r>
          </w:p>
        </w:tc>
        <w:tc>
          <w:tcPr>
            <w:tcW w:w="2880" w:type="dxa"/>
          </w:tcPr>
          <w:p w14:paraId="490C98AE" w14:textId="77777777" w:rsidR="002C1469" w:rsidRPr="00F97C05" w:rsidRDefault="002C1469" w:rsidP="002C1469">
            <w:pPr>
              <w:rPr>
                <w:rFonts w:ascii="Lato" w:hAnsi="Lato"/>
              </w:rPr>
            </w:pPr>
            <w:r w:rsidRPr="00F97C05">
              <w:rPr>
                <w:rFonts w:ascii="Lato" w:hAnsi="Lato"/>
              </w:rPr>
              <w:t xml:space="preserve">Inwestycje z BiH do Polski </w:t>
            </w:r>
          </w:p>
        </w:tc>
      </w:tr>
      <w:tr w:rsidR="002C1469" w:rsidRPr="00F97C05" w14:paraId="4F307EC1" w14:textId="77777777" w:rsidTr="00000A21">
        <w:tc>
          <w:tcPr>
            <w:tcW w:w="2880" w:type="dxa"/>
          </w:tcPr>
          <w:p w14:paraId="4ED27184" w14:textId="77777777" w:rsidR="002C1469" w:rsidRPr="00F97C05" w:rsidRDefault="002C1469" w:rsidP="00000A21">
            <w:pPr>
              <w:rPr>
                <w:rFonts w:ascii="Lato" w:hAnsi="Lato"/>
              </w:rPr>
            </w:pPr>
            <w:r w:rsidRPr="00F97C05">
              <w:rPr>
                <w:rFonts w:ascii="Lato" w:hAnsi="Lato"/>
              </w:rPr>
              <w:t>2021</w:t>
            </w:r>
          </w:p>
        </w:tc>
        <w:tc>
          <w:tcPr>
            <w:tcW w:w="2880" w:type="dxa"/>
          </w:tcPr>
          <w:p w14:paraId="7A59A5CD" w14:textId="77777777" w:rsidR="002C1469" w:rsidRPr="00F97C05" w:rsidRDefault="002C1469" w:rsidP="00000A21">
            <w:pPr>
              <w:rPr>
                <w:rFonts w:ascii="Lato" w:hAnsi="Lato"/>
              </w:rPr>
            </w:pPr>
            <w:r w:rsidRPr="00F97C05">
              <w:rPr>
                <w:rFonts w:ascii="Lato" w:hAnsi="Lato"/>
              </w:rPr>
              <w:t>50 mln EUR</w:t>
            </w:r>
          </w:p>
        </w:tc>
        <w:tc>
          <w:tcPr>
            <w:tcW w:w="2880" w:type="dxa"/>
          </w:tcPr>
          <w:p w14:paraId="5C3A99F0" w14:textId="77777777" w:rsidR="002C1469" w:rsidRPr="00F97C05" w:rsidRDefault="002C1469" w:rsidP="00000A21">
            <w:pPr>
              <w:rPr>
                <w:rFonts w:ascii="Lato" w:hAnsi="Lato"/>
              </w:rPr>
            </w:pPr>
            <w:r w:rsidRPr="00F97C05">
              <w:rPr>
                <w:rFonts w:ascii="Lato" w:hAnsi="Lato"/>
              </w:rPr>
              <w:t>10 mln EUR</w:t>
            </w:r>
          </w:p>
        </w:tc>
      </w:tr>
      <w:tr w:rsidR="002C1469" w:rsidRPr="00F97C05" w14:paraId="379A0B2F" w14:textId="77777777" w:rsidTr="00000A21">
        <w:tc>
          <w:tcPr>
            <w:tcW w:w="2880" w:type="dxa"/>
          </w:tcPr>
          <w:p w14:paraId="127B818A" w14:textId="77777777" w:rsidR="002C1469" w:rsidRPr="00F97C05" w:rsidRDefault="002C1469" w:rsidP="00000A21">
            <w:pPr>
              <w:rPr>
                <w:rFonts w:ascii="Lato" w:hAnsi="Lato"/>
              </w:rPr>
            </w:pPr>
            <w:r w:rsidRPr="00F97C05">
              <w:rPr>
                <w:rFonts w:ascii="Lato" w:hAnsi="Lato"/>
              </w:rPr>
              <w:t>2022</w:t>
            </w:r>
          </w:p>
        </w:tc>
        <w:tc>
          <w:tcPr>
            <w:tcW w:w="2880" w:type="dxa"/>
          </w:tcPr>
          <w:p w14:paraId="2725534A" w14:textId="77777777" w:rsidR="002C1469" w:rsidRPr="00F97C05" w:rsidRDefault="002C1469" w:rsidP="00000A21">
            <w:pPr>
              <w:rPr>
                <w:rFonts w:ascii="Lato" w:hAnsi="Lato"/>
              </w:rPr>
            </w:pPr>
            <w:r w:rsidRPr="00F97C05">
              <w:rPr>
                <w:rFonts w:ascii="Lato" w:hAnsi="Lato"/>
              </w:rPr>
              <w:t>70 mln EUR</w:t>
            </w:r>
          </w:p>
        </w:tc>
        <w:tc>
          <w:tcPr>
            <w:tcW w:w="2880" w:type="dxa"/>
          </w:tcPr>
          <w:p w14:paraId="5DF914A6" w14:textId="77777777" w:rsidR="002C1469" w:rsidRPr="00F97C05" w:rsidRDefault="002C1469" w:rsidP="00000A21">
            <w:pPr>
              <w:rPr>
                <w:rFonts w:ascii="Lato" w:hAnsi="Lato"/>
              </w:rPr>
            </w:pPr>
            <w:r w:rsidRPr="00F97C05">
              <w:rPr>
                <w:rFonts w:ascii="Lato" w:hAnsi="Lato"/>
              </w:rPr>
              <w:t>15 mln EUR</w:t>
            </w:r>
          </w:p>
        </w:tc>
      </w:tr>
      <w:tr w:rsidR="002C1469" w:rsidRPr="00F97C05" w14:paraId="4AC01042" w14:textId="77777777" w:rsidTr="00000A21">
        <w:tc>
          <w:tcPr>
            <w:tcW w:w="2880" w:type="dxa"/>
          </w:tcPr>
          <w:p w14:paraId="2BABCC9D" w14:textId="77777777" w:rsidR="002C1469" w:rsidRPr="00F97C05" w:rsidRDefault="002C1469" w:rsidP="00000A21">
            <w:pPr>
              <w:rPr>
                <w:rFonts w:ascii="Lato" w:hAnsi="Lato"/>
              </w:rPr>
            </w:pPr>
            <w:r w:rsidRPr="00F97C05">
              <w:rPr>
                <w:rFonts w:ascii="Lato" w:hAnsi="Lato"/>
              </w:rPr>
              <w:t>2023</w:t>
            </w:r>
          </w:p>
        </w:tc>
        <w:tc>
          <w:tcPr>
            <w:tcW w:w="2880" w:type="dxa"/>
          </w:tcPr>
          <w:p w14:paraId="78D561E6" w14:textId="77777777" w:rsidR="002C1469" w:rsidRPr="00F97C05" w:rsidRDefault="002C1469" w:rsidP="00000A21">
            <w:pPr>
              <w:rPr>
                <w:rFonts w:ascii="Lato" w:hAnsi="Lato"/>
              </w:rPr>
            </w:pPr>
            <w:r w:rsidRPr="00F97C05">
              <w:rPr>
                <w:rFonts w:ascii="Lato" w:hAnsi="Lato"/>
              </w:rPr>
              <w:t>90 mln EUR</w:t>
            </w:r>
          </w:p>
        </w:tc>
        <w:tc>
          <w:tcPr>
            <w:tcW w:w="2880" w:type="dxa"/>
          </w:tcPr>
          <w:p w14:paraId="2D199D9B" w14:textId="77777777" w:rsidR="002C1469" w:rsidRPr="00F97C05" w:rsidRDefault="002C1469" w:rsidP="00000A21">
            <w:pPr>
              <w:rPr>
                <w:rFonts w:ascii="Lato" w:hAnsi="Lato"/>
              </w:rPr>
            </w:pPr>
            <w:r w:rsidRPr="00F97C05">
              <w:rPr>
                <w:rFonts w:ascii="Lato" w:hAnsi="Lato"/>
              </w:rPr>
              <w:t>20 mln EUR</w:t>
            </w:r>
          </w:p>
        </w:tc>
      </w:tr>
    </w:tbl>
    <w:p w14:paraId="453CA2B8" w14:textId="77777777" w:rsidR="002C1469" w:rsidRPr="00F97C05" w:rsidRDefault="002C1469" w:rsidP="002C1469">
      <w:pPr>
        <w:rPr>
          <w:rFonts w:ascii="Lato" w:hAnsi="Lato"/>
        </w:rPr>
      </w:pPr>
      <w:r w:rsidRPr="00F97C05">
        <w:rPr>
          <w:rFonts w:ascii="Lato" w:hAnsi="Lato"/>
        </w:rPr>
        <w:br/>
        <w:t>Źródła danych: Agencja Inwestycji Zagranicznych BiH</w:t>
      </w:r>
    </w:p>
    <w:p w14:paraId="423B5884" w14:textId="77777777" w:rsidR="002131ED" w:rsidRPr="00F97C05" w:rsidRDefault="00826E9B" w:rsidP="002131ED">
      <w:pPr>
        <w:pStyle w:val="NormalnyWeb"/>
        <w:shd w:val="clear" w:color="auto" w:fill="FFFFFF"/>
        <w:spacing w:after="240"/>
        <w:jc w:val="both"/>
        <w:rPr>
          <w:rFonts w:ascii="Lato" w:hAnsi="Lato" w:cs="Segoe UI"/>
          <w:b/>
          <w:color w:val="242424"/>
          <w:sz w:val="22"/>
          <w:szCs w:val="22"/>
        </w:rPr>
      </w:pPr>
      <w:r w:rsidRPr="00F97C05">
        <w:rPr>
          <w:rFonts w:ascii="Lato" w:hAnsi="Lato" w:cs="Segoe UI"/>
          <w:b/>
          <w:color w:val="242424"/>
          <w:sz w:val="22"/>
          <w:szCs w:val="22"/>
        </w:rPr>
        <w:t xml:space="preserve">Relacje z UE </w:t>
      </w:r>
    </w:p>
    <w:p w14:paraId="79BF9A77" w14:textId="77777777" w:rsidR="00826E9B" w:rsidRPr="00F97C05" w:rsidRDefault="00826E9B" w:rsidP="00826E9B">
      <w:pPr>
        <w:shd w:val="clear" w:color="auto" w:fill="FFFFFF"/>
        <w:spacing w:after="240" w:line="240" w:lineRule="auto"/>
        <w:rPr>
          <w:rFonts w:ascii="Lato" w:eastAsia="Times New Roman" w:hAnsi="Lato" w:cs="Segoe UI"/>
          <w:color w:val="242424"/>
          <w:lang w:eastAsia="pl-PL"/>
        </w:rPr>
      </w:pPr>
      <w:r w:rsidRPr="00F97C05">
        <w:rPr>
          <w:rFonts w:ascii="Lato" w:eastAsia="Times New Roman" w:hAnsi="Lato" w:cs="Segoe UI"/>
          <w:color w:val="242424"/>
          <w:lang w:eastAsia="pl-PL"/>
        </w:rPr>
        <w:t xml:space="preserve">Relacje Bośni i Hercegowiny (BiH) z Unią Europejską (UE) w latach 2022-2024 można określić jako dynamiczne. </w:t>
      </w:r>
    </w:p>
    <w:p w14:paraId="4695B141" w14:textId="77777777" w:rsidR="00826E9B" w:rsidRPr="00F97C05" w:rsidRDefault="00826E9B" w:rsidP="00826E9B">
      <w:pPr>
        <w:shd w:val="clear" w:color="auto" w:fill="FFFFFF"/>
        <w:spacing w:after="240" w:line="240" w:lineRule="auto"/>
        <w:ind w:left="240"/>
        <w:rPr>
          <w:rFonts w:ascii="Lato" w:eastAsia="Times New Roman" w:hAnsi="Lato" w:cs="Segoe UI"/>
          <w:color w:val="242424"/>
          <w:lang w:eastAsia="pl-PL"/>
        </w:rPr>
      </w:pPr>
      <w:r w:rsidRPr="00F97C05">
        <w:rPr>
          <w:rFonts w:ascii="Lato" w:eastAsia="Times New Roman" w:hAnsi="Lato" w:cs="Segoe UI"/>
          <w:b/>
          <w:bCs/>
          <w:color w:val="242424"/>
          <w:lang w:eastAsia="pl-PL"/>
        </w:rPr>
        <w:t>Status kandydata do UE</w:t>
      </w:r>
      <w:r w:rsidRPr="00F97C05">
        <w:rPr>
          <w:rFonts w:ascii="Lato" w:eastAsia="Times New Roman" w:hAnsi="Lato" w:cs="Segoe UI"/>
          <w:color w:val="242424"/>
          <w:lang w:eastAsia="pl-PL"/>
        </w:rPr>
        <w:t>:</w:t>
      </w:r>
    </w:p>
    <w:p w14:paraId="77BDE559" w14:textId="77777777" w:rsidR="00826E9B" w:rsidRPr="00F97C05"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F97C05">
        <w:rPr>
          <w:rFonts w:ascii="Lato" w:eastAsia="Times New Roman" w:hAnsi="Lato" w:cs="Segoe UI"/>
          <w:color w:val="242424"/>
          <w:u w:val="single"/>
          <w:lang w:eastAsia="pl-PL"/>
        </w:rPr>
        <w:t>W grudniu 2022 roku BiH uzyskała oficjalny status kandydata</w:t>
      </w:r>
      <w:r w:rsidRPr="00F97C05">
        <w:rPr>
          <w:rFonts w:ascii="Lato" w:eastAsia="Times New Roman" w:hAnsi="Lato" w:cs="Segoe UI"/>
          <w:color w:val="242424"/>
          <w:lang w:eastAsia="pl-PL"/>
        </w:rPr>
        <w:t xml:space="preserve"> do UE. Był to kluczowy krok, który spotkał się z pozytywnymi reakcjami zarówno wewnątrz kraju, jak i na arenie międzynarodowej. Status ten został przyznany mimo wewnętrznych podziałów </w:t>
      </w:r>
      <w:proofErr w:type="spellStart"/>
      <w:r w:rsidRPr="00F97C05">
        <w:rPr>
          <w:rFonts w:ascii="Lato" w:eastAsia="Times New Roman" w:hAnsi="Lato" w:cs="Segoe UI"/>
          <w:color w:val="242424"/>
          <w:lang w:eastAsia="pl-PL"/>
        </w:rPr>
        <w:t>etnopolitycznych</w:t>
      </w:r>
      <w:proofErr w:type="spellEnd"/>
      <w:r w:rsidRPr="00F97C05">
        <w:rPr>
          <w:rFonts w:ascii="Lato" w:eastAsia="Times New Roman" w:hAnsi="Lato" w:cs="Segoe UI"/>
          <w:color w:val="242424"/>
          <w:lang w:eastAsia="pl-PL"/>
        </w:rPr>
        <w:t xml:space="preserve"> i wyzwań związanych z reformami.</w:t>
      </w:r>
    </w:p>
    <w:p w14:paraId="4B148643" w14:textId="77777777" w:rsidR="00826E9B" w:rsidRPr="00F97C05"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F97C05">
        <w:rPr>
          <w:rFonts w:ascii="Lato" w:eastAsia="Times New Roman" w:hAnsi="Lato" w:cs="Segoe UI"/>
          <w:b/>
          <w:bCs/>
          <w:color w:val="242424"/>
          <w:lang w:eastAsia="pl-PL"/>
        </w:rPr>
        <w:t>Reformy wewnętrzne</w:t>
      </w:r>
      <w:r w:rsidRPr="00F97C05">
        <w:rPr>
          <w:rFonts w:ascii="Lato" w:eastAsia="Times New Roman" w:hAnsi="Lato" w:cs="Segoe UI"/>
          <w:color w:val="242424"/>
          <w:lang w:eastAsia="pl-PL"/>
        </w:rPr>
        <w:t>:</w:t>
      </w:r>
    </w:p>
    <w:p w14:paraId="6D6F86CA" w14:textId="77777777" w:rsidR="00826E9B" w:rsidRPr="00F97C05"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F97C05">
        <w:rPr>
          <w:rFonts w:ascii="Lato" w:eastAsia="Times New Roman" w:hAnsi="Lato" w:cs="Segoe UI"/>
          <w:color w:val="242424"/>
          <w:lang w:eastAsia="pl-PL"/>
        </w:rPr>
        <w:t>UE oczekiwała od BiH przeprowadzenia szeregu reform, w tym zmian w systemie sądownictwa, walki z korupcją oraz poprawy zarządzania granicami. Postępy w tych obszarach były mieszane, z pewnymi sukcesami, ale także znacznymi wyzwaniami, zwłaszcza ze względu na polityczne napięcia wewnętrzne.</w:t>
      </w:r>
    </w:p>
    <w:p w14:paraId="6A92D40A" w14:textId="77777777" w:rsidR="00826E9B" w:rsidRPr="00F97C05"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F97C05">
        <w:rPr>
          <w:rFonts w:ascii="Lato" w:eastAsia="Times New Roman" w:hAnsi="Lato" w:cs="Segoe UI"/>
          <w:b/>
          <w:bCs/>
          <w:color w:val="242424"/>
          <w:lang w:eastAsia="pl-PL"/>
        </w:rPr>
        <w:t>Otwarcie negocjacji akcesyjnych</w:t>
      </w:r>
      <w:r w:rsidRPr="00F97C05">
        <w:rPr>
          <w:rFonts w:ascii="Lato" w:eastAsia="Times New Roman" w:hAnsi="Lato" w:cs="Segoe UI"/>
          <w:color w:val="242424"/>
          <w:lang w:eastAsia="pl-PL"/>
        </w:rPr>
        <w:t>:</w:t>
      </w:r>
    </w:p>
    <w:p w14:paraId="1DDD69C3" w14:textId="77777777" w:rsidR="00826E9B" w:rsidRPr="00F97C05"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F97C05">
        <w:rPr>
          <w:rFonts w:ascii="Lato" w:eastAsia="Times New Roman" w:hAnsi="Lato" w:cs="Segoe UI"/>
          <w:color w:val="242424"/>
          <w:u w:val="single"/>
          <w:lang w:eastAsia="pl-PL"/>
        </w:rPr>
        <w:t>W marcu 2024 roku Rada Europejska ogłosiła decyzję o otwarciu negocjacji akcesyjnych z BiH</w:t>
      </w:r>
      <w:r w:rsidRPr="00F97C05">
        <w:rPr>
          <w:rFonts w:ascii="Lato" w:eastAsia="Times New Roman" w:hAnsi="Lato" w:cs="Segoe UI"/>
          <w:color w:val="242424"/>
          <w:lang w:eastAsia="pl-PL"/>
        </w:rPr>
        <w:t>. Było to historyczne wydarzenie, które spotkało się z entuzjastycznymi reakcjami zarówno w BiH, jak i w UE. Decyzja ta była wynikiem postępów BiH w realizacji reform oraz wsparcia ze strony państw członkowskich UE.</w:t>
      </w:r>
    </w:p>
    <w:p w14:paraId="522F276B" w14:textId="77777777" w:rsidR="00826E9B" w:rsidRPr="00F97C05"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F97C05">
        <w:rPr>
          <w:rFonts w:ascii="Lato" w:eastAsia="Times New Roman" w:hAnsi="Lato" w:cs="Segoe UI"/>
          <w:b/>
          <w:bCs/>
          <w:color w:val="242424"/>
          <w:lang w:eastAsia="pl-PL"/>
        </w:rPr>
        <w:t>Wyzwania polityczne</w:t>
      </w:r>
      <w:r w:rsidRPr="00F97C05">
        <w:rPr>
          <w:rFonts w:ascii="Lato" w:eastAsia="Times New Roman" w:hAnsi="Lato" w:cs="Segoe UI"/>
          <w:color w:val="242424"/>
          <w:lang w:eastAsia="pl-PL"/>
        </w:rPr>
        <w:t>:</w:t>
      </w:r>
    </w:p>
    <w:p w14:paraId="76081BF2" w14:textId="77777777" w:rsidR="00826E9B" w:rsidRPr="00F97C05"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F97C05">
        <w:rPr>
          <w:rFonts w:ascii="Lato" w:eastAsia="Times New Roman" w:hAnsi="Lato" w:cs="Segoe UI"/>
          <w:color w:val="242424"/>
          <w:lang w:eastAsia="pl-PL"/>
        </w:rPr>
        <w:t>W trakcie tych lat BiH zmagała się z wewnętrznymi kryzysami politycznymi, w tym z napięciami między różnymi grupami etnicznymi oraz kontrowersjami wokół działań Republiki Serbskiej</w:t>
      </w:r>
      <w:r w:rsidR="00725D94" w:rsidRPr="00F97C05">
        <w:rPr>
          <w:rFonts w:ascii="Lato" w:eastAsia="Times New Roman" w:hAnsi="Lato" w:cs="Segoe UI"/>
          <w:color w:val="242424"/>
          <w:lang w:eastAsia="pl-PL"/>
        </w:rPr>
        <w:t xml:space="preserve"> w kierunku separacji</w:t>
      </w:r>
      <w:r w:rsidRPr="00F97C05">
        <w:rPr>
          <w:rFonts w:ascii="Lato" w:eastAsia="Times New Roman" w:hAnsi="Lato" w:cs="Segoe UI"/>
          <w:color w:val="242424"/>
          <w:lang w:eastAsia="pl-PL"/>
        </w:rPr>
        <w:t xml:space="preserve">. Te wewnętrzne podziały utrudniały realizację </w:t>
      </w:r>
      <w:r w:rsidR="00725D94" w:rsidRPr="00F97C05">
        <w:rPr>
          <w:rFonts w:ascii="Lato" w:eastAsia="Times New Roman" w:hAnsi="Lato" w:cs="Segoe UI"/>
          <w:color w:val="242424"/>
          <w:lang w:eastAsia="pl-PL"/>
        </w:rPr>
        <w:t>większości</w:t>
      </w:r>
      <w:r w:rsidRPr="00F97C05">
        <w:rPr>
          <w:rFonts w:ascii="Lato" w:eastAsia="Times New Roman" w:hAnsi="Lato" w:cs="Segoe UI"/>
          <w:color w:val="242424"/>
          <w:lang w:eastAsia="pl-PL"/>
        </w:rPr>
        <w:t xml:space="preserve"> reform wymaganych przez UE.</w:t>
      </w:r>
    </w:p>
    <w:p w14:paraId="3024F838" w14:textId="77777777" w:rsidR="00826E9B" w:rsidRPr="00F97C05"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F97C05">
        <w:rPr>
          <w:rFonts w:ascii="Lato" w:eastAsia="Times New Roman" w:hAnsi="Lato" w:cs="Segoe UI"/>
          <w:b/>
          <w:bCs/>
          <w:color w:val="242424"/>
          <w:lang w:eastAsia="pl-PL"/>
        </w:rPr>
        <w:lastRenderedPageBreak/>
        <w:t>Wsparcie finansowe i techniczne</w:t>
      </w:r>
      <w:r w:rsidR="00E57075" w:rsidRPr="00F97C05">
        <w:rPr>
          <w:rFonts w:ascii="Lato" w:eastAsia="Times New Roman" w:hAnsi="Lato" w:cs="Segoe UI"/>
          <w:b/>
          <w:bCs/>
          <w:color w:val="242424"/>
          <w:lang w:eastAsia="pl-PL"/>
        </w:rPr>
        <w:t xml:space="preserve"> UE dla BiH</w:t>
      </w:r>
    </w:p>
    <w:p w14:paraId="15534600" w14:textId="77777777" w:rsidR="00DC50A1" w:rsidRPr="00F97C05" w:rsidRDefault="00826E9B" w:rsidP="00DC50A1">
      <w:pPr>
        <w:pStyle w:val="Akapitzlist"/>
        <w:numPr>
          <w:ilvl w:val="0"/>
          <w:numId w:val="13"/>
        </w:numPr>
        <w:shd w:val="clear" w:color="auto" w:fill="FFFFFF"/>
        <w:spacing w:before="100" w:beforeAutospacing="1" w:after="240" w:afterAutospacing="1" w:line="240" w:lineRule="auto"/>
        <w:jc w:val="both"/>
        <w:rPr>
          <w:rFonts w:ascii="Lato" w:eastAsia="Times New Roman" w:hAnsi="Lato" w:cs="Segoe UI"/>
          <w:color w:val="242424"/>
          <w:lang w:eastAsia="pl-PL"/>
        </w:rPr>
      </w:pPr>
      <w:r w:rsidRPr="00F97C05">
        <w:rPr>
          <w:rFonts w:ascii="Lato" w:eastAsia="Times New Roman" w:hAnsi="Lato" w:cs="Segoe UI"/>
          <w:color w:val="242424"/>
          <w:lang w:eastAsia="pl-PL"/>
        </w:rPr>
        <w:t>UE kontynuowała wsparcie finansowe i techniczne dla BiH, pomagając w realizacji kluczowych projektów infrastrukturalnych oraz wzmocnieniu instytucji państwowych. Wsparcie to było kluczowe dla postępów BiH na drodze do członkostwa w UE.</w:t>
      </w:r>
      <w:r w:rsidR="00DC50A1" w:rsidRPr="00F97C05">
        <w:rPr>
          <w:rFonts w:ascii="Lato" w:eastAsia="Times New Roman" w:hAnsi="Lato" w:cs="Segoe UI"/>
          <w:color w:val="242424"/>
          <w:lang w:eastAsia="pl-PL"/>
        </w:rPr>
        <w:t xml:space="preserve"> Instrument Pomocy Przedakcesyjnej (IPA III) obejmował szereg działań wspierających Bośnię i Hercegowinę (BiH) w latach 2021-2023. W 2021 roku UE przyznała BiH 73 miliony EUR na projekty związane z energią, transportem, migracją oraz wsparciem instytucji w procesie integracji europejskiej. W grudniu 2022 roku zatwierdzono roczny plan działania IPA na kwotę 45,5 miliona EUR, obejmujący projekty w sektorach takich jak energetyka i transport. W 2023 roku, w ramach pakietu wsparcia energetycznego, UE przyznała 70 milionów EUR na pomoc rodzinom w trudnej sytuacji oraz na poprawę efektywności energetycznej i wsparcie przejścia na czystszą energię. Wsparcie w ramach innych programów obejmowało finansowanie 74 projektów infrastrukturalnych w dziedzinach takich jak środowisko, transport, energia i społeczeństwo, o łącznej wartości 732,6 miliona EUR. Podczas pandemii COVID-19, UE przekazała ponad 95 milionów EUR na łagodzenie skutków kryzysu zdrowotnego i gospodarczego. W 2014 roku, po powodzi, UE przyznała ponad 84 miliony EUR na odbudowę i wsparcie lokalnych społeczności. Od początku kryzysu migracyjnego w 2018 roku, UE przekazała 144 miliony EUR na pomoc uchodźcom i migrantom oraz na wzmocnienie zdolności zarządzania migracjami w BiH.</w:t>
      </w:r>
    </w:p>
    <w:p w14:paraId="36B136AE" w14:textId="77777777" w:rsidR="00826E9B" w:rsidRPr="00F97C05" w:rsidRDefault="00826E9B" w:rsidP="00DC50A1">
      <w:pPr>
        <w:pStyle w:val="Akapitzlist"/>
        <w:shd w:val="clear" w:color="auto" w:fill="FFFFFF"/>
        <w:spacing w:before="100" w:beforeAutospacing="1" w:after="240" w:afterAutospacing="1" w:line="240" w:lineRule="auto"/>
        <w:ind w:left="360"/>
        <w:jc w:val="both"/>
        <w:rPr>
          <w:rFonts w:ascii="Lato" w:eastAsia="Times New Roman" w:hAnsi="Lato" w:cs="Segoe UI"/>
          <w:color w:val="242424"/>
          <w:lang w:eastAsia="pl-PL"/>
        </w:rPr>
      </w:pPr>
    </w:p>
    <w:p w14:paraId="478B9265" w14:textId="77777777" w:rsidR="00DC50A1" w:rsidRPr="00F97C05" w:rsidRDefault="00BF28DA" w:rsidP="00BF28DA">
      <w:pPr>
        <w:shd w:val="clear" w:color="auto" w:fill="FFFFFF"/>
        <w:spacing w:before="100" w:beforeAutospacing="1" w:after="240" w:afterAutospacing="1" w:line="240" w:lineRule="auto"/>
        <w:jc w:val="both"/>
        <w:rPr>
          <w:rFonts w:ascii="Lato" w:eastAsia="Times New Roman" w:hAnsi="Lato" w:cs="Segoe UI"/>
          <w:color w:val="242424"/>
          <w:lang w:eastAsia="pl-PL"/>
        </w:rPr>
      </w:pPr>
      <w:r w:rsidRPr="00F97C05">
        <w:rPr>
          <w:rFonts w:ascii="Lato" w:eastAsia="Times New Roman" w:hAnsi="Lato" w:cs="Segoe UI"/>
          <w:color w:val="242424"/>
          <w:lang w:eastAsia="pl-PL"/>
        </w:rPr>
        <w:t xml:space="preserve">7.3 </w:t>
      </w:r>
    </w:p>
    <w:p w14:paraId="507BF6B8" w14:textId="77777777" w:rsidR="00BF28DA" w:rsidRPr="00F97C05" w:rsidRDefault="00BC3CCC" w:rsidP="00BF28DA">
      <w:pPr>
        <w:spacing w:before="100" w:beforeAutospacing="1" w:after="100" w:afterAutospacing="1" w:line="300" w:lineRule="atLeast"/>
        <w:rPr>
          <w:rFonts w:ascii="Lato" w:eastAsia="Times New Roman" w:hAnsi="Lato" w:cs="Segoe UI"/>
          <w:b/>
          <w:lang w:eastAsia="pl-PL"/>
        </w:rPr>
      </w:pPr>
      <w:r w:rsidRPr="00F97C05">
        <w:rPr>
          <w:rFonts w:ascii="Lato" w:eastAsia="Times New Roman" w:hAnsi="Lato" w:cs="Segoe UI"/>
          <w:b/>
          <w:lang w:eastAsia="pl-PL"/>
        </w:rPr>
        <w:t xml:space="preserve">Baza traktatowa Polska – BiH </w:t>
      </w:r>
    </w:p>
    <w:p w14:paraId="3EB4DC5E"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gospodarczej</w:t>
      </w:r>
      <w:r w:rsidRPr="00F97C05">
        <w:rPr>
          <w:rFonts w:ascii="Lato" w:eastAsia="Times New Roman" w:hAnsi="Lato" w:cs="Segoe UI"/>
          <w:lang w:eastAsia="pl-PL"/>
        </w:rPr>
        <w:t>:</w:t>
      </w:r>
    </w:p>
    <w:p w14:paraId="3B76CEBA"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57E5817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1AA4D8E0"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4120BBA7"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turystyki</w:t>
      </w:r>
      <w:r w:rsidRPr="00F97C05">
        <w:rPr>
          <w:rFonts w:ascii="Lato" w:eastAsia="Times New Roman" w:hAnsi="Lato" w:cs="Segoe UI"/>
          <w:lang w:eastAsia="pl-PL"/>
        </w:rPr>
        <w:t>:</w:t>
      </w:r>
    </w:p>
    <w:p w14:paraId="1FCBCAF0"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683527C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5A44389D"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063CBCC6"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kultury, nauki i edukacji</w:t>
      </w:r>
      <w:r w:rsidRPr="00F97C05">
        <w:rPr>
          <w:rFonts w:ascii="Lato" w:eastAsia="Times New Roman" w:hAnsi="Lato" w:cs="Segoe UI"/>
          <w:lang w:eastAsia="pl-PL"/>
        </w:rPr>
        <w:t>:</w:t>
      </w:r>
    </w:p>
    <w:p w14:paraId="6322B452"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456C9710"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71EC2284"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0AF51CC4"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ochrony środowiska</w:t>
      </w:r>
      <w:r w:rsidRPr="00F97C05">
        <w:rPr>
          <w:rFonts w:ascii="Lato" w:eastAsia="Times New Roman" w:hAnsi="Lato" w:cs="Segoe UI"/>
          <w:lang w:eastAsia="pl-PL"/>
        </w:rPr>
        <w:t>:</w:t>
      </w:r>
    </w:p>
    <w:p w14:paraId="785D3396"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2A90FE06"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176E01D3"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7248C6BA"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lastRenderedPageBreak/>
        <w:t>Umowa między Rządem Rzeczypospolitej Polskiej a Radą Ministrów Bośni i Hercegowiny o współpracy w dziedzinie zdrowia</w:t>
      </w:r>
      <w:r w:rsidRPr="00F97C05">
        <w:rPr>
          <w:rFonts w:ascii="Lato" w:eastAsia="Times New Roman" w:hAnsi="Lato" w:cs="Segoe UI"/>
          <w:lang w:eastAsia="pl-PL"/>
        </w:rPr>
        <w:t>:</w:t>
      </w:r>
    </w:p>
    <w:p w14:paraId="6CFCCDEC"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3974B66B"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4D86FF10"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4EF3DAA2"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rolnictwa</w:t>
      </w:r>
      <w:r w:rsidRPr="00F97C05">
        <w:rPr>
          <w:rFonts w:ascii="Lato" w:eastAsia="Times New Roman" w:hAnsi="Lato" w:cs="Segoe UI"/>
          <w:lang w:eastAsia="pl-PL"/>
        </w:rPr>
        <w:t>:</w:t>
      </w:r>
    </w:p>
    <w:p w14:paraId="7C17602D"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27D18AB2"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2CC29B51"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40CD454C"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transportu</w:t>
      </w:r>
      <w:r w:rsidRPr="00F97C05">
        <w:rPr>
          <w:rFonts w:ascii="Lato" w:eastAsia="Times New Roman" w:hAnsi="Lato" w:cs="Segoe UI"/>
          <w:lang w:eastAsia="pl-PL"/>
        </w:rPr>
        <w:t>:</w:t>
      </w:r>
    </w:p>
    <w:p w14:paraId="1DE84A68"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737B2A6E"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5717B612"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43B0B0F9"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energetyki</w:t>
      </w:r>
      <w:r w:rsidRPr="00F97C05">
        <w:rPr>
          <w:rFonts w:ascii="Lato" w:eastAsia="Times New Roman" w:hAnsi="Lato" w:cs="Segoe UI"/>
          <w:lang w:eastAsia="pl-PL"/>
        </w:rPr>
        <w:t>:</w:t>
      </w:r>
    </w:p>
    <w:p w14:paraId="6C821187"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54E7566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49EAE96A"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5409573B"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bezpieczeństwa</w:t>
      </w:r>
      <w:r w:rsidRPr="00F97C05">
        <w:rPr>
          <w:rFonts w:ascii="Lato" w:eastAsia="Times New Roman" w:hAnsi="Lato" w:cs="Segoe UI"/>
          <w:lang w:eastAsia="pl-PL"/>
        </w:rPr>
        <w:t>:</w:t>
      </w:r>
    </w:p>
    <w:p w14:paraId="05645677"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7555D983"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79865EF6"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32F6049F"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nauki i technologii</w:t>
      </w:r>
      <w:r w:rsidRPr="00F97C05">
        <w:rPr>
          <w:rFonts w:ascii="Lato" w:eastAsia="Times New Roman" w:hAnsi="Lato" w:cs="Segoe UI"/>
          <w:lang w:eastAsia="pl-PL"/>
        </w:rPr>
        <w:t>:</w:t>
      </w:r>
    </w:p>
    <w:p w14:paraId="231C07FA"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056ACEDA"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6D8E2A2E"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01F50E44"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informacji i komunikacji</w:t>
      </w:r>
      <w:r w:rsidRPr="00F97C05">
        <w:rPr>
          <w:rFonts w:ascii="Lato" w:eastAsia="Times New Roman" w:hAnsi="Lato" w:cs="Segoe UI"/>
          <w:lang w:eastAsia="pl-PL"/>
        </w:rPr>
        <w:t>:</w:t>
      </w:r>
    </w:p>
    <w:p w14:paraId="3130FB61"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3F288651"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10B5A63F"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23B78A0B"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ochrony dziedzictwa kulturowego</w:t>
      </w:r>
      <w:r w:rsidRPr="00F97C05">
        <w:rPr>
          <w:rFonts w:ascii="Lato" w:eastAsia="Times New Roman" w:hAnsi="Lato" w:cs="Segoe UI"/>
          <w:lang w:eastAsia="pl-PL"/>
        </w:rPr>
        <w:t>:</w:t>
      </w:r>
    </w:p>
    <w:p w14:paraId="53378297"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1399B65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0AF51F7F"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78C5F039"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sportu</w:t>
      </w:r>
      <w:r w:rsidRPr="00F97C05">
        <w:rPr>
          <w:rFonts w:ascii="Lato" w:eastAsia="Times New Roman" w:hAnsi="Lato" w:cs="Segoe UI"/>
          <w:lang w:eastAsia="pl-PL"/>
        </w:rPr>
        <w:t>:</w:t>
      </w:r>
    </w:p>
    <w:p w14:paraId="5C9DB78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2996F44A"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1F26757B"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2175A4CF"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lastRenderedPageBreak/>
        <w:t>Umowa między Rządem Rzeczypospolitej Polskiej a Radą Ministrów Bośni i Hercegowiny o współpracy w dziedzinie młodzieży</w:t>
      </w:r>
      <w:r w:rsidRPr="00F97C05">
        <w:rPr>
          <w:rFonts w:ascii="Lato" w:eastAsia="Times New Roman" w:hAnsi="Lato" w:cs="Segoe UI"/>
          <w:lang w:eastAsia="pl-PL"/>
        </w:rPr>
        <w:t>:</w:t>
      </w:r>
    </w:p>
    <w:p w14:paraId="39406AB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774B06A8"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144B57DD"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29768471"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turystyki</w:t>
      </w:r>
      <w:r w:rsidRPr="00F97C05">
        <w:rPr>
          <w:rFonts w:ascii="Lato" w:eastAsia="Times New Roman" w:hAnsi="Lato" w:cs="Segoe UI"/>
          <w:lang w:eastAsia="pl-PL"/>
        </w:rPr>
        <w:t>:</w:t>
      </w:r>
    </w:p>
    <w:p w14:paraId="42C39DA5"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65839E6D"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0561B37D"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102F6781"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ochrony zdrowia</w:t>
      </w:r>
      <w:r w:rsidRPr="00F97C05">
        <w:rPr>
          <w:rFonts w:ascii="Lato" w:eastAsia="Times New Roman" w:hAnsi="Lato" w:cs="Segoe UI"/>
          <w:lang w:eastAsia="pl-PL"/>
        </w:rPr>
        <w:t>:</w:t>
      </w:r>
    </w:p>
    <w:p w14:paraId="05A26FF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43AE481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1010BA1B"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6CC05B2C"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ochrony środowiska</w:t>
      </w:r>
      <w:r w:rsidRPr="00F97C05">
        <w:rPr>
          <w:rFonts w:ascii="Lato" w:eastAsia="Times New Roman" w:hAnsi="Lato" w:cs="Segoe UI"/>
          <w:lang w:eastAsia="pl-PL"/>
        </w:rPr>
        <w:t>:</w:t>
      </w:r>
    </w:p>
    <w:p w14:paraId="2A769E1F"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239CDDE9"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53F9F488"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3726EAC9"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rolnictwa</w:t>
      </w:r>
      <w:r w:rsidRPr="00F97C05">
        <w:rPr>
          <w:rFonts w:ascii="Lato" w:eastAsia="Times New Roman" w:hAnsi="Lato" w:cs="Segoe UI"/>
          <w:lang w:eastAsia="pl-PL"/>
        </w:rPr>
        <w:t>:</w:t>
      </w:r>
    </w:p>
    <w:p w14:paraId="6B09F1A4"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77880B7F"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392E0F22"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370758E7" w14:textId="77777777" w:rsidR="00BF28DA" w:rsidRPr="00F97C05"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b/>
          <w:bCs/>
          <w:lang w:eastAsia="pl-PL"/>
        </w:rPr>
        <w:t>Umowa między Rządem Rzeczypospolitej Polskiej a Radą Ministrów Bośni i Hercegowiny o współpracy w dziedzinie transportu</w:t>
      </w:r>
      <w:r w:rsidRPr="00F97C05">
        <w:rPr>
          <w:rFonts w:ascii="Lato" w:eastAsia="Times New Roman" w:hAnsi="Lato" w:cs="Segoe UI"/>
          <w:lang w:eastAsia="pl-PL"/>
        </w:rPr>
        <w:t>:</w:t>
      </w:r>
    </w:p>
    <w:p w14:paraId="2FEA6FAF"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podpisania: 2004-06-22</w:t>
      </w:r>
    </w:p>
    <w:p w14:paraId="4FCB5747"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Miejsce podpisania: Warszawa</w:t>
      </w:r>
    </w:p>
    <w:p w14:paraId="46E01C4E" w14:textId="77777777" w:rsidR="00BF28DA" w:rsidRPr="00F97C05"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F97C05">
        <w:rPr>
          <w:rFonts w:ascii="Lato" w:eastAsia="Times New Roman" w:hAnsi="Lato" w:cs="Segoe UI"/>
          <w:lang w:eastAsia="pl-PL"/>
        </w:rPr>
        <w:t>Data wejścia w życie: 2005-01-01</w:t>
      </w:r>
    </w:p>
    <w:p w14:paraId="1EAAAA30" w14:textId="77777777" w:rsidR="00BF28DA" w:rsidRPr="00F97C05" w:rsidRDefault="00E54BF4" w:rsidP="00BF28DA">
      <w:pPr>
        <w:shd w:val="clear" w:color="auto" w:fill="FFFFFF"/>
        <w:spacing w:before="100" w:beforeAutospacing="1" w:after="240" w:afterAutospacing="1" w:line="240" w:lineRule="auto"/>
        <w:jc w:val="both"/>
        <w:rPr>
          <w:rFonts w:ascii="Lato" w:eastAsia="Times New Roman" w:hAnsi="Lato" w:cs="Segoe UI"/>
          <w:color w:val="242424"/>
          <w:lang w:eastAsia="pl-PL"/>
        </w:rPr>
      </w:pPr>
      <w:r w:rsidRPr="00F97C05">
        <w:rPr>
          <w:rFonts w:ascii="Lato" w:eastAsia="Times New Roman" w:hAnsi="Lato" w:cs="Segoe UI"/>
          <w:color w:val="242424"/>
          <w:lang w:eastAsia="pl-PL"/>
        </w:rPr>
        <w:t xml:space="preserve">Aktualizacja: grudzień 2024 </w:t>
      </w:r>
    </w:p>
    <w:sectPr w:rsidR="00BF28DA" w:rsidRPr="00F97C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CDDD" w14:textId="77777777" w:rsidR="00AA5224" w:rsidRDefault="00AA5224" w:rsidP="00321A0F">
      <w:pPr>
        <w:spacing w:after="0" w:line="240" w:lineRule="auto"/>
      </w:pPr>
      <w:r>
        <w:separator/>
      </w:r>
    </w:p>
  </w:endnote>
  <w:endnote w:type="continuationSeparator" w:id="0">
    <w:p w14:paraId="6A141728" w14:textId="77777777" w:rsidR="00AA5224" w:rsidRDefault="00AA5224" w:rsidP="0032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D6C0" w14:textId="77777777" w:rsidR="00AA5224" w:rsidRDefault="00AA5224" w:rsidP="00321A0F">
      <w:pPr>
        <w:spacing w:after="0" w:line="240" w:lineRule="auto"/>
      </w:pPr>
      <w:r>
        <w:separator/>
      </w:r>
    </w:p>
  </w:footnote>
  <w:footnote w:type="continuationSeparator" w:id="0">
    <w:p w14:paraId="6A12D510" w14:textId="77777777" w:rsidR="00AA5224" w:rsidRDefault="00AA5224" w:rsidP="00321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459"/>
    <w:multiLevelType w:val="multilevel"/>
    <w:tmpl w:val="339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F7DC0"/>
    <w:multiLevelType w:val="multilevel"/>
    <w:tmpl w:val="FE5EE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C3015"/>
    <w:multiLevelType w:val="hybridMultilevel"/>
    <w:tmpl w:val="9D347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7D2434"/>
    <w:multiLevelType w:val="multilevel"/>
    <w:tmpl w:val="4E36D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72E73"/>
    <w:multiLevelType w:val="hybridMultilevel"/>
    <w:tmpl w:val="AB8C9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7A765F"/>
    <w:multiLevelType w:val="multilevel"/>
    <w:tmpl w:val="C27C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D1932"/>
    <w:multiLevelType w:val="multilevel"/>
    <w:tmpl w:val="A44C6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866343"/>
    <w:multiLevelType w:val="multilevel"/>
    <w:tmpl w:val="ED8CC50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EE7292"/>
    <w:multiLevelType w:val="hybridMultilevel"/>
    <w:tmpl w:val="25D02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27692E"/>
    <w:multiLevelType w:val="multilevel"/>
    <w:tmpl w:val="9B66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F4E66"/>
    <w:multiLevelType w:val="hybridMultilevel"/>
    <w:tmpl w:val="C4D0D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1F252C"/>
    <w:multiLevelType w:val="hybridMultilevel"/>
    <w:tmpl w:val="983831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740827E5"/>
    <w:multiLevelType w:val="multilevel"/>
    <w:tmpl w:val="69F8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26120"/>
    <w:multiLevelType w:val="hybridMultilevel"/>
    <w:tmpl w:val="94CE1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7434204">
    <w:abstractNumId w:val="7"/>
  </w:num>
  <w:num w:numId="2" w16cid:durableId="846821619">
    <w:abstractNumId w:val="0"/>
  </w:num>
  <w:num w:numId="3" w16cid:durableId="1330980234">
    <w:abstractNumId w:val="9"/>
  </w:num>
  <w:num w:numId="4" w16cid:durableId="1673752136">
    <w:abstractNumId w:val="2"/>
  </w:num>
  <w:num w:numId="5" w16cid:durableId="1155220699">
    <w:abstractNumId w:val="4"/>
  </w:num>
  <w:num w:numId="6" w16cid:durableId="380249004">
    <w:abstractNumId w:val="10"/>
  </w:num>
  <w:num w:numId="7" w16cid:durableId="1052658629">
    <w:abstractNumId w:val="8"/>
  </w:num>
  <w:num w:numId="8" w16cid:durableId="1834685133">
    <w:abstractNumId w:val="12"/>
  </w:num>
  <w:num w:numId="9" w16cid:durableId="778984571">
    <w:abstractNumId w:val="5"/>
  </w:num>
  <w:num w:numId="10" w16cid:durableId="1106581198">
    <w:abstractNumId w:val="1"/>
  </w:num>
  <w:num w:numId="11" w16cid:durableId="292709874">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660936679">
    <w:abstractNumId w:val="13"/>
  </w:num>
  <w:num w:numId="13" w16cid:durableId="1009411895">
    <w:abstractNumId w:val="11"/>
  </w:num>
  <w:num w:numId="14" w16cid:durableId="705106660">
    <w:abstractNumId w:val="3"/>
  </w:num>
  <w:num w:numId="15" w16cid:durableId="236522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30"/>
    <w:rsid w:val="00026C58"/>
    <w:rsid w:val="0008235C"/>
    <w:rsid w:val="000A7E63"/>
    <w:rsid w:val="000D5FEC"/>
    <w:rsid w:val="000E6F47"/>
    <w:rsid w:val="00150ADD"/>
    <w:rsid w:val="001C521A"/>
    <w:rsid w:val="002131ED"/>
    <w:rsid w:val="00232EC4"/>
    <w:rsid w:val="002948D6"/>
    <w:rsid w:val="002B46DA"/>
    <w:rsid w:val="002C1469"/>
    <w:rsid w:val="003015A7"/>
    <w:rsid w:val="00321A0F"/>
    <w:rsid w:val="00345D29"/>
    <w:rsid w:val="00370C43"/>
    <w:rsid w:val="003B02C8"/>
    <w:rsid w:val="003E722A"/>
    <w:rsid w:val="00420ADD"/>
    <w:rsid w:val="0046451D"/>
    <w:rsid w:val="00467186"/>
    <w:rsid w:val="004726AC"/>
    <w:rsid w:val="004B615C"/>
    <w:rsid w:val="00501922"/>
    <w:rsid w:val="0050504E"/>
    <w:rsid w:val="005D78B1"/>
    <w:rsid w:val="005E56E2"/>
    <w:rsid w:val="00607D6C"/>
    <w:rsid w:val="0064390E"/>
    <w:rsid w:val="00725D94"/>
    <w:rsid w:val="007638E8"/>
    <w:rsid w:val="007B42F3"/>
    <w:rsid w:val="007B6294"/>
    <w:rsid w:val="007C68FB"/>
    <w:rsid w:val="007D5674"/>
    <w:rsid w:val="00826E9B"/>
    <w:rsid w:val="00843FCC"/>
    <w:rsid w:val="008F14B8"/>
    <w:rsid w:val="00960B52"/>
    <w:rsid w:val="00973561"/>
    <w:rsid w:val="009A4E79"/>
    <w:rsid w:val="009B7BD1"/>
    <w:rsid w:val="009F1EA3"/>
    <w:rsid w:val="00A17C8E"/>
    <w:rsid w:val="00A34F35"/>
    <w:rsid w:val="00A74C90"/>
    <w:rsid w:val="00AA1713"/>
    <w:rsid w:val="00AA4C78"/>
    <w:rsid w:val="00AA5224"/>
    <w:rsid w:val="00AE3880"/>
    <w:rsid w:val="00B2540D"/>
    <w:rsid w:val="00B26A24"/>
    <w:rsid w:val="00B27449"/>
    <w:rsid w:val="00B80D12"/>
    <w:rsid w:val="00BC3CCC"/>
    <w:rsid w:val="00BE10B8"/>
    <w:rsid w:val="00BF28DA"/>
    <w:rsid w:val="00BF29F6"/>
    <w:rsid w:val="00C4471B"/>
    <w:rsid w:val="00D46B15"/>
    <w:rsid w:val="00D542BC"/>
    <w:rsid w:val="00D6707B"/>
    <w:rsid w:val="00D70602"/>
    <w:rsid w:val="00DB3C33"/>
    <w:rsid w:val="00DC50A1"/>
    <w:rsid w:val="00DF2A9F"/>
    <w:rsid w:val="00E33B4F"/>
    <w:rsid w:val="00E41F5E"/>
    <w:rsid w:val="00E54BF4"/>
    <w:rsid w:val="00E57075"/>
    <w:rsid w:val="00E64DAC"/>
    <w:rsid w:val="00E91876"/>
    <w:rsid w:val="00F6041A"/>
    <w:rsid w:val="00F927B2"/>
    <w:rsid w:val="00F97C05"/>
    <w:rsid w:val="00FB0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4915"/>
  <w15:chartTrackingRefBased/>
  <w15:docId w15:val="{91EA54D0-48E9-4104-9682-F72AC194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0B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Nagwek3">
    <w:name w:val="heading 3"/>
    <w:basedOn w:val="Normalny"/>
    <w:next w:val="Normalny"/>
    <w:link w:val="Nagwek3Znak"/>
    <w:uiPriority w:val="9"/>
    <w:semiHidden/>
    <w:unhideWhenUsed/>
    <w:qFormat/>
    <w:rsid w:val="00960B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Numerowanie,Kolorowa lista — akcent 11,Akapit z listą1,Akapit z listą11,Numbered Para 1,No Spacing1,List Paragraph Char Char Char,Indicator Text,2,3,L"/>
    <w:basedOn w:val="Normalny"/>
    <w:link w:val="AkapitzlistZnak"/>
    <w:uiPriority w:val="34"/>
    <w:qFormat/>
    <w:rsid w:val="00FB0530"/>
    <w:pPr>
      <w:ind w:left="720"/>
      <w:contextualSpacing/>
    </w:pPr>
  </w:style>
  <w:style w:type="paragraph" w:styleId="NormalnyWeb">
    <w:name w:val="Normal (Web)"/>
    <w:basedOn w:val="Normalny"/>
    <w:uiPriority w:val="99"/>
    <w:unhideWhenUsed/>
    <w:rsid w:val="00FB05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21A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1A0F"/>
    <w:rPr>
      <w:sz w:val="20"/>
      <w:szCs w:val="20"/>
    </w:rPr>
  </w:style>
  <w:style w:type="character" w:styleId="Odwoanieprzypisukocowego">
    <w:name w:val="endnote reference"/>
    <w:basedOn w:val="Domylnaczcionkaakapitu"/>
    <w:uiPriority w:val="99"/>
    <w:semiHidden/>
    <w:unhideWhenUsed/>
    <w:rsid w:val="00321A0F"/>
    <w:rPr>
      <w:vertAlign w:val="superscript"/>
    </w:rPr>
  </w:style>
  <w:style w:type="table" w:styleId="Tabela-Siatka">
    <w:name w:val="Table Grid"/>
    <w:basedOn w:val="Standardowy"/>
    <w:uiPriority w:val="39"/>
    <w:rsid w:val="00A17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17C8E"/>
    <w:rPr>
      <w:color w:val="0563C1" w:themeColor="hyperlink"/>
      <w:u w:val="single"/>
    </w:rPr>
  </w:style>
  <w:style w:type="character" w:styleId="Pogrubienie">
    <w:name w:val="Strong"/>
    <w:basedOn w:val="Domylnaczcionkaakapitu"/>
    <w:uiPriority w:val="22"/>
    <w:qFormat/>
    <w:rsid w:val="00E41F5E"/>
    <w:rPr>
      <w:b/>
      <w:bCs/>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Akapit z listą11 Znak,Numbered Para 1 Znak"/>
    <w:basedOn w:val="Domylnaczcionkaakapitu"/>
    <w:link w:val="Akapitzlist"/>
    <w:uiPriority w:val="34"/>
    <w:qFormat/>
    <w:locked/>
    <w:rsid w:val="00B26A24"/>
  </w:style>
  <w:style w:type="character" w:customStyle="1" w:styleId="Nagwek1Znak">
    <w:name w:val="Nagłówek 1 Znak"/>
    <w:basedOn w:val="Domylnaczcionkaakapitu"/>
    <w:link w:val="Nagwek1"/>
    <w:uiPriority w:val="9"/>
    <w:rsid w:val="00960B52"/>
    <w:rPr>
      <w:rFonts w:asciiTheme="majorHAnsi" w:eastAsiaTheme="majorEastAsia" w:hAnsiTheme="majorHAnsi" w:cstheme="majorBidi"/>
      <w:b/>
      <w:bCs/>
      <w:color w:val="2E74B5" w:themeColor="accent1" w:themeShade="BF"/>
      <w:sz w:val="28"/>
      <w:szCs w:val="28"/>
      <w:lang w:val="en-US"/>
    </w:rPr>
  </w:style>
  <w:style w:type="character" w:customStyle="1" w:styleId="Nagwek3Znak">
    <w:name w:val="Nagłówek 3 Znak"/>
    <w:basedOn w:val="Domylnaczcionkaakapitu"/>
    <w:link w:val="Nagwek3"/>
    <w:uiPriority w:val="9"/>
    <w:semiHidden/>
    <w:rsid w:val="00960B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4516">
      <w:bodyDiv w:val="1"/>
      <w:marLeft w:val="0"/>
      <w:marRight w:val="0"/>
      <w:marTop w:val="0"/>
      <w:marBottom w:val="0"/>
      <w:divBdr>
        <w:top w:val="none" w:sz="0" w:space="0" w:color="auto"/>
        <w:left w:val="none" w:sz="0" w:space="0" w:color="auto"/>
        <w:bottom w:val="none" w:sz="0" w:space="0" w:color="auto"/>
        <w:right w:val="none" w:sz="0" w:space="0" w:color="auto"/>
      </w:divBdr>
    </w:div>
    <w:div w:id="413749574">
      <w:bodyDiv w:val="1"/>
      <w:marLeft w:val="0"/>
      <w:marRight w:val="0"/>
      <w:marTop w:val="0"/>
      <w:marBottom w:val="0"/>
      <w:divBdr>
        <w:top w:val="none" w:sz="0" w:space="0" w:color="auto"/>
        <w:left w:val="none" w:sz="0" w:space="0" w:color="auto"/>
        <w:bottom w:val="none" w:sz="0" w:space="0" w:color="auto"/>
        <w:right w:val="none" w:sz="0" w:space="0" w:color="auto"/>
      </w:divBdr>
    </w:div>
    <w:div w:id="457260084">
      <w:bodyDiv w:val="1"/>
      <w:marLeft w:val="0"/>
      <w:marRight w:val="0"/>
      <w:marTop w:val="0"/>
      <w:marBottom w:val="0"/>
      <w:divBdr>
        <w:top w:val="none" w:sz="0" w:space="0" w:color="auto"/>
        <w:left w:val="none" w:sz="0" w:space="0" w:color="auto"/>
        <w:bottom w:val="none" w:sz="0" w:space="0" w:color="auto"/>
        <w:right w:val="none" w:sz="0" w:space="0" w:color="auto"/>
      </w:divBdr>
    </w:div>
    <w:div w:id="558831530">
      <w:bodyDiv w:val="1"/>
      <w:marLeft w:val="0"/>
      <w:marRight w:val="0"/>
      <w:marTop w:val="0"/>
      <w:marBottom w:val="0"/>
      <w:divBdr>
        <w:top w:val="none" w:sz="0" w:space="0" w:color="auto"/>
        <w:left w:val="none" w:sz="0" w:space="0" w:color="auto"/>
        <w:bottom w:val="none" w:sz="0" w:space="0" w:color="auto"/>
        <w:right w:val="none" w:sz="0" w:space="0" w:color="auto"/>
      </w:divBdr>
      <w:divsChild>
        <w:div w:id="345327850">
          <w:marLeft w:val="0"/>
          <w:marRight w:val="0"/>
          <w:marTop w:val="0"/>
          <w:marBottom w:val="0"/>
          <w:divBdr>
            <w:top w:val="none" w:sz="0" w:space="0" w:color="auto"/>
            <w:left w:val="none" w:sz="0" w:space="0" w:color="auto"/>
            <w:bottom w:val="none" w:sz="0" w:space="0" w:color="auto"/>
            <w:right w:val="none" w:sz="0" w:space="0" w:color="auto"/>
          </w:divBdr>
        </w:div>
        <w:div w:id="1171026089">
          <w:marLeft w:val="0"/>
          <w:marRight w:val="0"/>
          <w:marTop w:val="0"/>
          <w:marBottom w:val="0"/>
          <w:divBdr>
            <w:top w:val="none" w:sz="0" w:space="0" w:color="auto"/>
            <w:left w:val="none" w:sz="0" w:space="0" w:color="auto"/>
            <w:bottom w:val="none" w:sz="0" w:space="0" w:color="auto"/>
            <w:right w:val="none" w:sz="0" w:space="0" w:color="auto"/>
          </w:divBdr>
        </w:div>
      </w:divsChild>
    </w:div>
    <w:div w:id="586228460">
      <w:bodyDiv w:val="1"/>
      <w:marLeft w:val="0"/>
      <w:marRight w:val="0"/>
      <w:marTop w:val="0"/>
      <w:marBottom w:val="0"/>
      <w:divBdr>
        <w:top w:val="none" w:sz="0" w:space="0" w:color="auto"/>
        <w:left w:val="none" w:sz="0" w:space="0" w:color="auto"/>
        <w:bottom w:val="none" w:sz="0" w:space="0" w:color="auto"/>
        <w:right w:val="none" w:sz="0" w:space="0" w:color="auto"/>
      </w:divBdr>
    </w:div>
    <w:div w:id="590939386">
      <w:bodyDiv w:val="1"/>
      <w:marLeft w:val="0"/>
      <w:marRight w:val="0"/>
      <w:marTop w:val="0"/>
      <w:marBottom w:val="0"/>
      <w:divBdr>
        <w:top w:val="none" w:sz="0" w:space="0" w:color="auto"/>
        <w:left w:val="none" w:sz="0" w:space="0" w:color="auto"/>
        <w:bottom w:val="none" w:sz="0" w:space="0" w:color="auto"/>
        <w:right w:val="none" w:sz="0" w:space="0" w:color="auto"/>
      </w:divBdr>
      <w:divsChild>
        <w:div w:id="1830175210">
          <w:marLeft w:val="0"/>
          <w:marRight w:val="0"/>
          <w:marTop w:val="0"/>
          <w:marBottom w:val="0"/>
          <w:divBdr>
            <w:top w:val="none" w:sz="0" w:space="0" w:color="auto"/>
            <w:left w:val="none" w:sz="0" w:space="0" w:color="auto"/>
            <w:bottom w:val="none" w:sz="0" w:space="0" w:color="auto"/>
            <w:right w:val="none" w:sz="0" w:space="0" w:color="auto"/>
          </w:divBdr>
        </w:div>
        <w:div w:id="973411923">
          <w:marLeft w:val="0"/>
          <w:marRight w:val="0"/>
          <w:marTop w:val="0"/>
          <w:marBottom w:val="0"/>
          <w:divBdr>
            <w:top w:val="none" w:sz="0" w:space="0" w:color="auto"/>
            <w:left w:val="none" w:sz="0" w:space="0" w:color="auto"/>
            <w:bottom w:val="none" w:sz="0" w:space="0" w:color="auto"/>
            <w:right w:val="none" w:sz="0" w:space="0" w:color="auto"/>
          </w:divBdr>
        </w:div>
        <w:div w:id="2031299361">
          <w:marLeft w:val="0"/>
          <w:marRight w:val="0"/>
          <w:marTop w:val="0"/>
          <w:marBottom w:val="0"/>
          <w:divBdr>
            <w:top w:val="none" w:sz="0" w:space="0" w:color="auto"/>
            <w:left w:val="none" w:sz="0" w:space="0" w:color="auto"/>
            <w:bottom w:val="none" w:sz="0" w:space="0" w:color="auto"/>
            <w:right w:val="none" w:sz="0" w:space="0" w:color="auto"/>
          </w:divBdr>
        </w:div>
      </w:divsChild>
    </w:div>
    <w:div w:id="638535207">
      <w:bodyDiv w:val="1"/>
      <w:marLeft w:val="0"/>
      <w:marRight w:val="0"/>
      <w:marTop w:val="0"/>
      <w:marBottom w:val="0"/>
      <w:divBdr>
        <w:top w:val="none" w:sz="0" w:space="0" w:color="auto"/>
        <w:left w:val="none" w:sz="0" w:space="0" w:color="auto"/>
        <w:bottom w:val="none" w:sz="0" w:space="0" w:color="auto"/>
        <w:right w:val="none" w:sz="0" w:space="0" w:color="auto"/>
      </w:divBdr>
      <w:divsChild>
        <w:div w:id="152333145">
          <w:marLeft w:val="0"/>
          <w:marRight w:val="0"/>
          <w:marTop w:val="0"/>
          <w:marBottom w:val="0"/>
          <w:divBdr>
            <w:top w:val="none" w:sz="0" w:space="0" w:color="auto"/>
            <w:left w:val="none" w:sz="0" w:space="0" w:color="auto"/>
            <w:bottom w:val="none" w:sz="0" w:space="0" w:color="auto"/>
            <w:right w:val="none" w:sz="0" w:space="0" w:color="auto"/>
          </w:divBdr>
        </w:div>
        <w:div w:id="1712992960">
          <w:marLeft w:val="0"/>
          <w:marRight w:val="0"/>
          <w:marTop w:val="0"/>
          <w:marBottom w:val="0"/>
          <w:divBdr>
            <w:top w:val="none" w:sz="0" w:space="0" w:color="auto"/>
            <w:left w:val="none" w:sz="0" w:space="0" w:color="auto"/>
            <w:bottom w:val="none" w:sz="0" w:space="0" w:color="auto"/>
            <w:right w:val="none" w:sz="0" w:space="0" w:color="auto"/>
          </w:divBdr>
        </w:div>
        <w:div w:id="147793058">
          <w:marLeft w:val="0"/>
          <w:marRight w:val="0"/>
          <w:marTop w:val="0"/>
          <w:marBottom w:val="0"/>
          <w:divBdr>
            <w:top w:val="none" w:sz="0" w:space="0" w:color="auto"/>
            <w:left w:val="none" w:sz="0" w:space="0" w:color="auto"/>
            <w:bottom w:val="none" w:sz="0" w:space="0" w:color="auto"/>
            <w:right w:val="none" w:sz="0" w:space="0" w:color="auto"/>
          </w:divBdr>
        </w:div>
        <w:div w:id="2118602209">
          <w:marLeft w:val="0"/>
          <w:marRight w:val="0"/>
          <w:marTop w:val="0"/>
          <w:marBottom w:val="0"/>
          <w:divBdr>
            <w:top w:val="none" w:sz="0" w:space="0" w:color="auto"/>
            <w:left w:val="none" w:sz="0" w:space="0" w:color="auto"/>
            <w:bottom w:val="none" w:sz="0" w:space="0" w:color="auto"/>
            <w:right w:val="none" w:sz="0" w:space="0" w:color="auto"/>
          </w:divBdr>
        </w:div>
        <w:div w:id="1379622549">
          <w:marLeft w:val="0"/>
          <w:marRight w:val="0"/>
          <w:marTop w:val="0"/>
          <w:marBottom w:val="0"/>
          <w:divBdr>
            <w:top w:val="none" w:sz="0" w:space="0" w:color="auto"/>
            <w:left w:val="none" w:sz="0" w:space="0" w:color="auto"/>
            <w:bottom w:val="none" w:sz="0" w:space="0" w:color="auto"/>
            <w:right w:val="none" w:sz="0" w:space="0" w:color="auto"/>
          </w:divBdr>
        </w:div>
        <w:div w:id="299068785">
          <w:marLeft w:val="0"/>
          <w:marRight w:val="0"/>
          <w:marTop w:val="0"/>
          <w:marBottom w:val="0"/>
          <w:divBdr>
            <w:top w:val="none" w:sz="0" w:space="0" w:color="auto"/>
            <w:left w:val="none" w:sz="0" w:space="0" w:color="auto"/>
            <w:bottom w:val="none" w:sz="0" w:space="0" w:color="auto"/>
            <w:right w:val="none" w:sz="0" w:space="0" w:color="auto"/>
          </w:divBdr>
        </w:div>
        <w:div w:id="1032658207">
          <w:marLeft w:val="0"/>
          <w:marRight w:val="0"/>
          <w:marTop w:val="0"/>
          <w:marBottom w:val="0"/>
          <w:divBdr>
            <w:top w:val="none" w:sz="0" w:space="0" w:color="auto"/>
            <w:left w:val="none" w:sz="0" w:space="0" w:color="auto"/>
            <w:bottom w:val="none" w:sz="0" w:space="0" w:color="auto"/>
            <w:right w:val="none" w:sz="0" w:space="0" w:color="auto"/>
          </w:divBdr>
        </w:div>
        <w:div w:id="1156727572">
          <w:marLeft w:val="0"/>
          <w:marRight w:val="0"/>
          <w:marTop w:val="0"/>
          <w:marBottom w:val="0"/>
          <w:divBdr>
            <w:top w:val="none" w:sz="0" w:space="0" w:color="auto"/>
            <w:left w:val="none" w:sz="0" w:space="0" w:color="auto"/>
            <w:bottom w:val="none" w:sz="0" w:space="0" w:color="auto"/>
            <w:right w:val="none" w:sz="0" w:space="0" w:color="auto"/>
          </w:divBdr>
        </w:div>
        <w:div w:id="1731154855">
          <w:marLeft w:val="0"/>
          <w:marRight w:val="0"/>
          <w:marTop w:val="0"/>
          <w:marBottom w:val="0"/>
          <w:divBdr>
            <w:top w:val="none" w:sz="0" w:space="0" w:color="auto"/>
            <w:left w:val="none" w:sz="0" w:space="0" w:color="auto"/>
            <w:bottom w:val="none" w:sz="0" w:space="0" w:color="auto"/>
            <w:right w:val="none" w:sz="0" w:space="0" w:color="auto"/>
          </w:divBdr>
        </w:div>
        <w:div w:id="1365790601">
          <w:marLeft w:val="0"/>
          <w:marRight w:val="0"/>
          <w:marTop w:val="0"/>
          <w:marBottom w:val="0"/>
          <w:divBdr>
            <w:top w:val="none" w:sz="0" w:space="0" w:color="auto"/>
            <w:left w:val="none" w:sz="0" w:space="0" w:color="auto"/>
            <w:bottom w:val="none" w:sz="0" w:space="0" w:color="auto"/>
            <w:right w:val="none" w:sz="0" w:space="0" w:color="auto"/>
          </w:divBdr>
        </w:div>
        <w:div w:id="1367758323">
          <w:marLeft w:val="0"/>
          <w:marRight w:val="0"/>
          <w:marTop w:val="0"/>
          <w:marBottom w:val="0"/>
          <w:divBdr>
            <w:top w:val="none" w:sz="0" w:space="0" w:color="auto"/>
            <w:left w:val="none" w:sz="0" w:space="0" w:color="auto"/>
            <w:bottom w:val="none" w:sz="0" w:space="0" w:color="auto"/>
            <w:right w:val="none" w:sz="0" w:space="0" w:color="auto"/>
          </w:divBdr>
        </w:div>
        <w:div w:id="2043896506">
          <w:marLeft w:val="0"/>
          <w:marRight w:val="0"/>
          <w:marTop w:val="0"/>
          <w:marBottom w:val="0"/>
          <w:divBdr>
            <w:top w:val="none" w:sz="0" w:space="0" w:color="auto"/>
            <w:left w:val="none" w:sz="0" w:space="0" w:color="auto"/>
            <w:bottom w:val="none" w:sz="0" w:space="0" w:color="auto"/>
            <w:right w:val="none" w:sz="0" w:space="0" w:color="auto"/>
          </w:divBdr>
        </w:div>
      </w:divsChild>
    </w:div>
    <w:div w:id="678964562">
      <w:bodyDiv w:val="1"/>
      <w:marLeft w:val="0"/>
      <w:marRight w:val="0"/>
      <w:marTop w:val="0"/>
      <w:marBottom w:val="0"/>
      <w:divBdr>
        <w:top w:val="none" w:sz="0" w:space="0" w:color="auto"/>
        <w:left w:val="none" w:sz="0" w:space="0" w:color="auto"/>
        <w:bottom w:val="none" w:sz="0" w:space="0" w:color="auto"/>
        <w:right w:val="none" w:sz="0" w:space="0" w:color="auto"/>
      </w:divBdr>
    </w:div>
    <w:div w:id="705132550">
      <w:bodyDiv w:val="1"/>
      <w:marLeft w:val="0"/>
      <w:marRight w:val="0"/>
      <w:marTop w:val="0"/>
      <w:marBottom w:val="0"/>
      <w:divBdr>
        <w:top w:val="none" w:sz="0" w:space="0" w:color="auto"/>
        <w:left w:val="none" w:sz="0" w:space="0" w:color="auto"/>
        <w:bottom w:val="none" w:sz="0" w:space="0" w:color="auto"/>
        <w:right w:val="none" w:sz="0" w:space="0" w:color="auto"/>
      </w:divBdr>
      <w:divsChild>
        <w:div w:id="428701979">
          <w:marLeft w:val="0"/>
          <w:marRight w:val="0"/>
          <w:marTop w:val="0"/>
          <w:marBottom w:val="0"/>
          <w:divBdr>
            <w:top w:val="none" w:sz="0" w:space="0" w:color="auto"/>
            <w:left w:val="none" w:sz="0" w:space="0" w:color="auto"/>
            <w:bottom w:val="none" w:sz="0" w:space="0" w:color="auto"/>
            <w:right w:val="none" w:sz="0" w:space="0" w:color="auto"/>
          </w:divBdr>
        </w:div>
      </w:divsChild>
    </w:div>
    <w:div w:id="746151083">
      <w:bodyDiv w:val="1"/>
      <w:marLeft w:val="0"/>
      <w:marRight w:val="0"/>
      <w:marTop w:val="0"/>
      <w:marBottom w:val="0"/>
      <w:divBdr>
        <w:top w:val="none" w:sz="0" w:space="0" w:color="auto"/>
        <w:left w:val="none" w:sz="0" w:space="0" w:color="auto"/>
        <w:bottom w:val="none" w:sz="0" w:space="0" w:color="auto"/>
        <w:right w:val="none" w:sz="0" w:space="0" w:color="auto"/>
      </w:divBdr>
    </w:div>
    <w:div w:id="778180646">
      <w:bodyDiv w:val="1"/>
      <w:marLeft w:val="0"/>
      <w:marRight w:val="0"/>
      <w:marTop w:val="0"/>
      <w:marBottom w:val="0"/>
      <w:divBdr>
        <w:top w:val="none" w:sz="0" w:space="0" w:color="auto"/>
        <w:left w:val="none" w:sz="0" w:space="0" w:color="auto"/>
        <w:bottom w:val="none" w:sz="0" w:space="0" w:color="auto"/>
        <w:right w:val="none" w:sz="0" w:space="0" w:color="auto"/>
      </w:divBdr>
    </w:div>
    <w:div w:id="964846610">
      <w:bodyDiv w:val="1"/>
      <w:marLeft w:val="0"/>
      <w:marRight w:val="0"/>
      <w:marTop w:val="0"/>
      <w:marBottom w:val="0"/>
      <w:divBdr>
        <w:top w:val="none" w:sz="0" w:space="0" w:color="auto"/>
        <w:left w:val="none" w:sz="0" w:space="0" w:color="auto"/>
        <w:bottom w:val="none" w:sz="0" w:space="0" w:color="auto"/>
        <w:right w:val="none" w:sz="0" w:space="0" w:color="auto"/>
      </w:divBdr>
    </w:div>
    <w:div w:id="1225484476">
      <w:bodyDiv w:val="1"/>
      <w:marLeft w:val="0"/>
      <w:marRight w:val="0"/>
      <w:marTop w:val="0"/>
      <w:marBottom w:val="0"/>
      <w:divBdr>
        <w:top w:val="none" w:sz="0" w:space="0" w:color="auto"/>
        <w:left w:val="none" w:sz="0" w:space="0" w:color="auto"/>
        <w:bottom w:val="none" w:sz="0" w:space="0" w:color="auto"/>
        <w:right w:val="none" w:sz="0" w:space="0" w:color="auto"/>
      </w:divBdr>
    </w:div>
    <w:div w:id="1409498939">
      <w:bodyDiv w:val="1"/>
      <w:marLeft w:val="0"/>
      <w:marRight w:val="0"/>
      <w:marTop w:val="0"/>
      <w:marBottom w:val="0"/>
      <w:divBdr>
        <w:top w:val="none" w:sz="0" w:space="0" w:color="auto"/>
        <w:left w:val="none" w:sz="0" w:space="0" w:color="auto"/>
        <w:bottom w:val="none" w:sz="0" w:space="0" w:color="auto"/>
        <w:right w:val="none" w:sz="0" w:space="0" w:color="auto"/>
      </w:divBdr>
      <w:divsChild>
        <w:div w:id="65154805">
          <w:marLeft w:val="0"/>
          <w:marRight w:val="0"/>
          <w:marTop w:val="0"/>
          <w:marBottom w:val="0"/>
          <w:divBdr>
            <w:top w:val="none" w:sz="0" w:space="0" w:color="auto"/>
            <w:left w:val="none" w:sz="0" w:space="0" w:color="auto"/>
            <w:bottom w:val="none" w:sz="0" w:space="0" w:color="auto"/>
            <w:right w:val="none" w:sz="0" w:space="0" w:color="auto"/>
          </w:divBdr>
        </w:div>
        <w:div w:id="58359543">
          <w:marLeft w:val="0"/>
          <w:marRight w:val="0"/>
          <w:marTop w:val="0"/>
          <w:marBottom w:val="0"/>
          <w:divBdr>
            <w:top w:val="none" w:sz="0" w:space="0" w:color="auto"/>
            <w:left w:val="none" w:sz="0" w:space="0" w:color="auto"/>
            <w:bottom w:val="none" w:sz="0" w:space="0" w:color="auto"/>
            <w:right w:val="none" w:sz="0" w:space="0" w:color="auto"/>
          </w:divBdr>
        </w:div>
      </w:divsChild>
    </w:div>
    <w:div w:id="1590776427">
      <w:bodyDiv w:val="1"/>
      <w:marLeft w:val="0"/>
      <w:marRight w:val="0"/>
      <w:marTop w:val="0"/>
      <w:marBottom w:val="0"/>
      <w:divBdr>
        <w:top w:val="none" w:sz="0" w:space="0" w:color="auto"/>
        <w:left w:val="none" w:sz="0" w:space="0" w:color="auto"/>
        <w:bottom w:val="none" w:sz="0" w:space="0" w:color="auto"/>
        <w:right w:val="none" w:sz="0" w:space="0" w:color="auto"/>
      </w:divBdr>
      <w:divsChild>
        <w:div w:id="1420445097">
          <w:marLeft w:val="0"/>
          <w:marRight w:val="0"/>
          <w:marTop w:val="0"/>
          <w:marBottom w:val="0"/>
          <w:divBdr>
            <w:top w:val="none" w:sz="0" w:space="0" w:color="auto"/>
            <w:left w:val="none" w:sz="0" w:space="0" w:color="auto"/>
            <w:bottom w:val="none" w:sz="0" w:space="0" w:color="auto"/>
            <w:right w:val="none" w:sz="0" w:space="0" w:color="auto"/>
          </w:divBdr>
        </w:div>
        <w:div w:id="1892761401">
          <w:marLeft w:val="0"/>
          <w:marRight w:val="0"/>
          <w:marTop w:val="0"/>
          <w:marBottom w:val="0"/>
          <w:divBdr>
            <w:top w:val="none" w:sz="0" w:space="0" w:color="auto"/>
            <w:left w:val="none" w:sz="0" w:space="0" w:color="auto"/>
            <w:bottom w:val="none" w:sz="0" w:space="0" w:color="auto"/>
            <w:right w:val="none" w:sz="0" w:space="0" w:color="auto"/>
          </w:divBdr>
        </w:div>
        <w:div w:id="178786189">
          <w:marLeft w:val="0"/>
          <w:marRight w:val="0"/>
          <w:marTop w:val="0"/>
          <w:marBottom w:val="0"/>
          <w:divBdr>
            <w:top w:val="none" w:sz="0" w:space="0" w:color="auto"/>
            <w:left w:val="none" w:sz="0" w:space="0" w:color="auto"/>
            <w:bottom w:val="none" w:sz="0" w:space="0" w:color="auto"/>
            <w:right w:val="none" w:sz="0" w:space="0" w:color="auto"/>
          </w:divBdr>
        </w:div>
        <w:div w:id="692339804">
          <w:marLeft w:val="0"/>
          <w:marRight w:val="0"/>
          <w:marTop w:val="0"/>
          <w:marBottom w:val="0"/>
          <w:divBdr>
            <w:top w:val="none" w:sz="0" w:space="0" w:color="auto"/>
            <w:left w:val="none" w:sz="0" w:space="0" w:color="auto"/>
            <w:bottom w:val="none" w:sz="0" w:space="0" w:color="auto"/>
            <w:right w:val="none" w:sz="0" w:space="0" w:color="auto"/>
          </w:divBdr>
        </w:div>
        <w:div w:id="289358888">
          <w:marLeft w:val="0"/>
          <w:marRight w:val="0"/>
          <w:marTop w:val="0"/>
          <w:marBottom w:val="0"/>
          <w:divBdr>
            <w:top w:val="none" w:sz="0" w:space="0" w:color="auto"/>
            <w:left w:val="none" w:sz="0" w:space="0" w:color="auto"/>
            <w:bottom w:val="none" w:sz="0" w:space="0" w:color="auto"/>
            <w:right w:val="none" w:sz="0" w:space="0" w:color="auto"/>
          </w:divBdr>
        </w:div>
      </w:divsChild>
    </w:div>
    <w:div w:id="1741714371">
      <w:bodyDiv w:val="1"/>
      <w:marLeft w:val="0"/>
      <w:marRight w:val="0"/>
      <w:marTop w:val="0"/>
      <w:marBottom w:val="0"/>
      <w:divBdr>
        <w:top w:val="none" w:sz="0" w:space="0" w:color="auto"/>
        <w:left w:val="none" w:sz="0" w:space="0" w:color="auto"/>
        <w:bottom w:val="none" w:sz="0" w:space="0" w:color="auto"/>
        <w:right w:val="none" w:sz="0" w:space="0" w:color="auto"/>
      </w:divBdr>
      <w:divsChild>
        <w:div w:id="949051077">
          <w:marLeft w:val="0"/>
          <w:marRight w:val="0"/>
          <w:marTop w:val="0"/>
          <w:marBottom w:val="0"/>
          <w:divBdr>
            <w:top w:val="none" w:sz="0" w:space="0" w:color="auto"/>
            <w:left w:val="none" w:sz="0" w:space="0" w:color="auto"/>
            <w:bottom w:val="none" w:sz="0" w:space="0" w:color="auto"/>
            <w:right w:val="none" w:sz="0" w:space="0" w:color="auto"/>
          </w:divBdr>
        </w:div>
        <w:div w:id="1112628313">
          <w:marLeft w:val="0"/>
          <w:marRight w:val="0"/>
          <w:marTop w:val="0"/>
          <w:marBottom w:val="0"/>
          <w:divBdr>
            <w:top w:val="none" w:sz="0" w:space="0" w:color="auto"/>
            <w:left w:val="none" w:sz="0" w:space="0" w:color="auto"/>
            <w:bottom w:val="none" w:sz="0" w:space="0" w:color="auto"/>
            <w:right w:val="none" w:sz="0" w:space="0" w:color="auto"/>
          </w:divBdr>
        </w:div>
        <w:div w:id="1506020776">
          <w:marLeft w:val="0"/>
          <w:marRight w:val="0"/>
          <w:marTop w:val="0"/>
          <w:marBottom w:val="0"/>
          <w:divBdr>
            <w:top w:val="none" w:sz="0" w:space="0" w:color="auto"/>
            <w:left w:val="none" w:sz="0" w:space="0" w:color="auto"/>
            <w:bottom w:val="none" w:sz="0" w:space="0" w:color="auto"/>
            <w:right w:val="none" w:sz="0" w:space="0" w:color="auto"/>
          </w:divBdr>
          <w:divsChild>
            <w:div w:id="1531147116">
              <w:marLeft w:val="0"/>
              <w:marRight w:val="0"/>
              <w:marTop w:val="0"/>
              <w:marBottom w:val="0"/>
              <w:divBdr>
                <w:top w:val="none" w:sz="0" w:space="0" w:color="auto"/>
                <w:left w:val="none" w:sz="0" w:space="0" w:color="auto"/>
                <w:bottom w:val="none" w:sz="0" w:space="0" w:color="auto"/>
                <w:right w:val="none" w:sz="0" w:space="0" w:color="auto"/>
              </w:divBdr>
            </w:div>
            <w:div w:id="5264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0906">
      <w:bodyDiv w:val="1"/>
      <w:marLeft w:val="0"/>
      <w:marRight w:val="0"/>
      <w:marTop w:val="0"/>
      <w:marBottom w:val="0"/>
      <w:divBdr>
        <w:top w:val="none" w:sz="0" w:space="0" w:color="auto"/>
        <w:left w:val="none" w:sz="0" w:space="0" w:color="auto"/>
        <w:bottom w:val="none" w:sz="0" w:space="0" w:color="auto"/>
        <w:right w:val="none" w:sz="0" w:space="0" w:color="auto"/>
      </w:divBdr>
      <w:divsChild>
        <w:div w:id="584650080">
          <w:marLeft w:val="0"/>
          <w:marRight w:val="0"/>
          <w:marTop w:val="0"/>
          <w:marBottom w:val="0"/>
          <w:divBdr>
            <w:top w:val="none" w:sz="0" w:space="0" w:color="auto"/>
            <w:left w:val="none" w:sz="0" w:space="0" w:color="auto"/>
            <w:bottom w:val="none" w:sz="0" w:space="0" w:color="auto"/>
            <w:right w:val="none" w:sz="0" w:space="0" w:color="auto"/>
          </w:divBdr>
        </w:div>
        <w:div w:id="79883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 TargetMode="External"/><Relationship Id="rId13" Type="http://schemas.openxmlformats.org/officeDocument/2006/relationships/hyperlink" Target="https://www.heritage.org/index/" TargetMode="External"/><Relationship Id="rId3" Type="http://schemas.openxmlformats.org/officeDocument/2006/relationships/settings" Target="settings.xml"/><Relationship Id="rId7" Type="http://schemas.openxmlformats.org/officeDocument/2006/relationships/hyperlink" Target="https://data.worldbank.org/" TargetMode="External"/><Relationship Id="rId12" Type="http://schemas.openxmlformats.org/officeDocument/2006/relationships/hyperlink" Target="https://www.wipo.int/web/global-innovation-index/2023/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parency.org/en/cpi/20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dr.undp.org/data-center/human-development-index" TargetMode="External"/><Relationship Id="rId4" Type="http://schemas.openxmlformats.org/officeDocument/2006/relationships/webSettings" Target="webSettings.xml"/><Relationship Id="rId9" Type="http://schemas.openxmlformats.org/officeDocument/2006/relationships/hyperlink" Target="https://data.worldbank.org/indicator/SI.POV.GIN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4314</Words>
  <Characters>25889</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Żukowska-Efendić Krystyna</dc:creator>
  <cp:keywords/>
  <dc:description/>
  <cp:lastModifiedBy>Żukowska-Efendić Krystyna</cp:lastModifiedBy>
  <cp:revision>2</cp:revision>
  <dcterms:created xsi:type="dcterms:W3CDTF">2026-03-24T10:36:00Z</dcterms:created>
  <dcterms:modified xsi:type="dcterms:W3CDTF">2026-03-24T10:36:00Z</dcterms:modified>
</cp:coreProperties>
</file>