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DF" w:rsidRPr="00963F43" w:rsidRDefault="009E6C47" w:rsidP="00684FAD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63F43">
        <w:rPr>
          <w:rFonts w:asciiTheme="minorHAnsi" w:hAnsiTheme="minorHAnsi"/>
          <w:sz w:val="24"/>
          <w:szCs w:val="24"/>
        </w:rPr>
        <w:t>Gdańsk</w:t>
      </w:r>
      <w:bookmarkEnd w:id="0"/>
      <w:r w:rsidRPr="00963F4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63F43">
        <w:rPr>
          <w:rFonts w:asciiTheme="minorHAnsi" w:hAnsiTheme="minorHAnsi"/>
          <w:sz w:val="24"/>
          <w:szCs w:val="24"/>
        </w:rPr>
        <w:t>24 listopada 2025</w:t>
      </w:r>
      <w:bookmarkEnd w:id="1"/>
      <w:r w:rsidRPr="00963F43">
        <w:rPr>
          <w:rFonts w:asciiTheme="minorHAnsi" w:hAnsiTheme="minorHAnsi"/>
          <w:sz w:val="24"/>
          <w:szCs w:val="24"/>
        </w:rPr>
        <w:t xml:space="preserve"> r.</w:t>
      </w:r>
    </w:p>
    <w:p w:rsidR="00B810DF" w:rsidRPr="00963F43" w:rsidRDefault="009E6C47" w:rsidP="00684FA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963F43">
        <w:rPr>
          <w:rFonts w:asciiTheme="minorHAnsi" w:hAnsiTheme="minorHAnsi"/>
          <w:sz w:val="24"/>
          <w:szCs w:val="24"/>
        </w:rPr>
        <w:t>NSP-II.431.1.2023</w:t>
      </w:r>
      <w:bookmarkEnd w:id="2"/>
      <w:r w:rsidRPr="00963F4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963F43">
        <w:rPr>
          <w:rFonts w:asciiTheme="minorHAnsi" w:hAnsiTheme="minorHAnsi"/>
          <w:sz w:val="24"/>
          <w:szCs w:val="24"/>
        </w:rPr>
        <w:t>KL</w:t>
      </w:r>
      <w:bookmarkEnd w:id="3"/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4" w:name="_Hlk189823889"/>
      <w:bookmarkStart w:id="5" w:name="_GoBack"/>
      <w:bookmarkEnd w:id="5"/>
      <w:r>
        <w:rPr>
          <w:rFonts w:asciiTheme="minorHAnsi" w:hAnsiTheme="minorHAnsi"/>
          <w:b/>
          <w:bCs/>
          <w:sz w:val="24"/>
          <w:szCs w:val="24"/>
        </w:rPr>
        <w:t>W</w:t>
      </w:r>
      <w:r w:rsidRPr="00F604AB">
        <w:rPr>
          <w:rFonts w:asciiTheme="minorHAnsi" w:hAnsiTheme="minorHAnsi"/>
          <w:b/>
          <w:bCs/>
          <w:sz w:val="24"/>
          <w:szCs w:val="24"/>
        </w:rPr>
        <w:t>ystąpieni</w:t>
      </w:r>
      <w:r>
        <w:rPr>
          <w:rFonts w:asciiTheme="minorHAnsi" w:hAnsiTheme="minorHAnsi"/>
          <w:b/>
          <w:bCs/>
          <w:sz w:val="24"/>
          <w:szCs w:val="24"/>
        </w:rPr>
        <w:t>e</w:t>
      </w:r>
      <w:r w:rsidRPr="00F604AB">
        <w:rPr>
          <w:rFonts w:asciiTheme="minorHAnsi" w:hAnsiTheme="minorHAnsi"/>
          <w:b/>
          <w:bCs/>
          <w:sz w:val="24"/>
          <w:szCs w:val="24"/>
        </w:rPr>
        <w:t xml:space="preserve"> pokontrolne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 xml:space="preserve">Nazwa i adres jednostki kontrolowanej: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Starostwo Powiatowe w Pruszczu Gdańskim Wydział Geodezji Kartografii i Katastru (zwane dalej „Urzędem”), 83-000 Pruszcz Gdański ul. Wojska </w:t>
      </w:r>
      <w:r w:rsidRPr="00F604AB">
        <w:rPr>
          <w:rFonts w:asciiTheme="minorHAnsi" w:hAnsiTheme="minorHAnsi"/>
          <w:sz w:val="24"/>
          <w:szCs w:val="24"/>
        </w:rPr>
        <w:t>Polskiego 16.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 xml:space="preserve">Przedmiot kontroli: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Realizacja wykonywania przez starostę zadań z zakresu administracji rządowej dotyczących gospodarki nieruchomościami Skarbu Państwa w zakresie:</w:t>
      </w:r>
    </w:p>
    <w:p w:rsidR="00F604AB" w:rsidRPr="00F604AB" w:rsidRDefault="009E6C47" w:rsidP="00F604AB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aktualizacji opłat z tytułu użytkowania wieczystego, </w:t>
      </w:r>
    </w:p>
    <w:p w:rsidR="00F604AB" w:rsidRPr="00F604AB" w:rsidRDefault="009E6C47" w:rsidP="00F604AB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aktualizacji opłat z ty</w:t>
      </w:r>
      <w:r w:rsidRPr="00F604AB">
        <w:rPr>
          <w:rFonts w:asciiTheme="minorHAnsi" w:hAnsiTheme="minorHAnsi"/>
          <w:sz w:val="24"/>
          <w:szCs w:val="24"/>
        </w:rPr>
        <w:t xml:space="preserve">tułu trwałego zarządu, </w:t>
      </w:r>
    </w:p>
    <w:p w:rsidR="00F604AB" w:rsidRPr="00F604AB" w:rsidRDefault="009E6C47" w:rsidP="00F604AB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przekształcenia prawa użytkowania wieczystego w prawo własności dokonanego na podstawie ustawy z dnia 29 lipca 2005 r. o przekształceniu prawa użytkowania wieczystego w prawo własności nieruchomości (Dz.U. z 2024 r. poz. 900),</w:t>
      </w:r>
    </w:p>
    <w:p w:rsidR="00F604AB" w:rsidRPr="00F604AB" w:rsidRDefault="009E6C47" w:rsidP="00F604AB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opisa</w:t>
      </w:r>
      <w:r w:rsidRPr="00F604AB">
        <w:rPr>
          <w:rFonts w:asciiTheme="minorHAnsi" w:hAnsiTheme="minorHAnsi"/>
          <w:sz w:val="24"/>
          <w:szCs w:val="24"/>
        </w:rPr>
        <w:t>nym w art. 2 ust. 1, art. 4, art. 66, art. 72 ust. 1 ustawy z dnia 22 czerwca 1995 r. zakwaterowaniu Sił Zbrojnych Rzeczypospolitej Polskiej (Dz.U. z 2024 r. poz. 1270).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 xml:space="preserve">Okres objęty kontrolą: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od dnia 1 czerwca 2021 r. do dnia 31 maja 2023 r.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Podstawa pra</w:t>
      </w:r>
      <w:r w:rsidRPr="00F604AB">
        <w:rPr>
          <w:rFonts w:asciiTheme="minorHAnsi" w:hAnsiTheme="minorHAnsi"/>
          <w:b/>
          <w:bCs/>
          <w:iCs/>
          <w:sz w:val="24"/>
          <w:szCs w:val="24"/>
        </w:rPr>
        <w:t>wna przeprowadzenia kontroli: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Kontrola planowa, realizowana w trybie zwykłym, prowadzona na podstawie:</w:t>
      </w:r>
    </w:p>
    <w:p w:rsidR="00F604AB" w:rsidRPr="00F604AB" w:rsidRDefault="009E6C47" w:rsidP="00F604AB">
      <w:pPr>
        <w:pStyle w:val="Bezodstpw"/>
        <w:numPr>
          <w:ilvl w:val="0"/>
          <w:numId w:val="2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art. 28 ust. 1 pkt 2 ustawy z dnia 23 stycznia 2009 r. o wojewodzie i administracji rządowej w województwie (Dz.U. z 2025 r. poz. 428),</w:t>
      </w:r>
    </w:p>
    <w:p w:rsidR="00F604AB" w:rsidRPr="00F604AB" w:rsidRDefault="009E6C47" w:rsidP="00F604AB">
      <w:pPr>
        <w:pStyle w:val="Bezodstpw"/>
        <w:numPr>
          <w:ilvl w:val="0"/>
          <w:numId w:val="2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art. 6 ust. 4 pkt</w:t>
      </w:r>
      <w:r w:rsidRPr="00F604AB">
        <w:rPr>
          <w:rFonts w:asciiTheme="minorHAnsi" w:hAnsiTheme="minorHAnsi"/>
          <w:sz w:val="24"/>
          <w:szCs w:val="24"/>
        </w:rPr>
        <w:t xml:space="preserve"> 3 ustawy z dnia 15 lipca 2011 r. o kontroli w administracji rządowej (Dz.U. z 2020 r. poz. 224),</w:t>
      </w:r>
    </w:p>
    <w:p w:rsidR="00F604AB" w:rsidRPr="00F604AB" w:rsidRDefault="009E6C47" w:rsidP="00F604AB">
      <w:pPr>
        <w:pStyle w:val="Bezodstpw"/>
        <w:numPr>
          <w:ilvl w:val="0"/>
          <w:numId w:val="2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art. 23, art. 71-78, art. 82-88 ustawy z dnia 21 sierpnia 1997 r. o gospodarce nieruchomościami (Dz.U. z 2024 r. poz. 1145 ze zm.) - zwanej dalej „ugn”,</w:t>
      </w:r>
    </w:p>
    <w:p w:rsidR="00F604AB" w:rsidRPr="00F604AB" w:rsidRDefault="009E6C47" w:rsidP="00F604AB">
      <w:pPr>
        <w:pStyle w:val="Bezodstpw"/>
        <w:numPr>
          <w:ilvl w:val="0"/>
          <w:numId w:val="2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art. </w:t>
      </w:r>
      <w:r w:rsidRPr="00F604AB">
        <w:rPr>
          <w:rFonts w:asciiTheme="minorHAnsi" w:hAnsiTheme="minorHAnsi"/>
          <w:sz w:val="24"/>
          <w:szCs w:val="24"/>
        </w:rPr>
        <w:t>1-5a ustawy z dnia 29 lipca 2005 r. o przekształceniu prawa użytkowania wieczystego w prawo własności nieruchomości (Dz.U. z 2024 r. poz. 900) – zwanej dalej „ustawą o przekształceniu”,</w:t>
      </w:r>
    </w:p>
    <w:p w:rsidR="00F604AB" w:rsidRPr="00F604AB" w:rsidRDefault="009E6C47" w:rsidP="00F604AB">
      <w:pPr>
        <w:pStyle w:val="Bezodstpw"/>
        <w:numPr>
          <w:ilvl w:val="0"/>
          <w:numId w:val="2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art. 2 ust. 1, art. 4, art. 66, art. 72 ust. 1 ustawy z dnia 22 czerwca 1995 r. </w:t>
      </w:r>
      <w:r w:rsidRPr="00F604AB">
        <w:rPr>
          <w:rFonts w:asciiTheme="minorHAnsi" w:hAnsiTheme="minorHAnsi"/>
          <w:sz w:val="24"/>
          <w:szCs w:val="24"/>
        </w:rPr>
        <w:br/>
        <w:t>o zakwaterowaniu Sił Zbrojnych Rzeczypospolitej Polskiej (Dz.U. z 2024 r. poz. 1270).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Data rozpoczęcia i zakończenia czynności kontrolnych: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od dnia 30 czerwca 2023 r. do dnia </w:t>
      </w:r>
      <w:r w:rsidRPr="00F604AB">
        <w:rPr>
          <w:rFonts w:asciiTheme="minorHAnsi" w:hAnsiTheme="minorHAnsi"/>
          <w:sz w:val="24"/>
          <w:szCs w:val="24"/>
        </w:rPr>
        <w:t xml:space="preserve">21 lipca 2023 r.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lastRenderedPageBreak/>
        <w:t>Kierownik jednostki kontrolowanej: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okresie objętym kontrolą Starostą Gdańskim (zwanym dalej „Starostą”) byli Pan Stefan Skonieczny wybrany na to stanowisko uchwałą nr I/6/2018 Rady Powiatu Gdańskiego z 19 listopada 2018 r. w sprawie wyb</w:t>
      </w:r>
      <w:r w:rsidRPr="00F604AB">
        <w:rPr>
          <w:rFonts w:asciiTheme="minorHAnsi" w:hAnsiTheme="minorHAnsi"/>
          <w:sz w:val="24"/>
          <w:szCs w:val="24"/>
        </w:rPr>
        <w:t>oru Starosty Powiatu Gdańskiego VI kadencji w latach 2018-2023 i Pan Marian Cichon wybrany na to stanowisko uchwałą nr XLI/283/2021 Rady Powiatu Gdańskiego z 6 września 2021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"/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Skład zespołu kontrolującego:</w:t>
      </w:r>
    </w:p>
    <w:p w:rsidR="00F604AB" w:rsidRPr="00F604AB" w:rsidRDefault="009E6C47" w:rsidP="00F604AB">
      <w:pPr>
        <w:pStyle w:val="Bezodstpw"/>
        <w:numPr>
          <w:ilvl w:val="0"/>
          <w:numId w:val="3"/>
        </w:numPr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F604AB">
        <w:rPr>
          <w:rFonts w:asciiTheme="minorHAnsi" w:hAnsiTheme="minorHAnsi"/>
          <w:bCs/>
          <w:sz w:val="24"/>
          <w:szCs w:val="24"/>
        </w:rPr>
        <w:t>Katarzyna Szwoch-Lewalska - kierownik zespołu ko</w:t>
      </w:r>
      <w:r w:rsidRPr="00F604AB">
        <w:rPr>
          <w:rFonts w:asciiTheme="minorHAnsi" w:hAnsiTheme="minorHAnsi"/>
          <w:bCs/>
          <w:sz w:val="24"/>
          <w:szCs w:val="24"/>
        </w:rPr>
        <w:t>ntrolującego – starszy inspektor wojewódzki,</w:t>
      </w:r>
    </w:p>
    <w:p w:rsidR="00F604AB" w:rsidRPr="00F604AB" w:rsidRDefault="009E6C47" w:rsidP="00F604AB">
      <w:pPr>
        <w:pStyle w:val="Bezodstpw"/>
        <w:numPr>
          <w:ilvl w:val="0"/>
          <w:numId w:val="3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Elżbieta Śliwińska-Sosińska  - ekspert;</w:t>
      </w:r>
    </w:p>
    <w:p w:rsidR="00F604AB" w:rsidRPr="00F604AB" w:rsidRDefault="009E6C47" w:rsidP="00F604AB">
      <w:pPr>
        <w:pStyle w:val="Bezodstpw"/>
        <w:numPr>
          <w:ilvl w:val="0"/>
          <w:numId w:val="3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Joanna Matuszyńska – starszy inspektor wojewódzki.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Pani Joanna Matuszyńska dołączyła do składu zespołu kontrolującego, ponieważ Pani Elżbieta Śliwińska-Sosińska nie jest j</w:t>
      </w:r>
      <w:r w:rsidRPr="00F604AB">
        <w:rPr>
          <w:rFonts w:asciiTheme="minorHAnsi" w:hAnsiTheme="minorHAnsi"/>
          <w:sz w:val="24"/>
          <w:szCs w:val="24"/>
        </w:rPr>
        <w:t>uż pracownikiem organu kontrolującego. Zgodnie z § 19 ust. 1 zarządzenia Wojewody Pomorskiego z dnia 26 marca 2024 r. w sprawie kontroli realizowanych przez Wojewodę Pomorskiego, jeżeli kontroler z ważnych przyczyn nie może podpisać projektu wystąpienia po</w:t>
      </w:r>
      <w:r w:rsidRPr="00F604AB">
        <w:rPr>
          <w:rFonts w:asciiTheme="minorHAnsi" w:hAnsiTheme="minorHAnsi"/>
          <w:sz w:val="24"/>
          <w:szCs w:val="24"/>
        </w:rPr>
        <w:t>kontrolnego, kierownik komórki do spraw kontroli wyznacza inną osobę, która po uzyskaniu upoważnienia, o którym mowa w § 11 i złożeniu oświadczenia, o którym mowa w § 12 zarządzenia, zapoznaje się z ustaleniami kontroli i podpisuje projekt wystąpienia poko</w:t>
      </w:r>
      <w:r w:rsidRPr="00F604AB">
        <w:rPr>
          <w:rFonts w:asciiTheme="minorHAnsi" w:hAnsiTheme="minorHAnsi"/>
          <w:sz w:val="24"/>
          <w:szCs w:val="24"/>
        </w:rPr>
        <w:t xml:space="preserve">ntrolnego.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Informacje wstępne: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Organizacja i zasady działania Urzędu oraz zakresy spraw załatwianych przez wewnętrzne komórki organizacyjne określone zostały w Regulaminie Organizacyjnym Starostwa Powiatu Gdańskiego przyjętym przez Zarząd Powiatu Gdańskie</w:t>
      </w:r>
      <w:r w:rsidRPr="00F604AB">
        <w:rPr>
          <w:rFonts w:asciiTheme="minorHAnsi" w:hAnsiTheme="minorHAnsi"/>
          <w:sz w:val="24"/>
          <w:szCs w:val="24"/>
        </w:rPr>
        <w:t>go uchwałą nr 478/2021 z 19 października 2021 r., zmienionym m.in. uchwałą nr 679/2022 Zarządu Powiatu Gdańskiego z 30 września 2022 r. (zmiana dotyczyła Wydziału Geodezji Kartografii i Katastru).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"/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zakresie opisanym w art. 2 ust. 1, art. 4, art. 66, art.</w:t>
      </w:r>
      <w:r w:rsidRPr="00F604AB">
        <w:rPr>
          <w:rFonts w:asciiTheme="minorHAnsi" w:hAnsiTheme="minorHAnsi"/>
          <w:sz w:val="24"/>
          <w:szCs w:val="24"/>
        </w:rPr>
        <w:t xml:space="preserve"> 72 ust. 1 ustawy o zakwaterowaniu Sił Zbrojnych Rzeczypospolitej Polskiej Starosta nie prowadził żadnych spraw.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3"/>
      </w:r>
      <w:r w:rsidRPr="00F604AB">
        <w:rPr>
          <w:rFonts w:asciiTheme="minorHAnsi" w:hAnsiTheme="minorHAnsi"/>
          <w:sz w:val="24"/>
          <w:szCs w:val="24"/>
        </w:rPr>
        <w:t xml:space="preserve"> Zadania podlegające kontroli w zakresie aktualizacji opłat z tytułu użytkowania wieczystego i trwałego zarządu oraz przekształcenia prawa użyt</w:t>
      </w:r>
      <w:r w:rsidRPr="00F604AB">
        <w:rPr>
          <w:rFonts w:asciiTheme="minorHAnsi" w:hAnsiTheme="minorHAnsi"/>
          <w:sz w:val="24"/>
          <w:szCs w:val="24"/>
        </w:rPr>
        <w:t>kowania wieczystego w prawo własności zostały przypisane Referatowi Gospodarki Nieruchomościami w Wydziale Geodezji Kartografii i Katastru. W okresie objętym kontrolą Naczelnikiem Wydziału były kolejno Pani Mariolanta Osipiak i Pani Ewa Banach-Morawska, za</w:t>
      </w:r>
      <w:r w:rsidRPr="00F604AB">
        <w:rPr>
          <w:rFonts w:asciiTheme="minorHAnsi" w:hAnsiTheme="minorHAnsi"/>
          <w:sz w:val="24"/>
          <w:szCs w:val="24"/>
        </w:rPr>
        <w:t>ś Kierownikiem Referatu – Pani Agnieszka König.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lastRenderedPageBreak/>
        <w:t>Sprawami objętymi kontrolą zajmowało się 2 pracowników zatrudnionych w Referacie Gospodarki Nieruchomościami na stanowiskach: kierownika referatu i podinspektora podległych służbowo odpowiednio Naczelnikowi W</w:t>
      </w:r>
      <w:r w:rsidRPr="00F604AB">
        <w:rPr>
          <w:rFonts w:asciiTheme="minorHAnsi" w:hAnsiTheme="minorHAnsi"/>
          <w:sz w:val="24"/>
          <w:szCs w:val="24"/>
        </w:rPr>
        <w:t>ydziału Geodezji Kartografii i Katastru i Kierownikowi Referatu Gospodarki Nieruchomościami.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4"/>
      </w:r>
      <w:r w:rsidRPr="00F604AB">
        <w:rPr>
          <w:rFonts w:asciiTheme="minorHAnsi" w:hAnsiTheme="minorHAnsi"/>
          <w:sz w:val="24"/>
          <w:szCs w:val="24"/>
        </w:rPr>
        <w:t xml:space="preserve">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sz w:val="24"/>
          <w:szCs w:val="24"/>
        </w:rPr>
      </w:pPr>
      <w:r w:rsidRPr="00F604AB">
        <w:rPr>
          <w:rFonts w:asciiTheme="minorHAnsi" w:hAnsiTheme="minorHAnsi"/>
          <w:b/>
          <w:bCs/>
          <w:sz w:val="24"/>
          <w:szCs w:val="24"/>
        </w:rPr>
        <w:t>W okresie objętym kontrolą Prezydent wszczął i zakończył następującą liczbę spraw:</w:t>
      </w:r>
    </w:p>
    <w:p w:rsidR="00F604AB" w:rsidRPr="00F604AB" w:rsidRDefault="009E6C47" w:rsidP="00F604AB">
      <w:pPr>
        <w:pStyle w:val="Bezodstpw"/>
        <w:numPr>
          <w:ilvl w:val="0"/>
          <w:numId w:val="4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zakresie aktualizacji opłat rocznych z tytułu użytkowania wieczystego – 43;</w:t>
      </w:r>
    </w:p>
    <w:p w:rsidR="00F604AB" w:rsidRPr="00F604AB" w:rsidRDefault="009E6C47" w:rsidP="00F604AB">
      <w:pPr>
        <w:pStyle w:val="Bezodstpw"/>
        <w:numPr>
          <w:ilvl w:val="0"/>
          <w:numId w:val="4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zakresie aktualizacji opłat rocznych z tytułu trwałego zarządu – 0;</w:t>
      </w:r>
    </w:p>
    <w:p w:rsidR="00F604AB" w:rsidRPr="00F604AB" w:rsidRDefault="009E6C47" w:rsidP="00F604AB">
      <w:pPr>
        <w:pStyle w:val="Bezodstpw"/>
        <w:numPr>
          <w:ilvl w:val="0"/>
          <w:numId w:val="4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zakresie przekształcenia użytkowania wieczystego w prawo własności </w:t>
      </w:r>
      <w:r w:rsidRPr="00F604AB">
        <w:rPr>
          <w:rFonts w:asciiTheme="minorHAnsi" w:hAnsiTheme="minorHAnsi"/>
          <w:sz w:val="24"/>
          <w:szCs w:val="24"/>
        </w:rPr>
        <w:br/>
        <w:t>nieruchomości – 2;</w:t>
      </w:r>
    </w:p>
    <w:p w:rsidR="00F604AB" w:rsidRPr="00F604AB" w:rsidRDefault="009E6C47" w:rsidP="00F604AB">
      <w:pPr>
        <w:pStyle w:val="Bezodstpw"/>
        <w:numPr>
          <w:ilvl w:val="0"/>
          <w:numId w:val="4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zakresie opisanym w art. 2 ust. 1, art. 4, art. 66, art. 72 ust. 1 ustawy </w:t>
      </w:r>
      <w:r w:rsidRPr="00F604AB">
        <w:rPr>
          <w:rFonts w:asciiTheme="minorHAnsi" w:hAnsiTheme="minorHAnsi"/>
          <w:sz w:val="24"/>
          <w:szCs w:val="24"/>
        </w:rPr>
        <w:br/>
      </w:r>
      <w:r w:rsidRPr="00F604AB">
        <w:rPr>
          <w:rFonts w:asciiTheme="minorHAnsi" w:hAnsiTheme="minorHAnsi"/>
          <w:sz w:val="24"/>
          <w:szCs w:val="24"/>
        </w:rPr>
        <w:t xml:space="preserve">o zakwaterowaniu Sił Zbrojnych Rzeczypospolitej Polskiej - 0.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Ustalenia: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Cs/>
          <w:sz w:val="24"/>
          <w:szCs w:val="24"/>
        </w:rPr>
        <w:t>Ocena działalności Urzędu w zakresie objętym kontrolą została dokonana na podstawie kryteriów legalności, rzetelności i gospodarności. Ocenę uzasadniają następujące ustalenia.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1. Akt</w:t>
      </w:r>
      <w:r w:rsidRPr="00F604AB">
        <w:rPr>
          <w:rFonts w:asciiTheme="minorHAnsi" w:hAnsiTheme="minorHAnsi"/>
          <w:b/>
          <w:sz w:val="24"/>
          <w:szCs w:val="24"/>
        </w:rPr>
        <w:t xml:space="preserve">ualizacja opłat z tytułu użytkowania wieczystego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1.1. Stan aktualizacji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Organ kontrolowany pismem nr NSP-II.431.1.2023.KL z 20 czerwca 2023 r. został zobowiązany do wypełnienia załączonej do pisma tabeli pn. „Zestawienie działek Skarbu Państwa oddanych w </w:t>
      </w:r>
      <w:r w:rsidRPr="00F604AB">
        <w:rPr>
          <w:rFonts w:asciiTheme="minorHAnsi" w:hAnsiTheme="minorHAnsi"/>
          <w:sz w:val="24"/>
          <w:szCs w:val="24"/>
        </w:rPr>
        <w:t>użytkowanie wieczyste”.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5"/>
      </w:r>
      <w:r w:rsidRPr="00F604AB">
        <w:rPr>
          <w:rFonts w:asciiTheme="minorHAnsi" w:hAnsiTheme="minorHAnsi"/>
          <w:sz w:val="24"/>
          <w:szCs w:val="24"/>
        </w:rPr>
        <w:t xml:space="preserve"> Starosta przekazał ww. zestawienie 28 czerwca 2023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6"/>
      </w:r>
      <w:r w:rsidRPr="00F604AB">
        <w:rPr>
          <w:rFonts w:asciiTheme="minorHAnsi" w:hAnsiTheme="minorHAnsi"/>
          <w:sz w:val="24"/>
          <w:szCs w:val="24"/>
        </w:rPr>
        <w:t xml:space="preserve"> i skorygował je w piśmie nr  GKiK-GN.1710.1.2023.AK  z 28 marca 2024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7"/>
      </w:r>
      <w:r w:rsidRPr="00F604AB">
        <w:rPr>
          <w:rFonts w:asciiTheme="minorHAnsi" w:hAnsiTheme="minorHAnsi"/>
          <w:sz w:val="24"/>
          <w:szCs w:val="24"/>
        </w:rPr>
        <w:t xml:space="preserve"> W skorygowanym zestawieniu znajdują się 742 działki o łącznej powierzchni 407,2725 ha.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bookmarkStart w:id="7" w:name="_Hlk177126930"/>
      <w:r w:rsidRPr="00F604AB">
        <w:rPr>
          <w:rFonts w:asciiTheme="minorHAnsi" w:hAnsiTheme="minorHAnsi"/>
          <w:sz w:val="24"/>
          <w:szCs w:val="24"/>
        </w:rPr>
        <w:t>W odpłatne użyt</w:t>
      </w:r>
      <w:r w:rsidRPr="00F604AB">
        <w:rPr>
          <w:rFonts w:asciiTheme="minorHAnsi" w:hAnsiTheme="minorHAnsi"/>
          <w:sz w:val="24"/>
          <w:szCs w:val="24"/>
        </w:rPr>
        <w:t xml:space="preserve">kowanie zostało oddanych 396 działek o powierzchni 257,5702 ha.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Z zestawienia można odczytać w przypadku odpłatnego użytkowania wieczystego, </w:t>
      </w:r>
      <w:r w:rsidRPr="00F604AB">
        <w:rPr>
          <w:rFonts w:asciiTheme="minorHAnsi" w:hAnsiTheme="minorHAnsi"/>
          <w:sz w:val="24"/>
          <w:szCs w:val="24"/>
        </w:rPr>
        <w:br/>
        <w:t>w którym roku została przeprowadzona ostatnia, obowiązująca aktualizacja oraz kiedy zakończyły się postępowania a</w:t>
      </w:r>
      <w:r w:rsidRPr="00F604AB">
        <w:rPr>
          <w:rFonts w:asciiTheme="minorHAnsi" w:hAnsiTheme="minorHAnsi"/>
          <w:sz w:val="24"/>
          <w:szCs w:val="24"/>
        </w:rPr>
        <w:t>ktualizacyjne, co przedstawia się w następujący sposób</w:t>
      </w:r>
      <w:bookmarkEnd w:id="7"/>
      <w:r w:rsidRPr="00F604AB">
        <w:rPr>
          <w:rFonts w:asciiTheme="minorHAnsi" w:hAnsiTheme="minorHAnsi"/>
          <w:sz w:val="24"/>
          <w:szCs w:val="24"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58"/>
        <w:gridCol w:w="2126"/>
      </w:tblGrid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 xml:space="preserve">Rok obowiązującej aktualizacji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Liczba działek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3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  <w:vertAlign w:val="superscript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5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19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180 (1*)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96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44</w:t>
            </w:r>
          </w:p>
        </w:tc>
      </w:tr>
      <w:tr w:rsidR="001359A4">
        <w:trPr>
          <w:jc w:val="center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Suma: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396</w:t>
            </w:r>
          </w:p>
        </w:tc>
      </w:tr>
    </w:tbl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i/>
          <w:iCs/>
          <w:sz w:val="24"/>
          <w:szCs w:val="24"/>
        </w:rPr>
      </w:pPr>
      <w:r w:rsidRPr="00F604AB">
        <w:rPr>
          <w:rFonts w:asciiTheme="minorHAnsi" w:hAnsiTheme="minorHAnsi"/>
          <w:i/>
          <w:iCs/>
          <w:sz w:val="24"/>
          <w:szCs w:val="24"/>
        </w:rPr>
        <w:t xml:space="preserve">1*  - dla 1 </w:t>
      </w:r>
      <w:r w:rsidRPr="00F604AB">
        <w:rPr>
          <w:rFonts w:asciiTheme="minorHAnsi" w:hAnsiTheme="minorHAnsi"/>
          <w:i/>
          <w:iCs/>
          <w:sz w:val="24"/>
          <w:szCs w:val="24"/>
        </w:rPr>
        <w:t>działki trudność w aktualizacji opłaty wynika ze zgonu 1 ze współużytkowników wieczystych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Jednocześnie z przekazanego przez Starostę skorowidza nieruchomości Skarbu Państwa</w:t>
      </w:r>
      <w:r>
        <w:rPr>
          <w:rFonts w:asciiTheme="minorHAnsi" w:hAnsiTheme="minorHAnsi"/>
          <w:sz w:val="24"/>
          <w:szCs w:val="24"/>
          <w:vertAlign w:val="superscript"/>
        </w:rPr>
        <w:footnoteReference w:id="8"/>
      </w:r>
      <w:r w:rsidRPr="00F604AB">
        <w:rPr>
          <w:rFonts w:asciiTheme="minorHAnsi" w:hAnsiTheme="minorHAnsi"/>
          <w:sz w:val="24"/>
          <w:szCs w:val="24"/>
        </w:rPr>
        <w:t xml:space="preserve"> wynika, że w nieodpłatne użytkowanie wieczyste oddanych zostało 346 działek o powi</w:t>
      </w:r>
      <w:r w:rsidRPr="00F604AB">
        <w:rPr>
          <w:rFonts w:asciiTheme="minorHAnsi" w:hAnsiTheme="minorHAnsi"/>
          <w:sz w:val="24"/>
          <w:szCs w:val="24"/>
        </w:rPr>
        <w:t>erzchni 149,7023 ha. Zwolnione z wnoszenia opłat rocznych za działki oddane w użytkowanie wieczyste zostały następujące podmioty: Polskie Koleje Państwowe S. A. (341 działek) oraz  Gaz System S. A. (5 działek).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Dla 4 działek ustalona została opłata przez S</w:t>
      </w:r>
      <w:r w:rsidRPr="00F604AB">
        <w:rPr>
          <w:rFonts w:asciiTheme="minorHAnsi" w:hAnsiTheme="minorHAnsi"/>
          <w:sz w:val="24"/>
          <w:szCs w:val="24"/>
        </w:rPr>
        <w:t>amorządowe Kolegium Odwoławcze w Gdańsku, zwane dalej SKO. Dla 4 działek opłata została ustalona w wyniku ugody przed SKO. W  przypadku 1 działki aktualizacja nie jest możliwa od 2016 r. z powodu zgonu 1 współużytkownika wieczystego.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Na pytanie zespołu kon</w:t>
      </w:r>
      <w:r w:rsidRPr="00F604AB">
        <w:rPr>
          <w:rFonts w:asciiTheme="minorHAnsi" w:hAnsiTheme="minorHAnsi"/>
          <w:sz w:val="24"/>
          <w:szCs w:val="24"/>
        </w:rPr>
        <w:t xml:space="preserve">trolnego, gdzie toczy się aktualnie postępowanie dla działek nr </w:t>
      </w:r>
      <w:r w:rsidR="000755FD">
        <w:rPr>
          <w:rFonts w:asciiTheme="minorHAnsi" w:hAnsiTheme="minorHAnsi"/>
          <w:sz w:val="24"/>
          <w:szCs w:val="24"/>
        </w:rPr>
        <w:t>[...]</w:t>
      </w:r>
      <w:r w:rsidRPr="00F604AB">
        <w:rPr>
          <w:rFonts w:asciiTheme="minorHAnsi" w:hAnsiTheme="minorHAnsi"/>
          <w:sz w:val="24"/>
          <w:szCs w:val="24"/>
        </w:rPr>
        <w:t xml:space="preserve"> i nr </w:t>
      </w:r>
      <w:r w:rsidR="000755FD">
        <w:rPr>
          <w:rFonts w:asciiTheme="minorHAnsi" w:hAnsiTheme="minorHAnsi"/>
          <w:sz w:val="24"/>
          <w:szCs w:val="24"/>
        </w:rPr>
        <w:t xml:space="preserve">[…] </w:t>
      </w:r>
      <w:r w:rsidRPr="00F604AB">
        <w:rPr>
          <w:rFonts w:asciiTheme="minorHAnsi" w:hAnsiTheme="minorHAnsi"/>
          <w:sz w:val="24"/>
          <w:szCs w:val="24"/>
        </w:rPr>
        <w:t xml:space="preserve">będących w użytkowaniu wieczystym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tj. czy postępowanie toczy się w Samorządowym Kolegium Odwoławczym w Gdańsku czy Sądzie Rejonowym </w:t>
      </w:r>
      <w:r w:rsidRPr="00F604AB">
        <w:rPr>
          <w:rFonts w:asciiTheme="minorHAnsi" w:hAnsiTheme="minorHAnsi"/>
          <w:sz w:val="24"/>
          <w:szCs w:val="24"/>
        </w:rPr>
        <w:t>w Gdańsku oraz jaka była kwota opłaty z tytułu użytkowania wieczystego w nowym wypowiedzeniu z 2017 r., Starosta w piśmie z dnia 28 marca 2024 r. poinformował, że sprawa toczy się w Sądzie Rejonowym  w Gdańsku. Starosta wyjaśnił, że działki będące w użytko</w:t>
      </w:r>
      <w:r w:rsidRPr="00F604AB">
        <w:rPr>
          <w:rFonts w:asciiTheme="minorHAnsi" w:hAnsiTheme="minorHAnsi"/>
          <w:sz w:val="24"/>
          <w:szCs w:val="24"/>
        </w:rPr>
        <w:t xml:space="preserve">waniu wieczystym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oznaczone jako działki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i </w:t>
      </w:r>
      <w:r w:rsidR="000755FD">
        <w:rPr>
          <w:rFonts w:asciiTheme="minorHAnsi" w:hAnsiTheme="minorHAnsi"/>
          <w:sz w:val="24"/>
          <w:szCs w:val="24"/>
        </w:rPr>
        <w:t xml:space="preserve">[…] </w:t>
      </w:r>
      <w:r w:rsidRPr="00F604AB">
        <w:rPr>
          <w:rFonts w:asciiTheme="minorHAnsi" w:hAnsiTheme="minorHAnsi"/>
          <w:sz w:val="24"/>
          <w:szCs w:val="24"/>
        </w:rPr>
        <w:t xml:space="preserve">zostały nabyte przez spółkę jako działka nr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od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pod infrastrukturę techniczną – stąd wysokość stawki procentowej znajduje się na poziomie </w:t>
      </w:r>
      <w:r w:rsidRPr="00F604AB">
        <w:rPr>
          <w:rFonts w:asciiTheme="minorHAnsi" w:hAnsiTheme="minorHAnsi"/>
          <w:sz w:val="24"/>
          <w:szCs w:val="24"/>
        </w:rPr>
        <w:t xml:space="preserve">1%. Wskazana w poz. 3 zestawienia wysokość opłaty stanowiła łączną opłatę za nowo </w:t>
      </w:r>
      <w:r w:rsidRPr="00F604AB">
        <w:rPr>
          <w:rFonts w:asciiTheme="minorHAnsi" w:hAnsiTheme="minorHAnsi"/>
          <w:sz w:val="24"/>
          <w:szCs w:val="24"/>
        </w:rPr>
        <w:lastRenderedPageBreak/>
        <w:t xml:space="preserve">wydzielone działki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i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>. W nowym zestawieniu dokonano korekty i dla każdej działki wpisano opłatę oddzielnie. Odnośnie zaś pozostałych działek stanowiących przedmiot u</w:t>
      </w:r>
      <w:r w:rsidRPr="00F604AB">
        <w:rPr>
          <w:rFonts w:asciiTheme="minorHAnsi" w:hAnsiTheme="minorHAnsi"/>
          <w:sz w:val="24"/>
          <w:szCs w:val="24"/>
        </w:rPr>
        <w:t xml:space="preserve">żytkowania wieczystego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Starosta wskazał, iż zostały one nabyte na mocy decyzji Wojewody Pomorskiego pod budowę terminala gazowego i są zwolnione z opłat.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Na zapytanie, dlaczego dla 12 działek nr: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0755FD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wysokość stawki procentowej wynosi zatem 1%, organ kontrolowany wyjaśnił, że stanowią one działki zabudowane infrastrukturą techniczną. Są to stacje transformatorowe.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Na pytanie zespołu kontrolnego o wysokość stawki procen</w:t>
      </w:r>
      <w:r w:rsidRPr="00F604AB">
        <w:rPr>
          <w:rFonts w:asciiTheme="minorHAnsi" w:hAnsiTheme="minorHAnsi"/>
          <w:sz w:val="24"/>
          <w:szCs w:val="24"/>
        </w:rPr>
        <w:t xml:space="preserve">towej 1% z tytułu oddania działek: nr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będącej w użytkowaniu wieczystym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nr: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będących w użytkowaniu wieczystym Energii Wytwarzanie Sp. z o.o., nr: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i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będących w użytkowaniu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, Starosta poinformował, że nie uległa ona zmianie od decyzji uwłaszczeniowej Wojewody Gdańskiego z dnia 29 marca 1994 r. (oprócz działki nr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>) i wynosi 1%. Przeznaczenie wynikające z miejscowego planu zagospodarowania przestrzennego również nie uległ</w:t>
      </w:r>
      <w:r w:rsidRPr="00F604AB">
        <w:rPr>
          <w:rFonts w:asciiTheme="minorHAnsi" w:hAnsiTheme="minorHAnsi"/>
          <w:sz w:val="24"/>
          <w:szCs w:val="24"/>
        </w:rPr>
        <w:t xml:space="preserve">o zmianie. W ocenie Starosty nie ma podstaw do zmiany wysokości stawki.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Pismem z dnia  5 lutego 2024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9"/>
      </w:r>
      <w:r w:rsidRPr="00F604AB">
        <w:rPr>
          <w:rFonts w:asciiTheme="minorHAnsi" w:hAnsiTheme="minorHAnsi"/>
          <w:sz w:val="24"/>
          <w:szCs w:val="24"/>
        </w:rPr>
        <w:t xml:space="preserve"> organ kontrolowany został poproszony o wyjaśnienia z jakich powodów nie zostały ponownie dokonane aktualizacje dla  ok. 240 działek, dla których ostat</w:t>
      </w:r>
      <w:r w:rsidRPr="00F604AB">
        <w:rPr>
          <w:rFonts w:asciiTheme="minorHAnsi" w:hAnsiTheme="minorHAnsi"/>
          <w:sz w:val="24"/>
          <w:szCs w:val="24"/>
        </w:rPr>
        <w:t>nie wypowiedzenia opłat zostały sporządzone w 1999 r. (3 działki), w 2001 r. (2 działki), w 2007 r. (5 działek)  w 2008 r. (8 działek), w 2009 r. (2 działki), w 2010 r. (19 działek), w 2014 r. (180 działek), w 2015 r. (19 działek) oraz w 2016 r. (2 działki</w:t>
      </w:r>
      <w:r w:rsidRPr="00F604AB">
        <w:rPr>
          <w:rFonts w:asciiTheme="minorHAnsi" w:hAnsiTheme="minorHAnsi"/>
          <w:sz w:val="24"/>
          <w:szCs w:val="24"/>
        </w:rPr>
        <w:t xml:space="preserve">).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Starosta w piśmie z dnia 28 marca 2024 r. 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0"/>
      </w:r>
      <w:r w:rsidRPr="00F604AB">
        <w:rPr>
          <w:rFonts w:asciiTheme="minorHAnsi" w:hAnsiTheme="minorHAnsi"/>
          <w:sz w:val="24"/>
          <w:szCs w:val="24"/>
        </w:rPr>
        <w:t xml:space="preserve"> poinformował, że  „Aktualizacje opłat rocznych z tytułu użytkowania wieczystego do nieruchomości Skarbu Państwa były i są ściśle uzależnione od wahań cen na rynku nieruchomości, jak i od środków finansowych p</w:t>
      </w:r>
      <w:r w:rsidRPr="00F604AB">
        <w:rPr>
          <w:rFonts w:asciiTheme="minorHAnsi" w:hAnsiTheme="minorHAnsi"/>
          <w:sz w:val="24"/>
          <w:szCs w:val="24"/>
        </w:rPr>
        <w:t>rzyznanych na wykonanie operatorów szacunkowych. W 2018 r. roku zostało wydanych 40 wypowiedzeń. W 2019 r. roku w stosunku do 29 działek nie dokonano wypowiedzenia opłat ze względu na brak wzrostu cen nieruchomości; dla 4 działek dokonano wypowiedzenia i d</w:t>
      </w:r>
      <w:r w:rsidRPr="00F604AB">
        <w:rPr>
          <w:rFonts w:asciiTheme="minorHAnsi" w:hAnsiTheme="minorHAnsi"/>
          <w:sz w:val="24"/>
          <w:szCs w:val="24"/>
        </w:rPr>
        <w:t xml:space="preserve">la 38 dokonano aktualizacji opłat. W 2020 roku badaniem cen objęto 30 działek, jednak nie odnotowano wzrostu ich wartości.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okresie objętym niniejszą kontrolą wykonywane były następujące czynności: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1)  w 2021 roku, z uwagi na stan spowodowany epidemią COVID, utrudnieniami w zakresie dostarczania korespondencji, zlecania operatów, umawiania się na oględziny nieruchomości nie były podejmowane działania w zakresie aktualizacji opłat;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2) w 2022 roku akt</w:t>
      </w:r>
      <w:r w:rsidRPr="00F604AB">
        <w:rPr>
          <w:rFonts w:asciiTheme="minorHAnsi" w:hAnsiTheme="minorHAnsi"/>
          <w:sz w:val="24"/>
          <w:szCs w:val="24"/>
        </w:rPr>
        <w:t xml:space="preserve">ualizacją objęte zostały 44 działki ewidencyjne, wydano wówczas 108 wypowiedzeń opłaty. Otrzymana dotacja celowa w wysokości 12.600,00 zł została wykorzystana w całości;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lastRenderedPageBreak/>
        <w:t xml:space="preserve">3) w 2023 roku aktualizacją objęte zostały 22 działki ewidencyjne, wydano wówczas 35 </w:t>
      </w:r>
      <w:r w:rsidRPr="00F604AB">
        <w:rPr>
          <w:rFonts w:asciiTheme="minorHAnsi" w:hAnsiTheme="minorHAnsi"/>
          <w:sz w:val="24"/>
          <w:szCs w:val="24"/>
        </w:rPr>
        <w:t xml:space="preserve">wypowiedzeń opłaty. Koszt operatów wyniósł wówczas 15.756,30 zł.” 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Starosta poinformował, iż w 2024 r. zaplanowano do wydatkowania na operaty szacunkowe (w celu aktualizacji opłat rocznych za użytkowanie wieczyste) kwotę 33.000,00 zł. Liczba działek objęty</w:t>
      </w:r>
      <w:r w:rsidRPr="00F604AB">
        <w:rPr>
          <w:rFonts w:asciiTheme="minorHAnsi" w:hAnsiTheme="minorHAnsi"/>
          <w:sz w:val="24"/>
          <w:szCs w:val="24"/>
        </w:rPr>
        <w:t xml:space="preserve">ch aktualizacją będzie uzależniona od ofert cenowych złożonych przez rzeczoznawców majątkowych.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Z ww. zestawienia wynika, że Starosta posiada łącznie 396 działki oddane w użytkowanie wieczyste o powierzchni 257,5702 ha, dla których ustalone opłaty roczne </w:t>
      </w:r>
      <w:r w:rsidRPr="00F604AB">
        <w:rPr>
          <w:rFonts w:asciiTheme="minorHAnsi" w:hAnsiTheme="minorHAnsi"/>
          <w:sz w:val="24"/>
          <w:szCs w:val="24"/>
        </w:rPr>
        <w:t>z tego tytułu winny być systematycznie aktualizowane. Konieczność i zasadność przeprowadzania aktualizacji opłat rocznych z tytułu użytkowania wieczystego wynika bezpośrednio z przepisów prawa oraz ze zmian wartości nieruchomości gruntowych w czasie. Mając</w:t>
      </w:r>
      <w:r w:rsidRPr="00F604AB">
        <w:rPr>
          <w:rFonts w:asciiTheme="minorHAnsi" w:hAnsiTheme="minorHAnsi"/>
          <w:sz w:val="24"/>
          <w:szCs w:val="24"/>
        </w:rPr>
        <w:t xml:space="preserve"> na uwadze, że brak aktualizacji ww. opłat przez długi okres skutkować może niegospodarnością i w konsekwencji uszczupleniem przychodów Skarbu Państwa, przyjęto jako graniczny punkt odniesienia rok 2018.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Ze skorowidza nieruchomości Skarbu Państwa oddanych</w:t>
      </w:r>
      <w:r w:rsidRPr="00F604AB">
        <w:rPr>
          <w:rFonts w:asciiTheme="minorHAnsi" w:hAnsiTheme="minorHAnsi"/>
          <w:sz w:val="24"/>
          <w:szCs w:val="24"/>
        </w:rPr>
        <w:t xml:space="preserve"> w użytkowanie wieczyste wynika, że w kontrolowanej jednostce wśród 396 działek jest 240 działek, dla których aktualizacje dokonane były przed rokiem 2018 r. 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Aktualizacja opłat za nieruchomości oddane w użytkowanie wieczyste, tak jak każdy z kontrolowanyc</w:t>
      </w:r>
      <w:r w:rsidRPr="00F604AB">
        <w:rPr>
          <w:rFonts w:asciiTheme="minorHAnsi" w:hAnsiTheme="minorHAnsi"/>
          <w:sz w:val="24"/>
          <w:szCs w:val="24"/>
        </w:rPr>
        <w:t>h obszarów oceniany jest na podstawie ustalonych przed kontrolą mierników, które zostały ujęte i szczegółowo opisane w programie kontroli, znajdującym się w aktach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1"/>
      </w:r>
      <w:r w:rsidRPr="00F604AB">
        <w:rPr>
          <w:rFonts w:asciiTheme="minorHAnsi" w:hAnsiTheme="minorHAnsi"/>
          <w:sz w:val="24"/>
          <w:szCs w:val="24"/>
        </w:rPr>
        <w:t xml:space="preserve">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ocenie Wojewody Pomorskiego Starosta przekonująco wytłumaczył trudność aktualizacji w s</w:t>
      </w:r>
      <w:r w:rsidRPr="00F604AB">
        <w:rPr>
          <w:rFonts w:asciiTheme="minorHAnsi" w:hAnsiTheme="minorHAnsi"/>
          <w:sz w:val="24"/>
          <w:szCs w:val="24"/>
        </w:rPr>
        <w:t>tosunku do 1 działki, dla której z powodu zgonu 1 z współużytkownika wieczystego powstała trudność z aktualizacją opłaty z tytułu użytkowania wieczystego od 2016 r.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Natomiast nie wytłumaczył zasadności odstąpienia od aktualizacji opłaty w stosunku do 239, </w:t>
      </w:r>
      <w:r w:rsidRPr="00F604AB">
        <w:rPr>
          <w:rFonts w:asciiTheme="minorHAnsi" w:hAnsiTheme="minorHAnsi"/>
          <w:sz w:val="24"/>
          <w:szCs w:val="24"/>
        </w:rPr>
        <w:t>dla których opłata roczna była ustalona przed 2018 r. Daje to ostatecznie miernik 60,35 %.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związku z powyższym, stwierdza się, że podejmowane przez Starostę w tym zakresie działania w okresie podlegającym kontroli były jednak niewystarczające i wymagają </w:t>
      </w:r>
      <w:r w:rsidRPr="00F604AB">
        <w:rPr>
          <w:rFonts w:asciiTheme="minorHAnsi" w:hAnsiTheme="minorHAnsi"/>
          <w:sz w:val="24"/>
          <w:szCs w:val="24"/>
        </w:rPr>
        <w:t xml:space="preserve">podejmowania dalszych czynności w celu przeprowadzenia zaległych aktualizacji. Dlatego też jego działalność w tym zakresie ocenia się negatywnie.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1.2. Analiza spraw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okresie objętym kontrolą w zakresie aktualizacji opłat rocznych z tytułu użytkowania wie</w:t>
      </w:r>
      <w:r w:rsidRPr="00F604AB">
        <w:rPr>
          <w:rFonts w:asciiTheme="minorHAnsi" w:hAnsiTheme="minorHAnsi"/>
          <w:sz w:val="24"/>
          <w:szCs w:val="24"/>
        </w:rPr>
        <w:t>czystego Starosta zakończył 43 sprawy. Spośród nich zespół kontrolujący wybrał 11. Pierwsza sprawa została wybrana losowo a kolejne z interwałem (co 4 sprawa)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2"/>
      </w:r>
      <w:r w:rsidRPr="00F604AB">
        <w:rPr>
          <w:rFonts w:asciiTheme="minorHAnsi" w:hAnsiTheme="minorHAnsi"/>
          <w:sz w:val="24"/>
          <w:szCs w:val="24"/>
        </w:rPr>
        <w:t xml:space="preserve">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lastRenderedPageBreak/>
        <w:t>Analizę akt tych spraw zawarto w pliku „ANALIZA SPRAW Lp. 1 - 13.xlsx”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3"/>
      </w:r>
      <w:r w:rsidRPr="00F604AB">
        <w:rPr>
          <w:rFonts w:asciiTheme="minorHAnsi" w:hAnsiTheme="minorHAnsi"/>
          <w:sz w:val="24"/>
          <w:szCs w:val="24"/>
        </w:rPr>
        <w:t xml:space="preserve">. W wyniku tej analizy </w:t>
      </w:r>
      <w:r w:rsidRPr="00F604AB">
        <w:rPr>
          <w:rFonts w:asciiTheme="minorHAnsi" w:hAnsiTheme="minorHAnsi"/>
          <w:sz w:val="24"/>
          <w:szCs w:val="24"/>
        </w:rPr>
        <w:t>w 10 sprawach z ogółem 11 nie stwierdzono żadnych uchybień ani nieprawidłowości oraz ustalono, że we wszystkich 11 sprawach aktualizacja została przeprowadzona w 2022 r., a poprzednie aktualizacje datowane są na 2006 i 2007 r. Natomiast w sprawie GKiK-GN.7</w:t>
      </w:r>
      <w:r w:rsidRPr="00F604AB">
        <w:rPr>
          <w:rFonts w:asciiTheme="minorHAnsi" w:hAnsiTheme="minorHAnsi"/>
          <w:sz w:val="24"/>
          <w:szCs w:val="24"/>
        </w:rPr>
        <w:t xml:space="preserve">013.388.2022 pismem nr NSP-II.431.1.2023.KL z 5 lutego 2024 r. 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4"/>
      </w:r>
      <w:r w:rsidRPr="00F604AB">
        <w:rPr>
          <w:rFonts w:asciiTheme="minorHAnsi" w:hAnsiTheme="minorHAnsi"/>
          <w:sz w:val="24"/>
          <w:szCs w:val="24"/>
        </w:rPr>
        <w:t xml:space="preserve"> poproszono Starostę o:</w:t>
      </w:r>
    </w:p>
    <w:p w:rsidR="00F604AB" w:rsidRPr="00F604AB" w:rsidRDefault="009E6C47" w:rsidP="00F604AB">
      <w:pPr>
        <w:pStyle w:val="Bezodstpw"/>
        <w:numPr>
          <w:ilvl w:val="0"/>
          <w:numId w:val="5"/>
        </w:numPr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wyjaśnienie rozbieżności w zakresie wskazywanej w aktualizacji opłaty rocznej z 16 listopada 2022 r. różnej wysokości udziału w użytkowaniu wieczystym: 7300/10000 i </w:t>
      </w:r>
      <w:r w:rsidRPr="00F604AB">
        <w:rPr>
          <w:rFonts w:asciiTheme="minorHAnsi" w:hAnsiTheme="minorHAnsi"/>
          <w:sz w:val="24"/>
          <w:szCs w:val="24"/>
        </w:rPr>
        <w:t>1350/10000;</w:t>
      </w:r>
    </w:p>
    <w:p w:rsidR="00F604AB" w:rsidRPr="00F604AB" w:rsidRDefault="009E6C47" w:rsidP="00F604AB">
      <w:pPr>
        <w:pStyle w:val="Bezodstpw"/>
        <w:numPr>
          <w:ilvl w:val="0"/>
          <w:numId w:val="5"/>
        </w:numPr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informację, czy część 675/10000 nieruchomości stanowiącej przedmiot postępowania nie jest oddana w użytkowania wieczyste (suma udziałów użytkowników wieczystych wynosi bowiem 9325/10000);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Pismem GKiK-GN. 1710.1.2023.AK z 28 marca 2024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5"/>
      </w:r>
      <w:r w:rsidRPr="00F604AB">
        <w:rPr>
          <w:rFonts w:asciiTheme="minorHAnsi" w:hAnsiTheme="minorHAnsi"/>
          <w:sz w:val="24"/>
          <w:szCs w:val="24"/>
        </w:rPr>
        <w:t xml:space="preserve"> Staro</w:t>
      </w:r>
      <w:r w:rsidRPr="00F604AB">
        <w:rPr>
          <w:rFonts w:asciiTheme="minorHAnsi" w:hAnsiTheme="minorHAnsi"/>
          <w:sz w:val="24"/>
          <w:szCs w:val="24"/>
        </w:rPr>
        <w:t>sta poinformował, że:</w:t>
      </w:r>
    </w:p>
    <w:p w:rsidR="00F604AB" w:rsidRPr="00F604AB" w:rsidRDefault="009E6C47" w:rsidP="00F604AB">
      <w:pPr>
        <w:pStyle w:val="Bezodstpw"/>
        <w:numPr>
          <w:ilvl w:val="0"/>
          <w:numId w:val="6"/>
        </w:numPr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treści pisma z dnia 16 listopada 2022r. w spraw</w:t>
      </w:r>
      <w:r w:rsidR="005D63AC">
        <w:rPr>
          <w:rFonts w:asciiTheme="minorHAnsi" w:hAnsiTheme="minorHAnsi"/>
          <w:sz w:val="24"/>
          <w:szCs w:val="24"/>
        </w:rPr>
        <w:t>ie aktualizacji opłaty rocznej […]</w:t>
      </w:r>
      <w:r w:rsidRPr="00F604AB">
        <w:rPr>
          <w:rFonts w:asciiTheme="minorHAnsi" w:hAnsiTheme="minorHAnsi"/>
          <w:sz w:val="24"/>
          <w:szCs w:val="24"/>
        </w:rPr>
        <w:t xml:space="preserve"> omyłkowo wpisano (wers 26) niewłaściwą wysokość udziału w gruncie, tzn. wpisano 1350/10000, a powinno być wpisane 7300/10000 (tak jak to wynika z pozo</w:t>
      </w:r>
      <w:r w:rsidRPr="00F604AB">
        <w:rPr>
          <w:rFonts w:asciiTheme="minorHAnsi" w:hAnsiTheme="minorHAnsi"/>
          <w:sz w:val="24"/>
          <w:szCs w:val="24"/>
        </w:rPr>
        <w:t>stałej treści pisma). Opisany błąd stanowi omyłkę pisarską i podlega korekcie. Dodatkowego wyjaśnienia wymaga, że wysokość opłaty rocznej została ustalona w prawidłowej wysokości,</w:t>
      </w:r>
    </w:p>
    <w:p w:rsidR="00F604AB" w:rsidRPr="00F604AB" w:rsidRDefault="009E6C47" w:rsidP="00F604AB">
      <w:pPr>
        <w:pStyle w:val="Bezodstpw"/>
        <w:numPr>
          <w:ilvl w:val="0"/>
          <w:numId w:val="6"/>
        </w:numPr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„wysokość udziałów poszczególnych użytkowników wieczystych tj.: 675/10000, 1</w:t>
      </w:r>
      <w:r w:rsidRPr="00F604AB">
        <w:rPr>
          <w:rFonts w:asciiTheme="minorHAnsi" w:hAnsiTheme="minorHAnsi"/>
          <w:sz w:val="24"/>
          <w:szCs w:val="24"/>
        </w:rPr>
        <w:t>350/10000, 7300/10000 są zgodne z udziałami uj</w:t>
      </w:r>
      <w:r w:rsidR="005D63AC">
        <w:rPr>
          <w:rFonts w:asciiTheme="minorHAnsi" w:hAnsiTheme="minorHAnsi"/>
          <w:sz w:val="24"/>
          <w:szCs w:val="24"/>
        </w:rPr>
        <w:t>awnionymi w księdze wieczystej […]</w:t>
      </w:r>
      <w:r w:rsidRPr="00F604AB">
        <w:rPr>
          <w:rFonts w:asciiTheme="minorHAnsi" w:hAnsiTheme="minorHAnsi"/>
          <w:sz w:val="24"/>
          <w:szCs w:val="24"/>
        </w:rPr>
        <w:t xml:space="preserve"> prowadzonej dla działki, w której suma wymienionych tam udziałów przypisanych poszczególnym użytkownikom nie zamyka się. Udziały zostały sprzedane przez dotychczasowego użytko</w:t>
      </w:r>
      <w:r w:rsidRPr="00F604AB">
        <w:rPr>
          <w:rFonts w:asciiTheme="minorHAnsi" w:hAnsiTheme="minorHAnsi"/>
          <w:sz w:val="24"/>
          <w:szCs w:val="24"/>
        </w:rPr>
        <w:t xml:space="preserve">wnika wieczystego </w:t>
      </w:r>
      <w:r w:rsidR="00A37AEC">
        <w:rPr>
          <w:rFonts w:asciiTheme="minorHAnsi" w:hAnsiTheme="minorHAnsi"/>
          <w:sz w:val="24"/>
          <w:szCs w:val="24"/>
        </w:rPr>
        <w:t>–</w:t>
      </w:r>
      <w:r w:rsidRPr="00F604AB">
        <w:rPr>
          <w:rFonts w:asciiTheme="minorHAnsi" w:hAnsiTheme="minorHAnsi"/>
          <w:sz w:val="24"/>
          <w:szCs w:val="24"/>
        </w:rPr>
        <w:t xml:space="preserve">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>, który jako instytut jest zwolniony z opłat. Regulacja zapisów w kwestii poprawności wskazanych udziałów w umowach sprzedaży czy też wymienionych w księdze wieczystej nie należy do kompetencji S</w:t>
      </w:r>
      <w:r w:rsidRPr="00F604AB">
        <w:rPr>
          <w:rFonts w:asciiTheme="minorHAnsi" w:hAnsiTheme="minorHAnsi"/>
          <w:sz w:val="24"/>
          <w:szCs w:val="24"/>
        </w:rPr>
        <w:t>tarosty.”.</w:t>
      </w:r>
    </w:p>
    <w:p w:rsidR="00F604AB" w:rsidRPr="00F604AB" w:rsidRDefault="009E6C47" w:rsidP="00A37AEC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Wyżej opisana omyłka pisarska nie miała wpływu na przebieg sprawy GKiK-GN.7013.388.2022 ani na kontrolowaną działalność. Dlatego zespół kontrolujący ocenił gospodarowanie nieruchomościami w tym zakresie jako pozytywne.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 xml:space="preserve">2. Aktualizacja opłat z </w:t>
      </w:r>
      <w:r w:rsidRPr="00F604AB">
        <w:rPr>
          <w:rFonts w:asciiTheme="minorHAnsi" w:hAnsiTheme="minorHAnsi"/>
          <w:b/>
          <w:sz w:val="24"/>
          <w:szCs w:val="24"/>
        </w:rPr>
        <w:t>tytułu trwałego zarządu</w:t>
      </w:r>
    </w:p>
    <w:p w:rsidR="00A37AEC" w:rsidRDefault="009E6C47" w:rsidP="00A37AEC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2.1. Stan aktualizacji</w:t>
      </w:r>
    </w:p>
    <w:p w:rsidR="00F604AB" w:rsidRPr="00F604AB" w:rsidRDefault="009E6C47" w:rsidP="00A37AEC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lastRenderedPageBreak/>
        <w:t>Organ kontrolowany pismem nr NSP-II.431.1.2023.KL z 20 czerwca 2023 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6"/>
      </w:r>
      <w:r w:rsidRPr="00F604AB">
        <w:rPr>
          <w:rFonts w:asciiTheme="minorHAnsi" w:hAnsiTheme="minorHAnsi"/>
          <w:sz w:val="24"/>
          <w:szCs w:val="24"/>
        </w:rPr>
        <w:t xml:space="preserve"> został zobowiązany do wypełnienia załączonej do pisma tabeli pn. „Zestawienie działek Skarbu Państwa oddanych w trwały zarząd”.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7"/>
      </w:r>
      <w:r w:rsidRPr="00F604AB">
        <w:rPr>
          <w:rFonts w:asciiTheme="minorHAnsi" w:hAnsiTheme="minorHAnsi"/>
          <w:sz w:val="24"/>
          <w:szCs w:val="24"/>
        </w:rPr>
        <w:t xml:space="preserve"> Starosta przekazał ww. zestawienie 28 czerwca 2023 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8"/>
      </w:r>
      <w:r w:rsidRPr="00F604AB">
        <w:rPr>
          <w:rFonts w:asciiTheme="minorHAnsi" w:hAnsiTheme="minorHAnsi"/>
          <w:sz w:val="24"/>
          <w:szCs w:val="24"/>
        </w:rPr>
        <w:t xml:space="preserve"> Znajduje się w nim 1047 działek o łącznej powierzchni 947,6656 ha. 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piśmie nr  GKiK-GN. 1710.1.2023.AK  z 28 marca 2024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19"/>
      </w:r>
      <w:r w:rsidRPr="00F604AB">
        <w:rPr>
          <w:rFonts w:asciiTheme="minorHAnsi" w:hAnsiTheme="minorHAnsi"/>
          <w:sz w:val="24"/>
          <w:szCs w:val="24"/>
        </w:rPr>
        <w:t xml:space="preserve"> Starosta wyjaśnił, że w wysłanym zestawieniu zapisy ujawnione w poz. 1 dot</w:t>
      </w:r>
      <w:r w:rsidRPr="00F604AB">
        <w:rPr>
          <w:rFonts w:asciiTheme="minorHAnsi" w:hAnsiTheme="minorHAnsi"/>
          <w:sz w:val="24"/>
          <w:szCs w:val="24"/>
        </w:rPr>
        <w:t xml:space="preserve">yczące działki nr </w:t>
      </w:r>
      <w:r w:rsidR="00A37AEC">
        <w:rPr>
          <w:rFonts w:asciiTheme="minorHAnsi" w:hAnsiTheme="minorHAnsi"/>
          <w:sz w:val="24"/>
          <w:szCs w:val="24"/>
        </w:rPr>
        <w:t>[…]</w:t>
      </w:r>
      <w:r w:rsidRPr="00F604AB">
        <w:rPr>
          <w:rFonts w:asciiTheme="minorHAnsi" w:hAnsiTheme="minorHAnsi"/>
          <w:sz w:val="24"/>
          <w:szCs w:val="24"/>
        </w:rPr>
        <w:t xml:space="preserve"> położonej w obrębie Kiezmark w gminie Cedry Wielkie, z ustaloną opłatą roczną są poprawne, zaś poz. 283 została usunięta jako omyłkowy zapis. W związku z tym analizie poddano 1046 działek o łącznej powierzchni 947,3256 ha.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Z zestawien</w:t>
      </w:r>
      <w:r w:rsidRPr="00F604AB">
        <w:rPr>
          <w:rFonts w:asciiTheme="minorHAnsi" w:hAnsiTheme="minorHAnsi"/>
          <w:sz w:val="24"/>
          <w:szCs w:val="24"/>
        </w:rPr>
        <w:t>ia w części dotyczącej odpłatnego trwałego zarządu można odczytać w którym roku została przeprowadzona ostatnia, obowiązująca aktualizacja, bądź ustanowiono to prawo. Przedstawia się w następujący sposób: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2"/>
        <w:gridCol w:w="3257"/>
      </w:tblGrid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10" w:name="_Hlk113002289"/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Rok ostatniej aktualizacji lub ustanowienia prawa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Liczba działek</w:t>
            </w:r>
          </w:p>
        </w:tc>
      </w:tr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2009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</w:p>
        </w:tc>
      </w:tr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</w:p>
        </w:tc>
      </w:tr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57</w:t>
            </w:r>
          </w:p>
        </w:tc>
      </w:tr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</w:p>
        </w:tc>
      </w:tr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604AB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</w:p>
        </w:tc>
      </w:tr>
      <w:tr w:rsidR="001359A4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Suma: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4AB" w:rsidRPr="00F604AB" w:rsidRDefault="009E6C47" w:rsidP="00F604AB">
            <w:pPr>
              <w:pStyle w:val="Bezodstpw"/>
              <w:spacing w:before="80" w:after="8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604AB">
              <w:rPr>
                <w:rFonts w:asciiTheme="minorHAnsi" w:hAnsiTheme="minorHAnsi"/>
                <w:b/>
                <w:sz w:val="24"/>
                <w:szCs w:val="24"/>
              </w:rPr>
              <w:t>62</w:t>
            </w:r>
          </w:p>
        </w:tc>
      </w:tr>
    </w:tbl>
    <w:bookmarkEnd w:id="10"/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Z analizy zestawienia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0"/>
      </w:r>
      <w:r w:rsidRPr="00F604AB">
        <w:rPr>
          <w:rFonts w:asciiTheme="minorHAnsi" w:hAnsiTheme="minorHAnsi"/>
          <w:sz w:val="24"/>
          <w:szCs w:val="24"/>
        </w:rPr>
        <w:t xml:space="preserve"> wynika, że w odpłatnym zarządzie znajdują się 62 działki o  powierzchni 444,9165 ha z ustalonymi stawkami procentowymi 0,1% lub 0,3 % od wartości nieruchomości, </w:t>
      </w:r>
      <w:r w:rsidRPr="00F604AB">
        <w:rPr>
          <w:rFonts w:asciiTheme="minorHAnsi" w:hAnsiTheme="minorHAnsi"/>
          <w:sz w:val="24"/>
          <w:szCs w:val="24"/>
        </w:rPr>
        <w:t xml:space="preserve">tj.: Generalna Dyrekcja Dróg Krajowych i Autostrad  (2  działki – stawka 0,3%), Urząd Skarbowy w Pruszczu Gdańskim (2 działki – stawka 0,3%), Wojewódzki Inspektorat Ochrony Roślin i Nasiennictwa (1 działka – stawka 0,3%), Komenda Powiatowa Straży Pożarnej </w:t>
      </w:r>
      <w:r w:rsidRPr="00F604AB">
        <w:rPr>
          <w:rFonts w:asciiTheme="minorHAnsi" w:hAnsiTheme="minorHAnsi"/>
          <w:sz w:val="24"/>
          <w:szCs w:val="24"/>
        </w:rPr>
        <w:t>(3 działki – stawka 0,1%), Komenda Wojewódzka Policji (11 działek – stawka</w:t>
      </w:r>
      <w:r w:rsidR="005D63AC">
        <w:rPr>
          <w:rFonts w:asciiTheme="minorHAnsi" w:hAnsiTheme="minorHAnsi"/>
          <w:sz w:val="24"/>
          <w:szCs w:val="24"/>
        </w:rPr>
        <w:t xml:space="preserve"> </w:t>
      </w:r>
      <w:r w:rsidRPr="00F604AB">
        <w:rPr>
          <w:rFonts w:asciiTheme="minorHAnsi" w:hAnsiTheme="minorHAnsi"/>
          <w:sz w:val="24"/>
          <w:szCs w:val="24"/>
        </w:rPr>
        <w:t>0,1%), Ministerstwo Obrony Narodowej Rejonowy Zarząd Infrastruktury (40 działek – stawka 0,1%), Prokuratura Okręgowa w Gdańsku (3 działki – stawka 0,1%).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lastRenderedPageBreak/>
        <w:t>Z powyższego wynika, że Sta</w:t>
      </w:r>
      <w:r w:rsidRPr="00F604AB">
        <w:rPr>
          <w:rFonts w:asciiTheme="minorHAnsi" w:hAnsiTheme="minorHAnsi"/>
          <w:sz w:val="24"/>
          <w:szCs w:val="24"/>
        </w:rPr>
        <w:t xml:space="preserve">rosta posiada łącznie 62 działki oddane  w odpłatny trwały zarząd, których ustalone opłaty z tego tytułu winny być systematycznie aktualizowane.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zestawieniu znajdują się także 984 działki o powierzchni 502,4091 ha, oddane w nieodpłatny trwały zarząd na </w:t>
      </w:r>
      <w:r w:rsidRPr="00F604AB">
        <w:rPr>
          <w:rFonts w:asciiTheme="minorHAnsi" w:hAnsiTheme="minorHAnsi"/>
          <w:sz w:val="24"/>
          <w:szCs w:val="24"/>
        </w:rPr>
        <w:t>rzecz Generalnej Dyrekcji Dróg Krajowych i Autostrad.</w:t>
      </w:r>
    </w:p>
    <w:p w:rsidR="00F604AB" w:rsidRPr="00F604AB" w:rsidRDefault="009E6C47" w:rsidP="00F604AB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Konieczność i zasadność przeprowadzania aktualizacji opłat rocznych z tytułu trwałego zarządu wynika bezpośrednio z przepisów prawa oraz ze zmian wartości nieruchomości gruntowych w czasie. Mając na uwa</w:t>
      </w:r>
      <w:r w:rsidRPr="00F604AB">
        <w:rPr>
          <w:rFonts w:asciiTheme="minorHAnsi" w:hAnsiTheme="minorHAnsi"/>
          <w:sz w:val="24"/>
          <w:szCs w:val="24"/>
        </w:rPr>
        <w:t>dze, że brak aktualizacji ww. opłat przez długi okres skutkować może niegospodarnością i w konsekwencji uszczupleniem przychodów Skarbu Państwa, przyjęto jako graniczny punkt odniesienia rok 2018.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Na pytanie zespołu kontrolnego z dnia 5 lutego 2024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1"/>
      </w:r>
      <w:r w:rsidRPr="00F604AB">
        <w:rPr>
          <w:rFonts w:asciiTheme="minorHAnsi" w:hAnsiTheme="minorHAnsi"/>
          <w:sz w:val="24"/>
          <w:szCs w:val="24"/>
        </w:rPr>
        <w:t xml:space="preserve"> dlaczego nie zostały przeprowadzone aktualizacje opłat z tytułu trwałego zarządu dla ok. 60 działek, dla których obowiązują opłaty sprzed 2018 r., tj. 2009 r. (2 działki), 2013 r. (1 działka) oraz 2016 r. (57 działek), Starosta  pismem z dnia 28 marca 202</w:t>
      </w:r>
      <w:r w:rsidRPr="00F604AB">
        <w:rPr>
          <w:rFonts w:asciiTheme="minorHAnsi" w:hAnsiTheme="minorHAnsi"/>
          <w:sz w:val="24"/>
          <w:szCs w:val="24"/>
        </w:rPr>
        <w:t>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2"/>
      </w:r>
      <w:r w:rsidRPr="00F604AB">
        <w:rPr>
          <w:rFonts w:asciiTheme="minorHAnsi" w:hAnsiTheme="minorHAnsi"/>
          <w:sz w:val="24"/>
          <w:szCs w:val="24"/>
        </w:rPr>
        <w:t xml:space="preserve"> wyjaśnił, iż otrzymał dotację celową w 2023 r. na sporządzenie operatów szacunkowych nieruchomości pozostających w trwałym zarządzie i wszczął postępowania aktualizujące opłaty z tego tytułu dla wszystkich działek.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Niemniej jednak z akt sprawy w szc</w:t>
      </w:r>
      <w:r w:rsidRPr="00F604AB">
        <w:rPr>
          <w:rFonts w:asciiTheme="minorHAnsi" w:hAnsiTheme="minorHAnsi"/>
          <w:sz w:val="24"/>
          <w:szCs w:val="24"/>
        </w:rPr>
        <w:t>zególności z przekazanych wykazów będących załącznikiem przy ww. piśmie brak informacji o nowych opłatach.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Aktualizacja opłat z tytułu trwałego zarządu, tak jak każdy z kontrolowanych obszarów oceniany jest na podstawie ustalonych przed kontrolą mierników,</w:t>
      </w:r>
      <w:r w:rsidRPr="00F604AB">
        <w:rPr>
          <w:rFonts w:asciiTheme="minorHAnsi" w:hAnsiTheme="minorHAnsi"/>
          <w:sz w:val="24"/>
          <w:szCs w:val="24"/>
        </w:rPr>
        <w:t xml:space="preserve"> które zostały ujęte i szczegółowo opisane w programie kontroli, znajdującym się w aktach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3"/>
      </w:r>
      <w:r w:rsidRPr="00F604AB">
        <w:rPr>
          <w:rFonts w:asciiTheme="minorHAnsi" w:hAnsiTheme="minorHAnsi"/>
          <w:sz w:val="24"/>
          <w:szCs w:val="24"/>
        </w:rPr>
        <w:t>. Z ww. zestawienia wynika, że w stosunku do 60 działek, dla których poprzednia opłata była ustalona przed 2018 r. Starosta nie podjął próby aktualizacji opłat dla ty</w:t>
      </w:r>
      <w:r w:rsidRPr="00F604AB">
        <w:rPr>
          <w:rFonts w:asciiTheme="minorHAnsi" w:hAnsiTheme="minorHAnsi"/>
          <w:sz w:val="24"/>
          <w:szCs w:val="24"/>
        </w:rPr>
        <w:t>ch działek z tytułu trwałego zarządu. Stanowi to miernik 96,77%.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związku z powyższym wykonywanie zadań w zakresie aktualizacji opłat z tytułu trwałego zarządu oceniono negatywnie.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2.2. Analiza spraw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Z otrzymanych od Starosty informacji wynikało, że w p</w:t>
      </w:r>
      <w:r w:rsidRPr="00F604AB">
        <w:rPr>
          <w:rFonts w:asciiTheme="minorHAnsi" w:hAnsiTheme="minorHAnsi"/>
          <w:sz w:val="24"/>
          <w:szCs w:val="24"/>
        </w:rPr>
        <w:t>rzedmiotowym zakresie nie prowadził on żadnych spraw.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4"/>
      </w:r>
      <w:r w:rsidRPr="00F604AB">
        <w:rPr>
          <w:rFonts w:asciiTheme="minorHAnsi" w:hAnsiTheme="minorHAnsi"/>
          <w:sz w:val="24"/>
          <w:szCs w:val="24"/>
        </w:rPr>
        <w:t xml:space="preserve"> Mając powyższe na uwadze odstąpiono od oceny powyższego zagadnienia.</w:t>
      </w:r>
    </w:p>
    <w:p w:rsidR="005D63AC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3. Przekształcenie użytkowania wieczystego w prawo własności</w:t>
      </w:r>
    </w:p>
    <w:p w:rsidR="00F604AB" w:rsidRPr="005D63AC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Przekształcenie prawa użytkowania wieczystego w prawo własności dokonyw</w:t>
      </w:r>
      <w:r w:rsidRPr="00F604AB">
        <w:rPr>
          <w:rFonts w:asciiTheme="minorHAnsi" w:hAnsiTheme="minorHAnsi"/>
          <w:sz w:val="24"/>
          <w:szCs w:val="24"/>
        </w:rPr>
        <w:t>ane jest na podstawie przepisów ustawy o przekształceniu oraz Kpa.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lastRenderedPageBreak/>
        <w:t>W okresie objętym kontrolą zostały wszczęte i zakończone decyzją ostateczną dwa postępowania w sprawie przekształcenia prawa użytkowania wieczystego w prawo własności nieruchomości o oznacz</w:t>
      </w:r>
      <w:r w:rsidRPr="00F604AB">
        <w:rPr>
          <w:rFonts w:asciiTheme="minorHAnsi" w:hAnsiTheme="minorHAnsi"/>
          <w:sz w:val="24"/>
          <w:szCs w:val="24"/>
        </w:rPr>
        <w:t>eniach: GKiK-GN.6825.1.2022.MK i GKiK-GN.6825.2.2022.MK. Obydwa te postępowania objęto kontrolą a analizę akt sprawy zawarto w pliku „ANALIZA SPRAW Lp. 1 - 13.xlsx”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5"/>
      </w:r>
      <w:r w:rsidRPr="00F604AB">
        <w:rPr>
          <w:rFonts w:asciiTheme="minorHAnsi" w:hAnsiTheme="minorHAnsi"/>
          <w:sz w:val="24"/>
          <w:szCs w:val="24"/>
        </w:rPr>
        <w:t>. W wyniku tej analizy ustalono, co następuje: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1) w sprawie GKiK-GN.6825.1.2022.MK:</w:t>
      </w:r>
    </w:p>
    <w:p w:rsidR="00F604AB" w:rsidRPr="00F604AB" w:rsidRDefault="009E6C47" w:rsidP="00F604AB">
      <w:pPr>
        <w:pStyle w:val="Bezodstpw"/>
        <w:numPr>
          <w:ilvl w:val="0"/>
          <w:numId w:val="7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od </w:t>
      </w:r>
      <w:r w:rsidRPr="00F604AB">
        <w:rPr>
          <w:rFonts w:asciiTheme="minorHAnsi" w:hAnsiTheme="minorHAnsi"/>
          <w:sz w:val="24"/>
          <w:szCs w:val="24"/>
        </w:rPr>
        <w:t>wpływu wniosku o wszczęcie postępowania do zawiadomienia o jego wszczęciu upłynęło 4 miesiące i 16 dni. Starostę poproszono zatem o wyjaśnienie naruszenia art. 35 Kpa;</w:t>
      </w:r>
    </w:p>
    <w:p w:rsidR="00F604AB" w:rsidRPr="00F604AB" w:rsidRDefault="009E6C47" w:rsidP="00F604AB">
      <w:pPr>
        <w:pStyle w:val="Bezodstpw"/>
        <w:numPr>
          <w:ilvl w:val="0"/>
          <w:numId w:val="7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pismem z 27 maja 2022 r. zawiadomiono wnioskodawcę o nowym terminie zakończenia postępow</w:t>
      </w:r>
      <w:r w:rsidRPr="00F604AB">
        <w:rPr>
          <w:rFonts w:asciiTheme="minorHAnsi" w:hAnsiTheme="minorHAnsi"/>
          <w:sz w:val="24"/>
          <w:szCs w:val="24"/>
        </w:rPr>
        <w:t>ania do dnia 31 sierpnia 2022 r., jednakże decyzja wydana została 9 stycznia 2023 r., tj. 4 miesiące i 9 dni po ww. terminie. Starostę poproszono zatem o wyjaśnienie przyczyn niezastosowania art. 36 Kpa albo uzupełnienie brakującej dokumentacji;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2) w spraw</w:t>
      </w:r>
      <w:r w:rsidRPr="00F604AB">
        <w:rPr>
          <w:rFonts w:asciiTheme="minorHAnsi" w:hAnsiTheme="minorHAnsi"/>
          <w:sz w:val="24"/>
          <w:szCs w:val="24"/>
        </w:rPr>
        <w:t>ie GKiK-GN.6825.2.2022.MK:</w:t>
      </w:r>
    </w:p>
    <w:p w:rsidR="00F604AB" w:rsidRPr="00F604AB" w:rsidRDefault="009E6C47" w:rsidP="00F604AB">
      <w:pPr>
        <w:pStyle w:val="Bezodstpw"/>
        <w:numPr>
          <w:ilvl w:val="0"/>
          <w:numId w:val="8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pismem z 27 maja 2022 r. zawiadomiono wnioskodawcę o nowym terminie zakończenia postępowania do dnia 31 sierpnia 2022 r., jednakże decyzja wydana została 24 stycznia 2023 r., tj. 4 miesiące i 24 dni po ww. terminie.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Starostę popr</w:t>
      </w:r>
      <w:r w:rsidRPr="00F604AB">
        <w:rPr>
          <w:rFonts w:asciiTheme="minorHAnsi" w:hAnsiTheme="minorHAnsi"/>
          <w:sz w:val="24"/>
          <w:szCs w:val="24"/>
        </w:rPr>
        <w:t>oszono zatem o wyjaśnienie przyczyn niezastosowania art. 36 Kpa albo uzupełnienie brakującej dokumentacji.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Starosta został poproszony o powyższe wyjaśnienia pismem nr NSP-II.431.1.2023.KL z 5 lutego 2024 r. 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6"/>
      </w:r>
      <w:r w:rsidRPr="00F604AB">
        <w:rPr>
          <w:rFonts w:asciiTheme="minorHAnsi" w:hAnsiTheme="minorHAnsi"/>
          <w:sz w:val="24"/>
          <w:szCs w:val="24"/>
        </w:rPr>
        <w:t xml:space="preserve"> i udzielił odpowiedzi w piśmie GKiK-GN. 1710.1.</w:t>
      </w:r>
      <w:r w:rsidRPr="00F604AB">
        <w:rPr>
          <w:rFonts w:asciiTheme="minorHAnsi" w:hAnsiTheme="minorHAnsi"/>
          <w:sz w:val="24"/>
          <w:szCs w:val="24"/>
        </w:rPr>
        <w:t>2023.AK z 28 marca 2024 r.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7"/>
      </w:r>
      <w:r w:rsidRPr="00F604AB">
        <w:rPr>
          <w:rFonts w:asciiTheme="minorHAnsi" w:hAnsiTheme="minorHAnsi"/>
          <w:sz w:val="24"/>
          <w:szCs w:val="24"/>
        </w:rPr>
        <w:t>, z którego wynika, że:</w:t>
      </w:r>
    </w:p>
    <w:p w:rsidR="00F604AB" w:rsidRPr="00F604AB" w:rsidRDefault="009E6C47" w:rsidP="00F604AB">
      <w:pPr>
        <w:pStyle w:val="Bezodstpw"/>
        <w:numPr>
          <w:ilvl w:val="0"/>
          <w:numId w:val="9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 sprawie GKiK-GN.6825.1.2022.MK wnioskodawca nie został poinformowany o terminie załatwienia sprawy bezpośrednio po złożeniu wniosku o przekształcenie i o nowym terminie załatwienia sprawy przez niedopatr</w:t>
      </w:r>
      <w:r w:rsidRPr="00F604AB">
        <w:rPr>
          <w:rFonts w:asciiTheme="minorHAnsi" w:hAnsiTheme="minorHAnsi"/>
          <w:sz w:val="24"/>
          <w:szCs w:val="24"/>
        </w:rPr>
        <w:t>zenie,</w:t>
      </w:r>
    </w:p>
    <w:p w:rsidR="00F604AB" w:rsidRPr="00F604AB" w:rsidRDefault="009E6C47" w:rsidP="00F604AB">
      <w:pPr>
        <w:pStyle w:val="Bezodstpw"/>
        <w:numPr>
          <w:ilvl w:val="0"/>
          <w:numId w:val="9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w sprawie GKiK-GN.6825.2.2022.MK po upływie nowego terminu zakończenia sprawy wyznaczonego do dnia 31 sierpnia 2022r. w piśmie z dnia 25 lipca 2022r. wnioskodawcy otrzymali również informacje o tym, że Starosta zleci wykonanie operatu szacunkowego. </w:t>
      </w:r>
      <w:r w:rsidRPr="00F604AB">
        <w:rPr>
          <w:rFonts w:asciiTheme="minorHAnsi" w:hAnsiTheme="minorHAnsi"/>
          <w:sz w:val="24"/>
          <w:szCs w:val="24"/>
        </w:rPr>
        <w:t xml:space="preserve">Ostatecznie operat został przekazany zlecającemu 30 listopada 2022r. Po dokonaniu jego weryfikacji, wnioskodawcy otrzymali zawiadomienie z dnia 13 grudnia 2022r. zgodnie z którym zostali poinformowani o sporządzonym operacie, możliwości zgłoszenia uwag do </w:t>
      </w:r>
      <w:r w:rsidRPr="00F604AB">
        <w:rPr>
          <w:rFonts w:asciiTheme="minorHAnsi" w:hAnsiTheme="minorHAnsi"/>
          <w:sz w:val="24"/>
          <w:szCs w:val="24"/>
        </w:rPr>
        <w:t xml:space="preserve">jego treści oraz możliwości rozłożenia opłaty przekształceniowej na raty. Starosta wyznaczył stronie 14 dniowy </w:t>
      </w:r>
      <w:r w:rsidRPr="00F604AB">
        <w:rPr>
          <w:rFonts w:asciiTheme="minorHAnsi" w:hAnsiTheme="minorHAnsi"/>
          <w:sz w:val="24"/>
          <w:szCs w:val="24"/>
        </w:rPr>
        <w:lastRenderedPageBreak/>
        <w:t>termin na wniesienie uwag. Wnioskodawcy udzielili odpowiedzi w piśmie z 15 grudnia 2022r. Dnia 5 stycznia 2023r. skierowano do wnioskodawcy zawia</w:t>
      </w:r>
      <w:r w:rsidRPr="00F604AB">
        <w:rPr>
          <w:rFonts w:asciiTheme="minorHAnsi" w:hAnsiTheme="minorHAnsi"/>
          <w:sz w:val="24"/>
          <w:szCs w:val="24"/>
        </w:rPr>
        <w:t>domienie o zakończeniu postępowania, zaś z 24 stycznia 2023 r. wydano decyzję o przekształceniu.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Wyżej opisane uchybienia są sporadyczne i nie mają wpływu na kontrolowaną działalność. Dlatego zespół kontrolujący ocenił gospodarowanie nieruchomościami w tym</w:t>
      </w:r>
      <w:r w:rsidRPr="00F604AB">
        <w:rPr>
          <w:rFonts w:asciiTheme="minorHAnsi" w:hAnsiTheme="minorHAnsi"/>
          <w:sz w:val="24"/>
          <w:szCs w:val="24"/>
        </w:rPr>
        <w:t xml:space="preserve"> zakresie jako pozytywne. 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b/>
          <w:sz w:val="24"/>
          <w:szCs w:val="24"/>
        </w:rPr>
        <w:t>4. Wykonywanie przez starostę zadań z zakresu administracji rządowej dotyczących gospodarki nieruchomościami Skarbu Państwa w zakresie opisanym w art. 2 ust. 1, art. 4, art. 66, art. 72 ust. 1 ustawy o zakwaterowaniu Sił Zbrojnyc</w:t>
      </w:r>
      <w:r w:rsidRPr="00F604AB">
        <w:rPr>
          <w:rFonts w:asciiTheme="minorHAnsi" w:hAnsiTheme="minorHAnsi"/>
          <w:b/>
          <w:sz w:val="24"/>
          <w:szCs w:val="24"/>
        </w:rPr>
        <w:t>h Rzeczypospolitej Polskiej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Z otrzymanych od Starosty informacji wynikało, że w przedmiotowym zakresie nie prowadził on żadnych spraw.</w:t>
      </w:r>
      <w:r>
        <w:rPr>
          <w:rFonts w:asciiTheme="minorHAnsi" w:hAnsiTheme="minorHAnsi"/>
          <w:sz w:val="24"/>
          <w:szCs w:val="24"/>
          <w:vertAlign w:val="superscript"/>
        </w:rPr>
        <w:footnoteReference w:id="28"/>
      </w:r>
      <w:r w:rsidRPr="00F604AB">
        <w:rPr>
          <w:rFonts w:asciiTheme="minorHAnsi" w:hAnsiTheme="minorHAnsi"/>
          <w:sz w:val="24"/>
          <w:szCs w:val="24"/>
        </w:rPr>
        <w:t xml:space="preserve"> Mając powyższe na uwadze odstąpiono od oceny powyższego zagadnienia.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Stwierdzone nieprawidłowości:</w:t>
      </w:r>
    </w:p>
    <w:p w:rsidR="00F604AB" w:rsidRPr="00F604AB" w:rsidRDefault="009E6C47" w:rsidP="00F604AB">
      <w:pPr>
        <w:pStyle w:val="Bezodstpw"/>
        <w:numPr>
          <w:ilvl w:val="0"/>
          <w:numId w:val="10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 xml:space="preserve">nieprzeprowadzenie </w:t>
      </w:r>
      <w:r w:rsidRPr="00F604AB">
        <w:rPr>
          <w:rFonts w:asciiTheme="minorHAnsi" w:hAnsiTheme="minorHAnsi"/>
          <w:sz w:val="24"/>
          <w:szCs w:val="24"/>
        </w:rPr>
        <w:t>aktualizacji opłat z tytułu użytkowania wieczystego przez długi okres czasu,</w:t>
      </w:r>
    </w:p>
    <w:p w:rsidR="00F604AB" w:rsidRPr="00F604AB" w:rsidRDefault="009E6C47" w:rsidP="00F604AB">
      <w:pPr>
        <w:pStyle w:val="Bezodstpw"/>
        <w:numPr>
          <w:ilvl w:val="0"/>
          <w:numId w:val="10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nieprzeprowadzenie aktualizacji opłat z tytułu trwałego zarządu przez długi okres czasu,</w:t>
      </w:r>
    </w:p>
    <w:p w:rsidR="00F604AB" w:rsidRPr="00F604AB" w:rsidRDefault="009E6C47" w:rsidP="00F604AB">
      <w:pPr>
        <w:pStyle w:val="Bezodstpw"/>
        <w:numPr>
          <w:ilvl w:val="0"/>
          <w:numId w:val="10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604AB">
        <w:rPr>
          <w:rFonts w:asciiTheme="minorHAnsi" w:hAnsiTheme="minorHAnsi"/>
          <w:sz w:val="24"/>
          <w:szCs w:val="24"/>
        </w:rPr>
        <w:t>naruszenie przepisów kpa w zakresie: przekroczenie terminu załatwienia sprawy i brak powia</w:t>
      </w:r>
      <w:r w:rsidRPr="00F604AB">
        <w:rPr>
          <w:rFonts w:asciiTheme="minorHAnsi" w:hAnsiTheme="minorHAnsi"/>
          <w:sz w:val="24"/>
          <w:szCs w:val="24"/>
        </w:rPr>
        <w:t>domienia stron o tym fakcie.</w:t>
      </w:r>
    </w:p>
    <w:p w:rsidR="00F604AB" w:rsidRP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F604AB">
        <w:rPr>
          <w:rFonts w:asciiTheme="minorHAnsi" w:hAnsiTheme="minorHAnsi"/>
          <w:b/>
          <w:bCs/>
          <w:iCs/>
          <w:sz w:val="24"/>
          <w:szCs w:val="24"/>
        </w:rPr>
        <w:t>Ocena kontrolowanej działalności:</w:t>
      </w:r>
    </w:p>
    <w:p w:rsidR="00F604AB" w:rsidRDefault="009E6C47" w:rsidP="00F604AB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F604AB">
        <w:rPr>
          <w:rFonts w:asciiTheme="minorHAnsi" w:hAnsiTheme="minorHAnsi"/>
          <w:bCs/>
          <w:sz w:val="24"/>
          <w:szCs w:val="24"/>
        </w:rPr>
        <w:t xml:space="preserve">Działalność Urzędu w zakresie przeprowadzonej kontroli ocenia się negatywnie.  </w:t>
      </w:r>
      <w:bookmarkEnd w:id="4"/>
    </w:p>
    <w:p w:rsidR="00223840" w:rsidRPr="00223840" w:rsidRDefault="009E6C47" w:rsidP="00223840">
      <w:pPr>
        <w:pStyle w:val="Bezodstpw"/>
        <w:suppressAutoHyphens/>
        <w:spacing w:before="80" w:after="80"/>
        <w:rPr>
          <w:rFonts w:asciiTheme="minorHAnsi" w:hAnsiTheme="minorHAnsi"/>
          <w:b/>
          <w:sz w:val="24"/>
          <w:szCs w:val="24"/>
        </w:rPr>
      </w:pPr>
      <w:r w:rsidRPr="00223840">
        <w:rPr>
          <w:rFonts w:asciiTheme="minorHAnsi" w:hAnsiTheme="minorHAnsi"/>
          <w:b/>
          <w:sz w:val="24"/>
          <w:szCs w:val="24"/>
        </w:rPr>
        <w:t>Zalecenia/Wnioski:</w:t>
      </w:r>
    </w:p>
    <w:p w:rsidR="00223840" w:rsidRDefault="009E6C47" w:rsidP="00223840">
      <w:pPr>
        <w:pStyle w:val="Bezodstpw"/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223840">
        <w:rPr>
          <w:rFonts w:asciiTheme="minorHAnsi" w:hAnsiTheme="minorHAnsi"/>
          <w:bCs/>
          <w:sz w:val="24"/>
          <w:szCs w:val="24"/>
        </w:rPr>
        <w:t>Biorąc pod uwagę powyższe ustalenia, na podstawie art. 46 ust. 3 ustawy o kontroli, zalecam</w:t>
      </w:r>
      <w:r>
        <w:rPr>
          <w:rFonts w:asciiTheme="minorHAnsi" w:hAnsiTheme="minorHAnsi"/>
          <w:bCs/>
          <w:sz w:val="24"/>
          <w:szCs w:val="24"/>
        </w:rPr>
        <w:t xml:space="preserve"> dbałość o przestrzeganie przepisów </w:t>
      </w:r>
      <w:r w:rsidRPr="00F604AB">
        <w:rPr>
          <w:rFonts w:asciiTheme="minorHAnsi" w:hAnsiTheme="minorHAnsi"/>
          <w:sz w:val="24"/>
          <w:szCs w:val="24"/>
        </w:rPr>
        <w:t>kpa w zakresie termin</w:t>
      </w:r>
      <w:r>
        <w:rPr>
          <w:rFonts w:asciiTheme="minorHAnsi" w:hAnsiTheme="minorHAnsi"/>
          <w:sz w:val="24"/>
          <w:szCs w:val="24"/>
        </w:rPr>
        <w:t>owości</w:t>
      </w:r>
      <w:r w:rsidRPr="00F604AB">
        <w:rPr>
          <w:rFonts w:asciiTheme="minorHAnsi" w:hAnsiTheme="minorHAnsi"/>
          <w:sz w:val="24"/>
          <w:szCs w:val="24"/>
        </w:rPr>
        <w:t xml:space="preserve"> załatwi</w:t>
      </w:r>
      <w:r>
        <w:rPr>
          <w:rFonts w:asciiTheme="minorHAnsi" w:hAnsiTheme="minorHAnsi"/>
          <w:sz w:val="24"/>
          <w:szCs w:val="24"/>
        </w:rPr>
        <w:t>a</w:t>
      </w:r>
      <w:r w:rsidRPr="00F604AB">
        <w:rPr>
          <w:rFonts w:asciiTheme="minorHAnsi" w:hAnsiTheme="minorHAnsi"/>
          <w:sz w:val="24"/>
          <w:szCs w:val="24"/>
        </w:rPr>
        <w:t>nia spraw i powiad</w:t>
      </w:r>
      <w:r>
        <w:rPr>
          <w:rFonts w:asciiTheme="minorHAnsi" w:hAnsiTheme="minorHAnsi"/>
          <w:sz w:val="24"/>
          <w:szCs w:val="24"/>
        </w:rPr>
        <w:t>a</w:t>
      </w:r>
      <w:r w:rsidRPr="00F604AB">
        <w:rPr>
          <w:rFonts w:asciiTheme="minorHAnsi" w:hAnsiTheme="minorHAnsi"/>
          <w:sz w:val="24"/>
          <w:szCs w:val="24"/>
        </w:rPr>
        <w:t>mi</w:t>
      </w:r>
      <w:r>
        <w:rPr>
          <w:rFonts w:asciiTheme="minorHAnsi" w:hAnsiTheme="minorHAnsi"/>
          <w:sz w:val="24"/>
          <w:szCs w:val="24"/>
        </w:rPr>
        <w:t>a</w:t>
      </w:r>
      <w:r w:rsidRPr="00F604AB">
        <w:rPr>
          <w:rFonts w:asciiTheme="minorHAnsi" w:hAnsiTheme="minorHAnsi"/>
          <w:sz w:val="24"/>
          <w:szCs w:val="24"/>
        </w:rPr>
        <w:t>nia stron o fakcie</w:t>
      </w:r>
      <w:r w:rsidRPr="00223840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przekroczenia terminu ich załatwienia.</w:t>
      </w:r>
    </w:p>
    <w:p w:rsidR="00B810DF" w:rsidRPr="005D63AC" w:rsidRDefault="009E6C47" w:rsidP="005D63AC">
      <w:pPr>
        <w:pStyle w:val="Bezodstpw"/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Zalecenia odnośnie do aktualizacji </w:t>
      </w:r>
      <w:r w:rsidRPr="00F604AB">
        <w:rPr>
          <w:rFonts w:asciiTheme="minorHAnsi" w:hAnsiTheme="minorHAnsi"/>
          <w:sz w:val="24"/>
          <w:szCs w:val="24"/>
        </w:rPr>
        <w:t>opłat z tytułu użytkowania wieczystego</w:t>
      </w:r>
      <w:r>
        <w:rPr>
          <w:rFonts w:asciiTheme="minorHAnsi" w:hAnsiTheme="minorHAnsi"/>
          <w:sz w:val="24"/>
          <w:szCs w:val="24"/>
        </w:rPr>
        <w:t xml:space="preserve"> i </w:t>
      </w:r>
      <w:r w:rsidRPr="00F604AB">
        <w:rPr>
          <w:rFonts w:asciiTheme="minorHAnsi" w:hAnsiTheme="minorHAnsi"/>
          <w:sz w:val="24"/>
          <w:szCs w:val="24"/>
        </w:rPr>
        <w:t>trwałego zarządu</w:t>
      </w:r>
      <w:r>
        <w:rPr>
          <w:rFonts w:asciiTheme="minorHAnsi" w:hAnsiTheme="minorHAnsi"/>
          <w:sz w:val="24"/>
          <w:szCs w:val="24"/>
        </w:rPr>
        <w:t xml:space="preserve"> nie są form</w:t>
      </w:r>
      <w:r>
        <w:rPr>
          <w:rFonts w:asciiTheme="minorHAnsi" w:hAnsiTheme="minorHAnsi"/>
          <w:sz w:val="24"/>
          <w:szCs w:val="24"/>
        </w:rPr>
        <w:t>ułowane, ponieważ z pisma Starosty z 31 lipca 2025 r. wynika, że czynności w tym zakresie zostały podjęte.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359A4" w:rsidTr="00963F43">
        <w:trPr>
          <w:trHeight w:val="400"/>
        </w:trPr>
        <w:tc>
          <w:tcPr>
            <w:tcW w:w="4678" w:type="dxa"/>
          </w:tcPr>
          <w:p w:rsidR="00B810DF" w:rsidRPr="00963F43" w:rsidRDefault="009E6C47" w:rsidP="001E23F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359A4" w:rsidTr="00963F43">
        <w:trPr>
          <w:trHeight w:val="1127"/>
        </w:trPr>
        <w:tc>
          <w:tcPr>
            <w:tcW w:w="4678" w:type="dxa"/>
          </w:tcPr>
          <w:p w:rsidR="00B810DF" w:rsidRDefault="009E6C47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1" w:name="ezdPracownikStanowisko"/>
            <w:r>
              <w:rPr>
                <w:rFonts w:asciiTheme="minorHAnsi" w:hAnsiTheme="minorHAnsi"/>
                <w:sz w:val="24"/>
                <w:szCs w:val="24"/>
              </w:rPr>
              <w:t>Wojewoda Pomorski</w:t>
            </w:r>
            <w:bookmarkEnd w:id="11"/>
          </w:p>
          <w:p w:rsidR="00B810DF" w:rsidRPr="00963F43" w:rsidRDefault="009E6C47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B810DF" w:rsidRPr="00963F43" w:rsidRDefault="009E6C47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2" w:name="ezdPracownikNazwa"/>
            <w:r w:rsidRPr="00963F43">
              <w:rPr>
                <w:rFonts w:asciiTheme="minorHAnsi" w:hAnsiTheme="minorHAnsi"/>
                <w:sz w:val="24"/>
                <w:szCs w:val="24"/>
              </w:rPr>
              <w:t>Beata Rutkiewicz</w:t>
            </w:r>
            <w:bookmarkEnd w:id="12"/>
          </w:p>
        </w:tc>
      </w:tr>
      <w:tr w:rsidR="001359A4" w:rsidTr="00963F43">
        <w:trPr>
          <w:trHeight w:val="336"/>
        </w:trPr>
        <w:tc>
          <w:tcPr>
            <w:tcW w:w="4678" w:type="dxa"/>
          </w:tcPr>
          <w:p w:rsidR="00B810DF" w:rsidRPr="00963F43" w:rsidRDefault="009E6C47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3F4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B810DF" w:rsidRPr="00963F43" w:rsidRDefault="009E6C47" w:rsidP="005D63AC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B810DF" w:rsidRPr="00963F43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47" w:rsidRDefault="009E6C47">
      <w:pPr>
        <w:spacing w:after="0" w:line="240" w:lineRule="auto"/>
      </w:pPr>
      <w:r>
        <w:separator/>
      </w:r>
    </w:p>
  </w:endnote>
  <w:endnote w:type="continuationSeparator" w:id="0">
    <w:p w:rsidR="009E6C47" w:rsidRDefault="009E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F" w:rsidRPr="00174D6C" w:rsidRDefault="009E6C4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B810DF" w:rsidRPr="00174D6C" w:rsidRDefault="009E6C47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3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3"/>
  </w:p>
  <w:p w:rsidR="00B810DF" w:rsidRPr="00174D6C" w:rsidRDefault="009E6C47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:rsidR="00B810DF" w:rsidRPr="00174D6C" w:rsidRDefault="009E6C47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4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4"/>
  </w:p>
  <w:p w:rsidR="00B810DF" w:rsidRPr="00960BC6" w:rsidRDefault="009E6C47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15" w:name="ezdAutorWydzialAtrybut2_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15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16" w:name="ezdAutorWydzialAtrybut3_2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16"/>
  </w:p>
  <w:p w:rsidR="00B810DF" w:rsidRPr="00960BC6" w:rsidRDefault="009E6C47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  <w:p w:rsidR="00B810DF" w:rsidRPr="00174D6C" w:rsidRDefault="009E6C47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5D63AC">
      <w:rPr>
        <w:rFonts w:asciiTheme="minorHAnsi" w:hAnsiTheme="minorHAnsi"/>
        <w:b/>
        <w:noProof/>
        <w:sz w:val="18"/>
        <w:szCs w:val="18"/>
        <w:lang w:val="de-DE"/>
      </w:rPr>
      <w:t>12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 xml:space="preserve">NUMPAGES  \* </w:instrText>
    </w:r>
    <w:r w:rsidRPr="00174D6C">
      <w:rPr>
        <w:rFonts w:asciiTheme="minorHAnsi" w:hAnsiTheme="minorHAnsi"/>
        <w:b/>
        <w:sz w:val="18"/>
        <w:szCs w:val="18"/>
        <w:lang w:val="de-DE"/>
      </w:rPr>
      <w:instrText>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5D63AC">
      <w:rPr>
        <w:rFonts w:asciiTheme="minorHAnsi" w:hAnsiTheme="minorHAnsi"/>
        <w:b/>
        <w:noProof/>
        <w:sz w:val="18"/>
        <w:szCs w:val="18"/>
        <w:lang w:val="de-DE"/>
      </w:rPr>
      <w:t>12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F" w:rsidRPr="00174D6C" w:rsidRDefault="009E6C4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7" style="width:0;height:1.5pt" o:hralign="center" o:hrstd="t" o:hr="t" fillcolor="#a0a0a0" stroked="f"/>
      </w:pict>
    </w:r>
  </w:p>
  <w:p w:rsidR="00B810DF" w:rsidRPr="00174D6C" w:rsidRDefault="009E6C47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7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7"/>
  </w:p>
  <w:p w:rsidR="00B810DF" w:rsidRPr="00174D6C" w:rsidRDefault="009E6C47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:rsidR="00B810DF" w:rsidRPr="00174D6C" w:rsidRDefault="009E6C47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8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8"/>
  </w:p>
  <w:p w:rsidR="00B810DF" w:rsidRPr="00960BC6" w:rsidRDefault="009E6C47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19" w:name="ezdAutorWydzialAtrybut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19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0" w:name="ezdAutorWydzialAtrybut3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0"/>
  </w:p>
  <w:p w:rsidR="00B810DF" w:rsidRPr="00960BC6" w:rsidRDefault="009E6C47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47" w:rsidRDefault="009E6C47">
      <w:pPr>
        <w:spacing w:after="0" w:line="240" w:lineRule="auto"/>
      </w:pPr>
      <w:r>
        <w:separator/>
      </w:r>
    </w:p>
  </w:footnote>
  <w:footnote w:type="continuationSeparator" w:id="0">
    <w:p w:rsidR="009E6C47" w:rsidRDefault="009E6C47">
      <w:pPr>
        <w:spacing w:after="0" w:line="240" w:lineRule="auto"/>
      </w:pPr>
      <w:r>
        <w:continuationSeparator/>
      </w:r>
    </w:p>
  </w:footnote>
  <w:footnote w:id="1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43-69</w:t>
      </w:r>
    </w:p>
  </w:footnote>
  <w:footnote w:id="2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  <w:highlight w:val="yellow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43-69</w:t>
      </w:r>
    </w:p>
  </w:footnote>
  <w:footnote w:id="3">
    <w:p w:rsidR="00F604AB" w:rsidRDefault="009E6C47" w:rsidP="00F604AB">
      <w:pPr>
        <w:spacing w:line="264" w:lineRule="auto"/>
        <w:rPr>
          <w:rFonts w:ascii="Arial" w:hAnsi="Arial" w:cs="Arial"/>
          <w:sz w:val="20"/>
          <w:szCs w:val="20"/>
          <w:highlight w:val="yellow"/>
        </w:rPr>
      </w:pPr>
      <w:r>
        <w:rPr>
          <w:rStyle w:val="Odwoanieprzypisudolnego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Akta kontroli str. </w:t>
      </w:r>
      <w:bookmarkStart w:id="6" w:name="_Hlk176959571"/>
      <w:r>
        <w:rPr>
          <w:rFonts w:ascii="Arial" w:hAnsi="Arial" w:cs="Arial"/>
          <w:sz w:val="20"/>
          <w:szCs w:val="20"/>
        </w:rPr>
        <w:t>15a</w:t>
      </w:r>
      <w:bookmarkEnd w:id="6"/>
    </w:p>
  </w:footnote>
  <w:footnote w:id="4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43-69</w:t>
      </w:r>
    </w:p>
  </w:footnote>
  <w:footnote w:id="5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3-4</w:t>
      </w:r>
    </w:p>
  </w:footnote>
  <w:footnote w:id="6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13a</w:t>
      </w:r>
    </w:p>
  </w:footnote>
  <w:footnote w:id="7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569-575</w:t>
      </w:r>
    </w:p>
  </w:footnote>
  <w:footnote w:id="8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575</w:t>
      </w:r>
    </w:p>
  </w:footnote>
  <w:footnote w:id="9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sprawy str. 557</w:t>
      </w:r>
    </w:p>
  </w:footnote>
  <w:footnote w:id="10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569-574</w:t>
      </w:r>
    </w:p>
  </w:footnote>
  <w:footnote w:id="11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24-33 </w:t>
      </w:r>
    </w:p>
  </w:footnote>
  <w:footnote w:id="12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22</w:t>
      </w:r>
    </w:p>
  </w:footnote>
  <w:footnote w:id="13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  <w:highlight w:val="yellow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555</w:t>
      </w:r>
    </w:p>
  </w:footnote>
  <w:footnote w:id="14">
    <w:p w:rsidR="00F604AB" w:rsidRDefault="009E6C47" w:rsidP="00F604AB">
      <w:pPr>
        <w:pStyle w:val="Tekstprzypisudolnego"/>
        <w:spacing w:line="264" w:lineRule="auto"/>
        <w:rPr>
          <w:rFonts w:ascii="Times New Roman" w:hAnsi="Times New Roman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557</w:t>
      </w:r>
    </w:p>
  </w:footnote>
  <w:footnote w:id="15">
    <w:p w:rsidR="00F604AB" w:rsidRDefault="009E6C47" w:rsidP="00F604AB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569-574</w:t>
      </w:r>
    </w:p>
  </w:footnote>
  <w:footnote w:id="16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3-4</w:t>
      </w:r>
    </w:p>
  </w:footnote>
  <w:footnote w:id="17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bookmarkStart w:id="8" w:name="_Hlk177118117"/>
      <w:r>
        <w:rPr>
          <w:rFonts w:ascii="Arial" w:hAnsi="Arial" w:cs="Arial"/>
        </w:rPr>
        <w:t xml:space="preserve">Akta kontroli str. </w:t>
      </w:r>
      <w:bookmarkEnd w:id="8"/>
      <w:r>
        <w:rPr>
          <w:rFonts w:ascii="Arial" w:hAnsi="Arial" w:cs="Arial"/>
        </w:rPr>
        <w:t>1</w:t>
      </w:r>
    </w:p>
  </w:footnote>
  <w:footnote w:id="18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12 i 14a</w:t>
      </w:r>
    </w:p>
  </w:footnote>
  <w:footnote w:id="19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color w:val="ED0000"/>
        </w:rPr>
        <w:t xml:space="preserve"> </w:t>
      </w:r>
      <w:bookmarkStart w:id="9" w:name="_Hlk179801687"/>
      <w:r>
        <w:rPr>
          <w:rFonts w:ascii="Arial" w:hAnsi="Arial" w:cs="Arial"/>
        </w:rPr>
        <w:t>Akta kontroli str</w:t>
      </w:r>
      <w:r>
        <w:rPr>
          <w:rFonts w:ascii="Arial" w:hAnsi="Arial" w:cs="Arial"/>
        </w:rPr>
        <w:t xml:space="preserve">. </w:t>
      </w:r>
      <w:bookmarkEnd w:id="9"/>
      <w:r>
        <w:rPr>
          <w:rFonts w:ascii="Arial" w:hAnsi="Arial" w:cs="Arial"/>
        </w:rPr>
        <w:t>569-574</w:t>
      </w:r>
    </w:p>
  </w:footnote>
  <w:footnote w:id="20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566</w:t>
      </w:r>
    </w:p>
  </w:footnote>
  <w:footnote w:id="21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577</w:t>
      </w:r>
    </w:p>
  </w:footnote>
  <w:footnote w:id="22">
    <w:p w:rsidR="00F604AB" w:rsidRDefault="009E6C47" w:rsidP="00F604AB">
      <w:pPr>
        <w:pStyle w:val="Tekstprzypisudolnego"/>
        <w:spacing w:line="264" w:lineRule="auto"/>
        <w:rPr>
          <w:rFonts w:ascii="Times New Roman" w:hAnsi="Times New Roman" w:cstheme="minorHAnsi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569-574</w:t>
      </w:r>
    </w:p>
  </w:footnote>
  <w:footnote w:id="23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24-33</w:t>
      </w:r>
    </w:p>
  </w:footnote>
  <w:footnote w:id="24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15a</w:t>
      </w:r>
    </w:p>
  </w:footnote>
  <w:footnote w:id="25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  <w:highlight w:val="yellow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555</w:t>
      </w:r>
    </w:p>
  </w:footnote>
  <w:footnote w:id="26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557</w:t>
      </w:r>
    </w:p>
  </w:footnote>
  <w:footnote w:id="27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569-574</w:t>
      </w:r>
    </w:p>
  </w:footnote>
  <w:footnote w:id="28">
    <w:p w:rsidR="00F604AB" w:rsidRDefault="009E6C47" w:rsidP="00F604AB">
      <w:pPr>
        <w:pStyle w:val="Tekstprzypisudolnego"/>
        <w:spacing w:line="264" w:lineRule="aut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Akta kontroli str. 15a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F" w:rsidRDefault="009E6C47">
    <w:pPr>
      <w:pStyle w:val="Nagwek"/>
    </w:pPr>
  </w:p>
  <w:p w:rsidR="00B810DF" w:rsidRDefault="009E6C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F" w:rsidRPr="00963F43" w:rsidRDefault="009E6C47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0DF" w:rsidRPr="00093484" w:rsidRDefault="009E6C47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:rsidR="00B810DF" w:rsidRPr="00963F43" w:rsidRDefault="009E6C47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A70"/>
    <w:multiLevelType w:val="hybridMultilevel"/>
    <w:tmpl w:val="8CF8924E"/>
    <w:lvl w:ilvl="0" w:tplc="0B4CA7A0">
      <w:start w:val="1"/>
      <w:numFmt w:val="decimal"/>
      <w:lvlText w:val="%1)"/>
      <w:lvlJc w:val="left"/>
      <w:pPr>
        <w:ind w:left="720" w:hanging="360"/>
      </w:pPr>
    </w:lvl>
    <w:lvl w:ilvl="1" w:tplc="5322A4AA">
      <w:start w:val="1"/>
      <w:numFmt w:val="lowerLetter"/>
      <w:lvlText w:val="%2."/>
      <w:lvlJc w:val="left"/>
      <w:pPr>
        <w:ind w:left="1440" w:hanging="360"/>
      </w:pPr>
    </w:lvl>
    <w:lvl w:ilvl="2" w:tplc="7B74713E">
      <w:start w:val="1"/>
      <w:numFmt w:val="lowerRoman"/>
      <w:lvlText w:val="%3."/>
      <w:lvlJc w:val="right"/>
      <w:pPr>
        <w:ind w:left="2160" w:hanging="180"/>
      </w:pPr>
    </w:lvl>
    <w:lvl w:ilvl="3" w:tplc="D9367614">
      <w:start w:val="1"/>
      <w:numFmt w:val="decimal"/>
      <w:lvlText w:val="%4."/>
      <w:lvlJc w:val="left"/>
      <w:pPr>
        <w:ind w:left="2880" w:hanging="360"/>
      </w:pPr>
    </w:lvl>
    <w:lvl w:ilvl="4" w:tplc="5EC6285E">
      <w:start w:val="1"/>
      <w:numFmt w:val="lowerLetter"/>
      <w:lvlText w:val="%5."/>
      <w:lvlJc w:val="left"/>
      <w:pPr>
        <w:ind w:left="3600" w:hanging="360"/>
      </w:pPr>
    </w:lvl>
    <w:lvl w:ilvl="5" w:tplc="00A4E41C">
      <w:start w:val="1"/>
      <w:numFmt w:val="lowerRoman"/>
      <w:lvlText w:val="%6."/>
      <w:lvlJc w:val="right"/>
      <w:pPr>
        <w:ind w:left="4320" w:hanging="180"/>
      </w:pPr>
    </w:lvl>
    <w:lvl w:ilvl="6" w:tplc="BBD68964">
      <w:start w:val="1"/>
      <w:numFmt w:val="decimal"/>
      <w:lvlText w:val="%7."/>
      <w:lvlJc w:val="left"/>
      <w:pPr>
        <w:ind w:left="5040" w:hanging="360"/>
      </w:pPr>
    </w:lvl>
    <w:lvl w:ilvl="7" w:tplc="58285864">
      <w:start w:val="1"/>
      <w:numFmt w:val="lowerLetter"/>
      <w:lvlText w:val="%8."/>
      <w:lvlJc w:val="left"/>
      <w:pPr>
        <w:ind w:left="5760" w:hanging="360"/>
      </w:pPr>
    </w:lvl>
    <w:lvl w:ilvl="8" w:tplc="608C51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87"/>
    <w:multiLevelType w:val="hybridMultilevel"/>
    <w:tmpl w:val="BC0EDCB6"/>
    <w:lvl w:ilvl="0" w:tplc="8DC660B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117049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86679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3678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58DA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506CB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A4CBD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4AE7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8062F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96389"/>
    <w:multiLevelType w:val="hybridMultilevel"/>
    <w:tmpl w:val="845ADFD6"/>
    <w:lvl w:ilvl="0" w:tplc="4E940208">
      <w:start w:val="1"/>
      <w:numFmt w:val="decimal"/>
      <w:lvlText w:val="%1)"/>
      <w:lvlJc w:val="left"/>
      <w:pPr>
        <w:ind w:left="1004" w:hanging="360"/>
      </w:pPr>
    </w:lvl>
    <w:lvl w:ilvl="1" w:tplc="38AECFD6">
      <w:start w:val="1"/>
      <w:numFmt w:val="lowerLetter"/>
      <w:lvlText w:val="%2."/>
      <w:lvlJc w:val="left"/>
      <w:pPr>
        <w:ind w:left="1724" w:hanging="360"/>
      </w:pPr>
    </w:lvl>
    <w:lvl w:ilvl="2" w:tplc="036A5888">
      <w:start w:val="1"/>
      <w:numFmt w:val="lowerRoman"/>
      <w:lvlText w:val="%3."/>
      <w:lvlJc w:val="right"/>
      <w:pPr>
        <w:ind w:left="2444" w:hanging="180"/>
      </w:pPr>
    </w:lvl>
    <w:lvl w:ilvl="3" w:tplc="C97643C6">
      <w:start w:val="1"/>
      <w:numFmt w:val="decimal"/>
      <w:lvlText w:val="%4."/>
      <w:lvlJc w:val="left"/>
      <w:pPr>
        <w:ind w:left="3164" w:hanging="360"/>
      </w:pPr>
    </w:lvl>
    <w:lvl w:ilvl="4" w:tplc="85B012F0">
      <w:start w:val="1"/>
      <w:numFmt w:val="lowerLetter"/>
      <w:lvlText w:val="%5."/>
      <w:lvlJc w:val="left"/>
      <w:pPr>
        <w:ind w:left="3884" w:hanging="360"/>
      </w:pPr>
    </w:lvl>
    <w:lvl w:ilvl="5" w:tplc="F3721078">
      <w:start w:val="1"/>
      <w:numFmt w:val="lowerRoman"/>
      <w:lvlText w:val="%6."/>
      <w:lvlJc w:val="right"/>
      <w:pPr>
        <w:ind w:left="4604" w:hanging="180"/>
      </w:pPr>
    </w:lvl>
    <w:lvl w:ilvl="6" w:tplc="4DAE87EA">
      <w:start w:val="1"/>
      <w:numFmt w:val="decimal"/>
      <w:lvlText w:val="%7."/>
      <w:lvlJc w:val="left"/>
      <w:pPr>
        <w:ind w:left="5324" w:hanging="360"/>
      </w:pPr>
    </w:lvl>
    <w:lvl w:ilvl="7" w:tplc="A01868E4">
      <w:start w:val="1"/>
      <w:numFmt w:val="lowerLetter"/>
      <w:lvlText w:val="%8."/>
      <w:lvlJc w:val="left"/>
      <w:pPr>
        <w:ind w:left="6044" w:hanging="360"/>
      </w:pPr>
    </w:lvl>
    <w:lvl w:ilvl="8" w:tplc="610C8FE6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926971"/>
    <w:multiLevelType w:val="hybridMultilevel"/>
    <w:tmpl w:val="AF6A0558"/>
    <w:lvl w:ilvl="0" w:tplc="24402B6C">
      <w:start w:val="1"/>
      <w:numFmt w:val="decimal"/>
      <w:lvlText w:val="%1)"/>
      <w:lvlJc w:val="left"/>
      <w:pPr>
        <w:ind w:left="720" w:hanging="360"/>
      </w:pPr>
    </w:lvl>
    <w:lvl w:ilvl="1" w:tplc="4ACCCFE2">
      <w:start w:val="1"/>
      <w:numFmt w:val="lowerLetter"/>
      <w:lvlText w:val="%2."/>
      <w:lvlJc w:val="left"/>
      <w:pPr>
        <w:ind w:left="1440" w:hanging="360"/>
      </w:pPr>
    </w:lvl>
    <w:lvl w:ilvl="2" w:tplc="CE7E498C">
      <w:start w:val="1"/>
      <w:numFmt w:val="lowerRoman"/>
      <w:lvlText w:val="%3."/>
      <w:lvlJc w:val="right"/>
      <w:pPr>
        <w:ind w:left="2160" w:hanging="180"/>
      </w:pPr>
    </w:lvl>
    <w:lvl w:ilvl="3" w:tplc="01E4CD52">
      <w:start w:val="1"/>
      <w:numFmt w:val="decimal"/>
      <w:lvlText w:val="%4."/>
      <w:lvlJc w:val="left"/>
      <w:pPr>
        <w:ind w:left="2880" w:hanging="360"/>
      </w:pPr>
    </w:lvl>
    <w:lvl w:ilvl="4" w:tplc="7130A056">
      <w:start w:val="1"/>
      <w:numFmt w:val="lowerLetter"/>
      <w:lvlText w:val="%5."/>
      <w:lvlJc w:val="left"/>
      <w:pPr>
        <w:ind w:left="3600" w:hanging="360"/>
      </w:pPr>
    </w:lvl>
    <w:lvl w:ilvl="5" w:tplc="7672678A">
      <w:start w:val="1"/>
      <w:numFmt w:val="lowerRoman"/>
      <w:lvlText w:val="%6."/>
      <w:lvlJc w:val="right"/>
      <w:pPr>
        <w:ind w:left="4320" w:hanging="180"/>
      </w:pPr>
    </w:lvl>
    <w:lvl w:ilvl="6" w:tplc="B582B63E">
      <w:start w:val="1"/>
      <w:numFmt w:val="decimal"/>
      <w:lvlText w:val="%7."/>
      <w:lvlJc w:val="left"/>
      <w:pPr>
        <w:ind w:left="5040" w:hanging="360"/>
      </w:pPr>
    </w:lvl>
    <w:lvl w:ilvl="7" w:tplc="E7E87624">
      <w:start w:val="1"/>
      <w:numFmt w:val="lowerLetter"/>
      <w:lvlText w:val="%8."/>
      <w:lvlJc w:val="left"/>
      <w:pPr>
        <w:ind w:left="5760" w:hanging="360"/>
      </w:pPr>
    </w:lvl>
    <w:lvl w:ilvl="8" w:tplc="D10A0F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1B72"/>
    <w:multiLevelType w:val="hybridMultilevel"/>
    <w:tmpl w:val="3DB4A8BE"/>
    <w:lvl w:ilvl="0" w:tplc="1904F440">
      <w:start w:val="1"/>
      <w:numFmt w:val="decimal"/>
      <w:lvlText w:val="%1)"/>
      <w:lvlJc w:val="left"/>
      <w:pPr>
        <w:ind w:left="720" w:hanging="360"/>
      </w:pPr>
    </w:lvl>
    <w:lvl w:ilvl="1" w:tplc="FE186526">
      <w:start w:val="1"/>
      <w:numFmt w:val="lowerLetter"/>
      <w:lvlText w:val="%2."/>
      <w:lvlJc w:val="left"/>
      <w:pPr>
        <w:ind w:left="1440" w:hanging="360"/>
      </w:pPr>
    </w:lvl>
    <w:lvl w:ilvl="2" w:tplc="F8D487D4">
      <w:start w:val="1"/>
      <w:numFmt w:val="lowerRoman"/>
      <w:lvlText w:val="%3."/>
      <w:lvlJc w:val="right"/>
      <w:pPr>
        <w:ind w:left="2160" w:hanging="180"/>
      </w:pPr>
    </w:lvl>
    <w:lvl w:ilvl="3" w:tplc="76A40C5E">
      <w:start w:val="1"/>
      <w:numFmt w:val="decimal"/>
      <w:lvlText w:val="%4."/>
      <w:lvlJc w:val="left"/>
      <w:pPr>
        <w:ind w:left="2880" w:hanging="360"/>
      </w:pPr>
    </w:lvl>
    <w:lvl w:ilvl="4" w:tplc="E87A1FD2">
      <w:start w:val="1"/>
      <w:numFmt w:val="lowerLetter"/>
      <w:lvlText w:val="%5."/>
      <w:lvlJc w:val="left"/>
      <w:pPr>
        <w:ind w:left="3600" w:hanging="360"/>
      </w:pPr>
    </w:lvl>
    <w:lvl w:ilvl="5" w:tplc="39D4ED04">
      <w:start w:val="1"/>
      <w:numFmt w:val="lowerRoman"/>
      <w:lvlText w:val="%6."/>
      <w:lvlJc w:val="right"/>
      <w:pPr>
        <w:ind w:left="4320" w:hanging="180"/>
      </w:pPr>
    </w:lvl>
    <w:lvl w:ilvl="6" w:tplc="4D62F87C">
      <w:start w:val="1"/>
      <w:numFmt w:val="decimal"/>
      <w:lvlText w:val="%7."/>
      <w:lvlJc w:val="left"/>
      <w:pPr>
        <w:ind w:left="5040" w:hanging="360"/>
      </w:pPr>
    </w:lvl>
    <w:lvl w:ilvl="7" w:tplc="5CF0D99E">
      <w:start w:val="1"/>
      <w:numFmt w:val="lowerLetter"/>
      <w:lvlText w:val="%8."/>
      <w:lvlJc w:val="left"/>
      <w:pPr>
        <w:ind w:left="5760" w:hanging="360"/>
      </w:pPr>
    </w:lvl>
    <w:lvl w:ilvl="8" w:tplc="0532AE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4EEE"/>
    <w:multiLevelType w:val="hybridMultilevel"/>
    <w:tmpl w:val="81344852"/>
    <w:lvl w:ilvl="0" w:tplc="03587EFE">
      <w:start w:val="1"/>
      <w:numFmt w:val="decimal"/>
      <w:lvlText w:val="%1)"/>
      <w:lvlJc w:val="left"/>
      <w:pPr>
        <w:ind w:left="720" w:hanging="360"/>
      </w:pPr>
    </w:lvl>
    <w:lvl w:ilvl="1" w:tplc="399808AE">
      <w:start w:val="1"/>
      <w:numFmt w:val="lowerLetter"/>
      <w:lvlText w:val="%2."/>
      <w:lvlJc w:val="left"/>
      <w:pPr>
        <w:ind w:left="1440" w:hanging="360"/>
      </w:pPr>
    </w:lvl>
    <w:lvl w:ilvl="2" w:tplc="7A1E6C7A">
      <w:start w:val="1"/>
      <w:numFmt w:val="lowerRoman"/>
      <w:lvlText w:val="%3."/>
      <w:lvlJc w:val="right"/>
      <w:pPr>
        <w:ind w:left="2160" w:hanging="180"/>
      </w:pPr>
    </w:lvl>
    <w:lvl w:ilvl="3" w:tplc="FFD2B8D6">
      <w:start w:val="1"/>
      <w:numFmt w:val="decimal"/>
      <w:lvlText w:val="%4."/>
      <w:lvlJc w:val="left"/>
      <w:pPr>
        <w:ind w:left="2880" w:hanging="360"/>
      </w:pPr>
    </w:lvl>
    <w:lvl w:ilvl="4" w:tplc="77A2F046">
      <w:start w:val="1"/>
      <w:numFmt w:val="lowerLetter"/>
      <w:lvlText w:val="%5."/>
      <w:lvlJc w:val="left"/>
      <w:pPr>
        <w:ind w:left="3600" w:hanging="360"/>
      </w:pPr>
    </w:lvl>
    <w:lvl w:ilvl="5" w:tplc="706A0B3A">
      <w:start w:val="1"/>
      <w:numFmt w:val="lowerRoman"/>
      <w:lvlText w:val="%6."/>
      <w:lvlJc w:val="right"/>
      <w:pPr>
        <w:ind w:left="4320" w:hanging="180"/>
      </w:pPr>
    </w:lvl>
    <w:lvl w:ilvl="6" w:tplc="0BD68FFC">
      <w:start w:val="1"/>
      <w:numFmt w:val="decimal"/>
      <w:lvlText w:val="%7."/>
      <w:lvlJc w:val="left"/>
      <w:pPr>
        <w:ind w:left="5040" w:hanging="360"/>
      </w:pPr>
    </w:lvl>
    <w:lvl w:ilvl="7" w:tplc="51D606CE">
      <w:start w:val="1"/>
      <w:numFmt w:val="lowerLetter"/>
      <w:lvlText w:val="%8."/>
      <w:lvlJc w:val="left"/>
      <w:pPr>
        <w:ind w:left="5760" w:hanging="360"/>
      </w:pPr>
    </w:lvl>
    <w:lvl w:ilvl="8" w:tplc="8084CF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1C1F"/>
    <w:multiLevelType w:val="hybridMultilevel"/>
    <w:tmpl w:val="EFCAB95C"/>
    <w:lvl w:ilvl="0" w:tplc="D4F8B060">
      <w:start w:val="1"/>
      <w:numFmt w:val="decimal"/>
      <w:lvlText w:val="%1)"/>
      <w:lvlJc w:val="left"/>
      <w:pPr>
        <w:ind w:left="720" w:hanging="360"/>
      </w:pPr>
    </w:lvl>
    <w:lvl w:ilvl="1" w:tplc="069C0678">
      <w:start w:val="1"/>
      <w:numFmt w:val="lowerLetter"/>
      <w:lvlText w:val="%2."/>
      <w:lvlJc w:val="left"/>
      <w:pPr>
        <w:ind w:left="1440" w:hanging="360"/>
      </w:pPr>
    </w:lvl>
    <w:lvl w:ilvl="2" w:tplc="751E94D6">
      <w:start w:val="1"/>
      <w:numFmt w:val="lowerRoman"/>
      <w:lvlText w:val="%3."/>
      <w:lvlJc w:val="right"/>
      <w:pPr>
        <w:ind w:left="2160" w:hanging="180"/>
      </w:pPr>
    </w:lvl>
    <w:lvl w:ilvl="3" w:tplc="8012CF28">
      <w:start w:val="1"/>
      <w:numFmt w:val="decimal"/>
      <w:lvlText w:val="%4."/>
      <w:lvlJc w:val="left"/>
      <w:pPr>
        <w:ind w:left="2880" w:hanging="360"/>
      </w:pPr>
    </w:lvl>
    <w:lvl w:ilvl="4" w:tplc="AE8A8444">
      <w:start w:val="1"/>
      <w:numFmt w:val="lowerLetter"/>
      <w:lvlText w:val="%5."/>
      <w:lvlJc w:val="left"/>
      <w:pPr>
        <w:ind w:left="3600" w:hanging="360"/>
      </w:pPr>
    </w:lvl>
    <w:lvl w:ilvl="5" w:tplc="AEBCEFF4">
      <w:start w:val="1"/>
      <w:numFmt w:val="lowerRoman"/>
      <w:lvlText w:val="%6."/>
      <w:lvlJc w:val="right"/>
      <w:pPr>
        <w:ind w:left="4320" w:hanging="180"/>
      </w:pPr>
    </w:lvl>
    <w:lvl w:ilvl="6" w:tplc="E86AAC70">
      <w:start w:val="1"/>
      <w:numFmt w:val="decimal"/>
      <w:lvlText w:val="%7."/>
      <w:lvlJc w:val="left"/>
      <w:pPr>
        <w:ind w:left="5040" w:hanging="360"/>
      </w:pPr>
    </w:lvl>
    <w:lvl w:ilvl="7" w:tplc="F82C4870">
      <w:start w:val="1"/>
      <w:numFmt w:val="lowerLetter"/>
      <w:lvlText w:val="%8."/>
      <w:lvlJc w:val="left"/>
      <w:pPr>
        <w:ind w:left="5760" w:hanging="360"/>
      </w:pPr>
    </w:lvl>
    <w:lvl w:ilvl="8" w:tplc="459833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10875"/>
    <w:multiLevelType w:val="hybridMultilevel"/>
    <w:tmpl w:val="50FA1E84"/>
    <w:lvl w:ilvl="0" w:tplc="18B8C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048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C3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6E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3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4D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8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B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8C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436C9"/>
    <w:multiLevelType w:val="hybridMultilevel"/>
    <w:tmpl w:val="FDD8075A"/>
    <w:lvl w:ilvl="0" w:tplc="EE20D5BC">
      <w:start w:val="1"/>
      <w:numFmt w:val="decimal"/>
      <w:lvlText w:val="%1)"/>
      <w:lvlJc w:val="left"/>
      <w:pPr>
        <w:ind w:left="720" w:hanging="360"/>
      </w:pPr>
    </w:lvl>
    <w:lvl w:ilvl="1" w:tplc="250ED47C">
      <w:start w:val="1"/>
      <w:numFmt w:val="lowerLetter"/>
      <w:lvlText w:val="%2."/>
      <w:lvlJc w:val="left"/>
      <w:pPr>
        <w:ind w:left="1440" w:hanging="360"/>
      </w:pPr>
    </w:lvl>
    <w:lvl w:ilvl="2" w:tplc="3F8AFCD4">
      <w:start w:val="1"/>
      <w:numFmt w:val="lowerRoman"/>
      <w:lvlText w:val="%3."/>
      <w:lvlJc w:val="right"/>
      <w:pPr>
        <w:ind w:left="2160" w:hanging="180"/>
      </w:pPr>
    </w:lvl>
    <w:lvl w:ilvl="3" w:tplc="02E6B466">
      <w:start w:val="1"/>
      <w:numFmt w:val="decimal"/>
      <w:lvlText w:val="%4."/>
      <w:lvlJc w:val="left"/>
      <w:pPr>
        <w:ind w:left="2880" w:hanging="360"/>
      </w:pPr>
    </w:lvl>
    <w:lvl w:ilvl="4" w:tplc="4A202484">
      <w:start w:val="1"/>
      <w:numFmt w:val="lowerLetter"/>
      <w:lvlText w:val="%5."/>
      <w:lvlJc w:val="left"/>
      <w:pPr>
        <w:ind w:left="3600" w:hanging="360"/>
      </w:pPr>
    </w:lvl>
    <w:lvl w:ilvl="5" w:tplc="21EEED04">
      <w:start w:val="1"/>
      <w:numFmt w:val="lowerRoman"/>
      <w:lvlText w:val="%6."/>
      <w:lvlJc w:val="right"/>
      <w:pPr>
        <w:ind w:left="4320" w:hanging="180"/>
      </w:pPr>
    </w:lvl>
    <w:lvl w:ilvl="6" w:tplc="7214E286">
      <w:start w:val="1"/>
      <w:numFmt w:val="decimal"/>
      <w:lvlText w:val="%7."/>
      <w:lvlJc w:val="left"/>
      <w:pPr>
        <w:ind w:left="5040" w:hanging="360"/>
      </w:pPr>
    </w:lvl>
    <w:lvl w:ilvl="7" w:tplc="AA5892DE">
      <w:start w:val="1"/>
      <w:numFmt w:val="lowerLetter"/>
      <w:lvlText w:val="%8."/>
      <w:lvlJc w:val="left"/>
      <w:pPr>
        <w:ind w:left="5760" w:hanging="360"/>
      </w:pPr>
    </w:lvl>
    <w:lvl w:ilvl="8" w:tplc="FD786A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49FE"/>
    <w:multiLevelType w:val="hybridMultilevel"/>
    <w:tmpl w:val="BCE8BAD0"/>
    <w:lvl w:ilvl="0" w:tplc="635E9412">
      <w:start w:val="1"/>
      <w:numFmt w:val="decimal"/>
      <w:lvlText w:val="%1)"/>
      <w:lvlJc w:val="left"/>
      <w:pPr>
        <w:ind w:left="720" w:hanging="360"/>
      </w:pPr>
    </w:lvl>
    <w:lvl w:ilvl="1" w:tplc="0758063C">
      <w:start w:val="1"/>
      <w:numFmt w:val="lowerLetter"/>
      <w:lvlText w:val="%2."/>
      <w:lvlJc w:val="left"/>
      <w:pPr>
        <w:ind w:left="1440" w:hanging="360"/>
      </w:pPr>
    </w:lvl>
    <w:lvl w:ilvl="2" w:tplc="8E7A4F02">
      <w:start w:val="1"/>
      <w:numFmt w:val="lowerRoman"/>
      <w:lvlText w:val="%3."/>
      <w:lvlJc w:val="right"/>
      <w:pPr>
        <w:ind w:left="2160" w:hanging="180"/>
      </w:pPr>
    </w:lvl>
    <w:lvl w:ilvl="3" w:tplc="7090B54A">
      <w:start w:val="1"/>
      <w:numFmt w:val="decimal"/>
      <w:lvlText w:val="%4."/>
      <w:lvlJc w:val="left"/>
      <w:pPr>
        <w:ind w:left="2880" w:hanging="360"/>
      </w:pPr>
    </w:lvl>
    <w:lvl w:ilvl="4" w:tplc="8B12C38E">
      <w:start w:val="1"/>
      <w:numFmt w:val="lowerLetter"/>
      <w:lvlText w:val="%5."/>
      <w:lvlJc w:val="left"/>
      <w:pPr>
        <w:ind w:left="3600" w:hanging="360"/>
      </w:pPr>
    </w:lvl>
    <w:lvl w:ilvl="5" w:tplc="DBA27E6E">
      <w:start w:val="1"/>
      <w:numFmt w:val="lowerRoman"/>
      <w:lvlText w:val="%6."/>
      <w:lvlJc w:val="right"/>
      <w:pPr>
        <w:ind w:left="4320" w:hanging="180"/>
      </w:pPr>
    </w:lvl>
    <w:lvl w:ilvl="6" w:tplc="B516A186">
      <w:start w:val="1"/>
      <w:numFmt w:val="decimal"/>
      <w:lvlText w:val="%7."/>
      <w:lvlJc w:val="left"/>
      <w:pPr>
        <w:ind w:left="5040" w:hanging="360"/>
      </w:pPr>
    </w:lvl>
    <w:lvl w:ilvl="7" w:tplc="26D88876">
      <w:start w:val="1"/>
      <w:numFmt w:val="lowerLetter"/>
      <w:lvlText w:val="%8."/>
      <w:lvlJc w:val="left"/>
      <w:pPr>
        <w:ind w:left="5760" w:hanging="360"/>
      </w:pPr>
    </w:lvl>
    <w:lvl w:ilvl="8" w:tplc="A14ED7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A4"/>
    <w:rsid w:val="000755FD"/>
    <w:rsid w:val="001359A4"/>
    <w:rsid w:val="005D63AC"/>
    <w:rsid w:val="00897012"/>
    <w:rsid w:val="009E6C47"/>
    <w:rsid w:val="00A3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10C71"/>
  <w15:docId w15:val="{F87CCED3-E398-4305-BADB-81FAA4C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4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4AB"/>
    <w:rPr>
      <w:rFonts w:eastAsia="Times New Roman"/>
      <w:lang w:eastAsia="en-US"/>
    </w:rPr>
  </w:style>
  <w:style w:type="character" w:styleId="Odwoanieprzypisudolnego">
    <w:name w:val="footnote reference"/>
    <w:semiHidden/>
    <w:unhideWhenUsed/>
    <w:rsid w:val="00F60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49EE-C8F6-44DC-AF54-6D55612C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3370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Joanna Matuszyńska</cp:lastModifiedBy>
  <cp:revision>2</cp:revision>
  <dcterms:created xsi:type="dcterms:W3CDTF">2025-12-04T08:30:00Z</dcterms:created>
  <dcterms:modified xsi:type="dcterms:W3CDTF">2025-12-04T08:30:00Z</dcterms:modified>
</cp:coreProperties>
</file>