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76D54B62" w:rsidR="003A49ED" w:rsidRPr="007F1329" w:rsidRDefault="003A49ED" w:rsidP="003A49ED">
      <w:pPr>
        <w:jc w:val="center"/>
        <w:rPr>
          <w:rFonts w:ascii="Aptos" w:hAnsi="Aptos"/>
          <w:b/>
          <w:bCs/>
          <w:sz w:val="28"/>
          <w:szCs w:val="28"/>
        </w:rPr>
      </w:pPr>
      <w:r w:rsidRPr="007F1329">
        <w:rPr>
          <w:rFonts w:ascii="Aptos" w:hAnsi="Aptos"/>
          <w:b/>
          <w:bCs/>
          <w:sz w:val="28"/>
          <w:szCs w:val="28"/>
        </w:rPr>
        <w:t>Nabory planowane w latach 202</w:t>
      </w:r>
      <w:r w:rsidR="00413BD5" w:rsidRPr="007F1329">
        <w:rPr>
          <w:rFonts w:ascii="Aptos" w:hAnsi="Aptos"/>
          <w:b/>
          <w:bCs/>
          <w:sz w:val="28"/>
          <w:szCs w:val="28"/>
        </w:rPr>
        <w:t>6</w:t>
      </w:r>
      <w:r w:rsidRPr="007F1329">
        <w:rPr>
          <w:rFonts w:ascii="Aptos" w:hAnsi="Aptos"/>
          <w:b/>
          <w:bCs/>
          <w:sz w:val="28"/>
          <w:szCs w:val="28"/>
        </w:rPr>
        <w:t>-2027 zgodnie z Programem Prac DEP 2025-2027</w:t>
      </w:r>
    </w:p>
    <w:p w14:paraId="1734D3E3" w14:textId="77777777" w:rsidR="003A49ED" w:rsidRPr="007F1329" w:rsidRDefault="003A49ED" w:rsidP="003A49ED">
      <w:pPr>
        <w:rPr>
          <w:rFonts w:ascii="Aptos" w:hAnsi="Aptos"/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827"/>
        <w:gridCol w:w="2126"/>
        <w:gridCol w:w="1559"/>
        <w:gridCol w:w="1560"/>
        <w:gridCol w:w="1275"/>
        <w:gridCol w:w="2268"/>
      </w:tblGrid>
      <w:tr w:rsidR="003A49ED" w:rsidRPr="007F1329" w14:paraId="3DE654A3" w14:textId="77777777" w:rsidTr="00413BD5">
        <w:trPr>
          <w:trHeight w:val="1134"/>
        </w:trPr>
        <w:tc>
          <w:tcPr>
            <w:tcW w:w="1689" w:type="dxa"/>
          </w:tcPr>
          <w:p w14:paraId="60B17A10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Nazwa naboru</w:t>
            </w:r>
          </w:p>
        </w:tc>
        <w:tc>
          <w:tcPr>
            <w:tcW w:w="4827" w:type="dxa"/>
          </w:tcPr>
          <w:p w14:paraId="13A4A669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2126" w:type="dxa"/>
          </w:tcPr>
          <w:p w14:paraId="2E90C185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Rodzaj wsparcia</w:t>
            </w:r>
          </w:p>
        </w:tc>
        <w:tc>
          <w:tcPr>
            <w:tcW w:w="1559" w:type="dxa"/>
          </w:tcPr>
          <w:p w14:paraId="025CC7B6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Budżet</w:t>
            </w:r>
          </w:p>
        </w:tc>
        <w:tc>
          <w:tcPr>
            <w:tcW w:w="1560" w:type="dxa"/>
          </w:tcPr>
          <w:p w14:paraId="3C665407" w14:textId="2420F7A3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Orientacyjny czas otwarci</w:t>
            </w:r>
            <w:r w:rsidR="00413BD5" w:rsidRPr="007F1329">
              <w:rPr>
                <w:rFonts w:ascii="Aptos" w:hAnsi="Aptos"/>
                <w:b/>
                <w:bCs/>
              </w:rPr>
              <w:t xml:space="preserve">a </w:t>
            </w:r>
            <w:r w:rsidRPr="007F1329">
              <w:rPr>
                <w:rFonts w:ascii="Aptos" w:hAnsi="Aptos"/>
                <w:b/>
                <w:bCs/>
              </w:rPr>
              <w:t>naboru</w:t>
            </w:r>
          </w:p>
        </w:tc>
        <w:tc>
          <w:tcPr>
            <w:tcW w:w="1275" w:type="dxa"/>
          </w:tcPr>
          <w:p w14:paraId="3CB27241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Realizacja projektów</w:t>
            </w:r>
          </w:p>
        </w:tc>
        <w:tc>
          <w:tcPr>
            <w:tcW w:w="2268" w:type="dxa"/>
          </w:tcPr>
          <w:p w14:paraId="24D5ECB3" w14:textId="77777777" w:rsidR="003A49ED" w:rsidRPr="007F1329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Rodzaj wnioskodawców</w:t>
            </w:r>
          </w:p>
        </w:tc>
      </w:tr>
      <w:tr w:rsidR="000F4240" w:rsidRPr="007F1329" w14:paraId="724C0DBA" w14:textId="77777777" w:rsidTr="00413BD5">
        <w:trPr>
          <w:trHeight w:val="1124"/>
        </w:trPr>
        <w:tc>
          <w:tcPr>
            <w:tcW w:w="1689" w:type="dxa"/>
          </w:tcPr>
          <w:p w14:paraId="681035C7" w14:textId="298253DC" w:rsidR="000F4240" w:rsidRPr="007F1329" w:rsidRDefault="000F4240" w:rsidP="00703762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Excellence in higher education and training programmes in key digital areas and applied technologies</w:t>
            </w:r>
          </w:p>
        </w:tc>
        <w:tc>
          <w:tcPr>
            <w:tcW w:w="4827" w:type="dxa"/>
          </w:tcPr>
          <w:p w14:paraId="029FCFDA" w14:textId="7777777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Celem naboru jest rozwój i wzmocnienie oferty edukacyjnej w zakresie zaawansowanych kompetencji cyfrowych w UE. Działania mają zwiększyć dostępność studiów i szkoleń w kluczowych technologiach cyfrowych, rozwijać programy interdyscyplinarne (łączące kompetencje cyfrowe z konkretnymi sektorami), budować współpracę między uczelniami, biznesem i ośrodkami badawczymi, lepiej przygotować specjalistów do wdrażania technologii cyfrowych w strategicznych sektorach gospodarki. </w:t>
            </w:r>
          </w:p>
          <w:p w14:paraId="47F59B99" w14:textId="77777777" w:rsidR="000F4240" w:rsidRPr="007F1329" w:rsidRDefault="000F4240" w:rsidP="00456F98">
            <w:pPr>
              <w:rPr>
                <w:rFonts w:ascii="Aptos" w:hAnsi="Aptos" w:cstheme="minorHAnsi"/>
              </w:rPr>
            </w:pPr>
          </w:p>
          <w:p w14:paraId="50EC0ACE" w14:textId="6FEF8C3F" w:rsidR="00B6147A" w:rsidRPr="007F1329" w:rsidRDefault="000F4240" w:rsidP="00703762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Second </w:t>
            </w:r>
            <w:proofErr w:type="spellStart"/>
            <w:r w:rsidRPr="007F1329">
              <w:rPr>
                <w:rFonts w:ascii="Aptos" w:hAnsi="Aptos" w:cstheme="minorHAnsi"/>
              </w:rPr>
              <w:t>work</w:t>
            </w:r>
            <w:proofErr w:type="spellEnd"/>
            <w:r w:rsidRPr="007F1329">
              <w:rPr>
                <w:rFonts w:ascii="Aptos" w:hAnsi="Aptos" w:cstheme="minorHAnsi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</w:rPr>
              <w:t>strand</w:t>
            </w:r>
            <w:proofErr w:type="spellEnd"/>
            <w:r w:rsidRPr="007F1329">
              <w:rPr>
                <w:rFonts w:ascii="Aptos" w:hAnsi="Aptos" w:cstheme="minorHAnsi"/>
              </w:rPr>
              <w:t xml:space="preserve"> - Doskonałość akademicka w technologiach cyfrowych – tworzenie i realizacja programów studiów oraz szkoleń m.in. w obszarach takich jak data science, </w:t>
            </w:r>
            <w:proofErr w:type="spellStart"/>
            <w:r w:rsidRPr="007F1329">
              <w:rPr>
                <w:rFonts w:ascii="Aptos" w:hAnsi="Aptos" w:cstheme="minorHAnsi"/>
              </w:rPr>
              <w:t>IoT</w:t>
            </w:r>
            <w:proofErr w:type="spellEnd"/>
            <w:r w:rsidRPr="007F1329">
              <w:rPr>
                <w:rFonts w:ascii="Aptos" w:hAnsi="Aptos" w:cstheme="minorHAnsi"/>
              </w:rPr>
              <w:t xml:space="preserve">, robotyka, </w:t>
            </w:r>
            <w:proofErr w:type="spellStart"/>
            <w:r w:rsidRPr="007F1329">
              <w:rPr>
                <w:rFonts w:ascii="Aptos" w:hAnsi="Aptos" w:cstheme="minorHAnsi"/>
              </w:rPr>
              <w:t>blockchain</w:t>
            </w:r>
            <w:proofErr w:type="spellEnd"/>
            <w:r w:rsidRPr="007F1329">
              <w:rPr>
                <w:rFonts w:ascii="Aptos" w:hAnsi="Aptos" w:cstheme="minorHAnsi"/>
              </w:rPr>
              <w:t>, 5G/6G czy chmura, także w połączeniu z różnymi sektorami (np. rolnictwo, media, mobilność).</w:t>
            </w:r>
          </w:p>
        </w:tc>
        <w:tc>
          <w:tcPr>
            <w:tcW w:w="2126" w:type="dxa"/>
          </w:tcPr>
          <w:p w14:paraId="0A674FD0" w14:textId="4E79B000" w:rsidR="000F4240" w:rsidRPr="007F1329" w:rsidRDefault="000F4240" w:rsidP="00703762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Lump sum grant (50 % poziom dofinansowania)</w:t>
            </w:r>
          </w:p>
        </w:tc>
        <w:tc>
          <w:tcPr>
            <w:tcW w:w="1559" w:type="dxa"/>
          </w:tcPr>
          <w:p w14:paraId="386DA346" w14:textId="479C0ECC" w:rsidR="000F4240" w:rsidRPr="007F1329" w:rsidRDefault="000F4240" w:rsidP="00703762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20,3 mln euro </w:t>
            </w:r>
          </w:p>
        </w:tc>
        <w:tc>
          <w:tcPr>
            <w:tcW w:w="1560" w:type="dxa"/>
          </w:tcPr>
          <w:p w14:paraId="611D7D8F" w14:textId="35DEC74C" w:rsidR="000F4240" w:rsidRPr="007F1329" w:rsidRDefault="000F4240" w:rsidP="00703762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  <w:r w:rsidRPr="007F1329">
              <w:rPr>
                <w:rFonts w:ascii="Aptos" w:hAnsi="Aptos" w:cstheme="minorHAnsi"/>
                <w:lang w:val="en-GB"/>
              </w:rPr>
              <w:t xml:space="preserve"> (second work strand: Academic excellence in selected key digital areas and specific sectors)</w:t>
            </w:r>
          </w:p>
        </w:tc>
        <w:tc>
          <w:tcPr>
            <w:tcW w:w="1275" w:type="dxa"/>
          </w:tcPr>
          <w:p w14:paraId="4366BB94" w14:textId="53A4EC6D" w:rsidR="000F4240" w:rsidRPr="007F1329" w:rsidRDefault="000F4240" w:rsidP="00703762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48 miesięcy</w:t>
            </w:r>
          </w:p>
        </w:tc>
        <w:tc>
          <w:tcPr>
            <w:tcW w:w="2268" w:type="dxa"/>
          </w:tcPr>
          <w:p w14:paraId="2DE44CB7" w14:textId="7777777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Second </w:t>
            </w:r>
            <w:proofErr w:type="spellStart"/>
            <w:r w:rsidRPr="007F1329">
              <w:rPr>
                <w:rFonts w:ascii="Aptos" w:hAnsi="Aptos" w:cstheme="minorHAnsi"/>
              </w:rPr>
              <w:t>work</w:t>
            </w:r>
            <w:proofErr w:type="spellEnd"/>
            <w:r w:rsidRPr="007F1329">
              <w:rPr>
                <w:rFonts w:ascii="Aptos" w:hAnsi="Aptos" w:cstheme="minorHAnsi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</w:rPr>
              <w:t>strand</w:t>
            </w:r>
            <w:proofErr w:type="spellEnd"/>
            <w:r w:rsidRPr="007F1329">
              <w:rPr>
                <w:rFonts w:ascii="Aptos" w:hAnsi="Aptos" w:cstheme="minorHAnsi"/>
              </w:rPr>
              <w:t>:</w:t>
            </w:r>
          </w:p>
          <w:p w14:paraId="2A5FDAAE" w14:textId="7777777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Uczelnie wyższe, instytucje kształcenia i szkolenia zawodowego, organizacje badawcze, przedsiębiorstwa oraz inne powiązane organizacje i partnerzy społeczni</w:t>
            </w:r>
          </w:p>
          <w:p w14:paraId="5736F46E" w14:textId="790EF446" w:rsidR="000F4240" w:rsidRPr="007F1329" w:rsidRDefault="000F4240" w:rsidP="00F15957">
            <w:pPr>
              <w:rPr>
                <w:rFonts w:ascii="Aptos" w:hAnsi="Aptos" w:cstheme="minorHAnsi"/>
              </w:rPr>
            </w:pPr>
          </w:p>
        </w:tc>
      </w:tr>
      <w:tr w:rsidR="000F4240" w:rsidRPr="007F1329" w14:paraId="7BC5A0E8" w14:textId="77777777" w:rsidTr="00413BD5">
        <w:trPr>
          <w:trHeight w:val="1124"/>
        </w:trPr>
        <w:tc>
          <w:tcPr>
            <w:tcW w:w="1689" w:type="dxa"/>
          </w:tcPr>
          <w:p w14:paraId="385998D9" w14:textId="7B837282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Sectoral digital skills academies</w:t>
            </w:r>
          </w:p>
        </w:tc>
        <w:tc>
          <w:tcPr>
            <w:tcW w:w="4827" w:type="dxa"/>
          </w:tcPr>
          <w:p w14:paraId="60498031" w14:textId="59D2B291" w:rsidR="000F4240" w:rsidRPr="007F1329" w:rsidRDefault="000F4240" w:rsidP="00456F98">
            <w:pPr>
              <w:rPr>
                <w:rFonts w:ascii="Aptos" w:hAnsi="Aptos" w:cstheme="minorHAnsi"/>
              </w:rPr>
            </w:pPr>
            <w:proofErr w:type="spellStart"/>
            <w:r w:rsidRPr="007F1329">
              <w:rPr>
                <w:rFonts w:ascii="Aptos" w:hAnsi="Aptos" w:cstheme="minorHAnsi"/>
                <w:lang w:val="en-GB"/>
              </w:rPr>
              <w:t>Nabór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ma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na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celu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utworzenie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sektorowej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akademii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w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obszarze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półprzewodników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,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która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będzie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wspierać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rozwój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talentów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,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zamykając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luki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w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istniejącej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ofercie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edukacyjnej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i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szkoleniowej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oraz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wzmacniając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ekosystem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tego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sektoru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. </w:t>
            </w:r>
            <w:r w:rsidRPr="007F1329">
              <w:rPr>
                <w:rFonts w:ascii="Aptos" w:hAnsi="Aptos" w:cstheme="minorHAnsi"/>
                <w:lang w:val="en-GB"/>
              </w:rPr>
              <w:lastRenderedPageBreak/>
              <w:t xml:space="preserve">Celem jest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stworzenie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nowych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,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elastycznych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ścieżek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edukacyjnych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,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promowanie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kariery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w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tej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dziedzinie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oraz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zwiększenie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liczby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specjalistów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poprzez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współpracę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z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przemysłem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i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  <w:lang w:val="en-GB"/>
              </w:rPr>
              <w:t>akademią</w:t>
            </w:r>
            <w:proofErr w:type="spellEnd"/>
            <w:r w:rsidRPr="007F1329">
              <w:rPr>
                <w:rFonts w:ascii="Aptos" w:hAnsi="Aptos" w:cstheme="minorHAnsi"/>
                <w:lang w:val="en-GB"/>
              </w:rPr>
              <w:t>.</w:t>
            </w:r>
          </w:p>
        </w:tc>
        <w:tc>
          <w:tcPr>
            <w:tcW w:w="2126" w:type="dxa"/>
          </w:tcPr>
          <w:p w14:paraId="7EC7BCF3" w14:textId="7F096B60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lastRenderedPageBreak/>
              <w:t>Lump sum grant (50 % poziom dofinansowania)</w:t>
            </w:r>
          </w:p>
        </w:tc>
        <w:tc>
          <w:tcPr>
            <w:tcW w:w="1559" w:type="dxa"/>
          </w:tcPr>
          <w:p w14:paraId="4FA8BEB9" w14:textId="09BD3D1A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9 mln euro</w:t>
            </w:r>
          </w:p>
        </w:tc>
        <w:tc>
          <w:tcPr>
            <w:tcW w:w="1560" w:type="dxa"/>
          </w:tcPr>
          <w:p w14:paraId="17A99035" w14:textId="472E57D8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5F0E024A" w14:textId="32EC3573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24-48 miesiące</w:t>
            </w:r>
          </w:p>
        </w:tc>
        <w:tc>
          <w:tcPr>
            <w:tcW w:w="2268" w:type="dxa"/>
          </w:tcPr>
          <w:p w14:paraId="377AC433" w14:textId="55FD5A9D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Instytucje szkolnictwa wyższego, instytucje kształcenia zawodowego i </w:t>
            </w:r>
            <w:r w:rsidRPr="007F1329">
              <w:rPr>
                <w:rFonts w:ascii="Aptos" w:hAnsi="Aptos" w:cstheme="minorHAnsi"/>
              </w:rPr>
              <w:lastRenderedPageBreak/>
              <w:t>szkoleń (VET), organizacje badawcze, przedsiębiorstwa, podmioty publiczne, związki zawodowe oraz inni partnerzy społeczni, stowarzyszenia przemysłowe, dostawcy usług edukacyjnych i inne odpowiednie organizacje powiązane</w:t>
            </w:r>
          </w:p>
        </w:tc>
      </w:tr>
      <w:tr w:rsidR="000F4240" w:rsidRPr="007F1329" w14:paraId="48FF35A0" w14:textId="77777777" w:rsidTr="00413BD5">
        <w:trPr>
          <w:trHeight w:val="1124"/>
        </w:trPr>
        <w:tc>
          <w:tcPr>
            <w:tcW w:w="1689" w:type="dxa"/>
          </w:tcPr>
          <w:p w14:paraId="63940E51" w14:textId="12B5508B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lastRenderedPageBreak/>
              <w:t>Reference deployments of European Cloud-edge Services</w:t>
            </w:r>
          </w:p>
        </w:tc>
        <w:tc>
          <w:tcPr>
            <w:tcW w:w="4827" w:type="dxa"/>
          </w:tcPr>
          <w:p w14:paraId="41F618F6" w14:textId="2C35045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Celem naboru jest wdrożenie referencyjnej instalacji </w:t>
            </w:r>
            <w:proofErr w:type="spellStart"/>
            <w:r w:rsidRPr="007F1329">
              <w:rPr>
                <w:rFonts w:ascii="Aptos" w:hAnsi="Aptos" w:cstheme="minorHAnsi"/>
              </w:rPr>
              <w:t>Telco</w:t>
            </w:r>
            <w:proofErr w:type="spellEnd"/>
            <w:r w:rsidRPr="007F1329">
              <w:rPr>
                <w:rFonts w:ascii="Aptos" w:hAnsi="Aptos" w:cstheme="minorHAnsi"/>
              </w:rPr>
              <w:t xml:space="preserve"> Edge o charakterze transgranicznym, której celem jest wykazanie korzyści płynących z równomiernego rozmieszczenia zasobów </w:t>
            </w:r>
            <w:proofErr w:type="spellStart"/>
            <w:r w:rsidRPr="007F1329">
              <w:rPr>
                <w:rFonts w:ascii="Aptos" w:hAnsi="Aptos" w:cstheme="minorHAnsi"/>
              </w:rPr>
              <w:t>Telco</w:t>
            </w:r>
            <w:proofErr w:type="spellEnd"/>
            <w:r w:rsidRPr="007F1329">
              <w:rPr>
                <w:rFonts w:ascii="Aptos" w:hAnsi="Aptos" w:cstheme="minorHAnsi"/>
              </w:rPr>
              <w:t xml:space="preserve"> Edge w Europie oraz ich zastosowania w kluczowych obszarach i sektorach strategicznych, z naciskiem na zrównoważony rozwój, bezpieczeństwo i interoperacyjność infrastruktury</w:t>
            </w:r>
            <w:bookmarkStart w:id="0" w:name="_Hlk154672046"/>
            <w:r w:rsidRPr="007F1329">
              <w:rPr>
                <w:rFonts w:ascii="Aptos" w:hAnsi="Aptos" w:cstheme="minorHAnsi"/>
              </w:rPr>
              <w:t>.</w:t>
            </w:r>
            <w:bookmarkEnd w:id="0"/>
          </w:p>
        </w:tc>
        <w:tc>
          <w:tcPr>
            <w:tcW w:w="2126" w:type="dxa"/>
          </w:tcPr>
          <w:p w14:paraId="19285F8D" w14:textId="4ECF301C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Lump sum grant (50% poziom dofinansowania)</w:t>
            </w:r>
          </w:p>
        </w:tc>
        <w:tc>
          <w:tcPr>
            <w:tcW w:w="1559" w:type="dxa"/>
          </w:tcPr>
          <w:p w14:paraId="3CE650F5" w14:textId="1DD5DFC4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9 mln euro</w:t>
            </w:r>
          </w:p>
        </w:tc>
        <w:tc>
          <w:tcPr>
            <w:tcW w:w="1560" w:type="dxa"/>
          </w:tcPr>
          <w:p w14:paraId="6ABC8B56" w14:textId="6E4567E0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5E3A5541" w14:textId="0F7E471E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  <w:tc>
          <w:tcPr>
            <w:tcW w:w="2268" w:type="dxa"/>
          </w:tcPr>
          <w:p w14:paraId="7EE597D8" w14:textId="5E53BB25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Prywatne organizacje posiadające udokumentowane doświadczenie w rozwoju technologii </w:t>
            </w:r>
            <w:proofErr w:type="spellStart"/>
            <w:r w:rsidRPr="007F1329">
              <w:rPr>
                <w:rFonts w:ascii="Aptos" w:hAnsi="Aptos" w:cstheme="minorHAnsi"/>
              </w:rPr>
              <w:t>Telco</w:t>
            </w:r>
            <w:proofErr w:type="spellEnd"/>
            <w:r w:rsidRPr="007F1329">
              <w:rPr>
                <w:rFonts w:ascii="Aptos" w:hAnsi="Aptos" w:cstheme="minorHAnsi"/>
              </w:rPr>
              <w:t xml:space="preserve"> Edge</w:t>
            </w:r>
          </w:p>
        </w:tc>
      </w:tr>
      <w:tr w:rsidR="000F4240" w:rsidRPr="007F1329" w14:paraId="7F4AD665" w14:textId="77777777" w:rsidTr="00413BD5">
        <w:trPr>
          <w:trHeight w:val="1124"/>
        </w:trPr>
        <w:tc>
          <w:tcPr>
            <w:tcW w:w="1689" w:type="dxa"/>
          </w:tcPr>
          <w:p w14:paraId="23438384" w14:textId="13F2846A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Data Space for Tourism</w:t>
            </w:r>
          </w:p>
        </w:tc>
        <w:tc>
          <w:tcPr>
            <w:tcW w:w="4827" w:type="dxa"/>
          </w:tcPr>
          <w:p w14:paraId="64CC8BFE" w14:textId="77777777" w:rsidR="000F4240" w:rsidRPr="007F1329" w:rsidRDefault="000F4240" w:rsidP="008F33D8">
            <w:pPr>
              <w:rPr>
                <w:rFonts w:ascii="Aptos" w:eastAsia="Times New Roman" w:hAnsi="Aptos" w:cstheme="minorHAnsi"/>
              </w:rPr>
            </w:pPr>
            <w:r w:rsidRPr="007F1329">
              <w:rPr>
                <w:rFonts w:ascii="Aptos" w:eastAsia="Times New Roman" w:hAnsi="Aptos" w:cstheme="minorHAnsi"/>
              </w:rPr>
              <w:t>Celem naboru jest dalszy rozwój i utrzymanie infrastruktury wspólnej europejskiej przestrzeni danych dla turystyki, zapewniając interoperacyjność, nowe narzędzia, usługi i rozwiązania wspierające zrównoważony rozwój, innowacyjność oraz poprawę efektywności sektora turystycznego.</w:t>
            </w:r>
          </w:p>
          <w:p w14:paraId="7019174C" w14:textId="59CE9239" w:rsidR="000F4240" w:rsidRPr="007F1329" w:rsidRDefault="000F4240" w:rsidP="00456F98">
            <w:pPr>
              <w:rPr>
                <w:rFonts w:ascii="Aptos" w:hAnsi="Aptos" w:cstheme="minorHAnsi"/>
              </w:rPr>
            </w:pPr>
          </w:p>
        </w:tc>
        <w:tc>
          <w:tcPr>
            <w:tcW w:w="2126" w:type="dxa"/>
          </w:tcPr>
          <w:p w14:paraId="0D9FAF3B" w14:textId="688143D3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42121E36" w14:textId="101F8303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6,8 mln euro</w:t>
            </w:r>
          </w:p>
        </w:tc>
        <w:tc>
          <w:tcPr>
            <w:tcW w:w="1560" w:type="dxa"/>
          </w:tcPr>
          <w:p w14:paraId="4C1DC4CC" w14:textId="0F32909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2D13B561" w14:textId="192B3105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  <w:tc>
          <w:tcPr>
            <w:tcW w:w="2268" w:type="dxa"/>
          </w:tcPr>
          <w:p w14:paraId="682219F6" w14:textId="265F29AD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Podmioty publiczne i prywatne, takie jak (ale nie tylko) administracje publiczne i/lub organy rządowe, podmioty gospodarcze/małe i średnie </w:t>
            </w:r>
            <w:r w:rsidRPr="007F1329">
              <w:rPr>
                <w:rFonts w:ascii="Aptos" w:hAnsi="Aptos" w:cstheme="minorHAnsi"/>
              </w:rPr>
              <w:lastRenderedPageBreak/>
              <w:t xml:space="preserve">przedsiębiorstwa (MŚP), odpowiednie stowarzyszenia i organizacje pozarządowe (NGO), uczelnie, uniwersytety, organizacje badawcze itp. </w:t>
            </w:r>
          </w:p>
        </w:tc>
      </w:tr>
      <w:tr w:rsidR="000F4240" w:rsidRPr="007F1329" w14:paraId="11D77E5C" w14:textId="77777777" w:rsidTr="00413BD5">
        <w:trPr>
          <w:trHeight w:val="1124"/>
        </w:trPr>
        <w:tc>
          <w:tcPr>
            <w:tcW w:w="1689" w:type="dxa"/>
          </w:tcPr>
          <w:p w14:paraId="263B5662" w14:textId="2D284F77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lastRenderedPageBreak/>
              <w:t>Data Space for Skills</w:t>
            </w:r>
          </w:p>
        </w:tc>
        <w:tc>
          <w:tcPr>
            <w:tcW w:w="4827" w:type="dxa"/>
          </w:tcPr>
          <w:p w14:paraId="4D6DBDC6" w14:textId="7E7D4332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eastAsia="Times New Roman" w:hAnsi="Aptos" w:cstheme="minorHAnsi"/>
              </w:rPr>
              <w:t>Celem naboru jest dalszy rozwój i ekspansja wspólnej europejskiej przestrzeni danych dla umiejętności, z naciskiem na poprawę interoperacyjności, tworzenie nowych zastosowań opartych na danych oraz wspieranie innowacji w obszarze edukacji i rynku pracy, w tym wykorzystanie sztucznej inteligencji.</w:t>
            </w:r>
          </w:p>
        </w:tc>
        <w:tc>
          <w:tcPr>
            <w:tcW w:w="2126" w:type="dxa"/>
          </w:tcPr>
          <w:p w14:paraId="06163C69" w14:textId="43C96C34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1E1835B4" w14:textId="0418D52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3,5 mln euro</w:t>
            </w:r>
          </w:p>
        </w:tc>
        <w:tc>
          <w:tcPr>
            <w:tcW w:w="1560" w:type="dxa"/>
          </w:tcPr>
          <w:p w14:paraId="21D0FEA7" w14:textId="28F6AB1B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69C61259" w14:textId="4C8E4D59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  <w:tc>
          <w:tcPr>
            <w:tcW w:w="2268" w:type="dxa"/>
          </w:tcPr>
          <w:p w14:paraId="6EBADDAF" w14:textId="74EE2748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Partnerzy z uczelni i ośrodków badawczych, administracje publiczne i/lub organy rządowe, dostawcy edukacji i szkoleń, deweloperzy IT, podmioty publiczne i prywatne, agencje rekrutacyjne, stowarzyszenia branżowe</w:t>
            </w:r>
          </w:p>
        </w:tc>
      </w:tr>
      <w:tr w:rsidR="000F4240" w:rsidRPr="007F1329" w14:paraId="6CDCCA98" w14:textId="77777777" w:rsidTr="00413BD5">
        <w:trPr>
          <w:trHeight w:val="1124"/>
        </w:trPr>
        <w:tc>
          <w:tcPr>
            <w:tcW w:w="1689" w:type="dxa"/>
          </w:tcPr>
          <w:p w14:paraId="21CC4C09" w14:textId="34BC452B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</w:rPr>
              <w:t xml:space="preserve">Virtual Human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Twins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and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Artificial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Intelligence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in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health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: Platform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validation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and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uptake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incubator</w:t>
            </w:r>
            <w:proofErr w:type="spellEnd"/>
          </w:p>
        </w:tc>
        <w:tc>
          <w:tcPr>
            <w:tcW w:w="4827" w:type="dxa"/>
          </w:tcPr>
          <w:p w14:paraId="358DC6A5" w14:textId="2EACFC0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Nabór jest podzielony na dwa działania: walidację platformy zaawansowanych modeli wirtualnych bliźniaków (VHT) w celu potwierdzenia jej wydajności oraz wsparcie inkubatora dla wdrażania i skalowania rozwiązań VHT i związanych z nimi technologii AI w europejskich placówkach ochrony zdrowia, a jego celem jest przyspieszenie wdrożenia tych technologii w opiece zdrowotnej i badaniach klinicznych oraz stymulowanie ich komercyjnego rozwoju.</w:t>
            </w:r>
          </w:p>
        </w:tc>
        <w:tc>
          <w:tcPr>
            <w:tcW w:w="2126" w:type="dxa"/>
          </w:tcPr>
          <w:p w14:paraId="1B0A6576" w14:textId="0C75A194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Temat podzielony jest na dwie części: zamówienie na walidację platformy oraz nabór (lump sum grant, 50% dofinansowania) na </w:t>
            </w:r>
            <w:proofErr w:type="spellStart"/>
            <w:r w:rsidRPr="007F1329">
              <w:rPr>
                <w:rFonts w:ascii="Aptos" w:hAnsi="Aptos" w:cstheme="minorHAnsi"/>
              </w:rPr>
              <w:t>uptake</w:t>
            </w:r>
            <w:proofErr w:type="spellEnd"/>
            <w:r w:rsidRPr="007F1329">
              <w:rPr>
                <w:rFonts w:ascii="Aptos" w:hAnsi="Aptos" w:cstheme="minorHAnsi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</w:rPr>
              <w:t>incubator</w:t>
            </w:r>
            <w:proofErr w:type="spellEnd"/>
          </w:p>
        </w:tc>
        <w:tc>
          <w:tcPr>
            <w:tcW w:w="1559" w:type="dxa"/>
          </w:tcPr>
          <w:p w14:paraId="78E31836" w14:textId="615AD979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7,2 mln euro (nabór)</w:t>
            </w:r>
          </w:p>
        </w:tc>
        <w:tc>
          <w:tcPr>
            <w:tcW w:w="1560" w:type="dxa"/>
          </w:tcPr>
          <w:p w14:paraId="3B24C03C" w14:textId="7A151E4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 (nabór)</w:t>
            </w:r>
          </w:p>
        </w:tc>
        <w:tc>
          <w:tcPr>
            <w:tcW w:w="1275" w:type="dxa"/>
          </w:tcPr>
          <w:p w14:paraId="7799B151" w14:textId="77777777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48 miesięcy (nabór)</w:t>
            </w:r>
          </w:p>
          <w:p w14:paraId="5E34605E" w14:textId="77777777" w:rsidR="000F4240" w:rsidRPr="007F1329" w:rsidRDefault="000F4240" w:rsidP="008F33D8">
            <w:pPr>
              <w:rPr>
                <w:rFonts w:ascii="Aptos" w:hAnsi="Aptos" w:cstheme="minorHAnsi"/>
              </w:rPr>
            </w:pPr>
          </w:p>
          <w:p w14:paraId="0BEF97F0" w14:textId="1738C2E6" w:rsidR="000F4240" w:rsidRPr="007F1329" w:rsidRDefault="000F4240" w:rsidP="00456F98">
            <w:pPr>
              <w:rPr>
                <w:rFonts w:ascii="Aptos" w:hAnsi="Aptos" w:cstheme="minorHAnsi"/>
              </w:rPr>
            </w:pPr>
          </w:p>
        </w:tc>
        <w:tc>
          <w:tcPr>
            <w:tcW w:w="2268" w:type="dxa"/>
          </w:tcPr>
          <w:p w14:paraId="229C9A6B" w14:textId="379CD5C1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Podmioty sektora publicznego oraz organy państw członkowskich; środowisko akademickie; świadczeniodawcy opieki zdrowotnej; podmioty prywatne, takie jak MŚP i start-</w:t>
            </w:r>
            <w:proofErr w:type="spellStart"/>
            <w:r w:rsidRPr="007F1329">
              <w:rPr>
                <w:rFonts w:ascii="Aptos" w:hAnsi="Aptos" w:cstheme="minorHAnsi"/>
              </w:rPr>
              <w:t>upy</w:t>
            </w:r>
            <w:proofErr w:type="spellEnd"/>
            <w:r w:rsidRPr="007F1329">
              <w:rPr>
                <w:rFonts w:ascii="Aptos" w:hAnsi="Aptos" w:cstheme="minorHAnsi"/>
              </w:rPr>
              <w:t xml:space="preserve"> z obszaru </w:t>
            </w:r>
            <w:r w:rsidRPr="007F1329">
              <w:rPr>
                <w:rFonts w:ascii="Aptos" w:hAnsi="Aptos" w:cstheme="minorHAnsi"/>
              </w:rPr>
              <w:lastRenderedPageBreak/>
              <w:t>technologii zdrowotnych</w:t>
            </w:r>
          </w:p>
        </w:tc>
      </w:tr>
      <w:tr w:rsidR="000F4240" w:rsidRPr="007F1329" w14:paraId="5CFC321D" w14:textId="77777777" w:rsidTr="00413BD5">
        <w:trPr>
          <w:trHeight w:val="1124"/>
        </w:trPr>
        <w:tc>
          <w:tcPr>
            <w:tcW w:w="1689" w:type="dxa"/>
          </w:tcPr>
          <w:p w14:paraId="3E12B2A8" w14:textId="07571A7A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lastRenderedPageBreak/>
              <w:t>Supporting the coordination of the Cybersecurity Skills Academy</w:t>
            </w:r>
          </w:p>
        </w:tc>
        <w:tc>
          <w:tcPr>
            <w:tcW w:w="4827" w:type="dxa"/>
          </w:tcPr>
          <w:p w14:paraId="6E5CA33B" w14:textId="064F7C45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Nabór ma na celu wsparcie Akademii Umiejętności </w:t>
            </w:r>
            <w:proofErr w:type="spellStart"/>
            <w:r w:rsidRPr="007F1329">
              <w:rPr>
                <w:rFonts w:ascii="Aptos" w:hAnsi="Aptos" w:cstheme="minorHAnsi"/>
              </w:rPr>
              <w:t>Cyberbezpieczeństwa</w:t>
            </w:r>
            <w:proofErr w:type="spellEnd"/>
            <w:r w:rsidRPr="007F1329">
              <w:rPr>
                <w:rFonts w:ascii="Aptos" w:hAnsi="Aptos" w:cstheme="minorHAnsi"/>
              </w:rPr>
              <w:t xml:space="preserve"> poprzez rozwijanie współpracy i synergię pomiędzy różnymi aktorami w obszarze edukacji i szkoleń związanych z </w:t>
            </w:r>
            <w:proofErr w:type="spellStart"/>
            <w:r w:rsidRPr="007F1329">
              <w:rPr>
                <w:rFonts w:ascii="Aptos" w:hAnsi="Aptos" w:cstheme="minorHAnsi"/>
              </w:rPr>
              <w:t>cyberbezpieczeństwem</w:t>
            </w:r>
            <w:proofErr w:type="spellEnd"/>
            <w:r w:rsidRPr="007F1329">
              <w:rPr>
                <w:rFonts w:ascii="Aptos" w:hAnsi="Aptos" w:cstheme="minorHAnsi"/>
              </w:rPr>
              <w:t xml:space="preserve">. Jego celem jest zwiększenie efektywności działań Akademii, wymiana najlepszych praktyk, opracowywanie zaleceń politycznych oraz wspieranie integracji inicjatyw w zakresie szkoleń i edukacji w obszarze </w:t>
            </w:r>
            <w:proofErr w:type="spellStart"/>
            <w:r w:rsidRPr="007F1329">
              <w:rPr>
                <w:rFonts w:ascii="Aptos" w:hAnsi="Aptos" w:cstheme="minorHAnsi"/>
              </w:rPr>
              <w:t>cyberbezpieczeństwa</w:t>
            </w:r>
            <w:proofErr w:type="spellEnd"/>
            <w:r w:rsidRPr="007F1329">
              <w:rPr>
                <w:rFonts w:ascii="Aptos" w:hAnsi="Aptos" w:cstheme="minorHAnsi"/>
              </w:rPr>
              <w:t>.</w:t>
            </w:r>
          </w:p>
        </w:tc>
        <w:tc>
          <w:tcPr>
            <w:tcW w:w="2126" w:type="dxa"/>
          </w:tcPr>
          <w:p w14:paraId="72EF0438" w14:textId="02670166" w:rsidR="000F4240" w:rsidRPr="007F1329" w:rsidRDefault="000F4240" w:rsidP="00456F98">
            <w:pPr>
              <w:rPr>
                <w:rFonts w:ascii="Aptos" w:hAnsi="Aptos" w:cstheme="minorHAnsi"/>
              </w:rPr>
            </w:pPr>
            <w:proofErr w:type="spellStart"/>
            <w:r w:rsidRPr="007F1329">
              <w:rPr>
                <w:rFonts w:ascii="Aptos" w:hAnsi="Aptos" w:cstheme="minorHAnsi"/>
              </w:rPr>
              <w:t>Coordination</w:t>
            </w:r>
            <w:proofErr w:type="spellEnd"/>
            <w:r w:rsidRPr="007F1329">
              <w:rPr>
                <w:rFonts w:ascii="Aptos" w:hAnsi="Aptos" w:cstheme="minorHAnsi"/>
              </w:rPr>
              <w:t xml:space="preserve"> and </w:t>
            </w:r>
            <w:proofErr w:type="spellStart"/>
            <w:r w:rsidRPr="007F1329">
              <w:rPr>
                <w:rFonts w:ascii="Aptos" w:hAnsi="Aptos" w:cstheme="minorHAnsi"/>
              </w:rPr>
              <w:t>support</w:t>
            </w:r>
            <w:proofErr w:type="spellEnd"/>
            <w:r w:rsidRPr="007F1329">
              <w:rPr>
                <w:rFonts w:ascii="Aptos" w:hAnsi="Aptos" w:cstheme="minorHAnsi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</w:rPr>
              <w:t>action</w:t>
            </w:r>
            <w:proofErr w:type="spellEnd"/>
            <w:r w:rsidRPr="007F1329">
              <w:rPr>
                <w:rFonts w:ascii="Aptos" w:hAnsi="Aptos" w:cstheme="minorHAnsi"/>
              </w:rPr>
              <w:t xml:space="preserve"> grant (100% poziom dofinansowania)</w:t>
            </w:r>
          </w:p>
        </w:tc>
        <w:tc>
          <w:tcPr>
            <w:tcW w:w="1559" w:type="dxa"/>
          </w:tcPr>
          <w:p w14:paraId="5681C6DD" w14:textId="4AD7767E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1 mln euro</w:t>
            </w:r>
          </w:p>
        </w:tc>
        <w:tc>
          <w:tcPr>
            <w:tcW w:w="1560" w:type="dxa"/>
          </w:tcPr>
          <w:p w14:paraId="4BB6E320" w14:textId="0A974F22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42343078" w14:textId="69C38558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24 miesiące</w:t>
            </w:r>
          </w:p>
        </w:tc>
        <w:tc>
          <w:tcPr>
            <w:tcW w:w="2268" w:type="dxa"/>
          </w:tcPr>
          <w:p w14:paraId="6734505F" w14:textId="730FA1D0" w:rsidR="000F4240" w:rsidRPr="007F1329" w:rsidRDefault="000F4240" w:rsidP="00456F98">
            <w:pPr>
              <w:rPr>
                <w:rFonts w:ascii="Aptos" w:eastAsia="Times New Roman" w:hAnsi="Aptos" w:cstheme="minorHAnsi"/>
                <w:lang w:eastAsia="en-IE"/>
              </w:rPr>
            </w:pPr>
            <w:r w:rsidRPr="007F1329">
              <w:rPr>
                <w:rFonts w:ascii="Aptos" w:hAnsi="Aptos" w:cstheme="minorHAnsi"/>
              </w:rPr>
              <w:t xml:space="preserve">Władze krajowe, instytucje szkolnictwa wyższego, instytucje kształcenia i szkoleń zawodowych, organizacje badawcze, krajowe centra kompetencji w zakresie </w:t>
            </w:r>
            <w:proofErr w:type="spellStart"/>
            <w:r w:rsidRPr="007F1329">
              <w:rPr>
                <w:rFonts w:ascii="Aptos" w:hAnsi="Aptos" w:cstheme="minorHAnsi"/>
              </w:rPr>
              <w:t>cyberbezpieczeństwa</w:t>
            </w:r>
            <w:proofErr w:type="spellEnd"/>
            <w:r w:rsidRPr="007F1329">
              <w:rPr>
                <w:rFonts w:ascii="Aptos" w:hAnsi="Aptos" w:cstheme="minorHAnsi"/>
              </w:rPr>
              <w:t>, EDIC</w:t>
            </w:r>
          </w:p>
        </w:tc>
      </w:tr>
      <w:tr w:rsidR="000F4240" w:rsidRPr="007F1329" w14:paraId="62930C97" w14:textId="77777777" w:rsidTr="00413BD5">
        <w:trPr>
          <w:trHeight w:val="1124"/>
        </w:trPr>
        <w:tc>
          <w:tcPr>
            <w:tcW w:w="1689" w:type="dxa"/>
          </w:tcPr>
          <w:p w14:paraId="264AB9F5" w14:textId="061F56F5" w:rsidR="000F4240" w:rsidRPr="007F1329" w:rsidRDefault="000F4240" w:rsidP="00456F9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Digital Infrastructure for schools and training institutions</w:t>
            </w:r>
          </w:p>
        </w:tc>
        <w:tc>
          <w:tcPr>
            <w:tcW w:w="4827" w:type="dxa"/>
          </w:tcPr>
          <w:p w14:paraId="6D6E6246" w14:textId="77777777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Kluczowym celem naboru jest rozwój bezpiecznej, niezależnej i europejskiej infrastruktury cyfrowej dla edukacji, która poprawi jakość nauczania i zarządzania danymi.</w:t>
            </w:r>
          </w:p>
          <w:p w14:paraId="3EBD1562" w14:textId="77777777" w:rsidR="000F4240" w:rsidRPr="007F1329" w:rsidRDefault="000F4240" w:rsidP="008F33D8">
            <w:pPr>
              <w:rPr>
                <w:rFonts w:ascii="Aptos" w:hAnsi="Aptos" w:cstheme="minorHAnsi"/>
              </w:rPr>
            </w:pPr>
          </w:p>
          <w:p w14:paraId="1BCCBF2D" w14:textId="76EA377A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Nabór zakłada wzmocnienie europejskiego sektora </w:t>
            </w:r>
            <w:proofErr w:type="spellStart"/>
            <w:r w:rsidRPr="007F1329">
              <w:rPr>
                <w:rFonts w:ascii="Aptos" w:hAnsi="Aptos" w:cstheme="minorHAnsi"/>
              </w:rPr>
              <w:t>EdTech</w:t>
            </w:r>
            <w:proofErr w:type="spellEnd"/>
            <w:r w:rsidRPr="007F1329">
              <w:rPr>
                <w:rFonts w:ascii="Aptos" w:hAnsi="Aptos" w:cstheme="minorHAnsi"/>
              </w:rPr>
              <w:t xml:space="preserve"> oraz rozwój narzędzi i systemów, które pozwolą instytucjom edukacyjnym samodzielnie zarządzać danymi, uniezależnić się od dostawców spoza UE i lepiej wykorzystywać dane (także otwarte) do poprawy edukacji.</w:t>
            </w:r>
          </w:p>
        </w:tc>
        <w:tc>
          <w:tcPr>
            <w:tcW w:w="2126" w:type="dxa"/>
          </w:tcPr>
          <w:p w14:paraId="18CEECA7" w14:textId="68304592" w:rsidR="000F4240" w:rsidRPr="007F1329" w:rsidRDefault="000F4240" w:rsidP="00456F98">
            <w:pPr>
              <w:rPr>
                <w:rFonts w:ascii="Aptos" w:hAnsi="Aptos" w:cstheme="minorHAnsi"/>
              </w:rPr>
            </w:pPr>
            <w:proofErr w:type="spellStart"/>
            <w:r w:rsidRPr="007F1329">
              <w:rPr>
                <w:rFonts w:ascii="Aptos" w:hAnsi="Aptos" w:cstheme="minorHAnsi"/>
              </w:rPr>
              <w:t>Coordinations</w:t>
            </w:r>
            <w:proofErr w:type="spellEnd"/>
            <w:r w:rsidRPr="007F1329">
              <w:rPr>
                <w:rFonts w:ascii="Aptos" w:hAnsi="Aptos" w:cstheme="minorHAnsi"/>
              </w:rPr>
              <w:t xml:space="preserve"> and </w:t>
            </w:r>
            <w:proofErr w:type="spellStart"/>
            <w:r w:rsidRPr="007F1329">
              <w:rPr>
                <w:rFonts w:ascii="Aptos" w:hAnsi="Aptos" w:cstheme="minorHAnsi"/>
              </w:rPr>
              <w:t>support</w:t>
            </w:r>
            <w:proofErr w:type="spellEnd"/>
            <w:r w:rsidRPr="007F1329">
              <w:rPr>
                <w:rFonts w:ascii="Aptos" w:hAnsi="Aptos" w:cstheme="minorHAnsi"/>
              </w:rPr>
              <w:t xml:space="preserve"> </w:t>
            </w:r>
            <w:proofErr w:type="spellStart"/>
            <w:r w:rsidRPr="007F1329">
              <w:rPr>
                <w:rFonts w:ascii="Aptos" w:hAnsi="Aptos" w:cstheme="minorHAnsi"/>
              </w:rPr>
              <w:t>action</w:t>
            </w:r>
            <w:proofErr w:type="spellEnd"/>
            <w:r w:rsidRPr="007F1329">
              <w:rPr>
                <w:rFonts w:ascii="Aptos" w:hAnsi="Aptos" w:cstheme="minorHAnsi"/>
              </w:rPr>
              <w:t xml:space="preserve"> (poziom dofinansowania 100%)</w:t>
            </w:r>
          </w:p>
        </w:tc>
        <w:tc>
          <w:tcPr>
            <w:tcW w:w="1559" w:type="dxa"/>
          </w:tcPr>
          <w:p w14:paraId="55598B33" w14:textId="0C86CE29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10 mln euro</w:t>
            </w:r>
          </w:p>
        </w:tc>
        <w:tc>
          <w:tcPr>
            <w:tcW w:w="1560" w:type="dxa"/>
          </w:tcPr>
          <w:p w14:paraId="673DF6C5" w14:textId="4BFC9828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4F30DC33" w14:textId="4A8BFE50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  <w:tc>
          <w:tcPr>
            <w:tcW w:w="2268" w:type="dxa"/>
          </w:tcPr>
          <w:p w14:paraId="207C7B4D" w14:textId="07F67542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Uczelnie wyższe, instytucje kształcenia i szkolenia zawodowego, inni dostawcy edukacji i szkoleń, organy prowadzące szkoły, partnerzy przemysłowi, instytuty badawcze, centra doskonałości, administracja publiczna i/lub organy rządowe, twórcy rozwiązań IT</w:t>
            </w:r>
          </w:p>
        </w:tc>
      </w:tr>
      <w:tr w:rsidR="000F4240" w:rsidRPr="007F1329" w14:paraId="27927C87" w14:textId="77777777" w:rsidTr="00413BD5">
        <w:trPr>
          <w:trHeight w:val="1124"/>
        </w:trPr>
        <w:tc>
          <w:tcPr>
            <w:tcW w:w="1689" w:type="dxa"/>
          </w:tcPr>
          <w:p w14:paraId="48F76602" w14:textId="4B0D7DEB" w:rsidR="000F4240" w:rsidRPr="007F1329" w:rsidRDefault="000F4240" w:rsidP="000946C5">
            <w:pPr>
              <w:rPr>
                <w:rFonts w:ascii="Aptos" w:hAnsi="Aptos"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lastRenderedPageBreak/>
              <w:t>Support to the implementation of Multi-Country Projects (MCPs)</w:t>
            </w:r>
          </w:p>
        </w:tc>
        <w:tc>
          <w:tcPr>
            <w:tcW w:w="4827" w:type="dxa"/>
          </w:tcPr>
          <w:p w14:paraId="56112DD2" w14:textId="4419797B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Nabór ma na celu wsparcie realizacji projektów wielokrajowych (MCP), które mają na celu wspieranie transformacji cyfrowej Unii i odbudowy przemysłowej, angażując co najmniej trzy państwa członkowskie. Projekty te powinny koncentrować się na budowie cyfrowych infrastruktur, usług i rozwiązań, które będą miały trwały wpływ na rozwój jednolitego rynku cyfrowego, promując interoperacyjność, bezpieczeństwo oraz innowacyjne modele biznesowe.</w:t>
            </w:r>
          </w:p>
        </w:tc>
        <w:tc>
          <w:tcPr>
            <w:tcW w:w="2126" w:type="dxa"/>
          </w:tcPr>
          <w:p w14:paraId="6C17BBFC" w14:textId="248C317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Lump sum grant (50% poziom dofinansowania)</w:t>
            </w:r>
          </w:p>
        </w:tc>
        <w:tc>
          <w:tcPr>
            <w:tcW w:w="1559" w:type="dxa"/>
          </w:tcPr>
          <w:p w14:paraId="6593A58F" w14:textId="6EAC69AF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19,5 mln euro</w:t>
            </w:r>
          </w:p>
        </w:tc>
        <w:tc>
          <w:tcPr>
            <w:tcW w:w="1560" w:type="dxa"/>
          </w:tcPr>
          <w:p w14:paraId="6C435841" w14:textId="500052D5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Pierwszy kwartał 2027</w:t>
            </w:r>
          </w:p>
        </w:tc>
        <w:tc>
          <w:tcPr>
            <w:tcW w:w="1275" w:type="dxa"/>
          </w:tcPr>
          <w:p w14:paraId="6E9DB8BC" w14:textId="5D1BA99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  <w:tc>
          <w:tcPr>
            <w:tcW w:w="2268" w:type="dxa"/>
          </w:tcPr>
          <w:p w14:paraId="33C4FFB4" w14:textId="57F9E8F7" w:rsidR="000F4240" w:rsidRPr="007F1329" w:rsidRDefault="000F4240" w:rsidP="00456F9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Podmioty publiczne i prywatne, takie jak (między innymi): administracja publiczna (na poziomie krajowym, regionalnym i lokalnym), EDIC, podmioty gospodarcze (MŚP oraz duże organizacje), a także inne właściwe organizacje publiczne i prywatne przyczyniające się do realizacji projektów wielokrajowych</w:t>
            </w:r>
          </w:p>
        </w:tc>
      </w:tr>
      <w:tr w:rsidR="000F4240" w:rsidRPr="007F1329" w14:paraId="7AE92872" w14:textId="77777777" w:rsidTr="00413BD5">
        <w:trPr>
          <w:trHeight w:val="1124"/>
        </w:trPr>
        <w:tc>
          <w:tcPr>
            <w:tcW w:w="1689" w:type="dxa"/>
          </w:tcPr>
          <w:p w14:paraId="4E4647E8" w14:textId="106D2E1E" w:rsidR="000F4240" w:rsidRPr="007F1329" w:rsidRDefault="000F4240" w:rsidP="008F33D8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Testing Apply AI sectorial applications at scale and under real-world conditions</w:t>
            </w:r>
          </w:p>
        </w:tc>
        <w:tc>
          <w:tcPr>
            <w:tcW w:w="4827" w:type="dxa"/>
          </w:tcPr>
          <w:p w14:paraId="79417E8C" w14:textId="6FB1D46B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Celem naboru jest wsparcie europejskich innowatorów we wdrażaniu sztucznej inteligencji (w tym </w:t>
            </w:r>
            <w:proofErr w:type="spellStart"/>
            <w:r w:rsidRPr="007F1329">
              <w:rPr>
                <w:rFonts w:ascii="Aptos" w:hAnsi="Aptos" w:cstheme="minorHAnsi"/>
              </w:rPr>
              <w:t>GenAI</w:t>
            </w:r>
            <w:proofErr w:type="spellEnd"/>
            <w:r w:rsidRPr="007F1329">
              <w:rPr>
                <w:rFonts w:ascii="Aptos" w:hAnsi="Aptos" w:cstheme="minorHAnsi"/>
              </w:rPr>
              <w:t xml:space="preserve">) w kluczowych sektorach, poprzez rozszerzenie zakresu istniejących środowisk testowania i eksperymentowania (TEF). Działania mają umożliwić przenoszenie rozwiązań AI z laboratoriów do rzeczywistych zastosowań, zapewniając ich zgodność z wymaganiami sektorowymi, wiarygodność oraz wkład w rozwój technologiczny Europy. Rozszerzenie obejmie obszary wykraczające poza dotychczasowe sektory (rolnictwo, przemysł, zdrowie, smart </w:t>
            </w:r>
            <w:proofErr w:type="spellStart"/>
            <w:r w:rsidRPr="007F1329">
              <w:rPr>
                <w:rFonts w:ascii="Aptos" w:hAnsi="Aptos" w:cstheme="minorHAnsi"/>
              </w:rPr>
              <w:t>cities</w:t>
            </w:r>
            <w:proofErr w:type="spellEnd"/>
            <w:r w:rsidRPr="007F1329">
              <w:rPr>
                <w:rFonts w:ascii="Aptos" w:hAnsi="Aptos" w:cstheme="minorHAnsi"/>
              </w:rPr>
              <w:t xml:space="preserve">), zgodnie z priorytetami strategii </w:t>
            </w:r>
            <w:proofErr w:type="spellStart"/>
            <w:r w:rsidRPr="007F1329">
              <w:rPr>
                <w:rFonts w:ascii="Aptos" w:hAnsi="Aptos" w:cstheme="minorHAnsi"/>
              </w:rPr>
              <w:t>Apply</w:t>
            </w:r>
            <w:proofErr w:type="spellEnd"/>
            <w:r w:rsidRPr="007F1329">
              <w:rPr>
                <w:rFonts w:ascii="Aptos" w:hAnsi="Aptos" w:cstheme="minorHAnsi"/>
              </w:rPr>
              <w:t xml:space="preserve"> AI.</w:t>
            </w:r>
          </w:p>
        </w:tc>
        <w:tc>
          <w:tcPr>
            <w:tcW w:w="2126" w:type="dxa"/>
          </w:tcPr>
          <w:p w14:paraId="60A0B6F2" w14:textId="3B169A8C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109745F2" w14:textId="728C1E8A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16 mln euro </w:t>
            </w:r>
          </w:p>
        </w:tc>
        <w:tc>
          <w:tcPr>
            <w:tcW w:w="1560" w:type="dxa"/>
          </w:tcPr>
          <w:p w14:paraId="16631B33" w14:textId="36E9A04E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Pierwszy kwartał 2027 </w:t>
            </w:r>
          </w:p>
        </w:tc>
        <w:tc>
          <w:tcPr>
            <w:tcW w:w="1275" w:type="dxa"/>
          </w:tcPr>
          <w:p w14:paraId="73173589" w14:textId="0F087D88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24-36 miesięcy</w:t>
            </w:r>
          </w:p>
        </w:tc>
        <w:tc>
          <w:tcPr>
            <w:tcW w:w="2268" w:type="dxa"/>
          </w:tcPr>
          <w:p w14:paraId="5C6DC9F2" w14:textId="3745D46F" w:rsidR="000F4240" w:rsidRPr="007F1329" w:rsidRDefault="000F4240" w:rsidP="008F33D8">
            <w:pPr>
              <w:rPr>
                <w:rFonts w:ascii="Aptos" w:hAnsi="Aptos" w:cstheme="minorHAnsi"/>
              </w:rPr>
            </w:pPr>
            <w:r w:rsidRPr="007F1329">
              <w:rPr>
                <w:rFonts w:ascii="Aptos" w:eastAsia="Calibri" w:hAnsi="Aptos" w:cstheme="minorHAnsi"/>
              </w:rPr>
              <w:t>Prywatne przedsiębiorstwa, w tym MŚP i start-</w:t>
            </w:r>
            <w:proofErr w:type="spellStart"/>
            <w:r w:rsidRPr="007F1329">
              <w:rPr>
                <w:rFonts w:ascii="Aptos" w:eastAsia="Calibri" w:hAnsi="Aptos" w:cstheme="minorHAnsi"/>
              </w:rPr>
              <w:t>upy</w:t>
            </w:r>
            <w:proofErr w:type="spellEnd"/>
            <w:r w:rsidRPr="007F1329">
              <w:rPr>
                <w:rFonts w:ascii="Aptos" w:eastAsia="Calibri" w:hAnsi="Aptos" w:cstheme="minorHAnsi"/>
              </w:rPr>
              <w:t>, organizacje badawczo-technologiczne, podmioty szkolnictwa wyższego oraz TEF-y.</w:t>
            </w:r>
          </w:p>
        </w:tc>
      </w:tr>
    </w:tbl>
    <w:p w14:paraId="387CE89D" w14:textId="77777777" w:rsidR="007454D2" w:rsidRDefault="007454D2">
      <w:pPr>
        <w:rPr>
          <w:rFonts w:ascii="Aptos" w:hAnsi="Aptos"/>
          <w:b/>
          <w:bCs/>
        </w:rPr>
      </w:pPr>
    </w:p>
    <w:p w14:paraId="15F0C458" w14:textId="3A5DB887" w:rsidR="00D97F4E" w:rsidRPr="007454D2" w:rsidRDefault="00456F98">
      <w:pPr>
        <w:rPr>
          <w:rFonts w:ascii="Aptos" w:hAnsi="Aptos"/>
          <w:b/>
          <w:bCs/>
          <w:sz w:val="28"/>
          <w:szCs w:val="28"/>
        </w:rPr>
      </w:pPr>
      <w:r w:rsidRPr="007454D2">
        <w:rPr>
          <w:rFonts w:ascii="Aptos" w:hAnsi="Aptos"/>
          <w:b/>
          <w:bCs/>
          <w:sz w:val="28"/>
          <w:szCs w:val="28"/>
        </w:rPr>
        <w:lastRenderedPageBreak/>
        <w:t>Zamówienia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6095"/>
        <w:gridCol w:w="1559"/>
        <w:gridCol w:w="2268"/>
        <w:gridCol w:w="2835"/>
      </w:tblGrid>
      <w:tr w:rsidR="005211EC" w:rsidRPr="007F1329" w14:paraId="178837B7" w14:textId="77777777" w:rsidTr="005211EC">
        <w:trPr>
          <w:trHeight w:val="1134"/>
        </w:trPr>
        <w:tc>
          <w:tcPr>
            <w:tcW w:w="2547" w:type="dxa"/>
          </w:tcPr>
          <w:p w14:paraId="55D15662" w14:textId="18A04DF9" w:rsidR="005211EC" w:rsidRPr="007F1329" w:rsidRDefault="005211EC" w:rsidP="00F546E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Nazwa zamówienia</w:t>
            </w:r>
          </w:p>
        </w:tc>
        <w:tc>
          <w:tcPr>
            <w:tcW w:w="6095" w:type="dxa"/>
          </w:tcPr>
          <w:p w14:paraId="5AEBCA23" w14:textId="77777777" w:rsidR="005211EC" w:rsidRPr="007F1329" w:rsidRDefault="005211EC" w:rsidP="00F546E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1559" w:type="dxa"/>
          </w:tcPr>
          <w:p w14:paraId="4F6875A9" w14:textId="77777777" w:rsidR="005211EC" w:rsidRPr="007F1329" w:rsidRDefault="005211EC" w:rsidP="00F546E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Budżet</w:t>
            </w:r>
          </w:p>
        </w:tc>
        <w:tc>
          <w:tcPr>
            <w:tcW w:w="2268" w:type="dxa"/>
          </w:tcPr>
          <w:p w14:paraId="7576B01B" w14:textId="155B50A0" w:rsidR="005211EC" w:rsidRPr="007F1329" w:rsidRDefault="005211EC" w:rsidP="00F546E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Orientacyjny czas (otwarcie zgłoszeń)</w:t>
            </w:r>
          </w:p>
        </w:tc>
        <w:tc>
          <w:tcPr>
            <w:tcW w:w="2835" w:type="dxa"/>
          </w:tcPr>
          <w:p w14:paraId="654EE23C" w14:textId="464B3E88" w:rsidR="005211EC" w:rsidRPr="007F1329" w:rsidRDefault="005211EC" w:rsidP="00F546EA">
            <w:pPr>
              <w:jc w:val="center"/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</w:rPr>
              <w:t>Realizacja zamówienia</w:t>
            </w:r>
          </w:p>
        </w:tc>
      </w:tr>
      <w:tr w:rsidR="005211EC" w:rsidRPr="007F1329" w14:paraId="234E1279" w14:textId="77777777" w:rsidTr="005211EC">
        <w:trPr>
          <w:trHeight w:val="1134"/>
        </w:trPr>
        <w:tc>
          <w:tcPr>
            <w:tcW w:w="2547" w:type="dxa"/>
          </w:tcPr>
          <w:p w14:paraId="7C219CDA" w14:textId="27E248CA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proofErr w:type="spellStart"/>
            <w:r w:rsidRPr="007F1329">
              <w:rPr>
                <w:rFonts w:ascii="Aptos" w:hAnsi="Aptos"/>
                <w:b/>
                <w:bCs/>
              </w:rPr>
              <w:t>Advancing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Girls and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Women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in Digital</w:t>
            </w:r>
          </w:p>
        </w:tc>
        <w:tc>
          <w:tcPr>
            <w:tcW w:w="6095" w:type="dxa"/>
          </w:tcPr>
          <w:p w14:paraId="2F0F334B" w14:textId="77777777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Zamówienie ma na celu zwiększenie udziału dziewcząt i kobiet w sektorze ICT w UE, który obecnie jest znacząco zdominowany przez mężczyzn. Działania mają przeciwdziałać niskiej liczbie kobiet wybierających kierunki STEM, wynikającej m.in. z stereotypów i braku wzorców,</w:t>
            </w:r>
          </w:p>
          <w:p w14:paraId="308B487D" w14:textId="752F89C7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 w:cstheme="minorHAnsi"/>
              </w:rPr>
              <w:t>trudnościom w utrzymaniu kobiet w branży technologicznej (wiele z nich odchodzi w połowie kariery), niedostatecznej reprezentacji kobiet na stanowiskach kierowniczych.</w:t>
            </w:r>
          </w:p>
        </w:tc>
        <w:tc>
          <w:tcPr>
            <w:tcW w:w="1559" w:type="dxa"/>
          </w:tcPr>
          <w:p w14:paraId="4D2029B8" w14:textId="41FD6167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 w:cstheme="minorHAnsi"/>
              </w:rPr>
              <w:t>3,5 mln euro</w:t>
            </w:r>
          </w:p>
        </w:tc>
        <w:tc>
          <w:tcPr>
            <w:tcW w:w="2268" w:type="dxa"/>
          </w:tcPr>
          <w:p w14:paraId="65ED483D" w14:textId="308E7746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 w:cstheme="minorHAnsi"/>
              </w:rPr>
              <w:t>2026</w:t>
            </w:r>
          </w:p>
        </w:tc>
        <w:tc>
          <w:tcPr>
            <w:tcW w:w="2835" w:type="dxa"/>
          </w:tcPr>
          <w:p w14:paraId="5AF9488A" w14:textId="64827D83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 w:cstheme="minorHAnsi"/>
              </w:rPr>
              <w:t>36 miesięcy</w:t>
            </w:r>
          </w:p>
        </w:tc>
      </w:tr>
      <w:tr w:rsidR="005211EC" w:rsidRPr="007F1329" w14:paraId="5AF18C83" w14:textId="77777777" w:rsidTr="005211EC">
        <w:trPr>
          <w:trHeight w:val="1134"/>
        </w:trPr>
        <w:tc>
          <w:tcPr>
            <w:tcW w:w="2547" w:type="dxa"/>
          </w:tcPr>
          <w:p w14:paraId="0ED7723C" w14:textId="3FEE4726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Online safety application</w:t>
            </w:r>
          </w:p>
        </w:tc>
        <w:tc>
          <w:tcPr>
            <w:tcW w:w="6095" w:type="dxa"/>
          </w:tcPr>
          <w:p w14:paraId="7A461B6B" w14:textId="332C530C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Celem zamówienia jest wsparcie ofiar cyberprzemocy poprzez umożliwienie im łatwego i szybkiego zgłaszania incydentów oraz uzyskania odpowiedniej pomocy. Zakłada się stworzenie dostępnej w całej UE, bezpiecznej i przyjaznej aplikacji online, która pozwoli: zgłaszać przypadki cyberprzemocy do właściwych instytucji krajowych (np. </w:t>
            </w:r>
            <w:proofErr w:type="spellStart"/>
            <w:r w:rsidRPr="007F1329">
              <w:rPr>
                <w:rFonts w:ascii="Aptos" w:hAnsi="Aptos" w:cstheme="minorHAnsi"/>
              </w:rPr>
              <w:t>helpline</w:t>
            </w:r>
            <w:proofErr w:type="spellEnd"/>
            <w:r w:rsidRPr="007F1329">
              <w:rPr>
                <w:rFonts w:ascii="Aptos" w:hAnsi="Aptos" w:cstheme="minorHAnsi"/>
              </w:rPr>
              <w:t>), bezpiecznie gromadzić i przekazywać dowody, otrzymywać dopasowane wsparcie poprzez kierowanie spraw do odpowiednich podmiotów (np. platform internetowych, organów ścigania, szkół czy służb ochrony dzieci).</w:t>
            </w:r>
          </w:p>
        </w:tc>
        <w:tc>
          <w:tcPr>
            <w:tcW w:w="1559" w:type="dxa"/>
          </w:tcPr>
          <w:p w14:paraId="6E96DDD7" w14:textId="7A87368D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1,35 mln euro</w:t>
            </w:r>
          </w:p>
        </w:tc>
        <w:tc>
          <w:tcPr>
            <w:tcW w:w="2268" w:type="dxa"/>
          </w:tcPr>
          <w:p w14:paraId="2CC9789E" w14:textId="3044BDC7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2026</w:t>
            </w:r>
          </w:p>
        </w:tc>
        <w:tc>
          <w:tcPr>
            <w:tcW w:w="2835" w:type="dxa"/>
          </w:tcPr>
          <w:p w14:paraId="48251473" w14:textId="5D639096" w:rsidR="005211EC" w:rsidRPr="007F1329" w:rsidRDefault="00B11F66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d</w:t>
            </w:r>
            <w:r w:rsidR="005211EC" w:rsidRPr="007F1329">
              <w:rPr>
                <w:rFonts w:ascii="Aptos" w:hAnsi="Aptos" w:cstheme="minorHAnsi"/>
              </w:rPr>
              <w:t>o 24 miesięcy</w:t>
            </w:r>
          </w:p>
        </w:tc>
      </w:tr>
      <w:tr w:rsidR="005211EC" w:rsidRPr="007F1329" w14:paraId="75FA2E7E" w14:textId="77777777" w:rsidTr="005211EC">
        <w:trPr>
          <w:trHeight w:val="1134"/>
        </w:trPr>
        <w:tc>
          <w:tcPr>
            <w:tcW w:w="2547" w:type="dxa"/>
          </w:tcPr>
          <w:p w14:paraId="2B79B051" w14:textId="467ACFD2" w:rsidR="005211EC" w:rsidRPr="007F1329" w:rsidRDefault="005211EC" w:rsidP="005211EC">
            <w:pPr>
              <w:rPr>
                <w:rFonts w:ascii="Aptos" w:hAnsi="Aptos"/>
                <w:b/>
                <w:bCs/>
              </w:rPr>
            </w:pPr>
            <w:r w:rsidRPr="007F1329">
              <w:rPr>
                <w:rFonts w:ascii="Aptos" w:hAnsi="Aptos"/>
                <w:b/>
                <w:bCs/>
                <w:lang w:val="en-GB"/>
              </w:rPr>
              <w:t>Better Internet for Kids (BIK) platform</w:t>
            </w:r>
          </w:p>
        </w:tc>
        <w:tc>
          <w:tcPr>
            <w:tcW w:w="6095" w:type="dxa"/>
          </w:tcPr>
          <w:p w14:paraId="766DDF07" w14:textId="70838AAC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Celem zamówienia jest koordynacja i wsparcie na poziomie UE działań krajowych Centrów Bezpiecznego Internetu (SIC) poprzez centralną platformę </w:t>
            </w:r>
            <w:proofErr w:type="spellStart"/>
            <w:r w:rsidRPr="007F1329">
              <w:rPr>
                <w:rFonts w:ascii="Aptos" w:hAnsi="Aptos" w:cstheme="minorHAnsi"/>
              </w:rPr>
              <w:t>Better</w:t>
            </w:r>
            <w:proofErr w:type="spellEnd"/>
            <w:r w:rsidRPr="007F1329">
              <w:rPr>
                <w:rFonts w:ascii="Aptos" w:hAnsi="Aptos" w:cstheme="minorHAnsi"/>
              </w:rPr>
              <w:t xml:space="preserve"> Internet for Kids (BIK). Platforma ta będzie zapewniać narzędzia, zasoby i usługi online zarówno dla użytkowników (dzieci, rodziców), jak i specjalistów zajmujących się bezpieczeństwem dzieci w </w:t>
            </w:r>
            <w:proofErr w:type="spellStart"/>
            <w:r w:rsidRPr="007F1329">
              <w:rPr>
                <w:rFonts w:ascii="Aptos" w:hAnsi="Aptos" w:cstheme="minorHAnsi"/>
              </w:rPr>
              <w:t>internecie</w:t>
            </w:r>
            <w:proofErr w:type="spellEnd"/>
            <w:r w:rsidRPr="007F1329">
              <w:rPr>
                <w:rFonts w:ascii="Aptos" w:hAnsi="Aptos" w:cstheme="minorHAnsi"/>
              </w:rPr>
              <w:t>.</w:t>
            </w:r>
          </w:p>
        </w:tc>
        <w:tc>
          <w:tcPr>
            <w:tcW w:w="1559" w:type="dxa"/>
          </w:tcPr>
          <w:p w14:paraId="7011F3F2" w14:textId="05A0A62A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4,05 mln euro</w:t>
            </w:r>
          </w:p>
        </w:tc>
        <w:tc>
          <w:tcPr>
            <w:tcW w:w="2268" w:type="dxa"/>
          </w:tcPr>
          <w:p w14:paraId="7BC87409" w14:textId="7F133FD8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2026</w:t>
            </w:r>
          </w:p>
        </w:tc>
        <w:tc>
          <w:tcPr>
            <w:tcW w:w="2835" w:type="dxa"/>
          </w:tcPr>
          <w:p w14:paraId="5418777A" w14:textId="58D3FB68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24 miesiące</w:t>
            </w:r>
          </w:p>
        </w:tc>
      </w:tr>
      <w:tr w:rsidR="005211EC" w:rsidRPr="007F1329" w14:paraId="4A6322B1" w14:textId="77777777" w:rsidTr="005211EC">
        <w:trPr>
          <w:trHeight w:val="1134"/>
        </w:trPr>
        <w:tc>
          <w:tcPr>
            <w:tcW w:w="2547" w:type="dxa"/>
          </w:tcPr>
          <w:p w14:paraId="500F49CA" w14:textId="442B3DAF" w:rsidR="005211EC" w:rsidRPr="007F1329" w:rsidRDefault="005211EC" w:rsidP="005211EC">
            <w:pPr>
              <w:rPr>
                <w:rFonts w:ascii="Aptos" w:hAnsi="Aptos"/>
                <w:b/>
                <w:bCs/>
                <w:lang w:val="en-GB"/>
              </w:rPr>
            </w:pPr>
            <w:r w:rsidRPr="007F1329">
              <w:rPr>
                <w:rFonts w:ascii="Aptos" w:hAnsi="Aptos"/>
                <w:b/>
                <w:bCs/>
              </w:rPr>
              <w:lastRenderedPageBreak/>
              <w:t xml:space="preserve">Virtual Human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Twins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and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Artificial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Intelligence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in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health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: Platform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validation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and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uptake</w:t>
            </w:r>
            <w:proofErr w:type="spellEnd"/>
            <w:r w:rsidRPr="007F1329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7F1329">
              <w:rPr>
                <w:rFonts w:ascii="Aptos" w:hAnsi="Aptos"/>
                <w:b/>
                <w:bCs/>
              </w:rPr>
              <w:t>incubator</w:t>
            </w:r>
            <w:proofErr w:type="spellEnd"/>
          </w:p>
        </w:tc>
        <w:tc>
          <w:tcPr>
            <w:tcW w:w="6095" w:type="dxa"/>
          </w:tcPr>
          <w:p w14:paraId="758E9C5A" w14:textId="0CA8B014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 xml:space="preserve">Walidacja platformy zaawansowanych modeli wirtualnych bliźniaków (VHT) w celu potwierdzenia jej wydajności. </w:t>
            </w:r>
          </w:p>
        </w:tc>
        <w:tc>
          <w:tcPr>
            <w:tcW w:w="1559" w:type="dxa"/>
          </w:tcPr>
          <w:p w14:paraId="7B111DF4" w14:textId="5AC45474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0,9 mln euro</w:t>
            </w:r>
          </w:p>
        </w:tc>
        <w:tc>
          <w:tcPr>
            <w:tcW w:w="2268" w:type="dxa"/>
          </w:tcPr>
          <w:p w14:paraId="5AB7242F" w14:textId="5B501166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2027</w:t>
            </w:r>
          </w:p>
        </w:tc>
        <w:tc>
          <w:tcPr>
            <w:tcW w:w="2835" w:type="dxa"/>
          </w:tcPr>
          <w:p w14:paraId="3EF3F35E" w14:textId="00A0315D" w:rsidR="005211EC" w:rsidRPr="007F1329" w:rsidRDefault="005211EC" w:rsidP="005211EC">
            <w:pPr>
              <w:rPr>
                <w:rFonts w:ascii="Aptos" w:hAnsi="Aptos" w:cstheme="minorHAnsi"/>
              </w:rPr>
            </w:pPr>
            <w:r w:rsidRPr="007F1329">
              <w:rPr>
                <w:rFonts w:ascii="Aptos" w:hAnsi="Aptos" w:cstheme="minorHAnsi"/>
              </w:rPr>
              <w:t>9 miesięcy</w:t>
            </w:r>
          </w:p>
        </w:tc>
      </w:tr>
    </w:tbl>
    <w:p w14:paraId="4F7BA763" w14:textId="77777777" w:rsidR="00456F98" w:rsidRPr="007F1329" w:rsidRDefault="00456F98">
      <w:pPr>
        <w:rPr>
          <w:rFonts w:ascii="Aptos" w:hAnsi="Aptos"/>
          <w:b/>
          <w:bCs/>
        </w:rPr>
      </w:pPr>
    </w:p>
    <w:sectPr w:rsidR="00456F98" w:rsidRPr="007F1329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9E2"/>
    <w:multiLevelType w:val="multilevel"/>
    <w:tmpl w:val="677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33616"/>
    <w:multiLevelType w:val="hybridMultilevel"/>
    <w:tmpl w:val="4CA6E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2"/>
  </w:num>
  <w:num w:numId="2" w16cid:durableId="939603653">
    <w:abstractNumId w:val="1"/>
  </w:num>
  <w:num w:numId="3" w16cid:durableId="22734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17AA4"/>
    <w:rsid w:val="0003271A"/>
    <w:rsid w:val="00072626"/>
    <w:rsid w:val="00076FD1"/>
    <w:rsid w:val="00090AE0"/>
    <w:rsid w:val="000946C5"/>
    <w:rsid w:val="000B28A4"/>
    <w:rsid w:val="000D1203"/>
    <w:rsid w:val="000F0DAC"/>
    <w:rsid w:val="000F4240"/>
    <w:rsid w:val="00112822"/>
    <w:rsid w:val="001A78B0"/>
    <w:rsid w:val="00211DE5"/>
    <w:rsid w:val="00225292"/>
    <w:rsid w:val="00231E39"/>
    <w:rsid w:val="00245266"/>
    <w:rsid w:val="00250CBA"/>
    <w:rsid w:val="00254DA9"/>
    <w:rsid w:val="00264679"/>
    <w:rsid w:val="002A57AC"/>
    <w:rsid w:val="002A58B8"/>
    <w:rsid w:val="002F22FC"/>
    <w:rsid w:val="002F74C0"/>
    <w:rsid w:val="003201A6"/>
    <w:rsid w:val="00320F26"/>
    <w:rsid w:val="00346841"/>
    <w:rsid w:val="00351BC4"/>
    <w:rsid w:val="00357D7E"/>
    <w:rsid w:val="00367004"/>
    <w:rsid w:val="00374CDC"/>
    <w:rsid w:val="003775A4"/>
    <w:rsid w:val="003A49ED"/>
    <w:rsid w:val="003A5839"/>
    <w:rsid w:val="003C18BE"/>
    <w:rsid w:val="003D4479"/>
    <w:rsid w:val="003F0BBD"/>
    <w:rsid w:val="003F277F"/>
    <w:rsid w:val="003F7CB8"/>
    <w:rsid w:val="00413609"/>
    <w:rsid w:val="00413BD5"/>
    <w:rsid w:val="00443CE9"/>
    <w:rsid w:val="0044472F"/>
    <w:rsid w:val="004542CD"/>
    <w:rsid w:val="00456F98"/>
    <w:rsid w:val="00486F75"/>
    <w:rsid w:val="00490050"/>
    <w:rsid w:val="00492B72"/>
    <w:rsid w:val="004A2AA0"/>
    <w:rsid w:val="004B75F4"/>
    <w:rsid w:val="004B7CB7"/>
    <w:rsid w:val="004C1D3F"/>
    <w:rsid w:val="004C29F7"/>
    <w:rsid w:val="004C7B72"/>
    <w:rsid w:val="004D6144"/>
    <w:rsid w:val="004F1CC5"/>
    <w:rsid w:val="004F2E9E"/>
    <w:rsid w:val="00505819"/>
    <w:rsid w:val="00511D52"/>
    <w:rsid w:val="005211EC"/>
    <w:rsid w:val="00522DED"/>
    <w:rsid w:val="00555F08"/>
    <w:rsid w:val="00556814"/>
    <w:rsid w:val="0057362A"/>
    <w:rsid w:val="005853A3"/>
    <w:rsid w:val="005909D6"/>
    <w:rsid w:val="005A32DD"/>
    <w:rsid w:val="005B5364"/>
    <w:rsid w:val="0062425C"/>
    <w:rsid w:val="00630304"/>
    <w:rsid w:val="00636157"/>
    <w:rsid w:val="006501C2"/>
    <w:rsid w:val="00653BD1"/>
    <w:rsid w:val="00687464"/>
    <w:rsid w:val="006B3551"/>
    <w:rsid w:val="00703762"/>
    <w:rsid w:val="00716463"/>
    <w:rsid w:val="00736647"/>
    <w:rsid w:val="007454D2"/>
    <w:rsid w:val="00757AC3"/>
    <w:rsid w:val="0076355A"/>
    <w:rsid w:val="00765947"/>
    <w:rsid w:val="00766DF0"/>
    <w:rsid w:val="007737B9"/>
    <w:rsid w:val="00784B89"/>
    <w:rsid w:val="007A0557"/>
    <w:rsid w:val="007A4413"/>
    <w:rsid w:val="007A685F"/>
    <w:rsid w:val="007D2F45"/>
    <w:rsid w:val="007F1329"/>
    <w:rsid w:val="0082287E"/>
    <w:rsid w:val="0084718F"/>
    <w:rsid w:val="00852ACA"/>
    <w:rsid w:val="008645A1"/>
    <w:rsid w:val="00870FB1"/>
    <w:rsid w:val="00873A5D"/>
    <w:rsid w:val="008B3314"/>
    <w:rsid w:val="008D3D14"/>
    <w:rsid w:val="008E15D4"/>
    <w:rsid w:val="008F33D8"/>
    <w:rsid w:val="008F6608"/>
    <w:rsid w:val="008F6FF4"/>
    <w:rsid w:val="0095673C"/>
    <w:rsid w:val="00991B5A"/>
    <w:rsid w:val="009A7DFF"/>
    <w:rsid w:val="009C12F5"/>
    <w:rsid w:val="009C16A3"/>
    <w:rsid w:val="009C39DF"/>
    <w:rsid w:val="009C76EB"/>
    <w:rsid w:val="00A05679"/>
    <w:rsid w:val="00A11AAE"/>
    <w:rsid w:val="00A25634"/>
    <w:rsid w:val="00A77D15"/>
    <w:rsid w:val="00A805A5"/>
    <w:rsid w:val="00A958C8"/>
    <w:rsid w:val="00AF0603"/>
    <w:rsid w:val="00AF6FD1"/>
    <w:rsid w:val="00B11F66"/>
    <w:rsid w:val="00B325C6"/>
    <w:rsid w:val="00B6147A"/>
    <w:rsid w:val="00B93907"/>
    <w:rsid w:val="00BB0E31"/>
    <w:rsid w:val="00BD46DA"/>
    <w:rsid w:val="00C126C7"/>
    <w:rsid w:val="00C33655"/>
    <w:rsid w:val="00C43510"/>
    <w:rsid w:val="00C940CB"/>
    <w:rsid w:val="00CA4CC5"/>
    <w:rsid w:val="00CB4F82"/>
    <w:rsid w:val="00D1019A"/>
    <w:rsid w:val="00D26CF9"/>
    <w:rsid w:val="00D34CD6"/>
    <w:rsid w:val="00D47322"/>
    <w:rsid w:val="00D62C4F"/>
    <w:rsid w:val="00D67451"/>
    <w:rsid w:val="00D72543"/>
    <w:rsid w:val="00D97F4E"/>
    <w:rsid w:val="00DA5554"/>
    <w:rsid w:val="00DC6983"/>
    <w:rsid w:val="00DD0DE0"/>
    <w:rsid w:val="00DD1CFF"/>
    <w:rsid w:val="00DE36F8"/>
    <w:rsid w:val="00E00D77"/>
    <w:rsid w:val="00E06713"/>
    <w:rsid w:val="00E26483"/>
    <w:rsid w:val="00E54B03"/>
    <w:rsid w:val="00E567D0"/>
    <w:rsid w:val="00E71DFF"/>
    <w:rsid w:val="00E83B96"/>
    <w:rsid w:val="00E90A99"/>
    <w:rsid w:val="00E933A6"/>
    <w:rsid w:val="00E97B75"/>
    <w:rsid w:val="00EE7DC2"/>
    <w:rsid w:val="00F06A43"/>
    <w:rsid w:val="00F1027D"/>
    <w:rsid w:val="00F11FE0"/>
    <w:rsid w:val="00F15957"/>
    <w:rsid w:val="00F54624"/>
    <w:rsid w:val="00F65753"/>
    <w:rsid w:val="00F87502"/>
    <w:rsid w:val="00FA5263"/>
    <w:rsid w:val="00FA5E60"/>
    <w:rsid w:val="00FB660E"/>
    <w:rsid w:val="00FD3508"/>
    <w:rsid w:val="00FE52EA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F98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D554-0684-4AEC-8B9C-02AD48A8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8</cp:revision>
  <dcterms:created xsi:type="dcterms:W3CDTF">2026-04-08T08:23:00Z</dcterms:created>
  <dcterms:modified xsi:type="dcterms:W3CDTF">2026-06-15T12:36:00Z</dcterms:modified>
</cp:coreProperties>
</file>