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4D55B" w14:textId="0F60F821" w:rsidR="009C2DB3" w:rsidRPr="00601FC1" w:rsidRDefault="009C2DB3" w:rsidP="009C2D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1FC1">
        <w:rPr>
          <w:rFonts w:ascii="Times New Roman" w:eastAsia="Times New Roman" w:hAnsi="Times New Roman" w:cs="Times New Roman"/>
          <w:lang w:eastAsia="pl-PL"/>
        </w:rPr>
        <w:t>Załącznik</w:t>
      </w:r>
      <w:r w:rsidR="00D43AA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1FC1">
        <w:rPr>
          <w:rFonts w:ascii="Times New Roman" w:eastAsia="Times New Roman" w:hAnsi="Times New Roman" w:cs="Times New Roman"/>
          <w:lang w:eastAsia="pl-PL"/>
        </w:rPr>
        <w:t>B.54.</w:t>
      </w:r>
    </w:p>
    <w:p w14:paraId="4899D402" w14:textId="77777777" w:rsidR="009C2DB3" w:rsidRPr="00C02B31" w:rsidRDefault="009C2DB3" w:rsidP="009C2D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067234C" w14:textId="4F607670" w:rsidR="009C2DB3" w:rsidRPr="00E05F62" w:rsidRDefault="009C2DB3" w:rsidP="009C2DB3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E05F6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LECZENIE</w:t>
      </w:r>
      <w:r w:rsidR="00D43AA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Pr="00E05F6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CHORYCH</w:t>
      </w:r>
      <w:r w:rsidR="00D43AA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Pr="00E05F6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NA</w:t>
      </w:r>
      <w:r w:rsidR="00D43AA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Pr="00E05F6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OPORNEGO</w:t>
      </w:r>
      <w:r w:rsidR="00D43AA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Pr="00E05F6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LUB</w:t>
      </w:r>
      <w:r w:rsidR="00D43AA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Pr="00E05F6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NAWROTOWEGO</w:t>
      </w:r>
      <w:r w:rsidR="00D43AA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Pr="00E05F6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SZPICZAKA</w:t>
      </w:r>
      <w:r w:rsidR="00D43AA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Pr="00E05F6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PLAZMOCYTOWEGO</w:t>
      </w:r>
      <w:r w:rsidR="00D43AA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Pr="00E05F6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(ICD10</w:t>
      </w:r>
      <w:r w:rsidR="00D43AA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Pr="00E05F6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C90.0)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9"/>
        <w:gridCol w:w="532"/>
        <w:gridCol w:w="4113"/>
        <w:gridCol w:w="483"/>
        <w:gridCol w:w="5125"/>
      </w:tblGrid>
      <w:tr w:rsidR="009C2DB3" w:rsidRPr="00D43AA6" w14:paraId="6FC2E653" w14:textId="77777777" w:rsidTr="00D43AA6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1FAE5" w14:textId="158FAD73" w:rsidR="009C2DB3" w:rsidRPr="00D43AA6" w:rsidRDefault="009C2DB3" w:rsidP="00D4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ZAKRES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ŚWIADCZENIA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GWARANTOWANEGO</w:t>
            </w:r>
          </w:p>
        </w:tc>
      </w:tr>
      <w:tr w:rsidR="00D43AA6" w:rsidRPr="00D43AA6" w14:paraId="4D3A9B77" w14:textId="77777777" w:rsidTr="005D6B62">
        <w:trPr>
          <w:trHeight w:val="567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AF4C4" w14:textId="77777777" w:rsidR="009C2DB3" w:rsidRPr="00D43AA6" w:rsidRDefault="009C2DB3" w:rsidP="00D4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ŚWIADCZENIOBIORCY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CCB5B" w14:textId="3E9AC937" w:rsidR="009C2DB3" w:rsidRPr="00D43AA6" w:rsidRDefault="009C2DB3" w:rsidP="00D4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SCHEMAT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DAWKOWANIA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LEKÓW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PROGRAMIE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25F30" w14:textId="08C4C730" w:rsidR="009C2DB3" w:rsidRPr="00D43AA6" w:rsidRDefault="009C2DB3" w:rsidP="00D4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BADANIA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DIAGNOSTYCZNE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WYKONYWANE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D6B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RAMACH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PROGRAMU</w:t>
            </w:r>
          </w:p>
        </w:tc>
      </w:tr>
      <w:tr w:rsidR="00A1412B" w:rsidRPr="00D43AA6" w14:paraId="0E3A7A61" w14:textId="77777777" w:rsidTr="00D43AA6">
        <w:trPr>
          <w:trHeight w:val="567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AF4B4" w14:textId="5C857E35" w:rsidR="00A1412B" w:rsidRPr="00D43AA6" w:rsidRDefault="00C5607F" w:rsidP="00D4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Lenalidomid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(schemat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Rd</w:t>
            </w:r>
            <w:proofErr w:type="spellEnd"/>
            <w:r w:rsidR="00A1412B"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D43AA6" w:rsidRPr="00D43AA6" w14:paraId="407F48B7" w14:textId="77777777" w:rsidTr="005D6B62">
        <w:trPr>
          <w:trHeight w:val="20"/>
        </w:trPr>
        <w:tc>
          <w:tcPr>
            <w:tcW w:w="16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759EAC" w14:textId="14F46651" w:rsidR="009C2DB3" w:rsidRPr="00D43AA6" w:rsidRDefault="009C2DB3" w:rsidP="00D43AA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Leczenie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lenalidomidem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chorych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opornego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nawrotowego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szpiczaka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plazmocytowego</w:t>
            </w:r>
            <w:proofErr w:type="spellEnd"/>
          </w:p>
          <w:p w14:paraId="5F55189B" w14:textId="2F268877" w:rsidR="009C2DB3" w:rsidRPr="00D43AA6" w:rsidRDefault="009C2DB3" w:rsidP="00D43AA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kwalifikacji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5E9DD058" w14:textId="52A84F5C" w:rsidR="009C2DB3" w:rsidRPr="00D43AA6" w:rsidRDefault="009C2DB3" w:rsidP="00D43AA6">
            <w:pPr>
              <w:widowControl w:val="0"/>
              <w:spacing w:after="60"/>
              <w:ind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programu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kwalifikowani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pacjenci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opornym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nawrotowym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szpiczakiem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plazmocytowym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wieku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lat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powyżej,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których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spełniony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jest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najmniej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jeden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warunków:</w:t>
            </w:r>
          </w:p>
          <w:p w14:paraId="674E983B" w14:textId="2ED847EC" w:rsidR="009C2DB3" w:rsidRPr="00D43AA6" w:rsidRDefault="009C2DB3" w:rsidP="00D43AA6">
            <w:pPr>
              <w:widowControl w:val="0"/>
              <w:numPr>
                <w:ilvl w:val="3"/>
                <w:numId w:val="16"/>
              </w:numPr>
              <w:tabs>
                <w:tab w:val="left" w:pos="400"/>
              </w:tabs>
              <w:spacing w:after="60"/>
              <w:ind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stosowano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najmniej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dwa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poprzedzające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protokoły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leczenia;</w:t>
            </w:r>
          </w:p>
          <w:p w14:paraId="4D330E96" w14:textId="3C1C69A9" w:rsidR="009C2DB3" w:rsidRPr="00D43AA6" w:rsidRDefault="009C2DB3" w:rsidP="00D43AA6">
            <w:pPr>
              <w:widowControl w:val="0"/>
              <w:numPr>
                <w:ilvl w:val="3"/>
                <w:numId w:val="16"/>
              </w:numPr>
              <w:tabs>
                <w:tab w:val="left" w:pos="299"/>
              </w:tabs>
              <w:spacing w:after="60"/>
              <w:ind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stosowano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uprzednio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najmniej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jeden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protokół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leczenia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wystąpiła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nim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polineuropatia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obwodowa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najmniej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stopnia,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jeśli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ten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protokół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obejmował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talidomid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najmniej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stopnia,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jeśli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ten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protokół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obejmował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bortezomib</w:t>
            </w:r>
            <w:proofErr w:type="spellEnd"/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;</w:t>
            </w:r>
          </w:p>
          <w:p w14:paraId="3AC373B3" w14:textId="617C24A4" w:rsidR="009C2DB3" w:rsidRPr="00D43AA6" w:rsidRDefault="009C2DB3" w:rsidP="00D43AA6">
            <w:pPr>
              <w:widowControl w:val="0"/>
              <w:numPr>
                <w:ilvl w:val="3"/>
                <w:numId w:val="16"/>
              </w:numPr>
              <w:tabs>
                <w:tab w:val="left" w:pos="299"/>
              </w:tabs>
              <w:spacing w:after="60"/>
              <w:ind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chorego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jest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planowane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przeszczepienie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komórek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macierzystych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szpiku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pierwsz</w:t>
            </w:r>
            <w:r w:rsidR="0003264D"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ej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3264D"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linii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leczenia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stosowano</w:t>
            </w:r>
            <w:r w:rsid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bortezomib</w:t>
            </w:r>
            <w:proofErr w:type="spellEnd"/>
            <w:r w:rsidR="00687D33" w:rsidRPr="00D43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14:paraId="14162D56" w14:textId="001A279A" w:rsidR="00687D33" w:rsidRDefault="00687D33" w:rsidP="00D43AA6">
            <w:pPr>
              <w:widowControl w:val="0"/>
              <w:tabs>
                <w:tab w:val="left" w:pos="299"/>
              </w:tabs>
              <w:spacing w:after="60"/>
              <w:ind w:left="454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66DE40A" w14:textId="40D203BD" w:rsidR="005D6B62" w:rsidRDefault="005D6B62" w:rsidP="00D43AA6">
            <w:pPr>
              <w:widowControl w:val="0"/>
              <w:tabs>
                <w:tab w:val="left" w:pos="299"/>
              </w:tabs>
              <w:spacing w:after="60"/>
              <w:ind w:left="454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3E64309" w14:textId="77777777" w:rsidR="005D6B62" w:rsidRPr="00D43AA6" w:rsidRDefault="005D6B62" w:rsidP="00D43AA6">
            <w:pPr>
              <w:widowControl w:val="0"/>
              <w:tabs>
                <w:tab w:val="left" w:pos="299"/>
              </w:tabs>
              <w:spacing w:after="60"/>
              <w:ind w:left="454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3A6062" w14:textId="468FDDCF" w:rsidR="009C2DB3" w:rsidRPr="00D43AA6" w:rsidRDefault="009C2DB3" w:rsidP="00D43AA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Określenie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czasu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programie</w:t>
            </w:r>
          </w:p>
          <w:p w14:paraId="15907EF3" w14:textId="09F2E3E7" w:rsidR="009C2DB3" w:rsidRPr="00D43AA6" w:rsidRDefault="009C2DB3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lenalidomidem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kontynuuje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progresji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zastrzeżeniem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1.4.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niżej)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nietolerancji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redukcji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zaleceniami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Leczniczego.</w:t>
            </w:r>
          </w:p>
          <w:p w14:paraId="6438224E" w14:textId="77777777" w:rsidR="00687D33" w:rsidRPr="00D43AA6" w:rsidRDefault="00687D33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362E0C1" w14:textId="112C71DF" w:rsidR="009C2DB3" w:rsidRPr="00D43AA6" w:rsidRDefault="009C2DB3" w:rsidP="00D43AA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niepozwalające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zakwalifikowanie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programu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względu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bezpieczeństwo:</w:t>
            </w:r>
          </w:p>
          <w:p w14:paraId="635539F5" w14:textId="07F9148C" w:rsidR="009C2DB3" w:rsidRPr="00D43AA6" w:rsidRDefault="009C2DB3" w:rsidP="00D43AA6">
            <w:pPr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bezwzględna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liczba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neutrofili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&lt;1,0x10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9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/l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liczba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płytek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krwi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&lt;75x10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9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/l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&lt;30x10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9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/l,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zależności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nacieczenia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szpiku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kostnego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przez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komórki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plazmatyczne;</w:t>
            </w:r>
          </w:p>
          <w:p w14:paraId="579D50C8" w14:textId="77777777" w:rsidR="009C2DB3" w:rsidRPr="00D43AA6" w:rsidRDefault="009C2DB3" w:rsidP="00D43AA6">
            <w:pPr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ciąża;</w:t>
            </w:r>
          </w:p>
          <w:p w14:paraId="4930EE42" w14:textId="3629A8BC" w:rsidR="009C2DB3" w:rsidRPr="00D43AA6" w:rsidRDefault="009C2DB3" w:rsidP="00D43AA6">
            <w:pPr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niemożność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stosowania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się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programu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zapobiegania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ciąży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(dotyczy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kobiet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mężczyzn);</w:t>
            </w:r>
          </w:p>
          <w:p w14:paraId="75313F80" w14:textId="02DDBBE4" w:rsidR="009C2DB3" w:rsidRPr="00D43AA6" w:rsidRDefault="009C2DB3" w:rsidP="00D43AA6">
            <w:pPr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nadwrażliwość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lenalidomid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którąkolwiek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substancję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pomocniczą.</w:t>
            </w:r>
          </w:p>
          <w:p w14:paraId="19E51EA6" w14:textId="77777777" w:rsidR="00687D33" w:rsidRPr="00D43AA6" w:rsidRDefault="00687D33" w:rsidP="00D43AA6">
            <w:pPr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D5E166B" w14:textId="61A091C9" w:rsidR="009C2DB3" w:rsidRPr="00D43AA6" w:rsidRDefault="009C2DB3" w:rsidP="00D43AA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zakończenia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udziału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programie:</w:t>
            </w:r>
          </w:p>
          <w:p w14:paraId="1D8F1011" w14:textId="012B309A" w:rsidR="009C2DB3" w:rsidRPr="00D43AA6" w:rsidRDefault="009C2DB3" w:rsidP="00D43AA6">
            <w:pPr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progresja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choroby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więcej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niż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cyklach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leczenia;</w:t>
            </w:r>
          </w:p>
          <w:p w14:paraId="7A8BA48A" w14:textId="03738A4D" w:rsidR="009C2DB3" w:rsidRPr="00D43AA6" w:rsidRDefault="009C2DB3" w:rsidP="00D43AA6">
            <w:pPr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brak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co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najmniej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częściowej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odpowiedzi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cyklach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leczenia.</w:t>
            </w:r>
          </w:p>
          <w:p w14:paraId="5A343931" w14:textId="77777777" w:rsidR="009C2DB3" w:rsidRPr="00D43AA6" w:rsidRDefault="009C2DB3" w:rsidP="00D43AA6">
            <w:pPr>
              <w:spacing w:after="60"/>
              <w:ind w:left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82FEC5" w14:textId="0A5C8439" w:rsidR="009C2DB3" w:rsidRPr="00D43AA6" w:rsidRDefault="009C2DB3" w:rsidP="00D43A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Dawkowanie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lenalidomidu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deksametazonu</w:t>
            </w:r>
            <w:proofErr w:type="spellEnd"/>
          </w:p>
          <w:p w14:paraId="7DCFE86E" w14:textId="61D2D281" w:rsidR="009C2DB3" w:rsidRPr="00D43AA6" w:rsidRDefault="009C2DB3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Lenalidomid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kapsułek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twardych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skojarzeniu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deksametazonem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C14BE18" w14:textId="22A2F9B8" w:rsidR="009C2DB3" w:rsidRPr="00D43AA6" w:rsidRDefault="009C2DB3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Lenalidomid</w:t>
            </w:r>
            <w:proofErr w:type="spellEnd"/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Zalecana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początkowa: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1-21,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powtarzanych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28-dniowych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cyklach.</w:t>
            </w:r>
          </w:p>
          <w:p w14:paraId="1009D274" w14:textId="6AD5BCE2" w:rsidR="009C2DB3" w:rsidRPr="00D43AA6" w:rsidRDefault="009C2DB3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niewydolnością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nerek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początkowa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lenalidomidu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powinna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zaleceniami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Leczniczego.</w:t>
            </w:r>
          </w:p>
          <w:p w14:paraId="7F191993" w14:textId="77777777" w:rsidR="00687D33" w:rsidRPr="00D43AA6" w:rsidRDefault="00687D33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3DB53C7" w14:textId="136E9D40" w:rsidR="009C2DB3" w:rsidRPr="00D43AA6" w:rsidRDefault="009C2DB3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Deksametazon</w:t>
            </w:r>
            <w:proofErr w:type="spellEnd"/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Zalecana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dawka: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1-4,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9-12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17-20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każdego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28-dniowego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następnie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1-4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dni.</w:t>
            </w:r>
          </w:p>
          <w:p w14:paraId="1016EB35" w14:textId="51C69FA4" w:rsidR="009C2DB3" w:rsidRPr="00D43AA6" w:rsidRDefault="009C2DB3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powinien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ocenić,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jaką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dawkę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deksametazonu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zastosować,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biorąc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uwagę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nasilenie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choroby.</w:t>
            </w:r>
          </w:p>
          <w:p w14:paraId="46330462" w14:textId="43A68E01" w:rsidR="00687D33" w:rsidRDefault="00687D33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7A29F1E" w14:textId="64BF2B2C" w:rsidR="005D6B62" w:rsidRDefault="005D6B62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4E818B2" w14:textId="77777777" w:rsidR="005D6B62" w:rsidRPr="00D43AA6" w:rsidRDefault="005D6B62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A4A09B9" w14:textId="26668618" w:rsidR="009C2DB3" w:rsidRPr="00D43AA6" w:rsidRDefault="009C2DB3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UWAGA:</w:t>
            </w:r>
          </w:p>
          <w:p w14:paraId="0D64E4E4" w14:textId="05D1BCBA" w:rsidR="009C2DB3" w:rsidRPr="00D43AA6" w:rsidRDefault="009C2DB3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Dawkowanie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lenalidomidu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kontynuuje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modyfikuje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(dawkę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leków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cyklu)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klinicznych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wyników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laboratoryjnych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zaleceniami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zawartymi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Charakterystyce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leczniczym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wynosi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niezależnie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ewentualnych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przerw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lenalidomidu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jednym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leczniczym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525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mg.</w:t>
            </w:r>
          </w:p>
          <w:p w14:paraId="72ADA5A3" w14:textId="77777777" w:rsidR="009C2DB3" w:rsidRPr="00D43AA6" w:rsidRDefault="009C2DB3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B861DE" w14:textId="0DB22842" w:rsidR="009C2DB3" w:rsidRPr="00D43AA6" w:rsidRDefault="009C2DB3" w:rsidP="00D43AA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przy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</w:p>
          <w:p w14:paraId="5E8F3AAB" w14:textId="18EAA1AA" w:rsidR="009C2DB3" w:rsidRPr="00D43AA6" w:rsidRDefault="009C2DB3" w:rsidP="00D43AA6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rozmazem;</w:t>
            </w:r>
          </w:p>
          <w:p w14:paraId="37CA94BA" w14:textId="41063EF5" w:rsidR="009C2DB3" w:rsidRPr="00D43AA6" w:rsidRDefault="009C2DB3" w:rsidP="00D43AA6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wapnia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surowicy;</w:t>
            </w:r>
          </w:p>
          <w:p w14:paraId="71B87EE8" w14:textId="433B2E24" w:rsidR="009C2DB3" w:rsidRPr="00D43AA6" w:rsidRDefault="009C2DB3" w:rsidP="00D43AA6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DE9743B" w14:textId="72606DD1" w:rsidR="009C2DB3" w:rsidRPr="00D43AA6" w:rsidRDefault="009C2DB3" w:rsidP="00D43AA6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bilirubiny;</w:t>
            </w:r>
          </w:p>
          <w:p w14:paraId="101CCF48" w14:textId="5D69BB0C" w:rsidR="009C2DB3" w:rsidRPr="00D43AA6" w:rsidRDefault="009C2DB3" w:rsidP="00D43AA6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kreatyniny;</w:t>
            </w:r>
          </w:p>
          <w:p w14:paraId="3C48BA73" w14:textId="0A39FEE4" w:rsidR="009C2DB3" w:rsidRPr="00D43AA6" w:rsidRDefault="009C2DB3" w:rsidP="00D43AA6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klirens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kreatyniny;</w:t>
            </w:r>
          </w:p>
          <w:p w14:paraId="4D259795" w14:textId="6EFFABA1" w:rsidR="009C2DB3" w:rsidRPr="00D43AA6" w:rsidRDefault="009C2DB3" w:rsidP="00D43AA6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białka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M;</w:t>
            </w:r>
          </w:p>
          <w:p w14:paraId="363505BF" w14:textId="7C02A2EF" w:rsidR="009C2DB3" w:rsidRPr="00D43AA6" w:rsidRDefault="009C2DB3" w:rsidP="00D43AA6">
            <w:pPr>
              <w:numPr>
                <w:ilvl w:val="3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niskodawkowa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TK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układu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kostnego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RTG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(badanie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kośćca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decyzji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lekarza)</w:t>
            </w:r>
          </w:p>
          <w:p w14:paraId="104BE64C" w14:textId="15101A76" w:rsidR="009C2DB3" w:rsidRPr="00D43AA6" w:rsidRDefault="009C2DB3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66A2" w:rsidRPr="00D43AA6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winny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wykonane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więcej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tygodni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poprzedzających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rozpoczęcie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leczenia.</w:t>
            </w:r>
          </w:p>
          <w:p w14:paraId="4ACEAFB9" w14:textId="39A634F2" w:rsidR="009C2DB3" w:rsidRPr="00D43AA6" w:rsidRDefault="009C2DB3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dniu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wcześniej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wydaniem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pacjentkom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mogącym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zajść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ciążę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wykonać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ciążowy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czułości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min.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25mIU/ml.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C0639F" w14:textId="77777777" w:rsidR="00687D33" w:rsidRPr="00D43AA6" w:rsidRDefault="00687D33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83C4C" w14:textId="06BFA27E" w:rsidR="009C2DB3" w:rsidRPr="00D43AA6" w:rsidRDefault="009C2DB3" w:rsidP="00D43AA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  <w:p w14:paraId="666E259F" w14:textId="7C55CB1D" w:rsidR="009C2DB3" w:rsidRPr="00D43AA6" w:rsidRDefault="009C2DB3" w:rsidP="00D43AA6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cyklem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leczenia:</w:t>
            </w:r>
          </w:p>
          <w:p w14:paraId="2AA621E6" w14:textId="19AB1953" w:rsidR="009C2DB3" w:rsidRPr="00D43AA6" w:rsidRDefault="009C2DB3" w:rsidP="00D43AA6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wzorem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odsetkowym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DA78FA" w14:textId="70A3F113" w:rsidR="009C2DB3" w:rsidRPr="00D43AA6" w:rsidRDefault="009C2DB3" w:rsidP="00D43AA6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ciążowy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czułości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min.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25mIU/ml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pacjentek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mogących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zajść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ciążę,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zaleceniami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Charakterystyki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</w:p>
          <w:p w14:paraId="755FED87" w14:textId="1312871B" w:rsidR="009C2DB3" w:rsidRPr="00D43AA6" w:rsidRDefault="009C2DB3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skuteczności:</w:t>
            </w:r>
          </w:p>
          <w:p w14:paraId="7C2844A8" w14:textId="48AA5651" w:rsidR="009C2DB3" w:rsidRPr="00D43AA6" w:rsidRDefault="0003264D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C2DB3" w:rsidRPr="00D43AA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D43AA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D43AA6">
              <w:rPr>
                <w:rFonts w:ascii="Times New Roman" w:hAnsi="Times New Roman" w:cs="Times New Roman"/>
                <w:sz w:val="20"/>
                <w:szCs w:val="20"/>
              </w:rPr>
              <w:t>cyklu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D43AA6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D43AA6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D43AA6">
              <w:rPr>
                <w:rFonts w:ascii="Times New Roman" w:hAnsi="Times New Roman" w:cs="Times New Roman"/>
                <w:sz w:val="20"/>
                <w:szCs w:val="20"/>
              </w:rPr>
              <w:t>wykonać:</w:t>
            </w:r>
          </w:p>
          <w:p w14:paraId="2FDEE189" w14:textId="604ADD86" w:rsidR="009C2DB3" w:rsidRPr="00D43AA6" w:rsidRDefault="009C2DB3" w:rsidP="00D43AA6">
            <w:pPr>
              <w:pStyle w:val="Akapitzlist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wapnia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surowicy;</w:t>
            </w:r>
          </w:p>
          <w:p w14:paraId="147F0C08" w14:textId="1CF41423" w:rsidR="009C2DB3" w:rsidRPr="00D43AA6" w:rsidRDefault="009C2DB3" w:rsidP="00D43AA6">
            <w:pPr>
              <w:numPr>
                <w:ilvl w:val="3"/>
                <w:numId w:val="18"/>
              </w:numPr>
              <w:tabs>
                <w:tab w:val="left" w:pos="373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AIAT;</w:t>
            </w:r>
          </w:p>
          <w:p w14:paraId="68FD386A" w14:textId="769ED3F1" w:rsidR="009C2DB3" w:rsidRPr="00D43AA6" w:rsidRDefault="009C2DB3" w:rsidP="00D43AA6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bilirubiny;</w:t>
            </w:r>
          </w:p>
          <w:p w14:paraId="556A2C79" w14:textId="1673E12E" w:rsidR="009C2DB3" w:rsidRPr="00D43AA6" w:rsidRDefault="009C2DB3" w:rsidP="00D43AA6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kreatyniny;</w:t>
            </w:r>
          </w:p>
          <w:p w14:paraId="6539025C" w14:textId="658A933D" w:rsidR="009C2DB3" w:rsidRPr="00D43AA6" w:rsidRDefault="009C2DB3" w:rsidP="00D43AA6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klirens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kreatyniny;</w:t>
            </w:r>
          </w:p>
          <w:p w14:paraId="571C6C8C" w14:textId="1C93CEAB" w:rsidR="009C2DB3" w:rsidRPr="00D43AA6" w:rsidRDefault="009C2DB3" w:rsidP="00D43AA6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białka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M;</w:t>
            </w:r>
          </w:p>
          <w:p w14:paraId="4D239CA2" w14:textId="653A3D8A" w:rsidR="009C2DB3" w:rsidRPr="00D43AA6" w:rsidRDefault="009C2DB3" w:rsidP="00D43AA6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niskodawkowa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TK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układu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kostnego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RTG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(badanie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kośćca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decyzji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lekarza).</w:t>
            </w:r>
          </w:p>
          <w:p w14:paraId="4611F841" w14:textId="77777777" w:rsidR="00687D33" w:rsidRPr="00D43AA6" w:rsidRDefault="00687D33" w:rsidP="00D43AA6">
            <w:pPr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CCAF7" w14:textId="6F80175B" w:rsidR="009C2DB3" w:rsidRPr="00D43AA6" w:rsidRDefault="009C2DB3" w:rsidP="00D43AA6">
            <w:pPr>
              <w:pStyle w:val="Akapitzlist"/>
              <w:numPr>
                <w:ilvl w:val="0"/>
                <w:numId w:val="18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  <w:p w14:paraId="394356F3" w14:textId="6A208EF2" w:rsidR="009C2DB3" w:rsidRPr="00D43AA6" w:rsidRDefault="009C2DB3" w:rsidP="00D43AA6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gromadzenie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każdorazowe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przedstawianie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żądanie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kontrolerów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Zdrowia;</w:t>
            </w:r>
          </w:p>
          <w:p w14:paraId="0BBE828E" w14:textId="6FBD9D81" w:rsidR="00435124" w:rsidRPr="00D43AA6" w:rsidRDefault="00435124" w:rsidP="00D43AA6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uzupełnianie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elektronicznym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programów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lekowych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(SMPT)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leczenia;</w:t>
            </w:r>
          </w:p>
          <w:p w14:paraId="1F4F4E65" w14:textId="69AF2A4D" w:rsidR="00687D33" w:rsidRPr="00D43AA6" w:rsidRDefault="009C2DB3" w:rsidP="00D43AA6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przekazywanie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sprawozdawczo-rozliczeniowych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NFZ: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przekazuje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elektronicznej,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wymaganiami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opublikowanymi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Narodowy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Fundusz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Zdrowia.</w:t>
            </w:r>
          </w:p>
        </w:tc>
      </w:tr>
      <w:tr w:rsidR="009C2DB3" w:rsidRPr="00D43AA6" w14:paraId="472A91FA" w14:textId="77777777" w:rsidTr="00D43AA6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156E04" w14:textId="34D93B35" w:rsidR="009C2DB3" w:rsidRPr="00D43AA6" w:rsidRDefault="007B5E24" w:rsidP="00D43AA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27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Pomalidomid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DA4315"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(s</w:t>
            </w:r>
            <w:r w:rsidR="00C5607F"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chemat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5607F"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Pd</w:t>
            </w:r>
            <w:r w:rsidR="009C2DB3"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9C2DB3" w:rsidRPr="00D43AA6" w14:paraId="44976F03" w14:textId="77777777" w:rsidTr="005D6B62">
        <w:trPr>
          <w:trHeight w:val="20"/>
        </w:trPr>
        <w:tc>
          <w:tcPr>
            <w:tcW w:w="184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32F221" w14:textId="77683A3B" w:rsidR="009D3AC9" w:rsidRPr="00D43AA6" w:rsidRDefault="009D3AC9" w:rsidP="00D43AA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Leczenie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pomalidomidem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chorych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opornego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nawrotowego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szpiczaka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plazmocytowego</w:t>
            </w:r>
            <w:proofErr w:type="spellEnd"/>
          </w:p>
          <w:p w14:paraId="047FD3F4" w14:textId="5B404074" w:rsidR="00A51038" w:rsidRPr="00D43AA6" w:rsidRDefault="00A51038" w:rsidP="00D43AA6">
            <w:pPr>
              <w:pStyle w:val="Akapitzlist"/>
              <w:numPr>
                <w:ilvl w:val="1"/>
                <w:numId w:val="19"/>
              </w:numPr>
              <w:spacing w:after="6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kwalifikacji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pomalidomidem</w:t>
            </w:r>
            <w:proofErr w:type="spellEnd"/>
          </w:p>
          <w:p w14:paraId="36F2E3C6" w14:textId="4EBE63A0" w:rsidR="00A51038" w:rsidRPr="00D43AA6" w:rsidRDefault="00A51038" w:rsidP="00D43AA6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Do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programu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kwalifikowani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są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pacjenci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opornym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nawrotowym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szpiczakiem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plazmocytowym</w:t>
            </w:r>
            <w:proofErr w:type="spellEnd"/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wieku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lat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powyżej,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których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stosowano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uprzednio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co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najmniej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dwa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schematy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leczenia,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obejmujące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zarówno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lenalidomid</w:t>
            </w:r>
            <w:proofErr w:type="spellEnd"/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bortezomib</w:t>
            </w:r>
            <w:proofErr w:type="spellEnd"/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których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trakcie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ostatniego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leczenia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nastąpiła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progresja</w:t>
            </w:r>
            <w:r w:rsid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choroby.</w:t>
            </w:r>
          </w:p>
          <w:p w14:paraId="1F18FC3F" w14:textId="1CB243E4" w:rsidR="00A51038" w:rsidRPr="00D43AA6" w:rsidRDefault="00A51038" w:rsidP="00D43AA6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Ponadto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lekowego,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zapewnienia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mogą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włączeni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pacjenci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pomalidomidem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innego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finansowania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objęcia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refundacją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lekowym,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dzień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rozpoczęcia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spełniali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wskazane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punkcie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6B56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.1.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jednocześnie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spełniali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niepozwalających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zakwalifikowanie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względu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bezpieczeństwo,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określonych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6B56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.3.</w:t>
            </w:r>
          </w:p>
          <w:p w14:paraId="11363E51" w14:textId="77777777" w:rsidR="004C2D5A" w:rsidRPr="00D43AA6" w:rsidRDefault="004C2D5A" w:rsidP="00D43AA6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C91C425" w14:textId="5DD67B6C" w:rsidR="00A51038" w:rsidRPr="00D43AA6" w:rsidRDefault="00A51038" w:rsidP="00D43AA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Określenie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czasu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programie.</w:t>
            </w:r>
          </w:p>
          <w:p w14:paraId="1F1E8F51" w14:textId="4ECB2569" w:rsidR="00A51038" w:rsidRPr="00D43AA6" w:rsidRDefault="00A51038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Leczenie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pomalidomidem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kontynuuje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się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progresji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choroby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(z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zastrzeżeniem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p.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3264D"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1.4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niżej)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wystąpienia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nietolerancji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leku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redukcji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zaleceniami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14:paraId="6E8E3ED7" w14:textId="77777777" w:rsidR="004C2D5A" w:rsidRPr="00D43AA6" w:rsidRDefault="004C2D5A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26CE207" w14:textId="6B79E798" w:rsidR="00A51038" w:rsidRPr="00D43AA6" w:rsidRDefault="00A51038" w:rsidP="00D43AA6">
            <w:pPr>
              <w:pStyle w:val="Akapitzlist"/>
              <w:numPr>
                <w:ilvl w:val="1"/>
                <w:numId w:val="19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niepozwalające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zakwalifikowanie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programu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względu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bezpieczeństwo</w:t>
            </w:r>
          </w:p>
          <w:p w14:paraId="56280AF2" w14:textId="421BA3D0" w:rsidR="00A51038" w:rsidRPr="00D43AA6" w:rsidRDefault="00A51038" w:rsidP="00D43AA6">
            <w:pPr>
              <w:pStyle w:val="Akapitzlist"/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bezwzględna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2003F"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liczba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2003F"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neutrofili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2003F"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&lt;1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2003F"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x10</w:t>
            </w:r>
            <w:r w:rsidR="00A2003F"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9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/l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i/</w:t>
            </w:r>
            <w:r w:rsidR="00A2003F"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2003F"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liczba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2003F"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płytek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2003F"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krwi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2003F"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&lt;50</w:t>
            </w:r>
            <w:r w:rsid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2003F"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x10</w:t>
            </w:r>
            <w:r w:rsidR="00A2003F"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9</w:t>
            </w:r>
            <w:r w:rsidRPr="00D43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/l;</w:t>
            </w:r>
          </w:p>
          <w:p w14:paraId="5938CF0A" w14:textId="77777777" w:rsidR="00A51038" w:rsidRPr="00D43AA6" w:rsidRDefault="00A51038" w:rsidP="00D43AA6">
            <w:pPr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ciąża;</w:t>
            </w:r>
          </w:p>
          <w:p w14:paraId="736B8666" w14:textId="4688CE13" w:rsidR="00A51038" w:rsidRPr="00D43AA6" w:rsidRDefault="00A51038" w:rsidP="00D43AA6">
            <w:pPr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niemożność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zapobiegania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(dotyczy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kobiet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mężczyzn);</w:t>
            </w:r>
          </w:p>
          <w:p w14:paraId="7F0FFA1A" w14:textId="65AAD7F6" w:rsidR="00A51038" w:rsidRPr="00D43AA6" w:rsidRDefault="00A51038" w:rsidP="00D43AA6">
            <w:pPr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nadwrażliwość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pomalidomid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którąkolwiek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substancję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pomocniczą.</w:t>
            </w:r>
          </w:p>
          <w:p w14:paraId="33F49B92" w14:textId="77777777" w:rsidR="004C2D5A" w:rsidRPr="00D43AA6" w:rsidRDefault="004C2D5A" w:rsidP="00D43AA6">
            <w:pPr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FAABD0" w14:textId="18B3641D" w:rsidR="00A51038" w:rsidRPr="00D43AA6" w:rsidRDefault="00A51038" w:rsidP="00D43AA6">
            <w:pPr>
              <w:pStyle w:val="Akapitzlist"/>
              <w:numPr>
                <w:ilvl w:val="1"/>
                <w:numId w:val="19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zakończenia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udziału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programie</w:t>
            </w:r>
          </w:p>
          <w:p w14:paraId="059E017D" w14:textId="7846CEAC" w:rsidR="00A51038" w:rsidRPr="00D43AA6" w:rsidRDefault="00A51038" w:rsidP="00D43AA6">
            <w:pPr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progresja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cyklach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leczenia;</w:t>
            </w:r>
          </w:p>
          <w:p w14:paraId="52AF6B1F" w14:textId="6EB796D7" w:rsidR="00A51038" w:rsidRPr="00D43AA6" w:rsidRDefault="00A51038" w:rsidP="00D43AA6">
            <w:pPr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częściowej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cyklach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EAD6DFD" w14:textId="77777777" w:rsidR="009C2DB3" w:rsidRPr="00D43AA6" w:rsidRDefault="009C2DB3" w:rsidP="00D43AA6">
            <w:pPr>
              <w:pStyle w:val="Akapitzlist"/>
              <w:autoSpaceDE w:val="0"/>
              <w:autoSpaceDN w:val="0"/>
              <w:adjustRightInd w:val="0"/>
              <w:spacing w:after="60"/>
              <w:ind w:left="58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6141B3" w14:textId="22CB2AE6" w:rsidR="00A51038" w:rsidRPr="00D43AA6" w:rsidRDefault="00A51038" w:rsidP="00D43AA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Dawkowanie</w:t>
            </w:r>
            <w:r w:rsid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pomalidomidu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deksametazonu</w:t>
            </w:r>
            <w:proofErr w:type="spellEnd"/>
          </w:p>
          <w:p w14:paraId="33B4CD18" w14:textId="7C5EEE78" w:rsidR="00A51038" w:rsidRPr="00D43AA6" w:rsidRDefault="00A51038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Pomalidomid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kapsułek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twardych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skojarzeniu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deksametazonem</w:t>
            </w:r>
            <w:proofErr w:type="spellEnd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952933D" w14:textId="22A786D4" w:rsidR="00A51038" w:rsidRPr="00D43AA6" w:rsidRDefault="00A51038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Pomalidomid</w:t>
            </w:r>
            <w:proofErr w:type="spellEnd"/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Zalecana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początkowa: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1-21,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powtarzanych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28-dniowych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cyklach.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022FBFE" w14:textId="77777777" w:rsidR="004C2D5A" w:rsidRPr="00D43AA6" w:rsidRDefault="004C2D5A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E2E1F3D" w14:textId="66B74A9D" w:rsidR="00A51038" w:rsidRPr="00D43AA6" w:rsidRDefault="00A51038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Deksametazon</w:t>
            </w:r>
            <w:proofErr w:type="spellEnd"/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Zalecana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dawka: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(20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&gt;75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lat)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1,</w:t>
            </w:r>
            <w:r w:rsidR="00D43AA6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8,</w:t>
            </w:r>
            <w:r w:rsidR="00D43AA6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15</w:t>
            </w:r>
            <w:r w:rsidR="00D43AA6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22</w:t>
            </w:r>
            <w:r w:rsidR="00D43AA6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każdego</w:t>
            </w:r>
            <w:r w:rsidR="00D43AA6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28-dniowego</w:t>
            </w:r>
            <w:r w:rsidR="00D43AA6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cyklu</w:t>
            </w:r>
            <w:r w:rsidR="00D43AA6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leczenia.</w:t>
            </w:r>
          </w:p>
          <w:p w14:paraId="4CD9B3C6" w14:textId="77777777" w:rsidR="004C2D5A" w:rsidRPr="00D43AA6" w:rsidRDefault="004C2D5A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A712FEB" w14:textId="5ED92E7F" w:rsidR="00A51038" w:rsidRPr="00D43AA6" w:rsidRDefault="00A51038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UWAGA:</w:t>
            </w:r>
          </w:p>
          <w:p w14:paraId="7E0746CD" w14:textId="370A2C17" w:rsidR="00A51038" w:rsidRPr="00D43AA6" w:rsidRDefault="00A51038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Dawkowanie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pomalidomidu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deksametazonu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kontynuuje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modyfikuje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(dawkę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leków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i/lub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cyklu)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klinicznych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wyników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laboratoryjnych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zaleceniami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zawartymi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Charakterystyce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pomalidomidu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leczniczym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wynosi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niezależnie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ewentualnych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przerw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jednym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leczniczym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mg.</w:t>
            </w:r>
          </w:p>
          <w:p w14:paraId="7834125E" w14:textId="77777777" w:rsidR="009C2DB3" w:rsidRPr="00D43AA6" w:rsidRDefault="009C2DB3" w:rsidP="00D43AA6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B1A6A6" w14:textId="7781D830" w:rsidR="00A51038" w:rsidRPr="00D43AA6" w:rsidRDefault="00A51038" w:rsidP="00D43AA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Badania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kwalifikacji</w:t>
            </w:r>
          </w:p>
          <w:p w14:paraId="3A52E394" w14:textId="655449E6" w:rsidR="00A51038" w:rsidRPr="00D43AA6" w:rsidRDefault="00A51038" w:rsidP="00D43AA6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rozmazem;</w:t>
            </w:r>
          </w:p>
          <w:p w14:paraId="18F1843A" w14:textId="03051182" w:rsidR="00A51038" w:rsidRPr="00D43AA6" w:rsidRDefault="00A51038" w:rsidP="00D43AA6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wapnia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</w:p>
          <w:p w14:paraId="046A73C0" w14:textId="08285A96" w:rsidR="00A51038" w:rsidRPr="00D43AA6" w:rsidRDefault="00A51038" w:rsidP="00D43AA6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</w:t>
            </w:r>
            <w:proofErr w:type="spellEnd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AlAT</w:t>
            </w:r>
            <w:proofErr w:type="spellEnd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02E73597" w14:textId="07E4BD7A" w:rsidR="00A51038" w:rsidRPr="00D43AA6" w:rsidRDefault="00A51038" w:rsidP="00D43AA6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bilirubiny;</w:t>
            </w:r>
          </w:p>
          <w:p w14:paraId="7AFF951A" w14:textId="23517D79" w:rsidR="00A51038" w:rsidRPr="00D43AA6" w:rsidRDefault="00A51038" w:rsidP="00D43AA6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3A080FF1" w14:textId="3454CA68" w:rsidR="00A51038" w:rsidRPr="00D43AA6" w:rsidRDefault="00A51038" w:rsidP="00D43AA6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klirens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625866F1" w14:textId="0A9C7357" w:rsidR="00A51038" w:rsidRPr="00D43AA6" w:rsidRDefault="00A51038" w:rsidP="00D43AA6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M;</w:t>
            </w:r>
          </w:p>
          <w:p w14:paraId="747215F2" w14:textId="12C2DE95" w:rsidR="00A51038" w:rsidRPr="00D43AA6" w:rsidRDefault="00A51038" w:rsidP="00D43AA6">
            <w:pPr>
              <w:numPr>
                <w:ilvl w:val="3"/>
                <w:numId w:val="21"/>
              </w:num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niskodawkowa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kostnego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(badanie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kośćca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lekarza)</w:t>
            </w:r>
          </w:p>
          <w:p w14:paraId="1DBB064E" w14:textId="4AD9EBA4" w:rsidR="00A51038" w:rsidRPr="00D43AA6" w:rsidRDefault="00A51038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866A2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winny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ciągu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poprzedzających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rozpoczęcie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leczenia.</w:t>
            </w:r>
          </w:p>
          <w:p w14:paraId="2AED933D" w14:textId="1A98D011" w:rsidR="00A51038" w:rsidRPr="00D43AA6" w:rsidRDefault="00A51038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wcześniej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wydaniem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pacjentkom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mogącym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zajść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ciążę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wykonać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ciążowy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czułości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25mIU/ml.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A9CAA4E" w14:textId="77777777" w:rsidR="004C2D5A" w:rsidRPr="00D43AA6" w:rsidRDefault="004C2D5A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3647C6" w14:textId="19A2E82A" w:rsidR="00A51038" w:rsidRPr="00D43AA6" w:rsidRDefault="00A51038" w:rsidP="00D43AA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Monitorowanie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leczenia</w:t>
            </w:r>
          </w:p>
          <w:p w14:paraId="786C751B" w14:textId="24640001" w:rsidR="00A51038" w:rsidRPr="00D43AA6" w:rsidRDefault="00A51038" w:rsidP="00D43AA6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</w:t>
            </w:r>
            <w:r w:rsid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każdym</w:t>
            </w:r>
            <w:r w:rsid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cyklem</w:t>
            </w:r>
            <w:r w:rsid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leczenia:</w:t>
            </w:r>
          </w:p>
          <w:p w14:paraId="73D58883" w14:textId="3CA590DB" w:rsidR="00A51038" w:rsidRPr="00D43AA6" w:rsidRDefault="00A51038" w:rsidP="00D43AA6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wzorem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odsetkowym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1E30598" w14:textId="07A3BADF" w:rsidR="00A51038" w:rsidRPr="00D43AA6" w:rsidRDefault="00A51038" w:rsidP="00D43AA6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ciążowy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czułości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25mIU/ml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pacjentek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mogących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zajść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ciążę,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zaleceniami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</w:t>
            </w:r>
          </w:p>
          <w:p w14:paraId="5D5A89BC" w14:textId="7A8C6D8F" w:rsidR="00A51038" w:rsidRPr="00D43AA6" w:rsidRDefault="00A51038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Ocena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skuteczności:</w:t>
            </w:r>
          </w:p>
          <w:p w14:paraId="7562D240" w14:textId="12AC7D37" w:rsidR="00A51038" w:rsidRPr="00D43AA6" w:rsidRDefault="000C47EB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A51038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51038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51038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51038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51038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51038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wykonać:</w:t>
            </w:r>
          </w:p>
          <w:p w14:paraId="6B28E319" w14:textId="77730E1D" w:rsidR="00A51038" w:rsidRPr="00D43AA6" w:rsidRDefault="00A51038" w:rsidP="00D43AA6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wapnia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</w:p>
          <w:p w14:paraId="1A9D2E0B" w14:textId="2DDC354F" w:rsidR="00A51038" w:rsidRPr="00D43AA6" w:rsidRDefault="00A51038" w:rsidP="00D43AA6">
            <w:pPr>
              <w:numPr>
                <w:ilvl w:val="3"/>
                <w:numId w:val="21"/>
              </w:numPr>
              <w:tabs>
                <w:tab w:val="left" w:pos="373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</w:t>
            </w:r>
            <w:proofErr w:type="spellEnd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AIAT;</w:t>
            </w:r>
          </w:p>
          <w:p w14:paraId="1AFC2E7F" w14:textId="3A744D02" w:rsidR="00A51038" w:rsidRPr="00D43AA6" w:rsidRDefault="00A51038" w:rsidP="00D43AA6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bilirubiny;</w:t>
            </w:r>
          </w:p>
          <w:p w14:paraId="57907116" w14:textId="1635A0AE" w:rsidR="00A51038" w:rsidRPr="00D43AA6" w:rsidRDefault="00A51038" w:rsidP="00D43AA6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5B4F469C" w14:textId="230F2643" w:rsidR="00A51038" w:rsidRPr="00D43AA6" w:rsidRDefault="00A51038" w:rsidP="00D43AA6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klirens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0B54C4EA" w14:textId="0152FF9C" w:rsidR="00A51038" w:rsidRPr="00D43AA6" w:rsidRDefault="00A51038" w:rsidP="00D43AA6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M;</w:t>
            </w:r>
          </w:p>
          <w:p w14:paraId="4E12EA3F" w14:textId="5347E313" w:rsidR="00A51038" w:rsidRPr="00D43AA6" w:rsidRDefault="00A51038" w:rsidP="00D43AA6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niskodawkowa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kostnego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(badanie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kośćca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lekarza).</w:t>
            </w:r>
          </w:p>
          <w:p w14:paraId="04E6B5EF" w14:textId="77777777" w:rsidR="004C2D5A" w:rsidRPr="00D43AA6" w:rsidRDefault="004C2D5A" w:rsidP="00D43AA6">
            <w:pPr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6B1574A" w14:textId="18904158" w:rsidR="000A617D" w:rsidRPr="00D43AA6" w:rsidRDefault="000A617D" w:rsidP="00D43AA6">
            <w:pPr>
              <w:pStyle w:val="Akapitzlist"/>
              <w:numPr>
                <w:ilvl w:val="0"/>
                <w:numId w:val="21"/>
              </w:numPr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Monitorowanie</w:t>
            </w:r>
            <w:r w:rsid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1C6E9B02" w14:textId="6B794F73" w:rsidR="000A617D" w:rsidRPr="00D43AA6" w:rsidRDefault="000A617D" w:rsidP="00D43AA6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gromadzenie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każdorazowe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przedstawianie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żądanie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kontrolerów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Zdrowia;</w:t>
            </w:r>
          </w:p>
          <w:p w14:paraId="1F034DE4" w14:textId="645B854E" w:rsidR="0042338F" w:rsidRPr="00D43AA6" w:rsidRDefault="0042338F" w:rsidP="00D43AA6">
            <w:pPr>
              <w:pStyle w:val="Akapitzlist"/>
              <w:numPr>
                <w:ilvl w:val="3"/>
                <w:numId w:val="21"/>
              </w:numPr>
              <w:spacing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uzupełnianie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elektronicznym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programów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lekowych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(SMPT)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leczenia;</w:t>
            </w:r>
          </w:p>
          <w:p w14:paraId="26B3B72E" w14:textId="0500811D" w:rsidR="009C2DB3" w:rsidRPr="00D43AA6" w:rsidRDefault="000A617D" w:rsidP="00D43AA6">
            <w:pPr>
              <w:pStyle w:val="Akapitzlist"/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przekazywanie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sprawozdawczo-rozliczeniowych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NFZ: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przekazuje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elektronicznej,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wymaganiami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opublikowanymi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Narodowy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Fundusz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Zdrowia.</w:t>
            </w:r>
          </w:p>
          <w:p w14:paraId="37C96794" w14:textId="76AB5A4A" w:rsidR="004C2D5A" w:rsidRPr="00D43AA6" w:rsidRDefault="004C2D5A" w:rsidP="00D43AA6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C2DB3" w:rsidRPr="00D43AA6" w14:paraId="5F3D951E" w14:textId="77777777" w:rsidTr="00D43AA6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8A9332" w14:textId="70BCA666" w:rsidR="009C2DB3" w:rsidRPr="00D43AA6" w:rsidRDefault="00C5607F" w:rsidP="00D43AA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27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Daratumumab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</w:t>
            </w:r>
            <w:r w:rsidR="00DA4315"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schemat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DV</w:t>
            </w:r>
            <w:r w:rsidR="00A1412B"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</w:t>
            </w:r>
            <w:proofErr w:type="spellEnd"/>
            <w:r w:rsidR="00A1412B"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A1412B" w:rsidRPr="00D43AA6" w14:paraId="45434489" w14:textId="77777777" w:rsidTr="005D6B62">
        <w:trPr>
          <w:trHeight w:val="20"/>
        </w:trPr>
        <w:tc>
          <w:tcPr>
            <w:tcW w:w="184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8E8354" w14:textId="270812BF" w:rsidR="009D3AC9" w:rsidRDefault="009D3AC9" w:rsidP="00D43AA6">
            <w:pPr>
              <w:pStyle w:val="Akapitzlist"/>
              <w:numPr>
                <w:ilvl w:val="0"/>
                <w:numId w:val="22"/>
              </w:numPr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Daratumumab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skojarzeniu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bortezomibem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deksametazonem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leczeniu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chorych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szpiczaka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plazmocytowego</w:t>
            </w:r>
            <w:proofErr w:type="spellEnd"/>
          </w:p>
          <w:p w14:paraId="7BC3F80F" w14:textId="4D457944" w:rsidR="005D6B62" w:rsidRDefault="005D6B62" w:rsidP="005D6B62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D49F486" w14:textId="77777777" w:rsidR="005D6B62" w:rsidRPr="005D6B62" w:rsidRDefault="005D6B62" w:rsidP="005D6B62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E51143D" w14:textId="4EF0C936" w:rsidR="00A1412B" w:rsidRPr="00D43AA6" w:rsidRDefault="00A1412B" w:rsidP="00D43AA6">
            <w:pPr>
              <w:pStyle w:val="Akapitzlist"/>
              <w:numPr>
                <w:ilvl w:val="1"/>
                <w:numId w:val="22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C47EB"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C47EB"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C47EB"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daratumumabem</w:t>
            </w:r>
            <w:proofErr w:type="spellEnd"/>
          </w:p>
          <w:p w14:paraId="3782697D" w14:textId="0ABEE06F" w:rsidR="00A1412B" w:rsidRPr="00D43AA6" w:rsidRDefault="00A1412B" w:rsidP="00D43AA6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dorośli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(≥18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lat)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chorzy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nawrotowego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i/lub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opornego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szpiczaka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plazmocytowego</w:t>
            </w:r>
            <w:proofErr w:type="spellEnd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spełniają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jedno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poniższych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kryteriów:</w:t>
            </w:r>
          </w:p>
          <w:p w14:paraId="2115A7AB" w14:textId="7A5A99CC" w:rsidR="00A1412B" w:rsidRPr="00D43AA6" w:rsidRDefault="00A1412B" w:rsidP="00D43AA6">
            <w:pPr>
              <w:pStyle w:val="Akapitzlist"/>
              <w:numPr>
                <w:ilvl w:val="3"/>
                <w:numId w:val="22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Pacjenci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zastosowano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jedną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linię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leczenia,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obejmującą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bortezomib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przeszczepienie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komórek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macierzystych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szpiku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celowe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ponowne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bortezomibem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zaleceniami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klinicznymi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warunkiem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niewystępowania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polineuropatii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obwodowej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bólu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neuropatycznego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stopnia;</w:t>
            </w:r>
          </w:p>
          <w:p w14:paraId="56CE1AFE" w14:textId="2A004C6A" w:rsidR="00A1412B" w:rsidRPr="00D43AA6" w:rsidRDefault="00A1412B" w:rsidP="00D43AA6">
            <w:pPr>
              <w:pStyle w:val="Akapitzlist"/>
              <w:numPr>
                <w:ilvl w:val="3"/>
                <w:numId w:val="22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Pacjenci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zastosowano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poprzedzające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linie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leczenia,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obejmujące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bortezomib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lenalidomid</w:t>
            </w:r>
            <w:proofErr w:type="spellEnd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512AA6" w14:textId="77777777" w:rsidR="004C2D5A" w:rsidRPr="00D43AA6" w:rsidRDefault="004C2D5A" w:rsidP="00D43AA6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E743D" w14:textId="167433C8" w:rsidR="00A1412B" w:rsidRPr="00D43AA6" w:rsidRDefault="00A1412B" w:rsidP="00D43AA6">
            <w:pPr>
              <w:pStyle w:val="Akapitzlist"/>
              <w:numPr>
                <w:ilvl w:val="1"/>
                <w:numId w:val="22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Określenie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czasu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</w:p>
          <w:p w14:paraId="45EE2C90" w14:textId="484B01A8" w:rsidR="00A1412B" w:rsidRPr="00D43AA6" w:rsidRDefault="00A1412B" w:rsidP="00D43AA6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daratumumabem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bortezomibem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deksametazonem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kontynuuje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progresji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nieakceptowalnej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toksyczności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zaleceniami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Charakterystyk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Produktów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Leczniczych.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C8CE74" w14:textId="77777777" w:rsidR="004C2D5A" w:rsidRPr="00D43AA6" w:rsidRDefault="004C2D5A" w:rsidP="00D43AA6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0796F" w14:textId="10BCB76F" w:rsidR="00A1412B" w:rsidRPr="00D43AA6" w:rsidRDefault="00A1412B" w:rsidP="00D43AA6">
            <w:pPr>
              <w:pStyle w:val="Akapitzlist"/>
              <w:numPr>
                <w:ilvl w:val="1"/>
                <w:numId w:val="22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wykluczające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udział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</w:p>
          <w:p w14:paraId="27AF9176" w14:textId="5656A132" w:rsidR="00A1412B" w:rsidRPr="00D43AA6" w:rsidRDefault="00A1412B" w:rsidP="00D43AA6">
            <w:pPr>
              <w:numPr>
                <w:ilvl w:val="3"/>
                <w:numId w:val="22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Nadwrażliwość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daratumumab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którąkolwiek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substancję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pomocniczą;</w:t>
            </w:r>
          </w:p>
          <w:p w14:paraId="156C1231" w14:textId="160E5D77" w:rsidR="00A1412B" w:rsidRPr="00D43AA6" w:rsidRDefault="00A1412B" w:rsidP="00D43AA6">
            <w:pPr>
              <w:numPr>
                <w:ilvl w:val="3"/>
                <w:numId w:val="22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Oporność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bortezomibem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przeciwskazania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jego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Charakterystyką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  <w:r w:rsidR="004C2D5A" w:rsidRPr="00D43A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453F2FA" w14:textId="77777777" w:rsidR="004C2D5A" w:rsidRPr="00D43AA6" w:rsidRDefault="004C2D5A" w:rsidP="00D43AA6">
            <w:pPr>
              <w:spacing w:after="60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2AFB9" w14:textId="4139B12F" w:rsidR="00A1412B" w:rsidRPr="00D43AA6" w:rsidRDefault="00A1412B" w:rsidP="00D43AA6">
            <w:pPr>
              <w:pStyle w:val="Akapitzlist"/>
              <w:numPr>
                <w:ilvl w:val="1"/>
                <w:numId w:val="22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zakończenia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udziału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</w:p>
          <w:p w14:paraId="781C48CF" w14:textId="59A49DE1" w:rsidR="00A1412B" w:rsidRPr="00D43AA6" w:rsidRDefault="00A1412B" w:rsidP="00D43AA6">
            <w:pPr>
              <w:numPr>
                <w:ilvl w:val="3"/>
                <w:numId w:val="22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Progresja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(po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cyklach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leczenia);</w:t>
            </w:r>
          </w:p>
          <w:p w14:paraId="70223019" w14:textId="4F285BE3" w:rsidR="00A1412B" w:rsidRPr="00D43AA6" w:rsidRDefault="00A1412B" w:rsidP="00D43AA6">
            <w:pPr>
              <w:numPr>
                <w:ilvl w:val="3"/>
                <w:numId w:val="22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częściowej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remisji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cyklach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leczenia;</w:t>
            </w:r>
          </w:p>
          <w:p w14:paraId="6A9C1582" w14:textId="3952FB0D" w:rsidR="00A1412B" w:rsidRPr="00D43AA6" w:rsidRDefault="00A1412B" w:rsidP="00D43AA6">
            <w:pPr>
              <w:numPr>
                <w:ilvl w:val="3"/>
                <w:numId w:val="22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Powikłania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okołoinfuzyjne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uniemożliwiające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kontynuację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daratumumabem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Charakterystyką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Leczniczego;</w:t>
            </w:r>
          </w:p>
          <w:p w14:paraId="00F201C2" w14:textId="77777777" w:rsidR="00A1412B" w:rsidRPr="00D43AA6" w:rsidRDefault="00A1412B" w:rsidP="00D43AA6">
            <w:pPr>
              <w:numPr>
                <w:ilvl w:val="3"/>
                <w:numId w:val="22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Ciąża.</w:t>
            </w:r>
          </w:p>
          <w:p w14:paraId="5F3A27AC" w14:textId="77777777" w:rsidR="00A1412B" w:rsidRPr="00D43AA6" w:rsidRDefault="00A1412B" w:rsidP="00D43AA6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10D42A" w14:textId="40B9B97E" w:rsidR="000C47EB" w:rsidRPr="00D43AA6" w:rsidRDefault="000C47EB" w:rsidP="00D43AA6">
            <w:pPr>
              <w:pStyle w:val="Akapitzlist"/>
              <w:numPr>
                <w:ilvl w:val="0"/>
                <w:numId w:val="23"/>
              </w:numPr>
              <w:spacing w:before="120" w:after="6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Dawkowanie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daratumumabu</w:t>
            </w:r>
            <w:proofErr w:type="spellEnd"/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skojarzeniu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bortezomibem</w:t>
            </w:r>
            <w:proofErr w:type="spellEnd"/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/>
                <w:sz w:val="20"/>
                <w:szCs w:val="20"/>
              </w:rPr>
              <w:t>deksametazonem</w:t>
            </w:r>
            <w:proofErr w:type="spellEnd"/>
          </w:p>
          <w:p w14:paraId="01A83D08" w14:textId="7CA04968" w:rsidR="000C47EB" w:rsidRPr="00D43AA6" w:rsidRDefault="000C47EB" w:rsidP="00D43AA6">
            <w:pPr>
              <w:tabs>
                <w:tab w:val="left" w:pos="109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Daratumumab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dawce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masy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ciała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podawany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wlewie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dożylnym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tygodniu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tygodniach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1-9,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trzy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tygodniach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10-24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tygodnia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progresji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nieakceptowalnej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toksyczności.</w:t>
            </w:r>
          </w:p>
          <w:p w14:paraId="2E3A135B" w14:textId="59A4D081" w:rsidR="000C47EB" w:rsidRPr="00D43AA6" w:rsidRDefault="000C47EB" w:rsidP="00D43AA6">
            <w:pPr>
              <w:tabs>
                <w:tab w:val="left" w:pos="109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Długość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cyklu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tyg.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wynosi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tygodnie,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tyg.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wynosi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tygodnie.</w:t>
            </w:r>
          </w:p>
          <w:p w14:paraId="05054D6D" w14:textId="7DD76339" w:rsidR="000C47EB" w:rsidRPr="00D43AA6" w:rsidRDefault="000C47EB" w:rsidP="00D43AA6">
            <w:pPr>
              <w:tabs>
                <w:tab w:val="left" w:pos="109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Zmiana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dawkowania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szybkości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infuzji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daratumumabu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powinny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prowadzone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Charakterystyką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Leczniczego.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zakończeniu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infuzji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podać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leki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zmniejszające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ryzyko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reakcji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okołoinfuzyjnych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Charakterystyką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Leczniczego.</w:t>
            </w:r>
          </w:p>
          <w:p w14:paraId="373100CF" w14:textId="77777777" w:rsidR="004C2D5A" w:rsidRPr="00D43AA6" w:rsidRDefault="004C2D5A" w:rsidP="00D43AA6">
            <w:pPr>
              <w:tabs>
                <w:tab w:val="left" w:pos="109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7F287" w14:textId="3D311571" w:rsidR="000C47EB" w:rsidRPr="00D43AA6" w:rsidRDefault="000C47EB" w:rsidP="00D43AA6">
            <w:pPr>
              <w:tabs>
                <w:tab w:val="left" w:pos="109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Bortezomib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podawany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wstrzyknięciu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podskórnym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infuzji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dożylnej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dawce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mg/m</w:t>
            </w:r>
            <w:r w:rsidRPr="00D43AA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powierzchni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ciała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dwa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razy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tygodniu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dwa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(dni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1.,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4.,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11.)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powtarzalnych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cyklach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trwających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(3-tygodnie)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cykli.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BDCAFA" w14:textId="77777777" w:rsidR="004C2D5A" w:rsidRPr="00D43AA6" w:rsidRDefault="004C2D5A" w:rsidP="00D43AA6">
            <w:pPr>
              <w:tabs>
                <w:tab w:val="left" w:pos="109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FEF6A" w14:textId="4B259499" w:rsidR="000C47EB" w:rsidRPr="00D43AA6" w:rsidRDefault="000C47EB" w:rsidP="00D43AA6">
            <w:pPr>
              <w:tabs>
                <w:tab w:val="left" w:pos="109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Deksametazon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podawany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doustnie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dawce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dniach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1.,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2.,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4.,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5.,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8.,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9.,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każdego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cykli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bortezomibu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(80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mg/tydzień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dwa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trzech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tygodni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cyklu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bortezomibu</w:t>
            </w:r>
            <w:proofErr w:type="spellEnd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zmniejszonej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dawce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mg/tydzień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wieku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lat,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18,5;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kontrolowaną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cukrzycą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wcześniejszą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nietolerancją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steroidami.</w:t>
            </w:r>
          </w:p>
          <w:p w14:paraId="7E1B757C" w14:textId="77777777" w:rsidR="004C2D5A" w:rsidRPr="00D43AA6" w:rsidRDefault="004C2D5A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06085" w14:textId="23D47FEC" w:rsidR="000C47EB" w:rsidRPr="00D43AA6" w:rsidRDefault="000C47EB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rozpoczęciem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skojarzonej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daratumumabem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bortezomibem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deksametazonem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zaleca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profilaktykę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przeciwwirusową,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zapobiegającą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reaktywacji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wirusa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półpaśca.</w:t>
            </w:r>
          </w:p>
          <w:p w14:paraId="5A738BD5" w14:textId="77777777" w:rsidR="00A1412B" w:rsidRPr="00D43AA6" w:rsidRDefault="00A1412B" w:rsidP="00D43AA6">
            <w:pPr>
              <w:pStyle w:val="Akapitzlist"/>
              <w:autoSpaceDE w:val="0"/>
              <w:autoSpaceDN w:val="0"/>
              <w:adjustRightInd w:val="0"/>
              <w:spacing w:after="60"/>
              <w:ind w:left="58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C84917" w14:textId="11A2BCDC" w:rsidR="007C413C" w:rsidRPr="00D43AA6" w:rsidRDefault="007C413C" w:rsidP="00D43AA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Badania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kwalifikacji</w:t>
            </w:r>
          </w:p>
          <w:p w14:paraId="27A8C19C" w14:textId="028202B0" w:rsidR="007C413C" w:rsidRPr="00D43AA6" w:rsidRDefault="007C413C" w:rsidP="00D43AA6">
            <w:pPr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rozmazem;</w:t>
            </w:r>
          </w:p>
          <w:p w14:paraId="101857BD" w14:textId="528E783C" w:rsidR="007C413C" w:rsidRPr="00D43AA6" w:rsidRDefault="007C413C" w:rsidP="00D43AA6">
            <w:pPr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wapnia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</w:p>
          <w:p w14:paraId="10EAADE0" w14:textId="372800C3" w:rsidR="007C413C" w:rsidRPr="00D43AA6" w:rsidRDefault="007C413C" w:rsidP="00D43AA6">
            <w:pPr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</w:t>
            </w:r>
            <w:proofErr w:type="spellEnd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AlAT</w:t>
            </w:r>
            <w:proofErr w:type="spellEnd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161D3767" w14:textId="0ABABA78" w:rsidR="007C413C" w:rsidRPr="00D43AA6" w:rsidRDefault="007C413C" w:rsidP="00D43AA6">
            <w:pPr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bilirubiny;</w:t>
            </w:r>
          </w:p>
          <w:p w14:paraId="79E339C4" w14:textId="1233F4AB" w:rsidR="007C413C" w:rsidRPr="00D43AA6" w:rsidRDefault="007C413C" w:rsidP="00D43AA6">
            <w:pPr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1D2BFBC2" w14:textId="5D94F49E" w:rsidR="007C413C" w:rsidRPr="00D43AA6" w:rsidRDefault="007C413C" w:rsidP="00D43AA6">
            <w:pPr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klirens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3B65F627" w14:textId="6116E7A0" w:rsidR="007C413C" w:rsidRPr="00D43AA6" w:rsidRDefault="007C413C" w:rsidP="00D43AA6">
            <w:pPr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M;</w:t>
            </w:r>
          </w:p>
          <w:p w14:paraId="51A1043E" w14:textId="604FD229" w:rsidR="007C413C" w:rsidRPr="00D43AA6" w:rsidRDefault="007C413C" w:rsidP="00D43AA6">
            <w:pPr>
              <w:numPr>
                <w:ilvl w:val="3"/>
                <w:numId w:val="24"/>
              </w:num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niskodawkowa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kostnego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(badanie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kośćca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lekarza)</w:t>
            </w:r>
          </w:p>
          <w:p w14:paraId="292CA2B4" w14:textId="7EF26635" w:rsidR="007C413C" w:rsidRPr="00D43AA6" w:rsidRDefault="00D43AA6" w:rsidP="00D43AA6">
            <w:pPr>
              <w:numPr>
                <w:ilvl w:val="3"/>
                <w:numId w:val="24"/>
              </w:num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13C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pośredni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13C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7C413C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antyglobulinowy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13C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(test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13C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pośredni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7C413C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Coombs’a</w:t>
            </w:r>
            <w:proofErr w:type="spellEnd"/>
            <w:r w:rsidR="007C413C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).</w:t>
            </w:r>
          </w:p>
          <w:p w14:paraId="32DF1966" w14:textId="2359B5A9" w:rsidR="007C413C" w:rsidRPr="00D43AA6" w:rsidRDefault="007C413C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2DDF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winny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ciągu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poprzedzających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rozpoczęcie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leczenia.</w:t>
            </w:r>
          </w:p>
          <w:p w14:paraId="1BF7F08F" w14:textId="77777777" w:rsidR="004C2D5A" w:rsidRPr="00D43AA6" w:rsidRDefault="004C2D5A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3DE368C" w14:textId="24A79F8A" w:rsidR="007C413C" w:rsidRPr="00D43AA6" w:rsidRDefault="007C413C" w:rsidP="00D43AA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Monitorowanie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leczenia</w:t>
            </w:r>
          </w:p>
          <w:p w14:paraId="6EDF6030" w14:textId="48ABF1DB" w:rsidR="007C413C" w:rsidRPr="00D43AA6" w:rsidRDefault="007C413C" w:rsidP="00D43AA6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</w:t>
            </w:r>
            <w:r w:rsid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każdym</w:t>
            </w:r>
            <w:r w:rsid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cyklem</w:t>
            </w:r>
            <w:r w:rsid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leczenia:</w:t>
            </w:r>
          </w:p>
          <w:p w14:paraId="0A7A0EA5" w14:textId="5EFD39BE" w:rsidR="007C413C" w:rsidRPr="00D43AA6" w:rsidRDefault="007C413C" w:rsidP="00D43AA6">
            <w:pPr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wzorem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odsetkowym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110CEE2" w14:textId="5BB76BF9" w:rsidR="007C413C" w:rsidRPr="00D43AA6" w:rsidRDefault="007C413C" w:rsidP="00D43AA6">
            <w:pPr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biochemiczne</w:t>
            </w:r>
            <w:r w:rsidR="00727682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AST</w:t>
            </w:r>
            <w:proofErr w:type="spellEnd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ALT,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bilirubina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całkowita,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wapń,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klirens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</w:t>
            </w:r>
            <w:r w:rsidR="00727682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CDD9596" w14:textId="32194891" w:rsidR="007C413C" w:rsidRPr="00D43AA6" w:rsidRDefault="007C413C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Ocena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skuteczności:</w:t>
            </w:r>
          </w:p>
          <w:p w14:paraId="2BC05B08" w14:textId="48FA36EE" w:rsidR="007C413C" w:rsidRPr="00D43AA6" w:rsidRDefault="007C413C" w:rsidP="00D43AA6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moczu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rzadziej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badań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pozwalających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ocenę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skuteczności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prowadzonego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aktualnymi,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ujednoliconymi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kryteriami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przyjętymi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International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Myeloma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Working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Group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(IMWG).</w:t>
            </w:r>
          </w:p>
          <w:p w14:paraId="5B548C1A" w14:textId="77777777" w:rsidR="004C2D5A" w:rsidRPr="00D43AA6" w:rsidRDefault="004C2D5A" w:rsidP="00D43AA6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711CF3" w14:textId="7FCAF3D5" w:rsidR="007C413C" w:rsidRPr="00D43AA6" w:rsidRDefault="007C413C" w:rsidP="00D43AA6">
            <w:pPr>
              <w:pStyle w:val="Akapitzlist"/>
              <w:numPr>
                <w:ilvl w:val="0"/>
                <w:numId w:val="2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Monitorowanie</w:t>
            </w:r>
            <w:r w:rsid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47703DFD" w14:textId="17F94561" w:rsidR="007C413C" w:rsidRPr="00D43AA6" w:rsidRDefault="007C413C" w:rsidP="00D43AA6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gromadzenie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każdorazowe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przedstawianie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żądanie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kontrolerów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Zdrowia;</w:t>
            </w:r>
          </w:p>
          <w:p w14:paraId="5549B077" w14:textId="643F170B" w:rsidR="00435124" w:rsidRPr="00D43AA6" w:rsidRDefault="00435124" w:rsidP="00D43AA6">
            <w:pPr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uzupełnianie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elektronicznym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programów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lekowych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(SMPT)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leczenia;</w:t>
            </w:r>
          </w:p>
          <w:p w14:paraId="0C73AF9B" w14:textId="17704100" w:rsidR="00A1412B" w:rsidRPr="00D43AA6" w:rsidRDefault="007C413C" w:rsidP="00D43AA6">
            <w:pPr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przekazywanie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sprawozdawczo-rozliczeniowych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NFZ: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przekazuje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elektronicznej,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wymaganiami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opublikowanymi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Narodowy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Fundusz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Zdrowia.</w:t>
            </w:r>
          </w:p>
          <w:p w14:paraId="7E420192" w14:textId="032DBB36" w:rsidR="004C2D5A" w:rsidRPr="00D43AA6" w:rsidRDefault="004C2D5A" w:rsidP="00D43AA6">
            <w:pPr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924" w:rsidRPr="00D43AA6" w14:paraId="31F3D03E" w14:textId="77777777" w:rsidTr="00D43AA6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A91768" w14:textId="21E0EA27" w:rsidR="00D45924" w:rsidRPr="00D43AA6" w:rsidRDefault="00D45924" w:rsidP="00D43AA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27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Karfilzomib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</w:t>
            </w:r>
            <w:r w:rsidR="00DA4315"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schemat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Kd</w:t>
            </w:r>
            <w:proofErr w:type="spellEnd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C03ECF" w:rsidRPr="00D43AA6" w14:paraId="7D91FA81" w14:textId="77777777" w:rsidTr="005D6B62">
        <w:trPr>
          <w:trHeight w:val="20"/>
        </w:trPr>
        <w:tc>
          <w:tcPr>
            <w:tcW w:w="184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180C84" w14:textId="37D25195" w:rsidR="009D3AC9" w:rsidRPr="00D43AA6" w:rsidRDefault="009D3AC9" w:rsidP="00D43AA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Leczenie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chorych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opornego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nawrotowego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szpiczaka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plazmocytowego</w:t>
            </w:r>
            <w:proofErr w:type="spellEnd"/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wykorzystaniem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skojarzonego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318EB"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318EB"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karfilzomibem</w:t>
            </w:r>
            <w:proofErr w:type="spellEnd"/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318EB"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deksametazonem</w:t>
            </w:r>
            <w:proofErr w:type="spellEnd"/>
          </w:p>
          <w:p w14:paraId="32A4E7EA" w14:textId="097FF672" w:rsidR="00C03ECF" w:rsidRPr="00D43AA6" w:rsidRDefault="00C03ECF" w:rsidP="00D43AA6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karfilzomibem</w:t>
            </w:r>
            <w:proofErr w:type="spellEnd"/>
          </w:p>
          <w:p w14:paraId="7B61CC2E" w14:textId="50CA1AD0" w:rsidR="00C03ECF" w:rsidRPr="00D43AA6" w:rsidRDefault="00C03ECF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programu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kwalifikowani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są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pacjenci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opornym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nawrotowym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szpiczakiem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mnogim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wieku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lat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powyżej,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których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spełnione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są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następujące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warunki:</w:t>
            </w:r>
          </w:p>
          <w:p w14:paraId="71E2E82F" w14:textId="31C83AAE" w:rsidR="00C03ECF" w:rsidRPr="00D43AA6" w:rsidRDefault="001400D1" w:rsidP="00D43AA6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Stosowano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1,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ale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więcej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niż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wcześniejsze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protokoły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F2DEE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(linie)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(terapia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indukująca,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po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której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nastąpi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przeszczep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komórek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macierzystych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terapia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konsolidacyjna/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podtrzymująca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są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traktowane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jako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jedna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linia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1424B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leczenia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);</w:t>
            </w:r>
          </w:p>
          <w:p w14:paraId="28F24D6F" w14:textId="0D514D0D" w:rsidR="00C03ECF" w:rsidRPr="00D43AA6" w:rsidRDefault="00C03ECF" w:rsidP="00D43AA6">
            <w:pPr>
              <w:pStyle w:val="Akapitzlist"/>
              <w:numPr>
                <w:ilvl w:val="3"/>
                <w:numId w:val="25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LVEF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≥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40%;</w:t>
            </w:r>
          </w:p>
          <w:p w14:paraId="4F1AF705" w14:textId="2C8A2300" w:rsidR="00C03ECF" w:rsidRPr="00D43AA6" w:rsidRDefault="00C03ECF" w:rsidP="00D43AA6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Stan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sprawności</w:t>
            </w:r>
            <w:proofErr w:type="spellEnd"/>
            <w:r w:rsidR="00D43A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ECOG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2.</w:t>
            </w:r>
          </w:p>
          <w:p w14:paraId="27E3915D" w14:textId="77777777" w:rsidR="004C2D5A" w:rsidRPr="00D43AA6" w:rsidRDefault="004C2D5A" w:rsidP="00D43AA6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E67E0D" w14:textId="74B15900" w:rsidR="009C0148" w:rsidRPr="00D43AA6" w:rsidRDefault="009C0148" w:rsidP="00D43AA6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Określenie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czasu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</w:p>
          <w:p w14:paraId="5395A667" w14:textId="0BA1A8A3" w:rsidR="00C03ECF" w:rsidRPr="00D43AA6" w:rsidRDefault="009C0148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15E6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karfilzomibem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15E6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kontynuuje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C15E6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się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C15E6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C15E6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progresji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C15E6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choroby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C15E6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(z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zastrzeżeniem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p.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1.4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poniżej)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wystąpienia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nietolerancji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leku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sz w:val="20"/>
                <w:szCs w:val="20"/>
              </w:rPr>
              <w:t>mimo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sz w:val="20"/>
                <w:szCs w:val="20"/>
              </w:rPr>
              <w:t>redukcji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3ECF" w:rsidRPr="00D43AA6">
              <w:rPr>
                <w:rFonts w:ascii="Times New Roman" w:hAnsi="Times New Roman" w:cs="Times New Roman"/>
                <w:sz w:val="20"/>
                <w:szCs w:val="20"/>
              </w:rPr>
              <w:t>dawki.</w:t>
            </w:r>
          </w:p>
          <w:p w14:paraId="420746EF" w14:textId="77777777" w:rsidR="00F05FF5" w:rsidRPr="00D43AA6" w:rsidRDefault="00F05FF5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1D910A" w14:textId="55BF165B" w:rsidR="00C03ECF" w:rsidRPr="00D43AA6" w:rsidRDefault="00C03ECF" w:rsidP="00D43AA6">
            <w:pPr>
              <w:pStyle w:val="Akapitzlist"/>
              <w:numPr>
                <w:ilvl w:val="1"/>
                <w:numId w:val="25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niepozwalające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zakwalifikowanie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względu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bezpieczeństwo</w:t>
            </w:r>
          </w:p>
          <w:p w14:paraId="1C51FB63" w14:textId="60FEB62B" w:rsidR="00C03ECF" w:rsidRPr="00D43AA6" w:rsidRDefault="00C03ECF" w:rsidP="00D43AA6">
            <w:pPr>
              <w:numPr>
                <w:ilvl w:val="3"/>
                <w:numId w:val="25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ciąża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okres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karmienia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piersią;</w:t>
            </w:r>
          </w:p>
          <w:p w14:paraId="1025B4C6" w14:textId="351923A3" w:rsidR="00C03ECF" w:rsidRPr="00D43AA6" w:rsidRDefault="00C03ECF" w:rsidP="00D43AA6">
            <w:pPr>
              <w:numPr>
                <w:ilvl w:val="3"/>
                <w:numId w:val="25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niemożność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stosowania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się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programu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zapobiegania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ciąży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(dotyczy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kobiet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mężczyzn);</w:t>
            </w:r>
          </w:p>
          <w:p w14:paraId="1194BF10" w14:textId="11BFA657" w:rsidR="00C03ECF" w:rsidRPr="00D43AA6" w:rsidRDefault="00C03ECF" w:rsidP="00D43AA6">
            <w:pPr>
              <w:numPr>
                <w:ilvl w:val="3"/>
                <w:numId w:val="25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nadwrażliwość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karfilzomib</w:t>
            </w:r>
            <w:proofErr w:type="spellEnd"/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którąkolwiek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substancję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pomocniczą;</w:t>
            </w:r>
          </w:p>
          <w:p w14:paraId="127285F5" w14:textId="3D49AF7D" w:rsidR="00C03ECF" w:rsidRPr="00D43AA6" w:rsidRDefault="00C03ECF" w:rsidP="00D43AA6">
            <w:pPr>
              <w:numPr>
                <w:ilvl w:val="3"/>
                <w:numId w:val="25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niewydolność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serca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stopnia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IV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wg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klasyfikacji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NYHA;</w:t>
            </w:r>
          </w:p>
          <w:p w14:paraId="4E89C3DF" w14:textId="225A6B68" w:rsidR="00C03ECF" w:rsidRPr="00D43AA6" w:rsidRDefault="00C03ECF" w:rsidP="00D43AA6">
            <w:pPr>
              <w:numPr>
                <w:ilvl w:val="3"/>
                <w:numId w:val="25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zawał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mięśnia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sercowego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przebyty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ciągu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ostatnich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miesięcy;</w:t>
            </w:r>
          </w:p>
          <w:p w14:paraId="162C20E0" w14:textId="0048201A" w:rsidR="00C03ECF" w:rsidRPr="00D43AA6" w:rsidRDefault="00C03ECF" w:rsidP="00D43AA6">
            <w:pPr>
              <w:numPr>
                <w:ilvl w:val="3"/>
                <w:numId w:val="25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niekontrolowana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choroba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niedokrwienna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serca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niekontrolowane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farmakologicznie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nieprawidłowe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zmiany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przewodzenia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impulsów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mięśniu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sercowym;</w:t>
            </w:r>
          </w:p>
          <w:p w14:paraId="35F5E334" w14:textId="6C757F93" w:rsidR="00C03ECF" w:rsidRPr="00D43AA6" w:rsidRDefault="00C03ECF" w:rsidP="00D43AA6">
            <w:pPr>
              <w:pStyle w:val="Akapitzlist"/>
              <w:numPr>
                <w:ilvl w:val="3"/>
                <w:numId w:val="25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bezwzględna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liczba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neutrofili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&lt;1,0x10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9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/l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liczba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płytek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krwi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&lt;50x10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9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/l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&lt;30x10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9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/l,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zależności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od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nacieczenia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szpiku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kostnego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przez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komórki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plazmatyczne.</w:t>
            </w:r>
          </w:p>
          <w:p w14:paraId="35F09771" w14:textId="77777777" w:rsidR="00F05FF5" w:rsidRPr="00D43AA6" w:rsidRDefault="00F05FF5" w:rsidP="00D43AA6">
            <w:pPr>
              <w:pStyle w:val="Akapitzlist"/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1A13B7" w14:textId="12259ECC" w:rsidR="00C03ECF" w:rsidRPr="00D43AA6" w:rsidRDefault="00C03ECF" w:rsidP="00D43AA6">
            <w:pPr>
              <w:pStyle w:val="Akapitzlist"/>
              <w:numPr>
                <w:ilvl w:val="1"/>
                <w:numId w:val="25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zakończenia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udziału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</w:p>
          <w:p w14:paraId="44731471" w14:textId="649E62AE" w:rsidR="00C03ECF" w:rsidRPr="00D43AA6" w:rsidRDefault="00C03ECF" w:rsidP="00D43AA6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progresja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choroby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po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więcej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niż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cyklach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leczenia;</w:t>
            </w:r>
          </w:p>
          <w:p w14:paraId="0DE41F67" w14:textId="41CDA042" w:rsidR="00C03ECF" w:rsidRPr="00D43AA6" w:rsidRDefault="00C03ECF" w:rsidP="00D43AA6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brak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remisji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częściowej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po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cyklach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leczenia.</w:t>
            </w:r>
          </w:p>
          <w:p w14:paraId="0395588F" w14:textId="77777777" w:rsidR="00C03ECF" w:rsidRPr="00D43AA6" w:rsidRDefault="00C03ECF" w:rsidP="00D43AA6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88412" w14:textId="0886C8B7" w:rsidR="003A3831" w:rsidRPr="00D43AA6" w:rsidRDefault="004810CC" w:rsidP="00D43AA6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Dawkowanie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</w:t>
            </w:r>
            <w:r w:rsidR="00C03ECF"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arfilzomib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</w:t>
            </w:r>
            <w:proofErr w:type="spellEnd"/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skojarzeniu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deksametazonem</w:t>
            </w:r>
            <w:proofErr w:type="spellEnd"/>
            <w:r w:rsidR="00C03ECF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13732AE3" w14:textId="4FB484D0" w:rsidR="00C03ECF" w:rsidRPr="00D43AA6" w:rsidRDefault="00C03ECF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Karfilzomib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infuzji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trwającej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minut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(dzień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15.),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następuje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13-dniowy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(od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dnia).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trwający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uważany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jeden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DF2DEE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arfilzomib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dawce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początkowej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wynoszącej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mg/m2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</w:t>
            </w:r>
            <w:proofErr w:type="spellEnd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następnie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tolerowane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zwiększyć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dawkę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mg/m2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</w:t>
            </w:r>
            <w:proofErr w:type="spellEnd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cyklach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dawce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mg/m2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(tj.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cykl).</w:t>
            </w:r>
          </w:p>
          <w:p w14:paraId="4440FE23" w14:textId="77777777" w:rsidR="00C03ECF" w:rsidRPr="00D43AA6" w:rsidRDefault="00C03ECF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C625CFC" w14:textId="6D0172D5" w:rsidR="00C03ECF" w:rsidRPr="00D43AA6" w:rsidRDefault="00C03ECF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Deksametazon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dawce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wynoszącej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wszystkich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1–9.</w:t>
            </w:r>
          </w:p>
          <w:p w14:paraId="3495E1FA" w14:textId="4D84F8D6" w:rsidR="00C03ECF" w:rsidRPr="00D43AA6" w:rsidRDefault="00C03ECF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Deksametazon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minut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godzin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podaniem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karfilzomibu</w:t>
            </w:r>
            <w:proofErr w:type="spellEnd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2E3CF7F4" w14:textId="77777777" w:rsidR="00C03ECF" w:rsidRPr="00D43AA6" w:rsidRDefault="00C03ECF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UWAGA:</w:t>
            </w:r>
          </w:p>
          <w:p w14:paraId="7401294C" w14:textId="0C780B93" w:rsidR="00C03ECF" w:rsidRPr="00D43AA6" w:rsidRDefault="00C03ECF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Dawkowanie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karfilzomibu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przerywane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zmniejszane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toksyczności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związanej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leczeniem.</w:t>
            </w:r>
          </w:p>
          <w:p w14:paraId="5012E94A" w14:textId="3B26CF58" w:rsidR="00C03ECF" w:rsidRPr="00D43AA6" w:rsidRDefault="00C03ECF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Dawkowanie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deksametazonu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kontynuuje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modyfikuje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(dawkę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leków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i/lub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cyklu)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klinicznych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wyników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laboratoryjnych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zaleceniami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zawartymi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Charakterystyce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Leczniczego.</w:t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8C96B3" w14:textId="265EEC20" w:rsidR="00C5607F" w:rsidRPr="00D43AA6" w:rsidRDefault="00C5607F" w:rsidP="00D43AA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Badania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kwalifikacji:</w:t>
            </w:r>
          </w:p>
          <w:p w14:paraId="2C7E0A33" w14:textId="501F2C79" w:rsidR="00C5607F" w:rsidRPr="00D43AA6" w:rsidRDefault="00C5607F" w:rsidP="00D43AA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rozmazem;</w:t>
            </w:r>
          </w:p>
          <w:p w14:paraId="7A5A10B4" w14:textId="3EF09543" w:rsidR="00C5607F" w:rsidRPr="00D43AA6" w:rsidRDefault="00C5607F" w:rsidP="00D43AA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wapnia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</w:p>
          <w:p w14:paraId="6C3FCE59" w14:textId="0D81379C" w:rsidR="00C5607F" w:rsidRPr="00D43AA6" w:rsidRDefault="00C5607F" w:rsidP="00D43AA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</w:t>
            </w:r>
            <w:proofErr w:type="spellEnd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AlAT</w:t>
            </w:r>
            <w:proofErr w:type="spellEnd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66DC25CA" w14:textId="5A887E3C" w:rsidR="00C5607F" w:rsidRPr="00D43AA6" w:rsidRDefault="00C5607F" w:rsidP="00D43AA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bilirubiny;</w:t>
            </w:r>
          </w:p>
          <w:p w14:paraId="26A2A128" w14:textId="0EAD6B2E" w:rsidR="00C5607F" w:rsidRPr="00D43AA6" w:rsidRDefault="00C5607F" w:rsidP="00D43AA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480D4F27" w14:textId="3DB934CC" w:rsidR="00C5607F" w:rsidRPr="00D43AA6" w:rsidRDefault="00C5607F" w:rsidP="00D43AA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klirens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41A259EB" w14:textId="3C855DC8" w:rsidR="00C5607F" w:rsidRPr="00D43AA6" w:rsidRDefault="00C5607F" w:rsidP="00D43AA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M;</w:t>
            </w:r>
          </w:p>
          <w:p w14:paraId="0C60628B" w14:textId="7D8354CD" w:rsidR="00C5607F" w:rsidRPr="00D43AA6" w:rsidRDefault="00C5607F" w:rsidP="00D43AA6">
            <w:pPr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niskodawkowa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kostnego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(badanie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kośćca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lekarza)</w:t>
            </w:r>
          </w:p>
          <w:p w14:paraId="4981EF9D" w14:textId="6F900173" w:rsidR="00E05F62" w:rsidRPr="00D43AA6" w:rsidRDefault="00C5607F" w:rsidP="00D43AA6">
            <w:pPr>
              <w:pStyle w:val="Akapitzlist"/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potasu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EKG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frakcji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wyrzutowej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lewej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komory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serc</w:t>
            </w:r>
            <w:r w:rsidR="00DF2DEE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8D010B9" w14:textId="75B5E07B" w:rsidR="00C5607F" w:rsidRPr="00D43AA6" w:rsidRDefault="00C5607F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2DDF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winny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ciągu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poprzedzających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rozpoczęcie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leczenia.</w:t>
            </w:r>
          </w:p>
          <w:p w14:paraId="311E41C7" w14:textId="63C2718E" w:rsidR="00C5607F" w:rsidRPr="00D43AA6" w:rsidRDefault="00C5607F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wcześniej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wydaniem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pacjentkom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mogącym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zajść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ciążę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wykonać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ciążowy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czułości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25mIU/ml.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06B547F" w14:textId="1936BC2E" w:rsidR="00F05FF5" w:rsidRDefault="00F05FF5" w:rsidP="00D43AA6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3DE0228" w14:textId="77777777" w:rsidR="005D6B62" w:rsidRPr="00D43AA6" w:rsidRDefault="005D6B62" w:rsidP="00D43AA6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0CE4E73" w14:textId="3A359E1A" w:rsidR="00C5607F" w:rsidRPr="00D43AA6" w:rsidRDefault="00C5607F" w:rsidP="00D43AA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Monitorowanie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leczenia</w:t>
            </w:r>
          </w:p>
          <w:p w14:paraId="35A485D8" w14:textId="06F069D2" w:rsidR="00C5607F" w:rsidRPr="00D43AA6" w:rsidRDefault="00C5607F" w:rsidP="00D43AA6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</w:t>
            </w:r>
            <w:r w:rsid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każdym</w:t>
            </w:r>
            <w:r w:rsid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cyklem</w:t>
            </w:r>
            <w:r w:rsid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leczenia:</w:t>
            </w:r>
          </w:p>
          <w:p w14:paraId="03AF70E3" w14:textId="7D97B001" w:rsidR="00C5607F" w:rsidRPr="00D43AA6" w:rsidRDefault="00C5607F" w:rsidP="00D43AA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wzorem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odsetkowym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C8A5787" w14:textId="476B03B3" w:rsidR="00C5607F" w:rsidRPr="00D43AA6" w:rsidRDefault="00C5607F" w:rsidP="00D43AA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ciążowy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czułości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25mIU/ml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pacjentek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mogących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zajść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ciążę,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zaleceniami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</w:t>
            </w:r>
          </w:p>
          <w:p w14:paraId="0B72CEC7" w14:textId="764F210B" w:rsidR="00C5607F" w:rsidRPr="00D43AA6" w:rsidRDefault="00C5607F" w:rsidP="00D43AA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miesiącu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kontrolować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potasu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surowicy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krwi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EKG.</w:t>
            </w:r>
          </w:p>
          <w:p w14:paraId="543D8E9A" w14:textId="0735D38F" w:rsidR="00C5607F" w:rsidRPr="00D43AA6" w:rsidRDefault="00C5607F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Ocena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skuteczności:</w:t>
            </w:r>
          </w:p>
          <w:p w14:paraId="5708EB3D" w14:textId="6AD455D0" w:rsidR="00C5607F" w:rsidRPr="00D43AA6" w:rsidRDefault="00C5607F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wykonać:</w:t>
            </w:r>
          </w:p>
          <w:p w14:paraId="0C356AA4" w14:textId="244D60D2" w:rsidR="00C5607F" w:rsidRPr="00D43AA6" w:rsidRDefault="00C5607F" w:rsidP="00D43AA6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wapnia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surowicy;</w:t>
            </w:r>
          </w:p>
          <w:p w14:paraId="7848C322" w14:textId="4C460CB3" w:rsidR="00C5607F" w:rsidRPr="00D43AA6" w:rsidRDefault="00C5607F" w:rsidP="00D43AA6">
            <w:pPr>
              <w:pStyle w:val="Akapitzlist"/>
              <w:numPr>
                <w:ilvl w:val="3"/>
                <w:numId w:val="28"/>
              </w:numPr>
              <w:tabs>
                <w:tab w:val="left" w:pos="373"/>
              </w:tabs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AspAT</w:t>
            </w:r>
            <w:proofErr w:type="spellEnd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AIAT;</w:t>
            </w:r>
          </w:p>
          <w:p w14:paraId="1A72D9FA" w14:textId="68A7CD94" w:rsidR="00C5607F" w:rsidRPr="00D43AA6" w:rsidRDefault="00C5607F" w:rsidP="00D43AA6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bilirubiny;</w:t>
            </w:r>
          </w:p>
          <w:p w14:paraId="43211194" w14:textId="2ED1E003" w:rsidR="00C5607F" w:rsidRPr="00D43AA6" w:rsidRDefault="00C5607F" w:rsidP="00D43AA6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kreatyniny;</w:t>
            </w:r>
          </w:p>
          <w:p w14:paraId="66AC38B9" w14:textId="3A625B92" w:rsidR="00C5607F" w:rsidRPr="00D43AA6" w:rsidRDefault="00C5607F" w:rsidP="00D43AA6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klirens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kreatyniny;</w:t>
            </w:r>
          </w:p>
          <w:p w14:paraId="780908DD" w14:textId="5FFA390D" w:rsidR="00C5607F" w:rsidRPr="00D43AA6" w:rsidRDefault="00C5607F" w:rsidP="00D43AA6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białka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M;</w:t>
            </w:r>
          </w:p>
          <w:p w14:paraId="35C995C8" w14:textId="63C3E63D" w:rsidR="00C5607F" w:rsidRPr="00D43AA6" w:rsidRDefault="00C5607F" w:rsidP="00D43AA6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niskodawkowa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TK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układu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kostnego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RTG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(badanie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kośćca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decyzji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lekarza)</w:t>
            </w:r>
          </w:p>
          <w:p w14:paraId="1183E38A" w14:textId="77777777" w:rsidR="00C5607F" w:rsidRPr="00D43AA6" w:rsidRDefault="00C5607F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CDC5C" w14:textId="4AE4CDEA" w:rsidR="00C5607F" w:rsidRPr="00D43AA6" w:rsidRDefault="00C5607F" w:rsidP="00D43AA6">
            <w:pPr>
              <w:pStyle w:val="Akapitzlist"/>
              <w:numPr>
                <w:ilvl w:val="0"/>
                <w:numId w:val="29"/>
              </w:numPr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Monitorowanie</w:t>
            </w:r>
            <w:r w:rsid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675E63E0" w14:textId="7248B84C" w:rsidR="00C5607F" w:rsidRPr="00D43AA6" w:rsidRDefault="00C5607F" w:rsidP="00D43AA6">
            <w:pPr>
              <w:numPr>
                <w:ilvl w:val="3"/>
                <w:numId w:val="2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gromadzenie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każdorazowe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przedstawianie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żądanie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kontrolerów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Zdrowia;</w:t>
            </w:r>
          </w:p>
          <w:p w14:paraId="2AF0B846" w14:textId="6A914E62" w:rsidR="00435124" w:rsidRPr="00D43AA6" w:rsidRDefault="00435124" w:rsidP="00D43AA6">
            <w:pPr>
              <w:pStyle w:val="Akapitzlist"/>
              <w:numPr>
                <w:ilvl w:val="3"/>
                <w:numId w:val="2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uzupełnianie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elektronicznym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programów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lekowych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(SMPT)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leczenia;</w:t>
            </w:r>
          </w:p>
          <w:p w14:paraId="4FAD5D24" w14:textId="5692A499" w:rsidR="00C03ECF" w:rsidRPr="00D43AA6" w:rsidRDefault="00C5607F" w:rsidP="00D43AA6">
            <w:pPr>
              <w:pStyle w:val="Akapitzlist"/>
              <w:numPr>
                <w:ilvl w:val="3"/>
                <w:numId w:val="2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przekazywanie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sprawozdawczo-rozliczeniowych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NFZ: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przekazuje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elektronicznej,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wymaganiami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opublikowanymi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Narodowy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Fundusz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Zdrowia</w:t>
            </w:r>
          </w:p>
          <w:p w14:paraId="179300CA" w14:textId="4128A777" w:rsidR="007955F7" w:rsidRPr="00D43AA6" w:rsidRDefault="007955F7" w:rsidP="00D43AA6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C413C" w:rsidRPr="00D43AA6" w14:paraId="245C7734" w14:textId="77777777" w:rsidTr="00D43AA6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441EBF" w14:textId="70857C3F" w:rsidR="007C413C" w:rsidRPr="00D43AA6" w:rsidRDefault="007C413C" w:rsidP="00D43AA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27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Karfilzomib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</w:t>
            </w:r>
            <w:r w:rsidR="00DA4315"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schemat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KRd</w:t>
            </w:r>
            <w:proofErr w:type="spellEnd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7C413C" w:rsidRPr="00D43AA6" w14:paraId="78D05100" w14:textId="77777777" w:rsidTr="005D6B62">
        <w:trPr>
          <w:trHeight w:val="20"/>
        </w:trPr>
        <w:tc>
          <w:tcPr>
            <w:tcW w:w="184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5DC5D" w14:textId="43BB9DDF" w:rsidR="00C318EB" w:rsidRPr="00D43AA6" w:rsidRDefault="00C318EB" w:rsidP="00D43AA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Leczenie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chorych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opornego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nawrotowego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szpiczaka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plazmocytowego</w:t>
            </w:r>
            <w:proofErr w:type="spellEnd"/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wykorzystaniem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skojarzonego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karfilzomibem</w:t>
            </w:r>
            <w:proofErr w:type="spellEnd"/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lenalidomid</w:t>
            </w:r>
            <w:r w:rsidR="00E05F62"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em</w:t>
            </w:r>
            <w:proofErr w:type="spellEnd"/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deksametazonem</w:t>
            </w:r>
            <w:proofErr w:type="spellEnd"/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  <w:p w14:paraId="1AF3806D" w14:textId="2828255E" w:rsidR="007C413C" w:rsidRPr="00D43AA6" w:rsidRDefault="007C413C" w:rsidP="00D43AA6">
            <w:pPr>
              <w:pStyle w:val="Akapitzlist"/>
              <w:widowControl w:val="0"/>
              <w:numPr>
                <w:ilvl w:val="1"/>
                <w:numId w:val="30"/>
              </w:numPr>
              <w:spacing w:after="60"/>
              <w:ind w:right="10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kwalifikowani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są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pacjenci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opornym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nawrotowym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szpiczakiem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plazmocytowym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wieku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lat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powyżej,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których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spełnione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są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następujące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warunki:</w:t>
            </w:r>
          </w:p>
          <w:p w14:paraId="0A92A89F" w14:textId="595F0D8C" w:rsidR="007C413C" w:rsidRPr="00D43AA6" w:rsidRDefault="007C413C" w:rsidP="00D43AA6">
            <w:pPr>
              <w:pStyle w:val="Akapitzlist"/>
              <w:widowControl w:val="0"/>
              <w:numPr>
                <w:ilvl w:val="3"/>
                <w:numId w:val="30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stosowano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jeden,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dwa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trzy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poprzedzające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protokoły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leczenia;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75B9921" w14:textId="2AA70A77" w:rsidR="007C413C" w:rsidRPr="00D43AA6" w:rsidRDefault="007C413C" w:rsidP="00D43AA6">
            <w:pPr>
              <w:pStyle w:val="Akapitzlist"/>
              <w:widowControl w:val="0"/>
              <w:numPr>
                <w:ilvl w:val="3"/>
                <w:numId w:val="30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którymkolwiek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poprzedzających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protokołów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zastosowano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bortezomib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i/lub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immunomodulujący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(talidomid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61738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lenalidomid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pomalidomid</w:t>
            </w:r>
            <w:proofErr w:type="spellEnd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);</w:t>
            </w:r>
          </w:p>
          <w:p w14:paraId="500E57C3" w14:textId="77216236" w:rsidR="00C5607F" w:rsidRPr="00D43AA6" w:rsidRDefault="007C413C" w:rsidP="00D43AA6">
            <w:pPr>
              <w:pStyle w:val="Akapitzlist"/>
              <w:widowControl w:val="0"/>
              <w:numPr>
                <w:ilvl w:val="3"/>
                <w:numId w:val="30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uzyskano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remisji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częściowej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cyklach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wg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protokołu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zawierającego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bortezomib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22F3B" w:rsidRPr="00D43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stwierdzono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progresję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choroby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najmniej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cyklach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5607F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lenalidomidem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5607F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deksametazonem</w:t>
            </w:r>
            <w:proofErr w:type="spellEnd"/>
            <w:r w:rsidR="00C5607F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jeśli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był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ostatni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stosowany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protokół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leczenia;</w:t>
            </w:r>
          </w:p>
          <w:p w14:paraId="5149A656" w14:textId="14A0F81F" w:rsidR="007C413C" w:rsidRPr="00D43AA6" w:rsidRDefault="007C413C" w:rsidP="00D43AA6">
            <w:pPr>
              <w:pStyle w:val="Akapitzlist"/>
              <w:widowControl w:val="0"/>
              <w:numPr>
                <w:ilvl w:val="3"/>
                <w:numId w:val="30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kwalifikuje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chemioterapią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wysokodawkową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przeszczepieniem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komórek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krwiotwórczych</w:t>
            </w:r>
          </w:p>
          <w:p w14:paraId="117F0A8F" w14:textId="77777777" w:rsidR="009D3AC9" w:rsidRPr="00D43AA6" w:rsidRDefault="009D3AC9" w:rsidP="00D43AA6">
            <w:pPr>
              <w:pStyle w:val="Akapitzlist"/>
              <w:widowControl w:val="0"/>
              <w:tabs>
                <w:tab w:val="left" w:pos="299"/>
              </w:tabs>
              <w:spacing w:after="60"/>
              <w:ind w:left="348" w:right="100" w:hanging="348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C4D735" w14:textId="235119FE" w:rsidR="007C413C" w:rsidRPr="00D43AA6" w:rsidRDefault="007C413C" w:rsidP="00D43AA6">
            <w:pPr>
              <w:pStyle w:val="Akapitzlist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Określenie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czasu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  <w:p w14:paraId="2EA0ADD3" w14:textId="1F21F636" w:rsidR="00AC15E6" w:rsidRPr="00D43AA6" w:rsidRDefault="00AC15E6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karfilzomibem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kontynuuje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maksymalnie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cykli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nietolerancji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mimo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redukcji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lub15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mg/m2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pc</w:t>
            </w:r>
            <w:proofErr w:type="spellEnd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zaleceniami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Charakterystyki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</w:p>
          <w:p w14:paraId="3E96CF1A" w14:textId="3B82EDB1" w:rsidR="007C413C" w:rsidRPr="00D43AA6" w:rsidRDefault="007C413C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lenalidomidem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kontynuuje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progresji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(z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zastrzeżeniem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738" w:rsidRPr="00D43AA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niżej)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nietolerancji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mimo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redukcji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zaleceniami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Charakterystyki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Leczniczego.</w:t>
            </w:r>
          </w:p>
          <w:p w14:paraId="55AC88AC" w14:textId="77777777" w:rsidR="007955F7" w:rsidRPr="00D43AA6" w:rsidRDefault="007955F7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3EC37" w14:textId="496EA7B1" w:rsidR="007C413C" w:rsidRPr="00D43AA6" w:rsidRDefault="007C413C" w:rsidP="00D43AA6">
            <w:pPr>
              <w:pStyle w:val="Akapitzlist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niepozwalające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zakwalifikowanie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programu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ze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względu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bezpieczeństwo</w:t>
            </w:r>
          </w:p>
          <w:p w14:paraId="57D9D6AA" w14:textId="0D838EEC" w:rsidR="007C413C" w:rsidRPr="00D43AA6" w:rsidRDefault="007C413C" w:rsidP="00D43AA6">
            <w:pPr>
              <w:pStyle w:val="Akapitzlist"/>
              <w:widowControl w:val="0"/>
              <w:numPr>
                <w:ilvl w:val="3"/>
                <w:numId w:val="30"/>
              </w:numPr>
              <w:tabs>
                <w:tab w:val="left" w:pos="299"/>
              </w:tabs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bezwzględna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neutrofili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&lt;0,5x10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9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/l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płytek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krwi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30x10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9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/l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przypadku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małopłytkowości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liczbą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płytek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krwi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&lt;75x10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9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/l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decyzję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podjąć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stopnia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nacieczenia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szpiku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kostnego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komórki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plazmatyczne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Charakterystyką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Leczniczego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Revlimid</w:t>
            </w:r>
            <w:proofErr w:type="spellEnd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);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B0D2C0C" w14:textId="75D27828" w:rsidR="007C413C" w:rsidRPr="00D43AA6" w:rsidRDefault="007C413C" w:rsidP="00D43AA6">
            <w:pPr>
              <w:pStyle w:val="Akapitzlist"/>
              <w:widowControl w:val="0"/>
              <w:numPr>
                <w:ilvl w:val="3"/>
                <w:numId w:val="30"/>
              </w:numPr>
              <w:tabs>
                <w:tab w:val="left" w:pos="299"/>
              </w:tabs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karmienia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piersią;</w:t>
            </w:r>
          </w:p>
          <w:p w14:paraId="235F9E9B" w14:textId="2A100AA5" w:rsidR="007C413C" w:rsidRPr="00D43AA6" w:rsidRDefault="007C413C" w:rsidP="00D43AA6">
            <w:pPr>
              <w:pStyle w:val="Akapitzlist"/>
              <w:widowControl w:val="0"/>
              <w:numPr>
                <w:ilvl w:val="3"/>
                <w:numId w:val="30"/>
              </w:numPr>
              <w:tabs>
                <w:tab w:val="left" w:pos="299"/>
              </w:tabs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niemożność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stosowania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zapobiegania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(dotyczy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kobiet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mężczyzn);</w:t>
            </w:r>
          </w:p>
          <w:p w14:paraId="26545669" w14:textId="4779C053" w:rsidR="007C413C" w:rsidRPr="00D43AA6" w:rsidRDefault="007C413C" w:rsidP="00D43AA6">
            <w:pPr>
              <w:pStyle w:val="Akapitzlist"/>
              <w:widowControl w:val="0"/>
              <w:numPr>
                <w:ilvl w:val="3"/>
                <w:numId w:val="30"/>
              </w:numPr>
              <w:tabs>
                <w:tab w:val="left" w:pos="299"/>
              </w:tabs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nadwrażliwość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karfilzomib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którąkolwiek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substancję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pomocniczą.</w:t>
            </w:r>
          </w:p>
          <w:p w14:paraId="0C83B32B" w14:textId="37260CC8" w:rsidR="007C413C" w:rsidRPr="00D43AA6" w:rsidRDefault="007C413C" w:rsidP="00D43AA6">
            <w:pPr>
              <w:pStyle w:val="Akapitzlist"/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nadwrażliwość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lenalidomid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którąkolwiek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substancję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pomocniczą.</w:t>
            </w:r>
          </w:p>
          <w:p w14:paraId="337D34DD" w14:textId="5BBE4072" w:rsidR="007C413C" w:rsidRPr="00D43AA6" w:rsidRDefault="007C413C" w:rsidP="00D43AA6">
            <w:pPr>
              <w:pStyle w:val="Akapitzlist"/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niewydolność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serca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stopnia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IV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wg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klasyfikacji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NYHA</w:t>
            </w:r>
          </w:p>
          <w:p w14:paraId="6561DD9F" w14:textId="4AC417EF" w:rsidR="007C413C" w:rsidRPr="00D43AA6" w:rsidRDefault="007C413C" w:rsidP="00D43AA6">
            <w:pPr>
              <w:pStyle w:val="Akapitzlist"/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zawał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mięśnia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sercowego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przebyty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ciągu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ostatnich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miesięcy.</w:t>
            </w:r>
          </w:p>
          <w:p w14:paraId="768006B5" w14:textId="1F55E457" w:rsidR="007C413C" w:rsidRPr="00D43AA6" w:rsidRDefault="007C413C" w:rsidP="00D43AA6">
            <w:pPr>
              <w:pStyle w:val="Akapitzlist"/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niekontrolowana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choroba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niedokrwienna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serca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niekontrolowane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farmakologicznie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nieprawidłowe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zmiany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przewodzenia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impulsów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mięśniu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sercowym</w:t>
            </w:r>
          </w:p>
          <w:p w14:paraId="288E47D0" w14:textId="2DC40005" w:rsidR="007C413C" w:rsidRDefault="007C413C" w:rsidP="00D43AA6">
            <w:pPr>
              <w:autoSpaceDE w:val="0"/>
              <w:autoSpaceDN w:val="0"/>
              <w:adjustRightInd w:val="0"/>
              <w:spacing w:after="60"/>
              <w:ind w:left="348" w:hanging="34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418EB7" w14:textId="77777777" w:rsidR="005D6B62" w:rsidRPr="00D43AA6" w:rsidRDefault="005D6B62" w:rsidP="00D43AA6">
            <w:pPr>
              <w:autoSpaceDE w:val="0"/>
              <w:autoSpaceDN w:val="0"/>
              <w:adjustRightInd w:val="0"/>
              <w:spacing w:after="60"/>
              <w:ind w:left="348" w:hanging="34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65CC5A" w14:textId="7A50A372" w:rsidR="007C413C" w:rsidRPr="00D43AA6" w:rsidRDefault="007C413C" w:rsidP="00D43AA6">
            <w:pPr>
              <w:pStyle w:val="Akapitzlist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zakończenia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udziału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  <w:p w14:paraId="76718E84" w14:textId="51A1D2C9" w:rsidR="00AC15E6" w:rsidRPr="00D43AA6" w:rsidRDefault="007C413C" w:rsidP="00D43AA6">
            <w:pPr>
              <w:pStyle w:val="Akapitzlist"/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progresja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choroby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więcej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niż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cyklach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leczenia;</w:t>
            </w:r>
          </w:p>
          <w:p w14:paraId="6A9FE2A6" w14:textId="720A0C4A" w:rsidR="007C413C" w:rsidRPr="00D43AA6" w:rsidRDefault="007C413C" w:rsidP="00D43AA6">
            <w:pPr>
              <w:pStyle w:val="Akapitzlist"/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remisji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częściowej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cyklach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leczenia.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BF75DC" w14:textId="1996CD3D" w:rsidR="000A617D" w:rsidRPr="00D43AA6" w:rsidRDefault="004810CC" w:rsidP="00D43AA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Dawkowanie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</w:t>
            </w:r>
            <w:r w:rsidR="000A617D"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arfilzomib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</w:t>
            </w:r>
            <w:proofErr w:type="spellEnd"/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A617D"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A617D"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skojarzeniu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A617D"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A617D"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lenalidomidem</w:t>
            </w:r>
            <w:proofErr w:type="spellEnd"/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A617D"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A617D"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deksametazonem</w:t>
            </w:r>
            <w:proofErr w:type="spellEnd"/>
          </w:p>
          <w:p w14:paraId="3F3A89F7" w14:textId="109E0981" w:rsidR="000A617D" w:rsidRPr="00D43AA6" w:rsidRDefault="000A617D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Karfilzomib</w:t>
            </w:r>
            <w:proofErr w:type="spellEnd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wylicza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oparciu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początkowe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powierzchni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ciała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pc</w:t>
            </w:r>
            <w:proofErr w:type="spellEnd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Karfilzomib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podawany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dożylnie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postaci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infuzji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trwającej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minut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dwa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kolejne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tygodnia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trzech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tygodni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(dzień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16.),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czym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następuje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12-dniowy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(od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dnia).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Każdy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trwający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uważany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jeden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Karfilzomib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podawany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dawce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początkowej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wynoszącej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mg/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pc</w:t>
            </w:r>
            <w:proofErr w:type="spellEnd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(dawka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maksymalna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wynosi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mg).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Jeśli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dobrze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tolerowany,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zwiększyć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mg/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pc</w:t>
            </w:r>
            <w:proofErr w:type="spellEnd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(dawka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maksymalna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wynosi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mg).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C329D25" w14:textId="77777777" w:rsidR="007955F7" w:rsidRPr="00D43AA6" w:rsidRDefault="007955F7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3CB9502" w14:textId="6EE04136" w:rsidR="000A617D" w:rsidRPr="00D43AA6" w:rsidRDefault="000A617D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UWAGA:</w:t>
            </w:r>
          </w:p>
          <w:p w14:paraId="14E21D4D" w14:textId="155F88ED" w:rsidR="000A617D" w:rsidRPr="00D43AA6" w:rsidRDefault="000A617D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Pacjenci,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których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pc</w:t>
            </w:r>
            <w:proofErr w:type="spellEnd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większa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niż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2,2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m2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powinni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otrzymywać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karfilzomibu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obliczoną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dla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pc</w:t>
            </w:r>
            <w:proofErr w:type="spellEnd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wynoszącej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2,2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m2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zmiany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ciała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większe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niż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20%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wymagają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modyfikacji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dawki.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podaniem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karfilzomibu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konieczne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odpowiednie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nawodnienie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pacjenta,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kontynuować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następnych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cyklach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stosownie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potrzeb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(zgodnie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informacją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zawartą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Charakterystyce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Leczniczego).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karfilzomibu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bolusie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mieszać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wlewie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dożylnym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innymi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produktami.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20/27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mg/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m2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pc</w:t>
            </w:r>
            <w:proofErr w:type="spellEnd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minut.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Dawkowanie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karfilzomibu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kontynuuje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modyfikuje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(dawkę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leków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rytm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cyklu)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obserwacji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klinicznych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wyników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laboratoryjnych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zaleceniami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zawartymi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odpowiedniej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Charakterystyce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Leczniczego.</w:t>
            </w:r>
          </w:p>
          <w:p w14:paraId="7EA11D15" w14:textId="77777777" w:rsidR="007955F7" w:rsidRPr="00D43AA6" w:rsidRDefault="007955F7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18AC3C0" w14:textId="7CA6148C" w:rsidR="000A617D" w:rsidRPr="00D43AA6" w:rsidRDefault="000A617D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Lenalidomid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kapsułek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twardych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skojarzeniu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karfilzomibem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deksametazonem</w:t>
            </w:r>
            <w:proofErr w:type="spellEnd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D33601B" w14:textId="44E2719C" w:rsidR="000A617D" w:rsidRPr="00D43AA6" w:rsidRDefault="000A617D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Lenalidomid</w:t>
            </w:r>
            <w:proofErr w:type="spellEnd"/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Zalecana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początkowa: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doustnie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dobę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dniach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1-21,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powtarzanych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28-dniowych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cyklach.</w:t>
            </w:r>
          </w:p>
          <w:p w14:paraId="59BA4E4D" w14:textId="5F697FB6" w:rsidR="000A617D" w:rsidRPr="00D43AA6" w:rsidRDefault="000A617D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chorych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niewydolnością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nerek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początkowa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lenalidomidu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powinna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zaleceniami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Charakterystyki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Leczniczego.</w:t>
            </w:r>
          </w:p>
          <w:p w14:paraId="6B391BA3" w14:textId="77777777" w:rsidR="007955F7" w:rsidRPr="00D43AA6" w:rsidRDefault="007955F7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B5AB8D6" w14:textId="1DDE10D9" w:rsidR="000A617D" w:rsidRPr="00D43AA6" w:rsidRDefault="000A617D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UWAGA:</w:t>
            </w:r>
          </w:p>
          <w:p w14:paraId="4271D3EA" w14:textId="65AEE167" w:rsidR="000A617D" w:rsidRPr="00D43AA6" w:rsidRDefault="000A617D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Dawkowanie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lenalidomidu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kontynuuje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modyfikuje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(dawkę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leków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rytm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cyklu)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obserwacji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klinicznych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wyników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laboratoryjnych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zaleceniami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zawartymi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Charakterystyce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Leczniczego.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leczniczym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wynosi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niezależnie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ewentualnych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przerw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podawaniu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maksymalna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lenalidomidu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jednym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leczniczym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może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wyższa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niż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525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mg.</w:t>
            </w:r>
          </w:p>
          <w:p w14:paraId="23DBA09C" w14:textId="77777777" w:rsidR="000A617D" w:rsidRPr="00D43AA6" w:rsidRDefault="000A617D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AD4A07" w14:textId="553B9D01" w:rsidR="000A617D" w:rsidRPr="00D43AA6" w:rsidRDefault="000A617D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Deksametazon</w:t>
            </w:r>
            <w:proofErr w:type="spellEnd"/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skojarzeniu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lenalidomidem</w:t>
            </w:r>
            <w:proofErr w:type="spellEnd"/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karfilzomibem</w:t>
            </w:r>
            <w:proofErr w:type="spellEnd"/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1FDC1B8" w14:textId="54887B6F" w:rsidR="000A617D" w:rsidRPr="00D43AA6" w:rsidRDefault="000A617D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Zalecana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dawka: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doustnie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dożylnie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dobę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trwającego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dni.</w:t>
            </w:r>
          </w:p>
          <w:p w14:paraId="7EFD54C8" w14:textId="3994F030" w:rsidR="000A617D" w:rsidRPr="00D43AA6" w:rsidRDefault="000A617D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Lekarz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powinien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ocenić,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jaką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deksametazonu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zastosować,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biorąc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nasilenie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choroby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chorych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powyżej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r.ż.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zmniejszyć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mg).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Deksametazon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minut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godzin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podaniem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karfilzomibu</w:t>
            </w:r>
            <w:proofErr w:type="spellEnd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57AA6B8D" w14:textId="77777777" w:rsidR="007C413C" w:rsidRPr="00D43AA6" w:rsidRDefault="007C413C" w:rsidP="00D43AA6">
            <w:pPr>
              <w:pStyle w:val="Akapitzlist"/>
              <w:autoSpaceDE w:val="0"/>
              <w:autoSpaceDN w:val="0"/>
              <w:adjustRightInd w:val="0"/>
              <w:spacing w:after="60"/>
              <w:ind w:left="58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ECEA8C" w14:textId="241FC486" w:rsidR="000A617D" w:rsidRPr="00D43AA6" w:rsidRDefault="000A617D" w:rsidP="00D43AA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Badania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kwalifikacji:</w:t>
            </w:r>
          </w:p>
          <w:p w14:paraId="7EEECD07" w14:textId="01FD6413" w:rsidR="000A617D" w:rsidRPr="00D43AA6" w:rsidRDefault="000A617D" w:rsidP="00D43AA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rozmazem;</w:t>
            </w:r>
          </w:p>
          <w:p w14:paraId="2A3C9362" w14:textId="1C32244C" w:rsidR="000A617D" w:rsidRPr="00D43AA6" w:rsidRDefault="000A617D" w:rsidP="00D43AA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wapnia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</w:p>
          <w:p w14:paraId="70EEEA98" w14:textId="0D883600" w:rsidR="000A617D" w:rsidRPr="00D43AA6" w:rsidRDefault="000A617D" w:rsidP="00D43AA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</w:t>
            </w:r>
            <w:proofErr w:type="spellEnd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AlAT</w:t>
            </w:r>
            <w:proofErr w:type="spellEnd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18AABAD0" w14:textId="4A5DEFA8" w:rsidR="000A617D" w:rsidRPr="00D43AA6" w:rsidRDefault="000A617D" w:rsidP="00D43AA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bilirubiny;</w:t>
            </w:r>
          </w:p>
          <w:p w14:paraId="68CD7F1F" w14:textId="2C272566" w:rsidR="000A617D" w:rsidRPr="00D43AA6" w:rsidRDefault="000A617D" w:rsidP="00D43AA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2E92C5FE" w14:textId="4C417838" w:rsidR="000A617D" w:rsidRPr="00D43AA6" w:rsidRDefault="000A617D" w:rsidP="00D43AA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klirens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4FC2732B" w14:textId="72865998" w:rsidR="000A617D" w:rsidRPr="00D43AA6" w:rsidRDefault="000A617D" w:rsidP="00D43AA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M;</w:t>
            </w:r>
          </w:p>
          <w:p w14:paraId="71C926EA" w14:textId="3E539973" w:rsidR="000A617D" w:rsidRPr="00D43AA6" w:rsidRDefault="000A617D" w:rsidP="00D43AA6">
            <w:pPr>
              <w:numPr>
                <w:ilvl w:val="3"/>
                <w:numId w:val="32"/>
              </w:num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niskodawkowa</w:t>
            </w:r>
            <w:proofErr w:type="spellEnd"/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kostnego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(badanie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kośćca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lekarza)</w:t>
            </w:r>
          </w:p>
          <w:p w14:paraId="359F2736" w14:textId="424E5E9B" w:rsidR="00E05F62" w:rsidRPr="00D43AA6" w:rsidRDefault="000A617D" w:rsidP="00D43AA6">
            <w:pPr>
              <w:pStyle w:val="Akapitzlist"/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potasu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EKG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frakcji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wyrzutowej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lewej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komory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serce</w:t>
            </w:r>
          </w:p>
          <w:p w14:paraId="0ABA10BE" w14:textId="77777777" w:rsidR="00E05F62" w:rsidRPr="00D43AA6" w:rsidRDefault="00E05F62" w:rsidP="00D43AA6">
            <w:pPr>
              <w:pStyle w:val="Akapitzlist"/>
              <w:autoSpaceDE w:val="0"/>
              <w:autoSpaceDN w:val="0"/>
              <w:adjustRightInd w:val="0"/>
              <w:spacing w:after="60"/>
              <w:ind w:left="39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C7615BF" w14:textId="3C6F890C" w:rsidR="00C5607F" w:rsidRPr="00D43AA6" w:rsidRDefault="000A617D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2DDF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winny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ciągu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poprz</w:t>
            </w:r>
            <w:r w:rsidR="00C5607F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edzających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5607F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rozpoczęcie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5607F"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leczenia.</w:t>
            </w:r>
          </w:p>
          <w:p w14:paraId="692D2F21" w14:textId="3EC81141" w:rsidR="00C5607F" w:rsidRPr="00D43AA6" w:rsidRDefault="00C5607F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wcześniej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wydaniem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pacjentkom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mogącym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zajść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ciążę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wykonać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ciążowy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czułości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25mIU/ml.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89E5DE9" w14:textId="5705A361" w:rsidR="000A617D" w:rsidRDefault="000A617D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E599AD4" w14:textId="1E9581A6" w:rsidR="005D6B62" w:rsidRDefault="005D6B62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89B6D7B" w14:textId="77777777" w:rsidR="005D6B62" w:rsidRPr="00D43AA6" w:rsidRDefault="005D6B62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E85774F" w14:textId="789687E2" w:rsidR="000A617D" w:rsidRPr="00D43AA6" w:rsidRDefault="000A617D" w:rsidP="00D43AA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Monitorowanie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leczenia</w:t>
            </w:r>
          </w:p>
          <w:p w14:paraId="313EC600" w14:textId="5C23695C" w:rsidR="000A617D" w:rsidRPr="00D43AA6" w:rsidRDefault="000A617D" w:rsidP="00D43AA6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</w:t>
            </w:r>
            <w:r w:rsid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każdym</w:t>
            </w:r>
            <w:r w:rsid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cyklem</w:t>
            </w:r>
            <w:r w:rsid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leczenia:</w:t>
            </w:r>
          </w:p>
          <w:p w14:paraId="503EBF99" w14:textId="7F248A96" w:rsidR="000A617D" w:rsidRPr="00D43AA6" w:rsidRDefault="000A617D" w:rsidP="00D43AA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wzorem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odsetkowym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180AF2B" w14:textId="67433E4B" w:rsidR="00DF2DEE" w:rsidRPr="00D43AA6" w:rsidRDefault="00DF2DEE" w:rsidP="00D43AA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ciążowy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czułości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25mIU/ml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pacjentek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mogących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zajść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ciążę,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zaleceniami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Charakterystyki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</w:t>
            </w:r>
          </w:p>
          <w:p w14:paraId="12492302" w14:textId="5B8019A3" w:rsidR="000A617D" w:rsidRPr="00D43AA6" w:rsidRDefault="000A617D" w:rsidP="00D43AA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miesiącu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kontrolować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potasu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surowicy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krwi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EKG.</w:t>
            </w:r>
          </w:p>
          <w:p w14:paraId="1AD0AFB6" w14:textId="1F750564" w:rsidR="000A617D" w:rsidRPr="00D43AA6" w:rsidRDefault="000A617D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Ocena</w:t>
            </w:r>
            <w:r w:rsid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skuteczności:</w:t>
            </w:r>
          </w:p>
          <w:p w14:paraId="52F1A47F" w14:textId="292059CA" w:rsidR="000A617D" w:rsidRPr="00D43AA6" w:rsidRDefault="000A617D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wykonać:</w:t>
            </w:r>
          </w:p>
          <w:p w14:paraId="1B406BA3" w14:textId="634A68C8" w:rsidR="000A617D" w:rsidRPr="00D43AA6" w:rsidRDefault="000A617D" w:rsidP="00D43AA6">
            <w:pPr>
              <w:pStyle w:val="Akapitzlist"/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wapnia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surowicy;</w:t>
            </w:r>
          </w:p>
          <w:p w14:paraId="116E1B58" w14:textId="5585D856" w:rsidR="000A617D" w:rsidRPr="00D43AA6" w:rsidRDefault="000A617D" w:rsidP="00D43AA6">
            <w:pPr>
              <w:pStyle w:val="Akapitzlist"/>
              <w:numPr>
                <w:ilvl w:val="3"/>
                <w:numId w:val="33"/>
              </w:numPr>
              <w:tabs>
                <w:tab w:val="left" w:pos="373"/>
              </w:tabs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AspAT</w:t>
            </w:r>
            <w:proofErr w:type="spellEnd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AIAT;</w:t>
            </w:r>
          </w:p>
          <w:p w14:paraId="481BAB40" w14:textId="655F28C8" w:rsidR="000A617D" w:rsidRPr="00D43AA6" w:rsidRDefault="000A617D" w:rsidP="00D43AA6">
            <w:pPr>
              <w:pStyle w:val="Akapitzlist"/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bilirubiny;</w:t>
            </w:r>
          </w:p>
          <w:p w14:paraId="68859D80" w14:textId="05A84559" w:rsidR="000A617D" w:rsidRPr="00D43AA6" w:rsidRDefault="000A617D" w:rsidP="00D43AA6">
            <w:pPr>
              <w:pStyle w:val="Akapitzlist"/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kreatyniny;</w:t>
            </w:r>
          </w:p>
          <w:p w14:paraId="68F81CE0" w14:textId="75D2E237" w:rsidR="000A617D" w:rsidRPr="00D43AA6" w:rsidRDefault="000A617D" w:rsidP="00D43AA6">
            <w:pPr>
              <w:pStyle w:val="Akapitzlist"/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klirens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kreatyniny;</w:t>
            </w:r>
          </w:p>
          <w:p w14:paraId="1178B45D" w14:textId="6BD6FADE" w:rsidR="000A617D" w:rsidRPr="00D43AA6" w:rsidRDefault="000A617D" w:rsidP="00D43AA6">
            <w:pPr>
              <w:pStyle w:val="Akapitzlist"/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białka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M;</w:t>
            </w:r>
          </w:p>
          <w:p w14:paraId="0B2EC987" w14:textId="0D5593C7" w:rsidR="000A617D" w:rsidRPr="00D43AA6" w:rsidRDefault="00D43AA6" w:rsidP="00D43AA6">
            <w:pPr>
              <w:pStyle w:val="Akapitzlist"/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A617D"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niskodawkowa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17D"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TK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17D"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układu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17D"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kostnego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17D"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lub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17D"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badanie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17D"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RTG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17D"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(badanie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17D"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kośćca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17D"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do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17D"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decyzji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17D"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lekarza)</w:t>
            </w:r>
            <w:r w:rsidR="007955F7"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4CE2412" w14:textId="77777777" w:rsidR="007955F7" w:rsidRPr="00D43AA6" w:rsidRDefault="007955F7" w:rsidP="00D43AA6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6068E" w14:textId="1BE13570" w:rsidR="000A617D" w:rsidRPr="00D43AA6" w:rsidRDefault="000A617D" w:rsidP="00D43AA6">
            <w:pPr>
              <w:pStyle w:val="Akapitzlist"/>
              <w:numPr>
                <w:ilvl w:val="0"/>
                <w:numId w:val="33"/>
              </w:numPr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Monitorowanie</w:t>
            </w:r>
            <w:r w:rsid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25662624" w14:textId="13377F39" w:rsidR="000A617D" w:rsidRPr="00D43AA6" w:rsidRDefault="000A617D" w:rsidP="00D43AA6">
            <w:pPr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gromadzenie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każdorazowe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przedstawianie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żądanie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kontrolerów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Zdrowia;</w:t>
            </w:r>
          </w:p>
          <w:p w14:paraId="1F070E6D" w14:textId="349B719C" w:rsidR="00435124" w:rsidRPr="00D43AA6" w:rsidRDefault="00435124" w:rsidP="00D43AA6">
            <w:pPr>
              <w:pStyle w:val="Akapitzlist"/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uzupełnianie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elektronicznym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programów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lekowych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(SMPT)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leczenia;</w:t>
            </w:r>
          </w:p>
          <w:p w14:paraId="459178B3" w14:textId="6BD8FCC6" w:rsidR="007C413C" w:rsidRPr="00D43AA6" w:rsidRDefault="000A617D" w:rsidP="00D43AA6">
            <w:pPr>
              <w:pStyle w:val="Akapitzlist"/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przekazywanie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sprawozdawczo-rozliczeniowych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NFZ: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przekazuje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elektronicznej,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wymaganiami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opublikowanymi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Narodowy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Fundusz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Zdrowia.</w:t>
            </w:r>
          </w:p>
        </w:tc>
      </w:tr>
      <w:tr w:rsidR="002C0455" w:rsidRPr="00D43AA6" w14:paraId="74638777" w14:textId="77777777" w:rsidTr="00D43AA6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C0755E" w14:textId="28DDA159" w:rsidR="002C0455" w:rsidRPr="00D43AA6" w:rsidRDefault="002C0455" w:rsidP="00D43AA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27"/>
              <w:contextualSpacing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Iksazomib</w:t>
            </w:r>
            <w:proofErr w:type="spellEnd"/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(schemat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IRd</w:t>
            </w:r>
            <w:proofErr w:type="spellEnd"/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2C0455" w:rsidRPr="00D43AA6" w14:paraId="7258B546" w14:textId="77777777" w:rsidTr="005D6B62">
        <w:trPr>
          <w:trHeight w:val="20"/>
        </w:trPr>
        <w:tc>
          <w:tcPr>
            <w:tcW w:w="184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C4C9" w14:textId="48C9BC71" w:rsidR="00C318EB" w:rsidRPr="00D43AA6" w:rsidRDefault="00C318EB" w:rsidP="00D43AA6">
            <w:pPr>
              <w:pStyle w:val="Akapitzlist"/>
              <w:widowControl w:val="0"/>
              <w:numPr>
                <w:ilvl w:val="0"/>
                <w:numId w:val="34"/>
              </w:numPr>
              <w:spacing w:before="120"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Iksazomib</w:t>
            </w:r>
            <w:proofErr w:type="spellEnd"/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leczeniu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chorych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opornego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</w:t>
            </w:r>
            <w:r w:rsidR="00F175D5"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175D5"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nawrotowego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175D5"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szpiczaka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175D5"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plazmocytowego</w:t>
            </w:r>
            <w:proofErr w:type="spellEnd"/>
          </w:p>
          <w:p w14:paraId="1A9A23DF" w14:textId="114D593A" w:rsidR="00AF12FD" w:rsidRPr="00D43AA6" w:rsidRDefault="00AF12FD" w:rsidP="00D43AA6">
            <w:pPr>
              <w:pStyle w:val="Akapitzlist"/>
              <w:widowControl w:val="0"/>
              <w:numPr>
                <w:ilvl w:val="1"/>
                <w:numId w:val="34"/>
              </w:numPr>
              <w:spacing w:after="60"/>
              <w:ind w:right="10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kwalif</w:t>
            </w:r>
            <w:r w:rsidR="00F175D5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ikowani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75D5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są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75D5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pacjenci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75D5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75D5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opornym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F175D5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ub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75D5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nawrotowym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75D5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szpiczakiem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175D5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plazmocytowym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wieku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lat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powyżej:</w:t>
            </w:r>
          </w:p>
          <w:p w14:paraId="265ED51D" w14:textId="04C9B915" w:rsidR="00AF12FD" w:rsidRPr="00D43AA6" w:rsidRDefault="00AF12FD" w:rsidP="00D43AA6">
            <w:pPr>
              <w:pStyle w:val="Akapitzlist"/>
              <w:widowControl w:val="0"/>
              <w:numPr>
                <w:ilvl w:val="3"/>
                <w:numId w:val="34"/>
              </w:numPr>
              <w:spacing w:after="60"/>
              <w:ind w:right="10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spełniający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lenalidomidem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połączeniu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deksametazonem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oraz,</w:t>
            </w:r>
          </w:p>
          <w:p w14:paraId="1F228EBB" w14:textId="45EAEA01" w:rsidR="00AF12FD" w:rsidRPr="00D43AA6" w:rsidRDefault="00AF12FD" w:rsidP="00D43AA6">
            <w:pPr>
              <w:pStyle w:val="Akapitzlist"/>
              <w:widowControl w:val="0"/>
              <w:numPr>
                <w:ilvl w:val="3"/>
                <w:numId w:val="34"/>
              </w:numPr>
              <w:spacing w:after="60"/>
              <w:ind w:right="10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których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występują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aberracje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cytogenetyczne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wysokiego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ryzyka,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tj.: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BCA6392" w14:textId="04D98D98" w:rsidR="00AF12FD" w:rsidRPr="00D43AA6" w:rsidRDefault="00AF12FD" w:rsidP="00D43AA6">
            <w:pPr>
              <w:pStyle w:val="Akapitzlist"/>
              <w:widowControl w:val="0"/>
              <w:numPr>
                <w:ilvl w:val="4"/>
                <w:numId w:val="34"/>
              </w:numPr>
              <w:spacing w:after="60"/>
              <w:ind w:right="102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delecja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chromosomie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del(17p)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albo</w:t>
            </w:r>
          </w:p>
          <w:p w14:paraId="6E5A7E06" w14:textId="358EDA86" w:rsidR="00AF12FD" w:rsidRPr="00D43AA6" w:rsidRDefault="00AF12FD" w:rsidP="00D43AA6">
            <w:pPr>
              <w:pStyle w:val="Akapitzlist"/>
              <w:widowControl w:val="0"/>
              <w:numPr>
                <w:ilvl w:val="4"/>
                <w:numId w:val="34"/>
              </w:numPr>
              <w:spacing w:after="60"/>
              <w:ind w:right="102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translokacja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t(4;14)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albo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0A1AFE8" w14:textId="04219902" w:rsidR="00AF12FD" w:rsidRPr="00D43AA6" w:rsidRDefault="00AF12FD" w:rsidP="00D43AA6">
            <w:pPr>
              <w:pStyle w:val="Akapitzlist"/>
              <w:widowControl w:val="0"/>
              <w:numPr>
                <w:ilvl w:val="4"/>
                <w:numId w:val="34"/>
              </w:numPr>
              <w:spacing w:after="60"/>
              <w:ind w:right="102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translokacja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t(14;16).</w:t>
            </w:r>
          </w:p>
          <w:p w14:paraId="75E61758" w14:textId="77777777" w:rsidR="00AF12FD" w:rsidRPr="00D43AA6" w:rsidRDefault="00AF12FD" w:rsidP="00D43AA6">
            <w:pPr>
              <w:widowControl w:val="0"/>
              <w:spacing w:after="60"/>
              <w:ind w:left="227" w:right="10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</w:p>
          <w:p w14:paraId="171A706D" w14:textId="5EBF5074" w:rsidR="00AF12FD" w:rsidRPr="00D43AA6" w:rsidRDefault="00AF12FD" w:rsidP="00D43AA6">
            <w:pPr>
              <w:pStyle w:val="Akapitzlist"/>
              <w:widowControl w:val="0"/>
              <w:numPr>
                <w:ilvl w:val="3"/>
                <w:numId w:val="34"/>
              </w:numPr>
              <w:spacing w:after="60"/>
              <w:ind w:right="10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których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stosowano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najmniej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dwa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protokoły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7AD57F1" w14:textId="3C9F3066" w:rsidR="00F175D5" w:rsidRPr="00D43AA6" w:rsidRDefault="00F175D5" w:rsidP="00D43AA6">
            <w:pPr>
              <w:pStyle w:val="Akapitzlist"/>
              <w:widowControl w:val="0"/>
              <w:numPr>
                <w:ilvl w:val="3"/>
                <w:numId w:val="34"/>
              </w:numPr>
              <w:spacing w:after="60"/>
              <w:ind w:right="10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których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stwierdzono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oporności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lenalidomid</w:t>
            </w:r>
            <w:proofErr w:type="spellEnd"/>
          </w:p>
          <w:p w14:paraId="37098F56" w14:textId="3824A745" w:rsidR="00F175D5" w:rsidRPr="00D43AA6" w:rsidRDefault="00F175D5" w:rsidP="00D43AA6">
            <w:pPr>
              <w:pStyle w:val="Akapitzlist"/>
              <w:widowControl w:val="0"/>
              <w:numPr>
                <w:ilvl w:val="3"/>
                <w:numId w:val="34"/>
              </w:numPr>
              <w:spacing w:after="60"/>
              <w:ind w:right="10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którzy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posiadają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sprawności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ECOG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0-2</w:t>
            </w:r>
          </w:p>
          <w:p w14:paraId="3455D770" w14:textId="77777777" w:rsidR="00F175D5" w:rsidRPr="00D43AA6" w:rsidRDefault="00F175D5" w:rsidP="00D43AA6">
            <w:pPr>
              <w:pStyle w:val="Akapitzlist"/>
              <w:widowControl w:val="0"/>
              <w:spacing w:after="60"/>
              <w:ind w:left="400" w:right="10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57B6F9" w14:textId="582D3ABC" w:rsidR="00AF12FD" w:rsidRPr="00D43AA6" w:rsidRDefault="00F175D5" w:rsidP="00D43AA6">
            <w:pPr>
              <w:widowControl w:val="0"/>
              <w:spacing w:after="60"/>
              <w:ind w:right="10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Powyższe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kwalifikacji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muszą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spełnione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łącznie.</w:t>
            </w:r>
          </w:p>
          <w:p w14:paraId="10079FE0" w14:textId="77777777" w:rsidR="007955F7" w:rsidRPr="00D43AA6" w:rsidRDefault="007955F7" w:rsidP="00D43AA6">
            <w:pPr>
              <w:widowControl w:val="0"/>
              <w:spacing w:after="60"/>
              <w:ind w:right="10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15F883" w14:textId="27E19B4A" w:rsidR="00AF12FD" w:rsidRPr="00D43AA6" w:rsidRDefault="00AF12FD" w:rsidP="00D43AA6">
            <w:pPr>
              <w:pStyle w:val="Akapitzlist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Określenie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czasu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  <w:p w14:paraId="6BEB85CA" w14:textId="49AF04FE" w:rsidR="00AF12FD" w:rsidRPr="00D43AA6" w:rsidRDefault="00AF12FD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iksazomibem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połączeniu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lenalidomidem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deksametazonem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kontynuuje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progres</w:t>
            </w:r>
            <w:r w:rsidR="00F175D5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75D5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choroby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75D5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75D5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zastrzeżeniem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75D5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pkt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26D95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26D95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niżej).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Wystąpienie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nieakceptowalnej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toksyczności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iksazomibu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lenalidomidu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mimo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zastosowania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redukcji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danego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zaleceniami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Charakterystyki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Leczniczego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wymaga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jego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odstawienia.</w:t>
            </w:r>
          </w:p>
          <w:p w14:paraId="3FB7496C" w14:textId="77777777" w:rsidR="007955F7" w:rsidRPr="00D43AA6" w:rsidRDefault="007955F7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A34817" w14:textId="2BE38B72" w:rsidR="00101248" w:rsidRPr="00D43AA6" w:rsidRDefault="00101248" w:rsidP="00D43AA6">
            <w:pPr>
              <w:pStyle w:val="Akapitzlist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niepozwalające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zakwalifikowanie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względu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bezpieczeństwo</w:t>
            </w:r>
          </w:p>
          <w:p w14:paraId="28116BBB" w14:textId="2D73599B" w:rsidR="00101248" w:rsidRPr="00D43AA6" w:rsidRDefault="00101248" w:rsidP="00D43AA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bezwzględna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liczba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neutrofili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&lt;1,0x10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9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/l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liczba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płytek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krwi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&lt;75x10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9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/l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&lt;30x10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9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/l,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zależności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od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nacieczenia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szpiku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kostnego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przez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komórki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plazmatyczne;</w:t>
            </w:r>
          </w:p>
          <w:p w14:paraId="3F5EA273" w14:textId="77777777" w:rsidR="00101248" w:rsidRPr="00D43AA6" w:rsidRDefault="00101248" w:rsidP="00D43AA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ciąża;</w:t>
            </w:r>
          </w:p>
          <w:p w14:paraId="2C8AF47D" w14:textId="386F8D06" w:rsidR="00101248" w:rsidRPr="00D43AA6" w:rsidRDefault="00101248" w:rsidP="00D43AA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niemożność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stosowania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się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programu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zapobiegania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ciąży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(dotyczy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kobiet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mężczyzn);</w:t>
            </w:r>
          </w:p>
          <w:p w14:paraId="3E9538D2" w14:textId="54D35E1E" w:rsidR="00101248" w:rsidRPr="00D43AA6" w:rsidRDefault="00101248" w:rsidP="00D43AA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nadwrażliwość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iksazomib</w:t>
            </w:r>
            <w:proofErr w:type="spellEnd"/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lenalidomid</w:t>
            </w:r>
            <w:proofErr w:type="spellEnd"/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którąkolwiek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substancję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pomocniczą.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5CE59E9" w14:textId="150CE696" w:rsidR="007955F7" w:rsidRDefault="007955F7" w:rsidP="00D43AA6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AF6D5BF" w14:textId="77777777" w:rsidR="005D6B62" w:rsidRPr="00D43AA6" w:rsidRDefault="005D6B62" w:rsidP="00D43AA6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DB1B6DD" w14:textId="030F124C" w:rsidR="00101248" w:rsidRPr="00D43AA6" w:rsidRDefault="00101248" w:rsidP="00D43AA6">
            <w:pPr>
              <w:pStyle w:val="Akapitzlist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zakończenia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udziału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</w:p>
          <w:p w14:paraId="25C12FAD" w14:textId="6C2D9EEF" w:rsidR="00101248" w:rsidRPr="00D43AA6" w:rsidRDefault="00101248" w:rsidP="00D43AA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progresja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choroby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po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więcej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niż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cyklach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leczenia;</w:t>
            </w:r>
          </w:p>
          <w:p w14:paraId="7F4ECF31" w14:textId="30B4884B" w:rsidR="00101248" w:rsidRPr="00D43AA6" w:rsidRDefault="00101248" w:rsidP="00D43AA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brak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remisji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częściowej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po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cyklach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leczenia;</w:t>
            </w:r>
          </w:p>
          <w:p w14:paraId="0D6F98B8" w14:textId="40A467EB" w:rsidR="00101248" w:rsidRPr="00D43AA6" w:rsidRDefault="00101248" w:rsidP="00D43AA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wystąpienie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objawów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nadwrażliwości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iksazomib</w:t>
            </w:r>
            <w:proofErr w:type="spellEnd"/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którykolwiek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ze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składników</w:t>
            </w:r>
            <w:r w:rsidR="00D43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preparatu</w:t>
            </w:r>
            <w:r w:rsidR="007955F7" w:rsidRPr="00D43AA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5788C2C" w14:textId="77777777" w:rsidR="002C0455" w:rsidRPr="00D43AA6" w:rsidRDefault="002C0455" w:rsidP="00D43AA6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458E" w14:textId="188EF040" w:rsidR="004810CC" w:rsidRPr="00D43AA6" w:rsidRDefault="004810CC" w:rsidP="00D43AA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Dawkowanie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iksazomibu</w:t>
            </w:r>
            <w:proofErr w:type="spellEnd"/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skojarzeniu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lenalidomidem</w:t>
            </w:r>
            <w:proofErr w:type="spellEnd"/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deksametazonem</w:t>
            </w:r>
            <w:proofErr w:type="spellEnd"/>
          </w:p>
          <w:p w14:paraId="3CA63C24" w14:textId="216CE99D" w:rsidR="00AF12FD" w:rsidRPr="00D43AA6" w:rsidRDefault="00AF12FD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Zalecana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początkowa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iksazomibu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wynosi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doustnie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tygodniu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dniach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28-dniowego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4EE28F1" w14:textId="77777777" w:rsidR="007955F7" w:rsidRPr="00D43AA6" w:rsidRDefault="007955F7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5E07D8" w14:textId="715D7155" w:rsidR="00AF12FD" w:rsidRPr="00D43AA6" w:rsidRDefault="00AF12FD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Zalecana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początkowa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lenalidomidu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wynosi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dobę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dniach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28-dniowego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398F277" w14:textId="77777777" w:rsidR="007955F7" w:rsidRPr="00D43AA6" w:rsidRDefault="007955F7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C8A8DE" w14:textId="0F0BB0B1" w:rsidR="00AF12FD" w:rsidRPr="00D43AA6" w:rsidRDefault="00AF12FD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Zalecana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deksametazonu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wynosi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dniach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28-dniowego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leczenia.</w:t>
            </w:r>
          </w:p>
          <w:p w14:paraId="7D106BBE" w14:textId="77777777" w:rsidR="007955F7" w:rsidRPr="00D43AA6" w:rsidRDefault="007955F7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0331E0" w14:textId="31DE1EFD" w:rsidR="002C0455" w:rsidRPr="00D43AA6" w:rsidRDefault="00AF12FD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Dopuszcza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modyfikację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dawkowania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Charakterystyką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Leczniczego.</w:t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D477F" w14:textId="7458C96A" w:rsidR="00076DA6" w:rsidRPr="00D43AA6" w:rsidRDefault="00076DA6" w:rsidP="00D43AA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przy</w:t>
            </w:r>
            <w:r w:rsid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kwalifikacji</w:t>
            </w:r>
          </w:p>
          <w:p w14:paraId="52CCCD45" w14:textId="3CA129FA" w:rsidR="00076DA6" w:rsidRPr="00D43AA6" w:rsidRDefault="00076DA6" w:rsidP="00D43AA6">
            <w:pPr>
              <w:pStyle w:val="Akapitzlist"/>
              <w:numPr>
                <w:ilvl w:val="3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morfologia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krwi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rozmazem;</w:t>
            </w:r>
          </w:p>
          <w:p w14:paraId="15EBACC1" w14:textId="52D9F842" w:rsidR="00076DA6" w:rsidRPr="00D43AA6" w:rsidRDefault="00076DA6" w:rsidP="00D43AA6">
            <w:pPr>
              <w:pStyle w:val="Akapitzlist"/>
              <w:numPr>
                <w:ilvl w:val="3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wapnia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surowicy;</w:t>
            </w:r>
          </w:p>
          <w:p w14:paraId="0D4F360B" w14:textId="52A49103" w:rsidR="00076DA6" w:rsidRPr="00D43AA6" w:rsidRDefault="00076DA6" w:rsidP="00D43AA6">
            <w:pPr>
              <w:pStyle w:val="Akapitzlist"/>
              <w:numPr>
                <w:ilvl w:val="3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AspAT</w:t>
            </w:r>
            <w:proofErr w:type="spellEnd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AlAT</w:t>
            </w:r>
            <w:proofErr w:type="spellEnd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2D8F3E0" w14:textId="7B4A9D37" w:rsidR="00076DA6" w:rsidRPr="00D43AA6" w:rsidRDefault="00076DA6" w:rsidP="00D43AA6">
            <w:pPr>
              <w:pStyle w:val="Akapitzlist"/>
              <w:numPr>
                <w:ilvl w:val="3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bilirubiny;</w:t>
            </w:r>
          </w:p>
          <w:p w14:paraId="4810B4D6" w14:textId="1C4D4C8D" w:rsidR="00076DA6" w:rsidRPr="00D43AA6" w:rsidRDefault="00076DA6" w:rsidP="00D43AA6">
            <w:pPr>
              <w:pStyle w:val="Akapitzlist"/>
              <w:numPr>
                <w:ilvl w:val="3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kreatyniny;</w:t>
            </w:r>
          </w:p>
          <w:p w14:paraId="43F65520" w14:textId="7D9EA7B1" w:rsidR="00076DA6" w:rsidRPr="00D43AA6" w:rsidRDefault="00076DA6" w:rsidP="00D43AA6">
            <w:pPr>
              <w:pStyle w:val="Akapitzlist"/>
              <w:numPr>
                <w:ilvl w:val="3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klirens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kreatyniny;</w:t>
            </w:r>
          </w:p>
          <w:p w14:paraId="5C2C8F3B" w14:textId="3F211C0D" w:rsidR="00076DA6" w:rsidRPr="00D43AA6" w:rsidRDefault="00076DA6" w:rsidP="00D43AA6">
            <w:pPr>
              <w:pStyle w:val="Akapitzlist"/>
              <w:numPr>
                <w:ilvl w:val="3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białka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M;</w:t>
            </w:r>
          </w:p>
          <w:p w14:paraId="5FA7F044" w14:textId="687EFD26" w:rsidR="00D81AB9" w:rsidRPr="00D43AA6" w:rsidRDefault="00827F9B" w:rsidP="00D43AA6">
            <w:pPr>
              <w:pStyle w:val="Akapitzlist"/>
              <w:numPr>
                <w:ilvl w:val="3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niskodawkowa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TK</w:t>
            </w:r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układu</w:t>
            </w:r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kostnego</w:t>
            </w:r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(badanie</w:t>
            </w:r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kośćca</w:t>
            </w:r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lekarza)</w:t>
            </w:r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60E7BA6" w14:textId="4540704D" w:rsidR="00076DA6" w:rsidRPr="00D43AA6" w:rsidRDefault="00076DA6" w:rsidP="00D43AA6">
            <w:pPr>
              <w:pStyle w:val="Akapitzlist"/>
              <w:numPr>
                <w:ilvl w:val="3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udokumentowanie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obecności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aberracji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cytogenetycznych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wysokiego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ryzyka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kryteriami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kwalifikowania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chorych;</w:t>
            </w:r>
          </w:p>
          <w:p w14:paraId="384B2C50" w14:textId="0E10532E" w:rsidR="007955F7" w:rsidRPr="00D43AA6" w:rsidRDefault="00076DA6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27F9B"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winny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wykonane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ciągu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więcej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niż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tygodni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poprzedzających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rozpoczęcie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wyjątkiem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badań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pkt.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mogą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wykonane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wcześniej.</w:t>
            </w:r>
          </w:p>
          <w:p w14:paraId="17F2693B" w14:textId="70AFDACA" w:rsidR="00076DA6" w:rsidRPr="00D43AA6" w:rsidRDefault="00076DA6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kwalifikacji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wcześniej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niż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wydaniem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pacjentkom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mogącym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zajść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wykonać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test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ciążowy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czułości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25mIU/ml.</w:t>
            </w:r>
          </w:p>
          <w:p w14:paraId="25E8A2B8" w14:textId="77777777" w:rsidR="007955F7" w:rsidRPr="00D43AA6" w:rsidRDefault="007955F7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FBFF62C" w14:textId="1C37A67B" w:rsidR="00076DA6" w:rsidRPr="00D43AA6" w:rsidRDefault="00076DA6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</w:t>
            </w:r>
            <w:r w:rsidR="00D43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Monitorowanie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leczenia</w:t>
            </w:r>
          </w:p>
          <w:p w14:paraId="4253C39C" w14:textId="2B5D21E4" w:rsidR="00076DA6" w:rsidRPr="00D43AA6" w:rsidRDefault="00076DA6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kontrolne,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szczególności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morfologia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krwi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rozmazem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test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ciążowy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czułości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25mIU/ml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pacjentek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mogących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zajść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ciążę,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powinny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być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wykonywane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każdym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cyklem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zaleceniami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Charakterystyki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Leczniczego.</w:t>
            </w:r>
          </w:p>
          <w:p w14:paraId="22841868" w14:textId="6C74EB53" w:rsidR="00076DA6" w:rsidRPr="00D43AA6" w:rsidRDefault="00076DA6" w:rsidP="00D43A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Ponadto,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leczenia:</w:t>
            </w:r>
          </w:p>
          <w:p w14:paraId="40A9145D" w14:textId="24E457CC" w:rsidR="00076DA6" w:rsidRPr="00D43AA6" w:rsidRDefault="00076DA6" w:rsidP="00D43AA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ind w:left="397" w:hanging="22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wapnia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surowicy;</w:t>
            </w:r>
          </w:p>
          <w:p w14:paraId="317F11AC" w14:textId="5D0C7019" w:rsidR="00076DA6" w:rsidRPr="00D43AA6" w:rsidRDefault="00076DA6" w:rsidP="00D43AA6">
            <w:pPr>
              <w:pStyle w:val="Akapitzlist"/>
              <w:numPr>
                <w:ilvl w:val="0"/>
                <w:numId w:val="5"/>
              </w:numPr>
              <w:tabs>
                <w:tab w:val="left" w:pos="373"/>
              </w:tabs>
              <w:autoSpaceDE w:val="0"/>
              <w:autoSpaceDN w:val="0"/>
              <w:adjustRightInd w:val="0"/>
              <w:spacing w:after="60"/>
              <w:ind w:left="397" w:hanging="22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AspAT</w:t>
            </w:r>
            <w:proofErr w:type="spellEnd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AIAT;</w:t>
            </w:r>
          </w:p>
          <w:p w14:paraId="72D5BDCF" w14:textId="3820CA88" w:rsidR="00076DA6" w:rsidRPr="00D43AA6" w:rsidRDefault="00076DA6" w:rsidP="00D43AA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ind w:left="397" w:hanging="22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bilirubiny;</w:t>
            </w:r>
          </w:p>
          <w:p w14:paraId="0CDFB599" w14:textId="6024BE91" w:rsidR="00076DA6" w:rsidRPr="00D43AA6" w:rsidRDefault="00076DA6" w:rsidP="00D43AA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ind w:left="397" w:hanging="22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kreatyniny;</w:t>
            </w:r>
          </w:p>
          <w:p w14:paraId="7D466ABF" w14:textId="7C427805" w:rsidR="00076DA6" w:rsidRPr="00D43AA6" w:rsidRDefault="00076DA6" w:rsidP="00D43AA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ind w:left="397" w:hanging="22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klirens</w:t>
            </w:r>
            <w:proofErr w:type="spellEnd"/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kreatyniny;</w:t>
            </w:r>
          </w:p>
          <w:p w14:paraId="117A1C1F" w14:textId="1413F2F9" w:rsidR="00076DA6" w:rsidRPr="00D43AA6" w:rsidRDefault="00076DA6" w:rsidP="00D43AA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ind w:left="397" w:hanging="22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białka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M;</w:t>
            </w:r>
          </w:p>
          <w:p w14:paraId="470CD087" w14:textId="2925B541" w:rsidR="00076DA6" w:rsidRPr="00D43AA6" w:rsidRDefault="00827F9B" w:rsidP="00D43AA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ind w:left="397" w:hanging="22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niskodawkowa</w:t>
            </w:r>
            <w:proofErr w:type="spellEnd"/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TK</w:t>
            </w:r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układu</w:t>
            </w:r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kostnego</w:t>
            </w:r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(badanie</w:t>
            </w:r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kośćca</w:t>
            </w:r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lekarza)</w:t>
            </w:r>
            <w:r w:rsidR="00D43A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20A0A0B4" w14:textId="5A72BE47" w:rsidR="0018627D" w:rsidRDefault="0018627D" w:rsidP="00D43AA6">
            <w:pPr>
              <w:pStyle w:val="Akapitzlist"/>
              <w:autoSpaceDE w:val="0"/>
              <w:autoSpaceDN w:val="0"/>
              <w:adjustRightInd w:val="0"/>
              <w:spacing w:after="60"/>
              <w:ind w:left="397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FA84FA" w14:textId="6BCC6D31" w:rsidR="005D6B62" w:rsidRDefault="005D6B62" w:rsidP="00D43AA6">
            <w:pPr>
              <w:pStyle w:val="Akapitzlist"/>
              <w:autoSpaceDE w:val="0"/>
              <w:autoSpaceDN w:val="0"/>
              <w:adjustRightInd w:val="0"/>
              <w:spacing w:after="60"/>
              <w:ind w:left="397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85F31B" w14:textId="77777777" w:rsidR="005D6B62" w:rsidRPr="00D43AA6" w:rsidRDefault="005D6B62" w:rsidP="00D43AA6">
            <w:pPr>
              <w:pStyle w:val="Akapitzlist"/>
              <w:autoSpaceDE w:val="0"/>
              <w:autoSpaceDN w:val="0"/>
              <w:adjustRightInd w:val="0"/>
              <w:spacing w:after="60"/>
              <w:ind w:left="397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A8B271" w14:textId="6DD41AD7" w:rsidR="00076DA6" w:rsidRPr="00D43AA6" w:rsidRDefault="00076DA6" w:rsidP="00D43AA6">
            <w:pPr>
              <w:spacing w:after="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3.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Monitorowanie</w:t>
            </w:r>
            <w:r w:rsid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programu</w:t>
            </w:r>
          </w:p>
          <w:p w14:paraId="4FD28C5D" w14:textId="2D5C814E" w:rsidR="00076DA6" w:rsidRPr="00D43AA6" w:rsidRDefault="00076DA6" w:rsidP="00D43AA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/>
              <w:ind w:left="397" w:hanging="22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gromadzenie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dokumentacji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medycznej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danych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dotyczących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monitorowania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każdorazowe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przedstawianie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żądanie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kontrolerów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Narodowego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Funduszu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Zdrowia;</w:t>
            </w:r>
          </w:p>
          <w:p w14:paraId="196E59EC" w14:textId="21F4AA0B" w:rsidR="00435124" w:rsidRPr="00D43AA6" w:rsidRDefault="00435124" w:rsidP="00D43AA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/>
              <w:ind w:left="397" w:hanging="22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uzupełnianie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elektronicznym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programów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lekowych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(SMPT)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D43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sz w:val="20"/>
                <w:szCs w:val="20"/>
              </w:rPr>
              <w:t>leczenia;</w:t>
            </w:r>
          </w:p>
          <w:p w14:paraId="7CC28E44" w14:textId="77777777" w:rsidR="002C0455" w:rsidRPr="00D43AA6" w:rsidRDefault="00076DA6" w:rsidP="00D43AA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/>
              <w:ind w:left="397" w:hanging="22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przekazywanie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sprawozdawczo-rozliczeniowych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NFZ: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przekazuje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NFZ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formie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papierowej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formie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elektronicznej,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wymaganiami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opublikowanymi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Narodowy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Fundusz</w:t>
            </w:r>
            <w:r w:rsid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Zdrowia</w:t>
            </w:r>
          </w:p>
          <w:p w14:paraId="737BE04C" w14:textId="26A75708" w:rsidR="00D43AA6" w:rsidRPr="00D43AA6" w:rsidRDefault="00D43AA6" w:rsidP="00D43AA6">
            <w:pPr>
              <w:pStyle w:val="Akapitzlist"/>
              <w:autoSpaceDE w:val="0"/>
              <w:autoSpaceDN w:val="0"/>
              <w:adjustRightInd w:val="0"/>
              <w:spacing w:after="60"/>
              <w:ind w:left="39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CED7C58" w14:textId="77777777" w:rsidR="00E96C24" w:rsidRDefault="00E96C24"/>
    <w:sectPr w:rsidR="00E96C24" w:rsidSect="00D43AA6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0475F" w14:textId="77777777" w:rsidR="00D43AA6" w:rsidRDefault="00D43AA6" w:rsidP="00687D33">
      <w:pPr>
        <w:spacing w:after="0" w:line="240" w:lineRule="auto"/>
      </w:pPr>
      <w:r>
        <w:separator/>
      </w:r>
    </w:p>
  </w:endnote>
  <w:endnote w:type="continuationSeparator" w:id="0">
    <w:p w14:paraId="377A7266" w14:textId="77777777" w:rsidR="00D43AA6" w:rsidRDefault="00D43AA6" w:rsidP="00687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7FC1A" w14:textId="77777777" w:rsidR="00D43AA6" w:rsidRDefault="00D43AA6" w:rsidP="00687D33">
      <w:pPr>
        <w:spacing w:after="0" w:line="240" w:lineRule="auto"/>
      </w:pPr>
      <w:r>
        <w:separator/>
      </w:r>
    </w:p>
  </w:footnote>
  <w:footnote w:type="continuationSeparator" w:id="0">
    <w:p w14:paraId="539AB1B4" w14:textId="77777777" w:rsidR="00D43AA6" w:rsidRDefault="00D43AA6" w:rsidP="00687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23EC"/>
    <w:multiLevelType w:val="multilevel"/>
    <w:tmpl w:val="7C183DB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0A73C68"/>
    <w:multiLevelType w:val="multilevel"/>
    <w:tmpl w:val="DF067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03D22D51"/>
    <w:multiLevelType w:val="multilevel"/>
    <w:tmpl w:val="DA9C3E14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04CA55EE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07F4562D"/>
    <w:multiLevelType w:val="multilevel"/>
    <w:tmpl w:val="31AAA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Theme="majorBidi" w:eastAsiaTheme="minorHAnsi" w:hAnsiTheme="majorBidi" w:cstheme="majorBidi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FC11B45"/>
    <w:multiLevelType w:val="multilevel"/>
    <w:tmpl w:val="7C183DB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159C3B9C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8C04130"/>
    <w:multiLevelType w:val="hybridMultilevel"/>
    <w:tmpl w:val="393E7310"/>
    <w:lvl w:ilvl="0" w:tplc="04150011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 w15:restartNumberingAfterBreak="0">
    <w:nsid w:val="1AB12199"/>
    <w:multiLevelType w:val="hybridMultilevel"/>
    <w:tmpl w:val="E02CB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E2CF2"/>
    <w:multiLevelType w:val="multilevel"/>
    <w:tmpl w:val="7C183DB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22554983"/>
    <w:multiLevelType w:val="hybridMultilevel"/>
    <w:tmpl w:val="3C469E4E"/>
    <w:lvl w:ilvl="0" w:tplc="B20CEACE">
      <w:start w:val="1"/>
      <w:numFmt w:val="decimal"/>
      <w:lvlText w:val="%1)"/>
      <w:lvlJc w:val="left"/>
      <w:pPr>
        <w:ind w:left="5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1" w15:restartNumberingAfterBreak="0">
    <w:nsid w:val="26DA3E4E"/>
    <w:multiLevelType w:val="multilevel"/>
    <w:tmpl w:val="7054CBF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2B05264D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2B883D27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2C3076A9"/>
    <w:multiLevelType w:val="hybridMultilevel"/>
    <w:tmpl w:val="1D12A440"/>
    <w:lvl w:ilvl="0" w:tplc="AF365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544B6"/>
    <w:multiLevelType w:val="multilevel"/>
    <w:tmpl w:val="7054CBF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334C369B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383C0C32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8" w15:restartNumberingAfterBreak="0">
    <w:nsid w:val="39B92250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3E575C36"/>
    <w:multiLevelType w:val="hybridMultilevel"/>
    <w:tmpl w:val="F74A8B70"/>
    <w:lvl w:ilvl="0" w:tplc="357099C8">
      <w:start w:val="1"/>
      <w:numFmt w:val="decimal"/>
      <w:lvlText w:val="%1)"/>
      <w:lvlJc w:val="left"/>
      <w:pPr>
        <w:ind w:left="40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0" w15:restartNumberingAfterBreak="0">
    <w:nsid w:val="3F1A7E7C"/>
    <w:multiLevelType w:val="multilevel"/>
    <w:tmpl w:val="7C183DB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42E91A18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2" w15:restartNumberingAfterBreak="0">
    <w:nsid w:val="4796165E"/>
    <w:multiLevelType w:val="hybridMultilevel"/>
    <w:tmpl w:val="09904E1A"/>
    <w:lvl w:ilvl="0" w:tplc="7CEC0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958F050">
      <w:start w:val="1"/>
      <w:numFmt w:val="decimal"/>
      <w:lvlText w:val="%3)"/>
      <w:lvlJc w:val="right"/>
      <w:pPr>
        <w:ind w:left="322" w:hanging="180"/>
      </w:pPr>
      <w:rPr>
        <w:rFonts w:asciiTheme="majorBidi" w:eastAsiaTheme="minorHAnsi" w:hAnsiTheme="majorBidi" w:cstheme="maj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D5FA5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4" w15:restartNumberingAfterBreak="0">
    <w:nsid w:val="4A002518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5" w15:restartNumberingAfterBreak="0">
    <w:nsid w:val="4AB722DF"/>
    <w:multiLevelType w:val="hybridMultilevel"/>
    <w:tmpl w:val="393E7310"/>
    <w:lvl w:ilvl="0" w:tplc="04150011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6" w15:restartNumberingAfterBreak="0">
    <w:nsid w:val="4D310A25"/>
    <w:multiLevelType w:val="hybridMultilevel"/>
    <w:tmpl w:val="E084C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20A69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8" w15:restartNumberingAfterBreak="0">
    <w:nsid w:val="4F3328FD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9" w15:restartNumberingAfterBreak="0">
    <w:nsid w:val="4F786481"/>
    <w:multiLevelType w:val="hybridMultilevel"/>
    <w:tmpl w:val="091E4678"/>
    <w:lvl w:ilvl="0" w:tplc="EC8A1AC0">
      <w:start w:val="1"/>
      <w:numFmt w:val="decimal"/>
      <w:lvlText w:val="%1)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0DE8A7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413B0"/>
    <w:multiLevelType w:val="multilevel"/>
    <w:tmpl w:val="7054CBF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1" w15:restartNumberingAfterBreak="0">
    <w:nsid w:val="606B273A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2" w15:restartNumberingAfterBreak="0">
    <w:nsid w:val="6280220F"/>
    <w:multiLevelType w:val="hybridMultilevel"/>
    <w:tmpl w:val="E02CB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74E15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4" w15:restartNumberingAfterBreak="0">
    <w:nsid w:val="6EFC7719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5" w15:restartNumberingAfterBreak="0">
    <w:nsid w:val="737E0522"/>
    <w:multiLevelType w:val="hybridMultilevel"/>
    <w:tmpl w:val="35BA6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F6574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19"/>
  </w:num>
  <w:num w:numId="4">
    <w:abstractNumId w:val="25"/>
  </w:num>
  <w:num w:numId="5">
    <w:abstractNumId w:val="7"/>
  </w:num>
  <w:num w:numId="6">
    <w:abstractNumId w:val="10"/>
  </w:num>
  <w:num w:numId="7">
    <w:abstractNumId w:val="14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6"/>
  </w:num>
  <w:num w:numId="11">
    <w:abstractNumId w:val="35"/>
  </w:num>
  <w:num w:numId="12">
    <w:abstractNumId w:val="30"/>
  </w:num>
  <w:num w:numId="13">
    <w:abstractNumId w:val="11"/>
  </w:num>
  <w:num w:numId="14">
    <w:abstractNumId w:val="32"/>
  </w:num>
  <w:num w:numId="15">
    <w:abstractNumId w:val="8"/>
  </w:num>
  <w:num w:numId="16">
    <w:abstractNumId w:val="33"/>
  </w:num>
  <w:num w:numId="17">
    <w:abstractNumId w:val="6"/>
  </w:num>
  <w:num w:numId="18">
    <w:abstractNumId w:val="3"/>
  </w:num>
  <w:num w:numId="19">
    <w:abstractNumId w:val="17"/>
  </w:num>
  <w:num w:numId="20">
    <w:abstractNumId w:val="24"/>
  </w:num>
  <w:num w:numId="21">
    <w:abstractNumId w:val="27"/>
  </w:num>
  <w:num w:numId="22">
    <w:abstractNumId w:val="36"/>
  </w:num>
  <w:num w:numId="23">
    <w:abstractNumId w:val="16"/>
  </w:num>
  <w:num w:numId="24">
    <w:abstractNumId w:val="18"/>
  </w:num>
  <w:num w:numId="25">
    <w:abstractNumId w:val="0"/>
  </w:num>
  <w:num w:numId="26">
    <w:abstractNumId w:val="20"/>
  </w:num>
  <w:num w:numId="27">
    <w:abstractNumId w:val="5"/>
  </w:num>
  <w:num w:numId="28">
    <w:abstractNumId w:val="9"/>
  </w:num>
  <w:num w:numId="29">
    <w:abstractNumId w:val="2"/>
  </w:num>
  <w:num w:numId="30">
    <w:abstractNumId w:val="34"/>
  </w:num>
  <w:num w:numId="31">
    <w:abstractNumId w:val="13"/>
  </w:num>
  <w:num w:numId="32">
    <w:abstractNumId w:val="31"/>
  </w:num>
  <w:num w:numId="33">
    <w:abstractNumId w:val="12"/>
  </w:num>
  <w:num w:numId="34">
    <w:abstractNumId w:val="28"/>
  </w:num>
  <w:num w:numId="35">
    <w:abstractNumId w:val="1"/>
  </w:num>
  <w:num w:numId="36">
    <w:abstractNumId w:val="21"/>
  </w:num>
  <w:num w:numId="37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B3"/>
    <w:rsid w:val="0003264D"/>
    <w:rsid w:val="00076DA6"/>
    <w:rsid w:val="000A617D"/>
    <w:rsid w:val="000C47EB"/>
    <w:rsid w:val="00101248"/>
    <w:rsid w:val="00103424"/>
    <w:rsid w:val="00110556"/>
    <w:rsid w:val="001400D1"/>
    <w:rsid w:val="0018627D"/>
    <w:rsid w:val="001D29BC"/>
    <w:rsid w:val="00251A78"/>
    <w:rsid w:val="00254EF2"/>
    <w:rsid w:val="00283742"/>
    <w:rsid w:val="002C0455"/>
    <w:rsid w:val="003A3831"/>
    <w:rsid w:val="00412BCF"/>
    <w:rsid w:val="00422F3B"/>
    <w:rsid w:val="0042338F"/>
    <w:rsid w:val="00426B56"/>
    <w:rsid w:val="00435124"/>
    <w:rsid w:val="004810CC"/>
    <w:rsid w:val="004C2D5A"/>
    <w:rsid w:val="0051424B"/>
    <w:rsid w:val="005D6B62"/>
    <w:rsid w:val="00636BC7"/>
    <w:rsid w:val="00687D33"/>
    <w:rsid w:val="006A6E24"/>
    <w:rsid w:val="00727682"/>
    <w:rsid w:val="007955F7"/>
    <w:rsid w:val="007B5E24"/>
    <w:rsid w:val="007C413C"/>
    <w:rsid w:val="007E5565"/>
    <w:rsid w:val="00827F9B"/>
    <w:rsid w:val="008E37C0"/>
    <w:rsid w:val="008F346C"/>
    <w:rsid w:val="00944EEB"/>
    <w:rsid w:val="009866A2"/>
    <w:rsid w:val="009C0148"/>
    <w:rsid w:val="009C2DB3"/>
    <w:rsid w:val="009D3AC9"/>
    <w:rsid w:val="00A1412B"/>
    <w:rsid w:val="00A2003F"/>
    <w:rsid w:val="00A51038"/>
    <w:rsid w:val="00AC15E6"/>
    <w:rsid w:val="00AF12FD"/>
    <w:rsid w:val="00B168A3"/>
    <w:rsid w:val="00C02B31"/>
    <w:rsid w:val="00C03ECF"/>
    <w:rsid w:val="00C318EB"/>
    <w:rsid w:val="00C5607F"/>
    <w:rsid w:val="00C61738"/>
    <w:rsid w:val="00C82A88"/>
    <w:rsid w:val="00D26D95"/>
    <w:rsid w:val="00D43AA6"/>
    <w:rsid w:val="00D45924"/>
    <w:rsid w:val="00D81AB9"/>
    <w:rsid w:val="00DA2DDF"/>
    <w:rsid w:val="00DA4315"/>
    <w:rsid w:val="00DB0534"/>
    <w:rsid w:val="00DC597F"/>
    <w:rsid w:val="00DE50E5"/>
    <w:rsid w:val="00DF2DEE"/>
    <w:rsid w:val="00E05F62"/>
    <w:rsid w:val="00E14B73"/>
    <w:rsid w:val="00E96C24"/>
    <w:rsid w:val="00EE24AD"/>
    <w:rsid w:val="00F05FF5"/>
    <w:rsid w:val="00F175D5"/>
    <w:rsid w:val="00F4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6004"/>
  <w15:chartTrackingRefBased/>
  <w15:docId w15:val="{E1517072-ED68-47B6-8AAC-4B50049C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DB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tyl moj,Akapit z listą11,podpunkt ankietyy"/>
    <w:basedOn w:val="Normalny"/>
    <w:link w:val="AkapitzlistZnak"/>
    <w:uiPriority w:val="34"/>
    <w:qFormat/>
    <w:rsid w:val="009C2DB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47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7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47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47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7E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tyl moj Znak,Akapit z listą11 Znak,podpunkt ankietyy Znak"/>
    <w:link w:val="Akapitzlist"/>
    <w:uiPriority w:val="34"/>
    <w:locked/>
    <w:rsid w:val="00C03ECF"/>
  </w:style>
  <w:style w:type="paragraph" w:styleId="Nagwek">
    <w:name w:val="header"/>
    <w:basedOn w:val="Normalny"/>
    <w:link w:val="NagwekZnak"/>
    <w:uiPriority w:val="99"/>
    <w:unhideWhenUsed/>
    <w:rsid w:val="00687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D33"/>
  </w:style>
  <w:style w:type="paragraph" w:styleId="Stopka">
    <w:name w:val="footer"/>
    <w:basedOn w:val="Normalny"/>
    <w:link w:val="StopkaZnak"/>
    <w:uiPriority w:val="99"/>
    <w:unhideWhenUsed/>
    <w:rsid w:val="00687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BAF18-77F9-45C4-B560-80EE5D95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4183</Words>
  <Characters>25100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Protas Anna</dc:creator>
  <cp:keywords/>
  <dc:description/>
  <cp:lastModifiedBy>Królak-Buzakowska Joanna</cp:lastModifiedBy>
  <cp:revision>5</cp:revision>
  <dcterms:created xsi:type="dcterms:W3CDTF">2021-04-12T22:33:00Z</dcterms:created>
  <dcterms:modified xsi:type="dcterms:W3CDTF">2021-04-12T23:17:00Z</dcterms:modified>
</cp:coreProperties>
</file>