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7A57" w14:textId="7CF4D956" w:rsidR="000E358F" w:rsidRPr="00766C6C" w:rsidRDefault="000E358F" w:rsidP="00766C6C">
      <w:pPr>
        <w:pStyle w:val="Nagwek2"/>
      </w:pPr>
      <w:r w:rsidRPr="005A5163">
        <w:t>Załącznik nr 1</w:t>
      </w:r>
    </w:p>
    <w:p w14:paraId="02A20FF0" w14:textId="77777777" w:rsidR="00BD5B3D"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14:paraId="1DA16B65" w14:textId="77777777"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p>
    <w:p w14:paraId="58977FFD" w14:textId="5798E7E0" w:rsidR="00776C56" w:rsidRDefault="000E358F" w:rsidP="00776C56">
      <w:pPr>
        <w:pStyle w:val="Nagwek1"/>
        <w:tabs>
          <w:tab w:val="left" w:pos="850"/>
          <w:tab w:val="left" w:pos="1584"/>
          <w:tab w:val="center" w:pos="4535"/>
        </w:tabs>
        <w:jc w:val="left"/>
      </w:pPr>
      <w:r w:rsidRPr="00D1344F">
        <w:tab/>
      </w:r>
      <w:r w:rsidRPr="00D1344F">
        <w:tab/>
      </w:r>
      <w:r w:rsidRPr="00D1344F">
        <w:tab/>
        <w:t>Nr ew.</w:t>
      </w:r>
      <w:r w:rsidR="003753AA">
        <w:t xml:space="preserve"> 10</w:t>
      </w:r>
      <w:r w:rsidRPr="00D1344F">
        <w:t>/202</w:t>
      </w:r>
      <w:r w:rsidR="00D1344F" w:rsidRPr="00D1344F">
        <w:t>5</w:t>
      </w:r>
      <w:r w:rsidRPr="00D1344F">
        <w:t>/WD/</w:t>
      </w:r>
      <w:proofErr w:type="spellStart"/>
      <w:r w:rsidRPr="00D1344F">
        <w:t>DEKiD</w:t>
      </w:r>
      <w:proofErr w:type="spellEnd"/>
      <w:r w:rsidR="00776C56">
        <w:br/>
      </w:r>
    </w:p>
    <w:p w14:paraId="20046FB1" w14:textId="77777777" w:rsidR="00BD5B3D" w:rsidRPr="00BD5B3D" w:rsidRDefault="00BD5B3D" w:rsidP="00BD5B3D">
      <w:pPr>
        <w:rPr>
          <w:lang w:eastAsia="pl-PL"/>
        </w:rPr>
      </w:pPr>
    </w:p>
    <w:p w14:paraId="76308CEC"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14:paraId="3F9B1E4A" w14:textId="16701E39"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00EA4482" w:rsidRPr="00B40595">
        <w:rPr>
          <w:rFonts w:ascii="Times New Roman" w:eastAsia="Times New Roman" w:hAnsi="Times New Roman" w:cs="Times New Roman"/>
          <w:sz w:val="24"/>
          <w:szCs w:val="24"/>
          <w:lang w:eastAsia="pl-PL"/>
        </w:rPr>
        <w:t>)</w:t>
      </w:r>
      <w:r w:rsidR="00EA4482">
        <w:rPr>
          <w:rFonts w:ascii="Times New Roman" w:eastAsia="Times New Roman" w:hAnsi="Times New Roman" w:cs="Times New Roman"/>
          <w:sz w:val="24"/>
          <w:szCs w:val="24"/>
          <w:lang w:eastAsia="pl-PL"/>
        </w:rPr>
        <w:t>,</w:t>
      </w:r>
      <w:r w:rsidRPr="001325BD">
        <w:rPr>
          <w:rFonts w:ascii="Times New Roman" w:eastAsia="Times New Roman" w:hAnsi="Times New Roman" w:cs="Times New Roman"/>
          <w:sz w:val="24"/>
          <w:szCs w:val="24"/>
          <w:lang w:eastAsia="pl-PL"/>
        </w:rPr>
        <w:t xml:space="preserve"> zwanej dalej „ustawą”.</w:t>
      </w:r>
    </w:p>
    <w:p w14:paraId="3CE5CDBB" w14:textId="77777777" w:rsidR="0054677C" w:rsidRPr="00776C56"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14:paraId="41981674"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14:paraId="251E3DC7"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14:paraId="1434D2D1" w14:textId="004760C6"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14:paraId="49884609" w14:textId="4D584600"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14:paraId="1CF13B6A" w14:textId="75BA924B"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 xml:space="preserve">Oferta musi zostać </w:t>
      </w:r>
      <w:r w:rsidR="008019C4">
        <w:rPr>
          <w:rFonts w:ascii="Times New Roman" w:hAnsi="Times New Roman" w:cs="Times New Roman"/>
          <w:sz w:val="24"/>
          <w:szCs w:val="24"/>
        </w:rPr>
        <w:t>złożona za pośrednictwem systemu</w:t>
      </w:r>
      <w:r w:rsidRPr="001325BD">
        <w:rPr>
          <w:rFonts w:ascii="Times New Roman" w:hAnsi="Times New Roman" w:cs="Times New Roman"/>
          <w:sz w:val="24"/>
          <w:szCs w:val="24"/>
        </w:rPr>
        <w:t xml:space="preserve"> internetowego </w:t>
      </w:r>
      <w:hyperlink r:id="rId9"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w:t>
      </w:r>
      <w:r w:rsidR="00CD053B">
        <w:rPr>
          <w:rFonts w:ascii="Times New Roman" w:hAnsi="Times New Roman" w:cs="Times New Roman"/>
          <w:sz w:val="24"/>
          <w:szCs w:val="24"/>
        </w:rPr>
        <w:t>ormularz dostępny w tym systemie</w:t>
      </w:r>
      <w:r w:rsidRPr="001325BD">
        <w:rPr>
          <w:rFonts w:ascii="Times New Roman" w:hAnsi="Times New Roman" w:cs="Times New Roman"/>
          <w:sz w:val="24"/>
          <w:szCs w:val="24"/>
        </w:rPr>
        <w:t xml:space="preserve">. </w:t>
      </w:r>
    </w:p>
    <w:p w14:paraId="6D811743" w14:textId="77777777"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maksymalnie </w:t>
      </w:r>
      <w:r w:rsidR="007667B6" w:rsidRPr="001325BD">
        <w:rPr>
          <w:rFonts w:ascii="Times New Roman" w:eastAsia="Times New Roman" w:hAnsi="Times New Roman" w:cs="Times New Roman"/>
          <w:sz w:val="24"/>
          <w:szCs w:val="24"/>
          <w:lang w:eastAsia="pl-PL"/>
        </w:rPr>
        <w:t>jedną ofertę</w:t>
      </w:r>
      <w:r w:rsidRPr="001325BD">
        <w:rPr>
          <w:rFonts w:ascii="Times New Roman" w:eastAsia="Times New Roman" w:hAnsi="Times New Roman" w:cs="Times New Roman"/>
          <w:sz w:val="24"/>
          <w:szCs w:val="24"/>
          <w:lang w:eastAsia="pl-PL"/>
        </w:rPr>
        <w:t>.</w:t>
      </w:r>
    </w:p>
    <w:p w14:paraId="0C6669AB" w14:textId="118B31A6"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1325BD">
        <w:rPr>
          <w:rFonts w:ascii="Times New Roman" w:hAnsi="Times New Roman" w:cs="Times New Roman"/>
          <w:b/>
          <w:sz w:val="24"/>
          <w:szCs w:val="24"/>
        </w:rPr>
        <w:t xml:space="preserve">w </w:t>
      </w:r>
      <w:r w:rsidR="00CD053B">
        <w:rPr>
          <w:rFonts w:ascii="Times New Roman" w:hAnsi="Times New Roman" w:cs="Times New Roman"/>
          <w:b/>
          <w:sz w:val="24"/>
          <w:szCs w:val="24"/>
        </w:rPr>
        <w:t xml:space="preserve">systemie </w:t>
      </w:r>
      <w:r w:rsidRPr="001325BD">
        <w:rPr>
          <w:rFonts w:ascii="Times New Roman" w:hAnsi="Times New Roman" w:cs="Times New Roman"/>
          <w:b/>
          <w:sz w:val="24"/>
          <w:szCs w:val="24"/>
        </w:rPr>
        <w:t>witkac.pl.</w:t>
      </w:r>
    </w:p>
    <w:p w14:paraId="4FF07034" w14:textId="728B3054"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3753AA">
        <w:rPr>
          <w:rFonts w:ascii="Times New Roman" w:eastAsia="Times New Roman" w:hAnsi="Times New Roman" w:cs="Times New Roman"/>
          <w:color w:val="000000" w:themeColor="text1"/>
          <w:sz w:val="24"/>
          <w:szCs w:val="24"/>
          <w:lang w:eastAsia="pl-PL"/>
        </w:rPr>
        <w:br/>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003753AA">
        <w:rPr>
          <w:rFonts w:ascii="Times New Roman" w:hAnsi="Times New Roman" w:cs="Times New Roman"/>
          <w:color w:val="000000" w:themeColor="text1"/>
          <w:sz w:val="24"/>
          <w:szCs w:val="24"/>
          <w:shd w:val="clear" w:color="auto" w:fill="FFFFFF"/>
        </w:rPr>
        <w:br/>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14:paraId="560D65BD" w14:textId="77777777"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1325BD">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14:paraId="5B04DE3F" w14:textId="77777777"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14:paraId="64CF07E0" w14:textId="77777777"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14:paraId="756E1947" w14:textId="77777777"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14:paraId="1BCCB121" w14:textId="77777777"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14:paraId="16B40E0A" w14:textId="77777777"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14:paraId="148B6150" w14:textId="77777777"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14:paraId="4220FF12" w14:textId="77777777"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14:paraId="06E63A8C" w14:textId="77777777"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14:paraId="4960BAA4" w14:textId="77777777"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14:paraId="1EE4FEBF" w14:textId="77777777"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14:paraId="520D9EB5" w14:textId="77777777"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14:paraId="6F8E5DDE" w14:textId="4D32D97F" w:rsidR="00D61D1B"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14:paraId="43B3FEDD" w14:textId="1EED787A" w:rsidR="0054677C" w:rsidRPr="001325BD"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w:t>
      </w:r>
      <w:proofErr w:type="spellStart"/>
      <w:r w:rsidRPr="001325BD">
        <w:rPr>
          <w:rFonts w:ascii="Times New Roman" w:eastAsia="Times New Roman" w:hAnsi="Times New Roman" w:cs="Times New Roman"/>
          <w:sz w:val="24"/>
          <w:szCs w:val="24"/>
          <w:lang w:eastAsia="pl-PL"/>
        </w:rPr>
        <w:t>proobronnego</w:t>
      </w:r>
      <w:proofErr w:type="spellEnd"/>
      <w:r w:rsidRPr="001325BD">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14:paraId="6B454FCE" w14:textId="6CD4467D"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w:t>
      </w:r>
      <w:r w:rsidR="00E9518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zajęcia praktyczne</w:t>
      </w:r>
      <w:r w:rsidR="00C6127D">
        <w:rPr>
          <w:rFonts w:ascii="Times New Roman" w:eastAsia="Times New Roman" w:hAnsi="Times New Roman" w:cs="Times New Roman"/>
          <w:sz w:val="24"/>
          <w:szCs w:val="24"/>
          <w:lang w:eastAsia="pl-PL"/>
        </w:rPr>
        <w:t xml:space="preserve"> oraz wskazanym zabezpieczeniem </w:t>
      </w:r>
      <w:r w:rsidR="00E9518E">
        <w:rPr>
          <w:rFonts w:ascii="Times New Roman" w:eastAsia="Times New Roman" w:hAnsi="Times New Roman" w:cs="Times New Roman"/>
          <w:sz w:val="24"/>
          <w:szCs w:val="24"/>
          <w:lang w:eastAsia="pl-PL"/>
        </w:rPr>
        <w:t>materiałowo-</w:t>
      </w:r>
      <w:r w:rsidR="00C6127D">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Pr>
          <w:rFonts w:ascii="Times New Roman" w:eastAsia="Times New Roman" w:hAnsi="Times New Roman" w:cs="Times New Roman"/>
          <w:sz w:val="24"/>
          <w:szCs w:val="24"/>
          <w:lang w:eastAsia="pl-PL"/>
        </w:rPr>
        <w:t xml:space="preserve">do </w:t>
      </w:r>
      <w:r w:rsidR="00C6127D">
        <w:rPr>
          <w:rFonts w:ascii="Times New Roman" w:eastAsia="Times New Roman" w:hAnsi="Times New Roman" w:cs="Times New Roman"/>
          <w:sz w:val="24"/>
          <w:szCs w:val="24"/>
          <w:lang w:eastAsia="pl-PL"/>
        </w:rPr>
        <w:t>RKO itd.</w:t>
      </w:r>
      <w:r>
        <w:rPr>
          <w:rFonts w:ascii="Times New Roman" w:eastAsia="Times New Roman" w:hAnsi="Times New Roman" w:cs="Times New Roman"/>
          <w:sz w:val="24"/>
          <w:szCs w:val="24"/>
          <w:lang w:eastAsia="pl-PL"/>
        </w:rPr>
        <w:t>;</w:t>
      </w:r>
    </w:p>
    <w:p w14:paraId="3A73D0EE" w14:textId="5D37CC7F" w:rsidR="00747464"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formę organizacji zajęć określającą</w:t>
      </w:r>
      <w:r w:rsidR="00E9518E">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Pr>
          <w:rFonts w:ascii="Times New Roman" w:eastAsia="Times New Roman" w:hAnsi="Times New Roman" w:cs="Times New Roman"/>
          <w:sz w:val="24"/>
          <w:szCs w:val="24"/>
          <w:lang w:eastAsia="pl-PL"/>
        </w:rPr>
        <w:t xml:space="preserve"> które zajęcia od</w:t>
      </w:r>
      <w:r w:rsidR="00E9518E">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Pr>
          <w:rFonts w:ascii="Times New Roman" w:eastAsia="Times New Roman" w:hAnsi="Times New Roman" w:cs="Times New Roman"/>
          <w:sz w:val="24"/>
          <w:szCs w:val="24"/>
          <w:lang w:eastAsia="pl-PL"/>
        </w:rPr>
        <w:t xml:space="preserve"> itp.;</w:t>
      </w:r>
    </w:p>
    <w:p w14:paraId="40AD04DF" w14:textId="44E7B892" w:rsidR="00747464" w:rsidRPr="00747464"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zabezpieczenie osobowe</w:t>
      </w:r>
      <w:r w:rsidR="00D61D1B">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szkolenia strzeleckiego również:</w:t>
      </w:r>
    </w:p>
    <w:p w14:paraId="45D021D2" w14:textId="34E769FA"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00E9518E">
        <w:rPr>
          <w:rFonts w:ascii="Times New Roman" w:eastAsia="Times New Roman" w:hAnsi="Times New Roman" w:cs="Times New Roman"/>
          <w:sz w:val="24"/>
          <w:szCs w:val="24"/>
          <w:lang w:eastAsia="pl-PL"/>
        </w:rPr>
        <w:t>gładko</w:t>
      </w:r>
      <w:r w:rsidR="00E9518E" w:rsidRPr="009C632F">
        <w:rPr>
          <w:rFonts w:ascii="Times New Roman" w:eastAsia="Times New Roman" w:hAnsi="Times New Roman" w:cs="Times New Roman"/>
          <w:sz w:val="24"/>
          <w:szCs w:val="24"/>
          <w:lang w:eastAsia="pl-PL"/>
        </w:rPr>
        <w:t>lufowa</w:t>
      </w:r>
      <w:proofErr w:type="spellEnd"/>
      <w:r w:rsidRPr="009C632F">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Pr>
          <w:rFonts w:ascii="Times New Roman" w:eastAsia="Times New Roman" w:hAnsi="Times New Roman" w:cs="Times New Roman"/>
          <w:sz w:val="24"/>
          <w:szCs w:val="24"/>
          <w:lang w:eastAsia="pl-PL"/>
        </w:rPr>
        <w:t>szkolenie</w:t>
      </w:r>
      <w:r w:rsidRPr="009C632F">
        <w:rPr>
          <w:rFonts w:ascii="Times New Roman" w:eastAsia="Times New Roman" w:hAnsi="Times New Roman" w:cs="Times New Roman"/>
          <w:sz w:val="24"/>
          <w:szCs w:val="24"/>
          <w:lang w:eastAsia="pl-PL"/>
        </w:rPr>
        <w:t xml:space="preserve"> teoretyczne, trening </w:t>
      </w:r>
      <w:proofErr w:type="spellStart"/>
      <w:r w:rsidRPr="009C632F">
        <w:rPr>
          <w:rFonts w:ascii="Times New Roman" w:eastAsia="Times New Roman" w:hAnsi="Times New Roman" w:cs="Times New Roman"/>
          <w:sz w:val="24"/>
          <w:szCs w:val="24"/>
          <w:lang w:eastAsia="pl-PL"/>
        </w:rPr>
        <w:t>bezstrzałowy</w:t>
      </w:r>
      <w:proofErr w:type="spellEnd"/>
      <w:r w:rsidRPr="009C632F">
        <w:rPr>
          <w:rFonts w:ascii="Times New Roman" w:eastAsia="Times New Roman" w:hAnsi="Times New Roman" w:cs="Times New Roman"/>
          <w:sz w:val="24"/>
          <w:szCs w:val="24"/>
          <w:lang w:eastAsia="pl-PL"/>
        </w:rPr>
        <w:t>,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14:paraId="5CAE45B0" w14:textId="0934BE57"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lastRenderedPageBreak/>
        <w:t xml:space="preserve">program strzelań z broni strzeleckiej </w:t>
      </w:r>
      <w:r w:rsidR="00E9518E">
        <w:rPr>
          <w:rFonts w:ascii="Times New Roman" w:eastAsia="Times New Roman" w:hAnsi="Times New Roman" w:cs="Times New Roman"/>
          <w:sz w:val="24"/>
          <w:szCs w:val="24"/>
          <w:lang w:eastAsia="pl-PL"/>
        </w:rPr>
        <w:t>tj. zestawienie zawierające</w:t>
      </w:r>
      <w:r w:rsidRPr="009C632F">
        <w:rPr>
          <w:rFonts w:ascii="Times New Roman" w:eastAsia="Times New Roman" w:hAnsi="Times New Roman" w:cs="Times New Roman"/>
          <w:sz w:val="24"/>
          <w:szCs w:val="24"/>
          <w:lang w:eastAsia="pl-PL"/>
        </w:rPr>
        <w:t xml:space="preserve"> informacj</w:t>
      </w:r>
      <w:r w:rsidR="00E9518E">
        <w:rPr>
          <w:rFonts w:ascii="Times New Roman" w:eastAsia="Times New Roman" w:hAnsi="Times New Roman" w:cs="Times New Roman"/>
          <w:sz w:val="24"/>
          <w:szCs w:val="24"/>
          <w:lang w:eastAsia="pl-PL"/>
        </w:rPr>
        <w:t xml:space="preserve">e dotyczące </w:t>
      </w:r>
      <w:r w:rsidR="007C0336">
        <w:rPr>
          <w:rFonts w:ascii="Times New Roman" w:eastAsia="Times New Roman" w:hAnsi="Times New Roman" w:cs="Times New Roman"/>
          <w:sz w:val="24"/>
          <w:szCs w:val="24"/>
          <w:lang w:eastAsia="pl-PL"/>
        </w:rPr>
        <w:t xml:space="preserve"> m.in. </w:t>
      </w:r>
      <w:r w:rsidRPr="009C632F">
        <w:rPr>
          <w:rFonts w:ascii="Times New Roman" w:eastAsia="Times New Roman" w:hAnsi="Times New Roman" w:cs="Times New Roman"/>
          <w:sz w:val="24"/>
          <w:szCs w:val="24"/>
          <w:lang w:eastAsia="pl-PL"/>
        </w:rPr>
        <w:t xml:space="preserve">rodzaju i charakterze celu (tarcza, </w:t>
      </w:r>
      <w:proofErr w:type="spellStart"/>
      <w:r w:rsidR="00D61D1B">
        <w:rPr>
          <w:rFonts w:ascii="Times New Roman" w:eastAsia="Times New Roman" w:hAnsi="Times New Roman" w:cs="Times New Roman"/>
          <w:sz w:val="24"/>
          <w:szCs w:val="24"/>
          <w:lang w:eastAsia="pl-PL"/>
        </w:rPr>
        <w:t>p</w:t>
      </w:r>
      <w:r w:rsidR="00D61D1B" w:rsidRPr="009C632F">
        <w:rPr>
          <w:rFonts w:ascii="Times New Roman" w:eastAsia="Times New Roman" w:hAnsi="Times New Roman" w:cs="Times New Roman"/>
          <w:sz w:val="24"/>
          <w:szCs w:val="24"/>
          <w:lang w:eastAsia="pl-PL"/>
        </w:rPr>
        <w:t>opper</w:t>
      </w:r>
      <w:proofErr w:type="spellEnd"/>
      <w:r w:rsidRPr="009C632F">
        <w:rPr>
          <w:rFonts w:ascii="Times New Roman" w:eastAsia="Times New Roman" w:hAnsi="Times New Roman" w:cs="Times New Roman"/>
          <w:sz w:val="24"/>
          <w:szCs w:val="24"/>
          <w:lang w:eastAsia="pl-PL"/>
        </w:rPr>
        <w:t>, cel stały, cel ukazujący się), odległości</w:t>
      </w:r>
      <w:r w:rsidR="007C0336">
        <w:rPr>
          <w:rFonts w:ascii="Times New Roman" w:eastAsia="Times New Roman" w:hAnsi="Times New Roman" w:cs="Times New Roman"/>
          <w:sz w:val="24"/>
          <w:szCs w:val="24"/>
          <w:lang w:eastAsia="pl-PL"/>
        </w:rPr>
        <w:t xml:space="preserve"> do celu, liczby</w:t>
      </w:r>
      <w:r w:rsidRPr="009C632F">
        <w:rPr>
          <w:rFonts w:ascii="Times New Roman" w:eastAsia="Times New Roman" w:hAnsi="Times New Roman" w:cs="Times New Roman"/>
          <w:sz w:val="24"/>
          <w:szCs w:val="24"/>
          <w:lang w:eastAsia="pl-PL"/>
        </w:rPr>
        <w:t xml:space="preserve"> nabojów, czasie strzelania, postawie strzeleckiej</w:t>
      </w:r>
      <w:r w:rsidR="007C0336">
        <w:rPr>
          <w:rFonts w:ascii="Times New Roman" w:eastAsia="Times New Roman" w:hAnsi="Times New Roman" w:cs="Times New Roman"/>
          <w:sz w:val="24"/>
          <w:szCs w:val="24"/>
          <w:lang w:eastAsia="pl-PL"/>
        </w:rPr>
        <w:t xml:space="preserve"> (leżąca, klęcząca, stojąca)</w:t>
      </w:r>
      <w:r w:rsidRPr="009C632F">
        <w:rPr>
          <w:rFonts w:ascii="Times New Roman" w:eastAsia="Times New Roman" w:hAnsi="Times New Roman" w:cs="Times New Roman"/>
          <w:sz w:val="24"/>
          <w:szCs w:val="24"/>
          <w:lang w:eastAsia="pl-PL"/>
        </w:rPr>
        <w:t>, rodzaju ognia</w:t>
      </w:r>
      <w:r w:rsidR="007C0336">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9C632F">
        <w:rPr>
          <w:rFonts w:ascii="Times New Roman" w:eastAsia="Times New Roman" w:hAnsi="Times New Roman" w:cs="Times New Roman"/>
          <w:sz w:val="24"/>
          <w:szCs w:val="24"/>
          <w:lang w:eastAsia="pl-PL"/>
        </w:rPr>
        <w:t xml:space="preserve"> itp.;</w:t>
      </w:r>
    </w:p>
    <w:p w14:paraId="24B446F5" w14:textId="37D61CCE"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 (liczbę</w:t>
      </w:r>
      <w:r w:rsidRPr="009C632F">
        <w:rPr>
          <w:rFonts w:ascii="Times New Roman" w:eastAsia="Times New Roman" w:hAnsi="Times New Roman" w:cs="Times New Roman"/>
          <w:sz w:val="24"/>
          <w:szCs w:val="24"/>
          <w:lang w:eastAsia="pl-PL"/>
        </w:rPr>
        <w:t xml:space="preserve"> osi strzeleckich i/lub </w:t>
      </w:r>
      <w:r>
        <w:rPr>
          <w:rFonts w:ascii="Times New Roman" w:eastAsia="Times New Roman" w:hAnsi="Times New Roman" w:cs="Times New Roman"/>
          <w:sz w:val="24"/>
          <w:szCs w:val="24"/>
          <w:lang w:eastAsia="pl-PL"/>
        </w:rPr>
        <w:t>liczbę</w:t>
      </w:r>
      <w:r w:rsidRPr="009C632F">
        <w:rPr>
          <w:rFonts w:ascii="Times New Roman" w:eastAsia="Times New Roman" w:hAnsi="Times New Roman" w:cs="Times New Roman"/>
          <w:sz w:val="24"/>
          <w:szCs w:val="24"/>
          <w:lang w:eastAsia="pl-PL"/>
        </w:rPr>
        <w:t xml:space="preserve"> stanowisk strzeleckich wykorzystanych w zadaniu), liczbę sztuk broni palnej planowanej do zabezpieczenia zajęć z podziałem na broń krótką oraz broń długą, liczbę instruktorów prowadzących szkolenie na poszczególnych podpunktach nauczania.</w:t>
      </w:r>
    </w:p>
    <w:p w14:paraId="3312EC90"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3AC92F3"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 xml:space="preserve">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14:paraId="33F0846B" w14:textId="77777777"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9C3983">
        <w:rPr>
          <w:rFonts w:ascii="Times New Roman" w:eastAsia="Times New Roman" w:hAnsi="Times New Roman" w:cs="Times New Roman"/>
          <w:sz w:val="24"/>
          <w:szCs w:val="24"/>
          <w:lang w:eastAsia="pl-PL"/>
        </w:rPr>
        <w:t>bezkosztowych</w:t>
      </w:r>
      <w:proofErr w:type="spellEnd"/>
      <w:r w:rsidRPr="009C3983">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9C3983">
        <w:rPr>
          <w:rFonts w:ascii="Times New Roman" w:eastAsia="Times New Roman" w:hAnsi="Times New Roman" w:cs="Times New Roman"/>
          <w:sz w:val="24"/>
          <w:szCs w:val="24"/>
          <w:lang w:eastAsia="pl-PL"/>
        </w:rPr>
        <w:t>osobodoba</w:t>
      </w:r>
      <w:proofErr w:type="spellEnd"/>
      <w:r w:rsidRPr="009C3983">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Pr>
          <w:rFonts w:ascii="Times New Roman" w:eastAsia="Times New Roman" w:hAnsi="Times New Roman" w:cs="Times New Roman"/>
          <w:sz w:val="24"/>
          <w:szCs w:val="24"/>
          <w:lang w:eastAsia="pl-PL"/>
        </w:rPr>
        <w:t xml:space="preserve">smycz (cena) </w:t>
      </w:r>
      <w:r w:rsidRPr="009C3983">
        <w:rPr>
          <w:rFonts w:ascii="Times New Roman" w:eastAsia="Times New Roman" w:hAnsi="Times New Roman" w:cs="Times New Roman"/>
          <w:sz w:val="24"/>
          <w:szCs w:val="24"/>
          <w:lang w:eastAsia="pl-PL"/>
        </w:rPr>
        <w:t>itp.</w:t>
      </w:r>
    </w:p>
    <w:p w14:paraId="31E31352" w14:textId="65EA37C3" w:rsidR="00EA4482" w:rsidRPr="00EA4482"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EA4482">
        <w:rPr>
          <w:rFonts w:ascii="Times New Roman" w:eastAsia="Times New Roman" w:hAnsi="Times New Roman" w:cs="Times New Roman"/>
          <w:sz w:val="24"/>
          <w:szCs w:val="24"/>
          <w:lang w:eastAsia="pl-PL"/>
        </w:rPr>
        <w:t>W przypadku realizacji szkolenia strzelec</w:t>
      </w:r>
      <w:r w:rsidR="003753AA">
        <w:rPr>
          <w:rFonts w:ascii="Times New Roman" w:eastAsia="Times New Roman" w:hAnsi="Times New Roman" w:cs="Times New Roman"/>
          <w:sz w:val="24"/>
          <w:szCs w:val="24"/>
          <w:lang w:eastAsia="pl-PL"/>
        </w:rPr>
        <w:t xml:space="preserve">kiego oferent jest zobowiązany </w:t>
      </w:r>
      <w:r w:rsidRPr="00EA4482">
        <w:rPr>
          <w:rFonts w:ascii="Times New Roman" w:eastAsia="Times New Roman" w:hAnsi="Times New Roman" w:cs="Times New Roman"/>
          <w:sz w:val="24"/>
          <w:szCs w:val="24"/>
          <w:lang w:eastAsia="pl-PL"/>
        </w:rPr>
        <w:t>w sekcji 6 „Kalkulacja kosztów” o wskazanie składowych kosztu przeprow</w:t>
      </w:r>
      <w:r w:rsidR="003753AA">
        <w:rPr>
          <w:rFonts w:ascii="Times New Roman" w:eastAsia="Times New Roman" w:hAnsi="Times New Roman" w:cs="Times New Roman"/>
          <w:sz w:val="24"/>
          <w:szCs w:val="24"/>
          <w:lang w:eastAsia="pl-PL"/>
        </w:rPr>
        <w:t>adzenia szkolenia strzeleckiego</w:t>
      </w:r>
      <w:r w:rsidR="003753AA">
        <w:rPr>
          <w:rFonts w:ascii="Times New Roman" w:eastAsia="Times New Roman" w:hAnsi="Times New Roman" w:cs="Times New Roman"/>
          <w:sz w:val="24"/>
          <w:szCs w:val="24"/>
          <w:lang w:eastAsia="pl-PL"/>
        </w:rPr>
        <w:br/>
      </w:r>
      <w:r w:rsidRPr="00EA4482">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14B727B2"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Oferent, który:</w:t>
      </w:r>
    </w:p>
    <w:p w14:paraId="517A95DB" w14:textId="77777777"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14:paraId="66D3C341" w14:textId="77777777"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402066C3"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lastRenderedPageBreak/>
        <w:t xml:space="preserve">W przydatku oferty złożonej na wsparcie realizacji zadania publicznego oferent zobowiązany jest do przekazania na realizację zadania środków finansowych innych niż dotacja w wysokości minimum </w:t>
      </w:r>
      <w:r w:rsidR="00BE3063">
        <w:rPr>
          <w:rFonts w:ascii="Times New Roman" w:eastAsia="Times New Roman" w:hAnsi="Times New Roman" w:cs="Times New Roman"/>
          <w:bCs/>
          <w:sz w:val="24"/>
          <w:szCs w:val="24"/>
          <w:lang w:eastAsia="pl-PL"/>
        </w:rPr>
        <w:t>5</w:t>
      </w:r>
      <w:r w:rsidRPr="009C3983">
        <w:rPr>
          <w:rFonts w:ascii="Times New Roman" w:eastAsia="Times New Roman" w:hAnsi="Times New Roman" w:cs="Times New Roman"/>
          <w:bCs/>
          <w:sz w:val="24"/>
          <w:szCs w:val="24"/>
          <w:lang w:eastAsia="pl-PL"/>
        </w:rPr>
        <w:t xml:space="preserve">% planowanej kwoty dotacji, które mogą pochodzić ze: </w:t>
      </w:r>
    </w:p>
    <w:p w14:paraId="7DB3B0DA"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14:paraId="719494F3" w14:textId="2AB75CA4"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 xml:space="preserve">w elektronicznym formularzu oferty </w:t>
      </w:r>
      <w:r w:rsidR="003753AA">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14:paraId="6C2334EC"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pozostałych środków finansowych;</w:t>
      </w:r>
    </w:p>
    <w:p w14:paraId="1DB22B50"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14:paraId="57344CFD" w14:textId="77777777"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4. </w:t>
      </w:r>
    </w:p>
    <w:p w14:paraId="0C7A7735"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EF1F266" w14:textId="17ACF03B"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 wysokości minimum </w:t>
      </w:r>
      <w:r w:rsidR="00BE3063">
        <w:rPr>
          <w:rFonts w:ascii="Times New Roman" w:eastAsia="Times New Roman" w:hAnsi="Times New Roman" w:cs="Times New Roman"/>
          <w:bCs/>
          <w:sz w:val="24"/>
          <w:szCs w:val="24"/>
          <w:lang w:eastAsia="pl-PL"/>
        </w:rPr>
        <w:t>20</w:t>
      </w:r>
      <w:r w:rsidRPr="009C3983">
        <w:rPr>
          <w:rFonts w:ascii="Times New Roman" w:eastAsia="Times New Roman" w:hAnsi="Times New Roman" w:cs="Times New Roman"/>
          <w:bCs/>
          <w:sz w:val="24"/>
          <w:szCs w:val="24"/>
          <w:lang w:eastAsia="pl-PL"/>
        </w:rPr>
        <w:t xml:space="preserve">% planowanej kwoty dotacji. </w:t>
      </w:r>
      <w:r w:rsidR="00BE306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sidRPr="009C3983">
        <w:rPr>
          <w:rFonts w:ascii="Times New Roman" w:eastAsia="Times New Roman" w:hAnsi="Times New Roman" w:cs="Times New Roman"/>
          <w:bCs/>
          <w:sz w:val="24"/>
          <w:szCs w:val="24"/>
          <w:lang w:eastAsia="pl-PL"/>
        </w:rPr>
        <w:t xml:space="preserve"> ze sposobem jego wyliczenia, z </w:t>
      </w:r>
      <w:r w:rsidRPr="009C3983">
        <w:rPr>
          <w:rFonts w:ascii="Times New Roman" w:eastAsia="Times New Roman" w:hAnsi="Times New Roman" w:cs="Times New Roman"/>
          <w:bCs/>
          <w:sz w:val="24"/>
          <w:szCs w:val="24"/>
          <w:lang w:eastAsia="pl-PL"/>
        </w:rPr>
        <w:t xml:space="preserve">zastosowaniem stawek rynkowych. </w:t>
      </w:r>
    </w:p>
    <w:p w14:paraId="22ED29D1"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14:paraId="7F6A0D04" w14:textId="77777777"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77777777"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14:paraId="7AF7BC3A" w14:textId="77777777"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14:paraId="0CFD054B" w14:textId="2EAE1252"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ko oddzielna pozycja kosztowa w</w:t>
      </w:r>
      <w:r w:rsidRPr="009C3983">
        <w:rPr>
          <w:rFonts w:ascii="Times New Roman" w:eastAsia="Times New Roman" w:hAnsi="Times New Roman" w:cs="Times New Roman"/>
          <w:bCs/>
          <w:sz w:val="24"/>
          <w:szCs w:val="24"/>
          <w:lang w:eastAsia="pl-PL"/>
        </w:rPr>
        <w:t xml:space="preserve"> danym rodzaju kosztu. </w:t>
      </w:r>
    </w:p>
    <w:p w14:paraId="61C0CA69" w14:textId="7B292778"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 xml:space="preserve">ania publicznego </w:t>
      </w:r>
      <w:r w:rsidR="00EA70B7" w:rsidRPr="009C3983">
        <w:rPr>
          <w:rFonts w:ascii="Times New Roman" w:eastAsia="Times New Roman" w:hAnsi="Times New Roman" w:cs="Times New Roman"/>
          <w:bCs/>
          <w:sz w:val="24"/>
          <w:szCs w:val="24"/>
          <w:lang w:eastAsia="pl-PL"/>
        </w:rPr>
        <w:lastRenderedPageBreak/>
        <w:t>(np.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sidRPr="009C3983">
        <w:rPr>
          <w:rFonts w:ascii="Times New Roman" w:eastAsia="Times New Roman" w:hAnsi="Times New Roman" w:cs="Times New Roman"/>
          <w:bCs/>
          <w:sz w:val="24"/>
          <w:szCs w:val="24"/>
          <w:lang w:eastAsia="pl-PL"/>
        </w:rPr>
        <w:t xml:space="preserve">koszt wynajęcia danej rzeczy)i </w:t>
      </w:r>
      <w:r w:rsidRPr="009C3983">
        <w:rPr>
          <w:rFonts w:ascii="Times New Roman" w:eastAsia="Times New Roman" w:hAnsi="Times New Roman" w:cs="Times New Roman"/>
          <w:bCs/>
          <w:sz w:val="24"/>
          <w:szCs w:val="24"/>
          <w:lang w:eastAsia="pl-PL"/>
        </w:rPr>
        <w:t xml:space="preserve">musi odpowiadać cenom rynkowym. </w:t>
      </w:r>
    </w:p>
    <w:p w14:paraId="3C2218E1" w14:textId="6EE08DC9"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10 szt., to prawidłowym będzie wpisanie jako wkładu rzeczowego 10 namiotów, zgodnie </w:t>
      </w:r>
      <w:r w:rsidR="003753AA">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14:paraId="2C58E3BC" w14:textId="77777777" w:rsidR="0054677C" w:rsidRPr="009C3983"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9C3983"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14:paraId="5E27916C"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z wyłączeniem pomieszczeń technicznych,</w:t>
      </w:r>
    </w:p>
    <w:p w14:paraId="19938019"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14:paraId="4AA60092"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proofErr w:type="spellStart"/>
      <w:r w:rsidRPr="009C3983">
        <w:rPr>
          <w:rFonts w:ascii="Times New Roman" w:eastAsia="Times New Roman" w:hAnsi="Times New Roman" w:cs="Times New Roman"/>
          <w:sz w:val="24"/>
          <w:szCs w:val="24"/>
          <w:lang w:eastAsia="pl-PL"/>
        </w:rPr>
        <w:t>późn</w:t>
      </w:r>
      <w:proofErr w:type="spellEnd"/>
      <w:r w:rsidRPr="009C3983">
        <w:rPr>
          <w:rFonts w:ascii="Times New Roman" w:eastAsia="Times New Roman" w:hAnsi="Times New Roman" w:cs="Times New Roman"/>
          <w:sz w:val="24"/>
          <w:szCs w:val="24"/>
          <w:lang w:eastAsia="pl-PL"/>
        </w:rPr>
        <w:t>. zm.),</w:t>
      </w:r>
    </w:p>
    <w:p w14:paraId="5D70B170"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77777777" w:rsidR="0054677C" w:rsidRPr="009C3983"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14:paraId="7986464F" w14:textId="77777777" w:rsidR="0054677C" w:rsidRPr="009C3983"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766C6C">
        <w:rPr>
          <w:rFonts w:ascii="Times New Roman" w:hAnsi="Times New Roman"/>
          <w:i/>
          <w:sz w:val="24"/>
        </w:rPr>
        <w:t>dostępności</w:t>
      </w:r>
      <w:r w:rsidRPr="009C3983">
        <w:rPr>
          <w:rFonts w:ascii="Times New Roman" w:eastAsia="Times New Roman" w:hAnsi="Times New Roman" w:cs="Times New Roman"/>
          <w:sz w:val="24"/>
          <w:szCs w:val="24"/>
          <w:lang w:eastAsia="pl-PL"/>
        </w:rPr>
        <w:t xml:space="preserve"> informacyjno-komunikacyjnej:</w:t>
      </w:r>
    </w:p>
    <w:p w14:paraId="2F443073"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0"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14:paraId="2B9504D6"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14:paraId="5C3C74F5"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zapewnienie, na wniosek osoby ze szczególnymi potrzebami, komunikacji z podmiotem publicznym w formie określonej w tym wniosku;</w:t>
      </w:r>
    </w:p>
    <w:p w14:paraId="165FB825"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15F14A3"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Pr>
          <w:rFonts w:ascii="Times New Roman" w:hAnsi="Times New Roman" w:cs="Times New Roman"/>
          <w:sz w:val="24"/>
          <w:szCs w:val="24"/>
        </w:rPr>
        <w:br/>
      </w:r>
      <w:r w:rsidRPr="009C3983">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Pr>
          <w:rFonts w:ascii="Times New Roman" w:hAnsi="Times New Roman" w:cs="Times New Roman"/>
          <w:sz w:val="24"/>
          <w:szCs w:val="24"/>
        </w:rPr>
        <w:br/>
      </w:r>
      <w:r w:rsidRPr="009C3983">
        <w:rPr>
          <w:rFonts w:ascii="Times New Roman" w:hAnsi="Times New Roman" w:cs="Times New Roman"/>
          <w:sz w:val="24"/>
          <w:szCs w:val="24"/>
        </w:rPr>
        <w:t>w ogłoszeniu otwartego konkursu ofert. Załącznikami mogą być tylko pliki w formacie pdf lub jpg i muszą być czytelne.</w:t>
      </w:r>
    </w:p>
    <w:p w14:paraId="4A7A4CD1" w14:textId="218A13E7"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złożeniu oferty </w:t>
      </w:r>
      <w:r w:rsidR="00CD053B">
        <w:rPr>
          <w:rFonts w:ascii="Times New Roman" w:hAnsi="Times New Roman" w:cs="Times New Roman"/>
          <w:sz w:val="24"/>
          <w:szCs w:val="24"/>
        </w:rPr>
        <w:t>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Pr>
          <w:rFonts w:ascii="Times New Roman" w:hAnsi="Times New Roman" w:cs="Times New Roman"/>
          <w:sz w:val="24"/>
          <w:szCs w:val="24"/>
        </w:rPr>
        <w:t>ą złożenia oferty poprzez system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CD053B">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obowiązek przekazania 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14:paraId="50E1BF26" w14:textId="77777777"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t>z zaznaczeniem pełnionej funkcji</w:t>
      </w:r>
      <w:r w:rsidRPr="009C3983">
        <w:rPr>
          <w:rFonts w:ascii="Times New Roman" w:eastAsia="Times New Roman" w:hAnsi="Times New Roman" w:cs="Times New Roman"/>
          <w:bCs/>
          <w:sz w:val="24"/>
          <w:szCs w:val="24"/>
          <w:lang w:eastAsia="pl-PL"/>
        </w:rPr>
        <w:t xml:space="preserve">). </w:t>
      </w:r>
    </w:p>
    <w:p w14:paraId="5D308856" w14:textId="77777777"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14:paraId="29EB3B43" w14:textId="77777777"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14:paraId="404D4205" w14:textId="77777777"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w Departamencie Edukacji, Kult</w:t>
      </w:r>
      <w:r w:rsidR="00CD053B">
        <w:rPr>
          <w:rFonts w:ascii="Times New Roman" w:eastAsia="Times New Roman" w:hAnsi="Times New Roman" w:cs="Times New Roman"/>
          <w:bCs/>
          <w:sz w:val="24"/>
          <w:szCs w:val="24"/>
          <w:lang w:eastAsia="pl-PL"/>
        </w:rPr>
        <w:t>ury i Dziedzictwa MON w 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14:paraId="44520D11"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14:paraId="1ACC11C1"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14:paraId="21D1E505"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14:paraId="0C4BA45F"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nieprawidłowe wypełnienie pól w elektronicznym formularzu oferty („pola otwarte” – do wypełnienia),</w:t>
      </w:r>
    </w:p>
    <w:p w14:paraId="4CED82CA" w14:textId="77777777" w:rsidR="0054677C"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14:paraId="4EBF54A7" w14:textId="77777777"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1"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14:paraId="1D1F5945" w14:textId="71E4117B"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Pr>
          <w:rFonts w:ascii="Times New Roman" w:eastAsia="Times New Roman" w:hAnsi="Times New Roman" w:cs="Times New Roman"/>
          <w:sz w:val="24"/>
          <w:szCs w:val="24"/>
          <w:lang w:eastAsia="pl-PL"/>
        </w:rPr>
        <w:t>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14:paraId="56B0744C" w14:textId="1A8C50CD"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D65010">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14:paraId="4A6A6558" w14:textId="77777777"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0FC67EC0"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 xml:space="preserve">wersji papierowej oraz podpisać ją przez osoby upoważnione do składania oświadczeń woli </w:t>
      </w:r>
      <w:r w:rsidR="003753AA">
        <w:rPr>
          <w:rFonts w:ascii="Times New Roman" w:hAnsi="Times New Roman" w:cs="Times New Roman"/>
          <w:sz w:val="24"/>
          <w:szCs w:val="24"/>
        </w:rPr>
        <w:br/>
      </w:r>
      <w:r w:rsidRPr="009C3983">
        <w:rPr>
          <w:rFonts w:ascii="Times New Roman" w:hAnsi="Times New Roman" w:cs="Times New Roman"/>
          <w:sz w:val="24"/>
          <w:szCs w:val="24"/>
        </w:rPr>
        <w:t>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14:paraId="2767797C" w14:textId="77777777"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14:paraId="47AC4577" w14:textId="33F86639"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D65010">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14:paraId="36F1C1A5" w14:textId="77777777"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14:paraId="739EA17E" w14:textId="77777777"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14:paraId="27A654B6" w14:textId="5B76697A"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2"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14:paraId="0670C5E3" w14:textId="77777777"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14:paraId="2F644E7D" w14:textId="77777777"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alszej 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Pr="009C3983">
        <w:t xml:space="preserve">W pozostałych przypadkach oferta podlega dalszej ocenie </w:t>
      </w:r>
      <w:r w:rsidR="004A29F4" w:rsidRPr="009C3983">
        <w:t xml:space="preserve">merytorycznej </w:t>
      </w:r>
      <w:r w:rsidR="00350EAA" w:rsidRPr="009C3983">
        <w:t>między innymi pod względem:</w:t>
      </w:r>
    </w:p>
    <w:p w14:paraId="3623CDA7" w14:textId="442935AB" w:rsidR="00BB7F62" w:rsidRPr="009C3983" w:rsidRDefault="00BD5B3D" w:rsidP="003753AA">
      <w:pPr>
        <w:pStyle w:val="xmsolistparagraph"/>
        <w:numPr>
          <w:ilvl w:val="1"/>
          <w:numId w:val="49"/>
        </w:numPr>
        <w:shd w:val="clear" w:color="auto" w:fill="FFFFFF"/>
        <w:spacing w:before="60" w:beforeAutospacing="0" w:after="60" w:afterAutospacing="0"/>
        <w:ind w:left="709" w:hanging="284"/>
        <w:jc w:val="both"/>
      </w:pPr>
      <w:r>
        <w:rPr>
          <w:b/>
          <w:bCs/>
        </w:rPr>
        <w:br w:type="column"/>
      </w:r>
      <w:r w:rsidR="00350EAA" w:rsidRPr="009C3983">
        <w:rPr>
          <w:b/>
          <w:bCs/>
        </w:rPr>
        <w:lastRenderedPageBreak/>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00350EAA" w:rsidRPr="009C3983">
        <w:t>ty</w:t>
      </w:r>
      <w:r w:rsidR="00F32BFE" w:rsidRPr="009C3983">
        <w:t>m:</w:t>
      </w:r>
    </w:p>
    <w:p w14:paraId="16955B02"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przejrzystość opisu zadania publicznego oraz jego spójność z pozostałymi elementami oferty,</w:t>
      </w:r>
    </w:p>
    <w:p w14:paraId="7AD11F4F"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stopień zaangażowania oferenta w realizację zadania publicznego – czy i w jakim zakresie uwzględniono udział podmiotów trzecich w realizacji zadania,</w:t>
      </w:r>
    </w:p>
    <w:p w14:paraId="43AB13C2"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14:paraId="1521CF46"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alizacji zadania publicznego, w </w:t>
      </w:r>
      <w:r w:rsidR="00BB7F62" w:rsidRPr="009C3983">
        <w:rPr>
          <w:b/>
          <w:bCs/>
        </w:rPr>
        <w:t>tym w odniesieniu do zakresu rzeczowego zadania</w:t>
      </w:r>
      <w:r w:rsidRPr="009C3983">
        <w:rPr>
          <w:b/>
          <w:bCs/>
        </w:rPr>
        <w:t>, w </w:t>
      </w:r>
      <w:r w:rsidR="00BB7F62" w:rsidRPr="009C3983">
        <w:rPr>
          <w:b/>
          <w:bCs/>
        </w:rPr>
        <w:t>szczególności:</w:t>
      </w:r>
    </w:p>
    <w:p w14:paraId="4D196315"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14:paraId="61FAEE60"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14:paraId="7297B93B"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14:paraId="41A9FCE7"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14:paraId="3157F61F"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14:paraId="1689D2B0"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14:paraId="40647218"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14:paraId="6879D97C"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14:paraId="259950ED"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14:paraId="05C256A3"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14:paraId="0B826A15"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14:paraId="252C6A51"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14:paraId="33F7723A"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anie publiczne, w tym:</w:t>
      </w:r>
    </w:p>
    <w:p w14:paraId="36E5FBE1"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14:paraId="2FFCB44A"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14:paraId="0C9D54A6" w14:textId="77777777"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14:paraId="0AC52F03" w14:textId="77777777"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14:paraId="49A93D3D"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14:paraId="7C9F1B02"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14:paraId="7EDC115C" w14:textId="77777777"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14:paraId="5B92FD84"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14:paraId="31149DFA"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14:paraId="7EFD3E4F"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14:paraId="544C4945" w14:textId="77777777"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14:paraId="0DA3BD8D"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lastRenderedPageBreak/>
        <w:t>wysokość wkładu rzeczowego oraz dysponowanie odpowiednimi zasobami materialnymi, adekwatnymi do realizacji zadania publicznego,</w:t>
      </w:r>
    </w:p>
    <w:p w14:paraId="5DAB89C3"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osobowego oraz udział świadczeń wolontariuszy i pracy społecznej wykwalifikowanych członków w realizacji merytorycznej części zadania.</w:t>
      </w:r>
    </w:p>
    <w:p w14:paraId="18D0D8E1" w14:textId="68B9662D"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14:paraId="01BF9799" w14:textId="77777777"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14:paraId="2E277ADC" w14:textId="77777777"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14:paraId="3BA11F31" w14:textId="77777777"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3"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14:paraId="2F368068" w14:textId="134CEFCE"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14:paraId="58E8D4F2" w14:textId="77777777"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4"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696D24">
        <w:rPr>
          <w:rFonts w:ascii="Times New Roman" w:eastAsia="Times New Roman" w:hAnsi="Times New Roman" w:cs="Times New Roman"/>
          <w:bCs/>
          <w:color w:val="0070C0"/>
          <w:sz w:val="24"/>
          <w:szCs w:val="24"/>
          <w:lang w:eastAsia="pl-PL"/>
        </w:rPr>
        <w:t xml:space="preserve"> </w:t>
      </w:r>
      <w:r w:rsidRPr="00696D24">
        <w:rPr>
          <w:rFonts w:ascii="Times New Roman" w:eastAsia="Times New Roman" w:hAnsi="Times New Roman" w:cs="Times New Roman"/>
          <w:bCs/>
          <w:sz w:val="24"/>
          <w:szCs w:val="24"/>
          <w:lang w:eastAsia="pl-PL"/>
        </w:rPr>
        <w:t>Brak kontaktu ze strony oferenta w ww. terminie moż</w:t>
      </w:r>
      <w:r w:rsidR="00EA70B7" w:rsidRPr="00696D24">
        <w:rPr>
          <w:rFonts w:ascii="Times New Roman" w:eastAsia="Times New Roman" w:hAnsi="Times New Roman" w:cs="Times New Roman"/>
          <w:bCs/>
          <w:sz w:val="24"/>
          <w:szCs w:val="24"/>
          <w:lang w:eastAsia="pl-PL"/>
        </w:rPr>
        <w:t>e zostać uznany za rezygnację z </w:t>
      </w:r>
      <w:r w:rsidRPr="00696D24">
        <w:rPr>
          <w:rFonts w:ascii="Times New Roman" w:eastAsia="Times New Roman" w:hAnsi="Times New Roman" w:cs="Times New Roman"/>
          <w:bCs/>
          <w:sz w:val="24"/>
          <w:szCs w:val="24"/>
          <w:lang w:eastAsia="pl-PL"/>
        </w:rPr>
        <w:t>podpisania umowy.</w:t>
      </w:r>
    </w:p>
    <w:p w14:paraId="773E2678" w14:textId="77777777"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14:paraId="6BDB9998" w14:textId="77777777"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14:paraId="62A04903" w14:textId="77777777"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14:paraId="294FB7FE" w14:textId="09985B5A"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2499548E" w:rsidR="0054677C" w:rsidRPr="00696D24" w:rsidRDefault="00BD5B3D"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br w:type="column"/>
      </w:r>
      <w:r w:rsidR="0054677C" w:rsidRPr="00696D24">
        <w:rPr>
          <w:rFonts w:ascii="Times New Roman" w:eastAsia="Times New Roman" w:hAnsi="Times New Roman" w:cs="Times New Roman"/>
          <w:bCs/>
          <w:sz w:val="24"/>
          <w:szCs w:val="24"/>
          <w:lang w:eastAsia="pl-PL"/>
        </w:rPr>
        <w:lastRenderedPageBreak/>
        <w:t xml:space="preserve">w przypadku gdy oferta wymaga aktualizacji – zaktualizowana wersja oferty lub zaktualizowane jej poszczególne elementy, tj.: </w:t>
      </w:r>
    </w:p>
    <w:p w14:paraId="5935524C"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syntetyczny opis zadania,</w:t>
      </w:r>
    </w:p>
    <w:p w14:paraId="6DA32438"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14:paraId="7EC12354" w14:textId="77777777"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rezultaty,</w:t>
      </w:r>
    </w:p>
    <w:p w14:paraId="52754673"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14:paraId="79EF0AB0" w14:textId="34F530F0"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Pr>
          <w:rFonts w:ascii="Times New Roman" w:eastAsia="Times New Roman" w:hAnsi="Times New Roman" w:cs="Times New Roman"/>
          <w:bCs/>
          <w:sz w:val="24"/>
          <w:szCs w:val="24"/>
          <w:lang w:eastAsia="pl-PL"/>
        </w:rPr>
        <w:t>arza za pośrednictwem systemu</w:t>
      </w:r>
      <w:r w:rsidRPr="00696D24">
        <w:rPr>
          <w:rFonts w:ascii="Times New Roman" w:eastAsia="Times New Roman" w:hAnsi="Times New Roman" w:cs="Times New Roman"/>
          <w:bCs/>
          <w:sz w:val="24"/>
          <w:szCs w:val="24"/>
          <w:lang w:eastAsia="pl-PL"/>
        </w:rPr>
        <w:t xml:space="preserve"> Witkac.pl;</w:t>
      </w:r>
    </w:p>
    <w:p w14:paraId="6279F074"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14:paraId="7B0A8F58"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14:paraId="5F2A10D0" w14:textId="77777777"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14:paraId="3A580EF3" w14:textId="1F980B32"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14:paraId="78AA54E6"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14:paraId="3987F64A" w14:textId="26F250F0"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z art. 5 ust. 2 ww. ustawy.</w:t>
      </w:r>
    </w:p>
    <w:p w14:paraId="30003CBE" w14:textId="77777777"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lastRenderedPageBreak/>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14:paraId="1426FFEC" w14:textId="52F35E27" w:rsidR="0054677C" w:rsidRPr="004E3B39"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Zmiana umowy: </w:t>
      </w:r>
    </w:p>
    <w:p w14:paraId="3734AB5F" w14:textId="77777777"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14:paraId="7A9F1C8C" w14:textId="77777777"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14:paraId="45171A2D" w14:textId="3917BD83"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przewidzianych w </w:t>
      </w:r>
      <w:r w:rsidRPr="004E3B39">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14:paraId="23D11B54" w14:textId="77777777" w:rsidR="00EA4482"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wymaga zmiany umowy dokonanej w formie pisemnej:</w:t>
      </w:r>
    </w:p>
    <w:p w14:paraId="28123671" w14:textId="77777777" w:rsidR="00EA4482"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zmiana </w:t>
      </w:r>
      <w:r w:rsidRPr="00467A0C">
        <w:rPr>
          <w:rFonts w:ascii="Times New Roman" w:eastAsia="Times New Roman" w:hAnsi="Times New Roman" w:cs="Times New Roman"/>
          <w:sz w:val="24"/>
          <w:szCs w:val="24"/>
          <w:lang w:eastAsia="pl-PL"/>
        </w:rPr>
        <w:t>terminów w harmonogramie działań, pod warunkiem że nie naruszają one terminu realizacji tego zadania</w:t>
      </w:r>
      <w:r>
        <w:rPr>
          <w:rFonts w:ascii="Times New Roman" w:eastAsia="Times New Roman" w:hAnsi="Times New Roman" w:cs="Times New Roman"/>
          <w:sz w:val="24"/>
          <w:szCs w:val="24"/>
          <w:lang w:eastAsia="pl-PL"/>
        </w:rPr>
        <w:t>,</w:t>
      </w:r>
    </w:p>
    <w:p w14:paraId="5DBF471E" w14:textId="77777777" w:rsidR="00EA4482" w:rsidRDefault="00EA4482" w:rsidP="00EA4482">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wnie</w:t>
      </w:r>
      <w:r>
        <w:rPr>
          <w:rFonts w:ascii="Times New Roman" w:eastAsia="Times New Roman" w:hAnsi="Times New Roman" w:cs="Times New Roman"/>
          <w:sz w:val="24"/>
          <w:szCs w:val="24"/>
          <w:lang w:eastAsia="pl-PL"/>
        </w:rPr>
        <w:t>sienie</w:t>
      </w:r>
      <w:r w:rsidRPr="000E358F">
        <w:rPr>
          <w:rFonts w:ascii="Times New Roman" w:eastAsia="Times New Roman" w:hAnsi="Times New Roman" w:cs="Times New Roman"/>
          <w:sz w:val="24"/>
          <w:szCs w:val="24"/>
          <w:lang w:eastAsia="pl-PL"/>
        </w:rPr>
        <w:t xml:space="preserve"> do</w:t>
      </w:r>
      <w:r>
        <w:rPr>
          <w:rFonts w:ascii="Times New Roman" w:eastAsia="Times New Roman" w:hAnsi="Times New Roman" w:cs="Times New Roman"/>
          <w:sz w:val="24"/>
          <w:szCs w:val="24"/>
          <w:lang w:eastAsia="pl-PL"/>
        </w:rPr>
        <w:t xml:space="preserve"> realizowanego zadania dodatkowych</w:t>
      </w:r>
      <w:r w:rsidRPr="000E358F">
        <w:rPr>
          <w:rFonts w:ascii="Times New Roman" w:eastAsia="Times New Roman" w:hAnsi="Times New Roman" w:cs="Times New Roman"/>
          <w:sz w:val="24"/>
          <w:szCs w:val="24"/>
          <w:lang w:eastAsia="pl-PL"/>
        </w:rPr>
        <w:t xml:space="preserve"> środk</w:t>
      </w:r>
      <w:r>
        <w:rPr>
          <w:rFonts w:ascii="Times New Roman" w:eastAsia="Times New Roman" w:hAnsi="Times New Roman" w:cs="Times New Roman"/>
          <w:sz w:val="24"/>
          <w:szCs w:val="24"/>
          <w:lang w:eastAsia="pl-PL"/>
        </w:rPr>
        <w:t>ów</w:t>
      </w:r>
      <w:r w:rsidRPr="000E358F">
        <w:rPr>
          <w:rFonts w:ascii="Times New Roman" w:eastAsia="Times New Roman" w:hAnsi="Times New Roman" w:cs="Times New Roman"/>
          <w:sz w:val="24"/>
          <w:szCs w:val="24"/>
          <w:lang w:eastAsia="pl-PL"/>
        </w:rPr>
        <w:t xml:space="preserve"> finansow</w:t>
      </w:r>
      <w:r>
        <w:rPr>
          <w:rFonts w:ascii="Times New Roman" w:eastAsia="Times New Roman" w:hAnsi="Times New Roman" w:cs="Times New Roman"/>
          <w:sz w:val="24"/>
          <w:szCs w:val="24"/>
          <w:lang w:eastAsia="pl-PL"/>
        </w:rPr>
        <w:t>ych;</w:t>
      </w:r>
    </w:p>
    <w:p w14:paraId="5D3F9DA8" w14:textId="77777777" w:rsidR="00EA4482" w:rsidRPr="00467A0C"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467A0C">
        <w:rPr>
          <w:rFonts w:ascii="Times New Roman" w:eastAsia="Times New Roman" w:hAnsi="Times New Roman" w:cs="Times New Roman"/>
          <w:sz w:val="24"/>
          <w:szCs w:val="24"/>
          <w:lang w:eastAsia="pl-PL"/>
        </w:rPr>
        <w:t xml:space="preserve">stosowna informacja o </w:t>
      </w:r>
      <w:r>
        <w:rPr>
          <w:rFonts w:ascii="Times New Roman" w:eastAsia="Times New Roman" w:hAnsi="Times New Roman" w:cs="Times New Roman"/>
          <w:sz w:val="24"/>
          <w:szCs w:val="24"/>
          <w:lang w:eastAsia="pl-PL"/>
        </w:rPr>
        <w:t xml:space="preserve">zmianach, o których mowa w pkt 4, </w:t>
      </w:r>
      <w:r w:rsidRPr="00467A0C">
        <w:rPr>
          <w:rFonts w:ascii="Times New Roman" w:eastAsia="Times New Roman" w:hAnsi="Times New Roman" w:cs="Times New Roman"/>
          <w:sz w:val="24"/>
          <w:szCs w:val="24"/>
          <w:lang w:eastAsia="pl-PL"/>
        </w:rPr>
        <w:t>musi zostać zawarta w sprawozdaniu z realizacji zadania publicznego;</w:t>
      </w:r>
    </w:p>
    <w:p w14:paraId="6F5605ED" w14:textId="77777777"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Dziedzictwa MON w terminie umożliwiającym dokonanie zmiany umowy na piśmie.</w:t>
      </w:r>
      <w:r w:rsidRPr="004E3B39">
        <w:rPr>
          <w:rFonts w:ascii="Times New Roman" w:hAnsi="Times New Roman" w:cs="Times New Roman"/>
          <w:sz w:val="24"/>
          <w:szCs w:val="24"/>
        </w:rPr>
        <w:t xml:space="preserve"> </w:t>
      </w:r>
    </w:p>
    <w:p w14:paraId="522E3F7F" w14:textId="77777777"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14:paraId="5346C247" w14:textId="57D3B6CA"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t>
      </w:r>
      <w:r w:rsidR="004E3B39" w:rsidRPr="004E3B39">
        <w:rPr>
          <w:rFonts w:ascii="Times New Roman" w:hAnsi="Times New Roman" w:cs="Times New Roman"/>
          <w:sz w:val="24"/>
          <w:szCs w:val="24"/>
        </w:rPr>
        <w:br/>
      </w:r>
      <w:r w:rsidRPr="004E3B39">
        <w:rPr>
          <w:rFonts w:ascii="Times New Roman" w:hAnsi="Times New Roman" w:cs="Times New Roman"/>
          <w:sz w:val="24"/>
          <w:szCs w:val="24"/>
        </w:rPr>
        <w:t xml:space="preserve">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 xml:space="preserve">Dz.U. z 2024 r. poz. 1530, z </w:t>
      </w:r>
      <w:proofErr w:type="spellStart"/>
      <w:r w:rsidR="004E3B39" w:rsidRPr="004E3B39">
        <w:rPr>
          <w:rFonts w:ascii="Times New Roman" w:hAnsi="Times New Roman" w:cs="Times New Roman"/>
          <w:sz w:val="24"/>
          <w:szCs w:val="24"/>
        </w:rPr>
        <w:t>późn</w:t>
      </w:r>
      <w:proofErr w:type="spellEnd"/>
      <w:r w:rsidR="004E3B39" w:rsidRPr="004E3B39">
        <w:rPr>
          <w:rFonts w:ascii="Times New Roman" w:hAnsi="Times New Roman" w:cs="Times New Roman"/>
          <w:sz w:val="24"/>
          <w:szCs w:val="24"/>
        </w:rPr>
        <w:t>.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i </w:t>
      </w:r>
      <w:r w:rsidRPr="004E3B39">
        <w:rPr>
          <w:rFonts w:ascii="Times New Roman" w:hAnsi="Times New Roman" w:cs="Times New Roman"/>
          <w:i/>
          <w:iCs/>
          <w:sz w:val="24"/>
          <w:szCs w:val="24"/>
        </w:rPr>
        <w:t xml:space="preserve">dofinansowane z budżetu państwa lub </w:t>
      </w:r>
      <w:r w:rsidR="003753AA">
        <w:rPr>
          <w:rFonts w:ascii="Times New Roman" w:hAnsi="Times New Roman" w:cs="Times New Roman"/>
          <w:i/>
          <w:iCs/>
          <w:sz w:val="24"/>
          <w:szCs w:val="24"/>
        </w:rPr>
        <w:br/>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(Dz. U. poz. 953, z </w:t>
      </w:r>
      <w:proofErr w:type="spellStart"/>
      <w:r w:rsidRPr="004E3B39">
        <w:rPr>
          <w:rFonts w:ascii="Times New Roman" w:hAnsi="Times New Roman" w:cs="Times New Roman"/>
          <w:sz w:val="24"/>
          <w:szCs w:val="24"/>
        </w:rPr>
        <w:t>późn</w:t>
      </w:r>
      <w:proofErr w:type="spellEnd"/>
      <w:r w:rsidRPr="004E3B39">
        <w:rPr>
          <w:rFonts w:ascii="Times New Roman" w:hAnsi="Times New Roman" w:cs="Times New Roman"/>
          <w:sz w:val="24"/>
          <w:szCs w:val="24"/>
        </w:rPr>
        <w:t>. zm.), w sposób określony w tym rozporządzeniu.</w:t>
      </w:r>
    </w:p>
    <w:p w14:paraId="5C980125" w14:textId="4CEA98A0"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4E3B39">
        <w:rPr>
          <w:rFonts w:ascii="Times New Roman" w:hAnsi="Times New Roman" w:cs="Times New Roman"/>
          <w:i/>
          <w:iCs/>
          <w:sz w:val="24"/>
          <w:szCs w:val="24"/>
        </w:rPr>
        <w:t>o zapewnieniu dostępności osobom ze szczególnymi potrzebami</w:t>
      </w:r>
      <w:r w:rsidRPr="004E3B39">
        <w:rPr>
          <w:rFonts w:ascii="Times New Roman" w:hAnsi="Times New Roman" w:cs="Times New Roman"/>
          <w:sz w:val="24"/>
          <w:szCs w:val="24"/>
        </w:rPr>
        <w:t xml:space="preserve">. </w:t>
      </w:r>
    </w:p>
    <w:p w14:paraId="4E70E319" w14:textId="5EEE1182"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14:paraId="5BC51D2F" w14:textId="77777777" w:rsidR="0054677C" w:rsidRPr="004E3B39" w:rsidRDefault="0054677C" w:rsidP="00766C6C">
      <w:pPr>
        <w:numPr>
          <w:ilvl w:val="0"/>
          <w:numId w:val="40"/>
        </w:numPr>
        <w:spacing w:after="0" w:line="240" w:lineRule="auto"/>
        <w:ind w:left="567"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lastRenderedPageBreak/>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14:paraId="33FD6B84"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14:paraId="1C127FD2"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14:paraId="0CBE5F1A"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miejsce realizacji zadania publicznego,</w:t>
      </w:r>
    </w:p>
    <w:p w14:paraId="7E532AAE"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14:paraId="579944EE"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szkolenia, festynu itp.</w:t>
      </w:r>
    </w:p>
    <w:p w14:paraId="2DF631B5"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14:paraId="58DDBF06"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14:paraId="4DF633F4" w14:textId="77777777" w:rsidR="0054677C"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14:paraId="7933EB42" w14:textId="77777777"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14:paraId="57D53817" w14:textId="77777777"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14:paraId="29D5A09A" w14:textId="77777777"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77777777"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222EC6">
        <w:rPr>
          <w:rFonts w:ascii="Times New Roman" w:eastAsia="Times New Roman" w:hAnsi="Times New Roman" w:cs="Times New Roman"/>
          <w:sz w:val="24"/>
          <w:szCs w:val="24"/>
          <w:lang w:eastAsia="pl-PL"/>
        </w:rPr>
        <w:t xml:space="preserve">Środki z dotacji mają charakter „znaczony” i mogą być wykorzystane dopiero po otrzymaniu przez zleceniobiorcę dotacji na rachunek bankowy, tj. dotacja nie może być przeznaczona </w:t>
      </w:r>
      <w:r w:rsidRPr="00E826E8">
        <w:rPr>
          <w:rFonts w:ascii="Times New Roman" w:eastAsia="Times New Roman" w:hAnsi="Times New Roman" w:cs="Times New Roman"/>
          <w:sz w:val="24"/>
          <w:szCs w:val="24"/>
          <w:lang w:eastAsia="pl-PL"/>
        </w:rPr>
        <w:t>np. na zwrot wydatków wcześniej poniesionych przez zleceniobiorcę.</w:t>
      </w:r>
    </w:p>
    <w:p w14:paraId="36E58761" w14:textId="3D2EF346"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Procentowy udział środków finansowych innych</w:t>
      </w:r>
      <w:r w:rsidR="002114CF" w:rsidRPr="00E826E8">
        <w:rPr>
          <w:rFonts w:ascii="Times New Roman" w:hAnsi="Times New Roman" w:cs="Times New Roman"/>
          <w:sz w:val="24"/>
          <w:szCs w:val="24"/>
        </w:rPr>
        <w:t xml:space="preserve"> niż dotacja w stosunku do </w:t>
      </w:r>
      <w:r w:rsidRPr="00E826E8">
        <w:rPr>
          <w:rFonts w:ascii="Times New Roman" w:hAnsi="Times New Roman" w:cs="Times New Roman"/>
          <w:sz w:val="24"/>
          <w:szCs w:val="24"/>
        </w:rPr>
        <w:t xml:space="preserve">wydatkowanej kwoty dotacji musi wynosić nie mniej niż </w:t>
      </w:r>
      <w:r w:rsidR="00750450">
        <w:rPr>
          <w:rFonts w:ascii="Times New Roman" w:hAnsi="Times New Roman" w:cs="Times New Roman"/>
          <w:b/>
          <w:sz w:val="24"/>
          <w:szCs w:val="24"/>
        </w:rPr>
        <w:t>5</w:t>
      </w:r>
      <w:r w:rsidRPr="00E826E8">
        <w:rPr>
          <w:rFonts w:ascii="Times New Roman" w:eastAsia="Times New Roman" w:hAnsi="Times New Roman" w:cs="Times New Roman"/>
          <w:b/>
          <w:sz w:val="24"/>
          <w:szCs w:val="24"/>
          <w:lang w:eastAsia="pl-PL"/>
        </w:rPr>
        <w:t>%</w:t>
      </w:r>
      <w:r w:rsidR="00222EC6" w:rsidRPr="00E826E8">
        <w:rPr>
          <w:rFonts w:ascii="Times New Roman" w:eastAsia="Times New Roman" w:hAnsi="Times New Roman" w:cs="Times New Roman"/>
          <w:b/>
          <w:sz w:val="24"/>
          <w:szCs w:val="24"/>
          <w:lang w:eastAsia="pl-PL"/>
        </w:rPr>
        <w:t xml:space="preserve"> </w:t>
      </w:r>
      <w:r w:rsidR="00222EC6" w:rsidRPr="00E826E8">
        <w:rPr>
          <w:rFonts w:ascii="Times New Roman" w:eastAsia="Times New Roman" w:hAnsi="Times New Roman" w:cs="Times New Roman"/>
          <w:sz w:val="24"/>
          <w:szCs w:val="24"/>
          <w:lang w:eastAsia="pl-PL"/>
        </w:rPr>
        <w:t>(w przypadku oferty na wsparcie)</w:t>
      </w:r>
      <w:r w:rsidRPr="00E826E8">
        <w:rPr>
          <w:rFonts w:ascii="Times New Roman" w:eastAsia="Times New Roman" w:hAnsi="Times New Roman" w:cs="Times New Roman"/>
          <w:sz w:val="24"/>
          <w:szCs w:val="24"/>
          <w:lang w:eastAsia="pl-PL"/>
        </w:rPr>
        <w:t>.</w:t>
      </w:r>
    </w:p>
    <w:p w14:paraId="1E8776D9" w14:textId="2EB3B070"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Procentowy</w:t>
      </w:r>
      <w:r w:rsidR="00021BAC">
        <w:rPr>
          <w:rFonts w:ascii="Times New Roman" w:hAnsi="Times New Roman" w:cs="Times New Roman"/>
          <w:sz w:val="24"/>
          <w:szCs w:val="24"/>
        </w:rPr>
        <w:t xml:space="preserve"> udział wkładu niefinansowego </w:t>
      </w:r>
      <w:bookmarkStart w:id="0" w:name="_GoBack"/>
      <w:bookmarkEnd w:id="0"/>
      <w:r w:rsidRPr="00E826E8">
        <w:rPr>
          <w:rFonts w:ascii="Times New Roman" w:hAnsi="Times New Roman" w:cs="Times New Roman"/>
          <w:sz w:val="24"/>
          <w:szCs w:val="24"/>
        </w:rPr>
        <w:t xml:space="preserve">łącznie osobowego w stosunku do wydatkowanej kwoty dotacji musi wynosić nie mniej niż </w:t>
      </w:r>
      <w:r w:rsidR="00750450">
        <w:rPr>
          <w:rFonts w:ascii="Times New Roman" w:hAnsi="Times New Roman" w:cs="Times New Roman"/>
          <w:b/>
          <w:sz w:val="24"/>
          <w:szCs w:val="24"/>
        </w:rPr>
        <w:t>2</w:t>
      </w:r>
      <w:r w:rsidRPr="00E826E8">
        <w:rPr>
          <w:rFonts w:ascii="Times New Roman" w:hAnsi="Times New Roman" w:cs="Times New Roman"/>
          <w:b/>
          <w:sz w:val="24"/>
          <w:szCs w:val="24"/>
        </w:rPr>
        <w:t>0%</w:t>
      </w:r>
      <w:r w:rsidR="00222EC6" w:rsidRPr="00E826E8">
        <w:rPr>
          <w:rFonts w:ascii="Times New Roman" w:hAnsi="Times New Roman" w:cs="Times New Roman"/>
          <w:b/>
          <w:sz w:val="24"/>
          <w:szCs w:val="24"/>
        </w:rPr>
        <w:t xml:space="preserve"> </w:t>
      </w:r>
      <w:r w:rsidR="00222EC6" w:rsidRPr="00E826E8">
        <w:rPr>
          <w:rFonts w:ascii="Times New Roman" w:eastAsia="Times New Roman" w:hAnsi="Times New Roman" w:cs="Times New Roman"/>
          <w:sz w:val="24"/>
          <w:szCs w:val="24"/>
          <w:lang w:eastAsia="pl-PL"/>
        </w:rPr>
        <w:t>(w przypadku oferty na wsparcie).</w:t>
      </w:r>
    </w:p>
    <w:p w14:paraId="4DE717CE" w14:textId="77777777"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Wysokość środków finansowych innych n</w:t>
      </w:r>
      <w:r w:rsidR="004050AB" w:rsidRPr="00E826E8">
        <w:rPr>
          <w:rFonts w:ascii="Times New Roman" w:hAnsi="Times New Roman" w:cs="Times New Roman"/>
          <w:sz w:val="24"/>
          <w:szCs w:val="24"/>
        </w:rPr>
        <w:t xml:space="preserve">iż dotacja może się zmieniać, o ile </w:t>
      </w:r>
      <w:r w:rsidRPr="00E826E8">
        <w:rPr>
          <w:rFonts w:ascii="Times New Roman" w:hAnsi="Times New Roman" w:cs="Times New Roman"/>
          <w:b/>
          <w:sz w:val="24"/>
          <w:szCs w:val="24"/>
        </w:rPr>
        <w:t>nie zmniejszy się ich łączna wysokość w stosunku do wydatkowanej kwoty dotacji</w:t>
      </w:r>
      <w:r w:rsidRPr="00E826E8">
        <w:rPr>
          <w:rFonts w:ascii="Times New Roman" w:hAnsi="Times New Roman" w:cs="Times New Roman"/>
          <w:sz w:val="24"/>
          <w:szCs w:val="24"/>
        </w:rPr>
        <w:t xml:space="preserve">. </w:t>
      </w:r>
    </w:p>
    <w:p w14:paraId="358923C9" w14:textId="77777777" w:rsidR="0054677C" w:rsidRPr="00E826E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E826E8">
        <w:rPr>
          <w:rFonts w:ascii="Times New Roman" w:hAnsi="Times New Roman" w:cs="Times New Roman"/>
          <w:sz w:val="24"/>
          <w:szCs w:val="24"/>
        </w:rPr>
        <w:t xml:space="preserve">Wysokość wkładu niefinansowego (łącznie osobowego lub/i rzeczowego) może się zmienić o ile </w:t>
      </w:r>
      <w:r w:rsidRPr="00E826E8">
        <w:rPr>
          <w:rFonts w:ascii="Times New Roman" w:hAnsi="Times New Roman" w:cs="Times New Roman"/>
          <w:b/>
          <w:sz w:val="24"/>
          <w:szCs w:val="24"/>
        </w:rPr>
        <w:t>nie zmniejszy się jego łączna wartość w stosunku do wydatkowanej kwoty dotacji</w:t>
      </w:r>
      <w:r w:rsidRPr="00E826E8">
        <w:rPr>
          <w:rFonts w:ascii="Times New Roman" w:hAnsi="Times New Roman" w:cs="Times New Roman"/>
          <w:sz w:val="24"/>
          <w:szCs w:val="24"/>
        </w:rPr>
        <w:t>.</w:t>
      </w:r>
    </w:p>
    <w:p w14:paraId="692EA9B6" w14:textId="77777777"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Zleceniodawca nie ponosi odpowiedzialności za działania podmiotów współpracujących ze</w:t>
      </w:r>
      <w:r w:rsidRPr="009D04D0">
        <w:rPr>
          <w:rFonts w:ascii="Times New Roman" w:eastAsia="Times New Roman" w:hAnsi="Times New Roman" w:cs="Times New Roman"/>
          <w:sz w:val="24"/>
          <w:szCs w:val="24"/>
          <w:lang w:eastAsia="pl-PL"/>
        </w:rPr>
        <w:t xml:space="preserv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postępowaniu dotyczącym zwrotu dotacji w związku z jej nieprawidłowym wykorzystaniem.</w:t>
      </w:r>
    </w:p>
    <w:p w14:paraId="3E31A733" w14:textId="77777777"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77777777"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14:paraId="115CDA46" w14:textId="77777777"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14:paraId="322E690D" w14:textId="77777777"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w:t>
      </w:r>
      <w:r w:rsidRPr="009D04D0">
        <w:rPr>
          <w:rFonts w:ascii="Times New Roman" w:eastAsia="Times New Roman" w:hAnsi="Times New Roman" w:cs="Times New Roman"/>
          <w:sz w:val="24"/>
          <w:szCs w:val="24"/>
          <w:lang w:eastAsia="pl-PL"/>
        </w:rPr>
        <w:lastRenderedPageBreak/>
        <w:t xml:space="preserve">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14:paraId="3980E559" w14:textId="77777777"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14:paraId="20EB6811" w14:textId="77777777"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14:paraId="02041AC3" w14:textId="77777777"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14:paraId="7283625C" w14:textId="77777777"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14:paraId="3561541E" w14:textId="7D69BF12"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14:paraId="71E4D4A4" w14:textId="77777777"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14:paraId="72BE9E4C" w14:textId="5CD41537"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14:paraId="43B41D36" w14:textId="77777777"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14:paraId="6FD167CC" w14:textId="2D02C5AE"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z ofertą oraz zaktualizowanymi, stosownie do przyznanej dotacji, harmonogramem </w:t>
      </w:r>
      <w:r w:rsidR="003753AA">
        <w:rPr>
          <w:rFonts w:ascii="Times New Roman" w:hAnsi="Times New Roman" w:cs="Times New Roman"/>
          <w:sz w:val="24"/>
          <w:szCs w:val="24"/>
        </w:rPr>
        <w:br/>
      </w:r>
      <w:r w:rsidRPr="009D04D0">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14:paraId="4F87EC61" w14:textId="77777777"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14:paraId="2C84150A" w14:textId="77777777"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w:t>
      </w:r>
      <w:r w:rsidR="003753AA">
        <w:rPr>
          <w:rFonts w:ascii="Times New Roman" w:eastAsia="Times New Roman" w:hAnsi="Times New Roman" w:cs="Times New Roman"/>
          <w:b/>
          <w:bCs/>
          <w:sz w:val="24"/>
          <w:szCs w:val="24"/>
          <w:lang w:eastAsia="pl-PL"/>
        </w:rPr>
        <w:br/>
      </w:r>
      <w:r w:rsidRPr="009D04D0">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14:paraId="7501FE94"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14:paraId="6890650E" w14:textId="190AD816"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xml:space="preserve">.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w:t>
      </w:r>
      <w:r w:rsidR="009D04D0" w:rsidRPr="009D04D0">
        <w:rPr>
          <w:rFonts w:ascii="Times New Roman" w:eastAsia="Times New Roman" w:hAnsi="Times New Roman" w:cs="Times New Roman"/>
          <w:bCs/>
          <w:sz w:val="24"/>
          <w:szCs w:val="24"/>
          <w:lang w:eastAsia="pl-PL"/>
        </w:rPr>
        <w:t xml:space="preserve">Dz. U. z 2024 r. poz. 361, z </w:t>
      </w:r>
      <w:proofErr w:type="spellStart"/>
      <w:r w:rsidR="009D04D0" w:rsidRPr="009D04D0">
        <w:rPr>
          <w:rFonts w:ascii="Times New Roman" w:eastAsia="Times New Roman" w:hAnsi="Times New Roman" w:cs="Times New Roman"/>
          <w:bCs/>
          <w:sz w:val="24"/>
          <w:szCs w:val="24"/>
          <w:lang w:eastAsia="pl-PL"/>
        </w:rPr>
        <w:t>późn</w:t>
      </w:r>
      <w:proofErr w:type="spellEnd"/>
      <w:r w:rsidR="009D04D0" w:rsidRPr="009D04D0">
        <w:rPr>
          <w:rFonts w:ascii="Times New Roman" w:eastAsia="Times New Roman" w:hAnsi="Times New Roman" w:cs="Times New Roman"/>
          <w:bCs/>
          <w:sz w:val="24"/>
          <w:szCs w:val="24"/>
          <w:lang w:eastAsia="pl-PL"/>
        </w:rPr>
        <w:t>. zm.</w:t>
      </w:r>
      <w:r w:rsidRPr="009D04D0">
        <w:rPr>
          <w:rFonts w:ascii="Times New Roman" w:eastAsia="Times New Roman" w:hAnsi="Times New Roman" w:cs="Times New Roman"/>
          <w:bCs/>
          <w:sz w:val="24"/>
          <w:szCs w:val="24"/>
          <w:lang w:eastAsia="pl-PL"/>
        </w:rPr>
        <w:t>);</w:t>
      </w:r>
    </w:p>
    <w:p w14:paraId="0681BC81"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zgodne ze szczegółowymi wytycznymi określonymi w niniejszym Regulaminie;</w:t>
      </w:r>
    </w:p>
    <w:p w14:paraId="60AEE717"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14:paraId="43536F38" w14:textId="3B932902" w:rsidR="0054677C" w:rsidRPr="00BD5B3D"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D5B3D">
        <w:rPr>
          <w:rFonts w:ascii="Times New Roman" w:eastAsia="Times New Roman" w:hAnsi="Times New Roman" w:cs="Times New Roman"/>
          <w:b/>
          <w:sz w:val="24"/>
          <w:szCs w:val="24"/>
          <w:lang w:eastAsia="pl-PL"/>
        </w:rPr>
        <w:t>Koszty niekwalifikowa</w:t>
      </w:r>
      <w:r w:rsidR="00FF6E56" w:rsidRPr="00BD5B3D">
        <w:rPr>
          <w:rFonts w:ascii="Times New Roman" w:eastAsia="Times New Roman" w:hAnsi="Times New Roman" w:cs="Times New Roman"/>
          <w:b/>
          <w:sz w:val="24"/>
          <w:szCs w:val="24"/>
          <w:lang w:eastAsia="pl-PL"/>
        </w:rPr>
        <w:t>l</w:t>
      </w:r>
      <w:r w:rsidRPr="00BD5B3D">
        <w:rPr>
          <w:rFonts w:ascii="Times New Roman" w:eastAsia="Times New Roman" w:hAnsi="Times New Roman" w:cs="Times New Roman"/>
          <w:b/>
          <w:sz w:val="24"/>
          <w:szCs w:val="24"/>
          <w:lang w:eastAsia="pl-PL"/>
        </w:rPr>
        <w:t xml:space="preserve">ne – koszty pokryte zarówno z dotacji, jak również </w:t>
      </w:r>
      <w:r w:rsidRPr="00BD5B3D">
        <w:rPr>
          <w:rFonts w:ascii="Times New Roman" w:eastAsia="Times New Roman" w:hAnsi="Times New Roman" w:cs="Times New Roman"/>
          <w:b/>
          <w:bCs/>
          <w:sz w:val="24"/>
          <w:szCs w:val="24"/>
          <w:lang w:eastAsia="pl-PL"/>
        </w:rPr>
        <w:t>i ze środków finansowych innych niż dotacja</w:t>
      </w:r>
      <w:r w:rsidRPr="00BD5B3D">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544FF750"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xml:space="preserve">,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zm.);</w:t>
      </w:r>
    </w:p>
    <w:p w14:paraId="7BBE51B2"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14:paraId="4F512208" w14:textId="77777777"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14:paraId="76937D39"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14:paraId="1337D844"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14:paraId="60705330"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14:paraId="503431E7"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14:paraId="7D6B401C"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14:paraId="0E67B6D2"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14:paraId="3BDD5634" w14:textId="76939D3B"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14:paraId="36458790"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lastRenderedPageBreak/>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2E5CB7EC"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9F05538"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9D04D0">
        <w:rPr>
          <w:rFonts w:ascii="Times New Roman" w:eastAsia="Times New Roman" w:hAnsi="Times New Roman" w:cs="Times New Roman"/>
          <w:bCs/>
          <w:sz w:val="24"/>
          <w:szCs w:val="24"/>
          <w:lang w:eastAsia="pl-PL"/>
        </w:rPr>
        <w:t>środków finansowych innych niż dotacja</w:t>
      </w:r>
      <w:r w:rsidRPr="009D04D0">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i towarów u jednego kontrahenta), bez względu na liczbę dokonanych płatności mogą być dokonywane tylko za pośrednictwem rachunku bankowego. </w:t>
      </w:r>
      <w:r w:rsidRPr="009D04D0">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D04D0">
        <w:rPr>
          <w:rFonts w:ascii="Times New Roman" w:eastAsia="Times New Roman" w:hAnsi="Times New Roman" w:cs="Times New Roman"/>
          <w:sz w:val="24"/>
          <w:szCs w:val="24"/>
          <w:lang w:eastAsia="pl-PL"/>
        </w:rPr>
        <w:t>.</w:t>
      </w:r>
    </w:p>
    <w:p w14:paraId="0364A95C"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14:paraId="47C1D9A8"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14:paraId="72C7D473" w14:textId="77777777"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772E387C"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14:paraId="4339DEDD"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zbiorczy wykaz osób biorących udział w zadaniu pozwalający na właściwą ich identyfikację, w tym na określenie wieku oraz przynależności (np. do klas mundurowych i/lub organizacji </w:t>
      </w:r>
      <w:proofErr w:type="spellStart"/>
      <w:r w:rsidRPr="009D04D0">
        <w:rPr>
          <w:rFonts w:ascii="Times New Roman" w:eastAsia="Times New Roman" w:hAnsi="Times New Roman" w:cs="Times New Roman"/>
          <w:sz w:val="24"/>
          <w:szCs w:val="24"/>
          <w:lang w:eastAsia="pl-PL"/>
        </w:rPr>
        <w:t>proobronnych</w:t>
      </w:r>
      <w:proofErr w:type="spellEnd"/>
      <w:r w:rsidRPr="009D04D0">
        <w:rPr>
          <w:rFonts w:ascii="Times New Roman" w:eastAsia="Times New Roman" w:hAnsi="Times New Roman" w:cs="Times New Roman"/>
          <w:sz w:val="24"/>
          <w:szCs w:val="24"/>
          <w:lang w:eastAsia="pl-PL"/>
        </w:rPr>
        <w:t>);</w:t>
      </w:r>
    </w:p>
    <w:p w14:paraId="1E279AD4" w14:textId="1803C990"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14:paraId="706B88FC"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14:paraId="687320CF"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14:paraId="23BE8961" w14:textId="0769E6BE" w:rsidR="00E35247" w:rsidRPr="009D04D0" w:rsidRDefault="00EA4482"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wydania i zużycia amunicji </w:t>
      </w:r>
      <w:r>
        <w:rPr>
          <w:rFonts w:ascii="Times New Roman" w:eastAsia="Times New Roman" w:hAnsi="Times New Roman" w:cs="Times New Roman"/>
          <w:sz w:val="24"/>
          <w:szCs w:val="24"/>
          <w:lang w:eastAsia="pl-PL"/>
        </w:rPr>
        <w:t>zawierający</w:t>
      </w:r>
      <w:r w:rsidRPr="00E3524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informację o liczbie</w:t>
      </w:r>
      <w:r w:rsidRPr="00E35247">
        <w:rPr>
          <w:rFonts w:ascii="Times New Roman" w:eastAsia="Times New Roman" w:hAnsi="Times New Roman" w:cs="Times New Roman"/>
          <w:sz w:val="24"/>
          <w:szCs w:val="24"/>
          <w:lang w:eastAsia="pl-PL"/>
        </w:rPr>
        <w:t xml:space="preserve"> i rodzaju zużytej amunicji przez każdego z uczestników, potwierdzon</w:t>
      </w:r>
      <w:r>
        <w:rPr>
          <w:rFonts w:ascii="Times New Roman" w:eastAsia="Times New Roman" w:hAnsi="Times New Roman" w:cs="Times New Roman"/>
          <w:sz w:val="24"/>
          <w:szCs w:val="24"/>
          <w:lang w:eastAsia="pl-PL"/>
        </w:rPr>
        <w:t>y</w:t>
      </w:r>
      <w:r w:rsidRPr="00E35247">
        <w:rPr>
          <w:rFonts w:ascii="Times New Roman" w:eastAsia="Times New Roman" w:hAnsi="Times New Roman" w:cs="Times New Roman"/>
          <w:sz w:val="24"/>
          <w:szCs w:val="24"/>
          <w:lang w:eastAsia="pl-PL"/>
        </w:rPr>
        <w:t xml:space="preserve"> własnoręcznym podpisem szkolonego</w:t>
      </w:r>
      <w:r w:rsidR="0054677C" w:rsidRPr="009D04D0">
        <w:rPr>
          <w:rFonts w:ascii="Times New Roman" w:eastAsia="Times New Roman" w:hAnsi="Times New Roman" w:cs="Times New Roman"/>
          <w:sz w:val="24"/>
          <w:szCs w:val="24"/>
          <w:lang w:eastAsia="pl-PL"/>
        </w:rPr>
        <w:t>;</w:t>
      </w:r>
    </w:p>
    <w:p w14:paraId="5FA92275"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14:paraId="5086C2C7"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14:paraId="5CEB24EF" w14:textId="168EE23A"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14:paraId="43F4BA18" w14:textId="77777777"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zdjęciową przedstawiającą realizację zajęć z każdego przedmiotu;</w:t>
      </w:r>
    </w:p>
    <w:p w14:paraId="1E93F952" w14:textId="77777777"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14:paraId="2DD08705" w14:textId="77777777"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materiały dokumentujące działania promocyjne w postaci ulotek, plakatów, artykułów umieszczonych w </w:t>
      </w:r>
      <w:proofErr w:type="spellStart"/>
      <w:r w:rsidRPr="009D04D0">
        <w:rPr>
          <w:rFonts w:ascii="Times New Roman" w:eastAsia="Times New Roman" w:hAnsi="Times New Roman" w:cs="Times New Roman"/>
          <w:sz w:val="24"/>
          <w:szCs w:val="24"/>
          <w:lang w:eastAsia="pl-PL"/>
        </w:rPr>
        <w:t>internecie</w:t>
      </w:r>
      <w:proofErr w:type="spellEnd"/>
      <w:r w:rsidRPr="009D04D0">
        <w:rPr>
          <w:rFonts w:ascii="Times New Roman" w:eastAsia="Times New Roman" w:hAnsi="Times New Roman" w:cs="Times New Roman"/>
          <w:sz w:val="24"/>
          <w:szCs w:val="24"/>
          <w:lang w:eastAsia="pl-PL"/>
        </w:rPr>
        <w:t xml:space="preserve"> i mediach społecznościowych dotyczących zadania.</w:t>
      </w:r>
    </w:p>
    <w:p w14:paraId="33D8A88E" w14:textId="02897B54"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poszczególnymi działaniami realizowanymi w ramach zadania publicznego.</w:t>
      </w:r>
    </w:p>
    <w:p w14:paraId="19C70BFB" w14:textId="0F0A677A" w:rsidR="008E4289" w:rsidRPr="009D04D0" w:rsidRDefault="00EA4482"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w:t>
      </w:r>
      <w:r>
        <w:rPr>
          <w:rFonts w:ascii="Times New Roman" w:eastAsia="Times New Roman" w:hAnsi="Times New Roman" w:cs="Times New Roman"/>
          <w:bCs/>
          <w:sz w:val="24"/>
          <w:szCs w:val="24"/>
          <w:lang w:eastAsia="pl-PL"/>
        </w:rPr>
        <w:t>,</w:t>
      </w:r>
      <w:r w:rsidRPr="008203E1">
        <w:rPr>
          <w:rFonts w:ascii="Times New Roman" w:eastAsia="Times New Roman" w:hAnsi="Times New Roman" w:cs="Times New Roman"/>
          <w:bCs/>
          <w:sz w:val="24"/>
          <w:szCs w:val="24"/>
          <w:lang w:eastAsia="pl-PL"/>
        </w:rPr>
        <w:t xml:space="preserve"> liczby osób strzelających, liczbę i rodzaj zużytej amunicji, </w:t>
      </w:r>
      <w:r>
        <w:rPr>
          <w:rFonts w:ascii="Times New Roman" w:eastAsia="Times New Roman" w:hAnsi="Times New Roman" w:cs="Times New Roman"/>
          <w:bCs/>
          <w:sz w:val="24"/>
          <w:szCs w:val="24"/>
          <w:lang w:eastAsia="pl-PL"/>
        </w:rPr>
        <w:t xml:space="preserve">liczbę i </w:t>
      </w:r>
      <w:r w:rsidRPr="008203E1">
        <w:rPr>
          <w:rFonts w:ascii="Times New Roman" w:eastAsia="Times New Roman" w:hAnsi="Times New Roman" w:cs="Times New Roman"/>
          <w:bCs/>
          <w:sz w:val="24"/>
          <w:szCs w:val="24"/>
          <w:lang w:eastAsia="pl-PL"/>
        </w:rPr>
        <w:t xml:space="preserve">rodzaj wykorzystanej broni i informację o liczbie </w:t>
      </w:r>
      <w:r>
        <w:rPr>
          <w:rFonts w:ascii="Times New Roman" w:eastAsia="Times New Roman" w:hAnsi="Times New Roman" w:cs="Times New Roman"/>
          <w:bCs/>
          <w:sz w:val="24"/>
          <w:szCs w:val="24"/>
          <w:lang w:eastAsia="pl-PL"/>
        </w:rPr>
        <w:t xml:space="preserve">wykorzystanych </w:t>
      </w:r>
      <w:r w:rsidRPr="008203E1">
        <w:rPr>
          <w:rFonts w:ascii="Times New Roman" w:eastAsia="Times New Roman" w:hAnsi="Times New Roman" w:cs="Times New Roman"/>
          <w:bCs/>
          <w:sz w:val="24"/>
          <w:szCs w:val="24"/>
          <w:lang w:eastAsia="pl-PL"/>
        </w:rPr>
        <w:t>stanowisk strzeleckich</w:t>
      </w:r>
      <w:r w:rsidR="008E4289" w:rsidRPr="009D04D0">
        <w:rPr>
          <w:rFonts w:ascii="Times New Roman" w:eastAsia="Times New Roman" w:hAnsi="Times New Roman" w:cs="Times New Roman"/>
          <w:bCs/>
          <w:sz w:val="24"/>
          <w:szCs w:val="24"/>
          <w:lang w:eastAsia="pl-PL"/>
        </w:rPr>
        <w:t>.</w:t>
      </w:r>
    </w:p>
    <w:p w14:paraId="04235F19"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2A5CE79F"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14:paraId="201E130B" w14:textId="77777777"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14:paraId="2D42A4AF" w14:textId="77777777"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14:paraId="6EA2DB3C"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7777777"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766C6C">
        <w:rPr>
          <w:rFonts w:ascii="Times New Roman" w:hAnsi="Times New Roman"/>
          <w:b/>
          <w:sz w:val="24"/>
          <w:highlight w:val="yellow"/>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00FD26BC">
                  <w:rPr>
                    <w:rFonts w:ascii="Times New Roman" w:eastAsia="Times New Roman" w:hAnsi="Times New Roman" w:cs="Times New Roman"/>
                    <w:b/>
                    <w:i/>
                    <w:iCs/>
                    <w:sz w:val="24"/>
                    <w:szCs w:val="24"/>
                    <w:lang w:eastAsia="pl-PL"/>
                  </w:rPr>
                  <w:t>data zawarcia umowy</w:t>
                </w:r>
              </w:sdtContent>
            </w:sdt>
          </w:p>
        </w:tc>
      </w:tr>
      <w:tr w:rsidR="0054677C" w:rsidRPr="009D04D0"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9D04D0" w:rsidRDefault="00287FA4"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9D04D0" w:rsidRDefault="00287FA4"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9D04D0" w:rsidRDefault="00287FA4"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9D04D0" w:rsidRDefault="00287FA4"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77777777" w:rsidR="0054677C" w:rsidRPr="009D04D0" w:rsidRDefault="00287FA4"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14:paraId="3312E00A" w14:textId="77777777"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77777777" w:rsidR="0054677C" w:rsidRPr="009D04D0" w:rsidRDefault="00287FA4"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77777777" w:rsidR="0054677C" w:rsidRPr="009D04D0" w:rsidRDefault="00287FA4"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14:paraId="64F7CFAD"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9D04D0">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9D04D0" w:rsidRDefault="00287FA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9D04D0" w:rsidRDefault="00287FA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9D04D0" w:rsidRDefault="00287FA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9D04D0" w:rsidRDefault="00287FA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9D04D0" w:rsidRDefault="00287FA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9D04D0" w:rsidRDefault="00287FA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9D04D0" w:rsidRDefault="00287FA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9D04D0" w:rsidRDefault="00287FA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9D04D0">
                  <w:rPr>
                    <w:rFonts w:ascii="Times New Roman" w:eastAsia="Times New Roman" w:hAnsi="Times New Roman" w:cs="Times New Roman"/>
                    <w:bCs/>
                    <w:i/>
                    <w:sz w:val="24"/>
                    <w:szCs w:val="24"/>
                    <w:lang w:eastAsia="pl-PL"/>
                  </w:rPr>
                  <w:t>…….</w:t>
                </w:r>
              </w:sdtContent>
            </w:sdt>
          </w:p>
        </w:tc>
      </w:tr>
    </w:tbl>
    <w:p w14:paraId="75BA83AC" w14:textId="77777777"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9D04D0" w:rsidRDefault="00287FA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77777777" w:rsidR="0054677C" w:rsidRPr="009D04D0" w:rsidRDefault="00287FA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FD26BC">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14:paraId="14B9DDC7" w14:textId="77777777" w:rsidR="0054677C" w:rsidRPr="009D04D0" w:rsidRDefault="0054677C" w:rsidP="007F543A">
      <w:pPr>
        <w:spacing w:before="60" w:after="60" w:line="240" w:lineRule="auto"/>
        <w:rPr>
          <w:rFonts w:ascii="Times New Roman" w:hAnsi="Times New Roman" w:cs="Times New Roman"/>
          <w:sz w:val="24"/>
          <w:szCs w:val="24"/>
        </w:rPr>
      </w:pPr>
    </w:p>
    <w:p w14:paraId="397DE699" w14:textId="4FBB8E9F"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Pr>
          <w:rFonts w:ascii="Times New Roman" w:eastAsia="Times New Roman" w:hAnsi="Times New Roman" w:cs="Times New Roman"/>
          <w:bCs/>
          <w:i/>
          <w:sz w:val="24"/>
          <w:szCs w:val="24"/>
          <w:lang w:eastAsia="pl-PL"/>
        </w:rPr>
        <w:br/>
      </w:r>
      <w:r w:rsidRPr="009D04D0">
        <w:rPr>
          <w:rFonts w:ascii="Times New Roman" w:eastAsia="Times New Roman" w:hAnsi="Times New Roman" w:cs="Times New Roman"/>
          <w:bCs/>
          <w:i/>
          <w:sz w:val="24"/>
          <w:szCs w:val="24"/>
          <w:lang w:eastAsia="pl-PL"/>
        </w:rPr>
        <w:t xml:space="preserve">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14:paraId="2E04441D"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3151A275"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(Dz. U. Nr 27 poz. 271, z </w:t>
      </w:r>
      <w:proofErr w:type="spellStart"/>
      <w:r w:rsidRPr="009D04D0">
        <w:rPr>
          <w:rFonts w:ascii="Times New Roman" w:eastAsia="Times New Roman" w:hAnsi="Times New Roman" w:cs="Times New Roman"/>
          <w:sz w:val="24"/>
          <w:szCs w:val="24"/>
          <w:lang w:eastAsia="pl-PL"/>
        </w:rPr>
        <w:t>późn</w:t>
      </w:r>
      <w:proofErr w:type="spellEnd"/>
      <w:r w:rsidRPr="009D04D0">
        <w:rPr>
          <w:rFonts w:ascii="Times New Roman" w:eastAsia="Times New Roman" w:hAnsi="Times New Roman" w:cs="Times New Roman"/>
          <w:sz w:val="24"/>
          <w:szCs w:val="24"/>
          <w:lang w:eastAsia="pl-PL"/>
        </w:rPr>
        <w:t>. zm.), tj.:</w:t>
      </w:r>
    </w:p>
    <w:p w14:paraId="789FE95F"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14:paraId="29C8DCC5"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14:paraId="19CA43C4"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14:paraId="7F9673A4" w14:textId="77777777"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14:paraId="49DF58AF"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14:paraId="4FBFC6D6" w14:textId="77777777"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14:paraId="386EA45C"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14:paraId="07A42E20"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14:paraId="408A26CA"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14:paraId="0EFEF0D2"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14:paraId="65696F2B"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14:paraId="18DABE62"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14:paraId="1AC66F73"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w stosunku do złotego na dzień transakcji.</w:t>
      </w:r>
    </w:p>
    <w:p w14:paraId="65C22391"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14:paraId="744ADACE" w14:textId="77777777"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14:paraId="76B90340" w14:textId="77777777"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14:paraId="4FC8053F" w14:textId="77777777"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766C6C"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0EC5438D"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D65010">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D65010">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14:paraId="62F931CD" w14:textId="1A40C110"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wysłać poprz</w:t>
      </w:r>
      <w:r w:rsidR="00D65010">
        <w:rPr>
          <w:rFonts w:ascii="Times New Roman" w:hAnsi="Times New Roman" w:cs="Times New Roman"/>
          <w:sz w:val="24"/>
          <w:szCs w:val="24"/>
        </w:rPr>
        <w:t>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osób upoważnionych do składania oświadczeń woli w imieniu zleceniobiorcy, oraz datą tożsamą z datą złoż</w:t>
      </w:r>
      <w:r w:rsidR="00D65010">
        <w:rPr>
          <w:rFonts w:ascii="Times New Roman" w:hAnsi="Times New Roman" w:cs="Times New Roman"/>
          <w:sz w:val="24"/>
          <w:szCs w:val="24"/>
        </w:rPr>
        <w:t>enia sprawozdania poprzez system</w:t>
      </w:r>
      <w:r w:rsidRPr="009D04D0">
        <w:rPr>
          <w:rFonts w:ascii="Times New Roman" w:hAnsi="Times New Roman" w:cs="Times New Roman"/>
          <w:sz w:val="24"/>
          <w:szCs w:val="24"/>
        </w:rPr>
        <w:t xml:space="preserve"> 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r w:rsidRPr="009D04D0">
        <w:rPr>
          <w:rFonts w:ascii="Times New Roman" w:hAnsi="Times New Roman" w:cs="Times New Roman"/>
          <w:sz w:val="24"/>
          <w:szCs w:val="24"/>
        </w:rPr>
        <w:t>Sprawozdanie w postaci papierowej musi być opatrzone tą samą sumą kontrolną co spr</w:t>
      </w:r>
      <w:r w:rsidR="00D65010">
        <w:rPr>
          <w:rFonts w:ascii="Times New Roman" w:hAnsi="Times New Roman" w:cs="Times New Roman"/>
          <w:sz w:val="24"/>
          <w:szCs w:val="24"/>
        </w:rPr>
        <w:t>awozdanie złożone poprzez system</w:t>
      </w:r>
      <w:r w:rsidRPr="009D04D0">
        <w:rPr>
          <w:rFonts w:ascii="Times New Roman" w:hAnsi="Times New Roman" w:cs="Times New Roman"/>
          <w:sz w:val="24"/>
          <w:szCs w:val="24"/>
        </w:rPr>
        <w:t xml:space="preserve"> Witkac.pl. </w:t>
      </w:r>
    </w:p>
    <w:p w14:paraId="0CF87F16" w14:textId="2958A327"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14:paraId="66D26E22" w14:textId="1C391189" w:rsidR="0054677C" w:rsidRPr="00766C6C" w:rsidRDefault="0054677C" w:rsidP="00766C6C">
      <w:pPr>
        <w:numPr>
          <w:ilvl w:val="3"/>
          <w:numId w:val="5"/>
        </w:numPr>
        <w:spacing w:before="60" w:after="60" w:line="240" w:lineRule="auto"/>
        <w:ind w:left="284" w:hanging="425"/>
        <w:jc w:val="both"/>
        <w:rPr>
          <w:rFonts w:ascii="Times New Roman" w:hAnsi="Times New Roman"/>
          <w:b/>
          <w:sz w:val="24"/>
        </w:rPr>
      </w:pPr>
      <w:r w:rsidRPr="009D04D0">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14:paraId="31D80377" w14:textId="77777777" w:rsidR="00204A05" w:rsidRDefault="00204A05"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77777777"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0916FA9E" w:rsidR="0054677C" w:rsidRPr="00316A0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3B4CFA">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zobowiązany jest do przedstawienia kopii dokumentów </w:t>
      </w:r>
      <w:r>
        <w:rPr>
          <w:rFonts w:ascii="Times New Roman" w:eastAsia="Times New Roman" w:hAnsi="Times New Roman" w:cs="Times New Roman"/>
          <w:sz w:val="24"/>
          <w:szCs w:val="24"/>
          <w:lang w:eastAsia="pl-PL"/>
        </w:rPr>
        <w:t>wskazanych w pkt 6</w:t>
      </w:r>
      <w:r w:rsidRPr="005A5163">
        <w:rPr>
          <w:rFonts w:ascii="Times New Roman" w:eastAsia="Times New Roman" w:hAnsi="Times New Roman" w:cs="Times New Roman"/>
          <w:sz w:val="24"/>
          <w:szCs w:val="24"/>
          <w:lang w:eastAsia="pl-PL"/>
        </w:rPr>
        <w:t xml:space="preserve"> potwierdz</w:t>
      </w:r>
      <w:r>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 takim przypadku ww. dokumenty mogą być przesłane za pośrednictwem serwisu Witkac.pl lub na adres wskazany w pkt </w:t>
      </w:r>
      <w:r>
        <w:rPr>
          <w:rFonts w:ascii="Times New Roman" w:eastAsia="Times New Roman" w:hAnsi="Times New Roman" w:cs="Times New Roman"/>
          <w:sz w:val="24"/>
          <w:szCs w:val="24"/>
          <w:lang w:eastAsia="pl-PL"/>
        </w:rPr>
        <w:t>4</w:t>
      </w:r>
      <w:r w:rsidRPr="005A5163">
        <w:rPr>
          <w:rFonts w:ascii="Times New Roman" w:eastAsia="Times New Roman" w:hAnsi="Times New Roman" w:cs="Times New Roman"/>
          <w:sz w:val="24"/>
          <w:szCs w:val="24"/>
          <w:lang w:eastAsia="pl-PL"/>
        </w:rPr>
        <w:t>.</w:t>
      </w:r>
    </w:p>
    <w:p w14:paraId="59B0165D" w14:textId="77777777" w:rsidR="0054677C" w:rsidRPr="00766C6C" w:rsidRDefault="0054677C" w:rsidP="00B84FE3">
      <w:pPr>
        <w:spacing w:before="60" w:after="60" w:line="240" w:lineRule="auto"/>
        <w:ind w:left="284"/>
        <w:jc w:val="both"/>
        <w:rPr>
          <w:rFonts w:ascii="Times New Roman" w:hAnsi="Times New Roman"/>
          <w:sz w:val="24"/>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 xml:space="preserve">zawierające dane osobowe winny zostać poddane procesowi </w:t>
      </w:r>
      <w:proofErr w:type="spellStart"/>
      <w:r w:rsidRPr="009D04D0">
        <w:rPr>
          <w:rFonts w:ascii="Times New Roman" w:eastAsia="Times New Roman" w:hAnsi="Times New Roman" w:cs="Times New Roman"/>
          <w:sz w:val="24"/>
          <w:szCs w:val="24"/>
          <w:lang w:eastAsia="pl-PL"/>
        </w:rPr>
        <w:t>anonimizacji</w:t>
      </w:r>
      <w:proofErr w:type="spellEnd"/>
      <w:r w:rsidRPr="009D04D0">
        <w:rPr>
          <w:rFonts w:ascii="Times New Roman" w:eastAsia="Times New Roman" w:hAnsi="Times New Roman" w:cs="Times New Roman"/>
          <w:sz w:val="24"/>
          <w:szCs w:val="24"/>
          <w:lang w:eastAsia="pl-PL"/>
        </w:rPr>
        <w:t>.</w:t>
      </w:r>
    </w:p>
    <w:p w14:paraId="5356D004" w14:textId="77777777" w:rsidR="0054677C" w:rsidRPr="00204A05" w:rsidRDefault="00204A05"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204A05">
        <w:rPr>
          <w:rFonts w:ascii="Times New Roman" w:eastAsia="Times New Roman" w:hAnsi="Times New Roman" w:cs="Times New Roman"/>
          <w:sz w:val="24"/>
          <w:szCs w:val="24"/>
          <w:lang w:eastAsia="pl-PL"/>
        </w:rPr>
        <w:t>ppkt</w:t>
      </w:r>
      <w:proofErr w:type="spellEnd"/>
      <w:r w:rsidRPr="00204A05">
        <w:rPr>
          <w:rFonts w:ascii="Times New Roman" w:eastAsia="Times New Roman" w:hAnsi="Times New Roman" w:cs="Times New Roman"/>
          <w:sz w:val="24"/>
          <w:szCs w:val="24"/>
          <w:lang w:eastAsia="pl-PL"/>
        </w:rPr>
        <w:t xml:space="preserve"> 1- 8 niniejszego Regulaminu</w:t>
      </w:r>
      <w:r w:rsidR="00400C3C" w:rsidRPr="00204A05">
        <w:rPr>
          <w:rFonts w:ascii="Times New Roman" w:eastAsia="Times New Roman" w:hAnsi="Times New Roman" w:cs="Times New Roman"/>
          <w:sz w:val="24"/>
          <w:szCs w:val="24"/>
          <w:lang w:eastAsia="pl-PL"/>
        </w:rPr>
        <w:t>.</w:t>
      </w:r>
    </w:p>
    <w:p w14:paraId="44770850"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14:paraId="3D17386F" w14:textId="77777777"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14:paraId="3EDCE1A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14:paraId="3E8494EB"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14:paraId="7F51D967" w14:textId="5937D83B"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14:paraId="2068214F" w14:textId="44986239" w:rsidR="0054677C" w:rsidRPr="00204A05"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14:paraId="55D29B54"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14:paraId="0B9DD83C" w14:textId="24FD0178"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sprawozdanie w wersji papierowej jest tożsame ze spraw</w:t>
      </w:r>
      <w:r w:rsidR="00D65010">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14:paraId="417D2CCB" w14:textId="77777777"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lastRenderedPageBreak/>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14:paraId="7A2C4E05"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14:paraId="0665B531"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192E2D7D"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14:paraId="14C23758" w14:textId="77777777" w:rsidR="0054677C" w:rsidRPr="00766C6C"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14:paraId="04F8F9F3" w14:textId="77777777"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14:paraId="348926FA"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14:paraId="75F6FE19"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14:paraId="1F7EEBBC"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14:paraId="752F2C8A" w14:textId="77777777" w:rsidR="003753AA"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0992558C" w:rsidR="0054677C" w:rsidRPr="00204A05"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lastRenderedPageBreak/>
        <w:t>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14:paraId="4A21BDE0" w14:textId="616BFAB3"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 xml:space="preserve">do rozporządzenia </w:t>
      </w:r>
      <w:r w:rsidRPr="00204A05">
        <w:rPr>
          <w:rFonts w:ascii="Times New Roman" w:hAnsi="Times New Roman" w:cs="Times New Roman"/>
          <w:sz w:val="24"/>
          <w:szCs w:val="24"/>
          <w:lang w:eastAsia="pl-PL"/>
        </w:rPr>
        <w:t xml:space="preserve">Przewodniczącego Komitetu Do Spraw Pożytku Publicznego z dnia </w:t>
      </w:r>
      <w:r w:rsidR="003753AA">
        <w:rPr>
          <w:rFonts w:ascii="Times New Roman" w:hAnsi="Times New Roman" w:cs="Times New Roman"/>
          <w:sz w:val="24"/>
          <w:szCs w:val="24"/>
          <w:lang w:eastAsia="pl-PL"/>
        </w:rPr>
        <w:br/>
      </w:r>
      <w:r w:rsidRPr="00204A05">
        <w:rPr>
          <w:rFonts w:ascii="Times New Roman" w:hAnsi="Times New Roman" w:cs="Times New Roman"/>
          <w:sz w:val="24"/>
          <w:szCs w:val="24"/>
          <w:lang w:eastAsia="pl-PL"/>
        </w:rPr>
        <w:t xml:space="preserve">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w:t>
      </w:r>
      <w:r w:rsidR="003753AA">
        <w:rPr>
          <w:rFonts w:ascii="Times New Roman" w:hAnsi="Times New Roman" w:cs="Times New Roman"/>
          <w:sz w:val="24"/>
          <w:szCs w:val="24"/>
          <w:lang w:eastAsia="pl-PL"/>
        </w:rPr>
        <w:br/>
      </w:r>
      <w:r w:rsidRPr="00204A05">
        <w:rPr>
          <w:rFonts w:ascii="Times New Roman" w:hAnsi="Times New Roman" w:cs="Times New Roman"/>
          <w:sz w:val="24"/>
          <w:szCs w:val="24"/>
          <w:lang w:eastAsia="pl-PL"/>
        </w:rPr>
        <w:t>(Dz. U. poz. 2057).</w:t>
      </w:r>
    </w:p>
    <w:p w14:paraId="0B7E053B" w14:textId="574B4262"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i pisemnego poinformowania o tym zleceniodawcy.</w:t>
      </w:r>
    </w:p>
    <w:p w14:paraId="71C54CEC" w14:textId="77777777"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14:paraId="3924F032" w14:textId="77777777"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14:paraId="591F8EBF" w14:textId="4136C3AA"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14:paraId="2AB41466" w14:textId="5C838794"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204A05">
        <w:rPr>
          <w:rFonts w:ascii="Times New Roman" w:eastAsia="Calibri" w:hAnsi="Times New Roman" w:cs="Times New Roman"/>
          <w:sz w:val="24"/>
          <w:szCs w:val="24"/>
        </w:rPr>
        <w:t>cy</w:t>
      </w:r>
      <w:proofErr w:type="spellEnd"/>
      <w:r w:rsidRPr="00204A05">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w:t>
      </w:r>
      <w:r w:rsidR="003753AA">
        <w:rPr>
          <w:rFonts w:ascii="Times New Roman" w:eastAsia="Calibri" w:hAnsi="Times New Roman" w:cs="Times New Roman"/>
          <w:sz w:val="24"/>
          <w:szCs w:val="24"/>
        </w:rPr>
        <w:br/>
      </w:r>
      <w:r w:rsidRPr="00204A05">
        <w:rPr>
          <w:rFonts w:ascii="Times New Roman" w:eastAsia="Calibri" w:hAnsi="Times New Roman" w:cs="Times New Roman"/>
          <w:sz w:val="24"/>
          <w:szCs w:val="24"/>
        </w:rPr>
        <w:t>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14:paraId="597F4CD1" w14:textId="1E179111"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w:t>
      </w:r>
      <w:r w:rsidR="003753AA">
        <w:rPr>
          <w:rFonts w:ascii="Times New Roman" w:hAnsi="Times New Roman" w:cs="Times New Roman"/>
          <w:sz w:val="24"/>
          <w:szCs w:val="24"/>
        </w:rPr>
        <w:br/>
      </w:r>
      <w:r w:rsidRPr="00204A05">
        <w:rPr>
          <w:rFonts w:ascii="Times New Roman" w:hAnsi="Times New Roman" w:cs="Times New Roman"/>
          <w:sz w:val="24"/>
          <w:szCs w:val="24"/>
        </w:rPr>
        <w:t>ust. 1 RODO).</w:t>
      </w:r>
    </w:p>
    <w:p w14:paraId="03B2DDDF" w14:textId="77777777"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3753AA">
      <w:headerReference w:type="default" r:id="rId15"/>
      <w:footerReference w:type="even" r:id="rId16"/>
      <w:footerReference w:type="default" r:id="rId17"/>
      <w:pgSz w:w="11906" w:h="16838"/>
      <w:pgMar w:top="964" w:right="1134"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BF10E" w14:textId="77777777" w:rsidR="00287FA4" w:rsidRDefault="00287FA4" w:rsidP="0054677C">
      <w:pPr>
        <w:spacing w:after="0" w:line="240" w:lineRule="auto"/>
      </w:pPr>
      <w:r>
        <w:separator/>
      </w:r>
    </w:p>
  </w:endnote>
  <w:endnote w:type="continuationSeparator" w:id="0">
    <w:p w14:paraId="08D8C7DD" w14:textId="77777777" w:rsidR="00287FA4" w:rsidRDefault="00287FA4" w:rsidP="0054677C">
      <w:pPr>
        <w:spacing w:after="0" w:line="240" w:lineRule="auto"/>
      </w:pPr>
      <w:r>
        <w:continuationSeparator/>
      </w:r>
    </w:p>
  </w:endnote>
  <w:endnote w:type="continuationNotice" w:id="1">
    <w:p w14:paraId="3D339F2D" w14:textId="77777777" w:rsidR="00287FA4" w:rsidRDefault="00287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75B8" w14:textId="77777777" w:rsidR="003753AA" w:rsidRDefault="003753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3753AA" w:rsidRDefault="003753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6F91" w14:textId="16349B35" w:rsidR="003753AA" w:rsidRDefault="003753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21BAC">
      <w:rPr>
        <w:rStyle w:val="Numerstrony"/>
        <w:noProof/>
      </w:rPr>
      <w:t>21</w:t>
    </w:r>
    <w:r>
      <w:rPr>
        <w:rStyle w:val="Numerstrony"/>
      </w:rPr>
      <w:fldChar w:fldCharType="end"/>
    </w:r>
  </w:p>
  <w:p w14:paraId="0DA1EEDC" w14:textId="77777777" w:rsidR="003753AA" w:rsidRDefault="003753A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6D6B5" w14:textId="77777777" w:rsidR="00287FA4" w:rsidRDefault="00287FA4" w:rsidP="0054677C">
      <w:pPr>
        <w:spacing w:after="0" w:line="240" w:lineRule="auto"/>
      </w:pPr>
      <w:r>
        <w:separator/>
      </w:r>
    </w:p>
  </w:footnote>
  <w:footnote w:type="continuationSeparator" w:id="0">
    <w:p w14:paraId="13209979" w14:textId="77777777" w:rsidR="00287FA4" w:rsidRDefault="00287FA4" w:rsidP="0054677C">
      <w:pPr>
        <w:spacing w:after="0" w:line="240" w:lineRule="auto"/>
      </w:pPr>
      <w:r>
        <w:continuationSeparator/>
      </w:r>
    </w:p>
  </w:footnote>
  <w:footnote w:type="continuationNotice" w:id="1">
    <w:p w14:paraId="443A047B" w14:textId="77777777" w:rsidR="00287FA4" w:rsidRDefault="00287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B339" w14:textId="77777777" w:rsidR="003753AA" w:rsidRDefault="003753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122C8"/>
    <w:rsid w:val="00021BAC"/>
    <w:rsid w:val="00031F83"/>
    <w:rsid w:val="00034888"/>
    <w:rsid w:val="000607B5"/>
    <w:rsid w:val="00063F55"/>
    <w:rsid w:val="00065535"/>
    <w:rsid w:val="00091749"/>
    <w:rsid w:val="000E358F"/>
    <w:rsid w:val="000F1084"/>
    <w:rsid w:val="000F6E52"/>
    <w:rsid w:val="001040DC"/>
    <w:rsid w:val="001072C9"/>
    <w:rsid w:val="001325BD"/>
    <w:rsid w:val="0014642F"/>
    <w:rsid w:val="00164168"/>
    <w:rsid w:val="00176858"/>
    <w:rsid w:val="00176976"/>
    <w:rsid w:val="001C22FB"/>
    <w:rsid w:val="001E340B"/>
    <w:rsid w:val="001F1A18"/>
    <w:rsid w:val="00204A05"/>
    <w:rsid w:val="002114CF"/>
    <w:rsid w:val="00222EC6"/>
    <w:rsid w:val="00223788"/>
    <w:rsid w:val="00225FAC"/>
    <w:rsid w:val="002269DA"/>
    <w:rsid w:val="00242BCF"/>
    <w:rsid w:val="00255729"/>
    <w:rsid w:val="00275345"/>
    <w:rsid w:val="0028520E"/>
    <w:rsid w:val="00287FA4"/>
    <w:rsid w:val="0029698D"/>
    <w:rsid w:val="002C3736"/>
    <w:rsid w:val="002D3AF7"/>
    <w:rsid w:val="002D3D37"/>
    <w:rsid w:val="002E49E1"/>
    <w:rsid w:val="002E4AF3"/>
    <w:rsid w:val="002F5AFB"/>
    <w:rsid w:val="00306579"/>
    <w:rsid w:val="003069BA"/>
    <w:rsid w:val="0031128A"/>
    <w:rsid w:val="00313F2C"/>
    <w:rsid w:val="00316A08"/>
    <w:rsid w:val="00331A5C"/>
    <w:rsid w:val="00350EAA"/>
    <w:rsid w:val="003753AA"/>
    <w:rsid w:val="00390070"/>
    <w:rsid w:val="003A23D6"/>
    <w:rsid w:val="003B4CFA"/>
    <w:rsid w:val="003D5D83"/>
    <w:rsid w:val="00400C3C"/>
    <w:rsid w:val="004050AB"/>
    <w:rsid w:val="00426855"/>
    <w:rsid w:val="00467A0C"/>
    <w:rsid w:val="004A29F4"/>
    <w:rsid w:val="004B6D4A"/>
    <w:rsid w:val="004E3B39"/>
    <w:rsid w:val="004E4911"/>
    <w:rsid w:val="004E4E9E"/>
    <w:rsid w:val="00503A38"/>
    <w:rsid w:val="00514E59"/>
    <w:rsid w:val="00516DB4"/>
    <w:rsid w:val="0054677C"/>
    <w:rsid w:val="00561E49"/>
    <w:rsid w:val="005840D4"/>
    <w:rsid w:val="005B19E1"/>
    <w:rsid w:val="005D60F8"/>
    <w:rsid w:val="005E2559"/>
    <w:rsid w:val="00673F38"/>
    <w:rsid w:val="00696D24"/>
    <w:rsid w:val="006B3C67"/>
    <w:rsid w:val="006D0388"/>
    <w:rsid w:val="006D1475"/>
    <w:rsid w:val="006E1510"/>
    <w:rsid w:val="006F47C4"/>
    <w:rsid w:val="0071744D"/>
    <w:rsid w:val="00722EB2"/>
    <w:rsid w:val="007279B3"/>
    <w:rsid w:val="00732991"/>
    <w:rsid w:val="00747464"/>
    <w:rsid w:val="00750450"/>
    <w:rsid w:val="00756A02"/>
    <w:rsid w:val="0076336D"/>
    <w:rsid w:val="007667B6"/>
    <w:rsid w:val="00766C6C"/>
    <w:rsid w:val="00771430"/>
    <w:rsid w:val="00776C56"/>
    <w:rsid w:val="00777E09"/>
    <w:rsid w:val="007845FD"/>
    <w:rsid w:val="007B21E6"/>
    <w:rsid w:val="007B3B00"/>
    <w:rsid w:val="007B5C0E"/>
    <w:rsid w:val="007C0336"/>
    <w:rsid w:val="007D46D3"/>
    <w:rsid w:val="007D702B"/>
    <w:rsid w:val="007F543A"/>
    <w:rsid w:val="008019C4"/>
    <w:rsid w:val="008150D3"/>
    <w:rsid w:val="008261F6"/>
    <w:rsid w:val="00834C3E"/>
    <w:rsid w:val="008736D6"/>
    <w:rsid w:val="00873FC7"/>
    <w:rsid w:val="00881663"/>
    <w:rsid w:val="008A45FC"/>
    <w:rsid w:val="008A5027"/>
    <w:rsid w:val="008E4289"/>
    <w:rsid w:val="00901E76"/>
    <w:rsid w:val="00916534"/>
    <w:rsid w:val="00940DE6"/>
    <w:rsid w:val="00950A98"/>
    <w:rsid w:val="009646A9"/>
    <w:rsid w:val="0096772F"/>
    <w:rsid w:val="00970848"/>
    <w:rsid w:val="009829B0"/>
    <w:rsid w:val="009C129F"/>
    <w:rsid w:val="009C3983"/>
    <w:rsid w:val="009C632F"/>
    <w:rsid w:val="009D04D0"/>
    <w:rsid w:val="009D2E22"/>
    <w:rsid w:val="009D350F"/>
    <w:rsid w:val="009D40AB"/>
    <w:rsid w:val="009D5AB9"/>
    <w:rsid w:val="009D78BB"/>
    <w:rsid w:val="009F2D03"/>
    <w:rsid w:val="00A06BC5"/>
    <w:rsid w:val="00A06E9D"/>
    <w:rsid w:val="00A1503E"/>
    <w:rsid w:val="00A17D13"/>
    <w:rsid w:val="00A21056"/>
    <w:rsid w:val="00A3480D"/>
    <w:rsid w:val="00A355CF"/>
    <w:rsid w:val="00A50B93"/>
    <w:rsid w:val="00A604FB"/>
    <w:rsid w:val="00AA619E"/>
    <w:rsid w:val="00AC5EAB"/>
    <w:rsid w:val="00AF6338"/>
    <w:rsid w:val="00B027FA"/>
    <w:rsid w:val="00B3098B"/>
    <w:rsid w:val="00B37937"/>
    <w:rsid w:val="00B40138"/>
    <w:rsid w:val="00B40595"/>
    <w:rsid w:val="00B45841"/>
    <w:rsid w:val="00B51391"/>
    <w:rsid w:val="00B703D0"/>
    <w:rsid w:val="00B743CF"/>
    <w:rsid w:val="00B84FE3"/>
    <w:rsid w:val="00BA7ED6"/>
    <w:rsid w:val="00BB7F62"/>
    <w:rsid w:val="00BC3101"/>
    <w:rsid w:val="00BC50C9"/>
    <w:rsid w:val="00BD5B3D"/>
    <w:rsid w:val="00BE3063"/>
    <w:rsid w:val="00BE5EAF"/>
    <w:rsid w:val="00C06D0C"/>
    <w:rsid w:val="00C132E0"/>
    <w:rsid w:val="00C4306E"/>
    <w:rsid w:val="00C6127D"/>
    <w:rsid w:val="00C64BBE"/>
    <w:rsid w:val="00C85383"/>
    <w:rsid w:val="00C86776"/>
    <w:rsid w:val="00C9373B"/>
    <w:rsid w:val="00C95E2B"/>
    <w:rsid w:val="00CB61CB"/>
    <w:rsid w:val="00CC64D1"/>
    <w:rsid w:val="00CD053B"/>
    <w:rsid w:val="00CD0A1B"/>
    <w:rsid w:val="00CD18DF"/>
    <w:rsid w:val="00CD58C6"/>
    <w:rsid w:val="00CE6587"/>
    <w:rsid w:val="00CF6309"/>
    <w:rsid w:val="00D12BC0"/>
    <w:rsid w:val="00D1344F"/>
    <w:rsid w:val="00D173FA"/>
    <w:rsid w:val="00D61D1B"/>
    <w:rsid w:val="00D65010"/>
    <w:rsid w:val="00DE1626"/>
    <w:rsid w:val="00DF5516"/>
    <w:rsid w:val="00E1777A"/>
    <w:rsid w:val="00E35247"/>
    <w:rsid w:val="00E5239B"/>
    <w:rsid w:val="00E564BA"/>
    <w:rsid w:val="00E71428"/>
    <w:rsid w:val="00E826E8"/>
    <w:rsid w:val="00E9518E"/>
    <w:rsid w:val="00E967D3"/>
    <w:rsid w:val="00EA4482"/>
    <w:rsid w:val="00EA6771"/>
    <w:rsid w:val="00EA70B7"/>
    <w:rsid w:val="00EC2CDB"/>
    <w:rsid w:val="00EC6F7C"/>
    <w:rsid w:val="00ED1997"/>
    <w:rsid w:val="00EE167C"/>
    <w:rsid w:val="00F02ACB"/>
    <w:rsid w:val="00F15BA1"/>
    <w:rsid w:val="00F1776B"/>
    <w:rsid w:val="00F25AEC"/>
    <w:rsid w:val="00F32BFE"/>
    <w:rsid w:val="00F3640F"/>
    <w:rsid w:val="00F550E8"/>
    <w:rsid w:val="00F80E54"/>
    <w:rsid w:val="00F824BF"/>
    <w:rsid w:val="00F87B36"/>
    <w:rsid w:val="00FD26BC"/>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obrona-narodowa/otwarte-konkursy-ofer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eblex.milnet-z.ron.in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witkac.pl" TargetMode="External"/><Relationship Id="rId14" Type="http://schemas.openxmlformats.org/officeDocument/2006/relationships/hyperlink" Target="mailto:wDEKiD@mon.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085D01"/>
    <w:rsid w:val="000F1534"/>
    <w:rsid w:val="00135F30"/>
    <w:rsid w:val="001861A6"/>
    <w:rsid w:val="002E1936"/>
    <w:rsid w:val="002F3D9B"/>
    <w:rsid w:val="0035744F"/>
    <w:rsid w:val="003C4CD7"/>
    <w:rsid w:val="0040002D"/>
    <w:rsid w:val="00484276"/>
    <w:rsid w:val="004A0103"/>
    <w:rsid w:val="00534A7E"/>
    <w:rsid w:val="005468FA"/>
    <w:rsid w:val="005A5AE0"/>
    <w:rsid w:val="005F0F31"/>
    <w:rsid w:val="006855B2"/>
    <w:rsid w:val="006D44DD"/>
    <w:rsid w:val="006D798C"/>
    <w:rsid w:val="006E25C0"/>
    <w:rsid w:val="0074742C"/>
    <w:rsid w:val="00771694"/>
    <w:rsid w:val="0077462D"/>
    <w:rsid w:val="007F5B28"/>
    <w:rsid w:val="00892A11"/>
    <w:rsid w:val="008C632F"/>
    <w:rsid w:val="00954806"/>
    <w:rsid w:val="00B27D51"/>
    <w:rsid w:val="00B6116B"/>
    <w:rsid w:val="00BE2D54"/>
    <w:rsid w:val="00C4156B"/>
    <w:rsid w:val="00CB36E2"/>
    <w:rsid w:val="00D673A3"/>
    <w:rsid w:val="00EB73D8"/>
    <w:rsid w:val="00FA140C"/>
    <w:rsid w:val="00FB044C"/>
    <w:rsid w:val="00FD007E"/>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C35F5938-06BA-464D-B2BB-CC8D507ED66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12ACC20-C554-46DF-8800-D7D80E9F81B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10264</Words>
  <Characters>61585</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4</cp:revision>
  <cp:lastPrinted>2025-01-13T08:22:00Z</cp:lastPrinted>
  <dcterms:created xsi:type="dcterms:W3CDTF">2025-04-08T09:31:00Z</dcterms:created>
  <dcterms:modified xsi:type="dcterms:W3CDTF">2025-04-08T09:42:00Z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