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4E43" w14:textId="197AEAA6" w:rsidR="004C6ED4" w:rsidRPr="00185C35" w:rsidRDefault="00815203" w:rsidP="004C6ED4">
      <w:pPr>
        <w:autoSpaceDE w:val="0"/>
        <w:autoSpaceDN w:val="0"/>
        <w:adjustRightInd w:val="0"/>
        <w:spacing w:after="360" w:line="240" w:lineRule="auto"/>
        <w:rPr>
          <w:rFonts w:ascii="Calibri" w:eastAsia="Calibri" w:hAnsi="Calibri" w:cs="Calibri"/>
          <w:bCs/>
          <w:kern w:val="0"/>
          <w:sz w:val="24"/>
          <w:szCs w:val="24"/>
        </w:rPr>
      </w:pPr>
      <w:r w:rsidRPr="00815203">
        <w:rPr>
          <w:rFonts w:ascii="Calibri" w:eastAsia="Calibri" w:hAnsi="Calibri" w:cs="Calibri"/>
          <w:bCs/>
          <w:kern w:val="0"/>
          <w:sz w:val="24"/>
          <w:szCs w:val="24"/>
        </w:rPr>
        <w:t>30</w:t>
      </w:r>
      <w:r w:rsidR="004C6ED4" w:rsidRPr="00815203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.0</w:t>
      </w:r>
      <w:r w:rsidRPr="00815203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9</w:t>
      </w:r>
      <w:r w:rsidR="004C6ED4" w:rsidRPr="00815203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.2025 r</w:t>
      </w:r>
      <w:r w:rsidR="004C6ED4" w:rsidRPr="00185C3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</w:t>
      </w:r>
    </w:p>
    <w:p w14:paraId="67F35838" w14:textId="5EE0FB58" w:rsidR="00F57D89" w:rsidRPr="001C6CAB" w:rsidRDefault="00C126E8" w:rsidP="001C6CAB">
      <w:pPr>
        <w:spacing w:line="360" w:lineRule="auto"/>
        <w:rPr>
          <w:rFonts w:ascii="Calibri" w:eastAsia="Calibri" w:hAnsi="Calibri" w:cs="Calibri"/>
          <w:b/>
          <w:kern w:val="0"/>
          <w:sz w:val="24"/>
          <w:szCs w:val="24"/>
        </w:rPr>
      </w:pPr>
      <w:r w:rsidRPr="00C126E8">
        <w:rPr>
          <w:rFonts w:ascii="Calibri" w:eastAsia="Calibri" w:hAnsi="Calibri" w:cs="Calibri"/>
          <w:b/>
          <w:kern w:val="0"/>
          <w:sz w:val="24"/>
          <w:szCs w:val="24"/>
        </w:rPr>
        <w:t>Informacja o zmianie w dokumentacji dla naboru nr FERC.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>02.03-IP.01-00</w:t>
      </w:r>
      <w:r w:rsidR="00957FF9">
        <w:rPr>
          <w:rFonts w:ascii="Calibri" w:eastAsia="Calibri" w:hAnsi="Calibri" w:cs="Calibri"/>
          <w:b/>
          <w:bCs/>
          <w:kern w:val="0"/>
          <w:sz w:val="24"/>
          <w:szCs w:val="24"/>
        </w:rPr>
        <w:t>1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>/2</w:t>
      </w:r>
      <w:r w:rsidR="00957FF9">
        <w:rPr>
          <w:rFonts w:ascii="Calibri" w:eastAsia="Calibri" w:hAnsi="Calibri" w:cs="Calibri"/>
          <w:b/>
          <w:bCs/>
          <w:kern w:val="0"/>
          <w:sz w:val="24"/>
          <w:szCs w:val="24"/>
        </w:rPr>
        <w:t>4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 xml:space="preserve"> </w:t>
      </w:r>
      <w:r w:rsidRPr="00C126E8">
        <w:rPr>
          <w:rFonts w:ascii="Calibri" w:eastAsia="Calibri" w:hAnsi="Calibri" w:cs="Calibri"/>
          <w:b/>
          <w:kern w:val="0"/>
          <w:sz w:val="24"/>
          <w:szCs w:val="24"/>
        </w:rPr>
        <w:t xml:space="preserve">w ramach Działania 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>FERC.02.03 „Cyfrowa dostępność i ponowne wykorzystanie informacji”</w:t>
      </w:r>
      <w:r w:rsidRPr="00C126E8">
        <w:rPr>
          <w:rFonts w:ascii="Calibri" w:eastAsia="Calibri" w:hAnsi="Calibri" w:cs="Calibri"/>
          <w:b/>
          <w:kern w:val="0"/>
          <w:sz w:val="24"/>
          <w:szCs w:val="24"/>
        </w:rPr>
        <w:t>, Fundusze Europejskie na Rozwój Cyfrowy 2021-2027</w:t>
      </w:r>
    </w:p>
    <w:p w14:paraId="2329A149" w14:textId="77777777" w:rsidR="00815203" w:rsidRDefault="00815203" w:rsidP="00815203">
      <w:pPr>
        <w:pStyle w:val="Akapitzlist"/>
        <w:spacing w:before="240" w:after="360"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4C6ED4" w:rsidRPr="00185C35">
        <w:rPr>
          <w:rFonts w:ascii="Calibri" w:hAnsi="Calibri" w:cs="Calibri"/>
          <w:sz w:val="24"/>
          <w:szCs w:val="24"/>
        </w:rPr>
        <w:t>prowadzon</w:t>
      </w:r>
      <w:r>
        <w:rPr>
          <w:rFonts w:ascii="Calibri" w:hAnsi="Calibri" w:cs="Calibri"/>
          <w:sz w:val="24"/>
          <w:szCs w:val="24"/>
        </w:rPr>
        <w:t xml:space="preserve">e </w:t>
      </w:r>
      <w:r w:rsidR="004C6ED4" w:rsidRPr="00185C35">
        <w:rPr>
          <w:rFonts w:ascii="Calibri" w:hAnsi="Calibri" w:cs="Calibri"/>
          <w:sz w:val="24"/>
          <w:szCs w:val="24"/>
        </w:rPr>
        <w:t>zmiany:</w:t>
      </w:r>
    </w:p>
    <w:p w14:paraId="198F6B6D" w14:textId="29B79160" w:rsidR="00815203" w:rsidRPr="00815203" w:rsidRDefault="00815203" w:rsidP="00815203">
      <w:pPr>
        <w:pStyle w:val="Akapitzlist"/>
        <w:numPr>
          <w:ilvl w:val="0"/>
          <w:numId w:val="34"/>
        </w:numPr>
        <w:spacing w:before="240" w:after="360" w:line="276" w:lineRule="auto"/>
        <w:rPr>
          <w:rFonts w:ascii="Calibri" w:hAnsi="Calibri" w:cs="Calibri"/>
          <w:b/>
          <w:bCs/>
          <w:sz w:val="24"/>
          <w:szCs w:val="24"/>
        </w:rPr>
      </w:pPr>
      <w:r w:rsidRPr="00815203">
        <w:rPr>
          <w:rFonts w:ascii="Calibri" w:eastAsia="Trebuchet MS" w:hAnsi="Calibri" w:cs="Calibri"/>
          <w:b/>
          <w:bCs/>
          <w:kern w:val="0"/>
          <w:sz w:val="24"/>
          <w:szCs w:val="24"/>
          <w14:ligatures w14:val="none"/>
        </w:rPr>
        <w:t xml:space="preserve">Regulamin wyboru projektów Zmieniono brzmienie </w:t>
      </w:r>
      <w:bookmarkStart w:id="0" w:name="_Hlk161045130"/>
    </w:p>
    <w:p w14:paraId="0180DBE9" w14:textId="77777777" w:rsidR="00815203" w:rsidRDefault="00815203" w:rsidP="00815203">
      <w:pPr>
        <w:widowControl w:val="0"/>
        <w:numPr>
          <w:ilvl w:val="0"/>
          <w:numId w:val="33"/>
        </w:numPr>
        <w:tabs>
          <w:tab w:val="left" w:pos="0"/>
          <w:tab w:val="left" w:pos="284"/>
        </w:tabs>
        <w:spacing w:before="240" w:after="0" w:line="276" w:lineRule="auto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815203"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§ 5 ust. </w:t>
      </w:r>
      <w:bookmarkEnd w:id="0"/>
      <w:r w:rsidRPr="00815203"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1 </w:t>
      </w:r>
      <w:r w:rsidRPr="00815203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otrzymuje brzmienie</w:t>
      </w:r>
      <w:r w:rsidRPr="00815203"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: „Nabór rozpoczyna się 15.02.2024 r. i kończy się </w:t>
      </w:r>
      <w:r>
        <w:rPr>
          <w:rFonts w:ascii="Calibri" w:eastAsia="Trebuchet MS" w:hAnsi="Calibri" w:cs="Calibri"/>
          <w:kern w:val="0"/>
          <w:sz w:val="24"/>
          <w:szCs w:val="24"/>
          <w14:ligatures w14:val="none"/>
        </w:rPr>
        <w:t>15</w:t>
      </w:r>
      <w:r w:rsidRPr="00815203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.</w:t>
      </w:r>
      <w:r>
        <w:rPr>
          <w:rFonts w:ascii="Calibri" w:eastAsia="Trebuchet MS" w:hAnsi="Calibri" w:cs="Calibri"/>
          <w:kern w:val="0"/>
          <w:sz w:val="24"/>
          <w:szCs w:val="24"/>
          <w14:ligatures w14:val="none"/>
        </w:rPr>
        <w:t>11</w:t>
      </w:r>
      <w:r w:rsidRPr="00815203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.2025 r.”</w:t>
      </w:r>
    </w:p>
    <w:p w14:paraId="1B5DD17B" w14:textId="45D41071" w:rsidR="009E512E" w:rsidRPr="00815203" w:rsidRDefault="00F57D89" w:rsidP="00815203">
      <w:pPr>
        <w:pStyle w:val="Akapitzlist"/>
        <w:widowControl w:val="0"/>
        <w:numPr>
          <w:ilvl w:val="0"/>
          <w:numId w:val="34"/>
        </w:numPr>
        <w:tabs>
          <w:tab w:val="left" w:pos="0"/>
          <w:tab w:val="left" w:pos="284"/>
        </w:tabs>
        <w:spacing w:before="240" w:after="0" w:line="360" w:lineRule="auto"/>
        <w:rPr>
          <w:rFonts w:ascii="Calibri" w:eastAsia="Trebuchet MS" w:hAnsi="Calibri" w:cs="Calibri"/>
          <w:b/>
          <w:bCs/>
          <w:kern w:val="0"/>
          <w:sz w:val="24"/>
          <w:szCs w:val="24"/>
          <w14:ligatures w14:val="none"/>
        </w:rPr>
      </w:pPr>
      <w:r w:rsidRPr="00815203">
        <w:rPr>
          <w:rFonts w:ascii="Calibri" w:hAnsi="Calibri" w:cs="Calibri"/>
          <w:b/>
          <w:bCs/>
          <w:sz w:val="24"/>
          <w:szCs w:val="24"/>
        </w:rPr>
        <w:t xml:space="preserve">Załączniki do </w:t>
      </w:r>
      <w:r w:rsidR="009E512E" w:rsidRPr="00815203">
        <w:rPr>
          <w:rFonts w:ascii="Calibri" w:hAnsi="Calibri" w:cs="Calibri"/>
          <w:b/>
          <w:bCs/>
          <w:sz w:val="24"/>
          <w:szCs w:val="24"/>
        </w:rPr>
        <w:t>Regulamin</w:t>
      </w:r>
      <w:r w:rsidRPr="00815203">
        <w:rPr>
          <w:rFonts w:ascii="Calibri" w:hAnsi="Calibri" w:cs="Calibri"/>
          <w:b/>
          <w:bCs/>
          <w:sz w:val="24"/>
          <w:szCs w:val="24"/>
        </w:rPr>
        <w:t>u</w:t>
      </w:r>
      <w:r w:rsidR="009E512E" w:rsidRPr="00815203">
        <w:rPr>
          <w:rFonts w:ascii="Calibri" w:hAnsi="Calibri" w:cs="Calibri"/>
          <w:b/>
          <w:bCs/>
          <w:sz w:val="24"/>
          <w:szCs w:val="24"/>
        </w:rPr>
        <w:t xml:space="preserve"> wyboru projektów</w:t>
      </w:r>
    </w:p>
    <w:p w14:paraId="4C70755D" w14:textId="77777777" w:rsidR="00F57D89" w:rsidRPr="00185C35" w:rsidRDefault="009E512E" w:rsidP="00F3580B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sz w:val="24"/>
          <w:szCs w:val="24"/>
        </w:rPr>
      </w:pPr>
      <w:bookmarkStart w:id="1" w:name="_Hlk203032333"/>
      <w:r w:rsidRPr="00185C35">
        <w:rPr>
          <w:rFonts w:ascii="Calibri" w:hAnsi="Calibri" w:cs="Calibri"/>
          <w:sz w:val="24"/>
          <w:szCs w:val="24"/>
        </w:rPr>
        <w:t>Załącznik do regulaminu „Wzór porozumienia o dofinansowanie projektu wraz z załącznikami</w:t>
      </w:r>
      <w:r w:rsidR="00F57D89" w:rsidRPr="00185C35">
        <w:rPr>
          <w:rFonts w:ascii="Calibri" w:hAnsi="Calibri" w:cs="Calibri"/>
          <w:sz w:val="24"/>
          <w:szCs w:val="24"/>
        </w:rPr>
        <w:t>”:</w:t>
      </w:r>
    </w:p>
    <w:p w14:paraId="11DC0C4D" w14:textId="737F96C0" w:rsidR="009E512E" w:rsidRPr="00185C35" w:rsidRDefault="009E512E" w:rsidP="00815203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85C35">
        <w:rPr>
          <w:rFonts w:ascii="Calibri" w:hAnsi="Calibri" w:cs="Calibri"/>
          <w:sz w:val="24"/>
          <w:szCs w:val="24"/>
        </w:rPr>
        <w:t xml:space="preserve">zmieniono załącznik nr 7 </w:t>
      </w:r>
      <w:r w:rsidR="00F57D89" w:rsidRPr="00185C35">
        <w:rPr>
          <w:rFonts w:ascii="Calibri" w:hAnsi="Calibri" w:cs="Calibri"/>
          <w:sz w:val="24"/>
          <w:szCs w:val="24"/>
        </w:rPr>
        <w:t>„</w:t>
      </w:r>
      <w:r w:rsidRPr="00185C35">
        <w:rPr>
          <w:rFonts w:ascii="Calibri" w:hAnsi="Calibri" w:cs="Calibri"/>
          <w:sz w:val="24"/>
          <w:szCs w:val="24"/>
        </w:rPr>
        <w:t>Wykaz pomniejszeń dofinansowania w zakresie obowiązków komunikacyjnych</w:t>
      </w:r>
      <w:r w:rsidR="00F57D89" w:rsidRPr="00185C35">
        <w:rPr>
          <w:rFonts w:ascii="Calibri" w:hAnsi="Calibri" w:cs="Calibri"/>
          <w:sz w:val="24"/>
          <w:szCs w:val="24"/>
        </w:rPr>
        <w:t>”;</w:t>
      </w:r>
      <w:r w:rsidRPr="00185C35">
        <w:rPr>
          <w:rFonts w:ascii="Calibri" w:hAnsi="Calibri" w:cs="Calibri"/>
          <w:sz w:val="24"/>
          <w:szCs w:val="24"/>
        </w:rPr>
        <w:t xml:space="preserve"> </w:t>
      </w:r>
    </w:p>
    <w:p w14:paraId="51C69317" w14:textId="374BA8E6" w:rsidR="009E512E" w:rsidRPr="00957FF9" w:rsidRDefault="00F57D89" w:rsidP="00815203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85C35">
        <w:rPr>
          <w:rFonts w:ascii="Calibri" w:hAnsi="Calibri" w:cs="Calibri"/>
          <w:sz w:val="24"/>
          <w:szCs w:val="24"/>
        </w:rPr>
        <w:t xml:space="preserve">dodano </w:t>
      </w:r>
      <w:bookmarkStart w:id="2" w:name="_Hlk203036523"/>
      <w:r w:rsidRPr="00185C35">
        <w:rPr>
          <w:rFonts w:ascii="Calibri" w:hAnsi="Calibri" w:cs="Calibri"/>
          <w:sz w:val="24"/>
          <w:szCs w:val="24"/>
        </w:rPr>
        <w:t>załącznik nr 1</w:t>
      </w:r>
      <w:r w:rsidR="009564A4">
        <w:rPr>
          <w:rFonts w:ascii="Calibri" w:hAnsi="Calibri" w:cs="Calibri"/>
          <w:sz w:val="24"/>
          <w:szCs w:val="24"/>
        </w:rPr>
        <w:t>0</w:t>
      </w:r>
      <w:r w:rsidRPr="00185C35">
        <w:rPr>
          <w:rFonts w:ascii="Calibri" w:hAnsi="Calibri" w:cs="Calibri"/>
          <w:sz w:val="24"/>
          <w:szCs w:val="24"/>
        </w:rPr>
        <w:t xml:space="preserve"> „Wyciąg z zapisów podręcznika dla beneficjenta”.</w:t>
      </w:r>
      <w:bookmarkEnd w:id="1"/>
      <w:bookmarkEnd w:id="2"/>
    </w:p>
    <w:p w14:paraId="75D61609" w14:textId="77777777" w:rsidR="00671724" w:rsidRPr="00185C35" w:rsidRDefault="00671724" w:rsidP="00671724">
      <w:pPr>
        <w:pStyle w:val="Akapitzlist"/>
        <w:spacing w:line="360" w:lineRule="auto"/>
        <w:ind w:left="76"/>
        <w:rPr>
          <w:rFonts w:ascii="Calibri" w:hAnsi="Calibri" w:cs="Calibri"/>
          <w:sz w:val="24"/>
          <w:szCs w:val="24"/>
        </w:rPr>
      </w:pPr>
    </w:p>
    <w:p w14:paraId="5CCFEA88" w14:textId="1AB1590E" w:rsidR="004C6ED4" w:rsidRDefault="004C6ED4" w:rsidP="00815203">
      <w:pPr>
        <w:pStyle w:val="Akapitzlist"/>
        <w:numPr>
          <w:ilvl w:val="0"/>
          <w:numId w:val="34"/>
        </w:numPr>
        <w:rPr>
          <w:rFonts w:ascii="Calibri" w:hAnsi="Calibri" w:cs="Calibri"/>
          <w:b/>
          <w:bCs/>
          <w:sz w:val="24"/>
          <w:szCs w:val="24"/>
        </w:rPr>
      </w:pPr>
      <w:r w:rsidRPr="004C6ED4">
        <w:rPr>
          <w:rFonts w:ascii="Calibri" w:hAnsi="Calibri" w:cs="Calibri"/>
          <w:b/>
          <w:bCs/>
          <w:sz w:val="24"/>
          <w:szCs w:val="24"/>
        </w:rPr>
        <w:t>Wzór porozumienia o dofinansowanie projektu wraz z załącznikami</w:t>
      </w:r>
    </w:p>
    <w:p w14:paraId="1364271E" w14:textId="77777777" w:rsidR="004C6ED4" w:rsidRPr="004C6ED4" w:rsidRDefault="004C6ED4" w:rsidP="00795E75">
      <w:pPr>
        <w:pStyle w:val="Akapitzlist"/>
        <w:ind w:left="142"/>
        <w:rPr>
          <w:rFonts w:ascii="Calibri" w:hAnsi="Calibri" w:cs="Calibri"/>
          <w:b/>
          <w:bCs/>
          <w:sz w:val="24"/>
          <w:szCs w:val="24"/>
        </w:rPr>
      </w:pPr>
    </w:p>
    <w:p w14:paraId="6F4A395E" w14:textId="00A4A513" w:rsidR="00A16C72" w:rsidRPr="00815203" w:rsidRDefault="00A16C72" w:rsidP="00815203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rPr>
          <w:rFonts w:ascii="Calibri" w:hAnsi="Calibri" w:cs="Calibri"/>
          <w:sz w:val="24"/>
          <w:szCs w:val="24"/>
        </w:rPr>
      </w:pPr>
      <w:bookmarkStart w:id="3" w:name="_Hlk203026317"/>
      <w:r w:rsidRPr="00815203">
        <w:rPr>
          <w:rFonts w:ascii="Calibri" w:hAnsi="Calibri" w:cs="Calibri"/>
          <w:sz w:val="24"/>
          <w:szCs w:val="24"/>
        </w:rPr>
        <w:t>§ 3 ust. 3 otrzymuje brzmienie</w:t>
      </w:r>
      <w:r w:rsidR="009564A4" w:rsidRPr="00815203">
        <w:rPr>
          <w:rFonts w:ascii="Calibri" w:hAnsi="Calibri" w:cs="Calibri"/>
          <w:sz w:val="24"/>
          <w:szCs w:val="24"/>
        </w:rPr>
        <w:t>:</w:t>
      </w:r>
    </w:p>
    <w:p w14:paraId="257D4404" w14:textId="345F2D27" w:rsidR="00A16C72" w:rsidRPr="00A16C72" w:rsidRDefault="00A16C72" w:rsidP="00815203">
      <w:pPr>
        <w:pStyle w:val="Akapitzlist"/>
        <w:tabs>
          <w:tab w:val="left" w:pos="284"/>
        </w:tabs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A16C72">
        <w:rPr>
          <w:rFonts w:ascii="Calibri" w:hAnsi="Calibri" w:cs="Calibri"/>
          <w:sz w:val="24"/>
          <w:szCs w:val="24"/>
        </w:rPr>
        <w:t>„3.</w:t>
      </w:r>
      <w:r w:rsidRPr="00A16C72">
        <w:rPr>
          <w:rFonts w:ascii="Calibri" w:hAnsi="Calibri" w:cs="Calibri"/>
          <w:sz w:val="24"/>
          <w:szCs w:val="24"/>
        </w:rPr>
        <w:tab/>
        <w:t>Porozumienie obowiązuje od dnia jego zawarcia do dnia wykonania przez obie Strony Porozumienia wszystkich obowiązków z niej wynikających, w tym w szczególności wynikających z zasady trwałości Projektu i przechowywania dokumentów.”</w:t>
      </w:r>
    </w:p>
    <w:p w14:paraId="2B235553" w14:textId="77777777" w:rsidR="00A16C72" w:rsidRPr="00A16C72" w:rsidRDefault="00A16C72" w:rsidP="00815203">
      <w:pPr>
        <w:pStyle w:val="Akapitzlist"/>
        <w:tabs>
          <w:tab w:val="left" w:pos="284"/>
        </w:tabs>
        <w:spacing w:line="360" w:lineRule="auto"/>
        <w:ind w:left="278"/>
        <w:rPr>
          <w:rFonts w:ascii="Calibri" w:hAnsi="Calibri" w:cs="Calibri"/>
          <w:b/>
          <w:bCs/>
          <w:sz w:val="24"/>
          <w:szCs w:val="24"/>
        </w:rPr>
      </w:pPr>
    </w:p>
    <w:p w14:paraId="42E5CFB6" w14:textId="306A7F5B" w:rsidR="00A16C72" w:rsidRPr="00815203" w:rsidRDefault="00D96438" w:rsidP="00815203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rPr>
          <w:rFonts w:ascii="Calibri" w:hAnsi="Calibri" w:cs="Calibri"/>
          <w:sz w:val="24"/>
          <w:szCs w:val="24"/>
        </w:rPr>
      </w:pPr>
      <w:r w:rsidRPr="00815203">
        <w:rPr>
          <w:rFonts w:ascii="Calibri" w:hAnsi="Calibri" w:cs="Calibri"/>
          <w:sz w:val="24"/>
          <w:szCs w:val="24"/>
        </w:rPr>
        <w:t>§ 7 ust. 20 otrzymuje brzmienie</w:t>
      </w:r>
      <w:r w:rsidR="009564A4" w:rsidRPr="00815203">
        <w:rPr>
          <w:rFonts w:ascii="Calibri" w:hAnsi="Calibri" w:cs="Calibri"/>
          <w:sz w:val="24"/>
          <w:szCs w:val="24"/>
        </w:rPr>
        <w:t>:</w:t>
      </w:r>
    </w:p>
    <w:p w14:paraId="239F9F18" w14:textId="483B8829" w:rsidR="00D96438" w:rsidRPr="009564A4" w:rsidRDefault="00D96438" w:rsidP="009564A4">
      <w:pPr>
        <w:pStyle w:val="Akapitzlist"/>
        <w:tabs>
          <w:tab w:val="left" w:pos="284"/>
        </w:tabs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9564A4">
        <w:rPr>
          <w:rFonts w:ascii="Calibri" w:hAnsi="Calibri" w:cs="Calibri"/>
          <w:sz w:val="24"/>
          <w:szCs w:val="24"/>
        </w:rPr>
        <w:t>„20.</w:t>
      </w:r>
      <w:r w:rsidRPr="009564A4">
        <w:rPr>
          <w:rFonts w:ascii="Calibri" w:hAnsi="Calibri" w:cs="Calibri"/>
          <w:sz w:val="24"/>
          <w:szCs w:val="24"/>
        </w:rPr>
        <w:tab/>
        <w:t>Beneficjent składa ostatni wniosek o płatność (końcową) do Instytucji Pośredniczącej w terminie do 14 dni kalendarzowych od dnia zakończenia okresu kwalifikowalności wydatków określonego w § 3 ust. 2. Z uwzględnieniem terminów składania wniosków o płatność określonych w ust. 3.”</w:t>
      </w:r>
    </w:p>
    <w:p w14:paraId="64B26E6D" w14:textId="77777777" w:rsidR="00D96438" w:rsidRDefault="00D96438" w:rsidP="00D96438">
      <w:pPr>
        <w:pStyle w:val="Akapitzlist"/>
        <w:tabs>
          <w:tab w:val="left" w:pos="284"/>
        </w:tabs>
        <w:ind w:left="278"/>
        <w:rPr>
          <w:rFonts w:ascii="Calibri" w:hAnsi="Calibri" w:cs="Calibri"/>
          <w:b/>
          <w:bCs/>
          <w:sz w:val="24"/>
          <w:szCs w:val="24"/>
        </w:rPr>
      </w:pPr>
    </w:p>
    <w:p w14:paraId="44591849" w14:textId="02AFE17F" w:rsidR="00D96438" w:rsidRPr="00815203" w:rsidRDefault="00D96438" w:rsidP="00D96438">
      <w:pPr>
        <w:pStyle w:val="Akapitzlist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815203">
        <w:rPr>
          <w:rFonts w:ascii="Calibri" w:hAnsi="Calibri" w:cs="Calibri"/>
          <w:sz w:val="24"/>
          <w:szCs w:val="24"/>
        </w:rPr>
        <w:t>§ 7 ust. 22 otrzymuje brzmienie</w:t>
      </w:r>
      <w:r w:rsidR="009564A4" w:rsidRPr="00815203">
        <w:rPr>
          <w:rFonts w:ascii="Calibri" w:hAnsi="Calibri" w:cs="Calibri"/>
          <w:sz w:val="24"/>
          <w:szCs w:val="24"/>
        </w:rPr>
        <w:t>:</w:t>
      </w:r>
    </w:p>
    <w:p w14:paraId="2D6EE2F1" w14:textId="77777777" w:rsidR="00D96438" w:rsidRPr="009564A4" w:rsidRDefault="00D96438" w:rsidP="009564A4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9564A4">
        <w:rPr>
          <w:rFonts w:ascii="Calibri" w:hAnsi="Calibri" w:cs="Calibri"/>
          <w:sz w:val="24"/>
          <w:szCs w:val="24"/>
        </w:rPr>
        <w:t>„22.</w:t>
      </w:r>
      <w:r w:rsidRPr="009564A4">
        <w:rPr>
          <w:rFonts w:ascii="Calibri" w:hAnsi="Calibri" w:cs="Calibri"/>
          <w:sz w:val="24"/>
          <w:szCs w:val="24"/>
        </w:rPr>
        <w:tab/>
        <w:t>Instytucja Pośrednicząca nie ponosi wobec Beneficjenta, Partnerów/podmiotów upoważnionych do ponoszenia wydatków odpowiedzialności za szkodę wynikającą z opóźnienia lub niedokonania wypłaty przez BGK i/lub NBP środków przeznaczonych na realizację Projektu, będącą rezultatem w szczególności:</w:t>
      </w:r>
    </w:p>
    <w:p w14:paraId="1204F61E" w14:textId="77777777" w:rsidR="00D96438" w:rsidRPr="009564A4" w:rsidRDefault="00D96438" w:rsidP="009564A4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9564A4">
        <w:rPr>
          <w:rFonts w:ascii="Calibri" w:hAnsi="Calibri" w:cs="Calibri"/>
          <w:sz w:val="24"/>
          <w:szCs w:val="24"/>
        </w:rPr>
        <w:lastRenderedPageBreak/>
        <w:t>1)</w:t>
      </w:r>
      <w:r w:rsidRPr="009564A4">
        <w:rPr>
          <w:rFonts w:ascii="Calibri" w:hAnsi="Calibri" w:cs="Calibri"/>
          <w:sz w:val="24"/>
          <w:szCs w:val="24"/>
        </w:rPr>
        <w:tab/>
        <w:t>braku dostępności wystarczającej ilości środków na rachunku bankowym BGK i /lub NBP;</w:t>
      </w:r>
    </w:p>
    <w:p w14:paraId="6362AA13" w14:textId="77777777" w:rsidR="00D96438" w:rsidRPr="009564A4" w:rsidRDefault="00D96438" w:rsidP="009564A4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9564A4">
        <w:rPr>
          <w:rFonts w:ascii="Calibri" w:hAnsi="Calibri" w:cs="Calibri"/>
          <w:sz w:val="24"/>
          <w:szCs w:val="24"/>
        </w:rPr>
        <w:t>2)</w:t>
      </w:r>
      <w:r w:rsidRPr="009564A4">
        <w:rPr>
          <w:rFonts w:ascii="Calibri" w:hAnsi="Calibri" w:cs="Calibri"/>
          <w:sz w:val="24"/>
          <w:szCs w:val="24"/>
        </w:rPr>
        <w:tab/>
        <w:t>niewykonania lub nienależytego wykonania przez Beneficjenta obowiązków wynikających z Porozumienia;</w:t>
      </w:r>
    </w:p>
    <w:p w14:paraId="510DED91" w14:textId="09635CB8" w:rsidR="00D96438" w:rsidRPr="009564A4" w:rsidRDefault="00D96438" w:rsidP="009564A4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9564A4">
        <w:rPr>
          <w:rFonts w:ascii="Calibri" w:hAnsi="Calibri" w:cs="Calibri"/>
          <w:sz w:val="24"/>
          <w:szCs w:val="24"/>
        </w:rPr>
        <w:t>3)</w:t>
      </w:r>
      <w:r w:rsidRPr="009564A4">
        <w:rPr>
          <w:rFonts w:ascii="Calibri" w:hAnsi="Calibri" w:cs="Calibri"/>
          <w:sz w:val="24"/>
          <w:szCs w:val="24"/>
        </w:rPr>
        <w:tab/>
        <w:t>wstrzymania procedury weryfikacji wniosku o płatność na podstawie ust. 11 pkt 1.”</w:t>
      </w:r>
    </w:p>
    <w:p w14:paraId="34D2B212" w14:textId="6E9F8264" w:rsidR="00D96438" w:rsidRPr="00815203" w:rsidRDefault="00D96438" w:rsidP="00D96438">
      <w:pPr>
        <w:pStyle w:val="Akapitzlist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bookmarkStart w:id="4" w:name="_Hlk209436054"/>
      <w:r w:rsidRPr="00815203">
        <w:rPr>
          <w:rFonts w:ascii="Calibri" w:hAnsi="Calibri" w:cs="Calibri"/>
          <w:sz w:val="24"/>
          <w:szCs w:val="24"/>
        </w:rPr>
        <w:t>§ 8 dodano ust. 10 o treści</w:t>
      </w:r>
      <w:bookmarkEnd w:id="4"/>
      <w:r w:rsidRPr="00815203">
        <w:rPr>
          <w:rFonts w:ascii="Calibri" w:hAnsi="Calibri" w:cs="Calibri"/>
          <w:sz w:val="24"/>
          <w:szCs w:val="24"/>
        </w:rPr>
        <w:t>:</w:t>
      </w:r>
    </w:p>
    <w:p w14:paraId="7578EB2B" w14:textId="611A9037" w:rsidR="00D96438" w:rsidRPr="009564A4" w:rsidRDefault="00D96438" w:rsidP="009564A4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9564A4">
        <w:rPr>
          <w:rFonts w:ascii="Calibri" w:hAnsi="Calibri" w:cs="Calibri"/>
          <w:sz w:val="24"/>
          <w:szCs w:val="24"/>
        </w:rPr>
        <w:t>„10.Pozytywna weryfikacja wniosku o płatność nie wyklucza stwierdzenia uznawania wydatków za poniesione nieprawidłowo w późniejszym okresie; powyższe dotyczy również pozytywnych wyników kontroli lub innych działań podejmowanych na podstawie Porozumienia.”</w:t>
      </w:r>
    </w:p>
    <w:p w14:paraId="0D70A063" w14:textId="2102C798" w:rsidR="00A16C72" w:rsidRPr="00815203" w:rsidRDefault="00D96438" w:rsidP="00D96438">
      <w:pPr>
        <w:pStyle w:val="Akapitzlist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815203">
        <w:rPr>
          <w:rFonts w:ascii="Calibri" w:hAnsi="Calibri" w:cs="Calibri"/>
          <w:sz w:val="24"/>
          <w:szCs w:val="24"/>
        </w:rPr>
        <w:t>§ 8 w ust. 1 dodano pkt. 4</w:t>
      </w:r>
      <w:r w:rsidR="009564A4" w:rsidRPr="00815203">
        <w:rPr>
          <w:rFonts w:ascii="Calibri" w:hAnsi="Calibri" w:cs="Calibri"/>
          <w:sz w:val="24"/>
          <w:szCs w:val="24"/>
        </w:rPr>
        <w:t xml:space="preserve"> o treści</w:t>
      </w:r>
      <w:r w:rsidRPr="00815203">
        <w:rPr>
          <w:rFonts w:ascii="Calibri" w:hAnsi="Calibri" w:cs="Calibri"/>
          <w:sz w:val="24"/>
          <w:szCs w:val="24"/>
        </w:rPr>
        <w:t>:</w:t>
      </w:r>
    </w:p>
    <w:p w14:paraId="202A0CE5" w14:textId="77777777" w:rsidR="00A16C72" w:rsidRDefault="00A16C72" w:rsidP="0025288D">
      <w:pPr>
        <w:pStyle w:val="Akapitzlist"/>
        <w:tabs>
          <w:tab w:val="left" w:pos="284"/>
        </w:tabs>
        <w:ind w:left="-142"/>
        <w:rPr>
          <w:rFonts w:ascii="Calibri" w:hAnsi="Calibri" w:cs="Calibri"/>
          <w:b/>
          <w:bCs/>
          <w:sz w:val="24"/>
          <w:szCs w:val="24"/>
        </w:rPr>
      </w:pPr>
    </w:p>
    <w:p w14:paraId="37C8F9BD" w14:textId="559567F5" w:rsidR="00A16C72" w:rsidRPr="00E26548" w:rsidRDefault="00E26548" w:rsidP="00E26548">
      <w:pPr>
        <w:pStyle w:val="Akapitzlist"/>
        <w:tabs>
          <w:tab w:val="left" w:pos="284"/>
        </w:tabs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E26548">
        <w:rPr>
          <w:rFonts w:ascii="Calibri" w:hAnsi="Calibri" w:cs="Calibri"/>
          <w:sz w:val="24"/>
          <w:szCs w:val="24"/>
        </w:rPr>
        <w:t>„4) informacji</w:t>
      </w:r>
      <w:r w:rsidR="00D96438" w:rsidRPr="00E26548">
        <w:rPr>
          <w:rFonts w:ascii="Calibri" w:hAnsi="Calibri" w:cs="Calibri"/>
          <w:sz w:val="24"/>
          <w:szCs w:val="24"/>
        </w:rPr>
        <w:t xml:space="preserve"> o zamówieniach publicznych o wartości równej lub wyższej niż progi unijne w rozumieniu art. 3 ustawy Pzp</w:t>
      </w:r>
      <w:r w:rsidRPr="00E26548">
        <w:rPr>
          <w:rFonts w:ascii="Calibri" w:hAnsi="Calibri" w:cs="Calibri"/>
          <w:sz w:val="24"/>
          <w:szCs w:val="24"/>
        </w:rPr>
        <w:t>”</w:t>
      </w:r>
      <w:r w:rsidR="00D96438" w:rsidRPr="00E26548">
        <w:rPr>
          <w:rFonts w:ascii="Calibri" w:hAnsi="Calibri" w:cs="Calibri"/>
          <w:sz w:val="24"/>
          <w:szCs w:val="24"/>
        </w:rPr>
        <w:t>;</w:t>
      </w:r>
    </w:p>
    <w:p w14:paraId="0948FCA8" w14:textId="5B6601C7" w:rsidR="00A16C72" w:rsidRPr="00815203" w:rsidRDefault="003C6D1F" w:rsidP="003C6D1F">
      <w:pPr>
        <w:pStyle w:val="Akapitzlist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815203">
        <w:rPr>
          <w:rFonts w:ascii="Calibri" w:hAnsi="Calibri" w:cs="Calibri"/>
          <w:sz w:val="24"/>
          <w:szCs w:val="24"/>
        </w:rPr>
        <w:t>§ 16 po ust. 5 dodano ust. 6</w:t>
      </w:r>
      <w:r w:rsidR="009564A4" w:rsidRPr="00815203">
        <w:rPr>
          <w:rFonts w:ascii="Calibri" w:hAnsi="Calibri" w:cs="Calibri"/>
          <w:sz w:val="24"/>
          <w:szCs w:val="24"/>
        </w:rPr>
        <w:t xml:space="preserve"> o treści:</w:t>
      </w:r>
      <w:r w:rsidRPr="00815203">
        <w:rPr>
          <w:rFonts w:ascii="Calibri" w:hAnsi="Calibri" w:cs="Calibri"/>
          <w:sz w:val="24"/>
          <w:szCs w:val="24"/>
        </w:rPr>
        <w:t xml:space="preserve"> </w:t>
      </w:r>
    </w:p>
    <w:p w14:paraId="4B59DF46" w14:textId="29627475" w:rsidR="003C6D1F" w:rsidRPr="00E26548" w:rsidRDefault="003C6D1F" w:rsidP="00E26548">
      <w:pPr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E26548">
        <w:rPr>
          <w:rFonts w:ascii="Calibri" w:hAnsi="Calibri" w:cs="Calibri"/>
          <w:sz w:val="24"/>
          <w:szCs w:val="24"/>
        </w:rPr>
        <w:t>„6.Beneficjent, Partner i podmiot upoważniony do ponoszenia wydatków który udziela zamówień na usługi z wyłączeniem przedmiotowym, tj. z pominięciem przepisów ustawy Pzp, zapewni w Umowie w sprawie zamówienia na usługi zawartej w  ramach zwolnienia przedmiotowego, że wydatki ponoszone przez wykonawcę będą dokonywane w  sposób efektywny, oszczędny i terminowy oraz zobliguje wykonawcę do prowadzenia, w  związku z realizowanym Projektem, wyodrębnionej ewidencji księgowej oraz ewidencji czasu zaangażowania pracowników wykonawcy w realizację Projektu.  Udzielenie zamówienia wykonawcy będącemu podmiotowi publicznemu, wymaga uzyskania uprzedniej zgody Instytucji Pośredniczącej.”</w:t>
      </w:r>
    </w:p>
    <w:p w14:paraId="5CA5518D" w14:textId="7E54CE39" w:rsidR="003C6D1F" w:rsidRPr="00815203" w:rsidRDefault="003C6D1F" w:rsidP="009564A4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15203">
        <w:rPr>
          <w:rFonts w:ascii="Calibri" w:hAnsi="Calibri" w:cs="Calibri"/>
          <w:sz w:val="24"/>
          <w:szCs w:val="24"/>
        </w:rPr>
        <w:t>w § 15 dotychczasowy ustęp 6 otrzymuje numer 7:</w:t>
      </w:r>
    </w:p>
    <w:p w14:paraId="253E6465" w14:textId="649011C4" w:rsidR="003C6D1F" w:rsidRPr="00815203" w:rsidRDefault="003C6D1F" w:rsidP="009564A4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15203">
        <w:rPr>
          <w:rFonts w:ascii="Calibri" w:hAnsi="Calibri" w:cs="Calibri"/>
          <w:sz w:val="24"/>
          <w:szCs w:val="24"/>
        </w:rPr>
        <w:t>w § 17 ust. 3 otrzymuje brzmienie</w:t>
      </w:r>
      <w:r w:rsidR="009564A4" w:rsidRPr="00815203">
        <w:rPr>
          <w:rFonts w:ascii="Calibri" w:hAnsi="Calibri" w:cs="Calibri"/>
          <w:sz w:val="24"/>
          <w:szCs w:val="24"/>
        </w:rPr>
        <w:t>:</w:t>
      </w:r>
    </w:p>
    <w:p w14:paraId="56863CF2" w14:textId="50B5FDC7" w:rsidR="003C6D1F" w:rsidRPr="00E26548" w:rsidRDefault="003C6D1F" w:rsidP="009564A4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E26548">
        <w:rPr>
          <w:rFonts w:ascii="Calibri" w:hAnsi="Calibri" w:cs="Calibri"/>
          <w:sz w:val="24"/>
          <w:szCs w:val="24"/>
        </w:rPr>
        <w:t>„3.Strony jako administratorzy danych osobowych swoich reprezentantów i pracowników lub innych osób, którymi posługują się przy wykonywaniu Porozumienia, udostępnią sobie wzajemnie dane osobowe swoich reprezentantów i pracowników lub innych osób, którymi posługują się przy wykonywaniu Porozumienia w celu i w zakresie niezbędnym do wykonania Porozumienia.”</w:t>
      </w:r>
    </w:p>
    <w:p w14:paraId="5AE7C1B7" w14:textId="044BE1D2" w:rsidR="003C6D1F" w:rsidRPr="00815203" w:rsidRDefault="003633B5" w:rsidP="003C6D1F">
      <w:pPr>
        <w:pStyle w:val="Akapitzlist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815203">
        <w:rPr>
          <w:rFonts w:ascii="Calibri" w:hAnsi="Calibri" w:cs="Calibri"/>
          <w:sz w:val="24"/>
          <w:szCs w:val="24"/>
        </w:rPr>
        <w:t>w § 17 ust. 7 i 8 otrzymują brzmienie</w:t>
      </w:r>
      <w:r w:rsidR="009564A4" w:rsidRPr="00815203">
        <w:rPr>
          <w:rFonts w:ascii="Calibri" w:hAnsi="Calibri" w:cs="Calibri"/>
          <w:sz w:val="24"/>
          <w:szCs w:val="24"/>
        </w:rPr>
        <w:t>:</w:t>
      </w:r>
    </w:p>
    <w:p w14:paraId="30774B13" w14:textId="77777777" w:rsidR="00203413" w:rsidRPr="0053318A" w:rsidRDefault="00203413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lastRenderedPageBreak/>
        <w:t>„7.</w:t>
      </w:r>
      <w:r w:rsidRPr="0053318A">
        <w:rPr>
          <w:rFonts w:ascii="Calibri" w:hAnsi="Calibri" w:cs="Calibri"/>
          <w:sz w:val="24"/>
          <w:szCs w:val="24"/>
        </w:rPr>
        <w:tab/>
        <w:t>W przypadku stwierdzenia naruszenia ochrony danych osobowych, o którym mowa w art. 33 RODO, w odniesieniu do danych osobowych udostępnianych w związku z realizacją Projektu Strony zobowiązują się do wzajemnego informowania o naruszeniu, a w razie potrzeby deklarują współpracę. Informacje związane z naruszeniem z zakresu ochrony danych osobowych należy zgłaszać do Instytucji Pośredniczącej na adres poczty elektronicznej: bezpieczenstwo@cppc.gov.pl. Instytucja Pośrednicząca będzie kierowała korespondencję na adres poczty elektronicznej Beneficjenta wskazany do kontaktu. Każdy z administratorów, u którego doszło do naruszenia ochrony danych osobowych, odpowiada za jego obsługę i zgłoszenie do organu nadzorczego, jeśli będzie to konieczne, oraz zawiadamia osoby, których dane dotyczą zgodnie z art. 34 RODO.</w:t>
      </w:r>
    </w:p>
    <w:p w14:paraId="1144AAB6" w14:textId="450E6A31" w:rsidR="003633B5" w:rsidRPr="0053318A" w:rsidRDefault="00203413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8.</w:t>
      </w:r>
      <w:r w:rsidRPr="0053318A">
        <w:rPr>
          <w:rFonts w:ascii="Calibri" w:hAnsi="Calibri" w:cs="Calibri"/>
          <w:sz w:val="24"/>
          <w:szCs w:val="24"/>
        </w:rPr>
        <w:tab/>
        <w:t xml:space="preserve">W CST2021, o ile do naruszenia ochrony danych osobowych doszło w ramach tego systemu, zdarzenia zgłaszane są na service </w:t>
      </w:r>
      <w:proofErr w:type="spellStart"/>
      <w:r w:rsidRPr="0053318A">
        <w:rPr>
          <w:rFonts w:ascii="Calibri" w:hAnsi="Calibri" w:cs="Calibri"/>
          <w:sz w:val="24"/>
          <w:szCs w:val="24"/>
        </w:rPr>
        <w:t>desk</w:t>
      </w:r>
      <w:proofErr w:type="spellEnd"/>
      <w:r w:rsidRPr="0053318A">
        <w:rPr>
          <w:rFonts w:ascii="Calibri" w:hAnsi="Calibri" w:cs="Calibri"/>
          <w:sz w:val="24"/>
          <w:szCs w:val="24"/>
        </w:rPr>
        <w:t xml:space="preserve"> tego systemu, powiadamiając jednocześnie Inspektora ochrony danych instytucji, której naruszenie dotyczy.”</w:t>
      </w:r>
    </w:p>
    <w:p w14:paraId="4E7BF75E" w14:textId="77777777" w:rsidR="003C6D1F" w:rsidRPr="0053318A" w:rsidRDefault="003C6D1F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</w:p>
    <w:p w14:paraId="59FA4695" w14:textId="3421A1CD" w:rsidR="004C6ED4" w:rsidRPr="00815203" w:rsidRDefault="004C6ED4" w:rsidP="00203413">
      <w:pPr>
        <w:pStyle w:val="Akapitzlist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815203">
        <w:rPr>
          <w:rFonts w:ascii="Calibri" w:hAnsi="Calibri" w:cs="Calibri"/>
          <w:sz w:val="24"/>
          <w:szCs w:val="24"/>
        </w:rPr>
        <w:t>§ 18 otrzymuje brzmienie</w:t>
      </w:r>
      <w:bookmarkEnd w:id="3"/>
    </w:p>
    <w:p w14:paraId="67712BB8" w14:textId="315B47CA" w:rsidR="004C6ED4" w:rsidRPr="004C6ED4" w:rsidRDefault="004C6ED4" w:rsidP="004C6ED4">
      <w:pPr>
        <w:numPr>
          <w:ilvl w:val="0"/>
          <w:numId w:val="7"/>
        </w:numPr>
        <w:tabs>
          <w:tab w:val="left" w:pos="900"/>
        </w:tabs>
        <w:suppressAutoHyphens/>
        <w:spacing w:after="0" w:line="360" w:lineRule="auto"/>
        <w:ind w:left="357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bookmarkStart w:id="5" w:name="_Hlk203027316"/>
      <w:r w:rsidRPr="004C6ED4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Beneficjent jest zobowiązany do wypełniania obowiązków informacyjnych i promocyjnych, w tym informowania społeczeństwa o dofinansowaniu Projektu przez Unię Europejską, zgodnie z Rozporządzeniem nr 2021/1060 (w szczególności z załącznikiem IX</w:t>
      </w:r>
      <w:r w:rsidRPr="004C6ED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4C6ED4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- Komunikacja i widoczność) oraz zgodnie z załącznikiem nr 1</w:t>
      </w:r>
      <w:r w:rsidR="00B615FA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1</w:t>
      </w:r>
      <w:r w:rsidRPr="004C6ED4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 do Porozumienia (Wyciąg z zapisów podręcznika dla beneficjenta).</w:t>
      </w:r>
    </w:p>
    <w:p w14:paraId="7BA722AF" w14:textId="068735E9" w:rsidR="004C6ED4" w:rsidRPr="004C6ED4" w:rsidRDefault="004C6ED4" w:rsidP="004C6ED4">
      <w:pPr>
        <w:numPr>
          <w:ilvl w:val="0"/>
          <w:numId w:val="7"/>
        </w:numPr>
        <w:tabs>
          <w:tab w:val="left" w:pos="900"/>
        </w:tabs>
        <w:suppressAutoHyphens/>
        <w:spacing w:after="0" w:line="360" w:lineRule="auto"/>
        <w:ind w:left="357" w:hanging="357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W okresie realizacji Projektu, o którym mowa w §</w:t>
      </w:r>
      <w:r w:rsidR="0053318A" w:rsidRPr="004C6ED4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3 oraz</w:t>
      </w:r>
      <w:r w:rsidRPr="004C6ED4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 w okresie trwałości Projektu Beneficjent jest zobowiązany do:</w:t>
      </w:r>
    </w:p>
    <w:p w14:paraId="55EA828B" w14:textId="77777777" w:rsidR="004C6ED4" w:rsidRPr="004C6ED4" w:rsidRDefault="004C6ED4" w:rsidP="004C6ED4">
      <w:pPr>
        <w:numPr>
          <w:ilvl w:val="1"/>
          <w:numId w:val="2"/>
        </w:numPr>
        <w:tabs>
          <w:tab w:val="num" w:pos="284"/>
          <w:tab w:val="left" w:pos="567"/>
        </w:tabs>
        <w:suppressAutoHyphens/>
        <w:spacing w:after="0" w:line="360" w:lineRule="auto"/>
        <w:ind w:left="714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 umieszczania w widoczny sposób znaku Funduszy Europejskich, znaku barw Rzeczypospolitej Polskiej (jeśli dotyczy; wersja </w:t>
      </w:r>
      <w:proofErr w:type="spellStart"/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pełnokolorowa</w:t>
      </w:r>
      <w:proofErr w:type="spellEnd"/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) i znaku Unii Europejskiej na:</w:t>
      </w:r>
    </w:p>
    <w:p w14:paraId="209EE8C9" w14:textId="77777777" w:rsidR="004C6ED4" w:rsidRPr="004C6ED4" w:rsidRDefault="004C6ED4" w:rsidP="004C6ED4">
      <w:pPr>
        <w:numPr>
          <w:ilvl w:val="0"/>
          <w:numId w:val="8"/>
        </w:numPr>
        <w:tabs>
          <w:tab w:val="left" w:pos="357"/>
          <w:tab w:val="left" w:pos="709"/>
        </w:tabs>
        <w:suppressAutoHyphens/>
        <w:spacing w:after="0" w:line="360" w:lineRule="auto"/>
        <w:ind w:left="1071" w:hanging="357"/>
        <w:contextualSpacing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wszystkich prowadzonych działaniach informacyjnych i promocyjnych dotyczących Projektu,</w:t>
      </w:r>
    </w:p>
    <w:p w14:paraId="0B553C24" w14:textId="77777777" w:rsidR="004C6ED4" w:rsidRPr="004C6ED4" w:rsidRDefault="004C6ED4" w:rsidP="004C6ED4">
      <w:pPr>
        <w:numPr>
          <w:ilvl w:val="0"/>
          <w:numId w:val="8"/>
        </w:numPr>
        <w:tabs>
          <w:tab w:val="left" w:pos="357"/>
          <w:tab w:val="left" w:pos="709"/>
        </w:tabs>
        <w:suppressAutoHyphens/>
        <w:spacing w:after="0" w:line="360" w:lineRule="auto"/>
        <w:contextualSpacing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wszystkich dokumentach i materiałach (m.in. produkty drukowane lub cyfrowe) podawanych do wiadomości publicznej,</w:t>
      </w:r>
    </w:p>
    <w:p w14:paraId="5FF0F1BD" w14:textId="77777777" w:rsidR="004C6ED4" w:rsidRPr="004C6ED4" w:rsidRDefault="004C6ED4" w:rsidP="004C6ED4">
      <w:pPr>
        <w:numPr>
          <w:ilvl w:val="0"/>
          <w:numId w:val="8"/>
        </w:numPr>
        <w:tabs>
          <w:tab w:val="left" w:pos="357"/>
          <w:tab w:val="left" w:pos="709"/>
        </w:tabs>
        <w:suppressAutoHyphens/>
        <w:spacing w:after="0" w:line="360" w:lineRule="auto"/>
        <w:contextualSpacing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wszystkich dokumentach i materiałach dla osób i podmiotów uczestniczących w Projekcie,</w:t>
      </w:r>
    </w:p>
    <w:p w14:paraId="3976D67F" w14:textId="2D6A958E" w:rsidR="004C6ED4" w:rsidRPr="004C6ED4" w:rsidRDefault="004C6ED4" w:rsidP="004C6ED4">
      <w:pPr>
        <w:numPr>
          <w:ilvl w:val="0"/>
          <w:numId w:val="8"/>
        </w:numPr>
        <w:tabs>
          <w:tab w:val="left" w:pos="357"/>
          <w:tab w:val="left" w:pos="709"/>
        </w:tabs>
        <w:suppressAutoHyphens/>
        <w:spacing w:after="0" w:line="360" w:lineRule="auto"/>
        <w:contextualSpacing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produktach, sprzęci</w:t>
      </w:r>
      <w:r w:rsidR="0053318A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e</w:t>
      </w: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, pojazdach, aparaturze itp., powstałych lub zakupionych z Projektu, poprzez umieszczenie</w:t>
      </w:r>
      <w:r w:rsidRPr="004C6ED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trwałego oznakowania w postaci naklejek;</w:t>
      </w:r>
    </w:p>
    <w:p w14:paraId="1F0FA320" w14:textId="77777777" w:rsidR="004C6ED4" w:rsidRPr="004C6ED4" w:rsidRDefault="004C6ED4" w:rsidP="004C6ED4">
      <w:pPr>
        <w:numPr>
          <w:ilvl w:val="1"/>
          <w:numId w:val="2"/>
        </w:numPr>
        <w:tabs>
          <w:tab w:val="num" w:pos="284"/>
          <w:tab w:val="left" w:pos="357"/>
          <w:tab w:val="left" w:pos="709"/>
        </w:tabs>
        <w:suppressAutoHyphens/>
        <w:spacing w:after="0" w:line="360" w:lineRule="auto"/>
        <w:ind w:left="714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 projektów wspieranych z Europejskiego Funduszu Rozwoju Regionalnego i Funduszu Spójności, których całkowity koszt przekracza 500 000 EUR.</w:t>
      </w:r>
    </w:p>
    <w:p w14:paraId="35F1C610" w14:textId="77777777" w:rsidR="004C6ED4" w:rsidRPr="004C6ED4" w:rsidRDefault="004C6ED4" w:rsidP="004C6ED4">
      <w:pPr>
        <w:tabs>
          <w:tab w:val="left" w:pos="851"/>
          <w:tab w:val="num" w:pos="8571"/>
        </w:tabs>
        <w:suppressAutoHyphens/>
        <w:spacing w:after="0" w:line="360" w:lineRule="auto"/>
        <w:ind w:left="709"/>
        <w:contextualSpacing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W przypadku, gdy miejsce realizacji Projektu nie zapewnia swobodnego dotarcia do ogółu społeczeństwa z informacją o realizacji tego Projektu, umiejscowienie tablicy, o której mowa w ust. 2 pkt 2 powinno być uzgodnione z Instytucją Pośredniczącą.</w:t>
      </w:r>
    </w:p>
    <w:p w14:paraId="17481993" w14:textId="5BB623CC" w:rsidR="004C6ED4" w:rsidRPr="004C6ED4" w:rsidRDefault="004C6ED4" w:rsidP="004C6ED4">
      <w:pPr>
        <w:tabs>
          <w:tab w:val="left" w:pos="709"/>
          <w:tab w:val="num" w:pos="8571"/>
        </w:tabs>
        <w:suppressAutoHyphens/>
        <w:spacing w:after="0" w:line="360" w:lineRule="auto"/>
        <w:ind w:left="709"/>
        <w:contextualSpacing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Tablica, o której mowa w ust. 2 pkt 2 musi być umieszczona niezwłocznie po rozpoczęciu fizycznej realizacji Projektu lub zainstalowaniu zakupionego sprzętu aż do końca okresu trwałości Projektu. W przypadku projektów dofinansowanych z priorytetów pomocy technicznej krajowych i regionalnych programów tablica musi być umieszczona niezwłocznie po rozpoczęciu fizycznej realizacji Projektu przez okres 3 lat od dnia zakończenia realizacji Projektu</w:t>
      </w:r>
      <w:r w:rsidR="00560737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4409D400" w14:textId="77777777" w:rsidR="004C6ED4" w:rsidRPr="004C6ED4" w:rsidRDefault="004C6ED4" w:rsidP="004C6ED4">
      <w:pPr>
        <w:numPr>
          <w:ilvl w:val="1"/>
          <w:numId w:val="2"/>
        </w:numPr>
        <w:tabs>
          <w:tab w:val="num" w:pos="284"/>
          <w:tab w:val="left" w:pos="357"/>
          <w:tab w:val="left" w:pos="709"/>
        </w:tabs>
        <w:suppressAutoHyphens/>
        <w:spacing w:after="0" w:line="360" w:lineRule="auto"/>
        <w:ind w:left="714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w przypadku projektów innych niż te, o których mowa w ust. 2 pkt 2, umieszczenia w widocznym miejscu realizacji Projektu przynajmniej jednego trwałego plakatu o minimalnym formacie A3 lub podobnej wielkości elektronicznego wyświetlacza, podkreślającego fakt otrzymania dofinansowania z UE;</w:t>
      </w:r>
    </w:p>
    <w:p w14:paraId="4816D54C" w14:textId="77777777" w:rsidR="004C6ED4" w:rsidRPr="004C6ED4" w:rsidRDefault="004C6ED4" w:rsidP="004C6ED4">
      <w:pPr>
        <w:numPr>
          <w:ilvl w:val="1"/>
          <w:numId w:val="2"/>
        </w:numPr>
        <w:tabs>
          <w:tab w:val="num" w:pos="284"/>
          <w:tab w:val="left" w:pos="357"/>
          <w:tab w:val="left" w:pos="709"/>
        </w:tabs>
        <w:suppressAutoHyphens/>
        <w:spacing w:after="0" w:line="360" w:lineRule="auto"/>
        <w:ind w:left="714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umieszczenia krótkiego opisu Projektu na oficjalnej stronie internetowej Beneficjenta lub na jego stronach mediów społecznościowych, jeśli je posiada. Opis Projektu musi zawierać:</w:t>
      </w:r>
    </w:p>
    <w:p w14:paraId="2F01A186" w14:textId="77777777" w:rsidR="004C6ED4" w:rsidRPr="004C6ED4" w:rsidRDefault="004C6ED4" w:rsidP="004C6ED4">
      <w:pPr>
        <w:numPr>
          <w:ilvl w:val="0"/>
          <w:numId w:val="3"/>
        </w:numPr>
        <w:tabs>
          <w:tab w:val="num" w:pos="284"/>
        </w:tabs>
        <w:suppressAutoHyphens/>
        <w:spacing w:after="0" w:line="360" w:lineRule="auto"/>
        <w:ind w:left="1066" w:hanging="357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tytuł Projektu lub jego skróconą nazwę,</w:t>
      </w:r>
    </w:p>
    <w:p w14:paraId="6C9E4E25" w14:textId="77777777" w:rsidR="004C6ED4" w:rsidRPr="004C6ED4" w:rsidRDefault="004C6ED4" w:rsidP="004C6ED4">
      <w:pPr>
        <w:numPr>
          <w:ilvl w:val="0"/>
          <w:numId w:val="3"/>
        </w:numPr>
        <w:tabs>
          <w:tab w:val="num" w:pos="284"/>
        </w:tabs>
        <w:suppressAutoHyphens/>
        <w:spacing w:after="0" w:line="360" w:lineRule="auto"/>
        <w:ind w:left="1066" w:hanging="357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podkreślenie faktu otrzymania wsparcia finansowego z Unii Europejskiej przez zamieszczenie znaku Funduszy Europejskich, znaku barw Rzeczypospolitej Polskiej i znaku Unii Europejskiej,</w:t>
      </w:r>
    </w:p>
    <w:p w14:paraId="1028D1B0" w14:textId="77777777" w:rsidR="004C6ED4" w:rsidRPr="004C6ED4" w:rsidRDefault="004C6ED4" w:rsidP="004C6ED4">
      <w:pPr>
        <w:numPr>
          <w:ilvl w:val="0"/>
          <w:numId w:val="3"/>
        </w:numPr>
        <w:tabs>
          <w:tab w:val="num" w:pos="284"/>
        </w:tabs>
        <w:suppressAutoHyphens/>
        <w:spacing w:after="0" w:line="360" w:lineRule="auto"/>
        <w:ind w:left="1066" w:hanging="357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zadania, działania, które będą realizowane w ramach Projektu (opis, co zostanie zrobione, zakupione etc.),</w:t>
      </w:r>
    </w:p>
    <w:p w14:paraId="09010450" w14:textId="77777777" w:rsidR="004C6ED4" w:rsidRPr="004C6ED4" w:rsidRDefault="004C6ED4" w:rsidP="004C6ED4">
      <w:pPr>
        <w:numPr>
          <w:ilvl w:val="0"/>
          <w:numId w:val="3"/>
        </w:numPr>
        <w:tabs>
          <w:tab w:val="num" w:pos="284"/>
        </w:tabs>
        <w:suppressAutoHyphens/>
        <w:spacing w:after="0" w:line="360" w:lineRule="auto"/>
        <w:ind w:left="1066" w:hanging="357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grupy docelowe (do kogo skierowany jest Projekt, kto z niego skorzysta),</w:t>
      </w:r>
    </w:p>
    <w:p w14:paraId="070F2D75" w14:textId="77777777" w:rsidR="004C6ED4" w:rsidRPr="004C6ED4" w:rsidRDefault="004C6ED4" w:rsidP="004C6ED4">
      <w:pPr>
        <w:numPr>
          <w:ilvl w:val="0"/>
          <w:numId w:val="3"/>
        </w:numPr>
        <w:tabs>
          <w:tab w:val="num" w:pos="284"/>
        </w:tabs>
        <w:suppressAutoHyphens/>
        <w:spacing w:after="0" w:line="360" w:lineRule="auto"/>
        <w:ind w:left="1066" w:hanging="357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cel lub cele Projektu,</w:t>
      </w:r>
    </w:p>
    <w:p w14:paraId="6C4FA46A" w14:textId="77777777" w:rsidR="004C6ED4" w:rsidRPr="004C6ED4" w:rsidRDefault="004C6ED4" w:rsidP="00C90C12">
      <w:pPr>
        <w:numPr>
          <w:ilvl w:val="0"/>
          <w:numId w:val="3"/>
        </w:numPr>
        <w:suppressAutoHyphens/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efekty, rezultaty Projektu</w:t>
      </w: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(jeśli opis zadań, działań nie zawiera opisu efektów, rezultatów)</w:t>
      </w:r>
    </w:p>
    <w:p w14:paraId="46635837" w14:textId="77777777" w:rsidR="004C6ED4" w:rsidRPr="004C6ED4" w:rsidRDefault="004C6ED4" w:rsidP="004C6ED4">
      <w:pPr>
        <w:numPr>
          <w:ilvl w:val="0"/>
          <w:numId w:val="3"/>
        </w:numPr>
        <w:tabs>
          <w:tab w:val="num" w:pos="284"/>
        </w:tabs>
        <w:suppressAutoHyphens/>
        <w:spacing w:after="0" w:line="360" w:lineRule="auto"/>
        <w:ind w:left="1066" w:hanging="357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wartość Projektu (całkowity koszt Projektu),</w:t>
      </w:r>
    </w:p>
    <w:p w14:paraId="6C3C0A6C" w14:textId="213DB6B7" w:rsidR="004C6ED4" w:rsidRPr="004C6ED4" w:rsidRDefault="004C6ED4" w:rsidP="004C6ED4">
      <w:pPr>
        <w:numPr>
          <w:ilvl w:val="0"/>
          <w:numId w:val="3"/>
        </w:numPr>
        <w:tabs>
          <w:tab w:val="num" w:pos="284"/>
        </w:tabs>
        <w:suppressAutoHyphens/>
        <w:spacing w:after="0" w:line="360" w:lineRule="auto"/>
        <w:ind w:left="1066" w:hanging="357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wysokość wkładu Funduszy Europejskich;</w:t>
      </w:r>
    </w:p>
    <w:p w14:paraId="5668C645" w14:textId="77777777" w:rsidR="004C6ED4" w:rsidRPr="004C6ED4" w:rsidRDefault="004C6ED4" w:rsidP="004C6ED4">
      <w:pPr>
        <w:numPr>
          <w:ilvl w:val="1"/>
          <w:numId w:val="2"/>
        </w:numPr>
        <w:tabs>
          <w:tab w:val="num" w:pos="284"/>
        </w:tabs>
        <w:suppressAutoHyphens/>
        <w:spacing w:after="0" w:line="360" w:lineRule="auto"/>
        <w:ind w:left="714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jeżeli Projekt ma znaczenie strategiczne</w:t>
      </w: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 lub jego całkowity koszt przekracza 10 mln EURO</w:t>
      </w: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ootnoteReference w:id="2"/>
      </w: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, zorganizowania wydarzenia lub działania informacyjno-promocyjnego (np. konferencję prasową, wydarzenie promujące Projekt, prezentację Projektu na targach branżowych) w ważnym momencie realizacji Projektu, np. na otwarcie Projektu, zakończenie Projektu lub jego ważnego etapu np. rozpoczęcie inwestycji, oddanie inwestycji do użytkowania itp.</w:t>
      </w:r>
    </w:p>
    <w:p w14:paraId="0C8B3AC8" w14:textId="77777777" w:rsidR="004C6ED4" w:rsidRPr="004C6ED4" w:rsidRDefault="004C6ED4" w:rsidP="004C6ED4">
      <w:pPr>
        <w:tabs>
          <w:tab w:val="num" w:pos="284"/>
        </w:tabs>
        <w:suppressAutoHyphens/>
        <w:spacing w:after="0" w:line="360" w:lineRule="auto"/>
        <w:ind w:left="714"/>
        <w:contextualSpacing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Do udziału w wydarzeniu informacyjno-promocyjnym należy zaprosić z co najmniej 4-tygodniowym wyprzedzeniem przedstawicieli Komisji Europejskiej i Instytucji Zarządzającej za pośrednictwem poczty elektronicznej pod adresem </w:t>
      </w:r>
      <w:r w:rsidRPr="004C6ED4">
        <w:rPr>
          <w:rFonts w:ascii="Calibri" w:eastAsia="Calibri" w:hAnsi="Calibri" w:cs="Calibri"/>
          <w:kern w:val="0"/>
          <w:sz w:val="24"/>
          <w:szCs w:val="24"/>
          <w:lang w:eastAsia="ar-SA"/>
          <w14:ligatures w14:val="none"/>
        </w:rPr>
        <w:t>polskacyfrowa@mfipr.gov.pl</w:t>
      </w: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 oraz </w:t>
      </w:r>
      <w:hyperlink r:id="rId7" w:history="1">
        <w:r w:rsidRPr="004C6ED4">
          <w:rPr>
            <w:rFonts w:ascii="Calibri" w:eastAsia="Calibri" w:hAnsi="Calibri" w:cs="Calibri"/>
            <w:color w:val="000000"/>
            <w:kern w:val="0"/>
            <w:sz w:val="24"/>
            <w:szCs w:val="24"/>
            <w:lang w:eastAsia="ar-SA"/>
            <w14:ligatures w14:val="none"/>
          </w:rPr>
          <w:t>regio-poland@ec.europa.eu</w:t>
        </w:r>
      </w:hyperlink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bookmarkStart w:id="8" w:name="_Hlk202866977"/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lub EMPL-B5-UNIT@ec.europa.eu w zależności od źródła finansowania programu),</w:t>
      </w:r>
      <w:bookmarkEnd w:id="8"/>
    </w:p>
    <w:p w14:paraId="38821807" w14:textId="77777777" w:rsidR="00671724" w:rsidRDefault="004C6ED4" w:rsidP="00671724">
      <w:pPr>
        <w:suppressAutoHyphens/>
        <w:spacing w:before="360" w:after="360" w:line="360" w:lineRule="auto"/>
        <w:ind w:left="360"/>
        <w:contextualSpacing/>
        <w:rPr>
          <w:rFonts w:ascii="Calibri" w:eastAsia="Calibri" w:hAnsi="Calibri" w:cs="Arial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Arial"/>
          <w:color w:val="000000"/>
          <w:kern w:val="0"/>
          <w:lang w:eastAsia="ar-SA"/>
          <w14:ligatures w14:val="none"/>
        </w:rPr>
        <w:t xml:space="preserve">6) </w:t>
      </w:r>
      <w:r w:rsidRPr="004C6ED4">
        <w:rPr>
          <w:rFonts w:ascii="Calibri" w:eastAsia="Calibri" w:hAnsi="Calibri" w:cs="Arial"/>
          <w:color w:val="000000"/>
          <w:kern w:val="0"/>
          <w:sz w:val="24"/>
          <w:szCs w:val="24"/>
          <w:lang w:eastAsia="ar-SA"/>
          <w14:ligatures w14:val="none"/>
        </w:rPr>
        <w:t>dokumentowania działań informacyjnych i promocyjnych prowadzonych w ramach Projektu.</w:t>
      </w:r>
    </w:p>
    <w:p w14:paraId="3A4AF85C" w14:textId="63B58B6B" w:rsidR="004C6ED4" w:rsidRPr="00671724" w:rsidRDefault="004C6ED4" w:rsidP="00671724">
      <w:pPr>
        <w:pStyle w:val="Akapitzlist"/>
        <w:numPr>
          <w:ilvl w:val="0"/>
          <w:numId w:val="26"/>
        </w:numPr>
        <w:suppressAutoHyphens/>
        <w:spacing w:before="120" w:after="120" w:line="360" w:lineRule="auto"/>
        <w:ind w:left="283" w:hanging="357"/>
        <w:rPr>
          <w:rFonts w:ascii="Calibri" w:eastAsia="Times New Roman" w:hAnsi="Calibri" w:cs="Arial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Beneficjent, który realizuje Projekt o całkowitym koszcie przekraczającym 5 mln EURO</w:t>
      </w:r>
      <w:r w:rsidRPr="004C6ED4">
        <w:rPr>
          <w:vertAlign w:val="superscript"/>
          <w:lang w:eastAsia="ar-SA"/>
        </w:rPr>
        <w:footnoteReference w:id="3"/>
      </w:r>
      <w:r w:rsidRPr="0067172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, informuje Instytucję Zarządzającą i Instytucję Pośredniczącą o:</w:t>
      </w:r>
    </w:p>
    <w:p w14:paraId="6926A18F" w14:textId="77777777" w:rsidR="004C6ED4" w:rsidRPr="004C6ED4" w:rsidRDefault="004C6ED4" w:rsidP="004C6ED4">
      <w:pPr>
        <w:numPr>
          <w:ilvl w:val="1"/>
          <w:numId w:val="6"/>
        </w:numPr>
        <w:tabs>
          <w:tab w:val="clear" w:pos="708"/>
          <w:tab w:val="left" w:pos="357"/>
          <w:tab w:val="num" w:pos="720"/>
        </w:tabs>
        <w:suppressAutoHyphens/>
        <w:spacing w:after="0" w:line="360" w:lineRule="auto"/>
        <w:ind w:left="714" w:hanging="357"/>
        <w:contextualSpacing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planowanych wydarzeniach informacyjno-promocyjnych związanych z Projektem;</w:t>
      </w:r>
    </w:p>
    <w:p w14:paraId="7D1648BA" w14:textId="77777777" w:rsidR="00671724" w:rsidRDefault="004C6ED4" w:rsidP="00671724">
      <w:pPr>
        <w:numPr>
          <w:ilvl w:val="1"/>
          <w:numId w:val="6"/>
        </w:numPr>
        <w:tabs>
          <w:tab w:val="num" w:pos="284"/>
        </w:tabs>
        <w:suppressAutoHyphens/>
        <w:spacing w:after="0" w:line="360" w:lineRule="auto"/>
        <w:ind w:left="714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innych planowanych wydarzeniach i istotnych okolicznościach związanych z realizacją Projektu, które mogą mieć znaczenie dla opinii publicznej i mogą służyć budowaniu marki Funduszy Europejskich</w:t>
      </w: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ootnoteReference w:id="4"/>
      </w: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559BAAEB" w14:textId="77777777" w:rsidR="00671724" w:rsidRDefault="004C6ED4" w:rsidP="00671724">
      <w:pPr>
        <w:pStyle w:val="Akapitzlist"/>
        <w:numPr>
          <w:ilvl w:val="0"/>
          <w:numId w:val="27"/>
        </w:numPr>
        <w:suppressAutoHyphens/>
        <w:spacing w:after="0" w:line="360" w:lineRule="auto"/>
        <w:ind w:left="284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Beneficjent przekazuje informacje o planowanych wydarzeniach, o których mowa w ust. 3, na co najmniej 14 dni kalendarzowych przed wydarzeniem za pośrednictwem poczty elektronicznej na adres Instytucji Zarządzającej: </w:t>
      </w:r>
      <w:hyperlink r:id="rId8">
        <w:r w:rsidRPr="00671724">
          <w:rPr>
            <w:rFonts w:ascii="Calibri" w:eastAsia="Calibri" w:hAnsi="Calibri" w:cs="Calibri"/>
            <w:color w:val="000000"/>
            <w:kern w:val="0"/>
            <w:sz w:val="24"/>
            <w:szCs w:val="24"/>
            <w:lang w:eastAsia="ar-SA"/>
            <w14:ligatures w14:val="none"/>
          </w:rPr>
          <w:t>polskacyfrowa@mfipr.gov.pl</w:t>
        </w:r>
      </w:hyperlink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 oraz na adres Instytucji Pośredniczącej </w:t>
      </w:r>
      <w:r w:rsidRPr="00671724">
        <w:rPr>
          <w:rFonts w:ascii="Calibri" w:eastAsia="Calibri" w:hAnsi="Calibri" w:cs="Calibri"/>
          <w:kern w:val="0"/>
          <w:sz w:val="24"/>
          <w:szCs w:val="24"/>
          <w:lang w:eastAsia="ar-SA"/>
          <w14:ligatures w14:val="none"/>
        </w:rPr>
        <w:t>cppc@cppc.gov.pl</w:t>
      </w: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. Informacja powinna wskazywać dane kontaktowe osób ze strony Beneficjenta zaangażowanych w wydarzenie.</w:t>
      </w:r>
    </w:p>
    <w:p w14:paraId="517AB305" w14:textId="77777777" w:rsidR="00671724" w:rsidRDefault="004C6ED4" w:rsidP="00671724">
      <w:pPr>
        <w:pStyle w:val="Akapitzlist"/>
        <w:numPr>
          <w:ilvl w:val="0"/>
          <w:numId w:val="27"/>
        </w:numPr>
        <w:suppressAutoHyphens/>
        <w:spacing w:after="0" w:line="360" w:lineRule="auto"/>
        <w:ind w:left="284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Każdorazowo, na prośbę Instytucji Zarządzającej lub Instytucji Pośredniczącej, Beneficjent jest zobowiązany do zorganizowania wspólnego wydarzenia </w:t>
      </w:r>
      <w:bookmarkStart w:id="9" w:name="_Hlk202867062"/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informacyjno-promocyjnego dla mediów </w:t>
      </w:r>
      <w:bookmarkEnd w:id="9"/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(np. briefingu prasowego, konferencji prasowej) z przedstawicielami Instytucji Zarządzającej oraz Instytucji Pośredniczącej.</w:t>
      </w:r>
    </w:p>
    <w:p w14:paraId="6398E4A0" w14:textId="77777777" w:rsidR="00671724" w:rsidRDefault="004C6ED4" w:rsidP="00671724">
      <w:pPr>
        <w:pStyle w:val="Akapitzlist"/>
        <w:numPr>
          <w:ilvl w:val="0"/>
          <w:numId w:val="27"/>
        </w:numPr>
        <w:suppressAutoHyphens/>
        <w:spacing w:after="0" w:line="360" w:lineRule="auto"/>
        <w:ind w:left="284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Jeśli Beneficjent realizuje projekty, w których przewidziany jest udział uczestników projektu</w:t>
      </w:r>
      <w:r w:rsidRPr="004C6ED4">
        <w:rPr>
          <w:vertAlign w:val="superscript"/>
          <w:lang w:eastAsia="ar-SA"/>
        </w:rPr>
        <w:footnoteReference w:id="5"/>
      </w: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, Beneficjent zobowiązany jest do rzetelnego i regularnego wprowadzania aktualnych danych do wyszukiwarki wsparcia dla potencjalnych beneficjentów i uczestników projektów, dostępnej na Portalu Funduszy Europejskich.</w:t>
      </w:r>
    </w:p>
    <w:p w14:paraId="074FECA0" w14:textId="25CF6AB7" w:rsidR="00671724" w:rsidRDefault="004C6ED4" w:rsidP="00671724">
      <w:pPr>
        <w:pStyle w:val="Akapitzlist"/>
        <w:numPr>
          <w:ilvl w:val="0"/>
          <w:numId w:val="27"/>
        </w:numPr>
        <w:suppressAutoHyphens/>
        <w:spacing w:after="0" w:line="360" w:lineRule="auto"/>
        <w:ind w:left="284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W przypadku niewłaściwej realizacji obowiązków lub niewywiązania się przez Beneficjenta z obowiązków określonych w ust. 2</w:t>
      </w:r>
      <w:r w:rsidRPr="00671724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</w:t>
      </w: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pkt 1 lit. a) – c) oraz ust.2 pkt 2-5, Instytucja Pośrednicząca wzywa Beneficjenta do podjęcia działań zaradczych w terminie i na warunkach określonych w wezwaniu. W przypadku braku wykonania przez Beneficjenta działań zaradczych, o których mowa w wezwaniu, Instytucja Pośrednicząca pomniejsza maksymalną kwotę dofinansowania, o której mowa w § 2 o wartość nie większą niż 3% tego dofinansowania, zgodnie z Wykazem pomniejszenia wartości dofinansowania Projektu w zakresie obowiązków komunikacyjnych, który stanowi Załącznik nr 7 do Porozumienia.</w:t>
      </w:r>
      <w:r w:rsidRPr="00671724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</w:t>
      </w: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W takim przypadku Instytucja Pośrednicząca w drodze jednostronnego oświadczenia woli, które jest wiążące dla Beneficjenta, dokona zmiany maksymalnej kwoty dofinansowania, o której mowa w § 2 o czym poinformuje Beneficjenta w formie pisemnej lub elektronicznej, wzywając go jednocześnie do odpowiedniej zmiany Harmonogramu rzeczowo-finansowego Projektu/Harmonogramu płatności.</w:t>
      </w:r>
    </w:p>
    <w:p w14:paraId="145B9EF3" w14:textId="77777777" w:rsidR="00671724" w:rsidRDefault="004C6ED4" w:rsidP="00671724">
      <w:pPr>
        <w:pStyle w:val="Akapitzlist"/>
        <w:numPr>
          <w:ilvl w:val="0"/>
          <w:numId w:val="27"/>
        </w:numPr>
        <w:suppressAutoHyphens/>
        <w:spacing w:after="0" w:line="360" w:lineRule="auto"/>
        <w:ind w:left="284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W przypadku stworzenia przez osobę trzecią utworów, w rozumieniu art. 1 ustawy z dnia 4 lutego 1994 r. o Prawie autorskim i prawach pokrewnych (</w:t>
      </w:r>
      <w:proofErr w:type="spellStart"/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t.j</w:t>
      </w:r>
      <w:proofErr w:type="spellEnd"/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. Dz.U. z 2025 r. poz. 24 ze zm.), związanych z komunikacją i widocznością (np. zdjęcia, filmy, broszury, ulotki, prezentacje multimedialne nt. Projektu), powstałych w ramach Projektu Beneficjent zobowiązuje się do uzyskania od tej osoby majątkowych praw autorskich do tych utworów.</w:t>
      </w:r>
    </w:p>
    <w:p w14:paraId="43FCA348" w14:textId="4EC492BA" w:rsidR="00671724" w:rsidRDefault="004C6ED4" w:rsidP="00671724">
      <w:pPr>
        <w:pStyle w:val="Akapitzlist"/>
        <w:numPr>
          <w:ilvl w:val="0"/>
          <w:numId w:val="27"/>
        </w:numPr>
        <w:suppressAutoHyphens/>
        <w:spacing w:after="0" w:line="360" w:lineRule="auto"/>
        <w:ind w:left="284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Każdorazowo, na wniosek Instytucji Koordynującej Umowę Partnerstwa, Instytucji Zarządzającej, Instytucji Pośredniczącej i unijnych instytucji lub organów i jednostek organizacyjnych, Beneficjent zobowiązuje się do udostępnienia tym </w:t>
      </w:r>
      <w:r w:rsidR="00815203"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podmiotom utworów</w:t>
      </w: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 związanych z komunikacją i widocznością, powstałych w ramach Projektu (np. zdjęcia, filmy, broszury, ulotki, prezentacje multimedialne nt. Projektu).</w:t>
      </w:r>
    </w:p>
    <w:p w14:paraId="3E8376AB" w14:textId="52669205" w:rsidR="004C6ED4" w:rsidRPr="00671724" w:rsidRDefault="004C6ED4" w:rsidP="00671724">
      <w:pPr>
        <w:pStyle w:val="Akapitzlist"/>
        <w:numPr>
          <w:ilvl w:val="0"/>
          <w:numId w:val="27"/>
        </w:numPr>
        <w:suppressAutoHyphens/>
        <w:spacing w:after="0" w:line="360" w:lineRule="auto"/>
        <w:ind w:left="284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Na wniosek Instytucji Koordynującej Umowę Partnerstwa, Instytucji Zarządzającej, Instytucji Pośredniczącej i unijnych instytucji, organów lub jednostek organizacyjnych Beneficjent zobowiązuje się do udzielenia tym podmiotom nieodpłatnej i niewyłącznej licencji do korzystania z utworów związanych z komunikacją i widocznością (np. zdjęcia, filmy, broszury, ulotki, prezentacje multimedialne nt. Projektu) powstałych w ramach Projektu w następujący sposób:</w:t>
      </w:r>
    </w:p>
    <w:p w14:paraId="546C4F6B" w14:textId="77777777" w:rsidR="004C6ED4" w:rsidRPr="004C6ED4" w:rsidRDefault="004C6ED4" w:rsidP="004C6ED4">
      <w:pPr>
        <w:numPr>
          <w:ilvl w:val="0"/>
          <w:numId w:val="9"/>
        </w:numPr>
        <w:tabs>
          <w:tab w:val="left" w:pos="851"/>
        </w:tabs>
        <w:suppressAutoHyphens/>
        <w:spacing w:after="0" w:line="360" w:lineRule="auto"/>
        <w:ind w:left="714" w:hanging="357"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na terytorium Rzeczypospolitej Polskiej oraz na terytorium innych państw członkowskich UE;</w:t>
      </w:r>
    </w:p>
    <w:p w14:paraId="5A2F98C8" w14:textId="77777777" w:rsidR="004C6ED4" w:rsidRPr="004C6ED4" w:rsidRDefault="004C6ED4" w:rsidP="004C6ED4">
      <w:pPr>
        <w:numPr>
          <w:ilvl w:val="0"/>
          <w:numId w:val="9"/>
        </w:numPr>
        <w:tabs>
          <w:tab w:val="left" w:pos="851"/>
        </w:tabs>
        <w:suppressAutoHyphens/>
        <w:spacing w:after="0" w:line="360" w:lineRule="auto"/>
        <w:ind w:left="714" w:hanging="357"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na okres 10 lat;</w:t>
      </w:r>
    </w:p>
    <w:p w14:paraId="6F05137C" w14:textId="77777777" w:rsidR="004C6ED4" w:rsidRPr="004C6ED4" w:rsidRDefault="004C6ED4" w:rsidP="004C6ED4">
      <w:pPr>
        <w:numPr>
          <w:ilvl w:val="0"/>
          <w:numId w:val="9"/>
        </w:numPr>
        <w:tabs>
          <w:tab w:val="left" w:pos="851"/>
        </w:tabs>
        <w:suppressAutoHyphens/>
        <w:spacing w:after="0" w:line="360" w:lineRule="auto"/>
        <w:ind w:left="714" w:hanging="357"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bez ograniczeń co do liczby egzemplarzy i nośników, w zakresie następujących pól eksploatacji:</w:t>
      </w:r>
    </w:p>
    <w:p w14:paraId="30C96C4A" w14:textId="77777777" w:rsidR="004C6ED4" w:rsidRPr="004C6ED4" w:rsidRDefault="004C6ED4" w:rsidP="004C6ED4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1071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3A4C309E" w14:textId="77777777" w:rsidR="004C6ED4" w:rsidRPr="004C6ED4" w:rsidRDefault="004C6ED4" w:rsidP="004C6ED4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1071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rozpowszechnianie oraz publikowanie w dowolny sposób (w tym poprzez: wyświetlanie lub publiczne odtwarzanie lub wprowadzanie do pamięci komputera i sieci multimedialnych, w tym Internetu) – w całości lub w części, jak również w połączeniu z innymi utworami,</w:t>
      </w:r>
    </w:p>
    <w:p w14:paraId="17F20028" w14:textId="77777777" w:rsidR="004C6ED4" w:rsidRPr="004C6ED4" w:rsidRDefault="004C6ED4" w:rsidP="004C6ED4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1071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publiczna dystrybucja utworów lub ich kopii we wszelkich formach (np. książka, broszura, CD, Internet),</w:t>
      </w:r>
    </w:p>
    <w:p w14:paraId="39FCC171" w14:textId="77777777" w:rsidR="004C6ED4" w:rsidRPr="004C6ED4" w:rsidRDefault="004C6ED4" w:rsidP="004C6ED4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1071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udostępnianie, w tym unijnym instytucjom, organom lub jednostkom organizacyjnym Unii oraz ich pracownikom oraz publiczne udostępnianie przy wykorzystaniu wszelkich środków komunikacji (np. Internet),</w:t>
      </w:r>
    </w:p>
    <w:p w14:paraId="3095EDC2" w14:textId="77777777" w:rsidR="004C6ED4" w:rsidRPr="004C6ED4" w:rsidRDefault="004C6ED4" w:rsidP="004C6ED4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1071" w:hanging="357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przechowywanie i archiwizowanie w postaci papierowej albo elektronicznej;</w:t>
      </w:r>
    </w:p>
    <w:p w14:paraId="5A3B6058" w14:textId="77777777" w:rsidR="00671724" w:rsidRDefault="004C6ED4" w:rsidP="00671724">
      <w:pPr>
        <w:numPr>
          <w:ilvl w:val="0"/>
          <w:numId w:val="9"/>
        </w:numPr>
        <w:tabs>
          <w:tab w:val="clear" w:pos="360"/>
          <w:tab w:val="num" w:pos="709"/>
        </w:tabs>
        <w:suppressAutoHyphens/>
        <w:spacing w:after="0" w:line="360" w:lineRule="auto"/>
        <w:ind w:left="714" w:hanging="357"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4C6ED4"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  <w:t>z prawem do udzielania osobom trzecim sublicencji na warunkach i polach eksploatacji, o których mowa w pkt 3.</w:t>
      </w:r>
    </w:p>
    <w:p w14:paraId="63324946" w14:textId="77777777" w:rsidR="00671724" w:rsidRPr="00671724" w:rsidRDefault="004C6ED4" w:rsidP="00671724">
      <w:pPr>
        <w:pStyle w:val="Akapitzlist"/>
        <w:numPr>
          <w:ilvl w:val="0"/>
          <w:numId w:val="28"/>
        </w:numPr>
        <w:suppressAutoHyphens/>
        <w:spacing w:after="0" w:line="360" w:lineRule="auto"/>
        <w:ind w:left="284"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 xml:space="preserve">Znaki graficzne oraz obowiązkowe wzory tablic, plakatów i naklejek są określone w Księdze Tożsamości Wizualnej i dostępne na Portalu Funduszy Europejskich pod adresem </w:t>
      </w:r>
      <w:hyperlink r:id="rId9" w:history="1">
        <w:r w:rsidRPr="00671724">
          <w:rPr>
            <w:rFonts w:ascii="Calibri" w:eastAsia="Calibri" w:hAnsi="Calibri" w:cs="Times New Roman"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https://www.funduszeeuropejskie.gov.pl/media/111705/KTW_marki_FE_2021-2027.pdf</w:t>
        </w:r>
      </w:hyperlink>
      <w:r w:rsidRPr="00671724">
        <w:rPr>
          <w:rFonts w:ascii="Calibri" w:eastAsia="Calibri" w:hAnsi="Calibri" w:cs="Times New Roman"/>
          <w:kern w:val="0"/>
          <w:sz w:val="24"/>
          <w:szCs w:val="24"/>
          <w:lang w:eastAsia="ar-SA"/>
          <w14:ligatures w14:val="none"/>
        </w:rPr>
        <w:t xml:space="preserve"> oraz w załączniku nr 1</w:t>
      </w:r>
      <w:r w:rsidR="00671724" w:rsidRPr="00671724">
        <w:rPr>
          <w:rFonts w:ascii="Calibri" w:eastAsia="Calibri" w:hAnsi="Calibri" w:cs="Times New Roman"/>
          <w:kern w:val="0"/>
          <w:sz w:val="24"/>
          <w:szCs w:val="24"/>
          <w:lang w:eastAsia="ar-SA"/>
          <w14:ligatures w14:val="none"/>
        </w:rPr>
        <w:t>1</w:t>
      </w:r>
      <w:r w:rsidRPr="00671724">
        <w:rPr>
          <w:rFonts w:ascii="Calibri" w:eastAsia="Calibri" w:hAnsi="Calibri" w:cs="Times New Roman"/>
          <w:kern w:val="0"/>
          <w:sz w:val="24"/>
          <w:szCs w:val="24"/>
          <w:lang w:eastAsia="ar-SA"/>
          <w14:ligatures w14:val="none"/>
        </w:rPr>
        <w:t xml:space="preserve"> do Porozumienia.</w:t>
      </w:r>
    </w:p>
    <w:p w14:paraId="3EBA2D22" w14:textId="77777777" w:rsidR="00671724" w:rsidRPr="00671724" w:rsidRDefault="004C6ED4" w:rsidP="00671724">
      <w:pPr>
        <w:pStyle w:val="Akapitzlist"/>
        <w:numPr>
          <w:ilvl w:val="0"/>
          <w:numId w:val="28"/>
        </w:numPr>
        <w:suppressAutoHyphens/>
        <w:spacing w:after="0" w:line="360" w:lineRule="auto"/>
        <w:ind w:left="284"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Zmiana adresów poczty elektronicznej, wskazanych w ust. 2 pkt 5oraz ust. 4 i strony internetowej wskazanej w ust. 11 nie wymaga aneksowania Porozumienia. Instytucja Pośrednicząca poinformuje Beneficjenta o tym fakcie w formie pisemnej lub elektronicznej, wraz ze wskazaniem daty, od której obowiązuje zmieniony adres. Zmiana jest skuteczna z chwilą doręczenia informacji Beneficjentowi.</w:t>
      </w:r>
    </w:p>
    <w:p w14:paraId="60AC2696" w14:textId="698170C0" w:rsidR="004C6ED4" w:rsidRPr="00671724" w:rsidRDefault="004C6ED4" w:rsidP="00671724">
      <w:pPr>
        <w:pStyle w:val="Akapitzlist"/>
        <w:numPr>
          <w:ilvl w:val="0"/>
          <w:numId w:val="28"/>
        </w:numPr>
        <w:suppressAutoHyphens/>
        <w:spacing w:after="0" w:line="360" w:lineRule="auto"/>
        <w:ind w:left="284"/>
        <w:rPr>
          <w:rFonts w:ascii="Calibri" w:eastAsia="Times New Roman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671724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Beneficjent przyjmuje do wiadomości, że objęcie Projektu dofinansowaniem oznacza umieszczenie danych Beneficjenta w publikowanym przez Instytucję Pośredniczącą wykazie projektów, zgodnie z art. 49 ust. 3 i 5 Rozporządzenia nr 2021/1060.</w:t>
      </w:r>
    </w:p>
    <w:p w14:paraId="540D13D1" w14:textId="4C20A81A" w:rsidR="004C6ED4" w:rsidRPr="0053318A" w:rsidRDefault="00203413" w:rsidP="0053318A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W § 19 ust. 3 otrzymuje brzmienie</w:t>
      </w:r>
    </w:p>
    <w:p w14:paraId="02F32821" w14:textId="40A09512" w:rsidR="00203413" w:rsidRPr="0053318A" w:rsidRDefault="00203413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„3.Zmiany polegające na:</w:t>
      </w:r>
    </w:p>
    <w:p w14:paraId="455734CF" w14:textId="75FE5E0D" w:rsidR="00203413" w:rsidRPr="0053318A" w:rsidRDefault="00203413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1)zmianie wartości wydatków kwalifikowanych i dofinansowania Projektu;</w:t>
      </w:r>
    </w:p>
    <w:p w14:paraId="3D91B33B" w14:textId="3A6B0153" w:rsidR="00203413" w:rsidRPr="0053318A" w:rsidRDefault="00203413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2)zmianie okresu realizacji lub kwalifikowalności Projektu, o którym mowa w § 3;</w:t>
      </w:r>
    </w:p>
    <w:p w14:paraId="1995BA99" w14:textId="361E9682" w:rsidR="00203413" w:rsidRPr="0053318A" w:rsidRDefault="00203413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3)zmianach w obrębie wskaźników produktu i rezultatu zdefiniowanych we Wniosku;</w:t>
      </w:r>
    </w:p>
    <w:p w14:paraId="20244318" w14:textId="4E80CC65" w:rsidR="00203413" w:rsidRPr="0053318A" w:rsidRDefault="00203413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4)zmianie Beneficjenta, Partnera Projektu lub Podmiotu upoważnionego do ponoszenia wydatków;</w:t>
      </w:r>
    </w:p>
    <w:p w14:paraId="2A2EBC72" w14:textId="3E2E305C" w:rsidR="00203413" w:rsidRPr="0053318A" w:rsidRDefault="00203413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5)zmianie terminu realizacji poszczególnych zadań określonych we Wniosku;</w:t>
      </w:r>
    </w:p>
    <w:p w14:paraId="5E003B40" w14:textId="412196BD" w:rsidR="00203413" w:rsidRPr="0053318A" w:rsidRDefault="00203413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6)zwiększeniu kosztów przeznaczonych na wynagrodzenia personelu bezpośrednio zaangażowanego w realizację Projektu</w:t>
      </w:r>
    </w:p>
    <w:p w14:paraId="269D6868" w14:textId="76C2F62E" w:rsidR="00203413" w:rsidRPr="0053318A" w:rsidRDefault="00203413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- wymagają akceptacji Instytucji Pośredniczącej i są wprowadzane aneksem do Porozumienia.”</w:t>
      </w:r>
    </w:p>
    <w:p w14:paraId="1E57784E" w14:textId="0DB77C8B" w:rsidR="00203413" w:rsidRPr="00815203" w:rsidRDefault="0053318A" w:rsidP="0053318A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15203">
        <w:rPr>
          <w:rFonts w:ascii="Calibri" w:hAnsi="Calibri" w:cs="Calibri"/>
          <w:sz w:val="24"/>
          <w:szCs w:val="24"/>
        </w:rPr>
        <w:t>w § 19 dotychczasowe ustępy 6-10 otrzymuje numer 7-11</w:t>
      </w:r>
      <w:r w:rsidR="009564A4" w:rsidRPr="00815203">
        <w:rPr>
          <w:rFonts w:ascii="Calibri" w:hAnsi="Calibri" w:cs="Calibri"/>
          <w:sz w:val="24"/>
          <w:szCs w:val="24"/>
        </w:rPr>
        <w:t>:</w:t>
      </w:r>
    </w:p>
    <w:p w14:paraId="755AF77E" w14:textId="03451AC9" w:rsidR="0053318A" w:rsidRPr="00815203" w:rsidRDefault="0053318A" w:rsidP="0053318A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815203">
        <w:rPr>
          <w:rFonts w:ascii="Calibri" w:hAnsi="Calibri" w:cs="Calibri"/>
          <w:sz w:val="24"/>
          <w:szCs w:val="24"/>
        </w:rPr>
        <w:t>w § 19 po ust. 5 dodano ust. 6 o treści</w:t>
      </w:r>
      <w:r w:rsidR="009564A4" w:rsidRPr="00815203">
        <w:rPr>
          <w:rFonts w:ascii="Calibri" w:hAnsi="Calibri" w:cs="Calibri"/>
          <w:sz w:val="24"/>
          <w:szCs w:val="24"/>
        </w:rPr>
        <w:t>”</w:t>
      </w:r>
    </w:p>
    <w:p w14:paraId="1A0E9282" w14:textId="12915189" w:rsidR="0053318A" w:rsidRPr="0053318A" w:rsidRDefault="0053318A" w:rsidP="0053318A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 w:rsidRPr="0053318A">
        <w:rPr>
          <w:rFonts w:ascii="Calibri" w:hAnsi="Calibri" w:cs="Calibri"/>
          <w:sz w:val="24"/>
          <w:szCs w:val="24"/>
        </w:rPr>
        <w:t>„6.Jeżeli w trakcie realizacji Projektu wprowadzane są zmiany, które wpływają na łączny koszt (kosztów kwalifikowalnych i niekwalifikowalnych) Projektu, Instytucja Pośrednicząca analizuje kwalifikowalność VAT w odniesieniu do zmienionego łącznego kosztu Projektu w terminie zgodnym z ust. 9. W takim przypadku do przeliczenia łącznego kosztu Projektu na EUR należy zastosować miesięczny obrachunkowy kurs wymiany walut stosowany przez KE, aktualny w dniu zawarcia aneksu do Porozumienia, który sankcjonuje zmianę łącznego kosztu Projektu.”</w:t>
      </w:r>
    </w:p>
    <w:p w14:paraId="57726D84" w14:textId="53A02ED5" w:rsidR="0053318A" w:rsidRPr="006D75D7" w:rsidRDefault="004C6ED4" w:rsidP="006D75D7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4"/>
          <w:szCs w:val="24"/>
        </w:rPr>
      </w:pPr>
      <w:bookmarkStart w:id="10" w:name="_Hlk203030372"/>
      <w:r w:rsidRPr="006717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15203">
        <w:rPr>
          <w:rFonts w:ascii="Calibri" w:hAnsi="Calibri" w:cs="Calibri"/>
          <w:sz w:val="24"/>
          <w:szCs w:val="24"/>
        </w:rPr>
        <w:t xml:space="preserve">§ 25 Załączniki </w:t>
      </w:r>
    </w:p>
    <w:p w14:paraId="120E4A72" w14:textId="74638E48" w:rsidR="00046F9D" w:rsidRPr="00077351" w:rsidRDefault="00077351" w:rsidP="00815203">
      <w:pPr>
        <w:pStyle w:val="Akapitzlist"/>
        <w:spacing w:line="360" w:lineRule="auto"/>
        <w:ind w:left="27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dodano załącznik nr 1</w:t>
      </w:r>
      <w:r w:rsidR="00A16C72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 </w:t>
      </w:r>
      <w:r w:rsidR="00671724">
        <w:rPr>
          <w:rFonts w:ascii="Calibri" w:hAnsi="Calibri" w:cs="Calibri"/>
          <w:sz w:val="24"/>
          <w:szCs w:val="24"/>
        </w:rPr>
        <w:t>„</w:t>
      </w:r>
      <w:r w:rsidRPr="00077351">
        <w:rPr>
          <w:rFonts w:ascii="Calibri" w:hAnsi="Calibri" w:cs="Calibri"/>
          <w:sz w:val="24"/>
          <w:szCs w:val="24"/>
        </w:rPr>
        <w:t>Wyciąg z zapisów podręcznika dla beneficjenta</w:t>
      </w:r>
      <w:r w:rsidR="00671724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>.</w:t>
      </w:r>
      <w:bookmarkEnd w:id="5"/>
      <w:bookmarkEnd w:id="10"/>
    </w:p>
    <w:sectPr w:rsidR="00046F9D" w:rsidRPr="00077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B4AB" w14:textId="77777777" w:rsidR="00530D02" w:rsidRDefault="00530D02" w:rsidP="004C6ED4">
      <w:pPr>
        <w:spacing w:after="0" w:line="240" w:lineRule="auto"/>
      </w:pPr>
      <w:r>
        <w:separator/>
      </w:r>
    </w:p>
  </w:endnote>
  <w:endnote w:type="continuationSeparator" w:id="0">
    <w:p w14:paraId="6DC70159" w14:textId="77777777" w:rsidR="00530D02" w:rsidRDefault="00530D02" w:rsidP="004C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AA6D" w14:textId="77777777" w:rsidR="00530D02" w:rsidRDefault="00530D02" w:rsidP="004C6ED4">
      <w:pPr>
        <w:spacing w:after="0" w:line="240" w:lineRule="auto"/>
      </w:pPr>
      <w:r>
        <w:separator/>
      </w:r>
    </w:p>
  </w:footnote>
  <w:footnote w:type="continuationSeparator" w:id="0">
    <w:p w14:paraId="1605D049" w14:textId="77777777" w:rsidR="00530D02" w:rsidRDefault="00530D02" w:rsidP="004C6ED4">
      <w:pPr>
        <w:spacing w:after="0" w:line="240" w:lineRule="auto"/>
      </w:pPr>
      <w:r>
        <w:continuationSeparator/>
      </w:r>
    </w:p>
  </w:footnote>
  <w:footnote w:id="1">
    <w:p w14:paraId="4751228E" w14:textId="77777777" w:rsidR="004C6ED4" w:rsidRPr="00E70F09" w:rsidRDefault="004C6ED4" w:rsidP="004C6ED4">
      <w:pPr>
        <w:pStyle w:val="Default"/>
        <w:rPr>
          <w:rFonts w:ascii="Calibri" w:hAnsi="Calibri" w:cs="Calibri"/>
        </w:rPr>
      </w:pPr>
      <w:r w:rsidRPr="00C96882">
        <w:rPr>
          <w:rStyle w:val="Odwoanieprzypisudolnego"/>
          <w:rFonts w:ascii="Calibri" w:hAnsi="Calibri" w:cs="Calibri"/>
        </w:rPr>
        <w:footnoteRef/>
      </w:r>
      <w:bookmarkStart w:id="6" w:name="_Hlk122348012"/>
      <w:r w:rsidRPr="00C96882">
        <w:rPr>
          <w:rFonts w:ascii="Calibri" w:hAnsi="Calibri" w:cs="Calibri"/>
        </w:rPr>
        <w:t xml:space="preserve"> </w:t>
      </w:r>
      <w:r w:rsidRPr="00E70F09">
        <w:rPr>
          <w:rFonts w:ascii="Calibri" w:hAnsi="Calibri" w:cs="Calibri"/>
        </w:rPr>
        <w:t>Projekt, który wnosi znaczący wkład w osiąganie celów programu i który podlega szczególnym środkom dotyczącym monitorowania i komunikacji.</w:t>
      </w:r>
    </w:p>
    <w:bookmarkEnd w:id="6"/>
  </w:footnote>
  <w:footnote w:id="2">
    <w:p w14:paraId="0EA7882B" w14:textId="77777777" w:rsidR="004C6ED4" w:rsidRPr="00C96882" w:rsidRDefault="004C6ED4" w:rsidP="004C6ED4">
      <w:pPr>
        <w:pStyle w:val="Tekstprzypisudolnego"/>
        <w:rPr>
          <w:rFonts w:ascii="Calibri" w:hAnsi="Calibri" w:cs="Calibri"/>
          <w:sz w:val="24"/>
          <w:szCs w:val="24"/>
        </w:rPr>
      </w:pPr>
      <w:r w:rsidRPr="00E70F09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E70F0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bookmarkStart w:id="7" w:name="_Hlk179458190"/>
      <w:r>
        <w:rPr>
          <w:rFonts w:ascii="Calibri" w:eastAsia="Calibri" w:hAnsi="Calibri" w:cs="Calibri"/>
          <w:color w:val="000000"/>
          <w:sz w:val="24"/>
          <w:szCs w:val="24"/>
        </w:rPr>
        <w:t>Całkowity koszt projektu obejmuje koszty kwalifikowalne i niekwalifikowalne</w:t>
      </w:r>
      <w:bookmarkEnd w:id="7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C6ED4">
        <w:rPr>
          <w:rFonts w:ascii="Calibri" w:hAnsi="Calibri" w:cs="Calibri"/>
          <w:color w:val="000000"/>
          <w:sz w:val="24"/>
          <w:szCs w:val="24"/>
        </w:rPr>
        <w:t>Koszt Projektu należy przeliczyć według kursu Europejskiego Banku Centralnego z przedostatniego dnia pracy Komisji Europejskiej w miesiącu poprzedzającym miesiąc podpisania Porozumienia o dofinansowanie.</w:t>
      </w:r>
      <w:r w:rsidRPr="004C6ED4" w:rsidDel="001C709B">
        <w:rPr>
          <w:rFonts w:ascii="Calibri" w:hAnsi="Calibri" w:cs="Calibri"/>
          <w:sz w:val="24"/>
          <w:szCs w:val="24"/>
        </w:rPr>
        <w:t xml:space="preserve"> </w:t>
      </w:r>
    </w:p>
  </w:footnote>
  <w:footnote w:id="3">
    <w:p w14:paraId="4C1F8049" w14:textId="77777777" w:rsidR="004C6ED4" w:rsidRPr="00E70F09" w:rsidRDefault="004C6ED4" w:rsidP="004C6ED4">
      <w:pPr>
        <w:pStyle w:val="Default"/>
        <w:rPr>
          <w:rFonts w:ascii="Calibri" w:hAnsi="Calibri" w:cs="Calibri"/>
        </w:rPr>
      </w:pPr>
      <w:r w:rsidRPr="00E70F09">
        <w:rPr>
          <w:rFonts w:ascii="Calibri" w:hAnsi="Calibri" w:cs="Calibri"/>
          <w:vertAlign w:val="superscript"/>
        </w:rPr>
        <w:footnoteRef/>
      </w:r>
      <w:r w:rsidRPr="00E70F09">
        <w:rPr>
          <w:rFonts w:ascii="Calibri" w:hAnsi="Calibri" w:cs="Calibri"/>
        </w:rPr>
        <w:t xml:space="preserve"> </w:t>
      </w:r>
      <w:r w:rsidRPr="009C1303">
        <w:rPr>
          <w:rFonts w:ascii="Calibri" w:hAnsi="Calibri" w:cs="Calibri"/>
        </w:rPr>
        <w:t>Całkowity koszt projektu obejmuje koszty kwalifikowalne i niekwalifikowalne</w:t>
      </w:r>
      <w:r>
        <w:rPr>
          <w:rFonts w:ascii="Calibri" w:hAnsi="Calibri" w:cs="Calibri"/>
        </w:rPr>
        <w:t xml:space="preserve">. </w:t>
      </w:r>
      <w:r w:rsidRPr="004C6ED4">
        <w:rPr>
          <w:rFonts w:ascii="Calibri" w:hAnsi="Calibri" w:cs="Calibri"/>
        </w:rPr>
        <w:t>Koszt Projektu należy przeliczyć według kursu Europejskiego Banku Centralnego z przedostatniego dnia pracy Komisji Europejskiej w miesiącu poprzedzającym miesiąc podpisania Porozumienia o dofinansowanie.</w:t>
      </w:r>
      <w:r>
        <w:rPr>
          <w:rFonts w:ascii="Calibri" w:hAnsi="Calibri" w:cs="Calibri"/>
        </w:rPr>
        <w:t xml:space="preserve"> </w:t>
      </w:r>
    </w:p>
  </w:footnote>
  <w:footnote w:id="4">
    <w:p w14:paraId="6F893FDE" w14:textId="77777777" w:rsidR="004C6ED4" w:rsidRPr="00E70F09" w:rsidRDefault="004C6ED4" w:rsidP="004C6ED4">
      <w:pPr>
        <w:pStyle w:val="Default"/>
        <w:rPr>
          <w:rFonts w:ascii="Calibri" w:hAnsi="Calibri" w:cs="Calibri"/>
          <w:sz w:val="18"/>
          <w:szCs w:val="18"/>
        </w:rPr>
      </w:pPr>
      <w:r w:rsidRPr="00E70F09">
        <w:rPr>
          <w:rFonts w:ascii="Calibri" w:hAnsi="Calibri" w:cs="Calibri"/>
          <w:vertAlign w:val="superscript"/>
        </w:rPr>
        <w:footnoteRef/>
      </w:r>
      <w:r w:rsidRPr="00E70F09">
        <w:rPr>
          <w:rFonts w:ascii="Calibri" w:hAnsi="Calibri" w:cs="Calibri"/>
        </w:rPr>
        <w:t xml:space="preserve"> Wydarzenia otwierające/kończące realizację projektu lub związane z rozpoczęciem/realizacją/zakończeniem ważnego etapu projektu.</w:t>
      </w:r>
    </w:p>
  </w:footnote>
  <w:footnote w:id="5">
    <w:p w14:paraId="7F640F32" w14:textId="77777777" w:rsidR="004C6ED4" w:rsidRPr="004C4059" w:rsidRDefault="004C6ED4" w:rsidP="004C6ED4">
      <w:pPr>
        <w:pStyle w:val="Default"/>
      </w:pPr>
      <w:r w:rsidRPr="00E70F09">
        <w:rPr>
          <w:rFonts w:ascii="Calibri" w:hAnsi="Calibri" w:cs="Calibri"/>
          <w:vertAlign w:val="superscript"/>
        </w:rPr>
        <w:footnoteRef/>
      </w:r>
      <w:r w:rsidRPr="00E70F09">
        <w:rPr>
          <w:rFonts w:ascii="Calibri" w:hAnsi="Calibri" w:cs="Calibri"/>
          <w:vertAlign w:val="superscript"/>
        </w:rPr>
        <w:t xml:space="preserve"> </w:t>
      </w:r>
      <w:r w:rsidRPr="00E70F09">
        <w:rPr>
          <w:rFonts w:ascii="Calibri" w:hAnsi="Calibri" w:cs="Calibri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5E5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14E499B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8571"/>
        </w:tabs>
        <w:ind w:left="8583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05D90EA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8571"/>
        </w:tabs>
        <w:ind w:left="8583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8571"/>
        </w:tabs>
        <w:ind w:left="8583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0F23633D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" w15:restartNumberingAfterBreak="0">
    <w:nsid w:val="13E0379A"/>
    <w:multiLevelType w:val="hybridMultilevel"/>
    <w:tmpl w:val="99B895B6"/>
    <w:lvl w:ilvl="0" w:tplc="74962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AC1"/>
    <w:multiLevelType w:val="hybridMultilevel"/>
    <w:tmpl w:val="CF72CFF6"/>
    <w:lvl w:ilvl="0" w:tplc="256A966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D2AFB"/>
    <w:multiLevelType w:val="hybridMultilevel"/>
    <w:tmpl w:val="3FB6A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63F98"/>
    <w:multiLevelType w:val="multilevel"/>
    <w:tmpl w:val="139483B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" w15:restartNumberingAfterBreak="0">
    <w:nsid w:val="1FF52A3C"/>
    <w:multiLevelType w:val="multilevel"/>
    <w:tmpl w:val="A752A3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21E328D4"/>
    <w:multiLevelType w:val="multilevel"/>
    <w:tmpl w:val="C08A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2358284F"/>
    <w:multiLevelType w:val="hybridMultilevel"/>
    <w:tmpl w:val="5C56AB70"/>
    <w:lvl w:ilvl="0" w:tplc="5C0C9F7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3140"/>
    <w:multiLevelType w:val="hybridMultilevel"/>
    <w:tmpl w:val="E644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D570F"/>
    <w:multiLevelType w:val="hybridMultilevel"/>
    <w:tmpl w:val="77C06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51405"/>
    <w:multiLevelType w:val="hybridMultilevel"/>
    <w:tmpl w:val="A29A5674"/>
    <w:lvl w:ilvl="0" w:tplc="03D4529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C13838"/>
    <w:multiLevelType w:val="hybridMultilevel"/>
    <w:tmpl w:val="64F45000"/>
    <w:lvl w:ilvl="0" w:tplc="FFFFFFFF">
      <w:start w:val="1"/>
      <w:numFmt w:val="lowerLetter"/>
      <w:lvlText w:val="%1)"/>
      <w:lvlJc w:val="left"/>
      <w:pPr>
        <w:tabs>
          <w:tab w:val="num" w:pos="2432"/>
        </w:tabs>
        <w:ind w:left="243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3152"/>
        </w:tabs>
        <w:ind w:left="315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872"/>
        </w:tabs>
        <w:ind w:left="387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592"/>
        </w:tabs>
        <w:ind w:left="459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312"/>
        </w:tabs>
        <w:ind w:left="531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032"/>
        </w:tabs>
        <w:ind w:left="6032" w:hanging="180"/>
      </w:pPr>
    </w:lvl>
    <w:lvl w:ilvl="6" w:tplc="FFFFFFFF">
      <w:start w:val="1"/>
      <w:numFmt w:val="decimal"/>
      <w:lvlText w:val="%7."/>
      <w:lvlJc w:val="left"/>
      <w:pPr>
        <w:tabs>
          <w:tab w:val="num" w:pos="6752"/>
        </w:tabs>
        <w:ind w:left="675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472"/>
        </w:tabs>
        <w:ind w:left="747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192"/>
        </w:tabs>
        <w:ind w:left="8192" w:hanging="180"/>
      </w:pPr>
    </w:lvl>
  </w:abstractNum>
  <w:abstractNum w:abstractNumId="16" w15:restartNumberingAfterBreak="0">
    <w:nsid w:val="3D0B1B86"/>
    <w:multiLevelType w:val="hybridMultilevel"/>
    <w:tmpl w:val="792AE250"/>
    <w:lvl w:ilvl="0" w:tplc="A9664C1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EB6170F"/>
    <w:multiLevelType w:val="hybridMultilevel"/>
    <w:tmpl w:val="A2DA0A3A"/>
    <w:name w:val="WW8Num47222"/>
    <w:lvl w:ilvl="0" w:tplc="B9381E60">
      <w:start w:val="1"/>
      <w:numFmt w:val="lowerLetter"/>
      <w:lvlText w:val="%1)"/>
      <w:lvlJc w:val="left"/>
      <w:pPr>
        <w:ind w:left="149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C670F"/>
    <w:multiLevelType w:val="hybridMultilevel"/>
    <w:tmpl w:val="D8D8530E"/>
    <w:lvl w:ilvl="0" w:tplc="0415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41180793"/>
    <w:multiLevelType w:val="hybridMultilevel"/>
    <w:tmpl w:val="DB7CAA42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63D8"/>
    <w:multiLevelType w:val="hybridMultilevel"/>
    <w:tmpl w:val="CFC2E39C"/>
    <w:lvl w:ilvl="0" w:tplc="27E6EE1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21DE3"/>
    <w:multiLevelType w:val="multilevel"/>
    <w:tmpl w:val="B9408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2" w15:restartNumberingAfterBreak="0">
    <w:nsid w:val="45D3031F"/>
    <w:multiLevelType w:val="hybridMultilevel"/>
    <w:tmpl w:val="B492F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67A7C"/>
    <w:multiLevelType w:val="hybridMultilevel"/>
    <w:tmpl w:val="7F041D80"/>
    <w:lvl w:ilvl="0" w:tplc="0415000B">
      <w:start w:val="1"/>
      <w:numFmt w:val="bullet"/>
      <w:lvlText w:val=""/>
      <w:lvlJc w:val="left"/>
      <w:pPr>
        <w:ind w:left="13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4" w15:restartNumberingAfterBreak="0">
    <w:nsid w:val="48AB7A8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8571"/>
        </w:tabs>
        <w:ind w:left="8583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5" w15:restartNumberingAfterBreak="0">
    <w:nsid w:val="49087EBE"/>
    <w:multiLevelType w:val="hybridMultilevel"/>
    <w:tmpl w:val="1FD224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07C6822"/>
    <w:multiLevelType w:val="hybridMultilevel"/>
    <w:tmpl w:val="A6709B30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FFFFFFFF" w:tentative="1">
      <w:start w:val="1"/>
      <w:numFmt w:val="lowerLetter"/>
      <w:lvlText w:val="%2."/>
      <w:lvlJc w:val="left"/>
      <w:pPr>
        <w:ind w:left="1019" w:hanging="360"/>
      </w:pPr>
    </w:lvl>
    <w:lvl w:ilvl="2" w:tplc="FFFFFFFF" w:tentative="1">
      <w:start w:val="1"/>
      <w:numFmt w:val="lowerRoman"/>
      <w:lvlText w:val="%3."/>
      <w:lvlJc w:val="right"/>
      <w:pPr>
        <w:ind w:left="1739" w:hanging="180"/>
      </w:pPr>
    </w:lvl>
    <w:lvl w:ilvl="3" w:tplc="FFFFFFFF" w:tentative="1">
      <w:start w:val="1"/>
      <w:numFmt w:val="decimal"/>
      <w:lvlText w:val="%4."/>
      <w:lvlJc w:val="left"/>
      <w:pPr>
        <w:ind w:left="2459" w:hanging="360"/>
      </w:pPr>
    </w:lvl>
    <w:lvl w:ilvl="4" w:tplc="FFFFFFFF" w:tentative="1">
      <w:start w:val="1"/>
      <w:numFmt w:val="lowerLetter"/>
      <w:lvlText w:val="%5."/>
      <w:lvlJc w:val="left"/>
      <w:pPr>
        <w:ind w:left="3179" w:hanging="360"/>
      </w:pPr>
    </w:lvl>
    <w:lvl w:ilvl="5" w:tplc="FFFFFFFF" w:tentative="1">
      <w:start w:val="1"/>
      <w:numFmt w:val="lowerRoman"/>
      <w:lvlText w:val="%6."/>
      <w:lvlJc w:val="right"/>
      <w:pPr>
        <w:ind w:left="3899" w:hanging="180"/>
      </w:pPr>
    </w:lvl>
    <w:lvl w:ilvl="6" w:tplc="FFFFFFFF" w:tentative="1">
      <w:start w:val="1"/>
      <w:numFmt w:val="decimal"/>
      <w:lvlText w:val="%7."/>
      <w:lvlJc w:val="left"/>
      <w:pPr>
        <w:ind w:left="4619" w:hanging="360"/>
      </w:pPr>
    </w:lvl>
    <w:lvl w:ilvl="7" w:tplc="FFFFFFFF" w:tentative="1">
      <w:start w:val="1"/>
      <w:numFmt w:val="lowerLetter"/>
      <w:lvlText w:val="%8."/>
      <w:lvlJc w:val="left"/>
      <w:pPr>
        <w:ind w:left="5339" w:hanging="360"/>
      </w:pPr>
    </w:lvl>
    <w:lvl w:ilvl="8" w:tplc="FFFFFFFF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7" w15:restartNumberingAfterBreak="0">
    <w:nsid w:val="534721D5"/>
    <w:multiLevelType w:val="hybridMultilevel"/>
    <w:tmpl w:val="FAB826D8"/>
    <w:lvl w:ilvl="0" w:tplc="A4968B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2432"/>
        </w:tabs>
        <w:ind w:left="2432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3152"/>
        </w:tabs>
        <w:ind w:left="31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72"/>
        </w:tabs>
        <w:ind w:left="38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92"/>
        </w:tabs>
        <w:ind w:left="45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12"/>
        </w:tabs>
        <w:ind w:left="53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32"/>
        </w:tabs>
        <w:ind w:left="60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6752"/>
        </w:tabs>
        <w:ind w:left="67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472"/>
        </w:tabs>
        <w:ind w:left="74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92"/>
        </w:tabs>
        <w:ind w:left="8192" w:hanging="180"/>
      </w:pPr>
    </w:lvl>
  </w:abstractNum>
  <w:abstractNum w:abstractNumId="29" w15:restartNumberingAfterBreak="0">
    <w:nsid w:val="59D0409F"/>
    <w:multiLevelType w:val="hybridMultilevel"/>
    <w:tmpl w:val="3E2EE466"/>
    <w:lvl w:ilvl="0" w:tplc="B7A4BDFC">
      <w:start w:val="1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5B731F2C"/>
    <w:multiLevelType w:val="hybridMultilevel"/>
    <w:tmpl w:val="3F3AEFCE"/>
    <w:lvl w:ilvl="0" w:tplc="8194AC5E">
      <w:start w:val="4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BFB58D4"/>
    <w:multiLevelType w:val="hybridMultilevel"/>
    <w:tmpl w:val="C2CA5708"/>
    <w:lvl w:ilvl="0" w:tplc="291C6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C6D33"/>
    <w:multiLevelType w:val="hybridMultilevel"/>
    <w:tmpl w:val="A29A5674"/>
    <w:lvl w:ilvl="0" w:tplc="FFFFFFFF">
      <w:start w:val="1"/>
      <w:numFmt w:val="lowerLetter"/>
      <w:lvlText w:val="%1)"/>
      <w:lvlJc w:val="left"/>
      <w:pPr>
        <w:ind w:left="1637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791F5B48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4" w15:restartNumberingAfterBreak="0">
    <w:nsid w:val="7EEE3562"/>
    <w:multiLevelType w:val="multilevel"/>
    <w:tmpl w:val="139483B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1172524330">
    <w:abstractNumId w:val="22"/>
  </w:num>
  <w:num w:numId="2" w16cid:durableId="70853882">
    <w:abstractNumId w:val="3"/>
  </w:num>
  <w:num w:numId="3" w16cid:durableId="1124933144">
    <w:abstractNumId w:val="14"/>
  </w:num>
  <w:num w:numId="4" w16cid:durableId="1326546642">
    <w:abstractNumId w:val="28"/>
  </w:num>
  <w:num w:numId="5" w16cid:durableId="2116248970">
    <w:abstractNumId w:val="10"/>
  </w:num>
  <w:num w:numId="6" w16cid:durableId="1506020519">
    <w:abstractNumId w:val="34"/>
  </w:num>
  <w:num w:numId="7" w16cid:durableId="460197941">
    <w:abstractNumId w:val="33"/>
  </w:num>
  <w:num w:numId="8" w16cid:durableId="472068714">
    <w:abstractNumId w:val="26"/>
  </w:num>
  <w:num w:numId="9" w16cid:durableId="1992904861">
    <w:abstractNumId w:val="9"/>
  </w:num>
  <w:num w:numId="10" w16cid:durableId="214316019">
    <w:abstractNumId w:val="0"/>
  </w:num>
  <w:num w:numId="11" w16cid:durableId="817116254">
    <w:abstractNumId w:val="24"/>
  </w:num>
  <w:num w:numId="12" w16cid:durableId="847717217">
    <w:abstractNumId w:val="2"/>
  </w:num>
  <w:num w:numId="13" w16cid:durableId="1247959497">
    <w:abstractNumId w:val="17"/>
  </w:num>
  <w:num w:numId="14" w16cid:durableId="123550226">
    <w:abstractNumId w:val="4"/>
  </w:num>
  <w:num w:numId="15" w16cid:durableId="963078024">
    <w:abstractNumId w:val="21"/>
  </w:num>
  <w:num w:numId="16" w16cid:durableId="2010061683">
    <w:abstractNumId w:val="1"/>
  </w:num>
  <w:num w:numId="17" w16cid:durableId="759830843">
    <w:abstractNumId w:val="7"/>
  </w:num>
  <w:num w:numId="18" w16cid:durableId="1758674009">
    <w:abstractNumId w:val="8"/>
  </w:num>
  <w:num w:numId="19" w16cid:durableId="2137529177">
    <w:abstractNumId w:val="15"/>
  </w:num>
  <w:num w:numId="20" w16cid:durableId="197087384">
    <w:abstractNumId w:val="32"/>
  </w:num>
  <w:num w:numId="21" w16cid:durableId="1821120113">
    <w:abstractNumId w:val="31"/>
  </w:num>
  <w:num w:numId="22" w16cid:durableId="725496242">
    <w:abstractNumId w:val="5"/>
  </w:num>
  <w:num w:numId="23" w16cid:durableId="2087679816">
    <w:abstractNumId w:val="16"/>
  </w:num>
  <w:num w:numId="24" w16cid:durableId="1857428559">
    <w:abstractNumId w:val="11"/>
  </w:num>
  <w:num w:numId="25" w16cid:durableId="1847018343">
    <w:abstractNumId w:val="6"/>
  </w:num>
  <w:num w:numId="26" w16cid:durableId="1834642798">
    <w:abstractNumId w:val="27"/>
  </w:num>
  <w:num w:numId="27" w16cid:durableId="1644653667">
    <w:abstractNumId w:val="30"/>
  </w:num>
  <w:num w:numId="28" w16cid:durableId="512181915">
    <w:abstractNumId w:val="29"/>
  </w:num>
  <w:num w:numId="29" w16cid:durableId="2050832108">
    <w:abstractNumId w:val="23"/>
  </w:num>
  <w:num w:numId="30" w16cid:durableId="1851412149">
    <w:abstractNumId w:val="18"/>
  </w:num>
  <w:num w:numId="31" w16cid:durableId="128210349">
    <w:abstractNumId w:val="20"/>
  </w:num>
  <w:num w:numId="32" w16cid:durableId="555701998">
    <w:abstractNumId w:val="19"/>
  </w:num>
  <w:num w:numId="33" w16cid:durableId="147980293">
    <w:abstractNumId w:val="12"/>
  </w:num>
  <w:num w:numId="34" w16cid:durableId="1353612230">
    <w:abstractNumId w:val="13"/>
  </w:num>
  <w:num w:numId="35" w16cid:durableId="13544984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BF"/>
    <w:rsid w:val="00046F9D"/>
    <w:rsid w:val="00077351"/>
    <w:rsid w:val="000D0E4A"/>
    <w:rsid w:val="001573CD"/>
    <w:rsid w:val="00185C35"/>
    <w:rsid w:val="001C6CAB"/>
    <w:rsid w:val="00203413"/>
    <w:rsid w:val="002345F0"/>
    <w:rsid w:val="0025288D"/>
    <w:rsid w:val="00272282"/>
    <w:rsid w:val="002B703B"/>
    <w:rsid w:val="00324EF7"/>
    <w:rsid w:val="00330CA2"/>
    <w:rsid w:val="003633B5"/>
    <w:rsid w:val="003C6D1F"/>
    <w:rsid w:val="004930A3"/>
    <w:rsid w:val="004A3481"/>
    <w:rsid w:val="004C6ED4"/>
    <w:rsid w:val="00530D02"/>
    <w:rsid w:val="0053318A"/>
    <w:rsid w:val="00554C5D"/>
    <w:rsid w:val="00560737"/>
    <w:rsid w:val="00647BC5"/>
    <w:rsid w:val="006555FA"/>
    <w:rsid w:val="00671724"/>
    <w:rsid w:val="006D75D7"/>
    <w:rsid w:val="00795E75"/>
    <w:rsid w:val="007F4E6D"/>
    <w:rsid w:val="008127BF"/>
    <w:rsid w:val="00815203"/>
    <w:rsid w:val="008207AD"/>
    <w:rsid w:val="00884979"/>
    <w:rsid w:val="009564A4"/>
    <w:rsid w:val="00957FF9"/>
    <w:rsid w:val="009975E9"/>
    <w:rsid w:val="009E512E"/>
    <w:rsid w:val="00A16C72"/>
    <w:rsid w:val="00A7108E"/>
    <w:rsid w:val="00AE76C9"/>
    <w:rsid w:val="00B12776"/>
    <w:rsid w:val="00B41A57"/>
    <w:rsid w:val="00B615FA"/>
    <w:rsid w:val="00BB38F3"/>
    <w:rsid w:val="00C126E8"/>
    <w:rsid w:val="00C24313"/>
    <w:rsid w:val="00C6033F"/>
    <w:rsid w:val="00C90C12"/>
    <w:rsid w:val="00D04A95"/>
    <w:rsid w:val="00D248B5"/>
    <w:rsid w:val="00D96438"/>
    <w:rsid w:val="00E01160"/>
    <w:rsid w:val="00E03827"/>
    <w:rsid w:val="00E26548"/>
    <w:rsid w:val="00E53437"/>
    <w:rsid w:val="00F3580B"/>
    <w:rsid w:val="00F57D89"/>
    <w:rsid w:val="00F67E3E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1A1E"/>
  <w15:chartTrackingRefBased/>
  <w15:docId w15:val="{FFBCD719-A568-4686-A68D-C84663DD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2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2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2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2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2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2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2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2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2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2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2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27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27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2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2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2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2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2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2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2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2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27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27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2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27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27BF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4C6ED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rsid w:val="004C6E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C6ED4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4C6ED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4C6ED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skacyfrowa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-poland@ec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media/111705/KTW_marki_FE_2021-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2319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Błażewicz</dc:creator>
  <cp:keywords/>
  <dc:description/>
  <cp:lastModifiedBy>Małgorzata Błażewicz</cp:lastModifiedBy>
  <cp:revision>33</cp:revision>
  <dcterms:created xsi:type="dcterms:W3CDTF">2025-07-10T05:33:00Z</dcterms:created>
  <dcterms:modified xsi:type="dcterms:W3CDTF">2025-09-29T11:21:00Z</dcterms:modified>
</cp:coreProperties>
</file>