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58CA4F33" w:rsidR="0017545B" w:rsidRPr="000E6D14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594186">
        <w:rPr>
          <w:rFonts w:ascii="Times New Roman" w:eastAsia="Times New Roman" w:hAnsi="Times New Roman" w:cs="Times New Roman"/>
          <w:i/>
          <w:iCs/>
          <w:noProof/>
          <w:color w:val="FF0000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94186">
        <w:rPr>
          <w:rFonts w:ascii="Times New Roman" w:eastAsia="Times New Roman" w:hAnsi="Times New Roman" w:cs="Times New Roman"/>
          <w:b/>
          <w:iCs/>
          <w:color w:val="FF0000"/>
          <w:kern w:val="0"/>
          <w:sz w:val="20"/>
          <w:szCs w:val="23"/>
          <w:lang w:bidi="en-US"/>
          <w14:ligatures w14:val="none"/>
        </w:rPr>
        <w:t xml:space="preserve"> 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5A2BF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2</w:t>
      </w:r>
      <w:r w:rsidR="00EE2CF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A524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</w:t>
      </w:r>
      <w:r w:rsidR="00EE2CF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a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3150537E" w:rsidR="0017545B" w:rsidRPr="000E6D14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1</w:t>
      </w:r>
      <w:r w:rsidR="00B823B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0</w:t>
      </w:r>
      <w:r w:rsidR="000E6D14"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538A57BA" w14:textId="77777777" w:rsidR="005F7A4F" w:rsidRPr="000E6D14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594186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bidi="en-US"/>
          <w14:ligatures w14:val="none"/>
        </w:rPr>
      </w:pPr>
    </w:p>
    <w:p w14:paraId="5835D6FF" w14:textId="77777777" w:rsidR="0017545B" w:rsidRPr="000E6D14" w:rsidRDefault="0017545B" w:rsidP="0017545B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OPINIA SANITARNA</w:t>
      </w:r>
    </w:p>
    <w:p w14:paraId="2485D4D9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2AA3D5D6" w14:textId="77777777" w:rsidR="005F7A4F" w:rsidRPr="00594186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57F296A9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Na podstawie art. 3 pkt 2 lit a, art. 10 ust. 1 pkt 3 i ust. 2 ustawy z dnia 14 marca 1985 r. o Państwowej Inspekcji Sanitarnej (t.j. Dz. U. z 2024 r., poz. 416), art. 78 ust. 1 pkt 2, art. 64 ust. 1 pkt 2 oraz ust. 3 i 4 ustawy z dnia 3 października 2008 r. o udostępnianiu informacji o środowisku i jego ochronie, udziale społeczeństwa w ochronie środowiska oraz o ocenach oddziaływania na </w:t>
      </w:r>
      <w:bookmarkStart w:id="0" w:name="_Hlk172014411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środowisko </w:t>
      </w:r>
      <w:bookmarkStart w:id="1" w:name="_Hlk172014454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(t. j. Dz. U. z 2024 r., poz. 1112)</w:t>
      </w:r>
    </w:p>
    <w:bookmarkEnd w:id="0"/>
    <w:bookmarkEnd w:id="1"/>
    <w:p w14:paraId="108AA47E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1D53A1C" w14:textId="4B8F11E4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bookmarkStart w:id="2" w:name="_Hlk172010211"/>
      <w:r w:rsidRPr="00BA52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Państwowy Powiatowy Inspektor Sanitarny w Dzierżoniowie </w:t>
      </w:r>
      <w:bookmarkEnd w:id="2"/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po zapoznaniu się z pismem Urzędu Gminy Łagiewniki z dnia 1</w:t>
      </w:r>
      <w:r w:rsidR="007947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B823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 (data wpływu 1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r.) znak: RiOŚ.6220.</w:t>
      </w:r>
      <w:r w:rsidR="001C383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 środowisko przedsięwzięcia pn. „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Budowa kanalizacji sanitarnej w m. </w:t>
      </w:r>
      <w:r w:rsidR="00FA2B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Sienica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wraz z pompownią i kolektorem tłocznym do m. </w:t>
      </w:r>
      <w:r w:rsidR="00FA2B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Łagiewniki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”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5C2310D2" w14:textId="77777777" w:rsidR="00BA5243" w:rsidRPr="00BA5243" w:rsidRDefault="00BA5243" w:rsidP="00BA5243">
      <w:pPr>
        <w:suppressAutoHyphens/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0C4E9A45" w14:textId="23CE7980" w:rsidR="00EE4213" w:rsidRDefault="00BA5243" w:rsidP="00BA5243">
      <w:pPr>
        <w:suppressAutoHyphens/>
        <w:spacing w:after="0" w:line="240" w:lineRule="auto"/>
        <w:ind w:left="2120" w:hanging="212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Adres obiektu: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dział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ki</w:t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nr </w:t>
      </w:r>
      <w:r w:rsidR="00EE4213" w:rsidRP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437/5, 440/2, 922/4, 440/1 ob</w:t>
      </w:r>
      <w:r w:rsid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ręb</w:t>
      </w:r>
      <w:r w:rsidR="00EE4213" w:rsidRP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Łagiewniki, </w:t>
      </w:r>
    </w:p>
    <w:p w14:paraId="4CF9B5F1" w14:textId="651DC131" w:rsidR="00A2189F" w:rsidRDefault="00EE4213" w:rsidP="00252CB8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</w:t>
      </w:r>
      <w:r w:rsidRP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iałki </w:t>
      </w:r>
      <w:r w:rsidRP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nr 172/1, 236, 79/1, 93, 349, 338/3, 338/4, 337, 330, 329, 320, 309, 305/2, 297, 172/2, 368, 404/42, 404/107, 305/1, 222 obr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ęb</w:t>
      </w:r>
      <w:r w:rsidRPr="00EE421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Sienice</w:t>
      </w:r>
      <w:r w:rsidR="00252CB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</w:t>
      </w:r>
    </w:p>
    <w:p w14:paraId="48494186" w14:textId="22C5C0B5" w:rsidR="00BA5243" w:rsidRPr="00BA5243" w:rsidRDefault="00C62B62" w:rsidP="00A2189F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gm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ina </w:t>
      </w: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Łagiewniki, </w:t>
      </w:r>
    </w:p>
    <w:p w14:paraId="3D638779" w14:textId="77777777" w:rsidR="00BA5243" w:rsidRPr="00BA5243" w:rsidRDefault="00BA5243" w:rsidP="00BA5243">
      <w:pPr>
        <w:suppressAutoHyphens/>
        <w:spacing w:after="0" w:line="240" w:lineRule="auto"/>
        <w:ind w:left="1701" w:hanging="992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2E5105F9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Inwestor: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bookmarkStart w:id="3" w:name="_Hlk171939654"/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  <w:t>Gmina Łagiewniki</w:t>
      </w:r>
    </w:p>
    <w:p w14:paraId="755EF333" w14:textId="77777777" w:rsidR="00BA5243" w:rsidRP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ul. Jedności Narodowej 21</w:t>
      </w:r>
    </w:p>
    <w:p w14:paraId="56A4F23F" w14:textId="77777777" w:rsid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58-210 Łagiewniki</w:t>
      </w:r>
    </w:p>
    <w:p w14:paraId="7F50C0C3" w14:textId="77777777" w:rsidR="005F7A4F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p w14:paraId="11B1AF63" w14:textId="77777777" w:rsidR="005F7A4F" w:rsidRPr="00BA5243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bookmarkEnd w:id="3"/>
    <w:p w14:paraId="20D36DEE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12"/>
          <w:szCs w:val="24"/>
          <w:lang w:eastAsia="ar-SA"/>
          <w14:ligatures w14:val="none"/>
        </w:rPr>
      </w:pPr>
    </w:p>
    <w:p w14:paraId="6A2D03AC" w14:textId="77777777" w:rsidR="00BA5243" w:rsidRPr="00BA5243" w:rsidRDefault="00BA5243" w:rsidP="00BA5243">
      <w:pPr>
        <w:widowControl w:val="0"/>
        <w:suppressAutoHyphens/>
        <w:autoSpaceDE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  <w:t>wyraża opinię, że</w:t>
      </w:r>
    </w:p>
    <w:p w14:paraId="3D16275A" w14:textId="77777777" w:rsidR="00850095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nie ma potrzeby przeprowadzenia oceny oddziaływania na środowisko </w:t>
      </w:r>
    </w:p>
    <w:p w14:paraId="5BF2D0DF" w14:textId="776371EA" w:rsidR="00BA5243" w:rsidRP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przedsięwzięcia polegającego na:</w:t>
      </w:r>
    </w:p>
    <w:p w14:paraId="2B205D7D" w14:textId="216CD875" w:rsidR="009F71CF" w:rsidRDefault="00BA5243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budowie </w:t>
      </w:r>
      <w:r w:rsidR="009F71CF"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kanalizacji sanitarnej w m</w:t>
      </w:r>
      <w:r w:rsid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  <w:r w:rsidR="00252C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Sienica</w:t>
      </w:r>
    </w:p>
    <w:p w14:paraId="0276D0C3" w14:textId="422CC4F2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wraz z pompownią i kolektorem tłocznym do m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  <w:r w:rsidR="00252C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Łagiewniki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871F73B" w14:textId="77777777" w:rsidR="00691E7B" w:rsidRPr="00691E7B" w:rsidRDefault="00691E7B" w:rsidP="00691E7B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91E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działki nr 437/5, 440/2, 922/4, 440/1 obręb Łagiewniki, </w:t>
      </w:r>
    </w:p>
    <w:p w14:paraId="23FB2130" w14:textId="77777777" w:rsidR="00691E7B" w:rsidRDefault="00691E7B" w:rsidP="00691E7B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91E7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działki nr 172/1, 236, 79/1, 93, 349, 338/3, 338/4, 337, 330, 329, 320, 309, 305/2, 297, 172/2, 368, 404/42, 404/107, 305/1, 222 obręb Sienice </w:t>
      </w:r>
    </w:p>
    <w:p w14:paraId="095D3F4B" w14:textId="6039F9D6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w 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gmin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ie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Łagiewniki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951D6F1" w14:textId="77777777" w:rsid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B5DC2E3" w14:textId="77777777" w:rsidR="005F7A4F" w:rsidRPr="00BA5243" w:rsidRDefault="005F7A4F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3AFCC52" w14:textId="77777777" w:rsidR="00BA5243" w:rsidRPr="00BA5243" w:rsidRDefault="00BA5243" w:rsidP="00BA524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7A3E276C" w14:textId="77777777" w:rsidR="00BA5243" w:rsidRPr="00BA5243" w:rsidRDefault="00BA5243" w:rsidP="00BA5243">
      <w:pPr>
        <w:keepNext/>
        <w:widowControl w:val="0"/>
        <w:suppressAutoHyphens/>
        <w:spacing w:after="0" w:line="240" w:lineRule="auto"/>
        <w:ind w:firstLine="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  <w:t>Uzasadnienie:</w:t>
      </w:r>
    </w:p>
    <w:p w14:paraId="3D7B5EEF" w14:textId="206AC662" w:rsidR="00BA5243" w:rsidRPr="00BA5243" w:rsidRDefault="00BA5243" w:rsidP="003F210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Urząd Gminy Łagiewniki wystąpił z wnioskiem z dnia 1</w:t>
      </w:r>
      <w:r w:rsidR="009F71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 (data wpływu 1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r.) znak: RiOŚ.6220.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 środowisko przedsięwzięcia pn. „ 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Budowa kanalizacji sanitarnej w m. 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Sienica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wraz z pompownią i kolektorem tłocznym do m. 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Łagiewniki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” 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na terenie działek nr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F64652" w:rsidRP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437/5, 440/2, 922/4, 440/1 obręb Łagiewniki</w:t>
      </w:r>
      <w:r w:rsidR="003F21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o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raz </w:t>
      </w:r>
      <w:r w:rsidR="00F64652" w:rsidRP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dział</w:t>
      </w:r>
      <w:r w:rsidR="003F21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ek </w:t>
      </w:r>
      <w:r w:rsidR="00F64652" w:rsidRP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nr 172/1, 236, 79/1, 93, 349, 338/3, 338/4, 337, 330, 329, 320, 309, 305/2, 297, 172/2, 368, 404/42, 404/107, 305/1, 222 obręb Sienice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gminie Łagiewniki.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F86F020" w14:textId="288F148B" w:rsidR="00BA5243" w:rsidRPr="00BA5243" w:rsidRDefault="00BA5243" w:rsidP="00FC184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Ze względu na to, że przedmiotowe przedsięwzięcie jest inwestycją, co do której istnieje prawdopodobieństwo wywierania przez nią znacznego wpływu na środowisko naturalne, a więc inwestycją, co do której istnieje konieczność uzyskania decyzji o środowiskowych uwarunkowaniach, o których mowa w art. 64 ust. 1 pkt. 2 ustawy z dnia 3 października 2008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r. o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udostępnianiu informacji o środowisku i jego ochronie, udziale społeczeństwa w ochronie środowiska oraz o ocenach oddziaływania na środowisko (t. j. Dz. U. z 2024 r., poz. 1112), poddana została ocenie, zgodnie z rodzajem jej oddziaływania i w nawiązaniu do jej specyfikacji, wielkości oraz lokalizacji. Inwestycję na podstawie § 3 ust. 1 pkt 81 rozporządzenia Rady Ministrów z dnia 10 września 2019 r. w sprawie przedsięwzięć mogących znacząco oddziaływać na środowisko (Dz. U. z 2019 r., poz. 1839 z późn. zm.), kwalifikuje się jako przedsięwzięcie mogące potencjalnie znacząco oddziaływać na środowisko.</w:t>
      </w:r>
    </w:p>
    <w:p w14:paraId="40D9F9A0" w14:textId="77777777" w:rsidR="001B6845" w:rsidRPr="001B6845" w:rsidRDefault="00BA5243" w:rsidP="001B684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ab/>
      </w:r>
      <w:r w:rsidR="001B6845"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Planowane przedsięwzięcie polegać będzie na budowie kanalizacji grawitacyjno-tłocznej</w:t>
      </w:r>
    </w:p>
    <w:p w14:paraId="66B6B5D8" w14:textId="34DFDEEB" w:rsidR="00BA5243" w:rsidRPr="00FF0893" w:rsidRDefault="001B6845" w:rsidP="001B684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raz z budową przepompowni ścieków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miejscowości</w:t>
      </w:r>
      <w:r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Sienice wraz z przepompownią ścieków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kolektorem tłocznym do 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iejscowości</w:t>
      </w:r>
      <w:r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Łagiewniki</w:t>
      </w:r>
      <w:r w:rsidRPr="001B684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. 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ramach przedmiotowego zadania zaplanowano wykonanie:</w:t>
      </w:r>
      <w:r w:rsidR="00910186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2521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dwóch 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przepompowni ścieków wyposażon</w:t>
      </w:r>
      <w:r w:rsidR="00FF089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ych 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dwie pompy zatapialne</w:t>
      </w:r>
      <w:r w:rsidR="002257A9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kolektor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tłocznego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PE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studni rozprężn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ej</w:t>
      </w:r>
      <w:r w:rsidR="002257A9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790806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rurociąg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grawitacyjn</w:t>
      </w:r>
      <w:r w:rsidR="003A7BB5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ego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PVC o</w:t>
      </w:r>
      <w:r w:rsid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długości ok</w:t>
      </w:r>
      <w:r w:rsidR="002A0DE6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910186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F089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F089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="002A0DE6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25673" w:rsidRPr="00FF08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km.</w:t>
      </w:r>
    </w:p>
    <w:p w14:paraId="43CD295B" w14:textId="56AE27A4" w:rsidR="00BA5243" w:rsidRPr="00A13103" w:rsidRDefault="00007A61" w:rsidP="004E1EF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Projektowana sieć zlokalizowana jest w obszarze miejscowości </w:t>
      </w:r>
      <w:r w:rsidR="00A006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Sienice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Odległości projektowanej sieci to ok 3-5</w:t>
      </w:r>
      <w:r w:rsidR="00D809FC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 od istniejącej zabudowy mieszkaniowej. Planowana sieć kanalizacji grawitacyjno-tłocznej oraz projektowana przepompownia ścieków nie będą wywierały negatywnego wpływu na najbliższe zabudowania mieszkalne.</w:t>
      </w:r>
      <w:r w:rsidR="004E1EF8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Obecnie teren planowanej inwestycji stanowią tereny przekształcone antropomorficznie pod zabudowę mieszkalną, drogi utwardzone oraz pola orne użytkowane rolniczo.</w:t>
      </w:r>
      <w:r w:rsidR="004E1EF8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656DA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Planowana inwestycja nie będzie wpływała na</w:t>
      </w:r>
      <w:r w:rsidR="00C80290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656DA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zmianę przeznaczenia istniejącego terenu. Całość rurociągów tłocznych i grawitacyjnych zlokalizowana będzie w całości pod powierzchnią terenu.</w:t>
      </w:r>
    </w:p>
    <w:p w14:paraId="29996A2B" w14:textId="19260B45" w:rsidR="00D72084" w:rsidRPr="00A13103" w:rsidRDefault="001D27D6" w:rsidP="001D2AC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etapie realizacji przedsięwzięcia wystąpi krótkotrwałe, bezpośrednie i pośrednie oddziaływanie na środowisko, którego wielkość będzie zależeć przede wszystkim od organizacji i natężenia prac budowlano-montażowych. Oddziaływanie będzie zmienne w ciągu doby i będzie występować w czasie prowadzenia prac, a emisja i jej skutki ustąpią całkowicie po zakończeniu tych prac.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celu zminimalizowania szkód oraz zoptymalizowania planowanej inwestycji zaplanowano wykonanie metodą standardową – wykopu otwartego. Dopuszcza się zastosowanie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przewiertów sterowanych oraz przycisków hydraulicznych.</w:t>
      </w:r>
      <w:r w:rsidR="00F8591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 wykonaniu robót ziemnych i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montażowych teren zostanie wyrównany i uporządkowany.</w:t>
      </w:r>
      <w:r w:rsidR="00F70B47" w:rsidRPr="00A13103">
        <w:t xml:space="preserve"> 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fazie realizacji przedsięwzięcia w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celu minimalizacji niekorzystnych oddziaływań, prace należy prowadzić z zachowaniem następujących warunków: sprzęt budowlany, maszyny i urządzenia należy zabezpieczyć przed możliwością wycieków paliw i smarów przed wprowadzeniem ich na teren budowy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powierzchnie składowania materiałów budowlanych ograniczyć do niezbędnego minimum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tereny objęte pracami ziemnymi lub też zniszczone w wyniku ruchu maszyn i środków transportu należy przywrócić do stanu wyjściowego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odpady powstałe w trakcie realizacji przedsięwzięcia wywozić poza teren inwestycji zgodnie z obowiązującymi przepisami.</w:t>
      </w:r>
    </w:p>
    <w:p w14:paraId="1C82F3AA" w14:textId="0144C53D" w:rsidR="00BA5243" w:rsidRPr="00A13103" w:rsidRDefault="00BA5243" w:rsidP="00BC4D7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Eksploatacja planowanego przedsięwzięcia nie będzie wiązać się z powstawaniem odpadów, ani z emisją zanieczyszczeń do powietrza, emisją hałasu oraz z wprowadzaniem ścieków do środowiska.</w:t>
      </w:r>
      <w:r w:rsidR="00FE75E2" w:rsidRPr="00A13103">
        <w:t xml:space="preserve"> 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Projektowana inwestycja tj. sieć grawitacyjno-tłoczna wraz z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przepompownią ścieków nie będzie powodować emisji substancji odorogennych w związku z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ciągłym przetłaczaniem i spływem ścieków projektowanymi rurociągami do istniejącej oczyszczalni ścieków.</w:t>
      </w:r>
      <w:r w:rsidR="00BC4D7B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Emisje do powietrza mogą pojawiać się tylko w przypadku serwisu, bądź remontu sieci, wówczas prace takie mogą być przyczyną pojawienia się emisji z transportu i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maszyn budowlanych. Jednak częstość i zasięg oddziaływania będzie lokalny i nie będzie miał większego znaczenia dla oddziaływania na środowisko, jak i standardów oraz jakości powietrza w okolicy. Planowane przedsięwzięcie na etapie eksploatacji nie będzie wiązało się z emisją hałasu do środowiska. </w:t>
      </w:r>
      <w:r w:rsidR="00AF791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Emisja wynikające z funkcjonowania urządzeń technologicznych będzie miała zasięg lokalny i okresowy. </w:t>
      </w:r>
      <w:r w:rsidR="00DF0E6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Eksploatacja wybudowanej szczelnej sieci kanalizacyjnej wykonanej z powszechnie stosowanych materiałów nie spowoduje emisji substancji szkodliwych do wód powierzchniowych czy gruntowych. W ramach eksploatacji planowanego przedsięwzięcia nie </w:t>
      </w:r>
      <w:r w:rsidR="00DF0E6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będzie pobierana woda oraz nie będą powstawały ścieki. Właściwa eksploatacja sieci kanalizacyjnej nie wiąże się z powstawaniem odpadów.</w:t>
      </w:r>
    </w:p>
    <w:p w14:paraId="7FDCD356" w14:textId="77777777" w:rsidR="00BA5243" w:rsidRPr="00BA5243" w:rsidRDefault="00BA5243" w:rsidP="00BA524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Brak jest transgranicznego oddziaływania przedsięwzięcia na środowisko.</w:t>
      </w:r>
    </w:p>
    <w:p w14:paraId="55A485DF" w14:textId="77777777" w:rsidR="00BA5243" w:rsidRPr="00BA5243" w:rsidRDefault="00BA5243" w:rsidP="00BA52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Po zapoznaniu się z przedłożoną dokumentacją oraz uwzględniając powyższe okoliczności wskazujące na brak możliwości negatywnego oddziaływania na środowisko w aspekcie wymagań higienicznych i sanitarnych, Państwowy Powiatowy Inspektor Sanitarny w Dzierżoniowie postanowił stwierdzić jak w sentencji.</w:t>
      </w:r>
    </w:p>
    <w:p w14:paraId="514C3CD0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4C5D4D8" w14:textId="77777777" w:rsidR="00594186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71E6F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A2B7B28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Państwowy Powiatowy Inspektor Sanitarny</w:t>
      </w:r>
    </w:p>
    <w:p w14:paraId="012093AA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 Dzierżoniowie (Dyrektor PSSE)</w:t>
      </w:r>
    </w:p>
    <w:p w14:paraId="59CD83F9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Halina Mądra</w:t>
      </w:r>
    </w:p>
    <w:p w14:paraId="3C4CCF89" w14:textId="77777777" w:rsidR="001D09D3" w:rsidRDefault="001D09D3" w:rsidP="001D09D3">
      <w:pPr>
        <w:pStyle w:val="Akapitzlist"/>
        <w:spacing w:line="24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(pismo wydane w postaci elektronicznej, podpisane kwalifikowanym podpisem elektronicznym)</w:t>
      </w:r>
    </w:p>
    <w:p w14:paraId="6AA79FE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75E672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3ECB9F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3D930FF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7BBEDCC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F0A9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8E676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CB9F69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9860F1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8CD42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6BA88AB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4229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9FA73D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DAEC4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8356EF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BE93AA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5029E1E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0EFC4B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E83B3E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2F648EA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10123C2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977386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E82DCA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9300511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9B6599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804CF06" w14:textId="77777777" w:rsidR="001D09D3" w:rsidRPr="00C4584D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D3E33F1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65B67C3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  <w:t>Otrzymują:</w:t>
      </w:r>
    </w:p>
    <w:p w14:paraId="5813C4EF" w14:textId="0976E4BC" w:rsidR="000B5138" w:rsidRPr="000B5138" w:rsidRDefault="00D809FC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</w:pPr>
      <w:r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>Gmina Łagiewniki, ul. Jedności Narodowej 21, 58-210 Łagiewniki</w:t>
      </w:r>
      <w:r w:rsidR="00C4584D"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 xml:space="preserve"> </w:t>
      </w:r>
    </w:p>
    <w:p w14:paraId="3BA87B0F" w14:textId="61CB8755" w:rsidR="00594186" w:rsidRPr="005F7A4F" w:rsidRDefault="000B5138" w:rsidP="005F7A4F">
      <w:pPr>
        <w:widowControl w:val="0"/>
        <w:suppressAutoHyphens/>
        <w:spacing w:after="0" w:line="240" w:lineRule="auto"/>
        <w:ind w:left="284"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</w:t>
      </w:r>
      <w:r w:rsidR="00D809FC"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wysłano el</w:t>
      </w: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ektronicznie poprzez e- doręczenia)</w:t>
      </w:r>
    </w:p>
    <w:p w14:paraId="02ED1F1C" w14:textId="1A8F32A8" w:rsidR="00661705" w:rsidRPr="005F7A4F" w:rsidRDefault="00027001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Pełnomocnik:</w:t>
      </w:r>
      <w:r w:rsidR="003B71C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Piotr To</w:t>
      </w:r>
      <w:r w:rsidR="00BB13BE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karczyk, ul. Wita Stwosza 26/30, 58-560 Jelenia G</w:t>
      </w:r>
      <w:r w:rsid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óra</w:t>
      </w:r>
    </w:p>
    <w:p w14:paraId="61841CC0" w14:textId="5C72ACD8" w:rsidR="005F7A4F" w:rsidRDefault="005F7A4F" w:rsidP="005F7A4F">
      <w:pPr>
        <w:widowControl w:val="0"/>
        <w:suppressAutoHyphens/>
        <w:spacing w:after="0" w:line="240" w:lineRule="auto"/>
        <w:ind w:left="644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e-doręczenie)</w:t>
      </w:r>
    </w:p>
    <w:p w14:paraId="78E56865" w14:textId="1B4FAEF6" w:rsidR="00D8565B" w:rsidRPr="00E045DD" w:rsidRDefault="00E045DD" w:rsidP="00E045DD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E045D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Tablica ogłoszeń i BIP PSSE Dzierżoniów (https://www.gov.pl/web/psse-dzierzoniow)</w:t>
      </w:r>
    </w:p>
    <w:p w14:paraId="143679D7" w14:textId="69C808E8" w:rsidR="00594186" w:rsidRPr="005F7A4F" w:rsidRDefault="00594186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ZNS a/a</w:t>
      </w:r>
    </w:p>
    <w:p w14:paraId="04F468D6" w14:textId="77777777" w:rsidR="00594186" w:rsidRDefault="00594186" w:rsidP="005F7A4F">
      <w:pPr>
        <w:widowControl w:val="0"/>
        <w:suppressAutoHyphens/>
        <w:spacing w:after="0" w:line="240" w:lineRule="auto"/>
        <w:ind w:left="283"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B69729E" w14:textId="77777777" w:rsidR="00835288" w:rsidRDefault="00835288" w:rsidP="00594186">
      <w:pPr>
        <w:widowControl w:val="0"/>
        <w:suppressAutoHyphens/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1EF0DE9E" w:rsidR="00594186" w:rsidRPr="00C4584D" w:rsidRDefault="00AF7915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Urszula Cackowska</w:t>
      </w:r>
    </w:p>
    <w:p w14:paraId="59F00DFF" w14:textId="06DBAADC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2615DE0D" w14:textId="28AB0E50" w:rsidR="00F44BF0" w:rsidRPr="00E33CF7" w:rsidRDefault="00594186" w:rsidP="00E33CF7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sectPr w:rsidR="00F44BF0" w:rsidRPr="00E33CF7" w:rsidSect="003820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04D8" w14:textId="77777777" w:rsidR="00FB25A6" w:rsidRDefault="00FB25A6" w:rsidP="006A0ACF">
      <w:pPr>
        <w:spacing w:after="0" w:line="240" w:lineRule="auto"/>
      </w:pPr>
      <w:r>
        <w:separator/>
      </w:r>
    </w:p>
  </w:endnote>
  <w:endnote w:type="continuationSeparator" w:id="0">
    <w:p w14:paraId="31113D42" w14:textId="77777777" w:rsidR="00FB25A6" w:rsidRDefault="00FB25A6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50DB7C1C" w:rsidR="00753944" w:rsidRPr="001B6845" w:rsidRDefault="00FD7505" w:rsidP="00FD7505">
    <w:pPr>
      <w:tabs>
        <w:tab w:val="left" w:pos="1040"/>
        <w:tab w:val="center" w:pos="5032"/>
      </w:tabs>
      <w:spacing w:after="0" w:line="240" w:lineRule="auto"/>
      <w:jc w:val="left"/>
      <w:rPr>
        <w:color w:val="FFFFFF" w:themeColor="background1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753944" w:rsidRPr="001B6845">
      <w:rPr>
        <w:color w:val="FFFFFF" w:themeColor="background1"/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1B6845" w:rsidRDefault="00753944" w:rsidP="00753944">
    <w:pPr>
      <w:spacing w:after="0" w:line="240" w:lineRule="auto"/>
      <w:jc w:val="center"/>
      <w:rPr>
        <w:color w:val="FFFFFF" w:themeColor="background1"/>
        <w:sz w:val="16"/>
        <w:szCs w:val="16"/>
      </w:rPr>
    </w:pPr>
    <w:r w:rsidRPr="001B6845">
      <w:rPr>
        <w:color w:val="FFFFFF" w:themeColor="background1"/>
        <w:sz w:val="16"/>
        <w:szCs w:val="16"/>
      </w:rPr>
      <w:t>Klauzula informacyjna o przetwarzaniu danych osobowych znajduje się pod adresem:</w:t>
    </w:r>
  </w:p>
  <w:p w14:paraId="383781B3" w14:textId="0D1AA05C" w:rsidR="0017545B" w:rsidRPr="001B6845" w:rsidRDefault="00753944" w:rsidP="00753944">
    <w:pPr>
      <w:pStyle w:val="Stopka"/>
      <w:jc w:val="center"/>
      <w:rPr>
        <w:color w:val="FFFFFF" w:themeColor="background1"/>
      </w:rPr>
    </w:pPr>
    <w:hyperlink r:id="rId1" w:history="1">
      <w:r w:rsidRPr="001B6845">
        <w:rPr>
          <w:color w:val="FFFFFF" w:themeColor="background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BE6" w14:textId="064183DE" w:rsidR="002F77AB" w:rsidRDefault="002F77AB" w:rsidP="00E176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2025" w14:textId="77777777" w:rsidR="00FB25A6" w:rsidRDefault="00FB25A6" w:rsidP="006A0ACF">
      <w:pPr>
        <w:spacing w:after="0" w:line="240" w:lineRule="auto"/>
      </w:pPr>
      <w:r>
        <w:separator/>
      </w:r>
    </w:p>
  </w:footnote>
  <w:footnote w:type="continuationSeparator" w:id="0">
    <w:p w14:paraId="1FC45F36" w14:textId="77777777" w:rsidR="00FB25A6" w:rsidRDefault="00FB25A6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Epuap: </w:t>
    </w:r>
    <w:r w:rsidRPr="001E2BC0">
      <w:rPr>
        <w:rFonts w:ascii="Times New Roman" w:hAnsi="Times New Roman" w:cs="Times New Roman"/>
        <w:sz w:val="18"/>
        <w:szCs w:val="18"/>
      </w:rPr>
      <w:t>/psseddz/skrytka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5645F4"/>
    <w:multiLevelType w:val="hybridMultilevel"/>
    <w:tmpl w:val="0B60D254"/>
    <w:lvl w:ilvl="0" w:tplc="5E5A2896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4CA8"/>
    <w:multiLevelType w:val="hybridMultilevel"/>
    <w:tmpl w:val="5BB22D0C"/>
    <w:lvl w:ilvl="0" w:tplc="79EA6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5"/>
  </w:num>
  <w:num w:numId="2" w16cid:durableId="1085300816">
    <w:abstractNumId w:val="2"/>
  </w:num>
  <w:num w:numId="3" w16cid:durableId="1019039703">
    <w:abstractNumId w:val="6"/>
  </w:num>
  <w:num w:numId="4" w16cid:durableId="844053608">
    <w:abstractNumId w:val="3"/>
  </w:num>
  <w:num w:numId="5" w16cid:durableId="323895990">
    <w:abstractNumId w:val="0"/>
  </w:num>
  <w:num w:numId="6" w16cid:durableId="1009063590">
    <w:abstractNumId w:val="7"/>
  </w:num>
  <w:num w:numId="7" w16cid:durableId="2010599390">
    <w:abstractNumId w:val="4"/>
  </w:num>
  <w:num w:numId="8" w16cid:durableId="32933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07A61"/>
    <w:rsid w:val="0001664E"/>
    <w:rsid w:val="00024810"/>
    <w:rsid w:val="0002635E"/>
    <w:rsid w:val="00027001"/>
    <w:rsid w:val="00071148"/>
    <w:rsid w:val="00092603"/>
    <w:rsid w:val="0009533E"/>
    <w:rsid w:val="000B1DEE"/>
    <w:rsid w:val="000B5138"/>
    <w:rsid w:val="000C594A"/>
    <w:rsid w:val="000D1EC2"/>
    <w:rsid w:val="000E0F14"/>
    <w:rsid w:val="000E595E"/>
    <w:rsid w:val="000E6D14"/>
    <w:rsid w:val="001024F0"/>
    <w:rsid w:val="00110A65"/>
    <w:rsid w:val="001174D2"/>
    <w:rsid w:val="00133AF6"/>
    <w:rsid w:val="00146CD5"/>
    <w:rsid w:val="0015774A"/>
    <w:rsid w:val="0017545B"/>
    <w:rsid w:val="00183E72"/>
    <w:rsid w:val="001B6845"/>
    <w:rsid w:val="001C3832"/>
    <w:rsid w:val="001D09D3"/>
    <w:rsid w:val="001D27D6"/>
    <w:rsid w:val="001D2AC1"/>
    <w:rsid w:val="001D442E"/>
    <w:rsid w:val="001D7F27"/>
    <w:rsid w:val="001E2BC0"/>
    <w:rsid w:val="002045C6"/>
    <w:rsid w:val="002257A9"/>
    <w:rsid w:val="00252CB8"/>
    <w:rsid w:val="00272C02"/>
    <w:rsid w:val="0028731E"/>
    <w:rsid w:val="002A0C60"/>
    <w:rsid w:val="002A0DE6"/>
    <w:rsid w:val="002C735B"/>
    <w:rsid w:val="002F77AB"/>
    <w:rsid w:val="00323D2D"/>
    <w:rsid w:val="00325213"/>
    <w:rsid w:val="00326B0C"/>
    <w:rsid w:val="00333EF8"/>
    <w:rsid w:val="00334562"/>
    <w:rsid w:val="003574A7"/>
    <w:rsid w:val="00374778"/>
    <w:rsid w:val="0038023B"/>
    <w:rsid w:val="00382078"/>
    <w:rsid w:val="003A7BB5"/>
    <w:rsid w:val="003B71C5"/>
    <w:rsid w:val="003C2BF5"/>
    <w:rsid w:val="003F210E"/>
    <w:rsid w:val="00421B35"/>
    <w:rsid w:val="0042520D"/>
    <w:rsid w:val="00430472"/>
    <w:rsid w:val="00434136"/>
    <w:rsid w:val="00443A65"/>
    <w:rsid w:val="00461F90"/>
    <w:rsid w:val="00466725"/>
    <w:rsid w:val="004A16F8"/>
    <w:rsid w:val="004C49B5"/>
    <w:rsid w:val="004E1EF8"/>
    <w:rsid w:val="005002A6"/>
    <w:rsid w:val="00541398"/>
    <w:rsid w:val="0055156E"/>
    <w:rsid w:val="005607A4"/>
    <w:rsid w:val="00594186"/>
    <w:rsid w:val="0059510A"/>
    <w:rsid w:val="005A2BFD"/>
    <w:rsid w:val="005D4650"/>
    <w:rsid w:val="005F658D"/>
    <w:rsid w:val="005F7A4F"/>
    <w:rsid w:val="00625673"/>
    <w:rsid w:val="0063358E"/>
    <w:rsid w:val="00642BAB"/>
    <w:rsid w:val="00661705"/>
    <w:rsid w:val="006656DA"/>
    <w:rsid w:val="00665FDD"/>
    <w:rsid w:val="00676F21"/>
    <w:rsid w:val="006774FF"/>
    <w:rsid w:val="00691E7B"/>
    <w:rsid w:val="00693F69"/>
    <w:rsid w:val="00694E65"/>
    <w:rsid w:val="006A0ACF"/>
    <w:rsid w:val="006A0B45"/>
    <w:rsid w:val="006E50BB"/>
    <w:rsid w:val="0071770B"/>
    <w:rsid w:val="00724ACE"/>
    <w:rsid w:val="0072729E"/>
    <w:rsid w:val="00741FA6"/>
    <w:rsid w:val="007431D6"/>
    <w:rsid w:val="00753944"/>
    <w:rsid w:val="00762552"/>
    <w:rsid w:val="0077210B"/>
    <w:rsid w:val="00790806"/>
    <w:rsid w:val="00791802"/>
    <w:rsid w:val="0079470E"/>
    <w:rsid w:val="0079769F"/>
    <w:rsid w:val="007A066E"/>
    <w:rsid w:val="007B239C"/>
    <w:rsid w:val="007F3473"/>
    <w:rsid w:val="008044CE"/>
    <w:rsid w:val="008102E1"/>
    <w:rsid w:val="00821AEF"/>
    <w:rsid w:val="00823A4C"/>
    <w:rsid w:val="00830861"/>
    <w:rsid w:val="00834BF6"/>
    <w:rsid w:val="00835288"/>
    <w:rsid w:val="00850095"/>
    <w:rsid w:val="00877AED"/>
    <w:rsid w:val="0089468C"/>
    <w:rsid w:val="00894A32"/>
    <w:rsid w:val="008A10F3"/>
    <w:rsid w:val="008B02ED"/>
    <w:rsid w:val="008D3733"/>
    <w:rsid w:val="00910186"/>
    <w:rsid w:val="00917762"/>
    <w:rsid w:val="00927C19"/>
    <w:rsid w:val="00931A16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9F71CF"/>
    <w:rsid w:val="00A006F5"/>
    <w:rsid w:val="00A0103E"/>
    <w:rsid w:val="00A13103"/>
    <w:rsid w:val="00A2189F"/>
    <w:rsid w:val="00A40091"/>
    <w:rsid w:val="00A4463B"/>
    <w:rsid w:val="00A512B0"/>
    <w:rsid w:val="00A86F50"/>
    <w:rsid w:val="00A875E4"/>
    <w:rsid w:val="00A96906"/>
    <w:rsid w:val="00AD2BED"/>
    <w:rsid w:val="00AE7524"/>
    <w:rsid w:val="00AF7915"/>
    <w:rsid w:val="00B017FE"/>
    <w:rsid w:val="00B05B7A"/>
    <w:rsid w:val="00B228FB"/>
    <w:rsid w:val="00B23BDC"/>
    <w:rsid w:val="00B266C7"/>
    <w:rsid w:val="00B31ED5"/>
    <w:rsid w:val="00B410AF"/>
    <w:rsid w:val="00B476A8"/>
    <w:rsid w:val="00B560E9"/>
    <w:rsid w:val="00B625A9"/>
    <w:rsid w:val="00B823B3"/>
    <w:rsid w:val="00BA5243"/>
    <w:rsid w:val="00BB13BE"/>
    <w:rsid w:val="00BC4D7B"/>
    <w:rsid w:val="00BD104D"/>
    <w:rsid w:val="00BF0F72"/>
    <w:rsid w:val="00C40A9E"/>
    <w:rsid w:val="00C4584D"/>
    <w:rsid w:val="00C5130B"/>
    <w:rsid w:val="00C5708B"/>
    <w:rsid w:val="00C62B62"/>
    <w:rsid w:val="00C65379"/>
    <w:rsid w:val="00C80290"/>
    <w:rsid w:val="00C90AD1"/>
    <w:rsid w:val="00C91B66"/>
    <w:rsid w:val="00C93EC5"/>
    <w:rsid w:val="00CB6687"/>
    <w:rsid w:val="00CC3B1D"/>
    <w:rsid w:val="00CF3F0F"/>
    <w:rsid w:val="00D0506C"/>
    <w:rsid w:val="00D106A6"/>
    <w:rsid w:val="00D16D10"/>
    <w:rsid w:val="00D32F40"/>
    <w:rsid w:val="00D4458B"/>
    <w:rsid w:val="00D46777"/>
    <w:rsid w:val="00D46934"/>
    <w:rsid w:val="00D65CFD"/>
    <w:rsid w:val="00D72084"/>
    <w:rsid w:val="00D8010B"/>
    <w:rsid w:val="00D809FC"/>
    <w:rsid w:val="00D820E9"/>
    <w:rsid w:val="00D8565B"/>
    <w:rsid w:val="00DB74FF"/>
    <w:rsid w:val="00DD7052"/>
    <w:rsid w:val="00DE441B"/>
    <w:rsid w:val="00DE5F55"/>
    <w:rsid w:val="00DE7BA3"/>
    <w:rsid w:val="00DF02CB"/>
    <w:rsid w:val="00DF0E64"/>
    <w:rsid w:val="00DF3C8B"/>
    <w:rsid w:val="00E045DD"/>
    <w:rsid w:val="00E11782"/>
    <w:rsid w:val="00E176D4"/>
    <w:rsid w:val="00E32324"/>
    <w:rsid w:val="00E33CF7"/>
    <w:rsid w:val="00E50993"/>
    <w:rsid w:val="00E57C75"/>
    <w:rsid w:val="00E60EBC"/>
    <w:rsid w:val="00E7387B"/>
    <w:rsid w:val="00E74298"/>
    <w:rsid w:val="00E846BA"/>
    <w:rsid w:val="00E93EBB"/>
    <w:rsid w:val="00EA0B4C"/>
    <w:rsid w:val="00EA1C26"/>
    <w:rsid w:val="00EB1800"/>
    <w:rsid w:val="00EE0DAE"/>
    <w:rsid w:val="00EE2CF3"/>
    <w:rsid w:val="00EE4213"/>
    <w:rsid w:val="00EE6E25"/>
    <w:rsid w:val="00EF33FF"/>
    <w:rsid w:val="00F1187A"/>
    <w:rsid w:val="00F22F17"/>
    <w:rsid w:val="00F2708F"/>
    <w:rsid w:val="00F44BF0"/>
    <w:rsid w:val="00F6044B"/>
    <w:rsid w:val="00F64652"/>
    <w:rsid w:val="00F70B47"/>
    <w:rsid w:val="00F729CA"/>
    <w:rsid w:val="00F74F37"/>
    <w:rsid w:val="00F85911"/>
    <w:rsid w:val="00FA2B62"/>
    <w:rsid w:val="00FA76EF"/>
    <w:rsid w:val="00FB25A6"/>
    <w:rsid w:val="00FC1845"/>
    <w:rsid w:val="00FC4F28"/>
    <w:rsid w:val="00FC5F34"/>
    <w:rsid w:val="00FD7505"/>
    <w:rsid w:val="00FE51AB"/>
    <w:rsid w:val="00FE65AE"/>
    <w:rsid w:val="00FE75E2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5F658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133</cp:revision>
  <cp:lastPrinted>2025-05-21T06:52:00Z</cp:lastPrinted>
  <dcterms:created xsi:type="dcterms:W3CDTF">2025-01-30T12:33:00Z</dcterms:created>
  <dcterms:modified xsi:type="dcterms:W3CDTF">2025-05-22T09:05:00Z</dcterms:modified>
</cp:coreProperties>
</file>