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E35B" w14:textId="77777777" w:rsidR="009E1BCD" w:rsidRDefault="00726F56" w:rsidP="00CD3870">
      <w:r>
        <w:t>Szczegółowy Opis Przedmiotu Zamówienia</w:t>
      </w:r>
    </w:p>
    <w:p w14:paraId="2CA3D9F9" w14:textId="69D56B9D" w:rsidR="00726F56" w:rsidRPr="0001516A" w:rsidRDefault="00726F56" w:rsidP="00CD3870">
      <w:pPr>
        <w:rPr>
          <w:b/>
        </w:rPr>
      </w:pPr>
      <w:r w:rsidRPr="0001516A">
        <w:rPr>
          <w:b/>
        </w:rPr>
        <w:t xml:space="preserve">Audyt dostępności </w:t>
      </w:r>
      <w:r w:rsidR="002008E4">
        <w:rPr>
          <w:b/>
        </w:rPr>
        <w:t>systemu</w:t>
      </w:r>
      <w:r w:rsidRPr="0001516A">
        <w:rPr>
          <w:b/>
        </w:rPr>
        <w:t xml:space="preserve"> </w:t>
      </w:r>
      <w:r w:rsidR="00CD0F70">
        <w:rPr>
          <w:b/>
        </w:rPr>
        <w:t>Tracker</w:t>
      </w:r>
      <w:r w:rsidR="002008E4">
        <w:rPr>
          <w:b/>
        </w:rPr>
        <w:t xml:space="preserve"> 2.0 oraz e-usług na </w:t>
      </w:r>
      <w:r w:rsidR="003A27B3">
        <w:rPr>
          <w:b/>
        </w:rPr>
        <w:t xml:space="preserve">portalu </w:t>
      </w:r>
      <w:r w:rsidR="002008E4">
        <w:rPr>
          <w:b/>
        </w:rPr>
        <w:t>Biznes.gov.pl</w:t>
      </w:r>
    </w:p>
    <w:p w14:paraId="717771E0" w14:textId="77777777" w:rsidR="002B051F" w:rsidRDefault="002B051F" w:rsidP="00CD3870">
      <w:pPr>
        <w:jc w:val="both"/>
      </w:pPr>
    </w:p>
    <w:p w14:paraId="0E58A207" w14:textId="77777777" w:rsidR="002B051F" w:rsidRDefault="002B051F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Opis przedmiotu zamówienia</w:t>
      </w:r>
    </w:p>
    <w:p w14:paraId="560AAE2A" w14:textId="32A6703B" w:rsidR="002B051F" w:rsidRDefault="002B051F" w:rsidP="00CD3870">
      <w:pPr>
        <w:jc w:val="both"/>
      </w:pPr>
      <w:r>
        <w:t xml:space="preserve">Przedmiotem zamówienia jest przeprowadzenie </w:t>
      </w:r>
      <w:r w:rsidR="00893829">
        <w:t>audytu</w:t>
      </w:r>
      <w:r>
        <w:t xml:space="preserve"> dostępności</w:t>
      </w:r>
      <w:r w:rsidR="00CD0F70">
        <w:t xml:space="preserve"> </w:t>
      </w:r>
      <w:r w:rsidR="002A41AA">
        <w:t>stron internetowych systemu</w:t>
      </w:r>
      <w:r w:rsidR="00AC0A0E">
        <w:t xml:space="preserve"> Tracker</w:t>
      </w:r>
      <w:r w:rsidR="008E51A7">
        <w:t xml:space="preserve"> 2.0 i </w:t>
      </w:r>
      <w:r w:rsidR="00893829">
        <w:t>e-</w:t>
      </w:r>
      <w:r w:rsidR="008E51A7">
        <w:t>usług na portalu Biznes.gov.pl</w:t>
      </w:r>
      <w:r w:rsidR="00AC0A0E">
        <w:t>.</w:t>
      </w:r>
      <w:r w:rsidR="00CD0F70">
        <w:t xml:space="preserve"> </w:t>
      </w:r>
      <w:r>
        <w:t>Celem głównym audyt</w:t>
      </w:r>
      <w:r w:rsidR="00CD0F70">
        <w:t>u</w:t>
      </w:r>
      <w:r>
        <w:t xml:space="preserve"> jest zbadanie poziomu dostępności </w:t>
      </w:r>
      <w:r w:rsidR="00CD0F70">
        <w:t>cyfrowej</w:t>
      </w:r>
      <w:r>
        <w:t>.</w:t>
      </w:r>
    </w:p>
    <w:p w14:paraId="72C8571F" w14:textId="77777777" w:rsidR="002B051F" w:rsidRDefault="002B051F" w:rsidP="00CD3870">
      <w:pPr>
        <w:jc w:val="both"/>
      </w:pPr>
      <w:r>
        <w:t xml:space="preserve">W celu przeprowadzenia audytu Wykonawca powinien współpracować zarówno z Zamawiającym, jak i z Wykonawcami audytowanych systemów. </w:t>
      </w:r>
    </w:p>
    <w:p w14:paraId="0AC3469D" w14:textId="4A07E4FE" w:rsidR="002B051F" w:rsidRDefault="00CD0F70" w:rsidP="00CD3870">
      <w:pPr>
        <w:jc w:val="both"/>
      </w:pPr>
      <w:r>
        <w:t>Audyt</w:t>
      </w:r>
      <w:r w:rsidR="002B051F">
        <w:t xml:space="preserve"> powinien zakończyć się sporządzeniem raportu wraz z zaleceniami – w terminie do 14 dni od zakończenia </w:t>
      </w:r>
      <w:r>
        <w:t>prac.</w:t>
      </w:r>
    </w:p>
    <w:p w14:paraId="00789C60" w14:textId="4C40E16D" w:rsidR="0001516A" w:rsidRDefault="002B051F" w:rsidP="00CD3870">
      <w:pPr>
        <w:jc w:val="both"/>
      </w:pPr>
      <w:r>
        <w:t xml:space="preserve">Harmonogram ramowy audytu został wskazany w rozdz. </w:t>
      </w:r>
      <w:r w:rsidR="00CD0F70">
        <w:t>2</w:t>
      </w:r>
      <w:r>
        <w:t xml:space="preserve"> SOPZ. Harmonogram może ulec zmianie, w zależności od postępu prac projektowych. Zamawiający wystawi zlecenie zawierające dat</w:t>
      </w:r>
      <w:r w:rsidR="00CD0F70">
        <w:t>ę</w:t>
      </w:r>
      <w:r>
        <w:t xml:space="preserve"> rozpoczęcia i zakończenia </w:t>
      </w:r>
      <w:r w:rsidR="00CD0F70">
        <w:t>prac.</w:t>
      </w:r>
      <w:r>
        <w:t xml:space="preserve"> </w:t>
      </w:r>
    </w:p>
    <w:p w14:paraId="2E13D037" w14:textId="77777777" w:rsidR="002B051F" w:rsidRDefault="002B051F" w:rsidP="00CD3870">
      <w:pPr>
        <w:jc w:val="both"/>
      </w:pPr>
      <w:r>
        <w:t>Kod CPV: 72413000-8 Usługi w zakresie projektowania stron WWW</w:t>
      </w:r>
    </w:p>
    <w:p w14:paraId="49279071" w14:textId="77777777" w:rsidR="002B051F" w:rsidRDefault="002B051F" w:rsidP="00CD3870">
      <w:pPr>
        <w:jc w:val="both"/>
      </w:pPr>
      <w:r>
        <w:t>Kod CPV: 73110000-6 Usługi badawcze</w:t>
      </w:r>
    </w:p>
    <w:p w14:paraId="787388FA" w14:textId="77777777" w:rsidR="002B051F" w:rsidRDefault="002B051F" w:rsidP="00CD3870">
      <w:pPr>
        <w:jc w:val="both"/>
      </w:pPr>
    </w:p>
    <w:p w14:paraId="52EA6615" w14:textId="3837FF67" w:rsidR="002B051F" w:rsidRDefault="008E51A7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Przewidywany h</w:t>
      </w:r>
      <w:r w:rsidR="002B051F">
        <w:t>armonogram</w:t>
      </w:r>
      <w:r>
        <w:t xml:space="preserve"> badań</w:t>
      </w:r>
    </w:p>
    <w:p w14:paraId="29D341AA" w14:textId="0308B5CE" w:rsidR="008E51A7" w:rsidRDefault="008E51A7" w:rsidP="008E51A7">
      <w:pPr>
        <w:pStyle w:val="Akapitzlist"/>
        <w:ind w:left="0"/>
        <w:jc w:val="both"/>
      </w:pPr>
      <w:r>
        <w:t>Realizacja prac w terminie wskazanym przez zamawiającego w terminie maksymalnie 30 dni od zleceni</w:t>
      </w:r>
      <w:r w:rsidR="003722E9">
        <w:t>a</w:t>
      </w:r>
      <w:r>
        <w:t xml:space="preserve"> zamawiającego oraz 14 dni na przygotowanie i przekazanie raportu z badań.</w:t>
      </w:r>
    </w:p>
    <w:p w14:paraId="7CF09ABF" w14:textId="31FAAC8A" w:rsidR="008E51A7" w:rsidRDefault="008E51A7" w:rsidP="008E51A7">
      <w:pPr>
        <w:pStyle w:val="Akapitzlist"/>
        <w:ind w:left="0"/>
        <w:jc w:val="both"/>
      </w:pPr>
      <w:r>
        <w:t xml:space="preserve">Zamawiający przewiduje że </w:t>
      </w:r>
      <w:r w:rsidR="00782322">
        <w:t>badanie i przekazanie raportu</w:t>
      </w:r>
      <w:r>
        <w:t xml:space="preserve"> zostan</w:t>
      </w:r>
      <w:r w:rsidR="00782322">
        <w:t>ie</w:t>
      </w:r>
      <w:r>
        <w:t xml:space="preserve"> wykonan</w:t>
      </w:r>
      <w:r w:rsidR="00782322">
        <w:t>e</w:t>
      </w:r>
      <w:r>
        <w:t xml:space="preserve"> w okresie od </w:t>
      </w:r>
      <w:r w:rsidR="00100406">
        <w:t xml:space="preserve">września </w:t>
      </w:r>
      <w:r>
        <w:t>do</w:t>
      </w:r>
      <w:r w:rsidR="00100406">
        <w:t xml:space="preserve"> </w:t>
      </w:r>
      <w:r w:rsidR="0009410C">
        <w:t xml:space="preserve">końca </w:t>
      </w:r>
      <w:r w:rsidR="00100406">
        <w:t>października</w:t>
      </w:r>
      <w:r>
        <w:t xml:space="preserve"> 2023 r.</w:t>
      </w:r>
    </w:p>
    <w:p w14:paraId="055B1590" w14:textId="77777777" w:rsidR="002B051F" w:rsidRDefault="002B051F" w:rsidP="00CD3870">
      <w:pPr>
        <w:jc w:val="both"/>
      </w:pPr>
    </w:p>
    <w:p w14:paraId="6B471592" w14:textId="77777777" w:rsidR="00E2449C" w:rsidRDefault="001932D3" w:rsidP="00E2449C">
      <w:pPr>
        <w:pStyle w:val="Akapitzlist"/>
        <w:numPr>
          <w:ilvl w:val="0"/>
          <w:numId w:val="1"/>
        </w:numPr>
        <w:ind w:left="0" w:firstLine="0"/>
        <w:jc w:val="both"/>
      </w:pPr>
      <w:r>
        <w:t>Opis badanych usług i aplikacji</w:t>
      </w:r>
    </w:p>
    <w:p w14:paraId="1F96AC07" w14:textId="2F6C13D8" w:rsidR="008E51A7" w:rsidRDefault="00142B69" w:rsidP="00E2449C">
      <w:pPr>
        <w:pStyle w:val="Akapitzlist"/>
        <w:ind w:left="0"/>
        <w:jc w:val="both"/>
      </w:pPr>
      <w:r w:rsidRPr="00142B69">
        <w:t xml:space="preserve">Wykonawca przeanalizuje minimum </w:t>
      </w:r>
      <w:r w:rsidR="002A41AA">
        <w:t>5</w:t>
      </w:r>
      <w:r w:rsidR="004A22C6">
        <w:t>0</w:t>
      </w:r>
      <w:r w:rsidRPr="00142B69">
        <w:t xml:space="preserve"> </w:t>
      </w:r>
      <w:r w:rsidR="00E2449C">
        <w:t>podstron</w:t>
      </w:r>
      <w:r w:rsidRPr="00142B69">
        <w:t xml:space="preserve"> reprezentujących możliwie jak najszerszy zakres funkcjonalności </w:t>
      </w:r>
      <w:r>
        <w:t>s</w:t>
      </w:r>
      <w:r w:rsidR="00100406">
        <w:t>ystem</w:t>
      </w:r>
      <w:r>
        <w:t>u</w:t>
      </w:r>
      <w:r w:rsidR="00100406">
        <w:t xml:space="preserve"> Tracker 2.0</w:t>
      </w:r>
      <w:r w:rsidR="00E2449C">
        <w:t xml:space="preserve"> oraz </w:t>
      </w:r>
      <w:r w:rsidR="00100406">
        <w:t xml:space="preserve">e-usług na </w:t>
      </w:r>
      <w:r w:rsidR="005C62FC">
        <w:t xml:space="preserve">portalu </w:t>
      </w:r>
      <w:r w:rsidR="00100406">
        <w:t>Biznes.gov.pl</w:t>
      </w:r>
      <w:r w:rsidR="00E2449C">
        <w:t>. E-usług</w:t>
      </w:r>
      <w:r w:rsidR="00DF2FED">
        <w:t>i</w:t>
      </w:r>
      <w:r w:rsidR="00E2449C">
        <w:t xml:space="preserve"> na portalu Biznes.gov.pl</w:t>
      </w:r>
      <w:r w:rsidR="00100406">
        <w:t xml:space="preserve"> pozwala </w:t>
      </w:r>
      <w:r w:rsidR="004A22C6">
        <w:t>m.in. na</w:t>
      </w:r>
      <w:r w:rsidR="00100406">
        <w:t>:</w:t>
      </w:r>
    </w:p>
    <w:p w14:paraId="18DE3242" w14:textId="1BDFE235" w:rsidR="008E51A7" w:rsidRDefault="008E51A7" w:rsidP="00100406">
      <w:pPr>
        <w:pStyle w:val="Akapitzlist"/>
        <w:numPr>
          <w:ilvl w:val="0"/>
          <w:numId w:val="4"/>
        </w:numPr>
        <w:jc w:val="both"/>
      </w:pPr>
      <w:r>
        <w:t xml:space="preserve">złożenie wniosku o dostęp do rejestru udzielonych zezwoleń indywidualnych i globalnych oraz do prowadzonych ewidencji i raportowania. </w:t>
      </w:r>
    </w:p>
    <w:p w14:paraId="3B87A91D" w14:textId="05EE0FBB" w:rsidR="00100406" w:rsidRDefault="00100406" w:rsidP="00100406">
      <w:pPr>
        <w:pStyle w:val="Akapitzlist"/>
        <w:numPr>
          <w:ilvl w:val="0"/>
          <w:numId w:val="4"/>
        </w:numPr>
        <w:jc w:val="both"/>
      </w:pPr>
      <w:r>
        <w:t>złożenie wniosku o wydanie zezwolenia indywidualnego lub globalnego na obrót towarami o znaczeniu strategicznym</w:t>
      </w:r>
    </w:p>
    <w:p w14:paraId="2C4ED827" w14:textId="38F42D73" w:rsidR="00100406" w:rsidRDefault="00100406" w:rsidP="00100406">
      <w:pPr>
        <w:pStyle w:val="Akapitzlist"/>
        <w:numPr>
          <w:ilvl w:val="0"/>
          <w:numId w:val="4"/>
        </w:numPr>
        <w:jc w:val="both"/>
      </w:pPr>
      <w:r>
        <w:t>złożenie wniosku o wydanie certyfikatu importowego lub poświadczenia oświadczenia końcowego użytkownika</w:t>
      </w:r>
    </w:p>
    <w:p w14:paraId="01CDC7A9" w14:textId="126C99A7" w:rsidR="00100406" w:rsidRDefault="00100406" w:rsidP="00100406">
      <w:pPr>
        <w:pStyle w:val="Akapitzlist"/>
        <w:numPr>
          <w:ilvl w:val="0"/>
          <w:numId w:val="4"/>
        </w:numPr>
        <w:jc w:val="both"/>
      </w:pPr>
      <w:r>
        <w:t>złożenie oświadczenia o korzystaniu z zezwolenia generalnego na obrót towarami o znaczeniu strategicznym</w:t>
      </w:r>
    </w:p>
    <w:p w14:paraId="5FA14D53" w14:textId="09C5BC08" w:rsidR="00100406" w:rsidRDefault="009A12C2" w:rsidP="00100406">
      <w:pPr>
        <w:pStyle w:val="Akapitzlist"/>
        <w:numPr>
          <w:ilvl w:val="0"/>
          <w:numId w:val="4"/>
        </w:numPr>
        <w:jc w:val="both"/>
      </w:pPr>
      <w:r>
        <w:t>z</w:t>
      </w:r>
      <w:r w:rsidR="008E51A7">
        <w:t>łożenie informacji rocznej o realizacji obrotu w ramach zezwolenia generalnego</w:t>
      </w:r>
    </w:p>
    <w:p w14:paraId="26538C85" w14:textId="77777777" w:rsidR="00E7028A" w:rsidRDefault="008E51A7" w:rsidP="00100406">
      <w:pPr>
        <w:pStyle w:val="Akapitzlist"/>
        <w:numPr>
          <w:ilvl w:val="0"/>
          <w:numId w:val="4"/>
        </w:numPr>
        <w:jc w:val="both"/>
      </w:pPr>
      <w:r>
        <w:lastRenderedPageBreak/>
        <w:t>złożenie raportu rocznego do ministra właściwego do spraw zagranicznych</w:t>
      </w:r>
    </w:p>
    <w:p w14:paraId="16F917E1" w14:textId="779D5C78" w:rsidR="00142B69" w:rsidRDefault="003722E9" w:rsidP="00142B69">
      <w:pPr>
        <w:pStyle w:val="Akapitzlist"/>
        <w:numPr>
          <w:ilvl w:val="0"/>
          <w:numId w:val="4"/>
        </w:numPr>
        <w:jc w:val="both"/>
      </w:pPr>
      <w:r>
        <w:t xml:space="preserve">dokonanie </w:t>
      </w:r>
      <w:r w:rsidR="003A27B3">
        <w:t>wpisu do ewidencji w zakresie obrotu towarami o znaczeniu strategicznym oraz podanie informacji dotyczącej tego obrotu</w:t>
      </w:r>
      <w:r w:rsidR="00E7028A">
        <w:t>.</w:t>
      </w:r>
    </w:p>
    <w:p w14:paraId="465F1A84" w14:textId="4BF4E07E" w:rsidR="003722E9" w:rsidRDefault="003722E9" w:rsidP="00142B69">
      <w:pPr>
        <w:pStyle w:val="Akapitzlist"/>
        <w:numPr>
          <w:ilvl w:val="0"/>
          <w:numId w:val="4"/>
        </w:numPr>
        <w:jc w:val="both"/>
      </w:pPr>
      <w:r>
        <w:t>Wyświetlenie danych i informacji z systemu Tracker 2.0 (szczegóły sprawy, wgląd do rejestru zezwoleń i ewidencji)</w:t>
      </w:r>
    </w:p>
    <w:p w14:paraId="7D411C62" w14:textId="229A8F9B" w:rsidR="00142B69" w:rsidRDefault="00142B69" w:rsidP="00142B69">
      <w:pPr>
        <w:jc w:val="both"/>
      </w:pPr>
      <w:r w:rsidRPr="00142B69">
        <w:t>Wykonawca będzie zobowiązany do przebadania</w:t>
      </w:r>
      <w:r w:rsidR="00E2449C">
        <w:t xml:space="preserve"> </w:t>
      </w:r>
      <w:r w:rsidRPr="00142B69">
        <w:t xml:space="preserve">większej liczby </w:t>
      </w:r>
      <w:r w:rsidR="00AD02B5">
        <w:t>podstron</w:t>
      </w:r>
      <w:r w:rsidRPr="00142B69">
        <w:t>, jeśli zostanie zidentyfikowany błąd kluczowy na jedne</w:t>
      </w:r>
      <w:r w:rsidR="00C60B31">
        <w:t xml:space="preserve">j z podstron </w:t>
      </w:r>
      <w:r w:rsidRPr="00142B69">
        <w:t>wybranych do badani</w:t>
      </w:r>
      <w:r>
        <w:t>a</w:t>
      </w:r>
      <w:r w:rsidRPr="00142B69">
        <w:t>.</w:t>
      </w:r>
    </w:p>
    <w:p w14:paraId="49601AAA" w14:textId="77777777" w:rsidR="00142B69" w:rsidRDefault="00142B69" w:rsidP="00142B69">
      <w:pPr>
        <w:pStyle w:val="Akapitzlist"/>
        <w:jc w:val="both"/>
      </w:pPr>
    </w:p>
    <w:p w14:paraId="0639AF05" w14:textId="77777777" w:rsidR="00EA3925" w:rsidRDefault="00EA3925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Cel i metoda badawcza</w:t>
      </w:r>
    </w:p>
    <w:p w14:paraId="6DFC17F9" w14:textId="3861D247" w:rsidR="00EA3925" w:rsidRDefault="00EA3925" w:rsidP="00CD3870">
      <w:pPr>
        <w:jc w:val="both"/>
      </w:pPr>
      <w:r w:rsidRPr="00EA3925">
        <w:t xml:space="preserve">Poniższe wymagania mają zastosowanie do każdego z zaplanowanych </w:t>
      </w:r>
      <w:r w:rsidR="00541D35">
        <w:t>elementów</w:t>
      </w:r>
      <w:r w:rsidRPr="00EA3925">
        <w:t xml:space="preserve"> audytu, chyba, że w odniesieniu do konkretnego wymagania wskazano inaczej:</w:t>
      </w:r>
    </w:p>
    <w:p w14:paraId="7B309E65" w14:textId="77777777" w:rsidR="00EA3925" w:rsidRDefault="00EA3925" w:rsidP="00CD3870">
      <w:pPr>
        <w:jc w:val="both"/>
      </w:pPr>
      <w:r>
        <w:t>Wykonawca zbada czy audytowane systemy informatyczne zapewnią niezbędne ułatwienia (zgodne z zaleceniami WCAG 2.1) dla osób niepełnosprawnych, w zakresie przeznaczonych dla nich usług i narzędzi.</w:t>
      </w:r>
    </w:p>
    <w:p w14:paraId="51412942" w14:textId="6A05DB75" w:rsidR="00CD0F70" w:rsidRDefault="00CD0F70" w:rsidP="00CD0F70">
      <w:pPr>
        <w:jc w:val="both"/>
      </w:pPr>
      <w:r>
        <w:t>Kryteria dostępności stanowią:</w:t>
      </w:r>
    </w:p>
    <w:p w14:paraId="4BD8A271" w14:textId="77777777" w:rsidR="00CD0F70" w:rsidRDefault="00CD0F70" w:rsidP="00CD0F70">
      <w:pPr>
        <w:jc w:val="both"/>
      </w:pPr>
      <w:r>
        <w:t>1.1.1 Treść nietekstowa</w:t>
      </w:r>
    </w:p>
    <w:p w14:paraId="50DC9E3E" w14:textId="77777777" w:rsidR="00CD0F70" w:rsidRDefault="00CD0F70" w:rsidP="00CD0F70">
      <w:pPr>
        <w:jc w:val="both"/>
      </w:pPr>
      <w:r>
        <w:t>1.2.1 Tylko audio lub tylko wideo (nagranie)</w:t>
      </w:r>
    </w:p>
    <w:p w14:paraId="3AAF9E85" w14:textId="77777777" w:rsidR="00CD0F70" w:rsidRDefault="00CD0F70" w:rsidP="00CD0F70">
      <w:pPr>
        <w:jc w:val="both"/>
      </w:pPr>
      <w:r>
        <w:t>1.2.2 Napisy rozszerzone (nagranie)</w:t>
      </w:r>
    </w:p>
    <w:p w14:paraId="7E6120AA" w14:textId="77777777" w:rsidR="00CD0F70" w:rsidRDefault="00CD0F70" w:rsidP="00CD0F70">
      <w:pPr>
        <w:jc w:val="both"/>
      </w:pPr>
      <w:r>
        <w:t>1.2.3 Audiodeskrypcja lub alternatywa tekstowa dla mediów (nagranie)</w:t>
      </w:r>
    </w:p>
    <w:p w14:paraId="6F2F1D7B" w14:textId="77777777" w:rsidR="00CD0F70" w:rsidRDefault="00CD0F70" w:rsidP="00CD0F70">
      <w:pPr>
        <w:jc w:val="both"/>
      </w:pPr>
      <w:r>
        <w:t>1.2.5 Audiodeskrypcja (nagranie)</w:t>
      </w:r>
    </w:p>
    <w:p w14:paraId="7D8ADE1B" w14:textId="77777777" w:rsidR="00CD0F70" w:rsidRDefault="00CD0F70" w:rsidP="00CD0F70">
      <w:pPr>
        <w:jc w:val="both"/>
      </w:pPr>
      <w:r>
        <w:t>1.3.1 Informacje i relacje</w:t>
      </w:r>
    </w:p>
    <w:p w14:paraId="5377BDB3" w14:textId="77777777" w:rsidR="00CD0F70" w:rsidRDefault="00CD0F70" w:rsidP="00CD0F70">
      <w:pPr>
        <w:jc w:val="both"/>
      </w:pPr>
      <w:r>
        <w:t>1.3.2 Zrozumiała kolejność</w:t>
      </w:r>
    </w:p>
    <w:p w14:paraId="33B55AAA" w14:textId="77777777" w:rsidR="00CD0F70" w:rsidRDefault="00CD0F70" w:rsidP="00CD0F70">
      <w:pPr>
        <w:jc w:val="both"/>
      </w:pPr>
      <w:r>
        <w:t>1.3.3 Właściwości zmysłowe</w:t>
      </w:r>
    </w:p>
    <w:p w14:paraId="4F63EF0B" w14:textId="77777777" w:rsidR="00CD0F70" w:rsidRDefault="00CD0F70" w:rsidP="00CD0F70">
      <w:pPr>
        <w:jc w:val="both"/>
      </w:pPr>
      <w:r>
        <w:t>1.3.4 Orientacja</w:t>
      </w:r>
    </w:p>
    <w:p w14:paraId="47D6572E" w14:textId="77777777" w:rsidR="00CD0F70" w:rsidRDefault="00CD0F70" w:rsidP="00CD0F70">
      <w:pPr>
        <w:jc w:val="both"/>
      </w:pPr>
      <w:r>
        <w:t>1.3.5 Określenie pożądanej wartości</w:t>
      </w:r>
    </w:p>
    <w:p w14:paraId="04DB65EB" w14:textId="77777777" w:rsidR="00CD0F70" w:rsidRDefault="00CD0F70" w:rsidP="00CD0F70">
      <w:pPr>
        <w:jc w:val="both"/>
      </w:pPr>
      <w:r>
        <w:t>1.4.1 Użycie koloru</w:t>
      </w:r>
    </w:p>
    <w:p w14:paraId="6FE1928E" w14:textId="77777777" w:rsidR="00CD0F70" w:rsidRDefault="00CD0F70" w:rsidP="00CD0F70">
      <w:pPr>
        <w:jc w:val="both"/>
      </w:pPr>
      <w:r>
        <w:t>1.4.2 Kontrola odtwarzania dźwięku</w:t>
      </w:r>
    </w:p>
    <w:p w14:paraId="3BC0358A" w14:textId="77777777" w:rsidR="00CD0F70" w:rsidRDefault="00CD0F70" w:rsidP="00CD0F70">
      <w:pPr>
        <w:jc w:val="both"/>
      </w:pPr>
      <w:r>
        <w:t>1.4.3 Kontrast (minimum)</w:t>
      </w:r>
    </w:p>
    <w:p w14:paraId="57D2D4F6" w14:textId="77777777" w:rsidR="00CD0F70" w:rsidRDefault="00CD0F70" w:rsidP="00CD0F70">
      <w:pPr>
        <w:jc w:val="both"/>
      </w:pPr>
      <w:r>
        <w:t>1.4.4 Zmiana rozmiaru tekstu</w:t>
      </w:r>
    </w:p>
    <w:p w14:paraId="4E40B570" w14:textId="77777777" w:rsidR="00CD0F70" w:rsidRDefault="00CD0F70" w:rsidP="00CD0F70">
      <w:pPr>
        <w:jc w:val="both"/>
      </w:pPr>
      <w:r>
        <w:t>1.4.5 Obrazy tekstu</w:t>
      </w:r>
    </w:p>
    <w:p w14:paraId="237D5BE3" w14:textId="77777777" w:rsidR="00CD0F70" w:rsidRDefault="00CD0F70" w:rsidP="00CD0F70">
      <w:pPr>
        <w:jc w:val="both"/>
      </w:pPr>
      <w:r>
        <w:t>1.4.10 Dopasowanie do ekranu</w:t>
      </w:r>
    </w:p>
    <w:p w14:paraId="1B3AD0E9" w14:textId="77777777" w:rsidR="00CD0F70" w:rsidRDefault="00CD0F70" w:rsidP="00CD0F70">
      <w:pPr>
        <w:jc w:val="both"/>
      </w:pPr>
      <w:r>
        <w:lastRenderedPageBreak/>
        <w:t>1.4.11 Kontrast elementów nietekstowych</w:t>
      </w:r>
    </w:p>
    <w:p w14:paraId="3A6D2C06" w14:textId="77777777" w:rsidR="00CD0F70" w:rsidRDefault="00CD0F70" w:rsidP="00CD0F70">
      <w:pPr>
        <w:jc w:val="both"/>
      </w:pPr>
      <w:r>
        <w:t>1.4.12 Odstępy w tekście</w:t>
      </w:r>
    </w:p>
    <w:p w14:paraId="093EB08F" w14:textId="77777777" w:rsidR="00CD0F70" w:rsidRDefault="00CD0F70" w:rsidP="00CD0F70">
      <w:pPr>
        <w:jc w:val="both"/>
      </w:pPr>
      <w:r>
        <w:t>1.4.13 Treści spod kursora lub fokusu</w:t>
      </w:r>
    </w:p>
    <w:p w14:paraId="45081146" w14:textId="77777777" w:rsidR="00CD0F70" w:rsidRDefault="00CD0F70" w:rsidP="00CD0F70">
      <w:pPr>
        <w:jc w:val="both"/>
      </w:pPr>
      <w:r>
        <w:t>2.1.1 Klawiatura</w:t>
      </w:r>
    </w:p>
    <w:p w14:paraId="618B9487" w14:textId="77777777" w:rsidR="00CD0F70" w:rsidRDefault="00CD0F70" w:rsidP="00CD0F70">
      <w:pPr>
        <w:jc w:val="both"/>
      </w:pPr>
      <w:r>
        <w:t>2.1.2 Bez pułapki na klawiaturę</w:t>
      </w:r>
    </w:p>
    <w:p w14:paraId="42CDE0AD" w14:textId="77777777" w:rsidR="00CD0F70" w:rsidRDefault="00CD0F70" w:rsidP="00CD0F70">
      <w:pPr>
        <w:jc w:val="both"/>
      </w:pPr>
      <w:r>
        <w:t>2.1.4 Jednoznakowe skróty klawiaturowe</w:t>
      </w:r>
    </w:p>
    <w:p w14:paraId="6F311A52" w14:textId="77777777" w:rsidR="00CD0F70" w:rsidRDefault="00CD0F70" w:rsidP="00CD0F70">
      <w:pPr>
        <w:jc w:val="both"/>
      </w:pPr>
      <w:r>
        <w:t>2.2.1 Dostosowanie czasu</w:t>
      </w:r>
    </w:p>
    <w:p w14:paraId="49CBB4F3" w14:textId="77777777" w:rsidR="00CD0F70" w:rsidRDefault="00CD0F70" w:rsidP="00CD0F70">
      <w:pPr>
        <w:jc w:val="both"/>
      </w:pPr>
      <w:r>
        <w:t>2.2.2 Pauza, zatrzymanie, ukrycie</w:t>
      </w:r>
    </w:p>
    <w:p w14:paraId="26E99D2E" w14:textId="77777777" w:rsidR="00CD0F70" w:rsidRDefault="00CD0F70" w:rsidP="00CD0F70">
      <w:pPr>
        <w:jc w:val="both"/>
      </w:pPr>
      <w:r>
        <w:t>2.3.1 Trzy błyski lub wartości poniżej progu</w:t>
      </w:r>
    </w:p>
    <w:p w14:paraId="6B3FAB73" w14:textId="77777777" w:rsidR="00CD0F70" w:rsidRDefault="00CD0F70" w:rsidP="00CD0F70">
      <w:pPr>
        <w:jc w:val="both"/>
      </w:pPr>
      <w:r>
        <w:t>2.4.1 Możliwość pominięcia bloków</w:t>
      </w:r>
    </w:p>
    <w:p w14:paraId="04A14E65" w14:textId="77777777" w:rsidR="00CD0F70" w:rsidRDefault="00CD0F70" w:rsidP="00CD0F70">
      <w:pPr>
        <w:jc w:val="both"/>
      </w:pPr>
      <w:r>
        <w:t>2.4.2 Tytuły stron</w:t>
      </w:r>
    </w:p>
    <w:p w14:paraId="3B4936A8" w14:textId="77777777" w:rsidR="00CD0F70" w:rsidRDefault="00CD0F70" w:rsidP="00CD0F70">
      <w:pPr>
        <w:jc w:val="both"/>
      </w:pPr>
      <w:r>
        <w:t>2.4.3 Kolejność fokusu</w:t>
      </w:r>
    </w:p>
    <w:p w14:paraId="02C2AD31" w14:textId="77777777" w:rsidR="00CD0F70" w:rsidRDefault="00CD0F70" w:rsidP="00CD0F70">
      <w:pPr>
        <w:jc w:val="both"/>
      </w:pPr>
      <w:r>
        <w:t>2.4.4 Cel linku (w kontekście)</w:t>
      </w:r>
    </w:p>
    <w:p w14:paraId="017AE255" w14:textId="77777777" w:rsidR="00CD0F70" w:rsidRDefault="00CD0F70" w:rsidP="00CD0F70">
      <w:pPr>
        <w:jc w:val="both"/>
      </w:pPr>
      <w:r>
        <w:t>2.4.5 Wiele dróg</w:t>
      </w:r>
    </w:p>
    <w:p w14:paraId="62498CD4" w14:textId="77777777" w:rsidR="00CD0F70" w:rsidRDefault="00CD0F70" w:rsidP="00CD0F70">
      <w:pPr>
        <w:jc w:val="both"/>
      </w:pPr>
      <w:r>
        <w:t>2.4.6 Nagłówki i etykiety</w:t>
      </w:r>
    </w:p>
    <w:p w14:paraId="3AAC8976" w14:textId="77777777" w:rsidR="00CD0F70" w:rsidRDefault="00CD0F70" w:rsidP="00CD0F70">
      <w:pPr>
        <w:jc w:val="both"/>
      </w:pPr>
      <w:r>
        <w:t>2.4.7 Widoczny fokus</w:t>
      </w:r>
    </w:p>
    <w:p w14:paraId="0822428C" w14:textId="77777777" w:rsidR="00CD0F70" w:rsidRDefault="00CD0F70" w:rsidP="00CD0F70">
      <w:pPr>
        <w:jc w:val="both"/>
      </w:pPr>
      <w:r>
        <w:t>2.5.1 Gesty dotykowe</w:t>
      </w:r>
    </w:p>
    <w:p w14:paraId="255F9DB2" w14:textId="77777777" w:rsidR="00CD0F70" w:rsidRDefault="00CD0F70" w:rsidP="00CD0F70">
      <w:pPr>
        <w:jc w:val="both"/>
      </w:pPr>
      <w:r>
        <w:t>2.5.2 Rezygnacja ze wskazania</w:t>
      </w:r>
    </w:p>
    <w:p w14:paraId="60318F47" w14:textId="77777777" w:rsidR="00CD0F70" w:rsidRDefault="00CD0F70" w:rsidP="00CD0F70">
      <w:pPr>
        <w:jc w:val="both"/>
      </w:pPr>
      <w:r>
        <w:t>2.5.3 Etykieta w nazwie</w:t>
      </w:r>
    </w:p>
    <w:p w14:paraId="685279EC" w14:textId="77777777" w:rsidR="00CD0F70" w:rsidRDefault="00CD0F70" w:rsidP="00CD0F70">
      <w:pPr>
        <w:jc w:val="both"/>
      </w:pPr>
      <w:r>
        <w:t>2.5.4 Aktywowanie ruchem</w:t>
      </w:r>
    </w:p>
    <w:p w14:paraId="3F1C387D" w14:textId="77777777" w:rsidR="00CD0F70" w:rsidRDefault="00CD0F70" w:rsidP="00CD0F70">
      <w:pPr>
        <w:jc w:val="both"/>
      </w:pPr>
      <w:r>
        <w:t>3.1.1 Język strony</w:t>
      </w:r>
    </w:p>
    <w:p w14:paraId="38AFE083" w14:textId="77777777" w:rsidR="00CD0F70" w:rsidRDefault="00CD0F70" w:rsidP="00CD0F70">
      <w:pPr>
        <w:jc w:val="both"/>
      </w:pPr>
      <w:r>
        <w:t>3.1.2 Język części</w:t>
      </w:r>
    </w:p>
    <w:p w14:paraId="4E44D7E8" w14:textId="77777777" w:rsidR="00CD0F70" w:rsidRDefault="00CD0F70" w:rsidP="00CD0F70">
      <w:pPr>
        <w:jc w:val="both"/>
      </w:pPr>
      <w:r>
        <w:t>3.2.1 Po otrzymaniu fokusu</w:t>
      </w:r>
    </w:p>
    <w:p w14:paraId="421BC2B6" w14:textId="77777777" w:rsidR="00CD0F70" w:rsidRDefault="00CD0F70" w:rsidP="00CD0F70">
      <w:pPr>
        <w:jc w:val="both"/>
      </w:pPr>
      <w:r>
        <w:t>3.2.2 Podczas wprowadzania danych</w:t>
      </w:r>
    </w:p>
    <w:p w14:paraId="3E099B61" w14:textId="77777777" w:rsidR="00CD0F70" w:rsidRDefault="00CD0F70" w:rsidP="00CD0F70">
      <w:pPr>
        <w:jc w:val="both"/>
      </w:pPr>
      <w:r>
        <w:t>3.2.3 Spójna nawigacja</w:t>
      </w:r>
    </w:p>
    <w:p w14:paraId="119ABB39" w14:textId="77777777" w:rsidR="00CD0F70" w:rsidRDefault="00CD0F70" w:rsidP="00CD0F70">
      <w:pPr>
        <w:jc w:val="both"/>
      </w:pPr>
      <w:r>
        <w:t>3.2.4 Spójna identyfikacja</w:t>
      </w:r>
    </w:p>
    <w:p w14:paraId="780D2B28" w14:textId="77777777" w:rsidR="00CD0F70" w:rsidRDefault="00CD0F70" w:rsidP="00CD0F70">
      <w:pPr>
        <w:jc w:val="both"/>
      </w:pPr>
      <w:r>
        <w:t>3.3.1 Identyfikacja błędu</w:t>
      </w:r>
    </w:p>
    <w:p w14:paraId="2C3D993D" w14:textId="77777777" w:rsidR="00CD0F70" w:rsidRDefault="00CD0F70" w:rsidP="00CD0F70">
      <w:pPr>
        <w:jc w:val="both"/>
      </w:pPr>
      <w:r>
        <w:lastRenderedPageBreak/>
        <w:t>3.3.2 Etykiety lub instrukcje</w:t>
      </w:r>
    </w:p>
    <w:p w14:paraId="522C8ECD" w14:textId="77777777" w:rsidR="00CD0F70" w:rsidRDefault="00CD0F70" w:rsidP="00CD0F70">
      <w:pPr>
        <w:jc w:val="both"/>
      </w:pPr>
      <w:r>
        <w:t>3.3.3 Sugestie korekty błędów</w:t>
      </w:r>
    </w:p>
    <w:p w14:paraId="126F3FEB" w14:textId="6DC5776E" w:rsidR="00CD0F70" w:rsidRDefault="00CD0F70" w:rsidP="00CD0F70">
      <w:pPr>
        <w:jc w:val="both"/>
      </w:pPr>
      <w:r>
        <w:t>3.3.4 Zapobieganie błędom (prawnym,</w:t>
      </w:r>
      <w:r w:rsidR="00FB479F">
        <w:t xml:space="preserve"> </w:t>
      </w:r>
      <w:r>
        <w:t>finansowym, w danych)</w:t>
      </w:r>
    </w:p>
    <w:p w14:paraId="50F3CDFF" w14:textId="77777777" w:rsidR="00CD0F70" w:rsidRDefault="00CD0F70" w:rsidP="00CD0F70">
      <w:pPr>
        <w:jc w:val="both"/>
      </w:pPr>
      <w:r>
        <w:t>4.1.1 Poprawność kodu</w:t>
      </w:r>
    </w:p>
    <w:p w14:paraId="34328F3F" w14:textId="77777777" w:rsidR="00CD0F70" w:rsidRDefault="00CD0F70" w:rsidP="00CD0F70">
      <w:pPr>
        <w:jc w:val="both"/>
      </w:pPr>
      <w:r>
        <w:t>4.1.2 Nazwa, rola, wartość</w:t>
      </w:r>
    </w:p>
    <w:p w14:paraId="399DB0DD" w14:textId="12AE350A" w:rsidR="00CD0F70" w:rsidRDefault="00CD0F70" w:rsidP="00CD0F70">
      <w:pPr>
        <w:jc w:val="both"/>
      </w:pPr>
      <w:r>
        <w:t>4.1.3 Komunikaty o stanie</w:t>
      </w:r>
    </w:p>
    <w:p w14:paraId="38209D19" w14:textId="77777777" w:rsidR="00AF5931" w:rsidRDefault="00AF5931" w:rsidP="00CD3870">
      <w:pPr>
        <w:jc w:val="both"/>
      </w:pPr>
      <w:r>
        <w:t xml:space="preserve">Celem szczegółowym badania jest </w:t>
      </w:r>
      <w:r w:rsidRPr="00AF5931">
        <w:t>ocena stopnia spełniania wymogów zawartych w wytycznych WCAG 2.1</w:t>
      </w:r>
      <w:r>
        <w:t>.</w:t>
      </w:r>
    </w:p>
    <w:p w14:paraId="5637897E" w14:textId="77777777" w:rsidR="00AF5931" w:rsidRDefault="00AF5931" w:rsidP="00CD3870">
      <w:pPr>
        <w:jc w:val="both"/>
      </w:pPr>
    </w:p>
    <w:p w14:paraId="2BA29691" w14:textId="77777777" w:rsidR="00AF5931" w:rsidRDefault="00AF5931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Metodologia audytu</w:t>
      </w:r>
    </w:p>
    <w:p w14:paraId="177712D1" w14:textId="78E02CE3" w:rsidR="00AF5931" w:rsidRDefault="00AF5931" w:rsidP="00CD3870">
      <w:pPr>
        <w:jc w:val="both"/>
      </w:pPr>
      <w:r w:rsidRPr="00AF5931">
        <w:t>Badania będą prowadzone z wykorzystaniem analizy eksperckiej, badań z użytkownikami</w:t>
      </w:r>
      <w:r w:rsidR="0001516A">
        <w:t>, list kontrolnych lub</w:t>
      </w:r>
      <w:r w:rsidRPr="00AF5931">
        <w:t xml:space="preserve"> innych, zaproponowanych w toku akceptacji narzędzi badawczych między Wykonawcą a Zamawiającym.</w:t>
      </w:r>
    </w:p>
    <w:p w14:paraId="4E19A31B" w14:textId="30D32DEB" w:rsidR="00AF5931" w:rsidRDefault="00AF5931" w:rsidP="00CD3870">
      <w:pPr>
        <w:jc w:val="both"/>
      </w:pPr>
      <w:r>
        <w:t xml:space="preserve">Wykonawca będzie zobowiązany przeprowadzić audyt pod kątem oceny stopnia spełniania wymogów zawartych w wytycznych WCAG 2.1 do poziomu zgodności wymaganego </w:t>
      </w:r>
      <w:r w:rsidR="00646A1F">
        <w:t xml:space="preserve">z przepisami </w:t>
      </w:r>
      <w:hyperlink r:id="rId7" w:history="1">
        <w:r w:rsidR="00646A1F">
          <w:rPr>
            <w:rStyle w:val="Hipercze"/>
          </w:rPr>
          <w:t>Ustawy z dnia 4 kwietnia 2019 o dostępności cyfrowej stron internetowych i aplikacji mobilnych podmiotów publicznych</w:t>
        </w:r>
      </w:hyperlink>
      <w:r w:rsidR="00646A1F">
        <w:t> (dalej: ustawa o dostępności cyfrowej).</w:t>
      </w:r>
    </w:p>
    <w:p w14:paraId="48933214" w14:textId="77777777" w:rsidR="00AF5931" w:rsidRDefault="00AF5931" w:rsidP="00CD3870">
      <w:pPr>
        <w:jc w:val="both"/>
      </w:pPr>
      <w:r>
        <w:t xml:space="preserve">Zakres audytu będzie obejmował m.in. </w:t>
      </w:r>
    </w:p>
    <w:p w14:paraId="51F4F8FD" w14:textId="77777777" w:rsidR="00AF5931" w:rsidRDefault="00AF5931" w:rsidP="00CD3870">
      <w:pPr>
        <w:jc w:val="both"/>
      </w:pPr>
      <w:r>
        <w:t>•</w:t>
      </w:r>
      <w:r>
        <w:tab/>
        <w:t>ocenę systemu nawigacji, intuicyjności dotarcia do informacji, przejrzystości i zrozumiałości treści, stosowanego nazewnictwa, użyteczności elementów graficznych, użyteczności formularzy;</w:t>
      </w:r>
    </w:p>
    <w:p w14:paraId="3E00E5F1" w14:textId="77777777" w:rsidR="00AF5931" w:rsidRDefault="00AF5931" w:rsidP="00CD3870">
      <w:pPr>
        <w:jc w:val="both"/>
      </w:pPr>
      <w:r>
        <w:t>•</w:t>
      </w:r>
      <w:r>
        <w:tab/>
        <w:t>semantyczność kodu, optymalizację kodu, metatagi, optymalizację tekstów, nieprzyjazne linki, kanoniczność linków, błędy linkowań wewnętrznych, błędy nagłówków, błędy opisów „alt”.</w:t>
      </w:r>
    </w:p>
    <w:p w14:paraId="438214D5" w14:textId="790AA397" w:rsidR="00AF5931" w:rsidRDefault="0001516A" w:rsidP="00CD3870">
      <w:pPr>
        <w:jc w:val="both"/>
      </w:pPr>
      <w:r>
        <w:t>Wykonawca zaproponuje metodologię audytu w odniesieniu do najlepszych praktyk audytorskich. Wykonawca zapewni udział osób z różnymi typami niepełnosprawności (w tym wzrokowymi) w ocenie dostępności projektowanych systemów.</w:t>
      </w:r>
      <w:r w:rsidR="00226598">
        <w:t xml:space="preserve"> Realizacja tego wymagania zostanie wskazana w raporcie przygotowanym przez Wykonawcę</w:t>
      </w:r>
      <w:r w:rsidR="00C413D0">
        <w:t>.</w:t>
      </w:r>
    </w:p>
    <w:p w14:paraId="706617C0" w14:textId="77777777" w:rsidR="00A10A2B" w:rsidRDefault="00A10A2B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Obowiązki Wykonawcy</w:t>
      </w:r>
    </w:p>
    <w:p w14:paraId="17AA21EE" w14:textId="77777777" w:rsidR="00A10A2B" w:rsidRDefault="00A10A2B" w:rsidP="00CD3870">
      <w:pPr>
        <w:jc w:val="both"/>
      </w:pPr>
    </w:p>
    <w:p w14:paraId="74E460A1" w14:textId="77777777" w:rsidR="00952BFE" w:rsidRDefault="00952BFE" w:rsidP="00CD3870">
      <w:pPr>
        <w:jc w:val="both"/>
      </w:pPr>
      <w:r>
        <w:t>Obowiązki Wykonawcy związane z realizacją zamówienia obejmują następujące czynności:</w:t>
      </w:r>
    </w:p>
    <w:p w14:paraId="785BF107" w14:textId="2832DFDA" w:rsidR="00952BFE" w:rsidRDefault="00E95F97" w:rsidP="00CD3870">
      <w:pPr>
        <w:jc w:val="both"/>
      </w:pPr>
      <w:r>
        <w:t>I</w:t>
      </w:r>
      <w:r w:rsidR="00952BFE">
        <w:tab/>
        <w:t xml:space="preserve">Po </w:t>
      </w:r>
      <w:r w:rsidR="00C413D0">
        <w:t xml:space="preserve">realizacji prac </w:t>
      </w:r>
      <w:r w:rsidR="00952BFE">
        <w:t>Wykonawca przedstawi Zamawiającemu Raport zawierający:</w:t>
      </w:r>
    </w:p>
    <w:p w14:paraId="7A3A9326" w14:textId="77777777" w:rsidR="00952BFE" w:rsidRDefault="00952BFE" w:rsidP="00CD3870">
      <w:pPr>
        <w:jc w:val="both"/>
      </w:pPr>
      <w:r>
        <w:t>1.</w:t>
      </w:r>
      <w:r>
        <w:tab/>
        <w:t>streszczenie;</w:t>
      </w:r>
    </w:p>
    <w:p w14:paraId="342C1184" w14:textId="77777777" w:rsidR="00952BFE" w:rsidRDefault="00952BFE" w:rsidP="00CD3870">
      <w:pPr>
        <w:jc w:val="both"/>
      </w:pPr>
      <w:r>
        <w:t>2.</w:t>
      </w:r>
      <w:r>
        <w:tab/>
        <w:t>opis metodologii badania;</w:t>
      </w:r>
    </w:p>
    <w:p w14:paraId="19A8C069" w14:textId="77777777" w:rsidR="00952BFE" w:rsidRDefault="00952BFE" w:rsidP="00CD3870">
      <w:pPr>
        <w:jc w:val="both"/>
      </w:pPr>
      <w:r>
        <w:lastRenderedPageBreak/>
        <w:t>3.</w:t>
      </w:r>
      <w:r>
        <w:tab/>
        <w:t>wyniki badania, wnioski i szczegółowe rekomendacje;</w:t>
      </w:r>
    </w:p>
    <w:p w14:paraId="79EA2C3F" w14:textId="77777777" w:rsidR="00952BFE" w:rsidRDefault="00952BFE" w:rsidP="00CD3870">
      <w:pPr>
        <w:jc w:val="both"/>
      </w:pPr>
      <w:r>
        <w:t>4.</w:t>
      </w:r>
      <w:r>
        <w:tab/>
        <w:t>załączniki</w:t>
      </w:r>
      <w:r w:rsidR="00AB4C70">
        <w:t xml:space="preserve"> – jeśli dotyczy, w zależności od wykorzystywanej metodologii</w:t>
      </w:r>
      <w:r>
        <w:t xml:space="preserve"> (</w:t>
      </w:r>
      <w:r w:rsidR="00AB4C70">
        <w:t xml:space="preserve">np. </w:t>
      </w:r>
      <w:r>
        <w:t>lista kryteriów, nagrania audio-video badań na płytach DVD, charakterystyka uczestników badania,</w:t>
      </w:r>
      <w:r w:rsidR="00AB4C70">
        <w:t xml:space="preserve"> lista użytkowników i zadań</w:t>
      </w:r>
      <w:r>
        <w:t>).</w:t>
      </w:r>
    </w:p>
    <w:p w14:paraId="3C875C9E" w14:textId="77777777" w:rsidR="00952BFE" w:rsidRDefault="00952BFE" w:rsidP="00CD3870">
      <w:pPr>
        <w:jc w:val="both"/>
      </w:pPr>
      <w:r>
        <w:t>Raport oraz nośniki danych, na których zostanie przekazany, a także inne materiały dotyczące badania i przekazywane Zamawiającemu będą oznakowane zestawem znaków, które Wykonawca otrzyma od Zamawiającego.</w:t>
      </w:r>
    </w:p>
    <w:p w14:paraId="2FF8EF31" w14:textId="77777777" w:rsidR="00952BFE" w:rsidRDefault="00952BFE" w:rsidP="00CD3870">
      <w:pPr>
        <w:jc w:val="both"/>
      </w:pPr>
      <w:r>
        <w:t>Raport musi być dostarczony Zamawiającemu, w formie elektronicznej – w formacie .DOC i .PDF., najpóźniej w ostatnim dniu realizacji audytu.</w:t>
      </w:r>
    </w:p>
    <w:p w14:paraId="7BFD03D0" w14:textId="77777777" w:rsidR="00952BFE" w:rsidRDefault="00952BFE" w:rsidP="00CD3870">
      <w:pPr>
        <w:jc w:val="both"/>
      </w:pPr>
      <w:r>
        <w:t>W ramach współpracy z Zamawiającym Wykonawca i Zamawiający wyznaczają w swoich strukturach osobę prowadzącą zlecenie oraz osobę zastępującą prowadzącego zlecenie w przypadku jego nieobecności. Wykonawca zobowiązany jest do sprawnej i terminowej realizacji zamówienia oraz stałej współpracy z Zamawiającym, w tym:</w:t>
      </w:r>
    </w:p>
    <w:p w14:paraId="34883AAC" w14:textId="77777777" w:rsidR="00952BFE" w:rsidRDefault="00952BFE" w:rsidP="00CD3870">
      <w:pPr>
        <w:jc w:val="both"/>
      </w:pPr>
      <w:r>
        <w:t>a.</w:t>
      </w:r>
      <w:r>
        <w:tab/>
        <w:t>pozostawania w stałym kontakcie (kontakt telefoniczny oraz drogą elektroniczną; spotkania z Zamawiającym w miarę potrzeb; wyznaczenie osoby do kontaktów roboczych);</w:t>
      </w:r>
    </w:p>
    <w:p w14:paraId="693FB8EA" w14:textId="77777777" w:rsidR="00952BFE" w:rsidRDefault="00952BFE" w:rsidP="00CD3870">
      <w:pPr>
        <w:jc w:val="both"/>
      </w:pPr>
      <w:r>
        <w:t>b.</w:t>
      </w:r>
      <w:r>
        <w:tab/>
        <w:t>informowania o stanie prac, pojawiających się problemach i innych zagadnieniach istotnych dla realizacji badania.</w:t>
      </w:r>
    </w:p>
    <w:p w14:paraId="4CA5E071" w14:textId="77777777" w:rsidR="00952BFE" w:rsidRDefault="00952BFE" w:rsidP="00CD3870">
      <w:pPr>
        <w:jc w:val="both"/>
      </w:pPr>
    </w:p>
    <w:p w14:paraId="12A03D6C" w14:textId="77777777" w:rsidR="00952BFE" w:rsidRDefault="00952BFE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Umowa na realizację zamówienia</w:t>
      </w:r>
    </w:p>
    <w:p w14:paraId="28612111" w14:textId="77777777" w:rsidR="00952BFE" w:rsidRDefault="00952BFE" w:rsidP="00CD3870">
      <w:pPr>
        <w:jc w:val="both"/>
      </w:pPr>
      <w:r w:rsidRPr="00952BFE">
        <w:t>Umowa z Wykonawcą zostanie zawarta według zapisów zgodnych z IPU, k</w:t>
      </w:r>
      <w:r w:rsidR="00E95F97">
        <w:t>tóre znajdują się w załączniku 1</w:t>
      </w:r>
      <w:r w:rsidRPr="00952BFE">
        <w:t xml:space="preserve"> do SOPZ. Wykonawca, składając ofertę, jednocześnie akceptuje te zapisy.</w:t>
      </w:r>
    </w:p>
    <w:p w14:paraId="313E51EF" w14:textId="77777777" w:rsidR="00952BFE" w:rsidRDefault="00952BFE" w:rsidP="00CD3870">
      <w:pPr>
        <w:jc w:val="both"/>
      </w:pPr>
    </w:p>
    <w:p w14:paraId="3ED9FF9D" w14:textId="77777777" w:rsidR="00952BFE" w:rsidRDefault="00952BFE" w:rsidP="00CD3870">
      <w:pPr>
        <w:pStyle w:val="Akapitzlist"/>
        <w:numPr>
          <w:ilvl w:val="0"/>
          <w:numId w:val="1"/>
        </w:numPr>
        <w:ind w:left="0" w:firstLine="0"/>
        <w:jc w:val="both"/>
      </w:pPr>
      <w:r>
        <w:t>Sposób składania ofert</w:t>
      </w:r>
    </w:p>
    <w:p w14:paraId="4C2FEFF1" w14:textId="77777777" w:rsidR="00952BFE" w:rsidRDefault="00952BFE" w:rsidP="00CD3870">
      <w:pPr>
        <w:jc w:val="both"/>
      </w:pPr>
      <w:r>
        <w:t>I</w:t>
      </w:r>
      <w:r>
        <w:tab/>
        <w:t>Wymagania niezbędne wobec Wykonawcy</w:t>
      </w:r>
    </w:p>
    <w:p w14:paraId="6614DC72" w14:textId="2E5B2FD4" w:rsidR="00952BFE" w:rsidRDefault="00952BFE" w:rsidP="00CD3870">
      <w:pPr>
        <w:jc w:val="both"/>
      </w:pPr>
      <w:r w:rsidRPr="00952BFE">
        <w:t xml:space="preserve">Zamawiający wymaga, aby Wykonawca przedstawił potwierdzenie wykonania należycie w okresie ostatnich trzech lat przed upływem terminu składania ofert, a jeżeli okres prowadzenia działalności jest krótszy – </w:t>
      </w:r>
      <w:r>
        <w:t xml:space="preserve">w tym okresie </w:t>
      </w:r>
      <w:r w:rsidRPr="00952BFE">
        <w:t xml:space="preserve">co najmniej </w:t>
      </w:r>
      <w:r w:rsidR="00B46465">
        <w:t>3</w:t>
      </w:r>
      <w:r w:rsidR="00B46465" w:rsidRPr="00952BFE">
        <w:t xml:space="preserve"> </w:t>
      </w:r>
      <w:r w:rsidRPr="00952BFE">
        <w:t>usług polegających na przeprowadzeniu badań dostępności serwisów internetowych dla osób z niepełnosprawnościami, które to audyty dotyczyły spełniania wymogów zawartych w wytycznych WCAG 2.1</w:t>
      </w:r>
      <w:r>
        <w:t xml:space="preserve">. </w:t>
      </w:r>
      <w:r w:rsidRPr="00952BFE">
        <w:t>Do każdej usługi przedstawionej w ofercie należy przedstawić dokument potwierdzający, że ta usługa została wykonana należycie.</w:t>
      </w:r>
    </w:p>
    <w:p w14:paraId="4959F0D5" w14:textId="77777777" w:rsidR="00952BFE" w:rsidRDefault="00882661" w:rsidP="00CD3870">
      <w:pPr>
        <w:jc w:val="both"/>
      </w:pPr>
      <w:r>
        <w:t>II</w:t>
      </w:r>
      <w:r>
        <w:tab/>
        <w:t>Wymagania niezbędne względem zespołu</w:t>
      </w:r>
    </w:p>
    <w:p w14:paraId="1A78F90B" w14:textId="77777777" w:rsidR="00882661" w:rsidRDefault="00882661" w:rsidP="00CD3870">
      <w:pPr>
        <w:jc w:val="both"/>
      </w:pPr>
      <w:r w:rsidRPr="00882661">
        <w:t>Zamawiający wymaga, aby Wykonawca dysponował zespołem</w:t>
      </w:r>
      <w:r>
        <w:t xml:space="preserve"> co najmniej dwóch</w:t>
      </w:r>
      <w:r w:rsidRPr="00882661">
        <w:t xml:space="preserve"> osób, które będą uczestniczyć w wykonywaniu zamówienia, kt</w:t>
      </w:r>
      <w:r>
        <w:t xml:space="preserve">óre </w:t>
      </w:r>
      <w:r w:rsidRPr="00882661">
        <w:t xml:space="preserve">w okresie ostatnich 3 lat przed upływem terminu składania ofert </w:t>
      </w:r>
      <w:r>
        <w:t>przeprowadziły przynajmniej</w:t>
      </w:r>
      <w:r w:rsidRPr="00882661">
        <w:t xml:space="preserve"> 3 audyty </w:t>
      </w:r>
      <w:r>
        <w:t>dostępności (w rozumieni</w:t>
      </w:r>
      <w:r w:rsidR="007D4312">
        <w:t xml:space="preserve">u WCAG) systemów </w:t>
      </w:r>
      <w:r w:rsidR="007D4312">
        <w:lastRenderedPageBreak/>
        <w:t>informatycznych (w tym stron internetowych i aplikacji mobilnych)</w:t>
      </w:r>
      <w:r>
        <w:t xml:space="preserve">. </w:t>
      </w:r>
      <w:r w:rsidRPr="00882661">
        <w:t>Wykonawca może skierować do realizacji zamówienia większą liczbę osób spełniających wskazane wymagania.</w:t>
      </w:r>
    </w:p>
    <w:p w14:paraId="2DF6D06C" w14:textId="77777777" w:rsidR="009077DE" w:rsidRDefault="009077DE" w:rsidP="00CD3870">
      <w:pPr>
        <w:jc w:val="both"/>
      </w:pPr>
    </w:p>
    <w:p w14:paraId="70A68644" w14:textId="77777777" w:rsidR="009077DE" w:rsidRDefault="009077DE" w:rsidP="00CD3870">
      <w:pPr>
        <w:jc w:val="both"/>
      </w:pPr>
      <w:r>
        <w:t>III</w:t>
      </w:r>
      <w:r>
        <w:tab/>
        <w:t xml:space="preserve"> Kryteria wyboru oferty</w:t>
      </w:r>
    </w:p>
    <w:p w14:paraId="3F79C009" w14:textId="77777777" w:rsidR="009077DE" w:rsidRDefault="009077DE" w:rsidP="00CD3870">
      <w:pPr>
        <w:jc w:val="both"/>
      </w:pPr>
      <w:r>
        <w:t>•</w:t>
      </w:r>
      <w:r>
        <w:tab/>
        <w:t>Doświadczenie Wykonawcy – wg reguły „spełnia – nie spełnia”</w:t>
      </w:r>
    </w:p>
    <w:p w14:paraId="3CC8F150" w14:textId="77777777" w:rsidR="009077DE" w:rsidRDefault="009077DE" w:rsidP="00CD3870">
      <w:pPr>
        <w:jc w:val="both"/>
      </w:pPr>
      <w:r>
        <w:t>•</w:t>
      </w:r>
      <w:r>
        <w:tab/>
        <w:t>Cena całkowita – oferty będą oceniane według następującego wzoru:</w:t>
      </w:r>
    </w:p>
    <w:p w14:paraId="03DE4DF4" w14:textId="77777777" w:rsidR="009077DE" w:rsidRDefault="009077DE" w:rsidP="00CD3870">
      <w:pPr>
        <w:jc w:val="both"/>
      </w:pPr>
    </w:p>
    <w:p w14:paraId="02612C7D" w14:textId="77777777" w:rsidR="009077DE" w:rsidRDefault="009077DE" w:rsidP="00CD3870">
      <w:pPr>
        <w:jc w:val="both"/>
      </w:pPr>
      <w:r>
        <w:t xml:space="preserve"> Punkty w kryterium „cena” = cena oferty najt</w:t>
      </w:r>
      <w:r w:rsidR="00E95F97">
        <w:t>ańszej / cena oferty badanej * 10</w:t>
      </w:r>
      <w:r>
        <w:t>0 pkt</w:t>
      </w:r>
    </w:p>
    <w:p w14:paraId="64F45647" w14:textId="77777777" w:rsidR="009077DE" w:rsidRDefault="009077DE" w:rsidP="00CD3870">
      <w:pPr>
        <w:jc w:val="both"/>
      </w:pPr>
      <w:r>
        <w:t>•</w:t>
      </w:r>
      <w:r>
        <w:tab/>
        <w:t>Łączna punktacja oferty:</w:t>
      </w:r>
    </w:p>
    <w:p w14:paraId="0C9EDBB5" w14:textId="77777777" w:rsidR="009077DE" w:rsidRDefault="00E95F97" w:rsidP="00CD3870">
      <w:pPr>
        <w:jc w:val="both"/>
      </w:pPr>
      <w:r>
        <w:t>P</w:t>
      </w:r>
      <w:r w:rsidR="009077DE">
        <w:t>unkty w kryterium „cena całkowita”.</w:t>
      </w:r>
    </w:p>
    <w:p w14:paraId="455F672D" w14:textId="77777777" w:rsidR="009077DE" w:rsidRDefault="009077DE" w:rsidP="00CD3870">
      <w:pPr>
        <w:jc w:val="both"/>
      </w:pPr>
      <w:r>
        <w:t>Za najkorzystniejszą zostanie uznana oferta z największą liczbą punktów</w:t>
      </w:r>
      <w:r w:rsidR="00E95F97">
        <w:t>.</w:t>
      </w:r>
    </w:p>
    <w:p w14:paraId="7805FA91" w14:textId="77777777" w:rsidR="00EF4CBC" w:rsidRDefault="00EF4CBC" w:rsidP="00CD3870">
      <w:pPr>
        <w:jc w:val="both"/>
      </w:pPr>
    </w:p>
    <w:p w14:paraId="186A88FC" w14:textId="77777777" w:rsidR="00EF4CBC" w:rsidRDefault="00EF4CBC" w:rsidP="00CD3870">
      <w:pPr>
        <w:jc w:val="both"/>
      </w:pPr>
      <w:r>
        <w:t>IV</w:t>
      </w:r>
      <w:r>
        <w:tab/>
        <w:t>Treść oferty</w:t>
      </w:r>
    </w:p>
    <w:p w14:paraId="4A15EC36" w14:textId="77777777" w:rsidR="00EF4CBC" w:rsidRDefault="00EF4CBC" w:rsidP="00CD3870">
      <w:pPr>
        <w:jc w:val="both"/>
      </w:pPr>
      <w:r>
        <w:t>Oferta Wykonawcy powinna zawierać:</w:t>
      </w:r>
    </w:p>
    <w:p w14:paraId="4613A417" w14:textId="4EE6C7C6" w:rsidR="00EF4CBC" w:rsidRDefault="00EF4CBC" w:rsidP="00CD3870">
      <w:pPr>
        <w:jc w:val="both"/>
      </w:pPr>
      <w:r>
        <w:t>a)</w:t>
      </w:r>
      <w:r>
        <w:tab/>
      </w:r>
      <w:r w:rsidR="00E4122F" w:rsidRPr="00E4122F">
        <w:t xml:space="preserve">informacje i dokumenty potwierdzające spełnianie przez Wykonawcę warunków  w zakresie zrealizowanych usług, o których mowa w punkcie </w:t>
      </w:r>
      <w:r w:rsidR="00AC0A0E">
        <w:t>8</w:t>
      </w:r>
      <w:r w:rsidR="00E4122F" w:rsidRPr="00E4122F">
        <w:t xml:space="preserve">.I i informację o zespole, o którym mowa w pkt. </w:t>
      </w:r>
      <w:r w:rsidR="00AC0A0E">
        <w:t>8</w:t>
      </w:r>
      <w:r w:rsidR="00E4122F" w:rsidRPr="00E4122F">
        <w:t xml:space="preserve">.II SOPZ. </w:t>
      </w:r>
    </w:p>
    <w:p w14:paraId="7A8AE357" w14:textId="77777777" w:rsidR="00EF4CBC" w:rsidRDefault="00EF4CBC" w:rsidP="00CD3870">
      <w:pPr>
        <w:jc w:val="both"/>
      </w:pPr>
      <w:r>
        <w:t>b)</w:t>
      </w:r>
      <w:r>
        <w:tab/>
        <w:t>koszty wykonania zamówienia w kwocie brutto; koszty te muszą obejmować wszystkie czynności związane z wykonaniem zadania. Koszty te muszą zostać podane zgodnie z poniższym wyszczególnieniem: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36"/>
        <w:gridCol w:w="3164"/>
        <w:gridCol w:w="1745"/>
        <w:gridCol w:w="1772"/>
      </w:tblGrid>
      <w:tr w:rsidR="00BB53BF" w14:paraId="415AF51B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6A68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Lp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DD8A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Usługa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D517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netto całej usługi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CB2A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brutto całej usługi</w:t>
            </w:r>
          </w:p>
        </w:tc>
      </w:tr>
      <w:tr w:rsidR="00BB53BF" w14:paraId="3FF07EA6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78C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E6D" w14:textId="1833DC23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Przeprowadzenie </w:t>
            </w:r>
            <w:r w:rsidR="00AC0A0E">
              <w:rPr>
                <w:rFonts w:eastAsiaTheme="majorEastAsia" w:cstheme="minorHAnsi"/>
                <w:bCs/>
              </w:rPr>
              <w:t>audytu</w:t>
            </w:r>
            <w:r>
              <w:rPr>
                <w:rFonts w:eastAsiaTheme="majorEastAsia" w:cstheme="minorHAnsi"/>
                <w:bCs/>
              </w:rPr>
              <w:t xml:space="preserve"> dostępności usług </w:t>
            </w:r>
            <w:r w:rsidR="00AC0A0E">
              <w:rPr>
                <w:rFonts w:eastAsiaTheme="majorEastAsia" w:cstheme="minorHAnsi"/>
                <w:bCs/>
              </w:rPr>
              <w:t>Tracker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9E7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F46" w14:textId="77777777" w:rsidR="00BB53BF" w:rsidRDefault="00BB53BF" w:rsidP="00CD3870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</w:tbl>
    <w:p w14:paraId="199BB326" w14:textId="77777777" w:rsidR="00EF4CBC" w:rsidRDefault="00EF4CBC" w:rsidP="00CD3870">
      <w:pPr>
        <w:jc w:val="both"/>
      </w:pPr>
    </w:p>
    <w:p w14:paraId="05347846" w14:textId="77777777" w:rsidR="00E92476" w:rsidRDefault="00E92476" w:rsidP="00CD3870">
      <w:pPr>
        <w:jc w:val="both"/>
      </w:pPr>
      <w:r>
        <w:t>V</w:t>
      </w:r>
      <w:r>
        <w:tab/>
        <w:t>Termin i sposób składania ofert</w:t>
      </w:r>
    </w:p>
    <w:p w14:paraId="48F6C323" w14:textId="3189EE8B" w:rsidR="00E92476" w:rsidRDefault="00E92476" w:rsidP="00CD3870">
      <w:pPr>
        <w:jc w:val="both"/>
      </w:pPr>
      <w:r>
        <w:t xml:space="preserve">Termin </w:t>
      </w:r>
      <w:r w:rsidR="007D4312">
        <w:t xml:space="preserve">składania ofert upływa w dniu </w:t>
      </w:r>
      <w:r w:rsidR="00D616FA" w:rsidRPr="00D616FA">
        <w:t>31 lipca</w:t>
      </w:r>
      <w:r w:rsidR="00AC0A0E" w:rsidRPr="00D616FA">
        <w:t xml:space="preserve"> 2023 </w:t>
      </w:r>
      <w:r w:rsidR="003B75BC" w:rsidRPr="00D616FA">
        <w:t xml:space="preserve">r. </w:t>
      </w:r>
      <w:r w:rsidR="007D4312" w:rsidRPr="00D616FA">
        <w:t>o godzinie 12</w:t>
      </w:r>
      <w:r w:rsidR="003B75BC" w:rsidRPr="00D616FA">
        <w:t>:00</w:t>
      </w:r>
      <w:r>
        <w:t>. Oferty, które wpłyną po terminie, nie będą rozpatrywane.</w:t>
      </w:r>
    </w:p>
    <w:p w14:paraId="3DA8E7E9" w14:textId="57F37A2D" w:rsidR="00E92476" w:rsidRDefault="00E92476" w:rsidP="00CD3870">
      <w:pPr>
        <w:jc w:val="both"/>
      </w:pPr>
      <w:r>
        <w:t xml:space="preserve">Oferty prosimy składać w formie elektronicznej </w:t>
      </w:r>
      <w:r w:rsidR="007C0C6B">
        <w:t>poprzez dedykowaną sekcję ofert w Bazie Konkurencyjności</w:t>
      </w:r>
      <w:r w:rsidR="00D616FA">
        <w:t>.</w:t>
      </w:r>
    </w:p>
    <w:p w14:paraId="13D5B974" w14:textId="77777777" w:rsidR="00E92476" w:rsidRDefault="00E92476" w:rsidP="00CD3870">
      <w:pPr>
        <w:jc w:val="both"/>
      </w:pPr>
    </w:p>
    <w:p w14:paraId="09384886" w14:textId="77777777" w:rsidR="00E92476" w:rsidRDefault="00E92476" w:rsidP="00CD3870">
      <w:pPr>
        <w:jc w:val="both"/>
      </w:pPr>
      <w:r>
        <w:lastRenderedPageBreak/>
        <w:t>UWAGA</w:t>
      </w:r>
    </w:p>
    <w:p w14:paraId="4F42E4B1" w14:textId="77777777" w:rsidR="00E92476" w:rsidRDefault="00E92476" w:rsidP="00CD3870">
      <w:pPr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544C33FD" w14:textId="77777777" w:rsidR="00E92476" w:rsidRDefault="00E92476" w:rsidP="00CD3870">
      <w:pPr>
        <w:jc w:val="both"/>
      </w:pPr>
      <w:r>
        <w:t>Zamawiający informuje, iż całościowa oferowana cena stanowi informację publiczną w rozumieniu Ustawy o dostępie do informacji publicznej z dnia 6 września 2001 r. (Dz. U. z 2001 r. Nr 112 poz 1198, opracowano na podstawie Dz. U. z 2020 r. poz. 2176).</w:t>
      </w:r>
    </w:p>
    <w:p w14:paraId="0A735B03" w14:textId="77777777" w:rsidR="00E92476" w:rsidRDefault="00E92476" w:rsidP="00CD3870">
      <w:pPr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06773D5D" w14:textId="77777777" w:rsidR="00E92476" w:rsidRDefault="00E92476" w:rsidP="00CD3870">
      <w:pPr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2779BFE6" w14:textId="77777777" w:rsidR="00E92476" w:rsidRDefault="00E92476" w:rsidP="00CD3870">
      <w:pPr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04C3AD5B" w14:textId="77777777" w:rsidR="00E92476" w:rsidRDefault="00E92476" w:rsidP="00CD3870">
      <w:pPr>
        <w:jc w:val="both"/>
      </w:pPr>
      <w:r>
        <w:t>Okres związania ofertą wynosi 30 dni od upływu terminu składania ofert.</w:t>
      </w:r>
    </w:p>
    <w:p w14:paraId="61DE2485" w14:textId="77777777" w:rsidR="00E92476" w:rsidRDefault="00E92476" w:rsidP="00CD3870">
      <w:pPr>
        <w:jc w:val="both"/>
      </w:pPr>
    </w:p>
    <w:p w14:paraId="222BDF74" w14:textId="77777777" w:rsidR="00E92476" w:rsidRDefault="00E92476" w:rsidP="00CD3870">
      <w:pPr>
        <w:jc w:val="both"/>
      </w:pPr>
      <w:r>
        <w:t>ZAŁĄCZNIKI</w:t>
      </w:r>
    </w:p>
    <w:p w14:paraId="08283684" w14:textId="77777777" w:rsidR="00E92476" w:rsidRDefault="00E92476" w:rsidP="00CD3870">
      <w:pPr>
        <w:jc w:val="both"/>
      </w:pPr>
      <w:r>
        <w:t>1. Istotne postanowienia umowy;</w:t>
      </w:r>
    </w:p>
    <w:p w14:paraId="09C02379" w14:textId="77777777" w:rsidR="00E92476" w:rsidRDefault="007C0C6B" w:rsidP="00CD3870">
      <w:pPr>
        <w:jc w:val="both"/>
      </w:pPr>
      <w:r>
        <w:t>2</w:t>
      </w:r>
      <w:r w:rsidR="00E92476">
        <w:t>. Wzór wykazu usług;</w:t>
      </w:r>
    </w:p>
    <w:p w14:paraId="2B1D914E" w14:textId="77777777" w:rsidR="00E92476" w:rsidRDefault="007C0C6B" w:rsidP="00CD3870">
      <w:pPr>
        <w:jc w:val="both"/>
      </w:pPr>
      <w:r>
        <w:t>3</w:t>
      </w:r>
      <w:r w:rsidR="00E92476">
        <w:t>. Wzór wykazu osób;</w:t>
      </w:r>
    </w:p>
    <w:p w14:paraId="7267A5EB" w14:textId="62D72577" w:rsidR="00E92476" w:rsidRDefault="007C0C6B" w:rsidP="00CD3870">
      <w:pPr>
        <w:jc w:val="both"/>
      </w:pPr>
      <w:r>
        <w:t>4</w:t>
      </w:r>
      <w:r w:rsidR="00E92476">
        <w:t>. Wzór oświadczenia o zachowaniu poufności;</w:t>
      </w:r>
    </w:p>
    <w:p w14:paraId="0D550EF4" w14:textId="629D8AAB" w:rsidR="00C04CC5" w:rsidRDefault="003B18A0" w:rsidP="00CD3870">
      <w:pPr>
        <w:jc w:val="both"/>
      </w:pPr>
      <w:r>
        <w:t>5</w:t>
      </w:r>
      <w:r w:rsidR="00C04CC5">
        <w:t>. Wzór formularza ofertowego</w:t>
      </w:r>
      <w:r w:rsidR="00AC0A0E">
        <w:t>;</w:t>
      </w:r>
    </w:p>
    <w:p w14:paraId="0873D8AE" w14:textId="50DDAA32" w:rsidR="00AC0A0E" w:rsidRDefault="003B18A0" w:rsidP="00CD3870">
      <w:pPr>
        <w:jc w:val="both"/>
      </w:pPr>
      <w:r>
        <w:t>6</w:t>
      </w:r>
      <w:r w:rsidR="00AC0A0E">
        <w:t>. Wzór oświadczenia dot. rosyjskiej agresji na Ukrainę.</w:t>
      </w:r>
    </w:p>
    <w:p w14:paraId="132B4D62" w14:textId="77777777" w:rsidR="00E92476" w:rsidRDefault="00E92476" w:rsidP="00CD3870">
      <w:pPr>
        <w:jc w:val="both"/>
      </w:pPr>
    </w:p>
    <w:sectPr w:rsidR="00E924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B161" w14:textId="77777777" w:rsidR="00E646EF" w:rsidRDefault="00E646EF" w:rsidP="00247175">
      <w:pPr>
        <w:spacing w:after="0" w:line="240" w:lineRule="auto"/>
      </w:pPr>
      <w:r>
        <w:separator/>
      </w:r>
    </w:p>
  </w:endnote>
  <w:endnote w:type="continuationSeparator" w:id="0">
    <w:p w14:paraId="6905A3DA" w14:textId="77777777" w:rsidR="00E646EF" w:rsidRDefault="00E646EF" w:rsidP="002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FFF8" w14:textId="1B5CF399" w:rsidR="00247175" w:rsidRDefault="002A23F2">
    <w:pPr>
      <w:pStyle w:val="Stopka"/>
    </w:pPr>
    <w:r>
      <w:rPr>
        <w:noProof/>
      </w:rPr>
      <w:drawing>
        <wp:inline distT="0" distB="0" distL="0" distR="0" wp14:anchorId="550CE2E9" wp14:editId="6BC5B927">
          <wp:extent cx="5756910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74FE" w14:textId="77777777" w:rsidR="00E646EF" w:rsidRDefault="00E646EF" w:rsidP="00247175">
      <w:pPr>
        <w:spacing w:after="0" w:line="240" w:lineRule="auto"/>
      </w:pPr>
      <w:r>
        <w:separator/>
      </w:r>
    </w:p>
  </w:footnote>
  <w:footnote w:type="continuationSeparator" w:id="0">
    <w:p w14:paraId="6436A0DB" w14:textId="77777777" w:rsidR="00E646EF" w:rsidRDefault="00E646EF" w:rsidP="0024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2FA"/>
    <w:multiLevelType w:val="hybridMultilevel"/>
    <w:tmpl w:val="49C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B2D"/>
    <w:multiLevelType w:val="hybridMultilevel"/>
    <w:tmpl w:val="BA46C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66D0"/>
    <w:multiLevelType w:val="hybridMultilevel"/>
    <w:tmpl w:val="96C47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B78B5"/>
    <w:multiLevelType w:val="hybridMultilevel"/>
    <w:tmpl w:val="0818D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0441">
    <w:abstractNumId w:val="1"/>
  </w:num>
  <w:num w:numId="2" w16cid:durableId="2087145254">
    <w:abstractNumId w:val="0"/>
  </w:num>
  <w:num w:numId="3" w16cid:durableId="378016160">
    <w:abstractNumId w:val="2"/>
  </w:num>
  <w:num w:numId="4" w16cid:durableId="184759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63"/>
    <w:rsid w:val="0001516A"/>
    <w:rsid w:val="000157AC"/>
    <w:rsid w:val="0009410C"/>
    <w:rsid w:val="000A6078"/>
    <w:rsid w:val="00100406"/>
    <w:rsid w:val="00142B69"/>
    <w:rsid w:val="00157AF4"/>
    <w:rsid w:val="001932D3"/>
    <w:rsid w:val="002008E4"/>
    <w:rsid w:val="00226598"/>
    <w:rsid w:val="00247175"/>
    <w:rsid w:val="00260322"/>
    <w:rsid w:val="002A23F2"/>
    <w:rsid w:val="002A41AA"/>
    <w:rsid w:val="002B051F"/>
    <w:rsid w:val="00351AED"/>
    <w:rsid w:val="003722E9"/>
    <w:rsid w:val="003A27B3"/>
    <w:rsid w:val="003B18A0"/>
    <w:rsid w:val="003B75BC"/>
    <w:rsid w:val="0047228A"/>
    <w:rsid w:val="004A22C6"/>
    <w:rsid w:val="004A60D7"/>
    <w:rsid w:val="004C7E96"/>
    <w:rsid w:val="00502ABE"/>
    <w:rsid w:val="00541D35"/>
    <w:rsid w:val="005C62FC"/>
    <w:rsid w:val="00625557"/>
    <w:rsid w:val="00646A1F"/>
    <w:rsid w:val="00726F56"/>
    <w:rsid w:val="00740FC5"/>
    <w:rsid w:val="00782322"/>
    <w:rsid w:val="007C06A4"/>
    <w:rsid w:val="007C0C6B"/>
    <w:rsid w:val="007D4312"/>
    <w:rsid w:val="00823C1A"/>
    <w:rsid w:val="00835A67"/>
    <w:rsid w:val="0085699A"/>
    <w:rsid w:val="00882661"/>
    <w:rsid w:val="00893829"/>
    <w:rsid w:val="008C00DE"/>
    <w:rsid w:val="008D69D4"/>
    <w:rsid w:val="008E51A7"/>
    <w:rsid w:val="00907182"/>
    <w:rsid w:val="009077DE"/>
    <w:rsid w:val="00952BFE"/>
    <w:rsid w:val="009A12C2"/>
    <w:rsid w:val="009E1BCD"/>
    <w:rsid w:val="00A10505"/>
    <w:rsid w:val="00A10A2B"/>
    <w:rsid w:val="00A26C0D"/>
    <w:rsid w:val="00A31577"/>
    <w:rsid w:val="00AB4C70"/>
    <w:rsid w:val="00AC0A0E"/>
    <w:rsid w:val="00AD02B5"/>
    <w:rsid w:val="00AF5931"/>
    <w:rsid w:val="00B46465"/>
    <w:rsid w:val="00B55C71"/>
    <w:rsid w:val="00BA5DFB"/>
    <w:rsid w:val="00BB53BF"/>
    <w:rsid w:val="00C04CC5"/>
    <w:rsid w:val="00C413D0"/>
    <w:rsid w:val="00C60B31"/>
    <w:rsid w:val="00C93F48"/>
    <w:rsid w:val="00CD0F70"/>
    <w:rsid w:val="00CD1A90"/>
    <w:rsid w:val="00CD3870"/>
    <w:rsid w:val="00D43282"/>
    <w:rsid w:val="00D616FA"/>
    <w:rsid w:val="00DF2FED"/>
    <w:rsid w:val="00E2449C"/>
    <w:rsid w:val="00E4122F"/>
    <w:rsid w:val="00E646EF"/>
    <w:rsid w:val="00E7028A"/>
    <w:rsid w:val="00E849A8"/>
    <w:rsid w:val="00E92476"/>
    <w:rsid w:val="00E95F97"/>
    <w:rsid w:val="00EA3925"/>
    <w:rsid w:val="00ED0679"/>
    <w:rsid w:val="00ED5E63"/>
    <w:rsid w:val="00EF4CBC"/>
    <w:rsid w:val="00F13707"/>
    <w:rsid w:val="00F21633"/>
    <w:rsid w:val="00F709C3"/>
    <w:rsid w:val="00F91D86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5022"/>
  <w15:docId w15:val="{CBB0811A-75DC-4245-BF74-A1A8630A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175"/>
  </w:style>
  <w:style w:type="paragraph" w:styleId="Stopka">
    <w:name w:val="footer"/>
    <w:basedOn w:val="Normalny"/>
    <w:link w:val="Stopka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175"/>
  </w:style>
  <w:style w:type="paragraph" w:styleId="Akapitzlist">
    <w:name w:val="List Paragraph"/>
    <w:basedOn w:val="Normalny"/>
    <w:uiPriority w:val="34"/>
    <w:qFormat/>
    <w:rsid w:val="00726F56"/>
    <w:pPr>
      <w:ind w:left="720"/>
      <w:contextualSpacing/>
    </w:pPr>
  </w:style>
  <w:style w:type="table" w:styleId="Tabela-Siatka">
    <w:name w:val="Table Grid"/>
    <w:basedOn w:val="Standardowy"/>
    <w:uiPriority w:val="39"/>
    <w:rsid w:val="0090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24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2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A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A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A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AB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46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0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Paćkowski</dc:creator>
  <cp:keywords/>
  <dc:description/>
  <cp:lastModifiedBy>Buraczyński Łukasz</cp:lastModifiedBy>
  <cp:revision>29</cp:revision>
  <dcterms:created xsi:type="dcterms:W3CDTF">2023-07-14T09:26:00Z</dcterms:created>
  <dcterms:modified xsi:type="dcterms:W3CDTF">2023-07-21T09:20:00Z</dcterms:modified>
</cp:coreProperties>
</file>