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D207C" w14:textId="1713E57D" w:rsidR="00C1630E" w:rsidRPr="00F20C6C" w:rsidRDefault="00C1630E" w:rsidP="00C1630E">
      <w:pPr>
        <w:spacing w:line="260" w:lineRule="exact"/>
        <w:rPr>
          <w:rFonts w:ascii="Lato" w:eastAsia="Calibri" w:hAnsi="Lato"/>
          <w:spacing w:val="4"/>
          <w:sz w:val="22"/>
          <w:szCs w:val="22"/>
        </w:rPr>
      </w:pPr>
      <w:r w:rsidRPr="00F20C6C">
        <w:rPr>
          <w:rFonts w:ascii="Lato" w:eastAsia="Calibri" w:hAnsi="Lato"/>
          <w:spacing w:val="4"/>
          <w:sz w:val="22"/>
          <w:szCs w:val="22"/>
        </w:rPr>
        <w:t xml:space="preserve">Znak sprawy: </w:t>
      </w:r>
      <w:r w:rsidR="00812DD3" w:rsidRPr="007B5A47">
        <w:rPr>
          <w:rFonts w:ascii="Lato" w:eastAsia="Calibri" w:hAnsi="Lato"/>
          <w:spacing w:val="4"/>
          <w:sz w:val="22"/>
          <w:szCs w:val="22"/>
        </w:rPr>
        <w:t>DLI-II.7620.7.2025.KR/AZ.54</w:t>
      </w:r>
    </w:p>
    <w:p w14:paraId="24F3F304" w14:textId="30323C84" w:rsidR="00C1630E" w:rsidRPr="00F20C6C" w:rsidRDefault="00C1630E" w:rsidP="007445DC">
      <w:pPr>
        <w:spacing w:after="480" w:line="260" w:lineRule="exact"/>
        <w:rPr>
          <w:rFonts w:ascii="Lato" w:eastAsia="Calibri" w:hAnsi="Lato"/>
          <w:spacing w:val="4"/>
          <w:sz w:val="22"/>
          <w:szCs w:val="22"/>
        </w:rPr>
      </w:pPr>
      <w:r w:rsidRPr="00F20C6C">
        <w:rPr>
          <w:rFonts w:ascii="Lato" w:eastAsia="Calibri" w:hAnsi="Lato"/>
          <w:spacing w:val="4"/>
          <w:sz w:val="22"/>
          <w:szCs w:val="22"/>
        </w:rPr>
        <w:t>Warszawa</w:t>
      </w:r>
      <w:r w:rsidRPr="007B5A47">
        <w:rPr>
          <w:rFonts w:ascii="Lato" w:eastAsia="Calibri" w:hAnsi="Lato"/>
          <w:spacing w:val="4"/>
          <w:sz w:val="22"/>
          <w:szCs w:val="22"/>
        </w:rPr>
        <w:t>,</w:t>
      </w:r>
      <w:bookmarkStart w:id="0" w:name="ezdDataPodpisu"/>
      <w:r w:rsidR="00646E1B">
        <w:rPr>
          <w:rFonts w:ascii="Lato" w:eastAsia="Calibri" w:hAnsi="Lato"/>
          <w:spacing w:val="4"/>
          <w:sz w:val="22"/>
          <w:szCs w:val="22"/>
        </w:rPr>
        <w:t xml:space="preserve"> 1</w:t>
      </w:r>
      <w:r w:rsidR="00C01036">
        <w:rPr>
          <w:rFonts w:ascii="Lato" w:eastAsia="Calibri" w:hAnsi="Lato"/>
          <w:spacing w:val="4"/>
          <w:sz w:val="22"/>
          <w:szCs w:val="22"/>
        </w:rPr>
        <w:t>5</w:t>
      </w:r>
      <w:r w:rsidR="004255CC" w:rsidRPr="007B5A47">
        <w:rPr>
          <w:rFonts w:ascii="Lato" w:eastAsia="Calibri" w:hAnsi="Lato"/>
          <w:spacing w:val="4"/>
          <w:sz w:val="22"/>
          <w:szCs w:val="22"/>
        </w:rPr>
        <w:t xml:space="preserve"> </w:t>
      </w:r>
      <w:r w:rsidR="008E4D4E">
        <w:rPr>
          <w:rFonts w:ascii="Lato" w:eastAsia="Calibri" w:hAnsi="Lato"/>
          <w:spacing w:val="4"/>
          <w:sz w:val="22"/>
          <w:szCs w:val="22"/>
        </w:rPr>
        <w:t>maja</w:t>
      </w:r>
      <w:r w:rsidRPr="007B5A47">
        <w:rPr>
          <w:rFonts w:ascii="Lato" w:eastAsia="Calibri" w:hAnsi="Lato"/>
          <w:spacing w:val="4"/>
          <w:sz w:val="22"/>
          <w:szCs w:val="22"/>
        </w:rPr>
        <w:t xml:space="preserve"> 202</w:t>
      </w:r>
      <w:r w:rsidR="004255CC" w:rsidRPr="007B5A47">
        <w:rPr>
          <w:rFonts w:ascii="Lato" w:eastAsia="Calibri" w:hAnsi="Lato"/>
          <w:spacing w:val="4"/>
          <w:sz w:val="22"/>
          <w:szCs w:val="22"/>
        </w:rPr>
        <w:t>6</w:t>
      </w:r>
      <w:r w:rsidRPr="007B5A47">
        <w:rPr>
          <w:rFonts w:ascii="Lato" w:eastAsia="Calibri" w:hAnsi="Lato"/>
          <w:spacing w:val="4"/>
          <w:sz w:val="22"/>
          <w:szCs w:val="22"/>
        </w:rPr>
        <w:t xml:space="preserve"> r.</w:t>
      </w:r>
      <w:bookmarkEnd w:id="0"/>
    </w:p>
    <w:p w14:paraId="415DD280" w14:textId="621B50B6" w:rsidR="00985935" w:rsidRPr="00F20C6C" w:rsidRDefault="00C1630E" w:rsidP="009D0496">
      <w:pPr>
        <w:spacing w:after="360" w:line="240" w:lineRule="exact"/>
        <w:jc w:val="center"/>
        <w:rPr>
          <w:rFonts w:ascii="Lato" w:eastAsia="Calibri" w:hAnsi="Lato"/>
          <w:b/>
          <w:spacing w:val="4"/>
          <w:sz w:val="22"/>
          <w:szCs w:val="22"/>
        </w:rPr>
      </w:pPr>
      <w:r w:rsidRPr="00F20C6C">
        <w:rPr>
          <w:rFonts w:ascii="Lato" w:eastAsia="Calibri" w:hAnsi="Lato"/>
          <w:b/>
          <w:spacing w:val="4"/>
          <w:sz w:val="22"/>
          <w:szCs w:val="22"/>
        </w:rPr>
        <w:t>DECYZJA</w:t>
      </w:r>
    </w:p>
    <w:p w14:paraId="5F7738FA" w14:textId="7834AA0B" w:rsidR="00812DD3" w:rsidRDefault="00812DD3" w:rsidP="00812DD3">
      <w:pPr>
        <w:spacing w:after="240" w:line="240" w:lineRule="exact"/>
        <w:jc w:val="both"/>
        <w:outlineLvl w:val="0"/>
        <w:rPr>
          <w:rFonts w:ascii="Lato" w:eastAsia="Calibri" w:hAnsi="Lato" w:cs="Arial"/>
          <w:spacing w:val="4"/>
          <w:sz w:val="22"/>
          <w:szCs w:val="22"/>
        </w:rPr>
      </w:pPr>
      <w:bookmarkStart w:id="1" w:name="_Hlk187401417"/>
      <w:r w:rsidRPr="0079680B">
        <w:rPr>
          <w:rFonts w:ascii="Lato" w:eastAsia="Calibri" w:hAnsi="Lato" w:cs="Arial"/>
          <w:spacing w:val="4"/>
          <w:sz w:val="22"/>
          <w:szCs w:val="22"/>
        </w:rPr>
        <w:t>Na podstawie art. 138 § 1 pkt 2</w:t>
      </w:r>
      <w:r w:rsidRPr="0079680B">
        <w:rPr>
          <w:rFonts w:ascii="Lato" w:hAnsi="Lato" w:cs="Arial"/>
          <w:spacing w:val="4"/>
          <w:sz w:val="22"/>
          <w:szCs w:val="22"/>
        </w:rPr>
        <w:t xml:space="preserve"> </w:t>
      </w:r>
      <w:r w:rsidRPr="0079680B">
        <w:rPr>
          <w:rFonts w:ascii="Lato" w:eastAsia="Calibri" w:hAnsi="Lato" w:cs="Arial"/>
          <w:spacing w:val="4"/>
          <w:sz w:val="22"/>
          <w:szCs w:val="22"/>
        </w:rPr>
        <w:t>i 3 w zw. z art. 137 ustawy z dnia 14 czerwca 1960 r. Kodeks postępowania administracyjnego (t.j.</w:t>
      </w:r>
      <w:r w:rsidRPr="0079680B">
        <w:rPr>
          <w:rFonts w:ascii="Lato" w:hAnsi="Lato" w:cs="Arial"/>
          <w:spacing w:val="4"/>
          <w:sz w:val="22"/>
          <w:szCs w:val="22"/>
        </w:rPr>
        <w:t xml:space="preserve"> </w:t>
      </w:r>
      <w:r w:rsidRPr="0079680B">
        <w:rPr>
          <w:rFonts w:ascii="Lato" w:eastAsia="Calibri" w:hAnsi="Lato" w:cs="Arial"/>
          <w:spacing w:val="4"/>
          <w:sz w:val="22"/>
          <w:szCs w:val="22"/>
        </w:rPr>
        <w:t>Dz.U. z 2025 r. poz. 1691), zwanej dalej „kpa”,</w:t>
      </w:r>
      <w:r w:rsidRPr="0079680B">
        <w:rPr>
          <w:rFonts w:ascii="Lato" w:hAnsi="Lato" w:cs="TimesNewRomanPSMT"/>
          <w:spacing w:val="4"/>
          <w:sz w:val="22"/>
          <w:szCs w:val="22"/>
        </w:rPr>
        <w:t xml:space="preserve"> oraz art. 40 ust. 1 ustawy z dnia 10 maja 2018 r. o Centralnym Porcie Komunikacyjnym (t.j. Dz.U. z 2024 r. poz. 1747, z późn.zm.), zwanej dalej „ustawą CPK”</w:t>
      </w:r>
      <w:r w:rsidRPr="0079680B">
        <w:rPr>
          <w:rFonts w:ascii="Lato" w:hAnsi="Lato" w:cs="TimesNewRomanPSMT"/>
          <w:bCs/>
          <w:iCs/>
          <w:spacing w:val="4"/>
          <w:sz w:val="22"/>
          <w:szCs w:val="22"/>
        </w:rPr>
        <w:t>,</w:t>
      </w:r>
      <w:r w:rsidRPr="0079680B">
        <w:rPr>
          <w:rFonts w:ascii="Lato" w:hAnsi="Lato" w:cs="TimesNewRomanPSMT"/>
          <w:spacing w:val="4"/>
          <w:sz w:val="22"/>
          <w:szCs w:val="22"/>
        </w:rPr>
        <w:t xml:space="preserve"> </w:t>
      </w:r>
      <w:r w:rsidRPr="0079680B">
        <w:rPr>
          <w:rFonts w:ascii="Lato" w:eastAsia="Calibri" w:hAnsi="Lato" w:cs="Arial"/>
          <w:spacing w:val="4"/>
          <w:sz w:val="22"/>
          <w:szCs w:val="22"/>
        </w:rPr>
        <w:t>po rozpatrzeniu odwołań</w:t>
      </w:r>
      <w:r w:rsidRPr="0079680B">
        <w:rPr>
          <w:rFonts w:ascii="Lato" w:eastAsiaTheme="minorHAnsi" w:hAnsi="Lato" w:cstheme="minorBidi"/>
          <w:spacing w:val="4"/>
          <w:sz w:val="20"/>
          <w:szCs w:val="20"/>
          <w:lang w:eastAsia="en-US"/>
        </w:rPr>
        <w:t xml:space="preserve"> </w:t>
      </w:r>
      <w:r w:rsidRPr="0079680B">
        <w:rPr>
          <w:rFonts w:ascii="Lato" w:eastAsia="Calibri" w:hAnsi="Lato" w:cs="Arial"/>
          <w:spacing w:val="4"/>
          <w:sz w:val="22"/>
          <w:szCs w:val="22"/>
        </w:rPr>
        <w:t>Pana Z</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K</w:t>
      </w:r>
      <w:r w:rsidR="00F26AF7">
        <w:rPr>
          <w:rFonts w:ascii="Lato" w:eastAsia="Calibri" w:hAnsi="Lato" w:cs="Arial"/>
          <w:spacing w:val="4"/>
          <w:sz w:val="22"/>
          <w:szCs w:val="22"/>
        </w:rPr>
        <w:t>.</w:t>
      </w:r>
      <w:r w:rsidRPr="0079680B">
        <w:rPr>
          <w:rFonts w:ascii="Lato" w:eastAsia="Calibri" w:hAnsi="Lato" w:cs="Arial"/>
          <w:spacing w:val="4"/>
          <w:sz w:val="22"/>
          <w:szCs w:val="22"/>
        </w:rPr>
        <w:t>, Pana P</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K</w:t>
      </w:r>
      <w:r w:rsidR="00F26AF7">
        <w:rPr>
          <w:rFonts w:ascii="Lato" w:eastAsia="Calibri" w:hAnsi="Lato" w:cs="Arial"/>
          <w:spacing w:val="4"/>
          <w:sz w:val="22"/>
          <w:szCs w:val="22"/>
        </w:rPr>
        <w:t>.</w:t>
      </w:r>
      <w:r w:rsidRPr="0079680B">
        <w:rPr>
          <w:rFonts w:ascii="Lato" w:eastAsia="Calibri" w:hAnsi="Lato" w:cs="Arial"/>
          <w:spacing w:val="4"/>
          <w:sz w:val="22"/>
          <w:szCs w:val="22"/>
        </w:rPr>
        <w:t>, Pani K</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K</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spółki </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Sp. z o.o. z siedzibą w </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rPr>
          <w:rFonts w:ascii="Lato" w:eastAsiaTheme="minorHAnsi" w:hAnsi="Lato" w:cstheme="minorBidi"/>
          <w:spacing w:val="4"/>
          <w:sz w:val="20"/>
          <w:szCs w:val="20"/>
          <w:lang w:eastAsia="en-US"/>
        </w:rPr>
        <w:t xml:space="preserve"> </w:t>
      </w:r>
      <w:r w:rsidRPr="0079680B">
        <w:rPr>
          <w:rFonts w:ascii="Lato" w:eastAsia="Calibri" w:hAnsi="Lato" w:cs="Arial"/>
          <w:spacing w:val="4"/>
          <w:sz w:val="22"/>
          <w:szCs w:val="22"/>
        </w:rPr>
        <w:t>Pani A</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B</w:t>
      </w:r>
      <w:r w:rsidR="00F26AF7">
        <w:rPr>
          <w:rFonts w:ascii="Lato" w:eastAsia="Calibri" w:hAnsi="Lato" w:cs="Arial"/>
          <w:spacing w:val="4"/>
          <w:sz w:val="22"/>
          <w:szCs w:val="22"/>
        </w:rPr>
        <w:t>.</w:t>
      </w:r>
      <w:r w:rsidRPr="0079680B">
        <w:rPr>
          <w:rFonts w:ascii="Lato" w:eastAsia="Calibri" w:hAnsi="Lato" w:cs="Arial"/>
          <w:spacing w:val="4"/>
          <w:sz w:val="22"/>
          <w:szCs w:val="22"/>
        </w:rPr>
        <w:t>, Pani A</w:t>
      </w:r>
      <w:r w:rsidR="00F26AF7">
        <w:rPr>
          <w:rFonts w:ascii="Lato" w:eastAsia="Calibri" w:hAnsi="Lato" w:cs="Arial"/>
          <w:spacing w:val="4"/>
          <w:sz w:val="22"/>
          <w:szCs w:val="22"/>
        </w:rPr>
        <w:t xml:space="preserve">. </w:t>
      </w:r>
      <w:r w:rsidRPr="0079680B">
        <w:rPr>
          <w:rFonts w:ascii="Lato" w:eastAsia="Calibri" w:hAnsi="Lato" w:cs="Arial"/>
          <w:spacing w:val="4"/>
          <w:sz w:val="22"/>
          <w:szCs w:val="22"/>
        </w:rPr>
        <w:t>i Ł</w:t>
      </w:r>
      <w:r w:rsidR="00F26AF7">
        <w:rPr>
          <w:rFonts w:ascii="Lato" w:eastAsia="Calibri" w:hAnsi="Lato" w:cs="Arial"/>
          <w:spacing w:val="4"/>
          <w:sz w:val="22"/>
          <w:szCs w:val="22"/>
        </w:rPr>
        <w:t>.</w:t>
      </w:r>
      <w:r w:rsidRPr="0079680B">
        <w:rPr>
          <w:rFonts w:ascii="Lato" w:eastAsia="Calibri" w:hAnsi="Lato" w:cs="Arial"/>
          <w:spacing w:val="4"/>
          <w:sz w:val="22"/>
          <w:szCs w:val="22"/>
        </w:rPr>
        <w:t>, Pana P</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K</w:t>
      </w:r>
      <w:r w:rsidR="00F26AF7">
        <w:rPr>
          <w:rFonts w:ascii="Lato" w:eastAsia="Calibri" w:hAnsi="Lato" w:cs="Arial"/>
          <w:spacing w:val="4"/>
          <w:sz w:val="22"/>
          <w:szCs w:val="22"/>
        </w:rPr>
        <w:t>.</w:t>
      </w:r>
      <w:r w:rsidRPr="0079680B">
        <w:rPr>
          <w:rFonts w:ascii="Lato" w:eastAsia="Calibri" w:hAnsi="Lato" w:cs="Arial"/>
          <w:spacing w:val="4"/>
          <w:sz w:val="22"/>
          <w:szCs w:val="22"/>
        </w:rPr>
        <w:t>, Pani J</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K</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M</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K</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Pani A</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S</w:t>
      </w:r>
      <w:r w:rsidR="00F26AF7">
        <w:rPr>
          <w:rFonts w:ascii="Lato" w:eastAsia="Calibri" w:hAnsi="Lato" w:cs="Arial"/>
          <w:spacing w:val="4"/>
          <w:sz w:val="22"/>
          <w:szCs w:val="22"/>
        </w:rPr>
        <w:t>.</w:t>
      </w:r>
      <w:r w:rsidRPr="0079680B">
        <w:rPr>
          <w:rFonts w:ascii="Lato" w:eastAsia="Calibri" w:hAnsi="Lato" w:cs="Arial"/>
          <w:spacing w:val="4"/>
          <w:sz w:val="22"/>
          <w:szCs w:val="22"/>
        </w:rPr>
        <w:t>, Pani K</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J</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P</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G</w:t>
      </w:r>
      <w:r w:rsidR="00F26AF7">
        <w:rPr>
          <w:rFonts w:ascii="Lato" w:eastAsia="Calibri" w:hAnsi="Lato" w:cs="Arial"/>
          <w:spacing w:val="4"/>
          <w:sz w:val="22"/>
          <w:szCs w:val="22"/>
        </w:rPr>
        <w:t>.</w:t>
      </w:r>
      <w:r w:rsidRPr="0079680B">
        <w:rPr>
          <w:rFonts w:ascii="Lato" w:eastAsia="Calibri" w:hAnsi="Lato" w:cs="Arial"/>
          <w:spacing w:val="4"/>
          <w:sz w:val="22"/>
          <w:szCs w:val="22"/>
        </w:rPr>
        <w:t>, Pani E</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W</w:t>
      </w:r>
      <w:r w:rsidR="00F26AF7">
        <w:rPr>
          <w:rFonts w:ascii="Lato" w:eastAsia="Calibri" w:hAnsi="Lato" w:cs="Arial"/>
          <w:spacing w:val="4"/>
          <w:sz w:val="22"/>
          <w:szCs w:val="22"/>
        </w:rPr>
        <w:t>.</w:t>
      </w:r>
      <w:r w:rsidRPr="0079680B">
        <w:rPr>
          <w:rFonts w:ascii="Lato" w:eastAsia="Calibri" w:hAnsi="Lato" w:cs="Arial"/>
          <w:spacing w:val="4"/>
          <w:sz w:val="22"/>
          <w:szCs w:val="22"/>
        </w:rPr>
        <w:t>, Pana R</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W</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T</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T</w:t>
      </w:r>
      <w:r w:rsidR="00F26AF7">
        <w:rPr>
          <w:rFonts w:ascii="Lato" w:eastAsia="Calibri" w:hAnsi="Lato" w:cs="Arial"/>
          <w:spacing w:val="4"/>
          <w:sz w:val="22"/>
          <w:szCs w:val="22"/>
        </w:rPr>
        <w:t>.</w:t>
      </w:r>
      <w:r w:rsidRPr="0079680B">
        <w:rPr>
          <w:rFonts w:ascii="Lato" w:eastAsia="Calibri" w:hAnsi="Lato" w:cs="Arial"/>
          <w:spacing w:val="4"/>
          <w:sz w:val="22"/>
          <w:szCs w:val="22"/>
        </w:rPr>
        <w:t>, Pana S</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T</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Pani W</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B</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A</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M</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Ł</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S</w:t>
      </w:r>
      <w:r w:rsidR="00F26AF7">
        <w:rPr>
          <w:rFonts w:ascii="Lato" w:eastAsia="Calibri" w:hAnsi="Lato" w:cs="Arial"/>
          <w:spacing w:val="4"/>
          <w:sz w:val="22"/>
          <w:szCs w:val="22"/>
        </w:rPr>
        <w:t>.</w:t>
      </w:r>
      <w:r w:rsidRPr="0079680B">
        <w:rPr>
          <w:rFonts w:ascii="Lato" w:eastAsia="Calibri" w:hAnsi="Lato" w:cs="Arial"/>
          <w:spacing w:val="4"/>
          <w:sz w:val="22"/>
          <w:szCs w:val="22"/>
        </w:rPr>
        <w:t>, Pani K</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S</w:t>
      </w:r>
      <w:r w:rsidR="00F26AF7">
        <w:rPr>
          <w:rFonts w:ascii="Lato" w:eastAsia="Calibri" w:hAnsi="Lato" w:cs="Arial"/>
          <w:spacing w:val="4"/>
          <w:sz w:val="22"/>
          <w:szCs w:val="22"/>
        </w:rPr>
        <w:t>.</w:t>
      </w:r>
      <w:r w:rsidRPr="0079680B">
        <w:rPr>
          <w:rFonts w:ascii="Lato" w:eastAsia="Calibri" w:hAnsi="Lato" w:cs="Arial"/>
          <w:spacing w:val="4"/>
          <w:sz w:val="22"/>
          <w:szCs w:val="22"/>
        </w:rPr>
        <w:t>, Pana D</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T</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Gminy </w:t>
      </w:r>
      <w:r w:rsidR="00F26AF7">
        <w:rPr>
          <w:rFonts w:ascii="Lato" w:eastAsia="Calibri" w:hAnsi="Lato" w:cs="Arial"/>
          <w:spacing w:val="4"/>
          <w:sz w:val="22"/>
          <w:szCs w:val="22"/>
        </w:rPr>
        <w:t>(…)</w:t>
      </w:r>
      <w:r w:rsidRPr="0079680B">
        <w:rPr>
          <w:rFonts w:ascii="Lato" w:eastAsia="Calibri" w:hAnsi="Lato" w:cs="Arial"/>
          <w:spacing w:val="4"/>
          <w:sz w:val="22"/>
          <w:szCs w:val="22"/>
        </w:rPr>
        <w:t>, Pani E</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M</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rPr>
          <w:rFonts w:ascii="Lato" w:eastAsiaTheme="minorHAnsi" w:hAnsi="Lato" w:cstheme="minorBidi"/>
          <w:spacing w:val="4"/>
          <w:sz w:val="20"/>
          <w:szCs w:val="20"/>
          <w:lang w:eastAsia="en-US"/>
        </w:rPr>
        <w:t xml:space="preserve"> </w:t>
      </w:r>
      <w:r w:rsidRPr="0079680B">
        <w:rPr>
          <w:rFonts w:ascii="Lato" w:eastAsia="Calibri" w:hAnsi="Lato" w:cs="Arial"/>
          <w:spacing w:val="4"/>
          <w:sz w:val="22"/>
          <w:szCs w:val="22"/>
        </w:rPr>
        <w:t>Pana G</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M</w:t>
      </w:r>
      <w:r w:rsidR="00F26AF7">
        <w:rPr>
          <w:rFonts w:ascii="Lato" w:eastAsia="Calibri" w:hAnsi="Lato" w:cs="Arial"/>
          <w:spacing w:val="4"/>
          <w:sz w:val="22"/>
          <w:szCs w:val="22"/>
        </w:rPr>
        <w:t>.</w:t>
      </w:r>
      <w:r w:rsidRPr="0079680B">
        <w:rPr>
          <w:rFonts w:ascii="Lato" w:eastAsia="Calibri" w:hAnsi="Lato" w:cs="Arial"/>
          <w:spacing w:val="4"/>
          <w:sz w:val="22"/>
          <w:szCs w:val="22"/>
        </w:rPr>
        <w:t>, Pani B</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B</w:t>
      </w:r>
      <w:r w:rsidR="00F26AF7">
        <w:rPr>
          <w:rFonts w:ascii="Lato" w:eastAsia="Calibri" w:hAnsi="Lato" w:cs="Arial"/>
          <w:spacing w:val="4"/>
          <w:sz w:val="22"/>
          <w:szCs w:val="22"/>
        </w:rPr>
        <w:t>.</w:t>
      </w:r>
      <w:r w:rsidRPr="0079680B">
        <w:rPr>
          <w:rFonts w:ascii="Lato" w:eastAsia="Calibri" w:hAnsi="Lato" w:cs="Arial"/>
          <w:spacing w:val="4"/>
          <w:sz w:val="22"/>
          <w:szCs w:val="22"/>
        </w:rPr>
        <w:t>, Pana S</w:t>
      </w:r>
      <w:r w:rsidR="00F26AF7">
        <w:rPr>
          <w:rFonts w:ascii="Lato" w:eastAsia="Calibri" w:hAnsi="Lato" w:cs="Arial"/>
          <w:spacing w:val="4"/>
          <w:sz w:val="22"/>
          <w:szCs w:val="22"/>
        </w:rPr>
        <w:t xml:space="preserve">. </w:t>
      </w:r>
      <w:r w:rsidRPr="0079680B">
        <w:rPr>
          <w:rFonts w:ascii="Lato" w:eastAsia="Calibri" w:hAnsi="Lato" w:cs="Arial"/>
          <w:spacing w:val="4"/>
          <w:sz w:val="22"/>
          <w:szCs w:val="22"/>
        </w:rPr>
        <w:t>B</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S</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J</w:t>
      </w:r>
      <w:r w:rsidR="00F26AF7">
        <w:rPr>
          <w:rFonts w:ascii="Lato" w:eastAsia="Calibri" w:hAnsi="Lato" w:cs="Arial"/>
          <w:spacing w:val="4"/>
          <w:sz w:val="22"/>
          <w:szCs w:val="22"/>
        </w:rPr>
        <w:t>.</w:t>
      </w:r>
      <w:r w:rsidRPr="0079680B">
        <w:rPr>
          <w:rFonts w:ascii="Lato" w:eastAsia="Calibri" w:hAnsi="Lato" w:cs="Arial"/>
          <w:spacing w:val="4"/>
          <w:sz w:val="22"/>
          <w:szCs w:val="22"/>
        </w:rPr>
        <w:t>, Pani B</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J</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Pani M</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G</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K</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M</w:t>
      </w:r>
      <w:r w:rsidR="00F26AF7">
        <w:rPr>
          <w:rFonts w:ascii="Lato" w:eastAsia="Calibri" w:hAnsi="Lato" w:cs="Arial"/>
          <w:spacing w:val="4"/>
          <w:sz w:val="22"/>
          <w:szCs w:val="22"/>
        </w:rPr>
        <w:t>.</w:t>
      </w:r>
      <w:r w:rsidRPr="0079680B">
        <w:rPr>
          <w:rFonts w:ascii="Lato" w:eastAsia="Calibri" w:hAnsi="Lato" w:cs="Arial"/>
          <w:spacing w:val="4"/>
          <w:sz w:val="22"/>
          <w:szCs w:val="22"/>
        </w:rPr>
        <w:t>, Pana K</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O</w:t>
      </w:r>
      <w:r w:rsidR="00F26AF7">
        <w:rPr>
          <w:rFonts w:ascii="Lato" w:eastAsia="Calibri" w:hAnsi="Lato" w:cs="Arial"/>
          <w:spacing w:val="4"/>
          <w:sz w:val="22"/>
          <w:szCs w:val="22"/>
        </w:rPr>
        <w:t>.</w:t>
      </w:r>
      <w:r w:rsidRPr="0079680B">
        <w:rPr>
          <w:rFonts w:ascii="Lato" w:eastAsia="Calibri" w:hAnsi="Lato" w:cs="Arial"/>
          <w:spacing w:val="4"/>
          <w:sz w:val="22"/>
          <w:szCs w:val="22"/>
        </w:rPr>
        <w:t>, Pana M</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B</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W</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B</w:t>
      </w:r>
      <w:r w:rsidR="00F26AF7">
        <w:rPr>
          <w:rFonts w:ascii="Lato" w:eastAsia="Calibri" w:hAnsi="Lato" w:cs="Arial"/>
          <w:spacing w:val="4"/>
          <w:sz w:val="22"/>
          <w:szCs w:val="22"/>
        </w:rPr>
        <w:t>.</w:t>
      </w:r>
      <w:r w:rsidRPr="0079680B">
        <w:rPr>
          <w:rFonts w:ascii="Lato" w:eastAsia="Calibri" w:hAnsi="Lato" w:cs="Arial"/>
          <w:spacing w:val="4"/>
          <w:sz w:val="22"/>
          <w:szCs w:val="22"/>
        </w:rPr>
        <w:t>, Pani J</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B</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A</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T</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Z</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J</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K</w:t>
      </w:r>
      <w:r w:rsidR="00F26AF7">
        <w:rPr>
          <w:rFonts w:ascii="Lato" w:eastAsia="Calibri" w:hAnsi="Lato" w:cs="Arial"/>
          <w:spacing w:val="4"/>
          <w:sz w:val="22"/>
          <w:szCs w:val="22"/>
        </w:rPr>
        <w:t>.</w:t>
      </w:r>
      <w:r w:rsidRPr="0079680B">
        <w:rPr>
          <w:rFonts w:ascii="Lato" w:eastAsia="Calibri" w:hAnsi="Lato" w:cs="Arial"/>
          <w:spacing w:val="4"/>
          <w:sz w:val="22"/>
          <w:szCs w:val="22"/>
        </w:rPr>
        <w:t>, Pani E</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L</w:t>
      </w:r>
      <w:r w:rsidR="00F26AF7">
        <w:rPr>
          <w:rFonts w:ascii="Lato" w:eastAsia="Calibri" w:hAnsi="Lato" w:cs="Arial"/>
          <w:spacing w:val="4"/>
          <w:sz w:val="22"/>
          <w:szCs w:val="22"/>
        </w:rPr>
        <w:t>.</w:t>
      </w:r>
      <w:r w:rsidRPr="0079680B">
        <w:rPr>
          <w:rFonts w:ascii="Lato" w:eastAsia="Calibri" w:hAnsi="Lato" w:cs="Arial"/>
          <w:spacing w:val="4"/>
          <w:sz w:val="22"/>
          <w:szCs w:val="22"/>
        </w:rPr>
        <w:t>, Pana J</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L</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M</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J</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Pana K</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T</w:t>
      </w:r>
      <w:r w:rsidR="00F26AF7">
        <w:rPr>
          <w:rFonts w:ascii="Lato" w:eastAsia="Calibri" w:hAnsi="Lato" w:cs="Arial"/>
          <w:spacing w:val="4"/>
          <w:sz w:val="22"/>
          <w:szCs w:val="22"/>
        </w:rPr>
        <w:t>.</w:t>
      </w:r>
      <w:r w:rsidRPr="0079680B">
        <w:rPr>
          <w:rFonts w:ascii="Lato" w:eastAsia="Calibri" w:hAnsi="Lato" w:cs="Arial"/>
          <w:spacing w:val="4"/>
          <w:sz w:val="22"/>
          <w:szCs w:val="22"/>
        </w:rPr>
        <w:t>, Pana K</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S</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rPr>
          <w:rFonts w:ascii="Lato" w:eastAsiaTheme="minorHAnsi" w:hAnsi="Lato" w:cstheme="minorBidi"/>
          <w:spacing w:val="4"/>
          <w:sz w:val="20"/>
          <w:szCs w:val="20"/>
          <w:lang w:eastAsia="en-US"/>
        </w:rPr>
        <w:t xml:space="preserve"> </w:t>
      </w:r>
      <w:r w:rsidRPr="0079680B">
        <w:rPr>
          <w:rFonts w:ascii="Lato" w:eastAsia="Calibri" w:hAnsi="Lato" w:cs="Arial"/>
          <w:spacing w:val="4"/>
          <w:sz w:val="22"/>
          <w:szCs w:val="22"/>
        </w:rPr>
        <w:t>Pani E</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L</w:t>
      </w:r>
      <w:r w:rsidR="00F26AF7">
        <w:rPr>
          <w:rFonts w:ascii="Lato" w:eastAsia="Calibri" w:hAnsi="Lato" w:cs="Arial"/>
          <w:spacing w:val="4"/>
          <w:sz w:val="22"/>
          <w:szCs w:val="22"/>
        </w:rPr>
        <w:t>.</w:t>
      </w:r>
      <w:r w:rsidRPr="0079680B">
        <w:rPr>
          <w:rFonts w:ascii="Lato" w:eastAsia="Calibri" w:hAnsi="Lato" w:cs="Arial"/>
          <w:spacing w:val="4"/>
          <w:sz w:val="22"/>
          <w:szCs w:val="22"/>
        </w:rPr>
        <w:t>, Pana K</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L</w:t>
      </w:r>
      <w:r w:rsidR="00F26AF7">
        <w:rPr>
          <w:rFonts w:ascii="Lato" w:eastAsia="Calibri" w:hAnsi="Lato" w:cs="Arial"/>
          <w:spacing w:val="4"/>
          <w:sz w:val="22"/>
          <w:szCs w:val="22"/>
        </w:rPr>
        <w:t>.</w:t>
      </w:r>
      <w:r w:rsidRPr="0079680B">
        <w:rPr>
          <w:rFonts w:ascii="Lato" w:eastAsia="Calibri" w:hAnsi="Lato" w:cs="Arial"/>
          <w:spacing w:val="4"/>
          <w:sz w:val="22"/>
          <w:szCs w:val="22"/>
        </w:rPr>
        <w:t>, Pana E</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T</w:t>
      </w:r>
      <w:r w:rsidR="00F26AF7">
        <w:rPr>
          <w:rFonts w:ascii="Lato" w:eastAsia="Calibri" w:hAnsi="Lato" w:cs="Arial"/>
          <w:spacing w:val="4"/>
          <w:sz w:val="22"/>
          <w:szCs w:val="22"/>
        </w:rPr>
        <w:t>.</w:t>
      </w:r>
      <w:r w:rsidRPr="0079680B">
        <w:rPr>
          <w:rFonts w:ascii="Lato" w:eastAsia="Calibri" w:hAnsi="Lato" w:cs="Arial"/>
          <w:spacing w:val="4"/>
          <w:sz w:val="22"/>
          <w:szCs w:val="22"/>
        </w:rPr>
        <w:t>,</w:t>
      </w:r>
      <w:r w:rsidRPr="0079680B">
        <w:t xml:space="preserve"> </w:t>
      </w:r>
      <w:r w:rsidRPr="0079680B">
        <w:rPr>
          <w:rFonts w:ascii="Lato" w:eastAsia="Calibri" w:hAnsi="Lato" w:cs="Arial"/>
          <w:spacing w:val="4"/>
          <w:sz w:val="22"/>
          <w:szCs w:val="22"/>
        </w:rPr>
        <w:t>Pani K</w:t>
      </w:r>
      <w:r w:rsidR="00F26AF7">
        <w:rPr>
          <w:rFonts w:ascii="Lato" w:eastAsia="Calibri" w:hAnsi="Lato" w:cs="Arial"/>
          <w:spacing w:val="4"/>
          <w:sz w:val="22"/>
          <w:szCs w:val="22"/>
        </w:rPr>
        <w:t>.</w:t>
      </w:r>
      <w:r w:rsidRPr="0079680B">
        <w:rPr>
          <w:rFonts w:ascii="Lato" w:eastAsia="Calibri" w:hAnsi="Lato" w:cs="Arial"/>
          <w:spacing w:val="4"/>
          <w:sz w:val="22"/>
          <w:szCs w:val="22"/>
        </w:rPr>
        <w:t xml:space="preserve"> T</w:t>
      </w:r>
      <w:r w:rsidR="00F26AF7">
        <w:rPr>
          <w:rFonts w:ascii="Lato" w:eastAsia="Calibri" w:hAnsi="Lato" w:cs="Arial"/>
          <w:spacing w:val="4"/>
          <w:sz w:val="22"/>
          <w:szCs w:val="22"/>
        </w:rPr>
        <w:t>.</w:t>
      </w:r>
      <w:r w:rsidRPr="008D1304">
        <w:rPr>
          <w:rFonts w:ascii="Lato" w:eastAsia="Calibri" w:hAnsi="Lato" w:cs="Arial"/>
          <w:spacing w:val="4"/>
          <w:sz w:val="22"/>
          <w:szCs w:val="22"/>
        </w:rPr>
        <w:t xml:space="preserve"> od </w:t>
      </w:r>
      <w:r w:rsidRPr="008D1304">
        <w:rPr>
          <w:rFonts w:ascii="Lato" w:eastAsia="Calibri" w:hAnsi="Lato" w:cs="Arial"/>
          <w:bCs/>
          <w:spacing w:val="4"/>
          <w:sz w:val="22"/>
          <w:szCs w:val="22"/>
        </w:rPr>
        <w:t>decyzji Wojewody Mazowieckiego Nr 5/SPEC/2025 z dnia 8 stycznia 2025 r., znak: WIR-I.746.1.44.2023, WIR-I.747.6.28.2023, o ustaleniu lokalizacji inwestycji w zakresie Centralnego Portu Komunikacyjnego obejmującej „Budowę Lotniska (port Solidarność) Centralnego Portu Komunikacyjnego wraz z układem komunikacyjnym po jego zachodniej stronie”</w:t>
      </w:r>
      <w:r w:rsidRPr="008D1304">
        <w:rPr>
          <w:rFonts w:ascii="Lato" w:eastAsia="Calibri" w:hAnsi="Lato" w:cs="Arial"/>
          <w:spacing w:val="4"/>
          <w:sz w:val="22"/>
          <w:szCs w:val="22"/>
        </w:rPr>
        <w:t>, oraz z uwagi na cofnięcie odwołania przez Centralny Port Komunikacyjny Sp. z o.o. z siedzibą w Warszawie,</w:t>
      </w:r>
    </w:p>
    <w:p w14:paraId="28821EEC" w14:textId="77777777" w:rsidR="004255CC" w:rsidRPr="00057AAD" w:rsidRDefault="004255CC">
      <w:pPr>
        <w:numPr>
          <w:ilvl w:val="0"/>
          <w:numId w:val="1"/>
        </w:numPr>
        <w:spacing w:after="240" w:line="240" w:lineRule="exact"/>
        <w:ind w:left="284" w:hanging="142"/>
        <w:jc w:val="both"/>
        <w:rPr>
          <w:rFonts w:ascii="Lato" w:hAnsi="Lato" w:cs="Arial"/>
          <w:spacing w:val="4"/>
          <w:sz w:val="22"/>
          <w:szCs w:val="22"/>
        </w:rPr>
      </w:pPr>
      <w:r w:rsidRPr="00057AAD">
        <w:rPr>
          <w:rFonts w:ascii="Lato" w:hAnsi="Lato" w:cs="Arial"/>
          <w:b/>
          <w:spacing w:val="4"/>
          <w:sz w:val="22"/>
          <w:szCs w:val="22"/>
        </w:rPr>
        <w:t>Uchylam</w:t>
      </w:r>
      <w:r w:rsidRPr="00057AAD">
        <w:rPr>
          <w:rFonts w:ascii="Lato" w:hAnsi="Lato" w:cs="Arial"/>
          <w:b/>
          <w:bCs/>
          <w:spacing w:val="4"/>
          <w:sz w:val="22"/>
          <w:szCs w:val="22"/>
        </w:rPr>
        <w:t>:</w:t>
      </w:r>
    </w:p>
    <w:p w14:paraId="0C743223" w14:textId="35B849CA" w:rsidR="00BF1A14" w:rsidRPr="00F40707" w:rsidRDefault="006B16E4">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bookmarkStart w:id="2" w:name="_Hlk111048674"/>
      <w:bookmarkStart w:id="3" w:name="_Hlk111044556"/>
      <w:r w:rsidRPr="00F40707">
        <w:rPr>
          <w:rFonts w:ascii="Lato" w:hAnsi="Lato" w:cs="Arial"/>
          <w:bCs/>
          <w:spacing w:val="4"/>
          <w:sz w:val="22"/>
          <w:szCs w:val="22"/>
        </w:rPr>
        <w:t>w rozstrzygnięciu zaskarżonej decyzji, znajdujący się na stronie 75, w wiersz</w:t>
      </w:r>
      <w:r w:rsidR="000C4F1A" w:rsidRPr="00F40707">
        <w:rPr>
          <w:rFonts w:ascii="Lato" w:hAnsi="Lato" w:cs="Arial"/>
          <w:bCs/>
          <w:spacing w:val="4"/>
          <w:sz w:val="22"/>
          <w:szCs w:val="22"/>
        </w:rPr>
        <w:t>ach</w:t>
      </w:r>
      <w:r w:rsidRPr="00F40707">
        <w:rPr>
          <w:rFonts w:ascii="Lato" w:hAnsi="Lato" w:cs="Arial"/>
          <w:bCs/>
          <w:spacing w:val="4"/>
          <w:sz w:val="22"/>
          <w:szCs w:val="22"/>
        </w:rPr>
        <w:t xml:space="preserve"> </w:t>
      </w:r>
      <w:r w:rsidR="00C32788" w:rsidRPr="00F40707">
        <w:rPr>
          <w:rFonts w:ascii="Lato" w:hAnsi="Lato" w:cs="Arial"/>
          <w:bCs/>
          <w:spacing w:val="4"/>
          <w:sz w:val="22"/>
          <w:szCs w:val="22"/>
        </w:rPr>
        <w:br/>
      </w:r>
      <w:r w:rsidRPr="00F40707">
        <w:rPr>
          <w:rFonts w:ascii="Lato" w:hAnsi="Lato" w:cs="Arial"/>
          <w:bCs/>
          <w:spacing w:val="4"/>
          <w:sz w:val="22"/>
          <w:szCs w:val="22"/>
        </w:rPr>
        <w:t>18-21, licząc od dołu strony, zapis:</w:t>
      </w:r>
    </w:p>
    <w:p w14:paraId="3D38DDFD" w14:textId="2BC493ED" w:rsidR="006B16E4" w:rsidRPr="00DD40FC" w:rsidRDefault="006B16E4" w:rsidP="006B16E4">
      <w:pPr>
        <w:pStyle w:val="Akapitzlist"/>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„linie wyznaczające obszar zajęty przez grunty pod drogami publicznymi podlegający nieodpłatnemu zajęciu na rzecz CPK Sp. z o.o., linie wyznaczające obszar zajęty przez grunty pod wodami płynącymi podlegający nieodpłatnemu zajęciu na rzecz CPK Sp. z o.o.,”,</w:t>
      </w:r>
    </w:p>
    <w:p w14:paraId="219ED88C" w14:textId="3CECF34B" w:rsidR="006B16E4" w:rsidRPr="00F40707" w:rsidRDefault="006B16E4">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w rozstrzygnięciu zaskarżonej decyzji, znajdujący się na stronie 76, w wiersz</w:t>
      </w:r>
      <w:r w:rsidR="000C4F1A" w:rsidRPr="00F40707">
        <w:rPr>
          <w:rFonts w:ascii="Lato" w:hAnsi="Lato" w:cs="Arial"/>
          <w:bCs/>
          <w:spacing w:val="4"/>
          <w:sz w:val="22"/>
          <w:szCs w:val="22"/>
        </w:rPr>
        <w:t>ach</w:t>
      </w:r>
      <w:r w:rsidRPr="00F40707">
        <w:rPr>
          <w:rFonts w:ascii="Lato" w:hAnsi="Lato" w:cs="Arial"/>
          <w:bCs/>
          <w:spacing w:val="4"/>
          <w:sz w:val="22"/>
          <w:szCs w:val="22"/>
        </w:rPr>
        <w:t xml:space="preserve"> </w:t>
      </w:r>
      <w:r w:rsidR="00C32788" w:rsidRPr="00F40707">
        <w:rPr>
          <w:rFonts w:ascii="Lato" w:hAnsi="Lato" w:cs="Arial"/>
          <w:bCs/>
          <w:spacing w:val="4"/>
          <w:sz w:val="22"/>
          <w:szCs w:val="22"/>
        </w:rPr>
        <w:br/>
      </w:r>
      <w:r w:rsidRPr="00F40707">
        <w:rPr>
          <w:rFonts w:ascii="Lato" w:hAnsi="Lato" w:cs="Arial"/>
          <w:bCs/>
          <w:spacing w:val="4"/>
          <w:sz w:val="22"/>
          <w:szCs w:val="22"/>
        </w:rPr>
        <w:t>3-12, licząc od góry strony, zapis:</w:t>
      </w:r>
    </w:p>
    <w:p w14:paraId="399980B6" w14:textId="4D5A3CD4" w:rsidR="006B16E4" w:rsidRPr="00F40707" w:rsidRDefault="006B16E4" w:rsidP="0013043A">
      <w:pPr>
        <w:pStyle w:val="Akapitzlist"/>
        <w:tabs>
          <w:tab w:val="left" w:pos="426"/>
        </w:tabs>
        <w:spacing w:after="120" w:line="240" w:lineRule="exact"/>
        <w:contextualSpacing w:val="0"/>
        <w:jc w:val="both"/>
        <w:rPr>
          <w:rFonts w:ascii="Lato" w:hAnsi="Lato" w:cs="Arial"/>
          <w:bCs/>
          <w:spacing w:val="4"/>
          <w:sz w:val="22"/>
          <w:szCs w:val="22"/>
        </w:rPr>
      </w:pPr>
      <w:r w:rsidRPr="00F40707">
        <w:rPr>
          <w:rFonts w:ascii="Lato" w:hAnsi="Lato" w:cs="Arial"/>
          <w:bCs/>
          <w:spacing w:val="4"/>
          <w:sz w:val="22"/>
          <w:szCs w:val="22"/>
        </w:rPr>
        <w:t xml:space="preserve">„3) Linią przerywaną koloru różowego oznaczono linie wyznaczające obszar zajęty przez grunty pod drogami publicznymi podlegające nieodpłatnemu zajęciu na rzecz CPK Sp. z o.o. – art. 81 ust. 1 specustawy; działki objęte linią wyznaczającą </w:t>
      </w:r>
      <w:r w:rsidR="0013043A" w:rsidRPr="00F40707">
        <w:rPr>
          <w:rFonts w:ascii="Lato" w:hAnsi="Lato" w:cs="Arial"/>
          <w:bCs/>
          <w:spacing w:val="4"/>
          <w:sz w:val="22"/>
          <w:szCs w:val="22"/>
        </w:rPr>
        <w:t>obszar zajęty przez grunty pod drogami publicznymi podlegające nieodpłatnemu zajęciu na rzecz CPK Sp. z o.o. zostały wskazane w Tabeli nr 10 niniejszej decyzji</w:t>
      </w:r>
    </w:p>
    <w:p w14:paraId="37BA0835" w14:textId="3B1367A8" w:rsidR="0013043A" w:rsidRDefault="0013043A" w:rsidP="006B16E4">
      <w:pPr>
        <w:pStyle w:val="Akapitzlist"/>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4) Linią przerywaną koloru jasnoniebieskiego oznaczono linie wyznaczające obszar zajęty przez grunty pod wodami płynącymi podlegające nieodpłatnemu zajęciu na rzecz CPK Sp. z o.o. – art. 81 ust. 1 specustawy</w:t>
      </w:r>
      <w:r w:rsidR="00A24304" w:rsidRPr="00F40707">
        <w:rPr>
          <w:rFonts w:ascii="Lato" w:hAnsi="Lato" w:cs="Arial"/>
          <w:bCs/>
          <w:spacing w:val="4"/>
          <w:sz w:val="22"/>
          <w:szCs w:val="22"/>
        </w:rPr>
        <w:t>; działki objęte linią wyznaczającą obszar zajęty przez grunty pod wodami płynącymi podlegające nieodpłatnemu zajęciu na rzecz CPK Sp. z o.o. zostały wskazane w Tabeli nr 9 niniejszej decyzji”,</w:t>
      </w:r>
    </w:p>
    <w:p w14:paraId="64754A58" w14:textId="17D40554" w:rsidR="003117AC" w:rsidRDefault="003117AC" w:rsidP="003117AC">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1C452E">
        <w:rPr>
          <w:rFonts w:ascii="Lato" w:hAnsi="Lato" w:cs="Arial"/>
          <w:bCs/>
          <w:spacing w:val="4"/>
          <w:sz w:val="22"/>
          <w:szCs w:val="22"/>
        </w:rPr>
        <w:t>w rozstrzygnięciu zaskarżonej decyzji, znajdujący się na stronie 95, w wiersz</w:t>
      </w:r>
      <w:r>
        <w:rPr>
          <w:rFonts w:ascii="Lato" w:hAnsi="Lato" w:cs="Arial"/>
          <w:bCs/>
          <w:spacing w:val="4"/>
          <w:sz w:val="22"/>
          <w:szCs w:val="22"/>
        </w:rPr>
        <w:t>u 13</w:t>
      </w:r>
      <w:r w:rsidRPr="001C452E">
        <w:rPr>
          <w:rFonts w:ascii="Lato" w:hAnsi="Lato" w:cs="Arial"/>
          <w:bCs/>
          <w:spacing w:val="4"/>
          <w:sz w:val="22"/>
          <w:szCs w:val="22"/>
        </w:rPr>
        <w:t>, licząc od góry strony, zapis:</w:t>
      </w:r>
    </w:p>
    <w:p w14:paraId="1A2B9B58" w14:textId="7C82D3D7" w:rsidR="003117AC" w:rsidRPr="00F40707" w:rsidRDefault="003117AC" w:rsidP="003117AC">
      <w:pPr>
        <w:pStyle w:val="Akapitzlist"/>
        <w:tabs>
          <w:tab w:val="left" w:pos="426"/>
        </w:tabs>
        <w:spacing w:after="240" w:line="240" w:lineRule="exact"/>
        <w:contextualSpacing w:val="0"/>
        <w:jc w:val="both"/>
        <w:rPr>
          <w:rFonts w:ascii="Lato" w:hAnsi="Lato" w:cs="Arial"/>
          <w:bCs/>
          <w:spacing w:val="4"/>
          <w:sz w:val="22"/>
          <w:szCs w:val="22"/>
        </w:rPr>
      </w:pPr>
      <w:r>
        <w:rPr>
          <w:rFonts w:ascii="Lato" w:hAnsi="Lato" w:cs="Arial"/>
          <w:bCs/>
          <w:spacing w:val="4"/>
          <w:sz w:val="22"/>
          <w:szCs w:val="22"/>
        </w:rPr>
        <w:t>„</w:t>
      </w:r>
      <w:r w:rsidRPr="00F40707">
        <w:rPr>
          <w:rFonts w:ascii="Lato" w:hAnsi="Lato" w:cs="Arial"/>
          <w:b/>
          <w:spacing w:val="4"/>
          <w:sz w:val="22"/>
          <w:szCs w:val="22"/>
        </w:rPr>
        <w:t>Tabelach Nr: 3,</w:t>
      </w:r>
      <w:r>
        <w:rPr>
          <w:rFonts w:ascii="Lato" w:hAnsi="Lato" w:cs="Arial"/>
          <w:b/>
          <w:spacing w:val="4"/>
          <w:sz w:val="22"/>
          <w:szCs w:val="22"/>
        </w:rPr>
        <w:t xml:space="preserve"> </w:t>
      </w:r>
      <w:r w:rsidRPr="00F40707">
        <w:rPr>
          <w:rFonts w:ascii="Lato" w:hAnsi="Lato" w:cs="Arial"/>
          <w:b/>
          <w:spacing w:val="4"/>
          <w:sz w:val="22"/>
          <w:szCs w:val="22"/>
        </w:rPr>
        <w:t>4,</w:t>
      </w:r>
      <w:r>
        <w:rPr>
          <w:rFonts w:ascii="Lato" w:hAnsi="Lato" w:cs="Arial"/>
          <w:b/>
          <w:spacing w:val="4"/>
          <w:sz w:val="22"/>
          <w:szCs w:val="22"/>
        </w:rPr>
        <w:t xml:space="preserve"> </w:t>
      </w:r>
      <w:r w:rsidRPr="00F40707">
        <w:rPr>
          <w:rFonts w:ascii="Lato" w:hAnsi="Lato" w:cs="Arial"/>
          <w:b/>
          <w:spacing w:val="4"/>
          <w:sz w:val="22"/>
          <w:szCs w:val="22"/>
        </w:rPr>
        <w:t>5,</w:t>
      </w:r>
      <w:r>
        <w:rPr>
          <w:rFonts w:ascii="Lato" w:hAnsi="Lato" w:cs="Arial"/>
          <w:b/>
          <w:spacing w:val="4"/>
          <w:sz w:val="22"/>
          <w:szCs w:val="22"/>
        </w:rPr>
        <w:t xml:space="preserve"> </w:t>
      </w:r>
      <w:r w:rsidRPr="00F40707">
        <w:rPr>
          <w:rFonts w:ascii="Lato" w:hAnsi="Lato" w:cs="Arial"/>
          <w:b/>
          <w:spacing w:val="4"/>
          <w:sz w:val="22"/>
          <w:szCs w:val="22"/>
        </w:rPr>
        <w:t>6;</w:t>
      </w:r>
      <w:r>
        <w:rPr>
          <w:rFonts w:ascii="Lato" w:hAnsi="Lato" w:cs="Arial"/>
          <w:bCs/>
          <w:spacing w:val="4"/>
          <w:sz w:val="22"/>
          <w:szCs w:val="22"/>
        </w:rPr>
        <w:t>”</w:t>
      </w:r>
    </w:p>
    <w:p w14:paraId="6896B223" w14:textId="47129310" w:rsidR="00EB7F85" w:rsidRPr="00F40707" w:rsidRDefault="00EB7F8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lastRenderedPageBreak/>
        <w:t xml:space="preserve">w rozstrzygnięciu zaskarżonej decyzji, znajdujący się na stronie </w:t>
      </w:r>
      <w:r w:rsidR="002C36FC" w:rsidRPr="00F40707">
        <w:rPr>
          <w:rFonts w:ascii="Lato" w:hAnsi="Lato" w:cs="Arial"/>
          <w:bCs/>
          <w:spacing w:val="4"/>
          <w:sz w:val="22"/>
          <w:szCs w:val="22"/>
        </w:rPr>
        <w:t>95, w wiersz</w:t>
      </w:r>
      <w:r w:rsidR="000C4F1A" w:rsidRPr="00F40707">
        <w:rPr>
          <w:rFonts w:ascii="Lato" w:hAnsi="Lato" w:cs="Arial"/>
          <w:bCs/>
          <w:spacing w:val="4"/>
          <w:sz w:val="22"/>
          <w:szCs w:val="22"/>
        </w:rPr>
        <w:t>ach</w:t>
      </w:r>
      <w:r w:rsidR="002C36FC" w:rsidRPr="00F40707">
        <w:rPr>
          <w:rFonts w:ascii="Lato" w:hAnsi="Lato" w:cs="Arial"/>
          <w:bCs/>
          <w:spacing w:val="4"/>
          <w:sz w:val="22"/>
          <w:szCs w:val="22"/>
        </w:rPr>
        <w:t xml:space="preserve"> </w:t>
      </w:r>
      <w:r w:rsidR="00DC3BED" w:rsidRPr="00F40707">
        <w:rPr>
          <w:rFonts w:ascii="Lato" w:hAnsi="Lato" w:cs="Arial"/>
          <w:bCs/>
          <w:spacing w:val="4"/>
          <w:sz w:val="22"/>
          <w:szCs w:val="22"/>
        </w:rPr>
        <w:br/>
      </w:r>
      <w:r w:rsidR="002C36FC" w:rsidRPr="00F40707">
        <w:rPr>
          <w:rFonts w:ascii="Lato" w:hAnsi="Lato" w:cs="Arial"/>
          <w:bCs/>
          <w:spacing w:val="4"/>
          <w:sz w:val="22"/>
          <w:szCs w:val="22"/>
        </w:rPr>
        <w:t>27 i 28, licząc od góry strony, zapis:</w:t>
      </w:r>
    </w:p>
    <w:p w14:paraId="6C5394B9" w14:textId="0A10F8FE" w:rsidR="002C36FC" w:rsidRPr="00DD40FC" w:rsidRDefault="002C36FC" w:rsidP="002C36FC">
      <w:pPr>
        <w:pStyle w:val="Akapitzlist"/>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 xml:space="preserve">„2. Mapy z projektem podziału nieruchomości stanowią </w:t>
      </w:r>
      <w:r w:rsidRPr="00F40707">
        <w:rPr>
          <w:rFonts w:ascii="Lato" w:hAnsi="Lato" w:cs="Arial"/>
          <w:b/>
          <w:spacing w:val="4"/>
          <w:sz w:val="22"/>
          <w:szCs w:val="22"/>
        </w:rPr>
        <w:t>załączniki nr 65-131</w:t>
      </w:r>
      <w:r w:rsidRPr="00F40707">
        <w:rPr>
          <w:rFonts w:ascii="Lato" w:hAnsi="Lato" w:cs="Arial"/>
          <w:bCs/>
          <w:spacing w:val="4"/>
          <w:sz w:val="22"/>
          <w:szCs w:val="22"/>
        </w:rPr>
        <w:t xml:space="preserve"> do niniejszej decyzji.”,</w:t>
      </w:r>
    </w:p>
    <w:p w14:paraId="53863632" w14:textId="6D3B6CC0" w:rsidR="00586555" w:rsidRPr="00F40707" w:rsidRDefault="0058655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w rozstrzygnięciu zaskarżonej decyzji, znajdujący się na stronie 148, w wiersz</w:t>
      </w:r>
      <w:r w:rsidR="000C4F1A" w:rsidRPr="00F40707">
        <w:rPr>
          <w:rFonts w:ascii="Lato" w:hAnsi="Lato" w:cs="Arial"/>
          <w:bCs/>
          <w:spacing w:val="4"/>
          <w:sz w:val="22"/>
          <w:szCs w:val="22"/>
        </w:rPr>
        <w:t>ach</w:t>
      </w:r>
      <w:r w:rsidRPr="00F40707">
        <w:rPr>
          <w:rFonts w:ascii="Lato" w:hAnsi="Lato" w:cs="Arial"/>
          <w:bCs/>
          <w:spacing w:val="4"/>
          <w:sz w:val="22"/>
          <w:szCs w:val="22"/>
        </w:rPr>
        <w:t xml:space="preserve"> 13-16, licząc od góry strony, zapis:</w:t>
      </w:r>
    </w:p>
    <w:p w14:paraId="12D46DA3" w14:textId="7BE2DD41" w:rsidR="00586555" w:rsidRPr="00DD40FC" w:rsidRDefault="00586555" w:rsidP="00586555">
      <w:pPr>
        <w:pStyle w:val="Akapitzlist"/>
        <w:tabs>
          <w:tab w:val="left" w:pos="426"/>
        </w:tabs>
        <w:spacing w:after="120" w:line="240" w:lineRule="exact"/>
        <w:contextualSpacing w:val="0"/>
        <w:jc w:val="both"/>
        <w:rPr>
          <w:rFonts w:ascii="Lato" w:hAnsi="Lato" w:cs="Arial"/>
          <w:bCs/>
          <w:spacing w:val="4"/>
          <w:sz w:val="22"/>
          <w:szCs w:val="22"/>
        </w:rPr>
      </w:pPr>
      <w:r w:rsidRPr="00F40707">
        <w:rPr>
          <w:rFonts w:ascii="Lato" w:hAnsi="Lato" w:cs="Arial"/>
          <w:bCs/>
          <w:spacing w:val="4"/>
          <w:sz w:val="22"/>
          <w:szCs w:val="22"/>
        </w:rPr>
        <w:t>„1. W Tabeli Nr 9 wskazano grunty pod wodami płynącymi podlegające nieodpłatnemu zajęciu na rzecz CPK Sp. z o.o.</w:t>
      </w:r>
      <w:r w:rsidRPr="00DD40FC">
        <w:rPr>
          <w:rFonts w:ascii="Lato" w:hAnsi="Lato" w:cs="Arial"/>
          <w:bCs/>
          <w:spacing w:val="4"/>
          <w:sz w:val="22"/>
          <w:szCs w:val="22"/>
        </w:rPr>
        <w:t xml:space="preserve"> </w:t>
      </w:r>
    </w:p>
    <w:p w14:paraId="77359823" w14:textId="04A2BF2F" w:rsidR="00586555" w:rsidRPr="00DD40FC" w:rsidRDefault="00586555" w:rsidP="00586555">
      <w:pPr>
        <w:pStyle w:val="Akapitzlist"/>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 xml:space="preserve">Tabela Nr 9 </w:t>
      </w:r>
      <w:r w:rsidR="006E77EB" w:rsidRPr="00F40707">
        <w:rPr>
          <w:rFonts w:ascii="Lato" w:hAnsi="Lato" w:cs="Arial"/>
          <w:bCs/>
          <w:spacing w:val="4"/>
          <w:sz w:val="22"/>
          <w:szCs w:val="22"/>
        </w:rPr>
        <w:t>W</w:t>
      </w:r>
      <w:r w:rsidRPr="00F40707">
        <w:rPr>
          <w:rFonts w:ascii="Lato" w:hAnsi="Lato" w:cs="Arial"/>
          <w:bCs/>
          <w:spacing w:val="4"/>
          <w:sz w:val="22"/>
          <w:szCs w:val="22"/>
        </w:rPr>
        <w:t>ykaz działek stanowiących grunty pod wodami płynącymi podlegające nieodpłatnemu zajęciu na rzecz CPK Sp. z o.o.”,</w:t>
      </w:r>
    </w:p>
    <w:p w14:paraId="67B5401B" w14:textId="06DEC713" w:rsidR="00586555" w:rsidRPr="00F40707" w:rsidRDefault="00586555">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w rozstrzygnięciu zaskarżonej decyzji, znajdujący się na stronie 149, w wiersz</w:t>
      </w:r>
      <w:r w:rsidR="000C4F1A" w:rsidRPr="00F40707">
        <w:rPr>
          <w:rFonts w:ascii="Lato" w:hAnsi="Lato" w:cs="Arial"/>
          <w:bCs/>
          <w:spacing w:val="4"/>
          <w:sz w:val="22"/>
          <w:szCs w:val="22"/>
        </w:rPr>
        <w:t>ach</w:t>
      </w:r>
      <w:r w:rsidRPr="00F40707">
        <w:rPr>
          <w:rFonts w:ascii="Lato" w:hAnsi="Lato" w:cs="Arial"/>
          <w:bCs/>
          <w:spacing w:val="4"/>
          <w:sz w:val="22"/>
          <w:szCs w:val="22"/>
        </w:rPr>
        <w:t xml:space="preserve"> 18-22, licząc od góry strony, zapis:</w:t>
      </w:r>
    </w:p>
    <w:p w14:paraId="7495FC24" w14:textId="64B1D28D" w:rsidR="00586555" w:rsidRPr="00F40707" w:rsidRDefault="00586555" w:rsidP="00B312B3">
      <w:pPr>
        <w:pStyle w:val="Akapitzlist"/>
        <w:tabs>
          <w:tab w:val="left" w:pos="426"/>
        </w:tabs>
        <w:spacing w:after="120" w:line="240" w:lineRule="exact"/>
        <w:contextualSpacing w:val="0"/>
        <w:jc w:val="both"/>
        <w:rPr>
          <w:rFonts w:ascii="Lato" w:hAnsi="Lato" w:cs="Arial"/>
          <w:bCs/>
          <w:spacing w:val="4"/>
          <w:sz w:val="22"/>
          <w:szCs w:val="22"/>
        </w:rPr>
      </w:pPr>
      <w:r w:rsidRPr="00F40707">
        <w:rPr>
          <w:rFonts w:ascii="Lato" w:hAnsi="Lato" w:cs="Arial"/>
          <w:bCs/>
          <w:spacing w:val="4"/>
          <w:sz w:val="22"/>
          <w:szCs w:val="22"/>
        </w:rPr>
        <w:t>„</w:t>
      </w:r>
      <w:r w:rsidR="006E77EB" w:rsidRPr="00F40707">
        <w:rPr>
          <w:rFonts w:ascii="Lato" w:hAnsi="Lato" w:cs="Arial"/>
          <w:bCs/>
          <w:spacing w:val="4"/>
          <w:sz w:val="22"/>
          <w:szCs w:val="22"/>
        </w:rPr>
        <w:t xml:space="preserve">2. </w:t>
      </w:r>
      <w:r w:rsidRPr="00F40707">
        <w:rPr>
          <w:rFonts w:ascii="Lato" w:hAnsi="Lato" w:cs="Arial"/>
          <w:bCs/>
          <w:spacing w:val="4"/>
          <w:sz w:val="22"/>
          <w:szCs w:val="22"/>
        </w:rPr>
        <w:t xml:space="preserve">W Tabeli Nr 10 Wykaz działek stanowiących drogi publiczne podlegające nieodpłatnemu zajęciu na rzecz </w:t>
      </w:r>
      <w:r w:rsidR="00B312B3" w:rsidRPr="00F40707">
        <w:rPr>
          <w:rFonts w:ascii="Lato" w:hAnsi="Lato" w:cs="Arial"/>
          <w:bCs/>
          <w:spacing w:val="4"/>
          <w:sz w:val="22"/>
          <w:szCs w:val="22"/>
        </w:rPr>
        <w:t>CPK Sp. z o.o</w:t>
      </w:r>
      <w:r w:rsidR="00B312B3" w:rsidRPr="00F40707">
        <w:rPr>
          <w:rFonts w:ascii="Lato" w:hAnsi="Lato" w:cs="Arial"/>
          <w:b/>
          <w:spacing w:val="4"/>
          <w:sz w:val="22"/>
          <w:szCs w:val="22"/>
        </w:rPr>
        <w:t>. tłustym drukiem</w:t>
      </w:r>
      <w:r w:rsidR="00B312B3" w:rsidRPr="00F40707">
        <w:rPr>
          <w:rFonts w:ascii="Lato" w:hAnsi="Lato" w:cs="Arial"/>
          <w:bCs/>
          <w:spacing w:val="4"/>
          <w:sz w:val="22"/>
          <w:szCs w:val="22"/>
        </w:rPr>
        <w:t xml:space="preserve"> wskazano części nieruchomości podlegające nieodpłatnemu zajęciu na rzecz CPK Sp. z o.o.;</w:t>
      </w:r>
    </w:p>
    <w:p w14:paraId="58862D8E" w14:textId="254EE401" w:rsidR="00B312B3" w:rsidRPr="00DD40FC" w:rsidRDefault="001F513F" w:rsidP="00586555">
      <w:pPr>
        <w:pStyle w:val="Akapitzlist"/>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 xml:space="preserve">Tabela Nr 10 Wykaz działek stanowiących drogi publiczne podlegające nieodpłatnemu </w:t>
      </w:r>
      <w:r w:rsidR="00907829" w:rsidRPr="00F40707">
        <w:rPr>
          <w:rFonts w:ascii="Lato" w:hAnsi="Lato" w:cs="Arial"/>
          <w:bCs/>
          <w:spacing w:val="4"/>
          <w:sz w:val="22"/>
          <w:szCs w:val="22"/>
        </w:rPr>
        <w:t>zajęciu na rzecz CPK Sp. z o.o.”,</w:t>
      </w:r>
    </w:p>
    <w:p w14:paraId="392BCA37" w14:textId="5E8DBB66" w:rsidR="00A12130" w:rsidRPr="00F201D6" w:rsidRDefault="00A12130">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F201D6">
        <w:rPr>
          <w:rFonts w:ascii="Lato" w:hAnsi="Lato" w:cs="Arial"/>
          <w:bCs/>
          <w:spacing w:val="4"/>
          <w:sz w:val="22"/>
          <w:szCs w:val="22"/>
        </w:rPr>
        <w:t>w rozstrzygnięciu zaskarżonej decyzji, tabelę nr 1 pn.: „Wykaz działek objętych wnioskiem o wydanie decyzji o ustaleniu lokalizacji Inwestycji: województwo mazowieckie” – w zakresie dotyczącym:</w:t>
      </w:r>
    </w:p>
    <w:p w14:paraId="5FF96CB5" w14:textId="77777777" w:rsidR="00A12130" w:rsidRPr="00F201D6" w:rsidRDefault="00A12130">
      <w:pPr>
        <w:pStyle w:val="Akapitzlist"/>
        <w:numPr>
          <w:ilvl w:val="0"/>
          <w:numId w:val="6"/>
        </w:numPr>
        <w:tabs>
          <w:tab w:val="left" w:pos="426"/>
        </w:tabs>
        <w:spacing w:after="120" w:line="240" w:lineRule="exact"/>
        <w:ind w:left="993" w:hanging="284"/>
        <w:contextualSpacing w:val="0"/>
        <w:jc w:val="both"/>
        <w:rPr>
          <w:rFonts w:ascii="Lato" w:hAnsi="Lato" w:cs="Arial"/>
          <w:bCs/>
          <w:spacing w:val="4"/>
          <w:sz w:val="22"/>
          <w:szCs w:val="22"/>
        </w:rPr>
      </w:pPr>
      <w:r w:rsidRPr="00F201D6">
        <w:rPr>
          <w:rFonts w:ascii="Lato" w:hAnsi="Lato" w:cs="Arial"/>
          <w:bCs/>
          <w:spacing w:val="4"/>
          <w:sz w:val="22"/>
          <w:szCs w:val="22"/>
        </w:rPr>
        <w:t>działki nr 1/7, z obrębu 0034 SHRO Kawęczyn (strona 28; poz. 1214 tabeli),</w:t>
      </w:r>
    </w:p>
    <w:p w14:paraId="7ECC3597" w14:textId="77777777" w:rsidR="00A12130" w:rsidRPr="00F201D6" w:rsidRDefault="00A12130">
      <w:pPr>
        <w:pStyle w:val="Akapitzlist"/>
        <w:numPr>
          <w:ilvl w:val="0"/>
          <w:numId w:val="6"/>
        </w:numPr>
        <w:tabs>
          <w:tab w:val="left" w:pos="426"/>
        </w:tabs>
        <w:spacing w:after="120" w:line="240" w:lineRule="exact"/>
        <w:ind w:left="993" w:hanging="284"/>
        <w:contextualSpacing w:val="0"/>
        <w:jc w:val="both"/>
        <w:rPr>
          <w:rFonts w:ascii="Lato" w:hAnsi="Lato" w:cs="Arial"/>
          <w:bCs/>
          <w:spacing w:val="4"/>
          <w:sz w:val="22"/>
          <w:szCs w:val="22"/>
        </w:rPr>
      </w:pPr>
      <w:r w:rsidRPr="00F201D6">
        <w:rPr>
          <w:rFonts w:ascii="Lato" w:hAnsi="Lato" w:cs="Arial"/>
          <w:bCs/>
          <w:spacing w:val="4"/>
          <w:sz w:val="22"/>
          <w:szCs w:val="22"/>
        </w:rPr>
        <w:t>działek nr: 2/1, 6/5, 9/2, 10/5, 13/1, 111/1, 111/2, z obrębu 0033 SHRO Szymanów (strona 29; poz. 1230, 1233, 1238, 1242, 1245, 1248 i 1249 tabeli),</w:t>
      </w:r>
    </w:p>
    <w:p w14:paraId="7B30D9E3" w14:textId="77777777" w:rsidR="00A12130" w:rsidRPr="00F201D6" w:rsidRDefault="00A12130">
      <w:pPr>
        <w:pStyle w:val="Akapitzlist"/>
        <w:numPr>
          <w:ilvl w:val="0"/>
          <w:numId w:val="6"/>
        </w:numPr>
        <w:tabs>
          <w:tab w:val="left" w:pos="426"/>
        </w:tabs>
        <w:spacing w:after="120" w:line="240" w:lineRule="exact"/>
        <w:ind w:left="993" w:hanging="284"/>
        <w:contextualSpacing w:val="0"/>
        <w:jc w:val="both"/>
        <w:rPr>
          <w:rFonts w:ascii="Lato" w:hAnsi="Lato" w:cs="Arial"/>
          <w:bCs/>
          <w:spacing w:val="4"/>
          <w:sz w:val="22"/>
          <w:szCs w:val="22"/>
        </w:rPr>
      </w:pPr>
      <w:r w:rsidRPr="00F201D6">
        <w:rPr>
          <w:rFonts w:ascii="Lato" w:hAnsi="Lato" w:cs="Arial"/>
          <w:bCs/>
          <w:spacing w:val="4"/>
          <w:sz w:val="22"/>
          <w:szCs w:val="22"/>
        </w:rPr>
        <w:t>działek nr: 75 i 80, z obrębu 0022 Skrzelew (strona 31; poz. 1331 i 1336 tabeli),</w:t>
      </w:r>
    </w:p>
    <w:p w14:paraId="1C23D95F" w14:textId="77777777" w:rsidR="00A12130" w:rsidRPr="00F201D6" w:rsidRDefault="00A12130">
      <w:pPr>
        <w:pStyle w:val="Akapitzlist"/>
        <w:numPr>
          <w:ilvl w:val="0"/>
          <w:numId w:val="6"/>
        </w:numPr>
        <w:tabs>
          <w:tab w:val="left" w:pos="426"/>
        </w:tabs>
        <w:spacing w:after="240" w:line="240" w:lineRule="exact"/>
        <w:ind w:left="993" w:hanging="284"/>
        <w:contextualSpacing w:val="0"/>
        <w:jc w:val="both"/>
        <w:rPr>
          <w:rFonts w:ascii="Lato" w:hAnsi="Lato" w:cs="Arial"/>
          <w:bCs/>
          <w:spacing w:val="4"/>
          <w:sz w:val="22"/>
          <w:szCs w:val="22"/>
        </w:rPr>
      </w:pPr>
      <w:r w:rsidRPr="00F201D6">
        <w:rPr>
          <w:rFonts w:ascii="Lato" w:hAnsi="Lato" w:cs="Arial"/>
          <w:bCs/>
          <w:spacing w:val="4"/>
          <w:sz w:val="22"/>
          <w:szCs w:val="22"/>
        </w:rPr>
        <w:t>działki nr 25/1, z obrębu 0006 Duninopol (strona 38; poz. 1673 tabeli),</w:t>
      </w:r>
    </w:p>
    <w:p w14:paraId="31F43D05" w14:textId="2839F52A" w:rsidR="00A12130" w:rsidRPr="00F201D6" w:rsidRDefault="00A12130" w:rsidP="00F40707">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F201D6">
        <w:rPr>
          <w:rFonts w:ascii="Lato" w:hAnsi="Lato" w:cs="Arial"/>
          <w:bCs/>
          <w:spacing w:val="4"/>
          <w:sz w:val="22"/>
          <w:szCs w:val="22"/>
        </w:rPr>
        <w:t>w rozstrzygnięciu zaskarżonej decyzji, tabelę nr 2 pn.: „Wykaz działek będących własnością CPK Sp. z o.o. objętych w całości linią rozgraniczającą teren Inwestycji” – w zakresie dotyczącym</w:t>
      </w:r>
      <w:r w:rsidR="00EB65B7" w:rsidRPr="00F40707">
        <w:rPr>
          <w:rFonts w:ascii="Lato" w:hAnsi="Lato" w:cs="Arial"/>
          <w:bCs/>
          <w:spacing w:val="4"/>
          <w:sz w:val="22"/>
          <w:szCs w:val="22"/>
        </w:rPr>
        <w:t xml:space="preserve"> </w:t>
      </w:r>
      <w:r w:rsidRPr="00F201D6">
        <w:rPr>
          <w:rFonts w:ascii="Lato" w:hAnsi="Lato" w:cs="Arial"/>
          <w:bCs/>
          <w:spacing w:val="4"/>
          <w:sz w:val="22"/>
          <w:szCs w:val="22"/>
        </w:rPr>
        <w:t xml:space="preserve">działki nr 9, z obrębu 00059 Buszyce (strona 53; poz. 6 tabeli), </w:t>
      </w:r>
    </w:p>
    <w:p w14:paraId="58B60AB9" w14:textId="013AE9F5" w:rsidR="00A909D0" w:rsidRPr="00F40707" w:rsidRDefault="00A909D0">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w rozstrzygnięciu zaskarżonej decyzji, znajdujący się na stronie 100, w wiersz</w:t>
      </w:r>
      <w:r w:rsidR="000C4F1A" w:rsidRPr="00F40707">
        <w:rPr>
          <w:rFonts w:ascii="Lato" w:hAnsi="Lato" w:cs="Arial"/>
          <w:bCs/>
          <w:spacing w:val="4"/>
          <w:sz w:val="22"/>
          <w:szCs w:val="22"/>
        </w:rPr>
        <w:t>ach</w:t>
      </w:r>
      <w:r w:rsidRPr="00F40707">
        <w:rPr>
          <w:rFonts w:ascii="Lato" w:hAnsi="Lato" w:cs="Arial"/>
          <w:bCs/>
          <w:spacing w:val="4"/>
          <w:sz w:val="22"/>
          <w:szCs w:val="22"/>
        </w:rPr>
        <w:t xml:space="preserve"> </w:t>
      </w:r>
      <w:r w:rsidR="00CC62BA" w:rsidRPr="00F40707">
        <w:rPr>
          <w:rFonts w:ascii="Lato" w:hAnsi="Lato" w:cs="Arial"/>
          <w:bCs/>
          <w:spacing w:val="4"/>
          <w:sz w:val="22"/>
          <w:szCs w:val="22"/>
        </w:rPr>
        <w:t>19</w:t>
      </w:r>
      <w:r w:rsidRPr="00F40707">
        <w:rPr>
          <w:rFonts w:ascii="Lato" w:hAnsi="Lato" w:cs="Arial"/>
          <w:bCs/>
          <w:spacing w:val="4"/>
          <w:sz w:val="22"/>
          <w:szCs w:val="22"/>
        </w:rPr>
        <w:t>-</w:t>
      </w:r>
      <w:r w:rsidR="00CC62BA" w:rsidRPr="00F40707">
        <w:rPr>
          <w:rFonts w:ascii="Lato" w:hAnsi="Lato" w:cs="Arial"/>
          <w:bCs/>
          <w:spacing w:val="4"/>
          <w:sz w:val="22"/>
          <w:szCs w:val="22"/>
        </w:rPr>
        <w:t>24</w:t>
      </w:r>
      <w:r w:rsidRPr="00F40707">
        <w:rPr>
          <w:rFonts w:ascii="Lato" w:hAnsi="Lato" w:cs="Arial"/>
          <w:bCs/>
          <w:spacing w:val="4"/>
          <w:sz w:val="22"/>
          <w:szCs w:val="22"/>
        </w:rPr>
        <w:t>, licząc od dołu strony, zapis:</w:t>
      </w:r>
    </w:p>
    <w:p w14:paraId="28046178" w14:textId="5B8E5AE9" w:rsidR="00A909D0" w:rsidRPr="00DD40FC" w:rsidRDefault="00A909D0" w:rsidP="00A909D0">
      <w:pPr>
        <w:pStyle w:val="Akapitzlist"/>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w:t>
      </w:r>
      <w:r w:rsidR="009B497D" w:rsidRPr="00F40707">
        <w:rPr>
          <w:rFonts w:ascii="Lato" w:hAnsi="Lato" w:cs="Arial"/>
          <w:bCs/>
          <w:spacing w:val="4"/>
          <w:sz w:val="22"/>
          <w:szCs w:val="22"/>
        </w:rPr>
        <w:t xml:space="preserve">4. W Tabeli Nr 4 „Wykaz działek będących własnością CPK Sp. z o.o. podlegających podziałowi, wraz ze wskazaniem części nieruchomości, na których będą prowadzone prace na czas realizacji Inwestycji (poza liniami rozgraniczającymi Inwestycji)” </w:t>
      </w:r>
      <w:r w:rsidR="009B497D" w:rsidRPr="00F40707">
        <w:rPr>
          <w:rFonts w:ascii="Lato" w:hAnsi="Lato" w:cs="Arial"/>
          <w:b/>
          <w:spacing w:val="4"/>
          <w:sz w:val="22"/>
          <w:szCs w:val="22"/>
        </w:rPr>
        <w:t>tłustym</w:t>
      </w:r>
      <w:r w:rsidR="009B497D" w:rsidRPr="00F40707">
        <w:rPr>
          <w:rFonts w:ascii="Lato" w:hAnsi="Lato" w:cs="Arial"/>
          <w:bCs/>
          <w:spacing w:val="4"/>
          <w:sz w:val="22"/>
          <w:szCs w:val="22"/>
        </w:rPr>
        <w:t xml:space="preserve"> </w:t>
      </w:r>
      <w:r w:rsidR="009B497D" w:rsidRPr="00F40707">
        <w:rPr>
          <w:rFonts w:ascii="Lato" w:hAnsi="Lato" w:cs="Arial"/>
          <w:b/>
          <w:spacing w:val="4"/>
          <w:sz w:val="22"/>
          <w:szCs w:val="22"/>
        </w:rPr>
        <w:t>drukiem</w:t>
      </w:r>
      <w:r w:rsidR="009B497D" w:rsidRPr="00F40707">
        <w:rPr>
          <w:rFonts w:ascii="Lato" w:hAnsi="Lato" w:cs="Arial"/>
          <w:bCs/>
          <w:spacing w:val="4"/>
          <w:sz w:val="22"/>
          <w:szCs w:val="22"/>
        </w:rPr>
        <w:t xml:space="preserve"> wskazano części nieruchomości po podziale, na których będą prowadzone prace na czas realizacji inwestycji, zgodnie z zatwierdzonym podziałem nieruchomości ustalonymi niniejszą decyzją.”,</w:t>
      </w:r>
    </w:p>
    <w:p w14:paraId="75329BA6" w14:textId="527F196F" w:rsidR="00A3448E" w:rsidRPr="00F40707" w:rsidRDefault="00A3448E">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 xml:space="preserve">tabelę </w:t>
      </w:r>
      <w:r w:rsidR="00117EB9" w:rsidRPr="00F40707">
        <w:rPr>
          <w:rFonts w:ascii="Lato" w:hAnsi="Lato" w:cs="Arial"/>
          <w:bCs/>
          <w:spacing w:val="4"/>
          <w:sz w:val="22"/>
          <w:szCs w:val="22"/>
        </w:rPr>
        <w:t>n</w:t>
      </w:r>
      <w:r w:rsidR="00A909D0" w:rsidRPr="00F40707">
        <w:rPr>
          <w:rFonts w:ascii="Lato" w:hAnsi="Lato" w:cs="Arial"/>
          <w:bCs/>
          <w:spacing w:val="4"/>
          <w:sz w:val="22"/>
          <w:szCs w:val="22"/>
        </w:rPr>
        <w:t xml:space="preserve">r 4 pn.: „Wykaz działek będących własnością CPK Sp. z o.o. podlegających podziałowi, wraz ze wskazaniem części nieruchomości, na których będą </w:t>
      </w:r>
      <w:r w:rsidR="00A909D0" w:rsidRPr="00F40707">
        <w:rPr>
          <w:rFonts w:ascii="Lato" w:hAnsi="Lato" w:cs="Arial"/>
          <w:bCs/>
          <w:spacing w:val="4"/>
          <w:sz w:val="22"/>
          <w:szCs w:val="22"/>
        </w:rPr>
        <w:lastRenderedPageBreak/>
        <w:t>prowadzone prace na czas realizacji Inwestycji</w:t>
      </w:r>
      <w:r w:rsidR="007A658C" w:rsidRPr="00F40707">
        <w:rPr>
          <w:rFonts w:ascii="Lato" w:hAnsi="Lato" w:cs="Arial"/>
          <w:bCs/>
          <w:spacing w:val="4"/>
          <w:sz w:val="22"/>
          <w:szCs w:val="22"/>
        </w:rPr>
        <w:t>.</w:t>
      </w:r>
      <w:r w:rsidR="00A909D0" w:rsidRPr="00F40707">
        <w:rPr>
          <w:rFonts w:ascii="Lato" w:hAnsi="Lato" w:cs="Arial"/>
          <w:bCs/>
          <w:spacing w:val="4"/>
          <w:sz w:val="22"/>
          <w:szCs w:val="22"/>
        </w:rPr>
        <w:t xml:space="preserve">”, </w:t>
      </w:r>
      <w:r w:rsidRPr="00F40707">
        <w:rPr>
          <w:rFonts w:ascii="Lato" w:hAnsi="Lato" w:cs="Arial"/>
          <w:bCs/>
          <w:spacing w:val="4"/>
          <w:sz w:val="22"/>
          <w:szCs w:val="22"/>
        </w:rPr>
        <w:t xml:space="preserve">znajdującą się w pkt VIII.4 </w:t>
      </w:r>
      <w:r w:rsidR="00132555" w:rsidRPr="00F40707">
        <w:rPr>
          <w:rFonts w:ascii="Lato" w:hAnsi="Lato" w:cs="Arial"/>
          <w:bCs/>
          <w:spacing w:val="4"/>
          <w:sz w:val="22"/>
          <w:szCs w:val="22"/>
        </w:rPr>
        <w:t xml:space="preserve">na </w:t>
      </w:r>
      <w:r w:rsidRPr="00F40707">
        <w:rPr>
          <w:rFonts w:ascii="Lato" w:hAnsi="Lato" w:cs="Arial"/>
          <w:bCs/>
          <w:spacing w:val="4"/>
          <w:sz w:val="22"/>
          <w:szCs w:val="22"/>
        </w:rPr>
        <w:t>stron</w:t>
      </w:r>
      <w:r w:rsidR="00132555" w:rsidRPr="00F40707">
        <w:rPr>
          <w:rFonts w:ascii="Lato" w:hAnsi="Lato" w:cs="Arial"/>
          <w:bCs/>
          <w:spacing w:val="4"/>
          <w:sz w:val="22"/>
          <w:szCs w:val="22"/>
        </w:rPr>
        <w:t>ie</w:t>
      </w:r>
      <w:r w:rsidRPr="00F40707">
        <w:rPr>
          <w:rFonts w:ascii="Lato" w:hAnsi="Lato" w:cs="Arial"/>
          <w:bCs/>
          <w:spacing w:val="4"/>
          <w:sz w:val="22"/>
          <w:szCs w:val="22"/>
        </w:rPr>
        <w:t xml:space="preserve"> 100</w:t>
      </w:r>
      <w:r w:rsidR="00132555" w:rsidRPr="00F40707">
        <w:rPr>
          <w:rFonts w:ascii="Lato" w:hAnsi="Lato" w:cs="Arial"/>
          <w:bCs/>
          <w:spacing w:val="4"/>
          <w:sz w:val="22"/>
          <w:szCs w:val="22"/>
        </w:rPr>
        <w:t xml:space="preserve"> </w:t>
      </w:r>
      <w:r w:rsidR="00960830" w:rsidRPr="00F40707">
        <w:rPr>
          <w:rFonts w:ascii="Lato" w:hAnsi="Lato" w:cs="Arial"/>
          <w:bCs/>
          <w:spacing w:val="4"/>
          <w:sz w:val="22"/>
          <w:szCs w:val="22"/>
        </w:rPr>
        <w:t xml:space="preserve">rozstrzygnięcia </w:t>
      </w:r>
      <w:r w:rsidR="00132555" w:rsidRPr="00F40707">
        <w:rPr>
          <w:rFonts w:ascii="Lato" w:hAnsi="Lato" w:cs="Arial"/>
          <w:bCs/>
          <w:spacing w:val="4"/>
          <w:sz w:val="22"/>
          <w:szCs w:val="22"/>
        </w:rPr>
        <w:t>zaskarżonej decyzji,</w:t>
      </w:r>
    </w:p>
    <w:p w14:paraId="7368859B" w14:textId="1B23953E" w:rsidR="007B2353" w:rsidRPr="00F40707" w:rsidRDefault="007B2353">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w rozstrzygnięciu zaskarżonej decyzji, znajdujący się na stronie 101, w wierszach 1-</w:t>
      </w:r>
      <w:r w:rsidR="000C4F1A" w:rsidRPr="00F40707">
        <w:rPr>
          <w:rFonts w:ascii="Lato" w:hAnsi="Lato" w:cs="Arial"/>
          <w:bCs/>
          <w:spacing w:val="4"/>
          <w:sz w:val="22"/>
          <w:szCs w:val="22"/>
        </w:rPr>
        <w:t>6</w:t>
      </w:r>
      <w:r w:rsidRPr="00F40707">
        <w:rPr>
          <w:rFonts w:ascii="Lato" w:hAnsi="Lato" w:cs="Arial"/>
          <w:bCs/>
          <w:spacing w:val="4"/>
          <w:sz w:val="22"/>
          <w:szCs w:val="22"/>
        </w:rPr>
        <w:t>, licząc od góry strony, zapis:</w:t>
      </w:r>
    </w:p>
    <w:p w14:paraId="401DC1C9" w14:textId="49FB885C" w:rsidR="007B2353" w:rsidRPr="00DD40FC" w:rsidRDefault="00AB58AC" w:rsidP="007B2353">
      <w:pPr>
        <w:pStyle w:val="Akapitzlist"/>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 xml:space="preserve">„5. W Tabeli Nr 5 „Wykaz działek podlegających podziałowi, stanowiących drogi publiczne, podlegających nieodpłatnemu zajęciu na rzecz CPK Sp. z o.o., </w:t>
      </w:r>
      <w:r w:rsidR="00934A78" w:rsidRPr="00F40707">
        <w:rPr>
          <w:rFonts w:ascii="Lato" w:hAnsi="Lato" w:cs="Arial"/>
          <w:bCs/>
          <w:spacing w:val="4"/>
          <w:sz w:val="22"/>
          <w:szCs w:val="22"/>
        </w:rPr>
        <w:br/>
      </w:r>
      <w:r w:rsidRPr="00F40707">
        <w:rPr>
          <w:rFonts w:ascii="Lato" w:hAnsi="Lato" w:cs="Arial"/>
          <w:bCs/>
          <w:spacing w:val="4"/>
          <w:sz w:val="22"/>
          <w:szCs w:val="22"/>
        </w:rPr>
        <w:t xml:space="preserve">ze wskazaniem działek podlegających i niepodlegających nieodpłatnemu zajęciu na rzecz CPK Sp. z o.o.” </w:t>
      </w:r>
      <w:r w:rsidRPr="00F40707">
        <w:rPr>
          <w:rFonts w:ascii="Lato" w:hAnsi="Lato" w:cs="Arial"/>
          <w:b/>
          <w:spacing w:val="4"/>
          <w:sz w:val="22"/>
          <w:szCs w:val="22"/>
        </w:rPr>
        <w:t>tłustym drukiem</w:t>
      </w:r>
      <w:r w:rsidRPr="00F40707">
        <w:rPr>
          <w:rFonts w:ascii="Lato" w:hAnsi="Lato" w:cs="Arial"/>
          <w:bCs/>
          <w:spacing w:val="4"/>
          <w:sz w:val="22"/>
          <w:szCs w:val="22"/>
        </w:rPr>
        <w:t xml:space="preserve"> wskazano części nieruchomości </w:t>
      </w:r>
      <w:r w:rsidR="00850545" w:rsidRPr="00F40707">
        <w:rPr>
          <w:rFonts w:ascii="Lato" w:hAnsi="Lato" w:cs="Arial"/>
          <w:bCs/>
          <w:spacing w:val="4"/>
          <w:sz w:val="22"/>
          <w:szCs w:val="22"/>
        </w:rPr>
        <w:br/>
      </w:r>
      <w:r w:rsidRPr="00F40707">
        <w:rPr>
          <w:rFonts w:ascii="Lato" w:hAnsi="Lato" w:cs="Arial"/>
          <w:bCs/>
          <w:spacing w:val="4"/>
          <w:sz w:val="22"/>
          <w:szCs w:val="22"/>
        </w:rPr>
        <w:t xml:space="preserve">po podziale podlegające nieodpłatnemu zajęciu na rzecz CPK Sp. z o.o., zgodnie </w:t>
      </w:r>
      <w:r w:rsidRPr="00F40707">
        <w:rPr>
          <w:rFonts w:ascii="Lato" w:hAnsi="Lato" w:cs="Arial"/>
          <w:bCs/>
          <w:spacing w:val="4"/>
          <w:sz w:val="22"/>
          <w:szCs w:val="22"/>
        </w:rPr>
        <w:br/>
        <w:t>z zatwierdzonym podziałem nieruchomości ustalonymi niniejszą decyzją.”.</w:t>
      </w:r>
    </w:p>
    <w:p w14:paraId="4A91F732" w14:textId="17F503FC" w:rsidR="009F315E" w:rsidRPr="00F40707" w:rsidRDefault="009F315E">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 xml:space="preserve">tabelę </w:t>
      </w:r>
      <w:r w:rsidR="00117EB9" w:rsidRPr="00F40707">
        <w:rPr>
          <w:rFonts w:ascii="Lato" w:hAnsi="Lato" w:cs="Arial"/>
          <w:bCs/>
          <w:spacing w:val="4"/>
          <w:sz w:val="22"/>
          <w:szCs w:val="22"/>
        </w:rPr>
        <w:t>n</w:t>
      </w:r>
      <w:r w:rsidRPr="00F40707">
        <w:rPr>
          <w:rFonts w:ascii="Lato" w:hAnsi="Lato" w:cs="Arial"/>
          <w:bCs/>
          <w:spacing w:val="4"/>
          <w:sz w:val="22"/>
          <w:szCs w:val="22"/>
        </w:rPr>
        <w:t xml:space="preserve">r 5 pn.: „Wykaz działek podlegających podziałowi, stanowiących </w:t>
      </w:r>
      <w:r w:rsidR="00D60E09" w:rsidRPr="00F40707">
        <w:rPr>
          <w:rFonts w:ascii="Lato" w:hAnsi="Lato" w:cs="Arial"/>
          <w:bCs/>
          <w:spacing w:val="4"/>
          <w:sz w:val="22"/>
          <w:szCs w:val="22"/>
        </w:rPr>
        <w:t>drogi publiczne, podlegających nieodpłatnemu zajęciu na rzecz CPK Sp. z o.o.</w:t>
      </w:r>
      <w:r w:rsidR="002F5641" w:rsidRPr="00F40707">
        <w:rPr>
          <w:rFonts w:ascii="Lato" w:hAnsi="Lato" w:cs="Arial"/>
          <w:bCs/>
          <w:spacing w:val="4"/>
          <w:sz w:val="22"/>
          <w:szCs w:val="22"/>
        </w:rPr>
        <w:t xml:space="preserve">, </w:t>
      </w:r>
      <w:r w:rsidR="00960830" w:rsidRPr="00F40707">
        <w:rPr>
          <w:rFonts w:ascii="Lato" w:hAnsi="Lato" w:cs="Arial"/>
          <w:bCs/>
          <w:spacing w:val="4"/>
          <w:sz w:val="22"/>
          <w:szCs w:val="22"/>
        </w:rPr>
        <w:br/>
      </w:r>
      <w:r w:rsidR="002F5641" w:rsidRPr="00F40707">
        <w:rPr>
          <w:rFonts w:ascii="Lato" w:hAnsi="Lato" w:cs="Arial"/>
          <w:bCs/>
          <w:spacing w:val="4"/>
          <w:sz w:val="22"/>
          <w:szCs w:val="22"/>
        </w:rPr>
        <w:t xml:space="preserve">ze wskazaniem działek </w:t>
      </w:r>
      <w:r w:rsidR="00960830" w:rsidRPr="00F40707">
        <w:rPr>
          <w:rFonts w:ascii="Lato" w:hAnsi="Lato" w:cs="Arial"/>
          <w:bCs/>
          <w:spacing w:val="4"/>
          <w:sz w:val="22"/>
          <w:szCs w:val="22"/>
        </w:rPr>
        <w:t>podlegających</w:t>
      </w:r>
      <w:r w:rsidR="002F5641" w:rsidRPr="00F40707">
        <w:rPr>
          <w:rFonts w:ascii="Lato" w:hAnsi="Lato" w:cs="Arial"/>
          <w:bCs/>
          <w:spacing w:val="4"/>
          <w:sz w:val="22"/>
          <w:szCs w:val="22"/>
        </w:rPr>
        <w:t xml:space="preserve"> i niepodlegających nieodpłatnemu zajęciu na rzecz CPK Sp. z o.</w:t>
      </w:r>
      <w:r w:rsidR="00935F16" w:rsidRPr="00F40707">
        <w:rPr>
          <w:rFonts w:ascii="Lato" w:hAnsi="Lato" w:cs="Arial"/>
          <w:bCs/>
          <w:spacing w:val="4"/>
          <w:sz w:val="22"/>
          <w:szCs w:val="22"/>
        </w:rPr>
        <w:t>o.</w:t>
      </w:r>
      <w:r w:rsidR="00D60E09" w:rsidRPr="00F40707">
        <w:rPr>
          <w:rFonts w:ascii="Lato" w:hAnsi="Lato" w:cs="Arial"/>
          <w:bCs/>
          <w:spacing w:val="4"/>
          <w:sz w:val="22"/>
          <w:szCs w:val="22"/>
        </w:rPr>
        <w:t xml:space="preserve">”, znajdującą się w pkt VIII.5 </w:t>
      </w:r>
      <w:r w:rsidR="00960830" w:rsidRPr="00F40707">
        <w:rPr>
          <w:rFonts w:ascii="Lato" w:hAnsi="Lato" w:cs="Arial"/>
          <w:bCs/>
          <w:spacing w:val="4"/>
          <w:sz w:val="22"/>
          <w:szCs w:val="22"/>
        </w:rPr>
        <w:t xml:space="preserve">na </w:t>
      </w:r>
      <w:r w:rsidR="00D60E09" w:rsidRPr="00F40707">
        <w:rPr>
          <w:rFonts w:ascii="Lato" w:hAnsi="Lato" w:cs="Arial"/>
          <w:bCs/>
          <w:spacing w:val="4"/>
          <w:sz w:val="22"/>
          <w:szCs w:val="22"/>
        </w:rPr>
        <w:t>stron</w:t>
      </w:r>
      <w:r w:rsidR="00935F16" w:rsidRPr="00F40707">
        <w:rPr>
          <w:rFonts w:ascii="Lato" w:hAnsi="Lato" w:cs="Arial"/>
          <w:bCs/>
          <w:spacing w:val="4"/>
          <w:sz w:val="22"/>
          <w:szCs w:val="22"/>
        </w:rPr>
        <w:t>ie</w:t>
      </w:r>
      <w:r w:rsidR="00D60E09" w:rsidRPr="00F40707">
        <w:rPr>
          <w:rFonts w:ascii="Lato" w:hAnsi="Lato" w:cs="Arial"/>
          <w:bCs/>
          <w:spacing w:val="4"/>
          <w:sz w:val="22"/>
          <w:szCs w:val="22"/>
        </w:rPr>
        <w:t xml:space="preserve"> 101</w:t>
      </w:r>
      <w:r w:rsidR="00960830" w:rsidRPr="00F40707">
        <w:rPr>
          <w:rFonts w:ascii="Lato" w:hAnsi="Lato" w:cs="Arial"/>
          <w:bCs/>
          <w:spacing w:val="4"/>
          <w:sz w:val="22"/>
          <w:szCs w:val="22"/>
        </w:rPr>
        <w:t xml:space="preserve"> rozstrzygnięcia zaskarżonej decyzji, </w:t>
      </w:r>
    </w:p>
    <w:p w14:paraId="05ECDE5C" w14:textId="69E84ABF" w:rsidR="00F47121" w:rsidRPr="006C0DD2" w:rsidRDefault="00F47121">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6C0DD2">
        <w:rPr>
          <w:rFonts w:ascii="Lato" w:hAnsi="Lato" w:cs="Arial"/>
          <w:bCs/>
          <w:spacing w:val="4"/>
          <w:sz w:val="22"/>
          <w:szCs w:val="22"/>
        </w:rPr>
        <w:t xml:space="preserve">w rozstrzygnięciu zaskarżonej decyzji, </w:t>
      </w:r>
      <w:r w:rsidR="00F9023C" w:rsidRPr="006C0DD2">
        <w:rPr>
          <w:rFonts w:ascii="Lato" w:hAnsi="Lato" w:cs="Arial"/>
          <w:bCs/>
          <w:spacing w:val="4"/>
          <w:sz w:val="22"/>
          <w:szCs w:val="22"/>
        </w:rPr>
        <w:t xml:space="preserve">znajdującą się w pkt VIII.6 </w:t>
      </w:r>
      <w:r w:rsidRPr="006C0DD2">
        <w:rPr>
          <w:rFonts w:ascii="Lato" w:hAnsi="Lato" w:cs="Arial"/>
          <w:bCs/>
          <w:spacing w:val="4"/>
          <w:sz w:val="22"/>
          <w:szCs w:val="22"/>
        </w:rPr>
        <w:t xml:space="preserve">tabelę nr 6 pn.: „Wykaz nieruchomości podlegających podziałowi, wraz ze wskazaniem </w:t>
      </w:r>
      <w:r w:rsidR="004635A8" w:rsidRPr="006C0DD2">
        <w:rPr>
          <w:rFonts w:ascii="Lato" w:hAnsi="Lato" w:cs="Arial"/>
          <w:bCs/>
          <w:spacing w:val="4"/>
          <w:sz w:val="22"/>
          <w:szCs w:val="22"/>
        </w:rPr>
        <w:t>części nieruchomości wchodzących i nie wchodzących w obszar linii rozgraniczających Inwestycji”</w:t>
      </w:r>
      <w:r w:rsidR="00F9023C" w:rsidRPr="006C0DD2">
        <w:rPr>
          <w:rFonts w:ascii="Lato" w:hAnsi="Lato" w:cs="Arial"/>
          <w:bCs/>
          <w:spacing w:val="4"/>
          <w:sz w:val="22"/>
          <w:szCs w:val="22"/>
        </w:rPr>
        <w:t xml:space="preserve"> </w:t>
      </w:r>
      <w:r w:rsidR="004635A8" w:rsidRPr="006C0DD2">
        <w:rPr>
          <w:rFonts w:ascii="Lato" w:hAnsi="Lato" w:cs="Arial"/>
          <w:bCs/>
          <w:spacing w:val="4"/>
          <w:sz w:val="22"/>
          <w:szCs w:val="22"/>
        </w:rPr>
        <w:t>– w zakresie dotyczącym:</w:t>
      </w:r>
    </w:p>
    <w:p w14:paraId="6132EC3A" w14:textId="2AD3FC99" w:rsidR="00D96F38" w:rsidRPr="006C0DD2" w:rsidRDefault="00D96F38">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 xml:space="preserve">działek nr: 285, 286, 287/1, </w:t>
      </w:r>
      <w:r w:rsidR="00160056" w:rsidRPr="006C0DD2">
        <w:rPr>
          <w:rFonts w:ascii="Lato" w:hAnsi="Lato" w:cs="Arial"/>
          <w:bCs/>
          <w:spacing w:val="4"/>
          <w:sz w:val="22"/>
          <w:szCs w:val="22"/>
        </w:rPr>
        <w:t xml:space="preserve">z </w:t>
      </w:r>
      <w:r w:rsidRPr="006C0DD2">
        <w:rPr>
          <w:rFonts w:ascii="Lato" w:hAnsi="Lato" w:cs="Arial"/>
          <w:bCs/>
          <w:spacing w:val="4"/>
          <w:sz w:val="22"/>
          <w:szCs w:val="22"/>
        </w:rPr>
        <w:t>obrębu 0005 Buszyce (strona 101; poz. 9-11 tabeli),</w:t>
      </w:r>
    </w:p>
    <w:p w14:paraId="0295C433" w14:textId="51E41CBA" w:rsidR="00156F7B" w:rsidRPr="006C0DD2" w:rsidRDefault="00156F7B">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43/1, 44, 77, z obrębu 0007 Drybus (strona 102; poz. 18, 19, 23 tabeli),</w:t>
      </w:r>
    </w:p>
    <w:p w14:paraId="1D96B9A5" w14:textId="4A07807C" w:rsidR="00156F7B" w:rsidRPr="006C0DD2" w:rsidRDefault="00367040">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209, 210, 211, 247, 255, 271/1, 532, 548/2</w:t>
      </w:r>
      <w:r w:rsidR="001C1DA2" w:rsidRPr="006C0DD2">
        <w:rPr>
          <w:rFonts w:ascii="Lato" w:hAnsi="Lato" w:cs="Arial"/>
          <w:bCs/>
          <w:spacing w:val="4"/>
          <w:sz w:val="22"/>
          <w:szCs w:val="22"/>
        </w:rPr>
        <w:t>, z obrębu 0020 Strumiany Dolne</w:t>
      </w:r>
      <w:r w:rsidRPr="006C0DD2">
        <w:rPr>
          <w:rFonts w:ascii="Lato" w:hAnsi="Lato" w:cs="Arial"/>
          <w:bCs/>
          <w:spacing w:val="4"/>
          <w:sz w:val="22"/>
          <w:szCs w:val="22"/>
        </w:rPr>
        <w:t xml:space="preserve"> (strony 102 i 103; poz. 29, 30, 31, 37, 41, 44, 48, 50 tabeli),</w:t>
      </w:r>
    </w:p>
    <w:p w14:paraId="59A0D099" w14:textId="6BBB8238" w:rsidR="00635D43" w:rsidRPr="006C0DD2" w:rsidRDefault="002A4696">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30, 31, 36/1, 244/1, 247/1, 250/1, z obrębu 0021 Wyczółki (strona 103; poz. 51, 52, 54, 57, 58, 59 tabeli)</w:t>
      </w:r>
    </w:p>
    <w:p w14:paraId="3DC50575" w14:textId="580E7B04" w:rsidR="00367040" w:rsidRPr="006C0DD2" w:rsidRDefault="00CE178B">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137/1, 201, 211/2, 313, 332/2, 348/3, z obrębu 0023 Strumiany Górne (strony 103 i 104; poz. 66, 73, 76, 81, 84, 86 tabeli),</w:t>
      </w:r>
    </w:p>
    <w:p w14:paraId="36F59783" w14:textId="45665E67" w:rsidR="00243640" w:rsidRPr="006C0DD2" w:rsidRDefault="00243640">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169/2, 170, 171, z obrębu 0003 Elżbietów (strona 104; poz. 88-90 tabeli),</w:t>
      </w:r>
      <w:r w:rsidR="00492D26" w:rsidRPr="006C0DD2">
        <w:rPr>
          <w:rFonts w:ascii="Lato" w:hAnsi="Lato" w:cs="Arial"/>
          <w:bCs/>
          <w:spacing w:val="4"/>
          <w:sz w:val="22"/>
          <w:szCs w:val="22"/>
        </w:rPr>
        <w:t xml:space="preserve"> </w:t>
      </w:r>
    </w:p>
    <w:p w14:paraId="58A1442B" w14:textId="7FAC8C42" w:rsidR="00E30F67" w:rsidRPr="006C0DD2" w:rsidRDefault="00420DEE">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16/1, 18, 19/1, 38, z obrębu 0011 Maurycew (strona 105; poz. 92, 94, 95, 97 tabeli),</w:t>
      </w:r>
    </w:p>
    <w:p w14:paraId="5069A073" w14:textId="00057383" w:rsidR="005C0352" w:rsidRPr="006C0DD2" w:rsidRDefault="005C0352">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15, 16/1, 21, 22, z obrębu 0018 Pawłówek (strona 105; poz. 108, 109, 114, 115 tabeli),</w:t>
      </w:r>
    </w:p>
    <w:p w14:paraId="5091E72A" w14:textId="1958AE5A" w:rsidR="004635A8" w:rsidRPr="006C0DD2" w:rsidRDefault="004635A8">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w:t>
      </w:r>
      <w:r w:rsidR="006C1F98" w:rsidRPr="006C0DD2">
        <w:rPr>
          <w:rFonts w:ascii="Lato" w:hAnsi="Lato" w:cs="Arial"/>
          <w:bCs/>
          <w:spacing w:val="4"/>
          <w:sz w:val="22"/>
          <w:szCs w:val="22"/>
        </w:rPr>
        <w:t xml:space="preserve"> nr: </w:t>
      </w:r>
      <w:r w:rsidR="0054433D" w:rsidRPr="006C0DD2">
        <w:rPr>
          <w:rFonts w:ascii="Lato" w:hAnsi="Lato" w:cs="Arial"/>
          <w:bCs/>
          <w:spacing w:val="4"/>
          <w:sz w:val="22"/>
          <w:szCs w:val="22"/>
        </w:rPr>
        <w:t xml:space="preserve">75, </w:t>
      </w:r>
      <w:r w:rsidR="006C1F98" w:rsidRPr="006C0DD2">
        <w:rPr>
          <w:rFonts w:ascii="Lato" w:hAnsi="Lato" w:cs="Arial"/>
          <w:bCs/>
          <w:spacing w:val="4"/>
          <w:sz w:val="22"/>
          <w:szCs w:val="22"/>
        </w:rPr>
        <w:t>77</w:t>
      </w:r>
      <w:r w:rsidR="0054433D" w:rsidRPr="006C0DD2">
        <w:rPr>
          <w:rFonts w:ascii="Lato" w:hAnsi="Lato" w:cs="Arial"/>
          <w:bCs/>
          <w:spacing w:val="4"/>
          <w:sz w:val="22"/>
          <w:szCs w:val="22"/>
        </w:rPr>
        <w:t>, 78, 79,</w:t>
      </w:r>
      <w:r w:rsidR="006C1F98" w:rsidRPr="006C0DD2">
        <w:rPr>
          <w:rFonts w:ascii="Lato" w:hAnsi="Lato" w:cs="Arial"/>
          <w:bCs/>
          <w:spacing w:val="4"/>
          <w:sz w:val="22"/>
          <w:szCs w:val="22"/>
        </w:rPr>
        <w:t xml:space="preserve"> 80, z obrębu 0022 Skrzelew (strona 105; poz. 121</w:t>
      </w:r>
      <w:r w:rsidR="0054433D" w:rsidRPr="006C0DD2">
        <w:rPr>
          <w:rFonts w:ascii="Lato" w:hAnsi="Lato" w:cs="Arial"/>
          <w:bCs/>
          <w:spacing w:val="4"/>
          <w:sz w:val="22"/>
          <w:szCs w:val="22"/>
        </w:rPr>
        <w:t>, 122, 123, 124,</w:t>
      </w:r>
      <w:r w:rsidR="006C1F98" w:rsidRPr="006C0DD2">
        <w:rPr>
          <w:rFonts w:ascii="Lato" w:hAnsi="Lato" w:cs="Arial"/>
          <w:bCs/>
          <w:spacing w:val="4"/>
          <w:sz w:val="22"/>
          <w:szCs w:val="22"/>
        </w:rPr>
        <w:t xml:space="preserve"> 125 tabeli)</w:t>
      </w:r>
      <w:r w:rsidR="004F7FDE" w:rsidRPr="006C0DD2">
        <w:rPr>
          <w:rFonts w:ascii="Lato" w:hAnsi="Lato" w:cs="Arial"/>
          <w:bCs/>
          <w:spacing w:val="4"/>
          <w:sz w:val="22"/>
          <w:szCs w:val="22"/>
        </w:rPr>
        <w:t>,</w:t>
      </w:r>
    </w:p>
    <w:p w14:paraId="6CCE65F9" w14:textId="01EC0D72" w:rsidR="008560B4" w:rsidRPr="006C0DD2" w:rsidRDefault="00387C39">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w:t>
      </w:r>
      <w:r w:rsidR="007D73A9" w:rsidRPr="006C0DD2">
        <w:rPr>
          <w:rFonts w:ascii="Lato" w:hAnsi="Lato" w:cs="Arial"/>
          <w:bCs/>
          <w:spacing w:val="4"/>
          <w:sz w:val="22"/>
          <w:szCs w:val="22"/>
        </w:rPr>
        <w:t>ałek nr:</w:t>
      </w:r>
      <w:r w:rsidR="00D732BA" w:rsidRPr="006C0DD2">
        <w:rPr>
          <w:rFonts w:ascii="Lato" w:hAnsi="Lato" w:cs="Arial"/>
          <w:bCs/>
          <w:spacing w:val="4"/>
          <w:sz w:val="22"/>
          <w:szCs w:val="22"/>
        </w:rPr>
        <w:t xml:space="preserve"> </w:t>
      </w:r>
      <w:r w:rsidR="001F4C63" w:rsidRPr="006C0DD2">
        <w:rPr>
          <w:rFonts w:ascii="Lato" w:hAnsi="Lato" w:cs="Arial"/>
          <w:bCs/>
          <w:spacing w:val="4"/>
          <w:sz w:val="22"/>
          <w:szCs w:val="22"/>
        </w:rPr>
        <w:t>319, 320, 321, 322, z obrębu 0024 Szymanów</w:t>
      </w:r>
      <w:r w:rsidR="009B1E80" w:rsidRPr="006C0DD2">
        <w:rPr>
          <w:rFonts w:ascii="Lato" w:hAnsi="Lato" w:cs="Arial"/>
          <w:bCs/>
          <w:spacing w:val="4"/>
          <w:sz w:val="22"/>
          <w:szCs w:val="22"/>
        </w:rPr>
        <w:t xml:space="preserve"> (strona 106; poz. 153, 154, 155, 156 tabeli),</w:t>
      </w:r>
    </w:p>
    <w:p w14:paraId="1AD61FDA" w14:textId="48841E63" w:rsidR="004F7FDE" w:rsidRPr="006C0DD2" w:rsidRDefault="004F7FDE">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 xml:space="preserve">działek nr: </w:t>
      </w:r>
      <w:r w:rsidR="008560B4" w:rsidRPr="006C0DD2">
        <w:rPr>
          <w:rFonts w:ascii="Lato" w:hAnsi="Lato" w:cs="Arial"/>
          <w:bCs/>
          <w:spacing w:val="4"/>
          <w:sz w:val="22"/>
          <w:szCs w:val="22"/>
        </w:rPr>
        <w:t>2/1, 6/5</w:t>
      </w:r>
      <w:r w:rsidR="00986748" w:rsidRPr="006C0DD2">
        <w:rPr>
          <w:rFonts w:ascii="Lato" w:hAnsi="Lato" w:cs="Arial"/>
          <w:bCs/>
          <w:spacing w:val="4"/>
          <w:sz w:val="22"/>
          <w:szCs w:val="22"/>
        </w:rPr>
        <w:t xml:space="preserve">, </w:t>
      </w:r>
      <w:r w:rsidRPr="006C0DD2">
        <w:rPr>
          <w:rFonts w:ascii="Lato" w:hAnsi="Lato" w:cs="Arial"/>
          <w:bCs/>
          <w:spacing w:val="4"/>
          <w:sz w:val="22"/>
          <w:szCs w:val="22"/>
        </w:rPr>
        <w:t xml:space="preserve">9/2, 10/5, 13/1, </w:t>
      </w:r>
      <w:r w:rsidR="004B2894" w:rsidRPr="006C0DD2">
        <w:rPr>
          <w:rFonts w:ascii="Lato" w:hAnsi="Lato" w:cs="Arial"/>
          <w:bCs/>
          <w:spacing w:val="4"/>
          <w:sz w:val="22"/>
          <w:szCs w:val="22"/>
        </w:rPr>
        <w:t xml:space="preserve">111/1, </w:t>
      </w:r>
      <w:r w:rsidRPr="006C0DD2">
        <w:rPr>
          <w:rFonts w:ascii="Lato" w:hAnsi="Lato" w:cs="Arial"/>
          <w:bCs/>
          <w:spacing w:val="4"/>
          <w:sz w:val="22"/>
          <w:szCs w:val="22"/>
        </w:rPr>
        <w:t>111/</w:t>
      </w:r>
      <w:r w:rsidR="00E321D2" w:rsidRPr="006C0DD2">
        <w:rPr>
          <w:rFonts w:ascii="Lato" w:hAnsi="Lato" w:cs="Arial"/>
          <w:bCs/>
          <w:spacing w:val="4"/>
          <w:sz w:val="22"/>
          <w:szCs w:val="22"/>
        </w:rPr>
        <w:t>2</w:t>
      </w:r>
      <w:r w:rsidR="00FC4D56" w:rsidRPr="006C0DD2">
        <w:rPr>
          <w:rFonts w:ascii="Lato" w:hAnsi="Lato" w:cs="Arial"/>
          <w:bCs/>
          <w:spacing w:val="4"/>
          <w:sz w:val="22"/>
          <w:szCs w:val="22"/>
        </w:rPr>
        <w:t xml:space="preserve">, z obrębu 0033 SHRO Szymanów (strony 107 i 108; poz. </w:t>
      </w:r>
      <w:r w:rsidR="008560B4" w:rsidRPr="006C0DD2">
        <w:rPr>
          <w:rFonts w:ascii="Lato" w:hAnsi="Lato" w:cs="Arial"/>
          <w:bCs/>
          <w:spacing w:val="4"/>
          <w:sz w:val="22"/>
          <w:szCs w:val="22"/>
        </w:rPr>
        <w:t>173, 175</w:t>
      </w:r>
      <w:r w:rsidR="00986748" w:rsidRPr="006C0DD2">
        <w:rPr>
          <w:rFonts w:ascii="Lato" w:hAnsi="Lato" w:cs="Arial"/>
          <w:bCs/>
          <w:spacing w:val="4"/>
          <w:sz w:val="22"/>
          <w:szCs w:val="22"/>
        </w:rPr>
        <w:t xml:space="preserve">, </w:t>
      </w:r>
      <w:r w:rsidR="00FC4D56" w:rsidRPr="006C0DD2">
        <w:rPr>
          <w:rFonts w:ascii="Lato" w:hAnsi="Lato" w:cs="Arial"/>
          <w:bCs/>
          <w:spacing w:val="4"/>
          <w:sz w:val="22"/>
          <w:szCs w:val="22"/>
        </w:rPr>
        <w:t xml:space="preserve">180, 181, 184, </w:t>
      </w:r>
      <w:r w:rsidR="004B2894" w:rsidRPr="006C0DD2">
        <w:rPr>
          <w:rFonts w:ascii="Lato" w:hAnsi="Lato" w:cs="Arial"/>
          <w:bCs/>
          <w:spacing w:val="4"/>
          <w:sz w:val="22"/>
          <w:szCs w:val="22"/>
        </w:rPr>
        <w:t xml:space="preserve">187, </w:t>
      </w:r>
      <w:r w:rsidR="00FC4D56" w:rsidRPr="006C0DD2">
        <w:rPr>
          <w:rFonts w:ascii="Lato" w:hAnsi="Lato" w:cs="Arial"/>
          <w:bCs/>
          <w:spacing w:val="4"/>
          <w:sz w:val="22"/>
          <w:szCs w:val="22"/>
        </w:rPr>
        <w:t>188 tabeli),</w:t>
      </w:r>
    </w:p>
    <w:p w14:paraId="11C541B5" w14:textId="5FB42DED" w:rsidR="004B2894" w:rsidRPr="006C0DD2" w:rsidRDefault="004B2894">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działki nr 1/7, z obrębu 0034 SHRO Kawęczyn (strona 108; poz. 189 tabeli),</w:t>
      </w:r>
    </w:p>
    <w:p w14:paraId="37B5D203" w14:textId="56B5A69A" w:rsidR="004F6F5F" w:rsidRPr="006C0DD2" w:rsidRDefault="004F6F5F">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lastRenderedPageBreak/>
        <w:t>działek nr: 79/6, 130/5, 132/5, 133/3, 137, 144/3, z obrębu 0001 Aleksandrów (strony 108 i 109; poz. 206, 213, 215, 216, 218, 223 tabeli),</w:t>
      </w:r>
    </w:p>
    <w:p w14:paraId="514E4A3A" w14:textId="1DE6C76E" w:rsidR="005C091F" w:rsidRPr="006C0DD2" w:rsidRDefault="005C091F">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działki nr 99, z obrębu 0006 Duninopol (strona 110; poz. 247 tabeli),</w:t>
      </w:r>
    </w:p>
    <w:p w14:paraId="21A04064" w14:textId="158D831B" w:rsidR="005C091F" w:rsidRPr="006C0DD2" w:rsidRDefault="005C091F">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w:t>
      </w:r>
      <w:r w:rsidR="00EB5472" w:rsidRPr="006C0DD2">
        <w:rPr>
          <w:rFonts w:ascii="Lato" w:hAnsi="Lato" w:cs="Arial"/>
          <w:bCs/>
          <w:spacing w:val="4"/>
          <w:sz w:val="22"/>
          <w:szCs w:val="22"/>
        </w:rPr>
        <w:t>:</w:t>
      </w:r>
      <w:r w:rsidRPr="006C0DD2">
        <w:rPr>
          <w:rFonts w:ascii="Lato" w:hAnsi="Lato" w:cs="Arial"/>
          <w:bCs/>
          <w:spacing w:val="4"/>
          <w:sz w:val="22"/>
          <w:szCs w:val="22"/>
        </w:rPr>
        <w:t xml:space="preserve"> 23, 105, 107/2, z obrębu 0010 Guzów (strony 110 i 111; poz. 249, 274, 275 tabeli),</w:t>
      </w:r>
    </w:p>
    <w:p w14:paraId="00D24923" w14:textId="4B95D516" w:rsidR="005C091F" w:rsidRPr="006C0DD2" w:rsidRDefault="005C091F">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działki nr 26, z obrębu 0012 Janówek (strona 112; poz. 279 tabeli),</w:t>
      </w:r>
    </w:p>
    <w:p w14:paraId="3808A411" w14:textId="70EB6617" w:rsidR="005C091F" w:rsidRPr="006C0DD2" w:rsidRDefault="006B57C6">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w:t>
      </w:r>
      <w:r w:rsidR="00EB5472" w:rsidRPr="006C0DD2">
        <w:rPr>
          <w:rFonts w:ascii="Lato" w:hAnsi="Lato" w:cs="Arial"/>
          <w:bCs/>
          <w:spacing w:val="4"/>
          <w:sz w:val="22"/>
          <w:szCs w:val="22"/>
        </w:rPr>
        <w:t>:</w:t>
      </w:r>
      <w:r w:rsidRPr="006C0DD2">
        <w:rPr>
          <w:rFonts w:ascii="Lato" w:hAnsi="Lato" w:cs="Arial"/>
          <w:bCs/>
          <w:spacing w:val="4"/>
          <w:sz w:val="22"/>
          <w:szCs w:val="22"/>
        </w:rPr>
        <w:t xml:space="preserve"> 52/2, 53/2, 58/3, z obrębu 0018 Cyganka (strony 112 i 113; poz. 302, 303, 310 tabeli),</w:t>
      </w:r>
    </w:p>
    <w:p w14:paraId="724F1E70" w14:textId="2ECB666F" w:rsidR="006B57C6" w:rsidRPr="006C0DD2" w:rsidRDefault="00EB5472">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117/1, 176/1, 188, 190, 194, 196, 205, 210, 211, z obrębu 0022 Nowy Oryszew (strony 113 i 114; poz. 317, 328, 331, 332, 334, 335, 344, 349, 350 tabeli),</w:t>
      </w:r>
    </w:p>
    <w:p w14:paraId="526C95E4" w14:textId="51B22D46" w:rsidR="00EB5472" w:rsidRPr="006C0DD2" w:rsidRDefault="00EB5472">
      <w:pPr>
        <w:pStyle w:val="Akapitzlist"/>
        <w:numPr>
          <w:ilvl w:val="0"/>
          <w:numId w:val="7"/>
        </w:numPr>
        <w:tabs>
          <w:tab w:val="left" w:pos="426"/>
        </w:tabs>
        <w:spacing w:after="24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41/1, 60, 61, z obrębu 0025 Podoryszew (strony 115 i 116; poz. 366, 374, 375 tabeli),</w:t>
      </w:r>
    </w:p>
    <w:p w14:paraId="01D5C309" w14:textId="4ED356B7" w:rsidR="00A12130" w:rsidRPr="006C0DD2" w:rsidRDefault="008B0530">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6C0DD2">
        <w:rPr>
          <w:rFonts w:ascii="Lato" w:hAnsi="Lato" w:cs="Arial"/>
          <w:bCs/>
          <w:spacing w:val="4"/>
          <w:sz w:val="22"/>
          <w:szCs w:val="22"/>
        </w:rPr>
        <w:t>w</w:t>
      </w:r>
      <w:r w:rsidR="0089627F" w:rsidRPr="006C0DD2">
        <w:rPr>
          <w:rFonts w:ascii="Lato" w:hAnsi="Lato" w:cs="Arial"/>
          <w:bCs/>
          <w:spacing w:val="4"/>
          <w:sz w:val="22"/>
          <w:szCs w:val="22"/>
        </w:rPr>
        <w:t xml:space="preserve"> rozstrzygnięciu zaskarżonej decyzji, </w:t>
      </w:r>
      <w:r w:rsidR="00F9023C" w:rsidRPr="006C0DD2">
        <w:rPr>
          <w:rFonts w:ascii="Lato" w:hAnsi="Lato" w:cs="Arial"/>
          <w:bCs/>
          <w:spacing w:val="4"/>
          <w:sz w:val="22"/>
          <w:szCs w:val="22"/>
        </w:rPr>
        <w:t xml:space="preserve">znajdującą się w pkt IX </w:t>
      </w:r>
      <w:r w:rsidR="0089627F" w:rsidRPr="006C0DD2">
        <w:rPr>
          <w:rFonts w:ascii="Lato" w:hAnsi="Lato" w:cs="Arial"/>
          <w:bCs/>
          <w:spacing w:val="4"/>
          <w:sz w:val="22"/>
          <w:szCs w:val="22"/>
        </w:rPr>
        <w:t>tabelę nr 7 pn.: „Wykaz działek podlegających wywłaszczeniu na rzecz CPK Sp. z o.o. w całości” – w zakresie dotyczącym:</w:t>
      </w:r>
    </w:p>
    <w:p w14:paraId="73E1BB6F" w14:textId="131384F5" w:rsidR="0089627F" w:rsidRPr="006C0DD2" w:rsidRDefault="0089627F">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 xml:space="preserve">działek nr: 52, 53, </w:t>
      </w:r>
      <w:r w:rsidR="0005359D" w:rsidRPr="006C0DD2">
        <w:rPr>
          <w:rFonts w:ascii="Lato" w:hAnsi="Lato" w:cs="Arial"/>
          <w:bCs/>
          <w:spacing w:val="4"/>
          <w:sz w:val="22"/>
          <w:szCs w:val="22"/>
        </w:rPr>
        <w:t>54, 55, 67, 68, 69/1, 69/2, 70, 71, 72, 73, 188, 189/1, 189/2</w:t>
      </w:r>
      <w:r w:rsidRPr="006C0DD2">
        <w:rPr>
          <w:rFonts w:ascii="Lato" w:hAnsi="Lato" w:cs="Arial"/>
          <w:bCs/>
          <w:spacing w:val="4"/>
          <w:sz w:val="22"/>
          <w:szCs w:val="22"/>
        </w:rPr>
        <w:t xml:space="preserve">, </w:t>
      </w:r>
      <w:r w:rsidR="003D261E" w:rsidRPr="006C0DD2">
        <w:rPr>
          <w:rFonts w:ascii="Lato" w:hAnsi="Lato" w:cs="Arial"/>
          <w:bCs/>
          <w:spacing w:val="4"/>
          <w:sz w:val="22"/>
          <w:szCs w:val="22"/>
        </w:rPr>
        <w:t xml:space="preserve">192, 193, 211, 214, 231, 240, 241, 290, 294, 295, </w:t>
      </w:r>
      <w:r w:rsidRPr="006C0DD2">
        <w:rPr>
          <w:rFonts w:ascii="Lato" w:hAnsi="Lato" w:cs="Arial"/>
          <w:bCs/>
          <w:spacing w:val="4"/>
          <w:sz w:val="22"/>
          <w:szCs w:val="22"/>
        </w:rPr>
        <w:t>z obrębu 0005 Buszyce (stron</w:t>
      </w:r>
      <w:r w:rsidR="003D261E" w:rsidRPr="006C0DD2">
        <w:rPr>
          <w:rFonts w:ascii="Lato" w:hAnsi="Lato" w:cs="Arial"/>
          <w:bCs/>
          <w:spacing w:val="4"/>
          <w:sz w:val="22"/>
          <w:szCs w:val="22"/>
        </w:rPr>
        <w:t>y</w:t>
      </w:r>
      <w:r w:rsidRPr="006C0DD2">
        <w:rPr>
          <w:rFonts w:ascii="Lato" w:hAnsi="Lato" w:cs="Arial"/>
          <w:bCs/>
          <w:spacing w:val="4"/>
          <w:sz w:val="22"/>
          <w:szCs w:val="22"/>
        </w:rPr>
        <w:t xml:space="preserve"> 117</w:t>
      </w:r>
      <w:r w:rsidR="003D261E" w:rsidRPr="006C0DD2">
        <w:rPr>
          <w:rFonts w:ascii="Lato" w:hAnsi="Lato" w:cs="Arial"/>
          <w:bCs/>
          <w:spacing w:val="4"/>
          <w:sz w:val="22"/>
          <w:szCs w:val="22"/>
        </w:rPr>
        <w:t xml:space="preserve"> i 118</w:t>
      </w:r>
      <w:r w:rsidRPr="006C0DD2">
        <w:rPr>
          <w:rFonts w:ascii="Lato" w:hAnsi="Lato" w:cs="Arial"/>
          <w:bCs/>
          <w:spacing w:val="4"/>
          <w:sz w:val="22"/>
          <w:szCs w:val="22"/>
        </w:rPr>
        <w:t>; poz. 19</w:t>
      </w:r>
      <w:r w:rsidR="0005359D" w:rsidRPr="006C0DD2">
        <w:rPr>
          <w:rFonts w:ascii="Lato" w:hAnsi="Lato" w:cs="Arial"/>
          <w:bCs/>
          <w:spacing w:val="4"/>
          <w:sz w:val="22"/>
          <w:szCs w:val="22"/>
        </w:rPr>
        <w:t>, 20, 21, 22, 31</w:t>
      </w:r>
      <w:r w:rsidR="009C0679" w:rsidRPr="006C0DD2">
        <w:rPr>
          <w:rFonts w:ascii="Lato" w:hAnsi="Lato" w:cs="Arial"/>
          <w:bCs/>
          <w:spacing w:val="4"/>
          <w:sz w:val="22"/>
          <w:szCs w:val="22"/>
        </w:rPr>
        <w:t>, 32, 33, 34, 35, 36, 37, 38, 50, 51, 52</w:t>
      </w:r>
      <w:r w:rsidR="003D261E" w:rsidRPr="006C0DD2">
        <w:rPr>
          <w:rFonts w:ascii="Lato" w:hAnsi="Lato" w:cs="Arial"/>
          <w:bCs/>
          <w:spacing w:val="4"/>
          <w:sz w:val="22"/>
          <w:szCs w:val="22"/>
        </w:rPr>
        <w:t>, 55, 56, 66, 67, 75, 77, 78, 88, 89, 90 tabeli</w:t>
      </w:r>
      <w:r w:rsidRPr="006C0DD2">
        <w:rPr>
          <w:rFonts w:ascii="Lato" w:hAnsi="Lato" w:cs="Arial"/>
          <w:bCs/>
          <w:spacing w:val="4"/>
          <w:sz w:val="22"/>
          <w:szCs w:val="22"/>
        </w:rPr>
        <w:t>),</w:t>
      </w:r>
    </w:p>
    <w:p w14:paraId="33603698" w14:textId="15C1EF66" w:rsidR="00023EDB" w:rsidRPr="006C0DD2" w:rsidRDefault="003D261E">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12, 58/1, z obrębu 0007 Drybus (strona 119; poz. 101 i 108 tabeli),</w:t>
      </w:r>
    </w:p>
    <w:p w14:paraId="31375163" w14:textId="3DF3C0F9" w:rsidR="003D261E" w:rsidRPr="006C0DD2" w:rsidRDefault="003D261E">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działki nr 31, z obrębu 0015 Nowa Pułapina (strona 119; poz. 132 tabeli),</w:t>
      </w:r>
    </w:p>
    <w:p w14:paraId="461CC963" w14:textId="4FF7FE38" w:rsidR="003D261E" w:rsidRPr="006C0DD2" w:rsidRDefault="009B7968">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 xml:space="preserve">działek nr: 259, 260, 265/1, </w:t>
      </w:r>
      <w:r w:rsidR="00AF5E98" w:rsidRPr="006C0DD2">
        <w:rPr>
          <w:rFonts w:ascii="Lato" w:hAnsi="Lato" w:cs="Arial"/>
          <w:bCs/>
          <w:spacing w:val="4"/>
          <w:sz w:val="22"/>
          <w:szCs w:val="22"/>
        </w:rPr>
        <w:t xml:space="preserve">293, 306/1, 310/2, 331, 338, 340/3, 350, 360, 362, 365, 367, 415, 420, 422, 430, 435, 439, </w:t>
      </w:r>
      <w:r w:rsidR="00744E43" w:rsidRPr="006C0DD2">
        <w:rPr>
          <w:rFonts w:ascii="Lato" w:hAnsi="Lato" w:cs="Arial"/>
          <w:bCs/>
          <w:spacing w:val="4"/>
          <w:sz w:val="22"/>
          <w:szCs w:val="22"/>
        </w:rPr>
        <w:t xml:space="preserve">441, 471, 473, 481, 483, 487, 489, 496, 498, 537/2, 550/3, 551/1, 551/2, 553/1, 554/3, 555/3, </w:t>
      </w:r>
      <w:r w:rsidRPr="006C0DD2">
        <w:rPr>
          <w:rFonts w:ascii="Lato" w:hAnsi="Lato" w:cs="Arial"/>
          <w:bCs/>
          <w:spacing w:val="4"/>
          <w:sz w:val="22"/>
          <w:szCs w:val="22"/>
        </w:rPr>
        <w:t>z obrębu</w:t>
      </w:r>
      <w:r w:rsidR="00DF67E4" w:rsidRPr="006C0DD2">
        <w:rPr>
          <w:rFonts w:ascii="Lato" w:hAnsi="Lato" w:cs="Arial"/>
          <w:bCs/>
          <w:spacing w:val="4"/>
          <w:sz w:val="22"/>
          <w:szCs w:val="22"/>
        </w:rPr>
        <w:t xml:space="preserve"> 0020 Strumiany Dolne (stron</w:t>
      </w:r>
      <w:r w:rsidR="00AF5E98" w:rsidRPr="006C0DD2">
        <w:rPr>
          <w:rFonts w:ascii="Lato" w:hAnsi="Lato" w:cs="Arial"/>
          <w:bCs/>
          <w:spacing w:val="4"/>
          <w:sz w:val="22"/>
          <w:szCs w:val="22"/>
        </w:rPr>
        <w:t>y</w:t>
      </w:r>
      <w:r w:rsidR="00DF67E4" w:rsidRPr="006C0DD2">
        <w:rPr>
          <w:rFonts w:ascii="Lato" w:hAnsi="Lato" w:cs="Arial"/>
          <w:bCs/>
          <w:spacing w:val="4"/>
          <w:sz w:val="22"/>
          <w:szCs w:val="22"/>
        </w:rPr>
        <w:t xml:space="preserve"> 119</w:t>
      </w:r>
      <w:r w:rsidR="00AF5E98" w:rsidRPr="006C0DD2">
        <w:rPr>
          <w:rFonts w:ascii="Lato" w:hAnsi="Lato" w:cs="Arial"/>
          <w:bCs/>
          <w:spacing w:val="4"/>
          <w:sz w:val="22"/>
          <w:szCs w:val="22"/>
        </w:rPr>
        <w:t>-121</w:t>
      </w:r>
      <w:r w:rsidR="00DF67E4" w:rsidRPr="006C0DD2">
        <w:rPr>
          <w:rFonts w:ascii="Lato" w:hAnsi="Lato" w:cs="Arial"/>
          <w:bCs/>
          <w:spacing w:val="4"/>
          <w:sz w:val="22"/>
          <w:szCs w:val="22"/>
        </w:rPr>
        <w:t>; poz. 137, 138, 139</w:t>
      </w:r>
      <w:r w:rsidR="00AF5E98" w:rsidRPr="006C0DD2">
        <w:rPr>
          <w:rFonts w:ascii="Lato" w:hAnsi="Lato" w:cs="Arial"/>
          <w:bCs/>
          <w:spacing w:val="4"/>
          <w:sz w:val="22"/>
          <w:szCs w:val="22"/>
        </w:rPr>
        <w:t>, 146, 152, 154, 155, 156, 158, 163, 165, 167, 168, 169, 173, 175, 176, 181, 182, 184</w:t>
      </w:r>
      <w:r w:rsidR="00B3538D" w:rsidRPr="006C0DD2">
        <w:rPr>
          <w:rFonts w:ascii="Lato" w:hAnsi="Lato" w:cs="Arial"/>
          <w:bCs/>
          <w:spacing w:val="4"/>
          <w:sz w:val="22"/>
          <w:szCs w:val="22"/>
        </w:rPr>
        <w:t>, 186, 192, 193, 198, 199, 201, 203, 206, 208, 214, 215, 216, 217, 219, 220, 221</w:t>
      </w:r>
      <w:r w:rsidR="00DF67E4" w:rsidRPr="006C0DD2">
        <w:rPr>
          <w:rFonts w:ascii="Lato" w:hAnsi="Lato" w:cs="Arial"/>
          <w:bCs/>
          <w:spacing w:val="4"/>
          <w:sz w:val="22"/>
          <w:szCs w:val="22"/>
        </w:rPr>
        <w:t xml:space="preserve"> tabeli),</w:t>
      </w:r>
    </w:p>
    <w:p w14:paraId="79A3A31B" w14:textId="72BC5C5F" w:rsidR="00B3538D" w:rsidRPr="006C0DD2" w:rsidRDefault="001B489C">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45/3, 52/1, 54</w:t>
      </w:r>
      <w:r w:rsidR="00EA2DC2" w:rsidRPr="006C0DD2">
        <w:rPr>
          <w:rFonts w:ascii="Lato" w:hAnsi="Lato" w:cs="Arial"/>
          <w:bCs/>
          <w:spacing w:val="4"/>
          <w:sz w:val="22"/>
          <w:szCs w:val="22"/>
        </w:rPr>
        <w:t>, 56/2, 61/1, 63, 118/1</w:t>
      </w:r>
      <w:r w:rsidR="008D6C4B" w:rsidRPr="006C0DD2">
        <w:rPr>
          <w:rFonts w:ascii="Lato" w:hAnsi="Lato" w:cs="Arial"/>
          <w:bCs/>
          <w:spacing w:val="4"/>
          <w:sz w:val="22"/>
          <w:szCs w:val="22"/>
        </w:rPr>
        <w:t>, 118/2, 118/3, 119/1, 119/3, 120/1, 170, 171, 172, 173, 204, 205</w:t>
      </w:r>
      <w:r w:rsidR="007F4D33" w:rsidRPr="006C0DD2">
        <w:rPr>
          <w:rFonts w:ascii="Lato" w:hAnsi="Lato" w:cs="Arial"/>
          <w:bCs/>
          <w:spacing w:val="4"/>
          <w:sz w:val="22"/>
          <w:szCs w:val="22"/>
        </w:rPr>
        <w:t xml:space="preserve">, </w:t>
      </w:r>
      <w:r w:rsidR="000F3A59" w:rsidRPr="006C0DD2">
        <w:rPr>
          <w:rFonts w:ascii="Lato" w:hAnsi="Lato" w:cs="Arial"/>
          <w:bCs/>
          <w:spacing w:val="4"/>
          <w:sz w:val="22"/>
          <w:szCs w:val="22"/>
        </w:rPr>
        <w:t xml:space="preserve">z </w:t>
      </w:r>
      <w:r w:rsidR="007F4D33" w:rsidRPr="006C0DD2">
        <w:rPr>
          <w:rFonts w:ascii="Lato" w:hAnsi="Lato" w:cs="Arial"/>
          <w:bCs/>
          <w:spacing w:val="4"/>
          <w:sz w:val="22"/>
          <w:szCs w:val="22"/>
        </w:rPr>
        <w:t>obrębu 0021 Wyczółki</w:t>
      </w:r>
      <w:r w:rsidR="00EA2DC2" w:rsidRPr="006C0DD2">
        <w:rPr>
          <w:rFonts w:ascii="Lato" w:hAnsi="Lato" w:cs="Arial"/>
          <w:bCs/>
          <w:spacing w:val="4"/>
          <w:sz w:val="22"/>
          <w:szCs w:val="22"/>
        </w:rPr>
        <w:t xml:space="preserve"> (strony 121 </w:t>
      </w:r>
      <w:r w:rsidR="000F3A59" w:rsidRPr="006C0DD2">
        <w:rPr>
          <w:rFonts w:ascii="Lato" w:hAnsi="Lato" w:cs="Arial"/>
          <w:bCs/>
          <w:spacing w:val="4"/>
          <w:sz w:val="22"/>
          <w:szCs w:val="22"/>
        </w:rPr>
        <w:br/>
      </w:r>
      <w:r w:rsidR="00EA2DC2" w:rsidRPr="006C0DD2">
        <w:rPr>
          <w:rFonts w:ascii="Lato" w:hAnsi="Lato" w:cs="Arial"/>
          <w:bCs/>
          <w:spacing w:val="4"/>
          <w:sz w:val="22"/>
          <w:szCs w:val="22"/>
        </w:rPr>
        <w:t>i 122; poz. 226, 228, 229, 230, 232, 233, 241</w:t>
      </w:r>
      <w:r w:rsidR="007F4D33" w:rsidRPr="006C0DD2">
        <w:rPr>
          <w:rFonts w:ascii="Lato" w:hAnsi="Lato" w:cs="Arial"/>
          <w:bCs/>
          <w:spacing w:val="4"/>
          <w:sz w:val="22"/>
          <w:szCs w:val="22"/>
        </w:rPr>
        <w:t>, 242, 243, 244, 245, 246, 256, 257, 258, 259, 270, 271 tabeli),</w:t>
      </w:r>
    </w:p>
    <w:p w14:paraId="170CD4CB" w14:textId="7ABFD659" w:rsidR="007F4D33" w:rsidRPr="006C0DD2" w:rsidRDefault="007F4D33">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10, 11, 12, 14, 45, 46/1, 46/2, 47, 49, 83, 85, 86, 88, 115, 124, 133/2, 141, 142, 143/1</w:t>
      </w:r>
      <w:r w:rsidR="00B90DD0" w:rsidRPr="006C0DD2">
        <w:rPr>
          <w:rFonts w:ascii="Lato" w:hAnsi="Lato" w:cs="Arial"/>
          <w:bCs/>
          <w:spacing w:val="4"/>
          <w:sz w:val="22"/>
          <w:szCs w:val="22"/>
        </w:rPr>
        <w:t>, 144, 154/1, 155/1, 158, 167, 168/1, 174/1, 206/4, 212/2, 312, 333/2, 333/3, 349, 353/1</w:t>
      </w:r>
      <w:r w:rsidR="001C1DA2" w:rsidRPr="006C0DD2">
        <w:rPr>
          <w:rFonts w:ascii="Lato" w:hAnsi="Lato" w:cs="Arial"/>
          <w:bCs/>
          <w:spacing w:val="4"/>
          <w:sz w:val="22"/>
          <w:szCs w:val="22"/>
        </w:rPr>
        <w:t>, z obrębu 0023 Strumiany Górne</w:t>
      </w:r>
      <w:r w:rsidRPr="006C0DD2">
        <w:rPr>
          <w:rFonts w:ascii="Lato" w:hAnsi="Lato" w:cs="Arial"/>
          <w:bCs/>
          <w:spacing w:val="4"/>
          <w:sz w:val="22"/>
          <w:szCs w:val="22"/>
        </w:rPr>
        <w:t xml:space="preserve"> (strony 123 i 124; poz. </w:t>
      </w:r>
      <w:r w:rsidR="00C11A81" w:rsidRPr="006C0DD2">
        <w:rPr>
          <w:rFonts w:ascii="Lato" w:hAnsi="Lato" w:cs="Arial"/>
          <w:bCs/>
          <w:spacing w:val="4"/>
          <w:sz w:val="22"/>
          <w:szCs w:val="22"/>
        </w:rPr>
        <w:t>286, 287, 288, 290, 295, 296, 297, 298, 300, 303, 305, 306, 308, 309, 311, 313, 314, 315, 316</w:t>
      </w:r>
      <w:r w:rsidR="00BA1471" w:rsidRPr="006C0DD2">
        <w:rPr>
          <w:rFonts w:ascii="Lato" w:hAnsi="Lato" w:cs="Arial"/>
          <w:bCs/>
          <w:spacing w:val="4"/>
          <w:sz w:val="22"/>
          <w:szCs w:val="22"/>
        </w:rPr>
        <w:t>, 317, 320, 321, 322, 324, 325, 326, 328, 329, 331, 333, 334, 341, 345</w:t>
      </w:r>
      <w:r w:rsidR="00B90DD0" w:rsidRPr="006C0DD2">
        <w:rPr>
          <w:rFonts w:ascii="Lato" w:hAnsi="Lato" w:cs="Arial"/>
          <w:bCs/>
          <w:spacing w:val="4"/>
          <w:sz w:val="22"/>
          <w:szCs w:val="22"/>
        </w:rPr>
        <w:t xml:space="preserve"> tabeli),</w:t>
      </w:r>
    </w:p>
    <w:p w14:paraId="5E3A566F" w14:textId="39C15AD6" w:rsidR="00BE05F0" w:rsidRPr="006C0DD2" w:rsidRDefault="00BE05F0">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175/2</w:t>
      </w:r>
      <w:r w:rsidR="0063175B" w:rsidRPr="006C0DD2">
        <w:rPr>
          <w:rFonts w:ascii="Lato" w:hAnsi="Lato" w:cs="Arial"/>
          <w:bCs/>
          <w:spacing w:val="4"/>
          <w:sz w:val="22"/>
          <w:szCs w:val="22"/>
        </w:rPr>
        <w:t>,</w:t>
      </w:r>
      <w:r w:rsidRPr="006C0DD2">
        <w:rPr>
          <w:rFonts w:ascii="Lato" w:hAnsi="Lato" w:cs="Arial"/>
          <w:bCs/>
          <w:spacing w:val="4"/>
          <w:sz w:val="22"/>
          <w:szCs w:val="22"/>
        </w:rPr>
        <w:t xml:space="preserve"> 176</w:t>
      </w:r>
      <w:r w:rsidR="0063175B" w:rsidRPr="006C0DD2">
        <w:rPr>
          <w:rFonts w:ascii="Lato" w:hAnsi="Lato" w:cs="Arial"/>
          <w:bCs/>
          <w:spacing w:val="4"/>
          <w:sz w:val="22"/>
          <w:szCs w:val="22"/>
        </w:rPr>
        <w:t>, 177</w:t>
      </w:r>
      <w:r w:rsidRPr="006C0DD2">
        <w:rPr>
          <w:rFonts w:ascii="Lato" w:hAnsi="Lato" w:cs="Arial"/>
          <w:bCs/>
          <w:spacing w:val="4"/>
          <w:sz w:val="22"/>
          <w:szCs w:val="22"/>
        </w:rPr>
        <w:t>, z obrębu 0003 Elżbietów (strona 124; poz. 353</w:t>
      </w:r>
      <w:r w:rsidR="0063175B" w:rsidRPr="006C0DD2">
        <w:rPr>
          <w:rFonts w:ascii="Lato" w:hAnsi="Lato" w:cs="Arial"/>
          <w:bCs/>
          <w:spacing w:val="4"/>
          <w:sz w:val="22"/>
          <w:szCs w:val="22"/>
        </w:rPr>
        <w:t>-</w:t>
      </w:r>
      <w:r w:rsidRPr="006C0DD2">
        <w:rPr>
          <w:rFonts w:ascii="Lato" w:hAnsi="Lato" w:cs="Arial"/>
          <w:bCs/>
          <w:spacing w:val="4"/>
          <w:sz w:val="22"/>
          <w:szCs w:val="22"/>
        </w:rPr>
        <w:t>35</w:t>
      </w:r>
      <w:r w:rsidR="0063175B" w:rsidRPr="006C0DD2">
        <w:rPr>
          <w:rFonts w:ascii="Lato" w:hAnsi="Lato" w:cs="Arial"/>
          <w:bCs/>
          <w:spacing w:val="4"/>
          <w:sz w:val="22"/>
          <w:szCs w:val="22"/>
        </w:rPr>
        <w:t>5</w:t>
      </w:r>
      <w:r w:rsidRPr="006C0DD2">
        <w:rPr>
          <w:rFonts w:ascii="Lato" w:hAnsi="Lato" w:cs="Arial"/>
          <w:bCs/>
          <w:spacing w:val="4"/>
          <w:sz w:val="22"/>
          <w:szCs w:val="22"/>
        </w:rPr>
        <w:t xml:space="preserve"> tabeli)</w:t>
      </w:r>
      <w:r w:rsidR="0063175B" w:rsidRPr="006C0DD2">
        <w:rPr>
          <w:rFonts w:ascii="Lato" w:hAnsi="Lato" w:cs="Arial"/>
          <w:bCs/>
          <w:spacing w:val="4"/>
          <w:sz w:val="22"/>
          <w:szCs w:val="22"/>
        </w:rPr>
        <w:t>,</w:t>
      </w:r>
    </w:p>
    <w:p w14:paraId="5FEF18F6" w14:textId="5F45CBF0" w:rsidR="00DD003A" w:rsidRPr="006C0DD2" w:rsidRDefault="00DD003A">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2/1, 3, 37/4, 57, 58, 71, 87, 89/2, z obrębu 0011 Maurycew (stron</w:t>
      </w:r>
      <w:r w:rsidR="00B96D42" w:rsidRPr="006C0DD2">
        <w:rPr>
          <w:rFonts w:ascii="Lato" w:hAnsi="Lato" w:cs="Arial"/>
          <w:bCs/>
          <w:spacing w:val="4"/>
          <w:sz w:val="22"/>
          <w:szCs w:val="22"/>
        </w:rPr>
        <w:t>y</w:t>
      </w:r>
      <w:r w:rsidRPr="006C0DD2">
        <w:rPr>
          <w:rFonts w:ascii="Lato" w:hAnsi="Lato" w:cs="Arial"/>
          <w:bCs/>
          <w:spacing w:val="4"/>
          <w:sz w:val="22"/>
          <w:szCs w:val="22"/>
        </w:rPr>
        <w:t xml:space="preserve"> 125</w:t>
      </w:r>
      <w:r w:rsidR="00B96D42" w:rsidRPr="006C0DD2">
        <w:rPr>
          <w:rFonts w:ascii="Lato" w:hAnsi="Lato" w:cs="Arial"/>
          <w:bCs/>
          <w:spacing w:val="4"/>
          <w:sz w:val="22"/>
          <w:szCs w:val="22"/>
        </w:rPr>
        <w:t xml:space="preserve"> i 126</w:t>
      </w:r>
      <w:r w:rsidRPr="006C0DD2">
        <w:rPr>
          <w:rFonts w:ascii="Lato" w:hAnsi="Lato" w:cs="Arial"/>
          <w:bCs/>
          <w:spacing w:val="4"/>
          <w:sz w:val="22"/>
          <w:szCs w:val="22"/>
        </w:rPr>
        <w:t>; poz. 362, 363, 382, 397, 398, 409, 419, 421 tabeli),</w:t>
      </w:r>
    </w:p>
    <w:p w14:paraId="04D44A36" w14:textId="1B1E011C" w:rsidR="00B96D42" w:rsidRPr="006C0DD2" w:rsidRDefault="00B96D42">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lastRenderedPageBreak/>
        <w:t xml:space="preserve">działek nr: 54/2, 54/3, 55, 62/1, 62/2, 75, 76, 80, 84, 86, z obrębu 0018 Pawłówek (strony 126 i 127; poz. </w:t>
      </w:r>
      <w:r w:rsidR="00894062" w:rsidRPr="006C0DD2">
        <w:rPr>
          <w:rFonts w:ascii="Lato" w:hAnsi="Lato" w:cs="Arial"/>
          <w:bCs/>
          <w:spacing w:val="4"/>
          <w:sz w:val="22"/>
          <w:szCs w:val="22"/>
        </w:rPr>
        <w:t>436, 437, 439, 442, 443, 447, 448, 452, 456, 458 tabeli),</w:t>
      </w:r>
    </w:p>
    <w:p w14:paraId="58FB8E10" w14:textId="6B000B03" w:rsidR="0011449F" w:rsidRPr="006C0DD2" w:rsidRDefault="00A07514">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 xml:space="preserve">działek nr: 26, 61, 62, 68/2, 69, 147, 153, 155/2, 155/7, 156/3, 180, 181, </w:t>
      </w:r>
      <w:r w:rsidRPr="006C0DD2">
        <w:rPr>
          <w:rFonts w:ascii="Lato" w:hAnsi="Lato" w:cs="Arial"/>
          <w:bCs/>
          <w:spacing w:val="4"/>
          <w:sz w:val="22"/>
          <w:szCs w:val="22"/>
        </w:rPr>
        <w:br/>
        <w:t>z obrębu 00</w:t>
      </w:r>
      <w:r w:rsidR="006427CF" w:rsidRPr="006C0DD2">
        <w:rPr>
          <w:rFonts w:ascii="Lato" w:hAnsi="Lato" w:cs="Arial"/>
          <w:bCs/>
          <w:spacing w:val="4"/>
          <w:sz w:val="22"/>
          <w:szCs w:val="22"/>
        </w:rPr>
        <w:t>22 Skrzelew (strony 127-128; poz. 473, 479, 480, 481, 483, 512, 514, 516, 517, 518, 525, 526 tabeli),</w:t>
      </w:r>
    </w:p>
    <w:p w14:paraId="7FD0E34A" w14:textId="6EF13E20" w:rsidR="00941222" w:rsidRPr="006C0DD2" w:rsidRDefault="00F1239D">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działki nr 10/1, z obrębu 0033 SHRO Szymanów (strona 129; poz. 545 tabeli),</w:t>
      </w:r>
    </w:p>
    <w:p w14:paraId="0C3A2C3F" w14:textId="45CA32AB" w:rsidR="00F1239D" w:rsidRPr="006C0DD2" w:rsidRDefault="00F1239D">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działki nr 79/5, z obrębu 0001 Aleksandrów (strona 129; poz. 559 tabeli),</w:t>
      </w:r>
    </w:p>
    <w:p w14:paraId="0EFAE3F9" w14:textId="47CCC520" w:rsidR="00F1239D" w:rsidRPr="006C0DD2" w:rsidRDefault="008B79BF">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 xml:space="preserve">działek nr: 8, 11, 13, 22/1, 22/2, 25/1, 31/2, 32, 36, 37, 38/1, 50, 51/1, </w:t>
      </w:r>
      <w:r w:rsidR="00AF609F" w:rsidRPr="006C0DD2">
        <w:rPr>
          <w:rFonts w:ascii="Lato" w:hAnsi="Lato" w:cs="Arial"/>
          <w:bCs/>
          <w:spacing w:val="4"/>
          <w:sz w:val="22"/>
          <w:szCs w:val="22"/>
        </w:rPr>
        <w:t>64, 66, 77, 78, 91, 92, 96, z obrębu 0006 Duninopol (strony 129 i 130; poz. 570, 572, 573, 577, 578, 579, 580, 581, 582, 583, 584, 585, 586, 592, 593, 596, 597, 599, 600, 601 tabeli),</w:t>
      </w:r>
    </w:p>
    <w:p w14:paraId="76BB205A" w14:textId="505C97A5" w:rsidR="00174035" w:rsidRPr="006C0DD2" w:rsidRDefault="00174035">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w:t>
      </w:r>
      <w:r w:rsidR="005B3C98" w:rsidRPr="006C0DD2">
        <w:rPr>
          <w:rFonts w:ascii="Lato" w:hAnsi="Lato" w:cs="Arial"/>
          <w:bCs/>
          <w:spacing w:val="4"/>
          <w:sz w:val="22"/>
          <w:szCs w:val="22"/>
        </w:rPr>
        <w:t xml:space="preserve"> </w:t>
      </w:r>
      <w:r w:rsidR="00E441F8" w:rsidRPr="006C0DD2">
        <w:rPr>
          <w:rFonts w:ascii="Lato" w:hAnsi="Lato" w:cs="Arial"/>
          <w:bCs/>
          <w:spacing w:val="4"/>
          <w:sz w:val="22"/>
          <w:szCs w:val="22"/>
        </w:rPr>
        <w:t>3, 4, 5, 10, 11, 12, 16, 17, 24/1, 24/2, 25, z obrębu 0012 Janówek (strony 130 i 131; poz. 606, 607, 608, 612, 613, 614, 615, 616, 623, 624, 625 tabeli),</w:t>
      </w:r>
    </w:p>
    <w:p w14:paraId="643ACE56" w14:textId="2753129F" w:rsidR="00A2558C" w:rsidRPr="006C0DD2" w:rsidRDefault="0019231F">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 xml:space="preserve">działek nr: </w:t>
      </w:r>
      <w:r w:rsidR="0088199B" w:rsidRPr="006C0DD2">
        <w:rPr>
          <w:rFonts w:ascii="Lato" w:hAnsi="Lato" w:cs="Arial"/>
          <w:bCs/>
          <w:spacing w:val="4"/>
          <w:sz w:val="22"/>
          <w:szCs w:val="22"/>
        </w:rPr>
        <w:t xml:space="preserve">3/1, 3/2, 3/3, 12/1, 12/2, 12/3, 15/1, </w:t>
      </w:r>
      <w:r w:rsidR="006B5EF2" w:rsidRPr="006C0DD2">
        <w:rPr>
          <w:rFonts w:ascii="Lato" w:hAnsi="Lato" w:cs="Arial"/>
          <w:bCs/>
          <w:spacing w:val="4"/>
          <w:sz w:val="22"/>
          <w:szCs w:val="22"/>
        </w:rPr>
        <w:t xml:space="preserve">15/2, 15/3, 16/1, 16/2, 16/3, 17/1, 17/2, 18/1, 18/2, 19/1, 19/2, 20/1, 20/2, 20/3, 24/1, 30/2, 31, 42, 43, 45, 55, 56, 58, 59, 60, 82, 83, 85, 86, </w:t>
      </w:r>
      <w:r w:rsidR="001D0030" w:rsidRPr="006C0DD2">
        <w:rPr>
          <w:rFonts w:ascii="Lato" w:hAnsi="Lato" w:cs="Arial"/>
          <w:bCs/>
          <w:spacing w:val="4"/>
          <w:sz w:val="22"/>
          <w:szCs w:val="22"/>
        </w:rPr>
        <w:t xml:space="preserve">87, 154, 170, </w:t>
      </w:r>
      <w:r w:rsidR="00B63167" w:rsidRPr="006C0DD2">
        <w:rPr>
          <w:rFonts w:ascii="Lato" w:hAnsi="Lato" w:cs="Arial"/>
          <w:bCs/>
          <w:spacing w:val="4"/>
          <w:sz w:val="22"/>
          <w:szCs w:val="22"/>
        </w:rPr>
        <w:t xml:space="preserve">175/1, </w:t>
      </w:r>
      <w:r w:rsidR="001D0030" w:rsidRPr="006C0DD2">
        <w:rPr>
          <w:rFonts w:ascii="Lato" w:hAnsi="Lato" w:cs="Arial"/>
          <w:bCs/>
          <w:spacing w:val="4"/>
          <w:sz w:val="22"/>
          <w:szCs w:val="22"/>
        </w:rPr>
        <w:t>182/1, 182/2, 186, 187, 245</w:t>
      </w:r>
      <w:r w:rsidR="001C1DA2" w:rsidRPr="006C0DD2">
        <w:rPr>
          <w:rFonts w:ascii="Lato" w:hAnsi="Lato" w:cs="Arial"/>
          <w:bCs/>
          <w:spacing w:val="4"/>
          <w:sz w:val="22"/>
          <w:szCs w:val="22"/>
        </w:rPr>
        <w:t>, z obrębu 0022 Nowy Oryszew</w:t>
      </w:r>
      <w:r w:rsidR="001D0030" w:rsidRPr="006C0DD2">
        <w:rPr>
          <w:rFonts w:ascii="Lato" w:hAnsi="Lato" w:cs="Arial"/>
          <w:bCs/>
          <w:spacing w:val="4"/>
          <w:sz w:val="22"/>
          <w:szCs w:val="22"/>
        </w:rPr>
        <w:t xml:space="preserve"> </w:t>
      </w:r>
      <w:r w:rsidR="00402CAB" w:rsidRPr="006C0DD2">
        <w:rPr>
          <w:rFonts w:ascii="Lato" w:hAnsi="Lato" w:cs="Arial"/>
          <w:bCs/>
          <w:spacing w:val="4"/>
          <w:sz w:val="22"/>
          <w:szCs w:val="22"/>
        </w:rPr>
        <w:t>(strony 131-134; poz. 628, 629, 630, 641, 642, 643, 644, 645, 646, 647, 648, 649, 650, 651, 652, 653, 654, 655, 656, 657, 658</w:t>
      </w:r>
      <w:r w:rsidR="000620C4" w:rsidRPr="006C0DD2">
        <w:rPr>
          <w:rFonts w:ascii="Lato" w:hAnsi="Lato" w:cs="Arial"/>
          <w:bCs/>
          <w:spacing w:val="4"/>
          <w:sz w:val="22"/>
          <w:szCs w:val="22"/>
        </w:rPr>
        <w:t xml:space="preserve">, 662, 668, 669, 671, </w:t>
      </w:r>
      <w:r w:rsidR="00A11254" w:rsidRPr="006C0DD2">
        <w:rPr>
          <w:rFonts w:ascii="Lato" w:hAnsi="Lato" w:cs="Arial"/>
          <w:bCs/>
          <w:spacing w:val="4"/>
          <w:sz w:val="22"/>
          <w:szCs w:val="22"/>
        </w:rPr>
        <w:t>672, 674, 677, 678, 680, 681, 682, 694, 695, 697, 698, 699, 735, 741, 742, 747, 748, 751, 752, 770 tabeli</w:t>
      </w:r>
      <w:r w:rsidR="00402CAB" w:rsidRPr="006C0DD2">
        <w:rPr>
          <w:rFonts w:ascii="Lato" w:hAnsi="Lato" w:cs="Arial"/>
          <w:bCs/>
          <w:spacing w:val="4"/>
          <w:sz w:val="22"/>
          <w:szCs w:val="22"/>
        </w:rPr>
        <w:t>)</w:t>
      </w:r>
      <w:r w:rsidR="00A11254" w:rsidRPr="006C0DD2">
        <w:rPr>
          <w:rFonts w:ascii="Lato" w:hAnsi="Lato" w:cs="Arial"/>
          <w:bCs/>
          <w:spacing w:val="4"/>
          <w:sz w:val="22"/>
          <w:szCs w:val="22"/>
        </w:rPr>
        <w:t>,</w:t>
      </w:r>
    </w:p>
    <w:p w14:paraId="5CCC32BF" w14:textId="057F94C8" w:rsidR="00A11254" w:rsidRPr="006C0DD2" w:rsidRDefault="00161B3D">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1, 2, 4/3, 25/1, 29/1, 29/2, 32, 34/1</w:t>
      </w:r>
      <w:r w:rsidR="000058E4" w:rsidRPr="006C0DD2">
        <w:rPr>
          <w:rFonts w:ascii="Lato" w:hAnsi="Lato" w:cs="Arial"/>
          <w:bCs/>
          <w:spacing w:val="4"/>
          <w:sz w:val="22"/>
          <w:szCs w:val="22"/>
        </w:rPr>
        <w:t>, z obrębu 0023 Oryszew Osada</w:t>
      </w:r>
      <w:r w:rsidRPr="006C0DD2">
        <w:rPr>
          <w:rFonts w:ascii="Lato" w:hAnsi="Lato" w:cs="Arial"/>
          <w:bCs/>
          <w:spacing w:val="4"/>
          <w:sz w:val="22"/>
          <w:szCs w:val="22"/>
        </w:rPr>
        <w:t xml:space="preserve"> (strona 134; poz. 771, 772, 773, 774, 777, 778, 779, 781 tabeli),</w:t>
      </w:r>
    </w:p>
    <w:p w14:paraId="613EC543" w14:textId="4DBA56F8" w:rsidR="00161B3D" w:rsidRPr="006C0DD2" w:rsidRDefault="00D22219">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1/1, 1/2, 1/3, 5/2, 8, 13, z obrębu 0024 Podbuszyce (strona 134; poz. 782, 783, 784, 791, 793, 797 tabeli),</w:t>
      </w:r>
    </w:p>
    <w:p w14:paraId="1ACADF35" w14:textId="34C34063" w:rsidR="0089627F" w:rsidRPr="006C0DD2" w:rsidRDefault="00D22219" w:rsidP="00B63167">
      <w:pPr>
        <w:pStyle w:val="Akapitzlist"/>
        <w:numPr>
          <w:ilvl w:val="0"/>
          <w:numId w:val="7"/>
        </w:numPr>
        <w:tabs>
          <w:tab w:val="left" w:pos="426"/>
        </w:tabs>
        <w:spacing w:after="24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 4/1, 8, 22/1, 29, 40/1</w:t>
      </w:r>
      <w:r w:rsidR="00924F05" w:rsidRPr="006C0DD2">
        <w:rPr>
          <w:rFonts w:ascii="Lato" w:hAnsi="Lato" w:cs="Arial"/>
          <w:bCs/>
          <w:spacing w:val="4"/>
          <w:sz w:val="22"/>
          <w:szCs w:val="22"/>
        </w:rPr>
        <w:t xml:space="preserve">, </w:t>
      </w:r>
      <w:r w:rsidRPr="006C0DD2">
        <w:rPr>
          <w:rFonts w:ascii="Lato" w:hAnsi="Lato" w:cs="Arial"/>
          <w:bCs/>
          <w:spacing w:val="4"/>
          <w:sz w:val="22"/>
          <w:szCs w:val="22"/>
        </w:rPr>
        <w:t>z obrębu 0025 Podoryszew (strona 135; poz. 818, 819, 825, 826, 830</w:t>
      </w:r>
      <w:r w:rsidR="00792417" w:rsidRPr="006C0DD2">
        <w:rPr>
          <w:rFonts w:ascii="Lato" w:hAnsi="Lato" w:cs="Arial"/>
          <w:bCs/>
          <w:spacing w:val="4"/>
          <w:sz w:val="22"/>
          <w:szCs w:val="22"/>
        </w:rPr>
        <w:t xml:space="preserve"> </w:t>
      </w:r>
      <w:r w:rsidRPr="006C0DD2">
        <w:rPr>
          <w:rFonts w:ascii="Lato" w:hAnsi="Lato" w:cs="Arial"/>
          <w:bCs/>
          <w:spacing w:val="4"/>
          <w:sz w:val="22"/>
          <w:szCs w:val="22"/>
        </w:rPr>
        <w:t>tabeli),</w:t>
      </w:r>
      <w:r w:rsidR="0007263D" w:rsidRPr="006C0DD2">
        <w:rPr>
          <w:rFonts w:ascii="Lato" w:hAnsi="Lato" w:cs="Arial"/>
          <w:bCs/>
          <w:spacing w:val="4"/>
          <w:sz w:val="22"/>
          <w:szCs w:val="22"/>
        </w:rPr>
        <w:t xml:space="preserve"> </w:t>
      </w:r>
    </w:p>
    <w:p w14:paraId="49E62206" w14:textId="4189D85A" w:rsidR="00736C41" w:rsidRPr="006C0DD2" w:rsidRDefault="00736C41" w:rsidP="00736C41">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6C0DD2">
        <w:rPr>
          <w:rFonts w:ascii="Lato" w:hAnsi="Lato" w:cs="Arial"/>
          <w:bCs/>
          <w:spacing w:val="4"/>
          <w:sz w:val="22"/>
          <w:szCs w:val="22"/>
        </w:rPr>
        <w:t xml:space="preserve">w rozstrzygnięciu zaskarżonej decyzji, </w:t>
      </w:r>
      <w:r w:rsidR="00F60840" w:rsidRPr="006C0DD2">
        <w:rPr>
          <w:rFonts w:ascii="Lato" w:hAnsi="Lato" w:cs="Arial"/>
          <w:bCs/>
          <w:spacing w:val="4"/>
          <w:sz w:val="22"/>
          <w:szCs w:val="22"/>
        </w:rPr>
        <w:t xml:space="preserve">znajdująca się w pkt X </w:t>
      </w:r>
      <w:r w:rsidRPr="006C0DD2">
        <w:rPr>
          <w:rFonts w:ascii="Lato" w:hAnsi="Lato" w:cs="Arial"/>
          <w:bCs/>
          <w:spacing w:val="4"/>
          <w:sz w:val="22"/>
          <w:szCs w:val="22"/>
        </w:rPr>
        <w:t>tabelę nr 8 pn.: „Wykaz nieruchomości lub ich części, dla których wprowadza się ograniczenie sposobu korzystania z nieruchomości, o którym mowa w art. 40 ust. 2 pkt 10 specustawy, wraz ze wskazaniem ograniczeń trwałych i ograniczeń czasowych” – w zakresie dotyczącym:</w:t>
      </w:r>
    </w:p>
    <w:p w14:paraId="1CB41E71" w14:textId="2D1D5880" w:rsidR="00736C41" w:rsidRPr="006C0DD2" w:rsidRDefault="00736C41" w:rsidP="00015B3F">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 nr:</w:t>
      </w:r>
      <w:r w:rsidR="001D0CA0" w:rsidRPr="006C0DD2">
        <w:rPr>
          <w:rFonts w:ascii="Lato" w:hAnsi="Lato" w:cs="Arial"/>
          <w:bCs/>
          <w:spacing w:val="4"/>
          <w:sz w:val="22"/>
          <w:szCs w:val="22"/>
        </w:rPr>
        <w:t xml:space="preserve"> 6/5 i 9/2</w:t>
      </w:r>
      <w:r w:rsidRPr="006C0DD2">
        <w:rPr>
          <w:rFonts w:ascii="Lato" w:hAnsi="Lato" w:cs="Arial"/>
          <w:bCs/>
          <w:spacing w:val="4"/>
          <w:sz w:val="22"/>
          <w:szCs w:val="22"/>
        </w:rPr>
        <w:t>, z obrębu 00</w:t>
      </w:r>
      <w:r w:rsidR="001D0CA0" w:rsidRPr="006C0DD2">
        <w:rPr>
          <w:rFonts w:ascii="Lato" w:hAnsi="Lato" w:cs="Arial"/>
          <w:bCs/>
          <w:spacing w:val="4"/>
          <w:sz w:val="22"/>
          <w:szCs w:val="22"/>
        </w:rPr>
        <w:t>33</w:t>
      </w:r>
      <w:r w:rsidRPr="006C0DD2">
        <w:rPr>
          <w:rFonts w:ascii="Lato" w:hAnsi="Lato" w:cs="Arial"/>
          <w:bCs/>
          <w:spacing w:val="4"/>
          <w:sz w:val="22"/>
          <w:szCs w:val="22"/>
        </w:rPr>
        <w:t xml:space="preserve"> </w:t>
      </w:r>
      <w:r w:rsidR="001D0CA0" w:rsidRPr="006C0DD2">
        <w:rPr>
          <w:rFonts w:ascii="Lato" w:hAnsi="Lato" w:cs="Arial"/>
          <w:bCs/>
          <w:spacing w:val="4"/>
          <w:sz w:val="22"/>
          <w:szCs w:val="22"/>
        </w:rPr>
        <w:t>SHRO Szymanów</w:t>
      </w:r>
      <w:r w:rsidRPr="006C0DD2">
        <w:rPr>
          <w:rFonts w:ascii="Lato" w:hAnsi="Lato" w:cs="Arial"/>
          <w:bCs/>
          <w:spacing w:val="4"/>
          <w:sz w:val="22"/>
          <w:szCs w:val="22"/>
        </w:rPr>
        <w:t xml:space="preserve"> (stron</w:t>
      </w:r>
      <w:r w:rsidR="001D0CA0" w:rsidRPr="006C0DD2">
        <w:rPr>
          <w:rFonts w:ascii="Lato" w:hAnsi="Lato" w:cs="Arial"/>
          <w:bCs/>
          <w:spacing w:val="4"/>
          <w:sz w:val="22"/>
          <w:szCs w:val="22"/>
        </w:rPr>
        <w:t>a</w:t>
      </w:r>
      <w:r w:rsidRPr="006C0DD2">
        <w:rPr>
          <w:rFonts w:ascii="Lato" w:hAnsi="Lato" w:cs="Arial"/>
          <w:bCs/>
          <w:spacing w:val="4"/>
          <w:sz w:val="22"/>
          <w:szCs w:val="22"/>
        </w:rPr>
        <w:t xml:space="preserve"> </w:t>
      </w:r>
      <w:r w:rsidR="001D0CA0" w:rsidRPr="006C0DD2">
        <w:rPr>
          <w:rFonts w:ascii="Lato" w:hAnsi="Lato" w:cs="Arial"/>
          <w:bCs/>
          <w:spacing w:val="4"/>
          <w:sz w:val="22"/>
          <w:szCs w:val="22"/>
        </w:rPr>
        <w:t>137</w:t>
      </w:r>
      <w:r w:rsidRPr="006C0DD2">
        <w:rPr>
          <w:rFonts w:ascii="Lato" w:hAnsi="Lato" w:cs="Arial"/>
          <w:bCs/>
          <w:spacing w:val="4"/>
          <w:sz w:val="22"/>
          <w:szCs w:val="22"/>
        </w:rPr>
        <w:t xml:space="preserve">; poz. </w:t>
      </w:r>
      <w:r w:rsidR="001D0CA0" w:rsidRPr="006C0DD2">
        <w:rPr>
          <w:rFonts w:ascii="Lato" w:hAnsi="Lato" w:cs="Arial"/>
          <w:bCs/>
          <w:spacing w:val="4"/>
          <w:sz w:val="22"/>
          <w:szCs w:val="22"/>
        </w:rPr>
        <w:t>9, 10, 12</w:t>
      </w:r>
      <w:r w:rsidRPr="006C0DD2">
        <w:rPr>
          <w:rFonts w:ascii="Lato" w:hAnsi="Lato" w:cs="Arial"/>
          <w:bCs/>
          <w:spacing w:val="4"/>
          <w:sz w:val="22"/>
          <w:szCs w:val="22"/>
        </w:rPr>
        <w:t xml:space="preserve"> tabeli),</w:t>
      </w:r>
    </w:p>
    <w:p w14:paraId="2DA2FDE3" w14:textId="663FE429" w:rsidR="00015B3F" w:rsidRPr="006C0DD2" w:rsidRDefault="00015B3F" w:rsidP="00FC02F4">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 xml:space="preserve">działki nr </w:t>
      </w:r>
      <w:r w:rsidR="00FC02F4" w:rsidRPr="006C0DD2">
        <w:rPr>
          <w:rFonts w:ascii="Lato" w:hAnsi="Lato" w:cs="Arial"/>
          <w:bCs/>
          <w:spacing w:val="4"/>
          <w:sz w:val="22"/>
          <w:szCs w:val="22"/>
        </w:rPr>
        <w:t>137, z obrębu 0001 Aleksandrów (strona 138; poz. 20 tabeli),</w:t>
      </w:r>
    </w:p>
    <w:p w14:paraId="52ABA32F" w14:textId="3E822CFB" w:rsidR="00FC02F4" w:rsidRPr="006C0DD2" w:rsidRDefault="00341DD4" w:rsidP="00341DD4">
      <w:pPr>
        <w:pStyle w:val="Akapitzlist"/>
        <w:numPr>
          <w:ilvl w:val="0"/>
          <w:numId w:val="7"/>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działki nr 26, z obrębu 0012 Janówek (strona 143; poz. 48 tabeli),</w:t>
      </w:r>
    </w:p>
    <w:p w14:paraId="5B4F6122" w14:textId="4059E2AF" w:rsidR="00D3306E" w:rsidRPr="006C0DD2" w:rsidRDefault="007515BA" w:rsidP="00F40707">
      <w:pPr>
        <w:pStyle w:val="Akapitzlist"/>
        <w:numPr>
          <w:ilvl w:val="0"/>
          <w:numId w:val="7"/>
        </w:numPr>
        <w:tabs>
          <w:tab w:val="left" w:pos="426"/>
        </w:tabs>
        <w:spacing w:after="24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działek</w:t>
      </w:r>
      <w:r w:rsidR="00D3306E" w:rsidRPr="006C0DD2">
        <w:rPr>
          <w:rFonts w:ascii="Lato" w:hAnsi="Lato" w:cs="Arial"/>
          <w:bCs/>
          <w:spacing w:val="4"/>
          <w:sz w:val="22"/>
          <w:szCs w:val="22"/>
        </w:rPr>
        <w:t xml:space="preserve"> nr</w:t>
      </w:r>
      <w:r w:rsidRPr="006C0DD2">
        <w:rPr>
          <w:rFonts w:ascii="Lato" w:hAnsi="Lato" w:cs="Arial"/>
          <w:bCs/>
          <w:spacing w:val="4"/>
          <w:sz w:val="22"/>
          <w:szCs w:val="22"/>
        </w:rPr>
        <w:t>:</w:t>
      </w:r>
      <w:r w:rsidR="00D3306E" w:rsidRPr="006C0DD2">
        <w:rPr>
          <w:rFonts w:ascii="Lato" w:hAnsi="Lato" w:cs="Arial"/>
          <w:bCs/>
          <w:spacing w:val="4"/>
          <w:sz w:val="22"/>
          <w:szCs w:val="22"/>
        </w:rPr>
        <w:t xml:space="preserve"> 153</w:t>
      </w:r>
      <w:r w:rsidRPr="006C0DD2">
        <w:rPr>
          <w:rFonts w:ascii="Lato" w:hAnsi="Lato" w:cs="Arial"/>
          <w:bCs/>
          <w:spacing w:val="4"/>
          <w:sz w:val="22"/>
          <w:szCs w:val="22"/>
        </w:rPr>
        <w:t>, 169, 176/1, 190</w:t>
      </w:r>
      <w:r w:rsidR="00D3306E" w:rsidRPr="006C0DD2">
        <w:rPr>
          <w:rFonts w:ascii="Lato" w:hAnsi="Lato" w:cs="Arial"/>
          <w:bCs/>
          <w:spacing w:val="4"/>
          <w:sz w:val="22"/>
          <w:szCs w:val="22"/>
        </w:rPr>
        <w:t>, z obrębu 0022 Nowy Oryszew (stron</w:t>
      </w:r>
      <w:r w:rsidRPr="006C0DD2">
        <w:rPr>
          <w:rFonts w:ascii="Lato" w:hAnsi="Lato" w:cs="Arial"/>
          <w:bCs/>
          <w:spacing w:val="4"/>
          <w:sz w:val="22"/>
          <w:szCs w:val="22"/>
        </w:rPr>
        <w:t>y</w:t>
      </w:r>
      <w:r w:rsidR="00D3306E" w:rsidRPr="006C0DD2">
        <w:rPr>
          <w:rFonts w:ascii="Lato" w:hAnsi="Lato" w:cs="Arial"/>
          <w:bCs/>
          <w:spacing w:val="4"/>
          <w:sz w:val="22"/>
          <w:szCs w:val="22"/>
        </w:rPr>
        <w:t xml:space="preserve"> 145</w:t>
      </w:r>
      <w:r w:rsidRPr="006C0DD2">
        <w:rPr>
          <w:rFonts w:ascii="Lato" w:hAnsi="Lato" w:cs="Arial"/>
          <w:bCs/>
          <w:spacing w:val="4"/>
          <w:sz w:val="22"/>
          <w:szCs w:val="22"/>
        </w:rPr>
        <w:t>-147</w:t>
      </w:r>
      <w:r w:rsidR="00D3306E" w:rsidRPr="006C0DD2">
        <w:rPr>
          <w:rFonts w:ascii="Lato" w:hAnsi="Lato" w:cs="Arial"/>
          <w:bCs/>
          <w:spacing w:val="4"/>
          <w:sz w:val="22"/>
          <w:szCs w:val="22"/>
        </w:rPr>
        <w:t>; poz. 63</w:t>
      </w:r>
      <w:r w:rsidRPr="006C0DD2">
        <w:rPr>
          <w:rFonts w:ascii="Lato" w:hAnsi="Lato" w:cs="Arial"/>
          <w:bCs/>
          <w:spacing w:val="4"/>
          <w:sz w:val="22"/>
          <w:szCs w:val="22"/>
        </w:rPr>
        <w:t>, 69, 71, 76</w:t>
      </w:r>
      <w:r w:rsidR="00D3306E" w:rsidRPr="006C0DD2">
        <w:rPr>
          <w:rFonts w:ascii="Lato" w:hAnsi="Lato" w:cs="Arial"/>
          <w:bCs/>
          <w:spacing w:val="4"/>
          <w:sz w:val="22"/>
          <w:szCs w:val="22"/>
        </w:rPr>
        <w:t xml:space="preserve"> tabeli),</w:t>
      </w:r>
    </w:p>
    <w:p w14:paraId="36BE6193" w14:textId="603DCBFC" w:rsidR="00894614" w:rsidRPr="00F40707" w:rsidRDefault="00894614" w:rsidP="00F40707">
      <w:pPr>
        <w:pStyle w:val="Akapitzlist"/>
        <w:numPr>
          <w:ilvl w:val="0"/>
          <w:numId w:val="28"/>
        </w:numPr>
        <w:spacing w:after="240" w:line="240" w:lineRule="exact"/>
        <w:ind w:left="709" w:hanging="425"/>
        <w:contextualSpacing w:val="0"/>
        <w:jc w:val="both"/>
        <w:rPr>
          <w:rFonts w:ascii="Lato" w:hAnsi="Lato" w:cs="Arial"/>
          <w:bCs/>
          <w:spacing w:val="4"/>
          <w:sz w:val="22"/>
          <w:szCs w:val="22"/>
        </w:rPr>
      </w:pPr>
      <w:r w:rsidRPr="00F40707">
        <w:rPr>
          <w:rFonts w:ascii="Lato" w:hAnsi="Lato" w:cs="Arial"/>
          <w:bCs/>
          <w:spacing w:val="4"/>
          <w:sz w:val="22"/>
          <w:szCs w:val="22"/>
        </w:rPr>
        <w:t xml:space="preserve">tabelę </w:t>
      </w:r>
      <w:r w:rsidR="00117EB9" w:rsidRPr="00F40707">
        <w:rPr>
          <w:rFonts w:ascii="Lato" w:hAnsi="Lato" w:cs="Arial"/>
          <w:bCs/>
          <w:spacing w:val="4"/>
          <w:sz w:val="22"/>
          <w:szCs w:val="22"/>
        </w:rPr>
        <w:t>n</w:t>
      </w:r>
      <w:r w:rsidRPr="00F40707">
        <w:rPr>
          <w:rFonts w:ascii="Lato" w:hAnsi="Lato" w:cs="Arial"/>
          <w:bCs/>
          <w:spacing w:val="4"/>
          <w:sz w:val="22"/>
          <w:szCs w:val="22"/>
        </w:rPr>
        <w:t>r 9 pn.: „Wykaz działek stanowiących grunty pod wodami płynącymi podlegające nieodpłatnemu zajęciu na rzecz CPK Sp. z o.o.”, znajdującą się w pkt XI.1 na stronach 148 i 149 rozstrzygnięcia zaskarżonej decyzji,</w:t>
      </w:r>
    </w:p>
    <w:p w14:paraId="0D47ECAE" w14:textId="52428970" w:rsidR="004706CA" w:rsidRPr="006C0DD2" w:rsidRDefault="004706CA" w:rsidP="00F40707">
      <w:pPr>
        <w:pStyle w:val="Akapitzlist"/>
        <w:numPr>
          <w:ilvl w:val="0"/>
          <w:numId w:val="2"/>
        </w:numPr>
        <w:tabs>
          <w:tab w:val="left" w:pos="709"/>
        </w:tabs>
        <w:spacing w:after="120" w:line="240" w:lineRule="exact"/>
        <w:ind w:hanging="436"/>
        <w:contextualSpacing w:val="0"/>
        <w:jc w:val="both"/>
        <w:rPr>
          <w:rFonts w:ascii="Lato" w:hAnsi="Lato" w:cs="Arial"/>
          <w:bCs/>
          <w:spacing w:val="4"/>
          <w:sz w:val="22"/>
          <w:szCs w:val="22"/>
        </w:rPr>
      </w:pPr>
      <w:r w:rsidRPr="006C0DD2">
        <w:rPr>
          <w:rFonts w:ascii="Lato" w:hAnsi="Lato" w:cs="Arial"/>
          <w:bCs/>
          <w:spacing w:val="4"/>
          <w:sz w:val="22"/>
          <w:szCs w:val="22"/>
        </w:rPr>
        <w:lastRenderedPageBreak/>
        <w:t xml:space="preserve">w rozstrzygnięciu zaskarżonej decyzji, tabelę </w:t>
      </w:r>
      <w:r w:rsidR="00117EB9" w:rsidRPr="00F40707">
        <w:rPr>
          <w:rFonts w:ascii="Lato" w:hAnsi="Lato" w:cs="Arial"/>
          <w:bCs/>
          <w:spacing w:val="4"/>
          <w:sz w:val="22"/>
          <w:szCs w:val="22"/>
        </w:rPr>
        <w:t>n</w:t>
      </w:r>
      <w:r w:rsidRPr="006C0DD2">
        <w:rPr>
          <w:rFonts w:ascii="Lato" w:hAnsi="Lato" w:cs="Arial"/>
          <w:bCs/>
          <w:spacing w:val="4"/>
          <w:sz w:val="22"/>
          <w:szCs w:val="22"/>
        </w:rPr>
        <w:t>r 10 pn.: „Wykaz działek stanowiących drogi publiczne podlegające nieodpłatnemu zajęciu na rzecz CPK Sp. z o.o.”</w:t>
      </w:r>
      <w:r w:rsidR="00094D4D" w:rsidRPr="00F40707">
        <w:rPr>
          <w:rFonts w:ascii="Lato" w:hAnsi="Lato" w:cs="Arial"/>
          <w:bCs/>
          <w:spacing w:val="4"/>
          <w:sz w:val="22"/>
          <w:szCs w:val="22"/>
        </w:rPr>
        <w:t xml:space="preserve">, znajdującą się w pkt XI.2 </w:t>
      </w:r>
      <w:r w:rsidRPr="006C0DD2">
        <w:rPr>
          <w:rFonts w:ascii="Lato" w:hAnsi="Lato" w:cs="Arial"/>
          <w:bCs/>
          <w:spacing w:val="4"/>
          <w:sz w:val="22"/>
          <w:szCs w:val="22"/>
        </w:rPr>
        <w:t>– w zakresie dotyczącym:</w:t>
      </w:r>
    </w:p>
    <w:p w14:paraId="0A6BF948" w14:textId="25B100BB" w:rsidR="00A777A0" w:rsidRPr="006C0DD2" w:rsidRDefault="0010301E" w:rsidP="00F40707">
      <w:pPr>
        <w:pStyle w:val="Akapitzlist"/>
        <w:numPr>
          <w:ilvl w:val="0"/>
          <w:numId w:val="29"/>
        </w:numPr>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kolumny nr 6</w:t>
      </w:r>
      <w:r w:rsidRPr="00F40707">
        <w:rPr>
          <w:rFonts w:ascii="Lato" w:hAnsi="Lato" w:cs="Arial"/>
          <w:bCs/>
          <w:spacing w:val="4"/>
          <w:sz w:val="22"/>
          <w:szCs w:val="22"/>
        </w:rPr>
        <w:t xml:space="preserve"> tabeli</w:t>
      </w:r>
      <w:r w:rsidRPr="006C0DD2">
        <w:rPr>
          <w:rFonts w:ascii="Lato" w:hAnsi="Lato" w:cs="Arial"/>
          <w:bCs/>
          <w:spacing w:val="4"/>
          <w:sz w:val="22"/>
          <w:szCs w:val="22"/>
        </w:rPr>
        <w:t xml:space="preserve"> pn.: „Nr działki drogowej podlegającej nieodpłatnemu zajęciu na rzecz CPK Sp. z o.o.”</w:t>
      </w:r>
      <w:r w:rsidR="006C0DD2">
        <w:rPr>
          <w:rFonts w:ascii="Lato" w:hAnsi="Lato" w:cs="Arial"/>
          <w:bCs/>
          <w:spacing w:val="4"/>
          <w:sz w:val="22"/>
          <w:szCs w:val="22"/>
        </w:rPr>
        <w:t xml:space="preserve"> (strona 149 i 150)</w:t>
      </w:r>
      <w:r w:rsidRPr="006C0DD2">
        <w:rPr>
          <w:rFonts w:ascii="Lato" w:hAnsi="Lato" w:cs="Arial"/>
          <w:bCs/>
          <w:spacing w:val="4"/>
          <w:sz w:val="22"/>
          <w:szCs w:val="22"/>
        </w:rPr>
        <w:t>,</w:t>
      </w:r>
    </w:p>
    <w:p w14:paraId="1B4F94BF" w14:textId="77777777" w:rsidR="004706CA" w:rsidRPr="006C0DD2" w:rsidRDefault="004706CA" w:rsidP="004706CA">
      <w:pPr>
        <w:pStyle w:val="Akapitzlist"/>
        <w:numPr>
          <w:ilvl w:val="0"/>
          <w:numId w:val="9"/>
        </w:numPr>
        <w:tabs>
          <w:tab w:val="left" w:pos="426"/>
        </w:tabs>
        <w:spacing w:after="12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działki nr 30, z obrębu 0010 Guzów (strona 150; poz. 8 tabeli),</w:t>
      </w:r>
    </w:p>
    <w:p w14:paraId="58BA9074" w14:textId="5D9F6A26" w:rsidR="00BD27AD" w:rsidRPr="00F40707" w:rsidRDefault="004706CA" w:rsidP="00F40707">
      <w:pPr>
        <w:pStyle w:val="Akapitzlist"/>
        <w:numPr>
          <w:ilvl w:val="0"/>
          <w:numId w:val="9"/>
        </w:numPr>
        <w:tabs>
          <w:tab w:val="left" w:pos="426"/>
        </w:tabs>
        <w:spacing w:after="240" w:line="240" w:lineRule="exact"/>
        <w:ind w:left="993" w:hanging="284"/>
        <w:contextualSpacing w:val="0"/>
        <w:jc w:val="both"/>
        <w:rPr>
          <w:rFonts w:ascii="Lato" w:hAnsi="Lato" w:cs="Arial"/>
          <w:bCs/>
          <w:spacing w:val="4"/>
          <w:sz w:val="22"/>
          <w:szCs w:val="22"/>
        </w:rPr>
      </w:pPr>
      <w:r w:rsidRPr="006C0DD2">
        <w:rPr>
          <w:rFonts w:ascii="Lato" w:hAnsi="Lato" w:cs="Arial"/>
          <w:bCs/>
          <w:spacing w:val="4"/>
          <w:sz w:val="22"/>
          <w:szCs w:val="22"/>
        </w:rPr>
        <w:t>działki nr 240/3, z obrębu 0022 Nowy Oryszew (strona 150; poz. 9 tabeli),</w:t>
      </w:r>
    </w:p>
    <w:p w14:paraId="76C68C68" w14:textId="5D5A79CF" w:rsidR="00BD27AD" w:rsidRPr="005F12E6" w:rsidRDefault="00BD27AD" w:rsidP="00BD27AD">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5F12E6">
        <w:rPr>
          <w:rFonts w:ascii="Lato" w:hAnsi="Lato" w:cs="Arial"/>
          <w:bCs/>
          <w:spacing w:val="4"/>
          <w:sz w:val="22"/>
          <w:szCs w:val="22"/>
        </w:rPr>
        <w:t>w rozstrzygnięciu zaskarżonej decyzji, znajdujący się na stronie 150, w wierszach 2</w:t>
      </w:r>
      <w:r w:rsidR="0053620A" w:rsidRPr="005F12E6">
        <w:rPr>
          <w:rFonts w:ascii="Lato" w:hAnsi="Lato" w:cs="Arial"/>
          <w:bCs/>
          <w:spacing w:val="4"/>
          <w:sz w:val="22"/>
          <w:szCs w:val="22"/>
        </w:rPr>
        <w:t>1</w:t>
      </w:r>
      <w:r w:rsidRPr="005F12E6">
        <w:rPr>
          <w:rFonts w:ascii="Lato" w:hAnsi="Lato" w:cs="Arial"/>
          <w:bCs/>
          <w:spacing w:val="4"/>
          <w:sz w:val="22"/>
          <w:szCs w:val="22"/>
        </w:rPr>
        <w:t>-2</w:t>
      </w:r>
      <w:r w:rsidR="00A135E0" w:rsidRPr="005F12E6">
        <w:rPr>
          <w:rFonts w:ascii="Lato" w:hAnsi="Lato" w:cs="Arial"/>
          <w:bCs/>
          <w:spacing w:val="4"/>
          <w:sz w:val="22"/>
          <w:szCs w:val="22"/>
        </w:rPr>
        <w:t>6</w:t>
      </w:r>
      <w:r w:rsidRPr="005F12E6">
        <w:rPr>
          <w:rFonts w:ascii="Lato" w:hAnsi="Lato" w:cs="Arial"/>
          <w:bCs/>
          <w:spacing w:val="4"/>
          <w:sz w:val="22"/>
          <w:szCs w:val="22"/>
        </w:rPr>
        <w:t>, licząc od dołu strony, zapis:</w:t>
      </w:r>
    </w:p>
    <w:p w14:paraId="730C3F19" w14:textId="48078A3B" w:rsidR="00BD27AD" w:rsidRPr="005F12E6" w:rsidRDefault="00894614" w:rsidP="0053620A">
      <w:pPr>
        <w:pStyle w:val="Akapitzlist"/>
        <w:tabs>
          <w:tab w:val="left" w:pos="426"/>
        </w:tabs>
        <w:spacing w:after="120" w:line="240" w:lineRule="exact"/>
        <w:contextualSpacing w:val="0"/>
        <w:jc w:val="both"/>
        <w:rPr>
          <w:rFonts w:ascii="Lato" w:hAnsi="Lato" w:cs="Arial"/>
          <w:bCs/>
          <w:spacing w:val="4"/>
          <w:sz w:val="22"/>
          <w:szCs w:val="22"/>
        </w:rPr>
      </w:pPr>
      <w:r w:rsidRPr="005F12E6">
        <w:rPr>
          <w:rFonts w:ascii="Lato" w:hAnsi="Lato" w:cs="Arial"/>
          <w:bCs/>
          <w:spacing w:val="4"/>
          <w:sz w:val="22"/>
          <w:szCs w:val="22"/>
        </w:rPr>
        <w:t>„</w:t>
      </w:r>
      <w:r w:rsidR="00BD27AD" w:rsidRPr="005F12E6">
        <w:rPr>
          <w:rFonts w:ascii="Lato" w:hAnsi="Lato" w:cs="Arial"/>
          <w:bCs/>
          <w:spacing w:val="4"/>
          <w:sz w:val="22"/>
          <w:szCs w:val="22"/>
        </w:rPr>
        <w:t>1. W Tabeli Nr 11 wskazano działki będące własnością CPK Sp. z o.o., na których będą prowadzone prace na czas realizacji Inwestycji, niepodlegające podziałowi; w nawiasach wskazano nr działki po podziale.</w:t>
      </w:r>
    </w:p>
    <w:p w14:paraId="3F651218" w14:textId="2A468C42" w:rsidR="0053620A" w:rsidRPr="00F40707" w:rsidRDefault="0053620A" w:rsidP="00F40707">
      <w:pPr>
        <w:pStyle w:val="Akapitzlist"/>
        <w:tabs>
          <w:tab w:val="left" w:pos="426"/>
        </w:tabs>
        <w:spacing w:after="240" w:line="240" w:lineRule="exact"/>
        <w:contextualSpacing w:val="0"/>
        <w:jc w:val="both"/>
        <w:rPr>
          <w:rFonts w:ascii="Lato" w:hAnsi="Lato" w:cs="Arial"/>
          <w:bCs/>
          <w:spacing w:val="4"/>
          <w:sz w:val="22"/>
          <w:szCs w:val="22"/>
        </w:rPr>
      </w:pPr>
      <w:r w:rsidRPr="005F12E6">
        <w:rPr>
          <w:rFonts w:ascii="Lato" w:hAnsi="Lato" w:cs="Arial"/>
          <w:bCs/>
          <w:spacing w:val="4"/>
          <w:sz w:val="22"/>
          <w:szCs w:val="22"/>
        </w:rPr>
        <w:t>Tabela nr 11 Wykaz działek będących własnością CPK Sp. z o.o. na których będą prowadzone prace na czas realizacji inwestycji wraz z opisem prac – znajdujące się poza liniami rozgraniczającymi Inwestycji.”,</w:t>
      </w:r>
    </w:p>
    <w:p w14:paraId="460A42B1" w14:textId="73C183DF" w:rsidR="00727DE0" w:rsidRPr="00613DF9" w:rsidRDefault="00AD66C9" w:rsidP="00F40707">
      <w:pPr>
        <w:pStyle w:val="Akapitzlist"/>
        <w:numPr>
          <w:ilvl w:val="0"/>
          <w:numId w:val="2"/>
        </w:numPr>
        <w:tabs>
          <w:tab w:val="left" w:pos="426"/>
        </w:tabs>
        <w:spacing w:after="240" w:line="240" w:lineRule="exact"/>
        <w:ind w:left="714" w:hanging="357"/>
        <w:contextualSpacing w:val="0"/>
        <w:jc w:val="both"/>
        <w:rPr>
          <w:rFonts w:ascii="Lato" w:hAnsi="Lato" w:cs="Arial"/>
          <w:bCs/>
          <w:spacing w:val="4"/>
          <w:sz w:val="22"/>
          <w:szCs w:val="22"/>
        </w:rPr>
      </w:pPr>
      <w:r w:rsidRPr="00613DF9">
        <w:rPr>
          <w:rFonts w:ascii="Lato" w:hAnsi="Lato" w:cs="Arial"/>
          <w:bCs/>
          <w:spacing w:val="4"/>
          <w:sz w:val="22"/>
          <w:szCs w:val="22"/>
        </w:rPr>
        <w:t xml:space="preserve">tabelę </w:t>
      </w:r>
      <w:r w:rsidR="00117EB9" w:rsidRPr="00F40707">
        <w:rPr>
          <w:rFonts w:ascii="Lato" w:hAnsi="Lato" w:cs="Arial"/>
          <w:bCs/>
          <w:spacing w:val="4"/>
          <w:sz w:val="22"/>
          <w:szCs w:val="22"/>
        </w:rPr>
        <w:t>n</w:t>
      </w:r>
      <w:r w:rsidRPr="00613DF9">
        <w:rPr>
          <w:rFonts w:ascii="Lato" w:hAnsi="Lato" w:cs="Arial"/>
          <w:bCs/>
          <w:spacing w:val="4"/>
          <w:sz w:val="22"/>
          <w:szCs w:val="22"/>
        </w:rPr>
        <w:t xml:space="preserve">r </w:t>
      </w:r>
      <w:r w:rsidR="00727DE0" w:rsidRPr="00613DF9">
        <w:rPr>
          <w:rFonts w:ascii="Lato" w:hAnsi="Lato" w:cs="Arial"/>
          <w:bCs/>
          <w:spacing w:val="4"/>
          <w:sz w:val="22"/>
          <w:szCs w:val="22"/>
        </w:rPr>
        <w:t>11</w:t>
      </w:r>
      <w:r w:rsidRPr="00613DF9">
        <w:rPr>
          <w:rFonts w:ascii="Lato" w:hAnsi="Lato" w:cs="Arial"/>
          <w:bCs/>
          <w:spacing w:val="4"/>
          <w:sz w:val="22"/>
          <w:szCs w:val="22"/>
        </w:rPr>
        <w:t xml:space="preserve"> pn.: „Wykaz działek będących własnością CPK Sp. z o.o. </w:t>
      </w:r>
      <w:r w:rsidR="00727DE0" w:rsidRPr="00613DF9">
        <w:rPr>
          <w:rFonts w:ascii="Lato" w:hAnsi="Lato" w:cs="Arial"/>
          <w:bCs/>
          <w:spacing w:val="4"/>
          <w:sz w:val="22"/>
          <w:szCs w:val="22"/>
        </w:rPr>
        <w:t>na których będą prowadzone prace na czas realizacji inwestycji wraz z opisem prac – znajdujące się poza liniami rozgraniczającymi Inwestycji.”, znajdującą się w pkt XII.1</w:t>
      </w:r>
      <w:r w:rsidR="00227374" w:rsidRPr="00613DF9">
        <w:rPr>
          <w:rFonts w:ascii="Lato" w:hAnsi="Lato" w:cs="Arial"/>
          <w:bCs/>
          <w:spacing w:val="4"/>
          <w:sz w:val="22"/>
          <w:szCs w:val="22"/>
        </w:rPr>
        <w:t xml:space="preserve"> na stronach</w:t>
      </w:r>
      <w:r w:rsidR="00727DE0" w:rsidRPr="00613DF9">
        <w:rPr>
          <w:rFonts w:ascii="Lato" w:hAnsi="Lato" w:cs="Arial"/>
          <w:bCs/>
          <w:spacing w:val="4"/>
          <w:sz w:val="22"/>
          <w:szCs w:val="22"/>
        </w:rPr>
        <w:t xml:space="preserve"> 150-152</w:t>
      </w:r>
      <w:r w:rsidR="00227374" w:rsidRPr="00613DF9">
        <w:rPr>
          <w:rFonts w:ascii="Lato" w:hAnsi="Lato" w:cs="Arial"/>
          <w:bCs/>
          <w:spacing w:val="4"/>
          <w:sz w:val="22"/>
          <w:szCs w:val="22"/>
        </w:rPr>
        <w:t xml:space="preserve"> rozstrzygnięcia zaskarżonej decyzji,</w:t>
      </w:r>
    </w:p>
    <w:p w14:paraId="0BEBA3AA" w14:textId="71275340" w:rsidR="003272BD" w:rsidRPr="00613DF9" w:rsidRDefault="003272BD" w:rsidP="00F40707">
      <w:pPr>
        <w:pStyle w:val="Akapitzlist"/>
        <w:numPr>
          <w:ilvl w:val="0"/>
          <w:numId w:val="2"/>
        </w:numPr>
        <w:spacing w:after="240" w:line="240" w:lineRule="exact"/>
        <w:ind w:left="714" w:hanging="357"/>
        <w:contextualSpacing w:val="0"/>
        <w:jc w:val="both"/>
        <w:rPr>
          <w:rFonts w:ascii="Lato" w:hAnsi="Lato" w:cs="Arial"/>
          <w:bCs/>
          <w:spacing w:val="4"/>
          <w:sz w:val="22"/>
          <w:szCs w:val="22"/>
        </w:rPr>
      </w:pPr>
      <w:r w:rsidRPr="00613DF9">
        <w:rPr>
          <w:rFonts w:ascii="Lato" w:hAnsi="Lato" w:cs="Arial"/>
          <w:bCs/>
          <w:spacing w:val="4"/>
          <w:sz w:val="22"/>
          <w:szCs w:val="22"/>
        </w:rPr>
        <w:t>znajdujący się na stronie 203</w:t>
      </w:r>
      <w:r w:rsidR="00694471" w:rsidRPr="00613DF9">
        <w:rPr>
          <w:rFonts w:ascii="Lato" w:hAnsi="Lato" w:cs="Arial"/>
          <w:bCs/>
          <w:spacing w:val="4"/>
          <w:sz w:val="22"/>
          <w:szCs w:val="22"/>
        </w:rPr>
        <w:t xml:space="preserve"> zaskarżonej decyzji</w:t>
      </w:r>
      <w:r w:rsidRPr="00613DF9">
        <w:rPr>
          <w:rFonts w:ascii="Lato" w:hAnsi="Lato" w:cs="Arial"/>
          <w:bCs/>
          <w:spacing w:val="4"/>
          <w:sz w:val="22"/>
          <w:szCs w:val="22"/>
        </w:rPr>
        <w:t>, w wierszu 1</w:t>
      </w:r>
      <w:r w:rsidR="00694471" w:rsidRPr="00613DF9">
        <w:rPr>
          <w:rFonts w:ascii="Lato" w:hAnsi="Lato" w:cs="Arial"/>
          <w:bCs/>
          <w:spacing w:val="4"/>
          <w:sz w:val="22"/>
          <w:szCs w:val="22"/>
        </w:rPr>
        <w:t>7</w:t>
      </w:r>
      <w:r w:rsidRPr="00613DF9">
        <w:rPr>
          <w:rFonts w:ascii="Lato" w:hAnsi="Lato" w:cs="Arial"/>
          <w:bCs/>
          <w:spacing w:val="4"/>
          <w:sz w:val="22"/>
          <w:szCs w:val="22"/>
        </w:rPr>
        <w:t xml:space="preserve">, licząc od </w:t>
      </w:r>
      <w:r w:rsidR="00694471" w:rsidRPr="00613DF9">
        <w:rPr>
          <w:rFonts w:ascii="Lato" w:hAnsi="Lato" w:cs="Arial"/>
          <w:bCs/>
          <w:spacing w:val="4"/>
          <w:sz w:val="22"/>
          <w:szCs w:val="22"/>
        </w:rPr>
        <w:t xml:space="preserve">dołu </w:t>
      </w:r>
      <w:r w:rsidRPr="00613DF9">
        <w:rPr>
          <w:rFonts w:ascii="Lato" w:hAnsi="Lato" w:cs="Arial"/>
          <w:bCs/>
          <w:spacing w:val="4"/>
          <w:sz w:val="22"/>
          <w:szCs w:val="22"/>
        </w:rPr>
        <w:t>strony, zapis:</w:t>
      </w:r>
    </w:p>
    <w:p w14:paraId="1443E08C" w14:textId="21679DAD" w:rsidR="003272BD" w:rsidRPr="00F40707" w:rsidRDefault="00694471" w:rsidP="00F40707">
      <w:pPr>
        <w:pStyle w:val="Akapitzlist"/>
        <w:spacing w:after="240" w:line="240" w:lineRule="exact"/>
        <w:contextualSpacing w:val="0"/>
        <w:jc w:val="both"/>
        <w:rPr>
          <w:rFonts w:ascii="Lato" w:hAnsi="Lato" w:cs="Arial"/>
          <w:bCs/>
          <w:spacing w:val="4"/>
          <w:sz w:val="22"/>
          <w:szCs w:val="22"/>
        </w:rPr>
      </w:pPr>
      <w:r w:rsidRPr="00613DF9">
        <w:rPr>
          <w:rFonts w:ascii="Lato" w:hAnsi="Lato" w:cs="Arial"/>
          <w:bCs/>
          <w:spacing w:val="4"/>
          <w:sz w:val="22"/>
          <w:szCs w:val="22"/>
        </w:rPr>
        <w:t xml:space="preserve">„2. mapy podziałowe, stanowiące </w:t>
      </w:r>
      <w:r w:rsidRPr="00F40707">
        <w:rPr>
          <w:rFonts w:ascii="Lato" w:hAnsi="Lato" w:cs="Arial"/>
          <w:b/>
          <w:spacing w:val="4"/>
          <w:sz w:val="22"/>
          <w:szCs w:val="22"/>
        </w:rPr>
        <w:t>załączniki nr 65-131</w:t>
      </w:r>
      <w:r w:rsidRPr="00613DF9">
        <w:rPr>
          <w:rFonts w:ascii="Lato" w:hAnsi="Lato" w:cs="Arial"/>
          <w:bCs/>
          <w:spacing w:val="4"/>
          <w:sz w:val="22"/>
          <w:szCs w:val="22"/>
        </w:rPr>
        <w:t xml:space="preserve"> do niniejszej decyzji”,</w:t>
      </w:r>
    </w:p>
    <w:p w14:paraId="52914D27" w14:textId="727B956A" w:rsidR="008B0530" w:rsidRPr="00613DF9" w:rsidRDefault="00D215DF" w:rsidP="008742C3">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 xml:space="preserve">zbiorcze </w:t>
      </w:r>
      <w:r w:rsidR="00FB2E50" w:rsidRPr="00613DF9">
        <w:rPr>
          <w:rFonts w:ascii="Lato" w:hAnsi="Lato" w:cs="Arial"/>
          <w:bCs/>
          <w:spacing w:val="4"/>
          <w:sz w:val="22"/>
          <w:szCs w:val="22"/>
        </w:rPr>
        <w:t>map</w:t>
      </w:r>
      <w:r w:rsidR="006D57F5" w:rsidRPr="00F40707">
        <w:rPr>
          <w:rFonts w:ascii="Lato" w:hAnsi="Lato" w:cs="Arial"/>
          <w:bCs/>
          <w:spacing w:val="4"/>
          <w:sz w:val="22"/>
          <w:szCs w:val="22"/>
        </w:rPr>
        <w:t>y</w:t>
      </w:r>
      <w:r w:rsidR="00FB2E50" w:rsidRPr="00613DF9">
        <w:rPr>
          <w:rFonts w:ascii="Lato" w:hAnsi="Lato" w:cs="Arial"/>
          <w:bCs/>
          <w:spacing w:val="4"/>
          <w:sz w:val="22"/>
          <w:szCs w:val="22"/>
        </w:rPr>
        <w:t xml:space="preserve"> z projektem podziału nieruchomości z obrębu 0022 Skrzelew</w:t>
      </w:r>
      <w:r w:rsidR="0099114D" w:rsidRPr="00613DF9">
        <w:rPr>
          <w:rFonts w:ascii="Lato" w:hAnsi="Lato" w:cs="Arial"/>
          <w:bCs/>
          <w:spacing w:val="4"/>
          <w:sz w:val="22"/>
          <w:szCs w:val="22"/>
        </w:rPr>
        <w:t>,</w:t>
      </w:r>
      <w:r w:rsidR="009F525B" w:rsidRPr="00F40707">
        <w:rPr>
          <w:rFonts w:ascii="Lato" w:hAnsi="Lato" w:cs="Arial"/>
          <w:bCs/>
          <w:spacing w:val="4"/>
          <w:sz w:val="22"/>
          <w:szCs w:val="22"/>
        </w:rPr>
        <w:t xml:space="preserve"> wraz </w:t>
      </w:r>
      <w:r w:rsidR="009F525B" w:rsidRPr="00F40707">
        <w:rPr>
          <w:rFonts w:ascii="Lato" w:hAnsi="Lato" w:cs="Arial"/>
          <w:bCs/>
          <w:spacing w:val="4"/>
          <w:sz w:val="22"/>
          <w:szCs w:val="22"/>
        </w:rPr>
        <w:br/>
        <w:t xml:space="preserve">z wykazami zmian gruntowych, </w:t>
      </w:r>
      <w:r w:rsidR="008A2316" w:rsidRPr="00613DF9">
        <w:rPr>
          <w:rFonts w:ascii="Lato" w:hAnsi="Lato" w:cs="Arial"/>
          <w:bCs/>
          <w:spacing w:val="4"/>
          <w:sz w:val="22"/>
          <w:szCs w:val="22"/>
        </w:rPr>
        <w:t>stanowiąc</w:t>
      </w:r>
      <w:r w:rsidR="006D57F5" w:rsidRPr="00F40707">
        <w:rPr>
          <w:rFonts w:ascii="Lato" w:hAnsi="Lato" w:cs="Arial"/>
          <w:bCs/>
          <w:spacing w:val="4"/>
          <w:sz w:val="22"/>
          <w:szCs w:val="22"/>
        </w:rPr>
        <w:t>e</w:t>
      </w:r>
      <w:r w:rsidR="008A2316" w:rsidRPr="00613DF9">
        <w:rPr>
          <w:rFonts w:ascii="Lato" w:hAnsi="Lato" w:cs="Arial"/>
          <w:bCs/>
          <w:spacing w:val="4"/>
          <w:sz w:val="22"/>
          <w:szCs w:val="22"/>
        </w:rPr>
        <w:t xml:space="preserve"> załącznik</w:t>
      </w:r>
      <w:r w:rsidR="006D57F5" w:rsidRPr="00F40707">
        <w:rPr>
          <w:rFonts w:ascii="Lato" w:hAnsi="Lato" w:cs="Arial"/>
          <w:bCs/>
          <w:spacing w:val="4"/>
          <w:sz w:val="22"/>
          <w:szCs w:val="22"/>
        </w:rPr>
        <w:t>i</w:t>
      </w:r>
      <w:r w:rsidR="008A2316" w:rsidRPr="00613DF9">
        <w:rPr>
          <w:rFonts w:ascii="Lato" w:hAnsi="Lato" w:cs="Arial"/>
          <w:bCs/>
          <w:spacing w:val="4"/>
          <w:sz w:val="22"/>
          <w:szCs w:val="22"/>
        </w:rPr>
        <w:t xml:space="preserve"> nr 94</w:t>
      </w:r>
      <w:r w:rsidR="008742C3" w:rsidRPr="00F40707">
        <w:rPr>
          <w:rFonts w:ascii="Lato" w:hAnsi="Lato" w:cs="Arial"/>
          <w:bCs/>
          <w:spacing w:val="4"/>
          <w:sz w:val="22"/>
          <w:szCs w:val="22"/>
        </w:rPr>
        <w:t xml:space="preserve"> i nr 95 </w:t>
      </w:r>
      <w:r w:rsidR="008A2316" w:rsidRPr="00613DF9">
        <w:rPr>
          <w:rFonts w:ascii="Lato" w:hAnsi="Lato" w:cs="Arial"/>
          <w:bCs/>
          <w:spacing w:val="4"/>
          <w:sz w:val="22"/>
          <w:szCs w:val="22"/>
        </w:rPr>
        <w:t>do zaskarżonej decyzji</w:t>
      </w:r>
      <w:r w:rsidR="009F525B" w:rsidRPr="00F40707">
        <w:rPr>
          <w:rFonts w:ascii="Lato" w:hAnsi="Lato" w:cs="Arial"/>
          <w:bCs/>
          <w:spacing w:val="4"/>
          <w:sz w:val="22"/>
          <w:szCs w:val="22"/>
        </w:rPr>
        <w:t xml:space="preserve"> </w:t>
      </w:r>
      <w:r w:rsidR="008742C3" w:rsidRPr="00F40707">
        <w:rPr>
          <w:rFonts w:ascii="Lato" w:hAnsi="Lato" w:cs="Arial"/>
          <w:bCs/>
          <w:spacing w:val="4"/>
          <w:sz w:val="22"/>
          <w:szCs w:val="22"/>
        </w:rPr>
        <w:t xml:space="preserve">- </w:t>
      </w:r>
      <w:r w:rsidR="008A2316" w:rsidRPr="00613DF9">
        <w:rPr>
          <w:rFonts w:ascii="Lato" w:hAnsi="Lato" w:cs="Arial"/>
          <w:bCs/>
          <w:spacing w:val="4"/>
          <w:sz w:val="22"/>
          <w:szCs w:val="22"/>
        </w:rPr>
        <w:t xml:space="preserve">w zakresie dotyczącym działek nr 75 i nr 80, </w:t>
      </w:r>
    </w:p>
    <w:p w14:paraId="05C3447A" w14:textId="41B97E76" w:rsidR="008B0530" w:rsidRPr="00613DF9" w:rsidRDefault="00D215DF">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613DF9">
        <w:rPr>
          <w:rFonts w:ascii="Lato" w:hAnsi="Lato" w:cs="Arial"/>
          <w:bCs/>
          <w:spacing w:val="4"/>
          <w:sz w:val="22"/>
          <w:szCs w:val="22"/>
        </w:rPr>
        <w:t xml:space="preserve">zbiorcze </w:t>
      </w:r>
      <w:r w:rsidR="0072433A" w:rsidRPr="00613DF9">
        <w:rPr>
          <w:rFonts w:ascii="Lato" w:hAnsi="Lato" w:cs="Arial"/>
          <w:bCs/>
          <w:spacing w:val="4"/>
          <w:sz w:val="22"/>
          <w:szCs w:val="22"/>
        </w:rPr>
        <w:t>map</w:t>
      </w:r>
      <w:r w:rsidR="009F525B" w:rsidRPr="00613DF9">
        <w:rPr>
          <w:rFonts w:ascii="Lato" w:hAnsi="Lato" w:cs="Arial"/>
          <w:bCs/>
          <w:spacing w:val="4"/>
          <w:sz w:val="22"/>
          <w:szCs w:val="22"/>
        </w:rPr>
        <w:t>y</w:t>
      </w:r>
      <w:r w:rsidR="0072433A" w:rsidRPr="00613DF9">
        <w:rPr>
          <w:rFonts w:ascii="Lato" w:hAnsi="Lato" w:cs="Arial"/>
          <w:bCs/>
          <w:spacing w:val="4"/>
          <w:sz w:val="22"/>
          <w:szCs w:val="22"/>
        </w:rPr>
        <w:t xml:space="preserve"> z projektem podziału nieruchomości z obrębu 0033 SHRO Szymanów, </w:t>
      </w:r>
      <w:r w:rsidR="009F525B" w:rsidRPr="00613DF9">
        <w:rPr>
          <w:rFonts w:ascii="Lato" w:hAnsi="Lato" w:cs="Arial"/>
          <w:bCs/>
          <w:spacing w:val="4"/>
          <w:sz w:val="22"/>
          <w:szCs w:val="22"/>
        </w:rPr>
        <w:t xml:space="preserve">wraz z wykazami zmian gruntowych, </w:t>
      </w:r>
      <w:r w:rsidR="0072433A" w:rsidRPr="00613DF9">
        <w:rPr>
          <w:rFonts w:ascii="Lato" w:hAnsi="Lato" w:cs="Arial"/>
          <w:bCs/>
          <w:spacing w:val="4"/>
          <w:sz w:val="22"/>
          <w:szCs w:val="22"/>
        </w:rPr>
        <w:t>stanowiąc</w:t>
      </w:r>
      <w:r w:rsidR="009F525B" w:rsidRPr="00613DF9">
        <w:rPr>
          <w:rFonts w:ascii="Lato" w:hAnsi="Lato" w:cs="Arial"/>
          <w:bCs/>
          <w:spacing w:val="4"/>
          <w:sz w:val="22"/>
          <w:szCs w:val="22"/>
        </w:rPr>
        <w:t>e</w:t>
      </w:r>
      <w:r w:rsidR="0072433A" w:rsidRPr="00613DF9">
        <w:rPr>
          <w:rFonts w:ascii="Lato" w:hAnsi="Lato" w:cs="Arial"/>
          <w:bCs/>
          <w:spacing w:val="4"/>
          <w:sz w:val="22"/>
          <w:szCs w:val="22"/>
        </w:rPr>
        <w:t xml:space="preserve"> załącznik</w:t>
      </w:r>
      <w:r w:rsidR="009F525B" w:rsidRPr="00613DF9">
        <w:rPr>
          <w:rFonts w:ascii="Lato" w:hAnsi="Lato" w:cs="Arial"/>
          <w:bCs/>
          <w:spacing w:val="4"/>
          <w:sz w:val="22"/>
          <w:szCs w:val="22"/>
        </w:rPr>
        <w:t>i</w:t>
      </w:r>
      <w:r w:rsidR="0072433A" w:rsidRPr="00613DF9">
        <w:rPr>
          <w:rFonts w:ascii="Lato" w:hAnsi="Lato" w:cs="Arial"/>
          <w:bCs/>
          <w:spacing w:val="4"/>
          <w:sz w:val="22"/>
          <w:szCs w:val="22"/>
        </w:rPr>
        <w:t xml:space="preserve"> nr 110</w:t>
      </w:r>
      <w:r w:rsidR="009F525B" w:rsidRPr="00613DF9">
        <w:rPr>
          <w:rFonts w:ascii="Lato" w:hAnsi="Lato" w:cs="Arial"/>
          <w:bCs/>
          <w:spacing w:val="4"/>
          <w:sz w:val="22"/>
          <w:szCs w:val="22"/>
        </w:rPr>
        <w:t xml:space="preserve">, </w:t>
      </w:r>
      <w:r w:rsidR="00613DF9" w:rsidRPr="00F40707">
        <w:rPr>
          <w:rFonts w:ascii="Lato" w:hAnsi="Lato" w:cs="Arial"/>
          <w:bCs/>
          <w:spacing w:val="4"/>
          <w:sz w:val="22"/>
          <w:szCs w:val="22"/>
        </w:rPr>
        <w:br/>
      </w:r>
      <w:r w:rsidR="009F525B" w:rsidRPr="00F40707">
        <w:rPr>
          <w:rFonts w:ascii="Lato" w:hAnsi="Lato" w:cs="Arial"/>
          <w:bCs/>
          <w:spacing w:val="4"/>
          <w:sz w:val="22"/>
          <w:szCs w:val="22"/>
        </w:rPr>
        <w:t>nr 111, nr 112, nr 113</w:t>
      </w:r>
      <w:r w:rsidR="009F525B" w:rsidRPr="00613DF9">
        <w:rPr>
          <w:rFonts w:ascii="Lato" w:hAnsi="Lato" w:cs="Arial"/>
          <w:bCs/>
          <w:spacing w:val="4"/>
          <w:sz w:val="22"/>
          <w:szCs w:val="22"/>
        </w:rPr>
        <w:t>, nr 114, nr 115</w:t>
      </w:r>
      <w:r w:rsidRPr="00613DF9">
        <w:rPr>
          <w:rFonts w:ascii="Lato" w:hAnsi="Lato" w:cs="Arial"/>
          <w:bCs/>
          <w:spacing w:val="4"/>
          <w:sz w:val="22"/>
          <w:szCs w:val="22"/>
        </w:rPr>
        <w:t xml:space="preserve">, nr 116 </w:t>
      </w:r>
      <w:r w:rsidR="0072433A" w:rsidRPr="00613DF9">
        <w:rPr>
          <w:rFonts w:ascii="Lato" w:hAnsi="Lato" w:cs="Arial"/>
          <w:bCs/>
          <w:spacing w:val="4"/>
          <w:sz w:val="22"/>
          <w:szCs w:val="22"/>
        </w:rPr>
        <w:t xml:space="preserve">do zaskarżonej decyzji – w zakresie </w:t>
      </w:r>
      <w:r w:rsidRPr="00F40707">
        <w:rPr>
          <w:rFonts w:ascii="Lato" w:hAnsi="Lato" w:cs="Arial"/>
          <w:bCs/>
          <w:spacing w:val="4"/>
          <w:sz w:val="22"/>
          <w:szCs w:val="22"/>
        </w:rPr>
        <w:t xml:space="preserve">dotyczącym </w:t>
      </w:r>
      <w:r w:rsidR="0072433A" w:rsidRPr="00613DF9">
        <w:rPr>
          <w:rFonts w:ascii="Lato" w:hAnsi="Lato" w:cs="Arial"/>
          <w:bCs/>
          <w:spacing w:val="4"/>
          <w:sz w:val="22"/>
          <w:szCs w:val="22"/>
        </w:rPr>
        <w:t>działek nr 2/1, nr</w:t>
      </w:r>
      <w:r w:rsidR="007B04A7" w:rsidRPr="00613DF9">
        <w:rPr>
          <w:rFonts w:ascii="Lato" w:hAnsi="Lato" w:cs="Arial"/>
          <w:bCs/>
          <w:spacing w:val="4"/>
          <w:sz w:val="22"/>
          <w:szCs w:val="22"/>
        </w:rPr>
        <w:t xml:space="preserve"> </w:t>
      </w:r>
      <w:r w:rsidR="00115219" w:rsidRPr="00613DF9">
        <w:rPr>
          <w:rFonts w:ascii="Lato" w:hAnsi="Lato" w:cs="Arial"/>
          <w:bCs/>
          <w:spacing w:val="4"/>
          <w:sz w:val="22"/>
          <w:szCs w:val="22"/>
        </w:rPr>
        <w:t xml:space="preserve">6/5, nr 9/2, nr 10/5, nr 13/1, nr 111/1, nr 111/2, </w:t>
      </w:r>
    </w:p>
    <w:p w14:paraId="1CE5F241" w14:textId="50824AFD" w:rsidR="005C4A50" w:rsidRPr="00613DF9" w:rsidRDefault="0030524C">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613DF9">
        <w:rPr>
          <w:rFonts w:ascii="Lato" w:hAnsi="Lato" w:cs="Arial"/>
          <w:bCs/>
          <w:spacing w:val="4"/>
          <w:sz w:val="22"/>
          <w:szCs w:val="22"/>
        </w:rPr>
        <w:t>zbiorcz</w:t>
      </w:r>
      <w:r w:rsidR="00D215DF" w:rsidRPr="00613DF9">
        <w:rPr>
          <w:rFonts w:ascii="Lato" w:hAnsi="Lato" w:cs="Arial"/>
          <w:bCs/>
          <w:spacing w:val="4"/>
          <w:sz w:val="22"/>
          <w:szCs w:val="22"/>
        </w:rPr>
        <w:t>e</w:t>
      </w:r>
      <w:r w:rsidRPr="00613DF9">
        <w:rPr>
          <w:rFonts w:ascii="Lato" w:hAnsi="Lato" w:cs="Arial"/>
          <w:bCs/>
          <w:spacing w:val="4"/>
          <w:sz w:val="22"/>
          <w:szCs w:val="22"/>
        </w:rPr>
        <w:t xml:space="preserve"> map</w:t>
      </w:r>
      <w:r w:rsidR="00D215DF" w:rsidRPr="00613DF9">
        <w:rPr>
          <w:rFonts w:ascii="Lato" w:hAnsi="Lato" w:cs="Arial"/>
          <w:bCs/>
          <w:spacing w:val="4"/>
          <w:sz w:val="22"/>
          <w:szCs w:val="22"/>
        </w:rPr>
        <w:t>y</w:t>
      </w:r>
      <w:r w:rsidRPr="00613DF9">
        <w:rPr>
          <w:rFonts w:ascii="Lato" w:hAnsi="Lato" w:cs="Arial"/>
          <w:bCs/>
          <w:spacing w:val="4"/>
          <w:sz w:val="22"/>
          <w:szCs w:val="22"/>
        </w:rPr>
        <w:t xml:space="preserve"> z projektem podziału nieruchomości z obrębu 0034 SHRO Kawęczyn,</w:t>
      </w:r>
      <w:r w:rsidR="00D215DF" w:rsidRPr="00F40707">
        <w:rPr>
          <w:rFonts w:ascii="Lato" w:hAnsi="Lato" w:cs="Arial"/>
          <w:bCs/>
          <w:spacing w:val="4"/>
          <w:sz w:val="22"/>
          <w:szCs w:val="22"/>
        </w:rPr>
        <w:t xml:space="preserve"> </w:t>
      </w:r>
      <w:r w:rsidR="00D215DF" w:rsidRPr="00613DF9">
        <w:rPr>
          <w:rFonts w:ascii="Lato" w:hAnsi="Lato" w:cs="Arial"/>
          <w:bCs/>
          <w:spacing w:val="4"/>
          <w:sz w:val="22"/>
          <w:szCs w:val="22"/>
        </w:rPr>
        <w:t>wraz z wykazami zmian gruntowych,</w:t>
      </w:r>
      <w:r w:rsidRPr="00613DF9">
        <w:rPr>
          <w:rFonts w:ascii="Lato" w:hAnsi="Lato" w:cs="Arial"/>
          <w:bCs/>
          <w:spacing w:val="4"/>
          <w:sz w:val="22"/>
          <w:szCs w:val="22"/>
        </w:rPr>
        <w:t xml:space="preserve"> stanowiąc</w:t>
      </w:r>
      <w:r w:rsidR="00D215DF" w:rsidRPr="00613DF9">
        <w:rPr>
          <w:rFonts w:ascii="Lato" w:hAnsi="Lato" w:cs="Arial"/>
          <w:bCs/>
          <w:spacing w:val="4"/>
          <w:sz w:val="22"/>
          <w:szCs w:val="22"/>
        </w:rPr>
        <w:t>e</w:t>
      </w:r>
      <w:r w:rsidRPr="00613DF9">
        <w:rPr>
          <w:rFonts w:ascii="Lato" w:hAnsi="Lato" w:cs="Arial"/>
          <w:bCs/>
          <w:spacing w:val="4"/>
          <w:sz w:val="22"/>
          <w:szCs w:val="22"/>
        </w:rPr>
        <w:t xml:space="preserve"> załącznik</w:t>
      </w:r>
      <w:r w:rsidR="00D215DF" w:rsidRPr="00613DF9">
        <w:rPr>
          <w:rFonts w:ascii="Lato" w:hAnsi="Lato" w:cs="Arial"/>
          <w:bCs/>
          <w:spacing w:val="4"/>
          <w:sz w:val="22"/>
          <w:szCs w:val="22"/>
        </w:rPr>
        <w:t>i</w:t>
      </w:r>
      <w:r w:rsidRPr="00613DF9">
        <w:rPr>
          <w:rFonts w:ascii="Lato" w:hAnsi="Lato" w:cs="Arial"/>
          <w:bCs/>
          <w:spacing w:val="4"/>
          <w:sz w:val="22"/>
          <w:szCs w:val="22"/>
        </w:rPr>
        <w:t xml:space="preserve"> nr 117</w:t>
      </w:r>
      <w:r w:rsidR="00D215DF" w:rsidRPr="00F40707">
        <w:rPr>
          <w:rFonts w:ascii="Lato" w:hAnsi="Lato" w:cs="Arial"/>
          <w:bCs/>
          <w:spacing w:val="4"/>
          <w:sz w:val="22"/>
          <w:szCs w:val="22"/>
        </w:rPr>
        <w:t xml:space="preserve"> </w:t>
      </w:r>
      <w:r w:rsidR="00D215DF" w:rsidRPr="00F40707">
        <w:rPr>
          <w:rFonts w:ascii="Lato" w:hAnsi="Lato" w:cs="Arial"/>
          <w:bCs/>
          <w:spacing w:val="4"/>
          <w:sz w:val="22"/>
          <w:szCs w:val="22"/>
        </w:rPr>
        <w:br/>
        <w:t xml:space="preserve">i nr 118 </w:t>
      </w:r>
      <w:r w:rsidRPr="00613DF9">
        <w:rPr>
          <w:rFonts w:ascii="Lato" w:hAnsi="Lato" w:cs="Arial"/>
          <w:bCs/>
          <w:spacing w:val="4"/>
          <w:sz w:val="22"/>
          <w:szCs w:val="22"/>
        </w:rPr>
        <w:t>do zaskarżonej decyzji – w zakresie dotyczącym działki nr 1/7,</w:t>
      </w:r>
    </w:p>
    <w:p w14:paraId="00A7D810" w14:textId="24E1C706" w:rsidR="00A12130" w:rsidRPr="00613DF9" w:rsidRDefault="0024488A">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613DF9">
        <w:rPr>
          <w:rFonts w:ascii="Lato" w:hAnsi="Lato" w:cs="Arial"/>
          <w:bCs/>
          <w:spacing w:val="4"/>
          <w:sz w:val="22"/>
          <w:szCs w:val="22"/>
        </w:rPr>
        <w:t xml:space="preserve">zbiorczą mapę z projektem podziału nieruchomości z obrębu 0010 Guzów, </w:t>
      </w:r>
      <w:r w:rsidR="00613DF9" w:rsidRPr="00F40707">
        <w:rPr>
          <w:rFonts w:ascii="Lato" w:hAnsi="Lato" w:cs="Arial"/>
          <w:bCs/>
          <w:spacing w:val="4"/>
          <w:sz w:val="22"/>
          <w:szCs w:val="22"/>
        </w:rPr>
        <w:t xml:space="preserve">wraz z </w:t>
      </w:r>
      <w:r w:rsidR="009569CD" w:rsidRPr="00613DF9">
        <w:rPr>
          <w:rFonts w:ascii="Lato" w:hAnsi="Lato" w:cs="Arial"/>
          <w:bCs/>
          <w:spacing w:val="4"/>
          <w:sz w:val="22"/>
          <w:szCs w:val="22"/>
        </w:rPr>
        <w:t>wykaz</w:t>
      </w:r>
      <w:r w:rsidR="00613DF9" w:rsidRPr="00F40707">
        <w:rPr>
          <w:rFonts w:ascii="Lato" w:hAnsi="Lato" w:cs="Arial"/>
          <w:bCs/>
          <w:spacing w:val="4"/>
          <w:sz w:val="22"/>
          <w:szCs w:val="22"/>
        </w:rPr>
        <w:t>em</w:t>
      </w:r>
      <w:r w:rsidR="009569CD" w:rsidRPr="00613DF9">
        <w:rPr>
          <w:rFonts w:ascii="Lato" w:hAnsi="Lato" w:cs="Arial"/>
          <w:bCs/>
          <w:spacing w:val="4"/>
          <w:sz w:val="22"/>
          <w:szCs w:val="22"/>
        </w:rPr>
        <w:t xml:space="preserve"> zmian gruntowych, </w:t>
      </w:r>
      <w:r w:rsidRPr="00613DF9">
        <w:rPr>
          <w:rFonts w:ascii="Lato" w:hAnsi="Lato" w:cs="Arial"/>
          <w:bCs/>
          <w:spacing w:val="4"/>
          <w:sz w:val="22"/>
          <w:szCs w:val="22"/>
        </w:rPr>
        <w:t>stanowiącą załącznik nr 134 do zaskarżonej decyzji – w zakresie dotyczącym działki nr 30,</w:t>
      </w:r>
    </w:p>
    <w:p w14:paraId="418CA60A" w14:textId="250AA3C9" w:rsidR="00CE65EC" w:rsidRPr="00613DF9" w:rsidRDefault="00CE65EC" w:rsidP="00CE65EC">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613DF9">
        <w:rPr>
          <w:rFonts w:ascii="Lato" w:hAnsi="Lato" w:cs="Arial"/>
          <w:bCs/>
          <w:spacing w:val="4"/>
          <w:sz w:val="22"/>
          <w:szCs w:val="22"/>
        </w:rPr>
        <w:t xml:space="preserve">legendę mapy w skali 1:1000 przedstawiającej projektowany obszar </w:t>
      </w:r>
      <w:r w:rsidR="009569CD" w:rsidRPr="00613DF9">
        <w:rPr>
          <w:rFonts w:ascii="Lato" w:hAnsi="Lato" w:cs="Arial"/>
          <w:bCs/>
          <w:spacing w:val="4"/>
          <w:sz w:val="22"/>
          <w:szCs w:val="22"/>
        </w:rPr>
        <w:t>I</w:t>
      </w:r>
      <w:r w:rsidRPr="00613DF9">
        <w:rPr>
          <w:rFonts w:ascii="Lato" w:hAnsi="Lato" w:cs="Arial"/>
          <w:bCs/>
          <w:spacing w:val="4"/>
          <w:sz w:val="22"/>
          <w:szCs w:val="22"/>
        </w:rPr>
        <w:t>nwestycji, stanowiącej załączniki nr 1-64 do zaskarżonej decyzji,</w:t>
      </w:r>
    </w:p>
    <w:p w14:paraId="6EC6CF5F" w14:textId="243A0F44" w:rsidR="00887279" w:rsidRPr="00613DF9" w:rsidRDefault="0095358E">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613DF9">
        <w:rPr>
          <w:rFonts w:ascii="Lato" w:hAnsi="Lato" w:cs="Arial"/>
          <w:bCs/>
          <w:spacing w:val="4"/>
          <w:sz w:val="22"/>
          <w:szCs w:val="22"/>
        </w:rPr>
        <w:t xml:space="preserve">arkusze </w:t>
      </w:r>
      <w:r w:rsidR="00043281" w:rsidRPr="00613DF9">
        <w:rPr>
          <w:rFonts w:ascii="Lato" w:hAnsi="Lato" w:cs="Arial"/>
          <w:bCs/>
          <w:spacing w:val="4"/>
          <w:sz w:val="22"/>
          <w:szCs w:val="22"/>
        </w:rPr>
        <w:t xml:space="preserve">nr </w:t>
      </w:r>
      <w:r w:rsidR="00292542" w:rsidRPr="00613DF9">
        <w:rPr>
          <w:rFonts w:ascii="Lato" w:hAnsi="Lato" w:cs="Arial"/>
          <w:bCs/>
          <w:spacing w:val="4"/>
          <w:sz w:val="22"/>
          <w:szCs w:val="22"/>
        </w:rPr>
        <w:t>1</w:t>
      </w:r>
      <w:r w:rsidR="00043281" w:rsidRPr="00613DF9">
        <w:rPr>
          <w:rFonts w:ascii="Lato" w:hAnsi="Lato" w:cs="Arial"/>
          <w:bCs/>
          <w:spacing w:val="4"/>
          <w:sz w:val="22"/>
          <w:szCs w:val="22"/>
        </w:rPr>
        <w:t>/64</w:t>
      </w:r>
      <w:r w:rsidR="00292542" w:rsidRPr="00613DF9">
        <w:rPr>
          <w:rFonts w:ascii="Lato" w:hAnsi="Lato" w:cs="Arial"/>
          <w:bCs/>
          <w:spacing w:val="4"/>
          <w:sz w:val="22"/>
          <w:szCs w:val="22"/>
        </w:rPr>
        <w:t>, nr 2/64, nr 3/64, nr 4/64, nr 5/64, nr 6/64</w:t>
      </w:r>
      <w:r w:rsidR="00A62A86" w:rsidRPr="00613DF9">
        <w:rPr>
          <w:rFonts w:ascii="Lato" w:hAnsi="Lato" w:cs="Arial"/>
          <w:bCs/>
          <w:spacing w:val="4"/>
          <w:sz w:val="22"/>
          <w:szCs w:val="22"/>
        </w:rPr>
        <w:t xml:space="preserve">, nr 8/64, nr 14/64, nr 15/64, nr 51/64, </w:t>
      </w:r>
      <w:r w:rsidR="00A53307" w:rsidRPr="00613DF9">
        <w:rPr>
          <w:rFonts w:ascii="Lato" w:hAnsi="Lato" w:cs="Arial"/>
          <w:bCs/>
          <w:spacing w:val="4"/>
          <w:sz w:val="22"/>
          <w:szCs w:val="22"/>
        </w:rPr>
        <w:t xml:space="preserve">nr 57/64, </w:t>
      </w:r>
      <w:r w:rsidR="00A62A86" w:rsidRPr="00613DF9">
        <w:rPr>
          <w:rFonts w:ascii="Lato" w:hAnsi="Lato" w:cs="Arial"/>
          <w:bCs/>
          <w:spacing w:val="4"/>
          <w:sz w:val="22"/>
          <w:szCs w:val="22"/>
        </w:rPr>
        <w:t>nr 59/64, nr 60/64, nr 61/64</w:t>
      </w:r>
      <w:r w:rsidR="00AF613F" w:rsidRPr="00613DF9">
        <w:rPr>
          <w:rFonts w:ascii="Lato" w:hAnsi="Lato" w:cs="Arial"/>
          <w:bCs/>
          <w:spacing w:val="4"/>
          <w:sz w:val="22"/>
          <w:szCs w:val="22"/>
        </w:rPr>
        <w:t xml:space="preserve"> mapy</w:t>
      </w:r>
      <w:r w:rsidRPr="00F40707">
        <w:rPr>
          <w:rFonts w:ascii="Lato" w:hAnsi="Lato" w:cs="Arial"/>
          <w:bCs/>
          <w:spacing w:val="4"/>
          <w:sz w:val="22"/>
          <w:szCs w:val="22"/>
        </w:rPr>
        <w:t xml:space="preserve"> </w:t>
      </w:r>
      <w:r w:rsidRPr="00613DF9">
        <w:rPr>
          <w:rFonts w:ascii="Lato" w:hAnsi="Lato" w:cs="Arial"/>
          <w:bCs/>
          <w:spacing w:val="4"/>
          <w:sz w:val="22"/>
          <w:szCs w:val="22"/>
        </w:rPr>
        <w:t xml:space="preserve">w skali 1:1000 </w:t>
      </w:r>
      <w:r w:rsidR="00AF613F" w:rsidRPr="00613DF9">
        <w:rPr>
          <w:rFonts w:ascii="Lato" w:hAnsi="Lato" w:cs="Arial"/>
          <w:bCs/>
          <w:spacing w:val="4"/>
          <w:sz w:val="22"/>
          <w:szCs w:val="22"/>
        </w:rPr>
        <w:t xml:space="preserve"> przedstawiającej projektowany obszar </w:t>
      </w:r>
      <w:r w:rsidR="00C45159" w:rsidRPr="00613DF9">
        <w:rPr>
          <w:rFonts w:ascii="Lato" w:hAnsi="Lato" w:cs="Arial"/>
          <w:bCs/>
          <w:spacing w:val="4"/>
          <w:sz w:val="22"/>
          <w:szCs w:val="22"/>
        </w:rPr>
        <w:t>I</w:t>
      </w:r>
      <w:r w:rsidR="00AF613F" w:rsidRPr="00613DF9">
        <w:rPr>
          <w:rFonts w:ascii="Lato" w:hAnsi="Lato" w:cs="Arial"/>
          <w:bCs/>
          <w:spacing w:val="4"/>
          <w:sz w:val="22"/>
          <w:szCs w:val="22"/>
        </w:rPr>
        <w:t>nwestycji</w:t>
      </w:r>
      <w:r w:rsidR="00E43969" w:rsidRPr="00613DF9">
        <w:rPr>
          <w:rFonts w:ascii="Lato" w:hAnsi="Lato" w:cs="Arial"/>
          <w:bCs/>
          <w:spacing w:val="4"/>
          <w:sz w:val="22"/>
          <w:szCs w:val="22"/>
        </w:rPr>
        <w:t>, stanowiącej załączniki nr 1-6</w:t>
      </w:r>
      <w:r w:rsidR="001105AF" w:rsidRPr="00613DF9">
        <w:rPr>
          <w:rFonts w:ascii="Lato" w:hAnsi="Lato" w:cs="Arial"/>
          <w:bCs/>
          <w:spacing w:val="4"/>
          <w:sz w:val="22"/>
          <w:szCs w:val="22"/>
        </w:rPr>
        <w:t>, nr 8, nr 14, nr 15, nr 51, nr 57, nr 59-61</w:t>
      </w:r>
      <w:r w:rsidR="00E43969" w:rsidRPr="00613DF9">
        <w:rPr>
          <w:rFonts w:ascii="Lato" w:hAnsi="Lato" w:cs="Arial"/>
          <w:bCs/>
          <w:spacing w:val="4"/>
          <w:sz w:val="22"/>
          <w:szCs w:val="22"/>
        </w:rPr>
        <w:t xml:space="preserve"> do zaskarżonej decyzji</w:t>
      </w:r>
      <w:r w:rsidR="00515CC5" w:rsidRPr="00613DF9">
        <w:rPr>
          <w:rFonts w:ascii="Lato" w:hAnsi="Lato" w:cs="Arial"/>
          <w:bCs/>
          <w:spacing w:val="4"/>
          <w:sz w:val="22"/>
          <w:szCs w:val="22"/>
        </w:rPr>
        <w:t xml:space="preserve">, </w:t>
      </w:r>
    </w:p>
    <w:p w14:paraId="213818B2" w14:textId="65D828E7" w:rsidR="00A12130" w:rsidRPr="00934A78" w:rsidRDefault="00934A78" w:rsidP="00812DD3">
      <w:pPr>
        <w:autoSpaceDE w:val="0"/>
        <w:autoSpaceDN w:val="0"/>
        <w:adjustRightInd w:val="0"/>
        <w:spacing w:after="240" w:line="240" w:lineRule="exact"/>
        <w:ind w:left="284"/>
        <w:jc w:val="both"/>
        <w:rPr>
          <w:rFonts w:ascii="Lato" w:hAnsi="Lato" w:cs="Arial"/>
          <w:b/>
          <w:bCs/>
          <w:spacing w:val="4"/>
          <w:sz w:val="22"/>
          <w:szCs w:val="22"/>
        </w:rPr>
      </w:pPr>
      <w:r w:rsidRPr="00F40707">
        <w:rPr>
          <w:rFonts w:ascii="Lato" w:hAnsi="Lato" w:cs="Arial"/>
          <w:bCs/>
          <w:spacing w:val="4"/>
          <w:sz w:val="22"/>
          <w:szCs w:val="22"/>
        </w:rPr>
        <w:lastRenderedPageBreak/>
        <w:t xml:space="preserve"> </w:t>
      </w:r>
      <w:bookmarkEnd w:id="2"/>
      <w:bookmarkEnd w:id="3"/>
      <w:r w:rsidR="00A12130" w:rsidRPr="00934A78">
        <w:rPr>
          <w:rFonts w:ascii="Lato" w:hAnsi="Lato" w:cs="Arial"/>
          <w:b/>
          <w:spacing w:val="4"/>
          <w:sz w:val="22"/>
          <w:szCs w:val="22"/>
        </w:rPr>
        <w:t xml:space="preserve">i orzekam w tym zakresie </w:t>
      </w:r>
      <w:r w:rsidR="00A12130" w:rsidRPr="00934A78">
        <w:rPr>
          <w:rFonts w:ascii="Lato" w:hAnsi="Lato" w:cs="Arial"/>
          <w:spacing w:val="4"/>
          <w:sz w:val="22"/>
          <w:szCs w:val="22"/>
        </w:rPr>
        <w:t>poprzez:</w:t>
      </w:r>
    </w:p>
    <w:p w14:paraId="5EC546BC" w14:textId="6E113D85" w:rsidR="00964AC9" w:rsidRPr="00613DF9" w:rsidRDefault="00964AC9">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613DF9">
        <w:rPr>
          <w:rFonts w:ascii="Lato" w:hAnsi="Lato" w:cs="Arial"/>
          <w:bCs/>
          <w:spacing w:val="4"/>
          <w:sz w:val="22"/>
          <w:szCs w:val="22"/>
        </w:rPr>
        <w:t>ustalenie, w rozstrzygnięciu zaskarżonej decyzji, w miejsce uchylenia</w:t>
      </w:r>
      <w:r w:rsidR="003272BD" w:rsidRPr="00F40707">
        <w:rPr>
          <w:rFonts w:ascii="Lato" w:hAnsi="Lato" w:cs="Arial"/>
          <w:bCs/>
          <w:spacing w:val="4"/>
          <w:sz w:val="22"/>
          <w:szCs w:val="22"/>
        </w:rPr>
        <w:t xml:space="preserve">, </w:t>
      </w:r>
      <w:r w:rsidRPr="00613DF9">
        <w:rPr>
          <w:rFonts w:ascii="Lato" w:hAnsi="Lato" w:cs="Arial"/>
          <w:bCs/>
          <w:spacing w:val="4"/>
          <w:sz w:val="22"/>
          <w:szCs w:val="22"/>
        </w:rPr>
        <w:t>na stronie 75, w wiersz</w:t>
      </w:r>
      <w:r w:rsidR="00227374" w:rsidRPr="00F40707">
        <w:rPr>
          <w:rFonts w:ascii="Lato" w:hAnsi="Lato" w:cs="Arial"/>
          <w:bCs/>
          <w:spacing w:val="4"/>
          <w:sz w:val="22"/>
          <w:szCs w:val="22"/>
        </w:rPr>
        <w:t>ach</w:t>
      </w:r>
      <w:r w:rsidRPr="00613DF9">
        <w:rPr>
          <w:rFonts w:ascii="Lato" w:hAnsi="Lato" w:cs="Arial"/>
          <w:bCs/>
          <w:spacing w:val="4"/>
          <w:sz w:val="22"/>
          <w:szCs w:val="22"/>
        </w:rPr>
        <w:t xml:space="preserve"> 18-21, licząc od dołu strony, nowego zapisu:</w:t>
      </w:r>
    </w:p>
    <w:p w14:paraId="501A05A9" w14:textId="2671FB7F" w:rsidR="00964AC9" w:rsidRPr="00DD40FC" w:rsidRDefault="00964AC9" w:rsidP="00964AC9">
      <w:pPr>
        <w:pStyle w:val="Akapitzlist"/>
        <w:tabs>
          <w:tab w:val="left" w:pos="284"/>
        </w:tabs>
        <w:spacing w:after="240" w:line="240" w:lineRule="exact"/>
        <w:ind w:left="714"/>
        <w:contextualSpacing w:val="0"/>
        <w:jc w:val="both"/>
        <w:rPr>
          <w:rFonts w:ascii="Lato" w:hAnsi="Lato" w:cs="Arial"/>
          <w:bCs/>
          <w:spacing w:val="4"/>
          <w:sz w:val="22"/>
          <w:szCs w:val="22"/>
        </w:rPr>
      </w:pPr>
      <w:r w:rsidRPr="00613DF9">
        <w:rPr>
          <w:rFonts w:ascii="Lato" w:hAnsi="Lato" w:cs="Arial"/>
          <w:bCs/>
          <w:spacing w:val="4"/>
          <w:sz w:val="22"/>
          <w:szCs w:val="22"/>
        </w:rPr>
        <w:t>„linie wyznaczające obszar zajęty przez grunty pod drogami publicznymi podlegając</w:t>
      </w:r>
      <w:r w:rsidR="00115386" w:rsidRPr="00613DF9">
        <w:rPr>
          <w:rFonts w:ascii="Lato" w:hAnsi="Lato" w:cs="Arial"/>
          <w:bCs/>
          <w:spacing w:val="4"/>
          <w:sz w:val="22"/>
          <w:szCs w:val="22"/>
        </w:rPr>
        <w:t>y</w:t>
      </w:r>
      <w:r w:rsidRPr="00613DF9">
        <w:rPr>
          <w:rFonts w:ascii="Lato" w:hAnsi="Lato" w:cs="Arial"/>
          <w:bCs/>
          <w:spacing w:val="4"/>
          <w:sz w:val="22"/>
          <w:szCs w:val="22"/>
        </w:rPr>
        <w:t xml:space="preserve"> zajęciu na rzecz CPK Sp. z o.o., linie wyznaczające obszar zajęty przez grunty pod wodami płynącymi podlegający zajęciu na rzecz CPK Sp. z o.o.”,</w:t>
      </w:r>
    </w:p>
    <w:p w14:paraId="3B636D50" w14:textId="7DCA0B6D" w:rsidR="00964AC9" w:rsidRPr="00613DF9" w:rsidRDefault="008E16F0">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613DF9">
        <w:rPr>
          <w:rFonts w:ascii="Lato" w:hAnsi="Lato" w:cs="Arial"/>
          <w:bCs/>
          <w:spacing w:val="4"/>
          <w:sz w:val="22"/>
          <w:szCs w:val="22"/>
        </w:rPr>
        <w:t>ustalenie, w rozstrzygnięciu zaskarżonej decyzji, w miejsce uchylenia, na stronie 76, w wiersz</w:t>
      </w:r>
      <w:r w:rsidR="008162A1" w:rsidRPr="00613DF9">
        <w:rPr>
          <w:rFonts w:ascii="Lato" w:hAnsi="Lato" w:cs="Arial"/>
          <w:bCs/>
          <w:spacing w:val="4"/>
          <w:sz w:val="22"/>
          <w:szCs w:val="22"/>
        </w:rPr>
        <w:t>ach</w:t>
      </w:r>
      <w:r w:rsidRPr="00613DF9">
        <w:rPr>
          <w:rFonts w:ascii="Lato" w:hAnsi="Lato" w:cs="Arial"/>
          <w:bCs/>
          <w:spacing w:val="4"/>
          <w:sz w:val="22"/>
          <w:szCs w:val="22"/>
        </w:rPr>
        <w:t xml:space="preserve"> 3-12, licząc od góry strony, nowego zapisu:</w:t>
      </w:r>
    </w:p>
    <w:p w14:paraId="755FFDA9" w14:textId="4B256210" w:rsidR="008E16F0" w:rsidRPr="00DD40FC" w:rsidRDefault="008E16F0" w:rsidP="008E16F0">
      <w:pPr>
        <w:pStyle w:val="Akapitzlist"/>
        <w:tabs>
          <w:tab w:val="left" w:pos="284"/>
        </w:tabs>
        <w:spacing w:after="120" w:line="240" w:lineRule="exact"/>
        <w:ind w:left="714"/>
        <w:contextualSpacing w:val="0"/>
        <w:jc w:val="both"/>
        <w:rPr>
          <w:rFonts w:ascii="Lato" w:hAnsi="Lato" w:cs="Arial"/>
          <w:bCs/>
          <w:spacing w:val="4"/>
          <w:sz w:val="22"/>
          <w:szCs w:val="22"/>
        </w:rPr>
      </w:pPr>
      <w:r w:rsidRPr="00613DF9">
        <w:rPr>
          <w:rFonts w:ascii="Lato" w:hAnsi="Lato" w:cs="Arial"/>
          <w:bCs/>
          <w:spacing w:val="4"/>
          <w:sz w:val="22"/>
          <w:szCs w:val="22"/>
        </w:rPr>
        <w:t>„3) Linią przerywaną koloru różowego oznaczono linie wyznaczające obszar zajęty przez grunty pod drogami publicznymi podlegając</w:t>
      </w:r>
      <w:r w:rsidR="003272BD" w:rsidRPr="00F40707">
        <w:rPr>
          <w:rFonts w:ascii="Lato" w:hAnsi="Lato" w:cs="Arial"/>
          <w:bCs/>
          <w:spacing w:val="4"/>
          <w:sz w:val="22"/>
          <w:szCs w:val="22"/>
        </w:rPr>
        <w:t>e</w:t>
      </w:r>
      <w:r w:rsidRPr="00613DF9">
        <w:rPr>
          <w:rFonts w:ascii="Lato" w:hAnsi="Lato" w:cs="Arial"/>
          <w:bCs/>
          <w:spacing w:val="4"/>
          <w:sz w:val="22"/>
          <w:szCs w:val="22"/>
        </w:rPr>
        <w:t xml:space="preserve"> zajęciu na rzecz CPK Sp. z o.o. – art. 81 ust. 1 specustawy (tj. ustawy z dnia 10 maja 2018 r. o Centralnym Porcie Komunikacyjnym); działki objęte linią wyznaczającą obszar zajęty przez grunty pod drogami publicznymi podlegające zajęciu na rzecz CPK Sp. z o.o. zostały wskazane w Tabeli nr 10 niniejszej decyzji,</w:t>
      </w:r>
    </w:p>
    <w:p w14:paraId="5E5265F6" w14:textId="39113542" w:rsidR="008E16F0" w:rsidRDefault="008E16F0" w:rsidP="008E16F0">
      <w:pPr>
        <w:pStyle w:val="Akapitzlist"/>
        <w:tabs>
          <w:tab w:val="left" w:pos="284"/>
        </w:tabs>
        <w:spacing w:after="240" w:line="240" w:lineRule="exact"/>
        <w:ind w:left="714"/>
        <w:contextualSpacing w:val="0"/>
        <w:jc w:val="both"/>
        <w:rPr>
          <w:rFonts w:ascii="Lato" w:hAnsi="Lato" w:cs="Arial"/>
          <w:bCs/>
          <w:spacing w:val="4"/>
          <w:sz w:val="22"/>
          <w:szCs w:val="22"/>
        </w:rPr>
      </w:pPr>
      <w:r w:rsidRPr="00613DF9">
        <w:rPr>
          <w:rFonts w:ascii="Lato" w:hAnsi="Lato" w:cs="Arial"/>
          <w:bCs/>
          <w:spacing w:val="4"/>
          <w:sz w:val="22"/>
          <w:szCs w:val="22"/>
        </w:rPr>
        <w:t>4) Linią przerywaną koloru jasnoniebieskiego oznaczono linie wyznaczające obszar zajęty przez grunty pod wodami płynącymi podlegające zajęciu na rzecz CPK Sp. z o.o. – art. 81 ust. 1 specustawy; działki objęte linią wyznaczającą obszar zajęty przez grunty pod wodami płynącymi podlegające zajęciu na rzecz CPK Sp. z o.o. zostały wskazane w Tabeli nr 9 niniejszej decyzji</w:t>
      </w:r>
      <w:r w:rsidR="00762EA2" w:rsidRPr="00F40707">
        <w:rPr>
          <w:rFonts w:ascii="Lato" w:hAnsi="Lato" w:cs="Arial"/>
          <w:bCs/>
          <w:spacing w:val="4"/>
          <w:sz w:val="22"/>
          <w:szCs w:val="22"/>
        </w:rPr>
        <w:t>,</w:t>
      </w:r>
      <w:r w:rsidRPr="00613DF9">
        <w:rPr>
          <w:rFonts w:ascii="Lato" w:hAnsi="Lato" w:cs="Arial"/>
          <w:bCs/>
          <w:spacing w:val="4"/>
          <w:sz w:val="22"/>
          <w:szCs w:val="22"/>
        </w:rPr>
        <w:t>”,</w:t>
      </w:r>
    </w:p>
    <w:p w14:paraId="61882B3C" w14:textId="7F733B6B" w:rsidR="003117AC" w:rsidRPr="00F40707" w:rsidRDefault="003117AC" w:rsidP="00F40707">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613DF9">
        <w:rPr>
          <w:rFonts w:ascii="Lato" w:hAnsi="Lato" w:cs="Arial"/>
          <w:bCs/>
          <w:spacing w:val="4"/>
          <w:sz w:val="22"/>
          <w:szCs w:val="22"/>
        </w:rPr>
        <w:t xml:space="preserve">ustalenie, </w:t>
      </w:r>
      <w:r w:rsidRPr="00F40707">
        <w:rPr>
          <w:rFonts w:ascii="Lato" w:hAnsi="Lato" w:cs="Arial"/>
          <w:bCs/>
          <w:spacing w:val="4"/>
          <w:sz w:val="22"/>
          <w:szCs w:val="22"/>
        </w:rPr>
        <w:t xml:space="preserve">w rozstrzygnięciu zaskarżonej decyzji, </w:t>
      </w:r>
      <w:r w:rsidRPr="00613DF9">
        <w:rPr>
          <w:rFonts w:ascii="Lato" w:hAnsi="Lato" w:cs="Arial"/>
          <w:bCs/>
          <w:spacing w:val="4"/>
          <w:sz w:val="22"/>
          <w:szCs w:val="22"/>
        </w:rPr>
        <w:t xml:space="preserve">w miejsce uchylenia, </w:t>
      </w:r>
      <w:r w:rsidRPr="00F40707">
        <w:rPr>
          <w:rFonts w:ascii="Lato" w:hAnsi="Lato" w:cs="Arial"/>
          <w:bCs/>
          <w:spacing w:val="4"/>
          <w:sz w:val="22"/>
          <w:szCs w:val="22"/>
        </w:rPr>
        <w:t xml:space="preserve">na stronie 95, w wierszu 13, licząc od góry strony, </w:t>
      </w:r>
      <w:r w:rsidRPr="00613DF9">
        <w:rPr>
          <w:rFonts w:ascii="Lato" w:hAnsi="Lato" w:cs="Arial"/>
          <w:bCs/>
          <w:spacing w:val="4"/>
          <w:sz w:val="22"/>
          <w:szCs w:val="22"/>
        </w:rPr>
        <w:t xml:space="preserve">nowego </w:t>
      </w:r>
      <w:r w:rsidRPr="00F40707">
        <w:rPr>
          <w:rFonts w:ascii="Lato" w:hAnsi="Lato" w:cs="Arial"/>
          <w:bCs/>
          <w:spacing w:val="4"/>
          <w:sz w:val="22"/>
          <w:szCs w:val="22"/>
        </w:rPr>
        <w:t>zapis</w:t>
      </w:r>
      <w:r w:rsidRPr="00613DF9">
        <w:rPr>
          <w:rFonts w:ascii="Lato" w:hAnsi="Lato" w:cs="Arial"/>
          <w:bCs/>
          <w:spacing w:val="4"/>
          <w:sz w:val="22"/>
          <w:szCs w:val="22"/>
        </w:rPr>
        <w:t>u</w:t>
      </w:r>
      <w:r w:rsidRPr="00F40707">
        <w:rPr>
          <w:rFonts w:ascii="Lato" w:hAnsi="Lato" w:cs="Arial"/>
          <w:bCs/>
          <w:spacing w:val="4"/>
          <w:sz w:val="22"/>
          <w:szCs w:val="22"/>
        </w:rPr>
        <w:t>:</w:t>
      </w:r>
    </w:p>
    <w:p w14:paraId="248DB391" w14:textId="62C8BF2B" w:rsidR="003117AC" w:rsidRPr="00F40707" w:rsidRDefault="003117AC" w:rsidP="00F40707">
      <w:pPr>
        <w:pStyle w:val="Akapitzlist"/>
        <w:tabs>
          <w:tab w:val="left" w:pos="284"/>
        </w:tabs>
        <w:spacing w:after="240" w:line="240" w:lineRule="exact"/>
        <w:ind w:left="714"/>
        <w:contextualSpacing w:val="0"/>
        <w:rPr>
          <w:rFonts w:ascii="Lato" w:hAnsi="Lato" w:cs="Arial"/>
          <w:bCs/>
          <w:spacing w:val="4"/>
          <w:sz w:val="22"/>
          <w:szCs w:val="22"/>
        </w:rPr>
      </w:pPr>
      <w:r w:rsidRPr="00F40707">
        <w:rPr>
          <w:rFonts w:ascii="Lato" w:hAnsi="Lato" w:cs="Arial"/>
          <w:bCs/>
          <w:spacing w:val="4"/>
          <w:sz w:val="22"/>
          <w:szCs w:val="22"/>
        </w:rPr>
        <w:t>„</w:t>
      </w:r>
      <w:r w:rsidRPr="00F40707">
        <w:rPr>
          <w:rFonts w:ascii="Lato" w:hAnsi="Lato" w:cs="Arial"/>
          <w:b/>
          <w:bCs/>
          <w:spacing w:val="4"/>
          <w:sz w:val="22"/>
          <w:szCs w:val="22"/>
        </w:rPr>
        <w:t>Tabelach Nr: 3, 6;</w:t>
      </w:r>
      <w:r w:rsidRPr="00F40707">
        <w:rPr>
          <w:rFonts w:ascii="Lato" w:hAnsi="Lato" w:cs="Arial"/>
          <w:bCs/>
          <w:spacing w:val="4"/>
          <w:sz w:val="22"/>
          <w:szCs w:val="22"/>
        </w:rPr>
        <w:t>”</w:t>
      </w:r>
    </w:p>
    <w:p w14:paraId="4F9A3C15" w14:textId="6A61B17A" w:rsidR="003475A0" w:rsidRPr="00F82399" w:rsidRDefault="003475A0">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F82399">
        <w:rPr>
          <w:rFonts w:ascii="Lato" w:hAnsi="Lato" w:cs="Arial"/>
          <w:bCs/>
          <w:spacing w:val="4"/>
          <w:sz w:val="22"/>
          <w:szCs w:val="22"/>
        </w:rPr>
        <w:t>ustalenie, w rozstrzygnięciu zaskarżonej decyzji,</w:t>
      </w:r>
      <w:r w:rsidR="003272BD" w:rsidRPr="00F40707">
        <w:rPr>
          <w:rFonts w:ascii="Lato" w:hAnsi="Lato" w:cs="Arial"/>
          <w:bCs/>
          <w:spacing w:val="4"/>
          <w:sz w:val="22"/>
          <w:szCs w:val="22"/>
        </w:rPr>
        <w:t xml:space="preserve"> w miejsce uchylenia, </w:t>
      </w:r>
      <w:r w:rsidRPr="00F82399">
        <w:rPr>
          <w:rFonts w:ascii="Lato" w:hAnsi="Lato" w:cs="Arial"/>
          <w:bCs/>
          <w:spacing w:val="4"/>
          <w:sz w:val="22"/>
          <w:szCs w:val="22"/>
        </w:rPr>
        <w:t>na stronie 95, w wierszach 27 i 28, licząc od góry strony, nowego zapisu:</w:t>
      </w:r>
    </w:p>
    <w:p w14:paraId="76052711" w14:textId="032CABE2" w:rsidR="003475A0" w:rsidRPr="00DD40FC" w:rsidRDefault="003475A0" w:rsidP="003475A0">
      <w:pPr>
        <w:pStyle w:val="Akapitzlist"/>
        <w:tabs>
          <w:tab w:val="left" w:pos="284"/>
        </w:tabs>
        <w:spacing w:after="240" w:line="240" w:lineRule="exact"/>
        <w:ind w:left="714"/>
        <w:contextualSpacing w:val="0"/>
        <w:jc w:val="both"/>
        <w:rPr>
          <w:rFonts w:ascii="Lato" w:hAnsi="Lato" w:cs="Arial"/>
          <w:bCs/>
          <w:spacing w:val="4"/>
          <w:sz w:val="22"/>
          <w:szCs w:val="22"/>
        </w:rPr>
      </w:pPr>
      <w:r w:rsidRPr="00F82399">
        <w:rPr>
          <w:rFonts w:ascii="Lato" w:hAnsi="Lato" w:cs="Arial"/>
          <w:bCs/>
          <w:spacing w:val="4"/>
          <w:sz w:val="22"/>
          <w:szCs w:val="22"/>
        </w:rPr>
        <w:t xml:space="preserve">„2. Mapy z projektem podziału nieruchomości stanowią </w:t>
      </w:r>
      <w:r w:rsidRPr="00F40707">
        <w:rPr>
          <w:rFonts w:ascii="Lato" w:hAnsi="Lato" w:cs="Arial"/>
          <w:b/>
          <w:spacing w:val="4"/>
          <w:sz w:val="22"/>
          <w:szCs w:val="22"/>
        </w:rPr>
        <w:t>załączniki nr 65-151</w:t>
      </w:r>
      <w:r w:rsidRPr="00F82399">
        <w:rPr>
          <w:rFonts w:ascii="Lato" w:hAnsi="Lato" w:cs="Arial"/>
          <w:bCs/>
          <w:spacing w:val="4"/>
          <w:sz w:val="22"/>
          <w:szCs w:val="22"/>
        </w:rPr>
        <w:t xml:space="preserve"> do niniejszej decyzji.”,</w:t>
      </w:r>
      <w:r w:rsidR="009E160C" w:rsidRPr="00DD40FC">
        <w:rPr>
          <w:rFonts w:ascii="Lato" w:hAnsi="Lato" w:cs="Arial"/>
          <w:bCs/>
          <w:spacing w:val="4"/>
          <w:sz w:val="22"/>
          <w:szCs w:val="22"/>
        </w:rPr>
        <w:t xml:space="preserve"> </w:t>
      </w:r>
    </w:p>
    <w:p w14:paraId="0018378A" w14:textId="2ED0E95D" w:rsidR="00A12130" w:rsidRPr="00F82399" w:rsidRDefault="00A12130" w:rsidP="008D3867">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F82399">
        <w:rPr>
          <w:rFonts w:ascii="Lato" w:hAnsi="Lato" w:cs="Arial"/>
          <w:bCs/>
          <w:spacing w:val="4"/>
          <w:sz w:val="22"/>
          <w:szCs w:val="22"/>
        </w:rPr>
        <w:t xml:space="preserve">ustalenie, w rozstrzygnięciu zaskarżonej decyzji, w miejsce uchylenia, w tabeli </w:t>
      </w:r>
      <w:r w:rsidRPr="00F82399">
        <w:rPr>
          <w:rFonts w:ascii="Lato" w:hAnsi="Lato" w:cs="Arial"/>
          <w:bCs/>
          <w:spacing w:val="4"/>
          <w:sz w:val="22"/>
          <w:szCs w:val="22"/>
        </w:rPr>
        <w:br/>
        <w:t>nr 1 pn.: „Wykaz działek objętych wnioskiem o wydanie decyzji o ustaleniu lokalizacji Inwestycji: województwo mazowieckie”:</w:t>
      </w:r>
    </w:p>
    <w:p w14:paraId="3C175890" w14:textId="77777777" w:rsidR="00A12130" w:rsidRPr="00F82399" w:rsidRDefault="00A12130" w:rsidP="00F40707">
      <w:pPr>
        <w:pStyle w:val="Akapitzlist"/>
        <w:numPr>
          <w:ilvl w:val="0"/>
          <w:numId w:val="2"/>
        </w:numPr>
        <w:tabs>
          <w:tab w:val="left" w:pos="284"/>
        </w:tabs>
        <w:ind w:left="993" w:hanging="284"/>
        <w:contextualSpacing w:val="0"/>
        <w:jc w:val="both"/>
        <w:rPr>
          <w:rFonts w:ascii="Lato" w:hAnsi="Lato" w:cs="Arial"/>
          <w:bCs/>
          <w:spacing w:val="4"/>
          <w:sz w:val="22"/>
          <w:szCs w:val="22"/>
        </w:rPr>
      </w:pPr>
      <w:r w:rsidRPr="00F82399">
        <w:rPr>
          <w:rFonts w:ascii="Lato" w:hAnsi="Lato" w:cs="Arial"/>
          <w:bCs/>
          <w:spacing w:val="4"/>
          <w:sz w:val="22"/>
          <w:szCs w:val="22"/>
        </w:rPr>
        <w:t>na stronie 28, nowego zapisu:</w:t>
      </w:r>
    </w:p>
    <w:p w14:paraId="66AD6554" w14:textId="77777777" w:rsidR="00A12130" w:rsidRPr="009D3DF2" w:rsidRDefault="00A12130" w:rsidP="00A12130">
      <w:pPr>
        <w:suppressAutoHyphens/>
        <w:ind w:firstLine="993"/>
        <w:jc w:val="both"/>
        <w:rPr>
          <w:rFonts w:ascii="Lato" w:hAnsi="Lato" w:cs="Arial"/>
          <w:spacing w:val="4"/>
          <w:sz w:val="22"/>
          <w:szCs w:val="22"/>
          <w:lang w:eastAsia="zh-CN"/>
        </w:rPr>
      </w:pPr>
      <w:r w:rsidRPr="009D3DF2">
        <w:rPr>
          <w:rFonts w:ascii="Lato" w:hAnsi="Lato" w:cs="Arial"/>
          <w:spacing w:val="4"/>
          <w:sz w:val="22"/>
          <w:szCs w:val="22"/>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418"/>
        <w:gridCol w:w="1134"/>
        <w:gridCol w:w="3402"/>
        <w:gridCol w:w="992"/>
      </w:tblGrid>
      <w:tr w:rsidR="008A79B9" w:rsidRPr="00F82399" w14:paraId="6AD40153" w14:textId="77777777" w:rsidTr="001F1036">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526E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82282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4B883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47B6296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0034 SHRO Kawęczyn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E684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w:t>
            </w:r>
          </w:p>
        </w:tc>
      </w:tr>
    </w:tbl>
    <w:p w14:paraId="6243C58F" w14:textId="63578304" w:rsidR="00A12130" w:rsidRPr="008A79B9" w:rsidRDefault="00A12130" w:rsidP="00F40707">
      <w:pPr>
        <w:suppressAutoHyphens/>
        <w:ind w:left="357" w:firstLine="7297"/>
        <w:jc w:val="both"/>
        <w:rPr>
          <w:rFonts w:ascii="Lato" w:hAnsi="Lato" w:cs="Arial"/>
          <w:spacing w:val="4"/>
          <w:sz w:val="22"/>
          <w:szCs w:val="22"/>
          <w:lang w:eastAsia="zh-CN"/>
        </w:rPr>
      </w:pPr>
      <w:r w:rsidRPr="008A79B9">
        <w:rPr>
          <w:rFonts w:ascii="Lato" w:hAnsi="Lato" w:cs="Arial"/>
          <w:spacing w:val="4"/>
          <w:sz w:val="22"/>
          <w:szCs w:val="22"/>
          <w:lang w:eastAsia="zh-CN"/>
        </w:rPr>
        <w:t xml:space="preserve">               </w:t>
      </w:r>
      <w:r w:rsidR="00BC156B" w:rsidRPr="008A79B9">
        <w:rPr>
          <w:rFonts w:ascii="Lato" w:hAnsi="Lato" w:cs="Arial"/>
          <w:spacing w:val="4"/>
          <w:sz w:val="22"/>
          <w:szCs w:val="22"/>
          <w:lang w:eastAsia="zh-CN"/>
        </w:rPr>
        <w:t xml:space="preserve">  </w:t>
      </w:r>
      <w:r w:rsidRPr="008A79B9">
        <w:rPr>
          <w:rFonts w:ascii="Lato" w:hAnsi="Lato" w:cs="Arial"/>
          <w:spacing w:val="4"/>
          <w:sz w:val="22"/>
          <w:szCs w:val="22"/>
          <w:lang w:eastAsia="zh-CN"/>
        </w:rPr>
        <w:t>”</w:t>
      </w:r>
    </w:p>
    <w:p w14:paraId="5CFEFB41" w14:textId="77777777" w:rsidR="00A12130" w:rsidRPr="008A79B9" w:rsidRDefault="00A12130" w:rsidP="00F40707">
      <w:pPr>
        <w:pStyle w:val="Akapitzlist"/>
        <w:numPr>
          <w:ilvl w:val="0"/>
          <w:numId w:val="2"/>
        </w:numPr>
        <w:tabs>
          <w:tab w:val="left" w:pos="284"/>
        </w:tabs>
        <w:ind w:left="993" w:hanging="284"/>
        <w:contextualSpacing w:val="0"/>
        <w:jc w:val="both"/>
        <w:rPr>
          <w:rFonts w:ascii="Lato" w:hAnsi="Lato" w:cs="Arial"/>
          <w:bCs/>
          <w:spacing w:val="4"/>
          <w:sz w:val="22"/>
          <w:szCs w:val="22"/>
        </w:rPr>
      </w:pPr>
      <w:r w:rsidRPr="008A79B9">
        <w:rPr>
          <w:rFonts w:ascii="Lato" w:hAnsi="Lato" w:cs="Arial"/>
          <w:bCs/>
          <w:spacing w:val="4"/>
          <w:sz w:val="22"/>
          <w:szCs w:val="22"/>
        </w:rPr>
        <w:t>na stronie 29, nowych zapisów:</w:t>
      </w:r>
    </w:p>
    <w:p w14:paraId="3CF9D391" w14:textId="77777777" w:rsidR="00A12130" w:rsidRPr="008A79B9" w:rsidRDefault="00A12130" w:rsidP="00A12130">
      <w:pPr>
        <w:pStyle w:val="Akapitzlist"/>
        <w:suppressAutoHyphens/>
        <w:ind w:firstLine="273"/>
        <w:jc w:val="both"/>
        <w:rPr>
          <w:rFonts w:ascii="Lato" w:hAnsi="Lato" w:cs="Arial"/>
          <w:spacing w:val="4"/>
          <w:sz w:val="22"/>
          <w:szCs w:val="22"/>
          <w:lang w:eastAsia="zh-CN"/>
        </w:rPr>
      </w:pPr>
      <w:r w:rsidRPr="008A79B9">
        <w:rPr>
          <w:rFonts w:ascii="Lato" w:hAnsi="Lato" w:cs="Arial"/>
          <w:spacing w:val="4"/>
          <w:sz w:val="22"/>
          <w:szCs w:val="22"/>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418"/>
        <w:gridCol w:w="1134"/>
        <w:gridCol w:w="3402"/>
        <w:gridCol w:w="992"/>
      </w:tblGrid>
      <w:tr w:rsidR="008A79B9" w:rsidRPr="00F82399" w14:paraId="3EEEC458" w14:textId="77777777" w:rsidTr="001F1036">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62B2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1230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2364D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DF8F5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578B38F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59B2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2/5</w:t>
            </w:r>
          </w:p>
        </w:tc>
      </w:tr>
    </w:tbl>
    <w:p w14:paraId="68EF4A3E" w14:textId="797851AD" w:rsidR="00A12130" w:rsidRPr="008A79B9" w:rsidRDefault="00A12130" w:rsidP="00F40707">
      <w:pPr>
        <w:suppressAutoHyphens/>
        <w:ind w:left="357" w:firstLine="7156"/>
        <w:jc w:val="both"/>
        <w:rPr>
          <w:rFonts w:ascii="Lato" w:hAnsi="Lato" w:cs="Arial"/>
          <w:spacing w:val="4"/>
          <w:sz w:val="22"/>
          <w:szCs w:val="22"/>
          <w:lang w:eastAsia="zh-CN"/>
        </w:rPr>
      </w:pPr>
      <w:r w:rsidRPr="008A79B9">
        <w:rPr>
          <w:rFonts w:ascii="Lato" w:hAnsi="Lato" w:cs="Arial"/>
          <w:spacing w:val="4"/>
          <w:sz w:val="22"/>
          <w:szCs w:val="22"/>
          <w:lang w:eastAsia="zh-CN"/>
        </w:rPr>
        <w:t xml:space="preserve">                 </w:t>
      </w:r>
      <w:r w:rsidR="00BC156B" w:rsidRPr="008A79B9">
        <w:rPr>
          <w:rFonts w:ascii="Lato" w:hAnsi="Lato" w:cs="Arial"/>
          <w:spacing w:val="4"/>
          <w:sz w:val="22"/>
          <w:szCs w:val="22"/>
          <w:lang w:eastAsia="zh-CN"/>
        </w:rPr>
        <w:t xml:space="preserve">  </w:t>
      </w:r>
      <w:r w:rsidRPr="008A79B9">
        <w:rPr>
          <w:rFonts w:ascii="Lato" w:hAnsi="Lato" w:cs="Arial"/>
          <w:spacing w:val="4"/>
          <w:sz w:val="22"/>
          <w:szCs w:val="22"/>
          <w:lang w:eastAsia="zh-CN"/>
        </w:rPr>
        <w:t>”</w:t>
      </w:r>
    </w:p>
    <w:p w14:paraId="3F002A67" w14:textId="77777777" w:rsidR="00A12130" w:rsidRPr="008A79B9" w:rsidRDefault="00A12130" w:rsidP="00F40707">
      <w:pPr>
        <w:pStyle w:val="Akapitzlist"/>
        <w:suppressAutoHyphens/>
        <w:ind w:firstLine="272"/>
        <w:contextualSpacing w:val="0"/>
        <w:jc w:val="both"/>
        <w:rPr>
          <w:rFonts w:ascii="Lato" w:hAnsi="Lato" w:cs="Arial"/>
          <w:spacing w:val="4"/>
          <w:sz w:val="22"/>
          <w:szCs w:val="22"/>
          <w:lang w:eastAsia="zh-CN"/>
        </w:rPr>
      </w:pPr>
      <w:r w:rsidRPr="008A79B9">
        <w:rPr>
          <w:rFonts w:ascii="Lato" w:hAnsi="Lato" w:cs="Arial"/>
          <w:spacing w:val="4"/>
          <w:sz w:val="22"/>
          <w:szCs w:val="22"/>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418"/>
        <w:gridCol w:w="1134"/>
        <w:gridCol w:w="3402"/>
        <w:gridCol w:w="992"/>
      </w:tblGrid>
      <w:tr w:rsidR="008A79B9" w:rsidRPr="008A79B9" w14:paraId="044D41A0" w14:textId="77777777" w:rsidTr="001F1036">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7914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1233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3C2A4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2FB4F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383D941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7DB1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6/23</w:t>
            </w:r>
          </w:p>
        </w:tc>
      </w:tr>
      <w:tr w:rsidR="008A79B9" w:rsidRPr="008A79B9" w14:paraId="7E352345" w14:textId="77777777" w:rsidTr="001F1036">
        <w:trPr>
          <w:trHeight w:val="380"/>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B4E0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1233a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24E01A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A2D8C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236269F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6DF6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6/24</w:t>
            </w:r>
          </w:p>
        </w:tc>
      </w:tr>
      <w:tr w:rsidR="008A79B9" w:rsidRPr="00F82399" w14:paraId="0C915D93" w14:textId="77777777" w:rsidTr="001F1036">
        <w:trPr>
          <w:trHeight w:val="45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6F86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lastRenderedPageBreak/>
              <w:t>1233b</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C3E49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24C9D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396059A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5B607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6/26</w:t>
            </w:r>
          </w:p>
        </w:tc>
      </w:tr>
    </w:tbl>
    <w:p w14:paraId="3FBF92CA" w14:textId="749713C2" w:rsidR="00A12130" w:rsidRPr="00F82399" w:rsidRDefault="00A12130" w:rsidP="00F40707">
      <w:pPr>
        <w:suppressAutoHyphens/>
        <w:ind w:left="357" w:firstLine="7156"/>
        <w:jc w:val="both"/>
        <w:rPr>
          <w:rFonts w:ascii="Lato" w:hAnsi="Lato" w:cs="Arial"/>
          <w:spacing w:val="4"/>
          <w:sz w:val="22"/>
          <w:szCs w:val="22"/>
          <w:lang w:eastAsia="zh-CN"/>
        </w:rPr>
      </w:pPr>
      <w:r w:rsidRPr="00F82399">
        <w:rPr>
          <w:rFonts w:ascii="Lato" w:hAnsi="Lato" w:cs="Arial"/>
          <w:spacing w:val="4"/>
          <w:sz w:val="22"/>
          <w:szCs w:val="22"/>
          <w:lang w:eastAsia="zh-CN"/>
        </w:rPr>
        <w:t xml:space="preserve">                 </w:t>
      </w:r>
      <w:r w:rsidR="00BC156B" w:rsidRPr="00F82399">
        <w:rPr>
          <w:rFonts w:ascii="Lato" w:hAnsi="Lato" w:cs="Arial"/>
          <w:spacing w:val="4"/>
          <w:sz w:val="22"/>
          <w:szCs w:val="22"/>
          <w:lang w:eastAsia="zh-CN"/>
        </w:rPr>
        <w:t xml:space="preserve">  </w:t>
      </w:r>
      <w:r w:rsidRPr="00F82399">
        <w:rPr>
          <w:rFonts w:ascii="Lato" w:hAnsi="Lato" w:cs="Arial"/>
          <w:spacing w:val="4"/>
          <w:sz w:val="22"/>
          <w:szCs w:val="22"/>
          <w:lang w:eastAsia="zh-CN"/>
        </w:rPr>
        <w:t>”</w:t>
      </w:r>
    </w:p>
    <w:p w14:paraId="336F26AD" w14:textId="77777777" w:rsidR="00A12130" w:rsidRPr="00F82399" w:rsidRDefault="00A12130" w:rsidP="00A12130">
      <w:pPr>
        <w:suppressAutoHyphens/>
        <w:ind w:firstLine="993"/>
        <w:jc w:val="both"/>
        <w:rPr>
          <w:rFonts w:ascii="Lato" w:hAnsi="Lato" w:cs="Arial"/>
          <w:spacing w:val="4"/>
          <w:sz w:val="22"/>
          <w:szCs w:val="22"/>
          <w:lang w:eastAsia="zh-CN"/>
        </w:rPr>
      </w:pPr>
      <w:r w:rsidRPr="00F82399">
        <w:rPr>
          <w:rFonts w:ascii="Lato" w:hAnsi="Lato" w:cs="Arial"/>
          <w:spacing w:val="4"/>
          <w:sz w:val="22"/>
          <w:szCs w:val="22"/>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559"/>
        <w:gridCol w:w="1560"/>
        <w:gridCol w:w="2835"/>
        <w:gridCol w:w="992"/>
      </w:tblGrid>
      <w:tr w:rsidR="00A12130" w:rsidRPr="00F82399" w14:paraId="047A51DD"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B85C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1238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B7EF5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565EAD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1EE4AB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42EF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9/7</w:t>
            </w:r>
          </w:p>
        </w:tc>
      </w:tr>
      <w:tr w:rsidR="008A79B9" w:rsidRPr="008A79B9" w14:paraId="21424FDC" w14:textId="77777777" w:rsidTr="009D3DF2">
        <w:trPr>
          <w:trHeight w:val="398"/>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32B4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1238a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5C0322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9503F6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69D58B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044F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9/8</w:t>
            </w:r>
          </w:p>
        </w:tc>
      </w:tr>
    </w:tbl>
    <w:p w14:paraId="07FE7149" w14:textId="4E20D0CC" w:rsidR="00A12130" w:rsidRPr="008A79B9" w:rsidRDefault="00A12130" w:rsidP="00F40707">
      <w:pPr>
        <w:suppressAutoHyphens/>
        <w:ind w:left="357" w:firstLine="7297"/>
        <w:jc w:val="both"/>
        <w:rPr>
          <w:rFonts w:ascii="Lato" w:hAnsi="Lato" w:cs="Arial"/>
          <w:spacing w:val="4"/>
          <w:sz w:val="22"/>
          <w:szCs w:val="22"/>
          <w:lang w:eastAsia="zh-CN"/>
        </w:rPr>
      </w:pPr>
      <w:r w:rsidRPr="008A79B9">
        <w:rPr>
          <w:rFonts w:ascii="Lato" w:hAnsi="Lato" w:cs="Arial"/>
          <w:spacing w:val="4"/>
          <w:sz w:val="22"/>
          <w:szCs w:val="22"/>
          <w:lang w:eastAsia="zh-CN"/>
        </w:rPr>
        <w:t xml:space="preserve">              </w:t>
      </w:r>
      <w:r w:rsidR="00BC156B" w:rsidRPr="008A79B9">
        <w:rPr>
          <w:rFonts w:ascii="Lato" w:hAnsi="Lato" w:cs="Arial"/>
          <w:spacing w:val="4"/>
          <w:sz w:val="22"/>
          <w:szCs w:val="22"/>
          <w:lang w:eastAsia="zh-CN"/>
        </w:rPr>
        <w:t xml:space="preserve">  </w:t>
      </w:r>
      <w:r w:rsidRPr="008A79B9">
        <w:rPr>
          <w:rFonts w:ascii="Lato" w:hAnsi="Lato" w:cs="Arial"/>
          <w:spacing w:val="4"/>
          <w:sz w:val="22"/>
          <w:szCs w:val="22"/>
          <w:lang w:eastAsia="zh-CN"/>
        </w:rPr>
        <w:t xml:space="preserve"> ”</w:t>
      </w:r>
    </w:p>
    <w:p w14:paraId="474CA023" w14:textId="77777777" w:rsidR="00A12130" w:rsidRPr="008A79B9" w:rsidRDefault="00A12130" w:rsidP="00A12130">
      <w:pPr>
        <w:suppressAutoHyphens/>
        <w:ind w:firstLine="993"/>
        <w:jc w:val="both"/>
        <w:rPr>
          <w:rFonts w:ascii="Lato" w:hAnsi="Lato" w:cs="Arial"/>
          <w:spacing w:val="4"/>
          <w:sz w:val="22"/>
          <w:szCs w:val="22"/>
          <w:lang w:eastAsia="zh-CN"/>
        </w:rPr>
      </w:pPr>
      <w:r w:rsidRPr="008A79B9">
        <w:rPr>
          <w:rFonts w:ascii="Lato" w:hAnsi="Lato" w:cs="Arial"/>
          <w:spacing w:val="4"/>
          <w:sz w:val="22"/>
          <w:szCs w:val="22"/>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843"/>
        <w:gridCol w:w="1276"/>
        <w:gridCol w:w="2835"/>
        <w:gridCol w:w="992"/>
      </w:tblGrid>
      <w:tr w:rsidR="008A79B9" w:rsidRPr="00F82399" w14:paraId="6D5D9E65" w14:textId="77777777" w:rsidTr="009D3DF2">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8356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1242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D15B6B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0E6AF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652A1DD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8472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10/8</w:t>
            </w:r>
          </w:p>
        </w:tc>
      </w:tr>
    </w:tbl>
    <w:p w14:paraId="3B9267A0" w14:textId="20AE8364" w:rsidR="00A12130" w:rsidRPr="00F82399" w:rsidRDefault="00A12130" w:rsidP="00F40707">
      <w:pPr>
        <w:suppressAutoHyphens/>
        <w:ind w:left="357" w:firstLine="7297"/>
        <w:jc w:val="both"/>
        <w:rPr>
          <w:rFonts w:ascii="Lato" w:hAnsi="Lato" w:cs="Arial"/>
          <w:spacing w:val="4"/>
          <w:sz w:val="22"/>
          <w:szCs w:val="22"/>
          <w:lang w:eastAsia="zh-CN"/>
        </w:rPr>
      </w:pPr>
      <w:r w:rsidRPr="00F82399">
        <w:rPr>
          <w:rFonts w:ascii="Lato" w:hAnsi="Lato" w:cs="Arial"/>
          <w:spacing w:val="4"/>
          <w:sz w:val="22"/>
          <w:szCs w:val="22"/>
          <w:lang w:eastAsia="zh-CN"/>
        </w:rPr>
        <w:t xml:space="preserve">             </w:t>
      </w:r>
      <w:r w:rsidR="00BC156B" w:rsidRPr="00F82399">
        <w:rPr>
          <w:rFonts w:ascii="Lato" w:hAnsi="Lato" w:cs="Arial"/>
          <w:spacing w:val="4"/>
          <w:sz w:val="22"/>
          <w:szCs w:val="22"/>
          <w:lang w:eastAsia="zh-CN"/>
        </w:rPr>
        <w:t xml:space="preserve">  </w:t>
      </w:r>
      <w:r w:rsidRPr="00F82399">
        <w:rPr>
          <w:rFonts w:ascii="Lato" w:hAnsi="Lato" w:cs="Arial"/>
          <w:spacing w:val="4"/>
          <w:sz w:val="22"/>
          <w:szCs w:val="22"/>
          <w:lang w:eastAsia="zh-CN"/>
        </w:rPr>
        <w:t xml:space="preserve">  ”</w:t>
      </w:r>
    </w:p>
    <w:p w14:paraId="7A9E445B" w14:textId="77777777" w:rsidR="00A12130" w:rsidRPr="00F82399" w:rsidRDefault="00A12130" w:rsidP="00A12130">
      <w:pPr>
        <w:suppressAutoHyphens/>
        <w:ind w:firstLine="993"/>
        <w:jc w:val="both"/>
        <w:rPr>
          <w:rFonts w:ascii="Lato" w:hAnsi="Lato" w:cs="Arial"/>
          <w:spacing w:val="4"/>
          <w:sz w:val="22"/>
          <w:szCs w:val="22"/>
          <w:lang w:eastAsia="zh-CN"/>
        </w:rPr>
      </w:pPr>
      <w:r w:rsidRPr="00F82399">
        <w:rPr>
          <w:rFonts w:ascii="Lato" w:hAnsi="Lato" w:cs="Arial"/>
          <w:spacing w:val="4"/>
          <w:sz w:val="22"/>
          <w:szCs w:val="22"/>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843"/>
        <w:gridCol w:w="1276"/>
        <w:gridCol w:w="2835"/>
        <w:gridCol w:w="992"/>
      </w:tblGrid>
      <w:tr w:rsidR="008A79B9" w:rsidRPr="00F82399" w14:paraId="6DDA9839" w14:textId="77777777" w:rsidTr="009D3DF2">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1521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1245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1A7201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86BCC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3047DB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7155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13/7</w:t>
            </w:r>
          </w:p>
        </w:tc>
      </w:tr>
    </w:tbl>
    <w:p w14:paraId="760EB904" w14:textId="0C138177" w:rsidR="00A12130" w:rsidRPr="00F82399" w:rsidRDefault="00A12130" w:rsidP="00F40707">
      <w:pPr>
        <w:suppressAutoHyphens/>
        <w:ind w:left="357" w:firstLine="7297"/>
        <w:jc w:val="both"/>
        <w:rPr>
          <w:rFonts w:ascii="Lato" w:hAnsi="Lato" w:cs="Arial"/>
          <w:spacing w:val="4"/>
          <w:sz w:val="22"/>
          <w:szCs w:val="22"/>
          <w:lang w:eastAsia="zh-CN"/>
        </w:rPr>
      </w:pPr>
      <w:r w:rsidRPr="00F82399">
        <w:rPr>
          <w:rFonts w:ascii="Lato" w:hAnsi="Lato" w:cs="Arial"/>
          <w:spacing w:val="4"/>
          <w:sz w:val="22"/>
          <w:szCs w:val="22"/>
          <w:lang w:eastAsia="zh-CN"/>
        </w:rPr>
        <w:t xml:space="preserve">              </w:t>
      </w:r>
      <w:r w:rsidR="00BC156B" w:rsidRPr="00F82399">
        <w:rPr>
          <w:rFonts w:ascii="Lato" w:hAnsi="Lato" w:cs="Arial"/>
          <w:spacing w:val="4"/>
          <w:sz w:val="22"/>
          <w:szCs w:val="22"/>
          <w:lang w:eastAsia="zh-CN"/>
        </w:rPr>
        <w:t xml:space="preserve">  </w:t>
      </w:r>
      <w:r w:rsidRPr="00F82399">
        <w:rPr>
          <w:rFonts w:ascii="Lato" w:hAnsi="Lato" w:cs="Arial"/>
          <w:spacing w:val="4"/>
          <w:sz w:val="22"/>
          <w:szCs w:val="22"/>
          <w:lang w:eastAsia="zh-CN"/>
        </w:rPr>
        <w:t xml:space="preserve"> ”</w:t>
      </w:r>
    </w:p>
    <w:p w14:paraId="2DDCC777" w14:textId="77777777" w:rsidR="00A12130" w:rsidRPr="00F82399" w:rsidRDefault="00A12130" w:rsidP="00A12130">
      <w:pPr>
        <w:suppressAutoHyphens/>
        <w:ind w:firstLine="993"/>
        <w:jc w:val="both"/>
        <w:rPr>
          <w:rFonts w:ascii="Lato" w:hAnsi="Lato" w:cs="Arial"/>
          <w:spacing w:val="4"/>
          <w:sz w:val="22"/>
          <w:szCs w:val="22"/>
          <w:lang w:eastAsia="zh-CN"/>
        </w:rPr>
      </w:pPr>
      <w:r w:rsidRPr="00F82399">
        <w:rPr>
          <w:rFonts w:ascii="Lato" w:hAnsi="Lato" w:cs="Arial"/>
          <w:spacing w:val="4"/>
          <w:sz w:val="22"/>
          <w:szCs w:val="22"/>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843"/>
        <w:gridCol w:w="1276"/>
        <w:gridCol w:w="2835"/>
        <w:gridCol w:w="992"/>
      </w:tblGrid>
      <w:tr w:rsidR="008A79B9" w:rsidRPr="00F82399" w14:paraId="5A78549F" w14:textId="77777777" w:rsidTr="009D3DF2">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CE13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1248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9B8012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10DB4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8BA2AB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546C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111/9</w:t>
            </w:r>
          </w:p>
        </w:tc>
      </w:tr>
      <w:tr w:rsidR="008A79B9" w:rsidRPr="00F82399" w14:paraId="6F8E4B36" w14:textId="77777777" w:rsidTr="009D3DF2">
        <w:trPr>
          <w:trHeight w:val="451"/>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3310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1249</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38BB3A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177E1A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7F19020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0E85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111/11</w:t>
            </w:r>
          </w:p>
        </w:tc>
      </w:tr>
      <w:tr w:rsidR="008A79B9" w:rsidRPr="008A79B9" w14:paraId="27A14225" w14:textId="77777777" w:rsidTr="009D3DF2">
        <w:trPr>
          <w:trHeight w:val="451"/>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84F5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1249a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B3814F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89449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A18135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9DD7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111/13</w:t>
            </w:r>
          </w:p>
        </w:tc>
      </w:tr>
    </w:tbl>
    <w:p w14:paraId="70735649" w14:textId="77777777" w:rsidR="00A12130" w:rsidRPr="008A79B9" w:rsidRDefault="00A12130" w:rsidP="00F40707">
      <w:pPr>
        <w:suppressAutoHyphens/>
        <w:ind w:left="357" w:firstLine="7439"/>
        <w:jc w:val="both"/>
        <w:rPr>
          <w:rFonts w:ascii="Lato" w:hAnsi="Lato" w:cs="Arial"/>
          <w:spacing w:val="4"/>
          <w:sz w:val="22"/>
          <w:szCs w:val="22"/>
          <w:lang w:eastAsia="zh-CN"/>
        </w:rPr>
      </w:pPr>
      <w:r w:rsidRPr="008A79B9">
        <w:rPr>
          <w:rFonts w:ascii="Lato" w:hAnsi="Lato" w:cs="Arial"/>
          <w:spacing w:val="4"/>
          <w:sz w:val="22"/>
          <w:szCs w:val="22"/>
          <w:lang w:eastAsia="zh-CN"/>
        </w:rPr>
        <w:t xml:space="preserve">               ”</w:t>
      </w:r>
    </w:p>
    <w:p w14:paraId="13C22E5A" w14:textId="77777777" w:rsidR="00A12130" w:rsidRPr="008A79B9" w:rsidRDefault="00A12130" w:rsidP="00F40707">
      <w:pPr>
        <w:pStyle w:val="Akapitzlist"/>
        <w:numPr>
          <w:ilvl w:val="0"/>
          <w:numId w:val="2"/>
        </w:numPr>
        <w:tabs>
          <w:tab w:val="left" w:pos="284"/>
        </w:tabs>
        <w:ind w:left="993" w:hanging="284"/>
        <w:contextualSpacing w:val="0"/>
        <w:jc w:val="both"/>
        <w:rPr>
          <w:rFonts w:ascii="Lato" w:hAnsi="Lato" w:cs="Arial"/>
          <w:bCs/>
          <w:spacing w:val="4"/>
          <w:sz w:val="22"/>
          <w:szCs w:val="22"/>
        </w:rPr>
      </w:pPr>
      <w:r w:rsidRPr="008A79B9">
        <w:rPr>
          <w:rFonts w:ascii="Lato" w:hAnsi="Lato" w:cs="Arial"/>
          <w:bCs/>
          <w:spacing w:val="4"/>
          <w:sz w:val="22"/>
          <w:szCs w:val="22"/>
        </w:rPr>
        <w:t>na stronie 31, nowego zapisu:</w:t>
      </w:r>
    </w:p>
    <w:p w14:paraId="1B78E1AE" w14:textId="77777777" w:rsidR="00A12130" w:rsidRPr="008A79B9" w:rsidRDefault="00A12130" w:rsidP="00A12130">
      <w:pPr>
        <w:suppressAutoHyphens/>
        <w:jc w:val="both"/>
        <w:rPr>
          <w:rFonts w:ascii="Lato" w:hAnsi="Lato" w:cs="Arial"/>
          <w:spacing w:val="4"/>
          <w:sz w:val="22"/>
          <w:szCs w:val="22"/>
          <w:lang w:eastAsia="zh-CN"/>
        </w:rPr>
      </w:pPr>
      <w:r w:rsidRPr="008A79B9">
        <w:rPr>
          <w:rFonts w:ascii="Lato" w:hAnsi="Lato" w:cs="Arial"/>
          <w:spacing w:val="4"/>
          <w:sz w:val="22"/>
          <w:szCs w:val="22"/>
          <w:lang w:eastAsia="zh-CN"/>
        </w:rPr>
        <w:t xml:space="preserve">                „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843"/>
        <w:gridCol w:w="1843"/>
        <w:gridCol w:w="2268"/>
        <w:gridCol w:w="992"/>
      </w:tblGrid>
      <w:tr w:rsidR="008A79B9" w:rsidRPr="008A79B9" w14:paraId="61A43946" w14:textId="77777777" w:rsidTr="00432BA3">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767F6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1331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802EFF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3BD4E4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071727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1AD5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75/3</w:t>
            </w:r>
          </w:p>
        </w:tc>
      </w:tr>
      <w:tr w:rsidR="008A79B9" w:rsidRPr="008A79B9" w14:paraId="7D7DE0E7" w14:textId="77777777" w:rsidTr="00432BA3">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61BA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1336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ACECA3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A30EBB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1CF7A6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6F69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80/3</w:t>
            </w:r>
          </w:p>
        </w:tc>
      </w:tr>
    </w:tbl>
    <w:p w14:paraId="612A0204" w14:textId="0F4C0D6A" w:rsidR="00A12130" w:rsidRPr="00DD40FC" w:rsidRDefault="00A12130" w:rsidP="00F40707">
      <w:pPr>
        <w:pStyle w:val="Akapitzlist"/>
        <w:suppressAutoHyphens/>
        <w:ind w:firstLine="7076"/>
        <w:contextualSpacing w:val="0"/>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r w:rsidR="00BC156B" w:rsidRPr="00DD40FC">
        <w:rPr>
          <w:rFonts w:ascii="Lato" w:hAnsi="Lato" w:cs="Arial"/>
          <w:spacing w:val="4"/>
          <w:sz w:val="22"/>
          <w:szCs w:val="22"/>
          <w:lang w:eastAsia="zh-CN"/>
        </w:rPr>
        <w:t xml:space="preserve">  </w:t>
      </w:r>
      <w:r w:rsidRPr="00DD40FC">
        <w:rPr>
          <w:rFonts w:ascii="Lato" w:hAnsi="Lato" w:cs="Arial"/>
          <w:spacing w:val="4"/>
          <w:sz w:val="22"/>
          <w:szCs w:val="22"/>
          <w:lang w:eastAsia="zh-CN"/>
        </w:rPr>
        <w:t xml:space="preserve"> ”</w:t>
      </w:r>
    </w:p>
    <w:p w14:paraId="239C3649" w14:textId="77777777" w:rsidR="00A12130" w:rsidRPr="00F82399" w:rsidRDefault="00A12130" w:rsidP="00F40707">
      <w:pPr>
        <w:pStyle w:val="Akapitzlist"/>
        <w:numPr>
          <w:ilvl w:val="0"/>
          <w:numId w:val="2"/>
        </w:numPr>
        <w:tabs>
          <w:tab w:val="left" w:pos="284"/>
        </w:tabs>
        <w:ind w:left="993" w:hanging="284"/>
        <w:contextualSpacing w:val="0"/>
        <w:jc w:val="both"/>
        <w:rPr>
          <w:rFonts w:ascii="Lato" w:hAnsi="Lato" w:cs="Arial"/>
          <w:bCs/>
          <w:spacing w:val="4"/>
          <w:sz w:val="22"/>
          <w:szCs w:val="22"/>
        </w:rPr>
      </w:pPr>
      <w:r w:rsidRPr="00F82399">
        <w:rPr>
          <w:rFonts w:ascii="Lato" w:hAnsi="Lato" w:cs="Arial"/>
          <w:bCs/>
          <w:spacing w:val="4"/>
          <w:sz w:val="22"/>
          <w:szCs w:val="22"/>
        </w:rPr>
        <w:t>na stronie 38, nowego zapisu:</w:t>
      </w:r>
    </w:p>
    <w:p w14:paraId="3ADB5866" w14:textId="77777777" w:rsidR="00A12130" w:rsidRPr="00F82399" w:rsidRDefault="00A12130" w:rsidP="00A12130">
      <w:pPr>
        <w:suppressAutoHyphens/>
        <w:jc w:val="both"/>
        <w:rPr>
          <w:rFonts w:ascii="Lato" w:hAnsi="Lato" w:cs="Arial"/>
          <w:spacing w:val="4"/>
          <w:sz w:val="22"/>
          <w:szCs w:val="22"/>
          <w:lang w:eastAsia="zh-CN"/>
        </w:rPr>
      </w:pPr>
      <w:r w:rsidRPr="00F82399">
        <w:rPr>
          <w:rFonts w:ascii="Lato" w:hAnsi="Lato" w:cs="Arial"/>
          <w:spacing w:val="4"/>
          <w:sz w:val="22"/>
          <w:szCs w:val="22"/>
          <w:lang w:eastAsia="zh-CN"/>
        </w:rPr>
        <w:t xml:space="preserve">                „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843"/>
        <w:gridCol w:w="1843"/>
        <w:gridCol w:w="2268"/>
        <w:gridCol w:w="992"/>
      </w:tblGrid>
      <w:tr w:rsidR="00A12130" w:rsidRPr="00DD40FC" w14:paraId="3DDC6218" w14:textId="77777777" w:rsidTr="00432BA3">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B1EA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1673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0334E6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B536A3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A1E544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4570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25/2</w:t>
            </w:r>
          </w:p>
        </w:tc>
      </w:tr>
    </w:tbl>
    <w:p w14:paraId="4AABFA6D" w14:textId="4247A7E7" w:rsidR="00A12130" w:rsidRPr="00DD40FC" w:rsidRDefault="00A12130" w:rsidP="00A12130">
      <w:pPr>
        <w:pStyle w:val="Akapitzlist"/>
        <w:suppressAutoHyphens/>
        <w:spacing w:after="240" w:line="240" w:lineRule="exact"/>
        <w:ind w:firstLine="7076"/>
        <w:contextualSpacing w:val="0"/>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r w:rsidR="00BC156B" w:rsidRPr="00DD40FC">
        <w:rPr>
          <w:rFonts w:ascii="Lato" w:hAnsi="Lato" w:cs="Arial"/>
          <w:spacing w:val="4"/>
          <w:sz w:val="22"/>
          <w:szCs w:val="22"/>
          <w:lang w:eastAsia="zh-CN"/>
        </w:rPr>
        <w:t xml:space="preserve">  </w:t>
      </w:r>
      <w:r w:rsidRPr="00DD40FC">
        <w:rPr>
          <w:rFonts w:ascii="Lato" w:hAnsi="Lato" w:cs="Arial"/>
          <w:spacing w:val="4"/>
          <w:sz w:val="22"/>
          <w:szCs w:val="22"/>
          <w:lang w:eastAsia="zh-CN"/>
        </w:rPr>
        <w:t xml:space="preserve">  ”</w:t>
      </w:r>
    </w:p>
    <w:p w14:paraId="42B2FAEB" w14:textId="386E4644" w:rsidR="00A12130" w:rsidRPr="00F82399" w:rsidRDefault="00A12130">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F82399">
        <w:rPr>
          <w:rFonts w:ascii="Lato" w:hAnsi="Lato" w:cs="Arial"/>
          <w:bCs/>
          <w:spacing w:val="4"/>
          <w:sz w:val="22"/>
          <w:szCs w:val="22"/>
        </w:rPr>
        <w:t>ustalenie, w rozstrzygnięciu zaskarżonej decyzji, w tabeli nr 2 pn.: „Wykaz działek będących własnością CPK Sp. z o.o. objętych w całości linią rozgraniczającą teren Inwestycji”:</w:t>
      </w:r>
    </w:p>
    <w:p w14:paraId="6750E29C" w14:textId="6419D38A" w:rsidR="00A12130" w:rsidRPr="00F82399" w:rsidRDefault="00391C88" w:rsidP="00F40707">
      <w:pPr>
        <w:pStyle w:val="Akapitzlist"/>
        <w:numPr>
          <w:ilvl w:val="0"/>
          <w:numId w:val="2"/>
        </w:numPr>
        <w:tabs>
          <w:tab w:val="left" w:pos="284"/>
        </w:tabs>
        <w:ind w:left="993" w:hanging="284"/>
        <w:contextualSpacing w:val="0"/>
        <w:jc w:val="both"/>
        <w:rPr>
          <w:rFonts w:ascii="Lato" w:hAnsi="Lato" w:cs="Arial"/>
          <w:bCs/>
          <w:spacing w:val="4"/>
          <w:sz w:val="22"/>
          <w:szCs w:val="22"/>
        </w:rPr>
      </w:pPr>
      <w:r w:rsidRPr="00F40707">
        <w:rPr>
          <w:rFonts w:ascii="Lato" w:hAnsi="Lato" w:cs="Arial"/>
          <w:bCs/>
          <w:spacing w:val="4"/>
          <w:sz w:val="22"/>
          <w:szCs w:val="22"/>
        </w:rPr>
        <w:t xml:space="preserve">w miejsce uchylenia, </w:t>
      </w:r>
      <w:r w:rsidR="00A12130" w:rsidRPr="00F82399">
        <w:rPr>
          <w:rFonts w:ascii="Lato" w:hAnsi="Lato" w:cs="Arial"/>
          <w:bCs/>
          <w:spacing w:val="4"/>
          <w:sz w:val="22"/>
          <w:szCs w:val="22"/>
        </w:rPr>
        <w:t>na stronie 53, nowego zapisu:</w:t>
      </w:r>
    </w:p>
    <w:p w14:paraId="25126153" w14:textId="77777777" w:rsidR="00A12130" w:rsidRPr="00DD40FC" w:rsidRDefault="00A12130" w:rsidP="00A12130">
      <w:pPr>
        <w:suppressAutoHyphens/>
        <w:ind w:firstLine="993"/>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843"/>
        <w:gridCol w:w="1843"/>
        <w:gridCol w:w="2268"/>
        <w:gridCol w:w="992"/>
      </w:tblGrid>
      <w:tr w:rsidR="00A12130" w:rsidRPr="00F82399" w14:paraId="32331374" w14:textId="77777777" w:rsidTr="00432BA3">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C812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F635A0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181CCD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B9BDEB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D174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w:t>
            </w:r>
          </w:p>
        </w:tc>
      </w:tr>
    </w:tbl>
    <w:p w14:paraId="6C7E0B00" w14:textId="77777777" w:rsidR="00A12130" w:rsidRPr="00DD40FC" w:rsidRDefault="00A12130" w:rsidP="00F40707">
      <w:pPr>
        <w:suppressAutoHyphens/>
        <w:ind w:left="357" w:firstLine="7439"/>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p>
    <w:p w14:paraId="4C79D8E5" w14:textId="21511895" w:rsidR="00A12130" w:rsidRPr="00DD40FC" w:rsidRDefault="00A12130" w:rsidP="00651A33">
      <w:pPr>
        <w:pStyle w:val="Akapitzlist"/>
        <w:numPr>
          <w:ilvl w:val="0"/>
          <w:numId w:val="2"/>
        </w:numPr>
        <w:tabs>
          <w:tab w:val="left" w:pos="284"/>
        </w:tabs>
        <w:spacing w:after="120" w:line="240" w:lineRule="exact"/>
        <w:ind w:left="993" w:hanging="284"/>
        <w:contextualSpacing w:val="0"/>
        <w:jc w:val="both"/>
        <w:rPr>
          <w:rFonts w:ascii="Lato" w:hAnsi="Lato" w:cs="Arial"/>
          <w:bCs/>
          <w:spacing w:val="4"/>
          <w:sz w:val="22"/>
          <w:szCs w:val="22"/>
        </w:rPr>
      </w:pPr>
      <w:r w:rsidRPr="00DD40FC">
        <w:rPr>
          <w:rFonts w:ascii="Lato" w:hAnsi="Lato" w:cs="Arial"/>
          <w:bCs/>
          <w:spacing w:val="4"/>
          <w:sz w:val="22"/>
          <w:szCs w:val="22"/>
        </w:rPr>
        <w:t xml:space="preserve">po zapisie znajdującym się w pozycji 971 na stronie 75, zapisów stanowiących treść nowych pozycji nr </w:t>
      </w:r>
      <w:r w:rsidRPr="00776183">
        <w:rPr>
          <w:rFonts w:ascii="Lato" w:hAnsi="Lato" w:cs="Arial"/>
          <w:bCs/>
          <w:spacing w:val="4"/>
          <w:sz w:val="22"/>
          <w:szCs w:val="22"/>
        </w:rPr>
        <w:t>972-12</w:t>
      </w:r>
      <w:r w:rsidR="00283ED0" w:rsidRPr="00776183">
        <w:rPr>
          <w:rFonts w:ascii="Lato" w:hAnsi="Lato" w:cs="Arial"/>
          <w:bCs/>
          <w:spacing w:val="4"/>
          <w:sz w:val="22"/>
          <w:szCs w:val="22"/>
        </w:rPr>
        <w:t>2</w:t>
      </w:r>
      <w:r w:rsidR="00DD556D" w:rsidRPr="00776183">
        <w:rPr>
          <w:rFonts w:ascii="Lato" w:hAnsi="Lato" w:cs="Arial"/>
          <w:bCs/>
          <w:spacing w:val="4"/>
          <w:sz w:val="22"/>
          <w:szCs w:val="22"/>
        </w:rPr>
        <w:t>4</w:t>
      </w:r>
      <w:r w:rsidRPr="00776183">
        <w:rPr>
          <w:rFonts w:ascii="Lato" w:hAnsi="Lato" w:cs="Arial"/>
          <w:bCs/>
          <w:spacing w:val="4"/>
          <w:sz w:val="22"/>
          <w:szCs w:val="22"/>
        </w:rPr>
        <w:t xml:space="preserve"> </w:t>
      </w:r>
      <w:r w:rsidRPr="00DD40FC">
        <w:rPr>
          <w:rFonts w:ascii="Lato" w:hAnsi="Lato" w:cs="Arial"/>
          <w:bCs/>
          <w:spacing w:val="4"/>
          <w:sz w:val="22"/>
          <w:szCs w:val="22"/>
        </w:rPr>
        <w:t>tabeli:</w:t>
      </w:r>
    </w:p>
    <w:p w14:paraId="7982A07B" w14:textId="77777777" w:rsidR="00A12130" w:rsidRPr="00DD40FC" w:rsidRDefault="00A12130" w:rsidP="00A12130">
      <w:pPr>
        <w:suppressAutoHyphens/>
        <w:ind w:firstLine="993"/>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0"/>
        <w:gridCol w:w="1559"/>
        <w:gridCol w:w="1701"/>
        <w:gridCol w:w="2694"/>
        <w:gridCol w:w="992"/>
      </w:tblGrid>
      <w:tr w:rsidR="00A12130" w:rsidRPr="00DD40FC" w14:paraId="6871EEC6"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537FF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972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6165D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8E03D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73705A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1E09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52</w:t>
            </w:r>
          </w:p>
        </w:tc>
      </w:tr>
      <w:tr w:rsidR="00A12130" w:rsidRPr="00DD40FC" w14:paraId="2267E71E"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20DA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973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33875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DB877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3E9CED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1787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53</w:t>
            </w:r>
          </w:p>
        </w:tc>
      </w:tr>
      <w:tr w:rsidR="00A12130" w:rsidRPr="00DD40FC" w14:paraId="2B24E2ED"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A3AF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974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552A7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4AE01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D828E9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438D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54</w:t>
            </w:r>
          </w:p>
        </w:tc>
      </w:tr>
      <w:tr w:rsidR="00A12130" w:rsidRPr="00DD40FC" w14:paraId="4B386A8C"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263A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5506E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F6CFF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6942C5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5CCA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55</w:t>
            </w:r>
          </w:p>
        </w:tc>
      </w:tr>
      <w:tr w:rsidR="00A12130" w:rsidRPr="00DD40FC" w14:paraId="073403EF"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5C54D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976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72F05E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036F2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8CBF00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413B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67</w:t>
            </w:r>
          </w:p>
        </w:tc>
      </w:tr>
      <w:tr w:rsidR="00A12130" w:rsidRPr="00DD40FC" w14:paraId="2A005A1B"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795C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977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88F43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0DB96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78F3D2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AB22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68</w:t>
            </w:r>
          </w:p>
        </w:tc>
      </w:tr>
      <w:tr w:rsidR="00A12130" w:rsidRPr="00DD40FC" w14:paraId="68C110CC"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D878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lastRenderedPageBreak/>
              <w:t>978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29588C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AD3DB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A25864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C06E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69/1</w:t>
            </w:r>
          </w:p>
        </w:tc>
      </w:tr>
      <w:tr w:rsidR="00A12130" w:rsidRPr="00DD40FC" w14:paraId="260FA522"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E563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2F9D8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C354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055368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94F9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69/2</w:t>
            </w:r>
          </w:p>
        </w:tc>
      </w:tr>
      <w:tr w:rsidR="00A12130" w:rsidRPr="00DD40FC" w14:paraId="2D2074B5"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EC93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980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B92D5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0D934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2D83D3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093B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70</w:t>
            </w:r>
          </w:p>
        </w:tc>
      </w:tr>
      <w:tr w:rsidR="00A12130" w:rsidRPr="00DD40FC" w14:paraId="1308F044"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9FC5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981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2C1DB4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0759C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F0B758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917F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71</w:t>
            </w:r>
          </w:p>
        </w:tc>
      </w:tr>
      <w:tr w:rsidR="00A12130" w:rsidRPr="00DD40FC" w14:paraId="3A9B234A"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6278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982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56990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3912C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F9264E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5376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72</w:t>
            </w:r>
          </w:p>
        </w:tc>
      </w:tr>
      <w:tr w:rsidR="00A12130" w:rsidRPr="00DD40FC" w14:paraId="125E5EF0"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5A28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983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59DEC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C547B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65E4C1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A092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73</w:t>
            </w:r>
          </w:p>
        </w:tc>
      </w:tr>
      <w:tr w:rsidR="00A12130" w:rsidRPr="00DD40FC" w14:paraId="036F4791"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CC60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984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F5ADC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1927E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81BA23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A78F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188</w:t>
            </w:r>
          </w:p>
        </w:tc>
      </w:tr>
      <w:tr w:rsidR="00A12130" w:rsidRPr="00DD40FC" w14:paraId="4A5144AB"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9431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985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30ADA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823AF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C1C7C5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A8C9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189/1</w:t>
            </w:r>
          </w:p>
        </w:tc>
      </w:tr>
      <w:tr w:rsidR="00A12130" w:rsidRPr="00DD40FC" w14:paraId="10060A30"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4219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986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49BD6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F3011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97C9FF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0FEA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189/2</w:t>
            </w:r>
          </w:p>
        </w:tc>
      </w:tr>
      <w:tr w:rsidR="00A12130" w:rsidRPr="00DD40FC" w14:paraId="6102F376"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18BD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987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61F482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1F896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9E65B8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3201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192</w:t>
            </w:r>
          </w:p>
        </w:tc>
      </w:tr>
      <w:tr w:rsidR="00A12130" w:rsidRPr="00DD40FC" w14:paraId="35DB881D"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2DF4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988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7D098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E34C3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2F0DC4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0B13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193</w:t>
            </w:r>
          </w:p>
        </w:tc>
      </w:tr>
      <w:tr w:rsidR="00A12130" w:rsidRPr="00DD40FC" w14:paraId="6D3E8F50"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1813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989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C6520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44A6F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9C6FB5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54B1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211</w:t>
            </w:r>
          </w:p>
        </w:tc>
      </w:tr>
      <w:tr w:rsidR="00A12130" w:rsidRPr="00DD40FC" w14:paraId="59E6C5AD"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CE7E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990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2840E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4FF26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B12601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DE92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214</w:t>
            </w:r>
          </w:p>
        </w:tc>
      </w:tr>
      <w:tr w:rsidR="00A12130" w:rsidRPr="00DD40FC" w14:paraId="04C5CB94"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A5A6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991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AA47F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973A2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19DB95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BFEA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231</w:t>
            </w:r>
          </w:p>
        </w:tc>
      </w:tr>
      <w:tr w:rsidR="00A12130" w:rsidRPr="00DD40FC" w14:paraId="37ED524B"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FA97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B63C3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31390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D667DE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F8695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240</w:t>
            </w:r>
          </w:p>
        </w:tc>
      </w:tr>
      <w:tr w:rsidR="00A12130" w:rsidRPr="00DD40FC" w14:paraId="7A1BC3E4"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AE97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993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5BCC2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B4D8E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4F1E7B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424F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241</w:t>
            </w:r>
          </w:p>
        </w:tc>
      </w:tr>
      <w:tr w:rsidR="00A12130" w:rsidRPr="00DD40FC" w14:paraId="6CBD0895"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6F4B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994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5615A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8A4C7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EA52B8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4BFC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290</w:t>
            </w:r>
          </w:p>
        </w:tc>
      </w:tr>
      <w:tr w:rsidR="00A12130" w:rsidRPr="00DD40FC" w14:paraId="0C93B417"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F222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995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CF27D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38108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7DE4E4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6DC7B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294</w:t>
            </w:r>
          </w:p>
        </w:tc>
      </w:tr>
      <w:tr w:rsidR="00A12130" w:rsidRPr="00DD40FC" w14:paraId="398800CB"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08C7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996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C91D8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7E804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B0C4BD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6FA9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295</w:t>
            </w:r>
          </w:p>
        </w:tc>
      </w:tr>
      <w:tr w:rsidR="00A12130" w:rsidRPr="00DD40FC" w14:paraId="1E1A12ED"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33D5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997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A52B6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7E6DA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442514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0007 Drybus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5CD8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w:t>
            </w:r>
          </w:p>
        </w:tc>
      </w:tr>
      <w:tr w:rsidR="00A12130" w:rsidRPr="00DD40FC" w14:paraId="745F2FBD"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4DCF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998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7AF06B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A2744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35385C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0007 Drybus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F45A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58/1</w:t>
            </w:r>
          </w:p>
        </w:tc>
      </w:tr>
      <w:tr w:rsidR="00A12130" w:rsidRPr="00DD40FC" w14:paraId="4BD04539"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7686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999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12D5CA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47A08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AE708B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0015 Nowa Pułapina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5C62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31</w:t>
            </w:r>
          </w:p>
        </w:tc>
      </w:tr>
      <w:tr w:rsidR="00A12130" w:rsidRPr="00DD40FC" w14:paraId="1FE05D05"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C813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F6B95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31BAB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6D5C6F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ED78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259</w:t>
            </w:r>
          </w:p>
        </w:tc>
      </w:tr>
      <w:tr w:rsidR="00A12130" w:rsidRPr="00DD40FC" w14:paraId="606E3E3A"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D5B0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1001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17965E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46D9E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E23743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DADB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260</w:t>
            </w:r>
          </w:p>
        </w:tc>
      </w:tr>
      <w:tr w:rsidR="00A12130" w:rsidRPr="00DD40FC" w14:paraId="7FF04708"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6191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1002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0CDE3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B5EEE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89ACCA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9034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265/1</w:t>
            </w:r>
          </w:p>
        </w:tc>
      </w:tr>
      <w:tr w:rsidR="00A12130" w:rsidRPr="00DD40FC" w14:paraId="69C63332"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2089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1003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70B7D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48856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133586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41F6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293</w:t>
            </w:r>
          </w:p>
        </w:tc>
      </w:tr>
      <w:tr w:rsidR="00A12130" w:rsidRPr="00DD40FC" w14:paraId="2C42031A"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6F18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1004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68BFB1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2C8CB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F1FA09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FFB8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306/1</w:t>
            </w:r>
          </w:p>
        </w:tc>
      </w:tr>
      <w:tr w:rsidR="00A12130" w:rsidRPr="00DD40FC" w14:paraId="279EB6CE"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DBCC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C12C2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C80E8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7E1ADD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6699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310/2</w:t>
            </w:r>
          </w:p>
        </w:tc>
      </w:tr>
      <w:tr w:rsidR="00A12130" w:rsidRPr="00DD40FC" w14:paraId="58623FFB"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7BF9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5DE245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256D6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4E2168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70F4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331</w:t>
            </w:r>
          </w:p>
        </w:tc>
      </w:tr>
      <w:tr w:rsidR="00A12130" w:rsidRPr="00DD40FC" w14:paraId="1A08C318"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D5F9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882BB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0311B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8CB25F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D67E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338</w:t>
            </w:r>
          </w:p>
        </w:tc>
      </w:tr>
      <w:tr w:rsidR="00A12130" w:rsidRPr="00DD40FC" w14:paraId="7E4F1BA2"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13AF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AF3DD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E4387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B574BD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5D87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340/3</w:t>
            </w:r>
          </w:p>
        </w:tc>
      </w:tr>
      <w:tr w:rsidR="00A12130" w:rsidRPr="00DD40FC" w14:paraId="7B63FFC2"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4091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1009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3D9F4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14648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A613A9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107C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350</w:t>
            </w:r>
          </w:p>
        </w:tc>
      </w:tr>
      <w:tr w:rsidR="00A12130" w:rsidRPr="00DD40FC" w14:paraId="1BCC2FCB"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57A49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52437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F2394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08CB3A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523D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360</w:t>
            </w:r>
          </w:p>
        </w:tc>
      </w:tr>
      <w:tr w:rsidR="00A12130" w:rsidRPr="00DD40FC" w14:paraId="7ACB49BD"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245E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1011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51845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4FD9E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2663B0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39C9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362</w:t>
            </w:r>
          </w:p>
        </w:tc>
      </w:tr>
      <w:tr w:rsidR="00A12130" w:rsidRPr="00DD40FC" w14:paraId="6778EFF8"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8D7D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DE0B0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5A124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77B84C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2C55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365</w:t>
            </w:r>
          </w:p>
        </w:tc>
      </w:tr>
      <w:tr w:rsidR="00A12130" w:rsidRPr="00DD40FC" w14:paraId="4536F64C"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AEFB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EBD5B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71AB5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8C6D96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E67F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367</w:t>
            </w:r>
          </w:p>
        </w:tc>
      </w:tr>
      <w:tr w:rsidR="00A12130" w:rsidRPr="00DD40FC" w14:paraId="466FD7D1"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3A8C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BF056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4021B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159E0F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73C4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415</w:t>
            </w:r>
          </w:p>
        </w:tc>
      </w:tr>
      <w:tr w:rsidR="00A12130" w:rsidRPr="00DD40FC" w14:paraId="5F31ADC7"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74D8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225533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F70AE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C6AEFA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9A81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420</w:t>
            </w:r>
          </w:p>
        </w:tc>
      </w:tr>
      <w:tr w:rsidR="00A12130" w:rsidRPr="00DD40FC" w14:paraId="1F18CA15"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4931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EAE2F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121E3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61EAAF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2281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422</w:t>
            </w:r>
          </w:p>
        </w:tc>
      </w:tr>
      <w:tr w:rsidR="00A12130" w:rsidRPr="00DD40FC" w14:paraId="0FB10C48"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D454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1017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9283AE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68253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16816B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BD6E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430</w:t>
            </w:r>
          </w:p>
        </w:tc>
      </w:tr>
      <w:tr w:rsidR="00A12130" w:rsidRPr="00DD40FC" w14:paraId="6290E266"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0D2E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17392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F8CCE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ED9D98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A72B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435</w:t>
            </w:r>
          </w:p>
        </w:tc>
      </w:tr>
      <w:tr w:rsidR="00A12130" w:rsidRPr="00DD40FC" w14:paraId="066EB79F"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A5B2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lastRenderedPageBreak/>
              <w:t>1019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983A9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D89A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F66A5B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0DD8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439</w:t>
            </w:r>
          </w:p>
        </w:tc>
      </w:tr>
      <w:tr w:rsidR="00A12130" w:rsidRPr="00DD40FC" w14:paraId="4A873C93"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6F7B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DB41F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7D6F1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91B126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DE5D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441</w:t>
            </w:r>
          </w:p>
        </w:tc>
      </w:tr>
      <w:tr w:rsidR="00A12130" w:rsidRPr="00DD40FC" w14:paraId="1B4364C1"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BBA9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1021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A19E2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3DF91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889D1E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6700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471</w:t>
            </w:r>
          </w:p>
        </w:tc>
      </w:tr>
      <w:tr w:rsidR="00A12130" w:rsidRPr="00DD40FC" w14:paraId="1746EB8D"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CEEC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1022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E1C1C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D4D06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C4CE8A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5F64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473</w:t>
            </w:r>
          </w:p>
        </w:tc>
      </w:tr>
      <w:tr w:rsidR="00A12130" w:rsidRPr="00DD40FC" w14:paraId="1AB1757C"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7323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1023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DDAE4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 xml:space="preserve">grodziski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74059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707D21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4955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481</w:t>
            </w:r>
          </w:p>
        </w:tc>
      </w:tr>
      <w:tr w:rsidR="00A12130" w:rsidRPr="00DD40FC" w14:paraId="03CA3396"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4D1E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25DCD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9708D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F3AF1E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FF86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483</w:t>
            </w:r>
          </w:p>
        </w:tc>
      </w:tr>
      <w:tr w:rsidR="00A12130" w:rsidRPr="00DD40FC" w14:paraId="479A8324"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9A7A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10B6C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411B0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4B7C06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DF55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487</w:t>
            </w:r>
          </w:p>
        </w:tc>
      </w:tr>
      <w:tr w:rsidR="00A12130" w:rsidRPr="00DD40FC" w14:paraId="50C5016D"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5E94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1026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F208A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43B92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123D58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28DC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489</w:t>
            </w:r>
          </w:p>
        </w:tc>
      </w:tr>
      <w:tr w:rsidR="00A12130" w:rsidRPr="00DD40FC" w14:paraId="60A6F32B"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4840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1027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DA84D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272D0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6F8631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DCCC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496</w:t>
            </w:r>
          </w:p>
        </w:tc>
      </w:tr>
      <w:tr w:rsidR="00A12130" w:rsidRPr="00DD40FC" w14:paraId="30C8DC01"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BADE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DA9B3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810D8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5EFF21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8441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498</w:t>
            </w:r>
          </w:p>
        </w:tc>
      </w:tr>
      <w:tr w:rsidR="00A12130" w:rsidRPr="00DD40FC" w14:paraId="79702286"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CEE4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1029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3ED4F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7BFAA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14B3E4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19F7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537/2</w:t>
            </w:r>
          </w:p>
        </w:tc>
      </w:tr>
      <w:tr w:rsidR="00A12130" w:rsidRPr="00DD40FC" w14:paraId="76452F10"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95DA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BA839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57335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E59514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F949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550/3</w:t>
            </w:r>
          </w:p>
        </w:tc>
      </w:tr>
      <w:tr w:rsidR="00A12130" w:rsidRPr="00DD40FC" w14:paraId="7F3165DC"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B657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1031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E0220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864F4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E9CC78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FC41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551/1</w:t>
            </w:r>
          </w:p>
        </w:tc>
      </w:tr>
      <w:tr w:rsidR="00A12130" w:rsidRPr="00DD40FC" w14:paraId="07C4BE57"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DB72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1032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0078A4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50104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68DF2E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D41D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551/2</w:t>
            </w:r>
          </w:p>
        </w:tc>
      </w:tr>
      <w:tr w:rsidR="00A12130" w:rsidRPr="00DD40FC" w14:paraId="57D06FF8"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6B73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1033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0A2B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1FDEA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4ACF2F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219B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553/1</w:t>
            </w:r>
          </w:p>
        </w:tc>
      </w:tr>
      <w:tr w:rsidR="00A12130" w:rsidRPr="00DD40FC" w14:paraId="14DD1453"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460D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E34F6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6ADB3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469C0C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5514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554/3</w:t>
            </w:r>
          </w:p>
        </w:tc>
      </w:tr>
      <w:tr w:rsidR="00A12130" w:rsidRPr="00DD40FC" w14:paraId="3FF422BB" w14:textId="77777777" w:rsidTr="00F40707">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178B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60BFA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A6165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6B4865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3677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555/3</w:t>
            </w:r>
          </w:p>
        </w:tc>
      </w:tr>
      <w:tr w:rsidR="00A12130" w:rsidRPr="00DD40FC" w14:paraId="60B97637" w14:textId="77777777" w:rsidTr="00F40707">
        <w:trPr>
          <w:trHeight w:val="371"/>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5411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1036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FFE5E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24A09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832C05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9958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45/3</w:t>
            </w:r>
          </w:p>
        </w:tc>
      </w:tr>
      <w:tr w:rsidR="00A12130" w:rsidRPr="00DD40FC" w14:paraId="0368B40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8FB9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1037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D8A10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A5725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620387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3044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52/1</w:t>
            </w:r>
          </w:p>
        </w:tc>
      </w:tr>
      <w:tr w:rsidR="00A12130" w:rsidRPr="00DD40FC" w14:paraId="3EBA51B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E160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1038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730D77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C631B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96F0D2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7934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54</w:t>
            </w:r>
          </w:p>
        </w:tc>
      </w:tr>
      <w:tr w:rsidR="00A12130" w:rsidRPr="00DD40FC" w14:paraId="3BECDCF5"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E303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1039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ECEAE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FB69F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91E0E3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41EC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56/2</w:t>
            </w:r>
          </w:p>
        </w:tc>
      </w:tr>
      <w:tr w:rsidR="00A12130" w:rsidRPr="00DD40FC" w14:paraId="066FD7F7"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56CB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1040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8937F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341BF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D22103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542C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61/1</w:t>
            </w:r>
          </w:p>
        </w:tc>
      </w:tr>
      <w:tr w:rsidR="00A12130" w:rsidRPr="00DD40FC" w14:paraId="24470848"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CC20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6C28D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68611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A6212D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79874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63</w:t>
            </w:r>
          </w:p>
        </w:tc>
      </w:tr>
      <w:tr w:rsidR="00A12130" w:rsidRPr="00DD40FC" w14:paraId="64EFBD4B"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57E3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1042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979F1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BF9F3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84B8A4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466F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118/1</w:t>
            </w:r>
          </w:p>
        </w:tc>
      </w:tr>
      <w:tr w:rsidR="00A12130" w:rsidRPr="00DD40FC" w14:paraId="194999D5"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DC7B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1043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24107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98CD0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BFD20B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CCA4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118/2</w:t>
            </w:r>
          </w:p>
        </w:tc>
      </w:tr>
      <w:tr w:rsidR="00A12130" w:rsidRPr="00DD40FC" w14:paraId="4F8228C8"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F3A2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1044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869F5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9CB1A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357A7F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44C5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118/3</w:t>
            </w:r>
          </w:p>
        </w:tc>
      </w:tr>
      <w:tr w:rsidR="00A12130" w:rsidRPr="00DD40FC" w14:paraId="486F779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365C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1045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45984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EFD31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E8186B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9521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119/1</w:t>
            </w:r>
          </w:p>
        </w:tc>
      </w:tr>
      <w:tr w:rsidR="00A12130" w:rsidRPr="00DD40FC" w14:paraId="695AEC2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C25B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1046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4F9DF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6D023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CFC171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E658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119/3</w:t>
            </w:r>
          </w:p>
        </w:tc>
      </w:tr>
      <w:tr w:rsidR="00A12130" w:rsidRPr="00DD40FC" w14:paraId="465F03C2"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2164E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1047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291DF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6EF54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BC4845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554B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120/1</w:t>
            </w:r>
          </w:p>
        </w:tc>
      </w:tr>
      <w:tr w:rsidR="00A12130" w:rsidRPr="00DD40FC" w14:paraId="3F5D67F2"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20142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B2CF0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BC05E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53A11C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9E4D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170</w:t>
            </w:r>
          </w:p>
        </w:tc>
      </w:tr>
      <w:tr w:rsidR="00A12130" w:rsidRPr="00DD40FC" w14:paraId="4F1668DC"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9863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1049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4E6A2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4C592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F04087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600B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171</w:t>
            </w:r>
          </w:p>
        </w:tc>
      </w:tr>
      <w:tr w:rsidR="00A12130" w:rsidRPr="00DD40FC" w14:paraId="031A8D7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C1ADD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36FCD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8F18A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AB28AC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1C2C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172</w:t>
            </w:r>
          </w:p>
        </w:tc>
      </w:tr>
      <w:tr w:rsidR="00A12130" w:rsidRPr="00DD40FC" w14:paraId="26210A92"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1A5D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1051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33BE8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217CA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1B8590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B4DB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173</w:t>
            </w:r>
          </w:p>
        </w:tc>
      </w:tr>
      <w:tr w:rsidR="00A12130" w:rsidRPr="00DD40FC" w14:paraId="2D0E6A8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F598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1052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399B3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4F97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AE2BAD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7CDC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204</w:t>
            </w:r>
          </w:p>
        </w:tc>
      </w:tr>
      <w:tr w:rsidR="00A12130" w:rsidRPr="00DD40FC" w14:paraId="28195798"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9234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1053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AD55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86A10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8DC552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BB50D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205</w:t>
            </w:r>
          </w:p>
        </w:tc>
      </w:tr>
      <w:tr w:rsidR="00A12130" w:rsidRPr="00DD40FC" w14:paraId="3DEBB7AC"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235F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lastRenderedPageBreak/>
              <w:t>1054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1E079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16469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A9E9F5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3A4F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w:t>
            </w:r>
          </w:p>
        </w:tc>
      </w:tr>
      <w:tr w:rsidR="00A12130" w:rsidRPr="00DD40FC" w14:paraId="58F0804B"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2209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1055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1D847C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463C6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E878A6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5E64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w:t>
            </w:r>
          </w:p>
        </w:tc>
      </w:tr>
      <w:tr w:rsidR="00A12130" w:rsidRPr="00DD40FC" w14:paraId="0B5CE573"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6AE2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1056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0450D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9DD17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679DD8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57F2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w:t>
            </w:r>
          </w:p>
        </w:tc>
      </w:tr>
      <w:tr w:rsidR="00A12130" w:rsidRPr="00DD40FC" w14:paraId="499FA70C"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B292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1057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C73FE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EB15E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EB3ED0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7E7A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w:t>
            </w:r>
          </w:p>
        </w:tc>
      </w:tr>
      <w:tr w:rsidR="00A12130" w:rsidRPr="00DD40FC" w14:paraId="67B7CC8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850F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1058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1A7439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D8B73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CFAB8F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7983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45</w:t>
            </w:r>
          </w:p>
        </w:tc>
      </w:tr>
      <w:tr w:rsidR="00A12130" w:rsidRPr="00DD40FC" w14:paraId="148F74C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D25C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1059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0E8CD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3D2C1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6D1DD2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DF6B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46/1</w:t>
            </w:r>
          </w:p>
        </w:tc>
      </w:tr>
      <w:tr w:rsidR="00A12130" w:rsidRPr="00DD40FC" w14:paraId="555DE1F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7F87A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1060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84D71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3C154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809E83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D62A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46/2</w:t>
            </w:r>
          </w:p>
        </w:tc>
      </w:tr>
      <w:tr w:rsidR="00A12130" w:rsidRPr="00DD40FC" w14:paraId="6A7EA75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2264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1061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736D6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39BD3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31C15C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B913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47</w:t>
            </w:r>
          </w:p>
        </w:tc>
      </w:tr>
      <w:tr w:rsidR="00A12130" w:rsidRPr="00DD40FC" w14:paraId="3863A3CB"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E7D0C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1062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4190B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5A040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958DC2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1AD5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49</w:t>
            </w:r>
          </w:p>
        </w:tc>
      </w:tr>
      <w:tr w:rsidR="00A12130" w:rsidRPr="00DD40FC" w14:paraId="3E5CD405"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F7DA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1063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D3A1D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F3B35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53386A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1155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83</w:t>
            </w:r>
          </w:p>
        </w:tc>
      </w:tr>
      <w:tr w:rsidR="00A12130" w:rsidRPr="00DD40FC" w14:paraId="2DC7BB6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E91B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1064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D69FC4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FF992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9A3BFA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BD92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85</w:t>
            </w:r>
          </w:p>
        </w:tc>
      </w:tr>
      <w:tr w:rsidR="00A12130" w:rsidRPr="00DD40FC" w14:paraId="1793533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D951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1065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FD8D6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26F13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301101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424C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86</w:t>
            </w:r>
          </w:p>
        </w:tc>
      </w:tr>
      <w:tr w:rsidR="00A12130" w:rsidRPr="00DD40FC" w14:paraId="31CD474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B3D1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1066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928CD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3201E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67ECC2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C10C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88</w:t>
            </w:r>
          </w:p>
        </w:tc>
      </w:tr>
      <w:tr w:rsidR="00A12130" w:rsidRPr="00DD40FC" w14:paraId="1A56143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3B76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1067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07B2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518DF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4C00DE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E13FB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115</w:t>
            </w:r>
          </w:p>
        </w:tc>
      </w:tr>
      <w:tr w:rsidR="00A12130" w:rsidRPr="00DD40FC" w14:paraId="7DE015A3"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164E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1068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99E31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A9C11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161AA7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5245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124</w:t>
            </w:r>
          </w:p>
        </w:tc>
      </w:tr>
      <w:tr w:rsidR="00A12130" w:rsidRPr="00DD40FC" w14:paraId="0AE5B1D2"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B197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1069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FCED9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 xml:space="preserve">grodziski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33309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6DAF07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6B04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133/2</w:t>
            </w:r>
          </w:p>
        </w:tc>
      </w:tr>
      <w:tr w:rsidR="00A12130" w:rsidRPr="00DD40FC" w14:paraId="363E497E"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37BD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1070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12A39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1A084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9BC8FB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340E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141</w:t>
            </w:r>
          </w:p>
        </w:tc>
      </w:tr>
      <w:tr w:rsidR="00A12130" w:rsidRPr="00DD40FC" w14:paraId="4D99869C"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6439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1071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5AC938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A4BCC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2EAAEC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FE0A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142</w:t>
            </w:r>
          </w:p>
        </w:tc>
      </w:tr>
      <w:tr w:rsidR="00A12130" w:rsidRPr="00DD40FC" w14:paraId="5BBCB5BB"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DEDC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1072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26F23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26C71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FB00C5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6BA7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143/1</w:t>
            </w:r>
          </w:p>
        </w:tc>
      </w:tr>
      <w:tr w:rsidR="00A12130" w:rsidRPr="00DD40FC" w14:paraId="4681BDF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4B7D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1073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5DF5C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AA5CC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EB74DB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E0BA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144</w:t>
            </w:r>
          </w:p>
        </w:tc>
      </w:tr>
      <w:tr w:rsidR="00A12130" w:rsidRPr="00DD40FC" w14:paraId="69A186F2"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089D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1074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94B4E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EDCE6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913106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8AC2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154/1</w:t>
            </w:r>
          </w:p>
        </w:tc>
      </w:tr>
      <w:tr w:rsidR="00A12130" w:rsidRPr="00DD40FC" w14:paraId="107987AD"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2DAE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5422A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C2925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374476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41EA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155/1</w:t>
            </w:r>
          </w:p>
        </w:tc>
      </w:tr>
      <w:tr w:rsidR="00A12130" w:rsidRPr="00DD40FC" w14:paraId="61CF5C09"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6AD9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1076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4D9CF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8AC0C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F11D24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DCF8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158</w:t>
            </w:r>
          </w:p>
        </w:tc>
      </w:tr>
      <w:tr w:rsidR="00A12130" w:rsidRPr="00DD40FC" w14:paraId="6F4EF71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AB7F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1077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411BE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879B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4C1FA3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A89AF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167</w:t>
            </w:r>
          </w:p>
        </w:tc>
      </w:tr>
      <w:tr w:rsidR="00A12130" w:rsidRPr="00DD40FC" w14:paraId="36DEFD6C"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9E7A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1078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E8B16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EBB8E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3215DF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FBE9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168/1</w:t>
            </w:r>
          </w:p>
        </w:tc>
      </w:tr>
      <w:tr w:rsidR="00A12130" w:rsidRPr="00DD40FC" w14:paraId="7EAE2B0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CE0E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3D523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86EBD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C120F8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AEDB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174/1</w:t>
            </w:r>
          </w:p>
        </w:tc>
      </w:tr>
      <w:tr w:rsidR="00A12130" w:rsidRPr="00DD40FC" w14:paraId="51A675EB"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538C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1080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1168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D9C48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754810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790A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206/4</w:t>
            </w:r>
          </w:p>
        </w:tc>
      </w:tr>
      <w:tr w:rsidR="00A12130" w:rsidRPr="00DD40FC" w14:paraId="2336C4A5"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6AB3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1081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E4081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175EC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29AEA7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143E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212/2</w:t>
            </w:r>
          </w:p>
        </w:tc>
      </w:tr>
      <w:tr w:rsidR="00A12130" w:rsidRPr="00DD40FC" w14:paraId="3F038457"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2AB9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1082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1E45F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6E8A0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7B1964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E8E3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312</w:t>
            </w:r>
          </w:p>
        </w:tc>
      </w:tr>
      <w:tr w:rsidR="00A12130" w:rsidRPr="00DD40FC" w14:paraId="237B9BF7"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8D0B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1083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6B4DB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1A53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97C4E9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F598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333/2</w:t>
            </w:r>
          </w:p>
        </w:tc>
      </w:tr>
      <w:tr w:rsidR="00A12130" w:rsidRPr="00DD40FC" w14:paraId="35573659"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1B247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lastRenderedPageBreak/>
              <w:t>1084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533CA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4BA95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9AB548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7940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333/3</w:t>
            </w:r>
          </w:p>
        </w:tc>
      </w:tr>
      <w:tr w:rsidR="00A12130" w:rsidRPr="00DD40FC" w14:paraId="0759BC8C"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CCD1B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1085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95599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9A5A5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5893BD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A48D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349</w:t>
            </w:r>
          </w:p>
        </w:tc>
      </w:tr>
      <w:tr w:rsidR="00A12130" w:rsidRPr="00DD40FC" w14:paraId="57A09E19"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3092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1086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A3AD4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3C7EC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ED7576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1DBF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353/1</w:t>
            </w:r>
          </w:p>
        </w:tc>
      </w:tr>
      <w:tr w:rsidR="00A12130" w:rsidRPr="00DD40FC" w14:paraId="1F22689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DF93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1087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AEFF3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82807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E87C6C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0003 Elżbietów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2715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175/2</w:t>
            </w:r>
          </w:p>
        </w:tc>
      </w:tr>
      <w:tr w:rsidR="00A12130" w:rsidRPr="00DD40FC" w14:paraId="32DE4B59"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3A18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1088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29949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36FE3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0C339C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0003 Elżbietów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C712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176</w:t>
            </w:r>
          </w:p>
        </w:tc>
      </w:tr>
      <w:tr w:rsidR="00A12130" w:rsidRPr="00DD40FC" w14:paraId="258830D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D6F2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1089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9EBCA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B8526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F3EC77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0003 Elżbietów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6C59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177</w:t>
            </w:r>
          </w:p>
        </w:tc>
      </w:tr>
      <w:tr w:rsidR="00A12130" w:rsidRPr="00DD40FC" w14:paraId="5362791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5836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1090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4F49E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D31F5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267746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954A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2/1</w:t>
            </w:r>
          </w:p>
        </w:tc>
      </w:tr>
      <w:tr w:rsidR="00A12130" w:rsidRPr="00DD40FC" w14:paraId="55B7F31E"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B639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1091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B72B6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81E8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488D9C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8210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w:t>
            </w:r>
          </w:p>
        </w:tc>
      </w:tr>
      <w:tr w:rsidR="00A12130" w:rsidRPr="00DD40FC" w14:paraId="0104510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F69D1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F64BD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C9071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5220B5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A10D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37/4</w:t>
            </w:r>
          </w:p>
        </w:tc>
      </w:tr>
      <w:tr w:rsidR="00A12130" w:rsidRPr="00DD40FC" w14:paraId="123D5A3B"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58CB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1093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13A55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BAD8A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21753D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7532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57</w:t>
            </w:r>
          </w:p>
        </w:tc>
      </w:tr>
      <w:tr w:rsidR="00A12130" w:rsidRPr="00DD40FC" w14:paraId="0D12D41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B4E3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1094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B48A7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2FF18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952D2F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751E2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58</w:t>
            </w:r>
          </w:p>
        </w:tc>
      </w:tr>
      <w:tr w:rsidR="00A12130" w:rsidRPr="00DD40FC" w14:paraId="36317C5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FAEA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1095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BD1CC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05064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CCDEC4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DC1D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71</w:t>
            </w:r>
          </w:p>
        </w:tc>
      </w:tr>
      <w:tr w:rsidR="00A12130" w:rsidRPr="00DD40FC" w14:paraId="475DAD8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AFFE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1096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B7F78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A052E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D9A609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8122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87</w:t>
            </w:r>
          </w:p>
        </w:tc>
      </w:tr>
      <w:tr w:rsidR="00A12130" w:rsidRPr="00DD40FC" w14:paraId="0D86AE72"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6C67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1097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D88CCC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259AD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1B1A65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47EE1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89/2</w:t>
            </w:r>
          </w:p>
        </w:tc>
      </w:tr>
      <w:tr w:rsidR="00A12130" w:rsidRPr="00DD40FC" w14:paraId="10A94292"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F121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1098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C5216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9EE5E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DE6A0F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9F99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54/2</w:t>
            </w:r>
          </w:p>
        </w:tc>
      </w:tr>
      <w:tr w:rsidR="00A12130" w:rsidRPr="00DD40FC" w14:paraId="2E333B7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B824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1099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2A4B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257A5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4D3132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1A35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54/3</w:t>
            </w:r>
          </w:p>
        </w:tc>
      </w:tr>
      <w:tr w:rsidR="00A12130" w:rsidRPr="00DD40FC" w14:paraId="4BB2C1FE"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CD9F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C27FC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AC747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8FCF98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CC8D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55</w:t>
            </w:r>
          </w:p>
        </w:tc>
      </w:tr>
      <w:tr w:rsidR="00A12130" w:rsidRPr="00DD40FC" w14:paraId="33A1F13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902D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1101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7EDC9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E0F7E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3922B9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FD45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62/1</w:t>
            </w:r>
          </w:p>
        </w:tc>
      </w:tr>
      <w:tr w:rsidR="00A12130" w:rsidRPr="00DD40FC" w14:paraId="5972D675"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AE814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1102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A2352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DE8B3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08E7EB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0EB6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62/2</w:t>
            </w:r>
          </w:p>
        </w:tc>
      </w:tr>
      <w:tr w:rsidR="00A12130" w:rsidRPr="00DD40FC" w14:paraId="3028663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A27C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1103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F434D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9BDD2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A7FA16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F681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75</w:t>
            </w:r>
          </w:p>
        </w:tc>
      </w:tr>
      <w:tr w:rsidR="00A12130" w:rsidRPr="00DD40FC" w14:paraId="34049A5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6002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1104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9FDC0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C839C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95C72B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A9829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76</w:t>
            </w:r>
          </w:p>
        </w:tc>
      </w:tr>
      <w:tr w:rsidR="00A12130" w:rsidRPr="00DD40FC" w14:paraId="053167F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235F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1105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FCA18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CD108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000FC1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2E1E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80</w:t>
            </w:r>
          </w:p>
        </w:tc>
      </w:tr>
      <w:tr w:rsidR="00A12130" w:rsidRPr="00DD40FC" w14:paraId="09A578B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D0FD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04B68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DACDE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219081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8C5B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84</w:t>
            </w:r>
          </w:p>
        </w:tc>
      </w:tr>
      <w:tr w:rsidR="00A12130" w:rsidRPr="00DD40FC" w14:paraId="28D3E87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3D0C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1107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3E32A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29CC8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E98B9D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EB35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86</w:t>
            </w:r>
          </w:p>
        </w:tc>
      </w:tr>
      <w:tr w:rsidR="00A12130" w:rsidRPr="00DD40FC" w14:paraId="08EB18FE"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972A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0103B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F8EF3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DFD88A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0B56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26</w:t>
            </w:r>
          </w:p>
        </w:tc>
      </w:tr>
      <w:tr w:rsidR="00A12130" w:rsidRPr="00DD40FC" w14:paraId="1E81973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A781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1109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4D6CC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5231F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B544C6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045D7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61</w:t>
            </w:r>
          </w:p>
        </w:tc>
      </w:tr>
      <w:tr w:rsidR="00A12130" w:rsidRPr="00DD40FC" w14:paraId="0B38E97C"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2C05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E8CB2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C5737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EEAE10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8037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62</w:t>
            </w:r>
          </w:p>
        </w:tc>
      </w:tr>
      <w:tr w:rsidR="00A12130" w:rsidRPr="00DD40FC" w14:paraId="061E3949"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1EEF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189CE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47D50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AC3831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81F1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68/2</w:t>
            </w:r>
          </w:p>
        </w:tc>
      </w:tr>
      <w:tr w:rsidR="00A12130" w:rsidRPr="00DD40FC" w14:paraId="680882BE"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85D4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 xml:space="preserve">1112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6ED8F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8543D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8890C2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383E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69</w:t>
            </w:r>
          </w:p>
        </w:tc>
      </w:tr>
      <w:tr w:rsidR="00A12130" w:rsidRPr="00DD40FC" w14:paraId="64DE084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CB1F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93ABF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380F4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AAEB84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0A9C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147</w:t>
            </w:r>
          </w:p>
        </w:tc>
      </w:tr>
      <w:tr w:rsidR="00A12130" w:rsidRPr="00DD40FC" w14:paraId="368AA23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0E64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lastRenderedPageBreak/>
              <w:t>1114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BF4B7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BF295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9A1B3E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FF29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153</w:t>
            </w:r>
          </w:p>
        </w:tc>
      </w:tr>
      <w:tr w:rsidR="00A12130" w:rsidRPr="00DD40FC" w14:paraId="59CC1C95"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DC82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7749ED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FF79B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6EC93B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B4BE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155/2</w:t>
            </w:r>
          </w:p>
        </w:tc>
      </w:tr>
      <w:tr w:rsidR="00A12130" w:rsidRPr="00DD40FC" w14:paraId="632D52E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1726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3E669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F320F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F43DF8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3CC9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155/7</w:t>
            </w:r>
          </w:p>
        </w:tc>
      </w:tr>
      <w:tr w:rsidR="00A12130" w:rsidRPr="00DD40FC" w14:paraId="73B5E3C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2B77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 xml:space="preserve">1117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D555F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03A6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1DE42E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AB4C5"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156/3</w:t>
            </w:r>
          </w:p>
        </w:tc>
      </w:tr>
      <w:tr w:rsidR="00A12130" w:rsidRPr="00DD40FC" w14:paraId="0E6AFA68"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F006A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3C523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2BEDF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B55D81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04B70"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180</w:t>
            </w:r>
          </w:p>
        </w:tc>
      </w:tr>
      <w:tr w:rsidR="00A12130" w:rsidRPr="00DD40FC" w14:paraId="498CF1B5"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51EC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4A9E9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B21E8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B4B0D6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EA7E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181</w:t>
            </w:r>
          </w:p>
        </w:tc>
      </w:tr>
      <w:tr w:rsidR="00A12130" w:rsidRPr="00DD40FC" w14:paraId="4B6B37CD"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198F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F5873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50C96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A4C5E3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8763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10/1</w:t>
            </w:r>
          </w:p>
        </w:tc>
      </w:tr>
      <w:tr w:rsidR="00A12130" w:rsidRPr="00DD40FC" w14:paraId="0CEF7242"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892E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1121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399E0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70968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D4CDD3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0001 Aleksandrów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05F94"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79/5</w:t>
            </w:r>
          </w:p>
        </w:tc>
      </w:tr>
      <w:tr w:rsidR="00A12130" w:rsidRPr="00DD40FC" w14:paraId="55048F2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EF80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1122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7D611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0336B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F57695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029E8"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w:t>
            </w:r>
          </w:p>
        </w:tc>
      </w:tr>
      <w:tr w:rsidR="00A12130" w:rsidRPr="00DD40FC" w14:paraId="5EF4DF2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5D91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1123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96FB9D"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3F73D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04C466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630A3"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w:t>
            </w:r>
          </w:p>
        </w:tc>
      </w:tr>
      <w:tr w:rsidR="00A12130" w:rsidRPr="00DD40FC" w14:paraId="4117DB3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1409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B6E85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FD5B5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EA6798B"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187E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w:t>
            </w:r>
          </w:p>
        </w:tc>
      </w:tr>
      <w:tr w:rsidR="00A12130" w:rsidRPr="00DD40FC" w14:paraId="76E0E39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2E56A"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67F211"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BE58D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763ABD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5231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22/1</w:t>
            </w:r>
          </w:p>
        </w:tc>
      </w:tr>
      <w:tr w:rsidR="00A12130" w:rsidRPr="00DD40FC" w14:paraId="45AADE3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88382"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1126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29CFBF"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138AB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7BE188C"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0B34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22/2</w:t>
            </w:r>
          </w:p>
        </w:tc>
      </w:tr>
      <w:tr w:rsidR="00A12130" w:rsidRPr="00DD40FC" w14:paraId="0A5954CD"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CF1D9"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1127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76FF4E"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2D154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895F247"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C4B16" w14:textId="77777777" w:rsidR="00A12130" w:rsidRPr="00F82399" w:rsidRDefault="00A1213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25/1</w:t>
            </w:r>
          </w:p>
        </w:tc>
      </w:tr>
      <w:tr w:rsidR="000C3B88" w:rsidRPr="00DD40FC" w14:paraId="3F362FBB"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F886E" w14:textId="6B64F471" w:rsidR="000C3B88" w:rsidRPr="00F82399" w:rsidRDefault="000C3B8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91BBB5" w14:textId="72262D4B" w:rsidR="000C3B88" w:rsidRPr="00F82399" w:rsidRDefault="000C3B8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DAB6C5" w14:textId="7556A232" w:rsidR="000C3B88" w:rsidRPr="00F82399" w:rsidRDefault="000C3B8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4A256E5" w14:textId="54726BE7" w:rsidR="000C3B88" w:rsidRPr="00F82399" w:rsidRDefault="000C3B8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C52EE" w14:textId="3E574663" w:rsidR="000C3B88" w:rsidRPr="00F82399" w:rsidRDefault="000C3B8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31/2</w:t>
            </w:r>
          </w:p>
        </w:tc>
      </w:tr>
      <w:tr w:rsidR="000C3B88" w:rsidRPr="00DD40FC" w14:paraId="23ECC1DC"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36C8C" w14:textId="40D3EB8C" w:rsidR="000C3B88" w:rsidRPr="00F82399" w:rsidRDefault="000C3B8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1129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F830C4" w14:textId="37E4A482" w:rsidR="000C3B88" w:rsidRPr="00F82399" w:rsidRDefault="000C3B8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73BD6D" w14:textId="41EA87CF" w:rsidR="000C3B88" w:rsidRPr="00F82399" w:rsidRDefault="000C3B8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B36B991" w14:textId="7B466525" w:rsidR="000C3B88" w:rsidRPr="00F82399" w:rsidRDefault="000C3B8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79C7A4" w14:textId="4C9CF73E" w:rsidR="000C3B88" w:rsidRPr="00F82399" w:rsidRDefault="000C3B8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32</w:t>
            </w:r>
          </w:p>
        </w:tc>
      </w:tr>
      <w:tr w:rsidR="004C49B4" w:rsidRPr="00DD40FC" w14:paraId="5A01CC27"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D83CA" w14:textId="603436F7" w:rsidR="004C49B4" w:rsidRPr="00F82399" w:rsidRDefault="004C49B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259E3F" w14:textId="40B3946A" w:rsidR="004C49B4" w:rsidRPr="00F82399" w:rsidRDefault="004C49B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34A3C4" w14:textId="07A70DCF" w:rsidR="004C49B4" w:rsidRPr="00F82399" w:rsidRDefault="004C49B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07B579E" w14:textId="29281C4B" w:rsidR="004C49B4" w:rsidRPr="00F82399" w:rsidRDefault="004C49B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D11D4" w14:textId="551CEEEB" w:rsidR="004C49B4" w:rsidRPr="00F82399" w:rsidRDefault="004C49B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36</w:t>
            </w:r>
          </w:p>
        </w:tc>
      </w:tr>
      <w:tr w:rsidR="00C4229B" w:rsidRPr="00DD40FC" w14:paraId="411A6D5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5FCD45" w14:textId="4C6E12DC"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1131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52A243" w14:textId="680848FD"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27C824" w14:textId="29CC06A1"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8360B2E" w14:textId="52D90D7C"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7D887" w14:textId="1D933C69"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37</w:t>
            </w:r>
          </w:p>
        </w:tc>
      </w:tr>
      <w:tr w:rsidR="00C4229B" w:rsidRPr="00DD40FC" w14:paraId="67218522"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2A4FC" w14:textId="6504B743"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1132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D02241" w14:textId="580F559B"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BECEC2" w14:textId="506FC59D"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00EDCB0" w14:textId="030D9AED"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54194" w14:textId="74297B74"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38/1</w:t>
            </w:r>
          </w:p>
        </w:tc>
      </w:tr>
      <w:tr w:rsidR="00C4229B" w:rsidRPr="00DD40FC" w14:paraId="41CDD62D"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B998D" w14:textId="6D4DA684"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1133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4E929C" w14:textId="63484CDC"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5B4316" w14:textId="673C453F"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F2989B9" w14:textId="2FD2FA22"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532E2" w14:textId="7036180A" w:rsidR="00C4229B" w:rsidRPr="00F82399" w:rsidRDefault="00C4229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50</w:t>
            </w:r>
          </w:p>
        </w:tc>
      </w:tr>
      <w:tr w:rsidR="00803C15" w:rsidRPr="00DD40FC" w14:paraId="2BC3D95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06920" w14:textId="4E9C9DC9" w:rsidR="00803C15" w:rsidRPr="00F82399" w:rsidRDefault="00803C1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8DDDA5" w14:textId="6978DFA4" w:rsidR="00803C15" w:rsidRPr="00F82399" w:rsidRDefault="00803C1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7CE7CC" w14:textId="6ADA89F2" w:rsidR="00803C15" w:rsidRPr="00F82399" w:rsidRDefault="00803C1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3D54352" w14:textId="738776FC" w:rsidR="00803C15" w:rsidRPr="00F82399" w:rsidRDefault="00803C1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45BD4" w14:textId="03C3B10C" w:rsidR="00803C15" w:rsidRPr="00F82399" w:rsidRDefault="00803C1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51/1</w:t>
            </w:r>
          </w:p>
        </w:tc>
      </w:tr>
      <w:tr w:rsidR="00803C15" w:rsidRPr="00DD40FC" w14:paraId="231BC12D"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D30C5" w14:textId="2B9D93CE" w:rsidR="00803C15" w:rsidRPr="00F82399" w:rsidRDefault="00803C1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349E2E" w14:textId="4B3AD137" w:rsidR="00803C15" w:rsidRPr="00F82399" w:rsidRDefault="00803C1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A50F6B" w14:textId="2474E8AE" w:rsidR="00803C15" w:rsidRPr="00F82399" w:rsidRDefault="00803C1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A4D6B5E" w14:textId="3DA5212A" w:rsidR="00803C15" w:rsidRPr="00F82399" w:rsidRDefault="00803C1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CB369" w14:textId="391F1864" w:rsidR="00803C15" w:rsidRPr="00F82399" w:rsidRDefault="00803C1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64</w:t>
            </w:r>
          </w:p>
        </w:tc>
      </w:tr>
      <w:tr w:rsidR="006F4885" w:rsidRPr="00DD40FC" w14:paraId="4FAFE1E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64CA6" w14:textId="0758C183"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1136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973A1F" w14:textId="7AE4757B"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9D8B7B" w14:textId="36EADB91"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AFCCDD2" w14:textId="20A73649"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70A67C" w14:textId="57D1A666"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66</w:t>
            </w:r>
          </w:p>
        </w:tc>
      </w:tr>
      <w:tr w:rsidR="006F4885" w:rsidRPr="00DD40FC" w14:paraId="54CEF1C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7B8F2" w14:textId="08287090"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1137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5EF77B" w14:textId="41C002FC"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48DBCF" w14:textId="52C6F1AB"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52581E4" w14:textId="36BDACF9"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50508" w14:textId="444640E3"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77</w:t>
            </w:r>
          </w:p>
        </w:tc>
      </w:tr>
      <w:tr w:rsidR="006F4885" w:rsidRPr="00DD40FC" w14:paraId="78EC49DC"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9E1EB" w14:textId="1EE8244A"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1138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2CC3DE" w14:textId="729D46D8"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631123" w14:textId="6582CD18"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1953E5C" w14:textId="7FEF71F0"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636AD" w14:textId="4724D749"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78</w:t>
            </w:r>
          </w:p>
        </w:tc>
      </w:tr>
      <w:tr w:rsidR="006F4885" w:rsidRPr="00DD40FC" w14:paraId="4EC8C883"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71879" w14:textId="7D75B03B"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1139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D284F7" w14:textId="13F2F4F9"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43DB9C" w14:textId="6509F467"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64CCE76" w14:textId="79713BA1"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92FBA" w14:textId="6E877153" w:rsidR="006F4885" w:rsidRPr="00F82399" w:rsidRDefault="006F488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91</w:t>
            </w:r>
          </w:p>
        </w:tc>
      </w:tr>
      <w:tr w:rsidR="002914DB" w:rsidRPr="00DD40FC" w14:paraId="787D32A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1E14B8" w14:textId="4605234F" w:rsidR="002914DB" w:rsidRPr="00F82399" w:rsidRDefault="002914D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1140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0DA00D" w14:textId="370EB74E" w:rsidR="002914DB" w:rsidRPr="00F82399" w:rsidRDefault="002914D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C1D7F6" w14:textId="0C91EB9C" w:rsidR="002914DB" w:rsidRPr="00F82399" w:rsidRDefault="002914D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586A58D" w14:textId="38C0AEB5" w:rsidR="002914DB" w:rsidRPr="00F82399" w:rsidRDefault="002914D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9DA01" w14:textId="0794A075" w:rsidR="002914DB" w:rsidRPr="00F82399" w:rsidRDefault="002914D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92</w:t>
            </w:r>
          </w:p>
        </w:tc>
      </w:tr>
      <w:tr w:rsidR="00DE3ADA" w:rsidRPr="00DD40FC" w14:paraId="279EA5E8"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71C25" w14:textId="0E180F4D" w:rsidR="00DE3ADA" w:rsidRPr="00F82399" w:rsidRDefault="00DE3A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DF987A" w14:textId="0F47F5EA" w:rsidR="00DE3ADA" w:rsidRPr="00F82399" w:rsidRDefault="00DE3A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E93C69" w14:textId="444DE176" w:rsidR="00DE3ADA" w:rsidRPr="00F82399" w:rsidRDefault="00DE3A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EBF7BE8" w14:textId="1077B7C5" w:rsidR="00DE3ADA" w:rsidRPr="00F82399" w:rsidRDefault="00DE3A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16579" w14:textId="195BFFFF" w:rsidR="00DE3ADA" w:rsidRPr="00F82399" w:rsidRDefault="00DE3A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96</w:t>
            </w:r>
          </w:p>
        </w:tc>
      </w:tr>
      <w:tr w:rsidR="00DE3ADA" w:rsidRPr="00DD40FC" w14:paraId="2E86521C"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68542" w14:textId="7D50AA59" w:rsidR="00DE3ADA" w:rsidRPr="00F82399" w:rsidRDefault="00DE3A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1142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930ED0" w14:textId="7614B6DE" w:rsidR="00DE3ADA" w:rsidRPr="00F82399" w:rsidRDefault="00DE3A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AC3999" w14:textId="02B60BFF" w:rsidR="00DE3ADA" w:rsidRPr="00F82399" w:rsidRDefault="00DE3A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22A7C20" w14:textId="6D97858F" w:rsidR="00DE3ADA" w:rsidRPr="00F82399" w:rsidRDefault="00DE3A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88D6D" w14:textId="68EBB1D0" w:rsidR="00DE3ADA" w:rsidRPr="00F82399" w:rsidRDefault="00DE3A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w:t>
            </w:r>
          </w:p>
        </w:tc>
      </w:tr>
      <w:tr w:rsidR="001F4D3B" w:rsidRPr="00DD40FC" w14:paraId="05F9DF1B"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FB5D7" w14:textId="0805BAD4" w:rsidR="001F4D3B" w:rsidRPr="00F82399" w:rsidRDefault="001F4D3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1143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AFD830" w14:textId="0F22F7F8" w:rsidR="001F4D3B" w:rsidRPr="00F82399" w:rsidRDefault="001F4D3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05968A" w14:textId="18696763" w:rsidR="001F4D3B" w:rsidRPr="00F82399" w:rsidRDefault="001F4D3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B6CCB3B" w14:textId="7E04BD60" w:rsidR="001F4D3B" w:rsidRPr="00F82399" w:rsidRDefault="001F4D3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D5887" w14:textId="16E1F47A" w:rsidR="001F4D3B" w:rsidRPr="00F82399" w:rsidRDefault="001F4D3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w:t>
            </w:r>
          </w:p>
        </w:tc>
      </w:tr>
      <w:tr w:rsidR="001F4D3B" w:rsidRPr="00DD40FC" w14:paraId="1AD79ED5"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AA5F3" w14:textId="270A28A7" w:rsidR="001F4D3B" w:rsidRPr="00F82399" w:rsidRDefault="001F4D3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lastRenderedPageBreak/>
              <w:t>1144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2D3F01" w14:textId="76F5C8AE" w:rsidR="001F4D3B" w:rsidRPr="00F82399" w:rsidRDefault="001F4D3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D70080" w14:textId="6D3BBC05" w:rsidR="001F4D3B" w:rsidRPr="00F82399" w:rsidRDefault="001F4D3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03B0125" w14:textId="1969B50C" w:rsidR="001F4D3B" w:rsidRPr="00F82399" w:rsidRDefault="001F4D3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7CFB2" w14:textId="075354C5" w:rsidR="001F4D3B" w:rsidRPr="00F82399" w:rsidRDefault="001F4D3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w:t>
            </w:r>
          </w:p>
        </w:tc>
      </w:tr>
      <w:tr w:rsidR="00A46908" w:rsidRPr="00DD40FC" w14:paraId="15E3BB25"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E560C" w14:textId="24D82DE9" w:rsidR="00A46908" w:rsidRPr="00F82399" w:rsidRDefault="00A4690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1145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D7D896" w14:textId="16B1E01D" w:rsidR="00A46908" w:rsidRPr="00F82399" w:rsidRDefault="00A4690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CBE3F" w14:textId="25B73E0A" w:rsidR="00A46908" w:rsidRPr="00F82399" w:rsidRDefault="00A4690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33B42DD" w14:textId="7B5E4115" w:rsidR="00A46908" w:rsidRPr="00F82399" w:rsidRDefault="00A4690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0F92B" w14:textId="465B4493" w:rsidR="00A46908" w:rsidRPr="00F82399" w:rsidRDefault="00A4690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w:t>
            </w:r>
          </w:p>
        </w:tc>
      </w:tr>
      <w:tr w:rsidR="00A46908" w:rsidRPr="00DD40FC" w14:paraId="090D0AF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D303E" w14:textId="588A3096" w:rsidR="00A46908" w:rsidRPr="00F82399" w:rsidRDefault="00A4690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1146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309F9B" w14:textId="0738F3DE" w:rsidR="00A46908" w:rsidRPr="00F82399" w:rsidRDefault="00A4690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67B210" w14:textId="18980C43" w:rsidR="00A46908" w:rsidRPr="00F82399" w:rsidRDefault="00A4690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226BE7E" w14:textId="53783DE8" w:rsidR="00A46908" w:rsidRPr="00F82399" w:rsidRDefault="00A4690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66C7D5" w14:textId="5D992990" w:rsidR="00A46908" w:rsidRPr="00F82399" w:rsidRDefault="00A4690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w:t>
            </w:r>
          </w:p>
        </w:tc>
      </w:tr>
      <w:tr w:rsidR="009B0C00" w:rsidRPr="00DD40FC" w14:paraId="3F4FB362"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E5572" w14:textId="13D535EC"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1147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30C3D1" w14:textId="17FC4C20"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D4F4C0" w14:textId="7420A0D8"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0BE6310" w14:textId="687B1145"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EB1348" w14:textId="7B1F4E74"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w:t>
            </w:r>
          </w:p>
        </w:tc>
      </w:tr>
      <w:tr w:rsidR="009B0C00" w:rsidRPr="00DD40FC" w14:paraId="378CEBC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581B2" w14:textId="21D9D98D"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1148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BD5916" w14:textId="29C3E1B8"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8F83" w14:textId="1E2E125E"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B016B6E" w14:textId="445307C8"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348CF" w14:textId="7F8BDEED"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w:t>
            </w:r>
          </w:p>
        </w:tc>
      </w:tr>
      <w:tr w:rsidR="009B0C00" w:rsidRPr="00DD40FC" w14:paraId="5C71CF28"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7F24E3" w14:textId="40B3BFEC"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1149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B6EA24" w14:textId="09363D91"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411A1B" w14:textId="1AB2ED4D"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5934C0A" w14:textId="45AAD46F"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8C105" w14:textId="5093D6EC" w:rsidR="009B0C00" w:rsidRPr="00F82399" w:rsidRDefault="009B0C0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w:t>
            </w:r>
          </w:p>
        </w:tc>
      </w:tr>
      <w:tr w:rsidR="0006492A" w:rsidRPr="00DD40FC" w14:paraId="5544E977"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AFD47" w14:textId="4C25D47D" w:rsidR="0006492A" w:rsidRPr="00F82399" w:rsidRDefault="0006492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1136C07" w14:textId="41B58AB8" w:rsidR="0006492A" w:rsidRPr="00F82399" w:rsidRDefault="0006492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241D49" w14:textId="34C20AB6" w:rsidR="0006492A" w:rsidRPr="00F82399" w:rsidRDefault="0006492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1846412" w14:textId="5EDEC0D0" w:rsidR="0006492A" w:rsidRPr="00F82399" w:rsidRDefault="0006492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FFC568" w14:textId="338C4F76" w:rsidR="0006492A" w:rsidRPr="00F82399" w:rsidRDefault="0006492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24/1</w:t>
            </w:r>
          </w:p>
        </w:tc>
      </w:tr>
      <w:tr w:rsidR="0006492A" w:rsidRPr="00DD40FC" w14:paraId="2930D953"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9AEE0" w14:textId="4D1504EC" w:rsidR="0006492A" w:rsidRPr="00F82399" w:rsidRDefault="0006492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1151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36AA48" w14:textId="2DFF23D2" w:rsidR="0006492A" w:rsidRPr="00F82399" w:rsidRDefault="0006492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F5D01" w14:textId="1A98224B" w:rsidR="0006492A" w:rsidRPr="00F82399" w:rsidRDefault="0006492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D0FC8D3" w14:textId="0FF453F0" w:rsidR="0006492A" w:rsidRPr="00F82399" w:rsidRDefault="0006492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84235" w14:textId="5B36B685" w:rsidR="0006492A" w:rsidRPr="00F82399" w:rsidRDefault="0006492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24/2</w:t>
            </w:r>
          </w:p>
        </w:tc>
      </w:tr>
      <w:tr w:rsidR="00FB4FAB" w:rsidRPr="00DD40FC" w14:paraId="038B4047"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285DD" w14:textId="49809992"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1152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C66201" w14:textId="19E039CE"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AA776F" w14:textId="5FA4A24F"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1B4CA91" w14:textId="1CDD838F"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C1695" w14:textId="7908F3E3"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25</w:t>
            </w:r>
          </w:p>
        </w:tc>
      </w:tr>
      <w:tr w:rsidR="00FB4FAB" w:rsidRPr="00DD40FC" w14:paraId="368C6413"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5BFC3" w14:textId="42E4FB7C"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1153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0A7A66" w14:textId="0F5F5771"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067DBC" w14:textId="73FB8BB6"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712779A" w14:textId="7DC9C6A8"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334C7" w14:textId="0DA3FBE6"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3/1</w:t>
            </w:r>
          </w:p>
        </w:tc>
      </w:tr>
      <w:tr w:rsidR="00FB4FAB" w:rsidRPr="00DD40FC" w14:paraId="0E91033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8969C" w14:textId="1E985641"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1154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146B691" w14:textId="4C2277A4"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D68EA1" w14:textId="18A41957"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22A6194" w14:textId="3C7C2930"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E1463" w14:textId="25217F01" w:rsidR="00FB4FAB" w:rsidRPr="00F82399" w:rsidRDefault="00FB4FA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3/2</w:t>
            </w:r>
          </w:p>
        </w:tc>
      </w:tr>
      <w:tr w:rsidR="00505B7E" w:rsidRPr="00DD40FC" w14:paraId="10E7D16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EB34A" w14:textId="418D00EE" w:rsidR="00505B7E" w:rsidRPr="00F82399" w:rsidRDefault="00505B7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1155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F0D6C1" w14:textId="40A899AF" w:rsidR="00505B7E" w:rsidRPr="00F82399" w:rsidRDefault="00505B7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6B7EC9" w14:textId="27427394" w:rsidR="00505B7E" w:rsidRPr="00F82399" w:rsidRDefault="00505B7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9EBA23C" w14:textId="16F5C8B9" w:rsidR="00505B7E" w:rsidRPr="00F82399" w:rsidRDefault="00505B7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BC0FE" w14:textId="301EEF7C" w:rsidR="00505B7E" w:rsidRPr="00F82399" w:rsidRDefault="00505B7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3/3</w:t>
            </w:r>
          </w:p>
        </w:tc>
      </w:tr>
      <w:tr w:rsidR="00505B7E" w:rsidRPr="00DD40FC" w14:paraId="237CA57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B5965" w14:textId="1E048FD3" w:rsidR="00505B7E" w:rsidRPr="00F82399" w:rsidRDefault="00505B7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1156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F1343C" w14:textId="29BBA072" w:rsidR="00505B7E" w:rsidRPr="00F82399" w:rsidRDefault="00505B7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6DB2A5" w14:textId="57F8640A" w:rsidR="00505B7E" w:rsidRPr="00F82399" w:rsidRDefault="00505B7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46B3D68" w14:textId="47DE7BD6" w:rsidR="00505B7E" w:rsidRPr="00F82399" w:rsidRDefault="00505B7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F93FA" w14:textId="66BA33DD" w:rsidR="00505B7E" w:rsidRPr="00F82399" w:rsidRDefault="00505B7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12/1</w:t>
            </w:r>
          </w:p>
        </w:tc>
      </w:tr>
      <w:tr w:rsidR="0050466F" w:rsidRPr="00DD40FC" w14:paraId="470E2A1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EEF1C" w14:textId="7EDB2C28"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1157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E27ECB9" w14:textId="42A1AB64"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B1503F" w14:textId="668B25B3"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9604EF6" w14:textId="3558EC43"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2178D" w14:textId="53B27D2A"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12/2</w:t>
            </w:r>
          </w:p>
        </w:tc>
      </w:tr>
      <w:tr w:rsidR="0050466F" w:rsidRPr="00DD40FC" w14:paraId="6CE8430E"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F3859" w14:textId="1048C5B9"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1158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918A7F" w14:textId="463F4A1D"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7AEDA5" w14:textId="64542D74"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FFBC608" w14:textId="5BA39C91"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8FAC0" w14:textId="3BBBC6C5"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12/3</w:t>
            </w:r>
          </w:p>
        </w:tc>
      </w:tr>
      <w:tr w:rsidR="0050466F" w:rsidRPr="00DD40FC" w14:paraId="6E215CCD"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36AD23" w14:textId="48180814"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1159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9D057C" w14:textId="5CEC1AE7"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E84F52" w14:textId="3DE0F025"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937DE7F" w14:textId="7DCCF60F"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F8294" w14:textId="5FAD0424"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15/1</w:t>
            </w:r>
          </w:p>
        </w:tc>
      </w:tr>
      <w:tr w:rsidR="0050466F" w:rsidRPr="00DD40FC" w14:paraId="11582CA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D6206" w14:textId="3045CF42"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1160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A6457D" w14:textId="6005A87B"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C4A6EC" w14:textId="5F129268"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C4495C1" w14:textId="5FEF1215"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20E36" w14:textId="32FB28CE" w:rsidR="0050466F" w:rsidRPr="00F82399" w:rsidRDefault="0050466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15/2</w:t>
            </w:r>
          </w:p>
        </w:tc>
      </w:tr>
      <w:tr w:rsidR="008C5EFD" w:rsidRPr="00DD40FC" w14:paraId="03BF99FD"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C0341" w14:textId="45D0C35E" w:rsidR="008C5EFD" w:rsidRPr="00F82399" w:rsidRDefault="008C5EF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1161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F5D14C" w14:textId="30D911E5" w:rsidR="008C5EFD" w:rsidRPr="00F82399" w:rsidRDefault="008C5EF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6B0DAD" w14:textId="324A5571" w:rsidR="008C5EFD" w:rsidRPr="00F82399" w:rsidRDefault="008C5EF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9F8811D" w14:textId="2DE09352" w:rsidR="008C5EFD" w:rsidRPr="00F82399" w:rsidRDefault="008C5EF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DF228" w14:textId="454704CD" w:rsidR="008C5EFD" w:rsidRPr="00F82399" w:rsidRDefault="008C5EF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15/3</w:t>
            </w:r>
          </w:p>
        </w:tc>
      </w:tr>
      <w:tr w:rsidR="008C5EFD" w:rsidRPr="00DD40FC" w14:paraId="60EC40C8"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7F08C" w14:textId="687336FE" w:rsidR="008C5EFD" w:rsidRPr="00F82399" w:rsidRDefault="008C5EF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1162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83E947" w14:textId="5F334D70" w:rsidR="008C5EFD" w:rsidRPr="00F82399" w:rsidRDefault="008C5EF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990808" w14:textId="49C47CCB" w:rsidR="008C5EFD" w:rsidRPr="00F82399" w:rsidRDefault="008C5EF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DD6006F" w14:textId="5C37EC20" w:rsidR="008C5EFD" w:rsidRPr="00F82399" w:rsidRDefault="008C5EF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B80E2" w14:textId="23CE9D74" w:rsidR="008C5EFD" w:rsidRPr="00F82399" w:rsidRDefault="008C5EF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16/1</w:t>
            </w:r>
          </w:p>
        </w:tc>
      </w:tr>
      <w:tr w:rsidR="00BC617B" w:rsidRPr="00DD40FC" w14:paraId="223A09FD"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8F3F9" w14:textId="07195CDE" w:rsidR="00BC617B" w:rsidRPr="00F82399" w:rsidRDefault="00BC61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1163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D94909D" w14:textId="5628F320" w:rsidR="00BC617B" w:rsidRPr="00F82399" w:rsidRDefault="00BC61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7CCC39" w14:textId="67801AD9" w:rsidR="00BC617B" w:rsidRPr="00F82399" w:rsidRDefault="00BC61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9B383D8" w14:textId="15A72C94" w:rsidR="00BC617B" w:rsidRPr="00F82399" w:rsidRDefault="00BC61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5C6D8" w14:textId="280DCECF" w:rsidR="00BC617B" w:rsidRPr="00F82399" w:rsidRDefault="00BC61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16/2</w:t>
            </w:r>
          </w:p>
        </w:tc>
      </w:tr>
      <w:tr w:rsidR="00BC617B" w:rsidRPr="00DD40FC" w14:paraId="682B4A6D"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910C4" w14:textId="558892E6" w:rsidR="00BC617B" w:rsidRPr="00F82399" w:rsidRDefault="00BC61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1164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528D1" w14:textId="49056761" w:rsidR="00BC617B" w:rsidRPr="00F82399" w:rsidRDefault="00BC61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B85D5" w14:textId="02691D5C" w:rsidR="00BC617B" w:rsidRPr="00F82399" w:rsidRDefault="00BC61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9AA2727" w14:textId="08E54BAD" w:rsidR="00BC617B" w:rsidRPr="00F82399" w:rsidRDefault="00BC61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CEDCB" w14:textId="5811856B" w:rsidR="00BC617B" w:rsidRPr="00F82399" w:rsidRDefault="00BC61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16/3</w:t>
            </w:r>
          </w:p>
        </w:tc>
      </w:tr>
      <w:tr w:rsidR="001E682F" w:rsidRPr="00DD40FC" w14:paraId="6C4255E5"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59B22" w14:textId="365D8964" w:rsidR="001E682F" w:rsidRPr="00F82399" w:rsidRDefault="001E682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1165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BAD2A7D" w14:textId="1B198460" w:rsidR="001E682F" w:rsidRPr="00F82399" w:rsidRDefault="001E682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43CDA8" w14:textId="537CA70D" w:rsidR="001E682F" w:rsidRPr="00F82399" w:rsidRDefault="001E682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D35947B" w14:textId="7DF84BED" w:rsidR="001E682F" w:rsidRPr="00F82399" w:rsidRDefault="001E682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DDC1E" w14:textId="6EC618DC" w:rsidR="001E682F" w:rsidRPr="00F82399" w:rsidRDefault="001E682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17/1</w:t>
            </w:r>
          </w:p>
        </w:tc>
      </w:tr>
      <w:tr w:rsidR="007F68DA" w:rsidRPr="00DD40FC" w14:paraId="6ADF727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ABF65" w14:textId="3F334D91" w:rsidR="007F68DA" w:rsidRPr="00F82399" w:rsidRDefault="007F68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1166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CD5830" w14:textId="609CC82F" w:rsidR="007F68DA" w:rsidRPr="00F82399" w:rsidRDefault="007F68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BD02C0" w14:textId="0BA5F380" w:rsidR="007F68DA" w:rsidRPr="00F82399" w:rsidRDefault="007F68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41F6D5F" w14:textId="69D29594" w:rsidR="007F68DA" w:rsidRPr="00F82399" w:rsidRDefault="007F68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3A576" w14:textId="742FFD6D" w:rsidR="007F68DA" w:rsidRPr="00F82399" w:rsidRDefault="007F68D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17/2</w:t>
            </w:r>
          </w:p>
        </w:tc>
      </w:tr>
      <w:tr w:rsidR="002114CE" w:rsidRPr="00DD40FC" w14:paraId="1D0E0E53"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EE78EE" w14:textId="3BD12D8D" w:rsidR="002114CE" w:rsidRPr="00F82399" w:rsidRDefault="002114C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1167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A20AFE" w14:textId="098B9D4F" w:rsidR="002114CE" w:rsidRPr="00F82399" w:rsidRDefault="002114C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C8586" w14:textId="166D351A" w:rsidR="002114CE" w:rsidRPr="00F82399" w:rsidRDefault="002114C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2EB1196" w14:textId="5B55C195" w:rsidR="002114CE" w:rsidRPr="00F82399" w:rsidRDefault="002114C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E9243" w14:textId="63A1EE7B" w:rsidR="002114CE" w:rsidRPr="00F82399" w:rsidRDefault="002114C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18/1</w:t>
            </w:r>
          </w:p>
        </w:tc>
      </w:tr>
      <w:tr w:rsidR="002114CE" w:rsidRPr="00DD40FC" w14:paraId="4D4082E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6B632" w14:textId="087ACF4A" w:rsidR="002114CE" w:rsidRPr="00F82399" w:rsidRDefault="002114C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1168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D893AD" w14:textId="30927118" w:rsidR="002114CE" w:rsidRPr="00F82399" w:rsidRDefault="002114C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A622E6" w14:textId="1DFC4C82" w:rsidR="002114CE" w:rsidRPr="00F82399" w:rsidRDefault="002114C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B959D3B" w14:textId="5E29304B" w:rsidR="002114CE" w:rsidRPr="00F82399" w:rsidRDefault="002114C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DCBCF" w14:textId="12E9E46A" w:rsidR="002114CE" w:rsidRPr="00F82399" w:rsidRDefault="002114C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18/2</w:t>
            </w:r>
          </w:p>
        </w:tc>
      </w:tr>
      <w:tr w:rsidR="00B35589" w:rsidRPr="00DD40FC" w14:paraId="149917C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F8683" w14:textId="266086FE" w:rsidR="00B35589" w:rsidRPr="00F82399" w:rsidRDefault="00B35589"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1169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68447A" w14:textId="38A71842" w:rsidR="00B35589" w:rsidRPr="00F82399" w:rsidRDefault="00B35589"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17E3F3" w14:textId="7965DF28" w:rsidR="00B35589" w:rsidRPr="00F82399" w:rsidRDefault="00B35589"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F909CC4" w14:textId="677756B5" w:rsidR="00B35589" w:rsidRPr="00F82399" w:rsidRDefault="00B35589"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B13F2" w14:textId="01978E5E" w:rsidR="00B35589" w:rsidRPr="00F82399" w:rsidRDefault="00B35589"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19/1</w:t>
            </w:r>
          </w:p>
        </w:tc>
      </w:tr>
      <w:tr w:rsidR="00B35589" w:rsidRPr="00DD40FC" w14:paraId="19E7C5E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878AD" w14:textId="6A2BD69B" w:rsidR="00B35589" w:rsidRPr="00F82399" w:rsidRDefault="00B35589"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1170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9A6069" w14:textId="02037F69" w:rsidR="00B35589" w:rsidRPr="00F82399" w:rsidRDefault="00B35589"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7174A3" w14:textId="2C4072D4" w:rsidR="00B35589" w:rsidRPr="00F82399" w:rsidRDefault="00B35589"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594588D" w14:textId="24821ED7" w:rsidR="00B35589" w:rsidRPr="00F82399" w:rsidRDefault="00B35589"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5C9B3" w14:textId="3A2F4E2F" w:rsidR="00B35589" w:rsidRPr="00F82399" w:rsidRDefault="00B35589"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19/2</w:t>
            </w:r>
          </w:p>
        </w:tc>
      </w:tr>
      <w:tr w:rsidR="00C2049E" w:rsidRPr="00DD40FC" w14:paraId="2D71395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E492C" w14:textId="154C48D0" w:rsidR="00C2049E" w:rsidRPr="00F82399" w:rsidRDefault="00C2049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1171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1A1013" w14:textId="173B86A4" w:rsidR="00C2049E" w:rsidRPr="00F82399" w:rsidRDefault="00C2049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E782BE" w14:textId="087BAB69" w:rsidR="00C2049E" w:rsidRPr="00F82399" w:rsidRDefault="00C2049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68F84B2" w14:textId="27FC9767" w:rsidR="00C2049E" w:rsidRPr="00F82399" w:rsidRDefault="00C2049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27A0F" w14:textId="5A56A555" w:rsidR="00C2049E" w:rsidRPr="00F82399" w:rsidRDefault="00C2049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20/1</w:t>
            </w:r>
          </w:p>
        </w:tc>
      </w:tr>
      <w:tr w:rsidR="006939DF" w:rsidRPr="00DD40FC" w14:paraId="59B86D07"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B4F84" w14:textId="1949AD17"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1172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F63C24" w14:textId="29D22D57"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6E0BF8" w14:textId="1E07C660"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7CDE93C" w14:textId="6AB6E398"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968DA" w14:textId="5B18ACDA"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20/2</w:t>
            </w:r>
          </w:p>
        </w:tc>
      </w:tr>
      <w:tr w:rsidR="006939DF" w:rsidRPr="00DD40FC" w14:paraId="1FBC1CF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D3429" w14:textId="61E1609B"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1173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A6BEC5" w14:textId="44C36CEB"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F1560B" w14:textId="60622C17"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A7ED2F7" w14:textId="08DA39F9"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02805" w14:textId="3076AA3A"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20/3</w:t>
            </w:r>
          </w:p>
        </w:tc>
      </w:tr>
      <w:tr w:rsidR="006939DF" w:rsidRPr="00DD40FC" w14:paraId="0BF9ACD7"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6C05D3" w14:textId="794D93A0"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lastRenderedPageBreak/>
              <w:t>1174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281A70" w14:textId="7A5E2459"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B09AA" w14:textId="100E31AA"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AFE8377" w14:textId="2A139AB2"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65BBA" w14:textId="555511EA"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24/1</w:t>
            </w:r>
          </w:p>
        </w:tc>
      </w:tr>
      <w:tr w:rsidR="006939DF" w:rsidRPr="00DD40FC" w14:paraId="3DBDC9DE"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EA407" w14:textId="437044D7"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075F69" w14:textId="1EDC951F"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E401D5" w14:textId="0D752740"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127152D" w14:textId="4D4A1F8B"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46686" w14:textId="6BC3E65F" w:rsidR="006939DF" w:rsidRPr="00F82399" w:rsidRDefault="006939D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30/2</w:t>
            </w:r>
          </w:p>
        </w:tc>
      </w:tr>
      <w:tr w:rsidR="00935B20" w:rsidRPr="00DD40FC" w14:paraId="5D04BE3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12595" w14:textId="09A45331" w:rsidR="00935B20" w:rsidRPr="00F82399" w:rsidRDefault="00935B2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1176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3BAA82" w14:textId="61EABE19" w:rsidR="00935B20" w:rsidRPr="00F82399" w:rsidRDefault="00935B2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0090DEC" w14:textId="31746E76" w:rsidR="00935B20" w:rsidRPr="00F82399" w:rsidRDefault="00935B2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66808A1" w14:textId="584D3B4F" w:rsidR="00935B20" w:rsidRPr="00F82399" w:rsidRDefault="00935B2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FBF91" w14:textId="7FF22EAF" w:rsidR="00935B20" w:rsidRPr="00F82399" w:rsidRDefault="00935B20"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31</w:t>
            </w:r>
          </w:p>
        </w:tc>
      </w:tr>
      <w:tr w:rsidR="00291D7B" w:rsidRPr="00DD40FC" w14:paraId="171FFC9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DBC1E1" w14:textId="51D7A0C9" w:rsidR="00291D7B" w:rsidRPr="00F82399" w:rsidRDefault="00291D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117</w:t>
            </w:r>
            <w:r w:rsidR="008D33B0" w:rsidRPr="00F82399">
              <w:rPr>
                <w:rFonts w:ascii="Lato" w:hAnsi="Lato" w:cs="Arial"/>
                <w:spacing w:val="4"/>
                <w:sz w:val="22"/>
                <w:szCs w:val="22"/>
                <w:lang w:eastAsia="zh-CN" w:bidi="pl-PL"/>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A9BA91" w14:textId="59D406D9" w:rsidR="00291D7B" w:rsidRPr="00F82399" w:rsidRDefault="00291D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720BF" w14:textId="065292E8" w:rsidR="00291D7B" w:rsidRPr="00F82399" w:rsidRDefault="00291D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7601196" w14:textId="595812BE" w:rsidR="00291D7B" w:rsidRPr="00F82399" w:rsidRDefault="00291D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F64F0" w14:textId="37ACBADA" w:rsidR="00291D7B" w:rsidRPr="00F82399" w:rsidRDefault="00291D7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42</w:t>
            </w:r>
          </w:p>
        </w:tc>
      </w:tr>
      <w:tr w:rsidR="00912981" w:rsidRPr="00DD40FC" w14:paraId="72F16048"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4CE89" w14:textId="304E0758" w:rsidR="00912981" w:rsidRPr="00F82399" w:rsidRDefault="009129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117</w:t>
            </w:r>
            <w:r w:rsidR="008D33B0" w:rsidRPr="00F82399">
              <w:rPr>
                <w:rFonts w:ascii="Lato" w:hAnsi="Lato" w:cs="Arial"/>
                <w:spacing w:val="4"/>
                <w:sz w:val="22"/>
                <w:szCs w:val="22"/>
                <w:lang w:eastAsia="zh-CN" w:bidi="pl-PL"/>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042D44" w14:textId="2D502DAC" w:rsidR="00912981" w:rsidRPr="00F82399" w:rsidRDefault="009129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497F31" w14:textId="7186BE0B" w:rsidR="00912981" w:rsidRPr="00F82399" w:rsidRDefault="009129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BA14D72" w14:textId="16C2E7FD" w:rsidR="00912981" w:rsidRPr="00F82399" w:rsidRDefault="009129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4F5AB" w14:textId="1BCF561B" w:rsidR="00912981" w:rsidRPr="00F82399" w:rsidRDefault="009129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43</w:t>
            </w:r>
          </w:p>
        </w:tc>
      </w:tr>
      <w:tr w:rsidR="00912981" w:rsidRPr="00DD40FC" w14:paraId="510EEC8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490FE" w14:textId="4D9396AF" w:rsidR="00912981" w:rsidRPr="00F82399" w:rsidRDefault="009129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w:t>
            </w:r>
            <w:r w:rsidR="008D33B0" w:rsidRPr="00F82399">
              <w:rPr>
                <w:rFonts w:ascii="Lato" w:hAnsi="Lato" w:cs="Arial"/>
                <w:spacing w:val="4"/>
                <w:sz w:val="22"/>
                <w:szCs w:val="22"/>
                <w:lang w:eastAsia="zh-CN" w:bidi="pl-PL"/>
              </w:rPr>
              <w:t>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9B28E1" w14:textId="119BEABE" w:rsidR="00912981" w:rsidRPr="00F82399" w:rsidRDefault="009129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7C19F3" w14:textId="43DBE1A6" w:rsidR="00912981" w:rsidRPr="00F82399" w:rsidRDefault="009129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AFC73CB" w14:textId="5750E644" w:rsidR="00912981" w:rsidRPr="00F82399" w:rsidRDefault="009129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2F788" w14:textId="424E8726" w:rsidR="00912981" w:rsidRPr="00F82399" w:rsidRDefault="009129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45</w:t>
            </w:r>
          </w:p>
        </w:tc>
      </w:tr>
      <w:tr w:rsidR="009940EA" w:rsidRPr="00DD40FC" w14:paraId="658B271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282D0" w14:textId="0E4C3AD9" w:rsidR="009940EA" w:rsidRPr="00F82399" w:rsidRDefault="009940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w:t>
            </w:r>
            <w:r w:rsidR="008D33B0" w:rsidRPr="00F82399">
              <w:rPr>
                <w:rFonts w:ascii="Lato" w:hAnsi="Lato" w:cs="Arial"/>
                <w:spacing w:val="4"/>
                <w:sz w:val="22"/>
                <w:szCs w:val="22"/>
                <w:lang w:eastAsia="zh-CN" w:bidi="pl-PL"/>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011332" w14:textId="7B08C55D" w:rsidR="009940EA" w:rsidRPr="00F82399" w:rsidRDefault="009940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4A3065" w14:textId="2C928DE5" w:rsidR="009940EA" w:rsidRPr="00F82399" w:rsidRDefault="009940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F2F5442" w14:textId="669915CD" w:rsidR="009940EA" w:rsidRPr="00F82399" w:rsidRDefault="009940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018FA" w14:textId="34B7B745" w:rsidR="009940EA" w:rsidRPr="00F82399" w:rsidRDefault="009940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55</w:t>
            </w:r>
          </w:p>
        </w:tc>
      </w:tr>
      <w:tr w:rsidR="002D22C4" w:rsidRPr="00DD40FC" w14:paraId="3E8440E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8CC48" w14:textId="75EC3C9A"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w:t>
            </w:r>
            <w:r w:rsidR="008D33B0" w:rsidRPr="00F82399">
              <w:rPr>
                <w:rFonts w:ascii="Lato" w:hAnsi="Lato" w:cs="Arial"/>
                <w:spacing w:val="4"/>
                <w:sz w:val="22"/>
                <w:szCs w:val="22"/>
                <w:lang w:eastAsia="zh-CN" w:bidi="pl-PL"/>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F1B91A" w14:textId="175ABB48"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6F735" w14:textId="2A3B6101"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E568126" w14:textId="06507135"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560EE" w14:textId="2B483114"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56</w:t>
            </w:r>
          </w:p>
        </w:tc>
      </w:tr>
      <w:tr w:rsidR="002D22C4" w:rsidRPr="00DD40FC" w14:paraId="2963AD2E"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57623" w14:textId="15B33A8E"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w:t>
            </w:r>
            <w:r w:rsidR="008D33B0" w:rsidRPr="00F82399">
              <w:rPr>
                <w:rFonts w:ascii="Lato" w:hAnsi="Lato" w:cs="Arial"/>
                <w:spacing w:val="4"/>
                <w:sz w:val="22"/>
                <w:szCs w:val="22"/>
                <w:lang w:eastAsia="zh-CN" w:bidi="pl-PL"/>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D31DE81" w14:textId="01CEFBB6"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31C0C6" w14:textId="4CAE6351"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8BD3177" w14:textId="3AACEC9F"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F6B49" w14:textId="390F0BA7"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58</w:t>
            </w:r>
          </w:p>
        </w:tc>
      </w:tr>
      <w:tr w:rsidR="002D22C4" w:rsidRPr="00DD40FC" w14:paraId="48BC3749"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DB565" w14:textId="26840157"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w:t>
            </w:r>
            <w:r w:rsidR="008D33B0" w:rsidRPr="00F82399">
              <w:rPr>
                <w:rFonts w:ascii="Lato" w:hAnsi="Lato" w:cs="Arial"/>
                <w:spacing w:val="4"/>
                <w:sz w:val="22"/>
                <w:szCs w:val="22"/>
                <w:lang w:eastAsia="zh-CN" w:bidi="pl-PL"/>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54C3AE" w14:textId="6BAA67C6"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E39179" w14:textId="225DE2F8"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650AFB1" w14:textId="7BF4D4A2"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0F6E3" w14:textId="3FF928CC" w:rsidR="002D22C4" w:rsidRPr="00F82399" w:rsidRDefault="002D22C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59</w:t>
            </w:r>
          </w:p>
        </w:tc>
      </w:tr>
      <w:tr w:rsidR="002E6986" w:rsidRPr="00DD40FC" w14:paraId="716A9BC9"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0E664" w14:textId="3735652A"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w:t>
            </w:r>
            <w:r w:rsidR="008D33B0" w:rsidRPr="00F82399">
              <w:rPr>
                <w:rFonts w:ascii="Lato" w:hAnsi="Lato" w:cs="Arial"/>
                <w:spacing w:val="4"/>
                <w:sz w:val="22"/>
                <w:szCs w:val="22"/>
                <w:lang w:eastAsia="zh-CN" w:bidi="pl-PL"/>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7F3631F" w14:textId="609ED7D4"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2E591B" w14:textId="761151DC"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01D272A" w14:textId="43325F52"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74659A" w14:textId="004DF581"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60</w:t>
            </w:r>
          </w:p>
        </w:tc>
      </w:tr>
      <w:tr w:rsidR="002E6986" w:rsidRPr="00DD40FC" w14:paraId="3764790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C7D24" w14:textId="656B2C7F"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w:t>
            </w:r>
            <w:r w:rsidR="008D33B0" w:rsidRPr="00F82399">
              <w:rPr>
                <w:rFonts w:ascii="Lato" w:hAnsi="Lato" w:cs="Arial"/>
                <w:spacing w:val="4"/>
                <w:sz w:val="22"/>
                <w:szCs w:val="22"/>
                <w:lang w:eastAsia="zh-CN" w:bidi="pl-PL"/>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B9920A" w14:textId="19F8DA93"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2470CF" w14:textId="6921ED13"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808939D" w14:textId="0A1782AE"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39C6B" w14:textId="7F0D51BC"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82</w:t>
            </w:r>
          </w:p>
        </w:tc>
      </w:tr>
      <w:tr w:rsidR="002E6986" w:rsidRPr="00DD40FC" w14:paraId="47BE3387"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7DEEC" w14:textId="49CDE374"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w:t>
            </w:r>
            <w:r w:rsidR="008D33B0" w:rsidRPr="00F82399">
              <w:rPr>
                <w:rFonts w:ascii="Lato" w:hAnsi="Lato" w:cs="Arial"/>
                <w:spacing w:val="4"/>
                <w:sz w:val="22"/>
                <w:szCs w:val="22"/>
                <w:lang w:eastAsia="zh-CN" w:bidi="pl-PL"/>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8FCD50" w14:textId="0947B2BD"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C45E24" w14:textId="5752171F"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F5C4A19" w14:textId="2A8774F9"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34B57" w14:textId="5FC508B1" w:rsidR="002E6986" w:rsidRPr="00F82399" w:rsidRDefault="002E698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83</w:t>
            </w:r>
          </w:p>
        </w:tc>
      </w:tr>
      <w:tr w:rsidR="0033435D" w:rsidRPr="00DD40FC" w14:paraId="7D759E9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6B7855" w14:textId="40B869AB"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w:t>
            </w:r>
            <w:r w:rsidR="008D33B0" w:rsidRPr="00F82399">
              <w:rPr>
                <w:rFonts w:ascii="Lato" w:hAnsi="Lato" w:cs="Arial"/>
                <w:spacing w:val="4"/>
                <w:sz w:val="22"/>
                <w:szCs w:val="22"/>
                <w:lang w:eastAsia="zh-CN" w:bidi="pl-PL"/>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F41D30" w14:textId="7761922B"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1078C7" w14:textId="570B85C5"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DF648ED" w14:textId="6408AF15"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5895BF" w14:textId="55904E78"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85</w:t>
            </w:r>
          </w:p>
        </w:tc>
      </w:tr>
      <w:tr w:rsidR="0033435D" w:rsidRPr="00DD40FC" w14:paraId="01D7952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491E9" w14:textId="7B2C1824"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118</w:t>
            </w:r>
            <w:r w:rsidR="008D33B0" w:rsidRPr="00F82399">
              <w:rPr>
                <w:rFonts w:ascii="Lato" w:hAnsi="Lato" w:cs="Arial"/>
                <w:spacing w:val="4"/>
                <w:sz w:val="22"/>
                <w:szCs w:val="22"/>
                <w:lang w:eastAsia="zh-CN" w:bidi="pl-PL"/>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7E7C5A" w14:textId="08ADE5B1"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7540F7" w14:textId="52558959"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C4A2D62" w14:textId="6EE62CF4"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BC093" w14:textId="283CA043"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86</w:t>
            </w:r>
          </w:p>
        </w:tc>
      </w:tr>
      <w:tr w:rsidR="0033435D" w:rsidRPr="00DD40FC" w14:paraId="6DF386A7"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82B43" w14:textId="7C5A8B49"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w:t>
            </w:r>
            <w:r w:rsidR="008D33B0" w:rsidRPr="00F82399">
              <w:rPr>
                <w:rFonts w:ascii="Lato" w:hAnsi="Lato" w:cs="Arial"/>
                <w:spacing w:val="4"/>
                <w:sz w:val="22"/>
                <w:szCs w:val="22"/>
                <w:lang w:eastAsia="zh-CN" w:bidi="pl-PL"/>
              </w:rPr>
              <w:t>89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7D0977C" w14:textId="47D8609D"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504A7C" w14:textId="14EA6C16"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B465A1B" w14:textId="6305344F"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B763A" w14:textId="052E04B3" w:rsidR="0033435D" w:rsidRPr="00F82399" w:rsidRDefault="0033435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87</w:t>
            </w:r>
          </w:p>
        </w:tc>
      </w:tr>
      <w:tr w:rsidR="00B77395" w:rsidRPr="00DD40FC" w14:paraId="74118249"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BCB24" w14:textId="30425FB1" w:rsidR="00B77395" w:rsidRPr="00F82399" w:rsidRDefault="00B7739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119</w:t>
            </w:r>
            <w:r w:rsidR="008D33B0" w:rsidRPr="00F82399">
              <w:rPr>
                <w:rFonts w:ascii="Lato" w:hAnsi="Lato" w:cs="Arial"/>
                <w:spacing w:val="4"/>
                <w:sz w:val="22"/>
                <w:szCs w:val="22"/>
                <w:lang w:eastAsia="zh-CN" w:bidi="pl-PL"/>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1D045D" w14:textId="3E02D928" w:rsidR="00B77395" w:rsidRPr="00F82399" w:rsidRDefault="00B7739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D26EC" w14:textId="350044DE" w:rsidR="00B77395" w:rsidRPr="00F82399" w:rsidRDefault="00B7739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E0AFBFC" w14:textId="2419CEE4" w:rsidR="00B77395" w:rsidRPr="00F82399" w:rsidRDefault="00B7739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1BAA1" w14:textId="13A278AE" w:rsidR="00B77395" w:rsidRPr="00F82399" w:rsidRDefault="00B77395"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154</w:t>
            </w:r>
          </w:p>
        </w:tc>
      </w:tr>
      <w:tr w:rsidR="0077034B" w:rsidRPr="00DD40FC" w14:paraId="4633B2C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AB5B0" w14:textId="150257B6" w:rsidR="0077034B" w:rsidRPr="00F82399" w:rsidRDefault="0077034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119</w:t>
            </w:r>
            <w:r w:rsidR="008D33B0" w:rsidRPr="00F82399">
              <w:rPr>
                <w:rFonts w:ascii="Lato" w:hAnsi="Lato" w:cs="Arial"/>
                <w:spacing w:val="4"/>
                <w:sz w:val="22"/>
                <w:szCs w:val="22"/>
                <w:lang w:eastAsia="zh-CN" w:bidi="pl-PL"/>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E8F815" w14:textId="7E214D21" w:rsidR="0077034B" w:rsidRPr="00F82399" w:rsidRDefault="0077034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1FA9E" w14:textId="20880552" w:rsidR="0077034B" w:rsidRPr="00F82399" w:rsidRDefault="0077034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6787A0F" w14:textId="78B2DD88" w:rsidR="0077034B" w:rsidRPr="00F82399" w:rsidRDefault="0077034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F5244" w14:textId="02DF6063" w:rsidR="0077034B" w:rsidRPr="00F82399" w:rsidRDefault="0077034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170</w:t>
            </w:r>
          </w:p>
        </w:tc>
      </w:tr>
      <w:tr w:rsidR="00DF0B38" w:rsidRPr="00DD40FC" w14:paraId="42BD718C"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0F4B5" w14:textId="0B318B91" w:rsidR="00DF0B38" w:rsidRPr="00F82399" w:rsidRDefault="00DF0B3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119</w:t>
            </w:r>
            <w:r w:rsidR="008D33B0" w:rsidRPr="00F82399">
              <w:rPr>
                <w:rFonts w:ascii="Lato" w:hAnsi="Lato" w:cs="Arial"/>
                <w:spacing w:val="4"/>
                <w:sz w:val="22"/>
                <w:szCs w:val="22"/>
                <w:lang w:eastAsia="zh-CN" w:bidi="pl-PL"/>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218A6E3" w14:textId="6899E35A" w:rsidR="00DF0B38" w:rsidRPr="00F82399" w:rsidRDefault="00DF0B3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711DA" w14:textId="31EB8672" w:rsidR="00DF0B38" w:rsidRPr="00F82399" w:rsidRDefault="00DF0B3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E04CBA9" w14:textId="0ADC2390" w:rsidR="00DF0B38" w:rsidRPr="00F82399" w:rsidRDefault="00DF0B3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5E8B7" w14:textId="4851D0F0" w:rsidR="00DF0B38" w:rsidRPr="00F82399" w:rsidRDefault="00DF0B3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175/1</w:t>
            </w:r>
          </w:p>
        </w:tc>
      </w:tr>
      <w:tr w:rsidR="00DF0B38" w:rsidRPr="00DD40FC" w14:paraId="4E1D5C61"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B5A3F" w14:textId="2317DDBE" w:rsidR="00DF0B38" w:rsidRPr="00F82399" w:rsidRDefault="00DF0B3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119</w:t>
            </w:r>
            <w:r w:rsidR="008D33B0" w:rsidRPr="00F82399">
              <w:rPr>
                <w:rFonts w:ascii="Lato" w:hAnsi="Lato" w:cs="Arial"/>
                <w:spacing w:val="4"/>
                <w:sz w:val="22"/>
                <w:szCs w:val="22"/>
                <w:lang w:eastAsia="zh-CN" w:bidi="pl-PL"/>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4201F9" w14:textId="21730482" w:rsidR="00DF0B38" w:rsidRPr="00F82399" w:rsidRDefault="00DF0B3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527431" w14:textId="7B3576B3" w:rsidR="00DF0B38"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8404143" w14:textId="373F494F" w:rsidR="00DF0B38"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4696C" w14:textId="57F868F8" w:rsidR="00DF0B38"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182/1</w:t>
            </w:r>
          </w:p>
        </w:tc>
      </w:tr>
      <w:tr w:rsidR="00F83A56" w:rsidRPr="00DD40FC" w14:paraId="7DF7A47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56525" w14:textId="266B2B30"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119</w:t>
            </w:r>
            <w:r w:rsidR="008D33B0" w:rsidRPr="00F82399">
              <w:rPr>
                <w:rFonts w:ascii="Lato" w:hAnsi="Lato" w:cs="Arial"/>
                <w:spacing w:val="4"/>
                <w:sz w:val="22"/>
                <w:szCs w:val="22"/>
                <w:lang w:eastAsia="zh-CN" w:bidi="pl-PL"/>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860C2B" w14:textId="1A59C2CD"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8D8B49" w14:textId="10DB33B6"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5255C2A" w14:textId="008D2BFC"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D9FC9" w14:textId="004AB8B7"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182/2</w:t>
            </w:r>
          </w:p>
        </w:tc>
      </w:tr>
      <w:tr w:rsidR="00F83A56" w:rsidRPr="00DD40FC" w14:paraId="2C41AC43"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781D1" w14:textId="4752C992"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119</w:t>
            </w:r>
            <w:r w:rsidR="008D33B0" w:rsidRPr="00F82399">
              <w:rPr>
                <w:rFonts w:ascii="Lato" w:hAnsi="Lato" w:cs="Arial"/>
                <w:spacing w:val="4"/>
                <w:sz w:val="22"/>
                <w:szCs w:val="22"/>
                <w:lang w:eastAsia="zh-CN" w:bidi="pl-PL"/>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7BFD26" w14:textId="73301FAB"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AB8CEB" w14:textId="6D510484"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B4A05B7" w14:textId="21BAFEAC"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9F827" w14:textId="627FD87C"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186</w:t>
            </w:r>
          </w:p>
        </w:tc>
      </w:tr>
      <w:tr w:rsidR="00F83A56" w:rsidRPr="00DD40FC" w14:paraId="4654558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1CFAA" w14:textId="33FAEA58"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119</w:t>
            </w:r>
            <w:r w:rsidR="008D33B0" w:rsidRPr="00F82399">
              <w:rPr>
                <w:rFonts w:ascii="Lato" w:hAnsi="Lato" w:cs="Arial"/>
                <w:spacing w:val="4"/>
                <w:sz w:val="22"/>
                <w:szCs w:val="22"/>
                <w:lang w:eastAsia="zh-CN" w:bidi="pl-PL"/>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B8944F" w14:textId="720E2521"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1E75BC" w14:textId="32FF6A01"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597A1BC" w14:textId="5D482697"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48D79" w14:textId="2618643E"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187</w:t>
            </w:r>
          </w:p>
        </w:tc>
      </w:tr>
      <w:tr w:rsidR="00F83A56" w:rsidRPr="00DD40FC" w14:paraId="6F3C3C9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40D0C" w14:textId="7187C63C"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119</w:t>
            </w:r>
            <w:r w:rsidR="008D33B0" w:rsidRPr="00F82399">
              <w:rPr>
                <w:rFonts w:ascii="Lato" w:hAnsi="Lato" w:cs="Arial"/>
                <w:spacing w:val="4"/>
                <w:sz w:val="22"/>
                <w:szCs w:val="22"/>
                <w:lang w:eastAsia="zh-CN" w:bidi="pl-PL"/>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BC5280E" w14:textId="253D3405"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9E5861" w14:textId="689F985D"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6B18363" w14:textId="2BDF0250"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A5A6F" w14:textId="0B6CFCB2"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245</w:t>
            </w:r>
          </w:p>
        </w:tc>
      </w:tr>
      <w:tr w:rsidR="00F83A56" w:rsidRPr="00DD40FC" w14:paraId="2EF4E772"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D6492" w14:textId="517802E2" w:rsidR="00F83A56" w:rsidRPr="00F82399" w:rsidRDefault="00F83A56"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119</w:t>
            </w:r>
            <w:r w:rsidR="008D33B0" w:rsidRPr="00F82399">
              <w:rPr>
                <w:rFonts w:ascii="Lato" w:hAnsi="Lato" w:cs="Arial"/>
                <w:spacing w:val="4"/>
                <w:sz w:val="22"/>
                <w:szCs w:val="22"/>
                <w:lang w:eastAsia="zh-CN" w:bidi="pl-PL"/>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C81600" w14:textId="4346B0E3" w:rsidR="00F83A56" w:rsidRPr="00F82399" w:rsidRDefault="0068274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00B320" w14:textId="04A8C679" w:rsidR="00F83A56" w:rsidRPr="00F82399" w:rsidRDefault="0068274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BE4A427" w14:textId="0EAE7200" w:rsidR="00F83A56" w:rsidRPr="00F82399" w:rsidRDefault="0068274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w:t>
            </w:r>
            <w:r w:rsidR="00EB0F8E" w:rsidRPr="00F82399">
              <w:rPr>
                <w:rFonts w:ascii="Lato" w:hAnsi="Lato" w:cs="Arial"/>
                <w:spacing w:val="4"/>
                <w:sz w:val="22"/>
                <w:szCs w:val="22"/>
                <w:lang w:eastAsia="zh-CN" w:bidi="pl-PL"/>
              </w:rPr>
              <w:t>3</w:t>
            </w:r>
            <w:r w:rsidRPr="00F82399">
              <w:rPr>
                <w:rFonts w:ascii="Lato" w:hAnsi="Lato" w:cs="Arial"/>
                <w:spacing w:val="4"/>
                <w:sz w:val="22"/>
                <w:szCs w:val="22"/>
                <w:lang w:eastAsia="zh-CN" w:bidi="pl-PL"/>
              </w:rPr>
              <w:t xml:space="preserve"> Oryszew</w:t>
            </w:r>
            <w:r w:rsidR="00EB0F8E" w:rsidRPr="00F82399">
              <w:rPr>
                <w:rFonts w:ascii="Lato" w:hAnsi="Lato" w:cs="Arial"/>
                <w:spacing w:val="4"/>
                <w:sz w:val="22"/>
                <w:szCs w:val="22"/>
                <w:lang w:eastAsia="zh-CN" w:bidi="pl-PL"/>
              </w:rPr>
              <w:t xml:space="preserve"> Osada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7A1142" w14:textId="209B364A" w:rsidR="00F83A56" w:rsidRPr="00F82399" w:rsidRDefault="0068274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w:t>
            </w:r>
          </w:p>
        </w:tc>
      </w:tr>
      <w:tr w:rsidR="00C4161F" w:rsidRPr="00DD40FC" w14:paraId="0B0357D6"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6F9F3" w14:textId="28370852" w:rsidR="00C4161F" w:rsidRPr="00F82399" w:rsidRDefault="00C4161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w:t>
            </w:r>
            <w:r w:rsidR="008D33B0" w:rsidRPr="00F82399">
              <w:rPr>
                <w:rFonts w:ascii="Lato" w:hAnsi="Lato" w:cs="Arial"/>
                <w:spacing w:val="4"/>
                <w:sz w:val="22"/>
                <w:szCs w:val="22"/>
                <w:lang w:eastAsia="zh-CN" w:bidi="pl-PL"/>
              </w:rPr>
              <w:t>199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1F9826" w14:textId="2578A594" w:rsidR="00C4161F" w:rsidRPr="00F82399" w:rsidRDefault="00C4161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1CBE79" w14:textId="3B47CC1D" w:rsidR="00C4161F" w:rsidRPr="00F82399" w:rsidRDefault="00C4161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BC40B89" w14:textId="10DE3E7D" w:rsidR="00C4161F" w:rsidRPr="00F82399" w:rsidRDefault="00C4161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Oryszew Osada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B6FF8" w14:textId="390FE933" w:rsidR="00C4161F" w:rsidRPr="00F82399" w:rsidRDefault="00C4161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w:t>
            </w:r>
          </w:p>
        </w:tc>
      </w:tr>
      <w:tr w:rsidR="00C4161F" w:rsidRPr="00DD40FC" w14:paraId="2045D98E"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44A78" w14:textId="581D8D9C" w:rsidR="00C4161F" w:rsidRPr="00F82399" w:rsidRDefault="00C4161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w:t>
            </w:r>
            <w:r w:rsidR="00223C1B" w:rsidRPr="00F82399">
              <w:rPr>
                <w:rFonts w:ascii="Lato" w:hAnsi="Lato" w:cs="Arial"/>
                <w:spacing w:val="4"/>
                <w:sz w:val="22"/>
                <w:szCs w:val="22"/>
                <w:lang w:eastAsia="zh-CN" w:bidi="pl-PL"/>
              </w:rPr>
              <w:t>20</w:t>
            </w:r>
            <w:r w:rsidR="008D33B0" w:rsidRPr="00F82399">
              <w:rPr>
                <w:rFonts w:ascii="Lato" w:hAnsi="Lato" w:cs="Arial"/>
                <w:spacing w:val="4"/>
                <w:sz w:val="22"/>
                <w:szCs w:val="22"/>
                <w:lang w:eastAsia="zh-CN" w:bidi="pl-PL"/>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C9B0C5" w14:textId="16F61559" w:rsidR="00C4161F" w:rsidRPr="00F82399" w:rsidRDefault="00C4161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8F1A81" w14:textId="72D97B23" w:rsidR="00C4161F" w:rsidRPr="00F82399" w:rsidRDefault="00C4161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BF8B5C1" w14:textId="7F03F730" w:rsidR="00C4161F" w:rsidRPr="00F82399" w:rsidRDefault="00C4161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Oryszew Osada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1A6B9" w14:textId="6765D60F" w:rsidR="00C4161F" w:rsidRPr="00F82399" w:rsidRDefault="00C4161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4/3</w:t>
            </w:r>
          </w:p>
        </w:tc>
      </w:tr>
      <w:tr w:rsidR="00223C1B" w:rsidRPr="00DD40FC" w14:paraId="43AEE66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28086" w14:textId="0EC45124" w:rsidR="00223C1B" w:rsidRPr="00F82399" w:rsidRDefault="00223C1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120</w:t>
            </w:r>
            <w:r w:rsidR="008D33B0" w:rsidRPr="00F82399">
              <w:rPr>
                <w:rFonts w:ascii="Lato" w:hAnsi="Lato" w:cs="Arial"/>
                <w:spacing w:val="4"/>
                <w:sz w:val="22"/>
                <w:szCs w:val="22"/>
                <w:lang w:eastAsia="zh-CN" w:bidi="pl-PL"/>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394EE6" w14:textId="7C12C9E6" w:rsidR="00223C1B" w:rsidRPr="00F82399" w:rsidRDefault="00D4764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094AC90" w14:textId="387DF7FE" w:rsidR="00223C1B" w:rsidRPr="00F82399" w:rsidRDefault="00D4764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2ACF671" w14:textId="0C725AB0" w:rsidR="00223C1B" w:rsidRPr="00F82399" w:rsidRDefault="00D4764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Oryszew Osada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7716B5" w14:textId="1F967C84" w:rsidR="00223C1B" w:rsidRPr="00F82399" w:rsidRDefault="00D4764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25/1</w:t>
            </w:r>
          </w:p>
        </w:tc>
      </w:tr>
      <w:tr w:rsidR="003245EA" w:rsidRPr="00DD40FC" w14:paraId="3F2BE57E"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0C978" w14:textId="16388125" w:rsidR="003245EA" w:rsidRPr="00F82399" w:rsidRDefault="003245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120</w:t>
            </w:r>
            <w:r w:rsidR="008D33B0" w:rsidRPr="00F82399">
              <w:rPr>
                <w:rFonts w:ascii="Lato" w:hAnsi="Lato" w:cs="Arial"/>
                <w:spacing w:val="4"/>
                <w:sz w:val="22"/>
                <w:szCs w:val="22"/>
                <w:lang w:eastAsia="zh-CN" w:bidi="pl-PL"/>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9DF2CA" w14:textId="08AAC6B0" w:rsidR="003245EA" w:rsidRPr="00F82399" w:rsidRDefault="003245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77F2F9" w14:textId="3A191FEB" w:rsidR="003245EA" w:rsidRPr="00F82399" w:rsidRDefault="003245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9B0E7CA" w14:textId="089CBE4C" w:rsidR="003245EA" w:rsidRPr="00F82399" w:rsidRDefault="003245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Oryszew Osada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90619" w14:textId="449AFDAF" w:rsidR="003245EA" w:rsidRPr="00F82399" w:rsidRDefault="003245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29/1</w:t>
            </w:r>
          </w:p>
        </w:tc>
      </w:tr>
      <w:tr w:rsidR="003245EA" w:rsidRPr="00DD40FC" w14:paraId="13CB655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6B26C" w14:textId="0D9AB3C0" w:rsidR="003245EA" w:rsidRPr="00F82399" w:rsidRDefault="003245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120</w:t>
            </w:r>
            <w:r w:rsidR="008D33B0" w:rsidRPr="00F82399">
              <w:rPr>
                <w:rFonts w:ascii="Lato" w:hAnsi="Lato" w:cs="Arial"/>
                <w:spacing w:val="4"/>
                <w:sz w:val="22"/>
                <w:szCs w:val="22"/>
                <w:lang w:eastAsia="zh-CN" w:bidi="pl-PL"/>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078E23" w14:textId="4CB50D7E" w:rsidR="003245EA" w:rsidRPr="00F82399" w:rsidRDefault="003245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E49155" w14:textId="3E3B3F8F" w:rsidR="003245EA" w:rsidRPr="00F82399" w:rsidRDefault="003245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BA841B1" w14:textId="7AFEC8F8" w:rsidR="003245EA" w:rsidRPr="00F82399" w:rsidRDefault="003245EA"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Oryszew Osada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D1F02" w14:textId="0A5255A8" w:rsidR="003245EA" w:rsidRPr="00F82399" w:rsidRDefault="0033092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29/2</w:t>
            </w:r>
          </w:p>
        </w:tc>
      </w:tr>
      <w:tr w:rsidR="0033092F" w:rsidRPr="00DD40FC" w14:paraId="215422A9"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ADE47" w14:textId="13EF04D8" w:rsidR="0033092F" w:rsidRPr="00F82399" w:rsidRDefault="0033092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lastRenderedPageBreak/>
              <w:t>120</w:t>
            </w:r>
            <w:r w:rsidR="008D33B0" w:rsidRPr="00F82399">
              <w:rPr>
                <w:rFonts w:ascii="Lato" w:hAnsi="Lato" w:cs="Arial"/>
                <w:spacing w:val="4"/>
                <w:sz w:val="22"/>
                <w:szCs w:val="22"/>
                <w:lang w:eastAsia="zh-CN" w:bidi="pl-PL"/>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DDFD92" w14:textId="0EA2C7E5" w:rsidR="0033092F" w:rsidRPr="00F82399" w:rsidRDefault="0033092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559139" w14:textId="32444F2B" w:rsidR="0033092F" w:rsidRPr="00F82399" w:rsidRDefault="0033092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EB10C1C" w14:textId="7F688444" w:rsidR="0033092F" w:rsidRPr="00F82399" w:rsidRDefault="0033092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Oryszew Osada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A92F1" w14:textId="12667853" w:rsidR="0033092F" w:rsidRPr="00F82399" w:rsidRDefault="0033092F"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32</w:t>
            </w:r>
          </w:p>
        </w:tc>
      </w:tr>
      <w:tr w:rsidR="00EE09FB" w:rsidRPr="00DD40FC" w14:paraId="7DA0E658"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64442" w14:textId="435CD189" w:rsidR="00EE09FB" w:rsidRPr="00F82399" w:rsidRDefault="00EE09F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120</w:t>
            </w:r>
            <w:r w:rsidR="008D33B0" w:rsidRPr="00F82399">
              <w:rPr>
                <w:rFonts w:ascii="Lato" w:hAnsi="Lato" w:cs="Arial"/>
                <w:spacing w:val="4"/>
                <w:sz w:val="22"/>
                <w:szCs w:val="22"/>
                <w:lang w:eastAsia="zh-CN" w:bidi="pl-PL"/>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958975" w14:textId="682A237B" w:rsidR="00EE09FB" w:rsidRPr="00F82399" w:rsidRDefault="00EE09F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C717D6" w14:textId="2C5901B8" w:rsidR="00EE09FB" w:rsidRPr="00F82399" w:rsidRDefault="00EE09F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AEA2769" w14:textId="716E0ADD" w:rsidR="00EE09FB" w:rsidRPr="00F82399" w:rsidRDefault="00EE09F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Oryszew Osada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6C99A" w14:textId="0B3121BE" w:rsidR="00EE09FB" w:rsidRPr="00F82399" w:rsidRDefault="00EE09F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34/1</w:t>
            </w:r>
          </w:p>
        </w:tc>
      </w:tr>
      <w:tr w:rsidR="00EE09FB" w:rsidRPr="00DD40FC" w14:paraId="19A2E15A"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BD670" w14:textId="4122C783" w:rsidR="00EE09FB" w:rsidRPr="00F82399" w:rsidRDefault="00EE09F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120</w:t>
            </w:r>
            <w:r w:rsidR="008D33B0" w:rsidRPr="00F82399">
              <w:rPr>
                <w:rFonts w:ascii="Lato" w:hAnsi="Lato" w:cs="Arial"/>
                <w:spacing w:val="4"/>
                <w:sz w:val="22"/>
                <w:szCs w:val="22"/>
                <w:lang w:eastAsia="zh-CN" w:bidi="pl-PL"/>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2E3285" w14:textId="78CB5873" w:rsidR="00EE09FB" w:rsidRPr="00F82399" w:rsidRDefault="00EE09FB"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54FC20" w14:textId="3E357385" w:rsidR="00EE09FB"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6590900" w14:textId="41AA25AD" w:rsidR="00EE09FB"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0024 Podbuszyce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B39BD" w14:textId="0D8A7CFF" w:rsidR="00EE09FB"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w:t>
            </w:r>
          </w:p>
        </w:tc>
      </w:tr>
      <w:tr w:rsidR="00CB0BF8" w:rsidRPr="00DD40FC" w14:paraId="536C46C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1F7BD" w14:textId="11B023C9" w:rsidR="00CB0BF8"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120</w:t>
            </w:r>
            <w:r w:rsidR="008D33B0" w:rsidRPr="00F82399">
              <w:rPr>
                <w:rFonts w:ascii="Lato" w:hAnsi="Lato" w:cs="Arial"/>
                <w:spacing w:val="4"/>
                <w:sz w:val="22"/>
                <w:szCs w:val="22"/>
                <w:lang w:eastAsia="zh-CN" w:bidi="pl-PL"/>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49CA33" w14:textId="5A6E015E" w:rsidR="00CB0BF8"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DEFDBD" w14:textId="1D877265" w:rsidR="00CB0BF8"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6B91533" w14:textId="5572AA26" w:rsidR="00CB0BF8"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0024 Podbuszyce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F21B0" w14:textId="4A86C2F2" w:rsidR="00CB0BF8"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w:t>
            </w:r>
          </w:p>
        </w:tc>
      </w:tr>
      <w:tr w:rsidR="00CB0BF8" w:rsidRPr="00DD40FC" w14:paraId="43E35D2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C11F7" w14:textId="5D982ED8" w:rsidR="00CB0BF8"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120</w:t>
            </w:r>
            <w:r w:rsidR="008D33B0" w:rsidRPr="00F82399">
              <w:rPr>
                <w:rFonts w:ascii="Lato" w:hAnsi="Lato" w:cs="Arial"/>
                <w:spacing w:val="4"/>
                <w:sz w:val="22"/>
                <w:szCs w:val="22"/>
                <w:lang w:eastAsia="zh-CN" w:bidi="pl-PL"/>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7A1428" w14:textId="50D40B01" w:rsidR="00CB0BF8"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644428" w14:textId="34665265" w:rsidR="00CB0BF8"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9979582" w14:textId="628C3854" w:rsidR="00CB0BF8"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0024 Podbuszyce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F9A67" w14:textId="65AE15EE" w:rsidR="00CB0BF8" w:rsidRPr="00F82399" w:rsidRDefault="00CB0BF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w:t>
            </w:r>
          </w:p>
        </w:tc>
      </w:tr>
      <w:tr w:rsidR="00544823" w:rsidRPr="00DD40FC" w14:paraId="0CAF9955"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9B512" w14:textId="6E9EE35B" w:rsidR="00544823" w:rsidRPr="00F82399" w:rsidRDefault="00544823"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w:t>
            </w:r>
            <w:r w:rsidR="008D33B0" w:rsidRPr="00F82399">
              <w:rPr>
                <w:rFonts w:ascii="Lato" w:hAnsi="Lato" w:cs="Arial"/>
                <w:spacing w:val="4"/>
                <w:sz w:val="22"/>
                <w:szCs w:val="22"/>
                <w:lang w:eastAsia="zh-CN" w:bidi="pl-PL"/>
              </w:rPr>
              <w:t>09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E43B65" w14:textId="49187635" w:rsidR="00544823" w:rsidRPr="00F82399" w:rsidRDefault="00544823"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C772F3" w14:textId="5D3976D7" w:rsidR="00544823" w:rsidRPr="00F82399" w:rsidRDefault="00544823"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2591A547" w14:textId="0D1CA2A5" w:rsidR="00544823" w:rsidRPr="00F82399" w:rsidRDefault="00544823"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0024 Podbuszyce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E55D4" w14:textId="732433E0" w:rsidR="00544823" w:rsidRPr="00F82399" w:rsidRDefault="00544823"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5/2</w:t>
            </w:r>
          </w:p>
        </w:tc>
      </w:tr>
      <w:tr w:rsidR="00544823" w:rsidRPr="00DD40FC" w14:paraId="4DDB3B0B"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B7D7B" w14:textId="6CB7D4CF" w:rsidR="00544823" w:rsidRPr="00F82399" w:rsidRDefault="00544823"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121</w:t>
            </w:r>
            <w:r w:rsidR="008D33B0" w:rsidRPr="00F82399">
              <w:rPr>
                <w:rFonts w:ascii="Lato" w:hAnsi="Lato" w:cs="Arial"/>
                <w:spacing w:val="4"/>
                <w:sz w:val="22"/>
                <w:szCs w:val="22"/>
                <w:lang w:eastAsia="zh-CN" w:bidi="pl-PL"/>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29AA69" w14:textId="7E1F14D3" w:rsidR="00544823" w:rsidRPr="00F82399" w:rsidRDefault="00544823"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7B1FA3" w14:textId="48BA368A" w:rsidR="00544823" w:rsidRPr="00F82399" w:rsidRDefault="00544823"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2799178" w14:textId="320D8739" w:rsidR="00544823" w:rsidRPr="00F82399" w:rsidRDefault="00544823"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0024 Podbuszyce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E9FF4" w14:textId="4C095279" w:rsidR="00544823" w:rsidRPr="00F82399" w:rsidRDefault="00544823"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w:t>
            </w:r>
          </w:p>
        </w:tc>
      </w:tr>
      <w:tr w:rsidR="00C9000E" w:rsidRPr="00DD40FC" w14:paraId="2D9E836E"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187FB" w14:textId="414A3668" w:rsidR="00C9000E" w:rsidRPr="00F82399" w:rsidRDefault="00C900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121</w:t>
            </w:r>
            <w:r w:rsidR="008D33B0" w:rsidRPr="00F82399">
              <w:rPr>
                <w:rFonts w:ascii="Lato" w:hAnsi="Lato" w:cs="Arial"/>
                <w:spacing w:val="4"/>
                <w:sz w:val="22"/>
                <w:szCs w:val="22"/>
                <w:lang w:eastAsia="zh-CN" w:bidi="pl-PL"/>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4A9953" w14:textId="4600F93B" w:rsidR="00C9000E" w:rsidRPr="00F82399" w:rsidRDefault="00C900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E8E9A1" w14:textId="5EEC4E38" w:rsidR="00C9000E" w:rsidRPr="00F82399" w:rsidRDefault="00C900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757B594" w14:textId="0083E428" w:rsidR="00C9000E" w:rsidRPr="00F82399" w:rsidRDefault="00C900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0024 Podbuszyce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DE4C6" w14:textId="198D7342" w:rsidR="00C9000E" w:rsidRPr="00F82399" w:rsidRDefault="00C900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w:t>
            </w:r>
          </w:p>
        </w:tc>
      </w:tr>
      <w:tr w:rsidR="0016228C" w:rsidRPr="00DD40FC" w14:paraId="75E7989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6CEFA" w14:textId="02D08D0D" w:rsidR="0016228C" w:rsidRPr="00F82399" w:rsidRDefault="0016228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121</w:t>
            </w:r>
            <w:r w:rsidR="008D33B0" w:rsidRPr="00F82399">
              <w:rPr>
                <w:rFonts w:ascii="Lato" w:hAnsi="Lato" w:cs="Arial"/>
                <w:spacing w:val="4"/>
                <w:sz w:val="22"/>
                <w:szCs w:val="22"/>
                <w:lang w:eastAsia="zh-CN" w:bidi="pl-PL"/>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0F2742" w14:textId="6BCD8CEF" w:rsidR="0016228C" w:rsidRPr="00F82399" w:rsidRDefault="0016228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61F209" w14:textId="57614E48" w:rsidR="0016228C" w:rsidRPr="00F82399" w:rsidRDefault="0016228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28EFBB1" w14:textId="691A4BA0" w:rsidR="0016228C" w:rsidRPr="00F82399" w:rsidRDefault="0016228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w:t>
            </w:r>
            <w:r w:rsidR="003064BE" w:rsidRPr="00F82399">
              <w:rPr>
                <w:rFonts w:ascii="Lato" w:hAnsi="Lato" w:cs="Arial"/>
                <w:spacing w:val="4"/>
                <w:sz w:val="22"/>
                <w:szCs w:val="22"/>
                <w:lang w:eastAsia="zh-CN" w:bidi="pl-PL"/>
              </w:rPr>
              <w:t>5</w:t>
            </w:r>
            <w:r w:rsidRPr="00F82399">
              <w:rPr>
                <w:rFonts w:ascii="Lato" w:hAnsi="Lato" w:cs="Arial"/>
                <w:spacing w:val="4"/>
                <w:sz w:val="22"/>
                <w:szCs w:val="22"/>
                <w:lang w:eastAsia="zh-CN" w:bidi="pl-PL"/>
              </w:rPr>
              <w:t xml:space="preserve"> Pod</w:t>
            </w:r>
            <w:r w:rsidR="003064BE" w:rsidRPr="00F82399">
              <w:rPr>
                <w:rFonts w:ascii="Lato" w:hAnsi="Lato" w:cs="Arial"/>
                <w:spacing w:val="4"/>
                <w:sz w:val="22"/>
                <w:szCs w:val="22"/>
                <w:lang w:eastAsia="zh-CN" w:bidi="pl-PL"/>
              </w:rPr>
              <w:t>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A8686" w14:textId="73A7F3A2" w:rsidR="0016228C" w:rsidRPr="00F82399" w:rsidRDefault="0016228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4/1</w:t>
            </w:r>
          </w:p>
        </w:tc>
      </w:tr>
      <w:tr w:rsidR="0016228C" w:rsidRPr="00DD40FC" w14:paraId="4F91EAE0"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3520DF" w14:textId="7D9D50CB" w:rsidR="0016228C" w:rsidRPr="00F82399" w:rsidRDefault="0016228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121</w:t>
            </w:r>
            <w:r w:rsidR="008D33B0" w:rsidRPr="00F82399">
              <w:rPr>
                <w:rFonts w:ascii="Lato" w:hAnsi="Lato" w:cs="Arial"/>
                <w:spacing w:val="4"/>
                <w:sz w:val="22"/>
                <w:szCs w:val="22"/>
                <w:lang w:eastAsia="zh-CN" w:bidi="pl-PL"/>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3AE3E1" w14:textId="3AC6550C" w:rsidR="0016228C" w:rsidRPr="00F82399" w:rsidRDefault="0016228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44F28C" w14:textId="042700F9" w:rsidR="0016228C" w:rsidRPr="00F82399" w:rsidRDefault="0016228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919CD76" w14:textId="0CA2E695" w:rsidR="0016228C" w:rsidRPr="00F82399" w:rsidRDefault="0016228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w:t>
            </w:r>
            <w:r w:rsidR="003064BE" w:rsidRPr="00F82399">
              <w:rPr>
                <w:rFonts w:ascii="Lato" w:hAnsi="Lato" w:cs="Arial"/>
                <w:spacing w:val="4"/>
                <w:sz w:val="22"/>
                <w:szCs w:val="22"/>
                <w:lang w:eastAsia="zh-CN" w:bidi="pl-PL"/>
              </w:rPr>
              <w:t>5</w:t>
            </w:r>
            <w:r w:rsidRPr="00F82399">
              <w:rPr>
                <w:rFonts w:ascii="Lato" w:hAnsi="Lato" w:cs="Arial"/>
                <w:spacing w:val="4"/>
                <w:sz w:val="22"/>
                <w:szCs w:val="22"/>
                <w:lang w:eastAsia="zh-CN" w:bidi="pl-PL"/>
              </w:rPr>
              <w:t xml:space="preserve"> Pod</w:t>
            </w:r>
            <w:r w:rsidR="003064BE" w:rsidRPr="00F82399">
              <w:rPr>
                <w:rFonts w:ascii="Lato" w:hAnsi="Lato" w:cs="Arial"/>
                <w:spacing w:val="4"/>
                <w:sz w:val="22"/>
                <w:szCs w:val="22"/>
                <w:lang w:eastAsia="zh-CN" w:bidi="pl-PL"/>
              </w:rPr>
              <w:t>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BF139" w14:textId="2F5CFF8B" w:rsidR="0016228C" w:rsidRPr="00F82399" w:rsidRDefault="0016228C"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w:t>
            </w:r>
          </w:p>
        </w:tc>
      </w:tr>
      <w:tr w:rsidR="00C508B1" w:rsidRPr="00DD40FC" w14:paraId="61B3C88F"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E361B" w14:textId="5E284525" w:rsidR="00C508B1" w:rsidRPr="00F82399" w:rsidRDefault="00C508B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121</w:t>
            </w:r>
            <w:r w:rsidR="008D33B0" w:rsidRPr="00F82399">
              <w:rPr>
                <w:rFonts w:ascii="Lato" w:hAnsi="Lato" w:cs="Arial"/>
                <w:spacing w:val="4"/>
                <w:sz w:val="22"/>
                <w:szCs w:val="22"/>
                <w:lang w:eastAsia="zh-CN" w:bidi="pl-PL"/>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8E8D77" w14:textId="67FC6B37" w:rsidR="00C508B1" w:rsidRPr="00F82399" w:rsidRDefault="00931667"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D5D808" w14:textId="7555CCB7" w:rsidR="00C508B1" w:rsidRPr="00F82399" w:rsidRDefault="00931667"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BCDA7E3" w14:textId="76E27F02" w:rsidR="00C508B1" w:rsidRPr="00F82399" w:rsidRDefault="006A13B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w:t>
            </w:r>
            <w:r w:rsidR="003064BE" w:rsidRPr="00F82399">
              <w:rPr>
                <w:rFonts w:ascii="Lato" w:hAnsi="Lato" w:cs="Arial"/>
                <w:spacing w:val="4"/>
                <w:sz w:val="22"/>
                <w:szCs w:val="22"/>
                <w:lang w:eastAsia="zh-CN" w:bidi="pl-PL"/>
              </w:rPr>
              <w:t>5</w:t>
            </w:r>
            <w:r w:rsidRPr="00F82399">
              <w:rPr>
                <w:rFonts w:ascii="Lato" w:hAnsi="Lato" w:cs="Arial"/>
                <w:spacing w:val="4"/>
                <w:sz w:val="22"/>
                <w:szCs w:val="22"/>
                <w:lang w:eastAsia="zh-CN" w:bidi="pl-PL"/>
              </w:rPr>
              <w:t xml:space="preserve"> Pod</w:t>
            </w:r>
            <w:r w:rsidR="003064BE" w:rsidRPr="00F82399">
              <w:rPr>
                <w:rFonts w:ascii="Lato" w:hAnsi="Lato" w:cs="Arial"/>
                <w:spacing w:val="4"/>
                <w:sz w:val="22"/>
                <w:szCs w:val="22"/>
                <w:lang w:eastAsia="zh-CN" w:bidi="pl-PL"/>
              </w:rPr>
              <w:t>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AE8868" w14:textId="5552C228" w:rsidR="00C508B1" w:rsidRPr="00F82399" w:rsidRDefault="006A13B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22/1</w:t>
            </w:r>
          </w:p>
        </w:tc>
      </w:tr>
      <w:tr w:rsidR="006A13BE" w:rsidRPr="00DD40FC" w14:paraId="761393CB"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56C5E" w14:textId="5452A047" w:rsidR="006A13BE" w:rsidRPr="00F82399" w:rsidRDefault="003064B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121</w:t>
            </w:r>
            <w:r w:rsidR="008D33B0" w:rsidRPr="00F82399">
              <w:rPr>
                <w:rFonts w:ascii="Lato" w:hAnsi="Lato" w:cs="Arial"/>
                <w:spacing w:val="4"/>
                <w:sz w:val="22"/>
                <w:szCs w:val="22"/>
                <w:lang w:eastAsia="zh-CN" w:bidi="pl-PL"/>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DB0625" w14:textId="436D1F55" w:rsidR="006A13BE" w:rsidRPr="00F82399" w:rsidRDefault="003064B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87BBE5" w14:textId="1D3F7530" w:rsidR="006A13BE" w:rsidRPr="00F82399" w:rsidRDefault="003064B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63FFCCF" w14:textId="10B3CCC9" w:rsidR="006A13BE" w:rsidRPr="00F82399" w:rsidRDefault="003064B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0025 Podoryszew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26903" w14:textId="407654BF" w:rsidR="006A13BE" w:rsidRPr="00F82399" w:rsidRDefault="003064B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29</w:t>
            </w:r>
          </w:p>
        </w:tc>
      </w:tr>
      <w:tr w:rsidR="001C01D8" w:rsidRPr="00DD40FC" w14:paraId="77EC97C4" w14:textId="77777777" w:rsidTr="00F40707">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49175" w14:textId="054C353E" w:rsidR="001C01D8" w:rsidRPr="00F82399" w:rsidRDefault="001C01D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121</w:t>
            </w:r>
            <w:r w:rsidR="008D33B0" w:rsidRPr="00F82399">
              <w:rPr>
                <w:rFonts w:ascii="Lato" w:hAnsi="Lato" w:cs="Arial"/>
                <w:spacing w:val="4"/>
                <w:sz w:val="22"/>
                <w:szCs w:val="22"/>
                <w:lang w:eastAsia="zh-CN" w:bidi="pl-PL"/>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D1F3B" w14:textId="21771BC5" w:rsidR="001C01D8" w:rsidRPr="00F82399" w:rsidRDefault="001C01D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C3D939" w14:textId="42D1DAF5" w:rsidR="001C01D8" w:rsidRPr="00F82399" w:rsidRDefault="001C01D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047141CB" w14:textId="0178EA63" w:rsidR="001C01D8" w:rsidRPr="00F82399" w:rsidRDefault="001C01D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0025 Podoryszew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5B34F" w14:textId="65C52DA8" w:rsidR="001C01D8" w:rsidRPr="00F82399" w:rsidRDefault="001C01D8"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40/1</w:t>
            </w:r>
          </w:p>
        </w:tc>
      </w:tr>
      <w:tr w:rsidR="00B85F56" w:rsidRPr="00B85F56" w14:paraId="3C96E85C" w14:textId="77777777" w:rsidTr="00391C88">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955FD" w14:textId="2B75AE87" w:rsidR="0051381D" w:rsidRPr="00F82399" w:rsidRDefault="0051381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121</w:t>
            </w:r>
            <w:r w:rsidR="008D33B0" w:rsidRPr="00F82399">
              <w:rPr>
                <w:rFonts w:ascii="Lato" w:hAnsi="Lato" w:cs="Arial"/>
                <w:spacing w:val="4"/>
                <w:sz w:val="22"/>
                <w:szCs w:val="22"/>
                <w:lang w:eastAsia="zh-CN" w:bidi="pl-PL"/>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E4B3D0" w14:textId="4343785B" w:rsidR="0051381D" w:rsidRPr="00F82399" w:rsidRDefault="0051381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D2F16D" w14:textId="17D2088B" w:rsidR="0051381D" w:rsidRPr="00F82399" w:rsidRDefault="0051381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684CBA6" w14:textId="46CE20F4" w:rsidR="0051381D" w:rsidRPr="00F82399" w:rsidRDefault="0051381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56C41" w14:textId="18F5DDF1" w:rsidR="0051381D" w:rsidRPr="00F82399" w:rsidRDefault="0051381D"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75/3</w:t>
            </w:r>
          </w:p>
        </w:tc>
      </w:tr>
      <w:tr w:rsidR="00B85F56" w:rsidRPr="00B85F56" w14:paraId="6A2C7FBF" w14:textId="77777777" w:rsidTr="00391C88">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6A73E" w14:textId="2CD3ADA7" w:rsidR="00E13E01" w:rsidRPr="00F82399" w:rsidRDefault="00E13E0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121</w:t>
            </w:r>
            <w:r w:rsidR="008D33B0" w:rsidRPr="00F82399">
              <w:rPr>
                <w:rFonts w:ascii="Lato" w:hAnsi="Lato" w:cs="Arial"/>
                <w:spacing w:val="4"/>
                <w:sz w:val="22"/>
                <w:szCs w:val="22"/>
                <w:lang w:eastAsia="zh-CN" w:bidi="pl-PL"/>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7AE6BE" w14:textId="02CE959E" w:rsidR="00E13E01" w:rsidRPr="00F82399" w:rsidRDefault="00E13E0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F2CC1C" w14:textId="1DECAD7F" w:rsidR="00E13E01" w:rsidRPr="00F82399" w:rsidRDefault="00E13E0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48D13C8" w14:textId="32EE68AE" w:rsidR="00E13E01" w:rsidRPr="00F82399" w:rsidRDefault="00E13E0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CAFAF" w14:textId="74EBF82B" w:rsidR="00E13E01" w:rsidRPr="00F82399" w:rsidRDefault="00E13E0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80/3</w:t>
            </w:r>
          </w:p>
        </w:tc>
      </w:tr>
      <w:tr w:rsidR="00B85F56" w:rsidRPr="00B85F56" w14:paraId="4516E00A" w14:textId="77777777" w:rsidTr="00391C88">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C2122" w14:textId="2AD93E8D"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w:t>
            </w:r>
            <w:r w:rsidR="008D33B0" w:rsidRPr="00F82399">
              <w:rPr>
                <w:rFonts w:ascii="Lato" w:hAnsi="Lato" w:cs="Arial"/>
                <w:spacing w:val="4"/>
                <w:sz w:val="22"/>
                <w:szCs w:val="22"/>
                <w:lang w:eastAsia="zh-CN" w:bidi="pl-PL"/>
              </w:rPr>
              <w:t>19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FFC14" w14:textId="678D4624"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D6663A" w14:textId="5C5A41F6"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51CAC8A" w14:textId="548554B6"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41282" w14:textId="692C7988"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9/7</w:t>
            </w:r>
          </w:p>
        </w:tc>
      </w:tr>
      <w:tr w:rsidR="00B85F56" w:rsidRPr="00B85F56" w14:paraId="304D7F60" w14:textId="77777777" w:rsidTr="00391C88">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5BFC1" w14:textId="4891508C"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122</w:t>
            </w:r>
            <w:r w:rsidR="008D33B0" w:rsidRPr="00F82399">
              <w:rPr>
                <w:rFonts w:ascii="Lato" w:hAnsi="Lato" w:cs="Arial"/>
                <w:spacing w:val="4"/>
                <w:sz w:val="22"/>
                <w:szCs w:val="22"/>
                <w:lang w:eastAsia="zh-CN" w:bidi="pl-PL"/>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5A1552" w14:textId="474638AE"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F0CC33" w14:textId="7DCF1632"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72D67918" w14:textId="716FD820"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0933E" w14:textId="050B9D77"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10/8</w:t>
            </w:r>
          </w:p>
        </w:tc>
      </w:tr>
      <w:tr w:rsidR="00B85F56" w:rsidRPr="00B85F56" w14:paraId="1C2BB79A" w14:textId="77777777" w:rsidTr="00391C88">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83170" w14:textId="6FCC24C8"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122</w:t>
            </w:r>
            <w:r w:rsidR="008D33B0" w:rsidRPr="00F82399">
              <w:rPr>
                <w:rFonts w:ascii="Lato" w:hAnsi="Lato" w:cs="Arial"/>
                <w:spacing w:val="4"/>
                <w:sz w:val="22"/>
                <w:szCs w:val="22"/>
                <w:lang w:eastAsia="zh-CN" w:bidi="pl-PL"/>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FD4E2E" w14:textId="3242D130"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AD3944" w14:textId="114AE88F"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07AB799" w14:textId="3FC1F632"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256E1" w14:textId="4E3543D5" w:rsidR="00570181" w:rsidRPr="00F82399" w:rsidRDefault="00570181"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13/7</w:t>
            </w:r>
          </w:p>
        </w:tc>
      </w:tr>
      <w:tr w:rsidR="00B85F56" w:rsidRPr="00B85F56" w14:paraId="4B8B0092" w14:textId="77777777" w:rsidTr="00391C88">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D2066" w14:textId="3145CA66" w:rsidR="001C7884" w:rsidRPr="00F82399" w:rsidRDefault="001C788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122</w:t>
            </w:r>
            <w:r w:rsidR="008D33B0" w:rsidRPr="00F82399">
              <w:rPr>
                <w:rFonts w:ascii="Lato" w:hAnsi="Lato" w:cs="Arial"/>
                <w:spacing w:val="4"/>
                <w:sz w:val="22"/>
                <w:szCs w:val="22"/>
                <w:lang w:eastAsia="zh-CN" w:bidi="pl-PL"/>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10C584" w14:textId="145138B3" w:rsidR="001C7884" w:rsidRPr="00F82399" w:rsidRDefault="001C788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763857" w14:textId="128A60CD" w:rsidR="001C7884" w:rsidRPr="00F82399" w:rsidRDefault="001C788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85C1DD8" w14:textId="75D3B56C" w:rsidR="001C7884" w:rsidRPr="00F82399" w:rsidRDefault="001C788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1E92C" w14:textId="5E38EE06" w:rsidR="001C7884" w:rsidRPr="00F82399" w:rsidRDefault="001C7884"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111/9</w:t>
            </w:r>
          </w:p>
        </w:tc>
      </w:tr>
      <w:tr w:rsidR="00B85F56" w:rsidRPr="00B85F56" w14:paraId="29A9D160" w14:textId="77777777" w:rsidTr="00391C88">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3A858" w14:textId="0B86CC35" w:rsidR="003D4D0E" w:rsidRPr="00F82399" w:rsidRDefault="003D4D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122</w:t>
            </w:r>
            <w:r w:rsidR="008D33B0" w:rsidRPr="00F82399">
              <w:rPr>
                <w:rFonts w:ascii="Lato" w:hAnsi="Lato" w:cs="Arial"/>
                <w:spacing w:val="4"/>
                <w:sz w:val="22"/>
                <w:szCs w:val="22"/>
                <w:lang w:eastAsia="zh-CN" w:bidi="pl-PL"/>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5E1F5E" w14:textId="4BE50373" w:rsidR="003D4D0E" w:rsidRPr="00F82399" w:rsidRDefault="003D4D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E64C77" w14:textId="7CC6AE0C" w:rsidR="003D4D0E" w:rsidRPr="00F82399" w:rsidRDefault="003D4D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B1039B0" w14:textId="2B97C4BC" w:rsidR="003D4D0E" w:rsidRPr="00F82399" w:rsidRDefault="003D4D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1E136" w14:textId="72BB6A15" w:rsidR="003D4D0E" w:rsidRPr="00F82399" w:rsidRDefault="003D4D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111/11</w:t>
            </w:r>
          </w:p>
        </w:tc>
      </w:tr>
      <w:tr w:rsidR="00B85F56" w:rsidRPr="00B85F56" w14:paraId="6C5A37DD" w14:textId="77777777" w:rsidTr="00391C88">
        <w:trPr>
          <w:trHeight w:val="419"/>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118EA" w14:textId="45CC0A9E" w:rsidR="003D4D0E" w:rsidRPr="00F82399" w:rsidRDefault="003D4D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122</w:t>
            </w:r>
            <w:r w:rsidR="008D33B0" w:rsidRPr="00F82399">
              <w:rPr>
                <w:rFonts w:ascii="Lato" w:hAnsi="Lato" w:cs="Arial"/>
                <w:spacing w:val="4"/>
                <w:sz w:val="22"/>
                <w:szCs w:val="22"/>
                <w:lang w:eastAsia="zh-CN" w:bidi="pl-PL"/>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95AA90" w14:textId="0B4ED945" w:rsidR="003D4D0E" w:rsidRPr="00F82399" w:rsidRDefault="003D4D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BD432E" w14:textId="014F6D43" w:rsidR="003D4D0E" w:rsidRPr="00F82399" w:rsidRDefault="003D4D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1AC738FE" w14:textId="0B73E34F" w:rsidR="003D4D0E" w:rsidRPr="00F82399" w:rsidRDefault="003D4D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236B9" w14:textId="60617ADB" w:rsidR="003D4D0E" w:rsidRPr="00F82399" w:rsidRDefault="003D4D0E" w:rsidP="00432BA3">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111/13</w:t>
            </w:r>
          </w:p>
        </w:tc>
      </w:tr>
    </w:tbl>
    <w:p w14:paraId="594A6D5B" w14:textId="644B737D" w:rsidR="007018CE" w:rsidRPr="00DD40FC" w:rsidRDefault="001C71AB" w:rsidP="00651A33">
      <w:pPr>
        <w:suppressAutoHyphens/>
        <w:spacing w:after="240" w:line="240" w:lineRule="exact"/>
        <w:ind w:left="284" w:firstLine="7439"/>
        <w:jc w:val="both"/>
        <w:rPr>
          <w:rFonts w:ascii="Lato" w:hAnsi="Lato" w:cs="Arial"/>
          <w:spacing w:val="4"/>
          <w:lang w:eastAsia="zh-CN"/>
        </w:rPr>
      </w:pPr>
      <w:r w:rsidRPr="00DD40FC">
        <w:rPr>
          <w:rFonts w:ascii="Lato" w:hAnsi="Lato" w:cs="Arial"/>
          <w:spacing w:val="4"/>
          <w:lang w:eastAsia="zh-CN"/>
        </w:rPr>
        <w:t xml:space="preserve">              </w:t>
      </w:r>
      <w:r w:rsidR="007018CE" w:rsidRPr="00DD40FC">
        <w:rPr>
          <w:rFonts w:ascii="Lato" w:hAnsi="Lato" w:cs="Arial"/>
          <w:spacing w:val="4"/>
          <w:lang w:eastAsia="zh-CN"/>
        </w:rPr>
        <w:t>”</w:t>
      </w:r>
    </w:p>
    <w:p w14:paraId="62F85FFA" w14:textId="669BA731" w:rsidR="007F3C9F" w:rsidRPr="00F82399" w:rsidRDefault="007018CE" w:rsidP="00F40707">
      <w:pPr>
        <w:pStyle w:val="Akapitzlist"/>
        <w:numPr>
          <w:ilvl w:val="0"/>
          <w:numId w:val="8"/>
        </w:numPr>
        <w:tabs>
          <w:tab w:val="left" w:pos="567"/>
        </w:tabs>
        <w:spacing w:after="120" w:line="240" w:lineRule="exact"/>
        <w:ind w:left="568" w:hanging="284"/>
        <w:contextualSpacing w:val="0"/>
        <w:jc w:val="both"/>
        <w:rPr>
          <w:rFonts w:ascii="Lato" w:hAnsi="Lato" w:cs="Arial"/>
          <w:bCs/>
          <w:spacing w:val="4"/>
          <w:sz w:val="22"/>
          <w:szCs w:val="22"/>
        </w:rPr>
      </w:pPr>
      <w:r w:rsidRPr="00F82399">
        <w:rPr>
          <w:rFonts w:ascii="Lato" w:hAnsi="Lato" w:cs="Arial"/>
          <w:bCs/>
          <w:spacing w:val="4"/>
          <w:sz w:val="22"/>
          <w:szCs w:val="22"/>
        </w:rPr>
        <w:t xml:space="preserve">ustalenie, w rozstrzygnięciu zaskarżonej decyzji, </w:t>
      </w:r>
      <w:r w:rsidR="000058E4" w:rsidRPr="00F82399">
        <w:rPr>
          <w:rFonts w:ascii="Lato" w:hAnsi="Lato" w:cs="Arial"/>
          <w:bCs/>
          <w:spacing w:val="4"/>
          <w:sz w:val="22"/>
          <w:szCs w:val="22"/>
        </w:rPr>
        <w:t xml:space="preserve">w znajdującej się w pkt VIII.3 </w:t>
      </w:r>
      <w:r w:rsidR="000058E4" w:rsidRPr="00F40707">
        <w:rPr>
          <w:rFonts w:ascii="Lato" w:hAnsi="Lato" w:cs="Arial"/>
          <w:bCs/>
          <w:spacing w:val="4"/>
          <w:sz w:val="22"/>
          <w:szCs w:val="22"/>
        </w:rPr>
        <w:t>tabel</w:t>
      </w:r>
      <w:r w:rsidR="000058E4" w:rsidRPr="00F82399">
        <w:rPr>
          <w:rFonts w:ascii="Lato" w:hAnsi="Lato" w:cs="Arial"/>
          <w:bCs/>
          <w:spacing w:val="4"/>
          <w:sz w:val="22"/>
          <w:szCs w:val="22"/>
        </w:rPr>
        <w:t>i</w:t>
      </w:r>
      <w:r w:rsidR="000058E4" w:rsidRPr="00F40707">
        <w:rPr>
          <w:rFonts w:ascii="Lato" w:hAnsi="Lato" w:cs="Arial"/>
          <w:bCs/>
          <w:spacing w:val="4"/>
          <w:sz w:val="22"/>
          <w:szCs w:val="22"/>
        </w:rPr>
        <w:t xml:space="preserve"> nr 3 pn.: „Wykaz nieruchomości będących własnością CPK Sp. z o.o. podlegających podziałowi, wraz ze wskazaniem części nieruchomości wchodzących i nie wchodzących w obszar linii rozgraniczających Inwestycji”, </w:t>
      </w:r>
      <w:r w:rsidR="007F3C9F" w:rsidRPr="00F82399">
        <w:rPr>
          <w:rFonts w:ascii="Lato" w:hAnsi="Lato" w:cs="Arial"/>
          <w:bCs/>
          <w:spacing w:val="4"/>
          <w:sz w:val="22"/>
          <w:szCs w:val="22"/>
        </w:rPr>
        <w:t xml:space="preserve">po zapisie znajdującym się w pozycji 128 </w:t>
      </w:r>
      <w:r w:rsidR="00100218" w:rsidRPr="00F82399">
        <w:rPr>
          <w:rFonts w:ascii="Lato" w:hAnsi="Lato" w:cs="Arial"/>
          <w:bCs/>
          <w:spacing w:val="4"/>
          <w:sz w:val="22"/>
          <w:szCs w:val="22"/>
        </w:rPr>
        <w:t xml:space="preserve">tabeli </w:t>
      </w:r>
      <w:r w:rsidR="007F3C9F" w:rsidRPr="00F82399">
        <w:rPr>
          <w:rFonts w:ascii="Lato" w:hAnsi="Lato" w:cs="Arial"/>
          <w:bCs/>
          <w:spacing w:val="4"/>
          <w:sz w:val="22"/>
          <w:szCs w:val="22"/>
        </w:rPr>
        <w:t>na stronie 100</w:t>
      </w:r>
      <w:r w:rsidR="000058E4" w:rsidRPr="00F82399">
        <w:rPr>
          <w:rFonts w:ascii="Lato" w:hAnsi="Lato" w:cs="Arial"/>
          <w:bCs/>
          <w:spacing w:val="4"/>
          <w:sz w:val="22"/>
          <w:szCs w:val="22"/>
        </w:rPr>
        <w:t xml:space="preserve"> decyzji</w:t>
      </w:r>
      <w:r w:rsidR="007F3C9F" w:rsidRPr="00F82399">
        <w:rPr>
          <w:rFonts w:ascii="Lato" w:hAnsi="Lato" w:cs="Arial"/>
          <w:bCs/>
          <w:spacing w:val="4"/>
          <w:sz w:val="22"/>
          <w:szCs w:val="22"/>
        </w:rPr>
        <w:t>, zapisów stanowiących treść nowych pozycji nr 129-198 tabeli:</w:t>
      </w:r>
    </w:p>
    <w:p w14:paraId="564F07A1" w14:textId="77777777" w:rsidR="00D828B9" w:rsidRPr="00DD40FC" w:rsidRDefault="00D828B9" w:rsidP="00181372">
      <w:pPr>
        <w:suppressAutoHyphens/>
        <w:ind w:firstLine="567"/>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418"/>
        <w:gridCol w:w="992"/>
        <w:gridCol w:w="2552"/>
        <w:gridCol w:w="708"/>
        <w:gridCol w:w="993"/>
        <w:gridCol w:w="992"/>
      </w:tblGrid>
      <w:tr w:rsidR="00387CD7" w:rsidRPr="00DD40FC" w14:paraId="0C8DED1E"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49D15" w14:textId="72F89721"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129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5548F8" w14:textId="76CB70B0"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D6AF031" w14:textId="2BCA0B0B"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A8D5F2B" w14:textId="3AC361E2"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628A593" w14:textId="7EF2BE58"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285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C88C685" w14:textId="683C8648" w:rsidR="007F3C9F" w:rsidRPr="005E0765" w:rsidRDefault="007F3C9F" w:rsidP="002024C5">
            <w:pPr>
              <w:widowControl w:val="0"/>
              <w:suppressAutoHyphens/>
              <w:spacing w:line="240" w:lineRule="exact"/>
              <w:jc w:val="center"/>
              <w:rPr>
                <w:rFonts w:ascii="Lato" w:hAnsi="Lato" w:cs="Arial"/>
                <w:b/>
                <w:bCs/>
                <w:spacing w:val="4"/>
                <w:sz w:val="22"/>
                <w:szCs w:val="22"/>
                <w:lang w:eastAsia="zh-CN" w:bidi="pl-PL"/>
              </w:rPr>
            </w:pPr>
            <w:r w:rsidRPr="005E0765">
              <w:rPr>
                <w:rFonts w:ascii="Lato" w:hAnsi="Lato" w:cs="Arial"/>
                <w:b/>
                <w:bCs/>
                <w:spacing w:val="4"/>
                <w:sz w:val="22"/>
                <w:szCs w:val="22"/>
                <w:lang w:eastAsia="zh-CN" w:bidi="pl-PL"/>
              </w:rPr>
              <w:t>285/1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4A43F" w14:textId="5D54DB94" w:rsidR="007F3C9F" w:rsidRPr="005E0765" w:rsidRDefault="007F3C9F" w:rsidP="002024C5">
            <w:pPr>
              <w:widowControl w:val="0"/>
              <w:suppressAutoHyphens/>
              <w:spacing w:line="240" w:lineRule="exact"/>
              <w:jc w:val="center"/>
              <w:rPr>
                <w:rFonts w:ascii="Lato" w:hAnsi="Lato" w:cs="Arial"/>
                <w:spacing w:val="4"/>
                <w:sz w:val="22"/>
                <w:szCs w:val="22"/>
                <w:lang w:eastAsia="zh-CN" w:bidi="pl-PL"/>
              </w:rPr>
            </w:pPr>
            <w:r w:rsidRPr="005E0765">
              <w:rPr>
                <w:rFonts w:ascii="Lato" w:hAnsi="Lato" w:cs="Arial"/>
                <w:spacing w:val="4"/>
                <w:sz w:val="22"/>
                <w:szCs w:val="22"/>
                <w:lang w:eastAsia="zh-CN" w:bidi="pl-PL"/>
              </w:rPr>
              <w:t>285/2</w:t>
            </w:r>
          </w:p>
        </w:tc>
      </w:tr>
      <w:tr w:rsidR="00387CD7" w:rsidRPr="00DD40FC" w14:paraId="7A7A7F79"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41063" w14:textId="7D16B48B"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858D70" w14:textId="25AC79B0"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58FFBF8" w14:textId="75B0BEBF"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FC243B7" w14:textId="4108F152"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ACAF87" w14:textId="622EB729"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286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DD6A50A" w14:textId="4E4A86C7" w:rsidR="007F3C9F" w:rsidRPr="005E0765" w:rsidRDefault="007F3C9F" w:rsidP="002024C5">
            <w:pPr>
              <w:widowControl w:val="0"/>
              <w:suppressAutoHyphens/>
              <w:spacing w:line="240" w:lineRule="exact"/>
              <w:jc w:val="center"/>
              <w:rPr>
                <w:rFonts w:ascii="Lato" w:hAnsi="Lato" w:cs="Arial"/>
                <w:b/>
                <w:bCs/>
                <w:spacing w:val="4"/>
                <w:sz w:val="22"/>
                <w:szCs w:val="22"/>
                <w:lang w:eastAsia="zh-CN" w:bidi="pl-PL"/>
              </w:rPr>
            </w:pPr>
            <w:r w:rsidRPr="005E0765">
              <w:rPr>
                <w:rFonts w:ascii="Lato" w:hAnsi="Lato" w:cs="Arial"/>
                <w:b/>
                <w:bCs/>
                <w:spacing w:val="4"/>
                <w:sz w:val="22"/>
                <w:szCs w:val="22"/>
                <w:lang w:eastAsia="zh-CN" w:bidi="pl-PL"/>
              </w:rPr>
              <w:t>286/1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61FAF" w14:textId="237786BD" w:rsidR="007F3C9F" w:rsidRPr="005E0765" w:rsidRDefault="007F3C9F" w:rsidP="002024C5">
            <w:pPr>
              <w:widowControl w:val="0"/>
              <w:suppressAutoHyphens/>
              <w:spacing w:line="240" w:lineRule="exact"/>
              <w:jc w:val="center"/>
              <w:rPr>
                <w:rFonts w:ascii="Lato" w:hAnsi="Lato" w:cs="Arial"/>
                <w:spacing w:val="4"/>
                <w:sz w:val="22"/>
                <w:szCs w:val="22"/>
                <w:lang w:eastAsia="zh-CN" w:bidi="pl-PL"/>
              </w:rPr>
            </w:pPr>
            <w:r w:rsidRPr="005E0765">
              <w:rPr>
                <w:rFonts w:ascii="Lato" w:hAnsi="Lato" w:cs="Arial"/>
                <w:spacing w:val="4"/>
                <w:sz w:val="22"/>
                <w:szCs w:val="22"/>
                <w:lang w:eastAsia="zh-CN" w:bidi="pl-PL"/>
              </w:rPr>
              <w:t>286/2</w:t>
            </w:r>
          </w:p>
        </w:tc>
      </w:tr>
      <w:tr w:rsidR="00387CD7" w:rsidRPr="00DD40FC" w14:paraId="7523B942"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EECFA" w14:textId="573F6178"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95DD3C" w14:textId="3792E238"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454F2EE" w14:textId="55B743D8"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9F884C7" w14:textId="4AF448ED"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0005 Buszyce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E0AAAD9" w14:textId="1C347028"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287/1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A491787" w14:textId="0DDB0D9F" w:rsidR="007F3C9F" w:rsidRPr="005E0765" w:rsidRDefault="007F3C9F" w:rsidP="002024C5">
            <w:pPr>
              <w:widowControl w:val="0"/>
              <w:suppressAutoHyphens/>
              <w:spacing w:line="240" w:lineRule="exact"/>
              <w:jc w:val="center"/>
              <w:rPr>
                <w:rFonts w:ascii="Lato" w:hAnsi="Lato" w:cs="Arial"/>
                <w:b/>
                <w:bCs/>
                <w:spacing w:val="4"/>
                <w:sz w:val="22"/>
                <w:szCs w:val="22"/>
                <w:lang w:eastAsia="zh-CN" w:bidi="pl-PL"/>
              </w:rPr>
            </w:pPr>
            <w:r w:rsidRPr="005E0765">
              <w:rPr>
                <w:rFonts w:ascii="Lato" w:hAnsi="Lato" w:cs="Arial"/>
                <w:b/>
                <w:bCs/>
                <w:spacing w:val="4"/>
                <w:sz w:val="22"/>
                <w:szCs w:val="22"/>
                <w:lang w:eastAsia="zh-CN" w:bidi="pl-PL"/>
              </w:rPr>
              <w:t>287/3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887F0" w14:textId="5F5DDA92" w:rsidR="007F3C9F" w:rsidRPr="005E0765" w:rsidRDefault="007F3C9F" w:rsidP="002024C5">
            <w:pPr>
              <w:widowControl w:val="0"/>
              <w:suppressAutoHyphens/>
              <w:spacing w:line="240" w:lineRule="exact"/>
              <w:jc w:val="center"/>
              <w:rPr>
                <w:rFonts w:ascii="Lato" w:hAnsi="Lato" w:cs="Arial"/>
                <w:spacing w:val="4"/>
                <w:sz w:val="22"/>
                <w:szCs w:val="22"/>
                <w:lang w:eastAsia="zh-CN" w:bidi="pl-PL"/>
              </w:rPr>
            </w:pPr>
            <w:r w:rsidRPr="005E0765">
              <w:rPr>
                <w:rFonts w:ascii="Lato" w:hAnsi="Lato" w:cs="Arial"/>
                <w:spacing w:val="4"/>
                <w:sz w:val="22"/>
                <w:szCs w:val="22"/>
                <w:lang w:eastAsia="zh-CN" w:bidi="pl-PL"/>
              </w:rPr>
              <w:t>287/4</w:t>
            </w:r>
          </w:p>
        </w:tc>
      </w:tr>
      <w:tr w:rsidR="00387CD7" w:rsidRPr="00DD40FC" w14:paraId="169464F8"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C635A" w14:textId="4E434E29"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7C2BBD" w14:textId="00FEF753"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BA6ECC4" w14:textId="25EDB68D"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DD605C1" w14:textId="03FEB185"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0007 Drybus</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6A77BD5" w14:textId="66A07300"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43/1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2464F20" w14:textId="168AEC22" w:rsidR="007F3C9F" w:rsidRPr="005E0765" w:rsidRDefault="007F3C9F" w:rsidP="002024C5">
            <w:pPr>
              <w:widowControl w:val="0"/>
              <w:suppressAutoHyphens/>
              <w:spacing w:line="240" w:lineRule="exact"/>
              <w:jc w:val="center"/>
              <w:rPr>
                <w:rFonts w:ascii="Lato" w:hAnsi="Lato" w:cs="Arial"/>
                <w:b/>
                <w:bCs/>
                <w:spacing w:val="4"/>
                <w:sz w:val="22"/>
                <w:szCs w:val="22"/>
                <w:lang w:eastAsia="zh-CN" w:bidi="pl-PL"/>
              </w:rPr>
            </w:pPr>
            <w:r w:rsidRPr="005E0765">
              <w:rPr>
                <w:rFonts w:ascii="Lato" w:hAnsi="Lato" w:cs="Arial"/>
                <w:b/>
                <w:bCs/>
                <w:spacing w:val="4"/>
                <w:sz w:val="22"/>
                <w:szCs w:val="22"/>
                <w:lang w:eastAsia="zh-CN" w:bidi="pl-PL"/>
              </w:rPr>
              <w:t>43/2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567A08" w14:textId="1A4A5B48" w:rsidR="007F3C9F" w:rsidRPr="005E0765" w:rsidRDefault="007F3C9F" w:rsidP="002024C5">
            <w:pPr>
              <w:widowControl w:val="0"/>
              <w:suppressAutoHyphens/>
              <w:spacing w:line="240" w:lineRule="exact"/>
              <w:jc w:val="center"/>
              <w:rPr>
                <w:rFonts w:ascii="Lato" w:hAnsi="Lato" w:cs="Arial"/>
                <w:spacing w:val="4"/>
                <w:sz w:val="22"/>
                <w:szCs w:val="22"/>
                <w:lang w:eastAsia="zh-CN" w:bidi="pl-PL"/>
              </w:rPr>
            </w:pPr>
            <w:r w:rsidRPr="005E0765">
              <w:rPr>
                <w:rFonts w:ascii="Lato" w:hAnsi="Lato" w:cs="Arial"/>
                <w:spacing w:val="4"/>
                <w:sz w:val="22"/>
                <w:szCs w:val="22"/>
                <w:lang w:eastAsia="zh-CN" w:bidi="pl-PL"/>
              </w:rPr>
              <w:t>43/3</w:t>
            </w:r>
          </w:p>
        </w:tc>
      </w:tr>
      <w:tr w:rsidR="00387CD7" w:rsidRPr="00DD40FC" w14:paraId="056F5678"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4B30E" w14:textId="003AA9C5"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D603EE" w14:textId="20A22336"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761898A" w14:textId="5B568BCA"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3E6694B" w14:textId="2142EA7C"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0007 Drybus</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9624D3E" w14:textId="34B345C4"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B3A2C0C" w14:textId="1B4E9544" w:rsidR="007F3C9F" w:rsidRPr="005E0765" w:rsidRDefault="007F3C9F" w:rsidP="002024C5">
            <w:pPr>
              <w:widowControl w:val="0"/>
              <w:suppressAutoHyphens/>
              <w:spacing w:line="240" w:lineRule="exact"/>
              <w:jc w:val="center"/>
              <w:rPr>
                <w:rFonts w:ascii="Lato" w:hAnsi="Lato" w:cs="Arial"/>
                <w:b/>
                <w:bCs/>
                <w:spacing w:val="4"/>
                <w:sz w:val="22"/>
                <w:szCs w:val="22"/>
                <w:lang w:eastAsia="zh-CN" w:bidi="pl-PL"/>
              </w:rPr>
            </w:pPr>
            <w:r w:rsidRPr="005E0765">
              <w:rPr>
                <w:rFonts w:ascii="Lato" w:hAnsi="Lato" w:cs="Arial"/>
                <w:b/>
                <w:bCs/>
                <w:spacing w:val="4"/>
                <w:sz w:val="22"/>
                <w:szCs w:val="22"/>
                <w:lang w:eastAsia="zh-CN" w:bidi="pl-PL"/>
              </w:rPr>
              <w:t>44/1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8B11B" w14:textId="441318FC" w:rsidR="007F3C9F" w:rsidRPr="005E0765" w:rsidRDefault="007F3C9F" w:rsidP="002024C5">
            <w:pPr>
              <w:widowControl w:val="0"/>
              <w:suppressAutoHyphens/>
              <w:spacing w:line="240" w:lineRule="exact"/>
              <w:jc w:val="center"/>
              <w:rPr>
                <w:rFonts w:ascii="Lato" w:hAnsi="Lato" w:cs="Arial"/>
                <w:spacing w:val="4"/>
                <w:sz w:val="22"/>
                <w:szCs w:val="22"/>
                <w:lang w:eastAsia="zh-CN" w:bidi="pl-PL"/>
              </w:rPr>
            </w:pPr>
            <w:r w:rsidRPr="005E0765">
              <w:rPr>
                <w:rFonts w:ascii="Lato" w:hAnsi="Lato" w:cs="Arial"/>
                <w:spacing w:val="4"/>
                <w:sz w:val="22"/>
                <w:szCs w:val="22"/>
                <w:lang w:eastAsia="zh-CN" w:bidi="pl-PL"/>
              </w:rPr>
              <w:t>44/2</w:t>
            </w:r>
          </w:p>
        </w:tc>
      </w:tr>
      <w:tr w:rsidR="00387CD7" w:rsidRPr="00DD40FC" w14:paraId="4C014C99"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55378" w14:textId="6925B6F6"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lastRenderedPageBreak/>
              <w:t>134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BFE820" w14:textId="71C9E1AF"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439030C" w14:textId="036EF895"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A369ABB" w14:textId="7BEA17B6"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0007 Drybus</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BDADAB0" w14:textId="37089971"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6047B35" w14:textId="54B4E0C6" w:rsidR="007F3C9F" w:rsidRPr="005E0765" w:rsidRDefault="007F3C9F" w:rsidP="002024C5">
            <w:pPr>
              <w:widowControl w:val="0"/>
              <w:suppressAutoHyphens/>
              <w:spacing w:line="240" w:lineRule="exact"/>
              <w:jc w:val="center"/>
              <w:rPr>
                <w:rFonts w:ascii="Lato" w:hAnsi="Lato" w:cs="Arial"/>
                <w:b/>
                <w:bCs/>
                <w:spacing w:val="4"/>
                <w:sz w:val="22"/>
                <w:szCs w:val="22"/>
                <w:lang w:eastAsia="zh-CN" w:bidi="pl-PL"/>
              </w:rPr>
            </w:pPr>
            <w:r w:rsidRPr="005E0765">
              <w:rPr>
                <w:rFonts w:ascii="Lato" w:hAnsi="Lato" w:cs="Arial"/>
                <w:b/>
                <w:bCs/>
                <w:spacing w:val="4"/>
                <w:sz w:val="22"/>
                <w:szCs w:val="22"/>
                <w:lang w:eastAsia="zh-CN" w:bidi="pl-PL"/>
              </w:rPr>
              <w:t>77/1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7A853" w14:textId="56771C7C" w:rsidR="007F3C9F" w:rsidRPr="005E0765" w:rsidRDefault="007F3C9F" w:rsidP="002024C5">
            <w:pPr>
              <w:widowControl w:val="0"/>
              <w:suppressAutoHyphens/>
              <w:spacing w:line="240" w:lineRule="exact"/>
              <w:jc w:val="center"/>
              <w:rPr>
                <w:rFonts w:ascii="Lato" w:hAnsi="Lato" w:cs="Arial"/>
                <w:spacing w:val="4"/>
                <w:sz w:val="22"/>
                <w:szCs w:val="22"/>
                <w:lang w:eastAsia="zh-CN" w:bidi="pl-PL"/>
              </w:rPr>
            </w:pPr>
            <w:r w:rsidRPr="005E0765">
              <w:rPr>
                <w:rFonts w:ascii="Lato" w:hAnsi="Lato" w:cs="Arial"/>
                <w:spacing w:val="4"/>
                <w:sz w:val="22"/>
                <w:szCs w:val="22"/>
                <w:lang w:eastAsia="zh-CN" w:bidi="pl-PL"/>
              </w:rPr>
              <w:t>77/2</w:t>
            </w:r>
          </w:p>
        </w:tc>
      </w:tr>
      <w:tr w:rsidR="00387CD7" w:rsidRPr="00DD40FC" w14:paraId="2B68C674"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235CD" w14:textId="3D3EB637"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FE6C18D" w14:textId="4715FC47"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29C3463" w14:textId="48CBC5C2"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D927E9A" w14:textId="7CF1B1EA"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80F9C1B" w14:textId="5E1371B4"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209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9E4A08F" w14:textId="18F1CA9B" w:rsidR="007F3C9F" w:rsidRPr="005E0765" w:rsidRDefault="007F3C9F" w:rsidP="002024C5">
            <w:pPr>
              <w:widowControl w:val="0"/>
              <w:suppressAutoHyphens/>
              <w:spacing w:line="240" w:lineRule="exact"/>
              <w:jc w:val="center"/>
              <w:rPr>
                <w:rFonts w:ascii="Lato" w:hAnsi="Lato" w:cs="Arial"/>
                <w:b/>
                <w:bCs/>
                <w:spacing w:val="4"/>
                <w:sz w:val="22"/>
                <w:szCs w:val="22"/>
                <w:lang w:eastAsia="zh-CN" w:bidi="pl-PL"/>
              </w:rPr>
            </w:pPr>
            <w:r w:rsidRPr="005E0765">
              <w:rPr>
                <w:rFonts w:ascii="Lato" w:hAnsi="Lato" w:cs="Arial"/>
                <w:b/>
                <w:bCs/>
                <w:spacing w:val="4"/>
                <w:sz w:val="22"/>
                <w:szCs w:val="22"/>
                <w:lang w:eastAsia="zh-CN" w:bidi="pl-PL"/>
              </w:rPr>
              <w:t>209/1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0653E" w14:textId="22B87270" w:rsidR="007F3C9F" w:rsidRPr="005E0765" w:rsidRDefault="007F3C9F" w:rsidP="002024C5">
            <w:pPr>
              <w:widowControl w:val="0"/>
              <w:suppressAutoHyphens/>
              <w:spacing w:line="240" w:lineRule="exact"/>
              <w:jc w:val="center"/>
              <w:rPr>
                <w:rFonts w:ascii="Lato" w:hAnsi="Lato" w:cs="Arial"/>
                <w:spacing w:val="4"/>
                <w:sz w:val="22"/>
                <w:szCs w:val="22"/>
                <w:lang w:eastAsia="zh-CN" w:bidi="pl-PL"/>
              </w:rPr>
            </w:pPr>
            <w:r w:rsidRPr="005E0765">
              <w:rPr>
                <w:rFonts w:ascii="Lato" w:hAnsi="Lato" w:cs="Arial"/>
                <w:spacing w:val="4"/>
                <w:sz w:val="22"/>
                <w:szCs w:val="22"/>
                <w:lang w:eastAsia="zh-CN" w:bidi="pl-PL"/>
              </w:rPr>
              <w:t>209/2</w:t>
            </w:r>
          </w:p>
        </w:tc>
      </w:tr>
      <w:tr w:rsidR="00387CD7" w:rsidRPr="00DD40FC" w14:paraId="6A3251CB"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7388D" w14:textId="26C4DB08"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141FB" w14:textId="57896B73"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06CFBF8" w14:textId="00F8401A"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00B455E" w14:textId="0EF7ECB1"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B70ECC1" w14:textId="20F9A908" w:rsidR="007F3C9F" w:rsidRPr="00F82399" w:rsidRDefault="007F3C9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210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6379E7F" w14:textId="37D1CF8A" w:rsidR="007F3C9F" w:rsidRPr="00DD40FC" w:rsidRDefault="007F3C9F"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210/1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86E09" w14:textId="3810CDFB" w:rsidR="007F3C9F" w:rsidRPr="00DD40FC" w:rsidRDefault="007F3C9F"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210/2</w:t>
            </w:r>
          </w:p>
        </w:tc>
      </w:tr>
      <w:tr w:rsidR="00387CD7" w:rsidRPr="00DD40FC" w14:paraId="66D38748"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AB930" w14:textId="64D4C4B2" w:rsidR="007F3C9F" w:rsidRPr="00F82399" w:rsidRDefault="00B41E47"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3F61D8" w14:textId="740DCC88" w:rsidR="007F3C9F" w:rsidRPr="00F82399" w:rsidRDefault="00B41E47"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1997B9B" w14:textId="5A1EC095" w:rsidR="007F3C9F" w:rsidRPr="00F82399" w:rsidRDefault="00B41E47"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8279E82" w14:textId="0F0A28EA" w:rsidR="007F3C9F" w:rsidRPr="00F82399" w:rsidRDefault="00B41E47"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 xml:space="preserve">0020 Strumiany Dolne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2F8B9B8" w14:textId="1D19021B" w:rsidR="007F3C9F" w:rsidRPr="00F82399" w:rsidRDefault="00B41E47"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211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AF98F2E" w14:textId="6F432832" w:rsidR="007F3C9F" w:rsidRPr="00DD40FC" w:rsidRDefault="00B41E47"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211/1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68831" w14:textId="5585B739" w:rsidR="007F3C9F" w:rsidRPr="00DD40FC" w:rsidRDefault="00B41E47"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211/2</w:t>
            </w:r>
          </w:p>
        </w:tc>
      </w:tr>
      <w:tr w:rsidR="00387CD7" w:rsidRPr="00DD40FC" w14:paraId="7A47B7BF"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28389" w14:textId="1906AAD1" w:rsidR="00B476CC" w:rsidRPr="00F82399" w:rsidRDefault="00B476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BCCE0D" w14:textId="17363456" w:rsidR="00B476CC" w:rsidRPr="00F82399" w:rsidRDefault="00B476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13993CE" w14:textId="09306169" w:rsidR="00B476CC" w:rsidRPr="00F82399" w:rsidRDefault="00B476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68E7F976" w14:textId="51D05345" w:rsidR="00B476CC" w:rsidRPr="00F82399" w:rsidRDefault="003F56A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65A037A" w14:textId="506A8882" w:rsidR="00B476CC" w:rsidRPr="00F82399" w:rsidRDefault="003F56A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247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6443077" w14:textId="16835CAE" w:rsidR="00B476CC" w:rsidRPr="00DD40FC" w:rsidRDefault="003F56AC"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247/1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43A91" w14:textId="2B805346" w:rsidR="00B476CC" w:rsidRPr="00DD40FC" w:rsidRDefault="003F56AC"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247/2</w:t>
            </w:r>
          </w:p>
        </w:tc>
      </w:tr>
      <w:tr w:rsidR="00387CD7" w:rsidRPr="00DD40FC" w14:paraId="4B7B2C24"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1331B" w14:textId="1366F969" w:rsidR="003F56AC" w:rsidRPr="00F82399" w:rsidRDefault="003F56A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728F30" w14:textId="4F09DCC8" w:rsidR="003F56AC" w:rsidRPr="00F82399" w:rsidRDefault="003F56A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8EC125B" w14:textId="1C1E936C" w:rsidR="003F56AC" w:rsidRPr="00F82399" w:rsidRDefault="003F56A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38918CF" w14:textId="6A49919D" w:rsidR="003F56AC" w:rsidRPr="00F82399" w:rsidRDefault="003F56A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D897879" w14:textId="11CC2FEF" w:rsidR="003F56AC" w:rsidRPr="00F82399" w:rsidRDefault="003F56A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255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DDF6111" w14:textId="4441E146" w:rsidR="003F56AC" w:rsidRPr="00DD40FC" w:rsidRDefault="003F56AC"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255/1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BC256" w14:textId="7AD520A3" w:rsidR="003F56AC" w:rsidRPr="00DD40FC" w:rsidRDefault="003F56AC"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255/2</w:t>
            </w:r>
          </w:p>
        </w:tc>
      </w:tr>
      <w:tr w:rsidR="00387CD7" w:rsidRPr="00DD40FC" w14:paraId="40691472"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60BC2" w14:textId="0154A8FC" w:rsidR="0010593B" w:rsidRPr="00F82399" w:rsidRDefault="0010593B"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0DE7B7" w14:textId="562A160D" w:rsidR="0010593B" w:rsidRPr="00F82399" w:rsidRDefault="0010593B"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C7F5A4E" w14:textId="310A663E" w:rsidR="0010593B" w:rsidRPr="00F82399" w:rsidRDefault="0010593B"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6CB841DE" w14:textId="51DC1F06" w:rsidR="0010593B" w:rsidRPr="00F82399" w:rsidRDefault="0010593B"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3C3D243" w14:textId="2F8D7C40" w:rsidR="0010593B" w:rsidRPr="00F82399" w:rsidRDefault="0010593B"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271/1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A6654D8" w14:textId="733227E3" w:rsidR="0010593B" w:rsidRPr="00DD40FC" w:rsidRDefault="0010593B"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271/2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1A9BB" w14:textId="1A5F0FFB" w:rsidR="0010593B" w:rsidRPr="00DD40FC" w:rsidRDefault="0010593B"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271/3</w:t>
            </w:r>
          </w:p>
        </w:tc>
      </w:tr>
      <w:tr w:rsidR="00387CD7" w:rsidRPr="00DD40FC" w14:paraId="26B7D44E"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2437A" w14:textId="5087F9E9"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30351C0" w14:textId="56B1F67A"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63EF97" w14:textId="554C5A16"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1EB6095" w14:textId="766A1041"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DE4D6BF" w14:textId="6DDD7F90"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532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F0F3416" w14:textId="30BEF222" w:rsidR="00F215CC" w:rsidRPr="00DD40FC" w:rsidRDefault="00F215CC"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532/1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DDA2D" w14:textId="5F0FC5F5" w:rsidR="00F215CC" w:rsidRPr="00DD40FC" w:rsidRDefault="00F215CC"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532/2</w:t>
            </w:r>
          </w:p>
        </w:tc>
      </w:tr>
      <w:tr w:rsidR="00387CD7" w:rsidRPr="00DD40FC" w14:paraId="664414A3"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2850F" w14:textId="6C32BE2C"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37645E" w14:textId="42369D78"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 xml:space="preserve">grodziski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71254C5" w14:textId="1BE3E344"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54AF5B1" w14:textId="785E7126"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0020 Strumiany Dolne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7C03EE6" w14:textId="0E7E1A6F"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548/2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539CEDA" w14:textId="57281C2A" w:rsidR="00F215CC" w:rsidRPr="00DD40FC" w:rsidRDefault="00F215CC"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548/3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15E1C" w14:textId="535DA45F" w:rsidR="00F215CC" w:rsidRPr="00DD40FC" w:rsidRDefault="00F215CC"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548/4</w:t>
            </w:r>
          </w:p>
        </w:tc>
      </w:tr>
      <w:tr w:rsidR="00387CD7" w:rsidRPr="00DD40FC" w14:paraId="1D908759"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4CA86" w14:textId="7CDB46A7"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8A3266" w14:textId="6736AED2"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9BC43F9" w14:textId="578BF23D"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688AE41" w14:textId="2EEE4238"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491C4C4" w14:textId="1701D24B"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7363BD0" w14:textId="111E73BE" w:rsidR="00F215CC" w:rsidRPr="00DD40FC" w:rsidRDefault="00F215CC"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30/1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185A3" w14:textId="0C5DD8A9" w:rsidR="00F215CC" w:rsidRPr="00DD40FC" w:rsidRDefault="00F215CC"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30/2</w:t>
            </w:r>
          </w:p>
        </w:tc>
      </w:tr>
      <w:tr w:rsidR="00387CD7" w:rsidRPr="00DD40FC" w14:paraId="1189F9CF"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FDFF0" w14:textId="741876A9"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7BEBB3B" w14:textId="161718E4"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B216D06" w14:textId="39E01403"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C604790" w14:textId="6EF41790"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4A6249F" w14:textId="0F86A38A"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4D7C246" w14:textId="0FF0A940" w:rsidR="00F215CC" w:rsidRPr="00DD40FC" w:rsidRDefault="00F215CC"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31/1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4E173" w14:textId="2F1FE45B" w:rsidR="00F215CC" w:rsidRPr="00DD40FC" w:rsidRDefault="00F215CC"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31/2</w:t>
            </w:r>
          </w:p>
        </w:tc>
      </w:tr>
      <w:tr w:rsidR="00387CD7" w:rsidRPr="00DD40FC" w14:paraId="0B378E70"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79DD5" w14:textId="325ACAE2"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B869" w14:textId="1BF7D4E7"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ED591A7" w14:textId="6B23AE54"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24170BD" w14:textId="1992052B"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38EB790" w14:textId="3E92B0DF" w:rsidR="00F215CC" w:rsidRPr="00F82399" w:rsidRDefault="00F215C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36/1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524CBEF" w14:textId="0A95035B" w:rsidR="00F215CC" w:rsidRPr="00DD40FC" w:rsidRDefault="00F215CC"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36/2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05847" w14:textId="2B5FB7A1" w:rsidR="00F215CC" w:rsidRPr="00DD40FC" w:rsidRDefault="00F215CC"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36/3</w:t>
            </w:r>
          </w:p>
        </w:tc>
      </w:tr>
      <w:tr w:rsidR="00387CD7" w:rsidRPr="00DD40FC" w14:paraId="5435BC23"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93968" w14:textId="75C260D9" w:rsidR="00207773" w:rsidRPr="00F82399" w:rsidRDefault="0020777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CC393A" w14:textId="5D024428" w:rsidR="00207773" w:rsidRPr="00F82399" w:rsidRDefault="0020777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9BC3605" w14:textId="1CE79560" w:rsidR="00207773" w:rsidRPr="00F82399" w:rsidRDefault="0020777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4713064" w14:textId="6BA3B345" w:rsidR="00207773" w:rsidRPr="00F82399" w:rsidRDefault="0020777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55A2640" w14:textId="62BF1C49" w:rsidR="00207773" w:rsidRPr="00F82399" w:rsidRDefault="0020777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244/1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E7A2862" w14:textId="7E073CB2" w:rsidR="00207773" w:rsidRPr="00DD40FC" w:rsidRDefault="00207773"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244/2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C2E36" w14:textId="7EA14556" w:rsidR="00207773" w:rsidRPr="00DD40FC" w:rsidRDefault="00207773"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244/3</w:t>
            </w:r>
          </w:p>
        </w:tc>
      </w:tr>
      <w:tr w:rsidR="00387CD7" w:rsidRPr="00DD40FC" w14:paraId="7522ECC6"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FA91E" w14:textId="629AF7F9" w:rsidR="00207773" w:rsidRPr="00F82399" w:rsidRDefault="0020777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1799B2" w14:textId="0EB38172" w:rsidR="00207773" w:rsidRPr="00F82399" w:rsidRDefault="0020777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1702B8A" w14:textId="1F276032" w:rsidR="00207773" w:rsidRPr="00F82399" w:rsidRDefault="0020777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74319EF" w14:textId="0CE1E6C0" w:rsidR="00207773" w:rsidRPr="00F82399" w:rsidRDefault="0020777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446C6A2" w14:textId="20E76DE5" w:rsidR="00207773" w:rsidRPr="00F82399" w:rsidRDefault="0020777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247/1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A3F0267" w14:textId="6412AD36" w:rsidR="00207773" w:rsidRPr="00DD40FC" w:rsidRDefault="00207773"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247/2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C032E" w14:textId="2694C4E9" w:rsidR="00207773" w:rsidRPr="00DD40FC" w:rsidRDefault="00207773"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247/3</w:t>
            </w:r>
          </w:p>
        </w:tc>
      </w:tr>
      <w:tr w:rsidR="00387CD7" w:rsidRPr="00DD40FC" w14:paraId="0E025CDD"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FA4CA" w14:textId="08E39312" w:rsidR="00207773" w:rsidRPr="00F82399" w:rsidRDefault="006C04D4"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F81B073" w14:textId="58EB82E6" w:rsidR="00207773" w:rsidRPr="00F82399" w:rsidRDefault="006C04D4"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D5B082B" w14:textId="491DAEEE" w:rsidR="00207773" w:rsidRPr="00F82399" w:rsidRDefault="006C04D4"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78550BAC" w14:textId="03F43CA9" w:rsidR="00207773" w:rsidRPr="00F82399" w:rsidRDefault="006C04D4"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0021 Wyczółki</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1ADAC35" w14:textId="68D880C5" w:rsidR="00207773" w:rsidRPr="00F82399" w:rsidRDefault="006C04D4"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250/1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EB46EA8" w14:textId="16EDA889" w:rsidR="00207773" w:rsidRPr="00DD40FC" w:rsidRDefault="006C04D4"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250/2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05F12E" w14:textId="676D28AD" w:rsidR="00207773" w:rsidRPr="00DD40FC" w:rsidRDefault="006C04D4"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250/3</w:t>
            </w:r>
          </w:p>
        </w:tc>
      </w:tr>
      <w:tr w:rsidR="00387CD7" w:rsidRPr="00DD40FC" w14:paraId="03222B12"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462C8" w14:textId="03CE7FE1" w:rsidR="006D162F" w:rsidRPr="00F82399" w:rsidRDefault="006D162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65E6FA4" w14:textId="43360E49" w:rsidR="006D162F" w:rsidRPr="00F82399" w:rsidRDefault="006D162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FEDD060" w14:textId="7EAFDB73" w:rsidR="006D162F" w:rsidRPr="00F82399" w:rsidRDefault="006D162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715FDEFE" w14:textId="10C96D64" w:rsidR="006D162F" w:rsidRPr="00F82399" w:rsidRDefault="006D162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5FABA9A" w14:textId="5D69C603" w:rsidR="006D162F" w:rsidRPr="00F82399" w:rsidRDefault="006D162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137/1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ED55107" w14:textId="1A1735B9" w:rsidR="006D162F" w:rsidRPr="00DD40FC" w:rsidRDefault="006D162F"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137/2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26464" w14:textId="35FE06AD" w:rsidR="006D162F" w:rsidRPr="00DD40FC" w:rsidRDefault="006D162F"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137/3</w:t>
            </w:r>
          </w:p>
        </w:tc>
      </w:tr>
      <w:tr w:rsidR="00387CD7" w:rsidRPr="00DD40FC" w14:paraId="44A421B2"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EC497" w14:textId="289FE615" w:rsidR="006D162F" w:rsidRPr="00F82399" w:rsidRDefault="006D162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98A40E" w14:textId="3E3D2106" w:rsidR="006D162F" w:rsidRPr="00F82399" w:rsidRDefault="006D162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DDA86B3" w14:textId="74E314DE" w:rsidR="006D162F" w:rsidRPr="00F82399" w:rsidRDefault="006D162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36E6429" w14:textId="3F749F2F" w:rsidR="006D162F" w:rsidRPr="00F82399" w:rsidRDefault="006D162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D053848" w14:textId="7DBC74DF" w:rsidR="006D162F" w:rsidRPr="00F82399" w:rsidRDefault="006D162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C4D159F" w14:textId="2DED3E5F" w:rsidR="006D162F" w:rsidRPr="00DD40FC" w:rsidRDefault="006D162F"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201/1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34B15" w14:textId="4B61DE83" w:rsidR="006D162F" w:rsidRPr="00DD40FC" w:rsidRDefault="006D162F"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201/2</w:t>
            </w:r>
          </w:p>
        </w:tc>
      </w:tr>
      <w:tr w:rsidR="00387CD7" w:rsidRPr="00DD40FC" w14:paraId="6AF8290F"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A70B7" w14:textId="596A7BD8" w:rsidR="007B4C9D" w:rsidRPr="00F82399" w:rsidRDefault="007B4C9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D2D93F" w14:textId="00E6AC7A" w:rsidR="007B4C9D" w:rsidRPr="00F82399" w:rsidRDefault="007B4C9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3E52BA3" w14:textId="40B9BAFF" w:rsidR="007B4C9D" w:rsidRPr="00F82399" w:rsidRDefault="007B4C9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69C7FFD4" w14:textId="66BC5E20" w:rsidR="007B4C9D" w:rsidRPr="00F82399" w:rsidRDefault="007B4C9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8AE4C45" w14:textId="124DA758" w:rsidR="007B4C9D" w:rsidRPr="00F82399" w:rsidRDefault="007B4C9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211/2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1B0CE42" w14:textId="29F8EE51" w:rsidR="007B4C9D" w:rsidRPr="00DD40FC" w:rsidRDefault="007B4C9D"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211/3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56FA0" w14:textId="5A4A83A9" w:rsidR="007B4C9D" w:rsidRPr="00DD40FC" w:rsidRDefault="007B4C9D"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211/4</w:t>
            </w:r>
          </w:p>
        </w:tc>
      </w:tr>
      <w:tr w:rsidR="00387CD7" w:rsidRPr="00DD40FC" w14:paraId="208E92E6"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6B551" w14:textId="1416D817" w:rsidR="00BE4EA0" w:rsidRPr="00F82399" w:rsidRDefault="00BE4EA0"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969A4D" w14:textId="53B2AFC1" w:rsidR="00BE4EA0" w:rsidRPr="00F82399" w:rsidRDefault="00BE4EA0"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9AA4673" w14:textId="758A5CFC" w:rsidR="00BE4EA0" w:rsidRPr="00F82399" w:rsidRDefault="00BE4EA0"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745D98BE" w14:textId="7EDBC59F" w:rsidR="00BE4EA0" w:rsidRPr="00F82399" w:rsidRDefault="00BE4EA0"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5B9B19A" w14:textId="28B96ACD" w:rsidR="00BE4EA0" w:rsidRPr="00F82399" w:rsidRDefault="00BE4EA0"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313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FDF2F18" w14:textId="7B09600C" w:rsidR="00BE4EA0" w:rsidRPr="00DD40FC" w:rsidRDefault="00BE4EA0"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313/1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E96DE" w14:textId="04533886" w:rsidR="00BE4EA0" w:rsidRPr="00DD40FC" w:rsidRDefault="00BE4EA0"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313/2</w:t>
            </w:r>
          </w:p>
        </w:tc>
      </w:tr>
      <w:tr w:rsidR="00387CD7" w:rsidRPr="00DD40FC" w14:paraId="4B5190DC"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B9B21" w14:textId="2F544DB1" w:rsidR="00BE4EA0" w:rsidRPr="00F82399" w:rsidRDefault="00F768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39B101D" w14:textId="16B6DCAD" w:rsidR="00BE4EA0" w:rsidRPr="00F82399" w:rsidRDefault="00F768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C5FB2F" w14:textId="52001168" w:rsidR="00BE4EA0" w:rsidRPr="00F82399" w:rsidRDefault="00F768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C41FAF6" w14:textId="268C27EB" w:rsidR="00BE4EA0" w:rsidRPr="00F82399" w:rsidRDefault="00F768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A4594BE" w14:textId="221A3BA7" w:rsidR="00BE4EA0" w:rsidRPr="00F82399" w:rsidRDefault="00F768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332/2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A683403" w14:textId="3255EA8C" w:rsidR="00BE4EA0" w:rsidRPr="00DD40FC" w:rsidRDefault="00F76865"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332/5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A01BA6" w14:textId="144C5022" w:rsidR="00BE4EA0" w:rsidRPr="00DD40FC" w:rsidRDefault="00F76865"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332/6</w:t>
            </w:r>
          </w:p>
        </w:tc>
      </w:tr>
      <w:tr w:rsidR="00387CD7" w:rsidRPr="00DD40FC" w14:paraId="15571B12"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259DA" w14:textId="15C07142"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BDB70B" w14:textId="6E737F10"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grodziski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B23F957" w14:textId="52A0F79B"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Baranów</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E213800" w14:textId="5251FE57"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0023 Strumiany Górne</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B6E3715" w14:textId="3D60A9C6"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348/3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E440DB9" w14:textId="5B61662D" w:rsidR="00245493" w:rsidRPr="00DD40FC" w:rsidRDefault="00245493"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348/4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F5E08" w14:textId="08E2CB93" w:rsidR="00245493" w:rsidRPr="00DD40FC" w:rsidRDefault="00245493"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348/5</w:t>
            </w:r>
          </w:p>
        </w:tc>
      </w:tr>
      <w:tr w:rsidR="00387CD7" w:rsidRPr="00DD40FC" w14:paraId="485B7588"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BAE23" w14:textId="1C46D9F5"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D143FB8" w14:textId="7A4BB717"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CDD48DE" w14:textId="2B9444A4"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0412A04" w14:textId="1729F3A1"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0003 Elżbietów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EF5AC3A" w14:textId="77529754"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169/2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1DCFF91" w14:textId="6F81B72A" w:rsidR="00245493" w:rsidRPr="00DD40FC" w:rsidRDefault="00245493"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169/3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536FE" w14:textId="334783B4" w:rsidR="00245493" w:rsidRPr="00DD40FC" w:rsidRDefault="00245493"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169/4</w:t>
            </w:r>
          </w:p>
        </w:tc>
      </w:tr>
      <w:tr w:rsidR="00387CD7" w:rsidRPr="00DD40FC" w14:paraId="3893CC6A"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93C90" w14:textId="71894ACC"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B52DB6" w14:textId="3651D7DC"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6A7914E" w14:textId="3874097A"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57E56A5" w14:textId="0765DA6E"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0003 Elżbietów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ACED4B5" w14:textId="7461E0B7"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BC2D24A" w14:textId="1680A466" w:rsidR="00245493" w:rsidRPr="00DD40FC" w:rsidRDefault="00245493"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170/1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A0CA4" w14:textId="41FF027B" w:rsidR="00245493" w:rsidRPr="00DD40FC" w:rsidRDefault="00245493"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170/2</w:t>
            </w:r>
          </w:p>
        </w:tc>
      </w:tr>
      <w:tr w:rsidR="00387CD7" w:rsidRPr="00DD40FC" w14:paraId="05B3778D"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64D76" w14:textId="2CB85A0E"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665D25" w14:textId="6BFD4870"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5100D8A" w14:textId="1FC93BF8"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3E42A58" w14:textId="1864ABE1"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0003 Elżbietów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3394930" w14:textId="73C5B76E"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7B97A65" w14:textId="7F279C5F" w:rsidR="00245493" w:rsidRPr="00DD40FC" w:rsidRDefault="00245493"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171/1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96B3A" w14:textId="40F74758" w:rsidR="00245493" w:rsidRPr="00DD40FC" w:rsidRDefault="00245493"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 xml:space="preserve">171/2 </w:t>
            </w:r>
          </w:p>
        </w:tc>
      </w:tr>
      <w:tr w:rsidR="00387CD7" w:rsidRPr="00DD40FC" w14:paraId="43BB655F"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A6189" w14:textId="253422D8"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1CCBB7" w14:textId="3C712EDD"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9C00A91" w14:textId="565B078D"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7622368" w14:textId="61B66D3D"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AF5389B" w14:textId="2C51C56C"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C895465" w14:textId="55481937" w:rsidR="00245493" w:rsidRPr="00DD40FC" w:rsidRDefault="00245493"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16/7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78879" w14:textId="293E7CD0" w:rsidR="00245493" w:rsidRPr="00DD40FC" w:rsidRDefault="00245493"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16/8</w:t>
            </w:r>
          </w:p>
        </w:tc>
      </w:tr>
      <w:tr w:rsidR="00387CD7" w:rsidRPr="00DD40FC" w14:paraId="065A7F68"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85827" w14:textId="4790DB94"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AA9912" w14:textId="65FBB7D8"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CBF3DA0" w14:textId="38E207C8"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FAC0728" w14:textId="6C9F99B3"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59B4FD0" w14:textId="260C7238" w:rsidR="00245493" w:rsidRPr="00F82399" w:rsidRDefault="0024549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251C6F0" w14:textId="55C887BE" w:rsidR="00245493" w:rsidRPr="00DD40FC" w:rsidRDefault="00245493"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18/1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9C013" w14:textId="194013AF" w:rsidR="00245493" w:rsidRPr="00DD40FC" w:rsidRDefault="00245493"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18/2</w:t>
            </w:r>
          </w:p>
        </w:tc>
      </w:tr>
      <w:tr w:rsidR="00387CD7" w:rsidRPr="00DD40FC" w14:paraId="7E9BC944"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B85A5" w14:textId="72F8F79E" w:rsidR="002B5803" w:rsidRPr="00F82399" w:rsidRDefault="002B580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2F617" w14:textId="60A912CA" w:rsidR="002B5803" w:rsidRPr="00F82399" w:rsidRDefault="002B580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397A09B" w14:textId="21383EC9" w:rsidR="002B5803" w:rsidRPr="00F82399" w:rsidRDefault="002B580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AF92264" w14:textId="3EB7284A" w:rsidR="002B5803" w:rsidRPr="00F82399" w:rsidRDefault="002B580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2A92621" w14:textId="7871E679" w:rsidR="002B5803" w:rsidRPr="00F82399" w:rsidRDefault="002B5803"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E2884A0" w14:textId="65D2E39E" w:rsidR="002B5803" w:rsidRPr="00DD40FC" w:rsidRDefault="002B5803"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19/3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4B04A" w14:textId="029E30BB" w:rsidR="002B5803" w:rsidRPr="00DD40FC" w:rsidRDefault="002B5803"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19/4</w:t>
            </w:r>
          </w:p>
        </w:tc>
      </w:tr>
      <w:tr w:rsidR="00387CD7" w:rsidRPr="00DD40FC" w14:paraId="18FBB3CE"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B279C" w14:textId="77F5009B"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BB6E21" w14:textId="795CA10D"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27CB563" w14:textId="4A9BF28F"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5478928" w14:textId="34BD4A15"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0011 Maurycew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465967B" w14:textId="79503B2E"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84AA316" w14:textId="6FBAF265" w:rsidR="00696A4D" w:rsidRPr="00DD40FC" w:rsidRDefault="00696A4D"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38/1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F3187" w14:textId="2C9A9751" w:rsidR="00696A4D" w:rsidRPr="00DD40FC" w:rsidRDefault="00696A4D"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38/2</w:t>
            </w:r>
          </w:p>
        </w:tc>
      </w:tr>
      <w:tr w:rsidR="00387CD7" w:rsidRPr="00DD40FC" w14:paraId="2E088B69"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799A2" w14:textId="71DAA1DF"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2DB04C" w14:textId="3D96CC0C"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6D12249" w14:textId="086FBD94"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01D19B9" w14:textId="0C286560"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7708175" w14:textId="334C900F"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22348A2" w14:textId="3CCA6C97" w:rsidR="00696A4D" w:rsidRPr="00DD40FC" w:rsidRDefault="00696A4D"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15/1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6549A" w14:textId="2BD63E55" w:rsidR="00696A4D" w:rsidRPr="00DD40FC" w:rsidRDefault="00696A4D"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15/2</w:t>
            </w:r>
          </w:p>
        </w:tc>
      </w:tr>
      <w:tr w:rsidR="00387CD7" w:rsidRPr="00DD40FC" w14:paraId="4323B800"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318C5" w14:textId="613161EF"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FA2BF0" w14:textId="2DDC5F13"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C747606" w14:textId="09773353"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AE083DF" w14:textId="190FB714"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22FC49F" w14:textId="469AD39C" w:rsidR="00696A4D" w:rsidRPr="00F82399" w:rsidRDefault="00696A4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D96F3F6" w14:textId="0A2A758A" w:rsidR="00696A4D" w:rsidRPr="00DD40FC" w:rsidRDefault="00696A4D"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16/3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9E2EE" w14:textId="2AAA4715" w:rsidR="00696A4D" w:rsidRPr="00DD40FC" w:rsidRDefault="00696A4D"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16/4</w:t>
            </w:r>
          </w:p>
        </w:tc>
      </w:tr>
      <w:tr w:rsidR="00387CD7" w:rsidRPr="00DD40FC" w14:paraId="21429A2C"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9292E" w14:textId="54E0EDA3"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ED9C94" w14:textId="17F55AC0"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F9CD5EC" w14:textId="0618979B"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EC797D3" w14:textId="04240EB2"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A18525E" w14:textId="65E7BBEC"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21CBC62" w14:textId="7F433AA0" w:rsidR="007B1365" w:rsidRPr="00DD40FC" w:rsidRDefault="007B1365"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3EC71" w14:textId="4B85D5C0" w:rsidR="007B1365" w:rsidRPr="00DD40FC" w:rsidRDefault="007B1365"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21/2</w:t>
            </w:r>
          </w:p>
        </w:tc>
      </w:tr>
      <w:tr w:rsidR="00387CD7" w:rsidRPr="00DD40FC" w14:paraId="5CD71619"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1596F" w14:textId="3CF0973E"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F09E37" w14:textId="2FB53C0D"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3F261DF" w14:textId="7D45FFD0"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64A19A32" w14:textId="4F4497C3"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Pawłówek</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6A561D5" w14:textId="4328CA19"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1A6F0E9" w14:textId="79CBC3C6" w:rsidR="007B1365" w:rsidRPr="00DD40FC" w:rsidRDefault="007B1365"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22/1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4EDE3" w14:textId="0C1BBB29" w:rsidR="007B1365" w:rsidRPr="00DD40FC" w:rsidRDefault="007B1365"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22/2</w:t>
            </w:r>
          </w:p>
        </w:tc>
      </w:tr>
      <w:tr w:rsidR="00387CD7" w:rsidRPr="00DD40FC" w14:paraId="2E3844AF"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A661F" w14:textId="6035933A"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8C877B" w14:textId="3FCD5591"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E3659D0" w14:textId="6F041558"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620827E" w14:textId="2DEA8ACE"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83ACE0D" w14:textId="1E39605F" w:rsidR="007B1365" w:rsidRPr="00F82399" w:rsidRDefault="007B1365"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2FF9DFD" w14:textId="2D45BFC8" w:rsidR="007B1365" w:rsidRPr="00DD40FC" w:rsidRDefault="007B1365"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77/1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CE7DF" w14:textId="10075988" w:rsidR="007B1365" w:rsidRPr="00DD40FC" w:rsidRDefault="007B1365"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77/2</w:t>
            </w:r>
          </w:p>
        </w:tc>
      </w:tr>
      <w:tr w:rsidR="00387CD7" w:rsidRPr="00DD40FC" w14:paraId="27874444"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27D847" w14:textId="6CAAC710"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0A1145A" w14:textId="6C11CB97"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E96A480" w14:textId="37D6F9BA"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4319A3F" w14:textId="4B8494B3"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DF70AE5" w14:textId="73EC0CC9"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969F33F" w14:textId="476DD319" w:rsidR="0074133F" w:rsidRPr="00DD40FC" w:rsidRDefault="0074133F"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78/1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57BB2" w14:textId="2D2F119C" w:rsidR="0074133F" w:rsidRPr="00DD40FC" w:rsidRDefault="0074133F"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78/2</w:t>
            </w:r>
          </w:p>
        </w:tc>
      </w:tr>
      <w:tr w:rsidR="00387CD7" w:rsidRPr="00DD40FC" w14:paraId="50C02F40"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0CC2B" w14:textId="1177F24A"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357D0A" w14:textId="1ED2D329"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B0AC64C" w14:textId="39EA1FB5"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7660709" w14:textId="321CDB38"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Skrzelew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028AB4D" w14:textId="208AC176"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3408A4F" w14:textId="43601737" w:rsidR="0074133F" w:rsidRPr="00DD40FC" w:rsidRDefault="0074133F" w:rsidP="002024C5">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79/1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6AA4E" w14:textId="72D24B4D" w:rsidR="0074133F" w:rsidRPr="00DD40FC" w:rsidRDefault="0074133F"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79/2</w:t>
            </w:r>
          </w:p>
        </w:tc>
      </w:tr>
      <w:tr w:rsidR="00387CD7" w:rsidRPr="00DD40FC" w14:paraId="57D6CB1F"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942EA" w14:textId="1A7A92B1"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169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A8E5F8" w14:textId="2CC9BE60"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8B4891" w14:textId="4C855E2A"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06BA4B1" w14:textId="4EF33B8B"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0024 Szymanów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C99CEC1" w14:textId="67184696"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319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39D7B4A" w14:textId="2DA9DD99" w:rsidR="0074133F" w:rsidRPr="00DD40FC" w:rsidRDefault="0074133F"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319/1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F69B3" w14:textId="53E60D77" w:rsidR="0074133F" w:rsidRPr="00DD40FC" w:rsidRDefault="0074133F"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319/2</w:t>
            </w:r>
          </w:p>
        </w:tc>
      </w:tr>
      <w:tr w:rsidR="00387CD7" w:rsidRPr="00DD40FC" w14:paraId="57EC9473"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BD12D" w14:textId="206FDCBE"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9496CB" w14:textId="176F2172" w:rsidR="0074133F" w:rsidRPr="00F82399" w:rsidRDefault="0074133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B69D5DD" w14:textId="0187A98C" w:rsidR="0074133F" w:rsidRPr="00F82399" w:rsidRDefault="003112CE"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63E839C" w14:textId="4FBC6D4A" w:rsidR="0074133F" w:rsidRPr="00F82399" w:rsidRDefault="003112CE"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0024 Szymanów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74BC91E" w14:textId="646DF043" w:rsidR="0074133F" w:rsidRPr="00F82399" w:rsidRDefault="003112CE"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320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16F6EBF" w14:textId="2643DF1A" w:rsidR="0074133F" w:rsidRPr="00DD40FC" w:rsidRDefault="003112CE"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320/1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86FF9" w14:textId="678325DB" w:rsidR="0074133F" w:rsidRPr="00DD40FC" w:rsidRDefault="003112CE"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 xml:space="preserve">320/2 </w:t>
            </w:r>
          </w:p>
        </w:tc>
      </w:tr>
      <w:tr w:rsidR="00387CD7" w:rsidRPr="00DD40FC" w14:paraId="784349FE"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97C5D" w14:textId="1E81D3D5" w:rsidR="003112CE" w:rsidRPr="00F82399" w:rsidRDefault="003112CE"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64C897" w14:textId="2F64B700" w:rsidR="003112CE" w:rsidRPr="00F82399" w:rsidRDefault="003112CE"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A70034D" w14:textId="505FCCCF" w:rsidR="003112CE" w:rsidRPr="00F82399" w:rsidRDefault="003112CE"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63B6E86" w14:textId="2F92A8BB" w:rsidR="003112CE" w:rsidRPr="00F82399" w:rsidRDefault="003112CE"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0024 Szymanów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10BE472" w14:textId="4DA30358" w:rsidR="003112CE" w:rsidRPr="00F82399" w:rsidRDefault="003112CE"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321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047B41F" w14:textId="2FCE4CF3" w:rsidR="003112CE" w:rsidRPr="00DD40FC" w:rsidRDefault="003112CE"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321/1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5C068" w14:textId="07924C7D" w:rsidR="003112CE" w:rsidRPr="00DD40FC" w:rsidRDefault="003112CE"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321/2</w:t>
            </w:r>
          </w:p>
        </w:tc>
      </w:tr>
      <w:tr w:rsidR="00387CD7" w:rsidRPr="00DD40FC" w14:paraId="36C4883B"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F4321" w14:textId="4DB4028D" w:rsidR="00FA17D4" w:rsidRPr="00F82399" w:rsidRDefault="00FA17D4"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BF102C" w14:textId="039A0F17" w:rsidR="00FA17D4" w:rsidRPr="00F82399" w:rsidRDefault="00FA17D4"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3DC30E4" w14:textId="74CD2C00" w:rsidR="00FA17D4" w:rsidRPr="00F82399" w:rsidRDefault="00FA17D4"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14C6A8D" w14:textId="2C90431E" w:rsidR="00FA17D4" w:rsidRPr="00F82399" w:rsidRDefault="00FA17D4"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0024 Szymanów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BA08740" w14:textId="5EC41858" w:rsidR="00FA17D4" w:rsidRPr="00F82399" w:rsidRDefault="00FA17D4"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322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8718EE5" w14:textId="1B047E73" w:rsidR="00FA17D4" w:rsidRPr="00DD40FC" w:rsidRDefault="00FA17D4"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322/1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3CFB8" w14:textId="0C72BE22" w:rsidR="00FA17D4" w:rsidRPr="00DD40FC" w:rsidRDefault="00FA17D4"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322/2</w:t>
            </w:r>
          </w:p>
        </w:tc>
      </w:tr>
      <w:tr w:rsidR="00387CD7" w:rsidRPr="00DD40FC" w14:paraId="41C0E06D"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273595" w14:textId="36CACDDF" w:rsidR="002966AF" w:rsidRPr="00F82399" w:rsidRDefault="002966A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03F416A" w14:textId="03E32D92" w:rsidR="002966AF" w:rsidRPr="00F82399" w:rsidRDefault="002966A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5BD4065" w14:textId="271054CD" w:rsidR="002966AF" w:rsidRPr="00F82399" w:rsidRDefault="002966A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85C4812" w14:textId="1264C240" w:rsidR="002966AF" w:rsidRPr="00F82399" w:rsidRDefault="002966A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0001 Aleksandrów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745AB29" w14:textId="754E83AC" w:rsidR="002966AF" w:rsidRPr="00F82399" w:rsidRDefault="002966AF"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79/6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6C42ED1" w14:textId="79F4343F" w:rsidR="002966AF" w:rsidRPr="00DD40FC" w:rsidRDefault="002966AF"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79/9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4E98E" w14:textId="0D33E245" w:rsidR="002966AF" w:rsidRPr="00DD40FC" w:rsidRDefault="002966AF"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79/10</w:t>
            </w:r>
          </w:p>
        </w:tc>
      </w:tr>
      <w:tr w:rsidR="00387CD7" w:rsidRPr="00DD40FC" w14:paraId="12C608E1"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BC418" w14:textId="277D7960"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4EACB3" w14:textId="24B7529D"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0444304" w14:textId="09A6AAE0"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65CBD12F" w14:textId="1FE2815B"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0001 Aleksandrów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724E505" w14:textId="4534FF6A"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130/5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29D807A" w14:textId="77777777" w:rsidR="007C5411" w:rsidRPr="00DD40FC" w:rsidRDefault="007C541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130/6</w:t>
            </w:r>
          </w:p>
          <w:p w14:paraId="3D72CEB4" w14:textId="52E18359" w:rsidR="007C5411" w:rsidRPr="00DD40FC" w:rsidRDefault="007C541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130/7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22F30" w14:textId="77777777" w:rsidR="007C5411" w:rsidRPr="00DD40FC" w:rsidRDefault="007C541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130/8</w:t>
            </w:r>
          </w:p>
          <w:p w14:paraId="787099B7" w14:textId="65264BF8" w:rsidR="007C5411" w:rsidRPr="00DD40FC" w:rsidRDefault="007C541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130/9</w:t>
            </w:r>
          </w:p>
        </w:tc>
      </w:tr>
      <w:tr w:rsidR="00387CD7" w:rsidRPr="00DD40FC" w14:paraId="3057B9B8"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434A2" w14:textId="1BAD7008"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lastRenderedPageBreak/>
              <w:t>175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041088" w14:textId="6956B29D"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BFAF78A" w14:textId="4231E5FC"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75F74391" w14:textId="5817ED45"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0001 Aleksandrów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9E81B19" w14:textId="5D4CFD99"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132/5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86446A7" w14:textId="5A09A63A" w:rsidR="007C5411" w:rsidRPr="00DD40FC" w:rsidRDefault="007C541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132/6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753D4" w14:textId="66E938ED" w:rsidR="007C5411" w:rsidRPr="00DD40FC" w:rsidRDefault="007C541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132/7</w:t>
            </w:r>
          </w:p>
        </w:tc>
      </w:tr>
      <w:tr w:rsidR="00387CD7" w:rsidRPr="00DD40FC" w14:paraId="05983293"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D9228" w14:textId="5069D09F"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7CF16E" w14:textId="4B170B15"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346EE30" w14:textId="09FDDCDA"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32C907D" w14:textId="671BBCCF"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0001 Aleksandrów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FAFD836" w14:textId="11CD86C0"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133</w:t>
            </w:r>
            <w:r w:rsidR="00054874" w:rsidRPr="00F82399">
              <w:rPr>
                <w:rFonts w:ascii="Lato" w:hAnsi="Lato" w:cs="Arial"/>
                <w:spacing w:val="4"/>
                <w:sz w:val="22"/>
                <w:szCs w:val="22"/>
                <w:lang w:eastAsia="zh-CN" w:bidi="pl-PL"/>
              </w:rPr>
              <w:t>/3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806706D" w14:textId="65BDED3D" w:rsidR="007C5411" w:rsidRPr="00DD40FC" w:rsidRDefault="007C541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133/4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3D327" w14:textId="6B26B169" w:rsidR="007C5411" w:rsidRPr="00DD40FC" w:rsidRDefault="007C541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133/5</w:t>
            </w:r>
          </w:p>
        </w:tc>
      </w:tr>
      <w:tr w:rsidR="00387CD7" w:rsidRPr="00DD40FC" w14:paraId="1A545004"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1694C" w14:textId="3315A4CE"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E13DCE" w14:textId="4B04407B"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A0D06B1" w14:textId="556252D6"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0C68740" w14:textId="792B3C0C"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0001 Aleksandrów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B3F58A5" w14:textId="30E57A28"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137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838AD33" w14:textId="6402FDC5" w:rsidR="007C5411" w:rsidRPr="00DD40FC" w:rsidRDefault="007C541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137/1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94FB9" w14:textId="440A9603" w:rsidR="007C5411" w:rsidRPr="00DD40FC" w:rsidRDefault="007C541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137/2</w:t>
            </w:r>
          </w:p>
        </w:tc>
      </w:tr>
      <w:tr w:rsidR="00387CD7" w:rsidRPr="00DD40FC" w14:paraId="38161930"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6E800" w14:textId="66766DF3"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A9F4A14" w14:textId="60F9C642"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BE9A154" w14:textId="2FF7E17C"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CDEF8F9" w14:textId="0E22A5C2"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0001 Aleksandrów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10219AF" w14:textId="0C897EE9"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144/3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8A03561" w14:textId="1FCCCEC9" w:rsidR="007C5411" w:rsidRPr="00DD40FC" w:rsidRDefault="007C541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144/4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E081F" w14:textId="77777777" w:rsidR="007C5411" w:rsidRPr="00DD40FC" w:rsidRDefault="007C541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144/5</w:t>
            </w:r>
          </w:p>
          <w:p w14:paraId="252C85CF" w14:textId="0E5CF85E" w:rsidR="007C5411" w:rsidRPr="00DD40FC" w:rsidRDefault="007C541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144/6</w:t>
            </w:r>
          </w:p>
        </w:tc>
      </w:tr>
      <w:tr w:rsidR="00387CD7" w:rsidRPr="00DD40FC" w14:paraId="761769DE"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F58A1" w14:textId="39C8DF13"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179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7080BCE" w14:textId="6CCF8153"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AB9A64B" w14:textId="3A3E568A"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F2D5786" w14:textId="7FC9C64E"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0006 Duninopol</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9838612" w14:textId="21898044" w:rsidR="007C5411" w:rsidRPr="00F82399" w:rsidRDefault="007C541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99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5BB4AF0" w14:textId="3EACE96C" w:rsidR="007C5411" w:rsidRPr="00DD40FC" w:rsidRDefault="007C541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99/1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36B054" w14:textId="1A664FE0" w:rsidR="007C5411" w:rsidRPr="00DD40FC" w:rsidRDefault="007C541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99/2</w:t>
            </w:r>
          </w:p>
        </w:tc>
      </w:tr>
      <w:tr w:rsidR="00387CD7" w:rsidRPr="00DD40FC" w14:paraId="468CC59B"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85CB66" w14:textId="3C055BCB" w:rsidR="004C40CD" w:rsidRPr="00F82399" w:rsidRDefault="004C40C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5D8DC21" w14:textId="73DEF39C" w:rsidR="004C40CD" w:rsidRPr="00F82399" w:rsidRDefault="004C40C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B8189D2" w14:textId="12A48C84" w:rsidR="004C40CD" w:rsidRPr="00F82399" w:rsidRDefault="004C40C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73912117" w14:textId="53A41C2C" w:rsidR="004C40CD" w:rsidRPr="00F82399" w:rsidRDefault="004C40C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0010 Guzów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1AF6D76" w14:textId="0F685838" w:rsidR="004C40CD" w:rsidRPr="00F82399" w:rsidRDefault="004C40C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2071651" w14:textId="1A66ED65" w:rsidR="004C40CD" w:rsidRPr="00DD40FC" w:rsidRDefault="004C40CD"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23/1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00215" w14:textId="40332669" w:rsidR="004C40CD" w:rsidRPr="00DD40FC" w:rsidRDefault="004C40CD"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23/2</w:t>
            </w:r>
          </w:p>
        </w:tc>
      </w:tr>
      <w:tr w:rsidR="00387CD7" w:rsidRPr="00DD40FC" w14:paraId="02F5AA96"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E929D" w14:textId="3B43A466" w:rsidR="004C40CD" w:rsidRPr="00F82399" w:rsidRDefault="004C40C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4542" w14:textId="47F40F6E" w:rsidR="004C40CD" w:rsidRPr="00F82399" w:rsidRDefault="004C40C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CECE5F8" w14:textId="0F688800" w:rsidR="004C40CD" w:rsidRPr="00F82399" w:rsidRDefault="004C40C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73F31A3" w14:textId="5D5DC1B8" w:rsidR="004C40CD" w:rsidRPr="00F82399" w:rsidRDefault="004C40C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0010 Guzów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E600C31" w14:textId="69F64D8D" w:rsidR="004C40CD" w:rsidRPr="00F82399" w:rsidRDefault="004C40C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5C05C57" w14:textId="6D743CE2" w:rsidR="004C40CD" w:rsidRPr="00DD40FC" w:rsidRDefault="004C40CD"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105/1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3335A" w14:textId="14CA47B7" w:rsidR="004C40CD" w:rsidRPr="00DD40FC" w:rsidRDefault="004C40CD"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105/2</w:t>
            </w:r>
          </w:p>
        </w:tc>
      </w:tr>
      <w:tr w:rsidR="00387CD7" w:rsidRPr="00DD40FC" w14:paraId="644388BF"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3436D" w14:textId="60AABD87" w:rsidR="004C40CD" w:rsidRPr="00F82399" w:rsidRDefault="004C40CD"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AE76B4" w14:textId="24D46217" w:rsidR="004C40CD" w:rsidRPr="00F82399" w:rsidRDefault="0042400B"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D0CA385" w14:textId="7BF337D5" w:rsidR="004C40CD" w:rsidRPr="00F82399" w:rsidRDefault="0042400B"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8E9EDC6" w14:textId="365CA919" w:rsidR="004C40CD" w:rsidRPr="00F82399" w:rsidRDefault="0042400B"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0010 Guzów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1539135" w14:textId="3C679C17" w:rsidR="004C40CD" w:rsidRPr="00F82399" w:rsidRDefault="0042400B"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107/2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DF674A5" w14:textId="46D401C0" w:rsidR="004C40CD" w:rsidRPr="00DD40FC" w:rsidRDefault="0042400B"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107/3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5C857" w14:textId="3FF46C5C" w:rsidR="004C40CD" w:rsidRPr="00DD40FC" w:rsidRDefault="0042400B"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107/4</w:t>
            </w:r>
          </w:p>
        </w:tc>
      </w:tr>
      <w:tr w:rsidR="00387CD7" w:rsidRPr="00DD40FC" w14:paraId="20ED02F4"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38910" w14:textId="7AD59326"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FE0F84" w14:textId="02CDB52A"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CA61997" w14:textId="78C311C9"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B307925" w14:textId="78B78B93"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0012 Janówek</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DA43842" w14:textId="276C4806"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00F488B" w14:textId="5A1311A1" w:rsidR="00F676C6" w:rsidRPr="00DD40FC" w:rsidRDefault="00F676C6"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26/1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ECD0C" w14:textId="58AFF7D6" w:rsidR="00F676C6" w:rsidRPr="00DD40FC" w:rsidRDefault="00F676C6"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26/2</w:t>
            </w:r>
          </w:p>
        </w:tc>
      </w:tr>
      <w:tr w:rsidR="00387CD7" w:rsidRPr="00DD40FC" w14:paraId="2CE1D5D2"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9C162" w14:textId="3DE3984D"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CB5A6" w14:textId="00F52941"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1A1949F" w14:textId="075B1B36"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ECF6038" w14:textId="605F8E0E"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Cyganka</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4AB10A0" w14:textId="4B170015"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52/2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1A97A28" w14:textId="66FCF5B3" w:rsidR="00F676C6" w:rsidRPr="00DD40FC" w:rsidRDefault="00F676C6"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52/3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01491" w14:textId="66925B7A" w:rsidR="00F676C6" w:rsidRPr="00DD40FC" w:rsidRDefault="00F676C6"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52/4</w:t>
            </w:r>
          </w:p>
        </w:tc>
      </w:tr>
      <w:tr w:rsidR="00387CD7" w:rsidRPr="00DD40FC" w14:paraId="6AAC2D17"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37CD3" w14:textId="2FAD116E"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0288E76" w14:textId="40613E3A"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EEDF63F" w14:textId="3E2CA9A2"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A0C9D44" w14:textId="2ED7467E"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Cyganka</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0F9ED07" w14:textId="2B64F2D2" w:rsidR="00F676C6" w:rsidRPr="00F82399" w:rsidRDefault="00F676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53/2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F070FA4" w14:textId="40779CBE" w:rsidR="00F676C6" w:rsidRPr="00DD40FC" w:rsidRDefault="00F676C6"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53/3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FE837" w14:textId="3A89B8B8" w:rsidR="00F676C6" w:rsidRPr="00DD40FC" w:rsidRDefault="00F676C6"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53/4</w:t>
            </w:r>
          </w:p>
        </w:tc>
      </w:tr>
      <w:tr w:rsidR="00387CD7" w:rsidRPr="00DD40FC" w14:paraId="615DB445" w14:textId="77777777" w:rsidTr="00387CD7">
        <w:trPr>
          <w:trHeight w:val="31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ED489" w14:textId="0D0D7232" w:rsidR="00A961C6" w:rsidRPr="00F82399" w:rsidRDefault="00A961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4C848E" w14:textId="5BA106A0" w:rsidR="00A961C6" w:rsidRPr="00F82399" w:rsidRDefault="00A961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7860DEF" w14:textId="28D9343A" w:rsidR="00A961C6" w:rsidRPr="00F82399" w:rsidRDefault="00A961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CD15533" w14:textId="641733AC" w:rsidR="00A961C6" w:rsidRPr="00F82399" w:rsidRDefault="00A961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0018 Cyganka</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5BE7B63" w14:textId="03A3EF16" w:rsidR="00A961C6" w:rsidRPr="00F82399" w:rsidRDefault="00A961C6"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58/3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730380C" w14:textId="77777777" w:rsidR="00A961C6" w:rsidRPr="00DD40FC" w:rsidRDefault="00A961C6"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58/7</w:t>
            </w:r>
          </w:p>
          <w:p w14:paraId="57907A74" w14:textId="6E5A3E6E" w:rsidR="00A961C6" w:rsidRPr="00DD40FC" w:rsidRDefault="00A961C6"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58/8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0A66D" w14:textId="77777777" w:rsidR="00A961C6" w:rsidRPr="00DD40FC" w:rsidRDefault="00A961C6"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58/9</w:t>
            </w:r>
          </w:p>
          <w:p w14:paraId="5CB686C9" w14:textId="18E6DDD7" w:rsidR="00A961C6" w:rsidRPr="00DD40FC" w:rsidRDefault="00A961C6"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58/10</w:t>
            </w:r>
          </w:p>
        </w:tc>
      </w:tr>
      <w:tr w:rsidR="00387CD7" w:rsidRPr="00DD40FC" w14:paraId="2409E0E4"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84735" w14:textId="7D55B914" w:rsidR="00F60C2C" w:rsidRPr="00F82399" w:rsidRDefault="00F60C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106F6E" w14:textId="663CF2D9" w:rsidR="00F60C2C" w:rsidRPr="00F82399" w:rsidRDefault="00F60C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98FAB1F" w14:textId="6AB551A0" w:rsidR="00F60C2C" w:rsidRPr="00F82399" w:rsidRDefault="00F60C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7A4AE23" w14:textId="4B81170C" w:rsidR="00F60C2C" w:rsidRPr="00F82399" w:rsidRDefault="00F60C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3B94172" w14:textId="776902AF" w:rsidR="00F60C2C" w:rsidRPr="00F82399" w:rsidRDefault="00F60C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117/1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51065E4" w14:textId="7594DD41" w:rsidR="00F60C2C" w:rsidRPr="00DD40FC" w:rsidRDefault="00F60C2C"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117/3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1AD81" w14:textId="0C113EC7" w:rsidR="00F60C2C" w:rsidRPr="00DD40FC" w:rsidRDefault="00F60C2C"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w:t>
            </w:r>
            <w:r w:rsidR="00091252" w:rsidRPr="00DD40FC">
              <w:rPr>
                <w:rFonts w:ascii="Lato" w:hAnsi="Lato" w:cs="Arial"/>
                <w:spacing w:val="4"/>
                <w:sz w:val="22"/>
                <w:szCs w:val="22"/>
                <w:lang w:eastAsia="zh-CN" w:bidi="pl-PL"/>
              </w:rPr>
              <w:t>1</w:t>
            </w:r>
            <w:r w:rsidRPr="00DD40FC">
              <w:rPr>
                <w:rFonts w:ascii="Lato" w:hAnsi="Lato" w:cs="Arial"/>
                <w:spacing w:val="4"/>
                <w:sz w:val="22"/>
                <w:szCs w:val="22"/>
                <w:lang w:eastAsia="zh-CN" w:bidi="pl-PL"/>
              </w:rPr>
              <w:t>7/4</w:t>
            </w:r>
          </w:p>
        </w:tc>
      </w:tr>
      <w:tr w:rsidR="00387CD7" w:rsidRPr="00DD40FC" w14:paraId="11D695A3"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1FF96" w14:textId="2CADC951" w:rsidR="00F60C2C" w:rsidRPr="00F82399" w:rsidRDefault="00F60C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A7020B" w14:textId="314D2D44" w:rsidR="00F60C2C" w:rsidRPr="00F82399" w:rsidRDefault="00F60C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706570E" w14:textId="37CF6171" w:rsidR="00F60C2C" w:rsidRPr="00F82399" w:rsidRDefault="00F60C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946A5FA" w14:textId="334DFCF7" w:rsidR="00F60C2C" w:rsidRPr="00F82399" w:rsidRDefault="00F60C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65A4542" w14:textId="4E116479" w:rsidR="00F60C2C" w:rsidRPr="00F82399" w:rsidRDefault="00F60C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w:t>
            </w:r>
            <w:r w:rsidR="0032632C" w:rsidRPr="00F82399">
              <w:rPr>
                <w:rFonts w:ascii="Lato" w:hAnsi="Lato" w:cs="Arial"/>
                <w:spacing w:val="4"/>
                <w:sz w:val="22"/>
                <w:szCs w:val="22"/>
                <w:lang w:eastAsia="zh-CN" w:bidi="pl-PL"/>
              </w:rPr>
              <w:t>76</w:t>
            </w:r>
            <w:r w:rsidRPr="00F82399">
              <w:rPr>
                <w:rFonts w:ascii="Lato" w:hAnsi="Lato" w:cs="Arial"/>
                <w:spacing w:val="4"/>
                <w:sz w:val="22"/>
                <w:szCs w:val="22"/>
                <w:lang w:eastAsia="zh-CN" w:bidi="pl-PL"/>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01FBBDC" w14:textId="4DF90D78" w:rsidR="00F60C2C" w:rsidRPr="00DD40FC" w:rsidRDefault="00F60C2C"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17</w:t>
            </w:r>
            <w:r w:rsidR="0032632C" w:rsidRPr="00DD40FC">
              <w:rPr>
                <w:rFonts w:ascii="Lato" w:hAnsi="Lato" w:cs="Arial"/>
                <w:b/>
                <w:bCs/>
                <w:spacing w:val="4"/>
                <w:sz w:val="22"/>
                <w:szCs w:val="22"/>
                <w:lang w:eastAsia="zh-CN" w:bidi="pl-PL"/>
              </w:rPr>
              <w:t>6</w:t>
            </w:r>
            <w:r w:rsidRPr="00DD40FC">
              <w:rPr>
                <w:rFonts w:ascii="Lato" w:hAnsi="Lato" w:cs="Arial"/>
                <w:b/>
                <w:bCs/>
                <w:spacing w:val="4"/>
                <w:sz w:val="22"/>
                <w:szCs w:val="22"/>
                <w:lang w:eastAsia="zh-CN" w:bidi="pl-PL"/>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6BA52" w14:textId="5488B92F" w:rsidR="00F60C2C" w:rsidRPr="00DD40FC" w:rsidRDefault="00F60C2C"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17</w:t>
            </w:r>
            <w:r w:rsidR="0032632C" w:rsidRPr="00DD40FC">
              <w:rPr>
                <w:rFonts w:ascii="Lato" w:hAnsi="Lato" w:cs="Arial"/>
                <w:spacing w:val="4"/>
                <w:sz w:val="22"/>
                <w:szCs w:val="22"/>
                <w:lang w:eastAsia="zh-CN" w:bidi="pl-PL"/>
              </w:rPr>
              <w:t>6</w:t>
            </w:r>
            <w:r w:rsidRPr="00DD40FC">
              <w:rPr>
                <w:rFonts w:ascii="Lato" w:hAnsi="Lato" w:cs="Arial"/>
                <w:spacing w:val="4"/>
                <w:sz w:val="22"/>
                <w:szCs w:val="22"/>
                <w:lang w:eastAsia="zh-CN" w:bidi="pl-PL"/>
              </w:rPr>
              <w:t>/4</w:t>
            </w:r>
          </w:p>
        </w:tc>
      </w:tr>
      <w:tr w:rsidR="00387CD7" w:rsidRPr="00DD40FC" w14:paraId="76841605"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94D7A" w14:textId="5C345D9C" w:rsidR="0032632C" w:rsidRPr="00F82399" w:rsidRDefault="003263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9E0F66" w14:textId="7605B21D" w:rsidR="0032632C" w:rsidRPr="00F82399" w:rsidRDefault="003263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AC179DF" w14:textId="18FDD80F" w:rsidR="0032632C" w:rsidRPr="00F82399" w:rsidRDefault="003263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7B6D343B" w14:textId="0968FB28" w:rsidR="0032632C" w:rsidRPr="00F82399" w:rsidRDefault="0032632C"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779A708" w14:textId="7396E3DB" w:rsidR="0032632C" w:rsidRPr="00F82399" w:rsidRDefault="00397AA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188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EEF790C" w14:textId="77777777" w:rsidR="0032632C" w:rsidRPr="00DD40FC" w:rsidRDefault="00397AA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188/1</w:t>
            </w:r>
          </w:p>
          <w:p w14:paraId="0109B175" w14:textId="24D09D84" w:rsidR="00397AA1" w:rsidRPr="00DD40FC" w:rsidRDefault="00397AA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188/2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976EB" w14:textId="7889C851" w:rsidR="0032632C" w:rsidRPr="00DD40FC" w:rsidRDefault="00397AA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188/3</w:t>
            </w:r>
          </w:p>
        </w:tc>
      </w:tr>
      <w:tr w:rsidR="00387CD7" w:rsidRPr="00DD40FC" w14:paraId="2041D056"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7713A" w14:textId="29529F12" w:rsidR="00397AA1" w:rsidRPr="00F82399" w:rsidRDefault="00397AA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13F73B9" w14:textId="56D2EF32" w:rsidR="00397AA1" w:rsidRPr="00F82399" w:rsidRDefault="00397AA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A4735C7" w14:textId="70323327" w:rsidR="00397AA1" w:rsidRPr="00F82399" w:rsidRDefault="00397AA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E71A20" w14:textId="39C84078" w:rsidR="00397AA1" w:rsidRPr="00F82399" w:rsidRDefault="00397AA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4E20E78" w14:textId="49FBA0DD" w:rsidR="00397AA1" w:rsidRPr="00F82399" w:rsidRDefault="00397AA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F52116C" w14:textId="01F801BA" w:rsidR="00397AA1" w:rsidRPr="00DD40FC" w:rsidRDefault="00397AA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190/1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33194" w14:textId="11A4F847" w:rsidR="00397AA1" w:rsidRPr="00DD40FC" w:rsidRDefault="00397AA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190/2</w:t>
            </w:r>
          </w:p>
        </w:tc>
      </w:tr>
      <w:tr w:rsidR="00387CD7" w:rsidRPr="00DD40FC" w14:paraId="1C10AAA9"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6DC7F7" w14:textId="55FDC1A9"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9CFFF5" w14:textId="0AF2B7C1"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41440CF" w14:textId="401114C7"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80700C5" w14:textId="418F983B"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FB5488C" w14:textId="2D3BB330"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8AD31E5" w14:textId="2F391FAE" w:rsidR="00055082" w:rsidRPr="00DD40FC" w:rsidRDefault="00055082"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194/1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014F4" w14:textId="7DD0099A" w:rsidR="00055082" w:rsidRPr="00DD40FC" w:rsidRDefault="00055082"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194/2</w:t>
            </w:r>
          </w:p>
        </w:tc>
      </w:tr>
      <w:tr w:rsidR="00387CD7" w:rsidRPr="00DD40FC" w14:paraId="27EF9DD9"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C0E1C" w14:textId="0B7F635A"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6B62B61" w14:textId="44210989"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5AAEE9A" w14:textId="4040C6F5"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9902C91" w14:textId="7FD8BCD2"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B0A6700" w14:textId="365616BE"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91E7145" w14:textId="29E77A35" w:rsidR="00055082" w:rsidRPr="00DD40FC" w:rsidRDefault="00055082"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196/1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C5115" w14:textId="5C53B70B" w:rsidR="00055082" w:rsidRPr="00DD40FC" w:rsidRDefault="00055082"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196/2</w:t>
            </w:r>
          </w:p>
        </w:tc>
      </w:tr>
      <w:tr w:rsidR="00387CD7" w:rsidRPr="00DD40FC" w14:paraId="28FAA7AE"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FC3C6" w14:textId="2B5A9AC3"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8635F4" w14:textId="0D841735"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2D0C63A" w14:textId="0D9178D6"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E519130" w14:textId="1A50A9D1"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A3BAA7E" w14:textId="3FAB8EEC"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205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E086543" w14:textId="0404CB53" w:rsidR="00055082" w:rsidRPr="00DD40FC" w:rsidRDefault="00055082"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205/1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18BBD" w14:textId="627333D0" w:rsidR="00055082" w:rsidRPr="00DD40FC" w:rsidRDefault="00055082"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205/2</w:t>
            </w:r>
          </w:p>
        </w:tc>
      </w:tr>
      <w:tr w:rsidR="00387CD7" w:rsidRPr="00DD40FC" w14:paraId="0990EFBC"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A2EA63" w14:textId="33FA61A9"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06BB04" w14:textId="3E987795"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4418D99" w14:textId="4F4B179A"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1E21E3E" w14:textId="51A013BC"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AAF0D70" w14:textId="44950537"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210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239AD64" w14:textId="77777777" w:rsidR="00055082" w:rsidRPr="00DD40FC" w:rsidRDefault="00055082"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210/1</w:t>
            </w:r>
          </w:p>
          <w:p w14:paraId="48A33E28" w14:textId="299515F9" w:rsidR="00055082" w:rsidRPr="00DD40FC" w:rsidRDefault="00055082"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210/2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09CB3" w14:textId="77777777" w:rsidR="00055082" w:rsidRPr="00DD40FC" w:rsidRDefault="00055082"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210/3</w:t>
            </w:r>
          </w:p>
          <w:p w14:paraId="39944E69" w14:textId="5D17F49C" w:rsidR="00055082" w:rsidRPr="00DD40FC" w:rsidRDefault="00055082"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210/4</w:t>
            </w:r>
          </w:p>
        </w:tc>
      </w:tr>
      <w:tr w:rsidR="00387CD7" w:rsidRPr="00DD40FC" w14:paraId="5929BE89"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073A8" w14:textId="3D4B5A83"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61A4E3" w14:textId="4913BFFC"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1FF5C6D" w14:textId="031D16D0"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C8991C5" w14:textId="4CE8373B"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0022 Nowy 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4AA1A0B" w14:textId="0771656A" w:rsidR="00055082" w:rsidRPr="00F82399" w:rsidRDefault="00055082"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211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CB5EBEB" w14:textId="14BF7639" w:rsidR="00055082" w:rsidRPr="00DD40FC" w:rsidRDefault="00055082"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211/1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85AA1" w14:textId="71B69C06" w:rsidR="00055082" w:rsidRPr="00DD40FC" w:rsidRDefault="00055082"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211/2</w:t>
            </w:r>
          </w:p>
        </w:tc>
      </w:tr>
      <w:tr w:rsidR="00387CD7" w:rsidRPr="00DD40FC" w14:paraId="206C6735"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FD859" w14:textId="770B8E2B" w:rsidR="009570AA" w:rsidRPr="00F82399" w:rsidRDefault="009570AA"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06BC0BF" w14:textId="314186FA" w:rsidR="009570AA" w:rsidRPr="00F82399" w:rsidRDefault="009570AA"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0CE473D" w14:textId="472C5A1B" w:rsidR="009570AA" w:rsidRPr="00F82399" w:rsidRDefault="009570AA"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48FBF90" w14:textId="39BBCD34" w:rsidR="009570AA" w:rsidRPr="00F82399" w:rsidRDefault="009570AA"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0025 Podoryszew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9B4A6F7" w14:textId="0C4DD348" w:rsidR="009570AA" w:rsidRPr="00F82399" w:rsidRDefault="009570AA"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41/1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2763FA6" w14:textId="2A46F43E" w:rsidR="009570AA" w:rsidRPr="00DD40FC" w:rsidRDefault="009570AA"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41/3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4AF0E" w14:textId="41D74179" w:rsidR="009570AA" w:rsidRPr="00DD40FC" w:rsidRDefault="009570AA"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41/4</w:t>
            </w:r>
          </w:p>
        </w:tc>
      </w:tr>
      <w:tr w:rsidR="00387CD7" w:rsidRPr="00DD40FC" w14:paraId="64BBDF75"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62233" w14:textId="5EAC9A66" w:rsidR="00AA5A51" w:rsidRPr="00F82399" w:rsidRDefault="00AA5A5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EAB8AB" w14:textId="673DBFFB" w:rsidR="00AA5A51" w:rsidRPr="00F82399" w:rsidRDefault="00AA5A5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BB7686" w14:textId="3C6EA637" w:rsidR="00AA5A51" w:rsidRPr="00F82399" w:rsidRDefault="00AA5A5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7BEDD01" w14:textId="724E154E" w:rsidR="00AA5A51" w:rsidRPr="00F82399" w:rsidRDefault="00AA5A5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0025 Podoryszew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0313F8A" w14:textId="2A936921" w:rsidR="00AA5A51" w:rsidRPr="00F82399" w:rsidRDefault="00AA5A5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C5F523E" w14:textId="30E06D20" w:rsidR="00AA5A51" w:rsidRPr="00DD40FC" w:rsidRDefault="00AA5A5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60/1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E30ECF" w14:textId="5CC06BEC" w:rsidR="00AA5A51" w:rsidRPr="00DD40FC" w:rsidRDefault="00AA5A5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60/2</w:t>
            </w:r>
          </w:p>
        </w:tc>
      </w:tr>
      <w:tr w:rsidR="00387CD7" w:rsidRPr="00DD40FC" w14:paraId="647717FB" w14:textId="77777777" w:rsidTr="00387CD7">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DC518" w14:textId="4307F553" w:rsidR="00AA5A51" w:rsidRPr="00F82399" w:rsidRDefault="00AA5A5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198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89EE7C2" w14:textId="71A8FF8A" w:rsidR="00AA5A51" w:rsidRPr="00F82399" w:rsidRDefault="00AA5A5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żyrardowski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32DE69B" w14:textId="08AF0485" w:rsidR="00AA5A51" w:rsidRPr="00F82399" w:rsidRDefault="00AA5A5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Wiskitki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62F475B7" w14:textId="2A80336A" w:rsidR="00AA5A51" w:rsidRPr="00F82399" w:rsidRDefault="00AA5A5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0025 Podoryszew</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754CA2A" w14:textId="44DC3764" w:rsidR="00AA5A51" w:rsidRPr="00F82399" w:rsidRDefault="00AA5A51" w:rsidP="002024C5">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ADCA18B" w14:textId="28E0A83C" w:rsidR="00AA5A51" w:rsidRPr="00DD40FC" w:rsidRDefault="00AA5A51" w:rsidP="0074133F">
            <w:pPr>
              <w:widowControl w:val="0"/>
              <w:suppressAutoHyphens/>
              <w:spacing w:line="240" w:lineRule="exact"/>
              <w:jc w:val="center"/>
              <w:rPr>
                <w:rFonts w:ascii="Lato" w:hAnsi="Lato" w:cs="Arial"/>
                <w:b/>
                <w:bCs/>
                <w:spacing w:val="4"/>
                <w:sz w:val="22"/>
                <w:szCs w:val="22"/>
                <w:lang w:eastAsia="zh-CN" w:bidi="pl-PL"/>
              </w:rPr>
            </w:pPr>
            <w:r w:rsidRPr="00DD40FC">
              <w:rPr>
                <w:rFonts w:ascii="Lato" w:hAnsi="Lato" w:cs="Arial"/>
                <w:b/>
                <w:bCs/>
                <w:spacing w:val="4"/>
                <w:sz w:val="22"/>
                <w:szCs w:val="22"/>
                <w:lang w:eastAsia="zh-CN" w:bidi="pl-PL"/>
              </w:rPr>
              <w:t>61/1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E4E1A" w14:textId="2C3A1BF6" w:rsidR="00AA5A51" w:rsidRPr="00DD40FC" w:rsidRDefault="00AA5A51" w:rsidP="002024C5">
            <w:pPr>
              <w:widowControl w:val="0"/>
              <w:suppressAutoHyphens/>
              <w:spacing w:line="240" w:lineRule="exact"/>
              <w:jc w:val="center"/>
              <w:rPr>
                <w:rFonts w:ascii="Lato" w:hAnsi="Lato" w:cs="Arial"/>
                <w:spacing w:val="4"/>
                <w:sz w:val="22"/>
                <w:szCs w:val="22"/>
                <w:lang w:eastAsia="zh-CN" w:bidi="pl-PL"/>
              </w:rPr>
            </w:pPr>
            <w:r w:rsidRPr="00DD40FC">
              <w:rPr>
                <w:rFonts w:ascii="Lato" w:hAnsi="Lato" w:cs="Arial"/>
                <w:spacing w:val="4"/>
                <w:sz w:val="22"/>
                <w:szCs w:val="22"/>
                <w:lang w:eastAsia="zh-CN" w:bidi="pl-PL"/>
              </w:rPr>
              <w:t>61/2</w:t>
            </w:r>
          </w:p>
        </w:tc>
      </w:tr>
    </w:tbl>
    <w:p w14:paraId="3BCE3E6A" w14:textId="77777777" w:rsidR="00D828B9" w:rsidRPr="00DD40FC" w:rsidRDefault="00D828B9" w:rsidP="00D828B9">
      <w:pPr>
        <w:suppressAutoHyphens/>
        <w:spacing w:after="240" w:line="240" w:lineRule="exact"/>
        <w:ind w:left="357" w:firstLine="7439"/>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p>
    <w:p w14:paraId="526EC3CD" w14:textId="0A041AF6" w:rsidR="00792417" w:rsidRPr="00F40707" w:rsidRDefault="003535D1" w:rsidP="00F40707">
      <w:pPr>
        <w:pStyle w:val="Akapitzlist"/>
        <w:numPr>
          <w:ilvl w:val="0"/>
          <w:numId w:val="8"/>
        </w:numPr>
        <w:tabs>
          <w:tab w:val="left" w:pos="567"/>
        </w:tabs>
        <w:spacing w:after="120" w:line="240" w:lineRule="exact"/>
        <w:ind w:left="568" w:hanging="284"/>
        <w:contextualSpacing w:val="0"/>
        <w:jc w:val="both"/>
        <w:rPr>
          <w:rFonts w:ascii="Lato" w:hAnsi="Lato" w:cs="Arial"/>
          <w:bCs/>
          <w:spacing w:val="4"/>
          <w:sz w:val="22"/>
          <w:szCs w:val="22"/>
        </w:rPr>
      </w:pPr>
      <w:r w:rsidRPr="00F82399">
        <w:rPr>
          <w:rFonts w:ascii="Lato" w:hAnsi="Lato" w:cs="Arial"/>
          <w:bCs/>
          <w:spacing w:val="4"/>
          <w:sz w:val="22"/>
          <w:szCs w:val="22"/>
        </w:rPr>
        <w:t>ustalenie, w rozstrzygnięciu zaskarżonej decyzji, w tabeli Nr 7</w:t>
      </w:r>
      <w:r w:rsidR="00792417" w:rsidRPr="00F82399">
        <w:rPr>
          <w:rFonts w:ascii="Lato" w:hAnsi="Lato" w:cs="Arial"/>
          <w:bCs/>
          <w:spacing w:val="4"/>
          <w:sz w:val="22"/>
          <w:szCs w:val="22"/>
        </w:rPr>
        <w:t xml:space="preserve"> pn.: „Wykaz działek podlegających wywłaszczeniu na rzecz CPK Sp. z o.o. w całości”</w:t>
      </w:r>
      <w:r w:rsidRPr="00F82399">
        <w:rPr>
          <w:rFonts w:ascii="Lato" w:hAnsi="Lato" w:cs="Arial"/>
          <w:bCs/>
          <w:spacing w:val="4"/>
          <w:sz w:val="22"/>
          <w:szCs w:val="22"/>
        </w:rPr>
        <w:t xml:space="preserve">, znajdującej się </w:t>
      </w:r>
      <w:r w:rsidR="00792417" w:rsidRPr="00F40707">
        <w:rPr>
          <w:rFonts w:ascii="Lato" w:hAnsi="Lato" w:cs="Arial"/>
          <w:bCs/>
          <w:spacing w:val="4"/>
          <w:sz w:val="22"/>
          <w:szCs w:val="22"/>
        </w:rPr>
        <w:br/>
      </w:r>
      <w:r w:rsidRPr="00F82399">
        <w:rPr>
          <w:rFonts w:ascii="Lato" w:hAnsi="Lato" w:cs="Arial"/>
          <w:bCs/>
          <w:spacing w:val="4"/>
          <w:sz w:val="22"/>
          <w:szCs w:val="22"/>
        </w:rPr>
        <w:t xml:space="preserve">w pkt IX, </w:t>
      </w:r>
      <w:r w:rsidR="00792417" w:rsidRPr="00F40707">
        <w:rPr>
          <w:rFonts w:ascii="Lato" w:hAnsi="Lato" w:cs="Arial"/>
          <w:bCs/>
          <w:spacing w:val="4"/>
          <w:sz w:val="22"/>
          <w:szCs w:val="22"/>
        </w:rPr>
        <w:t xml:space="preserve">po zapisie znajdującym się w pozycji nr </w:t>
      </w:r>
      <w:r w:rsidR="00792417" w:rsidRPr="00F82399">
        <w:rPr>
          <w:rFonts w:ascii="Lato" w:hAnsi="Lato" w:cs="Arial"/>
          <w:bCs/>
          <w:spacing w:val="4"/>
          <w:sz w:val="22"/>
          <w:szCs w:val="22"/>
        </w:rPr>
        <w:t>831</w:t>
      </w:r>
      <w:r w:rsidR="00792417" w:rsidRPr="00F40707">
        <w:rPr>
          <w:rFonts w:ascii="Lato" w:hAnsi="Lato" w:cs="Arial"/>
          <w:bCs/>
          <w:spacing w:val="4"/>
          <w:sz w:val="22"/>
          <w:szCs w:val="22"/>
        </w:rPr>
        <w:t xml:space="preserve"> na str. </w:t>
      </w:r>
      <w:r w:rsidR="00792417" w:rsidRPr="00F82399">
        <w:rPr>
          <w:rFonts w:ascii="Lato" w:hAnsi="Lato" w:cs="Arial"/>
          <w:bCs/>
          <w:spacing w:val="4"/>
          <w:sz w:val="22"/>
          <w:szCs w:val="22"/>
        </w:rPr>
        <w:t>135</w:t>
      </w:r>
      <w:r w:rsidR="00792417" w:rsidRPr="00F40707">
        <w:rPr>
          <w:rFonts w:ascii="Lato" w:hAnsi="Lato" w:cs="Arial"/>
          <w:bCs/>
          <w:spacing w:val="4"/>
          <w:sz w:val="22"/>
          <w:szCs w:val="22"/>
        </w:rPr>
        <w:t>, zapis</w:t>
      </w:r>
      <w:r w:rsidR="00F60840" w:rsidRPr="00F82399">
        <w:rPr>
          <w:rFonts w:ascii="Lato" w:hAnsi="Lato" w:cs="Arial"/>
          <w:bCs/>
          <w:spacing w:val="4"/>
          <w:sz w:val="22"/>
          <w:szCs w:val="22"/>
        </w:rPr>
        <w:t>ów</w:t>
      </w:r>
      <w:r w:rsidR="00792417" w:rsidRPr="00F40707">
        <w:rPr>
          <w:rFonts w:ascii="Lato" w:hAnsi="Lato" w:cs="Arial"/>
          <w:bCs/>
          <w:spacing w:val="4"/>
          <w:sz w:val="22"/>
          <w:szCs w:val="22"/>
        </w:rPr>
        <w:t xml:space="preserve"> stanowiąc</w:t>
      </w:r>
      <w:r w:rsidR="00F60840" w:rsidRPr="00F82399">
        <w:rPr>
          <w:rFonts w:ascii="Lato" w:hAnsi="Lato" w:cs="Arial"/>
          <w:bCs/>
          <w:spacing w:val="4"/>
          <w:sz w:val="22"/>
          <w:szCs w:val="22"/>
        </w:rPr>
        <w:t>ych</w:t>
      </w:r>
      <w:r w:rsidR="00792417" w:rsidRPr="00F40707">
        <w:rPr>
          <w:rFonts w:ascii="Lato" w:hAnsi="Lato" w:cs="Arial"/>
          <w:bCs/>
          <w:spacing w:val="4"/>
          <w:sz w:val="22"/>
          <w:szCs w:val="22"/>
        </w:rPr>
        <w:t xml:space="preserve"> treść now</w:t>
      </w:r>
      <w:r w:rsidR="00F60840" w:rsidRPr="00F82399">
        <w:rPr>
          <w:rFonts w:ascii="Lato" w:hAnsi="Lato" w:cs="Arial"/>
          <w:bCs/>
          <w:spacing w:val="4"/>
          <w:sz w:val="22"/>
          <w:szCs w:val="22"/>
        </w:rPr>
        <w:t>ych</w:t>
      </w:r>
      <w:r w:rsidR="00792417" w:rsidRPr="00F40707">
        <w:rPr>
          <w:rFonts w:ascii="Lato" w:hAnsi="Lato" w:cs="Arial"/>
          <w:bCs/>
          <w:spacing w:val="4"/>
          <w:sz w:val="22"/>
          <w:szCs w:val="22"/>
        </w:rPr>
        <w:t xml:space="preserve"> pozycji nr </w:t>
      </w:r>
      <w:r w:rsidR="00792417" w:rsidRPr="00F82399">
        <w:rPr>
          <w:rFonts w:ascii="Lato" w:hAnsi="Lato" w:cs="Arial"/>
          <w:bCs/>
          <w:spacing w:val="4"/>
          <w:sz w:val="22"/>
          <w:szCs w:val="22"/>
        </w:rPr>
        <w:t>832-834</w:t>
      </w:r>
      <w:r w:rsidR="00792417" w:rsidRPr="00F40707">
        <w:rPr>
          <w:rFonts w:ascii="Lato" w:hAnsi="Lato" w:cs="Arial"/>
          <w:bCs/>
          <w:spacing w:val="4"/>
          <w:sz w:val="22"/>
          <w:szCs w:val="22"/>
        </w:rPr>
        <w:t xml:space="preserve"> tabeli:</w:t>
      </w:r>
    </w:p>
    <w:p w14:paraId="15BECDB5" w14:textId="77777777" w:rsidR="003535D1" w:rsidRPr="00DD40FC" w:rsidRDefault="003535D1" w:rsidP="003535D1">
      <w:pPr>
        <w:suppressAutoHyphens/>
        <w:ind w:left="720" w:hanging="153"/>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1843"/>
        <w:gridCol w:w="1701"/>
        <w:gridCol w:w="2977"/>
        <w:gridCol w:w="992"/>
      </w:tblGrid>
      <w:tr w:rsidR="003535D1" w:rsidRPr="00DD40FC" w14:paraId="3A68386B" w14:textId="77777777" w:rsidTr="00111A6F">
        <w:trPr>
          <w:trHeight w:val="398"/>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63CB2" w14:textId="12624651" w:rsidR="003535D1"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832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8435EF1" w14:textId="77777777" w:rsidR="003535D1" w:rsidRPr="00F82399" w:rsidRDefault="003535D1"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9E1B12" w14:textId="77777777" w:rsidR="003535D1" w:rsidRPr="00F82399" w:rsidRDefault="003535D1"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B813B02" w14:textId="77777777" w:rsidR="003535D1" w:rsidRPr="00F82399" w:rsidRDefault="003535D1"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1A1C7" w14:textId="70824A81" w:rsidR="003535D1"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2/5</w:t>
            </w:r>
          </w:p>
        </w:tc>
      </w:tr>
      <w:tr w:rsidR="00D4685A" w:rsidRPr="00DD40FC" w14:paraId="66C3B554" w14:textId="77777777" w:rsidTr="00111A6F">
        <w:trPr>
          <w:trHeight w:val="398"/>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7C1E8" w14:textId="324F7D83" w:rsidR="00D4685A"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833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BC6C3BC" w14:textId="2C2DFBE9" w:rsidR="00D4685A"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4FF710" w14:textId="48401B9B" w:rsidR="00D4685A"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DC5ECB6" w14:textId="437968BF" w:rsidR="00D4685A"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0033 SHRO Szymanów</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70265" w14:textId="28BE6E24" w:rsidR="00D4685A"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6/23</w:t>
            </w:r>
          </w:p>
        </w:tc>
      </w:tr>
      <w:tr w:rsidR="00D4685A" w:rsidRPr="00DD40FC" w14:paraId="550B4AA7" w14:textId="77777777" w:rsidTr="00111A6F">
        <w:trPr>
          <w:trHeight w:val="398"/>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D1326" w14:textId="034EE8BD" w:rsidR="00D4685A"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834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244775E" w14:textId="30462142" w:rsidR="00D4685A"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sochaczewski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A40D77" w14:textId="6FFC6764" w:rsidR="00D4685A"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Teresin</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BA5708A" w14:textId="7F8C5E7B" w:rsidR="00D4685A"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0034 SHRO Kawęczyn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B1D99" w14:textId="51BAEC9B" w:rsidR="00D4685A" w:rsidRPr="00F82399" w:rsidRDefault="00111A6F" w:rsidP="0012237E">
            <w:pPr>
              <w:widowControl w:val="0"/>
              <w:suppressAutoHyphens/>
              <w:spacing w:line="240" w:lineRule="exact"/>
              <w:jc w:val="center"/>
              <w:rPr>
                <w:rFonts w:ascii="Lato" w:hAnsi="Lato" w:cs="Arial"/>
                <w:spacing w:val="4"/>
                <w:sz w:val="22"/>
                <w:szCs w:val="22"/>
                <w:lang w:eastAsia="zh-CN" w:bidi="pl-PL"/>
              </w:rPr>
            </w:pPr>
            <w:r w:rsidRPr="00F82399">
              <w:rPr>
                <w:rFonts w:ascii="Lato" w:hAnsi="Lato" w:cs="Arial"/>
                <w:spacing w:val="4"/>
                <w:sz w:val="22"/>
                <w:szCs w:val="22"/>
                <w:lang w:eastAsia="zh-CN" w:bidi="pl-PL"/>
              </w:rPr>
              <w:t>1/11</w:t>
            </w:r>
          </w:p>
        </w:tc>
      </w:tr>
    </w:tbl>
    <w:p w14:paraId="7C84F7ED" w14:textId="4B4934A4" w:rsidR="003535D1" w:rsidRPr="00DD40FC" w:rsidRDefault="003535D1" w:rsidP="00670ADE">
      <w:pPr>
        <w:tabs>
          <w:tab w:val="left" w:pos="567"/>
        </w:tabs>
        <w:spacing w:after="240" w:line="240" w:lineRule="exact"/>
        <w:ind w:left="720" w:firstLine="6934"/>
        <w:jc w:val="both"/>
        <w:rPr>
          <w:rFonts w:ascii="Lato" w:hAnsi="Lato" w:cs="Arial"/>
          <w:bCs/>
          <w:spacing w:val="4"/>
          <w:sz w:val="22"/>
          <w:szCs w:val="22"/>
        </w:rPr>
      </w:pPr>
      <w:r w:rsidRPr="00DD40FC">
        <w:rPr>
          <w:rFonts w:ascii="Lato" w:hAnsi="Lato" w:cs="Arial"/>
          <w:spacing w:val="4"/>
          <w:sz w:val="22"/>
          <w:szCs w:val="22"/>
          <w:lang w:eastAsia="zh-CN"/>
        </w:rPr>
        <w:t xml:space="preserve">                 ”</w:t>
      </w:r>
    </w:p>
    <w:p w14:paraId="7EDFD695" w14:textId="06A86B85" w:rsidR="003A4DBC" w:rsidRPr="00F82399" w:rsidRDefault="00B91099" w:rsidP="00F40707">
      <w:pPr>
        <w:pStyle w:val="Akapitzlist"/>
        <w:numPr>
          <w:ilvl w:val="0"/>
          <w:numId w:val="8"/>
        </w:numPr>
        <w:tabs>
          <w:tab w:val="left" w:pos="567"/>
        </w:tabs>
        <w:spacing w:after="240" w:line="240" w:lineRule="exact"/>
        <w:ind w:left="568" w:hanging="284"/>
        <w:contextualSpacing w:val="0"/>
        <w:jc w:val="both"/>
        <w:rPr>
          <w:rFonts w:ascii="Lato" w:hAnsi="Lato" w:cs="Arial"/>
          <w:bCs/>
          <w:spacing w:val="4"/>
          <w:sz w:val="22"/>
          <w:szCs w:val="22"/>
        </w:rPr>
      </w:pPr>
      <w:r w:rsidRPr="00F82399">
        <w:rPr>
          <w:rFonts w:ascii="Lato" w:hAnsi="Lato" w:cs="Arial"/>
          <w:bCs/>
          <w:spacing w:val="4"/>
          <w:sz w:val="22"/>
          <w:szCs w:val="22"/>
        </w:rPr>
        <w:t>ustalenie, w rozstrzygnięciu zaskarżonej decyzji, w tabeli Nr 8</w:t>
      </w:r>
      <w:r w:rsidR="00935F16" w:rsidRPr="00F82399">
        <w:rPr>
          <w:rFonts w:ascii="Lato" w:hAnsi="Lato" w:cs="Arial"/>
          <w:bCs/>
          <w:spacing w:val="4"/>
          <w:sz w:val="22"/>
          <w:szCs w:val="22"/>
        </w:rPr>
        <w:t xml:space="preserve"> pn.: „Wykaz nieruchomości lub ich części, dla których wprowadza się ograniczenie sposobu korzystania z nieruchomości, o którym mowa w art. 40 ust. 2 pkt 10 specustawy, wraz ze wskazaniem ograniczeń trwałych i ograniczeń czasowych”</w:t>
      </w:r>
      <w:r w:rsidRPr="00F82399">
        <w:rPr>
          <w:rFonts w:ascii="Lato" w:hAnsi="Lato" w:cs="Arial"/>
          <w:bCs/>
          <w:spacing w:val="4"/>
          <w:sz w:val="22"/>
          <w:szCs w:val="22"/>
        </w:rPr>
        <w:t>, znajdującej się w pkt X.</w:t>
      </w:r>
      <w:r w:rsidR="00002C19" w:rsidRPr="00F82399">
        <w:rPr>
          <w:rFonts w:ascii="Lato" w:hAnsi="Lato" w:cs="Arial"/>
          <w:bCs/>
          <w:spacing w:val="4"/>
          <w:sz w:val="22"/>
          <w:szCs w:val="22"/>
        </w:rPr>
        <w:t>:</w:t>
      </w:r>
      <w:r w:rsidRPr="00F82399">
        <w:rPr>
          <w:rFonts w:ascii="Lato" w:hAnsi="Lato" w:cs="Arial"/>
          <w:bCs/>
          <w:spacing w:val="4"/>
          <w:sz w:val="22"/>
          <w:szCs w:val="22"/>
        </w:rPr>
        <w:t xml:space="preserve"> </w:t>
      </w:r>
    </w:p>
    <w:p w14:paraId="56BFBBA8" w14:textId="33ED4001" w:rsidR="00B91099" w:rsidRPr="00F82399" w:rsidRDefault="003A4DBC" w:rsidP="00F40707">
      <w:pPr>
        <w:pStyle w:val="Akapitzlist"/>
        <w:numPr>
          <w:ilvl w:val="0"/>
          <w:numId w:val="8"/>
        </w:numPr>
        <w:tabs>
          <w:tab w:val="left" w:pos="993"/>
        </w:tabs>
        <w:spacing w:after="120" w:line="240" w:lineRule="exact"/>
        <w:ind w:left="851" w:hanging="284"/>
        <w:contextualSpacing w:val="0"/>
        <w:jc w:val="both"/>
        <w:rPr>
          <w:rFonts w:ascii="Lato" w:hAnsi="Lato" w:cs="Arial"/>
          <w:bCs/>
          <w:spacing w:val="4"/>
          <w:sz w:val="22"/>
          <w:szCs w:val="22"/>
        </w:rPr>
      </w:pPr>
      <w:r w:rsidRPr="00F82399">
        <w:rPr>
          <w:rFonts w:ascii="Lato" w:hAnsi="Lato" w:cs="Arial"/>
          <w:bCs/>
          <w:spacing w:val="4"/>
          <w:sz w:val="22"/>
          <w:szCs w:val="22"/>
        </w:rPr>
        <w:lastRenderedPageBreak/>
        <w:t xml:space="preserve">w miejsce uchylenia, </w:t>
      </w:r>
      <w:r w:rsidR="00B91099" w:rsidRPr="00F82399">
        <w:rPr>
          <w:rFonts w:ascii="Lato" w:hAnsi="Lato" w:cs="Arial"/>
          <w:bCs/>
          <w:spacing w:val="4"/>
          <w:sz w:val="22"/>
          <w:szCs w:val="22"/>
        </w:rPr>
        <w:t>na stronie 137, now</w:t>
      </w:r>
      <w:r w:rsidR="00F82399">
        <w:rPr>
          <w:rFonts w:ascii="Lato" w:hAnsi="Lato" w:cs="Arial"/>
          <w:bCs/>
          <w:spacing w:val="4"/>
          <w:sz w:val="22"/>
          <w:szCs w:val="22"/>
        </w:rPr>
        <w:t>ych</w:t>
      </w:r>
      <w:r w:rsidR="00B91099" w:rsidRPr="00F82399">
        <w:rPr>
          <w:rFonts w:ascii="Lato" w:hAnsi="Lato" w:cs="Arial"/>
          <w:bCs/>
          <w:spacing w:val="4"/>
          <w:sz w:val="22"/>
          <w:szCs w:val="22"/>
        </w:rPr>
        <w:t xml:space="preserve"> zapis</w:t>
      </w:r>
      <w:r w:rsidR="00F82399">
        <w:rPr>
          <w:rFonts w:ascii="Lato" w:hAnsi="Lato" w:cs="Arial"/>
          <w:bCs/>
          <w:spacing w:val="4"/>
          <w:sz w:val="22"/>
          <w:szCs w:val="22"/>
        </w:rPr>
        <w:t>ów</w:t>
      </w:r>
      <w:r w:rsidR="00B91099" w:rsidRPr="00F82399">
        <w:rPr>
          <w:rFonts w:ascii="Lato" w:hAnsi="Lato" w:cs="Arial"/>
          <w:bCs/>
          <w:spacing w:val="4"/>
          <w:sz w:val="22"/>
          <w:szCs w:val="22"/>
        </w:rPr>
        <w:t>:</w:t>
      </w:r>
    </w:p>
    <w:p w14:paraId="148EFE31" w14:textId="4770C84B" w:rsidR="00B91099" w:rsidRPr="00DD40FC" w:rsidRDefault="0060749C" w:rsidP="00B91099">
      <w:pPr>
        <w:pStyle w:val="Akapitzlist"/>
        <w:suppressAutoHyphens/>
        <w:ind w:left="1080" w:hanging="513"/>
        <w:jc w:val="both"/>
        <w:rPr>
          <w:rFonts w:ascii="Lato" w:hAnsi="Lato" w:cs="Arial"/>
          <w:spacing w:val="4"/>
          <w:sz w:val="22"/>
          <w:szCs w:val="22"/>
          <w:lang w:eastAsia="zh-CN"/>
        </w:rPr>
      </w:pPr>
      <w:r w:rsidRPr="00F40707">
        <w:rPr>
          <w:rFonts w:ascii="Lato" w:hAnsi="Lato" w:cs="Arial"/>
          <w:spacing w:val="4"/>
          <w:sz w:val="22"/>
          <w:szCs w:val="22"/>
          <w:lang w:eastAsia="zh-CN"/>
        </w:rPr>
        <w:t xml:space="preserve">     </w:t>
      </w:r>
      <w:r w:rsidR="00B91099" w:rsidRPr="00F82399">
        <w:rPr>
          <w:rFonts w:ascii="Lato" w:hAnsi="Lato" w:cs="Arial"/>
          <w:spacing w:val="4"/>
          <w:sz w:val="22"/>
          <w:szCs w:val="22"/>
          <w:lang w:eastAsia="zh-CN"/>
        </w:rPr>
        <w:t>„</w:t>
      </w:r>
      <w:r w:rsidR="00B91099" w:rsidRPr="00DD40FC">
        <w:rPr>
          <w:rFonts w:ascii="Lato" w:hAnsi="Lato" w:cs="Arial"/>
          <w:spacing w:val="4"/>
          <w:sz w:val="22"/>
          <w:szCs w:val="22"/>
          <w:lang w:eastAsia="zh-CN"/>
        </w:rPr>
        <w:t xml:space="preserve"> </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
        <w:gridCol w:w="1276"/>
        <w:gridCol w:w="709"/>
        <w:gridCol w:w="1134"/>
        <w:gridCol w:w="567"/>
        <w:gridCol w:w="567"/>
        <w:gridCol w:w="2551"/>
        <w:gridCol w:w="851"/>
      </w:tblGrid>
      <w:tr w:rsidR="0060749C" w:rsidRPr="0060749C" w14:paraId="73B893A7" w14:textId="77777777" w:rsidTr="00F40707">
        <w:trPr>
          <w:trHeight w:val="305"/>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A6655" w14:textId="1ADECC76" w:rsidR="00B91099" w:rsidRPr="00F82399" w:rsidRDefault="00DD6CF1"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F49E20" w14:textId="28D23F09" w:rsidR="00B91099" w:rsidRPr="00F82399" w:rsidRDefault="00DD6CF1"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sochaczewski</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46303E6" w14:textId="6B55C59A" w:rsidR="00B91099" w:rsidRPr="00F82399" w:rsidRDefault="00DD6CF1"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Teresin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9952F7" w14:textId="1EA8225D" w:rsidR="00B91099" w:rsidRPr="00F82399" w:rsidRDefault="00DD6CF1"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0033 SHRO Szymanów</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610A159" w14:textId="0B47A290" w:rsidR="00B91099" w:rsidRPr="00F82399" w:rsidRDefault="002C5879"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6/2</w:t>
            </w:r>
            <w:r w:rsidR="00221519" w:rsidRPr="00F82399">
              <w:rPr>
                <w:rFonts w:ascii="Lato" w:hAnsi="Lato" w:cs="Arial"/>
                <w:spacing w:val="4"/>
                <w:sz w:val="20"/>
                <w:szCs w:val="20"/>
                <w:lang w:eastAsia="zh-CN" w:bidi="pl-PL"/>
              </w:rPr>
              <w:t>4</w:t>
            </w:r>
          </w:p>
        </w:tc>
        <w:tc>
          <w:tcPr>
            <w:tcW w:w="567" w:type="dxa"/>
            <w:vAlign w:val="center"/>
          </w:tcPr>
          <w:p w14:paraId="4E5325CC" w14:textId="2FBD4573" w:rsidR="00B91099" w:rsidRPr="00F82399" w:rsidRDefault="00221519" w:rsidP="00F40707">
            <w:pPr>
              <w:widowControl w:val="0"/>
              <w:suppressAutoHyphens/>
              <w:jc w:val="center"/>
              <w:rPr>
                <w:rFonts w:ascii="Lato" w:hAnsi="Lato" w:cs="Arial"/>
                <w:b/>
                <w:bCs/>
                <w:spacing w:val="4"/>
                <w:sz w:val="20"/>
                <w:szCs w:val="20"/>
                <w:lang w:eastAsia="zh-CN" w:bidi="pl-PL"/>
              </w:rPr>
            </w:pPr>
            <w:r w:rsidRPr="00F82399">
              <w:rPr>
                <w:rFonts w:ascii="Lato" w:hAnsi="Lato" w:cs="Arial"/>
                <w:b/>
                <w:bCs/>
                <w:spacing w:val="4"/>
                <w:sz w:val="20"/>
                <w:szCs w:val="20"/>
                <w:lang w:eastAsia="zh-CN" w:bidi="pl-PL"/>
              </w:rPr>
              <w:t>6/24</w:t>
            </w:r>
          </w:p>
        </w:tc>
        <w:tc>
          <w:tcPr>
            <w:tcW w:w="2551" w:type="dxa"/>
          </w:tcPr>
          <w:p w14:paraId="109EFE84" w14:textId="0F2588FC" w:rsidR="00B91099" w:rsidRPr="00F40707" w:rsidRDefault="002C5879" w:rsidP="00F40707">
            <w:pPr>
              <w:widowControl w:val="0"/>
              <w:suppressAutoHyphens/>
              <w:ind w:left="130"/>
              <w:rPr>
                <w:rFonts w:ascii="Lato" w:hAnsi="Lato" w:cs="Arial"/>
                <w:spacing w:val="4"/>
                <w:sz w:val="20"/>
                <w:szCs w:val="20"/>
                <w:lang w:eastAsia="zh-CN" w:bidi="pl-PL"/>
              </w:rPr>
            </w:pPr>
            <w:r w:rsidRPr="00F40707">
              <w:rPr>
                <w:rFonts w:ascii="Lato" w:hAnsi="Lato" w:cs="Arial"/>
                <w:spacing w:val="4"/>
                <w:sz w:val="20"/>
                <w:szCs w:val="20"/>
                <w:lang w:eastAsia="zh-CN" w:bidi="pl-PL"/>
              </w:rPr>
              <w:t>Wejście w teren w celu prowadzenia prac związanych z przebudową linii elektroenergetycznej. Wejście w teren w celu prowadzenia prac</w:t>
            </w:r>
            <w:r w:rsidR="00935F16" w:rsidRPr="00F82399">
              <w:rPr>
                <w:rFonts w:ascii="Lato" w:hAnsi="Lato" w:cs="Arial"/>
                <w:spacing w:val="4"/>
                <w:sz w:val="20"/>
                <w:szCs w:val="20"/>
                <w:lang w:eastAsia="zh-CN" w:bidi="pl-PL"/>
              </w:rPr>
              <w:t xml:space="preserve"> </w:t>
            </w:r>
            <w:r w:rsidRPr="00F40707">
              <w:rPr>
                <w:rFonts w:ascii="Lato" w:hAnsi="Lato" w:cs="Arial"/>
                <w:spacing w:val="4"/>
                <w:sz w:val="20"/>
                <w:szCs w:val="20"/>
                <w:lang w:eastAsia="zh-CN" w:bidi="pl-PL"/>
              </w:rPr>
              <w:t>związanych z przebudową linii elektroenergetycznej oraz</w:t>
            </w:r>
            <w:r w:rsidR="003A7B78" w:rsidRPr="00F40707">
              <w:rPr>
                <w:rFonts w:ascii="Lato" w:hAnsi="Lato" w:cs="Arial"/>
                <w:spacing w:val="4"/>
                <w:sz w:val="20"/>
                <w:szCs w:val="20"/>
                <w:lang w:eastAsia="zh-CN" w:bidi="pl-PL"/>
              </w:rPr>
              <w:t xml:space="preserve"> przebudową sieci telekomunikacyjnej</w:t>
            </w:r>
            <w:r w:rsidR="00935F16" w:rsidRPr="00F82399">
              <w:rPr>
                <w:rFonts w:ascii="Lato" w:hAnsi="Lato" w:cs="Arial"/>
                <w:spacing w:val="4"/>
                <w:sz w:val="20"/>
                <w:szCs w:val="20"/>
                <w:lang w:eastAsia="zh-CN" w:bidi="pl-PL"/>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AC871" w14:textId="6B81B72A" w:rsidR="00B91099" w:rsidRPr="00F82399" w:rsidRDefault="00D7315F"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C</w:t>
            </w:r>
            <w:r w:rsidR="00DD6CF1" w:rsidRPr="00F82399">
              <w:rPr>
                <w:rFonts w:ascii="Lato" w:hAnsi="Lato" w:cs="Arial"/>
                <w:spacing w:val="4"/>
                <w:sz w:val="20"/>
                <w:szCs w:val="20"/>
                <w:lang w:eastAsia="zh-CN" w:bidi="pl-PL"/>
              </w:rPr>
              <w:t>zasowe</w:t>
            </w:r>
          </w:p>
        </w:tc>
      </w:tr>
      <w:tr w:rsidR="0060749C" w:rsidRPr="0060749C" w14:paraId="08CC3B7E" w14:textId="77777777" w:rsidTr="00F40707">
        <w:trPr>
          <w:trHeight w:val="305"/>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57092" w14:textId="41DAC066" w:rsidR="00B91099" w:rsidRPr="00F82399" w:rsidRDefault="00DD6CF1"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BC511A" w14:textId="1068E0CB" w:rsidR="00B91099" w:rsidRPr="00F82399" w:rsidRDefault="00DD6CF1"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sochaczewski</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58037E6" w14:textId="0BCDAEB7" w:rsidR="00B91099" w:rsidRPr="00F82399" w:rsidRDefault="00DD6CF1"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Teresin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ED4A26" w14:textId="5B552C1D" w:rsidR="00B91099" w:rsidRPr="00F82399" w:rsidRDefault="00DD6CF1"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0033 SHRO Szymanów</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442543E" w14:textId="78BC3D24" w:rsidR="00B91099" w:rsidRPr="00F82399" w:rsidRDefault="00DD6CF1"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6/26</w:t>
            </w:r>
          </w:p>
        </w:tc>
        <w:tc>
          <w:tcPr>
            <w:tcW w:w="567" w:type="dxa"/>
            <w:vAlign w:val="center"/>
          </w:tcPr>
          <w:p w14:paraId="6B99E39B" w14:textId="383B5B89" w:rsidR="00B91099" w:rsidRPr="00F82399" w:rsidRDefault="00DD6CF1" w:rsidP="00F40707">
            <w:pPr>
              <w:widowControl w:val="0"/>
              <w:suppressAutoHyphens/>
              <w:jc w:val="center"/>
              <w:rPr>
                <w:rFonts w:ascii="Lato" w:hAnsi="Lato" w:cs="Arial"/>
                <w:b/>
                <w:bCs/>
                <w:spacing w:val="4"/>
                <w:sz w:val="20"/>
                <w:szCs w:val="20"/>
                <w:lang w:eastAsia="zh-CN" w:bidi="pl-PL"/>
              </w:rPr>
            </w:pPr>
            <w:r w:rsidRPr="00F82399">
              <w:rPr>
                <w:rFonts w:ascii="Lato" w:hAnsi="Lato" w:cs="Arial"/>
                <w:b/>
                <w:bCs/>
                <w:spacing w:val="4"/>
                <w:sz w:val="20"/>
                <w:szCs w:val="20"/>
                <w:lang w:eastAsia="zh-CN" w:bidi="pl-PL"/>
              </w:rPr>
              <w:t>6/26</w:t>
            </w:r>
          </w:p>
        </w:tc>
        <w:tc>
          <w:tcPr>
            <w:tcW w:w="2551" w:type="dxa"/>
          </w:tcPr>
          <w:p w14:paraId="3A2B17C0" w14:textId="1F8FC64A" w:rsidR="00B91099" w:rsidRPr="00F82399" w:rsidRDefault="007F6275" w:rsidP="00F40707">
            <w:pPr>
              <w:widowControl w:val="0"/>
              <w:suppressAutoHyphens/>
              <w:ind w:left="130"/>
              <w:rPr>
                <w:rFonts w:ascii="Lato" w:hAnsi="Lato" w:cs="Arial"/>
                <w:spacing w:val="4"/>
                <w:sz w:val="20"/>
                <w:szCs w:val="20"/>
                <w:lang w:eastAsia="zh-CN" w:bidi="pl-PL"/>
              </w:rPr>
            </w:pPr>
            <w:r w:rsidRPr="00F40707">
              <w:rPr>
                <w:rFonts w:ascii="Lato" w:hAnsi="Lato" w:cs="Arial"/>
                <w:spacing w:val="4"/>
                <w:sz w:val="20"/>
                <w:szCs w:val="20"/>
                <w:lang w:eastAsia="zh-CN" w:bidi="pl-PL"/>
              </w:rPr>
              <w:t xml:space="preserve">Wejście w teren w celu </w:t>
            </w:r>
            <w:r w:rsidR="00387088" w:rsidRPr="00F40707">
              <w:rPr>
                <w:rFonts w:ascii="Lato" w:hAnsi="Lato" w:cs="Arial"/>
                <w:spacing w:val="4"/>
                <w:sz w:val="20"/>
                <w:szCs w:val="20"/>
                <w:lang w:eastAsia="zh-CN" w:bidi="pl-PL"/>
              </w:rPr>
              <w:t>prowadzenia prac</w:t>
            </w:r>
            <w:r w:rsidR="00490BF3" w:rsidRPr="00F82399">
              <w:rPr>
                <w:rFonts w:ascii="Lato" w:hAnsi="Lato" w:cs="Arial"/>
                <w:spacing w:val="4"/>
                <w:sz w:val="20"/>
                <w:szCs w:val="20"/>
                <w:lang w:eastAsia="zh-CN" w:bidi="pl-PL"/>
              </w:rPr>
              <w:t xml:space="preserve"> </w:t>
            </w:r>
            <w:r w:rsidR="00387088" w:rsidRPr="00F40707">
              <w:rPr>
                <w:rFonts w:ascii="Lato" w:hAnsi="Lato" w:cs="Arial"/>
                <w:spacing w:val="4"/>
                <w:sz w:val="20"/>
                <w:szCs w:val="20"/>
                <w:lang w:eastAsia="zh-CN" w:bidi="pl-PL"/>
              </w:rPr>
              <w:t>związanych z przebudową linii elektroenergetycznej</w:t>
            </w:r>
            <w:r w:rsidR="00490BF3" w:rsidRPr="00F82399">
              <w:rPr>
                <w:rFonts w:ascii="Lato" w:hAnsi="Lato" w:cs="Arial"/>
                <w:spacing w:val="4"/>
                <w:sz w:val="20"/>
                <w:szCs w:val="20"/>
                <w:lang w:eastAsia="zh-CN" w:bidi="pl-PL"/>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6B075" w14:textId="0D9E77B8" w:rsidR="00B91099" w:rsidRPr="00F82399" w:rsidRDefault="00D7315F" w:rsidP="00F40707">
            <w:pPr>
              <w:widowControl w:val="0"/>
              <w:suppressAutoHyphens/>
              <w:jc w:val="center"/>
              <w:rPr>
                <w:rFonts w:ascii="Lato" w:hAnsi="Lato" w:cs="Arial"/>
                <w:spacing w:val="4"/>
                <w:sz w:val="20"/>
                <w:szCs w:val="20"/>
                <w:lang w:eastAsia="zh-CN" w:bidi="pl-PL"/>
              </w:rPr>
            </w:pPr>
            <w:r w:rsidRPr="00F82399">
              <w:rPr>
                <w:rFonts w:ascii="Lato" w:hAnsi="Lato" w:cs="Arial"/>
                <w:spacing w:val="4"/>
                <w:sz w:val="20"/>
                <w:szCs w:val="20"/>
                <w:lang w:eastAsia="zh-CN" w:bidi="pl-PL"/>
              </w:rPr>
              <w:t>C</w:t>
            </w:r>
            <w:r w:rsidR="00DD6CF1" w:rsidRPr="00F82399">
              <w:rPr>
                <w:rFonts w:ascii="Lato" w:hAnsi="Lato" w:cs="Arial"/>
                <w:spacing w:val="4"/>
                <w:sz w:val="20"/>
                <w:szCs w:val="20"/>
                <w:lang w:eastAsia="zh-CN" w:bidi="pl-PL"/>
              </w:rPr>
              <w:t>zasowe</w:t>
            </w:r>
          </w:p>
        </w:tc>
      </w:tr>
    </w:tbl>
    <w:p w14:paraId="5A68A7A2" w14:textId="77777777" w:rsidR="00B91099" w:rsidRPr="00F82399" w:rsidRDefault="00B91099" w:rsidP="00F40707">
      <w:pPr>
        <w:pStyle w:val="Akapitzlist"/>
        <w:suppressAutoHyphens/>
        <w:ind w:left="1077" w:firstLine="6577"/>
        <w:contextualSpacing w:val="0"/>
        <w:jc w:val="both"/>
        <w:rPr>
          <w:rFonts w:ascii="Lato" w:hAnsi="Lato" w:cs="Arial"/>
          <w:spacing w:val="4"/>
          <w:sz w:val="20"/>
          <w:szCs w:val="20"/>
          <w:lang w:eastAsia="zh-CN"/>
        </w:rPr>
      </w:pPr>
      <w:r w:rsidRPr="00F82399">
        <w:rPr>
          <w:rFonts w:ascii="Lato" w:hAnsi="Lato" w:cs="Arial"/>
          <w:spacing w:val="4"/>
          <w:sz w:val="20"/>
          <w:szCs w:val="20"/>
          <w:lang w:eastAsia="zh-CN"/>
        </w:rPr>
        <w:t xml:space="preserve">                   ”</w:t>
      </w:r>
    </w:p>
    <w:p w14:paraId="1E44B4E4" w14:textId="0BAEE8F3" w:rsidR="00DD6CF1" w:rsidRPr="00F82399" w:rsidRDefault="0060749C" w:rsidP="00DD6CF1">
      <w:pPr>
        <w:pStyle w:val="Akapitzlist"/>
        <w:suppressAutoHyphens/>
        <w:ind w:left="1080" w:hanging="513"/>
        <w:jc w:val="both"/>
        <w:rPr>
          <w:rFonts w:ascii="Lato" w:hAnsi="Lato" w:cs="Arial"/>
          <w:spacing w:val="4"/>
          <w:sz w:val="20"/>
          <w:szCs w:val="20"/>
          <w:lang w:eastAsia="zh-CN"/>
        </w:rPr>
      </w:pPr>
      <w:r w:rsidRPr="00F40707">
        <w:rPr>
          <w:rFonts w:ascii="Lato" w:hAnsi="Lato" w:cs="Arial"/>
          <w:spacing w:val="4"/>
          <w:sz w:val="20"/>
          <w:szCs w:val="20"/>
          <w:lang w:eastAsia="zh-CN"/>
        </w:rPr>
        <w:t xml:space="preserve">     </w:t>
      </w:r>
      <w:r w:rsidR="00DD6CF1" w:rsidRPr="00F82399">
        <w:rPr>
          <w:rFonts w:ascii="Lato" w:hAnsi="Lato" w:cs="Arial"/>
          <w:spacing w:val="4"/>
          <w:sz w:val="20"/>
          <w:szCs w:val="20"/>
          <w:lang w:eastAsia="zh-CN"/>
        </w:rPr>
        <w:t xml:space="preserve">„ </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
        <w:gridCol w:w="1276"/>
        <w:gridCol w:w="709"/>
        <w:gridCol w:w="1134"/>
        <w:gridCol w:w="425"/>
        <w:gridCol w:w="425"/>
        <w:gridCol w:w="2835"/>
        <w:gridCol w:w="851"/>
      </w:tblGrid>
      <w:tr w:rsidR="0060749C" w:rsidRPr="00DD40FC" w14:paraId="49B9FE81" w14:textId="77777777" w:rsidTr="00F40707">
        <w:trPr>
          <w:trHeight w:val="305"/>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C4F6A" w14:textId="08CBA634" w:rsidR="00DD6CF1" w:rsidRPr="00F82399" w:rsidRDefault="00DD6CF1" w:rsidP="003A0DA8">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DF8560" w14:textId="3821F318" w:rsidR="00DD6CF1" w:rsidRPr="00F82399" w:rsidRDefault="00DD6CF1" w:rsidP="00DD6CF1">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sochaczewski</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C0C94FC" w14:textId="2BA59D30" w:rsidR="00DD6CF1" w:rsidRPr="00F82399" w:rsidRDefault="00DD6CF1" w:rsidP="003A0DA8">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Teresin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C4A9B" w14:textId="47BB4A76" w:rsidR="00DD6CF1" w:rsidRPr="00F82399" w:rsidRDefault="00DD6CF1" w:rsidP="003A0DA8">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0033 SHRO Szymanów</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47870BF4" w14:textId="375AA9F3" w:rsidR="00DD6CF1" w:rsidRPr="00F82399" w:rsidRDefault="00DD6CF1" w:rsidP="003A0DA8">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9/8</w:t>
            </w:r>
          </w:p>
        </w:tc>
        <w:tc>
          <w:tcPr>
            <w:tcW w:w="425" w:type="dxa"/>
            <w:vAlign w:val="center"/>
          </w:tcPr>
          <w:p w14:paraId="22E25BFF" w14:textId="04F3EE8F" w:rsidR="00DD6CF1" w:rsidRPr="00F82399" w:rsidRDefault="00DD6CF1" w:rsidP="00221519">
            <w:pPr>
              <w:widowControl w:val="0"/>
              <w:suppressAutoHyphens/>
              <w:spacing w:line="240" w:lineRule="exact"/>
              <w:jc w:val="center"/>
              <w:rPr>
                <w:rFonts w:ascii="Lato" w:hAnsi="Lato" w:cs="Arial"/>
                <w:b/>
                <w:bCs/>
                <w:spacing w:val="4"/>
                <w:sz w:val="20"/>
                <w:szCs w:val="20"/>
                <w:lang w:eastAsia="zh-CN" w:bidi="pl-PL"/>
              </w:rPr>
            </w:pPr>
            <w:r w:rsidRPr="00F82399">
              <w:rPr>
                <w:rFonts w:ascii="Lato" w:hAnsi="Lato" w:cs="Arial"/>
                <w:b/>
                <w:bCs/>
                <w:spacing w:val="4"/>
                <w:sz w:val="20"/>
                <w:szCs w:val="20"/>
                <w:lang w:eastAsia="zh-CN" w:bidi="pl-PL"/>
              </w:rPr>
              <w:t>9/8</w:t>
            </w:r>
          </w:p>
        </w:tc>
        <w:tc>
          <w:tcPr>
            <w:tcW w:w="2835" w:type="dxa"/>
          </w:tcPr>
          <w:p w14:paraId="60EFFCA2" w14:textId="26FB7759" w:rsidR="00DD6CF1" w:rsidRPr="00F82399" w:rsidRDefault="00387088" w:rsidP="00F40707">
            <w:pPr>
              <w:widowControl w:val="0"/>
              <w:suppressAutoHyphens/>
              <w:ind w:left="136"/>
              <w:rPr>
                <w:rFonts w:ascii="Lato" w:hAnsi="Lato" w:cs="Arial"/>
                <w:spacing w:val="4"/>
                <w:sz w:val="20"/>
                <w:szCs w:val="20"/>
                <w:lang w:eastAsia="zh-CN" w:bidi="pl-PL"/>
              </w:rPr>
            </w:pPr>
            <w:r w:rsidRPr="00F40707">
              <w:rPr>
                <w:rFonts w:ascii="Lato" w:hAnsi="Lato" w:cs="Arial"/>
                <w:spacing w:val="4"/>
                <w:sz w:val="20"/>
                <w:szCs w:val="20"/>
                <w:lang w:eastAsia="zh-CN" w:bidi="pl-PL"/>
              </w:rPr>
              <w:t>Wejście w teren w celu prowadzenia prac związanych z powiązaniem istniejącego układu drogowego z układem projektowanym</w:t>
            </w:r>
            <w:r w:rsidRPr="00F82399">
              <w:rPr>
                <w:rFonts w:ascii="Lato" w:hAnsi="Lato" w:cs="Arial"/>
                <w:spacing w:val="4"/>
                <w:sz w:val="20"/>
                <w:szCs w:val="20"/>
                <w:lang w:eastAsia="zh-CN" w:bidi="pl-PL"/>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BB920" w14:textId="7A60E26E" w:rsidR="00DD6CF1" w:rsidRPr="00DD40FC" w:rsidRDefault="00D7315F" w:rsidP="003A0DA8">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C</w:t>
            </w:r>
            <w:r w:rsidR="00DD6CF1" w:rsidRPr="00F82399">
              <w:rPr>
                <w:rFonts w:ascii="Lato" w:hAnsi="Lato" w:cs="Arial"/>
                <w:spacing w:val="4"/>
                <w:sz w:val="20"/>
                <w:szCs w:val="20"/>
                <w:lang w:eastAsia="zh-CN" w:bidi="pl-PL"/>
              </w:rPr>
              <w:t>zasowe</w:t>
            </w:r>
          </w:p>
        </w:tc>
      </w:tr>
    </w:tbl>
    <w:p w14:paraId="0493309B" w14:textId="77777777" w:rsidR="00DD6CF1" w:rsidRPr="00DD40FC" w:rsidRDefault="00DD6CF1" w:rsidP="00F40707">
      <w:pPr>
        <w:pStyle w:val="Akapitzlist"/>
        <w:suppressAutoHyphens/>
        <w:ind w:left="1077" w:firstLine="6435"/>
        <w:contextualSpacing w:val="0"/>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p>
    <w:p w14:paraId="3005FE63" w14:textId="181E5299" w:rsidR="00A12130" w:rsidRPr="00F40707" w:rsidRDefault="0060749C" w:rsidP="00F40707">
      <w:pPr>
        <w:pStyle w:val="Akapitzlist"/>
        <w:numPr>
          <w:ilvl w:val="0"/>
          <w:numId w:val="2"/>
        </w:numPr>
        <w:ind w:left="851" w:hanging="284"/>
        <w:contextualSpacing w:val="0"/>
        <w:jc w:val="both"/>
        <w:rPr>
          <w:rFonts w:ascii="Lato" w:hAnsi="Lato" w:cs="Arial"/>
          <w:bCs/>
          <w:iCs/>
          <w:spacing w:val="4"/>
          <w:sz w:val="22"/>
          <w:szCs w:val="22"/>
        </w:rPr>
      </w:pPr>
      <w:r w:rsidRPr="00F82399">
        <w:rPr>
          <w:rFonts w:ascii="Lato" w:hAnsi="Lato" w:cs="Arial"/>
          <w:bCs/>
          <w:iCs/>
          <w:spacing w:val="4"/>
          <w:sz w:val="22"/>
          <w:szCs w:val="22"/>
        </w:rPr>
        <w:t>po zapisie znajdującym się w pozycji 79 na stronie 147, zapisów stanowiących treść now</w:t>
      </w:r>
      <w:r w:rsidR="00F82399" w:rsidRPr="00F40707">
        <w:rPr>
          <w:rFonts w:ascii="Lato" w:hAnsi="Lato" w:cs="Arial"/>
          <w:bCs/>
          <w:iCs/>
          <w:spacing w:val="4"/>
          <w:sz w:val="22"/>
          <w:szCs w:val="22"/>
        </w:rPr>
        <w:t>ej</w:t>
      </w:r>
      <w:r w:rsidRPr="00F82399">
        <w:rPr>
          <w:rFonts w:ascii="Lato" w:hAnsi="Lato" w:cs="Arial"/>
          <w:bCs/>
          <w:iCs/>
          <w:spacing w:val="4"/>
          <w:sz w:val="22"/>
          <w:szCs w:val="22"/>
        </w:rPr>
        <w:t xml:space="preserve"> pozycji nr 80 tabeli</w:t>
      </w:r>
      <w:r w:rsidR="003A4DBC" w:rsidRPr="00F40707">
        <w:rPr>
          <w:rFonts w:ascii="Lato" w:hAnsi="Lato" w:cs="Arial"/>
          <w:bCs/>
          <w:iCs/>
          <w:spacing w:val="4"/>
          <w:sz w:val="22"/>
          <w:szCs w:val="22"/>
        </w:rPr>
        <w:t>:</w:t>
      </w:r>
    </w:p>
    <w:p w14:paraId="4A3E0ECC" w14:textId="5A195C1F" w:rsidR="003A4DBC" w:rsidRPr="00F82399" w:rsidRDefault="0060749C" w:rsidP="003A4DBC">
      <w:pPr>
        <w:pStyle w:val="Akapitzlist"/>
        <w:suppressAutoHyphens/>
        <w:ind w:left="1080" w:hanging="513"/>
        <w:jc w:val="both"/>
        <w:rPr>
          <w:rFonts w:ascii="Lato" w:hAnsi="Lato" w:cs="Arial"/>
          <w:spacing w:val="4"/>
          <w:sz w:val="20"/>
          <w:szCs w:val="20"/>
          <w:lang w:eastAsia="zh-CN"/>
        </w:rPr>
      </w:pPr>
      <w:r w:rsidRPr="00F82399">
        <w:rPr>
          <w:rFonts w:ascii="Lato" w:hAnsi="Lato" w:cs="Arial"/>
          <w:spacing w:val="4"/>
          <w:sz w:val="20"/>
          <w:szCs w:val="20"/>
          <w:lang w:eastAsia="zh-CN"/>
        </w:rPr>
        <w:t xml:space="preserve">     </w:t>
      </w:r>
      <w:r w:rsidR="003A4DBC" w:rsidRPr="00F82399">
        <w:rPr>
          <w:rFonts w:ascii="Lato" w:hAnsi="Lato" w:cs="Arial"/>
          <w:spacing w:val="4"/>
          <w:sz w:val="20"/>
          <w:szCs w:val="20"/>
          <w:lang w:eastAsia="zh-CN"/>
        </w:rPr>
        <w:t xml:space="preserve">„ </w:t>
      </w:r>
    </w:p>
    <w:tbl>
      <w:tblPr>
        <w:tblW w:w="793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
        <w:gridCol w:w="1134"/>
        <w:gridCol w:w="851"/>
        <w:gridCol w:w="1134"/>
        <w:gridCol w:w="709"/>
        <w:gridCol w:w="708"/>
        <w:gridCol w:w="2410"/>
        <w:gridCol w:w="709"/>
      </w:tblGrid>
      <w:tr w:rsidR="00823AFA" w:rsidRPr="00DD40FC" w14:paraId="67114115" w14:textId="77777777" w:rsidTr="00F40707">
        <w:trPr>
          <w:trHeight w:val="838"/>
        </w:trPr>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67690" w14:textId="3274F465" w:rsidR="0037475E" w:rsidRPr="00F82399" w:rsidRDefault="00D7315F" w:rsidP="0060749C">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FF3F6A" w14:textId="008CB8C8" w:rsidR="0037475E" w:rsidRPr="00F82399" w:rsidRDefault="00D7315F" w:rsidP="0060749C">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2309BD3" w14:textId="6D780853" w:rsidR="0037475E" w:rsidRPr="00F82399" w:rsidRDefault="00D7315F" w:rsidP="0060749C">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Wiskitki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D6D114" w14:textId="1C6DC154" w:rsidR="0037475E" w:rsidRPr="00F82399" w:rsidRDefault="00D7315F" w:rsidP="0060749C">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0022 Nowy Oryszew</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51FEDE4" w14:textId="0829A7C1" w:rsidR="0037475E" w:rsidRPr="00F82399" w:rsidRDefault="00D7315F" w:rsidP="0060749C">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240/3</w:t>
            </w:r>
          </w:p>
        </w:tc>
        <w:tc>
          <w:tcPr>
            <w:tcW w:w="708" w:type="dxa"/>
            <w:vAlign w:val="center"/>
          </w:tcPr>
          <w:p w14:paraId="24F626F6" w14:textId="3769F83A" w:rsidR="0037475E" w:rsidRPr="00F82399" w:rsidRDefault="00D7315F" w:rsidP="0060749C">
            <w:pPr>
              <w:widowControl w:val="0"/>
              <w:suppressAutoHyphens/>
              <w:spacing w:line="240" w:lineRule="exact"/>
              <w:jc w:val="center"/>
              <w:rPr>
                <w:rFonts w:ascii="Lato" w:hAnsi="Lato" w:cs="Arial"/>
                <w:b/>
                <w:bCs/>
                <w:spacing w:val="4"/>
                <w:sz w:val="20"/>
                <w:szCs w:val="20"/>
                <w:lang w:eastAsia="zh-CN" w:bidi="pl-PL"/>
              </w:rPr>
            </w:pPr>
            <w:r w:rsidRPr="00F82399">
              <w:rPr>
                <w:rFonts w:ascii="Lato" w:hAnsi="Lato" w:cs="Arial"/>
                <w:b/>
                <w:bCs/>
                <w:spacing w:val="4"/>
                <w:sz w:val="20"/>
                <w:szCs w:val="20"/>
                <w:lang w:eastAsia="zh-CN" w:bidi="pl-PL"/>
              </w:rPr>
              <w:t>240/9</w:t>
            </w:r>
          </w:p>
        </w:tc>
        <w:tc>
          <w:tcPr>
            <w:tcW w:w="2410" w:type="dxa"/>
          </w:tcPr>
          <w:p w14:paraId="12416AC2" w14:textId="5E537313" w:rsidR="0037475E" w:rsidRPr="00F40707" w:rsidRDefault="00D7315F" w:rsidP="00F40707">
            <w:pPr>
              <w:widowControl w:val="0"/>
              <w:suppressAutoHyphens/>
              <w:ind w:left="147"/>
              <w:rPr>
                <w:rFonts w:ascii="Lato" w:hAnsi="Lato" w:cs="Arial"/>
                <w:spacing w:val="4"/>
                <w:sz w:val="20"/>
                <w:szCs w:val="20"/>
                <w:lang w:eastAsia="zh-CN" w:bidi="pl-PL"/>
              </w:rPr>
            </w:pPr>
            <w:r w:rsidRPr="00F40707">
              <w:rPr>
                <w:rFonts w:ascii="Lato" w:hAnsi="Lato" w:cs="Arial"/>
                <w:spacing w:val="4"/>
                <w:sz w:val="20"/>
                <w:szCs w:val="20"/>
                <w:lang w:eastAsia="zh-CN" w:bidi="pl-PL"/>
              </w:rPr>
              <w:t xml:space="preserve">Lokalizowanie przekroczenia zbieraczem drogi. Prace obejmują wykopy </w:t>
            </w:r>
            <w:r w:rsidR="00823AFA" w:rsidRPr="00F82399">
              <w:rPr>
                <w:rFonts w:ascii="Lato" w:hAnsi="Lato" w:cs="Arial"/>
                <w:spacing w:val="4"/>
                <w:sz w:val="20"/>
                <w:szCs w:val="20"/>
                <w:lang w:eastAsia="zh-CN" w:bidi="pl-PL"/>
              </w:rPr>
              <w:br/>
            </w:r>
            <w:r w:rsidRPr="00F40707">
              <w:rPr>
                <w:rFonts w:ascii="Lato" w:hAnsi="Lato" w:cs="Arial"/>
                <w:spacing w:val="4"/>
                <w:sz w:val="20"/>
                <w:szCs w:val="20"/>
                <w:lang w:eastAsia="zh-CN" w:bidi="pl-PL"/>
              </w:rPr>
              <w:t xml:space="preserve">i zasypy, wykonanie zbieracza, rozbiórkę </w:t>
            </w:r>
            <w:r w:rsidR="0060749C" w:rsidRPr="00F82399">
              <w:rPr>
                <w:rFonts w:ascii="Lato" w:hAnsi="Lato" w:cs="Arial"/>
                <w:spacing w:val="4"/>
                <w:sz w:val="20"/>
                <w:szCs w:val="20"/>
                <w:lang w:eastAsia="zh-CN" w:bidi="pl-PL"/>
              </w:rPr>
              <w:br/>
            </w:r>
            <w:r w:rsidRPr="00F40707">
              <w:rPr>
                <w:rFonts w:ascii="Lato" w:hAnsi="Lato" w:cs="Arial"/>
                <w:spacing w:val="4"/>
                <w:sz w:val="20"/>
                <w:szCs w:val="20"/>
                <w:lang w:eastAsia="zh-CN" w:bidi="pl-PL"/>
              </w:rPr>
              <w:t>i odtworzenie nawierzchni drogowej, przywrócenie pierwotnego zagospodarowania terenu</w:t>
            </w:r>
            <w:r w:rsidR="00823AFA" w:rsidRPr="00F82399">
              <w:rPr>
                <w:rFonts w:ascii="Lato" w:hAnsi="Lato" w:cs="Arial"/>
                <w:spacing w:val="4"/>
                <w:sz w:val="20"/>
                <w:szCs w:val="20"/>
                <w:lang w:eastAsia="zh-CN" w:bidi="pl-PL"/>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96193" w14:textId="4F00EAB1" w:rsidR="0037475E" w:rsidRPr="00F82399" w:rsidRDefault="00D7315F" w:rsidP="0060749C">
            <w:pPr>
              <w:widowControl w:val="0"/>
              <w:suppressAutoHyphens/>
              <w:spacing w:line="240" w:lineRule="exact"/>
              <w:jc w:val="center"/>
              <w:rPr>
                <w:rFonts w:ascii="Lato" w:hAnsi="Lato" w:cs="Arial"/>
                <w:spacing w:val="4"/>
                <w:sz w:val="20"/>
                <w:szCs w:val="20"/>
                <w:lang w:eastAsia="zh-CN" w:bidi="pl-PL"/>
              </w:rPr>
            </w:pPr>
            <w:r w:rsidRPr="00F82399">
              <w:rPr>
                <w:rFonts w:ascii="Lato" w:hAnsi="Lato" w:cs="Arial"/>
                <w:spacing w:val="4"/>
                <w:sz w:val="20"/>
                <w:szCs w:val="20"/>
                <w:lang w:eastAsia="zh-CN" w:bidi="pl-PL"/>
              </w:rPr>
              <w:t>Trwałe</w:t>
            </w:r>
          </w:p>
        </w:tc>
      </w:tr>
    </w:tbl>
    <w:p w14:paraId="3118CC69" w14:textId="30B0F5E6" w:rsidR="00A12130" w:rsidRPr="00DD40FC" w:rsidRDefault="003A4DBC" w:rsidP="0060749C">
      <w:pPr>
        <w:pStyle w:val="Akapitzlist"/>
        <w:suppressAutoHyphens/>
        <w:spacing w:after="240" w:line="240" w:lineRule="exact"/>
        <w:ind w:left="1077" w:firstLine="6435"/>
        <w:contextualSpacing w:val="0"/>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p>
    <w:p w14:paraId="2EF98650" w14:textId="2397494F" w:rsidR="00117EB9" w:rsidRPr="00F82399" w:rsidRDefault="00117EB9" w:rsidP="00F40707">
      <w:pPr>
        <w:pStyle w:val="Akapitzlist"/>
        <w:numPr>
          <w:ilvl w:val="0"/>
          <w:numId w:val="8"/>
        </w:numPr>
        <w:tabs>
          <w:tab w:val="left" w:pos="567"/>
        </w:tabs>
        <w:spacing w:after="240" w:line="240" w:lineRule="exact"/>
        <w:ind w:left="567" w:hanging="284"/>
        <w:contextualSpacing w:val="0"/>
        <w:jc w:val="both"/>
        <w:rPr>
          <w:rFonts w:ascii="Lato" w:hAnsi="Lato" w:cs="Arial"/>
          <w:bCs/>
          <w:spacing w:val="4"/>
          <w:sz w:val="22"/>
          <w:szCs w:val="22"/>
        </w:rPr>
      </w:pPr>
      <w:r w:rsidRPr="00F82399">
        <w:rPr>
          <w:rFonts w:ascii="Lato" w:hAnsi="Lato" w:cs="Arial"/>
          <w:bCs/>
          <w:spacing w:val="4"/>
          <w:sz w:val="22"/>
          <w:szCs w:val="22"/>
        </w:rPr>
        <w:t>ustalenie, w rozstrzygnięciu zaskarżonej decyzji, w miejsce uchylenia, na stronie 148, w wiersz</w:t>
      </w:r>
      <w:r w:rsidRPr="00F40707">
        <w:rPr>
          <w:rFonts w:ascii="Lato" w:hAnsi="Lato" w:cs="Arial"/>
          <w:bCs/>
          <w:spacing w:val="4"/>
          <w:sz w:val="22"/>
          <w:szCs w:val="22"/>
        </w:rPr>
        <w:t>ach</w:t>
      </w:r>
      <w:r w:rsidRPr="00F82399">
        <w:rPr>
          <w:rFonts w:ascii="Lato" w:hAnsi="Lato" w:cs="Arial"/>
          <w:bCs/>
          <w:spacing w:val="4"/>
          <w:sz w:val="22"/>
          <w:szCs w:val="22"/>
        </w:rPr>
        <w:t xml:space="preserve"> 13-16, licząc od góry strony, nowego zapisu: </w:t>
      </w:r>
    </w:p>
    <w:p w14:paraId="35A26595" w14:textId="77777777" w:rsidR="00117EB9" w:rsidRPr="00F82399" w:rsidRDefault="00117EB9" w:rsidP="00F40707">
      <w:pPr>
        <w:pStyle w:val="Akapitzlist"/>
        <w:tabs>
          <w:tab w:val="left" w:pos="567"/>
        </w:tabs>
        <w:spacing w:after="240" w:line="240" w:lineRule="exact"/>
        <w:ind w:left="567"/>
        <w:contextualSpacing w:val="0"/>
        <w:rPr>
          <w:rFonts w:ascii="Lato" w:hAnsi="Lato" w:cs="Arial"/>
          <w:bCs/>
          <w:spacing w:val="4"/>
          <w:sz w:val="22"/>
          <w:szCs w:val="22"/>
        </w:rPr>
      </w:pPr>
      <w:r w:rsidRPr="00F82399">
        <w:rPr>
          <w:rFonts w:ascii="Lato" w:hAnsi="Lato" w:cs="Arial"/>
          <w:bCs/>
          <w:spacing w:val="4"/>
          <w:sz w:val="22"/>
          <w:szCs w:val="22"/>
        </w:rPr>
        <w:t xml:space="preserve">„1. W Tabeli Nr 9 wskazano grunty pod wodami płynącymi podlegające zajęciu na rzecz CPK Sp. z o.o. </w:t>
      </w:r>
    </w:p>
    <w:p w14:paraId="785FD9E4" w14:textId="1536F3A5" w:rsidR="00694471" w:rsidRPr="00F40707" w:rsidRDefault="00117EB9" w:rsidP="00F40707">
      <w:pPr>
        <w:pStyle w:val="Akapitzlist"/>
        <w:tabs>
          <w:tab w:val="left" w:pos="567"/>
        </w:tabs>
        <w:spacing w:after="240" w:line="240" w:lineRule="exact"/>
        <w:ind w:left="567"/>
        <w:contextualSpacing w:val="0"/>
        <w:jc w:val="both"/>
        <w:rPr>
          <w:rFonts w:ascii="Lato" w:hAnsi="Lato" w:cs="Arial"/>
          <w:bCs/>
          <w:spacing w:val="4"/>
          <w:sz w:val="22"/>
          <w:szCs w:val="22"/>
        </w:rPr>
      </w:pPr>
      <w:r w:rsidRPr="00451D95">
        <w:rPr>
          <w:rFonts w:ascii="Lato" w:hAnsi="Lato" w:cs="Arial"/>
          <w:bCs/>
          <w:spacing w:val="4"/>
          <w:sz w:val="22"/>
          <w:szCs w:val="22"/>
        </w:rPr>
        <w:t>Tabela Nr 9 – Wykaz działek stanowiących grunty pod wodami płynącymi podlegające zajęciu na rzecz CPK Sp. z o.o.”,</w:t>
      </w:r>
    </w:p>
    <w:p w14:paraId="6C9C473B" w14:textId="491BC36D" w:rsidR="009504C0" w:rsidRPr="00F40707" w:rsidRDefault="009504C0" w:rsidP="00F40707">
      <w:pPr>
        <w:pStyle w:val="Akapitzlist"/>
        <w:numPr>
          <w:ilvl w:val="0"/>
          <w:numId w:val="8"/>
        </w:numPr>
        <w:tabs>
          <w:tab w:val="left" w:pos="567"/>
        </w:tabs>
        <w:spacing w:after="120" w:line="240" w:lineRule="exact"/>
        <w:ind w:left="568" w:hanging="284"/>
        <w:contextualSpacing w:val="0"/>
        <w:jc w:val="both"/>
        <w:rPr>
          <w:rFonts w:ascii="Lato" w:hAnsi="Lato" w:cs="Arial"/>
          <w:bCs/>
          <w:spacing w:val="4"/>
          <w:sz w:val="22"/>
          <w:szCs w:val="22"/>
        </w:rPr>
      </w:pPr>
      <w:r w:rsidRPr="00451D95">
        <w:rPr>
          <w:rFonts w:ascii="Lato" w:hAnsi="Lato" w:cs="Arial"/>
          <w:bCs/>
          <w:spacing w:val="4"/>
          <w:sz w:val="22"/>
          <w:szCs w:val="22"/>
        </w:rPr>
        <w:t xml:space="preserve">ustalenie, w rozstrzygnięciu zaskarżonej decyzji, w miejsce uchylenia, </w:t>
      </w:r>
      <w:r w:rsidR="00117EB9" w:rsidRPr="00451D95">
        <w:rPr>
          <w:rFonts w:ascii="Lato" w:hAnsi="Lato" w:cs="Arial"/>
          <w:bCs/>
          <w:spacing w:val="4"/>
          <w:sz w:val="22"/>
          <w:szCs w:val="22"/>
        </w:rPr>
        <w:t xml:space="preserve">w pkt XI.1 </w:t>
      </w:r>
      <w:r w:rsidR="00451D95">
        <w:rPr>
          <w:rFonts w:ascii="Lato" w:hAnsi="Lato" w:cs="Arial"/>
          <w:bCs/>
          <w:spacing w:val="4"/>
          <w:sz w:val="22"/>
          <w:szCs w:val="22"/>
        </w:rPr>
        <w:br/>
      </w:r>
      <w:r w:rsidR="00117EB9" w:rsidRPr="00451D95">
        <w:rPr>
          <w:rFonts w:ascii="Lato" w:hAnsi="Lato" w:cs="Arial"/>
          <w:bCs/>
          <w:spacing w:val="4"/>
          <w:sz w:val="22"/>
          <w:szCs w:val="22"/>
        </w:rPr>
        <w:t xml:space="preserve">na stronach 148 i 149, zapisów stanowiących nową treść </w:t>
      </w:r>
      <w:r w:rsidRPr="00F40707">
        <w:rPr>
          <w:rFonts w:ascii="Lato" w:hAnsi="Lato" w:cs="Arial"/>
          <w:bCs/>
          <w:spacing w:val="4"/>
          <w:sz w:val="22"/>
          <w:szCs w:val="22"/>
        </w:rPr>
        <w:t xml:space="preserve">tabeli </w:t>
      </w:r>
      <w:r w:rsidR="00117EB9" w:rsidRPr="00451D95">
        <w:rPr>
          <w:rFonts w:ascii="Lato" w:hAnsi="Lato" w:cs="Arial"/>
          <w:bCs/>
          <w:spacing w:val="4"/>
          <w:sz w:val="22"/>
          <w:szCs w:val="22"/>
        </w:rPr>
        <w:t>n</w:t>
      </w:r>
      <w:r w:rsidRPr="00F40707">
        <w:rPr>
          <w:rFonts w:ascii="Lato" w:hAnsi="Lato" w:cs="Arial"/>
          <w:bCs/>
          <w:spacing w:val="4"/>
          <w:sz w:val="22"/>
          <w:szCs w:val="22"/>
        </w:rPr>
        <w:t>r 9:</w:t>
      </w:r>
    </w:p>
    <w:p w14:paraId="426582CB" w14:textId="77777777" w:rsidR="009504C0" w:rsidRPr="00DD40FC" w:rsidRDefault="009504C0" w:rsidP="009504C0">
      <w:pPr>
        <w:pStyle w:val="Akapitzlist"/>
        <w:suppressAutoHyphens/>
        <w:ind w:left="1080" w:hanging="513"/>
        <w:jc w:val="both"/>
        <w:rPr>
          <w:rFonts w:ascii="Lato" w:hAnsi="Lato" w:cs="Arial"/>
          <w:spacing w:val="4"/>
          <w:sz w:val="22"/>
          <w:szCs w:val="22"/>
          <w:lang w:eastAsia="zh-CN"/>
        </w:rPr>
      </w:pPr>
      <w:r w:rsidRPr="00DD40FC">
        <w:rPr>
          <w:rFonts w:ascii="Lato" w:hAnsi="Lato" w:cs="Arial"/>
          <w:spacing w:val="4"/>
          <w:sz w:val="22"/>
          <w:szCs w:val="22"/>
          <w:lang w:eastAsia="zh-CN"/>
        </w:rPr>
        <w:lastRenderedPageBreak/>
        <w:t xml:space="preserve">„ </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1275"/>
        <w:gridCol w:w="851"/>
        <w:gridCol w:w="1134"/>
        <w:gridCol w:w="709"/>
        <w:gridCol w:w="3827"/>
      </w:tblGrid>
      <w:tr w:rsidR="00BB5186" w:rsidRPr="00DD40FC" w14:paraId="16971394" w14:textId="77777777" w:rsidTr="00F40707">
        <w:trPr>
          <w:trHeight w:val="30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6980D" w14:textId="7952F437" w:rsidR="00596BC8" w:rsidRPr="00F40707" w:rsidRDefault="00596BC8" w:rsidP="003A0DA8">
            <w:pPr>
              <w:widowControl w:val="0"/>
              <w:suppressAutoHyphens/>
              <w:spacing w:line="240" w:lineRule="exact"/>
              <w:jc w:val="center"/>
              <w:rPr>
                <w:rFonts w:ascii="Lato" w:hAnsi="Lato" w:cs="Arial"/>
                <w:b/>
                <w:bCs/>
                <w:spacing w:val="4"/>
                <w:sz w:val="20"/>
                <w:szCs w:val="20"/>
                <w:lang w:eastAsia="zh-CN" w:bidi="pl-PL"/>
              </w:rPr>
            </w:pPr>
            <w:r w:rsidRPr="00F40707">
              <w:rPr>
                <w:rFonts w:ascii="Lato" w:hAnsi="Lato" w:cs="Arial"/>
                <w:b/>
                <w:bCs/>
                <w:spacing w:val="4"/>
                <w:sz w:val="20"/>
                <w:szCs w:val="20"/>
                <w:lang w:eastAsia="zh-CN" w:bidi="pl-PL"/>
              </w:rPr>
              <w:t>Lp.</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C041460" w14:textId="74F15529" w:rsidR="00596BC8" w:rsidRPr="00F40707" w:rsidRDefault="00596BC8" w:rsidP="003A0DA8">
            <w:pPr>
              <w:widowControl w:val="0"/>
              <w:suppressAutoHyphens/>
              <w:spacing w:line="240" w:lineRule="exact"/>
              <w:jc w:val="center"/>
              <w:rPr>
                <w:rFonts w:ascii="Lato" w:hAnsi="Lato" w:cs="Arial"/>
                <w:b/>
                <w:bCs/>
                <w:spacing w:val="4"/>
                <w:sz w:val="20"/>
                <w:szCs w:val="20"/>
                <w:lang w:eastAsia="zh-CN" w:bidi="pl-PL"/>
              </w:rPr>
            </w:pPr>
            <w:r w:rsidRPr="00F40707">
              <w:rPr>
                <w:rFonts w:ascii="Lato" w:hAnsi="Lato" w:cs="Arial"/>
                <w:b/>
                <w:bCs/>
                <w:spacing w:val="4"/>
                <w:sz w:val="20"/>
                <w:szCs w:val="20"/>
                <w:lang w:eastAsia="zh-CN" w:bidi="pl-PL"/>
              </w:rPr>
              <w:t>Powiat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38E5EB2" w14:textId="1E927788" w:rsidR="00596BC8" w:rsidRPr="00F40707" w:rsidRDefault="00596BC8" w:rsidP="003A0DA8">
            <w:pPr>
              <w:widowControl w:val="0"/>
              <w:suppressAutoHyphens/>
              <w:spacing w:line="240" w:lineRule="exact"/>
              <w:jc w:val="center"/>
              <w:rPr>
                <w:rFonts w:ascii="Lato" w:hAnsi="Lato" w:cs="Arial"/>
                <w:b/>
                <w:bCs/>
                <w:spacing w:val="4"/>
                <w:sz w:val="20"/>
                <w:szCs w:val="20"/>
                <w:lang w:eastAsia="zh-CN" w:bidi="pl-PL"/>
              </w:rPr>
            </w:pPr>
            <w:r w:rsidRPr="00F40707">
              <w:rPr>
                <w:rFonts w:ascii="Lato" w:hAnsi="Lato" w:cs="Arial"/>
                <w:b/>
                <w:bCs/>
                <w:spacing w:val="4"/>
                <w:sz w:val="20"/>
                <w:szCs w:val="20"/>
                <w:lang w:eastAsia="zh-CN" w:bidi="pl-PL"/>
              </w:rPr>
              <w:t>Gmina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D3B8DD" w14:textId="4D60A634" w:rsidR="00596BC8" w:rsidRPr="00F40707" w:rsidRDefault="00596BC8" w:rsidP="003A0DA8">
            <w:pPr>
              <w:widowControl w:val="0"/>
              <w:suppressAutoHyphens/>
              <w:spacing w:line="240" w:lineRule="exact"/>
              <w:jc w:val="center"/>
              <w:rPr>
                <w:rFonts w:ascii="Lato" w:hAnsi="Lato" w:cs="Arial"/>
                <w:b/>
                <w:bCs/>
                <w:spacing w:val="4"/>
                <w:sz w:val="20"/>
                <w:szCs w:val="20"/>
                <w:lang w:eastAsia="zh-CN" w:bidi="pl-PL"/>
              </w:rPr>
            </w:pPr>
            <w:r w:rsidRPr="00F40707">
              <w:rPr>
                <w:rFonts w:ascii="Lato" w:hAnsi="Lato" w:cs="Arial"/>
                <w:b/>
                <w:bCs/>
                <w:spacing w:val="4"/>
                <w:sz w:val="20"/>
                <w:szCs w:val="20"/>
                <w:lang w:eastAsia="zh-CN" w:bidi="pl-PL"/>
              </w:rPr>
              <w:t xml:space="preserve">Numer </w:t>
            </w:r>
            <w:r w:rsidR="00BB5186" w:rsidRPr="00F40707">
              <w:rPr>
                <w:rFonts w:ascii="Lato" w:hAnsi="Lato" w:cs="Arial"/>
                <w:b/>
                <w:bCs/>
                <w:spacing w:val="4"/>
                <w:sz w:val="20"/>
                <w:szCs w:val="20"/>
                <w:lang w:eastAsia="zh-CN" w:bidi="pl-PL"/>
              </w:rPr>
              <w:br/>
            </w:r>
            <w:r w:rsidRPr="00F40707">
              <w:rPr>
                <w:rFonts w:ascii="Lato" w:hAnsi="Lato" w:cs="Arial"/>
                <w:b/>
                <w:bCs/>
                <w:spacing w:val="4"/>
                <w:sz w:val="20"/>
                <w:szCs w:val="20"/>
                <w:lang w:eastAsia="zh-CN" w:bidi="pl-PL"/>
              </w:rPr>
              <w:t>i nazwa obrębu</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067ED32" w14:textId="509E127D" w:rsidR="00596BC8" w:rsidRPr="00F40707" w:rsidRDefault="00596BC8" w:rsidP="003A0DA8">
            <w:pPr>
              <w:widowControl w:val="0"/>
              <w:suppressAutoHyphens/>
              <w:spacing w:line="240" w:lineRule="exact"/>
              <w:jc w:val="center"/>
              <w:rPr>
                <w:rFonts w:ascii="Lato" w:hAnsi="Lato" w:cs="Arial"/>
                <w:b/>
                <w:bCs/>
                <w:spacing w:val="4"/>
                <w:sz w:val="20"/>
                <w:szCs w:val="20"/>
                <w:lang w:eastAsia="zh-CN" w:bidi="pl-PL"/>
              </w:rPr>
            </w:pPr>
            <w:r w:rsidRPr="00F40707">
              <w:rPr>
                <w:rFonts w:ascii="Lato" w:hAnsi="Lato" w:cs="Arial"/>
                <w:b/>
                <w:bCs/>
                <w:spacing w:val="4"/>
                <w:sz w:val="20"/>
                <w:szCs w:val="20"/>
                <w:lang w:eastAsia="zh-CN" w:bidi="pl-PL"/>
              </w:rPr>
              <w:t>Nr działki</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37B1E" w14:textId="379565A7" w:rsidR="00596BC8" w:rsidRPr="00F40707" w:rsidRDefault="00596BC8" w:rsidP="003A0DA8">
            <w:pPr>
              <w:widowControl w:val="0"/>
              <w:suppressAutoHyphens/>
              <w:spacing w:line="240" w:lineRule="exact"/>
              <w:jc w:val="center"/>
              <w:rPr>
                <w:rFonts w:ascii="Lato" w:hAnsi="Lato" w:cs="Arial"/>
                <w:b/>
                <w:bCs/>
                <w:spacing w:val="4"/>
                <w:sz w:val="20"/>
                <w:szCs w:val="20"/>
                <w:lang w:eastAsia="zh-CN" w:bidi="pl-PL"/>
              </w:rPr>
            </w:pPr>
            <w:r w:rsidRPr="00F40707">
              <w:rPr>
                <w:rFonts w:ascii="Lato" w:hAnsi="Lato" w:cs="Arial"/>
                <w:b/>
                <w:bCs/>
                <w:spacing w:val="4"/>
                <w:sz w:val="20"/>
                <w:szCs w:val="20"/>
                <w:lang w:eastAsia="zh-CN" w:bidi="pl-PL"/>
              </w:rPr>
              <w:t>Opis prac</w:t>
            </w:r>
          </w:p>
        </w:tc>
      </w:tr>
      <w:tr w:rsidR="00BB5186" w:rsidRPr="00DD40FC" w14:paraId="72668DF8" w14:textId="77777777" w:rsidTr="00F40707">
        <w:trPr>
          <w:trHeight w:val="30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77000" w14:textId="77777777"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4708A10" w14:textId="0860A0B7"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grodziski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C6D6E64" w14:textId="34AF000A"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Baranów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D30BF6E" w14:textId="4CDA9F3D"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000</w:t>
            </w:r>
            <w:r w:rsidR="00AF7A34" w:rsidRPr="00F40707">
              <w:rPr>
                <w:rFonts w:ascii="Lato" w:hAnsi="Lato" w:cs="Arial"/>
                <w:spacing w:val="4"/>
                <w:sz w:val="20"/>
                <w:szCs w:val="20"/>
                <w:lang w:eastAsia="zh-CN" w:bidi="pl-PL"/>
              </w:rPr>
              <w:t>5</w:t>
            </w:r>
            <w:r w:rsidRPr="00F40707">
              <w:rPr>
                <w:rFonts w:ascii="Lato" w:hAnsi="Lato" w:cs="Arial"/>
                <w:spacing w:val="4"/>
                <w:sz w:val="20"/>
                <w:szCs w:val="20"/>
                <w:lang w:eastAsia="zh-CN" w:bidi="pl-PL"/>
              </w:rPr>
              <w:t xml:space="preserve"> </w:t>
            </w:r>
            <w:r w:rsidR="00AF7A34" w:rsidRPr="00F40707">
              <w:rPr>
                <w:rFonts w:ascii="Lato" w:hAnsi="Lato" w:cs="Arial"/>
                <w:spacing w:val="4"/>
                <w:sz w:val="20"/>
                <w:szCs w:val="20"/>
                <w:lang w:eastAsia="zh-CN" w:bidi="pl-PL"/>
              </w:rPr>
              <w:t>Buszyce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22CB547" w14:textId="4577DCC9" w:rsidR="009504C0" w:rsidRPr="00F40707" w:rsidRDefault="00AB3D8F"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311</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34839" w14:textId="7E636857" w:rsidR="009504C0" w:rsidRPr="00F40707" w:rsidRDefault="00871130" w:rsidP="00F40707">
            <w:pPr>
              <w:widowControl w:val="0"/>
              <w:suppressAutoHyphens/>
              <w:spacing w:line="240" w:lineRule="exact"/>
              <w:ind w:left="134"/>
              <w:rPr>
                <w:rFonts w:ascii="Lato" w:hAnsi="Lato" w:cs="Arial"/>
                <w:spacing w:val="4"/>
                <w:sz w:val="20"/>
                <w:szCs w:val="20"/>
                <w:lang w:eastAsia="zh-CN" w:bidi="pl-PL"/>
              </w:rPr>
            </w:pPr>
            <w:r w:rsidRPr="00F40707">
              <w:rPr>
                <w:rFonts w:ascii="Lato" w:hAnsi="Lato" w:cs="Arial"/>
                <w:spacing w:val="4"/>
                <w:sz w:val="20"/>
                <w:szCs w:val="20"/>
                <w:lang w:eastAsia="zh-CN" w:bidi="pl-PL"/>
              </w:rPr>
              <w:t xml:space="preserve">Lokalizowanie </w:t>
            </w:r>
            <w:r w:rsidR="00591FFB" w:rsidRPr="00F40707">
              <w:rPr>
                <w:rFonts w:ascii="Lato" w:hAnsi="Lato" w:cs="Arial"/>
                <w:spacing w:val="4"/>
                <w:sz w:val="20"/>
                <w:szCs w:val="20"/>
                <w:lang w:eastAsia="zh-CN" w:bidi="pl-PL"/>
              </w:rPr>
              <w:t xml:space="preserve">ubezpieczenia brzegu </w:t>
            </w:r>
            <w:r w:rsidR="00172F8F" w:rsidRPr="00451D95">
              <w:rPr>
                <w:rFonts w:ascii="Lato" w:hAnsi="Lato" w:cs="Arial"/>
                <w:spacing w:val="4"/>
                <w:sz w:val="20"/>
                <w:szCs w:val="20"/>
                <w:lang w:eastAsia="zh-CN" w:bidi="pl-PL"/>
              </w:rPr>
              <w:br/>
            </w:r>
            <w:r w:rsidR="00591FFB" w:rsidRPr="00F40707">
              <w:rPr>
                <w:rFonts w:ascii="Lato" w:hAnsi="Lato" w:cs="Arial"/>
                <w:spacing w:val="4"/>
                <w:sz w:val="20"/>
                <w:szCs w:val="20"/>
                <w:lang w:eastAsia="zh-CN" w:bidi="pl-PL"/>
              </w:rPr>
              <w:t xml:space="preserve">i dna koryta rzeki Pisi związanego </w:t>
            </w:r>
            <w:r w:rsidR="00957519" w:rsidRPr="00451D95">
              <w:rPr>
                <w:rFonts w:ascii="Lato" w:hAnsi="Lato" w:cs="Arial"/>
                <w:spacing w:val="4"/>
                <w:sz w:val="20"/>
                <w:szCs w:val="20"/>
                <w:lang w:eastAsia="zh-CN" w:bidi="pl-PL"/>
              </w:rPr>
              <w:br/>
            </w:r>
            <w:r w:rsidR="00591FFB" w:rsidRPr="00F40707">
              <w:rPr>
                <w:rFonts w:ascii="Lato" w:hAnsi="Lato" w:cs="Arial"/>
                <w:spacing w:val="4"/>
                <w:sz w:val="20"/>
                <w:szCs w:val="20"/>
                <w:lang w:eastAsia="zh-CN" w:bidi="pl-PL"/>
              </w:rPr>
              <w:t>z likwidacj</w:t>
            </w:r>
            <w:r w:rsidR="00591FFB" w:rsidRPr="00F40707">
              <w:rPr>
                <w:rFonts w:ascii="Lato" w:hAnsi="Lato" w:cs="Arial"/>
                <w:bCs/>
                <w:spacing w:val="4"/>
                <w:sz w:val="20"/>
                <w:szCs w:val="20"/>
              </w:rPr>
              <w:t>ą wylotów rowów</w:t>
            </w:r>
            <w:r w:rsidR="00065E37" w:rsidRPr="00F40707">
              <w:rPr>
                <w:rFonts w:ascii="Lato" w:hAnsi="Lato" w:cs="Arial"/>
                <w:bCs/>
                <w:spacing w:val="4"/>
                <w:sz w:val="20"/>
                <w:szCs w:val="20"/>
              </w:rPr>
              <w:t xml:space="preserve"> i zbieraczy. Lokalizowanie ubezpieczenia brzegu </w:t>
            </w:r>
            <w:r w:rsidR="00172F8F" w:rsidRPr="00451D95">
              <w:rPr>
                <w:rFonts w:ascii="Lato" w:hAnsi="Lato" w:cs="Arial"/>
                <w:bCs/>
                <w:spacing w:val="4"/>
                <w:sz w:val="20"/>
                <w:szCs w:val="20"/>
              </w:rPr>
              <w:br/>
            </w:r>
            <w:r w:rsidR="00065E37" w:rsidRPr="00F40707">
              <w:rPr>
                <w:rFonts w:ascii="Lato" w:hAnsi="Lato" w:cs="Arial"/>
                <w:bCs/>
                <w:spacing w:val="4"/>
                <w:sz w:val="20"/>
                <w:szCs w:val="20"/>
              </w:rPr>
              <w:t xml:space="preserve">i dna koryta rzeki </w:t>
            </w:r>
            <w:r w:rsidR="002F5ADD" w:rsidRPr="00F40707">
              <w:rPr>
                <w:rFonts w:ascii="Lato" w:hAnsi="Lato" w:cs="Arial"/>
                <w:bCs/>
                <w:spacing w:val="4"/>
                <w:sz w:val="20"/>
                <w:szCs w:val="20"/>
              </w:rPr>
              <w:t xml:space="preserve">Pisi związanego z rozbiórką mostu wraz z przyczółkami </w:t>
            </w:r>
            <w:r w:rsidR="00BB5186" w:rsidRPr="00451D95">
              <w:rPr>
                <w:rFonts w:ascii="Lato" w:hAnsi="Lato" w:cs="Arial"/>
                <w:bCs/>
                <w:spacing w:val="4"/>
                <w:sz w:val="20"/>
                <w:szCs w:val="20"/>
              </w:rPr>
              <w:br/>
            </w:r>
            <w:r w:rsidR="002F5ADD" w:rsidRPr="00F40707">
              <w:rPr>
                <w:rFonts w:ascii="Lato" w:hAnsi="Lato" w:cs="Arial"/>
                <w:bCs/>
                <w:spacing w:val="4"/>
                <w:sz w:val="20"/>
                <w:szCs w:val="20"/>
              </w:rPr>
              <w:t>i odtworzeniem brzegów rzeki</w:t>
            </w:r>
            <w:r w:rsidR="00307B13" w:rsidRPr="00F40707">
              <w:rPr>
                <w:rFonts w:ascii="Lato" w:hAnsi="Lato" w:cs="Arial"/>
                <w:bCs/>
                <w:spacing w:val="4"/>
                <w:sz w:val="20"/>
                <w:szCs w:val="20"/>
              </w:rPr>
              <w:t xml:space="preserve">. Lokalizowanie mostu drogowego wraz </w:t>
            </w:r>
            <w:r w:rsidR="00BB5186" w:rsidRPr="00451D95">
              <w:rPr>
                <w:rFonts w:ascii="Lato" w:hAnsi="Lato" w:cs="Arial"/>
                <w:bCs/>
                <w:spacing w:val="4"/>
                <w:sz w:val="20"/>
                <w:szCs w:val="20"/>
              </w:rPr>
              <w:br/>
            </w:r>
            <w:r w:rsidR="00307B13" w:rsidRPr="00F40707">
              <w:rPr>
                <w:rFonts w:ascii="Lato" w:hAnsi="Lato" w:cs="Arial"/>
                <w:bCs/>
                <w:spacing w:val="4"/>
                <w:sz w:val="20"/>
                <w:szCs w:val="20"/>
              </w:rPr>
              <w:t>z przyczółkami, ubezpieczeniem brzegów i dna koryta</w:t>
            </w:r>
            <w:r w:rsidR="00F46D4F" w:rsidRPr="00F40707">
              <w:rPr>
                <w:rFonts w:ascii="Lato" w:hAnsi="Lato" w:cs="Arial"/>
                <w:bCs/>
                <w:spacing w:val="4"/>
                <w:sz w:val="20"/>
                <w:szCs w:val="20"/>
              </w:rPr>
              <w:t xml:space="preserve"> rzeki Pisi. Lokalizowanie ogrodzenia lotniska. Lokalizowanie sieci uzbrojenia terenu oraz przyłączy.</w:t>
            </w:r>
          </w:p>
        </w:tc>
      </w:tr>
      <w:tr w:rsidR="00BB5186" w:rsidRPr="00DD40FC" w14:paraId="6E490155" w14:textId="77777777" w:rsidTr="00F40707">
        <w:trPr>
          <w:trHeight w:val="30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14612" w14:textId="77777777"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CA1ECC" w14:textId="57CD83F3"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grodziski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60C2E0F" w14:textId="79B93873"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Baranów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4FC6E6" w14:textId="26836AE5"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000</w:t>
            </w:r>
            <w:r w:rsidR="00AF7A34" w:rsidRPr="00F40707">
              <w:rPr>
                <w:rFonts w:ascii="Lato" w:hAnsi="Lato" w:cs="Arial"/>
                <w:spacing w:val="4"/>
                <w:sz w:val="20"/>
                <w:szCs w:val="20"/>
                <w:lang w:eastAsia="zh-CN" w:bidi="pl-PL"/>
              </w:rPr>
              <w:t>7</w:t>
            </w:r>
            <w:r w:rsidRPr="00F40707">
              <w:rPr>
                <w:rFonts w:ascii="Lato" w:hAnsi="Lato" w:cs="Arial"/>
                <w:spacing w:val="4"/>
                <w:sz w:val="20"/>
                <w:szCs w:val="20"/>
                <w:lang w:eastAsia="zh-CN" w:bidi="pl-PL"/>
              </w:rPr>
              <w:t xml:space="preserve"> </w:t>
            </w:r>
            <w:r w:rsidR="00AF7A34" w:rsidRPr="00F40707">
              <w:rPr>
                <w:rFonts w:ascii="Lato" w:hAnsi="Lato" w:cs="Arial"/>
                <w:spacing w:val="4"/>
                <w:sz w:val="20"/>
                <w:szCs w:val="20"/>
                <w:lang w:eastAsia="zh-CN" w:bidi="pl-PL"/>
              </w:rPr>
              <w:t>Drybus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B8E2A0B" w14:textId="60A71B85" w:rsidR="009504C0" w:rsidRPr="00F40707" w:rsidRDefault="0087113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112</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F9C38" w14:textId="3A38D904" w:rsidR="009504C0" w:rsidRPr="00F40707" w:rsidRDefault="006E00D7" w:rsidP="00F40707">
            <w:pPr>
              <w:widowControl w:val="0"/>
              <w:suppressAutoHyphens/>
              <w:spacing w:line="240" w:lineRule="exact"/>
              <w:ind w:left="134"/>
              <w:rPr>
                <w:rFonts w:ascii="Lato" w:hAnsi="Lato" w:cs="Arial"/>
                <w:b/>
                <w:bCs/>
                <w:spacing w:val="4"/>
                <w:sz w:val="20"/>
                <w:szCs w:val="20"/>
                <w:lang w:eastAsia="zh-CN" w:bidi="pl-PL"/>
              </w:rPr>
            </w:pPr>
            <w:r w:rsidRPr="00F40707">
              <w:rPr>
                <w:rFonts w:ascii="Lato" w:hAnsi="Lato" w:cs="Arial"/>
                <w:spacing w:val="4"/>
                <w:sz w:val="20"/>
                <w:szCs w:val="20"/>
                <w:lang w:eastAsia="zh-CN" w:bidi="pl-PL"/>
              </w:rPr>
              <w:t xml:space="preserve">Lokalizowanie ubezpieczenia brzegu </w:t>
            </w:r>
            <w:r w:rsidR="00172F8F" w:rsidRPr="00451D95">
              <w:rPr>
                <w:rFonts w:ascii="Lato" w:hAnsi="Lato" w:cs="Arial"/>
                <w:spacing w:val="4"/>
                <w:sz w:val="20"/>
                <w:szCs w:val="20"/>
                <w:lang w:eastAsia="zh-CN" w:bidi="pl-PL"/>
              </w:rPr>
              <w:br/>
            </w:r>
            <w:r w:rsidRPr="00F40707">
              <w:rPr>
                <w:rFonts w:ascii="Lato" w:hAnsi="Lato" w:cs="Arial"/>
                <w:spacing w:val="4"/>
                <w:sz w:val="20"/>
                <w:szCs w:val="20"/>
                <w:lang w:eastAsia="zh-CN" w:bidi="pl-PL"/>
              </w:rPr>
              <w:t xml:space="preserve">i dna koryta rzeki Pisi związanego </w:t>
            </w:r>
            <w:r w:rsidR="00957519" w:rsidRPr="00451D95">
              <w:rPr>
                <w:rFonts w:ascii="Lato" w:hAnsi="Lato" w:cs="Arial"/>
                <w:spacing w:val="4"/>
                <w:sz w:val="20"/>
                <w:szCs w:val="20"/>
                <w:lang w:eastAsia="zh-CN" w:bidi="pl-PL"/>
              </w:rPr>
              <w:br/>
            </w:r>
            <w:r w:rsidRPr="00F40707">
              <w:rPr>
                <w:rFonts w:ascii="Lato" w:hAnsi="Lato" w:cs="Arial"/>
                <w:spacing w:val="4"/>
                <w:sz w:val="20"/>
                <w:szCs w:val="20"/>
                <w:lang w:eastAsia="zh-CN" w:bidi="pl-PL"/>
              </w:rPr>
              <w:t>z likwidacj</w:t>
            </w:r>
            <w:r w:rsidRPr="00F40707">
              <w:rPr>
                <w:rFonts w:ascii="Lato" w:hAnsi="Lato" w:cs="Arial"/>
                <w:bCs/>
                <w:spacing w:val="4"/>
                <w:sz w:val="20"/>
                <w:szCs w:val="20"/>
              </w:rPr>
              <w:t xml:space="preserve">ą wylotów rowów. Lokalizowanie mostów drogowych wraz z przyczółkami, ubezpieczeniem brzegów i dna koryta rzeki Pisi. Lokalizowanie ogrodzenia lotniska. Lokalizowanie sieci uzbrojenia terenu oraz przyłączy. </w:t>
            </w:r>
          </w:p>
        </w:tc>
      </w:tr>
      <w:tr w:rsidR="00BB5186" w:rsidRPr="00DD40FC" w14:paraId="3F6B9793" w14:textId="77777777" w:rsidTr="00F40707">
        <w:trPr>
          <w:trHeight w:val="30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516CA" w14:textId="77777777"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107EF12" w14:textId="6D3B7307"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grodziski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86B350C" w14:textId="34FDE3C3"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Baranów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DEDDFA" w14:textId="1A38206E"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001</w:t>
            </w:r>
            <w:r w:rsidR="00AF7A34" w:rsidRPr="00F40707">
              <w:rPr>
                <w:rFonts w:ascii="Lato" w:hAnsi="Lato" w:cs="Arial"/>
                <w:spacing w:val="4"/>
                <w:sz w:val="20"/>
                <w:szCs w:val="20"/>
                <w:lang w:eastAsia="zh-CN" w:bidi="pl-PL"/>
              </w:rPr>
              <w:t>5</w:t>
            </w:r>
            <w:r w:rsidRPr="00F40707">
              <w:rPr>
                <w:rFonts w:ascii="Lato" w:hAnsi="Lato" w:cs="Arial"/>
                <w:spacing w:val="4"/>
                <w:sz w:val="20"/>
                <w:szCs w:val="20"/>
                <w:lang w:eastAsia="zh-CN" w:bidi="pl-PL"/>
              </w:rPr>
              <w:t xml:space="preserve"> </w:t>
            </w:r>
            <w:r w:rsidR="00AF7A34" w:rsidRPr="00F40707">
              <w:rPr>
                <w:rFonts w:ascii="Lato" w:hAnsi="Lato" w:cs="Arial"/>
                <w:spacing w:val="4"/>
                <w:sz w:val="20"/>
                <w:szCs w:val="20"/>
                <w:lang w:eastAsia="zh-CN" w:bidi="pl-PL"/>
              </w:rPr>
              <w:t>Nowa Pułapina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7F6979A" w14:textId="046A47E1" w:rsidR="009504C0" w:rsidRPr="00F40707" w:rsidRDefault="003D1A62"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74</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2ADA0" w14:textId="1B2FAFCA" w:rsidR="009504C0" w:rsidRPr="00F40707" w:rsidRDefault="00271FDA" w:rsidP="00F40707">
            <w:pPr>
              <w:widowControl w:val="0"/>
              <w:suppressAutoHyphens/>
              <w:spacing w:line="240" w:lineRule="exact"/>
              <w:ind w:left="135"/>
              <w:rPr>
                <w:rFonts w:ascii="Lato" w:hAnsi="Lato" w:cs="Arial"/>
                <w:spacing w:val="4"/>
                <w:sz w:val="20"/>
                <w:szCs w:val="20"/>
                <w:lang w:eastAsia="zh-CN" w:bidi="pl-PL"/>
              </w:rPr>
            </w:pPr>
            <w:r w:rsidRPr="00F40707">
              <w:rPr>
                <w:rFonts w:ascii="Lato" w:hAnsi="Lato" w:cs="Arial"/>
                <w:spacing w:val="4"/>
                <w:sz w:val="20"/>
                <w:szCs w:val="20"/>
                <w:lang w:eastAsia="zh-CN" w:bidi="pl-PL"/>
              </w:rPr>
              <w:t xml:space="preserve">Lokalizowanie </w:t>
            </w:r>
            <w:r w:rsidR="00690667" w:rsidRPr="00F40707">
              <w:rPr>
                <w:rFonts w:ascii="Lato" w:hAnsi="Lato" w:cs="Arial"/>
                <w:spacing w:val="4"/>
                <w:sz w:val="20"/>
                <w:szCs w:val="20"/>
                <w:lang w:eastAsia="zh-CN" w:bidi="pl-PL"/>
              </w:rPr>
              <w:t xml:space="preserve">linii kolejowej </w:t>
            </w:r>
            <w:r w:rsidR="00BB5186" w:rsidRPr="00451D95">
              <w:rPr>
                <w:rFonts w:ascii="Lato" w:hAnsi="Lato" w:cs="Arial"/>
                <w:spacing w:val="4"/>
                <w:sz w:val="20"/>
                <w:szCs w:val="20"/>
                <w:lang w:eastAsia="zh-CN" w:bidi="pl-PL"/>
              </w:rPr>
              <w:br/>
            </w:r>
            <w:r w:rsidR="00690667" w:rsidRPr="00F40707">
              <w:rPr>
                <w:rFonts w:ascii="Lato" w:hAnsi="Lato" w:cs="Arial"/>
                <w:spacing w:val="4"/>
                <w:sz w:val="20"/>
                <w:szCs w:val="20"/>
                <w:lang w:eastAsia="zh-CN" w:bidi="pl-PL"/>
              </w:rPr>
              <w:t>z infrastrukturą towarzyszącą</w:t>
            </w:r>
            <w:r w:rsidR="007C2F98" w:rsidRPr="00F40707">
              <w:rPr>
                <w:rFonts w:ascii="Lato" w:hAnsi="Lato" w:cs="Arial"/>
                <w:spacing w:val="4"/>
                <w:sz w:val="20"/>
                <w:szCs w:val="20"/>
                <w:lang w:eastAsia="zh-CN" w:bidi="pl-PL"/>
              </w:rPr>
              <w:t xml:space="preserve">. Lokalizowanie mostów drogowych wraz </w:t>
            </w:r>
            <w:r w:rsidR="00BB5186" w:rsidRPr="00451D95">
              <w:rPr>
                <w:rFonts w:ascii="Lato" w:hAnsi="Lato" w:cs="Arial"/>
                <w:spacing w:val="4"/>
                <w:sz w:val="20"/>
                <w:szCs w:val="20"/>
                <w:lang w:eastAsia="zh-CN" w:bidi="pl-PL"/>
              </w:rPr>
              <w:br/>
            </w:r>
            <w:r w:rsidR="007C2F98" w:rsidRPr="00F40707">
              <w:rPr>
                <w:rFonts w:ascii="Lato" w:hAnsi="Lato" w:cs="Arial"/>
                <w:spacing w:val="4"/>
                <w:sz w:val="20"/>
                <w:szCs w:val="20"/>
                <w:lang w:eastAsia="zh-CN" w:bidi="pl-PL"/>
              </w:rPr>
              <w:t>z przyczółkami, ubezpieczeniem brzegów i dna koryta rzeki Pisi</w:t>
            </w:r>
            <w:r w:rsidR="00C07E15" w:rsidRPr="00F40707">
              <w:rPr>
                <w:rFonts w:ascii="Lato" w:hAnsi="Lato" w:cs="Arial"/>
                <w:spacing w:val="4"/>
                <w:sz w:val="20"/>
                <w:szCs w:val="20"/>
                <w:lang w:eastAsia="zh-CN" w:bidi="pl-PL"/>
              </w:rPr>
              <w:t xml:space="preserve">. Lokalizowanie sieci uzbrojenia terenu oraz przyłączy. </w:t>
            </w:r>
          </w:p>
        </w:tc>
      </w:tr>
      <w:tr w:rsidR="00BB5186" w:rsidRPr="00DD40FC" w14:paraId="00DD5E94" w14:textId="77777777" w:rsidTr="00F40707">
        <w:trPr>
          <w:trHeight w:val="30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2A654" w14:textId="77777777"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3D39E11" w14:textId="603FBDAC"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grodziski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8639278" w14:textId="4EC413B1"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Baranów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F6EA72" w14:textId="50A9A093"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002</w:t>
            </w:r>
            <w:r w:rsidR="00AF7A34" w:rsidRPr="00F40707">
              <w:rPr>
                <w:rFonts w:ascii="Lato" w:hAnsi="Lato" w:cs="Arial"/>
                <w:spacing w:val="4"/>
                <w:sz w:val="20"/>
                <w:szCs w:val="20"/>
                <w:lang w:eastAsia="zh-CN" w:bidi="pl-PL"/>
              </w:rPr>
              <w:t>1</w:t>
            </w:r>
            <w:r w:rsidRPr="00F40707">
              <w:rPr>
                <w:rFonts w:ascii="Lato" w:hAnsi="Lato" w:cs="Arial"/>
                <w:spacing w:val="4"/>
                <w:sz w:val="20"/>
                <w:szCs w:val="20"/>
                <w:lang w:eastAsia="zh-CN" w:bidi="pl-PL"/>
              </w:rPr>
              <w:t xml:space="preserve"> </w:t>
            </w:r>
            <w:r w:rsidR="00AF7A34" w:rsidRPr="00F40707">
              <w:rPr>
                <w:rFonts w:ascii="Lato" w:hAnsi="Lato" w:cs="Arial"/>
                <w:spacing w:val="4"/>
                <w:sz w:val="20"/>
                <w:szCs w:val="20"/>
                <w:lang w:eastAsia="zh-CN" w:bidi="pl-PL"/>
              </w:rPr>
              <w:t>Wyczółki</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18D03FC" w14:textId="2EC4E90D" w:rsidR="009504C0" w:rsidRPr="00F40707" w:rsidRDefault="006B08E6"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227</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EBBF4" w14:textId="01CF3134" w:rsidR="009504C0" w:rsidRPr="00F40707" w:rsidRDefault="006B08E6" w:rsidP="00F40707">
            <w:pPr>
              <w:widowControl w:val="0"/>
              <w:suppressAutoHyphens/>
              <w:spacing w:line="240" w:lineRule="exact"/>
              <w:ind w:left="135"/>
              <w:rPr>
                <w:rFonts w:ascii="Lato" w:hAnsi="Lato" w:cs="Arial"/>
                <w:spacing w:val="4"/>
                <w:sz w:val="20"/>
                <w:szCs w:val="20"/>
                <w:lang w:eastAsia="zh-CN" w:bidi="pl-PL"/>
              </w:rPr>
            </w:pPr>
            <w:r w:rsidRPr="00F40707">
              <w:rPr>
                <w:rFonts w:ascii="Lato" w:hAnsi="Lato" w:cs="Arial"/>
                <w:spacing w:val="4"/>
                <w:sz w:val="20"/>
                <w:szCs w:val="20"/>
                <w:lang w:eastAsia="zh-CN" w:bidi="pl-PL"/>
              </w:rPr>
              <w:t>Lokalizowanie</w:t>
            </w:r>
            <w:r w:rsidR="00654E26" w:rsidRPr="00F40707">
              <w:rPr>
                <w:rFonts w:ascii="Lato" w:hAnsi="Lato" w:cs="Arial"/>
                <w:spacing w:val="4"/>
                <w:sz w:val="20"/>
                <w:szCs w:val="20"/>
                <w:lang w:eastAsia="zh-CN" w:bidi="pl-PL"/>
              </w:rPr>
              <w:t xml:space="preserve"> linii kolejowej </w:t>
            </w:r>
            <w:r w:rsidR="00654E26" w:rsidRPr="00F40707">
              <w:rPr>
                <w:rFonts w:ascii="Lato" w:hAnsi="Lato" w:cs="Arial"/>
                <w:spacing w:val="4"/>
                <w:sz w:val="20"/>
                <w:szCs w:val="20"/>
                <w:lang w:eastAsia="zh-CN" w:bidi="pl-PL"/>
              </w:rPr>
              <w:br/>
              <w:t xml:space="preserve">z infrastrukturą towarzyszącą. Lokalizowanie ubezpieczenia brzegu </w:t>
            </w:r>
            <w:r w:rsidR="00172F8F" w:rsidRPr="00451D95">
              <w:rPr>
                <w:rFonts w:ascii="Lato" w:hAnsi="Lato" w:cs="Arial"/>
                <w:spacing w:val="4"/>
                <w:sz w:val="20"/>
                <w:szCs w:val="20"/>
                <w:lang w:eastAsia="zh-CN" w:bidi="pl-PL"/>
              </w:rPr>
              <w:br/>
            </w:r>
            <w:r w:rsidR="00654E26" w:rsidRPr="00F40707">
              <w:rPr>
                <w:rFonts w:ascii="Lato" w:hAnsi="Lato" w:cs="Arial"/>
                <w:spacing w:val="4"/>
                <w:sz w:val="20"/>
                <w:szCs w:val="20"/>
                <w:lang w:eastAsia="zh-CN" w:bidi="pl-PL"/>
              </w:rPr>
              <w:t xml:space="preserve">i dna koryta rzeki Pisi związanego </w:t>
            </w:r>
            <w:r w:rsidR="00172F8F" w:rsidRPr="00451D95">
              <w:rPr>
                <w:rFonts w:ascii="Lato" w:hAnsi="Lato" w:cs="Arial"/>
                <w:spacing w:val="4"/>
                <w:sz w:val="20"/>
                <w:szCs w:val="20"/>
                <w:lang w:eastAsia="zh-CN" w:bidi="pl-PL"/>
              </w:rPr>
              <w:br/>
            </w:r>
            <w:r w:rsidR="00654E26" w:rsidRPr="00F40707">
              <w:rPr>
                <w:rFonts w:ascii="Lato" w:hAnsi="Lato" w:cs="Arial"/>
                <w:spacing w:val="4"/>
                <w:sz w:val="20"/>
                <w:szCs w:val="20"/>
                <w:lang w:eastAsia="zh-CN" w:bidi="pl-PL"/>
              </w:rPr>
              <w:t xml:space="preserve">z likwidacją wylotów rowów i zbieraczy. Lokalizowanie mostów drogowych wraz </w:t>
            </w:r>
            <w:r w:rsidR="00F96B69" w:rsidRPr="00451D95">
              <w:rPr>
                <w:rFonts w:ascii="Lato" w:hAnsi="Lato" w:cs="Arial"/>
                <w:spacing w:val="4"/>
                <w:sz w:val="20"/>
                <w:szCs w:val="20"/>
                <w:lang w:eastAsia="zh-CN" w:bidi="pl-PL"/>
              </w:rPr>
              <w:br/>
            </w:r>
            <w:r w:rsidR="00654E26" w:rsidRPr="00F40707">
              <w:rPr>
                <w:rFonts w:ascii="Lato" w:hAnsi="Lato" w:cs="Arial"/>
                <w:spacing w:val="4"/>
                <w:sz w:val="20"/>
                <w:szCs w:val="20"/>
                <w:lang w:eastAsia="zh-CN" w:bidi="pl-PL"/>
              </w:rPr>
              <w:t>z przyczółkami, ubezpieczeniem brzegów i dna koryta rzeki Pisi. Lokalizowanie sieci uzbrojenia terenu oraz przyłączy.</w:t>
            </w:r>
          </w:p>
        </w:tc>
      </w:tr>
      <w:tr w:rsidR="00BB5186" w:rsidRPr="00DD40FC" w14:paraId="11801FBA" w14:textId="77777777" w:rsidTr="00F40707">
        <w:trPr>
          <w:trHeight w:val="30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20C90" w14:textId="77777777"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328BE03" w14:textId="5AC48142"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sochaczewski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D0E6C42" w14:textId="360893F1" w:rsidR="009504C0" w:rsidRPr="00F40707" w:rsidRDefault="00AF7A34" w:rsidP="00F40707">
            <w:pPr>
              <w:widowControl w:val="0"/>
              <w:suppressAutoHyphens/>
              <w:spacing w:line="240" w:lineRule="exact"/>
              <w:ind w:firstLine="3"/>
              <w:jc w:val="center"/>
              <w:rPr>
                <w:rFonts w:ascii="Lato" w:hAnsi="Lato" w:cs="Arial"/>
                <w:spacing w:val="4"/>
                <w:sz w:val="20"/>
                <w:szCs w:val="20"/>
                <w:lang w:eastAsia="zh-CN" w:bidi="pl-PL"/>
              </w:rPr>
            </w:pPr>
            <w:r w:rsidRPr="00F40707">
              <w:rPr>
                <w:rFonts w:ascii="Lato" w:hAnsi="Lato" w:cs="Arial"/>
                <w:spacing w:val="4"/>
                <w:sz w:val="20"/>
                <w:szCs w:val="20"/>
                <w:lang w:eastAsia="zh-CN" w:bidi="pl-PL"/>
              </w:rPr>
              <w:t>Teresin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5BDA6C" w14:textId="15E2CDD8"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00</w:t>
            </w:r>
            <w:r w:rsidR="00AF7A34" w:rsidRPr="00F40707">
              <w:rPr>
                <w:rFonts w:ascii="Lato" w:hAnsi="Lato" w:cs="Arial"/>
                <w:spacing w:val="4"/>
                <w:sz w:val="20"/>
                <w:szCs w:val="20"/>
                <w:lang w:eastAsia="zh-CN" w:bidi="pl-PL"/>
              </w:rPr>
              <w:t>34</w:t>
            </w:r>
            <w:r w:rsidRPr="00F40707">
              <w:rPr>
                <w:rFonts w:ascii="Lato" w:hAnsi="Lato" w:cs="Arial"/>
                <w:spacing w:val="4"/>
                <w:sz w:val="20"/>
                <w:szCs w:val="20"/>
                <w:lang w:eastAsia="zh-CN" w:bidi="pl-PL"/>
              </w:rPr>
              <w:t xml:space="preserve"> </w:t>
            </w:r>
            <w:r w:rsidR="00AF7A34" w:rsidRPr="00F40707">
              <w:rPr>
                <w:rFonts w:ascii="Lato" w:hAnsi="Lato" w:cs="Arial"/>
                <w:spacing w:val="4"/>
                <w:sz w:val="20"/>
                <w:szCs w:val="20"/>
                <w:lang w:eastAsia="zh-CN" w:bidi="pl-PL"/>
              </w:rPr>
              <w:t>SHRO Kawęczyn</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7D72EC8" w14:textId="7A1CCDBE"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6</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AAEC9" w14:textId="503498A9" w:rsidR="009504C0" w:rsidRPr="00F40707" w:rsidRDefault="00654E26" w:rsidP="00F40707">
            <w:pPr>
              <w:widowControl w:val="0"/>
              <w:suppressAutoHyphens/>
              <w:spacing w:line="240" w:lineRule="exact"/>
              <w:ind w:left="135"/>
              <w:rPr>
                <w:rFonts w:ascii="Lato" w:hAnsi="Lato" w:cs="Arial"/>
                <w:spacing w:val="4"/>
                <w:sz w:val="20"/>
                <w:szCs w:val="20"/>
                <w:lang w:eastAsia="zh-CN" w:bidi="pl-PL"/>
              </w:rPr>
            </w:pPr>
            <w:r w:rsidRPr="00F40707">
              <w:rPr>
                <w:rFonts w:ascii="Lato" w:hAnsi="Lato" w:cs="Arial"/>
                <w:spacing w:val="4"/>
                <w:sz w:val="20"/>
                <w:szCs w:val="20"/>
                <w:lang w:eastAsia="zh-CN" w:bidi="pl-PL"/>
              </w:rPr>
              <w:t xml:space="preserve">Lokalizowanie ubezpieczenia brzegu </w:t>
            </w:r>
            <w:r w:rsidR="00172F8F" w:rsidRPr="00451D95">
              <w:rPr>
                <w:rFonts w:ascii="Lato" w:hAnsi="Lato" w:cs="Arial"/>
                <w:spacing w:val="4"/>
                <w:sz w:val="20"/>
                <w:szCs w:val="20"/>
                <w:lang w:eastAsia="zh-CN" w:bidi="pl-PL"/>
              </w:rPr>
              <w:br/>
            </w:r>
            <w:r w:rsidRPr="00F40707">
              <w:rPr>
                <w:rFonts w:ascii="Lato" w:hAnsi="Lato" w:cs="Arial"/>
                <w:spacing w:val="4"/>
                <w:sz w:val="20"/>
                <w:szCs w:val="20"/>
                <w:lang w:eastAsia="zh-CN" w:bidi="pl-PL"/>
              </w:rPr>
              <w:t xml:space="preserve">i dna koryta rzeki Pisi związanego </w:t>
            </w:r>
            <w:r w:rsidRPr="00F40707">
              <w:rPr>
                <w:rFonts w:ascii="Lato" w:hAnsi="Lato" w:cs="Arial"/>
                <w:spacing w:val="4"/>
                <w:sz w:val="20"/>
                <w:szCs w:val="20"/>
                <w:lang w:eastAsia="zh-CN" w:bidi="pl-PL"/>
              </w:rPr>
              <w:br/>
              <w:t xml:space="preserve">z wylotem projektowanego koryta rowu oraz obiektem mostowym wraz </w:t>
            </w:r>
            <w:r w:rsidR="00F96B69" w:rsidRPr="00451D95">
              <w:rPr>
                <w:rFonts w:ascii="Lato" w:hAnsi="Lato" w:cs="Arial"/>
                <w:spacing w:val="4"/>
                <w:sz w:val="20"/>
                <w:szCs w:val="20"/>
                <w:lang w:eastAsia="zh-CN" w:bidi="pl-PL"/>
              </w:rPr>
              <w:br/>
            </w:r>
            <w:r w:rsidRPr="00F40707">
              <w:rPr>
                <w:rFonts w:ascii="Lato" w:hAnsi="Lato" w:cs="Arial"/>
                <w:spacing w:val="4"/>
                <w:sz w:val="20"/>
                <w:szCs w:val="20"/>
                <w:lang w:eastAsia="zh-CN" w:bidi="pl-PL"/>
              </w:rPr>
              <w:t>z umocnieniem skarp. Lokalizowanie sieci uzbrojenia terenu oraz przyłączy.</w:t>
            </w:r>
          </w:p>
        </w:tc>
      </w:tr>
      <w:tr w:rsidR="00BB5186" w:rsidRPr="00DD40FC" w14:paraId="51789E8F" w14:textId="77777777" w:rsidTr="00F40707">
        <w:trPr>
          <w:trHeight w:val="30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DD9B7" w14:textId="77777777"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4A635B1" w14:textId="04FC4A16"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sochaczewski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766BD04" w14:textId="4222D764" w:rsidR="009504C0" w:rsidRPr="00F40707" w:rsidRDefault="00AF7A34" w:rsidP="00F40707">
            <w:pPr>
              <w:widowControl w:val="0"/>
              <w:suppressAutoHyphens/>
              <w:spacing w:line="240" w:lineRule="exact"/>
              <w:ind w:left="116" w:hanging="116"/>
              <w:jc w:val="center"/>
              <w:rPr>
                <w:rFonts w:ascii="Lato" w:hAnsi="Lato" w:cs="Arial"/>
                <w:spacing w:val="4"/>
                <w:sz w:val="20"/>
                <w:szCs w:val="20"/>
                <w:lang w:eastAsia="zh-CN" w:bidi="pl-PL"/>
              </w:rPr>
            </w:pPr>
            <w:r w:rsidRPr="00F40707">
              <w:rPr>
                <w:rFonts w:ascii="Lato" w:hAnsi="Lato" w:cs="Arial"/>
                <w:spacing w:val="4"/>
                <w:sz w:val="20"/>
                <w:szCs w:val="20"/>
                <w:lang w:eastAsia="zh-CN" w:bidi="pl-PL"/>
              </w:rPr>
              <w:t>Teresin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B6E03B8" w14:textId="5BD1F49F"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00</w:t>
            </w:r>
            <w:r w:rsidR="00AF7A34" w:rsidRPr="00F40707">
              <w:rPr>
                <w:rFonts w:ascii="Lato" w:hAnsi="Lato" w:cs="Arial"/>
                <w:spacing w:val="4"/>
                <w:sz w:val="20"/>
                <w:szCs w:val="20"/>
                <w:lang w:eastAsia="zh-CN" w:bidi="pl-PL"/>
              </w:rPr>
              <w:t>3</w:t>
            </w:r>
            <w:r w:rsidRPr="00F40707">
              <w:rPr>
                <w:rFonts w:ascii="Lato" w:hAnsi="Lato" w:cs="Arial"/>
                <w:spacing w:val="4"/>
                <w:sz w:val="20"/>
                <w:szCs w:val="20"/>
                <w:lang w:eastAsia="zh-CN" w:bidi="pl-PL"/>
              </w:rPr>
              <w:t xml:space="preserve">2 </w:t>
            </w:r>
            <w:r w:rsidR="00AF7A34" w:rsidRPr="00F40707">
              <w:rPr>
                <w:rFonts w:ascii="Lato" w:hAnsi="Lato" w:cs="Arial"/>
                <w:spacing w:val="4"/>
                <w:sz w:val="20"/>
                <w:szCs w:val="20"/>
                <w:lang w:eastAsia="zh-CN" w:bidi="pl-PL"/>
              </w:rPr>
              <w:t>SHRO Strugi</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6916556" w14:textId="607EB065" w:rsidR="009504C0" w:rsidRPr="00F40707" w:rsidRDefault="00654E26"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1</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976A1" w14:textId="49250CE1" w:rsidR="009504C0" w:rsidRPr="00F40707" w:rsidRDefault="00654E26" w:rsidP="00F40707">
            <w:pPr>
              <w:widowControl w:val="0"/>
              <w:suppressAutoHyphens/>
              <w:spacing w:line="240" w:lineRule="exact"/>
              <w:ind w:left="135"/>
              <w:rPr>
                <w:rFonts w:ascii="Lato" w:hAnsi="Lato" w:cs="Arial"/>
                <w:spacing w:val="4"/>
                <w:sz w:val="20"/>
                <w:szCs w:val="20"/>
                <w:lang w:eastAsia="zh-CN" w:bidi="pl-PL"/>
              </w:rPr>
            </w:pPr>
            <w:r w:rsidRPr="00F40707">
              <w:rPr>
                <w:rFonts w:ascii="Lato" w:hAnsi="Lato" w:cs="Arial"/>
                <w:spacing w:val="4"/>
                <w:sz w:val="20"/>
                <w:szCs w:val="20"/>
                <w:lang w:eastAsia="zh-CN" w:bidi="pl-PL"/>
              </w:rPr>
              <w:t xml:space="preserve">Lokalizowanie ubezpieczenia brzegu </w:t>
            </w:r>
            <w:r w:rsidR="00172F8F" w:rsidRPr="00451D95">
              <w:rPr>
                <w:rFonts w:ascii="Lato" w:hAnsi="Lato" w:cs="Arial"/>
                <w:spacing w:val="4"/>
                <w:sz w:val="20"/>
                <w:szCs w:val="20"/>
                <w:lang w:eastAsia="zh-CN" w:bidi="pl-PL"/>
              </w:rPr>
              <w:br/>
            </w:r>
            <w:r w:rsidRPr="00F40707">
              <w:rPr>
                <w:rFonts w:ascii="Lato" w:hAnsi="Lato" w:cs="Arial"/>
                <w:spacing w:val="4"/>
                <w:sz w:val="20"/>
                <w:szCs w:val="20"/>
                <w:lang w:eastAsia="zh-CN" w:bidi="pl-PL"/>
              </w:rPr>
              <w:t xml:space="preserve">i dna koryta rzeki Pisi związanego </w:t>
            </w:r>
            <w:r w:rsidR="00172F8F" w:rsidRPr="00451D95">
              <w:rPr>
                <w:rFonts w:ascii="Lato" w:hAnsi="Lato" w:cs="Arial"/>
                <w:spacing w:val="4"/>
                <w:sz w:val="20"/>
                <w:szCs w:val="20"/>
                <w:lang w:eastAsia="zh-CN" w:bidi="pl-PL"/>
              </w:rPr>
              <w:br/>
            </w:r>
            <w:r w:rsidRPr="00F40707">
              <w:rPr>
                <w:rFonts w:ascii="Lato" w:hAnsi="Lato" w:cs="Arial"/>
                <w:spacing w:val="4"/>
                <w:sz w:val="20"/>
                <w:szCs w:val="20"/>
                <w:lang w:eastAsia="zh-CN" w:bidi="pl-PL"/>
              </w:rPr>
              <w:t>z wylotem projektowanego koryta rowu. Lokalizowanie</w:t>
            </w:r>
            <w:r w:rsidR="001E372F" w:rsidRPr="00F40707">
              <w:rPr>
                <w:rFonts w:ascii="Lato" w:hAnsi="Lato" w:cs="Arial"/>
                <w:spacing w:val="4"/>
                <w:sz w:val="20"/>
                <w:szCs w:val="20"/>
                <w:lang w:eastAsia="zh-CN" w:bidi="pl-PL"/>
              </w:rPr>
              <w:t xml:space="preserve"> sieci uzbrojenia terenu oraz przyłączy.</w:t>
            </w:r>
          </w:p>
        </w:tc>
      </w:tr>
      <w:tr w:rsidR="00BB5186" w:rsidRPr="00DD40FC" w14:paraId="340848DD" w14:textId="77777777" w:rsidTr="00F40707">
        <w:trPr>
          <w:trHeight w:val="30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7A3E7" w14:textId="77777777"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lastRenderedPageBreak/>
              <w:t>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079820" w14:textId="534F6236"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sochaczewski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8640135" w14:textId="518CE041" w:rsidR="009504C0" w:rsidRPr="00F40707" w:rsidRDefault="00AF7A34" w:rsidP="00F40707">
            <w:pPr>
              <w:widowControl w:val="0"/>
              <w:suppressAutoHyphens/>
              <w:spacing w:line="240" w:lineRule="exact"/>
              <w:ind w:left="224" w:hanging="139"/>
              <w:rPr>
                <w:rFonts w:ascii="Lato" w:hAnsi="Lato" w:cs="Arial"/>
                <w:spacing w:val="4"/>
                <w:sz w:val="20"/>
                <w:szCs w:val="20"/>
                <w:lang w:eastAsia="zh-CN" w:bidi="pl-PL"/>
              </w:rPr>
            </w:pPr>
            <w:r w:rsidRPr="00F40707">
              <w:rPr>
                <w:rFonts w:ascii="Lato" w:hAnsi="Lato" w:cs="Arial"/>
                <w:spacing w:val="4"/>
                <w:sz w:val="20"/>
                <w:szCs w:val="20"/>
                <w:lang w:eastAsia="zh-CN" w:bidi="pl-PL"/>
              </w:rPr>
              <w:t>Teresin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8F1237" w14:textId="0B421173"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00</w:t>
            </w:r>
            <w:r w:rsidR="00AF7A34" w:rsidRPr="00F40707">
              <w:rPr>
                <w:rFonts w:ascii="Lato" w:hAnsi="Lato" w:cs="Arial"/>
                <w:spacing w:val="4"/>
                <w:sz w:val="20"/>
                <w:szCs w:val="20"/>
                <w:lang w:eastAsia="zh-CN" w:bidi="pl-PL"/>
              </w:rPr>
              <w:t>33</w:t>
            </w:r>
            <w:r w:rsidRPr="00F40707">
              <w:rPr>
                <w:rFonts w:ascii="Lato" w:hAnsi="Lato" w:cs="Arial"/>
                <w:spacing w:val="4"/>
                <w:sz w:val="20"/>
                <w:szCs w:val="20"/>
                <w:lang w:eastAsia="zh-CN" w:bidi="pl-PL"/>
              </w:rPr>
              <w:t xml:space="preserve"> </w:t>
            </w:r>
            <w:r w:rsidR="00AF7A34" w:rsidRPr="00F40707">
              <w:rPr>
                <w:rFonts w:ascii="Lato" w:hAnsi="Lato" w:cs="Arial"/>
                <w:spacing w:val="4"/>
                <w:sz w:val="20"/>
                <w:szCs w:val="20"/>
                <w:lang w:eastAsia="zh-CN" w:bidi="pl-PL"/>
              </w:rPr>
              <w:t>SHRO Szymanów</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EBA9827" w14:textId="306B3F8E" w:rsidR="009504C0" w:rsidRPr="00F40707" w:rsidRDefault="00225E17"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4</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BF7A4" w14:textId="2CE58D0F" w:rsidR="009504C0" w:rsidRPr="00F40707" w:rsidRDefault="00225E17" w:rsidP="00F40707">
            <w:pPr>
              <w:widowControl w:val="0"/>
              <w:suppressAutoHyphens/>
              <w:spacing w:line="240" w:lineRule="exact"/>
              <w:ind w:left="135"/>
              <w:rPr>
                <w:rFonts w:ascii="Lato" w:hAnsi="Lato" w:cs="Arial"/>
                <w:spacing w:val="4"/>
                <w:sz w:val="20"/>
                <w:szCs w:val="20"/>
                <w:lang w:eastAsia="zh-CN" w:bidi="pl-PL"/>
              </w:rPr>
            </w:pPr>
            <w:r w:rsidRPr="00F40707">
              <w:rPr>
                <w:rFonts w:ascii="Lato" w:hAnsi="Lato" w:cs="Arial"/>
                <w:spacing w:val="4"/>
                <w:sz w:val="20"/>
                <w:szCs w:val="20"/>
                <w:lang w:eastAsia="zh-CN" w:bidi="pl-PL"/>
              </w:rPr>
              <w:t xml:space="preserve">Lokalizowanie sieci uzbrojenia terenu oraz przyłączy. Lokalizowanie wylotu </w:t>
            </w:r>
            <w:r w:rsidR="00F96B69" w:rsidRPr="00451D95">
              <w:rPr>
                <w:rFonts w:ascii="Lato" w:hAnsi="Lato" w:cs="Arial"/>
                <w:spacing w:val="4"/>
                <w:sz w:val="20"/>
                <w:szCs w:val="20"/>
                <w:lang w:eastAsia="zh-CN" w:bidi="pl-PL"/>
              </w:rPr>
              <w:br/>
            </w:r>
            <w:r w:rsidRPr="00F40707">
              <w:rPr>
                <w:rFonts w:ascii="Lato" w:hAnsi="Lato" w:cs="Arial"/>
                <w:spacing w:val="4"/>
                <w:sz w:val="20"/>
                <w:szCs w:val="20"/>
                <w:lang w:eastAsia="zh-CN" w:bidi="pl-PL"/>
              </w:rPr>
              <w:t>z przekładanego rowu melioracyjnego oraz ubezpieczenia brzegu i dna koryta rzeki Pisi związanych z projektowanym korytem rowu oraz obiektem mostowym wraz z umocnieniem skarp.</w:t>
            </w:r>
          </w:p>
        </w:tc>
      </w:tr>
      <w:tr w:rsidR="00BB5186" w:rsidRPr="00DD40FC" w14:paraId="74644F16" w14:textId="77777777" w:rsidTr="00F40707">
        <w:trPr>
          <w:trHeight w:val="30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00A8C" w14:textId="77777777"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A01628A" w14:textId="4EDE7A1C"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grodziski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22E457D" w14:textId="4B6B6A47" w:rsidR="009504C0" w:rsidRPr="00F40707" w:rsidRDefault="00AF7A34"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Baranów</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2CA1E7" w14:textId="2335064C" w:rsidR="009504C0" w:rsidRPr="00F40707" w:rsidRDefault="009504C0"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000</w:t>
            </w:r>
            <w:r w:rsidR="00AF7A34" w:rsidRPr="00F40707">
              <w:rPr>
                <w:rFonts w:ascii="Lato" w:hAnsi="Lato" w:cs="Arial"/>
                <w:spacing w:val="4"/>
                <w:sz w:val="20"/>
                <w:szCs w:val="20"/>
                <w:lang w:eastAsia="zh-CN" w:bidi="pl-PL"/>
              </w:rPr>
              <w:t>7</w:t>
            </w:r>
            <w:r w:rsidRPr="00F40707">
              <w:rPr>
                <w:rFonts w:ascii="Lato" w:hAnsi="Lato" w:cs="Arial"/>
                <w:spacing w:val="4"/>
                <w:sz w:val="20"/>
                <w:szCs w:val="20"/>
                <w:lang w:eastAsia="zh-CN" w:bidi="pl-PL"/>
              </w:rPr>
              <w:t xml:space="preserve"> </w:t>
            </w:r>
            <w:r w:rsidR="00AF7A34" w:rsidRPr="00F40707">
              <w:rPr>
                <w:rFonts w:ascii="Lato" w:hAnsi="Lato" w:cs="Arial"/>
                <w:spacing w:val="4"/>
                <w:sz w:val="20"/>
                <w:szCs w:val="20"/>
                <w:lang w:eastAsia="zh-CN" w:bidi="pl-PL"/>
              </w:rPr>
              <w:t>Drybus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4BFE6D" w14:textId="175C8B8B" w:rsidR="009504C0" w:rsidRPr="00F40707" w:rsidRDefault="00AA16D8" w:rsidP="003A0DA8">
            <w:pPr>
              <w:widowControl w:val="0"/>
              <w:suppressAutoHyphens/>
              <w:spacing w:line="240" w:lineRule="exact"/>
              <w:jc w:val="center"/>
              <w:rPr>
                <w:rFonts w:ascii="Lato" w:hAnsi="Lato" w:cs="Arial"/>
                <w:spacing w:val="4"/>
                <w:sz w:val="20"/>
                <w:szCs w:val="20"/>
                <w:lang w:eastAsia="zh-CN" w:bidi="pl-PL"/>
              </w:rPr>
            </w:pPr>
            <w:r w:rsidRPr="00F40707">
              <w:rPr>
                <w:rFonts w:ascii="Lato" w:hAnsi="Lato" w:cs="Arial"/>
                <w:spacing w:val="4"/>
                <w:sz w:val="20"/>
                <w:szCs w:val="20"/>
                <w:lang w:eastAsia="zh-CN" w:bidi="pl-PL"/>
              </w:rPr>
              <w:t>26</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C5777" w14:textId="22DEDD69" w:rsidR="009504C0" w:rsidRPr="00F40707" w:rsidRDefault="00616930" w:rsidP="00F40707">
            <w:pPr>
              <w:widowControl w:val="0"/>
              <w:suppressAutoHyphens/>
              <w:spacing w:line="240" w:lineRule="exact"/>
              <w:ind w:left="130"/>
              <w:rPr>
                <w:rFonts w:ascii="Lato" w:hAnsi="Lato" w:cs="Arial"/>
                <w:spacing w:val="4"/>
                <w:sz w:val="20"/>
                <w:szCs w:val="20"/>
                <w:lang w:eastAsia="zh-CN" w:bidi="pl-PL"/>
              </w:rPr>
            </w:pPr>
            <w:r w:rsidRPr="00F40707">
              <w:rPr>
                <w:rFonts w:ascii="Lato" w:hAnsi="Lato" w:cs="Arial"/>
                <w:spacing w:val="4"/>
                <w:sz w:val="20"/>
                <w:szCs w:val="20"/>
                <w:lang w:eastAsia="zh-CN" w:bidi="pl-PL"/>
              </w:rPr>
              <w:t xml:space="preserve">Wejście w teren w celu </w:t>
            </w:r>
            <w:r w:rsidR="00604471" w:rsidRPr="00F40707">
              <w:rPr>
                <w:rFonts w:ascii="Lato" w:hAnsi="Lato" w:cs="Arial"/>
                <w:spacing w:val="4"/>
                <w:sz w:val="20"/>
                <w:szCs w:val="20"/>
                <w:lang w:eastAsia="zh-CN" w:bidi="pl-PL"/>
              </w:rPr>
              <w:t xml:space="preserve">wykonania robót </w:t>
            </w:r>
            <w:r w:rsidR="001D6389" w:rsidRPr="00F40707">
              <w:rPr>
                <w:rFonts w:ascii="Lato" w:hAnsi="Lato" w:cs="Arial"/>
                <w:spacing w:val="4"/>
                <w:sz w:val="20"/>
                <w:szCs w:val="20"/>
                <w:lang w:eastAsia="zh-CN" w:bidi="pl-PL"/>
              </w:rPr>
              <w:t>związanych z likwidacją</w:t>
            </w:r>
            <w:r w:rsidR="0027441B" w:rsidRPr="00F40707">
              <w:rPr>
                <w:rFonts w:ascii="Lato" w:hAnsi="Lato" w:cs="Arial"/>
                <w:spacing w:val="4"/>
                <w:sz w:val="20"/>
                <w:szCs w:val="20"/>
                <w:lang w:eastAsia="zh-CN" w:bidi="pl-PL"/>
              </w:rPr>
              <w:t xml:space="preserve"> wylotu</w:t>
            </w:r>
            <w:r w:rsidR="00FD1784" w:rsidRPr="00F40707">
              <w:rPr>
                <w:rFonts w:ascii="Lato" w:hAnsi="Lato" w:cs="Arial"/>
                <w:spacing w:val="4"/>
                <w:sz w:val="20"/>
                <w:szCs w:val="20"/>
                <w:lang w:eastAsia="zh-CN" w:bidi="pl-PL"/>
              </w:rPr>
              <w:t xml:space="preserve"> rowu, odtworzeniem brzegu oraz ubezpieczeniem brzegu i dna rzeki Pisi. Lokalizowanie </w:t>
            </w:r>
            <w:r w:rsidR="006F0872" w:rsidRPr="00F40707">
              <w:rPr>
                <w:rFonts w:ascii="Lato" w:hAnsi="Lato" w:cs="Arial"/>
                <w:spacing w:val="4"/>
                <w:sz w:val="20"/>
                <w:szCs w:val="20"/>
                <w:lang w:eastAsia="zh-CN" w:bidi="pl-PL"/>
              </w:rPr>
              <w:t>sieci uzbrojenia terenu oraz przyłączy.</w:t>
            </w:r>
          </w:p>
        </w:tc>
      </w:tr>
    </w:tbl>
    <w:p w14:paraId="427F8227" w14:textId="77777777" w:rsidR="009504C0" w:rsidRPr="00DD40FC" w:rsidRDefault="009504C0" w:rsidP="009504C0">
      <w:pPr>
        <w:pStyle w:val="Akapitzlist"/>
        <w:suppressAutoHyphens/>
        <w:spacing w:after="240" w:line="240" w:lineRule="exact"/>
        <w:ind w:left="1077" w:firstLine="6435"/>
        <w:contextualSpacing w:val="0"/>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p>
    <w:p w14:paraId="1F44538F" w14:textId="77777777" w:rsidR="00F96B69" w:rsidRPr="00F40707" w:rsidRDefault="00F96B69" w:rsidP="00F96B69">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F40707">
        <w:rPr>
          <w:rFonts w:ascii="Lato" w:hAnsi="Lato" w:cs="Arial"/>
          <w:bCs/>
          <w:spacing w:val="4"/>
          <w:sz w:val="22"/>
          <w:szCs w:val="22"/>
        </w:rPr>
        <w:t>ustalenie, w rozstrzygnięciu zaskarżonej decyzji, w miejsce uchylenia, na stronie 149, w wierszu 18-22, licząc od góry strony, nowego zapisu:</w:t>
      </w:r>
    </w:p>
    <w:p w14:paraId="1B465D55" w14:textId="5521563D" w:rsidR="00F96B69" w:rsidRPr="00451D95" w:rsidRDefault="00F96B69" w:rsidP="00F96B69">
      <w:pPr>
        <w:pStyle w:val="Akapitzlist"/>
        <w:tabs>
          <w:tab w:val="left" w:pos="284"/>
        </w:tabs>
        <w:spacing w:after="120" w:line="240" w:lineRule="exact"/>
        <w:ind w:left="714"/>
        <w:contextualSpacing w:val="0"/>
        <w:jc w:val="both"/>
        <w:rPr>
          <w:rFonts w:ascii="Lato" w:hAnsi="Lato" w:cs="Arial"/>
          <w:bCs/>
          <w:spacing w:val="4"/>
          <w:sz w:val="22"/>
          <w:szCs w:val="22"/>
        </w:rPr>
      </w:pPr>
      <w:r w:rsidRPr="00451D95">
        <w:rPr>
          <w:rFonts w:ascii="Lato" w:hAnsi="Lato" w:cs="Arial"/>
          <w:bCs/>
          <w:spacing w:val="4"/>
          <w:sz w:val="22"/>
          <w:szCs w:val="22"/>
        </w:rPr>
        <w:t>„</w:t>
      </w:r>
      <w:r w:rsidR="00451D95" w:rsidRPr="00F40707">
        <w:rPr>
          <w:rFonts w:ascii="Lato" w:hAnsi="Lato" w:cs="Arial"/>
          <w:bCs/>
          <w:spacing w:val="4"/>
          <w:sz w:val="22"/>
          <w:szCs w:val="22"/>
        </w:rPr>
        <w:t xml:space="preserve">2. </w:t>
      </w:r>
      <w:r w:rsidRPr="00451D95">
        <w:rPr>
          <w:rFonts w:ascii="Lato" w:hAnsi="Lato" w:cs="Arial"/>
          <w:bCs/>
          <w:spacing w:val="4"/>
          <w:sz w:val="22"/>
          <w:szCs w:val="22"/>
        </w:rPr>
        <w:t xml:space="preserve">W Tabeli Nr 10 zamieszczono wykaz działek stanowiących drogi publiczne podlegające zajęciu na rzecz CPK Sp. z o.o. </w:t>
      </w:r>
      <w:r w:rsidR="00A777A0" w:rsidRPr="00451D95">
        <w:rPr>
          <w:rFonts w:ascii="Lato" w:hAnsi="Lato" w:cs="Arial"/>
          <w:bCs/>
          <w:spacing w:val="4"/>
          <w:sz w:val="22"/>
          <w:szCs w:val="22"/>
        </w:rPr>
        <w:t>(</w:t>
      </w:r>
      <w:r w:rsidR="00094D4D" w:rsidRPr="00451D95">
        <w:rPr>
          <w:rFonts w:ascii="Lato" w:hAnsi="Lato" w:cs="Arial"/>
          <w:bCs/>
          <w:spacing w:val="4"/>
          <w:sz w:val="22"/>
          <w:szCs w:val="22"/>
        </w:rPr>
        <w:t xml:space="preserve">wyróżnienie </w:t>
      </w:r>
      <w:r w:rsidRPr="00451D95">
        <w:rPr>
          <w:rFonts w:ascii="Lato" w:hAnsi="Lato" w:cs="Arial"/>
          <w:b/>
          <w:spacing w:val="4"/>
          <w:sz w:val="22"/>
          <w:szCs w:val="22"/>
        </w:rPr>
        <w:t>tłustym drukiem</w:t>
      </w:r>
      <w:r w:rsidRPr="00451D95">
        <w:rPr>
          <w:rFonts w:ascii="Lato" w:hAnsi="Lato" w:cs="Arial"/>
          <w:bCs/>
          <w:spacing w:val="4"/>
          <w:sz w:val="22"/>
          <w:szCs w:val="22"/>
        </w:rPr>
        <w:t>),</w:t>
      </w:r>
    </w:p>
    <w:p w14:paraId="4300ADDF" w14:textId="2329BB82" w:rsidR="00F96B69" w:rsidRPr="00F40707" w:rsidRDefault="00F96B69" w:rsidP="00F40707">
      <w:pPr>
        <w:pStyle w:val="Akapitzlist"/>
        <w:tabs>
          <w:tab w:val="left" w:pos="284"/>
        </w:tabs>
        <w:spacing w:after="240" w:line="240" w:lineRule="exact"/>
        <w:ind w:left="714"/>
        <w:contextualSpacing w:val="0"/>
        <w:jc w:val="both"/>
        <w:rPr>
          <w:rFonts w:ascii="Lato" w:hAnsi="Lato" w:cs="Arial"/>
          <w:bCs/>
          <w:spacing w:val="4"/>
          <w:sz w:val="22"/>
          <w:szCs w:val="22"/>
        </w:rPr>
      </w:pPr>
      <w:r w:rsidRPr="00451D95">
        <w:rPr>
          <w:rFonts w:ascii="Lato" w:hAnsi="Lato" w:cs="Arial"/>
          <w:bCs/>
          <w:spacing w:val="4"/>
          <w:sz w:val="22"/>
          <w:szCs w:val="22"/>
        </w:rPr>
        <w:t>Tabela Nr 10 – Wykaz działek stanowiących drogi publiczne podlegające zajęciu na rzecz CPK Sp. z o.o.”,</w:t>
      </w:r>
    </w:p>
    <w:p w14:paraId="4B4074BB" w14:textId="67D7A4A5" w:rsidR="00094D4D" w:rsidRPr="00451D95" w:rsidRDefault="0044375C" w:rsidP="00F40707">
      <w:pPr>
        <w:pStyle w:val="Akapitzlist"/>
        <w:numPr>
          <w:ilvl w:val="0"/>
          <w:numId w:val="2"/>
        </w:numPr>
        <w:spacing w:after="240" w:line="240" w:lineRule="exact"/>
        <w:ind w:left="709" w:hanging="283"/>
        <w:contextualSpacing w:val="0"/>
        <w:jc w:val="both"/>
        <w:rPr>
          <w:rFonts w:ascii="Lato" w:hAnsi="Lato" w:cs="Arial"/>
          <w:bCs/>
          <w:spacing w:val="4"/>
          <w:sz w:val="22"/>
          <w:szCs w:val="22"/>
        </w:rPr>
      </w:pPr>
      <w:r w:rsidRPr="00451D95">
        <w:rPr>
          <w:rFonts w:ascii="Lato" w:hAnsi="Lato" w:cs="Arial"/>
          <w:bCs/>
          <w:spacing w:val="4"/>
          <w:sz w:val="22"/>
          <w:szCs w:val="22"/>
        </w:rPr>
        <w:t xml:space="preserve">ustalenie, w rozstrzygnięciu zaskarżonej decyzji, w miejsce uchylenia, w tabeli </w:t>
      </w:r>
      <w:r w:rsidRPr="00451D95">
        <w:rPr>
          <w:rFonts w:ascii="Lato" w:hAnsi="Lato" w:cs="Arial"/>
          <w:bCs/>
          <w:spacing w:val="4"/>
          <w:sz w:val="22"/>
          <w:szCs w:val="22"/>
        </w:rPr>
        <w:br/>
      </w:r>
      <w:r w:rsidR="00094D4D" w:rsidRPr="00451D95">
        <w:rPr>
          <w:rFonts w:ascii="Lato" w:hAnsi="Lato" w:cs="Arial"/>
          <w:bCs/>
          <w:spacing w:val="4"/>
          <w:sz w:val="22"/>
          <w:szCs w:val="22"/>
        </w:rPr>
        <w:t>n</w:t>
      </w:r>
      <w:r w:rsidRPr="00451D95">
        <w:rPr>
          <w:rFonts w:ascii="Lato" w:hAnsi="Lato" w:cs="Arial"/>
          <w:bCs/>
          <w:spacing w:val="4"/>
          <w:sz w:val="22"/>
          <w:szCs w:val="22"/>
        </w:rPr>
        <w:t>r 10, znajdującej się w pkt XI.</w:t>
      </w:r>
      <w:r w:rsidR="0010301E" w:rsidRPr="00451D95">
        <w:rPr>
          <w:rFonts w:ascii="Lato" w:hAnsi="Lato" w:cs="Arial"/>
          <w:bCs/>
          <w:spacing w:val="4"/>
          <w:sz w:val="22"/>
          <w:szCs w:val="22"/>
        </w:rPr>
        <w:t>2</w:t>
      </w:r>
      <w:r w:rsidR="00094D4D" w:rsidRPr="00451D95">
        <w:rPr>
          <w:rFonts w:ascii="Lato" w:hAnsi="Lato" w:cs="Arial"/>
          <w:bCs/>
          <w:spacing w:val="4"/>
          <w:sz w:val="22"/>
          <w:szCs w:val="22"/>
        </w:rPr>
        <w:t>:</w:t>
      </w:r>
    </w:p>
    <w:p w14:paraId="2340D896" w14:textId="6B754F52" w:rsidR="00094D4D" w:rsidRPr="00451D95" w:rsidRDefault="00094D4D" w:rsidP="00F40707">
      <w:pPr>
        <w:pStyle w:val="Akapitzlist"/>
        <w:numPr>
          <w:ilvl w:val="0"/>
          <w:numId w:val="28"/>
        </w:numPr>
        <w:ind w:left="993" w:hanging="284"/>
        <w:contextualSpacing w:val="0"/>
        <w:jc w:val="both"/>
        <w:rPr>
          <w:rFonts w:ascii="Lato" w:hAnsi="Lato" w:cs="Arial"/>
          <w:bCs/>
          <w:spacing w:val="4"/>
          <w:sz w:val="22"/>
          <w:szCs w:val="22"/>
        </w:rPr>
      </w:pPr>
      <w:r w:rsidRPr="00451D95">
        <w:rPr>
          <w:rFonts w:ascii="Lato" w:hAnsi="Lato" w:cs="Arial"/>
          <w:bCs/>
          <w:spacing w:val="4"/>
          <w:sz w:val="22"/>
          <w:szCs w:val="22"/>
        </w:rPr>
        <w:t>na stron</w:t>
      </w:r>
      <w:r w:rsidR="00451D95">
        <w:rPr>
          <w:rFonts w:ascii="Lato" w:hAnsi="Lato" w:cs="Arial"/>
          <w:bCs/>
          <w:spacing w:val="4"/>
          <w:sz w:val="22"/>
          <w:szCs w:val="22"/>
        </w:rPr>
        <w:t>ach</w:t>
      </w:r>
      <w:r w:rsidRPr="00451D95">
        <w:rPr>
          <w:rFonts w:ascii="Lato" w:hAnsi="Lato" w:cs="Arial"/>
          <w:bCs/>
          <w:spacing w:val="4"/>
          <w:sz w:val="22"/>
          <w:szCs w:val="22"/>
        </w:rPr>
        <w:t xml:space="preserve"> 149</w:t>
      </w:r>
      <w:r w:rsidR="00451D95">
        <w:rPr>
          <w:rFonts w:ascii="Lato" w:hAnsi="Lato" w:cs="Arial"/>
          <w:bCs/>
          <w:spacing w:val="4"/>
          <w:sz w:val="22"/>
          <w:szCs w:val="22"/>
        </w:rPr>
        <w:t xml:space="preserve"> i 150</w:t>
      </w:r>
      <w:r w:rsidRPr="00451D95">
        <w:rPr>
          <w:rFonts w:ascii="Lato" w:hAnsi="Lato" w:cs="Arial"/>
          <w:bCs/>
          <w:spacing w:val="4"/>
          <w:sz w:val="22"/>
          <w:szCs w:val="22"/>
        </w:rPr>
        <w:t xml:space="preserve"> zapisu stanowiącego nową treść kolumny nr 6 tabeli:</w:t>
      </w:r>
    </w:p>
    <w:p w14:paraId="75D5D815" w14:textId="0EDD5C98" w:rsidR="00094D4D" w:rsidRPr="00451D95" w:rsidRDefault="00D32B1B" w:rsidP="00F40707">
      <w:pPr>
        <w:pStyle w:val="Akapitzlist"/>
        <w:ind w:left="851"/>
        <w:contextualSpacing w:val="0"/>
        <w:jc w:val="both"/>
        <w:rPr>
          <w:rFonts w:ascii="Lato" w:hAnsi="Lato" w:cs="Arial"/>
          <w:bCs/>
          <w:spacing w:val="4"/>
          <w:sz w:val="22"/>
          <w:szCs w:val="22"/>
        </w:rPr>
      </w:pPr>
      <w:r w:rsidRPr="00F40707">
        <w:rPr>
          <w:rFonts w:ascii="Lato" w:hAnsi="Lato" w:cs="Arial"/>
          <w:bCs/>
          <w:spacing w:val="4"/>
          <w:sz w:val="22"/>
          <w:szCs w:val="22"/>
        </w:rPr>
        <w:t xml:space="preserve">  </w:t>
      </w:r>
      <w:r w:rsidR="00094D4D" w:rsidRPr="00451D95">
        <w:rPr>
          <w:rFonts w:ascii="Lato" w:hAnsi="Lato" w:cs="Arial"/>
          <w:bCs/>
          <w:spacing w:val="4"/>
          <w:sz w:val="22"/>
          <w:szCs w:val="22"/>
        </w:rPr>
        <w:t>„</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4"/>
      </w:tblGrid>
      <w:tr w:rsidR="00094D4D" w:rsidRPr="00451D95" w14:paraId="26C0D1D1" w14:textId="77777777" w:rsidTr="00F40707">
        <w:trPr>
          <w:trHeight w:val="235"/>
        </w:trPr>
        <w:tc>
          <w:tcPr>
            <w:tcW w:w="6724" w:type="dxa"/>
          </w:tcPr>
          <w:p w14:paraId="72078D33" w14:textId="15F7092F" w:rsidR="00094D4D" w:rsidRPr="00F40707" w:rsidRDefault="00094D4D" w:rsidP="00F40707">
            <w:pPr>
              <w:pStyle w:val="Akapitzlist"/>
              <w:ind w:left="0"/>
              <w:contextualSpacing w:val="0"/>
              <w:jc w:val="both"/>
              <w:rPr>
                <w:rFonts w:ascii="Lato" w:hAnsi="Lato" w:cs="Arial"/>
                <w:b/>
                <w:spacing w:val="4"/>
                <w:sz w:val="22"/>
                <w:szCs w:val="22"/>
              </w:rPr>
            </w:pPr>
            <w:r w:rsidRPr="00F40707">
              <w:rPr>
                <w:rFonts w:ascii="Lato" w:hAnsi="Lato" w:cs="Arial"/>
                <w:b/>
                <w:spacing w:val="4"/>
                <w:sz w:val="22"/>
                <w:szCs w:val="22"/>
              </w:rPr>
              <w:t>Nr działki drogowej podlegającej zajęciu na rzecz CPK Sp. z o.o.</w:t>
            </w:r>
          </w:p>
        </w:tc>
      </w:tr>
    </w:tbl>
    <w:p w14:paraId="22F6CED3" w14:textId="2E250E88" w:rsidR="00094D4D" w:rsidRPr="00451D95" w:rsidRDefault="00094D4D" w:rsidP="00F40707">
      <w:pPr>
        <w:pStyle w:val="Akapitzlist"/>
        <w:ind w:left="851"/>
        <w:contextualSpacing w:val="0"/>
        <w:jc w:val="both"/>
        <w:rPr>
          <w:rFonts w:ascii="Lato" w:hAnsi="Lato" w:cs="Arial"/>
          <w:bCs/>
          <w:spacing w:val="4"/>
          <w:sz w:val="22"/>
          <w:szCs w:val="22"/>
        </w:rPr>
      </w:pPr>
      <w:r w:rsidRPr="00451D95">
        <w:rPr>
          <w:rFonts w:ascii="Lato" w:hAnsi="Lato" w:cs="Arial"/>
          <w:bCs/>
          <w:spacing w:val="4"/>
          <w:sz w:val="22"/>
          <w:szCs w:val="22"/>
        </w:rPr>
        <w:t xml:space="preserve">                                                                                                                 ”</w:t>
      </w:r>
    </w:p>
    <w:p w14:paraId="0C52D728" w14:textId="263A5BFB" w:rsidR="0044375C" w:rsidRPr="00451D95" w:rsidRDefault="0044375C" w:rsidP="00F40707">
      <w:pPr>
        <w:pStyle w:val="Akapitzlist"/>
        <w:numPr>
          <w:ilvl w:val="0"/>
          <w:numId w:val="2"/>
        </w:numPr>
        <w:spacing w:after="120" w:line="240" w:lineRule="exact"/>
        <w:ind w:left="993" w:hanging="284"/>
        <w:contextualSpacing w:val="0"/>
        <w:jc w:val="both"/>
        <w:rPr>
          <w:rFonts w:ascii="Lato" w:hAnsi="Lato" w:cs="Arial"/>
          <w:bCs/>
          <w:spacing w:val="4"/>
          <w:sz w:val="22"/>
          <w:szCs w:val="22"/>
        </w:rPr>
      </w:pPr>
      <w:r w:rsidRPr="00451D95">
        <w:rPr>
          <w:rFonts w:ascii="Lato" w:hAnsi="Lato" w:cs="Arial"/>
          <w:bCs/>
          <w:spacing w:val="4"/>
          <w:sz w:val="22"/>
          <w:szCs w:val="22"/>
        </w:rPr>
        <w:t>na stronie 150, zapisu</w:t>
      </w:r>
      <w:r w:rsidR="00094D4D" w:rsidRPr="00451D95">
        <w:rPr>
          <w:rFonts w:ascii="Lato" w:hAnsi="Lato" w:cs="Arial"/>
          <w:bCs/>
          <w:spacing w:val="4"/>
          <w:sz w:val="22"/>
          <w:szCs w:val="22"/>
        </w:rPr>
        <w:t xml:space="preserve"> stanowiącego nową treść pozycji nr 8 tabeli:</w:t>
      </w:r>
    </w:p>
    <w:p w14:paraId="1D844A01" w14:textId="5259ABC1" w:rsidR="0044375C" w:rsidRPr="00451D95" w:rsidRDefault="00F578F4" w:rsidP="0044375C">
      <w:pPr>
        <w:suppressAutoHyphens/>
        <w:ind w:left="567"/>
        <w:jc w:val="both"/>
        <w:rPr>
          <w:rFonts w:ascii="Lato" w:hAnsi="Lato" w:cs="Arial"/>
          <w:spacing w:val="4"/>
          <w:sz w:val="22"/>
          <w:szCs w:val="22"/>
          <w:lang w:eastAsia="zh-CN"/>
        </w:rPr>
      </w:pPr>
      <w:r w:rsidRPr="00451D95">
        <w:rPr>
          <w:rFonts w:ascii="Lato" w:hAnsi="Lato" w:cs="Arial"/>
          <w:spacing w:val="4"/>
          <w:sz w:val="22"/>
          <w:szCs w:val="22"/>
          <w:lang w:eastAsia="zh-CN"/>
        </w:rPr>
        <w:t xml:space="preserve">     </w:t>
      </w:r>
      <w:r w:rsidR="00D32B1B" w:rsidRPr="00F40707">
        <w:rPr>
          <w:rFonts w:ascii="Lato" w:hAnsi="Lato" w:cs="Arial"/>
          <w:spacing w:val="4"/>
          <w:sz w:val="22"/>
          <w:szCs w:val="22"/>
          <w:lang w:eastAsia="zh-CN"/>
        </w:rPr>
        <w:t xml:space="preserve">  </w:t>
      </w:r>
      <w:r w:rsidR="0044375C" w:rsidRPr="00451D95">
        <w:rPr>
          <w:rFonts w:ascii="Lato" w:hAnsi="Lato" w:cs="Arial"/>
          <w:spacing w:val="4"/>
          <w:sz w:val="22"/>
          <w:szCs w:val="22"/>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
        <w:gridCol w:w="1276"/>
        <w:gridCol w:w="851"/>
        <w:gridCol w:w="992"/>
        <w:gridCol w:w="425"/>
        <w:gridCol w:w="425"/>
        <w:gridCol w:w="3686"/>
      </w:tblGrid>
      <w:tr w:rsidR="00451D95" w:rsidRPr="00DD40FC" w14:paraId="31EF76A6" w14:textId="77777777" w:rsidTr="00451D95">
        <w:trPr>
          <w:trHeight w:val="305"/>
        </w:trPr>
        <w:tc>
          <w:tcPr>
            <w:tcW w:w="1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7C367" w14:textId="1C4A2207" w:rsidR="0044375C" w:rsidRPr="00451D95" w:rsidRDefault="0044375C" w:rsidP="00DB228A">
            <w:pPr>
              <w:widowControl w:val="0"/>
              <w:suppressAutoHyphens/>
              <w:spacing w:line="240" w:lineRule="exact"/>
              <w:jc w:val="center"/>
              <w:rPr>
                <w:rFonts w:ascii="Lato" w:hAnsi="Lato" w:cs="Arial"/>
                <w:spacing w:val="4"/>
                <w:sz w:val="22"/>
                <w:szCs w:val="22"/>
                <w:lang w:eastAsia="zh-CN" w:bidi="pl-PL"/>
              </w:rPr>
            </w:pPr>
            <w:r w:rsidRPr="00451D95">
              <w:rPr>
                <w:rFonts w:ascii="Lato" w:hAnsi="Lato" w:cs="Arial"/>
                <w:spacing w:val="4"/>
                <w:sz w:val="22"/>
                <w:szCs w:val="22"/>
                <w:lang w:eastAsia="zh-CN" w:bidi="pl-PL"/>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B04BB7" w14:textId="7FE96694" w:rsidR="0044375C" w:rsidRPr="00451D95" w:rsidRDefault="0044375C" w:rsidP="00DB228A">
            <w:pPr>
              <w:widowControl w:val="0"/>
              <w:suppressAutoHyphens/>
              <w:spacing w:line="240" w:lineRule="exact"/>
              <w:jc w:val="center"/>
              <w:rPr>
                <w:rFonts w:ascii="Lato" w:hAnsi="Lato" w:cs="Arial"/>
                <w:spacing w:val="4"/>
                <w:sz w:val="22"/>
                <w:szCs w:val="22"/>
                <w:lang w:eastAsia="zh-CN" w:bidi="pl-PL"/>
              </w:rPr>
            </w:pPr>
            <w:r w:rsidRPr="00451D95">
              <w:rPr>
                <w:rFonts w:ascii="Lato" w:hAnsi="Lato" w:cs="Arial"/>
                <w:spacing w:val="4"/>
                <w:sz w:val="22"/>
                <w:szCs w:val="22"/>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7558AB7" w14:textId="4A6A814B" w:rsidR="0044375C" w:rsidRPr="00451D95" w:rsidRDefault="0044375C" w:rsidP="00DB228A">
            <w:pPr>
              <w:widowControl w:val="0"/>
              <w:suppressAutoHyphens/>
              <w:spacing w:line="240" w:lineRule="exact"/>
              <w:jc w:val="center"/>
              <w:rPr>
                <w:rFonts w:ascii="Lato" w:hAnsi="Lato" w:cs="Arial"/>
                <w:spacing w:val="4"/>
                <w:sz w:val="22"/>
                <w:szCs w:val="22"/>
                <w:lang w:eastAsia="zh-CN" w:bidi="pl-PL"/>
              </w:rPr>
            </w:pPr>
            <w:r w:rsidRPr="00451D95">
              <w:rPr>
                <w:rFonts w:ascii="Lato" w:hAnsi="Lato" w:cs="Arial"/>
                <w:spacing w:val="4"/>
                <w:sz w:val="22"/>
                <w:szCs w:val="22"/>
                <w:lang w:eastAsia="zh-CN" w:bidi="pl-PL"/>
              </w:rPr>
              <w:t>Wiskitki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7B76326" w14:textId="055765D8" w:rsidR="0044375C" w:rsidRPr="00451D95" w:rsidRDefault="0044375C" w:rsidP="00DB228A">
            <w:pPr>
              <w:widowControl w:val="0"/>
              <w:suppressAutoHyphens/>
              <w:spacing w:line="240" w:lineRule="exact"/>
              <w:jc w:val="center"/>
              <w:rPr>
                <w:rFonts w:ascii="Lato" w:hAnsi="Lato" w:cs="Arial"/>
                <w:spacing w:val="4"/>
                <w:sz w:val="22"/>
                <w:szCs w:val="22"/>
                <w:lang w:eastAsia="zh-CN" w:bidi="pl-PL"/>
              </w:rPr>
            </w:pPr>
            <w:r w:rsidRPr="00451D95">
              <w:rPr>
                <w:rFonts w:ascii="Lato" w:hAnsi="Lato" w:cs="Arial"/>
                <w:spacing w:val="4"/>
                <w:sz w:val="22"/>
                <w:szCs w:val="22"/>
                <w:lang w:eastAsia="zh-CN" w:bidi="pl-PL"/>
              </w:rPr>
              <w:t>0010 Guzów</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01638C63" w14:textId="2B2BD4E8" w:rsidR="0044375C" w:rsidRPr="00451D95" w:rsidRDefault="0044375C" w:rsidP="00DB228A">
            <w:pPr>
              <w:widowControl w:val="0"/>
              <w:suppressAutoHyphens/>
              <w:spacing w:line="240" w:lineRule="exact"/>
              <w:jc w:val="center"/>
              <w:rPr>
                <w:rFonts w:ascii="Lato" w:hAnsi="Lato" w:cs="Arial"/>
                <w:spacing w:val="4"/>
                <w:sz w:val="22"/>
                <w:szCs w:val="22"/>
                <w:lang w:eastAsia="zh-CN" w:bidi="pl-PL"/>
              </w:rPr>
            </w:pPr>
            <w:r w:rsidRPr="00451D95">
              <w:rPr>
                <w:rFonts w:ascii="Lato" w:hAnsi="Lato" w:cs="Arial"/>
                <w:spacing w:val="4"/>
                <w:sz w:val="22"/>
                <w:szCs w:val="22"/>
                <w:lang w:eastAsia="zh-CN" w:bidi="pl-PL"/>
              </w:rPr>
              <w:t>30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630D74CD" w14:textId="7545F34F" w:rsidR="0044375C" w:rsidRPr="00451D95" w:rsidRDefault="0044375C" w:rsidP="00DB228A">
            <w:pPr>
              <w:widowControl w:val="0"/>
              <w:suppressAutoHyphens/>
              <w:spacing w:line="240" w:lineRule="exact"/>
              <w:jc w:val="center"/>
              <w:rPr>
                <w:rFonts w:ascii="Lato" w:hAnsi="Lato" w:cs="Arial"/>
                <w:b/>
                <w:bCs/>
                <w:spacing w:val="4"/>
                <w:sz w:val="22"/>
                <w:szCs w:val="22"/>
                <w:lang w:eastAsia="zh-CN" w:bidi="pl-PL"/>
              </w:rPr>
            </w:pPr>
            <w:r w:rsidRPr="00451D95">
              <w:rPr>
                <w:rFonts w:ascii="Lato" w:hAnsi="Lato" w:cs="Arial"/>
                <w:b/>
                <w:bCs/>
                <w:spacing w:val="4"/>
                <w:sz w:val="22"/>
                <w:szCs w:val="22"/>
                <w:lang w:eastAsia="zh-CN" w:bidi="pl-PL"/>
              </w:rPr>
              <w:t>30</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6B737" w14:textId="77ABAA3F" w:rsidR="0044375C" w:rsidRPr="00451D95" w:rsidRDefault="0044375C" w:rsidP="00F40707">
            <w:pPr>
              <w:widowControl w:val="0"/>
              <w:suppressAutoHyphens/>
              <w:spacing w:line="240" w:lineRule="exact"/>
              <w:ind w:left="-7" w:firstLine="7"/>
              <w:rPr>
                <w:rFonts w:ascii="Lato" w:hAnsi="Lato" w:cs="Arial"/>
                <w:spacing w:val="4"/>
                <w:sz w:val="22"/>
                <w:szCs w:val="22"/>
                <w:lang w:eastAsia="zh-CN" w:bidi="pl-PL"/>
              </w:rPr>
            </w:pPr>
            <w:r w:rsidRPr="00451D95">
              <w:rPr>
                <w:rFonts w:ascii="Lato" w:hAnsi="Lato" w:cs="Arial"/>
                <w:spacing w:val="4"/>
                <w:sz w:val="22"/>
                <w:szCs w:val="22"/>
                <w:lang w:eastAsia="zh-CN" w:bidi="pl-PL"/>
              </w:rPr>
              <w:t>Wejście w teren w celu wybudowania wiaduktu kolejowego nad DK</w:t>
            </w:r>
            <w:r w:rsidR="00094D4D" w:rsidRPr="00F40707">
              <w:rPr>
                <w:rFonts w:ascii="Lato" w:hAnsi="Lato" w:cs="Arial"/>
                <w:spacing w:val="4"/>
                <w:sz w:val="22"/>
                <w:szCs w:val="22"/>
                <w:lang w:eastAsia="zh-CN" w:bidi="pl-PL"/>
              </w:rPr>
              <w:t xml:space="preserve"> </w:t>
            </w:r>
            <w:r w:rsidRPr="00451D95">
              <w:rPr>
                <w:rFonts w:ascii="Lato" w:hAnsi="Lato" w:cs="Arial"/>
                <w:spacing w:val="4"/>
                <w:sz w:val="22"/>
                <w:szCs w:val="22"/>
                <w:lang w:eastAsia="zh-CN" w:bidi="pl-PL"/>
              </w:rPr>
              <w:t>50.</w:t>
            </w:r>
          </w:p>
        </w:tc>
      </w:tr>
    </w:tbl>
    <w:p w14:paraId="78866E95" w14:textId="5E272616" w:rsidR="00F578F4" w:rsidRPr="00F40707" w:rsidRDefault="0044375C" w:rsidP="00F40707">
      <w:pPr>
        <w:pStyle w:val="Akapitzlist"/>
        <w:suppressAutoHyphens/>
        <w:spacing w:after="240" w:line="240" w:lineRule="exact"/>
        <w:ind w:left="113" w:firstLine="7683"/>
        <w:contextualSpacing w:val="0"/>
        <w:jc w:val="both"/>
        <w:rPr>
          <w:rFonts w:ascii="Lato" w:hAnsi="Lato" w:cs="Arial"/>
          <w:spacing w:val="4"/>
          <w:sz w:val="22"/>
          <w:szCs w:val="22"/>
          <w:lang w:eastAsia="zh-CN"/>
        </w:rPr>
      </w:pPr>
      <w:r w:rsidRPr="00DD40FC">
        <w:rPr>
          <w:rFonts w:ascii="Lato" w:hAnsi="Lato" w:cs="Arial"/>
          <w:spacing w:val="4"/>
          <w:sz w:val="22"/>
          <w:szCs w:val="22"/>
          <w:lang w:eastAsia="zh-CN"/>
        </w:rPr>
        <w:t xml:space="preserve">               ”</w:t>
      </w:r>
    </w:p>
    <w:p w14:paraId="41050DDB" w14:textId="4519E50B" w:rsidR="00F578F4" w:rsidRPr="005F12E6" w:rsidRDefault="00F578F4" w:rsidP="00F578F4">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5F12E6">
        <w:rPr>
          <w:rFonts w:ascii="Lato" w:hAnsi="Lato" w:cs="Arial"/>
          <w:bCs/>
          <w:spacing w:val="4"/>
          <w:sz w:val="22"/>
          <w:szCs w:val="22"/>
        </w:rPr>
        <w:t xml:space="preserve">ustalenie, w rozstrzygnięciu zaskarżonej decyzji, </w:t>
      </w:r>
      <w:r w:rsidR="00E80DE0" w:rsidRPr="005F12E6">
        <w:rPr>
          <w:rFonts w:ascii="Lato" w:hAnsi="Lato" w:cs="Arial"/>
          <w:bCs/>
          <w:spacing w:val="4"/>
          <w:sz w:val="22"/>
          <w:szCs w:val="22"/>
        </w:rPr>
        <w:t xml:space="preserve">w miejsce uchylenia, </w:t>
      </w:r>
      <w:r w:rsidRPr="005F12E6">
        <w:rPr>
          <w:rFonts w:ascii="Lato" w:hAnsi="Lato" w:cs="Arial"/>
          <w:bCs/>
          <w:spacing w:val="4"/>
          <w:sz w:val="22"/>
          <w:szCs w:val="22"/>
        </w:rPr>
        <w:t>na stronie 150, w wierszach 2</w:t>
      </w:r>
      <w:r w:rsidR="007F2FB9" w:rsidRPr="005F12E6">
        <w:rPr>
          <w:rFonts w:ascii="Lato" w:hAnsi="Lato" w:cs="Arial"/>
          <w:bCs/>
          <w:spacing w:val="4"/>
          <w:sz w:val="22"/>
          <w:szCs w:val="22"/>
        </w:rPr>
        <w:t>1</w:t>
      </w:r>
      <w:r w:rsidRPr="005F12E6">
        <w:rPr>
          <w:rFonts w:ascii="Lato" w:hAnsi="Lato" w:cs="Arial"/>
          <w:bCs/>
          <w:spacing w:val="4"/>
          <w:sz w:val="22"/>
          <w:szCs w:val="22"/>
        </w:rPr>
        <w:t xml:space="preserve">-26, licząc od dołu strony, </w:t>
      </w:r>
      <w:r w:rsidR="00BE38DD" w:rsidRPr="005F12E6">
        <w:rPr>
          <w:rFonts w:ascii="Lato" w:hAnsi="Lato" w:cs="Arial"/>
          <w:bCs/>
          <w:spacing w:val="4"/>
          <w:sz w:val="22"/>
          <w:szCs w:val="22"/>
        </w:rPr>
        <w:t xml:space="preserve">nowego </w:t>
      </w:r>
      <w:r w:rsidRPr="005F12E6">
        <w:rPr>
          <w:rFonts w:ascii="Lato" w:hAnsi="Lato" w:cs="Arial"/>
          <w:bCs/>
          <w:spacing w:val="4"/>
          <w:sz w:val="22"/>
          <w:szCs w:val="22"/>
        </w:rPr>
        <w:t>zapis</w:t>
      </w:r>
      <w:r w:rsidR="00BE38DD" w:rsidRPr="005F12E6">
        <w:rPr>
          <w:rFonts w:ascii="Lato" w:hAnsi="Lato" w:cs="Arial"/>
          <w:bCs/>
          <w:spacing w:val="4"/>
          <w:sz w:val="22"/>
          <w:szCs w:val="22"/>
        </w:rPr>
        <w:t>u</w:t>
      </w:r>
      <w:r w:rsidRPr="005F12E6">
        <w:rPr>
          <w:rFonts w:ascii="Lato" w:hAnsi="Lato" w:cs="Arial"/>
          <w:bCs/>
          <w:spacing w:val="4"/>
          <w:sz w:val="22"/>
          <w:szCs w:val="22"/>
        </w:rPr>
        <w:t>:</w:t>
      </w:r>
    </w:p>
    <w:p w14:paraId="5C645A86" w14:textId="0E22C6EF" w:rsidR="00BE38DD" w:rsidRPr="007F2FB9" w:rsidRDefault="00F578F4" w:rsidP="007F2FB9">
      <w:pPr>
        <w:pStyle w:val="Akapitzlist"/>
        <w:tabs>
          <w:tab w:val="left" w:pos="426"/>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 xml:space="preserve">„W Tabeli Nr 11 wskazano działki </w:t>
      </w:r>
      <w:r w:rsidR="007F2FB9" w:rsidRPr="007F2FB9">
        <w:rPr>
          <w:rFonts w:ascii="Lato" w:hAnsi="Lato" w:cs="Arial"/>
          <w:bCs/>
          <w:spacing w:val="4"/>
          <w:sz w:val="22"/>
          <w:szCs w:val="22"/>
        </w:rPr>
        <w:t>(wyróżni</w:t>
      </w:r>
      <w:r w:rsidR="007F2FB9">
        <w:rPr>
          <w:rFonts w:ascii="Lato" w:hAnsi="Lato" w:cs="Arial"/>
          <w:bCs/>
          <w:spacing w:val="4"/>
          <w:sz w:val="22"/>
          <w:szCs w:val="22"/>
        </w:rPr>
        <w:t>one</w:t>
      </w:r>
      <w:r w:rsidR="007F2FB9" w:rsidRPr="007F2FB9">
        <w:rPr>
          <w:rFonts w:ascii="Lato" w:hAnsi="Lato" w:cs="Arial"/>
          <w:bCs/>
          <w:spacing w:val="4"/>
          <w:sz w:val="22"/>
          <w:szCs w:val="22"/>
        </w:rPr>
        <w:t xml:space="preserve"> </w:t>
      </w:r>
      <w:r w:rsidR="007F2FB9" w:rsidRPr="007F2FB9">
        <w:rPr>
          <w:rFonts w:ascii="Lato" w:hAnsi="Lato" w:cs="Arial"/>
          <w:b/>
          <w:bCs/>
          <w:spacing w:val="4"/>
          <w:sz w:val="22"/>
          <w:szCs w:val="22"/>
        </w:rPr>
        <w:t>tłustym drukiem</w:t>
      </w:r>
      <w:r w:rsidR="007F2FB9" w:rsidRPr="007F2FB9">
        <w:rPr>
          <w:rFonts w:ascii="Lato" w:hAnsi="Lato" w:cs="Arial"/>
          <w:spacing w:val="4"/>
          <w:sz w:val="22"/>
          <w:szCs w:val="22"/>
        </w:rPr>
        <w:t xml:space="preserve">; </w:t>
      </w:r>
      <w:r w:rsidR="007F2FB9" w:rsidRPr="007F2FB9">
        <w:rPr>
          <w:rFonts w:ascii="Lato" w:hAnsi="Lato" w:cs="Arial"/>
          <w:bCs/>
          <w:spacing w:val="4"/>
          <w:sz w:val="22"/>
          <w:szCs w:val="22"/>
        </w:rPr>
        <w:t>w przypadku działek ulegających podziałowi w nawisie podano pierwotny numer działki)</w:t>
      </w:r>
      <w:r w:rsidR="007F2FB9">
        <w:rPr>
          <w:rFonts w:ascii="Lato" w:hAnsi="Lato" w:cs="Arial"/>
          <w:bCs/>
          <w:spacing w:val="4"/>
          <w:sz w:val="22"/>
          <w:szCs w:val="22"/>
        </w:rPr>
        <w:t xml:space="preserve"> </w:t>
      </w:r>
      <w:r w:rsidRPr="007F2FB9">
        <w:rPr>
          <w:rFonts w:ascii="Lato" w:hAnsi="Lato" w:cs="Arial"/>
          <w:bCs/>
          <w:spacing w:val="4"/>
          <w:sz w:val="22"/>
          <w:szCs w:val="22"/>
        </w:rPr>
        <w:t>będące własnością CPK Sp. z o.o., na których będą prowadzone prace na czas realizacji Inwestycji</w:t>
      </w:r>
      <w:r w:rsidR="007F2FB9" w:rsidRPr="007F2FB9">
        <w:rPr>
          <w:rFonts w:ascii="Lato" w:hAnsi="Lato" w:cs="Arial"/>
          <w:bCs/>
          <w:spacing w:val="4"/>
          <w:sz w:val="22"/>
          <w:szCs w:val="22"/>
        </w:rPr>
        <w:t xml:space="preserve"> – znajdujące się poza liniami rozgraniczającymi Inwestycji</w:t>
      </w:r>
      <w:r w:rsidR="00172F8F" w:rsidRPr="007F2FB9">
        <w:rPr>
          <w:rFonts w:ascii="Lato" w:hAnsi="Lato" w:cs="Arial"/>
          <w:spacing w:val="4"/>
          <w:sz w:val="22"/>
          <w:szCs w:val="22"/>
        </w:rPr>
        <w:t>.</w:t>
      </w:r>
      <w:r w:rsidR="007F2FB9">
        <w:rPr>
          <w:rFonts w:ascii="Lato" w:hAnsi="Lato" w:cs="Arial"/>
          <w:spacing w:val="4"/>
          <w:sz w:val="22"/>
          <w:szCs w:val="22"/>
        </w:rPr>
        <w:t>”,</w:t>
      </w:r>
    </w:p>
    <w:p w14:paraId="646F4816" w14:textId="31A8C4AB" w:rsidR="005D56D9" w:rsidRPr="005F12E6" w:rsidRDefault="00172F8F" w:rsidP="007F2FB9">
      <w:pPr>
        <w:pStyle w:val="Akapitzlist"/>
        <w:numPr>
          <w:ilvl w:val="0"/>
          <w:numId w:val="2"/>
        </w:numPr>
        <w:spacing w:after="120" w:line="240" w:lineRule="exact"/>
        <w:ind w:left="714" w:hanging="357"/>
        <w:contextualSpacing w:val="0"/>
        <w:jc w:val="both"/>
        <w:rPr>
          <w:rFonts w:ascii="Lato" w:hAnsi="Lato" w:cs="Arial"/>
          <w:bCs/>
          <w:spacing w:val="4"/>
          <w:sz w:val="22"/>
          <w:szCs w:val="22"/>
        </w:rPr>
      </w:pPr>
      <w:r w:rsidRPr="005F12E6">
        <w:rPr>
          <w:rFonts w:ascii="Lato" w:hAnsi="Lato" w:cs="Arial"/>
          <w:bCs/>
          <w:spacing w:val="4"/>
          <w:sz w:val="22"/>
          <w:szCs w:val="22"/>
        </w:rPr>
        <w:t xml:space="preserve">ustalenie, w rozstrzygnięciu zaskarżonej decyzji, w miejsce uchylenia, w pkt XII </w:t>
      </w:r>
      <w:r w:rsidR="007F2FB9" w:rsidRPr="005F12E6">
        <w:rPr>
          <w:rFonts w:ascii="Lato" w:hAnsi="Lato" w:cs="Arial"/>
          <w:bCs/>
          <w:spacing w:val="4"/>
          <w:sz w:val="22"/>
          <w:szCs w:val="22"/>
        </w:rPr>
        <w:br/>
      </w:r>
      <w:r w:rsidRPr="005F12E6">
        <w:rPr>
          <w:rFonts w:ascii="Lato" w:hAnsi="Lato" w:cs="Arial"/>
          <w:bCs/>
          <w:spacing w:val="4"/>
          <w:sz w:val="22"/>
          <w:szCs w:val="22"/>
        </w:rPr>
        <w:t>na stronach 150-152, zapisów stanowiących nową treść tabeli nr 11:</w:t>
      </w:r>
    </w:p>
    <w:p w14:paraId="655A7B4B" w14:textId="22D30465" w:rsidR="00115C1E" w:rsidRPr="00F40707" w:rsidRDefault="00115C1E" w:rsidP="00F40707">
      <w:pPr>
        <w:pStyle w:val="Akapitzlist"/>
        <w:jc w:val="both"/>
        <w:rPr>
          <w:rFonts w:ascii="Lato" w:hAnsi="Lato" w:cs="Arial"/>
          <w:bCs/>
          <w:spacing w:val="4"/>
          <w:sz w:val="22"/>
          <w:szCs w:val="22"/>
        </w:rPr>
      </w:pPr>
      <w:r w:rsidRPr="00897DA3">
        <w:rPr>
          <w:rFonts w:ascii="Lato" w:hAnsi="Lato" w:cs="Arial"/>
          <w:bCs/>
          <w:spacing w:val="4"/>
          <w:sz w:val="22"/>
          <w:szCs w:val="22"/>
        </w:rPr>
        <w:t>„</w:t>
      </w:r>
    </w:p>
    <w:tbl>
      <w:tblPr>
        <w:tblW w:w="808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4"/>
        <w:gridCol w:w="1276"/>
        <w:gridCol w:w="851"/>
        <w:gridCol w:w="2127"/>
        <w:gridCol w:w="3407"/>
      </w:tblGrid>
      <w:tr w:rsidR="0053620A" w:rsidRPr="00AF5D13" w14:paraId="184B0D4D" w14:textId="77777777" w:rsidTr="007F2FB9">
        <w:trPr>
          <w:trHeight w:val="1021"/>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76242" w14:textId="77777777" w:rsidR="0053620A" w:rsidRPr="00670ADE" w:rsidRDefault="0053620A" w:rsidP="00F40707">
            <w:pPr>
              <w:widowControl w:val="0"/>
              <w:suppressAutoHyphens/>
              <w:jc w:val="center"/>
              <w:rPr>
                <w:rFonts w:ascii="Lato" w:hAnsi="Lato" w:cs="Arial"/>
                <w:b/>
                <w:bCs/>
                <w:spacing w:val="4"/>
                <w:sz w:val="20"/>
                <w:szCs w:val="20"/>
                <w:lang w:eastAsia="zh-CN" w:bidi="pl-PL"/>
              </w:rPr>
            </w:pPr>
            <w:r w:rsidRPr="00670ADE">
              <w:rPr>
                <w:rFonts w:ascii="Lato" w:hAnsi="Lato" w:cs="Arial"/>
                <w:b/>
                <w:bCs/>
                <w:spacing w:val="4"/>
                <w:sz w:val="20"/>
                <w:szCs w:val="20"/>
                <w:lang w:eastAsia="zh-CN" w:bidi="pl-PL"/>
              </w:rPr>
              <w:t>Lp.</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E1393E" w14:textId="77777777" w:rsidR="0053620A" w:rsidRPr="00670ADE" w:rsidRDefault="0053620A" w:rsidP="00F40707">
            <w:pPr>
              <w:widowControl w:val="0"/>
              <w:suppressAutoHyphens/>
              <w:jc w:val="center"/>
              <w:rPr>
                <w:rFonts w:ascii="Lato" w:hAnsi="Lato" w:cs="Arial"/>
                <w:b/>
                <w:bCs/>
                <w:spacing w:val="4"/>
                <w:sz w:val="20"/>
                <w:szCs w:val="20"/>
                <w:lang w:eastAsia="zh-CN" w:bidi="pl-PL"/>
              </w:rPr>
            </w:pPr>
            <w:r w:rsidRPr="00670ADE">
              <w:rPr>
                <w:rFonts w:ascii="Lato" w:hAnsi="Lato" w:cs="Arial"/>
                <w:b/>
                <w:bCs/>
                <w:spacing w:val="4"/>
                <w:sz w:val="20"/>
                <w:szCs w:val="20"/>
                <w:lang w:eastAsia="zh-CN" w:bidi="pl-PL"/>
              </w:rPr>
              <w:t>Powiat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35DF35C" w14:textId="77777777" w:rsidR="0053620A" w:rsidRPr="00670ADE" w:rsidRDefault="0053620A" w:rsidP="00F40707">
            <w:pPr>
              <w:widowControl w:val="0"/>
              <w:suppressAutoHyphens/>
              <w:jc w:val="center"/>
              <w:rPr>
                <w:rFonts w:ascii="Lato" w:hAnsi="Lato" w:cs="Arial"/>
                <w:b/>
                <w:bCs/>
                <w:spacing w:val="4"/>
                <w:sz w:val="20"/>
                <w:szCs w:val="20"/>
                <w:lang w:eastAsia="zh-CN" w:bidi="pl-PL"/>
              </w:rPr>
            </w:pPr>
            <w:r w:rsidRPr="00670ADE">
              <w:rPr>
                <w:rFonts w:ascii="Lato" w:hAnsi="Lato" w:cs="Arial"/>
                <w:b/>
                <w:bCs/>
                <w:spacing w:val="4"/>
                <w:sz w:val="20"/>
                <w:szCs w:val="20"/>
                <w:lang w:eastAsia="zh-CN" w:bidi="pl-PL"/>
              </w:rPr>
              <w:t>Gmina</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64E09BA" w14:textId="77777777" w:rsidR="0053620A" w:rsidRPr="00670ADE" w:rsidRDefault="0053620A" w:rsidP="00F40707">
            <w:pPr>
              <w:widowControl w:val="0"/>
              <w:suppressAutoHyphens/>
              <w:rPr>
                <w:rFonts w:ascii="Lato" w:hAnsi="Lato" w:cs="Arial"/>
                <w:b/>
                <w:bCs/>
                <w:spacing w:val="4"/>
                <w:sz w:val="20"/>
                <w:szCs w:val="20"/>
                <w:lang w:eastAsia="zh-CN" w:bidi="pl-PL"/>
              </w:rPr>
            </w:pPr>
            <w:r w:rsidRPr="00670ADE">
              <w:rPr>
                <w:rFonts w:ascii="Lato" w:hAnsi="Lato" w:cs="Arial"/>
                <w:b/>
                <w:bCs/>
                <w:spacing w:val="4"/>
                <w:sz w:val="20"/>
                <w:szCs w:val="20"/>
                <w:lang w:eastAsia="zh-CN" w:bidi="pl-PL"/>
              </w:rPr>
              <w:t>Numer i nazwa obrębu</w:t>
            </w:r>
          </w:p>
        </w:tc>
        <w:tc>
          <w:tcPr>
            <w:tcW w:w="3407" w:type="dxa"/>
            <w:tcBorders>
              <w:top w:val="single" w:sz="4" w:space="0" w:color="auto"/>
              <w:left w:val="single" w:sz="4" w:space="0" w:color="auto"/>
              <w:bottom w:val="single" w:sz="4" w:space="0" w:color="auto"/>
            </w:tcBorders>
            <w:shd w:val="clear" w:color="auto" w:fill="FFFFFF"/>
            <w:vAlign w:val="center"/>
          </w:tcPr>
          <w:p w14:paraId="24E8C62E" w14:textId="0357E122" w:rsidR="0053620A" w:rsidRPr="00670ADE" w:rsidRDefault="0053620A" w:rsidP="007F2FB9">
            <w:pPr>
              <w:widowControl w:val="0"/>
              <w:suppressAutoHyphens/>
              <w:ind w:left="129"/>
              <w:rPr>
                <w:rFonts w:ascii="Lato" w:hAnsi="Lato" w:cs="Arial"/>
                <w:b/>
                <w:bCs/>
                <w:spacing w:val="4"/>
                <w:sz w:val="20"/>
                <w:szCs w:val="20"/>
                <w:lang w:eastAsia="zh-CN" w:bidi="pl-PL"/>
              </w:rPr>
            </w:pPr>
            <w:r w:rsidRPr="00670ADE">
              <w:rPr>
                <w:rFonts w:ascii="Lato" w:hAnsi="Lato" w:cs="Arial"/>
                <w:b/>
                <w:bCs/>
                <w:spacing w:val="4"/>
                <w:sz w:val="20"/>
                <w:szCs w:val="20"/>
                <w:lang w:eastAsia="zh-CN" w:bidi="pl-PL"/>
              </w:rPr>
              <w:t xml:space="preserve">Nr działki CPK Sp. z o.o. na której będą prowadzone prace na czas realizacji Inwestycji – poza liniami rozgraniczającymi Inwestycji </w:t>
            </w:r>
          </w:p>
        </w:tc>
      </w:tr>
      <w:tr w:rsidR="0053620A" w:rsidRPr="00AF5D13" w14:paraId="21A00C96" w14:textId="77777777" w:rsidTr="007F2FB9">
        <w:trPr>
          <w:trHeight w:val="412"/>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59579"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lastRenderedPageBreak/>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C3F54F"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DA6B3EF"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F51C8AA"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0001 Aleksandrów</w:t>
            </w:r>
          </w:p>
        </w:tc>
        <w:tc>
          <w:tcPr>
            <w:tcW w:w="3407" w:type="dxa"/>
            <w:tcBorders>
              <w:top w:val="single" w:sz="4" w:space="0" w:color="auto"/>
              <w:left w:val="single" w:sz="4" w:space="0" w:color="auto"/>
              <w:bottom w:val="single" w:sz="4" w:space="0" w:color="auto"/>
            </w:tcBorders>
            <w:shd w:val="clear" w:color="auto" w:fill="FFFFFF"/>
            <w:vAlign w:val="center"/>
          </w:tcPr>
          <w:p w14:paraId="0F723C21" w14:textId="0FB36EA2" w:rsidR="0053620A" w:rsidRPr="00670ADE" w:rsidRDefault="0053620A" w:rsidP="007F2FB9">
            <w:pPr>
              <w:jc w:val="center"/>
              <w:rPr>
                <w:rFonts w:ascii="Lato" w:hAnsi="Lato"/>
                <w:spacing w:val="4"/>
                <w:sz w:val="20"/>
                <w:szCs w:val="20"/>
              </w:rPr>
            </w:pPr>
            <w:r w:rsidRPr="00670ADE">
              <w:rPr>
                <w:rFonts w:ascii="Lato" w:hAnsi="Lato" w:cs="Arial"/>
                <w:b/>
                <w:bCs/>
                <w:spacing w:val="4"/>
                <w:sz w:val="20"/>
                <w:szCs w:val="20"/>
                <w:lang w:eastAsia="zh-CN" w:bidi="pl-PL"/>
              </w:rPr>
              <w:t xml:space="preserve">139/2 </w:t>
            </w:r>
            <w:r w:rsidRPr="00670ADE">
              <w:rPr>
                <w:rFonts w:ascii="Lato" w:hAnsi="Lato" w:cs="Arial"/>
                <w:spacing w:val="4"/>
                <w:sz w:val="20"/>
                <w:szCs w:val="20"/>
                <w:lang w:eastAsia="zh-CN" w:bidi="pl-PL"/>
              </w:rPr>
              <w:t>(139)</w:t>
            </w:r>
          </w:p>
        </w:tc>
      </w:tr>
      <w:tr w:rsidR="0053620A" w:rsidRPr="00DD40FC" w14:paraId="0C4BCB7F" w14:textId="77777777" w:rsidTr="0053620A">
        <w:trPr>
          <w:trHeight w:val="305"/>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406C5"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8A483AA"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A5BF144"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44395BE"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0001 Aleksandrów</w:t>
            </w:r>
          </w:p>
        </w:tc>
        <w:tc>
          <w:tcPr>
            <w:tcW w:w="3407" w:type="dxa"/>
            <w:tcBorders>
              <w:top w:val="single" w:sz="4" w:space="0" w:color="auto"/>
              <w:left w:val="single" w:sz="4" w:space="0" w:color="auto"/>
              <w:bottom w:val="single" w:sz="4" w:space="0" w:color="auto"/>
            </w:tcBorders>
            <w:shd w:val="clear" w:color="auto" w:fill="FFFFFF"/>
            <w:vAlign w:val="center"/>
          </w:tcPr>
          <w:p w14:paraId="01A80AA2" w14:textId="310B502C" w:rsidR="0053620A" w:rsidRPr="00670ADE" w:rsidRDefault="0053620A" w:rsidP="007F2FB9">
            <w:pPr>
              <w:jc w:val="center"/>
              <w:rPr>
                <w:rFonts w:ascii="Lato" w:hAnsi="Lato"/>
                <w:spacing w:val="4"/>
                <w:sz w:val="20"/>
                <w:szCs w:val="20"/>
              </w:rPr>
            </w:pPr>
            <w:r w:rsidRPr="00670ADE">
              <w:rPr>
                <w:rFonts w:ascii="Lato" w:hAnsi="Lato" w:cs="Arial"/>
                <w:b/>
                <w:bCs/>
                <w:spacing w:val="4"/>
                <w:sz w:val="20"/>
                <w:szCs w:val="20"/>
                <w:lang w:eastAsia="zh-CN" w:bidi="pl-PL"/>
              </w:rPr>
              <w:t xml:space="preserve">160/5 </w:t>
            </w:r>
            <w:r w:rsidRPr="00670ADE">
              <w:rPr>
                <w:rFonts w:ascii="Lato" w:hAnsi="Lato" w:cs="Arial"/>
                <w:spacing w:val="4"/>
                <w:sz w:val="20"/>
                <w:szCs w:val="20"/>
                <w:lang w:eastAsia="zh-CN" w:bidi="pl-PL"/>
              </w:rPr>
              <w:t>(160/3)</w:t>
            </w:r>
          </w:p>
        </w:tc>
      </w:tr>
      <w:tr w:rsidR="0053620A" w:rsidRPr="00DD40FC" w14:paraId="1D3086D9" w14:textId="77777777" w:rsidTr="007F2FB9">
        <w:trPr>
          <w:trHeight w:val="209"/>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49741"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BB6F15" w14:textId="77777777" w:rsidR="0053620A" w:rsidRPr="00670ADE" w:rsidRDefault="0053620A" w:rsidP="007F2FB9">
            <w:pPr>
              <w:widowControl w:val="0"/>
              <w:suppressAutoHyphens/>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0A143A2" w14:textId="77777777" w:rsidR="0053620A" w:rsidRPr="00670ADE" w:rsidRDefault="0053620A" w:rsidP="007F2FB9">
            <w:pPr>
              <w:widowControl w:val="0"/>
              <w:suppressAutoHyphens/>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5AC70DF" w14:textId="77777777" w:rsidR="0053620A" w:rsidRPr="00670ADE" w:rsidRDefault="0053620A" w:rsidP="007F2FB9">
            <w:pPr>
              <w:widowControl w:val="0"/>
              <w:suppressAutoHyphens/>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0001 Aleksandrów</w:t>
            </w:r>
          </w:p>
        </w:tc>
        <w:tc>
          <w:tcPr>
            <w:tcW w:w="3407" w:type="dxa"/>
            <w:tcBorders>
              <w:top w:val="single" w:sz="4" w:space="0" w:color="auto"/>
              <w:left w:val="single" w:sz="4" w:space="0" w:color="auto"/>
              <w:bottom w:val="single" w:sz="4" w:space="0" w:color="auto"/>
            </w:tcBorders>
            <w:shd w:val="clear" w:color="auto" w:fill="FFFFFF"/>
            <w:vAlign w:val="center"/>
          </w:tcPr>
          <w:p w14:paraId="348B26A0" w14:textId="4740723B" w:rsidR="0053620A" w:rsidRPr="00670ADE" w:rsidRDefault="0053620A" w:rsidP="007F2FB9">
            <w:pPr>
              <w:jc w:val="center"/>
              <w:rPr>
                <w:rFonts w:ascii="Lato" w:hAnsi="Lato"/>
                <w:spacing w:val="4"/>
                <w:sz w:val="20"/>
                <w:szCs w:val="20"/>
              </w:rPr>
            </w:pPr>
            <w:r w:rsidRPr="00670ADE">
              <w:rPr>
                <w:rFonts w:ascii="Lato" w:hAnsi="Lato" w:cs="Arial"/>
                <w:b/>
                <w:bCs/>
                <w:spacing w:val="4"/>
                <w:sz w:val="20"/>
                <w:szCs w:val="20"/>
                <w:lang w:eastAsia="zh-CN" w:bidi="pl-PL"/>
              </w:rPr>
              <w:t xml:space="preserve">168/5 </w:t>
            </w:r>
            <w:r w:rsidRPr="00670ADE">
              <w:rPr>
                <w:rFonts w:ascii="Lato" w:hAnsi="Lato" w:cs="Arial"/>
                <w:spacing w:val="4"/>
                <w:sz w:val="20"/>
                <w:szCs w:val="20"/>
                <w:lang w:eastAsia="zh-CN" w:bidi="pl-PL"/>
              </w:rPr>
              <w:t>(168/3)</w:t>
            </w:r>
          </w:p>
        </w:tc>
      </w:tr>
      <w:tr w:rsidR="0053620A" w:rsidRPr="00DD40FC" w14:paraId="1FA1182B" w14:textId="3FF26427" w:rsidTr="0053620A">
        <w:trPr>
          <w:trHeight w:val="305"/>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DAEB4"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E3D740"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3C5A45F"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03F8D22"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0022 Nowy Oryszew</w:t>
            </w:r>
          </w:p>
        </w:tc>
        <w:tc>
          <w:tcPr>
            <w:tcW w:w="3407" w:type="dxa"/>
            <w:tcBorders>
              <w:top w:val="single" w:sz="4" w:space="0" w:color="auto"/>
              <w:left w:val="single" w:sz="4" w:space="0" w:color="auto"/>
              <w:bottom w:val="single" w:sz="4" w:space="0" w:color="auto"/>
            </w:tcBorders>
            <w:shd w:val="clear" w:color="auto" w:fill="FFFFFF"/>
            <w:vAlign w:val="center"/>
          </w:tcPr>
          <w:p w14:paraId="50F8F140" w14:textId="1F81986F" w:rsidR="0053620A" w:rsidRPr="00670ADE" w:rsidRDefault="0053620A" w:rsidP="007F2FB9">
            <w:pPr>
              <w:jc w:val="center"/>
              <w:rPr>
                <w:rFonts w:ascii="Lato" w:hAnsi="Lato"/>
                <w:sz w:val="20"/>
                <w:szCs w:val="20"/>
              </w:rPr>
            </w:pPr>
            <w:r w:rsidRPr="00670ADE">
              <w:rPr>
                <w:rFonts w:ascii="Lato" w:hAnsi="Lato" w:cs="Arial"/>
                <w:b/>
                <w:bCs/>
                <w:spacing w:val="4"/>
                <w:sz w:val="20"/>
                <w:szCs w:val="20"/>
                <w:lang w:eastAsia="zh-CN" w:bidi="pl-PL"/>
              </w:rPr>
              <w:t>156</w:t>
            </w:r>
          </w:p>
        </w:tc>
      </w:tr>
      <w:tr w:rsidR="0053620A" w:rsidRPr="00DD40FC" w14:paraId="5A7B3F9F" w14:textId="682B6D52" w:rsidTr="0053620A">
        <w:trPr>
          <w:trHeight w:val="305"/>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107E44"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8D4D0"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3990ECC"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1D97CC7"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0022 Nowy Oryszew</w:t>
            </w:r>
          </w:p>
        </w:tc>
        <w:tc>
          <w:tcPr>
            <w:tcW w:w="3407" w:type="dxa"/>
            <w:tcBorders>
              <w:top w:val="single" w:sz="4" w:space="0" w:color="auto"/>
              <w:left w:val="single" w:sz="4" w:space="0" w:color="auto"/>
              <w:bottom w:val="single" w:sz="4" w:space="0" w:color="auto"/>
            </w:tcBorders>
            <w:shd w:val="clear" w:color="auto" w:fill="FFFFFF"/>
            <w:vAlign w:val="center"/>
          </w:tcPr>
          <w:p w14:paraId="650DDD12" w14:textId="61007DF5" w:rsidR="0053620A" w:rsidRPr="00670ADE" w:rsidRDefault="0053620A" w:rsidP="007F2FB9">
            <w:pPr>
              <w:jc w:val="center"/>
              <w:rPr>
                <w:rFonts w:ascii="Lato" w:hAnsi="Lato"/>
                <w:spacing w:val="4"/>
                <w:sz w:val="20"/>
                <w:szCs w:val="20"/>
              </w:rPr>
            </w:pPr>
            <w:r w:rsidRPr="00670ADE">
              <w:rPr>
                <w:rFonts w:ascii="Lato" w:hAnsi="Lato" w:cs="Arial"/>
                <w:b/>
                <w:bCs/>
                <w:spacing w:val="4"/>
                <w:sz w:val="20"/>
                <w:szCs w:val="20"/>
                <w:lang w:eastAsia="zh-CN" w:bidi="pl-PL"/>
              </w:rPr>
              <w:t xml:space="preserve">164/2 </w:t>
            </w:r>
            <w:r w:rsidRPr="00670ADE">
              <w:rPr>
                <w:rFonts w:ascii="Lato" w:hAnsi="Lato" w:cs="Arial"/>
                <w:spacing w:val="4"/>
                <w:sz w:val="20"/>
                <w:szCs w:val="20"/>
                <w:lang w:eastAsia="zh-CN" w:bidi="pl-PL"/>
              </w:rPr>
              <w:t>(164)</w:t>
            </w:r>
          </w:p>
        </w:tc>
      </w:tr>
      <w:tr w:rsidR="0053620A" w:rsidRPr="00DD40FC" w14:paraId="64197C02" w14:textId="1C75E4DA" w:rsidTr="0053620A">
        <w:trPr>
          <w:trHeight w:val="305"/>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61EA0"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C1AE6D"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E4D5E51"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92837A6"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0022 Nowy Oryszew</w:t>
            </w:r>
          </w:p>
        </w:tc>
        <w:tc>
          <w:tcPr>
            <w:tcW w:w="3407" w:type="dxa"/>
            <w:tcBorders>
              <w:top w:val="single" w:sz="4" w:space="0" w:color="auto"/>
              <w:left w:val="single" w:sz="4" w:space="0" w:color="auto"/>
              <w:bottom w:val="single" w:sz="4" w:space="0" w:color="auto"/>
            </w:tcBorders>
            <w:shd w:val="clear" w:color="auto" w:fill="FFFFFF"/>
            <w:vAlign w:val="center"/>
          </w:tcPr>
          <w:p w14:paraId="71D936CA" w14:textId="0F95DD62" w:rsidR="0053620A" w:rsidRPr="00670ADE" w:rsidRDefault="0053620A" w:rsidP="007F2FB9">
            <w:pPr>
              <w:jc w:val="center"/>
              <w:rPr>
                <w:rFonts w:ascii="Lato" w:hAnsi="Lato"/>
                <w:spacing w:val="4"/>
                <w:sz w:val="20"/>
                <w:szCs w:val="20"/>
              </w:rPr>
            </w:pPr>
            <w:r w:rsidRPr="00670ADE">
              <w:rPr>
                <w:rFonts w:ascii="Lato" w:hAnsi="Lato" w:cs="Arial"/>
                <w:b/>
                <w:bCs/>
                <w:spacing w:val="4"/>
                <w:sz w:val="20"/>
                <w:szCs w:val="20"/>
                <w:lang w:eastAsia="zh-CN" w:bidi="pl-PL"/>
              </w:rPr>
              <w:t xml:space="preserve">113/12 </w:t>
            </w:r>
            <w:r w:rsidRPr="00670ADE">
              <w:rPr>
                <w:rFonts w:ascii="Lato" w:hAnsi="Lato" w:cs="Arial"/>
                <w:spacing w:val="4"/>
                <w:sz w:val="20"/>
                <w:szCs w:val="20"/>
                <w:lang w:eastAsia="zh-CN" w:bidi="pl-PL"/>
              </w:rPr>
              <w:t>(113/4)</w:t>
            </w:r>
          </w:p>
        </w:tc>
      </w:tr>
      <w:tr w:rsidR="0053620A" w:rsidRPr="00DD40FC" w14:paraId="0B5EE572" w14:textId="6EA4254B" w:rsidTr="007F2FB9">
        <w:trPr>
          <w:trHeight w:val="230"/>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A99C8"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EA78E1"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E2C26CE"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ED98939" w14:textId="77777777" w:rsidR="0053620A" w:rsidRPr="00670ADE" w:rsidRDefault="0053620A" w:rsidP="00C71436">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0022 Nowy Oryszew</w:t>
            </w:r>
          </w:p>
        </w:tc>
        <w:tc>
          <w:tcPr>
            <w:tcW w:w="3407" w:type="dxa"/>
            <w:tcBorders>
              <w:top w:val="single" w:sz="4" w:space="0" w:color="auto"/>
              <w:left w:val="single" w:sz="4" w:space="0" w:color="auto"/>
              <w:bottom w:val="single" w:sz="4" w:space="0" w:color="auto"/>
            </w:tcBorders>
            <w:shd w:val="clear" w:color="auto" w:fill="FFFFFF"/>
            <w:vAlign w:val="center"/>
          </w:tcPr>
          <w:p w14:paraId="2A379DD1" w14:textId="7E74D4CA" w:rsidR="0053620A" w:rsidRPr="00670ADE" w:rsidRDefault="0053620A" w:rsidP="007F2FB9">
            <w:pPr>
              <w:widowControl w:val="0"/>
              <w:suppressAutoHyphens/>
              <w:spacing w:line="240" w:lineRule="exact"/>
              <w:jc w:val="center"/>
              <w:rPr>
                <w:rFonts w:ascii="Lato" w:hAnsi="Lato" w:cs="Arial"/>
                <w:b/>
                <w:bCs/>
                <w:spacing w:val="4"/>
                <w:sz w:val="20"/>
                <w:szCs w:val="20"/>
                <w:lang w:eastAsia="zh-CN" w:bidi="pl-PL"/>
              </w:rPr>
            </w:pPr>
            <w:r w:rsidRPr="00670ADE">
              <w:rPr>
                <w:rFonts w:ascii="Lato" w:hAnsi="Lato" w:cs="Arial"/>
                <w:b/>
                <w:bCs/>
                <w:spacing w:val="4"/>
                <w:sz w:val="20"/>
                <w:szCs w:val="20"/>
                <w:lang w:eastAsia="zh-CN" w:bidi="pl-PL"/>
              </w:rPr>
              <w:t>173</w:t>
            </w:r>
          </w:p>
        </w:tc>
      </w:tr>
      <w:tr w:rsidR="0053620A" w:rsidRPr="00DD40FC" w14:paraId="299C9CC5" w14:textId="46C33665" w:rsidTr="0053620A">
        <w:trPr>
          <w:trHeight w:val="305"/>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7777B"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CF91FB"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9204464"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5EC940F"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0001 Aleksandrów</w:t>
            </w:r>
          </w:p>
        </w:tc>
        <w:tc>
          <w:tcPr>
            <w:tcW w:w="3407" w:type="dxa"/>
            <w:tcBorders>
              <w:top w:val="single" w:sz="4" w:space="0" w:color="auto"/>
              <w:left w:val="single" w:sz="4" w:space="0" w:color="auto"/>
              <w:bottom w:val="single" w:sz="4" w:space="0" w:color="auto"/>
            </w:tcBorders>
            <w:shd w:val="clear" w:color="auto" w:fill="FFFFFF"/>
            <w:vAlign w:val="center"/>
          </w:tcPr>
          <w:p w14:paraId="4A0A8BD8" w14:textId="7A19F5DB" w:rsidR="0053620A" w:rsidRPr="00670ADE" w:rsidRDefault="0053620A" w:rsidP="007F2FB9">
            <w:pPr>
              <w:jc w:val="center"/>
              <w:rPr>
                <w:rFonts w:ascii="Lato" w:hAnsi="Lato"/>
                <w:sz w:val="20"/>
                <w:szCs w:val="20"/>
              </w:rPr>
            </w:pPr>
            <w:r w:rsidRPr="00670ADE">
              <w:rPr>
                <w:rFonts w:ascii="Lato" w:hAnsi="Lato" w:cs="Arial"/>
                <w:b/>
                <w:bCs/>
                <w:spacing w:val="4"/>
                <w:sz w:val="20"/>
                <w:szCs w:val="20"/>
                <w:lang w:eastAsia="zh-CN" w:bidi="pl-PL"/>
              </w:rPr>
              <w:t xml:space="preserve">137/2 </w:t>
            </w:r>
            <w:r w:rsidRPr="00670ADE">
              <w:rPr>
                <w:rFonts w:ascii="Lato" w:hAnsi="Lato" w:cs="Arial"/>
                <w:spacing w:val="4"/>
                <w:sz w:val="20"/>
                <w:szCs w:val="20"/>
                <w:lang w:eastAsia="zh-CN" w:bidi="pl-PL"/>
              </w:rPr>
              <w:t>(137)</w:t>
            </w:r>
          </w:p>
        </w:tc>
      </w:tr>
      <w:tr w:rsidR="0053620A" w:rsidRPr="00DD40FC" w14:paraId="7D4BAE60" w14:textId="697F2430" w:rsidTr="0053620A">
        <w:trPr>
          <w:trHeight w:val="305"/>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77583"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C3F276"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3398AD6"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18FF1DC"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0012 Janówek</w:t>
            </w:r>
          </w:p>
        </w:tc>
        <w:tc>
          <w:tcPr>
            <w:tcW w:w="3407" w:type="dxa"/>
            <w:tcBorders>
              <w:top w:val="single" w:sz="4" w:space="0" w:color="auto"/>
              <w:left w:val="single" w:sz="4" w:space="0" w:color="auto"/>
              <w:bottom w:val="single" w:sz="4" w:space="0" w:color="auto"/>
            </w:tcBorders>
            <w:shd w:val="clear" w:color="auto" w:fill="FFFFFF"/>
            <w:vAlign w:val="center"/>
          </w:tcPr>
          <w:p w14:paraId="4D9C3E12" w14:textId="4783C502" w:rsidR="0053620A" w:rsidRPr="00670ADE" w:rsidRDefault="0053620A" w:rsidP="007F2FB9">
            <w:pPr>
              <w:jc w:val="center"/>
              <w:rPr>
                <w:rFonts w:ascii="Lato" w:hAnsi="Lato"/>
                <w:spacing w:val="4"/>
                <w:sz w:val="20"/>
                <w:szCs w:val="20"/>
              </w:rPr>
            </w:pPr>
            <w:r w:rsidRPr="00670ADE">
              <w:rPr>
                <w:rFonts w:ascii="Lato" w:hAnsi="Lato" w:cs="Arial"/>
                <w:b/>
                <w:bCs/>
                <w:spacing w:val="4"/>
                <w:sz w:val="20"/>
                <w:szCs w:val="20"/>
                <w:lang w:eastAsia="zh-CN" w:bidi="pl-PL"/>
              </w:rPr>
              <w:t xml:space="preserve">26/2 </w:t>
            </w:r>
            <w:r w:rsidRPr="00670ADE">
              <w:rPr>
                <w:rFonts w:ascii="Lato" w:hAnsi="Lato" w:cs="Arial"/>
                <w:spacing w:val="4"/>
                <w:sz w:val="20"/>
                <w:szCs w:val="20"/>
                <w:lang w:eastAsia="zh-CN" w:bidi="pl-PL"/>
              </w:rPr>
              <w:t>(26)</w:t>
            </w:r>
          </w:p>
        </w:tc>
      </w:tr>
      <w:tr w:rsidR="0053620A" w:rsidRPr="00DD40FC" w14:paraId="23A0503D" w14:textId="781494BC" w:rsidTr="0053620A">
        <w:trPr>
          <w:trHeight w:val="305"/>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F11D0"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2B4090"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458B2A7"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9CA5814"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0022 Nowy Oryszew</w:t>
            </w:r>
          </w:p>
        </w:tc>
        <w:tc>
          <w:tcPr>
            <w:tcW w:w="3407" w:type="dxa"/>
            <w:tcBorders>
              <w:top w:val="single" w:sz="4" w:space="0" w:color="auto"/>
              <w:left w:val="single" w:sz="4" w:space="0" w:color="auto"/>
              <w:bottom w:val="single" w:sz="4" w:space="0" w:color="auto"/>
            </w:tcBorders>
            <w:shd w:val="clear" w:color="auto" w:fill="FFFFFF"/>
            <w:vAlign w:val="center"/>
          </w:tcPr>
          <w:p w14:paraId="489AF8E4" w14:textId="3C37C90B" w:rsidR="0053620A" w:rsidRPr="00670ADE" w:rsidRDefault="0053620A" w:rsidP="007F2FB9">
            <w:pPr>
              <w:jc w:val="center"/>
              <w:rPr>
                <w:rFonts w:ascii="Lato" w:hAnsi="Lato"/>
                <w:spacing w:val="4"/>
                <w:sz w:val="20"/>
                <w:szCs w:val="20"/>
              </w:rPr>
            </w:pPr>
            <w:r w:rsidRPr="00670ADE">
              <w:rPr>
                <w:rFonts w:ascii="Lato" w:hAnsi="Lato" w:cs="Arial"/>
                <w:b/>
                <w:bCs/>
                <w:spacing w:val="4"/>
                <w:sz w:val="20"/>
                <w:szCs w:val="20"/>
                <w:lang w:eastAsia="zh-CN" w:bidi="pl-PL"/>
              </w:rPr>
              <w:t>153</w:t>
            </w:r>
          </w:p>
        </w:tc>
      </w:tr>
      <w:tr w:rsidR="0053620A" w:rsidRPr="00DD40FC" w14:paraId="27605946" w14:textId="56024C3B" w:rsidTr="0053620A">
        <w:trPr>
          <w:trHeight w:val="305"/>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3817F"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11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1BC353"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D2106FD"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7160ED1"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0022 Nowy Oryszew</w:t>
            </w:r>
          </w:p>
        </w:tc>
        <w:tc>
          <w:tcPr>
            <w:tcW w:w="3407" w:type="dxa"/>
            <w:tcBorders>
              <w:top w:val="single" w:sz="4" w:space="0" w:color="auto"/>
              <w:left w:val="single" w:sz="4" w:space="0" w:color="auto"/>
              <w:bottom w:val="single" w:sz="4" w:space="0" w:color="auto"/>
            </w:tcBorders>
            <w:shd w:val="clear" w:color="auto" w:fill="FFFFFF"/>
            <w:vAlign w:val="center"/>
          </w:tcPr>
          <w:p w14:paraId="31335DE8" w14:textId="13769FD8" w:rsidR="0053620A" w:rsidRPr="00670ADE" w:rsidRDefault="0053620A" w:rsidP="007F2FB9">
            <w:pPr>
              <w:jc w:val="center"/>
              <w:rPr>
                <w:rFonts w:ascii="Lato" w:hAnsi="Lato"/>
                <w:spacing w:val="4"/>
                <w:sz w:val="20"/>
                <w:szCs w:val="20"/>
              </w:rPr>
            </w:pPr>
            <w:r w:rsidRPr="00670ADE">
              <w:rPr>
                <w:rFonts w:ascii="Lato" w:hAnsi="Lato" w:cs="Arial"/>
                <w:b/>
                <w:bCs/>
                <w:spacing w:val="4"/>
                <w:sz w:val="20"/>
                <w:szCs w:val="20"/>
                <w:lang w:eastAsia="zh-CN" w:bidi="pl-PL"/>
              </w:rPr>
              <w:t>169</w:t>
            </w:r>
          </w:p>
        </w:tc>
      </w:tr>
      <w:tr w:rsidR="0053620A" w:rsidRPr="00DD40FC" w14:paraId="4FFD7CCD" w14:textId="102AD622" w:rsidTr="0053620A">
        <w:trPr>
          <w:trHeight w:val="305"/>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C11B6"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A0531B"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4A0DA13"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9DAC545"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0022 Nowy Oryszew</w:t>
            </w:r>
          </w:p>
        </w:tc>
        <w:tc>
          <w:tcPr>
            <w:tcW w:w="3407" w:type="dxa"/>
            <w:tcBorders>
              <w:top w:val="single" w:sz="4" w:space="0" w:color="auto"/>
              <w:left w:val="single" w:sz="4" w:space="0" w:color="auto"/>
              <w:bottom w:val="single" w:sz="4" w:space="0" w:color="auto"/>
            </w:tcBorders>
            <w:shd w:val="clear" w:color="auto" w:fill="FFFFFF"/>
            <w:vAlign w:val="center"/>
          </w:tcPr>
          <w:p w14:paraId="56657E23" w14:textId="6B353B20" w:rsidR="0053620A" w:rsidRPr="00670ADE" w:rsidRDefault="0053620A" w:rsidP="007F2FB9">
            <w:pPr>
              <w:jc w:val="center"/>
              <w:rPr>
                <w:rFonts w:ascii="Lato" w:hAnsi="Lato"/>
                <w:spacing w:val="4"/>
                <w:sz w:val="20"/>
                <w:szCs w:val="20"/>
              </w:rPr>
            </w:pPr>
            <w:r w:rsidRPr="00670ADE">
              <w:rPr>
                <w:rFonts w:ascii="Lato" w:hAnsi="Lato" w:cs="Arial"/>
                <w:b/>
                <w:bCs/>
                <w:spacing w:val="4"/>
                <w:sz w:val="20"/>
                <w:szCs w:val="20"/>
                <w:lang w:eastAsia="zh-CN" w:bidi="pl-PL"/>
              </w:rPr>
              <w:t xml:space="preserve">176/4 </w:t>
            </w:r>
            <w:r w:rsidRPr="00670ADE">
              <w:rPr>
                <w:rFonts w:ascii="Lato" w:hAnsi="Lato" w:cs="Arial"/>
                <w:spacing w:val="4"/>
                <w:sz w:val="20"/>
                <w:szCs w:val="20"/>
                <w:lang w:eastAsia="zh-CN" w:bidi="pl-PL"/>
              </w:rPr>
              <w:t>(176/1)</w:t>
            </w:r>
          </w:p>
        </w:tc>
      </w:tr>
      <w:tr w:rsidR="0053620A" w:rsidRPr="00DD40FC" w14:paraId="50A205C8" w14:textId="0450970B" w:rsidTr="007F2FB9">
        <w:trPr>
          <w:trHeight w:val="130"/>
        </w:trPr>
        <w:tc>
          <w:tcPr>
            <w:tcW w:w="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CFC9E" w14:textId="77777777" w:rsidR="0053620A" w:rsidRPr="00670ADE" w:rsidRDefault="0053620A" w:rsidP="0038435D">
            <w:pPr>
              <w:widowControl w:val="0"/>
              <w:suppressAutoHyphens/>
              <w:spacing w:line="240" w:lineRule="exact"/>
              <w:jc w:val="center"/>
              <w:rPr>
                <w:rFonts w:ascii="Lato" w:hAnsi="Lato" w:cs="Arial"/>
                <w:spacing w:val="4"/>
                <w:sz w:val="20"/>
                <w:szCs w:val="20"/>
                <w:lang w:eastAsia="zh-CN" w:bidi="pl-PL"/>
              </w:rPr>
            </w:pPr>
            <w:r w:rsidRPr="00670ADE">
              <w:rPr>
                <w:rFonts w:ascii="Lato" w:hAnsi="Lato" w:cs="Arial"/>
                <w:spacing w:val="4"/>
                <w:sz w:val="20"/>
                <w:szCs w:val="20"/>
                <w:lang w:eastAsia="zh-CN" w:bidi="pl-PL"/>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41C9A" w14:textId="77777777" w:rsidR="0053620A" w:rsidRPr="00670ADE" w:rsidRDefault="0053620A" w:rsidP="007F2FB9">
            <w:pPr>
              <w:widowControl w:val="0"/>
              <w:suppressAutoHyphens/>
              <w:jc w:val="center"/>
              <w:rPr>
                <w:rFonts w:ascii="Lato" w:hAnsi="Lato" w:cs="Arial"/>
                <w:spacing w:val="4"/>
                <w:sz w:val="20"/>
                <w:szCs w:val="20"/>
                <w:lang w:eastAsia="zh-CN" w:bidi="pl-PL"/>
              </w:rPr>
            </w:pPr>
            <w:r w:rsidRPr="00670ADE">
              <w:rPr>
                <w:rFonts w:ascii="Lato" w:hAnsi="Lato" w:cs="Arial"/>
                <w:spacing w:val="4"/>
                <w:sz w:val="20"/>
                <w:szCs w:val="20"/>
                <w:lang w:eastAsia="zh-CN" w:bidi="pl-PL"/>
              </w:rPr>
              <w:t>żyrardowski</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9FA2CAA" w14:textId="77777777" w:rsidR="0053620A" w:rsidRPr="00670ADE" w:rsidRDefault="0053620A" w:rsidP="007F2FB9">
            <w:pPr>
              <w:widowControl w:val="0"/>
              <w:suppressAutoHyphens/>
              <w:jc w:val="center"/>
              <w:rPr>
                <w:rFonts w:ascii="Lato" w:hAnsi="Lato" w:cs="Arial"/>
                <w:spacing w:val="4"/>
                <w:sz w:val="20"/>
                <w:szCs w:val="20"/>
                <w:lang w:eastAsia="zh-CN" w:bidi="pl-PL"/>
              </w:rPr>
            </w:pPr>
            <w:r w:rsidRPr="00670ADE">
              <w:rPr>
                <w:rFonts w:ascii="Lato" w:hAnsi="Lato" w:cs="Arial"/>
                <w:spacing w:val="4"/>
                <w:sz w:val="20"/>
                <w:szCs w:val="20"/>
                <w:lang w:eastAsia="zh-CN" w:bidi="pl-PL"/>
              </w:rPr>
              <w:t>Wiskitki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D90651B" w14:textId="77777777" w:rsidR="0053620A" w:rsidRPr="00670ADE" w:rsidRDefault="0053620A" w:rsidP="007F2FB9">
            <w:pPr>
              <w:widowControl w:val="0"/>
              <w:suppressAutoHyphens/>
              <w:jc w:val="center"/>
              <w:rPr>
                <w:rFonts w:ascii="Lato" w:hAnsi="Lato" w:cs="Arial"/>
                <w:spacing w:val="4"/>
                <w:sz w:val="20"/>
                <w:szCs w:val="20"/>
                <w:lang w:eastAsia="zh-CN" w:bidi="pl-PL"/>
              </w:rPr>
            </w:pPr>
            <w:r w:rsidRPr="00670ADE">
              <w:rPr>
                <w:rFonts w:ascii="Lato" w:hAnsi="Lato" w:cs="Arial"/>
                <w:spacing w:val="4"/>
                <w:sz w:val="20"/>
                <w:szCs w:val="20"/>
                <w:lang w:eastAsia="zh-CN" w:bidi="pl-PL"/>
              </w:rPr>
              <w:t>0022 Nowy Oryszew</w:t>
            </w:r>
          </w:p>
        </w:tc>
        <w:tc>
          <w:tcPr>
            <w:tcW w:w="3407" w:type="dxa"/>
            <w:tcBorders>
              <w:top w:val="single" w:sz="4" w:space="0" w:color="auto"/>
              <w:left w:val="single" w:sz="4" w:space="0" w:color="auto"/>
              <w:bottom w:val="single" w:sz="4" w:space="0" w:color="auto"/>
            </w:tcBorders>
            <w:shd w:val="clear" w:color="auto" w:fill="FFFFFF"/>
            <w:vAlign w:val="center"/>
          </w:tcPr>
          <w:p w14:paraId="22BF433C" w14:textId="309698E8" w:rsidR="0053620A" w:rsidRPr="00670ADE" w:rsidRDefault="0053620A" w:rsidP="007F2FB9">
            <w:pPr>
              <w:widowControl w:val="0"/>
              <w:suppressAutoHyphens/>
              <w:jc w:val="center"/>
              <w:rPr>
                <w:rFonts w:ascii="Lato" w:hAnsi="Lato" w:cs="Arial"/>
                <w:spacing w:val="4"/>
                <w:sz w:val="20"/>
                <w:szCs w:val="20"/>
                <w:lang w:eastAsia="zh-CN" w:bidi="pl-PL"/>
              </w:rPr>
            </w:pPr>
            <w:r w:rsidRPr="00670ADE">
              <w:rPr>
                <w:rFonts w:ascii="Lato" w:hAnsi="Lato" w:cs="Arial"/>
                <w:b/>
                <w:bCs/>
                <w:spacing w:val="4"/>
                <w:sz w:val="20"/>
                <w:szCs w:val="20"/>
                <w:lang w:eastAsia="zh-CN" w:bidi="pl-PL"/>
              </w:rPr>
              <w:t xml:space="preserve">190/2 </w:t>
            </w:r>
            <w:r w:rsidRPr="00670ADE">
              <w:rPr>
                <w:rFonts w:ascii="Lato" w:hAnsi="Lato" w:cs="Arial"/>
                <w:spacing w:val="4"/>
                <w:sz w:val="20"/>
                <w:szCs w:val="20"/>
                <w:lang w:eastAsia="zh-CN" w:bidi="pl-PL"/>
              </w:rPr>
              <w:t>(190)</w:t>
            </w:r>
          </w:p>
        </w:tc>
      </w:tr>
    </w:tbl>
    <w:p w14:paraId="2AEB43F4" w14:textId="398693D9" w:rsidR="00F578F4" w:rsidRPr="00897DA3" w:rsidRDefault="00773765" w:rsidP="008F2DF8">
      <w:pPr>
        <w:pStyle w:val="Akapitzlist"/>
        <w:tabs>
          <w:tab w:val="left" w:pos="284"/>
        </w:tabs>
        <w:spacing w:after="240" w:line="240" w:lineRule="exact"/>
        <w:ind w:left="714"/>
        <w:contextualSpacing w:val="0"/>
        <w:jc w:val="both"/>
        <w:rPr>
          <w:rFonts w:ascii="Lato" w:hAnsi="Lato" w:cs="Arial"/>
          <w:bCs/>
          <w:spacing w:val="4"/>
          <w:sz w:val="22"/>
          <w:szCs w:val="22"/>
        </w:rPr>
      </w:pPr>
      <w:r>
        <w:rPr>
          <w:rFonts w:ascii="Lato" w:hAnsi="Lato" w:cs="Arial"/>
          <w:bCs/>
          <w:spacing w:val="4"/>
          <w:sz w:val="22"/>
          <w:szCs w:val="22"/>
        </w:rPr>
        <w:t xml:space="preserve">                                                                                                                                    </w:t>
      </w:r>
      <w:r w:rsidRPr="00897DA3">
        <w:rPr>
          <w:rFonts w:ascii="Lato" w:hAnsi="Lato" w:cs="Arial"/>
          <w:bCs/>
          <w:spacing w:val="4"/>
          <w:sz w:val="22"/>
          <w:szCs w:val="22"/>
        </w:rPr>
        <w:t>”</w:t>
      </w:r>
    </w:p>
    <w:p w14:paraId="7777A0A9" w14:textId="12344AE9" w:rsidR="00A32E7C" w:rsidRPr="00F40707" w:rsidRDefault="00A32E7C" w:rsidP="00F40707">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897DA3">
        <w:rPr>
          <w:rFonts w:ascii="Lato" w:hAnsi="Lato" w:cs="Arial"/>
          <w:bCs/>
          <w:spacing w:val="4"/>
          <w:sz w:val="22"/>
          <w:szCs w:val="22"/>
        </w:rPr>
        <w:t xml:space="preserve">ustalenie w zaskarżonej decyzji, w miejsce uchylenia, na stronie 203, </w:t>
      </w:r>
      <w:r w:rsidRPr="00F40707">
        <w:rPr>
          <w:rFonts w:ascii="Lato" w:hAnsi="Lato" w:cs="Arial"/>
          <w:bCs/>
          <w:spacing w:val="4"/>
          <w:sz w:val="22"/>
          <w:szCs w:val="22"/>
        </w:rPr>
        <w:t xml:space="preserve">w wierszu 17, licząc od dołu strony, </w:t>
      </w:r>
      <w:r w:rsidR="00D03B3D">
        <w:rPr>
          <w:rFonts w:ascii="Lato" w:hAnsi="Lato" w:cs="Arial"/>
          <w:bCs/>
          <w:spacing w:val="4"/>
          <w:sz w:val="22"/>
          <w:szCs w:val="22"/>
        </w:rPr>
        <w:t xml:space="preserve">nowego </w:t>
      </w:r>
      <w:r w:rsidRPr="00F40707">
        <w:rPr>
          <w:rFonts w:ascii="Lato" w:hAnsi="Lato" w:cs="Arial"/>
          <w:bCs/>
          <w:spacing w:val="4"/>
          <w:sz w:val="22"/>
          <w:szCs w:val="22"/>
        </w:rPr>
        <w:t>zapis</w:t>
      </w:r>
      <w:r w:rsidR="00D03B3D">
        <w:rPr>
          <w:rFonts w:ascii="Lato" w:hAnsi="Lato" w:cs="Arial"/>
          <w:bCs/>
          <w:spacing w:val="4"/>
          <w:sz w:val="22"/>
          <w:szCs w:val="22"/>
        </w:rPr>
        <w:t>u</w:t>
      </w:r>
      <w:r w:rsidRPr="00F40707">
        <w:rPr>
          <w:rFonts w:ascii="Lato" w:hAnsi="Lato" w:cs="Arial"/>
          <w:bCs/>
          <w:spacing w:val="4"/>
          <w:sz w:val="22"/>
          <w:szCs w:val="22"/>
        </w:rPr>
        <w:t>:</w:t>
      </w:r>
    </w:p>
    <w:p w14:paraId="5AC803CD" w14:textId="19D4F50C" w:rsidR="00A32E7C" w:rsidRPr="00F40707" w:rsidRDefault="00A32E7C" w:rsidP="00F40707">
      <w:pPr>
        <w:pStyle w:val="Akapitzlist"/>
        <w:tabs>
          <w:tab w:val="left" w:pos="284"/>
        </w:tabs>
        <w:spacing w:after="240" w:line="240" w:lineRule="exact"/>
        <w:contextualSpacing w:val="0"/>
        <w:jc w:val="both"/>
        <w:rPr>
          <w:rFonts w:ascii="Lato" w:hAnsi="Lato" w:cs="Arial"/>
          <w:bCs/>
          <w:spacing w:val="4"/>
          <w:sz w:val="22"/>
          <w:szCs w:val="22"/>
        </w:rPr>
      </w:pPr>
      <w:r w:rsidRPr="00F40707">
        <w:rPr>
          <w:rFonts w:ascii="Lato" w:hAnsi="Lato" w:cs="Arial"/>
          <w:bCs/>
          <w:spacing w:val="4"/>
          <w:sz w:val="22"/>
          <w:szCs w:val="22"/>
        </w:rPr>
        <w:t xml:space="preserve">„2. mapy podziałowe, stanowiące </w:t>
      </w:r>
      <w:r w:rsidRPr="00F40707">
        <w:rPr>
          <w:rFonts w:ascii="Lato" w:hAnsi="Lato" w:cs="Arial"/>
          <w:b/>
          <w:bCs/>
          <w:spacing w:val="4"/>
          <w:sz w:val="22"/>
          <w:szCs w:val="22"/>
        </w:rPr>
        <w:t>załączniki nr 65-1</w:t>
      </w:r>
      <w:r w:rsidRPr="00897DA3">
        <w:rPr>
          <w:rFonts w:ascii="Lato" w:hAnsi="Lato" w:cs="Arial"/>
          <w:b/>
          <w:bCs/>
          <w:spacing w:val="4"/>
          <w:sz w:val="22"/>
          <w:szCs w:val="22"/>
        </w:rPr>
        <w:t>5</w:t>
      </w:r>
      <w:r w:rsidRPr="00F40707">
        <w:rPr>
          <w:rFonts w:ascii="Lato" w:hAnsi="Lato" w:cs="Arial"/>
          <w:b/>
          <w:bCs/>
          <w:spacing w:val="4"/>
          <w:sz w:val="22"/>
          <w:szCs w:val="22"/>
        </w:rPr>
        <w:t>1</w:t>
      </w:r>
      <w:r w:rsidRPr="00F40707">
        <w:rPr>
          <w:rFonts w:ascii="Lato" w:hAnsi="Lato" w:cs="Arial"/>
          <w:bCs/>
          <w:spacing w:val="4"/>
          <w:sz w:val="22"/>
          <w:szCs w:val="22"/>
        </w:rPr>
        <w:t xml:space="preserve"> do niniejszej decyzji”,</w:t>
      </w:r>
    </w:p>
    <w:p w14:paraId="1B913130" w14:textId="4E7932C7" w:rsidR="00CE65EC" w:rsidRPr="004B6BA3" w:rsidRDefault="00CE65EC" w:rsidP="00CE65EC">
      <w:pPr>
        <w:pStyle w:val="Akapitzlist"/>
        <w:numPr>
          <w:ilvl w:val="0"/>
          <w:numId w:val="2"/>
        </w:numPr>
        <w:tabs>
          <w:tab w:val="left" w:pos="284"/>
        </w:tabs>
        <w:spacing w:after="240" w:line="240" w:lineRule="exact"/>
        <w:ind w:left="714" w:hanging="357"/>
        <w:contextualSpacing w:val="0"/>
        <w:jc w:val="both"/>
        <w:rPr>
          <w:rFonts w:ascii="Lato" w:hAnsi="Lato" w:cs="Arial"/>
          <w:bCs/>
          <w:spacing w:val="4"/>
          <w:sz w:val="22"/>
          <w:szCs w:val="22"/>
        </w:rPr>
      </w:pPr>
      <w:r w:rsidRPr="004B6BA3">
        <w:rPr>
          <w:rFonts w:ascii="Lato" w:hAnsi="Lato" w:cs="Arial"/>
          <w:bCs/>
          <w:spacing w:val="4"/>
          <w:sz w:val="22"/>
          <w:szCs w:val="22"/>
        </w:rPr>
        <w:t xml:space="preserve">zatwierdzenie, w miejsce uchylenia, legendy do mapy w skali 1:1000 przedstawiającej projektowany obszar </w:t>
      </w:r>
      <w:r w:rsidR="004C268C" w:rsidRPr="004B6BA3">
        <w:rPr>
          <w:rFonts w:ascii="Lato" w:hAnsi="Lato" w:cs="Arial"/>
          <w:bCs/>
          <w:spacing w:val="4"/>
          <w:sz w:val="22"/>
          <w:szCs w:val="22"/>
        </w:rPr>
        <w:t>I</w:t>
      </w:r>
      <w:r w:rsidRPr="004B6BA3">
        <w:rPr>
          <w:rFonts w:ascii="Lato" w:hAnsi="Lato" w:cs="Arial"/>
          <w:bCs/>
          <w:spacing w:val="4"/>
          <w:sz w:val="22"/>
          <w:szCs w:val="22"/>
        </w:rPr>
        <w:t>nwestycji, stanowiącej załącznik nr 1 do niniejszej decyzji,</w:t>
      </w:r>
    </w:p>
    <w:p w14:paraId="62A3A55C" w14:textId="342D2A06" w:rsidR="00002C19" w:rsidRPr="004B6BA3" w:rsidRDefault="00B44C4A">
      <w:pPr>
        <w:pStyle w:val="Akapitzlist"/>
        <w:numPr>
          <w:ilvl w:val="0"/>
          <w:numId w:val="2"/>
        </w:numPr>
        <w:tabs>
          <w:tab w:val="left" w:pos="426"/>
        </w:tabs>
        <w:spacing w:after="240" w:line="240" w:lineRule="exact"/>
        <w:contextualSpacing w:val="0"/>
        <w:jc w:val="both"/>
        <w:rPr>
          <w:rFonts w:ascii="Lato" w:hAnsi="Lato" w:cs="Arial"/>
          <w:bCs/>
          <w:spacing w:val="4"/>
          <w:sz w:val="22"/>
          <w:szCs w:val="22"/>
        </w:rPr>
      </w:pPr>
      <w:r w:rsidRPr="004B6BA3">
        <w:rPr>
          <w:rFonts w:ascii="Lato" w:hAnsi="Lato" w:cs="Arial"/>
          <w:bCs/>
          <w:spacing w:val="4"/>
          <w:sz w:val="22"/>
          <w:szCs w:val="22"/>
        </w:rPr>
        <w:t xml:space="preserve">zatwierdzenie, w miejsce uchylenia, </w:t>
      </w:r>
      <w:r w:rsidR="008F5D93" w:rsidRPr="00F40707">
        <w:rPr>
          <w:rFonts w:ascii="Lato" w:hAnsi="Lato" w:cs="Arial"/>
          <w:bCs/>
          <w:spacing w:val="4"/>
          <w:sz w:val="22"/>
          <w:szCs w:val="22"/>
        </w:rPr>
        <w:t xml:space="preserve">arkuszy </w:t>
      </w:r>
      <w:r w:rsidR="004A7B9B" w:rsidRPr="004B6BA3">
        <w:rPr>
          <w:rFonts w:ascii="Lato" w:hAnsi="Lato" w:cs="Arial"/>
          <w:bCs/>
          <w:spacing w:val="4"/>
          <w:sz w:val="22"/>
          <w:szCs w:val="22"/>
        </w:rPr>
        <w:t xml:space="preserve">nr 1/64, nr 2/64, nr </w:t>
      </w:r>
      <w:r w:rsidR="00E65D97" w:rsidRPr="004B6BA3">
        <w:rPr>
          <w:rFonts w:ascii="Lato" w:hAnsi="Lato" w:cs="Arial"/>
          <w:bCs/>
          <w:spacing w:val="4"/>
          <w:sz w:val="22"/>
          <w:szCs w:val="22"/>
        </w:rPr>
        <w:t xml:space="preserve">3/64, nr 4/64, nr 5/64, nr 6/64, nr 8/64, </w:t>
      </w:r>
      <w:r w:rsidR="00C82F48" w:rsidRPr="004B6BA3">
        <w:rPr>
          <w:rFonts w:ascii="Lato" w:hAnsi="Lato" w:cs="Arial"/>
          <w:bCs/>
          <w:spacing w:val="4"/>
          <w:sz w:val="22"/>
          <w:szCs w:val="22"/>
        </w:rPr>
        <w:t xml:space="preserve">nr 14/64, nr 15/64, nr 51/64, </w:t>
      </w:r>
      <w:r w:rsidR="00A03C23" w:rsidRPr="004B6BA3">
        <w:rPr>
          <w:rFonts w:ascii="Lato" w:hAnsi="Lato" w:cs="Arial"/>
          <w:bCs/>
          <w:spacing w:val="4"/>
          <w:sz w:val="22"/>
          <w:szCs w:val="22"/>
        </w:rPr>
        <w:t xml:space="preserve">nr 57/64, </w:t>
      </w:r>
      <w:r w:rsidR="00C82F48" w:rsidRPr="004B6BA3">
        <w:rPr>
          <w:rFonts w:ascii="Lato" w:hAnsi="Lato" w:cs="Arial"/>
          <w:bCs/>
          <w:spacing w:val="4"/>
          <w:sz w:val="22"/>
          <w:szCs w:val="22"/>
        </w:rPr>
        <w:t xml:space="preserve">nr 59/64, </w:t>
      </w:r>
      <w:r w:rsidR="00A03C23" w:rsidRPr="004B6BA3">
        <w:rPr>
          <w:rFonts w:ascii="Lato" w:hAnsi="Lato" w:cs="Arial"/>
          <w:bCs/>
          <w:spacing w:val="4"/>
          <w:sz w:val="22"/>
          <w:szCs w:val="22"/>
        </w:rPr>
        <w:br/>
      </w:r>
      <w:r w:rsidR="00C82F48" w:rsidRPr="004B6BA3">
        <w:rPr>
          <w:rFonts w:ascii="Lato" w:hAnsi="Lato" w:cs="Arial"/>
          <w:bCs/>
          <w:spacing w:val="4"/>
          <w:sz w:val="22"/>
          <w:szCs w:val="22"/>
        </w:rPr>
        <w:t xml:space="preserve">nr 60/64, nr 61/64 </w:t>
      </w:r>
      <w:r w:rsidR="005525C8" w:rsidRPr="004B6BA3">
        <w:rPr>
          <w:rFonts w:ascii="Lato" w:hAnsi="Lato" w:cs="Arial"/>
          <w:bCs/>
          <w:spacing w:val="4"/>
          <w:sz w:val="22"/>
          <w:szCs w:val="22"/>
        </w:rPr>
        <w:t xml:space="preserve">mapy </w:t>
      </w:r>
      <w:r w:rsidR="004B6BA3" w:rsidRPr="004B6BA3">
        <w:rPr>
          <w:rFonts w:ascii="Lato" w:hAnsi="Lato" w:cs="Arial"/>
          <w:bCs/>
          <w:spacing w:val="4"/>
          <w:sz w:val="22"/>
          <w:szCs w:val="22"/>
        </w:rPr>
        <w:t xml:space="preserve">w skali 1:1000 </w:t>
      </w:r>
      <w:r w:rsidR="005525C8" w:rsidRPr="004B6BA3">
        <w:rPr>
          <w:rFonts w:ascii="Lato" w:hAnsi="Lato" w:cs="Arial"/>
          <w:bCs/>
          <w:spacing w:val="4"/>
          <w:sz w:val="22"/>
          <w:szCs w:val="22"/>
        </w:rPr>
        <w:t xml:space="preserve">przedstawiającej projektowany obszar </w:t>
      </w:r>
      <w:r w:rsidR="00CA2B91" w:rsidRPr="00F40707">
        <w:rPr>
          <w:rFonts w:ascii="Lato" w:hAnsi="Lato" w:cs="Arial"/>
          <w:bCs/>
          <w:spacing w:val="4"/>
          <w:sz w:val="22"/>
          <w:szCs w:val="22"/>
        </w:rPr>
        <w:t>I</w:t>
      </w:r>
      <w:r w:rsidR="005525C8" w:rsidRPr="004B6BA3">
        <w:rPr>
          <w:rFonts w:ascii="Lato" w:hAnsi="Lato" w:cs="Arial"/>
          <w:bCs/>
          <w:spacing w:val="4"/>
          <w:sz w:val="22"/>
          <w:szCs w:val="22"/>
        </w:rPr>
        <w:t>nwestycji</w:t>
      </w:r>
      <w:r w:rsidR="00AF1FD1" w:rsidRPr="004B6BA3">
        <w:rPr>
          <w:rFonts w:ascii="Lato" w:hAnsi="Lato" w:cs="Arial"/>
          <w:bCs/>
          <w:spacing w:val="4"/>
          <w:sz w:val="22"/>
          <w:szCs w:val="22"/>
        </w:rPr>
        <w:t xml:space="preserve">, stanowiących załączniki nr </w:t>
      </w:r>
      <w:r w:rsidR="00A03C23" w:rsidRPr="004B6BA3">
        <w:rPr>
          <w:rFonts w:ascii="Lato" w:hAnsi="Lato" w:cs="Arial"/>
          <w:bCs/>
          <w:spacing w:val="4"/>
          <w:sz w:val="22"/>
          <w:szCs w:val="22"/>
        </w:rPr>
        <w:t>2.1-2.1</w:t>
      </w:r>
      <w:r w:rsidR="008F5D93" w:rsidRPr="004B6BA3">
        <w:rPr>
          <w:rFonts w:ascii="Lato" w:hAnsi="Lato" w:cs="Arial"/>
          <w:bCs/>
          <w:spacing w:val="4"/>
          <w:sz w:val="22"/>
          <w:szCs w:val="22"/>
        </w:rPr>
        <w:t>4</w:t>
      </w:r>
      <w:r w:rsidR="00AF1FD1" w:rsidRPr="004B6BA3">
        <w:rPr>
          <w:rFonts w:ascii="Lato" w:hAnsi="Lato" w:cs="Arial"/>
          <w:bCs/>
          <w:spacing w:val="4"/>
          <w:sz w:val="22"/>
          <w:szCs w:val="22"/>
        </w:rPr>
        <w:t xml:space="preserve"> do niniejszej decyzji,</w:t>
      </w:r>
    </w:p>
    <w:p w14:paraId="6352B31F" w14:textId="622BBD66" w:rsidR="00867951" w:rsidRPr="004B6BA3" w:rsidRDefault="00E12B22" w:rsidP="00867951">
      <w:pPr>
        <w:pStyle w:val="Akapitzlist"/>
        <w:numPr>
          <w:ilvl w:val="0"/>
          <w:numId w:val="2"/>
        </w:numPr>
        <w:tabs>
          <w:tab w:val="left" w:pos="426"/>
        </w:tabs>
        <w:spacing w:after="240" w:line="240" w:lineRule="exact"/>
        <w:jc w:val="both"/>
        <w:rPr>
          <w:rFonts w:ascii="Lato" w:hAnsi="Lato" w:cs="Arial"/>
          <w:bCs/>
          <w:spacing w:val="4"/>
          <w:sz w:val="22"/>
          <w:szCs w:val="22"/>
        </w:rPr>
      </w:pPr>
      <w:r w:rsidRPr="004B6BA3">
        <w:rPr>
          <w:rFonts w:ascii="Lato" w:hAnsi="Lato" w:cs="Arial"/>
          <w:bCs/>
          <w:spacing w:val="4"/>
          <w:sz w:val="22"/>
          <w:szCs w:val="22"/>
        </w:rPr>
        <w:t xml:space="preserve">ustalenie, w rozstrzygnięciu zaskarżonej decyzji, </w:t>
      </w:r>
      <w:r w:rsidR="00867951" w:rsidRPr="004B6BA3">
        <w:rPr>
          <w:rFonts w:ascii="Lato" w:hAnsi="Lato" w:cs="Arial"/>
          <w:bCs/>
          <w:spacing w:val="4"/>
          <w:sz w:val="22"/>
          <w:szCs w:val="22"/>
        </w:rPr>
        <w:t xml:space="preserve">poprzez dodanie, na stronie 95, </w:t>
      </w:r>
    </w:p>
    <w:p w14:paraId="76AE9216" w14:textId="681503FE" w:rsidR="00867951" w:rsidRPr="00867951" w:rsidRDefault="00867951" w:rsidP="00F40707">
      <w:pPr>
        <w:pStyle w:val="Akapitzlist"/>
        <w:tabs>
          <w:tab w:val="left" w:pos="426"/>
        </w:tabs>
        <w:spacing w:after="240" w:line="240" w:lineRule="exact"/>
        <w:contextualSpacing w:val="0"/>
        <w:jc w:val="both"/>
        <w:rPr>
          <w:rFonts w:ascii="Lato" w:hAnsi="Lato" w:cs="Arial"/>
          <w:bCs/>
          <w:spacing w:val="4"/>
          <w:sz w:val="22"/>
          <w:szCs w:val="22"/>
        </w:rPr>
      </w:pPr>
      <w:r w:rsidRPr="004B6BA3">
        <w:rPr>
          <w:rFonts w:ascii="Lato" w:hAnsi="Lato" w:cs="Arial"/>
          <w:bCs/>
          <w:spacing w:val="4"/>
          <w:sz w:val="22"/>
          <w:szCs w:val="22"/>
        </w:rPr>
        <w:t>po zapisie znajdującym się w wierszu 10, licząc od góry strony, nowego zapisu:</w:t>
      </w:r>
    </w:p>
    <w:p w14:paraId="6812D5C1" w14:textId="4F9EEBC1" w:rsidR="00E12B22" w:rsidRPr="00F40707" w:rsidRDefault="00B91FFA" w:rsidP="00B91FFA">
      <w:pPr>
        <w:pStyle w:val="Akapitzlist"/>
        <w:tabs>
          <w:tab w:val="left" w:pos="426"/>
        </w:tabs>
        <w:spacing w:after="240" w:line="240" w:lineRule="exact"/>
        <w:contextualSpacing w:val="0"/>
        <w:jc w:val="both"/>
        <w:rPr>
          <w:rFonts w:ascii="Lato" w:hAnsi="Lato" w:cs="Arial"/>
          <w:bCs/>
          <w:spacing w:val="4"/>
          <w:sz w:val="22"/>
          <w:szCs w:val="22"/>
        </w:rPr>
      </w:pPr>
      <w:r w:rsidRPr="004B6BA3">
        <w:rPr>
          <w:rFonts w:ascii="Lato" w:hAnsi="Lato" w:cs="Arial"/>
          <w:bCs/>
          <w:iCs/>
          <w:spacing w:val="4"/>
          <w:sz w:val="22"/>
          <w:szCs w:val="22"/>
          <w:lang w:bidi="pl-PL"/>
        </w:rPr>
        <w:t xml:space="preserve">W celu realizacji wymagania dotyczącego zapewnienia dostępu do drogi publicznej, działając </w:t>
      </w:r>
      <w:r w:rsidRPr="004B6BA3">
        <w:rPr>
          <w:rFonts w:ascii="Lato" w:hAnsi="Lato" w:cs="Arial"/>
          <w:bCs/>
          <w:spacing w:val="4"/>
          <w:sz w:val="22"/>
          <w:szCs w:val="22"/>
        </w:rPr>
        <w:t>n</w:t>
      </w:r>
      <w:r w:rsidR="00230F95" w:rsidRPr="00F40707">
        <w:rPr>
          <w:rFonts w:ascii="Lato" w:hAnsi="Lato" w:cs="Arial"/>
          <w:bCs/>
          <w:spacing w:val="4"/>
          <w:sz w:val="22"/>
          <w:szCs w:val="22"/>
        </w:rPr>
        <w:t xml:space="preserve">a podstawie art. 49 </w:t>
      </w:r>
      <w:r w:rsidRPr="00F40707">
        <w:rPr>
          <w:rFonts w:ascii="Lato" w:hAnsi="Lato" w:cs="Arial"/>
          <w:bCs/>
          <w:spacing w:val="4"/>
          <w:sz w:val="22"/>
          <w:szCs w:val="22"/>
        </w:rPr>
        <w:t xml:space="preserve">ustawy z dnia 10 maja 2018 r. </w:t>
      </w:r>
      <w:r w:rsidRPr="004B6BA3">
        <w:rPr>
          <w:rFonts w:ascii="Lato" w:hAnsi="Lato" w:cs="Arial"/>
          <w:bCs/>
          <w:spacing w:val="4"/>
          <w:sz w:val="22"/>
          <w:szCs w:val="22"/>
        </w:rPr>
        <w:br/>
      </w:r>
      <w:r w:rsidRPr="00F40707">
        <w:rPr>
          <w:rFonts w:ascii="Lato" w:hAnsi="Lato" w:cs="Arial"/>
          <w:bCs/>
          <w:spacing w:val="4"/>
          <w:sz w:val="22"/>
          <w:szCs w:val="22"/>
        </w:rPr>
        <w:t>o Centralnym Porcie Komunikacyjnym</w:t>
      </w:r>
      <w:r w:rsidRPr="004B6BA3">
        <w:rPr>
          <w:rFonts w:ascii="Lato" w:hAnsi="Lato" w:cs="Arial"/>
          <w:bCs/>
          <w:spacing w:val="4"/>
          <w:sz w:val="22"/>
          <w:szCs w:val="22"/>
        </w:rPr>
        <w:t xml:space="preserve">, </w:t>
      </w:r>
      <w:r w:rsidR="004E70E9" w:rsidRPr="00F40707">
        <w:rPr>
          <w:rFonts w:ascii="Lato" w:hAnsi="Lato" w:cs="Arial"/>
          <w:bCs/>
          <w:spacing w:val="4"/>
          <w:sz w:val="22"/>
          <w:szCs w:val="22"/>
        </w:rPr>
        <w:t xml:space="preserve">ustanawiam służebności przejazdu </w:t>
      </w:r>
      <w:r w:rsidR="008D4E66" w:rsidRPr="004B6BA3">
        <w:rPr>
          <w:rFonts w:ascii="Lato" w:hAnsi="Lato" w:cs="Arial"/>
          <w:bCs/>
          <w:spacing w:val="4"/>
          <w:sz w:val="22"/>
          <w:szCs w:val="22"/>
        </w:rPr>
        <w:br/>
      </w:r>
      <w:r w:rsidR="004E70E9" w:rsidRPr="00F40707">
        <w:rPr>
          <w:rFonts w:ascii="Lato" w:hAnsi="Lato" w:cs="Arial"/>
          <w:bCs/>
          <w:spacing w:val="4"/>
          <w:sz w:val="22"/>
          <w:szCs w:val="22"/>
        </w:rPr>
        <w:t xml:space="preserve">i przechodu </w:t>
      </w:r>
      <w:r w:rsidRPr="00F40707">
        <w:rPr>
          <w:rFonts w:ascii="Lato" w:hAnsi="Lato" w:cs="Arial"/>
          <w:bCs/>
          <w:spacing w:val="4"/>
          <w:sz w:val="22"/>
          <w:szCs w:val="22"/>
        </w:rPr>
        <w:t>w następujący sposób</w:t>
      </w:r>
      <w:r w:rsidR="004E70E9" w:rsidRPr="00F40707">
        <w:rPr>
          <w:rFonts w:ascii="Lato" w:hAnsi="Lato" w:cs="Arial"/>
          <w:bCs/>
          <w:spacing w:val="4"/>
          <w:sz w:val="22"/>
          <w:szCs w:val="22"/>
        </w:rPr>
        <w:t>:</w:t>
      </w:r>
    </w:p>
    <w:p w14:paraId="7C546D69" w14:textId="7CDD5032" w:rsidR="002A0F2E" w:rsidRPr="004B6BA3" w:rsidRDefault="002A0F2E" w:rsidP="00F40707">
      <w:pPr>
        <w:pStyle w:val="Akapitzlist"/>
        <w:numPr>
          <w:ilvl w:val="3"/>
          <w:numId w:val="1"/>
        </w:numPr>
        <w:tabs>
          <w:tab w:val="left" w:pos="426"/>
        </w:tabs>
        <w:spacing w:after="120" w:line="240" w:lineRule="exact"/>
        <w:ind w:left="993"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245/3, z obrębu 0020 Strumiany Dolne, gmina Baranów (nieruchomość władnąca) dostęp do drogi publicznej – droga gminna </w:t>
      </w:r>
      <w:r w:rsidR="00983042" w:rsidRPr="00F40707">
        <w:rPr>
          <w:rFonts w:ascii="Lato" w:hAnsi="Lato" w:cs="Arial"/>
          <w:bCs/>
          <w:spacing w:val="4"/>
          <w:sz w:val="22"/>
          <w:szCs w:val="22"/>
        </w:rPr>
        <w:t xml:space="preserve">nr </w:t>
      </w:r>
      <w:r w:rsidRPr="004B6BA3">
        <w:rPr>
          <w:rFonts w:ascii="Lato" w:hAnsi="Lato" w:cs="Arial"/>
          <w:bCs/>
          <w:spacing w:val="4"/>
          <w:sz w:val="22"/>
          <w:szCs w:val="22"/>
        </w:rPr>
        <w:t xml:space="preserve">150102W – działka nr 55/2, z obrębu 0020 Strumiany Dolne, gmina Baranów zapewnia się poprzez ustanowienie służebności przejazdu </w:t>
      </w:r>
      <w:r w:rsidR="00983042" w:rsidRPr="00F40707">
        <w:rPr>
          <w:rFonts w:ascii="Lato" w:hAnsi="Lato" w:cs="Arial"/>
          <w:bCs/>
          <w:spacing w:val="4"/>
          <w:sz w:val="22"/>
          <w:szCs w:val="22"/>
        </w:rPr>
        <w:br/>
      </w:r>
      <w:r w:rsidRPr="004B6BA3">
        <w:rPr>
          <w:rFonts w:ascii="Lato" w:hAnsi="Lato" w:cs="Arial"/>
          <w:bCs/>
          <w:spacing w:val="4"/>
          <w:sz w:val="22"/>
          <w:szCs w:val="22"/>
        </w:rPr>
        <w:t>i przechodu po drodze wewnętrznej, której przebieg zostanie wyznaczony przez właściciela nieruchomości obciążonej przez działki:</w:t>
      </w:r>
    </w:p>
    <w:p w14:paraId="4DF64A42" w14:textId="77777777" w:rsidR="002A0F2E" w:rsidRPr="004B6BA3" w:rsidRDefault="002A0F2E" w:rsidP="00F40707">
      <w:pPr>
        <w:pStyle w:val="Akapitzlist"/>
        <w:numPr>
          <w:ilvl w:val="0"/>
          <w:numId w:val="8"/>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241/1, z obrębu 0020 Strumiany Dolne, gmina Baranów (nieruchomość obciążona),</w:t>
      </w:r>
    </w:p>
    <w:p w14:paraId="7C8B9C37" w14:textId="77777777" w:rsidR="002A0F2E" w:rsidRPr="004B6BA3" w:rsidRDefault="002A0F2E" w:rsidP="00F40707">
      <w:pPr>
        <w:pStyle w:val="Akapitzlist"/>
        <w:numPr>
          <w:ilvl w:val="0"/>
          <w:numId w:val="8"/>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242/1, z obrębu 0020 Strumiany Dolne, gmina Baranów (nieruchomość obciążona),</w:t>
      </w:r>
    </w:p>
    <w:p w14:paraId="12F4ECCF" w14:textId="77777777" w:rsidR="002A0F2E" w:rsidRPr="004B6BA3" w:rsidRDefault="002A0F2E" w:rsidP="00F40707">
      <w:pPr>
        <w:pStyle w:val="Akapitzlist"/>
        <w:numPr>
          <w:ilvl w:val="0"/>
          <w:numId w:val="8"/>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245/2, z obrębu 0020 Strumiany Dolne, gmina Baranów (nieruchomość obciążona),</w:t>
      </w:r>
    </w:p>
    <w:p w14:paraId="592D7A5E" w14:textId="77777777" w:rsidR="002A0F2E" w:rsidRPr="004B6BA3" w:rsidRDefault="002A0F2E" w:rsidP="00F40707">
      <w:pPr>
        <w:pStyle w:val="Akapitzlist"/>
        <w:numPr>
          <w:ilvl w:val="0"/>
          <w:numId w:val="8"/>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533/2, z obrębu 0020 Strumiany Dolne, gmina Baranów (nieruchomość obciążona),</w:t>
      </w:r>
    </w:p>
    <w:p w14:paraId="40BC58B1" w14:textId="1EC719B7" w:rsidR="002A0F2E" w:rsidRPr="004B6BA3" w:rsidRDefault="002A0F2E" w:rsidP="00F40707">
      <w:pPr>
        <w:pStyle w:val="Akapitzlist"/>
        <w:numPr>
          <w:ilvl w:val="0"/>
          <w:numId w:val="8"/>
        </w:numPr>
        <w:tabs>
          <w:tab w:val="left" w:pos="426"/>
        </w:tabs>
        <w:spacing w:after="120" w:line="240" w:lineRule="exact"/>
        <w:ind w:left="1276" w:hanging="283"/>
        <w:contextualSpacing w:val="0"/>
        <w:jc w:val="both"/>
        <w:rPr>
          <w:rFonts w:ascii="Lato" w:hAnsi="Lato" w:cs="Arial"/>
          <w:bCs/>
          <w:spacing w:val="4"/>
          <w:sz w:val="22"/>
          <w:szCs w:val="22"/>
        </w:rPr>
      </w:pPr>
      <w:r w:rsidRPr="004B6BA3">
        <w:rPr>
          <w:rFonts w:ascii="Lato" w:hAnsi="Lato" w:cs="Arial"/>
          <w:bCs/>
          <w:spacing w:val="4"/>
          <w:sz w:val="22"/>
          <w:szCs w:val="22"/>
        </w:rPr>
        <w:t>nr 55/1, z obrębu 0020 Strumiany Dolne, gmina Baranów (nieruchomość obciążona)</w:t>
      </w:r>
      <w:r w:rsidR="00D41C91" w:rsidRPr="004B6BA3">
        <w:rPr>
          <w:rFonts w:ascii="Lato" w:hAnsi="Lato" w:cs="Arial"/>
          <w:bCs/>
          <w:spacing w:val="4"/>
          <w:sz w:val="22"/>
          <w:szCs w:val="22"/>
        </w:rPr>
        <w:t>.</w:t>
      </w:r>
    </w:p>
    <w:p w14:paraId="14A35166" w14:textId="63E0364F" w:rsidR="002A0F2E" w:rsidRPr="004B6BA3" w:rsidRDefault="002A0F2E" w:rsidP="00F40707">
      <w:pPr>
        <w:pStyle w:val="Akapitzlist"/>
        <w:numPr>
          <w:ilvl w:val="3"/>
          <w:numId w:val="1"/>
        </w:numPr>
        <w:tabs>
          <w:tab w:val="left" w:pos="426"/>
        </w:tabs>
        <w:spacing w:after="120" w:line="240" w:lineRule="exact"/>
        <w:ind w:left="993"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246/2, z obrębu 0020 Strumiany Dolne, gmina Baranów (nieruchomość władnąca) dostęp do drogi publicznej – droga gminna </w:t>
      </w:r>
      <w:r w:rsidR="00983042" w:rsidRPr="00F40707">
        <w:rPr>
          <w:rFonts w:ascii="Lato" w:hAnsi="Lato" w:cs="Arial"/>
          <w:bCs/>
          <w:spacing w:val="4"/>
          <w:sz w:val="22"/>
          <w:szCs w:val="22"/>
        </w:rPr>
        <w:t xml:space="preserve">nr </w:t>
      </w:r>
      <w:r w:rsidRPr="004B6BA3">
        <w:rPr>
          <w:rFonts w:ascii="Lato" w:hAnsi="Lato" w:cs="Arial"/>
          <w:bCs/>
          <w:spacing w:val="4"/>
          <w:sz w:val="22"/>
          <w:szCs w:val="22"/>
        </w:rPr>
        <w:t xml:space="preserve">150102W – działka nr 55/2, z obrębu 0020 Strumiany Dolne, gmina Baranów zapewnia się poprzez ustanowienie służebności przejazdu </w:t>
      </w:r>
      <w:r w:rsidR="00983042" w:rsidRPr="00F40707">
        <w:rPr>
          <w:rFonts w:ascii="Lato" w:hAnsi="Lato" w:cs="Arial"/>
          <w:bCs/>
          <w:spacing w:val="4"/>
          <w:sz w:val="22"/>
          <w:szCs w:val="22"/>
        </w:rPr>
        <w:br/>
      </w:r>
      <w:r w:rsidRPr="004B6BA3">
        <w:rPr>
          <w:rFonts w:ascii="Lato" w:hAnsi="Lato" w:cs="Arial"/>
          <w:bCs/>
          <w:spacing w:val="4"/>
          <w:sz w:val="22"/>
          <w:szCs w:val="22"/>
        </w:rPr>
        <w:t>i przechodu po drodze wewnętrznej, której przebieg zostanie wyznaczony przez właściciela nieruchomości obciążonej przez działki:</w:t>
      </w:r>
    </w:p>
    <w:p w14:paraId="58767A63" w14:textId="77777777" w:rsidR="002A0F2E" w:rsidRPr="004B6BA3" w:rsidRDefault="002A0F2E" w:rsidP="00F40707">
      <w:pPr>
        <w:pStyle w:val="Akapitzlist"/>
        <w:numPr>
          <w:ilvl w:val="0"/>
          <w:numId w:val="13"/>
        </w:numPr>
        <w:tabs>
          <w:tab w:val="left" w:pos="993"/>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241/1, z obrębu 0020 Strumiany Dolne, gmina Baranów (nieruchomość obciążona),</w:t>
      </w:r>
    </w:p>
    <w:p w14:paraId="54421AFB" w14:textId="77777777" w:rsidR="002A0F2E" w:rsidRPr="004B6BA3" w:rsidRDefault="002A0F2E" w:rsidP="00F40707">
      <w:pPr>
        <w:pStyle w:val="Akapitzlist"/>
        <w:numPr>
          <w:ilvl w:val="0"/>
          <w:numId w:val="13"/>
        </w:numPr>
        <w:tabs>
          <w:tab w:val="left" w:pos="993"/>
        </w:tabs>
        <w:ind w:left="1276" w:hanging="283"/>
        <w:contextualSpacing w:val="0"/>
        <w:jc w:val="both"/>
        <w:rPr>
          <w:rFonts w:ascii="Lato" w:hAnsi="Lato" w:cs="Arial"/>
          <w:bCs/>
          <w:spacing w:val="4"/>
          <w:sz w:val="22"/>
          <w:szCs w:val="22"/>
        </w:rPr>
      </w:pPr>
      <w:r w:rsidRPr="004B6BA3">
        <w:rPr>
          <w:rFonts w:ascii="Lato" w:hAnsi="Lato" w:cs="Arial"/>
          <w:bCs/>
          <w:spacing w:val="4"/>
          <w:sz w:val="22"/>
          <w:szCs w:val="22"/>
        </w:rPr>
        <w:t>nr 242/1, z obrębu 0020 Strumiany Dolne, gmina Baranów (nieruchomość obciążona),</w:t>
      </w:r>
    </w:p>
    <w:p w14:paraId="0711E20F" w14:textId="77777777" w:rsidR="002A0F2E" w:rsidRPr="004B6BA3" w:rsidRDefault="002A0F2E" w:rsidP="00F40707">
      <w:pPr>
        <w:pStyle w:val="Akapitzlist"/>
        <w:numPr>
          <w:ilvl w:val="0"/>
          <w:numId w:val="13"/>
        </w:numPr>
        <w:tabs>
          <w:tab w:val="left" w:pos="993"/>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245/2, z obrębu 0020 Strumiany Dolne, gmina Baranów (nieruchomość obciążona),</w:t>
      </w:r>
    </w:p>
    <w:p w14:paraId="541A08E1" w14:textId="77777777" w:rsidR="002A0F2E" w:rsidRPr="004B6BA3" w:rsidRDefault="002A0F2E" w:rsidP="00F40707">
      <w:pPr>
        <w:pStyle w:val="Akapitzlist"/>
        <w:numPr>
          <w:ilvl w:val="0"/>
          <w:numId w:val="13"/>
        </w:numPr>
        <w:tabs>
          <w:tab w:val="left" w:pos="993"/>
        </w:tabs>
        <w:ind w:left="1276" w:hanging="283"/>
        <w:contextualSpacing w:val="0"/>
        <w:jc w:val="both"/>
        <w:rPr>
          <w:rFonts w:ascii="Lato" w:hAnsi="Lato" w:cs="Arial"/>
          <w:bCs/>
          <w:spacing w:val="4"/>
          <w:sz w:val="22"/>
          <w:szCs w:val="22"/>
        </w:rPr>
      </w:pPr>
      <w:r w:rsidRPr="004B6BA3">
        <w:rPr>
          <w:rFonts w:ascii="Lato" w:hAnsi="Lato" w:cs="Arial"/>
          <w:bCs/>
          <w:spacing w:val="4"/>
          <w:sz w:val="22"/>
          <w:szCs w:val="22"/>
        </w:rPr>
        <w:t>nr 246/1, z obrębu 0020 Strumiany Dolne, gmina Baranów (nieruchomość obciążona),</w:t>
      </w:r>
    </w:p>
    <w:p w14:paraId="05D378C2" w14:textId="77777777" w:rsidR="002A0F2E" w:rsidRPr="004B6BA3" w:rsidRDefault="002A0F2E" w:rsidP="00F40707">
      <w:pPr>
        <w:pStyle w:val="Akapitzlist"/>
        <w:numPr>
          <w:ilvl w:val="0"/>
          <w:numId w:val="13"/>
        </w:numPr>
        <w:tabs>
          <w:tab w:val="left" w:pos="993"/>
        </w:tabs>
        <w:ind w:left="1276" w:hanging="283"/>
        <w:contextualSpacing w:val="0"/>
        <w:jc w:val="both"/>
        <w:rPr>
          <w:rFonts w:ascii="Lato" w:hAnsi="Lato" w:cs="Arial"/>
          <w:bCs/>
          <w:spacing w:val="4"/>
          <w:sz w:val="22"/>
          <w:szCs w:val="22"/>
        </w:rPr>
      </w:pPr>
      <w:r w:rsidRPr="004B6BA3">
        <w:rPr>
          <w:rFonts w:ascii="Lato" w:hAnsi="Lato" w:cs="Arial"/>
          <w:bCs/>
          <w:spacing w:val="4"/>
          <w:sz w:val="22"/>
          <w:szCs w:val="22"/>
        </w:rPr>
        <w:t>nr 533/2, z obrębu 0020 Strumiany Dolne, gmina Baranów (nieruchomość obciążona),</w:t>
      </w:r>
    </w:p>
    <w:p w14:paraId="1CCC55DD" w14:textId="573249B6" w:rsidR="002A0F2E" w:rsidRPr="004B6BA3" w:rsidRDefault="002A0F2E" w:rsidP="00F40707">
      <w:pPr>
        <w:pStyle w:val="Akapitzlist"/>
        <w:numPr>
          <w:ilvl w:val="0"/>
          <w:numId w:val="13"/>
        </w:numPr>
        <w:tabs>
          <w:tab w:val="left" w:pos="993"/>
        </w:tabs>
        <w:spacing w:after="120" w:line="240" w:lineRule="exact"/>
        <w:ind w:left="1276" w:hanging="283"/>
        <w:contextualSpacing w:val="0"/>
        <w:jc w:val="both"/>
        <w:rPr>
          <w:rFonts w:ascii="Lato" w:hAnsi="Lato" w:cs="Arial"/>
          <w:bCs/>
          <w:spacing w:val="4"/>
          <w:sz w:val="22"/>
          <w:szCs w:val="22"/>
        </w:rPr>
      </w:pPr>
      <w:r w:rsidRPr="004B6BA3">
        <w:rPr>
          <w:rFonts w:ascii="Lato" w:hAnsi="Lato" w:cs="Arial"/>
          <w:bCs/>
          <w:spacing w:val="4"/>
          <w:sz w:val="22"/>
          <w:szCs w:val="22"/>
        </w:rPr>
        <w:t>nr 55/1, z obrębu 0020 Strumiany Dolne, gmina Baranów (nieruchomość obciążona)</w:t>
      </w:r>
      <w:r w:rsidR="00D41C91" w:rsidRPr="004B6BA3">
        <w:rPr>
          <w:rFonts w:ascii="Lato" w:hAnsi="Lato" w:cs="Arial"/>
          <w:bCs/>
          <w:spacing w:val="4"/>
          <w:sz w:val="22"/>
          <w:szCs w:val="22"/>
        </w:rPr>
        <w:t>.</w:t>
      </w:r>
    </w:p>
    <w:p w14:paraId="6606B947" w14:textId="58F6CEA9" w:rsidR="002A0F2E" w:rsidRPr="004B6BA3" w:rsidRDefault="002A0F2E" w:rsidP="00F40707">
      <w:pPr>
        <w:pStyle w:val="Akapitzlist"/>
        <w:numPr>
          <w:ilvl w:val="0"/>
          <w:numId w:val="10"/>
        </w:numPr>
        <w:tabs>
          <w:tab w:val="left" w:pos="426"/>
        </w:tabs>
        <w:spacing w:after="120" w:line="240" w:lineRule="exact"/>
        <w:ind w:left="993"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251/2, z obrębu 0020 Strumiany Dolne, gmina Baranów (nieruchomość władnąca) dostęp do drogi publicznej – droga gminna </w:t>
      </w:r>
      <w:r w:rsidR="00983042" w:rsidRPr="00F40707">
        <w:rPr>
          <w:rFonts w:ascii="Lato" w:hAnsi="Lato" w:cs="Arial"/>
          <w:bCs/>
          <w:spacing w:val="4"/>
          <w:sz w:val="22"/>
          <w:szCs w:val="22"/>
        </w:rPr>
        <w:t xml:space="preserve">nr </w:t>
      </w:r>
      <w:r w:rsidRPr="004B6BA3">
        <w:rPr>
          <w:rFonts w:ascii="Lato" w:hAnsi="Lato" w:cs="Arial"/>
          <w:bCs/>
          <w:spacing w:val="4"/>
          <w:sz w:val="22"/>
          <w:szCs w:val="22"/>
        </w:rPr>
        <w:t xml:space="preserve">150102W – działka nr 55/2, z obrębu 0020 Strumiany Dolne, gmina Baranów zapewnia się poprzez ustanowienie służebności przejazdu </w:t>
      </w:r>
      <w:r w:rsidR="00983042" w:rsidRPr="00F40707">
        <w:rPr>
          <w:rFonts w:ascii="Lato" w:hAnsi="Lato" w:cs="Arial"/>
          <w:bCs/>
          <w:spacing w:val="4"/>
          <w:sz w:val="22"/>
          <w:szCs w:val="22"/>
        </w:rPr>
        <w:br/>
      </w:r>
      <w:r w:rsidRPr="004B6BA3">
        <w:rPr>
          <w:rFonts w:ascii="Lato" w:hAnsi="Lato" w:cs="Arial"/>
          <w:bCs/>
          <w:spacing w:val="4"/>
          <w:sz w:val="22"/>
          <w:szCs w:val="22"/>
        </w:rPr>
        <w:t>i przechodu po drodze wewnętrznej, której przebieg zostanie wyznaczony przez właściciela nieruchomości obciążonej przez działki:</w:t>
      </w:r>
    </w:p>
    <w:p w14:paraId="2AFEC943" w14:textId="77777777" w:rsidR="002A0F2E" w:rsidRPr="004B6BA3" w:rsidRDefault="002A0F2E" w:rsidP="00F40707">
      <w:pPr>
        <w:pStyle w:val="Akapitzlist"/>
        <w:numPr>
          <w:ilvl w:val="0"/>
          <w:numId w:val="11"/>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241/1, z obrębu 0020 Strumiany Dolne, gmina Baranów (nieruchomość obciążona),</w:t>
      </w:r>
    </w:p>
    <w:p w14:paraId="0B7BDB78" w14:textId="77777777" w:rsidR="002A0F2E" w:rsidRPr="004B6BA3" w:rsidRDefault="002A0F2E" w:rsidP="00F40707">
      <w:pPr>
        <w:pStyle w:val="Akapitzlist"/>
        <w:numPr>
          <w:ilvl w:val="0"/>
          <w:numId w:val="11"/>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242/1, z obrębu 0020 Strumiany Dolne, gmina Baranów (nieruchomość obciążona),</w:t>
      </w:r>
    </w:p>
    <w:p w14:paraId="299F530D" w14:textId="77777777" w:rsidR="002A0F2E" w:rsidRPr="004B6BA3" w:rsidRDefault="002A0F2E" w:rsidP="00F40707">
      <w:pPr>
        <w:pStyle w:val="Akapitzlist"/>
        <w:numPr>
          <w:ilvl w:val="0"/>
          <w:numId w:val="11"/>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245/2, z obrębu 0020 Strumiany Dolne, gmina Baranów (nieruchomość obciążona),</w:t>
      </w:r>
    </w:p>
    <w:p w14:paraId="6041E5FF" w14:textId="77777777" w:rsidR="002A0F2E" w:rsidRPr="004B6BA3" w:rsidRDefault="002A0F2E" w:rsidP="00F40707">
      <w:pPr>
        <w:pStyle w:val="Akapitzlist"/>
        <w:numPr>
          <w:ilvl w:val="0"/>
          <w:numId w:val="11"/>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246/1, z obrębu 0020 Strumiany Dolne, gmina Baranów (nieruchomość obciążona),</w:t>
      </w:r>
    </w:p>
    <w:p w14:paraId="5B216464" w14:textId="77777777" w:rsidR="002A0F2E" w:rsidRPr="004B6BA3" w:rsidRDefault="002A0F2E" w:rsidP="00F40707">
      <w:pPr>
        <w:pStyle w:val="Akapitzlist"/>
        <w:numPr>
          <w:ilvl w:val="0"/>
          <w:numId w:val="11"/>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247/1, z obrębu 0020 Strumiany Dolne, gmina Baranów (nieruchomość obciążona),</w:t>
      </w:r>
    </w:p>
    <w:p w14:paraId="2B153ABA" w14:textId="77777777" w:rsidR="002A0F2E" w:rsidRPr="004B6BA3" w:rsidRDefault="002A0F2E" w:rsidP="00F40707">
      <w:pPr>
        <w:pStyle w:val="Akapitzlist"/>
        <w:numPr>
          <w:ilvl w:val="0"/>
          <w:numId w:val="11"/>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248/1, z obrębu 0020 Strumiany Dolne, gmina Baranów (nieruchomość obciążona),</w:t>
      </w:r>
    </w:p>
    <w:p w14:paraId="687AC8B6" w14:textId="77777777" w:rsidR="002A0F2E" w:rsidRPr="004B6BA3" w:rsidRDefault="002A0F2E" w:rsidP="00F40707">
      <w:pPr>
        <w:pStyle w:val="Akapitzlist"/>
        <w:numPr>
          <w:ilvl w:val="0"/>
          <w:numId w:val="11"/>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249/1, z obrębu 0020 Strumiany Dolne, gmina Baranów (nieruchomość obciążona),</w:t>
      </w:r>
    </w:p>
    <w:p w14:paraId="4972D179" w14:textId="77777777" w:rsidR="002A0F2E" w:rsidRPr="004B6BA3" w:rsidRDefault="002A0F2E" w:rsidP="00F40707">
      <w:pPr>
        <w:pStyle w:val="Akapitzlist"/>
        <w:numPr>
          <w:ilvl w:val="0"/>
          <w:numId w:val="11"/>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250/1, z obrębu 0020 Strumiany Dolne, gmina Baranów (nieruchomość obciążona),</w:t>
      </w:r>
    </w:p>
    <w:p w14:paraId="54DAE340" w14:textId="77777777" w:rsidR="002A0F2E" w:rsidRPr="004B6BA3" w:rsidRDefault="002A0F2E" w:rsidP="00F40707">
      <w:pPr>
        <w:pStyle w:val="Akapitzlist"/>
        <w:numPr>
          <w:ilvl w:val="0"/>
          <w:numId w:val="11"/>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251/1, z obrębu 0020 Strumiany Dolne, gmina Baranów (nieruchomość obciążona),</w:t>
      </w:r>
    </w:p>
    <w:p w14:paraId="6C4CF559" w14:textId="77777777" w:rsidR="002A0F2E" w:rsidRPr="004B6BA3" w:rsidRDefault="002A0F2E" w:rsidP="00F40707">
      <w:pPr>
        <w:pStyle w:val="Akapitzlist"/>
        <w:numPr>
          <w:ilvl w:val="0"/>
          <w:numId w:val="11"/>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533/2, z obrębu 0020 Strumiany Dolne, gmina Baranów (nieruchomość obciążona),</w:t>
      </w:r>
    </w:p>
    <w:p w14:paraId="5F6D5523" w14:textId="3F42A8DA" w:rsidR="002A0F2E" w:rsidRPr="004B6BA3" w:rsidRDefault="002A0F2E" w:rsidP="00F40707">
      <w:pPr>
        <w:pStyle w:val="Akapitzlist"/>
        <w:numPr>
          <w:ilvl w:val="0"/>
          <w:numId w:val="11"/>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55/1, z obrębu 0020 Strumiany Dolne, gmina Baranów (nieruchomość obciążona)</w:t>
      </w:r>
      <w:r w:rsidR="00D41C91" w:rsidRPr="004B6BA3">
        <w:rPr>
          <w:rFonts w:ascii="Lato" w:hAnsi="Lato" w:cs="Arial"/>
          <w:bCs/>
          <w:spacing w:val="4"/>
          <w:sz w:val="22"/>
          <w:szCs w:val="22"/>
        </w:rPr>
        <w:t>.</w:t>
      </w:r>
    </w:p>
    <w:p w14:paraId="0067F8A9" w14:textId="12EC7B64" w:rsidR="002A0F2E" w:rsidRPr="004B6BA3" w:rsidRDefault="002A0F2E" w:rsidP="00F40707">
      <w:pPr>
        <w:pStyle w:val="Akapitzlist"/>
        <w:numPr>
          <w:ilvl w:val="0"/>
          <w:numId w:val="10"/>
        </w:numPr>
        <w:spacing w:after="120" w:line="240" w:lineRule="exact"/>
        <w:ind w:left="993"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261/2, z obrębu 0020 Strumiany Dolne, gmina Baranów (nieruchomość władnąca) dostęp do drogi publicznej – droga gminna </w:t>
      </w:r>
      <w:r w:rsidR="00983042" w:rsidRPr="00F40707">
        <w:rPr>
          <w:rFonts w:ascii="Lato" w:hAnsi="Lato" w:cs="Arial"/>
          <w:bCs/>
          <w:spacing w:val="4"/>
          <w:sz w:val="22"/>
          <w:szCs w:val="22"/>
        </w:rPr>
        <w:t xml:space="preserve">nr </w:t>
      </w:r>
      <w:r w:rsidRPr="004B6BA3">
        <w:rPr>
          <w:rFonts w:ascii="Lato" w:hAnsi="Lato" w:cs="Arial"/>
          <w:bCs/>
          <w:spacing w:val="4"/>
          <w:sz w:val="22"/>
          <w:szCs w:val="22"/>
        </w:rPr>
        <w:t xml:space="preserve">150102W – działka nr 55/2, z obrębu 0020 Strumiany Dolne, gmina Baranów zapewnia się poprzez ustanowienie służebności przejazdu </w:t>
      </w:r>
      <w:r w:rsidR="00983042" w:rsidRPr="00F40707">
        <w:rPr>
          <w:rFonts w:ascii="Lato" w:hAnsi="Lato" w:cs="Arial"/>
          <w:bCs/>
          <w:spacing w:val="4"/>
          <w:sz w:val="22"/>
          <w:szCs w:val="22"/>
        </w:rPr>
        <w:br/>
      </w:r>
      <w:r w:rsidRPr="004B6BA3">
        <w:rPr>
          <w:rFonts w:ascii="Lato" w:hAnsi="Lato" w:cs="Arial"/>
          <w:bCs/>
          <w:spacing w:val="4"/>
          <w:sz w:val="22"/>
          <w:szCs w:val="22"/>
        </w:rPr>
        <w:t>i przechodu po drodze wewnętrznej, której przebieg zostanie wyznaczony przez właściciela nieruchomości obciążonej przez działki:</w:t>
      </w:r>
    </w:p>
    <w:p w14:paraId="2FBB0FD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235/1, z obrębu 0020 Strumiany Dolne, gmina Baranów (nieruchomość obciążona),</w:t>
      </w:r>
    </w:p>
    <w:p w14:paraId="365A5CA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236/1, z obrębu 0020 Strumiany Dolne, gmina Baranów (nieruchomość obciążona),</w:t>
      </w:r>
    </w:p>
    <w:p w14:paraId="43A2575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237/1, z obrębu 0020 Strumiany Dolne, gmina Baranów (nieruchomość obciążona),</w:t>
      </w:r>
    </w:p>
    <w:p w14:paraId="45FCFC5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238/1, z obrębu 0020 Strumiany Dolne, gmina Baranów (nieruchomość obciążona),</w:t>
      </w:r>
    </w:p>
    <w:p w14:paraId="156A8D9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239/1, z obrębu 0020 Strumiany Dolne, gmina Baranów (nieruchomość obciążona),</w:t>
      </w:r>
    </w:p>
    <w:p w14:paraId="33C6EC3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240/1, z obrębu 0020 Strumiany Dolne, gmina Baranów (nieruchomość obciążona),</w:t>
      </w:r>
    </w:p>
    <w:p w14:paraId="715FE3D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243/1, z obrębu 0020 Strumiany Dolne, gmina Baranów (nieruchomość obciążona),</w:t>
      </w:r>
    </w:p>
    <w:p w14:paraId="06B3EF3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261/1, z obrębu 0020 Strumiany Dolne, gmina Baranów (nieruchomość obciążona),</w:t>
      </w:r>
    </w:p>
    <w:p w14:paraId="3FEC070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262/1, z obrębu 0020 Strumiany Dolne, gmina Baranów (nieruchomość obciążona),</w:t>
      </w:r>
    </w:p>
    <w:p w14:paraId="5CD6D51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268/1, z obrębu 0020 Strumiany Dolne, gmina Baranów (nieruchomość obciążona),</w:t>
      </w:r>
    </w:p>
    <w:p w14:paraId="38BA822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271/2, z obrębu 0020 Strumiany Dolne, gmina Baranów (nieruchomość obciążona),</w:t>
      </w:r>
    </w:p>
    <w:p w14:paraId="661F794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276/1, z obrębu 0020 Strumiany Dolne, gmina Baranów (nieruchomość obciążona),</w:t>
      </w:r>
    </w:p>
    <w:p w14:paraId="607D006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277/1, z obrębu 0020 Strumiany Dolne, gmina Baranów (nieruchomość obciążona),</w:t>
      </w:r>
    </w:p>
    <w:p w14:paraId="36850DD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278/1, z obrębu 0020 Strumiany Dolne, gmina Baranów (nieruchomość obciążona),</w:t>
      </w:r>
    </w:p>
    <w:p w14:paraId="2970C13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279/1, z obrębu 0020 Strumiany Dolne, gmina Baranów (nieruchomość obciążona),</w:t>
      </w:r>
    </w:p>
    <w:p w14:paraId="65B0C86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280, z obrębu 0020 Strumiany Dolne, gmina Baranów (nieruchomość obciążona),</w:t>
      </w:r>
    </w:p>
    <w:p w14:paraId="4A04C91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281, z obrębu 0020 Strumiany Dolne, gmina Baranów (nieruchomość obciążona),</w:t>
      </w:r>
    </w:p>
    <w:p w14:paraId="34A387F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289, z obrębu 0020 Strumiany Dolne, gmina Baranów (nieruchomość obciążona),</w:t>
      </w:r>
    </w:p>
    <w:p w14:paraId="00A3FE4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528/1, z obrębu 0020 Strumiany Dolne, gmina Baranów (nieruchomość obciążona),</w:t>
      </w:r>
    </w:p>
    <w:p w14:paraId="2E5F953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532/1, z obrębu 0020 Strumiany Dolne, gmina Baranów (nieruchomość obciążona),</w:t>
      </w:r>
    </w:p>
    <w:p w14:paraId="23EBE5C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548/3, z obrębu 0020 Strumiany Dolne, gmina Baranów (nieruchomość obciążona),</w:t>
      </w:r>
    </w:p>
    <w:p w14:paraId="2BDBBCC2" w14:textId="7B5495F3"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55/1, z obrębu 0020 Strumiany Dolne, gmina Baranów (nieruchomość obciążona)</w:t>
      </w:r>
      <w:r w:rsidR="00B522E9" w:rsidRPr="004B6BA3">
        <w:rPr>
          <w:rFonts w:ascii="Lato" w:hAnsi="Lato" w:cs="Arial"/>
          <w:bCs/>
          <w:spacing w:val="4"/>
          <w:sz w:val="22"/>
          <w:szCs w:val="22"/>
        </w:rPr>
        <w:t>.</w:t>
      </w:r>
    </w:p>
    <w:p w14:paraId="27E5210D" w14:textId="489DB2C9" w:rsidR="002A0F2E" w:rsidRPr="004B6BA3" w:rsidRDefault="002A0F2E" w:rsidP="00F40707">
      <w:pPr>
        <w:pStyle w:val="Akapitzlist"/>
        <w:numPr>
          <w:ilvl w:val="0"/>
          <w:numId w:val="10"/>
        </w:numPr>
        <w:spacing w:after="120" w:line="240" w:lineRule="exact"/>
        <w:ind w:left="993"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533/3, z obrębu 0020 Strumiany Dolne, gmina Baranów (nieruchomość władnąca) dostęp do drogi publicznej – droga gminna </w:t>
      </w:r>
      <w:r w:rsidR="00AE2EA1" w:rsidRPr="00F40707">
        <w:rPr>
          <w:rFonts w:ascii="Lato" w:hAnsi="Lato" w:cs="Arial"/>
          <w:bCs/>
          <w:spacing w:val="4"/>
          <w:sz w:val="22"/>
          <w:szCs w:val="22"/>
        </w:rPr>
        <w:t xml:space="preserve">nr </w:t>
      </w:r>
      <w:r w:rsidRPr="004B6BA3">
        <w:rPr>
          <w:rFonts w:ascii="Lato" w:hAnsi="Lato" w:cs="Arial"/>
          <w:bCs/>
          <w:spacing w:val="4"/>
          <w:sz w:val="22"/>
          <w:szCs w:val="22"/>
        </w:rPr>
        <w:t xml:space="preserve">150102W – działka nr 55/2, z obrębu 0020 Strumiany Dolne, gmina Baranów zapewnia się poprzez ustanowienie służebności przejazdu </w:t>
      </w:r>
      <w:r w:rsidR="00AE2EA1" w:rsidRPr="00F40707">
        <w:rPr>
          <w:rFonts w:ascii="Lato" w:hAnsi="Lato" w:cs="Arial"/>
          <w:bCs/>
          <w:spacing w:val="4"/>
          <w:sz w:val="22"/>
          <w:szCs w:val="22"/>
        </w:rPr>
        <w:br/>
      </w:r>
      <w:r w:rsidRPr="004B6BA3">
        <w:rPr>
          <w:rFonts w:ascii="Lato" w:hAnsi="Lato" w:cs="Arial"/>
          <w:bCs/>
          <w:spacing w:val="4"/>
          <w:sz w:val="22"/>
          <w:szCs w:val="22"/>
        </w:rPr>
        <w:t>i przechodu po drodze wewnętrznej, której przebieg zostanie wyznaczony przez właściciela nieruchomości obciążonej przez działki:</w:t>
      </w:r>
    </w:p>
    <w:p w14:paraId="1C31C54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241/1, z obrębu 0020 Strumiany Dolne, gmina Baranów (nieruchomość obciążona),</w:t>
      </w:r>
    </w:p>
    <w:p w14:paraId="3C69226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242/1, z obrębu 0020 Strumiany Dolne, gmina Baranów (nieruchomość obciążona),</w:t>
      </w:r>
    </w:p>
    <w:p w14:paraId="285A563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533/2, z obrębu 0020 Strumiany Dolne, gmina Baranów (nieruchomość obciążona),</w:t>
      </w:r>
    </w:p>
    <w:p w14:paraId="2CAAA7B8" w14:textId="7709748C"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55/1, z obrębu 0020 Strumiany Dolne, gmina Baranów (nieruchomość obciążona)</w:t>
      </w:r>
      <w:r w:rsidR="00B522E9" w:rsidRPr="004B6BA3">
        <w:rPr>
          <w:rFonts w:ascii="Lato" w:hAnsi="Lato" w:cs="Arial"/>
          <w:bCs/>
          <w:spacing w:val="4"/>
          <w:sz w:val="22"/>
          <w:szCs w:val="22"/>
        </w:rPr>
        <w:t>.</w:t>
      </w:r>
    </w:p>
    <w:p w14:paraId="29F0FD9C" w14:textId="39A7F5DF" w:rsidR="002A0F2E" w:rsidRPr="004B6BA3" w:rsidRDefault="002A0F2E" w:rsidP="00F40707">
      <w:pPr>
        <w:pStyle w:val="Akapitzlist"/>
        <w:numPr>
          <w:ilvl w:val="0"/>
          <w:numId w:val="10"/>
        </w:numPr>
        <w:spacing w:after="120" w:line="240" w:lineRule="exact"/>
        <w:ind w:left="993"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33/2, z obrębu 0021 Wyczółki, gmina Baranów (nieruchomość władnąca) dostęp do drogi publicznej – droga gminna </w:t>
      </w:r>
      <w:r w:rsidR="00AE2EA1" w:rsidRPr="00F40707">
        <w:rPr>
          <w:rFonts w:ascii="Lato" w:hAnsi="Lato" w:cs="Arial"/>
          <w:bCs/>
          <w:spacing w:val="4"/>
          <w:sz w:val="22"/>
          <w:szCs w:val="22"/>
        </w:rPr>
        <w:br/>
        <w:t xml:space="preserve">nr </w:t>
      </w:r>
      <w:r w:rsidRPr="004B6BA3">
        <w:rPr>
          <w:rFonts w:ascii="Lato" w:hAnsi="Lato" w:cs="Arial"/>
          <w:bCs/>
          <w:spacing w:val="4"/>
          <w:sz w:val="22"/>
          <w:szCs w:val="22"/>
        </w:rPr>
        <w:t xml:space="preserve">150103W – działka nr 228/2, z obrębu 0021 Wyczółki, gmina Baranów zapewnia się poprzez ustanowienie służebności przejazdu i przechodu </w:t>
      </w:r>
      <w:r w:rsidR="00B522E9"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1D3E134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228/1, z obrębu 0021 Wyczółki, gmina Baranów (nieruchomość obciążona),</w:t>
      </w:r>
    </w:p>
    <w:p w14:paraId="7175665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30/1, z obrębu 0021 Wyczółki, gmina Baranów (nieruchomość obciążona),</w:t>
      </w:r>
    </w:p>
    <w:p w14:paraId="3FE3637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31/1, z obrębu 0021 Wyczółki, gmina Baranów (nieruchomość obciążona), </w:t>
      </w:r>
    </w:p>
    <w:p w14:paraId="116B492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32/3, z obrębu 0021 Wyczółki, gmina Baranów (nieruchomość obciążona),</w:t>
      </w:r>
    </w:p>
    <w:p w14:paraId="5BE2729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32/5, z obrębu 0021 Wyczółki, gmina Baranów (nieruchomość obciążona),</w:t>
      </w:r>
    </w:p>
    <w:p w14:paraId="19525296" w14:textId="40C92701"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33/1, z obrębu 0021 Wyczółki, gmina Baranów (nieruchomość obciążona)</w:t>
      </w:r>
      <w:r w:rsidR="00B522E9" w:rsidRPr="004B6BA3">
        <w:rPr>
          <w:rFonts w:ascii="Lato" w:hAnsi="Lato" w:cs="Arial"/>
          <w:bCs/>
          <w:spacing w:val="4"/>
          <w:sz w:val="22"/>
          <w:szCs w:val="22"/>
        </w:rPr>
        <w:t>.</w:t>
      </w:r>
    </w:p>
    <w:p w14:paraId="06370E86" w14:textId="492FD7A0" w:rsidR="002A0F2E" w:rsidRPr="004B6BA3" w:rsidRDefault="002A0F2E" w:rsidP="00F40707">
      <w:pPr>
        <w:pStyle w:val="Akapitzlist"/>
        <w:numPr>
          <w:ilvl w:val="0"/>
          <w:numId w:val="10"/>
        </w:numPr>
        <w:spacing w:after="120" w:line="240" w:lineRule="exact"/>
        <w:ind w:left="993"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262/3, z obrębu 0021 Wyczółki, gmina Baranów (nieruchomość władnąca) dostęp do drogi publicznej – droga gminna </w:t>
      </w:r>
      <w:r w:rsidR="00AE2EA1" w:rsidRPr="00F40707">
        <w:rPr>
          <w:rFonts w:ascii="Lato" w:hAnsi="Lato" w:cs="Arial"/>
          <w:bCs/>
          <w:spacing w:val="4"/>
          <w:sz w:val="22"/>
          <w:szCs w:val="22"/>
        </w:rPr>
        <w:br/>
        <w:t xml:space="preserve">nr </w:t>
      </w:r>
      <w:r w:rsidRPr="004B6BA3">
        <w:rPr>
          <w:rFonts w:ascii="Lato" w:hAnsi="Lato" w:cs="Arial"/>
          <w:bCs/>
          <w:spacing w:val="4"/>
          <w:sz w:val="22"/>
          <w:szCs w:val="22"/>
        </w:rPr>
        <w:t xml:space="preserve">150103W – działka nr 231/2, z obrębu 0021 Wyczółki, gmina Baranów zapewnia się poprzez ustanowienie służebności przejazdu i przechodu </w:t>
      </w:r>
      <w:r w:rsidR="00B522E9"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0934EFD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231/1, z obrębu 0021 Wyczółki, gmina Baranów (nieruchomość obciążona),</w:t>
      </w:r>
    </w:p>
    <w:p w14:paraId="4EE1D7A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262/1, z obręb 0021 Wyczółki, gmina Baranów (nieruchomość obciążona),</w:t>
      </w:r>
    </w:p>
    <w:p w14:paraId="491C207A" w14:textId="7FEA2CD9"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264/2, z obrębu 0021 Wyczółki, gmina Baranów (nieruchomość obciążona)</w:t>
      </w:r>
      <w:r w:rsidR="00B522E9" w:rsidRPr="004B6BA3">
        <w:rPr>
          <w:rFonts w:ascii="Lato" w:hAnsi="Lato" w:cs="Arial"/>
          <w:bCs/>
          <w:spacing w:val="4"/>
          <w:sz w:val="22"/>
          <w:szCs w:val="22"/>
        </w:rPr>
        <w:t>.</w:t>
      </w:r>
      <w:r w:rsidRPr="004B6BA3">
        <w:rPr>
          <w:rFonts w:ascii="Lato" w:hAnsi="Lato" w:cs="Arial"/>
          <w:bCs/>
          <w:spacing w:val="4"/>
          <w:sz w:val="22"/>
          <w:szCs w:val="22"/>
        </w:rPr>
        <w:t xml:space="preserve"> </w:t>
      </w:r>
    </w:p>
    <w:p w14:paraId="5716C23C" w14:textId="784D0986" w:rsidR="002A0F2E" w:rsidRPr="004B6BA3" w:rsidRDefault="002A0F2E" w:rsidP="00F40707">
      <w:pPr>
        <w:pStyle w:val="Akapitzlist"/>
        <w:numPr>
          <w:ilvl w:val="0"/>
          <w:numId w:val="10"/>
        </w:numPr>
        <w:spacing w:after="120" w:line="240" w:lineRule="exact"/>
        <w:ind w:left="993"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 xml:space="preserve">Dla właściciela działki nr 202/4, z obrębu 0023 Strumiany Górne, gmina Baranów (nieruchomość władnąca) dostęp do drogi publicznej – droga gminna </w:t>
      </w:r>
      <w:r w:rsidR="00AE2EA1" w:rsidRPr="004B6BA3">
        <w:rPr>
          <w:rFonts w:ascii="Lato" w:hAnsi="Lato" w:cs="Arial"/>
          <w:bCs/>
          <w:spacing w:val="4"/>
          <w:sz w:val="22"/>
          <w:szCs w:val="22"/>
        </w:rPr>
        <w:t xml:space="preserve">nr </w:t>
      </w:r>
      <w:r w:rsidRPr="004B6BA3">
        <w:rPr>
          <w:rFonts w:ascii="Lato" w:hAnsi="Lato" w:cs="Arial"/>
          <w:bCs/>
          <w:spacing w:val="4"/>
          <w:sz w:val="22"/>
          <w:szCs w:val="22"/>
        </w:rPr>
        <w:t xml:space="preserve">150102W – działka nr 181/2, z obrębu 0023 Strumiany Górne, gmina Baranów zapewnia się poprzez ustanowienie służebności przejazdu </w:t>
      </w:r>
      <w:r w:rsidR="00AE2EA1" w:rsidRPr="004B6BA3">
        <w:rPr>
          <w:rFonts w:ascii="Lato" w:hAnsi="Lato" w:cs="Arial"/>
          <w:bCs/>
          <w:spacing w:val="4"/>
          <w:sz w:val="22"/>
          <w:szCs w:val="22"/>
        </w:rPr>
        <w:br/>
      </w:r>
      <w:r w:rsidRPr="004B6BA3">
        <w:rPr>
          <w:rFonts w:ascii="Lato" w:hAnsi="Lato" w:cs="Arial"/>
          <w:bCs/>
          <w:spacing w:val="4"/>
          <w:sz w:val="22"/>
          <w:szCs w:val="22"/>
        </w:rPr>
        <w:t>i przechodu po drodze wewnętrznej, której przebieg zostanie wyznaczony przez właściciela nieruchomości obciążonej przez działki:</w:t>
      </w:r>
    </w:p>
    <w:p w14:paraId="1F26507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181/1, z obrębu 0023 Strumiany Górne, gmina Baranów (nieruchomość obciążona),</w:t>
      </w:r>
    </w:p>
    <w:p w14:paraId="1BE8ADF5" w14:textId="55C778B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202/3, z obrębu 0023 Strumiany Górne, gmina Baranów (nieruchomość obciążona)</w:t>
      </w:r>
      <w:r w:rsidR="00B522E9" w:rsidRPr="004B6BA3">
        <w:rPr>
          <w:rFonts w:ascii="Lato" w:hAnsi="Lato" w:cs="Arial"/>
          <w:bCs/>
          <w:spacing w:val="4"/>
          <w:sz w:val="22"/>
          <w:szCs w:val="22"/>
        </w:rPr>
        <w:t>.</w:t>
      </w:r>
    </w:p>
    <w:p w14:paraId="48665E9A" w14:textId="4F30255A" w:rsidR="002A0F2E" w:rsidRPr="004B6BA3" w:rsidRDefault="002A0F2E" w:rsidP="00F40707">
      <w:pPr>
        <w:pStyle w:val="Akapitzlist"/>
        <w:numPr>
          <w:ilvl w:val="0"/>
          <w:numId w:val="10"/>
        </w:numPr>
        <w:spacing w:after="120" w:line="240" w:lineRule="exact"/>
        <w:ind w:left="993"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219/2, z obrębu 0023 Strumiany Górne, gmina Baranów (nieruchomość władnąca) dostęp do drogi publicznej – droga gminna </w:t>
      </w:r>
      <w:r w:rsidR="00AE2EA1" w:rsidRPr="00F40707">
        <w:rPr>
          <w:rFonts w:ascii="Lato" w:hAnsi="Lato" w:cs="Arial"/>
          <w:bCs/>
          <w:spacing w:val="4"/>
          <w:sz w:val="22"/>
          <w:szCs w:val="22"/>
        </w:rPr>
        <w:t xml:space="preserve">nr </w:t>
      </w:r>
      <w:r w:rsidRPr="004B6BA3">
        <w:rPr>
          <w:rFonts w:ascii="Lato" w:hAnsi="Lato" w:cs="Arial"/>
          <w:bCs/>
          <w:spacing w:val="4"/>
          <w:sz w:val="22"/>
          <w:szCs w:val="22"/>
        </w:rPr>
        <w:t xml:space="preserve">150102W – działka nr 55/2, z obrębu 0020 Strumiany Dolne, gmina Baranów zapewnia się poprzez ustanowienie służebności przejazdu </w:t>
      </w:r>
      <w:r w:rsidR="00AE2EA1" w:rsidRPr="00F40707">
        <w:rPr>
          <w:rFonts w:ascii="Lato" w:hAnsi="Lato" w:cs="Arial"/>
          <w:bCs/>
          <w:spacing w:val="4"/>
          <w:sz w:val="22"/>
          <w:szCs w:val="22"/>
        </w:rPr>
        <w:br/>
      </w:r>
      <w:r w:rsidRPr="004B6BA3">
        <w:rPr>
          <w:rFonts w:ascii="Lato" w:hAnsi="Lato" w:cs="Arial"/>
          <w:bCs/>
          <w:spacing w:val="4"/>
          <w:sz w:val="22"/>
          <w:szCs w:val="22"/>
        </w:rPr>
        <w:t>i przechodu po drodze wewnętrznej, której przebieg zostanie wyznaczony przez właściciela nieruchomości obciążonej przez działki:</w:t>
      </w:r>
    </w:p>
    <w:p w14:paraId="1A48288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235/1, z obrębu 0020 Strumiany Dolne, gmina Baranów (nieruchomość obciążona),</w:t>
      </w:r>
    </w:p>
    <w:p w14:paraId="5D4813D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236/1, z obrębu 0020 Strumiany Dolne, gmina Baranów (nieruchomość obciążona),</w:t>
      </w:r>
    </w:p>
    <w:p w14:paraId="312F0E6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237/1, z obrębu 0020 Strumiany Dolne, gmina Baranów (nieruchomość obciążona),</w:t>
      </w:r>
    </w:p>
    <w:p w14:paraId="75486EB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238/1, z obrębu 0020 Strumiany Dolne, gmina Baranów (nieruchomość obciążona),</w:t>
      </w:r>
    </w:p>
    <w:p w14:paraId="76CB5E0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239/1, z obrębu 0020 Strumiany Dolne, gmina Baranów (nieruchomość obciążona),</w:t>
      </w:r>
    </w:p>
    <w:p w14:paraId="72E2472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240/1, z obrębu 0020 Strumiany Dolne, gmina Baranów (nieruchomość obciążona),</w:t>
      </w:r>
    </w:p>
    <w:p w14:paraId="6DD131B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243/1, z obrębu 0020 Strumiany Dolne, gmina Baranów (nieruchomość obciążona),</w:t>
      </w:r>
    </w:p>
    <w:p w14:paraId="0D6DCF8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261/1, z obrębu 0020 Strumiany Dolne, gmina Baranów (nieruchomość obciążona),</w:t>
      </w:r>
    </w:p>
    <w:p w14:paraId="48BFBDA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262/1, z obrębu 0020 Strumiany Dolne, gmina Baranów (nieruchomość obciążona),</w:t>
      </w:r>
    </w:p>
    <w:p w14:paraId="7EDC2F7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268/1, z obrębu 0020 Strumiany Dolne, gmina Baranów (nieruchomość obciążona),</w:t>
      </w:r>
    </w:p>
    <w:p w14:paraId="6016137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271/2, z obrębu 0020 Strumiany Dolne, gmina Baranów (nieruchomość obciążona),</w:t>
      </w:r>
    </w:p>
    <w:p w14:paraId="49F4B1D6" w14:textId="606EF64B"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276/1, z obrębu 0020 Strumiany Dolne, gmina Baranów (nieruchomość obciążona)</w:t>
      </w:r>
      <w:r w:rsidR="00B96381" w:rsidRPr="004B6BA3">
        <w:rPr>
          <w:rFonts w:ascii="Lato" w:hAnsi="Lato" w:cs="Arial"/>
          <w:bCs/>
          <w:spacing w:val="4"/>
          <w:sz w:val="22"/>
          <w:szCs w:val="22"/>
        </w:rPr>
        <w:t>,</w:t>
      </w:r>
    </w:p>
    <w:p w14:paraId="4B574C2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277/1, z obrębu 0020 Strumiany Dolne, gmina Baranów (nieruchomość obciążona),</w:t>
      </w:r>
    </w:p>
    <w:p w14:paraId="6F10BC0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278/1, z obrębu 0020 Strumiany Dolne, gmina Baranów (nieruchomość obciążona),</w:t>
      </w:r>
    </w:p>
    <w:p w14:paraId="700AF05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279/1, z obrębu 0020 Strumiany Dolne, gmina Baranów (nieruchomość obciążona),</w:t>
      </w:r>
    </w:p>
    <w:p w14:paraId="6EB2839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280, z obrębu 0020 Strumiany Dolne, gmina Baranów (nieruchomość obciążona),</w:t>
      </w:r>
    </w:p>
    <w:p w14:paraId="516EC67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281, z obrębu 0020 Strumiany Dolne, gmina Baranów (nieruchomość obciążona),</w:t>
      </w:r>
    </w:p>
    <w:p w14:paraId="21C0AD4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289, z obrębu 0020 Strumiany Dolne, gmina Baranów (nieruchomość obciążona),</w:t>
      </w:r>
    </w:p>
    <w:p w14:paraId="77C3714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528/1, z obrębu 0020 Strumiany Dolne, gmina Baranów (nieruchomość obciążona),</w:t>
      </w:r>
    </w:p>
    <w:p w14:paraId="1FDD826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532/1, z obrębu 0020 Strumiany Dolne, gmina Baranów (nieruchomość obciążona),</w:t>
      </w:r>
    </w:p>
    <w:p w14:paraId="0FE008D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548/3, z obrębu 0020 Strumiany Dolne, gmina Baranów (nieruchomość obciążona),</w:t>
      </w:r>
    </w:p>
    <w:p w14:paraId="20BF5FF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55/1, z obrębu 0020 Strumiany Dolne, gmina Baranów (nieruchomość obciążona),</w:t>
      </w:r>
    </w:p>
    <w:p w14:paraId="68D17459" w14:textId="1BEB9814"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219/1, z obrębu 0023 Strumiany Górne, gmina Baranów (nieruchomość obciążona)</w:t>
      </w:r>
      <w:r w:rsidR="00B96381" w:rsidRPr="004B6BA3">
        <w:rPr>
          <w:rFonts w:ascii="Lato" w:hAnsi="Lato" w:cs="Arial"/>
          <w:bCs/>
          <w:spacing w:val="4"/>
          <w:sz w:val="22"/>
          <w:szCs w:val="22"/>
        </w:rPr>
        <w:t>.</w:t>
      </w:r>
    </w:p>
    <w:p w14:paraId="46697092" w14:textId="69CB0585"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17/2, z obrębu 0011 Maurycew, gmina Teresin (nieruchomość władnąca) dostęp do drogi publicznej – droga powiatowa </w:t>
      </w:r>
      <w:r w:rsidR="00AE2EA1" w:rsidRPr="00F40707">
        <w:rPr>
          <w:rFonts w:ascii="Lato" w:hAnsi="Lato" w:cs="Arial"/>
          <w:bCs/>
          <w:spacing w:val="4"/>
          <w:sz w:val="22"/>
          <w:szCs w:val="22"/>
        </w:rPr>
        <w:br/>
        <w:t xml:space="preserve">nr </w:t>
      </w:r>
      <w:r w:rsidRPr="004B6BA3">
        <w:rPr>
          <w:rFonts w:ascii="Lato" w:hAnsi="Lato" w:cs="Arial"/>
          <w:bCs/>
          <w:spacing w:val="4"/>
          <w:sz w:val="22"/>
          <w:szCs w:val="22"/>
        </w:rPr>
        <w:t>3837W – działka nr 169/1, z obrębu 0003 Elżbietów, gmina Teresin zapewnia się poprzez ustanowienie służebności przejazdu i przechodu po drodze wewnętrznej, której przebieg zostanie wyznaczony przez właściciela nieruchomości obciążonej przez działki:</w:t>
      </w:r>
    </w:p>
    <w:p w14:paraId="56105CA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169/3, z obrębu 0003 Elżbietów, gmina Teresin (nieruchomość obciążona),</w:t>
      </w:r>
    </w:p>
    <w:p w14:paraId="4CBEE3F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170/1, z obrębu 0003 Elżbietów, gmina Teresin (nieruchomość obciążona),</w:t>
      </w:r>
    </w:p>
    <w:p w14:paraId="523CFD4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171/1, z obrębu 0003 Elżbietów, gmina Teresin (nieruchomość obciążona),</w:t>
      </w:r>
    </w:p>
    <w:p w14:paraId="08CE937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172/1, z obrębu 0003 Elżbietów, gmina Teresin (nieruchomość obciążona),</w:t>
      </w:r>
    </w:p>
    <w:p w14:paraId="77FC3F4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173/1, z obrębu 0003 Elżbietów, gmina Teresin (nieruchomość obciążona),</w:t>
      </w:r>
    </w:p>
    <w:p w14:paraId="23147B1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14/5, z obrębu 0011 Maurycew, gmina Teresin (nieruchomość obciążona),</w:t>
      </w:r>
    </w:p>
    <w:p w14:paraId="63C2AAD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14/7, z obrębu 0011 Maurycew, gmina Teresin (nieruchomość obciążona),</w:t>
      </w:r>
    </w:p>
    <w:p w14:paraId="3E22097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16/7, z obrębu 0011 Maurycew, gmina Teresin (nieruchomość obciążona),</w:t>
      </w:r>
    </w:p>
    <w:p w14:paraId="3AD24657" w14:textId="38360245" w:rsidR="002A0F2E" w:rsidRPr="004B6BA3" w:rsidRDefault="002A0F2E" w:rsidP="002A0F2E">
      <w:pPr>
        <w:pStyle w:val="Akapitzlist"/>
        <w:numPr>
          <w:ilvl w:val="0"/>
          <w:numId w:val="12"/>
        </w:numPr>
        <w:tabs>
          <w:tab w:val="left" w:pos="426"/>
        </w:tabs>
        <w:spacing w:after="24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17/1, z obrębu 0011 Maurycew, gmina Teresin (nieruchomość obciążona)</w:t>
      </w:r>
      <w:r w:rsidR="00B96381" w:rsidRPr="004B6BA3">
        <w:rPr>
          <w:rFonts w:ascii="Lato" w:hAnsi="Lato" w:cs="Arial"/>
          <w:bCs/>
          <w:spacing w:val="4"/>
          <w:sz w:val="22"/>
          <w:szCs w:val="22"/>
        </w:rPr>
        <w:t>.</w:t>
      </w:r>
      <w:r w:rsidRPr="004B6BA3">
        <w:rPr>
          <w:rFonts w:ascii="Lato" w:hAnsi="Lato" w:cs="Arial"/>
          <w:bCs/>
          <w:spacing w:val="4"/>
          <w:sz w:val="22"/>
          <w:szCs w:val="22"/>
        </w:rPr>
        <w:t xml:space="preserve"> </w:t>
      </w:r>
    </w:p>
    <w:p w14:paraId="2FE15A36" w14:textId="77BEFF9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37/7, z obrębu 0011 Maurycew, gmina Teresin (nieruchomość władnąca) dostęp do drogi publicznej – droga gminna </w:t>
      </w:r>
      <w:r w:rsidR="00AE2EA1" w:rsidRPr="00F40707">
        <w:rPr>
          <w:rFonts w:ascii="Lato" w:hAnsi="Lato" w:cs="Arial"/>
          <w:bCs/>
          <w:spacing w:val="4"/>
          <w:sz w:val="22"/>
          <w:szCs w:val="22"/>
        </w:rPr>
        <w:br/>
        <w:t xml:space="preserve">nr </w:t>
      </w:r>
      <w:r w:rsidRPr="004B6BA3">
        <w:rPr>
          <w:rFonts w:ascii="Lato" w:hAnsi="Lato" w:cs="Arial"/>
          <w:bCs/>
          <w:spacing w:val="4"/>
          <w:sz w:val="22"/>
          <w:szCs w:val="22"/>
        </w:rPr>
        <w:t xml:space="preserve">380820W – działka nr 50/1, z obrębu 0011 Maurycew, gmina Teresin zapewnia się poprzez ustanowienie służebności przejazdu i przechodu </w:t>
      </w:r>
      <w:r w:rsidR="00983042"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734EA4F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37/5, z obrębu 0011 Maurycew, gmina Teresin (nieruchomość obciążona), </w:t>
      </w:r>
    </w:p>
    <w:p w14:paraId="2B1B0E9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38/1, z obrębu 0011 Maurycew, gmina Teresin (nieruchomość obciążona),</w:t>
      </w:r>
    </w:p>
    <w:p w14:paraId="480B8AB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39/3, z obrębu 0011 Maurycew, gmina Teresin (nieruchomość obciążona),</w:t>
      </w:r>
    </w:p>
    <w:p w14:paraId="7DD4D8A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40/2, z obrębu 0011 Maurycew, gmina Teresin (nieruchomość obciążona),</w:t>
      </w:r>
    </w:p>
    <w:p w14:paraId="69897B6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40/3, z obrębu 0011 Maurycew, gmina Teresin (nieruchomość obciążona),</w:t>
      </w:r>
    </w:p>
    <w:p w14:paraId="5A4F0EE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41/1, z obrębu 0011 Maurycew, gmina Teresin (nieruchomość obciążona),</w:t>
      </w:r>
    </w:p>
    <w:p w14:paraId="25FCA05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42/3, z obrębu 0011 Maurycew, gmina Teresin (nieruchomość obciążona),</w:t>
      </w:r>
    </w:p>
    <w:p w14:paraId="67A1232B" w14:textId="0B01E41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42/6, z obrębu 0011 Maurycew, gmina Teresin (nieruchomość obciążona)</w:t>
      </w:r>
      <w:r w:rsidR="00983042" w:rsidRPr="004B6BA3">
        <w:rPr>
          <w:rFonts w:ascii="Lato" w:hAnsi="Lato" w:cs="Arial"/>
          <w:bCs/>
          <w:spacing w:val="4"/>
          <w:sz w:val="22"/>
          <w:szCs w:val="22"/>
        </w:rPr>
        <w:t>.</w:t>
      </w:r>
    </w:p>
    <w:p w14:paraId="2BCF0D7A" w14:textId="1B386EC5"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40/4, z obrębu 0011 Maurycew, gmina Teresin (nieruchomość władnąca) dostęp do drogi publicznej – droga gminna </w:t>
      </w:r>
      <w:r w:rsidR="00AE2EA1" w:rsidRPr="00F40707">
        <w:rPr>
          <w:rFonts w:ascii="Lato" w:hAnsi="Lato" w:cs="Arial"/>
          <w:bCs/>
          <w:spacing w:val="4"/>
          <w:sz w:val="22"/>
          <w:szCs w:val="22"/>
        </w:rPr>
        <w:br/>
        <w:t xml:space="preserve">nr </w:t>
      </w:r>
      <w:r w:rsidRPr="004B6BA3">
        <w:rPr>
          <w:rFonts w:ascii="Lato" w:hAnsi="Lato" w:cs="Arial"/>
          <w:bCs/>
          <w:spacing w:val="4"/>
          <w:sz w:val="22"/>
          <w:szCs w:val="22"/>
        </w:rPr>
        <w:t xml:space="preserve">380820W – działka nr 50/1, z obrębu 0011 Maurycew, gmina Teresin zapewnia się poprzez ustanowienie służebności przejazdu i przechodu </w:t>
      </w:r>
      <w:r w:rsidR="00983042"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4144C78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40/2, z obrębu 0011 Maurycew, gmina Teresin (nieruchomość obciążona), </w:t>
      </w:r>
    </w:p>
    <w:p w14:paraId="06A7677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40/3, z obrębu 0011 Maurycew, gmina Teresin (nieruchomość obciążona),</w:t>
      </w:r>
    </w:p>
    <w:p w14:paraId="5F3885B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41/1, z obrębu 0011 Maurycew, gmina Teresin (nieruchomość obciążona),</w:t>
      </w:r>
    </w:p>
    <w:p w14:paraId="166E764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42/3, z obrębu 0011 Maurycew, gmina Teresin (nieruchomość obciążona),</w:t>
      </w:r>
    </w:p>
    <w:p w14:paraId="26BC4F7F" w14:textId="629803B8"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42/6, z obrębu 0011 Maurycew, gmina Teresin (nieruchomość obciążona)</w:t>
      </w:r>
      <w:r w:rsidR="00983042" w:rsidRPr="004B6BA3">
        <w:rPr>
          <w:rFonts w:ascii="Lato" w:hAnsi="Lato" w:cs="Arial"/>
          <w:bCs/>
          <w:spacing w:val="4"/>
          <w:sz w:val="22"/>
          <w:szCs w:val="22"/>
        </w:rPr>
        <w:t>.</w:t>
      </w:r>
    </w:p>
    <w:p w14:paraId="21427C7A" w14:textId="4A3A0B76"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41/3, z obrębu 0011 Maurycew, gmina Teresin (nieruchomość władnąca) dostęp do drogi publicznej – droga gminna </w:t>
      </w:r>
      <w:r w:rsidR="00AE2EA1" w:rsidRPr="00F40707">
        <w:rPr>
          <w:rFonts w:ascii="Lato" w:hAnsi="Lato" w:cs="Arial"/>
          <w:bCs/>
          <w:spacing w:val="4"/>
          <w:sz w:val="22"/>
          <w:szCs w:val="22"/>
        </w:rPr>
        <w:br/>
        <w:t xml:space="preserve">nr </w:t>
      </w:r>
      <w:r w:rsidRPr="004B6BA3">
        <w:rPr>
          <w:rFonts w:ascii="Lato" w:hAnsi="Lato" w:cs="Arial"/>
          <w:bCs/>
          <w:spacing w:val="4"/>
          <w:sz w:val="22"/>
          <w:szCs w:val="22"/>
        </w:rPr>
        <w:t xml:space="preserve">380820W – działka nr 50/1, z obrębu 0011 Maurycew, gmina Teresin zapewnia się poprzez ustanowienie służebności przejazdu i przechodu </w:t>
      </w:r>
      <w:r w:rsidR="00983042"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0EAE16C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41/1, z obrębu 0011 Maurycew, gmina Teresin (nieruchomość obciążona), </w:t>
      </w:r>
    </w:p>
    <w:p w14:paraId="47ACD4E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42/3, z obrębu 0011 Maurycew, gmina Teresin (nieruchomość obciążona),</w:t>
      </w:r>
    </w:p>
    <w:p w14:paraId="4C71022E" w14:textId="7CD3A0F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42/6, z obrębu 0011 Maurycew, gmina Teresin (nieruchomość obciążona)</w:t>
      </w:r>
      <w:r w:rsidR="00983042" w:rsidRPr="004B6BA3">
        <w:rPr>
          <w:rFonts w:ascii="Lato" w:hAnsi="Lato" w:cs="Arial"/>
          <w:bCs/>
          <w:spacing w:val="4"/>
          <w:sz w:val="22"/>
          <w:szCs w:val="22"/>
        </w:rPr>
        <w:t>.</w:t>
      </w:r>
    </w:p>
    <w:p w14:paraId="266D6B24" w14:textId="321B50BD"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42/5, z obrębu 0011 Maurycew, gmina Teresin (nieruchomość władnąca) dostęp do drogi publicznej – droga gminna </w:t>
      </w:r>
      <w:r w:rsidR="00AE2EA1" w:rsidRPr="00F40707">
        <w:rPr>
          <w:rFonts w:ascii="Lato" w:hAnsi="Lato" w:cs="Arial"/>
          <w:bCs/>
          <w:spacing w:val="4"/>
          <w:sz w:val="22"/>
          <w:szCs w:val="22"/>
        </w:rPr>
        <w:br/>
      </w:r>
      <w:r w:rsidR="00983042" w:rsidRPr="00F40707">
        <w:rPr>
          <w:rFonts w:ascii="Lato" w:hAnsi="Lato" w:cs="Arial"/>
          <w:bCs/>
          <w:spacing w:val="4"/>
          <w:sz w:val="22"/>
          <w:szCs w:val="22"/>
        </w:rPr>
        <w:t xml:space="preserve">nr </w:t>
      </w:r>
      <w:r w:rsidRPr="004B6BA3">
        <w:rPr>
          <w:rFonts w:ascii="Lato" w:hAnsi="Lato" w:cs="Arial"/>
          <w:bCs/>
          <w:spacing w:val="4"/>
          <w:sz w:val="22"/>
          <w:szCs w:val="22"/>
        </w:rPr>
        <w:t xml:space="preserve">380820W – działka nr 50/1, z obrębu 0011 Maurycew, gmina Teresin zapewnia się poprzez ustanowienie służebności przejazdu i przechodu </w:t>
      </w:r>
      <w:r w:rsidR="00983042"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4EB4020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42/3, z obrębu 0011 Maurycew, gmina Teresin (nieruchomość obciążona), </w:t>
      </w:r>
    </w:p>
    <w:p w14:paraId="6ABF4226" w14:textId="5DD38FAE"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42/6, z obrębu 0011 Maurycew, gmina Teresin (nieruchomość obciążona)</w:t>
      </w:r>
      <w:r w:rsidR="00983042" w:rsidRPr="004B6BA3">
        <w:rPr>
          <w:rFonts w:ascii="Lato" w:hAnsi="Lato" w:cs="Arial"/>
          <w:bCs/>
          <w:spacing w:val="4"/>
          <w:sz w:val="22"/>
          <w:szCs w:val="22"/>
        </w:rPr>
        <w:t>.</w:t>
      </w:r>
    </w:p>
    <w:p w14:paraId="4659AA0F" w14:textId="7D4DA42E"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42/8, z obrębu 0011 Maurycew, gmina Teresin (nieruchomość władnąca) dostęp do drogi publicznej – droga gminna </w:t>
      </w:r>
      <w:r w:rsidR="00AE2EA1" w:rsidRPr="004B6BA3">
        <w:rPr>
          <w:rFonts w:ascii="Lato" w:hAnsi="Lato" w:cs="Arial"/>
          <w:bCs/>
          <w:spacing w:val="4"/>
          <w:sz w:val="22"/>
          <w:szCs w:val="22"/>
        </w:rPr>
        <w:br/>
        <w:t xml:space="preserve">nr </w:t>
      </w:r>
      <w:r w:rsidRPr="004B6BA3">
        <w:rPr>
          <w:rFonts w:ascii="Lato" w:hAnsi="Lato" w:cs="Arial"/>
          <w:bCs/>
          <w:spacing w:val="4"/>
          <w:sz w:val="22"/>
          <w:szCs w:val="22"/>
        </w:rPr>
        <w:t xml:space="preserve">380820W – działka nr 50/1, z obrębu 0011 Maurycew, gmina Teresin zapewnia się poprzez ustanowienie służebności przejazdu i przechodu </w:t>
      </w:r>
      <w:r w:rsidR="00AE2EA1"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działkę:</w:t>
      </w:r>
    </w:p>
    <w:p w14:paraId="78DDDDC2" w14:textId="183BDF9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42/6, z obrębu 0011 Maurycew, gmina Teresin (nieruchomość obciążona)</w:t>
      </w:r>
      <w:r w:rsidR="00AE2EA1" w:rsidRPr="004B6BA3">
        <w:rPr>
          <w:rFonts w:ascii="Lato" w:hAnsi="Lato" w:cs="Arial"/>
          <w:bCs/>
          <w:spacing w:val="4"/>
          <w:sz w:val="22"/>
          <w:szCs w:val="22"/>
        </w:rPr>
        <w:t>.</w:t>
      </w:r>
      <w:r w:rsidRPr="004B6BA3">
        <w:rPr>
          <w:rFonts w:ascii="Lato" w:hAnsi="Lato" w:cs="Arial"/>
          <w:bCs/>
          <w:spacing w:val="4"/>
          <w:sz w:val="22"/>
          <w:szCs w:val="22"/>
        </w:rPr>
        <w:t xml:space="preserve"> </w:t>
      </w:r>
    </w:p>
    <w:p w14:paraId="72915349" w14:textId="577E9B4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43/4, z obrębu 0011 Maurycew, gmina Teresin (nieruchomość władnąca) dostęp do drogi publicznej – droga gminna </w:t>
      </w:r>
      <w:r w:rsidR="00AE2EA1"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187, z obrębu 0001 Aleksandrów, gmina Wiskitki zapewnia się poprzez ustanowienie służebności przejazdu i przechodu </w:t>
      </w:r>
      <w:r w:rsidR="00AE2EA1"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4C35027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43/3, z obrębu 0011 Maurycew, gmina Teresin (nieruchomość obciążona), </w:t>
      </w:r>
    </w:p>
    <w:p w14:paraId="28AB8AA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44/1, z obrębu 0011 Maurycew, gmina Teresin (nieruchomość obciążona).</w:t>
      </w:r>
    </w:p>
    <w:p w14:paraId="57F4290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45/3, z obrębu 0011 Maurycew, gmina Teresin (nieruchomość obciążona),</w:t>
      </w:r>
    </w:p>
    <w:p w14:paraId="4CD7AA8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46/1, z obrębu 0011 Maurycew, gmina Teresin (nieruchomość obciążona),</w:t>
      </w:r>
    </w:p>
    <w:p w14:paraId="08B57F2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47/1, z obrębu 0011 Maurycew, gmina Teresin (nieruchomość obciążona),</w:t>
      </w:r>
    </w:p>
    <w:p w14:paraId="35DB653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48/1, z obrębu 0011 Maurycew, gmina Teresin (nieruchomość obciążona),</w:t>
      </w:r>
    </w:p>
    <w:p w14:paraId="3CC6C05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49/1, z obrębu 0011 Maurycew, gmina Teresin (nieruchomość obciążona),</w:t>
      </w:r>
    </w:p>
    <w:p w14:paraId="2FCE209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168/4, z obrębu 0001 Aleksandrów, gmina Wiskitki (nieruchomość obciążona),</w:t>
      </w:r>
    </w:p>
    <w:p w14:paraId="11C4861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169/6, z obrębu 0001 Aleksandrów, gmina Wiskitki (nieruchomość obciążona),</w:t>
      </w:r>
    </w:p>
    <w:p w14:paraId="3B59D0C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169/8, z obrębu 0001 Aleksandrów, gmina Wiskitki (nieruchomość obciążona),</w:t>
      </w:r>
    </w:p>
    <w:p w14:paraId="7FABAF7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171/1, z obrębu 0001 Aleksandrów, gmina Wiskitki (nieruchomość obciążona),</w:t>
      </w:r>
    </w:p>
    <w:p w14:paraId="78768EFD" w14:textId="4BFDE52C"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179/8, z obrębu 0001 Aleksandrów, gmina Wiskitki (nieruchomość obciążona)</w:t>
      </w:r>
      <w:r w:rsidR="00AE2EA1" w:rsidRPr="004B6BA3">
        <w:rPr>
          <w:rFonts w:ascii="Lato" w:hAnsi="Lato" w:cs="Arial"/>
          <w:bCs/>
          <w:spacing w:val="4"/>
          <w:sz w:val="22"/>
          <w:szCs w:val="22"/>
        </w:rPr>
        <w:t>.</w:t>
      </w:r>
    </w:p>
    <w:p w14:paraId="7758735F" w14:textId="16C8E7BE"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19/2, z obrębu 0018 Pawłówek, gmina Teresin (nieruchomość władnąca) dostęp do drogi publicznej – droga gminna </w:t>
      </w:r>
      <w:r w:rsidR="00AE2EA1" w:rsidRPr="004B6BA3">
        <w:rPr>
          <w:rFonts w:ascii="Lato" w:hAnsi="Lato" w:cs="Arial"/>
          <w:bCs/>
          <w:spacing w:val="4"/>
          <w:sz w:val="22"/>
          <w:szCs w:val="22"/>
        </w:rPr>
        <w:br/>
        <w:t xml:space="preserve">nr </w:t>
      </w:r>
      <w:r w:rsidRPr="004B6BA3">
        <w:rPr>
          <w:rFonts w:ascii="Lato" w:hAnsi="Lato" w:cs="Arial"/>
          <w:bCs/>
          <w:spacing w:val="4"/>
          <w:sz w:val="22"/>
          <w:szCs w:val="22"/>
        </w:rPr>
        <w:t xml:space="preserve">380830W – działka nr 17/2, z obrębu 0018 Pawłówek, gmina Teresin zapewnia się poprzez ustanowienie służebności przejazdu i przechodu </w:t>
      </w:r>
      <w:r w:rsidR="00C80A29" w:rsidRPr="00F40707">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działkę:</w:t>
      </w:r>
    </w:p>
    <w:p w14:paraId="174F0045" w14:textId="664D94BC"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19/1, z obrębu 0018 Pawłówek, gmina Teresin (nieruchomość obciążona)</w:t>
      </w:r>
      <w:r w:rsidR="00AE2EA1" w:rsidRPr="004B6BA3">
        <w:rPr>
          <w:rFonts w:ascii="Lato" w:hAnsi="Lato" w:cs="Arial"/>
          <w:bCs/>
          <w:spacing w:val="4"/>
          <w:sz w:val="22"/>
          <w:szCs w:val="22"/>
        </w:rPr>
        <w:t>.</w:t>
      </w:r>
    </w:p>
    <w:p w14:paraId="4CCA1B2D" w14:textId="213F9522"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lastRenderedPageBreak/>
        <w:t xml:space="preserve">Dla właściciela działki nr 20/2, z obrębu 0018 Pawłówek, gmina Teresin (nieruchomość władnąca) dostęp do drogi publicznej – droga gminna </w:t>
      </w:r>
      <w:r w:rsidR="00AE2EA1" w:rsidRPr="004B6BA3">
        <w:rPr>
          <w:rFonts w:ascii="Lato" w:hAnsi="Lato" w:cs="Arial"/>
          <w:bCs/>
          <w:spacing w:val="4"/>
          <w:sz w:val="22"/>
          <w:szCs w:val="22"/>
        </w:rPr>
        <w:br/>
        <w:t xml:space="preserve">nr </w:t>
      </w:r>
      <w:r w:rsidRPr="004B6BA3">
        <w:rPr>
          <w:rFonts w:ascii="Lato" w:hAnsi="Lato" w:cs="Arial"/>
          <w:bCs/>
          <w:spacing w:val="4"/>
          <w:sz w:val="22"/>
          <w:szCs w:val="22"/>
        </w:rPr>
        <w:t xml:space="preserve">380830W – działka nr 17/2, z obrębu 0018 Pawłówek, gmina Teresin zapewnia się poprzez ustanowienie służebności przejazdu i przechodu </w:t>
      </w:r>
      <w:r w:rsidR="00AE2EA1"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działkę:</w:t>
      </w:r>
    </w:p>
    <w:p w14:paraId="00816B76" w14:textId="494FE2A3"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20/1, z obrębu 0018 Pawłówek, gmina Teresin (nieruchomość obciążona)</w:t>
      </w:r>
      <w:r w:rsidR="00AE2EA1" w:rsidRPr="004B6BA3">
        <w:rPr>
          <w:rFonts w:ascii="Lato" w:hAnsi="Lato" w:cs="Arial"/>
          <w:bCs/>
          <w:spacing w:val="4"/>
          <w:sz w:val="22"/>
          <w:szCs w:val="22"/>
        </w:rPr>
        <w:t>.</w:t>
      </w:r>
    </w:p>
    <w:p w14:paraId="000446BE" w14:textId="686C92F6"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342/2, z obrębu 0024 Szymanów, gmina Teresin (nieruchomość władnąca) dostęp do drogi publicznej – droga gminna </w:t>
      </w:r>
      <w:r w:rsidR="00B73402" w:rsidRPr="004B6BA3">
        <w:rPr>
          <w:rFonts w:ascii="Lato" w:hAnsi="Lato" w:cs="Arial"/>
          <w:bCs/>
          <w:spacing w:val="4"/>
          <w:sz w:val="22"/>
          <w:szCs w:val="22"/>
        </w:rPr>
        <w:br/>
        <w:t xml:space="preserve">nr </w:t>
      </w:r>
      <w:r w:rsidRPr="004B6BA3">
        <w:rPr>
          <w:rFonts w:ascii="Lato" w:hAnsi="Lato" w:cs="Arial"/>
          <w:bCs/>
          <w:spacing w:val="4"/>
          <w:sz w:val="22"/>
          <w:szCs w:val="22"/>
        </w:rPr>
        <w:t>380830W – działka nr 17/2, z obrębu 0018 Pawłówek, gmina Teresin zapewnia się poprzez ustanowienie służebności przejazdu i przechodu</w:t>
      </w:r>
      <w:r w:rsidR="00D03B3D" w:rsidRPr="00D03B3D">
        <w:rPr>
          <w:rFonts w:ascii="Lato" w:hAnsi="Lato" w:cs="Arial"/>
          <w:bCs/>
          <w:spacing w:val="4"/>
          <w:sz w:val="22"/>
          <w:szCs w:val="22"/>
        </w:rPr>
        <w:t xml:space="preserve"> </w:t>
      </w:r>
      <w:r w:rsidR="00D03B3D">
        <w:rPr>
          <w:rFonts w:ascii="Lato" w:hAnsi="Lato" w:cs="Arial"/>
          <w:bCs/>
          <w:spacing w:val="4"/>
          <w:sz w:val="22"/>
          <w:szCs w:val="22"/>
        </w:rPr>
        <w:br/>
      </w:r>
      <w:r w:rsidR="00D03B3D" w:rsidRPr="00D03B3D">
        <w:rPr>
          <w:rFonts w:ascii="Lato" w:hAnsi="Lato" w:cs="Arial"/>
          <w:bCs/>
          <w:spacing w:val="4"/>
          <w:sz w:val="22"/>
          <w:szCs w:val="22"/>
        </w:rPr>
        <w:t>po drodze wewnętrznej, której przebieg zostanie wyznaczony przez właściciela nieruchomości obciążonej</w:t>
      </w:r>
      <w:r w:rsidRPr="004B6BA3">
        <w:rPr>
          <w:rFonts w:ascii="Lato" w:hAnsi="Lato" w:cs="Arial"/>
          <w:bCs/>
          <w:spacing w:val="4"/>
          <w:sz w:val="22"/>
          <w:szCs w:val="22"/>
        </w:rPr>
        <w:t xml:space="preserve"> przez działki:</w:t>
      </w:r>
    </w:p>
    <w:p w14:paraId="3F1A955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21/1, z obrębu 0018 Pawłówek, gmina Teresin (nieruchomość obciążona), </w:t>
      </w:r>
    </w:p>
    <w:p w14:paraId="79DFA69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23/1, z obrębu 0018 Pawłówek, gmina Teresin (nieruchomość obciążona),</w:t>
      </w:r>
    </w:p>
    <w:p w14:paraId="1406F86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191/1, z obrębu 0024 Szymanów, gmina Teresin (nieruchomość obciążona),</w:t>
      </w:r>
    </w:p>
    <w:p w14:paraId="6A7533F4" w14:textId="28C45B9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342/1, z obrębu 0024 Szymanów, gmina Teresin (nieruchomość obciążona)</w:t>
      </w:r>
      <w:r w:rsidR="00AE2EA1" w:rsidRPr="004B6BA3">
        <w:rPr>
          <w:rFonts w:ascii="Lato" w:hAnsi="Lato" w:cs="Arial"/>
          <w:bCs/>
          <w:spacing w:val="4"/>
          <w:sz w:val="22"/>
          <w:szCs w:val="22"/>
        </w:rPr>
        <w:t>.</w:t>
      </w:r>
    </w:p>
    <w:p w14:paraId="2D5706FC" w14:textId="3E4FA8A3"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27/2, z obrębu 0001 Aleksandrów, gmina Wiskitki (nieruchomość władnąca) dostęp do drogi publicznej – droga powiatowa </w:t>
      </w:r>
      <w:r w:rsidR="00B73402"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189/4, z obrębu 0001 Aleksandrów, gmina Wiskitki zapewnia się poprzez ustanowienie służebności przejazdu i przechodu </w:t>
      </w:r>
      <w:r w:rsidR="00B73402"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7EB3C83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27/1, z obrębu 0001 Aleksandrów, gmina Wiskitki (nieruchomość obciążona), </w:t>
      </w:r>
    </w:p>
    <w:p w14:paraId="5215AC1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28/1, z obrębu 0001 Aleksandrów, gmina Wiskitki (nieruchomość obciążona),</w:t>
      </w:r>
    </w:p>
    <w:p w14:paraId="2476F53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29/1, z obrębu 0001 Aleksandrów, gmina Wiskitki (nieruchomość obciążona), </w:t>
      </w:r>
    </w:p>
    <w:p w14:paraId="02A9640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30/1, z obrębu 0001 Aleksandrów, gmina Wiskitki (nieruchomość obciążona),</w:t>
      </w:r>
    </w:p>
    <w:p w14:paraId="376EDA0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31/1, z obrębu 0001 Aleksandrów, gmina Wiskitki (nieruchomość obciążona),</w:t>
      </w:r>
    </w:p>
    <w:p w14:paraId="32AEF99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32/1, z obrębu 0001 Aleksandrów, gmina Wiskitki (nieruchomość obciążona),</w:t>
      </w:r>
    </w:p>
    <w:p w14:paraId="7DA9E56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33/1, z obrębu 0001 Aleksandrów, gmina Wiskitki (nieruchomość obciążona),</w:t>
      </w:r>
    </w:p>
    <w:p w14:paraId="79D3830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34/3, z obrębu 0001 Aleksandrów, gmina Wiskitki (nieruchomość obciążona),</w:t>
      </w:r>
    </w:p>
    <w:p w14:paraId="42577EB0" w14:textId="0FFAF89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36/2, z obrębu 0001 Aleksandrów, gmina Wiskitki (nieruchomość obciążona)</w:t>
      </w:r>
      <w:r w:rsidR="00B73402" w:rsidRPr="004B6BA3">
        <w:rPr>
          <w:rFonts w:ascii="Lato" w:hAnsi="Lato" w:cs="Arial"/>
          <w:bCs/>
          <w:spacing w:val="4"/>
          <w:sz w:val="22"/>
          <w:szCs w:val="22"/>
        </w:rPr>
        <w:t>.</w:t>
      </w:r>
    </w:p>
    <w:p w14:paraId="31A3EE3F" w14:textId="6903E43E"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28/2, z obrębu 0001 Aleksandrów, gmina Wiskitki (nieruchomość władnąca) dostęp do drogi publicznej – droga powiatowa </w:t>
      </w:r>
      <w:r w:rsidR="00B73402"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189/4, z obrębu 0001 Aleksandrów, gmina Wiskitki </w:t>
      </w:r>
      <w:r w:rsidRPr="004B6BA3">
        <w:rPr>
          <w:rFonts w:ascii="Lato" w:hAnsi="Lato" w:cs="Arial"/>
          <w:bCs/>
          <w:spacing w:val="4"/>
          <w:sz w:val="22"/>
          <w:szCs w:val="22"/>
        </w:rPr>
        <w:lastRenderedPageBreak/>
        <w:t xml:space="preserve">zapewnia się poprzez ustanowienie służebności przejazdu i przechodu </w:t>
      </w:r>
      <w:r w:rsidR="00B73402"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78F7A53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28/1, z obrębu 0001 Aleksandrów, gmina Wiskitki (nieruchomość obciążona), </w:t>
      </w:r>
    </w:p>
    <w:p w14:paraId="4F8A80B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29/1, z obrębu 0001 Aleksandrów, gmina Wiskitki (nieruchomość obciążona),</w:t>
      </w:r>
    </w:p>
    <w:p w14:paraId="0F78631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30/1, z obrębu 0001 Aleksandrów, gmina Wiskitki (nieruchomość obciążona)</w:t>
      </w:r>
    </w:p>
    <w:p w14:paraId="187F34B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31/1, z obrębu 0001 Aleksandrów, gmina Wiskitki (nieruchomość obciążona),</w:t>
      </w:r>
    </w:p>
    <w:p w14:paraId="6315260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32/1, z obrębu 0001 Aleksandrów, gmina Wiskitki (nieruchomość obciążona),</w:t>
      </w:r>
    </w:p>
    <w:p w14:paraId="3D605EB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33/1, z obrębu 0001 Aleksandrów, gmina Wiskitki (nieruchomość obciążona),</w:t>
      </w:r>
    </w:p>
    <w:p w14:paraId="351F591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34/3, z obrębu 0001 Aleksandrów, gmina Wiskitki (nieruchomość obciążona),</w:t>
      </w:r>
    </w:p>
    <w:p w14:paraId="0EA9BECB" w14:textId="2A1F83EF"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36/2, z obrębu 0001 Aleksandrów, gmina Wiskitki (nieruchomość obciążona)</w:t>
      </w:r>
      <w:r w:rsidR="00B73402" w:rsidRPr="004B6BA3">
        <w:rPr>
          <w:rFonts w:ascii="Lato" w:hAnsi="Lato" w:cs="Arial"/>
          <w:bCs/>
          <w:spacing w:val="4"/>
          <w:sz w:val="22"/>
          <w:szCs w:val="22"/>
        </w:rPr>
        <w:t>.</w:t>
      </w:r>
    </w:p>
    <w:p w14:paraId="210939C1" w14:textId="5087BC3E"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29/2, z obrębu 0001 Aleksandrów, gmina Wiskitki (nieruchomość władnąca) dostęp do drogi publicznej – droga powiatowa </w:t>
      </w:r>
      <w:r w:rsidR="00B73402"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189/4, z obrębu 0001 Aleksandrów, gmina Wiskitki zapewnia się poprzez ustanowienie służebności przejazdu i przechodu </w:t>
      </w:r>
      <w:r w:rsidR="00B73402"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79F969F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29/1, z obrębu 0001 Aleksandrów, gmina Wiskitki (nieruchomość obciążona),</w:t>
      </w:r>
    </w:p>
    <w:p w14:paraId="706231A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30/1, z obrębu 0001 Aleksandrów, gmina Wiskitki (nieruchomość obciążona)</w:t>
      </w:r>
    </w:p>
    <w:p w14:paraId="0218555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31/1, z obrębu 0001 Aleksandrów, gmina Wiskitki (nieruchomość obciążona),</w:t>
      </w:r>
    </w:p>
    <w:p w14:paraId="7A8F044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32/1, z obrębu 0001 Aleksandrów, gmina Wiskitki (nieruchomość obciążona),</w:t>
      </w:r>
    </w:p>
    <w:p w14:paraId="5BA42CE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33/1, z obrębu 0001 Aleksandrów, gmina Wiskitki (nieruchomość obciążona),</w:t>
      </w:r>
    </w:p>
    <w:p w14:paraId="445B764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34/3, z obrębu 0001 Aleksandrów, gmina Wiskitki (nieruchomość obciążona),</w:t>
      </w:r>
    </w:p>
    <w:p w14:paraId="03D666C1" w14:textId="161541D1"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36/2, z obrębu 0001 Aleksandrów, gmina Wiskitki (nieruchomość obciążona)</w:t>
      </w:r>
      <w:r w:rsidR="00B73402" w:rsidRPr="004B6BA3">
        <w:rPr>
          <w:rFonts w:ascii="Lato" w:hAnsi="Lato" w:cs="Arial"/>
          <w:bCs/>
          <w:spacing w:val="4"/>
          <w:sz w:val="22"/>
          <w:szCs w:val="22"/>
        </w:rPr>
        <w:t>.</w:t>
      </w:r>
      <w:r w:rsidRPr="004B6BA3">
        <w:rPr>
          <w:rFonts w:ascii="Lato" w:hAnsi="Lato" w:cs="Arial"/>
          <w:bCs/>
          <w:spacing w:val="4"/>
          <w:sz w:val="22"/>
          <w:szCs w:val="22"/>
        </w:rPr>
        <w:t xml:space="preserve"> </w:t>
      </w:r>
    </w:p>
    <w:p w14:paraId="5330BA7A" w14:textId="058C84EF"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30/2, z obrębu 0001 Aleksandrów, gmina Wiskitki (nieruchomość władnąca) dostęp do drogi publicznej – droga powiatowa </w:t>
      </w:r>
      <w:r w:rsidR="00B73402"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189/4, z obrębu 0001 Aleksandrów, gmina Wiskitki zapewnia się poprzez ustanowienie służebności przejazdu i przechodu </w:t>
      </w:r>
      <w:r w:rsidR="00B73402"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0F6EB54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30/1, z obrębu 0001 Aleksandrów, gmina Wiskitki (nieruchomość obciążona),</w:t>
      </w:r>
    </w:p>
    <w:p w14:paraId="252D78A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31/1, z obrębu 0001 Aleksandrów, gmina Wiskitki (nieruchomość obciążona),</w:t>
      </w:r>
    </w:p>
    <w:p w14:paraId="5C797A6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32/1, z obrębu 0001 Aleksandrów, gmina Wiskitki (nieruchomość obciążona),</w:t>
      </w:r>
    </w:p>
    <w:p w14:paraId="3B5A7B7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33/1, z obrębu 0001 Aleksandrów, gmina Wiskitki (nieruchomość obciążona),</w:t>
      </w:r>
    </w:p>
    <w:p w14:paraId="193E81B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34/3, z obrębu 0001 Aleksandrów, gmina Wiskitki (nieruchomość obciążona),</w:t>
      </w:r>
    </w:p>
    <w:p w14:paraId="0E02C690" w14:textId="488AA82C"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36/2, z obrębu 0001 Aleksandrów, gmina Wiskitki (nieruchomość obciążona)</w:t>
      </w:r>
      <w:r w:rsidR="00B73402" w:rsidRPr="004B6BA3">
        <w:rPr>
          <w:rFonts w:ascii="Lato" w:hAnsi="Lato" w:cs="Arial"/>
          <w:bCs/>
          <w:spacing w:val="4"/>
          <w:sz w:val="22"/>
          <w:szCs w:val="22"/>
        </w:rPr>
        <w:t>.</w:t>
      </w:r>
    </w:p>
    <w:p w14:paraId="1B883292" w14:textId="79E29188"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31/2, z obrębu 0001 Aleksandrów, gmina Wiskitki (nieruchomość władnąca) dostęp do drogi publicznej – droga powiatowa </w:t>
      </w:r>
      <w:r w:rsidR="007A1E2F"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189/4, z obrębu 0001 Aleksandrów, gmina Wiskitki zapewnia się poprzez ustanowienie służebności przejazdu i przechodu </w:t>
      </w:r>
      <w:r w:rsidR="007A1E2F"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5308BD9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31/1, z obrębu 0001 Aleksandrów, gmina Wiskitki (nieruchomość obciążona),</w:t>
      </w:r>
    </w:p>
    <w:p w14:paraId="115F212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32/1, z obrębu 0001 Aleksandrów, gmina Wiskitki (nieruchomość obciążona),</w:t>
      </w:r>
    </w:p>
    <w:p w14:paraId="09889FD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33/1, z obrębu 0001 Aleksandrów, gmina Wiskitki (nieruchomość obciążona),</w:t>
      </w:r>
    </w:p>
    <w:p w14:paraId="596851B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34/3, z obrębu 0001 Aleksandrów, gmina Wiskitki (nieruchomość obciążona),</w:t>
      </w:r>
    </w:p>
    <w:p w14:paraId="1214DC0A" w14:textId="0A627123"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36/2, z obrębu 0001 Aleksandrów, gmina Wiskitki (nieruchomość obciążona)</w:t>
      </w:r>
      <w:r w:rsidR="00B73402" w:rsidRPr="004B6BA3">
        <w:rPr>
          <w:rFonts w:ascii="Lato" w:hAnsi="Lato" w:cs="Arial"/>
          <w:bCs/>
          <w:spacing w:val="4"/>
          <w:sz w:val="22"/>
          <w:szCs w:val="22"/>
        </w:rPr>
        <w:t>.</w:t>
      </w:r>
    </w:p>
    <w:p w14:paraId="454A2255" w14:textId="58E1552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32/2, z obrębu 0001 Aleksandrów, gmina Wiskitki (nieruchomość władnąca) dostęp do drogi publicznej – droga powiatowa </w:t>
      </w:r>
      <w:r w:rsidR="007A1E2F"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189/4, z obrębu 0001 Aleksandrów, gmina Wiskitki zapewnia się poprzez ustanowienie służebności przejazdu i przechodu </w:t>
      </w:r>
      <w:r w:rsidR="007A1E2F"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4813E14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32/1, z obrębu 0001 Aleksandrów, gmina Wiskitki (nieruchomość obciążona),</w:t>
      </w:r>
    </w:p>
    <w:p w14:paraId="3DB66F2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33/1, z obrębu 0001 Aleksandrów, gmina Wiskitki (nieruchomość obciążona),</w:t>
      </w:r>
    </w:p>
    <w:p w14:paraId="1AD32FD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34/3, z obrębu 0001 Aleksandrów, gmina Wiskitki (nieruchomość obciążona),</w:t>
      </w:r>
    </w:p>
    <w:p w14:paraId="32E0256D" w14:textId="7D9AF453"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36/2, z obrębu 0001 Aleksandrów, gmina Wiskitki (nieruchomość obciążona)</w:t>
      </w:r>
      <w:r w:rsidR="007A1E2F" w:rsidRPr="004B6BA3">
        <w:rPr>
          <w:rFonts w:ascii="Lato" w:hAnsi="Lato" w:cs="Arial"/>
          <w:bCs/>
          <w:spacing w:val="4"/>
          <w:sz w:val="22"/>
          <w:szCs w:val="22"/>
        </w:rPr>
        <w:t>.</w:t>
      </w:r>
    </w:p>
    <w:p w14:paraId="5C088EE7" w14:textId="356B8EB1"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33/2, z obrębu 0001 Aleksandrów, gmina Wiskitki (nieruchomość władnąca) dostęp do drogi publicznej – droga powiatowa </w:t>
      </w:r>
      <w:r w:rsidR="007A1E2F"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189/4, z obrębu 0001 Aleksandrów, gmina Wiskitki zapewnia się poprzez ustanowienie służebności przejazdu i przechodu </w:t>
      </w:r>
      <w:r w:rsidR="007A1E2F"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4F5F189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33/1, z obrębu 0001 Aleksandrów, gmina Wiskitki (nieruchomość obciążona),</w:t>
      </w:r>
    </w:p>
    <w:p w14:paraId="0E406A6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34/3, z obrębu 0001 Aleksandrów, gmina Wiskitki (nieruchomość obciążona),</w:t>
      </w:r>
    </w:p>
    <w:p w14:paraId="583E8E57" w14:textId="3C9BFF3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36/2, z obrębu 0001 Aleksandrów, gmina Wiskitki (nieruchomość obciążona)</w:t>
      </w:r>
      <w:r w:rsidR="007A1E2F" w:rsidRPr="004B6BA3">
        <w:rPr>
          <w:rFonts w:ascii="Lato" w:hAnsi="Lato" w:cs="Arial"/>
          <w:bCs/>
          <w:spacing w:val="4"/>
          <w:sz w:val="22"/>
          <w:szCs w:val="22"/>
        </w:rPr>
        <w:t>.</w:t>
      </w:r>
    </w:p>
    <w:p w14:paraId="72E77DCA" w14:textId="5E761203"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77/13, z obrębu 0001 Aleksandrów, gmina Wiskitki (nieruchomość władnąca) dostęp do drogi publicznej – droga powiatowa </w:t>
      </w:r>
      <w:r w:rsidR="007A1E2F"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77/6, z obrębu 0001 Aleksandrów, gmina Wiskitki zapewnia się poprzez ustanowienie służebności przejazdu i przechodu </w:t>
      </w:r>
      <w:r w:rsidR="007A1E2F"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35D1949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77/10, z obrębu 0001 Aleksandrów, gmina Wiskitki (nieruchomość obciążona),</w:t>
      </w:r>
    </w:p>
    <w:p w14:paraId="443E0F0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77/12, z obrębu 0001 Aleksandrów, gmina Wiskitki (nieruchomość obciążona),</w:t>
      </w:r>
    </w:p>
    <w:p w14:paraId="1BD3D69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78/4, z obrębu 0001 Aleksandrów, gmina Wiskitki (nieruchomość obciążona),</w:t>
      </w:r>
    </w:p>
    <w:p w14:paraId="28DC1E2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79/5, z obrębu 0001 Aleksandrów, gmina Wiskitki (nieruchomość obciążona),</w:t>
      </w:r>
    </w:p>
    <w:p w14:paraId="1F7E441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79/9, z obrębu 0001 Aleksandrów, gmina Wiskitki (nieruchomość obciążona),</w:t>
      </w:r>
    </w:p>
    <w:p w14:paraId="4A080D56" w14:textId="479B1D46"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86/1, z obrębu 0001 Aleksandrów, gmina Wiskitki (nieruchomość obciążona)</w:t>
      </w:r>
      <w:r w:rsidR="007A1E2F" w:rsidRPr="004B6BA3">
        <w:rPr>
          <w:rFonts w:ascii="Lato" w:hAnsi="Lato" w:cs="Arial"/>
          <w:bCs/>
          <w:spacing w:val="4"/>
          <w:sz w:val="22"/>
          <w:szCs w:val="22"/>
        </w:rPr>
        <w:t>.</w:t>
      </w:r>
    </w:p>
    <w:p w14:paraId="31F47F4C" w14:textId="1D6D72D6"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86/2, z obrębu 0001 Aleksandrów, gmina Wiskitki (nieruchomość władnąca) dostęp do drogi publicznej – droga powiatowa </w:t>
      </w:r>
      <w:r w:rsidR="007A1E2F"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77/6, z obrębu 0001 Aleksandrów, gmina Wiskitki zapewnia się poprzez ustanowienie służebności przejazdu i przechodu </w:t>
      </w:r>
      <w:r w:rsidR="007A1E2F"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0BC4656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77/10, z obrębu 0001 Aleksandrów, gmina Wiskitki (nieruchomość obciążona),</w:t>
      </w:r>
    </w:p>
    <w:p w14:paraId="0872A4E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78/4, z obrębu 0001 Aleksandrów, gmina Wiskitki (nieruchomość obciążona),</w:t>
      </w:r>
    </w:p>
    <w:p w14:paraId="312D7AF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79/5, z obrębu 0001 Aleksandrów, gmina Wiskitki (nieruchomość obciążona),</w:t>
      </w:r>
    </w:p>
    <w:p w14:paraId="38D2A33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79/9, z obrębu 0001 Aleksandrów, gmina Wiskitki (nieruchomość obciążona),</w:t>
      </w:r>
    </w:p>
    <w:p w14:paraId="03CCD7F1" w14:textId="24BEF20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86/1, z obrębu 0001 Aleksandrów, gmina Wiskitki (nieruchomość obciążona)</w:t>
      </w:r>
      <w:r w:rsidR="007A1E2F" w:rsidRPr="004B6BA3">
        <w:rPr>
          <w:rFonts w:ascii="Lato" w:hAnsi="Lato" w:cs="Arial"/>
          <w:bCs/>
          <w:spacing w:val="4"/>
          <w:sz w:val="22"/>
          <w:szCs w:val="22"/>
        </w:rPr>
        <w:t>.</w:t>
      </w:r>
    </w:p>
    <w:p w14:paraId="6484F34B" w14:textId="230A7C00"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122/8, z obrębu 0001 Aleksandrów, gmina Wiskitki (nieruchomość władnąca) dostęp do drogi publicznej – droga powiatowa </w:t>
      </w:r>
      <w:r w:rsidR="001528E0"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77/6, z obrębu 0001 Aleksandrów, gmina Wiskitki zapewnia się poprzez ustanowienie służebności przejazdu i przechodu </w:t>
      </w:r>
      <w:r w:rsidR="001528E0"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5B766DA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122/6, z obrębu 0001 Aleksandrów, gmina Wiskitki (nieruchomość obciążona),</w:t>
      </w:r>
    </w:p>
    <w:p w14:paraId="695A28C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77/10, z obrębu 0001 Aleksandrów, gmina Wiskitki (nieruchomość obciążona),</w:t>
      </w:r>
    </w:p>
    <w:p w14:paraId="42DAB36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77/12, z obrębu 0001 Aleksandrów, gmina Wiskitki (nieruchomość obciążona),</w:t>
      </w:r>
    </w:p>
    <w:p w14:paraId="5B216C3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78/4, z obrębu 0001 Aleksandrów, gmina Wiskitki (nieruchomość obciążona),</w:t>
      </w:r>
    </w:p>
    <w:p w14:paraId="2C40F56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79/5, z obrębu 0001 Aleksandrów, gmina Wiskitki (nieruchomość obciążona),</w:t>
      </w:r>
    </w:p>
    <w:p w14:paraId="531393E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79/9, z obrębu 0001 Aleksandrów, gmina Wiskitki (nieruchomość obciążona),</w:t>
      </w:r>
    </w:p>
    <w:p w14:paraId="311E3886" w14:textId="4C57CA16"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86/1, z obrębu 0001 Aleksandrów, gmina Wiskitki (nieruchomość obciążona)</w:t>
      </w:r>
      <w:r w:rsidR="007A1E2F" w:rsidRPr="004B6BA3">
        <w:rPr>
          <w:rFonts w:ascii="Lato" w:hAnsi="Lato" w:cs="Arial"/>
          <w:bCs/>
          <w:spacing w:val="4"/>
          <w:sz w:val="22"/>
          <w:szCs w:val="22"/>
        </w:rPr>
        <w:t>.</w:t>
      </w:r>
    </w:p>
    <w:p w14:paraId="6F6B2F37" w14:textId="1C7AE118"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124/8, z obrębu 0001 Aleksandrów, gmina Wiskitki (nieruchomość władnąca) dostęp do drogi publicznej – droga powiatowa </w:t>
      </w:r>
      <w:r w:rsidR="001528E0"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77/6, z obrębu 0001 Aleksandrów, gmina Wiskitki zapewnia się poprzez ustanowienie służebności przejazdu i przechodu </w:t>
      </w:r>
      <w:r w:rsidR="001528E0"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7DFF363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122/6, z obrębu 0001 Aleksandrów, gmina Wiskitki (nieruchomość obciążona),</w:t>
      </w:r>
    </w:p>
    <w:p w14:paraId="42CF786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124/6, z obrębu 0001 Aleksandrów, gmina Wiskitki (nieruchomość obciążona),</w:t>
      </w:r>
    </w:p>
    <w:p w14:paraId="2C49F51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77/10, z obrębu 0001 Aleksandrów, gmina Wiskitki (nieruchomość obciążona),</w:t>
      </w:r>
    </w:p>
    <w:p w14:paraId="2C4C0A4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77/12, z obrębu 0001 Aleksandrów, gmina Wiskitki (nieruchomość obciążona),</w:t>
      </w:r>
    </w:p>
    <w:p w14:paraId="7C335C5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78/4, z obrębu 0001 Aleksandrów, gmina Wiskitki (nieruchomość obciążona),</w:t>
      </w:r>
    </w:p>
    <w:p w14:paraId="5969B2C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79/5, z obrębu 0001 Aleksandrów, gmina Wiskitki (nieruchomość obciążona),</w:t>
      </w:r>
    </w:p>
    <w:p w14:paraId="46FC088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79/9, z obrębu 0001 Aleksandrów, gmina Wiskitki (nieruchomość obciążona),</w:t>
      </w:r>
    </w:p>
    <w:p w14:paraId="4DDF2E01" w14:textId="5EF09C23"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86/1, z obrębu 0001 Aleksandrów, gmina Wiskitki (nieruchomość obciążona)</w:t>
      </w:r>
      <w:r w:rsidR="001528E0" w:rsidRPr="004B6BA3">
        <w:rPr>
          <w:rFonts w:ascii="Lato" w:hAnsi="Lato" w:cs="Arial"/>
          <w:bCs/>
          <w:spacing w:val="4"/>
          <w:sz w:val="22"/>
          <w:szCs w:val="22"/>
        </w:rPr>
        <w:t>.</w:t>
      </w:r>
    </w:p>
    <w:p w14:paraId="05F4C0D9" w14:textId="1A60D666"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126/8, z obrębu 0001 Aleksandrów, gmina Wiskitki (nieruchomość władnąca) dostęp do drogi publicznej – droga powiatowa </w:t>
      </w:r>
      <w:r w:rsidR="001528E0"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77/6, z obrębu 0001 Aleksandrów, gmina Wiskitki zapewnia się poprzez ustanowienie służebności przejazdu i przechodu </w:t>
      </w:r>
      <w:r w:rsidR="001528E0"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1996E83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122/6, z obrębu 0001 Aleksandrów, gmina Wiskitki (nieruchomość obciążona),</w:t>
      </w:r>
    </w:p>
    <w:p w14:paraId="4D56BC2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124/6, z obrębu 0001 Aleksandrów, gmina Wiskitki (nieruchomość obciążona),</w:t>
      </w:r>
    </w:p>
    <w:p w14:paraId="137DE76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126/6, z obrębu 0001 Aleksandrów, gmina Wiskitki (nieruchomość obciążona),</w:t>
      </w:r>
    </w:p>
    <w:p w14:paraId="6023718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192/3, z obrębu 0001 Aleksandrów, gmina Wiskitki (nieruchomość obciążona),</w:t>
      </w:r>
    </w:p>
    <w:p w14:paraId="4AC7EFD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77/10, z obrębu 0001 Aleksandrów, gmina Wiskitki (nieruchomość obciążona),</w:t>
      </w:r>
    </w:p>
    <w:p w14:paraId="7349A94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77/12, z obrębu 0001 Aleksandrów, gmina Wiskitki (nieruchomość obciążona),</w:t>
      </w:r>
    </w:p>
    <w:p w14:paraId="6BEF16C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78/4, z obrębu 0001 Aleksandrów, gmina Wiskitki (nieruchomość obciążona),</w:t>
      </w:r>
    </w:p>
    <w:p w14:paraId="4E48B29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79/5, z obrębu 0001 Aleksandrów, gmina Wiskitki (nieruchomość obciążona),</w:t>
      </w:r>
    </w:p>
    <w:p w14:paraId="55F7576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79/9, z obrębu 0001 Aleksandrów, gmina Wiskitki (nieruchomość obciążona),</w:t>
      </w:r>
    </w:p>
    <w:p w14:paraId="0CE074B1" w14:textId="4FA2C501"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86/1, z obrębu 0001 Aleksandrów, gmina Wiskitki (nieruchomość obciążona)</w:t>
      </w:r>
      <w:r w:rsidR="001528E0" w:rsidRPr="004B6BA3">
        <w:rPr>
          <w:rFonts w:ascii="Lato" w:hAnsi="Lato" w:cs="Arial"/>
          <w:bCs/>
          <w:spacing w:val="4"/>
          <w:sz w:val="22"/>
          <w:szCs w:val="22"/>
        </w:rPr>
        <w:t>.</w:t>
      </w:r>
    </w:p>
    <w:p w14:paraId="19E96A38" w14:textId="51116148"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128/9, z obrębu 0001 Aleksandrów, gmina Wiskitki (nieruchomość władnąca) dostęp do drogi publicznej – droga powiatowa </w:t>
      </w:r>
      <w:r w:rsidR="001528E0"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77/6, z obrębu 0001 Aleksandrów, gmina Wiskitki zapewnia się poprzez ustanowienie służebności przejazdu i przechodu </w:t>
      </w:r>
      <w:r w:rsidR="001528E0"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2A9C978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122/6, z obrębu 0001 Aleksandrów, gmina Wiskitki (nieruchomość obciążona),</w:t>
      </w:r>
    </w:p>
    <w:p w14:paraId="546CC2F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124/6, z obrębu 0001 Aleksandrów, gmina Wiskitki (nieruchomość obciążona),</w:t>
      </w:r>
    </w:p>
    <w:p w14:paraId="6B808A2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126/6, z obrębu 0001 Aleksandrów, gmina Wiskitki (nieruchomość obciążona),</w:t>
      </w:r>
    </w:p>
    <w:p w14:paraId="3D40966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128/6, z obrębu 0001 Aleksandrów, gmina Wiskitki (nieruchomość obciążona),</w:t>
      </w:r>
    </w:p>
    <w:p w14:paraId="71D74CC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192/3, z obrębu 0001 Aleksandrów, gmina Wiskitki (nieruchomość obciążona),</w:t>
      </w:r>
    </w:p>
    <w:p w14:paraId="6BA95A3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77/10, z obrębu 0001 Aleksandrów, gmina Wiskitki (nieruchomość obciążona),</w:t>
      </w:r>
    </w:p>
    <w:p w14:paraId="5AF5D2D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77/12, z obrębu 0001 Aleksandrów, gmina Wiskitki (nieruchomość obciążona),</w:t>
      </w:r>
    </w:p>
    <w:p w14:paraId="23A6F94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78/4, z obrębu 0001 Aleksandrów, gmina Wiskitki (nieruchomość obciążona),</w:t>
      </w:r>
    </w:p>
    <w:p w14:paraId="57B6950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79/5, z obrębu 0001 Aleksandrów, gmina Wiskitki (nieruchomość obciążona),</w:t>
      </w:r>
    </w:p>
    <w:p w14:paraId="127F0A4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79/9, z obrębu 0001 Aleksandrów, gmina Wiskitki (nieruchomość obciążona),</w:t>
      </w:r>
    </w:p>
    <w:p w14:paraId="2EBA0123" w14:textId="326C8C7C"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86/1, z obrębu 0001 Aleksandrów, gmina Wiskitki (nieruchomość obciążona)</w:t>
      </w:r>
      <w:r w:rsidR="001528E0" w:rsidRPr="004B6BA3">
        <w:rPr>
          <w:rFonts w:ascii="Lato" w:hAnsi="Lato" w:cs="Arial"/>
          <w:bCs/>
          <w:spacing w:val="4"/>
          <w:sz w:val="22"/>
          <w:szCs w:val="22"/>
        </w:rPr>
        <w:t>.</w:t>
      </w:r>
    </w:p>
    <w:p w14:paraId="30CA7029" w14:textId="044CF482"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129/11, z obrębu 0001 Aleksandrów, gmina Wiskitki (nieruchomość władnąca) dostęp do drogi publicznej – droga powiatowa </w:t>
      </w:r>
      <w:r w:rsidR="007A377F"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77/6, z obrębu 0001 Aleksandrów, gmina Wiskitki zapewnia się poprzez ustanowienie służebności przejazdu i przechodu </w:t>
      </w:r>
      <w:r w:rsidR="007A377F"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613DA39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122/6, z obrębu 0001 Aleksandrów, gmina Wiskitki (nieruchomość obciążona),</w:t>
      </w:r>
    </w:p>
    <w:p w14:paraId="14B8E73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124/6, z obrębu 0001 Aleksandrów, gmina Wiskitki (nieruchomość obciążona),</w:t>
      </w:r>
    </w:p>
    <w:p w14:paraId="148BE8C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126/6, z obrębu 0001 Aleksandrów, gmina Wiskitki (nieruchomość obciążona),</w:t>
      </w:r>
    </w:p>
    <w:p w14:paraId="566DD70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128/6, z obrębu 0001 Aleksandrów, gmina Wiskitki (nieruchomość obciążona),</w:t>
      </w:r>
    </w:p>
    <w:p w14:paraId="4EE0403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129/8, z obrębu 0001 Aleksandrów, gmina Wiskitki (nieruchomość obciążona),</w:t>
      </w:r>
    </w:p>
    <w:p w14:paraId="0C0BD7F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192/3, z obrębu 0001 Aleksandrów, gmina Wiskitki (nieruchomość obciążona),</w:t>
      </w:r>
    </w:p>
    <w:p w14:paraId="3D6A019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77/10, z obrębu 0001 Aleksandrów, gmina Wiskitki (nieruchomość obciążona),</w:t>
      </w:r>
    </w:p>
    <w:p w14:paraId="26CBE14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77/12, z obrębu 0001 Aleksandrów, gmina Wiskitki (nieruchomość obciążona),</w:t>
      </w:r>
    </w:p>
    <w:p w14:paraId="768E88C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78/4, z obrębu 0001 Aleksandrów, gmina Wiskitki (nieruchomość obciążona),</w:t>
      </w:r>
    </w:p>
    <w:p w14:paraId="552243A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79/5, z obrębu 0001 Aleksandrów, gmina Wiskitki (nieruchomość obciążona),</w:t>
      </w:r>
    </w:p>
    <w:p w14:paraId="1E899C1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79/9, z obrębu 0001 Aleksandrów, gmina Wiskitki (nieruchomość obciążona),</w:t>
      </w:r>
    </w:p>
    <w:p w14:paraId="2036941F" w14:textId="095631B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86/1, z obrębu 0001 Aleksandrów, gmina Wiskitki (nieruchomość obciążona)</w:t>
      </w:r>
      <w:r w:rsidR="001528E0" w:rsidRPr="004B6BA3">
        <w:rPr>
          <w:rFonts w:ascii="Lato" w:hAnsi="Lato" w:cs="Arial"/>
          <w:bCs/>
          <w:spacing w:val="4"/>
          <w:sz w:val="22"/>
          <w:szCs w:val="22"/>
        </w:rPr>
        <w:t>.</w:t>
      </w:r>
    </w:p>
    <w:p w14:paraId="68DD3AB5" w14:textId="760AD660"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131/9, z obrębu 0001 Aleksandrów, gmina Wiskitki (nieruchomość władnąca) dostęp do drogi publicznej – droga powiatowa 3837W – działka nr 77/6, z obrębu 0001 Aleksandrów, gmina Wiskitki zapewnia się poprzez ustanowienie służebności przejazdu i przechodu </w:t>
      </w:r>
      <w:r w:rsidR="007A377F"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0A221C9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122/6, z obrębu 0001 Aleksandrów, gmina Wiskitki (nieruchomość obciążona),</w:t>
      </w:r>
    </w:p>
    <w:p w14:paraId="59B01A8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124/6, z obrębu 0001 Aleksandrów, gmina Wiskitki (nieruchomość obciążona),</w:t>
      </w:r>
    </w:p>
    <w:p w14:paraId="53F6C46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126/6, z obrębu 0001 Aleksandrów, gmina Wiskitki (nieruchomość obciążona),</w:t>
      </w:r>
    </w:p>
    <w:p w14:paraId="3CD9539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128/6, z obrębu 0001 Aleksandrów, gmina Wiskitki (nieruchomość obciążona),</w:t>
      </w:r>
    </w:p>
    <w:p w14:paraId="7868E68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129/8, z obrębu 0001 Aleksandrów, gmina Wiskitki (nieruchomość obciążona),</w:t>
      </w:r>
    </w:p>
    <w:p w14:paraId="6B61A47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130/6, z obrębu 0001 Aleksandrów, gmina Wiskitki (nieruchomość obciążona),</w:t>
      </w:r>
    </w:p>
    <w:p w14:paraId="1BF00D3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131/6, z obrębu 0001 Aleksandrów, gmina Wiskitki (nieruchomość obciążona),</w:t>
      </w:r>
    </w:p>
    <w:p w14:paraId="63383E5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192/3, z obrębu 0001 Aleksandrów, gmina Wiskitki (nieruchomość obciążona),</w:t>
      </w:r>
    </w:p>
    <w:p w14:paraId="7FBD5CE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77/10, z obrębu 0001 Aleksandrów, gmina Wiskitki (nieruchomość obciążona),</w:t>
      </w:r>
    </w:p>
    <w:p w14:paraId="1EA147E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77/12, z obrębu 0001 Aleksandrów, gmina Wiskitki (nieruchomość obciążona),</w:t>
      </w:r>
    </w:p>
    <w:p w14:paraId="2C50683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78/4, z obrębu 0001 Aleksandrów, gmina Wiskitki (nieruchomość obciążona),</w:t>
      </w:r>
    </w:p>
    <w:p w14:paraId="23BB1D7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79/5, z obrębu 0001 Aleksandrów, gmina Wiskitki (nieruchomość obciążona),</w:t>
      </w:r>
    </w:p>
    <w:p w14:paraId="5C67028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79/9, z obrębu 0001 Aleksandrów, gmina Wiskitki (nieruchomość obciążona),</w:t>
      </w:r>
    </w:p>
    <w:p w14:paraId="76D8BEC5" w14:textId="4ABDE39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86/1, z obrębu 0001 Aleksandrów, gmina Wiskitki (nieruchomość obciążona)</w:t>
      </w:r>
      <w:r w:rsidR="007A377F" w:rsidRPr="004B6BA3">
        <w:rPr>
          <w:rFonts w:ascii="Lato" w:hAnsi="Lato" w:cs="Arial"/>
          <w:bCs/>
          <w:spacing w:val="4"/>
          <w:sz w:val="22"/>
          <w:szCs w:val="22"/>
        </w:rPr>
        <w:t>.</w:t>
      </w:r>
    </w:p>
    <w:p w14:paraId="741B8193" w14:textId="4BFA555E"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140/3, z obrębu 0001 Aleksandrów, gmina Wiskitki (nieruchomość władnąca) dostęp do drogi publicznej – droga gminna </w:t>
      </w:r>
      <w:r w:rsidR="007A377F"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187, z obrębu 0001 Aleksandrów, gmina Wiskitki zapewnia się poprzez ustanowienie służebności przejazdu i przechodu </w:t>
      </w:r>
      <w:r w:rsidR="007A377F"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5E46E7E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41/2, z obrębu 0011 Maurycew, gmina Teresin (nieruchomość obciążona),</w:t>
      </w:r>
    </w:p>
    <w:p w14:paraId="613B5A5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42/4, z obrębu 0011 Maurycew, gmina Teresin (nieruchomość obciążona),</w:t>
      </w:r>
    </w:p>
    <w:p w14:paraId="3D068CA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42/7, z obrębu 0011 Maurycew, gmina Teresin (nieruchomość obciążona),</w:t>
      </w:r>
    </w:p>
    <w:p w14:paraId="3F4DFD7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43/3, z obrębu 0011 Maurycew, gmina Teresin (nieruchomość obciążona),</w:t>
      </w:r>
    </w:p>
    <w:p w14:paraId="2E00A2A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44/1, z obrębu 0011 Maurycew, gmina Teresin (nieruchomość obciążona),</w:t>
      </w:r>
    </w:p>
    <w:p w14:paraId="696DC3C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45/3, z obrębu 0011 Maurycew, gmina Teresin (nieruchomość obciążona),</w:t>
      </w:r>
    </w:p>
    <w:p w14:paraId="32FB951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46/1, z obrębu 0011 Maurycew, gmina Teresin (nieruchomość obciążona),</w:t>
      </w:r>
    </w:p>
    <w:p w14:paraId="78933BE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47/1, z obrębu 0011 Maurycew, gmina Teresin (nieruchomość obciążona),</w:t>
      </w:r>
    </w:p>
    <w:p w14:paraId="436D7DE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48/1, z obrębu 0011 Maurycew, gmina Teresin (nieruchomość obciążona), </w:t>
      </w:r>
    </w:p>
    <w:p w14:paraId="5A85071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49/1, z obrębu 0011 Maurycew, gmina Teresin (nieruchomość obciążona),</w:t>
      </w:r>
    </w:p>
    <w:p w14:paraId="3C6D482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140/1, z obrębu 0001 Aleksandrów, gmina Wiskitki (nieruchomość obciążona),</w:t>
      </w:r>
    </w:p>
    <w:p w14:paraId="477601B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143/6, z obrębu 0001 Aleksandrów, gmina Wiskitki (nieruchomość obciążona),</w:t>
      </w:r>
    </w:p>
    <w:p w14:paraId="152CCBD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144/4, z obrębu 0001 Aleksandrów, gmina Wiskitki (nieruchomość obciążona),</w:t>
      </w:r>
    </w:p>
    <w:p w14:paraId="72956C7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145/4, z obrębu 0001 Aleksandrów, gmina Wiskitki (nieruchomość obciążona),</w:t>
      </w:r>
    </w:p>
    <w:p w14:paraId="6970191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148/4, z obrębu 0001 Aleksandrów, gmina Wiskitki (nieruchomość obciążona),</w:t>
      </w:r>
    </w:p>
    <w:p w14:paraId="0C7FFA0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168/4, z obrębu 0001 Aleksandrów, gmina Wiskitki (nieruchomość obciążona),</w:t>
      </w:r>
    </w:p>
    <w:p w14:paraId="24A8850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169/6, z obrębu 0001 Aleksandrów, gmina Wiskitki (nieruchomość obciążona),</w:t>
      </w:r>
    </w:p>
    <w:p w14:paraId="7003981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169/8, z obrębu 0001 Aleksandrów, gmina Wiskitki (nieruchomość obciążona),</w:t>
      </w:r>
    </w:p>
    <w:p w14:paraId="54EE4F3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171/1, z obrębu 0001 Aleksandrów, gmina Wiskitki (nieruchomość obciążona),</w:t>
      </w:r>
    </w:p>
    <w:p w14:paraId="5561FF45" w14:textId="71D0F4D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179/8, z obrębu 0001 Aleksandrów, gmina Wiskitki (nieruchomość obciążona)</w:t>
      </w:r>
      <w:r w:rsidR="007A377F" w:rsidRPr="004B6BA3">
        <w:rPr>
          <w:rFonts w:ascii="Lato" w:hAnsi="Lato" w:cs="Arial"/>
          <w:bCs/>
          <w:spacing w:val="4"/>
          <w:sz w:val="22"/>
          <w:szCs w:val="22"/>
        </w:rPr>
        <w:t>.</w:t>
      </w:r>
    </w:p>
    <w:p w14:paraId="2B8AD16F" w14:textId="59187759"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143/8, z obrębu 0001 Aleksandrów, gmina Wiskitki (nieruchomość władnąca) dostęp do drogi publicznej – droga gminna </w:t>
      </w:r>
      <w:r w:rsidR="007A377F"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187, z obrębu 0001 Aleksandrów, gmina Wiskitki zapewnia się poprzez ustanowienie służebności przejazdu i przechodu </w:t>
      </w:r>
      <w:r w:rsidR="005F5F9A"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0791613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41/2, z obrębu 0011 Maurycew, gmina Teresin (nieruchomość obciążona),</w:t>
      </w:r>
    </w:p>
    <w:p w14:paraId="6F4B8FA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42/4, z obrębu 0011 Maurycew, gmina Teresin (nieruchomość obciążona),</w:t>
      </w:r>
    </w:p>
    <w:p w14:paraId="40D2487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42/7, z obrębu 0011 Maurycew, gmina Teresin (nieruchomość obciążona),</w:t>
      </w:r>
    </w:p>
    <w:p w14:paraId="5E31E40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43/3, z obrębu 0011 Maurycew, gmina Teresin (nieruchomość obciążona),</w:t>
      </w:r>
    </w:p>
    <w:p w14:paraId="3B04C2B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44/1, z obrębu 0011 Maurycew, gmina Teresin (nieruchomość obciążona),</w:t>
      </w:r>
    </w:p>
    <w:p w14:paraId="40AFDEB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45/3, z obrębu 0011 Maurycew, gmina Teresin (nieruchomość obciążona),</w:t>
      </w:r>
    </w:p>
    <w:p w14:paraId="35FF2D2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46/1, z obrębu 0011 Maurycew, gmina Teresin (nieruchomość obciążona),</w:t>
      </w:r>
    </w:p>
    <w:p w14:paraId="1975016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47/1, z obrębu 0011 Maurycew, gmina Teresin (nieruchomość obciążona),</w:t>
      </w:r>
    </w:p>
    <w:p w14:paraId="38C2742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48/1, z obrębu 0011 Maurycew, gmina Teresin (nieruchomość obciążona),</w:t>
      </w:r>
    </w:p>
    <w:p w14:paraId="16EFB3F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49/1, z obrębu 0011 Maurycew, gmina Teresin (nieruchomość obciążona),</w:t>
      </w:r>
    </w:p>
    <w:p w14:paraId="04D71D5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143/6, z obrębu 0001 Aleksandrów, gmina Wiskitki (nieruchomość obciążona),</w:t>
      </w:r>
    </w:p>
    <w:p w14:paraId="4B8D3E9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144/4, z obrębu 0001 Aleksandrów, gmina Wiskitki (nieruchomość obciążona),</w:t>
      </w:r>
    </w:p>
    <w:p w14:paraId="04A6F23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145/4, z obrębu 0001 Aleksandrów, gmina Wiskitki (nieruchomość obciążona),</w:t>
      </w:r>
    </w:p>
    <w:p w14:paraId="13A7B74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148/4, z obrębu 0001 Aleksandrów, gmina Wiskitki (nieruchomość obciążona),</w:t>
      </w:r>
    </w:p>
    <w:p w14:paraId="242FADB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168/4, z obrębu 0001 Aleksandrów, gmina Wiskitki (nieruchomość obciążona),</w:t>
      </w:r>
    </w:p>
    <w:p w14:paraId="5428D7F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169/6, z obrębu 0001 Aleksandrów, gmina Wiskitki (nieruchomość obciążona),</w:t>
      </w:r>
    </w:p>
    <w:p w14:paraId="3DF11FC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169/8, z obrębu 0001 Aleksandrów, gmina Wiskitki (nieruchomość obciążona),</w:t>
      </w:r>
    </w:p>
    <w:p w14:paraId="665DE0D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171/1, z obrębu 0001 Aleksandrów, gmina Wiskitki (nieruchomość obciążona),</w:t>
      </w:r>
    </w:p>
    <w:p w14:paraId="3A87DBD2" w14:textId="784DC5E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179/8, z obrębu 0001 Aleksandrów, gmina Wiskitki (nieruchomość obciążona)</w:t>
      </w:r>
      <w:r w:rsidR="007A377F" w:rsidRPr="004B6BA3">
        <w:rPr>
          <w:rFonts w:ascii="Lato" w:hAnsi="Lato" w:cs="Arial"/>
          <w:bCs/>
          <w:spacing w:val="4"/>
          <w:sz w:val="22"/>
          <w:szCs w:val="22"/>
        </w:rPr>
        <w:t>.</w:t>
      </w:r>
    </w:p>
    <w:p w14:paraId="0908CBDA" w14:textId="5949300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148/6, z obrębu 0001 Aleksandrów, gmina Wiskitki (nieruchomość władnąca) dostęp do drogi publicznej – droga gminna </w:t>
      </w:r>
      <w:r w:rsidR="005F5F9A"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187, z obrębu 0001 Aleksandrów, gmina Wiskitki </w:t>
      </w:r>
      <w:r w:rsidRPr="004B6BA3">
        <w:rPr>
          <w:rFonts w:ascii="Lato" w:hAnsi="Lato" w:cs="Arial"/>
          <w:bCs/>
          <w:spacing w:val="4"/>
          <w:sz w:val="22"/>
          <w:szCs w:val="22"/>
        </w:rPr>
        <w:lastRenderedPageBreak/>
        <w:t xml:space="preserve">zapewnia się poprzez ustanowienie służebności przejazdu i przechodu </w:t>
      </w:r>
      <w:r w:rsidR="005F5F9A"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3181256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41/2, z obrębu 0011 Maurycew, gmina Teresin (nieruchomość obciążona),</w:t>
      </w:r>
    </w:p>
    <w:p w14:paraId="428433D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42/4, z obrębu 0011 Maurycew, gmina Teresin (nieruchomość obciążona),</w:t>
      </w:r>
    </w:p>
    <w:p w14:paraId="64C56FA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42/7, z obrębu 0011 Maurycew, gmina Teresin (nieruchomość obciążona),</w:t>
      </w:r>
    </w:p>
    <w:p w14:paraId="055974D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43/3, z obrębu 0011 Maurycew, gmina Teresin (nieruchomość obciążona),</w:t>
      </w:r>
    </w:p>
    <w:p w14:paraId="53E4632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44/1, z obrębu 0011 Maurycew, gmina Teresin (nieruchomość obciążona),</w:t>
      </w:r>
    </w:p>
    <w:p w14:paraId="7BBBA89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45/3, z obrębu 0011 Maurycew, gmina Teresin (nieruchomość obciążona),</w:t>
      </w:r>
    </w:p>
    <w:p w14:paraId="693FFDF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46/1, z obrębu 0011 Maurycew, gmina Teresin (nieruchomość obciążona),</w:t>
      </w:r>
    </w:p>
    <w:p w14:paraId="56FE439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47/1, z obrębu 0011 Maurycew, gmina Teresin (nieruchomość obciążona),</w:t>
      </w:r>
    </w:p>
    <w:p w14:paraId="737402C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48/1, z obrębu 0011 Maurycew, gmina Teresin (nieruchomość obciążona),</w:t>
      </w:r>
    </w:p>
    <w:p w14:paraId="449B36A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49/1, z obrębu 0011 Maurycew, gmina Teresin (nieruchomość obciążona),</w:t>
      </w:r>
    </w:p>
    <w:p w14:paraId="118B8A1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148/4, z obrębu 0001 Aleksandrów, gmina Wiskitki (nieruchomość obciążona),</w:t>
      </w:r>
    </w:p>
    <w:p w14:paraId="313D78C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168/4, z obrębu 0001 Aleksandrów, gmina Wiskitki (nieruchomość obciążona),</w:t>
      </w:r>
    </w:p>
    <w:p w14:paraId="1E4E939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169/6, z obrębu 0001 Aleksandrów, gmina Wiskitki (nieruchomość obciążona),</w:t>
      </w:r>
    </w:p>
    <w:p w14:paraId="47814EB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169/8, z obrębu 0001 Aleksandrów, gmina Wiskitki (nieruchomość obciążona),</w:t>
      </w:r>
    </w:p>
    <w:p w14:paraId="46B59F2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171/1, z obrębu 0001 Aleksandrów, gmina Wiskitki (nieruchomość obciążona),</w:t>
      </w:r>
    </w:p>
    <w:p w14:paraId="40A8028C" w14:textId="5AAE1B0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179/8, z obrębu 0001 Aleksandrów, gmina Wiskitki (nieruchomość obciążona)</w:t>
      </w:r>
      <w:r w:rsidR="005F5F9A" w:rsidRPr="004B6BA3">
        <w:rPr>
          <w:rFonts w:ascii="Lato" w:hAnsi="Lato" w:cs="Arial"/>
          <w:bCs/>
          <w:spacing w:val="4"/>
          <w:sz w:val="22"/>
          <w:szCs w:val="22"/>
        </w:rPr>
        <w:t>.</w:t>
      </w:r>
    </w:p>
    <w:p w14:paraId="08768B1B" w14:textId="1CC2BA4A"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179/11, z obrębu 0001 Aleksandrów, gmina Wiskitki (nieruchomość władnąca) dostęp do drogi publicznej – droga gminna </w:t>
      </w:r>
      <w:r w:rsidR="00C26259"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56/1, z obrębu 0010 Guzów, gmina Wiskitki zapewnia się poprzez ustanowienie służebności przejazdu i przechodu </w:t>
      </w:r>
      <w:r w:rsidR="00C26259"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46C340E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179/8, z obrębu 0001 Aleksandrów, gmina Wiskitki (nieruchomość obciążona),</w:t>
      </w:r>
    </w:p>
    <w:p w14:paraId="4B9DE3A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53/1, z obrębu 0010 Guzów, gmina Wiskitki (nieruchomość obciążona),</w:t>
      </w:r>
    </w:p>
    <w:p w14:paraId="0333D35E" w14:textId="64502CA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0010 Guzów, gmina Wiskitki (nieruchomość obciążona)</w:t>
      </w:r>
      <w:r w:rsidR="00C26259" w:rsidRPr="004B6BA3">
        <w:rPr>
          <w:rFonts w:ascii="Lato" w:hAnsi="Lato" w:cs="Arial"/>
          <w:bCs/>
          <w:spacing w:val="4"/>
          <w:sz w:val="22"/>
          <w:szCs w:val="22"/>
        </w:rPr>
        <w:t>.</w:t>
      </w:r>
    </w:p>
    <w:p w14:paraId="7640721F" w14:textId="5738C17E"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179/12, z obrębu 0001 Aleksandrów, gmina Wiskitki (nieruchomość władnąca) dostęp do drogi publicznej – droga gminna </w:t>
      </w:r>
      <w:r w:rsidR="00C26259"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187, z obrębu 0001 Aleksandrów, gmina Wiskitki zapewnia się poprzez ustanowienie służebności przejazdu i przechodu </w:t>
      </w:r>
      <w:r w:rsidR="00C26259" w:rsidRPr="004B6BA3">
        <w:rPr>
          <w:rFonts w:ascii="Lato" w:hAnsi="Lato" w:cs="Arial"/>
          <w:bCs/>
          <w:spacing w:val="4"/>
          <w:sz w:val="22"/>
          <w:szCs w:val="22"/>
        </w:rPr>
        <w:br/>
      </w:r>
      <w:r w:rsidRPr="004B6BA3">
        <w:rPr>
          <w:rFonts w:ascii="Lato" w:hAnsi="Lato" w:cs="Arial"/>
          <w:bCs/>
          <w:spacing w:val="4"/>
          <w:sz w:val="22"/>
          <w:szCs w:val="22"/>
        </w:rPr>
        <w:lastRenderedPageBreak/>
        <w:t>po drodze wewnętrznej, której przebieg zostanie wyznaczony przez właściciela nieruchomości obciążonej przez działki:</w:t>
      </w:r>
    </w:p>
    <w:p w14:paraId="2166F93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41/2, z obrębu 0011 Maurycew, gmina Teresin (nieruchomość obciążona),</w:t>
      </w:r>
    </w:p>
    <w:p w14:paraId="0673776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42/4, z obrębu 0011 Maurycew, gmina Teresin (nieruchomość obciążona),</w:t>
      </w:r>
    </w:p>
    <w:p w14:paraId="16B80AF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42/7, z obrębu 0011 Maurycew, gmina Teresin (nieruchomość obciążona),</w:t>
      </w:r>
    </w:p>
    <w:p w14:paraId="2D88DB0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43/3, z obrębu 0011 Maurycew, gmina Teresin (nieruchomość obciążona),</w:t>
      </w:r>
    </w:p>
    <w:p w14:paraId="764771B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44/1, z obrębu 0011 Maurycew, gmina Teresin (nieruchomość obciążona),</w:t>
      </w:r>
    </w:p>
    <w:p w14:paraId="2DE2289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45/3, z obrębu 0011 Maurycew, gmina Teresin (nieruchomość obciążona),</w:t>
      </w:r>
    </w:p>
    <w:p w14:paraId="583CCC4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46/1, z obrębu 0011 Maurycew, gmina Teresin (nieruchomość obciążona),</w:t>
      </w:r>
    </w:p>
    <w:p w14:paraId="2F749C7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47/1, z obrębu 0011 Maurycew, gmina Teresin (nieruchomość obciążona),</w:t>
      </w:r>
    </w:p>
    <w:p w14:paraId="27A2C28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48/1, z obrębu 0011 Maurycew, gmina Teresin (nieruchomość obciążona),</w:t>
      </w:r>
    </w:p>
    <w:p w14:paraId="2A0D1A8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49/1, z obrębu 0011 Maurycew, gmina Teresin (nieruchomość obciążona),</w:t>
      </w:r>
    </w:p>
    <w:p w14:paraId="53BF2E9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168/4, z obrębu 0001 Aleksandrów, gmina Wiskitki (nieruchomość obciążona),</w:t>
      </w:r>
    </w:p>
    <w:p w14:paraId="686C361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169/6, z obrębu 0001 Aleksandrów, gmina Wiskitki (nieruchomość obciążona),</w:t>
      </w:r>
    </w:p>
    <w:p w14:paraId="1A650B1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169/8, z obrębu 0001 Aleksandrów, gmina Wiskitki (nieruchomość obciążona),</w:t>
      </w:r>
    </w:p>
    <w:p w14:paraId="31685F2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171/1, z obrębu 0001 Aleksandrów, gmina Wiskitki (nieruchomość obciążona),</w:t>
      </w:r>
    </w:p>
    <w:p w14:paraId="0C175288" w14:textId="72CE7462"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179/8, z obrębu 0001 Aleksandrów, gmina Wiskitki (nieruchomość obciążona)</w:t>
      </w:r>
      <w:r w:rsidR="00C26259" w:rsidRPr="004B6BA3">
        <w:rPr>
          <w:rFonts w:ascii="Lato" w:hAnsi="Lato" w:cs="Arial"/>
          <w:bCs/>
          <w:spacing w:val="4"/>
          <w:sz w:val="22"/>
          <w:szCs w:val="22"/>
        </w:rPr>
        <w:t>.</w:t>
      </w:r>
    </w:p>
    <w:p w14:paraId="75C5EC71" w14:textId="5787C06A"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192/6, z obrębu 0001 Aleksandrów, gmina Wiskitki (nieruchomość władnąca) dostęp do drogi publicznej – droga powiatowa </w:t>
      </w:r>
      <w:r w:rsidR="00C26259" w:rsidRPr="004B6BA3">
        <w:rPr>
          <w:rFonts w:ascii="Lato" w:hAnsi="Lato" w:cs="Arial"/>
          <w:bCs/>
          <w:spacing w:val="4"/>
          <w:sz w:val="22"/>
          <w:szCs w:val="22"/>
        </w:rPr>
        <w:br/>
        <w:t xml:space="preserve">nr </w:t>
      </w:r>
      <w:r w:rsidRPr="004B6BA3">
        <w:rPr>
          <w:rFonts w:ascii="Lato" w:hAnsi="Lato" w:cs="Arial"/>
          <w:bCs/>
          <w:spacing w:val="4"/>
          <w:sz w:val="22"/>
          <w:szCs w:val="22"/>
        </w:rPr>
        <w:t xml:space="preserve">3837W – działka nr 77/6, z obrębu 0001 Aleksandrów, gmina Wiskitki zapewnia się poprzez ustanowienie służebności przejazdu i przechodu </w:t>
      </w:r>
      <w:r w:rsidR="00C26259"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450C9E5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122/6, z obrębu 0001 Aleksandrów, gmina Wiskitki (nieruchomość obciążona),</w:t>
      </w:r>
    </w:p>
    <w:p w14:paraId="1024449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124/6, z obrębu 0001 Aleksandrów, gmina Wiskitki (nieruchomość obciążona),</w:t>
      </w:r>
    </w:p>
    <w:p w14:paraId="5A68BA9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192/3, z obrębu 0001 Aleksandrów, gmina Wiskitki (nieruchomość obciążona),</w:t>
      </w:r>
    </w:p>
    <w:p w14:paraId="7ECAE2E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77/10, z obrębu 0001 Aleksandrów, gmina Wiskitki (nieruchomość obciążona),</w:t>
      </w:r>
    </w:p>
    <w:p w14:paraId="486EE28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77/12, z obrębu 0001 Aleksandrów, gmina Wiskitki (nieruchomość obciążona),</w:t>
      </w:r>
    </w:p>
    <w:p w14:paraId="60F41FA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78/4, z obrębu 0001 Aleksandrów, gmina Wiskitki (nieruchomość obciążona),</w:t>
      </w:r>
    </w:p>
    <w:p w14:paraId="106EB9F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79/5, z obrębu 0001 Aleksandrów, gmina Wiskitki (nieruchomość obciążona),</w:t>
      </w:r>
    </w:p>
    <w:p w14:paraId="02DFDA1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79/9, z obrębu 0001 Aleksandrów, gmina Wiskitki (nieruchomość obciążona),</w:t>
      </w:r>
    </w:p>
    <w:p w14:paraId="60BF9800" w14:textId="7553D2C0"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86/1, z obrębu 0001 Aleksandrów, gmina Wiskitki (nieruchomość obciążona)</w:t>
      </w:r>
      <w:r w:rsidR="00C26259" w:rsidRPr="004B6BA3">
        <w:rPr>
          <w:rFonts w:ascii="Lato" w:hAnsi="Lato" w:cs="Arial"/>
          <w:bCs/>
          <w:spacing w:val="4"/>
          <w:sz w:val="22"/>
          <w:szCs w:val="22"/>
        </w:rPr>
        <w:t>.</w:t>
      </w:r>
    </w:p>
    <w:p w14:paraId="31370F72" w14:textId="5E23AC06"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49/2, z obrębu 0010 Guzów, gmina Wiskitki (nieruchomość władnąca) dostęp do drogi publicznej – droga gminna </w:t>
      </w:r>
      <w:r w:rsidR="00C26259"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56/1, z obrębu 0010 Guzów, gmina Wiskitki zapewnia się poprzez ustanowienie służebności przejazdu i przechodu </w:t>
      </w:r>
      <w:r w:rsidR="00C26259"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285851E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49/1, z obrębu 0010 Guzów, gmina Wiskitki (nieruchomość obciążona),</w:t>
      </w:r>
    </w:p>
    <w:p w14:paraId="5F4B857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50/1, z obrębu 0010 Guzów, gmina Wiskitki (nieruchomość obciążona),</w:t>
      </w:r>
    </w:p>
    <w:p w14:paraId="6F4C82B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51/1, z obrębu 0010 Guzów, gmina Wiskitki (nieruchomość obciążona),</w:t>
      </w:r>
    </w:p>
    <w:p w14:paraId="6540A2A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52/1, z obrębu 0010 Guzów, gmina Wiskitki (nieruchomość obciążona),</w:t>
      </w:r>
    </w:p>
    <w:p w14:paraId="7BAD4678" w14:textId="2BC91965"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0010 Guzów, gmina Wiskitki (nieruchomość obciążona)</w:t>
      </w:r>
      <w:r w:rsidR="00C26259" w:rsidRPr="004B6BA3">
        <w:rPr>
          <w:rFonts w:ascii="Lato" w:hAnsi="Lato" w:cs="Arial"/>
          <w:bCs/>
          <w:spacing w:val="4"/>
          <w:sz w:val="22"/>
          <w:szCs w:val="22"/>
        </w:rPr>
        <w:t>.</w:t>
      </w:r>
    </w:p>
    <w:p w14:paraId="41756D51" w14:textId="0C73A2B4"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50/2, z obrębu 0010 Guzów, gmina Wiskitki (nieruchomość władnąca) dostęp do drogi publicznej – droga gminna </w:t>
      </w:r>
      <w:r w:rsidR="00F926E9"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56/1, z obrębu 0010 Guzów, gmina Wiskitki zapewnia się poprzez ustanowienie służebności przejazdu i przechodu </w:t>
      </w:r>
      <w:r w:rsidR="00F926E9"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50EFA2D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49/1, z obrębu 0010 Guzów, gmina Wiskitki (nieruchomość obciążona),</w:t>
      </w:r>
    </w:p>
    <w:p w14:paraId="14476AA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50/1, z obrębu 0010 Guzów, gmina Wiskitki (nieruchomość obciążona),</w:t>
      </w:r>
    </w:p>
    <w:p w14:paraId="12D339E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51/1, z obrębu 0010 Guzów, gmina Wiskitki (nieruchomość obciążona),</w:t>
      </w:r>
    </w:p>
    <w:p w14:paraId="4C60ECF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52/1, z obrębu 0010 Guzów, gmina Wiskitki (nieruchomość obciążona),</w:t>
      </w:r>
    </w:p>
    <w:p w14:paraId="3D70AE35" w14:textId="5CE0051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0010 Guzów, gmina Wiskitki (nieruchomość obciążona)</w:t>
      </w:r>
      <w:r w:rsidR="00F926E9" w:rsidRPr="004B6BA3">
        <w:rPr>
          <w:rFonts w:ascii="Lato" w:hAnsi="Lato" w:cs="Arial"/>
          <w:bCs/>
          <w:spacing w:val="4"/>
          <w:sz w:val="22"/>
          <w:szCs w:val="22"/>
        </w:rPr>
        <w:t>.</w:t>
      </w:r>
    </w:p>
    <w:p w14:paraId="26D7EA3E" w14:textId="7777777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Dla właściciela działki nr 51/2, z obrębu 0010 Guzów, gmina Wiskitki (nieruchomość władnąca) dostęp do drogi publicznej – droga gminna 470405W – działka nr 56/1, z obrębu 0010 Guzów, gmina Wiskitki zapewnia się poprzez ustanowienie służebności przejazdu i przechodu po drodze wewnętrznej, której przebieg zostanie wyznaczony przez właściciela nieruchomości obciążonej przez działki:</w:t>
      </w:r>
    </w:p>
    <w:p w14:paraId="44420ED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49/1, z obrębu 0010 Guzów, gmina Wiskitki (nieruchomość obciążona),</w:t>
      </w:r>
    </w:p>
    <w:p w14:paraId="353FF81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50/1, z obrębu 0010 Guzów, gmina Wiskitki (nieruchomość obciążona),</w:t>
      </w:r>
    </w:p>
    <w:p w14:paraId="721C733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51/1, z obrębu 0010 Guzów, gmina Wiskitki (nieruchomość obciążona),</w:t>
      </w:r>
    </w:p>
    <w:p w14:paraId="487D43B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52/1, z obrębu 0010 Guzów, gmina Wiskitki (nieruchomość obciążona),</w:t>
      </w:r>
    </w:p>
    <w:p w14:paraId="089CE1EA" w14:textId="1930358D"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0010 Guzów, gmina Wiskitki (nieruchomość obciążona)</w:t>
      </w:r>
      <w:r w:rsidR="00F926E9" w:rsidRPr="004B6BA3">
        <w:rPr>
          <w:rFonts w:ascii="Lato" w:hAnsi="Lato" w:cs="Arial"/>
          <w:bCs/>
          <w:spacing w:val="4"/>
          <w:sz w:val="22"/>
          <w:szCs w:val="22"/>
        </w:rPr>
        <w:t>.</w:t>
      </w:r>
    </w:p>
    <w:p w14:paraId="0593743A" w14:textId="5BEF3DBB"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53/2, z obrębu 0010 Guzów, gmina Wiskitki (nieruchomość władnąca) dostęp do drogi publicznej – droga gminna </w:t>
      </w:r>
      <w:r w:rsidR="00F926E9"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56/1, z obrębu 0010 Guzów, gmina Wiskitki zapewnia się poprzez ustanowienie służebności przejazdu i przechodu </w:t>
      </w:r>
      <w:r w:rsidR="00F926E9"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04DE7A9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53/1, z obrębu 0010 Guzów, gmina Wiskitki (nieruchomość obciążona),</w:t>
      </w:r>
    </w:p>
    <w:p w14:paraId="66128C95" w14:textId="69830ECE"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54/1, z obrębu 0010 Guzów, gmina Wiskitki (nieruchomość obciążona)</w:t>
      </w:r>
      <w:r w:rsidR="00F926E9" w:rsidRPr="004B6BA3">
        <w:rPr>
          <w:rFonts w:ascii="Lato" w:hAnsi="Lato" w:cs="Arial"/>
          <w:bCs/>
          <w:spacing w:val="4"/>
          <w:sz w:val="22"/>
          <w:szCs w:val="22"/>
        </w:rPr>
        <w:t>.</w:t>
      </w:r>
    </w:p>
    <w:p w14:paraId="70A82F21" w14:textId="5A50707B"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54/2, z obrębu 0010 Guzów, gmina Wiskitki (nieruchomość władnąca) dostęp do drogi publicznej – droga gminna </w:t>
      </w:r>
      <w:r w:rsidR="00F926E9"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56/1, z obrębu 0010 Guzów, gmina Wiskitki zapewnia się poprzez ustanowienie służebności przejazdu i przechodu </w:t>
      </w:r>
      <w:r w:rsidR="00F926E9"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działkę:</w:t>
      </w:r>
    </w:p>
    <w:p w14:paraId="7F25009E" w14:textId="63DBD198"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0010 Guzów, gmina Wiskitki (nieruchomość obciążona)</w:t>
      </w:r>
      <w:r w:rsidR="00F926E9" w:rsidRPr="004B6BA3">
        <w:rPr>
          <w:rFonts w:ascii="Lato" w:hAnsi="Lato" w:cs="Arial"/>
          <w:bCs/>
          <w:spacing w:val="4"/>
          <w:sz w:val="22"/>
          <w:szCs w:val="22"/>
        </w:rPr>
        <w:t>.</w:t>
      </w:r>
    </w:p>
    <w:p w14:paraId="4995A283" w14:textId="0E5179F8"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59/2, z obrębu 0010 Guzów, gmina Wiskitki (nieruchomość władnąca) dostęp do drogi publicznej – droga gminna </w:t>
      </w:r>
      <w:r w:rsidR="00F926E9"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56/1, z obrębu 0010 Guzów, gmina Wiskitki zapewnia się poprzez ustanowienie służebności przejazdu i przechodu </w:t>
      </w:r>
      <w:r w:rsidR="00F926E9"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0C8851D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59/1, z obrębu 0010 Guzów, gmina Wiskitki (nieruchomość obciążona),</w:t>
      </w:r>
    </w:p>
    <w:p w14:paraId="64B834D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60/1, z obrębu 0010 Guzów, gmina Wiskitki (nieruchomość obciążona),</w:t>
      </w:r>
    </w:p>
    <w:p w14:paraId="09CFFB7E" w14:textId="0304AF7B"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0010 Guzów, gmina Wiskitki (nieruchomość obciążona)</w:t>
      </w:r>
      <w:r w:rsidR="00F926E9" w:rsidRPr="004B6BA3">
        <w:rPr>
          <w:rFonts w:ascii="Lato" w:hAnsi="Lato" w:cs="Arial"/>
          <w:bCs/>
          <w:spacing w:val="4"/>
          <w:sz w:val="22"/>
          <w:szCs w:val="22"/>
        </w:rPr>
        <w:t>.</w:t>
      </w:r>
    </w:p>
    <w:p w14:paraId="0AEFCD05" w14:textId="1412B3AE"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60/3, z obrębu 0010 Guzów, gmina Wiskitki (nieruchomość władnąca) dostęp do drogi publicznej – droga gminna </w:t>
      </w:r>
      <w:r w:rsidR="00342262"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56/1, z obrębu 0010 Guzów, gmina Wiskitki zapewnia się poprzez ustanowienie służebności przejazdu i przechodu </w:t>
      </w:r>
      <w:r w:rsidR="00342262"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2C98EDC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59/1, z obrębu 0010 Guzów, gmina Wiskitki (nieruchomość obciążona),</w:t>
      </w:r>
    </w:p>
    <w:p w14:paraId="01E7485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60/1, z obrębu 0010 Guzów, gmina Wiskitki (nieruchomość obciążona),</w:t>
      </w:r>
    </w:p>
    <w:p w14:paraId="20CEB893" w14:textId="65CCAD71"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0010 Guzów, gmina Wiskitki (nieruchomość obciążona)</w:t>
      </w:r>
      <w:r w:rsidR="00F926E9" w:rsidRPr="004B6BA3">
        <w:rPr>
          <w:rFonts w:ascii="Lato" w:hAnsi="Lato" w:cs="Arial"/>
          <w:bCs/>
          <w:spacing w:val="4"/>
          <w:sz w:val="22"/>
          <w:szCs w:val="22"/>
        </w:rPr>
        <w:t>.</w:t>
      </w:r>
    </w:p>
    <w:p w14:paraId="358BB520" w14:textId="640AE5EF"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61/3, z obrębu 0010 Guzów, gmina Wiskitki (nieruchomość władnąca) dostęp do drogi publicznej – droga gminna </w:t>
      </w:r>
      <w:r w:rsidR="00342262"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56/1, z obrębu 0010 Guzów, gmina Wiskitki zapewnia się poprzez ustanowienie służebności przejazdu i przechodu </w:t>
      </w:r>
      <w:r w:rsidR="00342262"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działki:</w:t>
      </w:r>
    </w:p>
    <w:p w14:paraId="4BB04F5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59/1, z obrębu 0010 Guzów, gmina Wiskitki (nieruchomość obciążona),</w:t>
      </w:r>
    </w:p>
    <w:p w14:paraId="45DF7CD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60/1, z obrębu 0010 Guzów, gmina Wiskitki (nieruchomość obciążona),</w:t>
      </w:r>
    </w:p>
    <w:p w14:paraId="29C60B18" w14:textId="7826A4E3"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0010 Guzów, gmina Wiskitki (nieruchomość obciążona)</w:t>
      </w:r>
      <w:r w:rsidR="00342262" w:rsidRPr="004B6BA3">
        <w:rPr>
          <w:rFonts w:ascii="Lato" w:hAnsi="Lato" w:cs="Arial"/>
          <w:bCs/>
          <w:spacing w:val="4"/>
          <w:sz w:val="22"/>
          <w:szCs w:val="22"/>
        </w:rPr>
        <w:t>.</w:t>
      </w:r>
    </w:p>
    <w:p w14:paraId="2DA46545" w14:textId="77777777"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Dla właściciela działki nr 62/3, z obrębu 0010 Guzów, gmina Wiskitki (nieruchomość władnąca) dostęp do drogi publicznej – droga gminna 470405W – działka nr 56/1, z obrębu 0010 Guzów, gmina Wiskitki zapewnia się poprzez ustanowienie służebności przejazdu i przechodu po drodze wewnętrznej, której przebieg zostanie wyznaczony przez właściciela nieruchomości obciążonej przez działkę:</w:t>
      </w:r>
    </w:p>
    <w:p w14:paraId="16CDE1D5" w14:textId="7D908B54" w:rsidR="002A0F2E" w:rsidRPr="004B6BA3" w:rsidRDefault="002A0F2E" w:rsidP="002A0F2E">
      <w:pPr>
        <w:pStyle w:val="Akapitzlist"/>
        <w:numPr>
          <w:ilvl w:val="0"/>
          <w:numId w:val="12"/>
        </w:numPr>
        <w:tabs>
          <w:tab w:val="left" w:pos="426"/>
        </w:tabs>
        <w:spacing w:after="24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62/1, z obrębu 0010 Guzów, gmina Wiskitki (nieruchomość obciążona)</w:t>
      </w:r>
      <w:r w:rsidR="00342262" w:rsidRPr="004B6BA3">
        <w:rPr>
          <w:rFonts w:ascii="Lato" w:hAnsi="Lato" w:cs="Arial"/>
          <w:bCs/>
          <w:spacing w:val="4"/>
          <w:sz w:val="22"/>
          <w:szCs w:val="22"/>
        </w:rPr>
        <w:t>.</w:t>
      </w:r>
    </w:p>
    <w:p w14:paraId="735D7314" w14:textId="49573C90"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63/3, z obrębu 0010 Guzów, gmina Wiskitki (nieruchomość władnąca) dostęp do drogi publicznej – droga gminna </w:t>
      </w:r>
      <w:r w:rsidR="00342262"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470405W – działka nr 56/1, z obrębu 0010 Guzów, gmina Wiskitki zapewnia się poprzez ustanowienie służebności przejazdu i przechodu </w:t>
      </w:r>
      <w:r w:rsidR="00342262" w:rsidRPr="004B6BA3">
        <w:rPr>
          <w:rFonts w:ascii="Lato" w:hAnsi="Lato" w:cs="Arial"/>
          <w:bCs/>
          <w:spacing w:val="4"/>
          <w:sz w:val="22"/>
          <w:szCs w:val="22"/>
        </w:rPr>
        <w:br/>
      </w:r>
      <w:r w:rsidRPr="004B6BA3">
        <w:rPr>
          <w:rFonts w:ascii="Lato" w:hAnsi="Lato" w:cs="Arial"/>
          <w:bCs/>
          <w:spacing w:val="4"/>
          <w:sz w:val="22"/>
          <w:szCs w:val="22"/>
        </w:rPr>
        <w:t>po drodze wewnętrznej, której przebieg zostanie wyznaczony przez właściciela nieruchomości obciążonej przez działkę:</w:t>
      </w:r>
    </w:p>
    <w:p w14:paraId="6314CA23" w14:textId="2D3E00E4" w:rsidR="002A0F2E" w:rsidRPr="004B6BA3" w:rsidRDefault="002A0F2E" w:rsidP="002A0F2E">
      <w:pPr>
        <w:pStyle w:val="Akapitzlist"/>
        <w:numPr>
          <w:ilvl w:val="0"/>
          <w:numId w:val="12"/>
        </w:numPr>
        <w:tabs>
          <w:tab w:val="left" w:pos="426"/>
        </w:tabs>
        <w:spacing w:after="24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63/1, z obrębu 0010 Guzów, gmina Wiskitki (nieruchomość obciążona)</w:t>
      </w:r>
      <w:r w:rsidR="00342262" w:rsidRPr="004B6BA3">
        <w:rPr>
          <w:rFonts w:ascii="Lato" w:hAnsi="Lato" w:cs="Arial"/>
          <w:bCs/>
          <w:spacing w:val="4"/>
          <w:sz w:val="22"/>
          <w:szCs w:val="22"/>
        </w:rPr>
        <w:t>.</w:t>
      </w:r>
    </w:p>
    <w:p w14:paraId="2F9B94EE" w14:textId="77777777"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Dla właściciela działki nr 64/5, z obrębu 0010 Guzów, gmina Wiskitki (nieruchomość władnąca) dostęp do drogi publicznej – droga gminna 470405W – działka nr 56/1, z obrębu 0010 Guzów, gmina Wiskitki zapewnia się poprzez ustanowienie służebności przejazdu i przechodu po drodze wewnętrznej, której przebieg zostanie wyznaczony przez właściciela nieruchomości obciążonej przez działkę:</w:t>
      </w:r>
    </w:p>
    <w:p w14:paraId="7EAD3DBB" w14:textId="3EB4E98B" w:rsidR="002A0F2E" w:rsidRPr="004B6BA3" w:rsidRDefault="002A0F2E" w:rsidP="002A0F2E">
      <w:pPr>
        <w:pStyle w:val="Akapitzlist"/>
        <w:numPr>
          <w:ilvl w:val="0"/>
          <w:numId w:val="12"/>
        </w:numPr>
        <w:tabs>
          <w:tab w:val="left" w:pos="426"/>
        </w:tabs>
        <w:spacing w:after="24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64/3, z obrębu 0010 Guzów, gmina Wiskitki (nieruchomość obciążona)</w:t>
      </w:r>
      <w:r w:rsidR="00342262" w:rsidRPr="004B6BA3">
        <w:rPr>
          <w:rFonts w:ascii="Lato" w:hAnsi="Lato" w:cs="Arial"/>
          <w:bCs/>
          <w:spacing w:val="4"/>
          <w:sz w:val="22"/>
          <w:szCs w:val="22"/>
        </w:rPr>
        <w:t>.</w:t>
      </w:r>
    </w:p>
    <w:p w14:paraId="572635E1" w14:textId="29B6C3C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64/6, z obrębu 0010 Guzów,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a dostęp do ww. gminnej drogi wewnętrznej (działki nr 240/1, nr 240/4, nr 240/6, z obrębu 0022 Nowy Oryszew, gmina Wiskitki), zapewnia się poprzez ustanowienie służebności przejazdu i przechodu po drodze wewnętrznej, której przebieg zostanie wyznaczony przez właściciela nieruchomości obciążonej przez działki:</w:t>
      </w:r>
    </w:p>
    <w:p w14:paraId="6FEDD7D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64/4, z obrębu 0010 Guzów, gmina Wiskitki (nieruchomość obciążona),</w:t>
      </w:r>
    </w:p>
    <w:p w14:paraId="127D806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64/8, z obrębu 0010 Guzów, gmina Wiskitki (nieruchomość obciążona),</w:t>
      </w:r>
    </w:p>
    <w:p w14:paraId="73B31B6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65/5, z obrębu 0010 Guzów, gmina Wiskitki (nieruchomość obciążona),</w:t>
      </w:r>
    </w:p>
    <w:p w14:paraId="392FE6A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66/2, z obrębu 0010 Guzów, gmina Wiskitki (nieruchomość obciążona),</w:t>
      </w:r>
    </w:p>
    <w:p w14:paraId="7DB1A98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68/1, z obrębu 0010 Guzów, gmina Wiskitki (nieruchomość obciążona),</w:t>
      </w:r>
    </w:p>
    <w:p w14:paraId="23C0A33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70/1, z obrębu 0010 Guzów, gmina Wiskitki (nieruchomość obciążona),</w:t>
      </w:r>
    </w:p>
    <w:p w14:paraId="3042377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71/1, z obrębu 0010 Guzów, gmina Wiskitki (nieruchomość obciążona),</w:t>
      </w:r>
    </w:p>
    <w:p w14:paraId="7755C84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131/1, z obrębu 0022 Nowy Oryszew, gmina Wiskitki (nieruchomość obciążona),</w:t>
      </w:r>
    </w:p>
    <w:p w14:paraId="30F26BD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131/3, z obrębu 0022 Nowy Oryszew, gmina Wiskitki (nieruchomość obciążona),</w:t>
      </w:r>
    </w:p>
    <w:p w14:paraId="5F21168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131/4, z obrębu 0022 Nowy Oryszew, gmina Wiskitki (nieruchomość obciążona),</w:t>
      </w:r>
    </w:p>
    <w:p w14:paraId="13698AE4" w14:textId="3D70549C"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134/6, z obrębu 0022 Nowy Oryszew, gmina Wiskitki (nieruchomość obciążona)</w:t>
      </w:r>
      <w:r w:rsidR="00342262" w:rsidRPr="004B6BA3">
        <w:rPr>
          <w:rFonts w:ascii="Lato" w:hAnsi="Lato" w:cs="Arial"/>
          <w:bCs/>
          <w:spacing w:val="4"/>
          <w:sz w:val="22"/>
          <w:szCs w:val="22"/>
        </w:rPr>
        <w:t>.</w:t>
      </w:r>
    </w:p>
    <w:p w14:paraId="53020480" w14:textId="7777777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Dla właściciela działki nr 64/9, z obrębu 0010 Guzów, gmina Wiskitki (nieruchomość władnąca) dostęp do drogi publicznej – droga gminna 470405W – działka nr 56/1, z obrębu 0010 Guzów, gmina Wiskitki zapewnia się poprzez ustanowienie służebności przejazdu i przechodu po drodze wewnętrznej, której przebieg zostanie wyznaczony przez właściciela nieruchomości obciążonej przez działkę:</w:t>
      </w:r>
    </w:p>
    <w:p w14:paraId="0F737AC5" w14:textId="196AB9B8"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64/7, z obrębu 0010 Guzów, gmina Wiskitki (nieruchomość obciążona)</w:t>
      </w:r>
      <w:r w:rsidR="008413C9" w:rsidRPr="004B6BA3">
        <w:rPr>
          <w:rFonts w:ascii="Lato" w:hAnsi="Lato" w:cs="Arial"/>
          <w:bCs/>
          <w:spacing w:val="4"/>
          <w:sz w:val="22"/>
          <w:szCs w:val="22"/>
        </w:rPr>
        <w:t>.</w:t>
      </w:r>
    </w:p>
    <w:p w14:paraId="5C3989FE" w14:textId="6A676B65"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64/10, z obrębu 0010 Guzów,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8413C9" w:rsidRPr="004B6BA3">
        <w:rPr>
          <w:rFonts w:ascii="Lato" w:hAnsi="Lato" w:cs="Arial"/>
          <w:bCs/>
          <w:spacing w:val="4"/>
          <w:sz w:val="22"/>
          <w:szCs w:val="22"/>
        </w:rPr>
        <w:br/>
      </w:r>
      <w:r w:rsidRPr="004B6BA3">
        <w:rPr>
          <w:rFonts w:ascii="Lato" w:hAnsi="Lato" w:cs="Arial"/>
          <w:bCs/>
          <w:spacing w:val="4"/>
          <w:sz w:val="22"/>
          <w:szCs w:val="22"/>
        </w:rPr>
        <w:t xml:space="preserve">do ww. gminnej drogi wewnętrznej (działki nr 240/1, nr 240/4, nr 240/6, </w:t>
      </w:r>
      <w:r w:rsidR="008413C9" w:rsidRPr="004B6BA3">
        <w:rPr>
          <w:rFonts w:ascii="Lato" w:hAnsi="Lato" w:cs="Arial"/>
          <w:bCs/>
          <w:spacing w:val="4"/>
          <w:sz w:val="22"/>
          <w:szCs w:val="22"/>
        </w:rPr>
        <w:br/>
      </w:r>
      <w:r w:rsidRPr="004B6BA3">
        <w:rPr>
          <w:rFonts w:ascii="Lato" w:hAnsi="Lato" w:cs="Arial"/>
          <w:bCs/>
          <w:spacing w:val="4"/>
          <w:sz w:val="22"/>
          <w:szCs w:val="22"/>
        </w:rPr>
        <w:t>z obrębu 0022 Nowy Oryszew, gmina Wiskitki), zapewnia się poprzez ustanowienie służebności przejazdu i przechodu po drodze wewnętrznej, której przebieg zostanie wyznaczony przez właściciela nieruchomości obciążonej przez działki:</w:t>
      </w:r>
    </w:p>
    <w:p w14:paraId="266FB87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64/8, z obrębu 0010 Guzów, gmina Wiskitki (nieruchomość obciążona),</w:t>
      </w:r>
    </w:p>
    <w:p w14:paraId="27050D0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65/5, z obrębu 0010 Guzów, gmina Wiskitki (nieruchomość obciążona),</w:t>
      </w:r>
    </w:p>
    <w:p w14:paraId="07D227F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66/2, z obrębu 0010 Guzów, gmina Wiskitki (nieruchomość obciążona),</w:t>
      </w:r>
    </w:p>
    <w:p w14:paraId="2454788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68/1, z obrębu 0010 Guzów, gmina Wiskitki (nieruchomość obciążona),</w:t>
      </w:r>
    </w:p>
    <w:p w14:paraId="57A0197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70/1, z obrębu 0010 Guzów, gmina Wiskitki (nieruchomość obciążona),</w:t>
      </w:r>
    </w:p>
    <w:p w14:paraId="33FF0A2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71/1, z obrębu 0010 Guzów, gmina Wiskitki (nieruchomość obciążona),</w:t>
      </w:r>
    </w:p>
    <w:p w14:paraId="5A35856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131/1, z obrębu 0022 Nowy Oryszew, gmina Wiskitki (nieruchomość obciążona),</w:t>
      </w:r>
    </w:p>
    <w:p w14:paraId="524AED2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131/3, z obrębu 0022 Nowy Oryszew, gmina Wiskitki (nieruchomość obciążona),</w:t>
      </w:r>
    </w:p>
    <w:p w14:paraId="1F79926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131/4, z obrębu 0022 Nowy Oryszew, gmina Wiskitki (nieruchomość obciążona),</w:t>
      </w:r>
    </w:p>
    <w:p w14:paraId="15F1E544" w14:textId="2E63818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134/6, z obrębu 0022 Nowy Oryszew, gmina Wiskitki (nieruchomość obciążona)</w:t>
      </w:r>
      <w:r w:rsidR="008413C9" w:rsidRPr="004B6BA3">
        <w:rPr>
          <w:rFonts w:ascii="Lato" w:hAnsi="Lato" w:cs="Arial"/>
          <w:bCs/>
          <w:spacing w:val="4"/>
          <w:sz w:val="22"/>
          <w:szCs w:val="22"/>
        </w:rPr>
        <w:t>.</w:t>
      </w:r>
    </w:p>
    <w:p w14:paraId="7BF51A7F" w14:textId="7777777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Dla właściciela działki nr 65/4, z obrębu 0010 Guzów, gmina Wiskitki (nieruchomość władnąca) dostęp do drogi publicznej – droga gminna 470405W – działka nr 56/1, z obrębu 0010 Guzów, gmina Wiskitki zapewnia się poprzez ustanowienie służebności przejazdu i przechodu po drodze wewnętrznej, której przebieg zostanie wyznaczony przez właściciela nieruchomości obciążonej przez działkę:</w:t>
      </w:r>
    </w:p>
    <w:p w14:paraId="05066E34" w14:textId="3A6D5FB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65/3, z obrębu 0010 Guzów, gmina Wiskitki (nieruchomość obciążona)</w:t>
      </w:r>
      <w:r w:rsidR="008413C9" w:rsidRPr="004B6BA3">
        <w:rPr>
          <w:rFonts w:ascii="Lato" w:hAnsi="Lato" w:cs="Arial"/>
          <w:bCs/>
          <w:spacing w:val="4"/>
          <w:sz w:val="22"/>
          <w:szCs w:val="22"/>
        </w:rPr>
        <w:t>.</w:t>
      </w:r>
    </w:p>
    <w:p w14:paraId="62BE824D" w14:textId="0D0ED208"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65/7, z obrębu 0010 Guzów,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8413C9" w:rsidRPr="004B6BA3">
        <w:rPr>
          <w:rFonts w:ascii="Lato" w:hAnsi="Lato" w:cs="Arial"/>
          <w:bCs/>
          <w:spacing w:val="4"/>
          <w:sz w:val="22"/>
          <w:szCs w:val="22"/>
        </w:rPr>
        <w:br/>
      </w:r>
      <w:r w:rsidRPr="004B6BA3">
        <w:rPr>
          <w:rFonts w:ascii="Lato" w:hAnsi="Lato" w:cs="Arial"/>
          <w:bCs/>
          <w:spacing w:val="4"/>
          <w:sz w:val="22"/>
          <w:szCs w:val="22"/>
        </w:rPr>
        <w:t xml:space="preserve">do ww. gminnej drogi wewnętrznej (działki nr 240/1, nr 240/4, nr 240/6, </w:t>
      </w:r>
      <w:r w:rsidR="008413C9" w:rsidRPr="004B6BA3">
        <w:rPr>
          <w:rFonts w:ascii="Lato" w:hAnsi="Lato" w:cs="Arial"/>
          <w:bCs/>
          <w:spacing w:val="4"/>
          <w:sz w:val="22"/>
          <w:szCs w:val="22"/>
        </w:rPr>
        <w:br/>
      </w:r>
      <w:r w:rsidRPr="004B6BA3">
        <w:rPr>
          <w:rFonts w:ascii="Lato" w:hAnsi="Lato" w:cs="Arial"/>
          <w:bCs/>
          <w:spacing w:val="4"/>
          <w:sz w:val="22"/>
          <w:szCs w:val="22"/>
        </w:rPr>
        <w:t>z obrębu 0022 Nowy Oryszew, gmina Wiskitki), zapewnia się poprzez ustanowienie służebności przejazdu i przechodu po drodze wewnętrznej, której przebieg zostanie wyznaczony przez właściciela nieruchomości obciążonej przez działki:</w:t>
      </w:r>
    </w:p>
    <w:p w14:paraId="4199B3C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65/5, z obrębu 0010 Guzów, gmina Wiskitki (nieruchomość obciążona),</w:t>
      </w:r>
    </w:p>
    <w:p w14:paraId="4092405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66/2, z obrębu 0010 Guzów, gmina Wiskitki (nieruchomość obciążona),</w:t>
      </w:r>
    </w:p>
    <w:p w14:paraId="45BB372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68/1, z obrębu 0010 Guzów, gmina Wiskitki (nieruchomość obciążona),</w:t>
      </w:r>
    </w:p>
    <w:p w14:paraId="3A3F9C1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70/1, z obrębu 0010 Guzów, gmina Wiskitki (nieruchomość obciążona),</w:t>
      </w:r>
    </w:p>
    <w:p w14:paraId="355354A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71/1, z obrębu 0010 Guzów, gmina Wiskitki (nieruchomość obciążona),</w:t>
      </w:r>
    </w:p>
    <w:p w14:paraId="58E2622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131/1, z obrębu 0022 Nowy Oryszew, gmina Wiskitki (nieruchomość obciążona),</w:t>
      </w:r>
    </w:p>
    <w:p w14:paraId="7FDC5EC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131/3, z obrębu 0022 Nowy Oryszew, gmina Wiskitki (nieruchomość obciążona),</w:t>
      </w:r>
    </w:p>
    <w:p w14:paraId="442E39F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131/4, z obrębu 0022 Nowy Oryszew, gmina Wiskitki (nieruchomość obciążona),</w:t>
      </w:r>
    </w:p>
    <w:p w14:paraId="3C718713" w14:textId="10FE3F2F"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134/6, z obrębu 0022 Nowy Oryszew, gmina Wiskitki (nieruchomość obciążona)</w:t>
      </w:r>
      <w:r w:rsidR="008413C9" w:rsidRPr="004B6BA3">
        <w:rPr>
          <w:rFonts w:ascii="Lato" w:hAnsi="Lato" w:cs="Arial"/>
          <w:bCs/>
          <w:spacing w:val="4"/>
          <w:sz w:val="22"/>
          <w:szCs w:val="22"/>
        </w:rPr>
        <w:t>.</w:t>
      </w:r>
    </w:p>
    <w:p w14:paraId="6A57CA67" w14:textId="59CBB7A0"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66/4, z obrębu 0010 Guzów,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8413C9" w:rsidRPr="004B6BA3">
        <w:rPr>
          <w:rFonts w:ascii="Lato" w:hAnsi="Lato" w:cs="Arial"/>
          <w:bCs/>
          <w:spacing w:val="4"/>
          <w:sz w:val="22"/>
          <w:szCs w:val="22"/>
        </w:rPr>
        <w:br/>
      </w:r>
      <w:r w:rsidRPr="004B6BA3">
        <w:rPr>
          <w:rFonts w:ascii="Lato" w:hAnsi="Lato" w:cs="Arial"/>
          <w:bCs/>
          <w:spacing w:val="4"/>
          <w:sz w:val="22"/>
          <w:szCs w:val="22"/>
        </w:rPr>
        <w:t xml:space="preserve">do ww. gminnej drogi wewnętrznej (działki nr 240/1, nr 240/4, nr 240/6, </w:t>
      </w:r>
      <w:r w:rsidR="008413C9" w:rsidRPr="004B6BA3">
        <w:rPr>
          <w:rFonts w:ascii="Lato" w:hAnsi="Lato" w:cs="Arial"/>
          <w:bCs/>
          <w:spacing w:val="4"/>
          <w:sz w:val="22"/>
          <w:szCs w:val="22"/>
        </w:rPr>
        <w:br/>
      </w:r>
      <w:r w:rsidRPr="004B6BA3">
        <w:rPr>
          <w:rFonts w:ascii="Lato" w:hAnsi="Lato" w:cs="Arial"/>
          <w:bCs/>
          <w:spacing w:val="4"/>
          <w:sz w:val="22"/>
          <w:szCs w:val="22"/>
        </w:rPr>
        <w:t>z obrębu 0022 Nowy Oryszew, gmina Wiskitki), zapewnia się poprzez ustanowienie służebności przejazdu i przechodu po drodze wewnętrznej, której przebieg zostanie wyznaczony przez właściciela nieruchomości obciążonej przez działki:</w:t>
      </w:r>
    </w:p>
    <w:p w14:paraId="44FCBDD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66/2, z obrębu 0010 Guzów, gmina Wiskitki (nieruchomość obciążona),</w:t>
      </w:r>
    </w:p>
    <w:p w14:paraId="2F0BB49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68/1, z obrębu 0010 Guzów, gmina Wiskitki (nieruchomość obciążona),</w:t>
      </w:r>
    </w:p>
    <w:p w14:paraId="6F1B529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70/1, z obrębu 0010 Guzów, gmina Wiskitki (nieruchomość obciążona),</w:t>
      </w:r>
    </w:p>
    <w:p w14:paraId="063BD62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71/1, z obrębu 0010 Guzów, gmina Wiskitki (nieruchomość obciążona),</w:t>
      </w:r>
    </w:p>
    <w:p w14:paraId="4094511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131/1, z obrębu 0022 Nowy Oryszew, gmina Wiskitki (nieruchomość obciążona),</w:t>
      </w:r>
    </w:p>
    <w:p w14:paraId="14F7C9E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131/3, z obrębu 0022 Nowy Oryszew, gmina Wiskitki (nieruchomość obciążona),</w:t>
      </w:r>
    </w:p>
    <w:p w14:paraId="0109880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131/4, z obrębu 0022 Nowy Oryszew, gmina Wiskitki (nieruchomość obciążona),</w:t>
      </w:r>
    </w:p>
    <w:p w14:paraId="65B31CBF" w14:textId="04CAB509"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134/6, z obrębu 0022 Nowy Oryszew, gmina Wiskitki (nieruchomość obciążona)</w:t>
      </w:r>
      <w:r w:rsidR="008413C9" w:rsidRPr="004B6BA3">
        <w:rPr>
          <w:rFonts w:ascii="Lato" w:hAnsi="Lato" w:cs="Arial"/>
          <w:bCs/>
          <w:spacing w:val="4"/>
          <w:sz w:val="22"/>
          <w:szCs w:val="22"/>
        </w:rPr>
        <w:t>.</w:t>
      </w:r>
    </w:p>
    <w:p w14:paraId="2362C6CC" w14:textId="2B9C4E43"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68/3, z obrębu 0010 Guzów,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8413C9" w:rsidRPr="004B6BA3">
        <w:rPr>
          <w:rFonts w:ascii="Lato" w:hAnsi="Lato" w:cs="Arial"/>
          <w:bCs/>
          <w:spacing w:val="4"/>
          <w:sz w:val="22"/>
          <w:szCs w:val="22"/>
        </w:rPr>
        <w:br/>
      </w:r>
      <w:r w:rsidRPr="004B6BA3">
        <w:rPr>
          <w:rFonts w:ascii="Lato" w:hAnsi="Lato" w:cs="Arial"/>
          <w:bCs/>
          <w:spacing w:val="4"/>
          <w:sz w:val="22"/>
          <w:szCs w:val="22"/>
        </w:rPr>
        <w:t xml:space="preserve">do ww. gminnej drogi wewnętrznej (działki nr 240/1, nr 240/4, nr 240/6, </w:t>
      </w:r>
      <w:r w:rsidR="008413C9" w:rsidRPr="004B6BA3">
        <w:rPr>
          <w:rFonts w:ascii="Lato" w:hAnsi="Lato" w:cs="Arial"/>
          <w:bCs/>
          <w:spacing w:val="4"/>
          <w:sz w:val="22"/>
          <w:szCs w:val="22"/>
        </w:rPr>
        <w:br/>
      </w:r>
      <w:r w:rsidRPr="004B6BA3">
        <w:rPr>
          <w:rFonts w:ascii="Lato" w:hAnsi="Lato" w:cs="Arial"/>
          <w:bCs/>
          <w:spacing w:val="4"/>
          <w:sz w:val="22"/>
          <w:szCs w:val="22"/>
        </w:rPr>
        <w:t>z obrębu 0022 Nowy Oryszew, gmina Wiskitki), zapewnia się poprzez ustanowienie służebności przejazdu i przechodu po drodze wewnętrznej, której przebieg zostanie wyznaczony przez właściciela nieruchomości obciążonej przez działki:</w:t>
      </w:r>
    </w:p>
    <w:p w14:paraId="1F71454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68/1, z obrębu 0010 Guzów, gmina Wiskitki (nieruchomość obciążona),</w:t>
      </w:r>
    </w:p>
    <w:p w14:paraId="577B34A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70/1, z obrębu 0010 Guzów, gmina Wiskitki (nieruchomość obciążona),</w:t>
      </w:r>
    </w:p>
    <w:p w14:paraId="2C9F69D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71/1, z obrębu 0010 Guzów, gmina Wiskitki (nieruchomość obciążona),</w:t>
      </w:r>
    </w:p>
    <w:p w14:paraId="7AAC5D6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131/1, z obrębu 0022 Nowy Oryszew, gmina Wiskitki (nieruchomość obciążona),</w:t>
      </w:r>
    </w:p>
    <w:p w14:paraId="4187513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131/3, z obrębu 0022 Nowy Oryszew, gmina Wiskitki (nieruchomość obciążona),</w:t>
      </w:r>
    </w:p>
    <w:p w14:paraId="7F448CD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131/4, z obrębu 0022 Nowy Oryszew, gmina Wiskitki (nieruchomość obciążona),</w:t>
      </w:r>
    </w:p>
    <w:p w14:paraId="03DCF638" w14:textId="6F8FCE44"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134/6, z obrębu 0022 Nowy Oryszew, gmina Wiskitki (nieruchomość obciążona)</w:t>
      </w:r>
      <w:r w:rsidR="008413C9" w:rsidRPr="004B6BA3">
        <w:rPr>
          <w:rFonts w:ascii="Lato" w:hAnsi="Lato" w:cs="Arial"/>
          <w:bCs/>
          <w:spacing w:val="4"/>
          <w:sz w:val="22"/>
          <w:szCs w:val="22"/>
        </w:rPr>
        <w:t>.</w:t>
      </w:r>
    </w:p>
    <w:p w14:paraId="4EDE869A" w14:textId="74E4A218"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70/3, z obrębu 0010 Guzów,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8413C9" w:rsidRPr="004B6BA3">
        <w:rPr>
          <w:rFonts w:ascii="Lato" w:hAnsi="Lato" w:cs="Arial"/>
          <w:bCs/>
          <w:spacing w:val="4"/>
          <w:sz w:val="22"/>
          <w:szCs w:val="22"/>
        </w:rPr>
        <w:br/>
      </w:r>
      <w:r w:rsidRPr="004B6BA3">
        <w:rPr>
          <w:rFonts w:ascii="Lato" w:hAnsi="Lato" w:cs="Arial"/>
          <w:bCs/>
          <w:spacing w:val="4"/>
          <w:sz w:val="22"/>
          <w:szCs w:val="22"/>
        </w:rPr>
        <w:t xml:space="preserve">do ww. gminnej drogi wewnętrznej (działki nr 240/1, nr 240/4, nr 240/6, </w:t>
      </w:r>
      <w:r w:rsidR="008413C9" w:rsidRPr="004B6BA3">
        <w:rPr>
          <w:rFonts w:ascii="Lato" w:hAnsi="Lato" w:cs="Arial"/>
          <w:bCs/>
          <w:spacing w:val="4"/>
          <w:sz w:val="22"/>
          <w:szCs w:val="22"/>
        </w:rPr>
        <w:br/>
      </w:r>
      <w:r w:rsidRPr="004B6BA3">
        <w:rPr>
          <w:rFonts w:ascii="Lato" w:hAnsi="Lato" w:cs="Arial"/>
          <w:bCs/>
          <w:spacing w:val="4"/>
          <w:sz w:val="22"/>
          <w:szCs w:val="22"/>
        </w:rPr>
        <w:t>z obrębu 0022 Nowy Oryszew, gmina Wiskitki), zapewnia się poprzez ustanowienie służebności przejazdu i przechodu po drodze wewnętrznej, której przebieg zostanie wyznaczony przez właściciela nieruchomości obciążonej przez działki:</w:t>
      </w:r>
    </w:p>
    <w:p w14:paraId="49DEADF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70/1, z obrębu 0010 Guzów, gmina Wiskitki (nieruchomość obciążona),</w:t>
      </w:r>
    </w:p>
    <w:p w14:paraId="7EC5C04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71/1, z obrębu 0010 Guzów, gmina Wiskitki (nieruchomość obciążona),</w:t>
      </w:r>
    </w:p>
    <w:p w14:paraId="036DC62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131/1, z obrębu 0022 Nowy Oryszew, gmina Wiskitki (nieruchomość obciążona),</w:t>
      </w:r>
    </w:p>
    <w:p w14:paraId="25566FC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131/3, z obrębu 0022 Nowy Oryszew, gmina Wiskitki (nieruchomość obciążona),</w:t>
      </w:r>
    </w:p>
    <w:p w14:paraId="000BCB7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131/4, z obrębu 0022 Nowy Oryszew, gmina Wiskitki (nieruchomość obciążona),</w:t>
      </w:r>
    </w:p>
    <w:p w14:paraId="5F894C5A" w14:textId="7AE90926"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134/6, z obrębu 0022 Nowy Oryszew, gmina Wiskitki (nieruchomość obciążona)</w:t>
      </w:r>
      <w:r w:rsidR="008413C9" w:rsidRPr="004B6BA3">
        <w:rPr>
          <w:rFonts w:ascii="Lato" w:hAnsi="Lato" w:cs="Arial"/>
          <w:bCs/>
          <w:spacing w:val="4"/>
          <w:sz w:val="22"/>
          <w:szCs w:val="22"/>
        </w:rPr>
        <w:t>.</w:t>
      </w:r>
    </w:p>
    <w:p w14:paraId="3142F469" w14:textId="3D2C410A"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lastRenderedPageBreak/>
        <w:t xml:space="preserve">Dla właściciela działki nr 71/3, z obrębu 0010 Guzów,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C87B5C" w:rsidRPr="004B6BA3">
        <w:rPr>
          <w:rFonts w:ascii="Lato" w:hAnsi="Lato" w:cs="Arial"/>
          <w:bCs/>
          <w:spacing w:val="4"/>
          <w:sz w:val="22"/>
          <w:szCs w:val="22"/>
        </w:rPr>
        <w:br/>
      </w:r>
      <w:r w:rsidRPr="004B6BA3">
        <w:rPr>
          <w:rFonts w:ascii="Lato" w:hAnsi="Lato" w:cs="Arial"/>
          <w:bCs/>
          <w:spacing w:val="4"/>
          <w:sz w:val="22"/>
          <w:szCs w:val="22"/>
        </w:rPr>
        <w:t xml:space="preserve">do ww. gminnej drogi wewnętrznej (działki nr 240/1, nr 240/4, nr 240/6, </w:t>
      </w:r>
      <w:r w:rsidR="00C87B5C" w:rsidRPr="004B6BA3">
        <w:rPr>
          <w:rFonts w:ascii="Lato" w:hAnsi="Lato" w:cs="Arial"/>
          <w:bCs/>
          <w:spacing w:val="4"/>
          <w:sz w:val="22"/>
          <w:szCs w:val="22"/>
        </w:rPr>
        <w:br/>
      </w:r>
      <w:r w:rsidRPr="004B6BA3">
        <w:rPr>
          <w:rFonts w:ascii="Lato" w:hAnsi="Lato" w:cs="Arial"/>
          <w:bCs/>
          <w:spacing w:val="4"/>
          <w:sz w:val="22"/>
          <w:szCs w:val="22"/>
        </w:rPr>
        <w:t>z obrębu 0022 Nowy Oryszew, gmina Wiskitki), zapewnia się poprzez ustanowienie służebności przejazdu i przechodu po drodze wewnętrznej, której przebieg zostanie wyznaczony przez właściciela nieruchomości obciążonej przez działki:</w:t>
      </w:r>
    </w:p>
    <w:p w14:paraId="70A72DD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71/1, z obrębu 0010 Guzów, gmina Wiskitki (nieruchomość obciążona),</w:t>
      </w:r>
    </w:p>
    <w:p w14:paraId="58969F2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131/1, z obrębu 0022 Nowy Oryszew, gmina Wiskitki (nieruchomość obciążona),</w:t>
      </w:r>
    </w:p>
    <w:p w14:paraId="25651D7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131/3, z obrębu 0022 Nowy Oryszew, gmina Wiskitki (nieruchomość obciążona),</w:t>
      </w:r>
    </w:p>
    <w:p w14:paraId="33277CA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131/4, z obrębu 0022 Nowy Oryszew, gmina Wiskitki (nieruchomość obciążona),</w:t>
      </w:r>
    </w:p>
    <w:p w14:paraId="0CE6BFA9" w14:textId="59110026"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134/6, z obrębu 0022 Nowy Oryszew, gmina Wiskitki (nieruchomość obciążona)</w:t>
      </w:r>
      <w:r w:rsidR="00C87B5C" w:rsidRPr="004B6BA3">
        <w:rPr>
          <w:rFonts w:ascii="Lato" w:hAnsi="Lato" w:cs="Arial"/>
          <w:bCs/>
          <w:spacing w:val="4"/>
          <w:sz w:val="22"/>
          <w:szCs w:val="22"/>
        </w:rPr>
        <w:t>.</w:t>
      </w:r>
    </w:p>
    <w:p w14:paraId="0B535C76" w14:textId="49903287"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71/4, z obrębu 0010 Guzów,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C87B5C" w:rsidRPr="004B6BA3">
        <w:rPr>
          <w:rFonts w:ascii="Lato" w:hAnsi="Lato" w:cs="Arial"/>
          <w:bCs/>
          <w:spacing w:val="4"/>
          <w:sz w:val="22"/>
          <w:szCs w:val="22"/>
        </w:rPr>
        <w:br/>
      </w:r>
      <w:r w:rsidRPr="004B6BA3">
        <w:rPr>
          <w:rFonts w:ascii="Lato" w:hAnsi="Lato" w:cs="Arial"/>
          <w:bCs/>
          <w:spacing w:val="4"/>
          <w:sz w:val="22"/>
          <w:szCs w:val="22"/>
        </w:rPr>
        <w:t xml:space="preserve">do ww. gminnej drogi wewnętrznej (działki nr 240/1, nr 240/4, nr 240/6, </w:t>
      </w:r>
      <w:r w:rsidR="00C87B5C" w:rsidRPr="004B6BA3">
        <w:rPr>
          <w:rFonts w:ascii="Lato" w:hAnsi="Lato" w:cs="Arial"/>
          <w:bCs/>
          <w:spacing w:val="4"/>
          <w:sz w:val="22"/>
          <w:szCs w:val="22"/>
        </w:rPr>
        <w:br/>
      </w:r>
      <w:r w:rsidRPr="004B6BA3">
        <w:rPr>
          <w:rFonts w:ascii="Lato" w:hAnsi="Lato" w:cs="Arial"/>
          <w:bCs/>
          <w:spacing w:val="4"/>
          <w:sz w:val="22"/>
          <w:szCs w:val="22"/>
        </w:rPr>
        <w:t>z obrębu 0022 Nowy Oryszew, gmina Wiskitki), zapewnia się poprzez ustanowienie służebności przejazdu i przechodu po drodze wewnętrznej, której przebieg zostanie wyznaczony przez właściciela nieruchomości obciążonej przez działki:</w:t>
      </w:r>
    </w:p>
    <w:p w14:paraId="180ED8D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71/1, z obrębu 0010 Guzów, gmina Wiskitki (nieruchomość obciążona),</w:t>
      </w:r>
    </w:p>
    <w:p w14:paraId="0CA1458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72/6, z obrębu 0010 Guzów, gmina Wiskitki (nieruchomość obciążona),</w:t>
      </w:r>
    </w:p>
    <w:p w14:paraId="21F570A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73/6, z obrębu 0010 Guzów, gmina Wiskitki (nieruchomość obciążona),</w:t>
      </w:r>
    </w:p>
    <w:p w14:paraId="5FEFDFB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131/1, z obrębu 0022 Nowy Oryszew, gmina Wiskitki (nieruchomość obciążona),</w:t>
      </w:r>
    </w:p>
    <w:p w14:paraId="1065F43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131/3, z obrębu 0022 Nowy Oryszew, gmina Wiskitki (nieruchomość obciążona),</w:t>
      </w:r>
    </w:p>
    <w:p w14:paraId="3256336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131/4, z obrębu 0022 Nowy Oryszew, gmina Wiskitki (nieruchomość obciążona),</w:t>
      </w:r>
    </w:p>
    <w:p w14:paraId="2FFDC477" w14:textId="7C3F89B1"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134/6, z obrębu 0022 Nowy Oryszew, gmina Wiskitki (nieruchomość obciążona)</w:t>
      </w:r>
      <w:r w:rsidR="00C87B5C" w:rsidRPr="004B6BA3">
        <w:rPr>
          <w:rFonts w:ascii="Lato" w:hAnsi="Lato" w:cs="Arial"/>
          <w:bCs/>
          <w:spacing w:val="4"/>
          <w:sz w:val="22"/>
          <w:szCs w:val="22"/>
        </w:rPr>
        <w:t>.</w:t>
      </w:r>
    </w:p>
    <w:p w14:paraId="3566D3DC" w14:textId="59E199CC"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72/8, z obrębu 0010 Guzów,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910AB5" w:rsidRPr="004B6BA3">
        <w:rPr>
          <w:rFonts w:ascii="Lato" w:hAnsi="Lato" w:cs="Arial"/>
          <w:bCs/>
          <w:spacing w:val="4"/>
          <w:sz w:val="22"/>
          <w:szCs w:val="22"/>
        </w:rPr>
        <w:br/>
      </w:r>
      <w:r w:rsidRPr="004B6BA3">
        <w:rPr>
          <w:rFonts w:ascii="Lato" w:hAnsi="Lato" w:cs="Arial"/>
          <w:bCs/>
          <w:spacing w:val="4"/>
          <w:sz w:val="22"/>
          <w:szCs w:val="22"/>
        </w:rPr>
        <w:t xml:space="preserve">do ww. gminnej drogi wewnętrznej (działki nr 240/1, nr 240/4, nr 240/6, </w:t>
      </w:r>
      <w:r w:rsidR="00910AB5" w:rsidRPr="004B6BA3">
        <w:rPr>
          <w:rFonts w:ascii="Lato" w:hAnsi="Lato" w:cs="Arial"/>
          <w:bCs/>
          <w:spacing w:val="4"/>
          <w:sz w:val="22"/>
          <w:szCs w:val="22"/>
        </w:rPr>
        <w:br/>
      </w:r>
      <w:r w:rsidRPr="004B6BA3">
        <w:rPr>
          <w:rFonts w:ascii="Lato" w:hAnsi="Lato" w:cs="Arial"/>
          <w:bCs/>
          <w:spacing w:val="4"/>
          <w:sz w:val="22"/>
          <w:szCs w:val="22"/>
        </w:rPr>
        <w:t>z obrębu 0022 Nowy Oryszew, gmina Wiskitki), zapewnia się poprzez ustanowienie służebności przejazdu i przechodu po drodze wewnętrznej, której przebieg zostanie wyznaczony przez właściciela nieruchomości obciążonej przez działki:</w:t>
      </w:r>
    </w:p>
    <w:p w14:paraId="44DA757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71/1, z obrębu 0010 Guzów, gmina Wiskitki (nieruchomość obciążona),</w:t>
      </w:r>
    </w:p>
    <w:p w14:paraId="0BD9283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72/6, z obrębu 0010 Guzów, gmina Wiskitki (nieruchomość obciążona),</w:t>
      </w:r>
    </w:p>
    <w:p w14:paraId="24E821C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73/6, z obrębu 0010 Guzów, gmina Wiskitki (nieruchomość obciążona),</w:t>
      </w:r>
    </w:p>
    <w:p w14:paraId="7865267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131/1, z obrębu 0022 Nowy Oryszew, gmina Wiskitki (nieruchomość obciążona),</w:t>
      </w:r>
    </w:p>
    <w:p w14:paraId="5B8256A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131/3, z obrębu 0022 Nowy Oryszew, gmina Wiskitki (nieruchomość obciążona),</w:t>
      </w:r>
    </w:p>
    <w:p w14:paraId="324375B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131/4, z obrębu 0022 Nowy Oryszew, gmina Wiskitki (nieruchomość obciążona),</w:t>
      </w:r>
    </w:p>
    <w:p w14:paraId="61081C5D" w14:textId="2C924DF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134/6, z obrębu 0022 Nowy Oryszew, gmina Wiskitki (nieruchomość obciążona)</w:t>
      </w:r>
      <w:r w:rsidR="00910AB5" w:rsidRPr="004B6BA3">
        <w:rPr>
          <w:rFonts w:ascii="Lato" w:hAnsi="Lato" w:cs="Arial"/>
          <w:bCs/>
          <w:spacing w:val="4"/>
          <w:sz w:val="22"/>
          <w:szCs w:val="22"/>
        </w:rPr>
        <w:t>.</w:t>
      </w:r>
    </w:p>
    <w:p w14:paraId="0F34F3AE" w14:textId="5A3B84E9"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73/8, z obrębu 0010 Guzów,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C80A29" w:rsidRPr="00F40707">
        <w:rPr>
          <w:rFonts w:ascii="Lato" w:hAnsi="Lato" w:cs="Arial"/>
          <w:bCs/>
          <w:spacing w:val="4"/>
          <w:sz w:val="22"/>
          <w:szCs w:val="22"/>
        </w:rPr>
        <w:br/>
      </w:r>
      <w:r w:rsidRPr="004B6BA3">
        <w:rPr>
          <w:rFonts w:ascii="Lato" w:hAnsi="Lato" w:cs="Arial"/>
          <w:bCs/>
          <w:spacing w:val="4"/>
          <w:sz w:val="22"/>
          <w:szCs w:val="22"/>
        </w:rPr>
        <w:t xml:space="preserve">do ww. gminnej drogi wewnętrznej (działki nr 240/1, nr 240/4, nr 240/6, </w:t>
      </w:r>
      <w:r w:rsidR="00C80A29" w:rsidRPr="00F40707">
        <w:rPr>
          <w:rFonts w:ascii="Lato" w:hAnsi="Lato" w:cs="Arial"/>
          <w:bCs/>
          <w:spacing w:val="4"/>
          <w:sz w:val="22"/>
          <w:szCs w:val="22"/>
        </w:rPr>
        <w:br/>
      </w:r>
      <w:r w:rsidRPr="004B6BA3">
        <w:rPr>
          <w:rFonts w:ascii="Lato" w:hAnsi="Lato" w:cs="Arial"/>
          <w:bCs/>
          <w:spacing w:val="4"/>
          <w:sz w:val="22"/>
          <w:szCs w:val="22"/>
        </w:rPr>
        <w:t>z obrębu 0022 Nowy Oryszew, gmina Wiskitki), zapewnia się poprzez ustanowienie służebności przejazdu i przechodu po drodze wewnętrznej, której przebieg zostanie wyznaczony przez właściciela nieruchomości obciążonej przez działki:</w:t>
      </w:r>
    </w:p>
    <w:p w14:paraId="7D75102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71/1, z obrębu 0010 Guzów, gmina Wiskitki (nieruchomość obciążona),</w:t>
      </w:r>
    </w:p>
    <w:p w14:paraId="0EF9C65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72/6, z obrębu 0010 Guzów, gmina Wiskitki (nieruchomość obciążona),</w:t>
      </w:r>
    </w:p>
    <w:p w14:paraId="1F3AE28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73/6, z obrębu 0010 Guzów, gmina Wiskitki (nieruchomość obciążona),</w:t>
      </w:r>
    </w:p>
    <w:p w14:paraId="3111369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131/1, z obrębu 0022 Nowy Oryszew, gmina Wiskitki (nieruchomość obciążona),</w:t>
      </w:r>
    </w:p>
    <w:p w14:paraId="7C68787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131/3, z obrębu 0022 Nowy Oryszew, gmina Wiskitki (nieruchomość obciążona),</w:t>
      </w:r>
    </w:p>
    <w:p w14:paraId="4EE1D10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131/4, z obrębu 0022 Nowy Oryszew, gmina Wiskitki (nieruchomość obciążona),</w:t>
      </w:r>
    </w:p>
    <w:p w14:paraId="481DFAE6" w14:textId="03C64145"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134/6, z obrębu 0022 Nowy Oryszew, gmina Wiskitki (nieruchomość obciążona)</w:t>
      </w:r>
      <w:r w:rsidR="00910AB5" w:rsidRPr="004B6BA3">
        <w:rPr>
          <w:rFonts w:ascii="Lato" w:hAnsi="Lato" w:cs="Arial"/>
          <w:bCs/>
          <w:spacing w:val="4"/>
          <w:sz w:val="22"/>
          <w:szCs w:val="22"/>
        </w:rPr>
        <w:t>.</w:t>
      </w:r>
    </w:p>
    <w:p w14:paraId="412F2A36" w14:textId="55C6C038"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54/2, z obrębu 0012 Janówek, gmina Wiskitki (nieruchomość władnąca) dostęp do drogi publicznej – droga powiatowa </w:t>
      </w:r>
      <w:r w:rsidR="00910AB5" w:rsidRPr="004B6BA3">
        <w:rPr>
          <w:rFonts w:ascii="Lato" w:hAnsi="Lato" w:cs="Arial"/>
          <w:bCs/>
          <w:spacing w:val="4"/>
          <w:sz w:val="22"/>
          <w:szCs w:val="22"/>
        </w:rPr>
        <w:br/>
        <w:t xml:space="preserve">nr </w:t>
      </w:r>
      <w:r w:rsidRPr="004B6BA3">
        <w:rPr>
          <w:rFonts w:ascii="Lato" w:hAnsi="Lato" w:cs="Arial"/>
          <w:bCs/>
          <w:spacing w:val="4"/>
          <w:sz w:val="22"/>
          <w:szCs w:val="22"/>
        </w:rPr>
        <w:t>3834W – działka nr 56/1, z obrębu 0012 Janówek, gmina Wiskitki zapewnia się poprzez ustanowienie służebności przejazdu i przechodu po drodze wewnętrznej, której przebieg zostanie wyznaczony przez właściciela nieruchomości obciążonej przez działkę:</w:t>
      </w:r>
    </w:p>
    <w:p w14:paraId="49733F98" w14:textId="67C2B88C"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0012 Janówek, gmina Wiskitki (nieruchomość obciążona)</w:t>
      </w:r>
      <w:r w:rsidR="00DA5BBB" w:rsidRPr="004B6BA3">
        <w:rPr>
          <w:rFonts w:ascii="Lato" w:hAnsi="Lato" w:cs="Arial"/>
          <w:bCs/>
          <w:spacing w:val="4"/>
          <w:sz w:val="22"/>
          <w:szCs w:val="22"/>
        </w:rPr>
        <w:t>.</w:t>
      </w:r>
    </w:p>
    <w:p w14:paraId="655B8C39" w14:textId="08323C07"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55/2, z obrębu 0012 Janówek, gmina Wiskitki (nieruchomość władnąca) dostęp do drogi publicznej – droga powiatowa </w:t>
      </w:r>
      <w:r w:rsidR="00DA5BBB" w:rsidRPr="004B6BA3">
        <w:rPr>
          <w:rFonts w:ascii="Lato" w:hAnsi="Lato" w:cs="Arial"/>
          <w:bCs/>
          <w:spacing w:val="4"/>
          <w:sz w:val="22"/>
          <w:szCs w:val="22"/>
        </w:rPr>
        <w:br/>
        <w:t xml:space="preserve">nr </w:t>
      </w:r>
      <w:r w:rsidRPr="004B6BA3">
        <w:rPr>
          <w:rFonts w:ascii="Lato" w:hAnsi="Lato" w:cs="Arial"/>
          <w:bCs/>
          <w:spacing w:val="4"/>
          <w:sz w:val="22"/>
          <w:szCs w:val="22"/>
        </w:rPr>
        <w:t>3834W – działka nr 56/1, z obrębu 0012 Janówek, gmina Wiskitki zapewnia się poprzez ustanowienie służebności przejazdu i przechodu po drodze wewnętrznej, której przebieg zostanie wyznaczony przez właściciela nieruchomości obciążonej przez działki:</w:t>
      </w:r>
    </w:p>
    <w:p w14:paraId="041F570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0012 Janówek, gmina Wiskitki (nieruchomość obciążona),</w:t>
      </w:r>
    </w:p>
    <w:p w14:paraId="415A65BC" w14:textId="342ED3D0"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55/1, z obrębu 0012 Janówek, gmina Wiskitki (nieruchomość obciążona)</w:t>
      </w:r>
      <w:r w:rsidR="00DA5BBB" w:rsidRPr="004B6BA3">
        <w:rPr>
          <w:rFonts w:ascii="Lato" w:hAnsi="Lato" w:cs="Arial"/>
          <w:bCs/>
          <w:spacing w:val="4"/>
          <w:sz w:val="22"/>
          <w:szCs w:val="22"/>
        </w:rPr>
        <w:t>.</w:t>
      </w:r>
    </w:p>
    <w:p w14:paraId="43FDADFF" w14:textId="3A558503"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55/3, z obrębu 0012 Janówek, gmina Wiskitki (nieruchomość władnąca) dostęp do drogi publicznej – droga powiatowa </w:t>
      </w:r>
      <w:r w:rsidR="00DA5BBB" w:rsidRPr="004B6BA3">
        <w:rPr>
          <w:rFonts w:ascii="Lato" w:hAnsi="Lato" w:cs="Arial"/>
          <w:bCs/>
          <w:spacing w:val="4"/>
          <w:sz w:val="22"/>
          <w:szCs w:val="22"/>
        </w:rPr>
        <w:br/>
        <w:t xml:space="preserve">nr </w:t>
      </w:r>
      <w:r w:rsidRPr="004B6BA3">
        <w:rPr>
          <w:rFonts w:ascii="Lato" w:hAnsi="Lato" w:cs="Arial"/>
          <w:bCs/>
          <w:spacing w:val="4"/>
          <w:sz w:val="22"/>
          <w:szCs w:val="22"/>
        </w:rPr>
        <w:t>3834W – działka nr 56/1, z obrębu 0012 Janówek, gmina Wiskitki zapewnia się poprzez ustanowienie służebności przejazdu i przechodu po drodze wewnętrznej, której przebieg zostanie wyznaczony przez właściciela nieruchomości obciążonej przez działkę:</w:t>
      </w:r>
    </w:p>
    <w:p w14:paraId="7608DB29" w14:textId="03809D32"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55/1, z obrębu 0012 Janówek, gmina Wiskitki (nieruchomość obciążona)</w:t>
      </w:r>
      <w:r w:rsidR="00DA5BBB" w:rsidRPr="004B6BA3">
        <w:rPr>
          <w:rFonts w:ascii="Lato" w:hAnsi="Lato" w:cs="Arial"/>
          <w:bCs/>
          <w:spacing w:val="4"/>
          <w:sz w:val="22"/>
          <w:szCs w:val="22"/>
        </w:rPr>
        <w:t>.</w:t>
      </w:r>
    </w:p>
    <w:p w14:paraId="4CCCB7B1" w14:textId="12AEDC0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lastRenderedPageBreak/>
        <w:t xml:space="preserve">Dla właściciela działki nr 84/5, z obrębu 0012 Janówek, gmina Wiskitki (nieruchomość władnąca) dostęp do drogi publicznej – droga powiatowa </w:t>
      </w:r>
      <w:r w:rsidR="00DA5BBB" w:rsidRPr="004B6BA3">
        <w:rPr>
          <w:rFonts w:ascii="Lato" w:hAnsi="Lato" w:cs="Arial"/>
          <w:bCs/>
          <w:spacing w:val="4"/>
          <w:sz w:val="22"/>
          <w:szCs w:val="22"/>
        </w:rPr>
        <w:br/>
        <w:t xml:space="preserve">nr </w:t>
      </w:r>
      <w:r w:rsidRPr="004B6BA3">
        <w:rPr>
          <w:rFonts w:ascii="Lato" w:hAnsi="Lato" w:cs="Arial"/>
          <w:bCs/>
          <w:spacing w:val="4"/>
          <w:sz w:val="22"/>
          <w:szCs w:val="22"/>
        </w:rPr>
        <w:t>3834W – działka nr 56/1, z obrębu 0012 Janówek, gmina Wiskitki zapewnia się poprzez ustanowienie służebności przejazdu i przechodu po drodze wewnętrznej, której przebieg zostanie wyznaczony przez właściciela nieruchomości obciążonej przez działki:</w:t>
      </w:r>
    </w:p>
    <w:p w14:paraId="64AFEE9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80/1, z obrębu 0012 Janówek, gmina Wiskitki (nieruchomość obciążona),</w:t>
      </w:r>
    </w:p>
    <w:p w14:paraId="4C62242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81/1, z obrębu 0012 Janówek, gmina Wiskitki (nieruchomość obciążona),</w:t>
      </w:r>
    </w:p>
    <w:p w14:paraId="6C10BBB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82/1, z obrębu 0012 Janówek, gmina Wiskitki (nieruchomość obciążona),</w:t>
      </w:r>
    </w:p>
    <w:p w14:paraId="58FE180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83/1, z obrębu 0012 Janówek, gmina Wiskitki (nieruchomość obciążona),</w:t>
      </w:r>
    </w:p>
    <w:p w14:paraId="26EC6F07" w14:textId="781B375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84/4, z obrębu 0012 Janówek, gmina Wiskitki (nieruchomość obciążona)</w:t>
      </w:r>
      <w:r w:rsidR="00DA5BBB" w:rsidRPr="004B6BA3">
        <w:rPr>
          <w:rFonts w:ascii="Lato" w:hAnsi="Lato" w:cs="Arial"/>
          <w:bCs/>
          <w:spacing w:val="4"/>
          <w:sz w:val="22"/>
          <w:szCs w:val="22"/>
        </w:rPr>
        <w:t>.</w:t>
      </w:r>
    </w:p>
    <w:p w14:paraId="576C3902" w14:textId="2C99098A"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85/5, z obrębu 0012 Janówek, gmina Wiskitki (nieruchomość władnąca) dostęp do drogi publicznej – droga powiatowa </w:t>
      </w:r>
      <w:r w:rsidR="00DA5BBB" w:rsidRPr="004B6BA3">
        <w:rPr>
          <w:rFonts w:ascii="Lato" w:hAnsi="Lato" w:cs="Arial"/>
          <w:bCs/>
          <w:spacing w:val="4"/>
          <w:sz w:val="22"/>
          <w:szCs w:val="22"/>
        </w:rPr>
        <w:br/>
        <w:t xml:space="preserve">nr </w:t>
      </w:r>
      <w:r w:rsidRPr="004B6BA3">
        <w:rPr>
          <w:rFonts w:ascii="Lato" w:hAnsi="Lato" w:cs="Arial"/>
          <w:bCs/>
          <w:spacing w:val="4"/>
          <w:sz w:val="22"/>
          <w:szCs w:val="22"/>
        </w:rPr>
        <w:t>3834W – działka nr 56/1, z obrębu 0012 Janówek, gmina Wiskitki zapewnia się poprzez ustanowienie służebności przejazdu i przechodu po drodze wewnętrznej, której przebieg zostanie wyznaczony przez właściciela nieruchomości obciążonej przez działki:</w:t>
      </w:r>
    </w:p>
    <w:p w14:paraId="6DD3D6E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80/1, z obrębu 0012 Janówek, gmina Wiskitki (nieruchomość obciążona),</w:t>
      </w:r>
    </w:p>
    <w:p w14:paraId="72E8E35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81/1, z obrębu 0012 Janówek, gmina Wiskitki (nieruchomość obciążona),</w:t>
      </w:r>
    </w:p>
    <w:p w14:paraId="6B67598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82/1, z obrębu 0012 Janówek, gmina Wiskitki (nieruchomość obciążona),</w:t>
      </w:r>
    </w:p>
    <w:p w14:paraId="76E160E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83/1, z obrębu 0012 Janówek, gmina Wiskitki (nieruchomość obciążona),</w:t>
      </w:r>
    </w:p>
    <w:p w14:paraId="3F509E2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84/4, z obrębu 0012 Janówek, gmina Wiskitki (nieruchomość obciążona),</w:t>
      </w:r>
    </w:p>
    <w:p w14:paraId="12CFCBE2" w14:textId="4726FCF1"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85/4, z obrębu 0012 Janówek, gmina Wiskitki (nieruchomość obciążona)</w:t>
      </w:r>
      <w:r w:rsidR="00DA5BBB" w:rsidRPr="004B6BA3">
        <w:rPr>
          <w:rFonts w:ascii="Lato" w:hAnsi="Lato" w:cs="Arial"/>
          <w:bCs/>
          <w:spacing w:val="4"/>
          <w:sz w:val="22"/>
          <w:szCs w:val="22"/>
        </w:rPr>
        <w:t>.</w:t>
      </w:r>
    </w:p>
    <w:p w14:paraId="48CD59CB" w14:textId="02BA084C"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86/2, z obrębu 0012 Janówek, gmina Wiskitki (nieruchomość władnąca) dostęp do drogi publicznej – droga powiatowa </w:t>
      </w:r>
      <w:r w:rsidR="00DA5BBB" w:rsidRPr="004B6BA3">
        <w:rPr>
          <w:rFonts w:ascii="Lato" w:hAnsi="Lato" w:cs="Arial"/>
          <w:bCs/>
          <w:spacing w:val="4"/>
          <w:sz w:val="22"/>
          <w:szCs w:val="22"/>
        </w:rPr>
        <w:br/>
        <w:t xml:space="preserve">nr </w:t>
      </w:r>
      <w:r w:rsidRPr="004B6BA3">
        <w:rPr>
          <w:rFonts w:ascii="Lato" w:hAnsi="Lato" w:cs="Arial"/>
          <w:bCs/>
          <w:spacing w:val="4"/>
          <w:sz w:val="22"/>
          <w:szCs w:val="22"/>
        </w:rPr>
        <w:t>3834W – działka nr 56/1, z obrębu 0012 Janówek, gmina Wiskitki zapewnia się poprzez ustanowienie służebności przejazdu i przechodu po drodze wewnętrznej, której przebieg zostanie wyznaczony przez właściciela nieruchomości obciążonej przez działki:</w:t>
      </w:r>
    </w:p>
    <w:p w14:paraId="08FA9F8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80/1, z obrębu 0012 Janówek, gmina Wiskitki (nieruchomość obciążona),</w:t>
      </w:r>
    </w:p>
    <w:p w14:paraId="11C6F5A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81/1, z obrębu 0012 Janówek, gmina Wiskitki (nieruchomość obciążona),</w:t>
      </w:r>
    </w:p>
    <w:p w14:paraId="18C9F76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82/1, z obrębu 0012 Janówek, gmina Wiskitki (nieruchomość obciążona),</w:t>
      </w:r>
    </w:p>
    <w:p w14:paraId="17261DE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83/1, z obrębu 0012 Janówek, gmina Wiskitki (nieruchomość obciążona),</w:t>
      </w:r>
    </w:p>
    <w:p w14:paraId="2C56638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84/4, z obrębu 0012 Janówek, gmina Wiskitki (nieruchomość obciążona),</w:t>
      </w:r>
    </w:p>
    <w:p w14:paraId="093479B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85/4, z obrębu 0012 Janówek, gmina Wiskitki (nieruchomość obciążona),</w:t>
      </w:r>
    </w:p>
    <w:p w14:paraId="3D2D8B1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86/1, z obrębu 0012 Janówek, gmina Wiskitki (nieruchomość obciążona),</w:t>
      </w:r>
    </w:p>
    <w:p w14:paraId="173DBAA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88/1, z obrębu 0012 Janówek, gmina Wiskitki (nieruchomość obciążona),</w:t>
      </w:r>
    </w:p>
    <w:p w14:paraId="362DCB6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88/2, z obrębu 0012 Janówek, gmina Wiskitki (nieruchomość obciążona),</w:t>
      </w:r>
    </w:p>
    <w:p w14:paraId="15E1974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223/1, z obrębu 0022 Nowy Oryszew, gmina Wiskitki (nieruchomość obciążona),</w:t>
      </w:r>
    </w:p>
    <w:p w14:paraId="0A7606C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223/2, z obrębu 0022 Nowy Oryszew, gmina Wiskitki (nieruchomość obciążona),</w:t>
      </w:r>
    </w:p>
    <w:p w14:paraId="6CEE63F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224/1, z obrębu 0022 Nowy Oryszew, gmina Wiskitki (nieruchomość obciążona),</w:t>
      </w:r>
    </w:p>
    <w:p w14:paraId="107E07F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224/2, z obrębu 0022 Nowy Oryszew, gmina Wiskitki (nieruchomość obciążona),</w:t>
      </w:r>
    </w:p>
    <w:p w14:paraId="4E049E1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225/1, z obrębu 0022 Nowy Oryszew, gmina Wiskitki (nieruchomość obciążona),</w:t>
      </w:r>
    </w:p>
    <w:p w14:paraId="2230DE6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225/2, z obrębu 0022 Nowy Oryszew, gmina Wiskitki (nieruchomość obciążona),</w:t>
      </w:r>
    </w:p>
    <w:p w14:paraId="47CFC77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226/3, z obrębu 0022 Nowy Oryszew, gmina Wiskitki (nieruchomość obciążona),</w:t>
      </w:r>
    </w:p>
    <w:p w14:paraId="0923073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226/4, z obrębu 0022 Nowy Oryszew, gmina Wiskitki (nieruchomość obciążona),</w:t>
      </w:r>
    </w:p>
    <w:p w14:paraId="1FD9195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226/7, z obrębu 0022 Nowy Oryszew, gmina Wiskitki (nieruchomość obciążona),</w:t>
      </w:r>
    </w:p>
    <w:p w14:paraId="66AE975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226/8, z obrębu 0022 Nowy Oryszew, gmina Wiskitki (nieruchomość obciążona),</w:t>
      </w:r>
    </w:p>
    <w:p w14:paraId="52F1CCC9" w14:textId="3DC2789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227/1, z obrębu 0022 Nowy Oryszew, gmina Wiskitki (nieruchomość obciążona)</w:t>
      </w:r>
      <w:r w:rsidR="00DA5BBB" w:rsidRPr="004B6BA3">
        <w:rPr>
          <w:rFonts w:ascii="Lato" w:hAnsi="Lato" w:cs="Arial"/>
          <w:bCs/>
          <w:spacing w:val="4"/>
          <w:sz w:val="22"/>
          <w:szCs w:val="22"/>
        </w:rPr>
        <w:t>.</w:t>
      </w:r>
    </w:p>
    <w:p w14:paraId="214A1A7B" w14:textId="1D807F50"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87/2, z obrębu 0012 Janówek, gmina Wiskitki (nieruchomość władnąca) dostęp do drogi publicznej – droga powiatowa </w:t>
      </w:r>
      <w:r w:rsidR="00651A33" w:rsidRPr="004B6BA3">
        <w:rPr>
          <w:rFonts w:ascii="Lato" w:hAnsi="Lato" w:cs="Arial"/>
          <w:bCs/>
          <w:spacing w:val="4"/>
          <w:sz w:val="22"/>
          <w:szCs w:val="22"/>
        </w:rPr>
        <w:br/>
        <w:t xml:space="preserve">nr </w:t>
      </w:r>
      <w:r w:rsidRPr="004B6BA3">
        <w:rPr>
          <w:rFonts w:ascii="Lato" w:hAnsi="Lato" w:cs="Arial"/>
          <w:bCs/>
          <w:spacing w:val="4"/>
          <w:sz w:val="22"/>
          <w:szCs w:val="22"/>
        </w:rPr>
        <w:t>3834W – działka nr 46/3, z obrębu 0018 Cyganka, gmina Wiskitki zapewnia się poprzez ustanowienie służebności przejazdu i przechodu po drodze wewnętrznej, której przebieg zostanie wyznaczony przez właściciela nieruchomości obciążonej przez działki:</w:t>
      </w:r>
    </w:p>
    <w:p w14:paraId="32E6A3E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87/1, z obrębu 0012 Janówek, gmina Wiskitki (nieruchomość obciążona),</w:t>
      </w:r>
    </w:p>
    <w:p w14:paraId="552A5F6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88/2, z obrębu 0012 Janówek, gmina Wiskitki (nieruchomość obciążona),</w:t>
      </w:r>
    </w:p>
    <w:p w14:paraId="559B031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36D2F2F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55C06EA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52621D5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190B70B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66EED59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58/12, z obrębu 0018 Cyganka, gmina Wiskitki (nieruchomość obciążona),</w:t>
      </w:r>
    </w:p>
    <w:p w14:paraId="73860BC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787DC08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0B4FFDF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60/5, z obrębu 0018 Cyganka, gmina Wiskitki (nieruchomość obciążona),</w:t>
      </w:r>
    </w:p>
    <w:p w14:paraId="16CDECF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0018 Cyganka, gmina Wiskitki (nieruchomość obciążona),</w:t>
      </w:r>
    </w:p>
    <w:p w14:paraId="7509184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62/1, z obrębu 0018 Cyganka, gmina Wiskitki (nieruchomość obciążona),</w:t>
      </w:r>
    </w:p>
    <w:p w14:paraId="78F50D0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223/2, z obrębu 0022 Nowy Oryszew, gmina Wiskitki (nieruchomość obciążona),</w:t>
      </w:r>
    </w:p>
    <w:p w14:paraId="6C015FB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224/2, z obrębu 0022 Nowy Oryszew, gmina Wiskitki (nieruchomość obciążona),</w:t>
      </w:r>
    </w:p>
    <w:p w14:paraId="0BC0F24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225/2, z obrębu 0022 Nowy Oryszew, gmina Wiskitki (nieruchomość obciążona),</w:t>
      </w:r>
    </w:p>
    <w:p w14:paraId="041B53B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226/4, z obrębu 0022 Nowy Oryszew, gmina Wiskitki (nieruchomość obciążona),</w:t>
      </w:r>
    </w:p>
    <w:p w14:paraId="2766E5E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226/8, z obrębu 0022 Nowy Oryszew, gmina Wiskitki (nieruchomość obciążona),</w:t>
      </w:r>
    </w:p>
    <w:p w14:paraId="318F7E2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227/1, z obrębu 0022 Nowy Oryszew, gmina Wiskitki (nieruchomość obciążona),</w:t>
      </w:r>
    </w:p>
    <w:p w14:paraId="68E77BD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228/1, z obrębu 0022 Nowy Oryszew, gmina Wiskitki (nieruchomość obciążona),</w:t>
      </w:r>
    </w:p>
    <w:p w14:paraId="13864FCE" w14:textId="6899779F"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229/1, z obrębu 0022 Nowy Oryszew, gmina Wiskitki (nieruchomość obciążona)</w:t>
      </w:r>
      <w:r w:rsidR="00DA5BBB" w:rsidRPr="004B6BA3">
        <w:rPr>
          <w:rFonts w:ascii="Lato" w:hAnsi="Lato" w:cs="Arial"/>
          <w:bCs/>
          <w:spacing w:val="4"/>
          <w:sz w:val="22"/>
          <w:szCs w:val="22"/>
        </w:rPr>
        <w:t>.</w:t>
      </w:r>
    </w:p>
    <w:p w14:paraId="22B058DF" w14:textId="56A0EBBA"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lastRenderedPageBreak/>
        <w:t xml:space="preserve">Dla właściciela działki nr 88/3, z obrębu 0012 Janówek, gmina Wiskitki (nieruchomość władnąca) dostęp do drogi publicznej – droga powiatowa </w:t>
      </w:r>
      <w:r w:rsidR="00DE2BEC" w:rsidRPr="004B6BA3">
        <w:rPr>
          <w:rFonts w:ascii="Lato" w:hAnsi="Lato" w:cs="Arial"/>
          <w:bCs/>
          <w:spacing w:val="4"/>
          <w:sz w:val="22"/>
          <w:szCs w:val="22"/>
        </w:rPr>
        <w:br/>
        <w:t xml:space="preserve">nr </w:t>
      </w:r>
      <w:r w:rsidRPr="004B6BA3">
        <w:rPr>
          <w:rFonts w:ascii="Lato" w:hAnsi="Lato" w:cs="Arial"/>
          <w:bCs/>
          <w:spacing w:val="4"/>
          <w:sz w:val="22"/>
          <w:szCs w:val="22"/>
        </w:rPr>
        <w:t>3834W – działka nr 56/1, z obrębu 0012 Janówek, gmina Wiskitki zapewnia się poprzez ustanowienie służebności przejazdu i przechodu po drodze wewnętrznej, której przebieg zostanie wyznaczony przez właściciela nieruchomości obciążonej przez działki:</w:t>
      </w:r>
    </w:p>
    <w:p w14:paraId="624E1DF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80/1, z obrębu 0012 Janówek, gmina Wiskitki (nieruchomość obciążona),</w:t>
      </w:r>
    </w:p>
    <w:p w14:paraId="69E0FE2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81/1, z obrębu 0012 Janówek, gmina Wiskitki (nieruchomość obciążona),</w:t>
      </w:r>
    </w:p>
    <w:p w14:paraId="7782DB1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82/1, z obrębu 0012 Janówek, gmina Wiskitki (nieruchomość obciążona),</w:t>
      </w:r>
    </w:p>
    <w:p w14:paraId="721BA85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83/1, z obrębu 0012 Janówek, gmina Wiskitki (nieruchomość obciążona),</w:t>
      </w:r>
    </w:p>
    <w:p w14:paraId="2A1516A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84/4, z obrębu 0012 Janówek, gmina Wiskitki (nieruchomość obciążona),</w:t>
      </w:r>
    </w:p>
    <w:p w14:paraId="0612B57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85/4, z obrębu 0012 Janówek, gmina Wiskitki (nieruchomość obciążona),</w:t>
      </w:r>
    </w:p>
    <w:p w14:paraId="16C7B9C6" w14:textId="628EFA22" w:rsidR="002A0F2E" w:rsidRPr="004B6BA3" w:rsidRDefault="002A0F2E" w:rsidP="00DE2BEC">
      <w:pPr>
        <w:pStyle w:val="Akapitzlist"/>
        <w:numPr>
          <w:ilvl w:val="0"/>
          <w:numId w:val="12"/>
        </w:numPr>
        <w:tabs>
          <w:tab w:val="left" w:pos="426"/>
        </w:tabs>
        <w:spacing w:after="24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88/1, z obrębu 0012 Janówek, gmina Wiskitki (nieruchomość obciążona)</w:t>
      </w:r>
      <w:r w:rsidR="00DE2BEC" w:rsidRPr="004B6BA3">
        <w:rPr>
          <w:rFonts w:ascii="Lato" w:hAnsi="Lato" w:cs="Arial"/>
          <w:bCs/>
          <w:spacing w:val="4"/>
          <w:sz w:val="22"/>
          <w:szCs w:val="22"/>
        </w:rPr>
        <w:t>.</w:t>
      </w:r>
    </w:p>
    <w:p w14:paraId="072E8EDD" w14:textId="31597551"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88/4, z obrębu 0012 Janówek, gmina Wiskitki (nieruchomość władnąca) dostęp do drogi publicznej – droga powiatowa </w:t>
      </w:r>
      <w:r w:rsidR="00DE2BEC" w:rsidRPr="004B6BA3">
        <w:rPr>
          <w:rFonts w:ascii="Lato" w:hAnsi="Lato" w:cs="Arial"/>
          <w:bCs/>
          <w:spacing w:val="4"/>
          <w:sz w:val="22"/>
          <w:szCs w:val="22"/>
        </w:rPr>
        <w:br/>
        <w:t xml:space="preserve">nr </w:t>
      </w:r>
      <w:r w:rsidRPr="004B6BA3">
        <w:rPr>
          <w:rFonts w:ascii="Lato" w:hAnsi="Lato" w:cs="Arial"/>
          <w:bCs/>
          <w:spacing w:val="4"/>
          <w:sz w:val="22"/>
          <w:szCs w:val="22"/>
        </w:rPr>
        <w:t>3834W – działka nr 46/3, z obrębu 0018 Cyganka, gmina Wiskitki zapewnia się poprzez ustanowienie służebności przejazdu i przechodu po drodze wewnętrznej, której przebieg zostanie wyznaczony przez właściciela nieruchomości obciążonej przez działki:</w:t>
      </w:r>
    </w:p>
    <w:p w14:paraId="202B750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88/2, z obrębu 0012 Janówek, gmina Wiskitki (nieruchomość obciążona),</w:t>
      </w:r>
    </w:p>
    <w:p w14:paraId="3E353E9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1BB032A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51930E4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1198623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1DFC7AF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7A0675A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58/12, z obrębu 0018 Cyganka, gmina Wiskitki (nieruchomość obciążona),</w:t>
      </w:r>
    </w:p>
    <w:p w14:paraId="64DB6CC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50E9705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268806E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60/5, z obrębu 0018 Cyganka, gmina Wiskitki (nieruchomość obciążona),</w:t>
      </w:r>
    </w:p>
    <w:p w14:paraId="4B7DE6C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0018 Cyganka, gmina Wiskitki (nieruchomość obciążona),</w:t>
      </w:r>
    </w:p>
    <w:p w14:paraId="380BE4E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62/1, z obrębu 0018 Cyganka, gmina Wiskitki (nieruchomość obciążona),</w:t>
      </w:r>
    </w:p>
    <w:p w14:paraId="3B58F54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223/2, z obrębu 0022 Nowy Oryszew, gmina Wiskitki (nieruchomość obciążona),</w:t>
      </w:r>
    </w:p>
    <w:p w14:paraId="5EC6F86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224/2, z obrębu 0022 Nowy Oryszew, gmina Wiskitki (nieruchomość obciążona),</w:t>
      </w:r>
    </w:p>
    <w:p w14:paraId="1233EC5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225/2, z obrębu 0022 Nowy Oryszew, gmina Wiskitki (nieruchomość obciążona),</w:t>
      </w:r>
    </w:p>
    <w:p w14:paraId="6CFFBC6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226/4, z obrębu 0022 Nowy Oryszew, gmina Wiskitki (nieruchomość obciążona),</w:t>
      </w:r>
    </w:p>
    <w:p w14:paraId="29EB5E4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226/8, z obrębu 0022 Nowy Oryszew, gmina Wiskitki (nieruchomość obciążona),</w:t>
      </w:r>
    </w:p>
    <w:p w14:paraId="458BF5A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227/1, z obrębu 0022 Nowy Oryszew, gmina Wiskitki (nieruchomość obciążona),</w:t>
      </w:r>
    </w:p>
    <w:p w14:paraId="255BBBD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228/1, z obrębu 0022 Nowy Oryszew, gmina Wiskitki (nieruchomość obciążona),</w:t>
      </w:r>
    </w:p>
    <w:p w14:paraId="4B412AF3" w14:textId="221ECF5B"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229/1, z obrębu 0022 Nowy Oryszew, gmina Wiskitki (nieruchomość obciążona)</w:t>
      </w:r>
      <w:r w:rsidR="001028BB" w:rsidRPr="004B6BA3">
        <w:rPr>
          <w:rFonts w:ascii="Lato" w:hAnsi="Lato" w:cs="Arial"/>
          <w:bCs/>
          <w:spacing w:val="4"/>
          <w:sz w:val="22"/>
          <w:szCs w:val="22"/>
        </w:rPr>
        <w:t>.</w:t>
      </w:r>
    </w:p>
    <w:p w14:paraId="1E1986F1" w14:textId="32C4825A"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lastRenderedPageBreak/>
        <w:t xml:space="preserve">Dla właściciela działki nr 37/6, z obrębu 0018 Cyganka, gmina Wiskitki (nieruchomość władnąca) dostęp do drogi publicznej – droga powiatowa </w:t>
      </w:r>
      <w:r w:rsidR="001028BB" w:rsidRPr="004B6BA3">
        <w:rPr>
          <w:rFonts w:ascii="Lato" w:hAnsi="Lato" w:cs="Arial"/>
          <w:bCs/>
          <w:spacing w:val="4"/>
          <w:sz w:val="22"/>
          <w:szCs w:val="22"/>
        </w:rPr>
        <w:br/>
        <w:t xml:space="preserve">nr </w:t>
      </w:r>
      <w:r w:rsidRPr="004B6BA3">
        <w:rPr>
          <w:rFonts w:ascii="Lato" w:hAnsi="Lato" w:cs="Arial"/>
          <w:bCs/>
          <w:spacing w:val="4"/>
          <w:sz w:val="22"/>
          <w:szCs w:val="22"/>
        </w:rPr>
        <w:t>3834W – działka nr 46/3, z obrębu 0018 Cyganka, gmina Wiskitki zapewnia się poprzez ustanowienie służebności przejazdu i przechodu po drodze wewnętrznej, której przebieg zostanie wyznaczony przez właściciela nieruchomości obciążonej przez działkę:</w:t>
      </w:r>
    </w:p>
    <w:p w14:paraId="545A9D26" w14:textId="1305AA35"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37/5, z obrębu 0018 Cyganka, gmina Wiskitki (nieruchomość obciążona)</w:t>
      </w:r>
      <w:r w:rsidR="001028BB" w:rsidRPr="004B6BA3">
        <w:rPr>
          <w:rFonts w:ascii="Lato" w:hAnsi="Lato" w:cs="Arial"/>
          <w:bCs/>
          <w:spacing w:val="4"/>
          <w:sz w:val="22"/>
          <w:szCs w:val="22"/>
        </w:rPr>
        <w:t>.</w:t>
      </w:r>
    </w:p>
    <w:p w14:paraId="334B8D3A" w14:textId="109BD505"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38/4, z obrębu 0018 Cyganka, gmina Wiskitki (nieruchomość władnąca) dostęp do drogi publicznej – droga powiatowa </w:t>
      </w:r>
      <w:r w:rsidR="001028BB" w:rsidRPr="004B6BA3">
        <w:rPr>
          <w:rFonts w:ascii="Lato" w:hAnsi="Lato" w:cs="Arial"/>
          <w:bCs/>
          <w:spacing w:val="4"/>
          <w:sz w:val="22"/>
          <w:szCs w:val="22"/>
        </w:rPr>
        <w:br/>
        <w:t xml:space="preserve">nr </w:t>
      </w:r>
      <w:r w:rsidRPr="004B6BA3">
        <w:rPr>
          <w:rFonts w:ascii="Lato" w:hAnsi="Lato" w:cs="Arial"/>
          <w:bCs/>
          <w:spacing w:val="4"/>
          <w:sz w:val="22"/>
          <w:szCs w:val="22"/>
        </w:rPr>
        <w:t>3834W – działka nr 46/3, z obrębu 0018 Cyganka, gmina Wiskitki zapewnia się poprzez ustanowienie służebności przejazdu i przechodu po drodze wewnętrznej, której przebieg zostanie wyznaczony przez właściciela nieruchomości obciążonej przez działki:</w:t>
      </w:r>
    </w:p>
    <w:p w14:paraId="7475BC6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38/1, z obrębu 0018 Cyganka, gmina Wiskitki (nieruchomość obciążona),</w:t>
      </w:r>
    </w:p>
    <w:p w14:paraId="63CA203F" w14:textId="5B5F660E"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38/3, z obrębu 0018 Cyganka, gmina Wiskitki (nieruchomość obciążona)</w:t>
      </w:r>
      <w:r w:rsidR="001028BB" w:rsidRPr="004B6BA3">
        <w:rPr>
          <w:rFonts w:ascii="Lato" w:hAnsi="Lato" w:cs="Arial"/>
          <w:bCs/>
          <w:spacing w:val="4"/>
          <w:sz w:val="22"/>
          <w:szCs w:val="22"/>
        </w:rPr>
        <w:t>.</w:t>
      </w:r>
    </w:p>
    <w:p w14:paraId="5C4406E6" w14:textId="70D86E4D"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39/2, z obrębu 0018 Cyganka, gmina Wiskitki (nieruchomość władnąca) dostęp do drogi publicznej – droga powiatowa </w:t>
      </w:r>
      <w:r w:rsidR="00394FDE" w:rsidRPr="004B6BA3">
        <w:rPr>
          <w:rFonts w:ascii="Lato" w:hAnsi="Lato" w:cs="Arial"/>
          <w:bCs/>
          <w:spacing w:val="4"/>
          <w:sz w:val="22"/>
          <w:szCs w:val="22"/>
        </w:rPr>
        <w:br/>
        <w:t xml:space="preserve">nr </w:t>
      </w:r>
      <w:r w:rsidRPr="004B6BA3">
        <w:rPr>
          <w:rFonts w:ascii="Lato" w:hAnsi="Lato" w:cs="Arial"/>
          <w:bCs/>
          <w:spacing w:val="4"/>
          <w:sz w:val="22"/>
          <w:szCs w:val="22"/>
        </w:rPr>
        <w:t>3834W – działka nr 46/3, z obrębu 0018 Cyganka, gmina Wiskitki zapewnia się poprzez ustanowienie służebności przejazdu i przechodu po drodze wewnętrznej, której przebieg zostanie wyznaczony przez właściciela nieruchomości obciążonej przez działkę:</w:t>
      </w:r>
    </w:p>
    <w:p w14:paraId="38C9829E" w14:textId="75DB06C4"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39/1, z obrębu 0018 Cyganka, gmina Wiskitki (nieruchomość obciążona)</w:t>
      </w:r>
      <w:r w:rsidR="00394FDE" w:rsidRPr="004B6BA3">
        <w:rPr>
          <w:rFonts w:ascii="Lato" w:hAnsi="Lato" w:cs="Arial"/>
          <w:bCs/>
          <w:spacing w:val="4"/>
          <w:sz w:val="22"/>
          <w:szCs w:val="22"/>
        </w:rPr>
        <w:t>.</w:t>
      </w:r>
    </w:p>
    <w:p w14:paraId="25A4B1CE" w14:textId="76545D00"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40/4, z obrębu 0018 Cyganka, gmina Wiskitki (nieruchomość władnąca) dostęp do drogi publicznej – droga powiatowa </w:t>
      </w:r>
      <w:r w:rsidR="00394FDE"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działkę: </w:t>
      </w:r>
    </w:p>
    <w:p w14:paraId="3A45ED79" w14:textId="6E9F8BAE"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40/3, z obrębu 0018 Cyganka, gmina Wiskitki (nieruchomość obciążona)</w:t>
      </w:r>
      <w:r w:rsidR="00394FDE" w:rsidRPr="004B6BA3">
        <w:rPr>
          <w:rFonts w:ascii="Lato" w:hAnsi="Lato" w:cs="Arial"/>
          <w:bCs/>
          <w:spacing w:val="4"/>
          <w:sz w:val="22"/>
          <w:szCs w:val="22"/>
        </w:rPr>
        <w:t>.</w:t>
      </w:r>
      <w:r w:rsidRPr="004B6BA3">
        <w:rPr>
          <w:rFonts w:ascii="Lato" w:hAnsi="Lato" w:cs="Arial"/>
          <w:bCs/>
          <w:spacing w:val="4"/>
          <w:sz w:val="22"/>
          <w:szCs w:val="22"/>
        </w:rPr>
        <w:t xml:space="preserve"> </w:t>
      </w:r>
    </w:p>
    <w:p w14:paraId="27B4194B" w14:textId="643183A1"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40/7, z obrębu 0018 Cyganka, gmina Wiskitki (nieruchomość władnąca) dostęp do drogi publicznej – droga powiatowa </w:t>
      </w:r>
      <w:r w:rsidR="00394FDE"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działkę: </w:t>
      </w:r>
    </w:p>
    <w:p w14:paraId="433B2006" w14:textId="79BE836D"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40/6, z obrębu 0018 Cyganka, gmina Wiskitki (nieruchomość obciążona)</w:t>
      </w:r>
      <w:r w:rsidR="00394FDE" w:rsidRPr="004B6BA3">
        <w:rPr>
          <w:rFonts w:ascii="Lato" w:hAnsi="Lato" w:cs="Arial"/>
          <w:bCs/>
          <w:spacing w:val="4"/>
          <w:sz w:val="22"/>
          <w:szCs w:val="22"/>
        </w:rPr>
        <w:t>.</w:t>
      </w:r>
      <w:r w:rsidRPr="004B6BA3">
        <w:rPr>
          <w:rFonts w:ascii="Lato" w:hAnsi="Lato" w:cs="Arial"/>
          <w:bCs/>
          <w:spacing w:val="4"/>
          <w:sz w:val="22"/>
          <w:szCs w:val="22"/>
        </w:rPr>
        <w:t xml:space="preserve"> </w:t>
      </w:r>
    </w:p>
    <w:p w14:paraId="4E484E7C" w14:textId="49B0DE0A"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41/4, z obrębu 0018 Cyganka, gmina Wiskitki (nieruchomość władnąca) dostęp do drogi publicznej – droga powiatowa </w:t>
      </w:r>
      <w:r w:rsidR="00394FDE"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działkę: </w:t>
      </w:r>
    </w:p>
    <w:p w14:paraId="46F7CFC0" w14:textId="1CC4D81F"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41/3, z obrębu 0018 Cyganka, gmina Wiskitki (nieruchomość obciążona)</w:t>
      </w:r>
      <w:r w:rsidR="00394FDE" w:rsidRPr="004B6BA3">
        <w:rPr>
          <w:rFonts w:ascii="Lato" w:hAnsi="Lato" w:cs="Arial"/>
          <w:bCs/>
          <w:spacing w:val="4"/>
          <w:sz w:val="22"/>
          <w:szCs w:val="22"/>
        </w:rPr>
        <w:t>.</w:t>
      </w:r>
      <w:r w:rsidRPr="004B6BA3">
        <w:rPr>
          <w:rFonts w:ascii="Lato" w:hAnsi="Lato" w:cs="Arial"/>
          <w:bCs/>
          <w:spacing w:val="4"/>
          <w:sz w:val="22"/>
          <w:szCs w:val="22"/>
        </w:rPr>
        <w:t xml:space="preserve"> </w:t>
      </w:r>
    </w:p>
    <w:p w14:paraId="2BE9D763" w14:textId="0F512D25"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43/5, z obrębu 0018 Cyganka, gmina Wiskitki (nieruchomość władnąca) dostęp do drogi publicznej – droga powiatowa </w:t>
      </w:r>
      <w:r w:rsidR="00394FDE" w:rsidRPr="00F40707">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t>
      </w:r>
      <w:r w:rsidRPr="004B6BA3">
        <w:rPr>
          <w:rFonts w:ascii="Lato" w:hAnsi="Lato" w:cs="Arial"/>
          <w:bCs/>
          <w:spacing w:val="4"/>
          <w:sz w:val="22"/>
          <w:szCs w:val="22"/>
        </w:rPr>
        <w:lastRenderedPageBreak/>
        <w:t xml:space="preserve">wewnętrznej, której przebieg zostanie wyznaczony przez właściciela nieruchomości obciążonej przez działki: </w:t>
      </w:r>
    </w:p>
    <w:p w14:paraId="44F8B44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43/4, z obrębu 0018 Cyganka, gmina Wiskitki (nieruchomość obciążona), </w:t>
      </w:r>
    </w:p>
    <w:p w14:paraId="1427D97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43/7, z obrębu 0018 Cyganka, gmina Wiskitki (nieruchomość obciążona),</w:t>
      </w:r>
    </w:p>
    <w:p w14:paraId="57CD5D8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44/6, z obrębu 0018 Cyganka, gmina Wiskitki (nieruchomość obciążona),</w:t>
      </w:r>
    </w:p>
    <w:p w14:paraId="7C89D49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45/2, z obrębu 0018 Cyganka, gmina Wiskitki (nieruchomość obciążona),</w:t>
      </w:r>
    </w:p>
    <w:p w14:paraId="4EAD88C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7266530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5A8C079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490CE46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0EA24EF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03BCC2B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58/12, z obrębu 0018 Cyganka, gmina Wiskitki (nieruchomość obciążona),</w:t>
      </w:r>
    </w:p>
    <w:p w14:paraId="7B8582B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4BF3DFA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65D8B0C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60/5, z obrębu 0018 Cyganka, gmina Wiskitki (nieruchomość obciążona),</w:t>
      </w:r>
    </w:p>
    <w:p w14:paraId="4503E18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0018 Cyganka, gmina Wiskitki (nieruchomość obciążona),</w:t>
      </w:r>
    </w:p>
    <w:p w14:paraId="40F0845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62/1, z obrębu 0018 Cyganka, gmina Wiskitki (nieruchomość obciążona),</w:t>
      </w:r>
    </w:p>
    <w:p w14:paraId="6612A8B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221/10, z obrębu 0022 Nowy Oryszew, gmina Wiskitki (nieruchomość obciążona),</w:t>
      </w:r>
    </w:p>
    <w:p w14:paraId="74DF78E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221/6, z obrębu 0022 Nowy Oryszew, gmina Wiskitki (nieruchomość obciążona),</w:t>
      </w:r>
    </w:p>
    <w:p w14:paraId="3C2D280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221/8, z obrębu 0022 Nowy Oryszew, gmina Wiskitki (nieruchomość obciążona),</w:t>
      </w:r>
    </w:p>
    <w:p w14:paraId="2B64874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228/1, z obrębu 0022 Nowy Oryszew, gmina Wiskitki (nieruchomość obciążona),</w:t>
      </w:r>
    </w:p>
    <w:p w14:paraId="4AA7861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229/1, z obrębu 0022 Nowy Oryszew, gmina Wiskitki (nieruchomość obciążona),</w:t>
      </w:r>
    </w:p>
    <w:p w14:paraId="17D0EB04" w14:textId="46A3E9E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244, z obrębu 0022 Nowy Oryszew, gmina Wiskitki (nieruchomość obciążona)</w:t>
      </w:r>
      <w:r w:rsidR="00394FDE" w:rsidRPr="004B6BA3">
        <w:rPr>
          <w:rFonts w:ascii="Lato" w:hAnsi="Lato" w:cs="Arial"/>
          <w:bCs/>
          <w:spacing w:val="4"/>
          <w:sz w:val="22"/>
          <w:szCs w:val="22"/>
        </w:rPr>
        <w:t>.</w:t>
      </w:r>
    </w:p>
    <w:p w14:paraId="44D4C22F" w14:textId="6C65D7A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43/8, z obrębu 0018 Cyganka, gmina Wiskitki (nieruchomość władnąca) dostęp do drogi publicznej – droga powiatowa </w:t>
      </w:r>
      <w:r w:rsidR="00394FDE"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działki: </w:t>
      </w:r>
    </w:p>
    <w:p w14:paraId="312A54B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43/7, z obrębu 0018 Cyganka, gmina Wiskitki (nieruchomość obciążona), </w:t>
      </w:r>
    </w:p>
    <w:p w14:paraId="40011A4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44/6, z obrębu 0018 Cyganka, gmina Wiskitki (nieruchomość obciążona),</w:t>
      </w:r>
    </w:p>
    <w:p w14:paraId="0559937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45/2, z obrębu 0018 Cyganka, gmina Wiskitki (nieruchomość obciążona),</w:t>
      </w:r>
    </w:p>
    <w:p w14:paraId="587B4A9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0CE9878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7602205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4AA0581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04604F2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7DC8B0F3" w14:textId="195188E2"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w:t>
      </w:r>
      <w:r w:rsidR="00394FDE" w:rsidRPr="004B6BA3">
        <w:rPr>
          <w:rFonts w:ascii="Lato" w:hAnsi="Lato" w:cs="Arial"/>
          <w:bCs/>
          <w:spacing w:val="4"/>
          <w:sz w:val="22"/>
          <w:szCs w:val="22"/>
        </w:rPr>
        <w:t xml:space="preserve"> </w:t>
      </w:r>
      <w:r w:rsidRPr="004B6BA3">
        <w:rPr>
          <w:rFonts w:ascii="Lato" w:hAnsi="Lato" w:cs="Arial"/>
          <w:bCs/>
          <w:spacing w:val="4"/>
          <w:sz w:val="22"/>
          <w:szCs w:val="22"/>
        </w:rPr>
        <w:t>58/12, z obrębu 0018 Cyganka, gmina Wiskitki (nieruchomość obciążona),</w:t>
      </w:r>
    </w:p>
    <w:p w14:paraId="1739662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10115E4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0559CD4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60/5, z obrębu 0018 Cyganka, gmina Wiskitki (nieruchomość obciążona),</w:t>
      </w:r>
    </w:p>
    <w:p w14:paraId="6124618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0018 Cyganka, gmina Wiskitki (nieruchomość obciążona),</w:t>
      </w:r>
    </w:p>
    <w:p w14:paraId="4BBE37E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62/1, z obrębu 0018 Cyganka, gmina Wiskitki (nieruchomość obciążona),</w:t>
      </w:r>
    </w:p>
    <w:p w14:paraId="5B72A9A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221/10, z obrębu 0022 Nowy Oryszew, gmina Wiskitki (nieruchomość obciążona),</w:t>
      </w:r>
    </w:p>
    <w:p w14:paraId="58E3294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221/6, z obrębu 0022 Nowy Oryszew, gmina Wiskitki (nieruchomość obciążona),</w:t>
      </w:r>
    </w:p>
    <w:p w14:paraId="1DB2AEA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221/8, z obrębu 0022 Nowy Oryszew, gmina Wiskitki (nieruchomość obciążona),</w:t>
      </w:r>
    </w:p>
    <w:p w14:paraId="6AE3292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228/1, z obrębu 0022 Nowy Oryszew, gmina Wiskitki (nieruchomość obciążona),</w:t>
      </w:r>
    </w:p>
    <w:p w14:paraId="27AF0AB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229/1, z obrębu 0022 Nowy Oryszew, gmina Wiskitki (nieruchomość obciążona),</w:t>
      </w:r>
    </w:p>
    <w:p w14:paraId="013A31CC" w14:textId="67FCF58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244, z obrębu 0022 Nowy Oryszew, gmina Wiskitki (nieruchomość obciążona)</w:t>
      </w:r>
      <w:r w:rsidR="00394FDE" w:rsidRPr="004B6BA3">
        <w:rPr>
          <w:rFonts w:ascii="Lato" w:hAnsi="Lato" w:cs="Arial"/>
          <w:bCs/>
          <w:spacing w:val="4"/>
          <w:sz w:val="22"/>
          <w:szCs w:val="22"/>
        </w:rPr>
        <w:t>.</w:t>
      </w:r>
    </w:p>
    <w:p w14:paraId="30951E80" w14:textId="5D9A064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44/7, z obrębu 0018 Cyganka, gmina Wiskitki (nieruchomość władnąca) dostęp do drogi publicznej – droga powiatowa </w:t>
      </w:r>
      <w:r w:rsidR="00394FDE"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działki: </w:t>
      </w:r>
    </w:p>
    <w:p w14:paraId="63BFE19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44/6, z obrębu 0018 Cyganka, gmina Wiskitki (nieruchomość obciążona),</w:t>
      </w:r>
    </w:p>
    <w:p w14:paraId="533EB2C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45/2, z obrębu 0018 Cyganka, gmina Wiskitki (nieruchomość obciążona),</w:t>
      </w:r>
    </w:p>
    <w:p w14:paraId="275CD4E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2F5FA71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039AC22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63180C7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2CA416F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2E10D4D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58/12, z obrębu 0018 Cyganka, gmina Wiskitki (nieruchomość obciążona),</w:t>
      </w:r>
    </w:p>
    <w:p w14:paraId="56C3472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1C8C87D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56442E8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60/5, z obrębu 0018 Cyganka, gmina Wiskitki (nieruchomość obciążona),</w:t>
      </w:r>
    </w:p>
    <w:p w14:paraId="10BAC33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0018 Cyganka, gmina Wiskitki (nieruchomość obciążona),</w:t>
      </w:r>
    </w:p>
    <w:p w14:paraId="67DF252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62/1, z obrębu 0018 Cyganka, gmina Wiskitki (nieruchomość obciążona),</w:t>
      </w:r>
    </w:p>
    <w:p w14:paraId="76A27BF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221/10, z obrębu 0022 Nowy Oryszew, gmina Wiskitki (nieruchomość obciążona),</w:t>
      </w:r>
    </w:p>
    <w:p w14:paraId="527B01F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221/6, z obrębu 0022 Nowy Oryszew, gmina Wiskitki (nieruchomość obciążona),</w:t>
      </w:r>
    </w:p>
    <w:p w14:paraId="5407E43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221/8, z obrębu 0022 Nowy Oryszew, gmina Wiskitki (nieruchomość obciążona),</w:t>
      </w:r>
    </w:p>
    <w:p w14:paraId="4DCA9FE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228/1, z obrębu 0022 Nowy Oryszew, gmina Wiskitki (nieruchomość obciążona),</w:t>
      </w:r>
    </w:p>
    <w:p w14:paraId="7165CBF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229/1, z obrębu 0022 Nowy Oryszew, gmina Wiskitki (nieruchomość obciążona),</w:t>
      </w:r>
    </w:p>
    <w:p w14:paraId="694EBB83" w14:textId="6E643B6B"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244, z obrębu 0022 Nowy Oryszew, gmina Wiskitki (nieruchomość obciążona)</w:t>
      </w:r>
      <w:r w:rsidR="00394FDE" w:rsidRPr="004B6BA3">
        <w:rPr>
          <w:rFonts w:ascii="Lato" w:hAnsi="Lato" w:cs="Arial"/>
          <w:bCs/>
          <w:spacing w:val="4"/>
          <w:sz w:val="22"/>
          <w:szCs w:val="22"/>
        </w:rPr>
        <w:t>.</w:t>
      </w:r>
    </w:p>
    <w:p w14:paraId="0C7C894E" w14:textId="5A9B5263"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45/3, z obrębu 0018 Cyganka, gmina Wiskitki (nieruchomość władnąca) dostęp do drogi publicznej – droga powiatowa </w:t>
      </w:r>
      <w:r w:rsidR="00F66AD0" w:rsidRPr="004B6BA3">
        <w:rPr>
          <w:rFonts w:ascii="Lato" w:hAnsi="Lato" w:cs="Arial"/>
          <w:bCs/>
          <w:spacing w:val="4"/>
          <w:sz w:val="22"/>
          <w:szCs w:val="22"/>
        </w:rPr>
        <w:br/>
      </w:r>
      <w:r w:rsidR="00F66AD0" w:rsidRPr="004B6BA3">
        <w:rPr>
          <w:rFonts w:ascii="Lato" w:hAnsi="Lato" w:cs="Arial"/>
          <w:bCs/>
          <w:spacing w:val="4"/>
          <w:sz w:val="22"/>
          <w:szCs w:val="22"/>
        </w:rPr>
        <w:lastRenderedPageBreak/>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działki: </w:t>
      </w:r>
    </w:p>
    <w:p w14:paraId="20AC1A5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45/2, z obrębu 0018 Cyganka, gmina Wiskitki (nieruchomość obciążona),</w:t>
      </w:r>
    </w:p>
    <w:p w14:paraId="057BBE3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773C534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6054108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140AF25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0300EC8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557D90A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58/12, z obrębu 0018 Cyganka, gmina Wiskitki (nieruchomość obciążona),</w:t>
      </w:r>
    </w:p>
    <w:p w14:paraId="4D22A88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45A79EA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4A7D55B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60/5, z obrębu 0018 Cyganka, gmina Wiskitki (nieruchomość obciążona),</w:t>
      </w:r>
    </w:p>
    <w:p w14:paraId="454D1A8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0018 Cyganka, gmina Wiskitki (nieruchomość obciążona),</w:t>
      </w:r>
    </w:p>
    <w:p w14:paraId="3A00765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62/1, z obrębu 0018 Cyganka, gmina Wiskitki (nieruchomość obciążona),</w:t>
      </w:r>
    </w:p>
    <w:p w14:paraId="3EC9407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221/10, z obrębu 0022 Nowy Oryszew, gmina Wiskitki (nieruchomość obciążona),</w:t>
      </w:r>
    </w:p>
    <w:p w14:paraId="49BA48E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221/6, z obrębu 0022 Nowy Oryszew, gmina Wiskitki (nieruchomość obciążona),</w:t>
      </w:r>
    </w:p>
    <w:p w14:paraId="0A8AB60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221/8, z obrębu 0022 Nowy Oryszew, gmina Wiskitki (nieruchomość obciążona),</w:t>
      </w:r>
    </w:p>
    <w:p w14:paraId="06771A8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228/1, z obrębu 0022 Nowy Oryszew, gmina Wiskitki (nieruchomość obciążona),</w:t>
      </w:r>
    </w:p>
    <w:p w14:paraId="2241153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229/1, z obrębu 0022 Nowy Oryszew, gmina Wiskitki (nieruchomość obciążona),</w:t>
      </w:r>
    </w:p>
    <w:p w14:paraId="35D7C1F6" w14:textId="16486FFC"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244, z obrębu 0022 Nowy Oryszew, gmina Wiskitki (nieruchomość obciążona)</w:t>
      </w:r>
      <w:r w:rsidR="00F66AD0" w:rsidRPr="004B6BA3">
        <w:rPr>
          <w:rFonts w:ascii="Lato" w:hAnsi="Lato" w:cs="Arial"/>
          <w:bCs/>
          <w:spacing w:val="4"/>
          <w:sz w:val="22"/>
          <w:szCs w:val="22"/>
        </w:rPr>
        <w:t>.</w:t>
      </w:r>
    </w:p>
    <w:p w14:paraId="3138D22F" w14:textId="6D5D67CF"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55/4, z obrębu 0018 Cyganka, gmina Wiskitki (nieruchomość władnąca) dostęp do drogi publicznej – droga powiatowa </w:t>
      </w:r>
      <w:r w:rsidR="0008759D"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działki: </w:t>
      </w:r>
    </w:p>
    <w:p w14:paraId="6BE42A6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2B3C207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3CB55350" w14:textId="73FCD09D"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r w:rsidR="0008759D" w:rsidRPr="004B6BA3">
        <w:rPr>
          <w:rFonts w:ascii="Lato" w:hAnsi="Lato" w:cs="Arial"/>
          <w:bCs/>
          <w:spacing w:val="4"/>
          <w:sz w:val="22"/>
          <w:szCs w:val="22"/>
        </w:rPr>
        <w:t>.</w:t>
      </w:r>
    </w:p>
    <w:p w14:paraId="1349E9C0" w14:textId="011921FF"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56/3, z obrębu 0018 Cyganka, gmina Wiskitki (nieruchomość władnąca) dostęp do drogi publicznej – droga powiatowa </w:t>
      </w:r>
      <w:r w:rsidR="0008759D"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działkę: </w:t>
      </w:r>
    </w:p>
    <w:p w14:paraId="15991B62" w14:textId="44DC0E79"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56/1, z obrębu 0018 Cyganka, gmina Wiskitki (nieruchomość obciążona)</w:t>
      </w:r>
      <w:r w:rsidR="0008759D" w:rsidRPr="004B6BA3">
        <w:rPr>
          <w:rFonts w:ascii="Lato" w:hAnsi="Lato" w:cs="Arial"/>
          <w:bCs/>
          <w:spacing w:val="4"/>
          <w:sz w:val="22"/>
          <w:szCs w:val="22"/>
        </w:rPr>
        <w:t>.</w:t>
      </w:r>
    </w:p>
    <w:p w14:paraId="2DBC2DA8" w14:textId="409C5977"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56/4, z obrębu 0018 Cyganka, gmina Wiskitki (nieruchomość władnąca) dostęp do drogi publicznej – droga powiatowa </w:t>
      </w:r>
      <w:r w:rsidR="0008759D"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w:t>
      </w:r>
      <w:r w:rsidRPr="004B6BA3">
        <w:rPr>
          <w:rFonts w:ascii="Lato" w:hAnsi="Lato" w:cs="Arial"/>
          <w:bCs/>
          <w:spacing w:val="4"/>
          <w:sz w:val="22"/>
          <w:szCs w:val="22"/>
        </w:rPr>
        <w:lastRenderedPageBreak/>
        <w:t xml:space="preserve">się poprzez ustanowienie służebności przejazdu i przechodu po drodze wewnętrznej, której przebieg zostanie wyznaczony przez właściciela nieruchomości obciążonej przez działki: </w:t>
      </w:r>
    </w:p>
    <w:p w14:paraId="2730629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06423B0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35DF5A0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548D9A41" w14:textId="4924001D"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r w:rsidR="0008759D" w:rsidRPr="004B6BA3">
        <w:rPr>
          <w:rFonts w:ascii="Lato" w:hAnsi="Lato" w:cs="Arial"/>
          <w:bCs/>
          <w:spacing w:val="4"/>
          <w:sz w:val="22"/>
          <w:szCs w:val="22"/>
        </w:rPr>
        <w:t>.</w:t>
      </w:r>
    </w:p>
    <w:p w14:paraId="5763960A" w14:textId="0D84E5B2"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57/3, z obrębu 0018 Cyganka, gmina Wiskitki (nieruchomość władnąca) dostęp do drogi publicznej – droga powiatowa </w:t>
      </w:r>
      <w:r w:rsidR="0008759D"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działkę: </w:t>
      </w:r>
    </w:p>
    <w:p w14:paraId="227FE316" w14:textId="05252F4E"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57/1, z obrębu 0018 Cyganka, gmina Wiskitki (nieruchomość obciążona)</w:t>
      </w:r>
      <w:r w:rsidR="0008759D" w:rsidRPr="004B6BA3">
        <w:rPr>
          <w:rFonts w:ascii="Lato" w:hAnsi="Lato" w:cs="Arial"/>
          <w:bCs/>
          <w:spacing w:val="4"/>
          <w:sz w:val="22"/>
          <w:szCs w:val="22"/>
        </w:rPr>
        <w:t>.</w:t>
      </w:r>
    </w:p>
    <w:p w14:paraId="1F379A96" w14:textId="0062DF8D"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57/4, z obrębu 0018 Cyganka, gmina Wiskitki (nieruchomość władnąca) dostęp do drogi publicznej – droga powiatowa </w:t>
      </w:r>
      <w:r w:rsidR="0008759D"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działki: </w:t>
      </w:r>
    </w:p>
    <w:p w14:paraId="33322CE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26F2886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41674DA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331BCE8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4CCEBB01" w14:textId="7E9483D9"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r w:rsidR="0008759D" w:rsidRPr="004B6BA3">
        <w:rPr>
          <w:rFonts w:ascii="Lato" w:hAnsi="Lato" w:cs="Arial"/>
          <w:bCs/>
          <w:spacing w:val="4"/>
          <w:sz w:val="22"/>
          <w:szCs w:val="22"/>
        </w:rPr>
        <w:t>.</w:t>
      </w:r>
    </w:p>
    <w:p w14:paraId="31E8E46A" w14:textId="453A4E85" w:rsidR="002A0F2E" w:rsidRPr="004B6BA3" w:rsidRDefault="002A0F2E" w:rsidP="00F40707">
      <w:pPr>
        <w:pStyle w:val="Akapitzlist"/>
        <w:numPr>
          <w:ilvl w:val="0"/>
          <w:numId w:val="10"/>
        </w:numPr>
        <w:spacing w:after="120" w:line="240" w:lineRule="exact"/>
        <w:ind w:left="992" w:hanging="391"/>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58/6, z obrębu 0018 Cyganka, gmina Wiskitki (nieruchomość władnąca) dostęp do drogi publicznej – droga powiatowa </w:t>
      </w:r>
      <w:r w:rsidR="006C3832"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działkę: </w:t>
      </w:r>
    </w:p>
    <w:p w14:paraId="4E8F822F" w14:textId="229304BC"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58/5, z obrębu 0018 Cyganka, gmina Wiskitki (nieruchomość obciążona)</w:t>
      </w:r>
      <w:r w:rsidR="006C3832" w:rsidRPr="004B6BA3">
        <w:rPr>
          <w:rFonts w:ascii="Lato" w:hAnsi="Lato" w:cs="Arial"/>
          <w:bCs/>
          <w:spacing w:val="4"/>
          <w:sz w:val="22"/>
          <w:szCs w:val="22"/>
        </w:rPr>
        <w:t>.</w:t>
      </w:r>
    </w:p>
    <w:p w14:paraId="72823072" w14:textId="6F8775A2"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58/13, z obrębu 0018 Cyganka, gmina Wiskitki (nieruchomość władnąca) dostęp do drogi publicznej – droga powiatowa </w:t>
      </w:r>
      <w:r w:rsidR="006C3832" w:rsidRPr="004B6BA3">
        <w:rPr>
          <w:rFonts w:ascii="Lato" w:hAnsi="Lato" w:cs="Arial"/>
          <w:bCs/>
          <w:spacing w:val="4"/>
          <w:sz w:val="22"/>
          <w:szCs w:val="22"/>
        </w:rPr>
        <w:t xml:space="preserve"> </w:t>
      </w:r>
      <w:r w:rsidR="006C3832"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działkę: </w:t>
      </w:r>
    </w:p>
    <w:p w14:paraId="07896A6C" w14:textId="7D295F29"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58/11, z obrębu 0018 Cyganka, gmina Wiskitki (nieruchomość obciążona)</w:t>
      </w:r>
      <w:r w:rsidR="006C3832" w:rsidRPr="004B6BA3">
        <w:rPr>
          <w:rFonts w:ascii="Lato" w:hAnsi="Lato" w:cs="Arial"/>
          <w:bCs/>
          <w:spacing w:val="4"/>
          <w:sz w:val="22"/>
          <w:szCs w:val="22"/>
        </w:rPr>
        <w:t>.</w:t>
      </w:r>
    </w:p>
    <w:p w14:paraId="3DC45F04" w14:textId="7135DC12"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58/14, z obrębu 0018 Cyganka, gmina Wiskitki (nieruchomość władnąca) dostęp do drogi publicznej – droga powiatowa </w:t>
      </w:r>
      <w:r w:rsidR="006C3832"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działki: </w:t>
      </w:r>
    </w:p>
    <w:p w14:paraId="317DF59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48448E1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090B93C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55/3, z obrębu 0018 Cyganka, gmina Wiskitki (nieruchomość obciążona),</w:t>
      </w:r>
    </w:p>
    <w:p w14:paraId="1C2FD13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717AFC9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1639B24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58/12, z obrębu 0018 Cyganka, gmina Wiskitki (nieruchomość obciążona),</w:t>
      </w:r>
    </w:p>
    <w:p w14:paraId="3E794441" w14:textId="373490F2"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r w:rsidR="006C3832" w:rsidRPr="004B6BA3">
        <w:rPr>
          <w:rFonts w:ascii="Lato" w:hAnsi="Lato" w:cs="Arial"/>
          <w:bCs/>
          <w:spacing w:val="4"/>
          <w:sz w:val="22"/>
          <w:szCs w:val="22"/>
        </w:rPr>
        <w:t>.</w:t>
      </w:r>
    </w:p>
    <w:p w14:paraId="4D3C521F" w14:textId="0F20A53F"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60/4, z obrębu 0018 Cyganka, gmina Wiskitki (nieruchomość władnąca) dostęp do drogi publicznej – droga powiatowa </w:t>
      </w:r>
      <w:r w:rsidR="006C3832"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działki: </w:t>
      </w:r>
    </w:p>
    <w:p w14:paraId="1E27474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63E73F3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397136E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4754743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0DFC421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217F745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58/12, z obrębu 0018 Cyganka, gmina Wiskitki (nieruchomość obciążona),</w:t>
      </w:r>
    </w:p>
    <w:p w14:paraId="319E481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203FFC63" w14:textId="76A960DD"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r w:rsidR="006C3832" w:rsidRPr="004B6BA3">
        <w:rPr>
          <w:rFonts w:ascii="Lato" w:hAnsi="Lato" w:cs="Arial"/>
          <w:bCs/>
          <w:spacing w:val="4"/>
          <w:sz w:val="22"/>
          <w:szCs w:val="22"/>
        </w:rPr>
        <w:t>.</w:t>
      </w:r>
    </w:p>
    <w:p w14:paraId="51C222A1" w14:textId="198A63D3"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60/6, z obrębu 0018 Cyganka, gmina Wiskitki (nieruchomość władnąca) dostęp do drogi publicznej – droga powiatowa </w:t>
      </w:r>
      <w:r w:rsidR="00DD231C"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działki: </w:t>
      </w:r>
    </w:p>
    <w:p w14:paraId="1FB74AF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55C39C5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4C52127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039C57E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1FE4CA2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272C0B78" w14:textId="5AF5ED0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w:t>
      </w:r>
      <w:r w:rsidR="00DD231C" w:rsidRPr="004B6BA3">
        <w:rPr>
          <w:rFonts w:ascii="Lato" w:hAnsi="Lato" w:cs="Arial"/>
          <w:bCs/>
          <w:spacing w:val="4"/>
          <w:sz w:val="22"/>
          <w:szCs w:val="22"/>
        </w:rPr>
        <w:t xml:space="preserve"> </w:t>
      </w:r>
      <w:r w:rsidRPr="004B6BA3">
        <w:rPr>
          <w:rFonts w:ascii="Lato" w:hAnsi="Lato" w:cs="Arial"/>
          <w:bCs/>
          <w:spacing w:val="4"/>
          <w:sz w:val="22"/>
          <w:szCs w:val="22"/>
        </w:rPr>
        <w:t>58/12, z obrębu 0018 Cyganka, gmina Wiskitki (nieruchomość obciążona),</w:t>
      </w:r>
    </w:p>
    <w:p w14:paraId="5FC0B12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7E5894E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27557887" w14:textId="2793115E"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60/5, z obrębu 0018 Cyganka, gmina Wiskitki (nieruchomość obciążona)</w:t>
      </w:r>
      <w:r w:rsidR="006C3832" w:rsidRPr="004B6BA3">
        <w:rPr>
          <w:rFonts w:ascii="Lato" w:hAnsi="Lato" w:cs="Arial"/>
          <w:bCs/>
          <w:spacing w:val="4"/>
          <w:sz w:val="22"/>
          <w:szCs w:val="22"/>
        </w:rPr>
        <w:t>.</w:t>
      </w:r>
    </w:p>
    <w:p w14:paraId="14FD8A6B" w14:textId="111FD405"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61/2, z obrębu 0018 Cyganka, gmina Wiskitki (nieruchomość władnąca) dostęp do drogi publicznej – droga powiatowa </w:t>
      </w:r>
      <w:r w:rsidR="00DD231C"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działki: </w:t>
      </w:r>
    </w:p>
    <w:p w14:paraId="5DB3E74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59BBDE9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17580EB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283A637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6306C14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1531434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58/12, z obrębu 0018 Cyganka, gmina Wiskitki (nieruchomość obciążona),</w:t>
      </w:r>
    </w:p>
    <w:p w14:paraId="1DEE615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5D18438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06E4845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60/5, z obrębu 0018 Cyganka, gmina Wiskitki (nieruchomość obciążona),</w:t>
      </w:r>
    </w:p>
    <w:p w14:paraId="07B5CAB6" w14:textId="500E053C"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0018 Cyganka, gmina Wiskitki (nieruchomość obciążona)</w:t>
      </w:r>
      <w:r w:rsidR="00DD231C" w:rsidRPr="004B6BA3">
        <w:rPr>
          <w:rFonts w:ascii="Lato" w:hAnsi="Lato" w:cs="Arial"/>
          <w:bCs/>
          <w:spacing w:val="4"/>
          <w:sz w:val="22"/>
          <w:szCs w:val="22"/>
        </w:rPr>
        <w:t>.</w:t>
      </w:r>
    </w:p>
    <w:p w14:paraId="642E5812" w14:textId="6F020B23"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62/2, z obrębu 0018 Cyganka, gmina Wiskitki (nieruchomość władnąca) dostęp do drogi publicznej – droga powiatowa </w:t>
      </w:r>
      <w:r w:rsidR="00DD231C"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przejazdu i przechodu po drodze wewnętrznej, której przebieg zostanie wyznaczony przez właściciela nieruchomości obciążonej przez działki: </w:t>
      </w:r>
    </w:p>
    <w:p w14:paraId="60F58DF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54/3, z obrębu 0018 Cyganka, gmina Wiskitki (nieruchomość obciążona),</w:t>
      </w:r>
    </w:p>
    <w:p w14:paraId="47543E5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05E90C0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587FB37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3614181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3BEE32D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58/12, z obrębu 0018 Cyganka, gmina Wiskitki (nieruchomość obciążona),</w:t>
      </w:r>
    </w:p>
    <w:p w14:paraId="3C20D97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53446E8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0350C38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60/5, z obrębu 0018 Cyganka, gmina Wiskitki (nieruchomość obciążona),</w:t>
      </w:r>
    </w:p>
    <w:p w14:paraId="4C6ACCE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0018 Cyganka, gmina Wiskitki (nieruchomość obciążona),</w:t>
      </w:r>
    </w:p>
    <w:p w14:paraId="38432A69" w14:textId="44EBB094"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62/1, z obrębu 0018 Cyganka, gmina Wiskitki (nieruchomość obciążona)</w:t>
      </w:r>
      <w:r w:rsidR="00DD231C" w:rsidRPr="004B6BA3">
        <w:rPr>
          <w:rFonts w:ascii="Lato" w:hAnsi="Lato" w:cs="Arial"/>
          <w:bCs/>
          <w:spacing w:val="4"/>
          <w:sz w:val="22"/>
          <w:szCs w:val="22"/>
        </w:rPr>
        <w:t>.</w:t>
      </w:r>
    </w:p>
    <w:p w14:paraId="03BED7FD" w14:textId="5BE37FA0"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134/7, z obrębu 0022 Nowy Oryszew,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DD231C" w:rsidRPr="004B6BA3">
        <w:rPr>
          <w:rFonts w:ascii="Lato" w:hAnsi="Lato" w:cs="Arial"/>
          <w:bCs/>
          <w:spacing w:val="4"/>
          <w:sz w:val="22"/>
          <w:szCs w:val="22"/>
        </w:rPr>
        <w:br/>
      </w:r>
      <w:r w:rsidRPr="004B6BA3">
        <w:rPr>
          <w:rFonts w:ascii="Lato" w:hAnsi="Lato" w:cs="Arial"/>
          <w:bCs/>
          <w:spacing w:val="4"/>
          <w:sz w:val="22"/>
          <w:szCs w:val="22"/>
        </w:rPr>
        <w:t xml:space="preserve">do ww. gminnej drogi wewnętrznej (działki nr 240/1, nr 240/4, nr 240/6, </w:t>
      </w:r>
      <w:r w:rsidR="00DD231C" w:rsidRPr="004B6BA3">
        <w:rPr>
          <w:rFonts w:ascii="Lato" w:hAnsi="Lato" w:cs="Arial"/>
          <w:bCs/>
          <w:spacing w:val="4"/>
          <w:sz w:val="22"/>
          <w:szCs w:val="22"/>
        </w:rPr>
        <w:br/>
      </w:r>
      <w:r w:rsidRPr="004B6BA3">
        <w:rPr>
          <w:rFonts w:ascii="Lato" w:hAnsi="Lato" w:cs="Arial"/>
          <w:bCs/>
          <w:spacing w:val="4"/>
          <w:sz w:val="22"/>
          <w:szCs w:val="22"/>
        </w:rPr>
        <w:t xml:space="preserve">z obrębu 0022 Nowy Oryszew, gmina Wiskitki), zapewnia się poprzez ustanowienie służebności przejazdu i przechodu po drodze wewnętrznej, której przebieg zostanie wyznaczony przez właściciela nieruchomości obciążonej przez działki: </w:t>
      </w:r>
    </w:p>
    <w:p w14:paraId="4B70B03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131/1, z obrębu 0022 Nowy Oryszew, gmina Wiskitki (nieruchomość obciążona),</w:t>
      </w:r>
    </w:p>
    <w:p w14:paraId="3D252DB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131/3, z obrębu 0022 Nowy Oryszew, gmina Wiskitki (nieruchomość obciążona),</w:t>
      </w:r>
    </w:p>
    <w:p w14:paraId="5658538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131/4, z obrębu 0022 Nowy Oryszew, gmina Wiskitki (nieruchomość obciążona),</w:t>
      </w:r>
    </w:p>
    <w:p w14:paraId="1589076F" w14:textId="20E1F92E"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134/6, z obrębu 0022 Nowy Oryszew, gmina Wiskitki (nieruchomość obciążona)</w:t>
      </w:r>
      <w:r w:rsidR="00DD231C" w:rsidRPr="004B6BA3">
        <w:rPr>
          <w:rFonts w:ascii="Lato" w:hAnsi="Lato" w:cs="Arial"/>
          <w:bCs/>
          <w:spacing w:val="4"/>
          <w:sz w:val="22"/>
          <w:szCs w:val="22"/>
        </w:rPr>
        <w:t>.</w:t>
      </w:r>
    </w:p>
    <w:p w14:paraId="44EEF94D" w14:textId="582EA00D"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165/2, z obrębu 0022 Nowy Oryszew,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DD231C" w:rsidRPr="004B6BA3">
        <w:rPr>
          <w:rFonts w:ascii="Lato" w:hAnsi="Lato" w:cs="Arial"/>
          <w:bCs/>
          <w:spacing w:val="4"/>
          <w:sz w:val="22"/>
          <w:szCs w:val="22"/>
        </w:rPr>
        <w:br/>
      </w:r>
      <w:r w:rsidRPr="004B6BA3">
        <w:rPr>
          <w:rFonts w:ascii="Lato" w:hAnsi="Lato" w:cs="Arial"/>
          <w:bCs/>
          <w:spacing w:val="4"/>
          <w:sz w:val="22"/>
          <w:szCs w:val="22"/>
        </w:rPr>
        <w:t>do ww. gminnej drogi wewnętrznej (działka nr 240/8, z obrębu 0022 Nowy Oryszew, gmina Wiskitki), zapewnia się poprzez ustanowienie służebności przejazdu i przechodu po drodze wewnętrznej, której przebieg zostanie wyznaczony przez właściciela nieruchomości obciążonej przez działk</w:t>
      </w:r>
      <w:r w:rsidR="00DD231C" w:rsidRPr="004B6BA3">
        <w:rPr>
          <w:rFonts w:ascii="Lato" w:hAnsi="Lato" w:cs="Arial"/>
          <w:bCs/>
          <w:spacing w:val="4"/>
          <w:sz w:val="22"/>
          <w:szCs w:val="22"/>
        </w:rPr>
        <w:t>ę</w:t>
      </w:r>
      <w:r w:rsidRPr="004B6BA3">
        <w:rPr>
          <w:rFonts w:ascii="Lato" w:hAnsi="Lato" w:cs="Arial"/>
          <w:bCs/>
          <w:spacing w:val="4"/>
          <w:sz w:val="22"/>
          <w:szCs w:val="22"/>
        </w:rPr>
        <w:t xml:space="preserve">: </w:t>
      </w:r>
    </w:p>
    <w:p w14:paraId="1EDEDFDB" w14:textId="4A79144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165/1, z obrębu 0022 Nowy Oryszew, gmina Wiskitki (nieruchomość obciążona)</w:t>
      </w:r>
      <w:r w:rsidR="00DD231C" w:rsidRPr="004B6BA3">
        <w:rPr>
          <w:rFonts w:ascii="Lato" w:hAnsi="Lato" w:cs="Arial"/>
          <w:bCs/>
          <w:spacing w:val="4"/>
          <w:sz w:val="22"/>
          <w:szCs w:val="22"/>
        </w:rPr>
        <w:t>.</w:t>
      </w:r>
    </w:p>
    <w:p w14:paraId="673EA913" w14:textId="47D9504E"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lastRenderedPageBreak/>
        <w:t xml:space="preserve">Dla właściciela działki nr 168/2, z obrębu 0022 Nowy Oryszew, gmina Wiskitki (nieruchomość władnąca) dostęp do drogi publicznej jak dotychczas zapewnia gminna droga wewnętrzna ogólnodostępna w </w:t>
      </w:r>
      <w:r w:rsidR="00DA4271">
        <w:rPr>
          <w:rFonts w:ascii="Lato" w:hAnsi="Lato" w:cs="Arial"/>
          <w:bCs/>
          <w:spacing w:val="4"/>
          <w:sz w:val="22"/>
          <w:szCs w:val="22"/>
        </w:rPr>
        <w:t>(…)</w:t>
      </w:r>
      <w:r w:rsidRPr="004B6BA3">
        <w:rPr>
          <w:rFonts w:ascii="Lato" w:hAnsi="Lato" w:cs="Arial"/>
          <w:bCs/>
          <w:spacing w:val="4"/>
          <w:sz w:val="22"/>
          <w:szCs w:val="22"/>
        </w:rPr>
        <w:t xml:space="preserve">, a dostęp </w:t>
      </w:r>
      <w:r w:rsidR="00D25D01" w:rsidRPr="004B6BA3">
        <w:rPr>
          <w:rFonts w:ascii="Lato" w:hAnsi="Lato" w:cs="Arial"/>
          <w:bCs/>
          <w:spacing w:val="4"/>
          <w:sz w:val="22"/>
          <w:szCs w:val="22"/>
        </w:rPr>
        <w:br/>
      </w:r>
      <w:r w:rsidRPr="004B6BA3">
        <w:rPr>
          <w:rFonts w:ascii="Lato" w:hAnsi="Lato" w:cs="Arial"/>
          <w:bCs/>
          <w:spacing w:val="4"/>
          <w:sz w:val="22"/>
          <w:szCs w:val="22"/>
        </w:rPr>
        <w:t>do ww. gminnej drogi wewnętrznej (działka nr 240/8, z obrębu 0022 Nowy Oryszew, gmina Wiskitki), zapewnia się poprzez ustanowienie służebności przejazdu i przechodu po drodze wewnętrznej, której przebieg zostanie wyznaczony przez właściciela nieruchomości obciążonej przez działk</w:t>
      </w:r>
      <w:r w:rsidR="00D25D01" w:rsidRPr="004B6BA3">
        <w:rPr>
          <w:rFonts w:ascii="Lato" w:hAnsi="Lato" w:cs="Arial"/>
          <w:bCs/>
          <w:spacing w:val="4"/>
          <w:sz w:val="22"/>
          <w:szCs w:val="22"/>
        </w:rPr>
        <w:t>ę</w:t>
      </w:r>
      <w:r w:rsidRPr="004B6BA3">
        <w:rPr>
          <w:rFonts w:ascii="Lato" w:hAnsi="Lato" w:cs="Arial"/>
          <w:bCs/>
          <w:spacing w:val="4"/>
          <w:sz w:val="22"/>
          <w:szCs w:val="22"/>
        </w:rPr>
        <w:t xml:space="preserve">: </w:t>
      </w:r>
    </w:p>
    <w:p w14:paraId="69E939E8" w14:textId="37807BFE"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168/1, z obrębu 0022 Nowy Oryszew, gmina Wiskitki (nieruchomość obciążona)</w:t>
      </w:r>
      <w:r w:rsidR="00D25D01" w:rsidRPr="004B6BA3">
        <w:rPr>
          <w:rFonts w:ascii="Lato" w:hAnsi="Lato" w:cs="Arial"/>
          <w:bCs/>
          <w:spacing w:val="4"/>
          <w:sz w:val="22"/>
          <w:szCs w:val="22"/>
        </w:rPr>
        <w:t>.</w:t>
      </w:r>
    </w:p>
    <w:p w14:paraId="335F6AB9" w14:textId="5DAC4304"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176/6, z obrębu 0022 Nowy Oryszew, gmina Wiskitki (nieruchomość władnąca) dostęp do drogi publicznej – droga gminna </w:t>
      </w:r>
      <w:r w:rsidR="00D25D01"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470406W – działka nr 241/1, z obrębu 0022 Nowy Oryszew, gmina Wiskitki zapewnia się poprzez ustanowienie służebności </w:t>
      </w:r>
      <w:r w:rsidR="00792417"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D25D01"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działki: </w:t>
      </w:r>
    </w:p>
    <w:p w14:paraId="6E8E153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176/5, z obrębu 0022 Nowy Oryszew, gmina Wiskitki (nieruchomość obciążona),</w:t>
      </w:r>
    </w:p>
    <w:p w14:paraId="5BCFFEC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179, z obrębu 0022 Nowy Oryszew, gmina Wiskitki (nieruchomość obciążona),</w:t>
      </w:r>
    </w:p>
    <w:p w14:paraId="556DC31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183/1, z obrębu 0022 Nowy Oryszew, gmina Wiskitki (nieruchomość obciążona),</w:t>
      </w:r>
    </w:p>
    <w:p w14:paraId="6EE1A53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184, z obrębu 0022 Nowy Oryszew, gmina Wiskitki (nieruchomość obciążona),</w:t>
      </w:r>
    </w:p>
    <w:p w14:paraId="618D003B" w14:textId="57218089"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187, z obrębu 0022 Nowy Oryszew, gmina Wiskitki (nieruchomość obciążona)</w:t>
      </w:r>
      <w:r w:rsidR="00D25D01" w:rsidRPr="004B6BA3">
        <w:rPr>
          <w:rFonts w:ascii="Lato" w:hAnsi="Lato" w:cs="Arial"/>
          <w:bCs/>
          <w:spacing w:val="4"/>
          <w:sz w:val="22"/>
          <w:szCs w:val="22"/>
        </w:rPr>
        <w:t>.</w:t>
      </w:r>
    </w:p>
    <w:p w14:paraId="794EC700" w14:textId="720419D4" w:rsidR="002A0F2E" w:rsidRPr="004B6BA3" w:rsidRDefault="002A0F2E" w:rsidP="00F40707">
      <w:pPr>
        <w:pStyle w:val="Akapitzlist"/>
        <w:numPr>
          <w:ilvl w:val="0"/>
          <w:numId w:val="10"/>
        </w:numPr>
        <w:spacing w:after="120" w:line="240" w:lineRule="exact"/>
        <w:ind w:left="993" w:hanging="393"/>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183/2, z obrębu 0022 Nowy Oryszew, gmina Wiskitki (nieruchomość władnąca) dostęp do drogi publicznej – droga gminna </w:t>
      </w:r>
      <w:r w:rsidR="00D25D01"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470406W – działka nr 241/1, z obrębu 0022 Nowy Oryszew, gmina Wiskitki zapewnia się poprzez ustanowienie służebności </w:t>
      </w:r>
      <w:r w:rsidR="00792417"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D25D01"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działki: </w:t>
      </w:r>
    </w:p>
    <w:p w14:paraId="5E35369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183/1, z obrębu 0022 Nowy Oryszew, gmina Wiskitki (nieruchomość obciążona),</w:t>
      </w:r>
    </w:p>
    <w:p w14:paraId="3A7C5F2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184, z obrębu 0022 Nowy Oryszew, gmina Wiskitki (nieruchomość obciążona),</w:t>
      </w:r>
    </w:p>
    <w:p w14:paraId="505A3CC5" w14:textId="3B4CE9A0"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187, z obrębu 0022 Nowy Oryszew, gmina Wiskitki (nieruchomość obciążona)</w:t>
      </w:r>
      <w:r w:rsidR="00D25D01" w:rsidRPr="004B6BA3">
        <w:rPr>
          <w:rFonts w:ascii="Lato" w:hAnsi="Lato" w:cs="Arial"/>
          <w:bCs/>
          <w:spacing w:val="4"/>
          <w:sz w:val="22"/>
          <w:szCs w:val="22"/>
        </w:rPr>
        <w:t>.</w:t>
      </w:r>
    </w:p>
    <w:p w14:paraId="30DA2BDB" w14:textId="37539434"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193/2, z obrębu 0022 Nowy Oryszew, gmina Wiskitki (nieruchomość władnąca) dostęp do drogi publicznej – droga gminna </w:t>
      </w:r>
      <w:r w:rsidR="00D25D01"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470406W – działka nr 241/1, z obrębu 0022 Nowy Oryszew, gmina Wiskitki zapewnia się poprzez ustanowienie służebności </w:t>
      </w:r>
      <w:r w:rsidR="00792417"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D25D01"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działki: </w:t>
      </w:r>
    </w:p>
    <w:p w14:paraId="3CD145A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188/1, z obrębu 0022 Nowy Oryszew, gmina Wiskitki (nieruchomość obciążona),</w:t>
      </w:r>
    </w:p>
    <w:p w14:paraId="436AE4E0" w14:textId="10AB8182"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193/1, z obrębu 0022 Nowy Oryszew, gmina Wiskitki (nieruchomość obciążona)</w:t>
      </w:r>
      <w:r w:rsidR="00D25D01" w:rsidRPr="004B6BA3">
        <w:rPr>
          <w:rFonts w:ascii="Lato" w:hAnsi="Lato" w:cs="Arial"/>
          <w:bCs/>
          <w:spacing w:val="4"/>
          <w:sz w:val="22"/>
          <w:szCs w:val="22"/>
        </w:rPr>
        <w:t>.</w:t>
      </w:r>
    </w:p>
    <w:p w14:paraId="76DB35D8" w14:textId="5546E377"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198/4, z obrębu 0022 Nowy Oryszew, gmina Wiskitki (nieruchomość władnąca) dostęp do drogi publicznej – droga gminna </w:t>
      </w:r>
      <w:r w:rsidR="00D25D01" w:rsidRPr="004B6BA3">
        <w:rPr>
          <w:rFonts w:ascii="Lato" w:hAnsi="Lato" w:cs="Arial"/>
          <w:bCs/>
          <w:spacing w:val="4"/>
          <w:sz w:val="22"/>
          <w:szCs w:val="22"/>
        </w:rPr>
        <w:br/>
      </w:r>
      <w:r w:rsidR="00D25D01" w:rsidRPr="004B6BA3">
        <w:rPr>
          <w:rFonts w:ascii="Lato" w:hAnsi="Lato" w:cs="Arial"/>
          <w:bCs/>
          <w:spacing w:val="4"/>
          <w:sz w:val="22"/>
          <w:szCs w:val="22"/>
        </w:rPr>
        <w:lastRenderedPageBreak/>
        <w:t xml:space="preserve">nr </w:t>
      </w:r>
      <w:r w:rsidRPr="004B6BA3">
        <w:rPr>
          <w:rFonts w:ascii="Lato" w:hAnsi="Lato" w:cs="Arial"/>
          <w:bCs/>
          <w:spacing w:val="4"/>
          <w:sz w:val="22"/>
          <w:szCs w:val="22"/>
        </w:rPr>
        <w:t xml:space="preserve">470406W – działka nr 241/1, z obrębu 0022 Nowy Oryszew, gmina Wiskitki zapewnia się poprzez ustanowienie służebności </w:t>
      </w:r>
      <w:r w:rsidR="00F60840"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D25D01"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działki: </w:t>
      </w:r>
    </w:p>
    <w:p w14:paraId="52ADA2D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188/1, z obrębu 0022 Nowy Oryszew, gmina Wiskitki (nieruchomość obciążona),</w:t>
      </w:r>
    </w:p>
    <w:p w14:paraId="6A4C15C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193/1, z obrębu 0022 Nowy Oryszew, gmina Wiskitki (nieruchomość obciążona),</w:t>
      </w:r>
    </w:p>
    <w:p w14:paraId="03ED263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194/1, z obrębu 0022 Nowy Oryszew, gmina Wiskitki (nieruchomość obciążona),</w:t>
      </w:r>
    </w:p>
    <w:p w14:paraId="3BDF4C5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198/1, z obrębu 0022 Nowy Oryszew, gmina Wiskitki (nieruchomość obciążona),</w:t>
      </w:r>
    </w:p>
    <w:p w14:paraId="008183D3" w14:textId="1E941EA9"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198/3, z obrębu 0022 Nowy Oryszew, gmina Wiskitki (nieruchomość obciążona)</w:t>
      </w:r>
      <w:r w:rsidR="00D25D01" w:rsidRPr="004B6BA3">
        <w:rPr>
          <w:rFonts w:ascii="Lato" w:hAnsi="Lato" w:cs="Arial"/>
          <w:bCs/>
          <w:spacing w:val="4"/>
          <w:sz w:val="22"/>
          <w:szCs w:val="22"/>
        </w:rPr>
        <w:t>.</w:t>
      </w:r>
    </w:p>
    <w:p w14:paraId="03AAE8AF" w14:textId="5FE8FCFA"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199/7, z obrębu 0022 Nowy Oryszew, gmina Wiskitki (nieruchomość władnąca) dostęp do drogi publicznej – droga gminna </w:t>
      </w:r>
      <w:r w:rsidR="00907044"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470406W – działka nr 241/1, z obrębu 0022 Nowy Oryszew, gmina Wiskitki zapewnia się poprzez ustanowienie służebności </w:t>
      </w:r>
      <w:r w:rsidR="00F60840"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907044"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działki: </w:t>
      </w:r>
    </w:p>
    <w:p w14:paraId="4EAD297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188/1, z obrębu 0022 Nowy Oryszew, gmina Wiskitki (nieruchomość obciążona),</w:t>
      </w:r>
    </w:p>
    <w:p w14:paraId="641B84E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193/1, z obrębu 0022 Nowy Oryszew, gmina Wiskitki (nieruchomość obciążona), </w:t>
      </w:r>
    </w:p>
    <w:p w14:paraId="0EC7BE3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194/1, z obrębu 0022 Nowy Oryszew, gmina Wiskitki (nieruchomość obciążona),</w:t>
      </w:r>
    </w:p>
    <w:p w14:paraId="1FD8DAF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198/1, z obrębu 0022 Nowy Oryszew, gmina Wiskitki (nieruchomość obciążona),</w:t>
      </w:r>
    </w:p>
    <w:p w14:paraId="5D55C65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198/3, z obrębu 0022 Nowy Oryszew, gmina Wiskitki (nieruchomość obciążona),</w:t>
      </w:r>
    </w:p>
    <w:p w14:paraId="3EA60A4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199/4, z obrębu 0022 Nowy Oryszew, gmina Wiskitki (nieruchomość obciążona),</w:t>
      </w:r>
    </w:p>
    <w:p w14:paraId="02E56BD7" w14:textId="33690958"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199/6, z obrębu 0022 Nowy Oryszew, gmina Wiskitki (nieruchomość obciążona)</w:t>
      </w:r>
      <w:r w:rsidR="00907044" w:rsidRPr="004B6BA3">
        <w:rPr>
          <w:rFonts w:ascii="Lato" w:hAnsi="Lato" w:cs="Arial"/>
          <w:bCs/>
          <w:spacing w:val="4"/>
          <w:sz w:val="22"/>
          <w:szCs w:val="22"/>
        </w:rPr>
        <w:t>.</w:t>
      </w:r>
    </w:p>
    <w:p w14:paraId="3666B800" w14:textId="47BD55F5"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201/2, z obrębu 0022 Nowy Oryszew, gmina Wiskitki (nieruchomość władnąca) dostęp do drogi publicznej – droga powiatowa </w:t>
      </w:r>
      <w:r w:rsidR="00907044"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56/1, z obrębu 0012 Janówek, gmina Wiskitki zapewnia się poprzez ustanowienie służebności </w:t>
      </w:r>
      <w:r w:rsidR="00907044"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po drodze wewnętrznej, której przebieg zostanie wyznaczony przez właściciela nieruchomości obciążonej przez działki: </w:t>
      </w:r>
    </w:p>
    <w:p w14:paraId="1DADA7E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0012 Janówek, gmina Wiskitki (nieruchomość obciążona),</w:t>
      </w:r>
    </w:p>
    <w:p w14:paraId="2A0E1EF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55/1, z obrębu 0012 Janówek, gmina Wiskitki (nieruchomość obciążona),</w:t>
      </w:r>
    </w:p>
    <w:p w14:paraId="7AC75E8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201/1, z obrębu 0022 Nowy Oryszew, gmina Wiskitki (nieruchomość obciążona),</w:t>
      </w:r>
    </w:p>
    <w:p w14:paraId="4D81FE4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204/1, z obrębu 0022 Nowy Oryszew, gmina Wiskitki (nieruchomość obciążona),</w:t>
      </w:r>
    </w:p>
    <w:p w14:paraId="0F044A8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205/1, z obrębu 0022 Nowy Oryszew, gmina Wiskitki (nieruchomość obciążona),</w:t>
      </w:r>
    </w:p>
    <w:p w14:paraId="32ACC08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206/1, z obrębu 0022 Nowy Oryszew, gmina Wiskitki (nieruchomość obciążona),</w:t>
      </w:r>
    </w:p>
    <w:p w14:paraId="286251C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209/1, z obrębu 0022 Nowy Oryszew, gmina Wiskitki (nieruchomość obciążona),</w:t>
      </w:r>
    </w:p>
    <w:p w14:paraId="5EE7561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210/2, z obrębu 0022 Nowy Oryszew, gmina Wiskitki (nieruchomość obciążona),</w:t>
      </w:r>
    </w:p>
    <w:p w14:paraId="6BDEAFA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213/2, z obrębu 0022 Nowy Oryszew, gmina Wiskitki (nieruchomość obciążona),</w:t>
      </w:r>
    </w:p>
    <w:p w14:paraId="5905B12C" w14:textId="5F98478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222/2, z obrębu 0022 Nowy Oryszew, gmina Wiskitki (nieruchomość obciążona)</w:t>
      </w:r>
      <w:r w:rsidR="00907044" w:rsidRPr="004B6BA3">
        <w:rPr>
          <w:rFonts w:ascii="Lato" w:hAnsi="Lato" w:cs="Arial"/>
          <w:bCs/>
          <w:spacing w:val="4"/>
          <w:sz w:val="22"/>
          <w:szCs w:val="22"/>
        </w:rPr>
        <w:t>.</w:t>
      </w:r>
    </w:p>
    <w:p w14:paraId="4A6AC99D" w14:textId="38EC66BB"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202/4, z obrębu 0022 Nowy Oryszew, gmina Wiskitki (nieruchomość władnąca) dostęp do drogi publicznej – droga gminna </w:t>
      </w:r>
      <w:r w:rsidR="00907044"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470406W – działka nr 241/1, z obrębu 0022 Nowy Oryszew, gmina Wiskitki zapewnia się poprzez ustanowienie służebności </w:t>
      </w:r>
      <w:r w:rsidR="00907044"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907044"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działki: </w:t>
      </w:r>
    </w:p>
    <w:p w14:paraId="7DC563B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188/1, z obrębu 0022 Nowy Oryszew, gmina Wiskitki (nieruchomość obciążona),</w:t>
      </w:r>
    </w:p>
    <w:p w14:paraId="188EB7C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193/1, z obrębu 0022 Nowy Oryszew, gmina Wiskitki (nieruchomość obciążona),</w:t>
      </w:r>
    </w:p>
    <w:p w14:paraId="362DEAF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194/1, z obrębu 0022 Nowy Oryszew, gmina Wiskitki (nieruchomość obciążona),</w:t>
      </w:r>
    </w:p>
    <w:p w14:paraId="1A9D02F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198/1, z obrębu 0022 Nowy Oryszew, gmina Wiskitki (nieruchomość obciążona),</w:t>
      </w:r>
    </w:p>
    <w:p w14:paraId="14879EC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198/3, z obrębu 0022 Nowy Oryszew, gmina Wiskitki (nieruchomość obciążona),</w:t>
      </w:r>
    </w:p>
    <w:p w14:paraId="31E2814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199/4, z obrębu 0022 Nowy Oryszew, gmina Wiskitki (nieruchomość obciążona),</w:t>
      </w:r>
    </w:p>
    <w:p w14:paraId="59870E0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199/6, z obrębu 0022 Nowy Oryszew, gmina Wiskitki (nieruchomość obciążona),</w:t>
      </w:r>
    </w:p>
    <w:p w14:paraId="2D3154EB" w14:textId="6FFD596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202/3, z obrębu 0022 Nowy Oryszew, gmina Wiskitki (nieruchomość obciążona)</w:t>
      </w:r>
      <w:r w:rsidR="00907044" w:rsidRPr="004B6BA3">
        <w:rPr>
          <w:rFonts w:ascii="Lato" w:hAnsi="Lato" w:cs="Arial"/>
          <w:bCs/>
          <w:spacing w:val="4"/>
          <w:sz w:val="22"/>
          <w:szCs w:val="22"/>
        </w:rPr>
        <w:t>.</w:t>
      </w:r>
    </w:p>
    <w:p w14:paraId="58938E51" w14:textId="4A828C42"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203/2, z obrębu 0022 Nowy Oryszew, gmina Wiskitki (nieruchomość władnąca) dostęp do drogi publicznej – droga gminna </w:t>
      </w:r>
      <w:r w:rsidR="00F4685C"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470406W – działka nr 241/1, z obrębu 0022 Nowy Oryszew, gmina Wiskitki zapewnia się poprzez ustanowienie służebności </w:t>
      </w:r>
      <w:r w:rsidR="00F4685C"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F4685C"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działki: </w:t>
      </w:r>
    </w:p>
    <w:p w14:paraId="2FC7963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188/1, z obrębu 0022 Nowy Oryszew, gmina Wiskitki (nieruchomość obciążona),</w:t>
      </w:r>
    </w:p>
    <w:p w14:paraId="16D9845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193/1, z obrębu 0022 Nowy Oryszew, gmina Wiskitki (nieruchomość obciążona),</w:t>
      </w:r>
    </w:p>
    <w:p w14:paraId="31B6830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194/1, z obrębu 0022 Nowy Oryszew, gmina Wiskitki (nieruchomość obciążona),</w:t>
      </w:r>
    </w:p>
    <w:p w14:paraId="41CC73D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198/1, z obrębu 0022 Nowy Oryszew, gmina Wiskitki (nieruchomość obciążona),</w:t>
      </w:r>
    </w:p>
    <w:p w14:paraId="5B84B49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198/3, z obrębu 0022 Nowy Oryszew, gmina Wiskitki (nieruchomość obciążona),</w:t>
      </w:r>
    </w:p>
    <w:p w14:paraId="0D116C5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199/4, z obrębu 0022 Nowy Oryszew, gmina Wiskitki (nieruchomość obciążona),</w:t>
      </w:r>
    </w:p>
    <w:p w14:paraId="7074EFE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199/6, z obrębu 0022 Nowy Oryszew, gmina Wiskitki (nieruchomość obciążona),</w:t>
      </w:r>
    </w:p>
    <w:p w14:paraId="512495F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202/3, z obrębu 0022 Nowy Oryszew, gmina Wiskitki (nieruchomość obciążona),</w:t>
      </w:r>
    </w:p>
    <w:p w14:paraId="039AC462" w14:textId="655C2101"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203/1, z obrębu 0022 Nowy Oryszew, gmina Wiskitki (nieruchomość obciążona)</w:t>
      </w:r>
      <w:r w:rsidR="00907044" w:rsidRPr="004B6BA3">
        <w:rPr>
          <w:rFonts w:ascii="Lato" w:hAnsi="Lato" w:cs="Arial"/>
          <w:bCs/>
          <w:spacing w:val="4"/>
          <w:sz w:val="22"/>
          <w:szCs w:val="22"/>
        </w:rPr>
        <w:t>.</w:t>
      </w:r>
    </w:p>
    <w:p w14:paraId="636CA34A" w14:textId="0185B989"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204/2, z obrębu 0022 Nowy Oryszew, gmina Wiskitki (nieruchomość władnąca) dostęp do drogi publicznej – droga powiatowa </w:t>
      </w:r>
      <w:r w:rsidR="00100218"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56/1, z obrębu 0012 Janówek, gmina Wiskitki zapewnia się poprzez ustanowienie służebności </w:t>
      </w:r>
      <w:r w:rsidR="00100218"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po drodze wewnętrznej, której przebieg zostanie wyznaczony przez właściciela nieruchomości obciążonej przez działki: </w:t>
      </w:r>
    </w:p>
    <w:p w14:paraId="59C136D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0012 Janówek, gmina Wiskitki (nieruchomość obciążona),</w:t>
      </w:r>
    </w:p>
    <w:p w14:paraId="64625BC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55/1, z obrębu 0012 Janówek, gmina Wiskitki (nieruchomość obciążona),</w:t>
      </w:r>
    </w:p>
    <w:p w14:paraId="2C66E00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204/1, z obrębu 0022 Nowy Oryszew, gmina Wiskitki (nieruchomość obciążona),</w:t>
      </w:r>
    </w:p>
    <w:p w14:paraId="01ADD32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205/1, z obrębu 0022 Nowy Oryszew, gmina Wiskitki (nieruchomość obciążona),</w:t>
      </w:r>
    </w:p>
    <w:p w14:paraId="048B1C4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206/1, z obrębu 0022 Nowy Oryszew, gmina Wiskitki (nieruchomość obciążona),</w:t>
      </w:r>
    </w:p>
    <w:p w14:paraId="67C8626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209/1, z obrębu 0022 Nowy Oryszew, gmina Wiskitki (nieruchomość obciążona),</w:t>
      </w:r>
    </w:p>
    <w:p w14:paraId="0D72EF8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210/2, z obrębu 0022 Nowy Oryszew, gmina Wiskitki (nieruchomość obciążona),</w:t>
      </w:r>
    </w:p>
    <w:p w14:paraId="0D5B155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213/2, z obrębu 0022 Nowy Oryszew, gmina Wiskitki (nieruchomość obciążona),</w:t>
      </w:r>
    </w:p>
    <w:p w14:paraId="7A4E462D" w14:textId="1A6B19FA"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222/2, z obrębu 0022 Nowy Oryszew, gmina Wiskitki (nieruchomość obciążona)</w:t>
      </w:r>
      <w:r w:rsidR="00F4685C" w:rsidRPr="004B6BA3">
        <w:rPr>
          <w:rFonts w:ascii="Lato" w:hAnsi="Lato" w:cs="Arial"/>
          <w:bCs/>
          <w:spacing w:val="4"/>
          <w:sz w:val="22"/>
          <w:szCs w:val="22"/>
        </w:rPr>
        <w:t>.</w:t>
      </w:r>
    </w:p>
    <w:p w14:paraId="27E7268F" w14:textId="75DA19FA"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206/2, z obrębu 0022 Nowy Oryszew, gmina Wiskitki (nieruchomość władnąca) dostęp do drogi publicznej – droga powiatowa </w:t>
      </w:r>
      <w:r w:rsidR="00FF2058"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56/1, z obrębu 0012 Janówek, gmina Wiskitki zapewnia się poprzez ustanowienie służebności </w:t>
      </w:r>
      <w:r w:rsidR="00FF2058"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po drodze wewnętrznej, której przebieg zostanie wyznaczony przez właściciela nieruchomości obciążonej przez działki: </w:t>
      </w:r>
    </w:p>
    <w:p w14:paraId="69BEF95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0012 Janówek, gmina Wiskitki (nieruchomość obciążona),</w:t>
      </w:r>
    </w:p>
    <w:p w14:paraId="5E6F693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55/1, z obrębu 0012 Janówek, gmina Wiskitki (nieruchomość obciążona),</w:t>
      </w:r>
    </w:p>
    <w:p w14:paraId="73239C0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206/1, z obrębu 0022 Nowy Oryszew, gmina Wiskitki (nieruchomość obciążona),</w:t>
      </w:r>
    </w:p>
    <w:p w14:paraId="38256B7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209/1, z obrębu 0022 Nowy Oryszew, gmina Wiskitki (nieruchomość obciążona),</w:t>
      </w:r>
    </w:p>
    <w:p w14:paraId="0E99AE6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210/2, z obrębu 0022 Nowy Oryszew, gmina Wiskitki (nieruchomość obciążona),</w:t>
      </w:r>
    </w:p>
    <w:p w14:paraId="38C4289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213/2, z obrębu 0022 Nowy Oryszew, gmina Wiskitki (nieruchomość obciążona),</w:t>
      </w:r>
    </w:p>
    <w:p w14:paraId="58550E47" w14:textId="19D053E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222/2, z obrębu 0022 Nowy Oryszew, gmina Wiskitki (nieruchomość obciążona)</w:t>
      </w:r>
      <w:r w:rsidR="00FF2058" w:rsidRPr="004B6BA3">
        <w:rPr>
          <w:rFonts w:ascii="Lato" w:hAnsi="Lato" w:cs="Arial"/>
          <w:bCs/>
          <w:spacing w:val="4"/>
          <w:sz w:val="22"/>
          <w:szCs w:val="22"/>
        </w:rPr>
        <w:t>.</w:t>
      </w:r>
    </w:p>
    <w:p w14:paraId="52119E32" w14:textId="62715912"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lastRenderedPageBreak/>
        <w:t xml:space="preserve">Dla właściciela działki nr 207/2, z obrębu 0022 Nowy Oryszew, gmina Wiskitki (nieruchomość władnąca) dostęp do drogi publicznej – droga gminna </w:t>
      </w:r>
      <w:r w:rsidR="00FF2058"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470406W – działka nr 241/1, z obrębu 0022 Nowy Oryszew, gmina Wiskitki zapewnia się poprzez ustanowienie służebności </w:t>
      </w:r>
      <w:r w:rsidR="00FF2058"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FF2058"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działki: </w:t>
      </w:r>
    </w:p>
    <w:p w14:paraId="08EECD4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188/1, z obrębu 0022 Nowy Oryszew, gmina Wiskitki (nieruchomość obciążona),</w:t>
      </w:r>
    </w:p>
    <w:p w14:paraId="4C4663A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193/1, z obrębu 0022 Nowy Oryszew, gmina Wiskitki (nieruchomość obciążona),</w:t>
      </w:r>
    </w:p>
    <w:p w14:paraId="4369DA5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194/1, z obrębu 0022 Nowy Oryszew, gmina Wiskitki (nieruchomość obciążona),</w:t>
      </w:r>
    </w:p>
    <w:p w14:paraId="4EEAA2F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198/1, z obrębu 0022 Nowy Oryszew, gmina Wiskitki (nieruchomość obciążona), </w:t>
      </w:r>
    </w:p>
    <w:p w14:paraId="1A7B73C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198/3, z obrębu 0022 Nowy Oryszew, gmina Wiskitki (nieruchomość obciążona),</w:t>
      </w:r>
    </w:p>
    <w:p w14:paraId="0D15E8D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199/4, z obrębu 0022 Nowy Oryszew, gmina Wiskitki (nieruchomość obciążona),</w:t>
      </w:r>
    </w:p>
    <w:p w14:paraId="1C9285D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199/6, z obrębu 0022 Nowy Oryszew, gmina Wiskitki (nieruchomość obciążona),</w:t>
      </w:r>
    </w:p>
    <w:p w14:paraId="3C25DEC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202/3, z obrębu 0022 Nowy Oryszew, gmina Wiskitki (nieruchomość obciążona),</w:t>
      </w:r>
    </w:p>
    <w:p w14:paraId="13E139D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203/1, z obrębu 0022 Nowy Oryszew, gmina Wiskitki (nieruchomość obciążona),</w:t>
      </w:r>
    </w:p>
    <w:p w14:paraId="4273A426" w14:textId="682F94B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207/1, z obrębu 0022 Nowy Oryszew, gmina Wiskitki (nieruchomość obciążona)</w:t>
      </w:r>
      <w:r w:rsidR="00FF2058" w:rsidRPr="004B6BA3">
        <w:rPr>
          <w:rFonts w:ascii="Lato" w:hAnsi="Lato" w:cs="Arial"/>
          <w:bCs/>
          <w:spacing w:val="4"/>
          <w:sz w:val="22"/>
          <w:szCs w:val="22"/>
        </w:rPr>
        <w:t>.</w:t>
      </w:r>
    </w:p>
    <w:p w14:paraId="696D197F" w14:textId="0D913C77"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208/2, z obrębu 0022 Nowy Oryszew, gmina Wiskitki (nieruchomość władnąca) dostęp do drogi publicznej – droga gminna </w:t>
      </w:r>
      <w:r w:rsidR="00FF2058"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470406W – działka nr 241/1, z obrębu 0022 Nowy Oryszew, gmina Wiskitki zapewnia się poprzez ustanowienie służebności </w:t>
      </w:r>
      <w:r w:rsidR="00FF2058"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FF2058"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działki: </w:t>
      </w:r>
    </w:p>
    <w:p w14:paraId="1978193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188/1, z obrębu 0022 Nowy Oryszew, gmina Wiskitki (nieruchomość obciążona),</w:t>
      </w:r>
    </w:p>
    <w:p w14:paraId="2F6C4B6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193/1, z obrębu 0022 Nowy Oryszew, gmina Wiskitki (nieruchomość obciążona),</w:t>
      </w:r>
    </w:p>
    <w:p w14:paraId="6895113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194/1, z obrębu 0022 Nowy Oryszew, gmina Wiskitki (nieruchomość obciążona),</w:t>
      </w:r>
    </w:p>
    <w:p w14:paraId="39C18B2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198/1, z obrębu 0022 Nowy Oryszew, gmina Wiskitki (nieruchomość obciążona),</w:t>
      </w:r>
    </w:p>
    <w:p w14:paraId="5103FE6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198/3, z obrębu 0022 Nowy Oryszew, gmina Wiskitki (nieruchomość obciążona),</w:t>
      </w:r>
    </w:p>
    <w:p w14:paraId="2144A2B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199/4, z obrębu 0022 Nowy Oryszew, gmina Wiskitki (nieruchomość obciążona),</w:t>
      </w:r>
    </w:p>
    <w:p w14:paraId="61224D3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199/6, z obrębu 0022 Nowy Oryszew, gmina Wiskitki (nieruchomość obciążona),</w:t>
      </w:r>
    </w:p>
    <w:p w14:paraId="7BFA47C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202/3, z obrębu 0022 Nowy Oryszew, gmina Wiskitki (nieruchomość obciążona),</w:t>
      </w:r>
    </w:p>
    <w:p w14:paraId="4BA0414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203/1, z obrębu 0022 Nowy Oryszew, gmina Wiskitki (nieruchomość obciążona),</w:t>
      </w:r>
    </w:p>
    <w:p w14:paraId="5DF4620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207/1, z obrębu 0022 Nowy Oryszew, gmina Wiskitki (nieruchomość obciążona),</w:t>
      </w:r>
    </w:p>
    <w:p w14:paraId="0360C930" w14:textId="04691B7B"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208/1, z obrębu 0022 Nowy Oryszew, gmina Wiskitki (nieruchomość obciążona)</w:t>
      </w:r>
      <w:r w:rsidR="00FF2058" w:rsidRPr="004B6BA3">
        <w:rPr>
          <w:rFonts w:ascii="Lato" w:hAnsi="Lato" w:cs="Arial"/>
          <w:bCs/>
          <w:spacing w:val="4"/>
          <w:sz w:val="22"/>
          <w:szCs w:val="22"/>
        </w:rPr>
        <w:t>.</w:t>
      </w:r>
    </w:p>
    <w:p w14:paraId="3312DD7A" w14:textId="141AD999"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209/2, z obrębu 0022 Nowy Oryszew, gmina Wiskitki (nieruchomość władnąca) dostęp do drogi publicznej – droga powiatowa </w:t>
      </w:r>
      <w:r w:rsidR="00FF2058"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56/1, z obrębu 0012 Janówek, gmina Wiskitki zapewnia się poprzez ustanowienie służebności </w:t>
      </w:r>
      <w:r w:rsidR="00FF2058"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po drodze wewnętrznej, której przebieg zostanie wyznaczony przez właściciela nieruchomości obciążonej przez działki: </w:t>
      </w:r>
    </w:p>
    <w:p w14:paraId="75C75D2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0012 Janówek, gmina Wiskitki (nieruchomość obciążona),</w:t>
      </w:r>
    </w:p>
    <w:p w14:paraId="7C4D4DB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55/1, z obrębu 0012 Janówek, gmina Wiskitki (nieruchomość obciążona),</w:t>
      </w:r>
    </w:p>
    <w:p w14:paraId="3CAC9B9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209/1, z obrębu 0022 Nowy Oryszew, gmina Wiskitki (nieruchomość obciążona),</w:t>
      </w:r>
    </w:p>
    <w:p w14:paraId="44D9A56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210/2, z obrębu 0022 Nowy Oryszew, gmina Wiskitki (nieruchomość obciążona),</w:t>
      </w:r>
    </w:p>
    <w:p w14:paraId="6CAC41E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213/2, z obrębu 0022 Nowy Oryszew, gmina Wiskitki (nieruchomość obciążona),</w:t>
      </w:r>
    </w:p>
    <w:p w14:paraId="276A208D" w14:textId="4F4FFFD8"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222/2, z obrębu 0022 Nowy Oryszew, gmina Wiskitki (nieruchomość obciążona)</w:t>
      </w:r>
      <w:r w:rsidR="00FF2058" w:rsidRPr="004B6BA3">
        <w:rPr>
          <w:rFonts w:ascii="Lato" w:hAnsi="Lato" w:cs="Arial"/>
          <w:bCs/>
          <w:spacing w:val="4"/>
          <w:sz w:val="22"/>
          <w:szCs w:val="22"/>
        </w:rPr>
        <w:t>.</w:t>
      </w:r>
    </w:p>
    <w:p w14:paraId="2D6F9A04" w14:textId="75E76585"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212/4, z obrębu 0022 Nowy Oryszew, gmina Wiskitki (nieruchomość władnąca) dostęp do drogi publicznej – droga gminna </w:t>
      </w:r>
      <w:r w:rsidR="00B35CE7" w:rsidRPr="004B6BA3">
        <w:rPr>
          <w:rFonts w:ascii="Lato" w:hAnsi="Lato" w:cs="Arial"/>
          <w:bCs/>
          <w:spacing w:val="4"/>
          <w:sz w:val="22"/>
          <w:szCs w:val="22"/>
        </w:rPr>
        <w:br/>
        <w:t xml:space="preserve">nr </w:t>
      </w:r>
      <w:r w:rsidRPr="004B6BA3">
        <w:rPr>
          <w:rFonts w:ascii="Lato" w:hAnsi="Lato" w:cs="Arial"/>
          <w:bCs/>
          <w:spacing w:val="4"/>
          <w:sz w:val="22"/>
          <w:szCs w:val="22"/>
        </w:rPr>
        <w:t xml:space="preserve">470406W – działka nr 241/1, z obrębu 0022 Nowy Oryszew, gmina Wiskitki zapewnia się poprzez ustanowienie służebności </w:t>
      </w:r>
      <w:r w:rsidR="00B35CE7"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B35CE7"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działki: </w:t>
      </w:r>
    </w:p>
    <w:p w14:paraId="2D74484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188/1, z obrębu 0022 Nowy Oryszew, gmina Wiskitki (nieruchomość obciążona),</w:t>
      </w:r>
    </w:p>
    <w:p w14:paraId="610651F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193/1, z obrębu 0022 Nowy Oryszew, gmina Wiskitki (nieruchomość obciążona),</w:t>
      </w:r>
    </w:p>
    <w:p w14:paraId="4A83601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194/1, z obrębu 0022 Nowy Oryszew, gmina Wiskitki (nieruchomość obciążona),</w:t>
      </w:r>
    </w:p>
    <w:p w14:paraId="2D098F9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198/1, z obrębu 0022 Nowy Oryszew, gmina Wiskitki (nieruchomość obciążona),</w:t>
      </w:r>
    </w:p>
    <w:p w14:paraId="62D69A2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198/3, z obrębu 0022 Nowy Oryszew, gmina Wiskitki (nieruchomość obciążona),</w:t>
      </w:r>
    </w:p>
    <w:p w14:paraId="5DE3AAA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199/4, z obrębu 0022 Nowy Oryszew, gmina Wiskitki (nieruchomość obciążona),</w:t>
      </w:r>
    </w:p>
    <w:p w14:paraId="021660C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199/6, z obrębu 0022 Nowy Oryszew, gmina Wiskitki (nieruchomość obciążona),</w:t>
      </w:r>
    </w:p>
    <w:p w14:paraId="2F8C385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202/3, z obrębu 0022 Nowy Oryszew, gmina Wiskitki (nieruchomość obciążona),</w:t>
      </w:r>
    </w:p>
    <w:p w14:paraId="31595CD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203/1, z obrębu 0022 Nowy Oryszew, gmina Wiskitki (nieruchomość obciążona),</w:t>
      </w:r>
    </w:p>
    <w:p w14:paraId="4C4B4D5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207/1, z obrębu 0022 Nowy Oryszew, gmina Wiskitki (nieruchomość obciążona),</w:t>
      </w:r>
    </w:p>
    <w:p w14:paraId="7FE1F28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nr 208/1, z obrębu 0022 Nowy Oryszew, gmina Wiskitki (nieruchomość obciążona),</w:t>
      </w:r>
    </w:p>
    <w:p w14:paraId="1A21A6D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211/1, z obrębu 0022 Nowy Oryszew, gmina Wiskitki (nieruchomość obciążona),</w:t>
      </w:r>
    </w:p>
    <w:p w14:paraId="180A6DB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212/1, z obrębu 0022 Nowy Oryszew, gmina Wiskitki (nieruchomość obciążona),</w:t>
      </w:r>
    </w:p>
    <w:p w14:paraId="632080CA" w14:textId="4B16EA38"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212/3, z obrębu 0022 Nowy Oryszew, gmina Wiskitki (nieruchomość obciążona)</w:t>
      </w:r>
      <w:r w:rsidR="00B35CE7" w:rsidRPr="004B6BA3">
        <w:rPr>
          <w:rFonts w:ascii="Lato" w:hAnsi="Lato" w:cs="Arial"/>
          <w:bCs/>
          <w:spacing w:val="4"/>
          <w:sz w:val="22"/>
          <w:szCs w:val="22"/>
        </w:rPr>
        <w:t>.</w:t>
      </w:r>
    </w:p>
    <w:p w14:paraId="70F9A7C3" w14:textId="1449FFF6"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220/2, z obrębu 0022 Nowy Oryszew, gmina Wiskitki (nieruchomość władnąca) dostęp do drogi publicznej – droga powiatowa </w:t>
      </w:r>
      <w:r w:rsidR="00B35CE7"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244, z obrębu 0022 Nowy Oryszew, gmina Wiskitki zapewnia się poprzez ustanowienie służebności </w:t>
      </w:r>
      <w:r w:rsidR="00B35CE7"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B35CE7"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działkę: </w:t>
      </w:r>
    </w:p>
    <w:p w14:paraId="34A5D0A3" w14:textId="49243DA3"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220/1, z obrębu 0022 Nowy Oryszew, gmina Wiskitki (nieruchomość obciążona)</w:t>
      </w:r>
      <w:r w:rsidR="00B35CE7" w:rsidRPr="004B6BA3">
        <w:rPr>
          <w:rFonts w:ascii="Lato" w:hAnsi="Lato" w:cs="Arial"/>
          <w:bCs/>
          <w:spacing w:val="4"/>
          <w:sz w:val="22"/>
          <w:szCs w:val="22"/>
        </w:rPr>
        <w:t>.</w:t>
      </w:r>
    </w:p>
    <w:p w14:paraId="5841CD2A" w14:textId="59EEACDE"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221/9, z obrębu 0022 Nowy Oryszew, gmina Wiskitki (nieruchomość władnąca) dostęp do drogi publicznej – droga powiatowa </w:t>
      </w:r>
      <w:r w:rsidR="00B35CE7"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w:t>
      </w:r>
      <w:r w:rsidR="00B35CE7"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po drodze wewnętrznej, której przebieg zostanie wyznaczony przez właściciela nieruchomości obciążonej przez działki: </w:t>
      </w:r>
    </w:p>
    <w:p w14:paraId="6F6896D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54/3, z obrębu 0018 Cyganka, gmina Wiskitki (nieruchomość obciążona), </w:t>
      </w:r>
    </w:p>
    <w:p w14:paraId="1A6F234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34AA042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796F564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3F4E3F35"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37DBA48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58/12, z obrębu 0018 Cyganka, gmina Wiskitki (nieruchomość obciążona),</w:t>
      </w:r>
    </w:p>
    <w:p w14:paraId="0042B0F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198B03B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051A481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60/5, z obrębu 0018 Cyganka, gmina Wiskitki (nieruchomość obciążona),</w:t>
      </w:r>
    </w:p>
    <w:p w14:paraId="5C4D776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0018 Cyganka, gmina Wiskitki (nieruchomość obciążona),</w:t>
      </w:r>
    </w:p>
    <w:p w14:paraId="22EB7C67"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62/1, z obrębu 0018 Cyganka, gmina Wiskitki (nieruchomość obciążona),</w:t>
      </w:r>
    </w:p>
    <w:p w14:paraId="3F10455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221/10, z obrębu 0022 Nowy Oryszew, gmina Wiskitki (nieruchomość obciążona),</w:t>
      </w:r>
    </w:p>
    <w:p w14:paraId="6E42321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221/6, z obrębu 0022 Nowy Oryszew, gmina Wiskitki (nieruchomość obciążona),</w:t>
      </w:r>
    </w:p>
    <w:p w14:paraId="7C8786DF"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221/8, z obrębu 0022 Nowy Oryszew, gmina Wiskitki (nieruchomość obciążona),</w:t>
      </w:r>
    </w:p>
    <w:p w14:paraId="764E0AF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228/1, z obrębu 0022 Nowy Oryszew, gmina Wiskitki (nieruchomość obciążona),</w:t>
      </w:r>
    </w:p>
    <w:p w14:paraId="2B07FD4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229/1, z obrębu 0022 Nowy Oryszew, gmina Wiskitki (nieruchomość obciążona),</w:t>
      </w:r>
    </w:p>
    <w:p w14:paraId="6C8D3CC6" w14:textId="0E5D6126"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244, z obrębu 0022 Nowy Oryszew, gmina Wiskitki (nieruchomość obciążona)</w:t>
      </w:r>
      <w:r w:rsidR="00B35CE7" w:rsidRPr="004B6BA3">
        <w:rPr>
          <w:rFonts w:ascii="Lato" w:hAnsi="Lato" w:cs="Arial"/>
          <w:bCs/>
          <w:spacing w:val="4"/>
          <w:sz w:val="22"/>
          <w:szCs w:val="22"/>
        </w:rPr>
        <w:t>.</w:t>
      </w:r>
    </w:p>
    <w:p w14:paraId="016174EA" w14:textId="390E3C90"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221/11, z obrębu 0022 Nowy Oryszew, gmina Wiskitki (nieruchomość władnąca) dostęp do drogi publicznej – droga powiatowa </w:t>
      </w:r>
      <w:r w:rsidR="00B35CE7" w:rsidRPr="004B6BA3">
        <w:rPr>
          <w:rFonts w:ascii="Lato" w:hAnsi="Lato" w:cs="Arial"/>
          <w:bCs/>
          <w:spacing w:val="4"/>
          <w:sz w:val="22"/>
          <w:szCs w:val="22"/>
        </w:rPr>
        <w:t xml:space="preserve">nr </w:t>
      </w:r>
      <w:r w:rsidRPr="004B6BA3">
        <w:rPr>
          <w:rFonts w:ascii="Lato" w:hAnsi="Lato" w:cs="Arial"/>
          <w:bCs/>
          <w:spacing w:val="4"/>
          <w:sz w:val="22"/>
          <w:szCs w:val="22"/>
        </w:rPr>
        <w:t xml:space="preserve">3834W – działka nr 46/3, z obrębu 0018 Cyganka, gmina </w:t>
      </w:r>
      <w:r w:rsidRPr="004B6BA3">
        <w:rPr>
          <w:rFonts w:ascii="Lato" w:hAnsi="Lato" w:cs="Arial"/>
          <w:bCs/>
          <w:spacing w:val="4"/>
          <w:sz w:val="22"/>
          <w:szCs w:val="22"/>
        </w:rPr>
        <w:lastRenderedPageBreak/>
        <w:t xml:space="preserve">Wiskitki zapewnia się poprzez ustanowienie służebności </w:t>
      </w:r>
      <w:r w:rsidR="00B35CE7"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po drodze wewnętrznej, której przebieg zostanie wyznaczony przez właściciela nieruchomości obciążonej przez działki: </w:t>
      </w:r>
    </w:p>
    <w:p w14:paraId="12CEE79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 xml:space="preserve">nr 54/3, z obrębu 0018 Cyganka, gmina Wiskitki (nieruchomość obciążona), </w:t>
      </w:r>
    </w:p>
    <w:p w14:paraId="2697304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1123B70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22321FB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77F865B8"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0F63340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58/12, z obrębu 0018 Cyganka, gmina Wiskitki (nieruchomość obciążona),</w:t>
      </w:r>
    </w:p>
    <w:p w14:paraId="6BD09DA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3D3DF69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0D2941A4"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60/5, z obrębu 0018 Cyganka, gmina Wiskitki (nieruchomość obciążona),</w:t>
      </w:r>
    </w:p>
    <w:p w14:paraId="02C7FB1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0018 Cyganka, gmina Wiskitki (nieruchomość obciążona),</w:t>
      </w:r>
    </w:p>
    <w:p w14:paraId="4CF7370E"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62/1, z obrębu 0018 Cyganka, gmina Wiskitki (nieruchomość obciążona),</w:t>
      </w:r>
    </w:p>
    <w:p w14:paraId="4307EE4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221/10, z obrębu 0022 Nowy Oryszew, gmina Wiskitki (nieruchomość obciążona),</w:t>
      </w:r>
    </w:p>
    <w:p w14:paraId="224DE52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221/6, z obrębu 0022 Nowy Oryszew, gmina Wiskitki (nieruchomość obciążona),</w:t>
      </w:r>
    </w:p>
    <w:p w14:paraId="5C7B96A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228/1, z obrębu 0022 Nowy Oryszew, gmina Wiskitki (nieruchomość obciążona),</w:t>
      </w:r>
    </w:p>
    <w:p w14:paraId="0C504B4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229/1, z obrębu 0022 Nowy Oryszew, gmina Wiskitki (nieruchomość obciążona),</w:t>
      </w:r>
    </w:p>
    <w:p w14:paraId="7F64DA3A" w14:textId="2F64947F"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244, z obrębu 0022 Nowy Oryszew, gmina Wiskitki (nieruchomość obciążona)</w:t>
      </w:r>
      <w:r w:rsidR="00B35CE7" w:rsidRPr="004B6BA3">
        <w:rPr>
          <w:rFonts w:ascii="Lato" w:hAnsi="Lato" w:cs="Arial"/>
          <w:bCs/>
          <w:spacing w:val="4"/>
          <w:sz w:val="22"/>
          <w:szCs w:val="22"/>
        </w:rPr>
        <w:t>.</w:t>
      </w:r>
    </w:p>
    <w:p w14:paraId="5B14D170" w14:textId="717AEDEC" w:rsidR="002A0F2E" w:rsidRPr="004B6BA3" w:rsidRDefault="002A0F2E" w:rsidP="00F40707">
      <w:pPr>
        <w:pStyle w:val="Akapitzlist"/>
        <w:numPr>
          <w:ilvl w:val="0"/>
          <w:numId w:val="10"/>
        </w:numPr>
        <w:spacing w:after="120" w:line="240" w:lineRule="exact"/>
        <w:ind w:left="992"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222/3, z obrębu 0022 Nowy Oryszew, gmina Wiskitki (nieruchomość władnąca) dostęp do drogi publicznej – droga powiatowa </w:t>
      </w:r>
      <w:r w:rsidR="00B35CE7"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244, z obrębu 0022 Nowy Oryszew, gmina Wiskitki zapewnia się poprzez ustanowienie służebności </w:t>
      </w:r>
      <w:r w:rsidR="00B35CE7"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w:t>
      </w:r>
      <w:r w:rsidR="00B35CE7" w:rsidRPr="004B6BA3">
        <w:rPr>
          <w:rFonts w:ascii="Lato" w:hAnsi="Lato" w:cs="Arial"/>
          <w:bCs/>
          <w:spacing w:val="4"/>
          <w:sz w:val="22"/>
          <w:szCs w:val="22"/>
        </w:rPr>
        <w:br/>
      </w:r>
      <w:r w:rsidRPr="004B6BA3">
        <w:rPr>
          <w:rFonts w:ascii="Lato" w:hAnsi="Lato" w:cs="Arial"/>
          <w:bCs/>
          <w:spacing w:val="4"/>
          <w:sz w:val="22"/>
          <w:szCs w:val="22"/>
        </w:rPr>
        <w:t xml:space="preserve">po drodze wewnętrznej, której przebieg zostanie wyznaczony przez właściciela nieruchomości obciążonej przez działkę: </w:t>
      </w:r>
    </w:p>
    <w:p w14:paraId="48B3A4F5" w14:textId="40A18DA0"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222/1, z obrębu 0022 Nowy Oryszew, gmina Wiskitki (nieruchomość obciążona)</w:t>
      </w:r>
      <w:r w:rsidR="00B35CE7" w:rsidRPr="004B6BA3">
        <w:rPr>
          <w:rFonts w:ascii="Lato" w:hAnsi="Lato" w:cs="Arial"/>
          <w:bCs/>
          <w:spacing w:val="4"/>
          <w:sz w:val="22"/>
          <w:szCs w:val="22"/>
        </w:rPr>
        <w:t>.</w:t>
      </w:r>
    </w:p>
    <w:p w14:paraId="2ECC1ABB" w14:textId="29B53775"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222/4, z obrębu 0022 Nowy Oryszew, gmina Wiskitki (nieruchomość władnąca) dostęp do drogi publicznej – droga powiatowa </w:t>
      </w:r>
      <w:r w:rsidR="00F0615A"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56/1, z obrębu 0012 Janówek, gmina Wiskitki zapewnia się poprzez ustanowienie służebności </w:t>
      </w:r>
      <w:r w:rsidR="00F0615A"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po drodze wewnętrznej, której przebieg zostanie wyznaczony przez właściciela nieruchomości obciążonej przez działki: </w:t>
      </w:r>
    </w:p>
    <w:p w14:paraId="672A3599"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54/1, z obrębu 0012 Janówek, gmina Wiskitki (nieruchomość obciążona),</w:t>
      </w:r>
    </w:p>
    <w:p w14:paraId="59571B3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55/1, z obrębu 0012 Janówek, gmina Wiskitki (nieruchomość obciążona),</w:t>
      </w:r>
    </w:p>
    <w:p w14:paraId="7DBC6871" w14:textId="10C30387"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222/2, z obrębu 0022 Nowy Oryszew, gmina Wiskitki (nieruchomość obciążona)</w:t>
      </w:r>
      <w:r w:rsidR="00F0615A" w:rsidRPr="004B6BA3">
        <w:rPr>
          <w:rFonts w:ascii="Lato" w:hAnsi="Lato" w:cs="Arial"/>
          <w:bCs/>
          <w:spacing w:val="4"/>
          <w:sz w:val="22"/>
          <w:szCs w:val="22"/>
        </w:rPr>
        <w:t>.</w:t>
      </w:r>
    </w:p>
    <w:p w14:paraId="3FFFB83A" w14:textId="6E7AD76B"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działki nr 228/2, z obrębu 0022 Nowy Oryszew, gmina Wiskitki (nieruchomość władnąca) dostęp do drogi publicznej – droga powiatowa </w:t>
      </w:r>
      <w:r w:rsidR="00F0615A" w:rsidRPr="004B6BA3">
        <w:rPr>
          <w:rFonts w:ascii="Lato" w:hAnsi="Lato" w:cs="Arial"/>
          <w:bCs/>
          <w:spacing w:val="4"/>
          <w:sz w:val="22"/>
          <w:szCs w:val="22"/>
        </w:rPr>
        <w:br/>
        <w:t xml:space="preserve">nr </w:t>
      </w:r>
      <w:r w:rsidRPr="004B6BA3">
        <w:rPr>
          <w:rFonts w:ascii="Lato" w:hAnsi="Lato" w:cs="Arial"/>
          <w:bCs/>
          <w:spacing w:val="4"/>
          <w:sz w:val="22"/>
          <w:szCs w:val="22"/>
        </w:rPr>
        <w:t xml:space="preserve">3834W – działka nr 46/3, z obrębu 0018 Cyganka, gmina Wiskitki zapewnia się poprzez ustanowienie służebności </w:t>
      </w:r>
      <w:r w:rsidR="00F0615A" w:rsidRPr="004B6BA3">
        <w:rPr>
          <w:rFonts w:ascii="Lato" w:hAnsi="Lato" w:cs="Arial"/>
          <w:bCs/>
          <w:spacing w:val="4"/>
          <w:sz w:val="22"/>
          <w:szCs w:val="22"/>
        </w:rPr>
        <w:t xml:space="preserve">przejazdu </w:t>
      </w:r>
      <w:r w:rsidRPr="004B6BA3">
        <w:rPr>
          <w:rFonts w:ascii="Lato" w:hAnsi="Lato" w:cs="Arial"/>
          <w:bCs/>
          <w:spacing w:val="4"/>
          <w:sz w:val="22"/>
          <w:szCs w:val="22"/>
        </w:rPr>
        <w:t xml:space="preserve">i przechodu po drodze wewnętrznej, której przebieg zostanie wyznaczony przez właściciela nieruchomości obciążonej przez działki: </w:t>
      </w:r>
    </w:p>
    <w:p w14:paraId="504B689A"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lastRenderedPageBreak/>
        <w:t xml:space="preserve">nr 54/3, z obrębu 0018 Cyganka, gmina Wiskitki (nieruchomość obciążona), </w:t>
      </w:r>
    </w:p>
    <w:p w14:paraId="77F8CC7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54/5, z obrębu 0018 Cyganka, gmina Wiskitki (nieruchomość obciążona),</w:t>
      </w:r>
    </w:p>
    <w:p w14:paraId="1EC9AA82"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55/3, z obrębu 0018 Cyganka, gmina Wiskitki (nieruchomość obciążona),</w:t>
      </w:r>
    </w:p>
    <w:p w14:paraId="399F01A3"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56/2, z obrębu 0018 Cyganka, gmina Wiskitki (nieruchomość obciążona),</w:t>
      </w:r>
    </w:p>
    <w:p w14:paraId="240E9DD6"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57/2, z obrębu 0018 Cyganka, gmina Wiskitki (nieruchomość obciążona),</w:t>
      </w:r>
    </w:p>
    <w:p w14:paraId="5FC9E97D"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58/12, z obrębu 0018 Cyganka, gmina Wiskitki (nieruchomość obciążona),</w:t>
      </w:r>
    </w:p>
    <w:p w14:paraId="600F5CF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58/8, z obrębu 0018 Cyganka, gmina Wiskitki (nieruchomość obciążona),</w:t>
      </w:r>
    </w:p>
    <w:p w14:paraId="486D5F0B"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60/3, z obrębu 0018 Cyganka, gmina Wiskitki (nieruchomość obciążona),</w:t>
      </w:r>
    </w:p>
    <w:p w14:paraId="26E40C81"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60/5, z obrębu 0018 Cyganka, gmina Wiskitki (nieruchomość obciążona),</w:t>
      </w:r>
    </w:p>
    <w:p w14:paraId="15C06CB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61/1, z obrębu 0018 Cyganka, gmina Wiskitki (nieruchomość obciążona),</w:t>
      </w:r>
    </w:p>
    <w:p w14:paraId="121820CC"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62/1, z obrębu 0018 Cyganka, gmina Wiskitki (nieruchomość obciążona),</w:t>
      </w:r>
    </w:p>
    <w:p w14:paraId="42AEE3F0" w14:textId="77777777" w:rsidR="002A0F2E" w:rsidRPr="004B6BA3" w:rsidRDefault="002A0F2E" w:rsidP="00F40707">
      <w:pPr>
        <w:pStyle w:val="Akapitzlist"/>
        <w:numPr>
          <w:ilvl w:val="0"/>
          <w:numId w:val="12"/>
        </w:numPr>
        <w:tabs>
          <w:tab w:val="left" w:pos="426"/>
        </w:tabs>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228/1, z obrębu 0022 Nowy Oryszew, gmina Wiskitki (nieruchomość obciążona),</w:t>
      </w:r>
    </w:p>
    <w:p w14:paraId="4A6B4002" w14:textId="246B01B3" w:rsidR="002A0F2E" w:rsidRPr="004B6BA3" w:rsidRDefault="002A0F2E" w:rsidP="00F40707">
      <w:pPr>
        <w:pStyle w:val="Akapitzlist"/>
        <w:numPr>
          <w:ilvl w:val="0"/>
          <w:numId w:val="12"/>
        </w:numPr>
        <w:tabs>
          <w:tab w:val="left" w:pos="426"/>
        </w:tabs>
        <w:spacing w:after="12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229/1, z obrębu 0022 Nowy Oryszew, gmina Wiskitki (nieruchomość obciążona)</w:t>
      </w:r>
      <w:r w:rsidR="00F0615A" w:rsidRPr="004B6BA3">
        <w:rPr>
          <w:rFonts w:ascii="Lato" w:hAnsi="Lato" w:cs="Arial"/>
          <w:bCs/>
          <w:spacing w:val="4"/>
          <w:sz w:val="22"/>
          <w:szCs w:val="22"/>
        </w:rPr>
        <w:t>.</w:t>
      </w:r>
    </w:p>
    <w:p w14:paraId="0F83740E" w14:textId="77777777" w:rsidR="002A0F2E" w:rsidRPr="004B6BA3" w:rsidRDefault="002A0F2E" w:rsidP="00F40707">
      <w:pPr>
        <w:pStyle w:val="Akapitzlist"/>
        <w:numPr>
          <w:ilvl w:val="0"/>
          <w:numId w:val="10"/>
        </w:numPr>
        <w:spacing w:after="120" w:line="240" w:lineRule="exact"/>
        <w:ind w:left="993" w:hanging="567"/>
        <w:contextualSpacing w:val="0"/>
        <w:jc w:val="both"/>
        <w:rPr>
          <w:rFonts w:ascii="Lato" w:hAnsi="Lato" w:cs="Arial"/>
          <w:bCs/>
          <w:spacing w:val="4"/>
          <w:sz w:val="22"/>
          <w:szCs w:val="22"/>
        </w:rPr>
      </w:pPr>
      <w:r w:rsidRPr="004B6BA3">
        <w:rPr>
          <w:rFonts w:ascii="Lato" w:hAnsi="Lato" w:cs="Arial"/>
          <w:bCs/>
          <w:spacing w:val="4"/>
          <w:sz w:val="22"/>
          <w:szCs w:val="22"/>
        </w:rPr>
        <w:t xml:space="preserve">Dla właściciela działek nr 134/5, nr 134/9 i nr 134/10, z obrębu 0022 Nowy Oryszew, gmina Wiskitki (nieruchomość władnąca), celem zapewnienia rolniczego wykorzystania ww. nieruchomości lub ich części ustanawia się służebność przejazdu i przechodu po gruncie na wysokości zabudowań zlokalizowanych na działce nr 134/9, z obrębu 0022 Nowy Oryszew, gmina Wiskitki, umożliwiając przejazd między częścią zabudowaną (od strony drogi zlokalizowanej na działce nr 240/9, z obrębu 0022 Nowy Oryszew, gmina Wiskitki), a częścią użytkowaną rolniczo działki nr 134/9, z obrębu 0022 Nowy Oryszew, gmina Wiskitki przez działkę: </w:t>
      </w:r>
    </w:p>
    <w:p w14:paraId="0F1945AA" w14:textId="72A81D9B" w:rsidR="00990225" w:rsidRPr="00F40707" w:rsidRDefault="002A0F2E" w:rsidP="00F40707">
      <w:pPr>
        <w:pStyle w:val="Akapitzlist"/>
        <w:numPr>
          <w:ilvl w:val="0"/>
          <w:numId w:val="12"/>
        </w:numPr>
        <w:tabs>
          <w:tab w:val="left" w:pos="426"/>
        </w:tabs>
        <w:spacing w:after="240" w:line="240" w:lineRule="exact"/>
        <w:ind w:left="1276" w:hanging="284"/>
        <w:contextualSpacing w:val="0"/>
        <w:jc w:val="both"/>
        <w:rPr>
          <w:rFonts w:ascii="Lato" w:hAnsi="Lato" w:cs="Arial"/>
          <w:bCs/>
          <w:spacing w:val="4"/>
          <w:sz w:val="22"/>
          <w:szCs w:val="22"/>
        </w:rPr>
      </w:pPr>
      <w:r w:rsidRPr="004B6BA3">
        <w:rPr>
          <w:rFonts w:ascii="Lato" w:hAnsi="Lato" w:cs="Arial"/>
          <w:bCs/>
          <w:spacing w:val="4"/>
          <w:sz w:val="22"/>
          <w:szCs w:val="22"/>
        </w:rPr>
        <w:t>nr 134/8, z obrębu 0022 Nowy Oryszew, gmina Wiskitki (nieruchomość obciążona).</w:t>
      </w:r>
    </w:p>
    <w:p w14:paraId="5792505D" w14:textId="365E78E4" w:rsidR="00990225" w:rsidRPr="00F40707" w:rsidRDefault="00990225" w:rsidP="00F40707">
      <w:pPr>
        <w:tabs>
          <w:tab w:val="left" w:pos="426"/>
        </w:tabs>
        <w:spacing w:after="240" w:line="240" w:lineRule="exact"/>
        <w:ind w:left="426"/>
        <w:jc w:val="both"/>
        <w:rPr>
          <w:rFonts w:ascii="Lato" w:hAnsi="Lato" w:cs="Arial"/>
          <w:bCs/>
          <w:spacing w:val="4"/>
          <w:sz w:val="22"/>
          <w:szCs w:val="22"/>
        </w:rPr>
      </w:pPr>
      <w:r w:rsidRPr="004B6BA3">
        <w:rPr>
          <w:rFonts w:ascii="Lato" w:hAnsi="Lato" w:cs="Arial"/>
          <w:bCs/>
          <w:spacing w:val="4"/>
          <w:sz w:val="22"/>
          <w:szCs w:val="22"/>
        </w:rPr>
        <w:t>N</w:t>
      </w:r>
      <w:r w:rsidRPr="00F40707">
        <w:rPr>
          <w:rFonts w:ascii="Lato" w:hAnsi="Lato" w:cs="Arial"/>
          <w:bCs/>
          <w:spacing w:val="4"/>
          <w:sz w:val="22"/>
          <w:szCs w:val="22"/>
        </w:rPr>
        <w:t>ieruchomoś</w:t>
      </w:r>
      <w:r w:rsidRPr="004B6BA3">
        <w:rPr>
          <w:rFonts w:ascii="Lato" w:hAnsi="Lato" w:cs="Arial"/>
          <w:bCs/>
          <w:spacing w:val="4"/>
          <w:sz w:val="22"/>
          <w:szCs w:val="22"/>
        </w:rPr>
        <w:t>ci</w:t>
      </w:r>
      <w:r w:rsidRPr="00F40707">
        <w:rPr>
          <w:rFonts w:ascii="Lato" w:hAnsi="Lato" w:cs="Arial"/>
          <w:bCs/>
          <w:spacing w:val="4"/>
          <w:sz w:val="22"/>
          <w:szCs w:val="22"/>
        </w:rPr>
        <w:t xml:space="preserve"> obciążon</w:t>
      </w:r>
      <w:r w:rsidRPr="004B6BA3">
        <w:rPr>
          <w:rFonts w:ascii="Lato" w:hAnsi="Lato" w:cs="Arial"/>
          <w:bCs/>
          <w:spacing w:val="4"/>
          <w:sz w:val="22"/>
          <w:szCs w:val="22"/>
        </w:rPr>
        <w:t>e</w:t>
      </w:r>
      <w:r w:rsidRPr="00F40707">
        <w:rPr>
          <w:rFonts w:ascii="Lato" w:hAnsi="Lato" w:cs="Arial"/>
          <w:bCs/>
          <w:spacing w:val="4"/>
          <w:sz w:val="22"/>
          <w:szCs w:val="22"/>
        </w:rPr>
        <w:t xml:space="preserve"> </w:t>
      </w:r>
      <w:r w:rsidRPr="004B6BA3">
        <w:rPr>
          <w:rFonts w:ascii="Lato" w:hAnsi="Lato" w:cs="Arial"/>
          <w:bCs/>
          <w:spacing w:val="4"/>
          <w:sz w:val="22"/>
          <w:szCs w:val="22"/>
        </w:rPr>
        <w:t xml:space="preserve">służebnością przejazdu i przechodu stanowią własność Spółki Celowej lub staną się własnością Spółki Celowej z dniem, w którym decyzja </w:t>
      </w:r>
      <w:r w:rsidR="008D4E66" w:rsidRPr="00F40707">
        <w:rPr>
          <w:rFonts w:ascii="Lato" w:hAnsi="Lato" w:cs="Arial"/>
          <w:bCs/>
          <w:spacing w:val="4"/>
          <w:sz w:val="22"/>
          <w:szCs w:val="22"/>
        </w:rPr>
        <w:br/>
      </w:r>
      <w:r w:rsidRPr="004B6BA3">
        <w:rPr>
          <w:rFonts w:ascii="Lato" w:hAnsi="Lato" w:cs="Arial"/>
          <w:bCs/>
          <w:spacing w:val="4"/>
          <w:sz w:val="22"/>
          <w:szCs w:val="22"/>
        </w:rPr>
        <w:t xml:space="preserve">o ustaleniu lokalizacji w zakresie CPK stanie się ostateczna. Ustalam obowiązek budowy ww. drogi </w:t>
      </w:r>
      <w:r w:rsidR="00F0615A" w:rsidRPr="00F40707">
        <w:rPr>
          <w:rFonts w:ascii="Lato" w:hAnsi="Lato" w:cs="Arial"/>
          <w:bCs/>
          <w:spacing w:val="4"/>
          <w:sz w:val="22"/>
          <w:szCs w:val="22"/>
        </w:rPr>
        <w:t xml:space="preserve">na nieruchomościach obciążonych </w:t>
      </w:r>
      <w:r w:rsidRPr="004B6BA3">
        <w:rPr>
          <w:rFonts w:ascii="Lato" w:hAnsi="Lato" w:cs="Arial"/>
          <w:bCs/>
          <w:spacing w:val="4"/>
          <w:sz w:val="22"/>
          <w:szCs w:val="22"/>
        </w:rPr>
        <w:t xml:space="preserve">w sposób umożliwiający </w:t>
      </w:r>
      <w:r w:rsidR="00F0615A" w:rsidRPr="00F40707">
        <w:rPr>
          <w:rFonts w:ascii="Lato" w:hAnsi="Lato" w:cs="Arial"/>
          <w:bCs/>
          <w:spacing w:val="4"/>
          <w:sz w:val="22"/>
          <w:szCs w:val="22"/>
        </w:rPr>
        <w:t xml:space="preserve">realizację po tej drodze służebności </w:t>
      </w:r>
      <w:r w:rsidRPr="004B6BA3">
        <w:rPr>
          <w:rFonts w:ascii="Lato" w:hAnsi="Lato" w:cs="Arial"/>
          <w:bCs/>
          <w:spacing w:val="4"/>
          <w:sz w:val="22"/>
          <w:szCs w:val="22"/>
        </w:rPr>
        <w:t>przejazd</w:t>
      </w:r>
      <w:r w:rsidR="00F0615A" w:rsidRPr="00F40707">
        <w:rPr>
          <w:rFonts w:ascii="Lato" w:hAnsi="Lato" w:cs="Arial"/>
          <w:bCs/>
          <w:spacing w:val="4"/>
          <w:sz w:val="22"/>
          <w:szCs w:val="22"/>
        </w:rPr>
        <w:t>u</w:t>
      </w:r>
      <w:r w:rsidRPr="004B6BA3">
        <w:rPr>
          <w:rFonts w:ascii="Lato" w:hAnsi="Lato" w:cs="Arial"/>
          <w:bCs/>
          <w:spacing w:val="4"/>
          <w:sz w:val="22"/>
          <w:szCs w:val="22"/>
        </w:rPr>
        <w:t xml:space="preserve"> i przech</w:t>
      </w:r>
      <w:r w:rsidR="00F0615A" w:rsidRPr="00F40707">
        <w:rPr>
          <w:rFonts w:ascii="Lato" w:hAnsi="Lato" w:cs="Arial"/>
          <w:bCs/>
          <w:spacing w:val="4"/>
          <w:sz w:val="22"/>
          <w:szCs w:val="22"/>
        </w:rPr>
        <w:t>odu</w:t>
      </w:r>
      <w:r w:rsidRPr="004B6BA3">
        <w:rPr>
          <w:rFonts w:ascii="Lato" w:hAnsi="Lato" w:cs="Arial"/>
          <w:bCs/>
          <w:spacing w:val="4"/>
          <w:sz w:val="22"/>
          <w:szCs w:val="22"/>
        </w:rPr>
        <w:t xml:space="preserve"> oraz utrzymania </w:t>
      </w:r>
      <w:r w:rsidR="00907044" w:rsidRPr="00F40707">
        <w:rPr>
          <w:rFonts w:ascii="Lato" w:hAnsi="Lato" w:cs="Arial"/>
          <w:bCs/>
          <w:spacing w:val="4"/>
          <w:sz w:val="22"/>
          <w:szCs w:val="22"/>
        </w:rPr>
        <w:t xml:space="preserve">jej </w:t>
      </w:r>
      <w:r w:rsidR="008D4E66" w:rsidRPr="00F40707">
        <w:rPr>
          <w:rFonts w:ascii="Lato" w:hAnsi="Lato" w:cs="Arial"/>
          <w:bCs/>
          <w:spacing w:val="4"/>
          <w:sz w:val="22"/>
          <w:szCs w:val="22"/>
        </w:rPr>
        <w:br/>
      </w:r>
      <w:r w:rsidRPr="004B6BA3">
        <w:rPr>
          <w:rFonts w:ascii="Lato" w:hAnsi="Lato" w:cs="Arial"/>
          <w:bCs/>
          <w:spacing w:val="4"/>
          <w:sz w:val="22"/>
          <w:szCs w:val="22"/>
        </w:rPr>
        <w:t>w należytym stanie. Obowiązek budowy i utrzymania ww. drogi ciąży na Spółce Celowej.”.</w:t>
      </w:r>
    </w:p>
    <w:p w14:paraId="167CE44D" w14:textId="382CF796" w:rsidR="00BF0DEB" w:rsidRPr="000F5CA0" w:rsidRDefault="00BF0DEB" w:rsidP="00F40707">
      <w:pPr>
        <w:numPr>
          <w:ilvl w:val="0"/>
          <w:numId w:val="1"/>
        </w:numPr>
        <w:spacing w:after="240" w:line="240" w:lineRule="exact"/>
        <w:ind w:left="284" w:hanging="142"/>
        <w:jc w:val="both"/>
        <w:rPr>
          <w:rFonts w:ascii="Lato" w:hAnsi="Lato" w:cs="Arial"/>
          <w:b/>
          <w:bCs/>
          <w:color w:val="000000"/>
          <w:spacing w:val="4"/>
          <w:sz w:val="22"/>
          <w:szCs w:val="22"/>
        </w:rPr>
      </w:pPr>
      <w:r w:rsidRPr="003C02F2">
        <w:rPr>
          <w:rFonts w:ascii="Lato" w:hAnsi="Lato" w:cs="Arial"/>
          <w:b/>
          <w:spacing w:val="4"/>
          <w:sz w:val="22"/>
          <w:szCs w:val="22"/>
        </w:rPr>
        <w:t>Uchylam</w:t>
      </w:r>
      <w:r w:rsidRPr="003C02F2">
        <w:rPr>
          <w:rFonts w:ascii="Lato" w:hAnsi="Lato" w:cs="Arial"/>
          <w:b/>
          <w:bCs/>
          <w:spacing w:val="4"/>
          <w:sz w:val="22"/>
          <w:szCs w:val="22"/>
        </w:rPr>
        <w:t>:</w:t>
      </w:r>
    </w:p>
    <w:p w14:paraId="5813AA77" w14:textId="3022FAE1" w:rsidR="00BF0DEB" w:rsidRPr="00F32A97" w:rsidRDefault="00BF0DEB" w:rsidP="00F40707">
      <w:pPr>
        <w:numPr>
          <w:ilvl w:val="0"/>
          <w:numId w:val="18"/>
        </w:numPr>
        <w:spacing w:after="240" w:line="240" w:lineRule="exact"/>
        <w:ind w:left="567" w:hanging="283"/>
        <w:jc w:val="both"/>
        <w:rPr>
          <w:rFonts w:ascii="Lato" w:hAnsi="Lato" w:cs="Arial"/>
          <w:spacing w:val="4"/>
          <w:sz w:val="22"/>
          <w:szCs w:val="22"/>
        </w:rPr>
      </w:pPr>
      <w:r w:rsidRPr="00F32A97">
        <w:rPr>
          <w:rFonts w:ascii="Lato" w:hAnsi="Lato" w:cs="Arial"/>
          <w:spacing w:val="4"/>
          <w:sz w:val="22"/>
          <w:szCs w:val="22"/>
        </w:rPr>
        <w:t>w rozstrzygnięciu zaskarżonej decyzji, znajdujący się na stronie 88, w wiersz</w:t>
      </w:r>
      <w:r w:rsidR="00270A3C">
        <w:rPr>
          <w:rFonts w:ascii="Lato" w:hAnsi="Lato" w:cs="Arial"/>
          <w:spacing w:val="4"/>
          <w:sz w:val="22"/>
          <w:szCs w:val="22"/>
        </w:rPr>
        <w:t>ach</w:t>
      </w:r>
      <w:r w:rsidRPr="00F32A97">
        <w:rPr>
          <w:rFonts w:ascii="Lato" w:hAnsi="Lato" w:cs="Arial"/>
          <w:spacing w:val="4"/>
          <w:sz w:val="22"/>
          <w:szCs w:val="22"/>
        </w:rPr>
        <w:t xml:space="preserve"> </w:t>
      </w:r>
      <w:r w:rsidRPr="00F32A97">
        <w:rPr>
          <w:rFonts w:ascii="Lato" w:hAnsi="Lato" w:cs="Arial"/>
          <w:spacing w:val="4"/>
          <w:sz w:val="22"/>
          <w:szCs w:val="22"/>
        </w:rPr>
        <w:br/>
        <w:t>17-18, licząc od dołu strony, zapis:</w:t>
      </w:r>
    </w:p>
    <w:p w14:paraId="057F818F" w14:textId="77777777" w:rsidR="00BF0DEB" w:rsidRPr="00F32A97" w:rsidRDefault="00BF0DEB" w:rsidP="00F40707">
      <w:pPr>
        <w:spacing w:after="240" w:line="240" w:lineRule="exact"/>
        <w:ind w:left="567"/>
        <w:jc w:val="both"/>
        <w:rPr>
          <w:rFonts w:ascii="Lato" w:hAnsi="Lato" w:cs="Arial"/>
          <w:spacing w:val="4"/>
          <w:sz w:val="22"/>
          <w:szCs w:val="22"/>
        </w:rPr>
      </w:pPr>
      <w:r w:rsidRPr="00F32A97">
        <w:rPr>
          <w:rFonts w:ascii="Lato" w:hAnsi="Lato" w:cs="Arial"/>
          <w:spacing w:val="4"/>
          <w:sz w:val="22"/>
          <w:szCs w:val="22"/>
        </w:rPr>
        <w:t>„Zgodnie z zakresem przedmiotowym przedstawionym w rozdziale II.5 powyżej, powiązanie z drogami publicznymi nastąpi w ramach realizowania komponentu drogowego.”,</w:t>
      </w:r>
    </w:p>
    <w:p w14:paraId="0799F4C3" w14:textId="04016B77" w:rsidR="00BF0DEB" w:rsidRPr="00F32A97" w:rsidRDefault="00BF0DEB" w:rsidP="00F40707">
      <w:pPr>
        <w:pStyle w:val="Akapitzlist"/>
        <w:numPr>
          <w:ilvl w:val="0"/>
          <w:numId w:val="14"/>
        </w:numPr>
        <w:spacing w:after="240" w:line="240" w:lineRule="exact"/>
        <w:ind w:left="567" w:hanging="284"/>
        <w:contextualSpacing w:val="0"/>
        <w:jc w:val="both"/>
        <w:rPr>
          <w:rFonts w:ascii="Lato" w:hAnsi="Lato" w:cs="Arial"/>
          <w:bCs/>
          <w:spacing w:val="4"/>
          <w:sz w:val="22"/>
          <w:szCs w:val="22"/>
        </w:rPr>
      </w:pPr>
      <w:r w:rsidRPr="00F32A97">
        <w:rPr>
          <w:rFonts w:ascii="Lato" w:hAnsi="Lato" w:cs="Arial"/>
          <w:bCs/>
          <w:spacing w:val="4"/>
          <w:sz w:val="22"/>
          <w:szCs w:val="22"/>
        </w:rPr>
        <w:t>w rozstrzygnięciu zaskarżonej decyzji, znajdujący się na stronie 88, w wiersz</w:t>
      </w:r>
      <w:r w:rsidR="00270A3C">
        <w:rPr>
          <w:rFonts w:ascii="Lato" w:hAnsi="Lato" w:cs="Arial"/>
          <w:bCs/>
          <w:spacing w:val="4"/>
          <w:sz w:val="22"/>
          <w:szCs w:val="22"/>
        </w:rPr>
        <w:t>ach</w:t>
      </w:r>
      <w:r w:rsidRPr="00F32A97">
        <w:rPr>
          <w:rFonts w:ascii="Lato" w:hAnsi="Lato" w:cs="Arial"/>
          <w:bCs/>
          <w:spacing w:val="4"/>
          <w:sz w:val="22"/>
          <w:szCs w:val="22"/>
        </w:rPr>
        <w:t xml:space="preserve"> </w:t>
      </w:r>
      <w:r w:rsidR="00270A3C">
        <w:rPr>
          <w:rFonts w:ascii="Lato" w:hAnsi="Lato" w:cs="Arial"/>
          <w:bCs/>
          <w:spacing w:val="4"/>
          <w:sz w:val="22"/>
          <w:szCs w:val="22"/>
        </w:rPr>
        <w:br/>
      </w:r>
      <w:r w:rsidRPr="00F32A97">
        <w:rPr>
          <w:rFonts w:ascii="Lato" w:hAnsi="Lato" w:cs="Arial"/>
          <w:bCs/>
          <w:spacing w:val="4"/>
          <w:sz w:val="22"/>
          <w:szCs w:val="22"/>
        </w:rPr>
        <w:t>1-3, licząc od dołu strony, oraz znajdujący się na stronie 89, w wiersz</w:t>
      </w:r>
      <w:r w:rsidR="00270A3C">
        <w:rPr>
          <w:rFonts w:ascii="Lato" w:hAnsi="Lato" w:cs="Arial"/>
          <w:bCs/>
          <w:spacing w:val="4"/>
          <w:sz w:val="22"/>
          <w:szCs w:val="22"/>
        </w:rPr>
        <w:t>ach</w:t>
      </w:r>
      <w:r w:rsidRPr="00F32A97">
        <w:rPr>
          <w:rFonts w:ascii="Lato" w:hAnsi="Lato" w:cs="Arial"/>
          <w:bCs/>
          <w:spacing w:val="4"/>
          <w:sz w:val="22"/>
          <w:szCs w:val="22"/>
        </w:rPr>
        <w:t xml:space="preserve"> 1-2, licząc od góry strony, zapis:</w:t>
      </w:r>
    </w:p>
    <w:p w14:paraId="384F9DF4" w14:textId="77777777" w:rsidR="00BF0DEB" w:rsidRPr="00F32A97" w:rsidRDefault="00BF0DEB" w:rsidP="00F40707">
      <w:pPr>
        <w:pStyle w:val="Akapitzlist"/>
        <w:spacing w:after="120" w:line="240" w:lineRule="exact"/>
        <w:ind w:left="567"/>
        <w:contextualSpacing w:val="0"/>
        <w:rPr>
          <w:rFonts w:ascii="Lato" w:hAnsi="Lato" w:cs="Arial"/>
          <w:bCs/>
          <w:spacing w:val="4"/>
          <w:sz w:val="22"/>
          <w:szCs w:val="22"/>
        </w:rPr>
      </w:pPr>
      <w:r w:rsidRPr="00F32A97">
        <w:rPr>
          <w:rFonts w:ascii="Lato" w:hAnsi="Lato" w:cs="Arial"/>
          <w:bCs/>
          <w:spacing w:val="4"/>
          <w:sz w:val="22"/>
          <w:szCs w:val="22"/>
        </w:rPr>
        <w:t>„1. Warunki wynikające z potrzeb ochrony środowiska:</w:t>
      </w:r>
    </w:p>
    <w:p w14:paraId="616B6D8F" w14:textId="19A4CB5C" w:rsidR="00BF0DEB" w:rsidRPr="00F32A97" w:rsidRDefault="00BF0DEB" w:rsidP="00BF0DEB">
      <w:pPr>
        <w:pStyle w:val="Akapitzlist"/>
        <w:numPr>
          <w:ilvl w:val="0"/>
          <w:numId w:val="19"/>
        </w:numPr>
        <w:spacing w:after="240" w:line="240" w:lineRule="exact"/>
        <w:ind w:left="993" w:hanging="284"/>
        <w:contextualSpacing w:val="0"/>
        <w:jc w:val="both"/>
        <w:rPr>
          <w:rFonts w:ascii="Lato" w:hAnsi="Lato" w:cs="Arial"/>
          <w:bCs/>
          <w:spacing w:val="4"/>
          <w:sz w:val="22"/>
          <w:szCs w:val="22"/>
        </w:rPr>
      </w:pPr>
      <w:r w:rsidRPr="00F32A97">
        <w:rPr>
          <w:rFonts w:ascii="Lato" w:hAnsi="Lato" w:cs="Arial"/>
          <w:bCs/>
          <w:spacing w:val="4"/>
          <w:sz w:val="22"/>
          <w:szCs w:val="22"/>
        </w:rPr>
        <w:lastRenderedPageBreak/>
        <w:t xml:space="preserve">Zgodnie z § 1 ust. 1 pkt 30 rozporządzenia Rady Ministrów z dnia z dnia </w:t>
      </w:r>
      <w:r w:rsidR="00270A3C">
        <w:rPr>
          <w:rFonts w:ascii="Lato" w:hAnsi="Lato" w:cs="Arial"/>
          <w:bCs/>
          <w:spacing w:val="4"/>
          <w:sz w:val="22"/>
          <w:szCs w:val="22"/>
        </w:rPr>
        <w:br/>
      </w:r>
      <w:r w:rsidRPr="00F32A97">
        <w:rPr>
          <w:rFonts w:ascii="Lato" w:hAnsi="Lato" w:cs="Arial"/>
          <w:bCs/>
          <w:spacing w:val="4"/>
          <w:sz w:val="22"/>
          <w:szCs w:val="22"/>
        </w:rPr>
        <w:t>10 września 2019 r. w sprawie przedsięwzięć mogących znacząco oddziaływać na środowisko (Dz.U. z 2019 r., poz. 1839 ze zm.), planowana inwestycja zaliczana jest do przedsięwzięć mogących zawsze znacząco oddziaływać na środowisko.”,</w:t>
      </w:r>
    </w:p>
    <w:p w14:paraId="7156F192" w14:textId="77777777" w:rsidR="00BF0DEB" w:rsidRPr="00F32A97" w:rsidRDefault="00BF0DEB" w:rsidP="00F40707">
      <w:pPr>
        <w:pStyle w:val="Akapitzlist"/>
        <w:numPr>
          <w:ilvl w:val="0"/>
          <w:numId w:val="14"/>
        </w:numPr>
        <w:spacing w:after="240" w:line="240" w:lineRule="exact"/>
        <w:ind w:left="567" w:hanging="284"/>
        <w:contextualSpacing w:val="0"/>
        <w:jc w:val="both"/>
        <w:rPr>
          <w:rFonts w:ascii="Lato" w:hAnsi="Lato" w:cs="Arial"/>
          <w:bCs/>
          <w:spacing w:val="4"/>
          <w:sz w:val="22"/>
          <w:szCs w:val="22"/>
        </w:rPr>
      </w:pPr>
      <w:r w:rsidRPr="00F32A97">
        <w:rPr>
          <w:rFonts w:ascii="Lato" w:hAnsi="Lato" w:cs="Arial"/>
          <w:bCs/>
          <w:spacing w:val="4"/>
          <w:sz w:val="22"/>
          <w:szCs w:val="22"/>
        </w:rPr>
        <w:t>w rozstrzygnięciu zaskarżonej decyzji, znajdujący się na stronie 89, w wierszu 8, licząc od góry strony, zapis:</w:t>
      </w:r>
    </w:p>
    <w:p w14:paraId="2F7E5A16" w14:textId="77777777" w:rsidR="00BF0DEB" w:rsidRPr="00F32A97" w:rsidRDefault="00BF0DEB" w:rsidP="00BF0DEB">
      <w:pPr>
        <w:pStyle w:val="Akapitzlist"/>
        <w:tabs>
          <w:tab w:val="left" w:pos="284"/>
        </w:tabs>
        <w:spacing w:after="240" w:line="240" w:lineRule="exact"/>
        <w:ind w:left="567"/>
        <w:contextualSpacing w:val="0"/>
        <w:jc w:val="both"/>
        <w:rPr>
          <w:rFonts w:ascii="Lato" w:hAnsi="Lato" w:cs="Arial"/>
          <w:bCs/>
          <w:spacing w:val="4"/>
          <w:sz w:val="22"/>
          <w:szCs w:val="22"/>
        </w:rPr>
      </w:pPr>
      <w:r w:rsidRPr="00F32A97">
        <w:rPr>
          <w:rFonts w:ascii="Lato" w:hAnsi="Lato" w:cs="Arial"/>
          <w:bCs/>
          <w:spacing w:val="4"/>
          <w:sz w:val="22"/>
          <w:szCs w:val="22"/>
        </w:rPr>
        <w:t>„• ustawy z dnia 18 lipca 2001 r. Prawo wodne (Dz.U. z 2024 r., poz. 1087 ze zm.),”,</w:t>
      </w:r>
    </w:p>
    <w:p w14:paraId="1D52D523" w14:textId="4251848B" w:rsidR="00BF0DEB" w:rsidRPr="00F32A97" w:rsidRDefault="00BF0DEB" w:rsidP="00BF0DEB">
      <w:pPr>
        <w:pStyle w:val="Akapitzlist"/>
        <w:numPr>
          <w:ilvl w:val="0"/>
          <w:numId w:val="14"/>
        </w:numPr>
        <w:tabs>
          <w:tab w:val="left" w:pos="284"/>
        </w:tabs>
        <w:spacing w:after="240" w:line="240" w:lineRule="exact"/>
        <w:ind w:left="567" w:hanging="283"/>
        <w:contextualSpacing w:val="0"/>
        <w:jc w:val="both"/>
        <w:rPr>
          <w:rFonts w:ascii="Lato" w:hAnsi="Lato" w:cs="Arial"/>
          <w:bCs/>
          <w:spacing w:val="4"/>
          <w:sz w:val="22"/>
          <w:szCs w:val="22"/>
        </w:rPr>
      </w:pPr>
      <w:r w:rsidRPr="00F32A97">
        <w:rPr>
          <w:rFonts w:ascii="Lato" w:hAnsi="Lato" w:cs="Arial"/>
          <w:bCs/>
          <w:spacing w:val="4"/>
          <w:sz w:val="22"/>
          <w:szCs w:val="22"/>
        </w:rPr>
        <w:t>w rozstrzygnięciu zaskarżonej decyzji, znajdujący się na stronie 89, w wiersz</w:t>
      </w:r>
      <w:r w:rsidR="001E0572">
        <w:rPr>
          <w:rFonts w:ascii="Lato" w:hAnsi="Lato" w:cs="Arial"/>
          <w:bCs/>
          <w:spacing w:val="4"/>
          <w:sz w:val="22"/>
          <w:szCs w:val="22"/>
        </w:rPr>
        <w:t>ach</w:t>
      </w:r>
      <w:r w:rsidRPr="00F32A97">
        <w:rPr>
          <w:rFonts w:ascii="Lato" w:hAnsi="Lato" w:cs="Arial"/>
          <w:bCs/>
          <w:spacing w:val="4"/>
          <w:sz w:val="22"/>
          <w:szCs w:val="22"/>
        </w:rPr>
        <w:t xml:space="preserve"> </w:t>
      </w:r>
      <w:r w:rsidRPr="00F32A97">
        <w:rPr>
          <w:rFonts w:ascii="Lato" w:hAnsi="Lato" w:cs="Arial"/>
          <w:bCs/>
          <w:spacing w:val="4"/>
          <w:sz w:val="22"/>
          <w:szCs w:val="22"/>
        </w:rPr>
        <w:br/>
        <w:t>15-50, licząc od góry strony, oraz znajdujący się na stronie 90, w wiersz</w:t>
      </w:r>
      <w:r w:rsidR="001E0572">
        <w:rPr>
          <w:rFonts w:ascii="Lato" w:hAnsi="Lato" w:cs="Arial"/>
          <w:bCs/>
          <w:spacing w:val="4"/>
          <w:sz w:val="22"/>
          <w:szCs w:val="22"/>
        </w:rPr>
        <w:t>ach</w:t>
      </w:r>
      <w:r w:rsidRPr="00F32A97">
        <w:rPr>
          <w:rFonts w:ascii="Lato" w:hAnsi="Lato" w:cs="Arial"/>
          <w:bCs/>
          <w:spacing w:val="4"/>
          <w:sz w:val="22"/>
          <w:szCs w:val="22"/>
        </w:rPr>
        <w:t xml:space="preserve"> </w:t>
      </w:r>
      <w:r w:rsidRPr="00F32A97">
        <w:rPr>
          <w:rFonts w:ascii="Lato" w:hAnsi="Lato" w:cs="Arial"/>
          <w:bCs/>
          <w:spacing w:val="4"/>
          <w:sz w:val="22"/>
          <w:szCs w:val="22"/>
        </w:rPr>
        <w:br/>
        <w:t>1-27, licząc od góry strony, zapis:</w:t>
      </w:r>
    </w:p>
    <w:p w14:paraId="0DC75CB6" w14:textId="77777777" w:rsidR="00BF0DEB" w:rsidRPr="00F32A97" w:rsidRDefault="00BF0DEB" w:rsidP="00BF0DEB">
      <w:pPr>
        <w:pStyle w:val="Akapitzlist"/>
        <w:tabs>
          <w:tab w:val="left" w:pos="284"/>
        </w:tabs>
        <w:spacing w:after="120" w:line="240" w:lineRule="exact"/>
        <w:ind w:left="567"/>
        <w:contextualSpacing w:val="0"/>
        <w:jc w:val="both"/>
        <w:rPr>
          <w:rFonts w:ascii="Lato" w:hAnsi="Lato" w:cs="Arial"/>
          <w:bCs/>
          <w:spacing w:val="4"/>
          <w:sz w:val="22"/>
          <w:szCs w:val="22"/>
        </w:rPr>
      </w:pPr>
      <w:r w:rsidRPr="00F32A97">
        <w:rPr>
          <w:rFonts w:ascii="Lato" w:hAnsi="Lato" w:cs="Arial"/>
          <w:bCs/>
          <w:spacing w:val="4"/>
          <w:sz w:val="22"/>
          <w:szCs w:val="22"/>
        </w:rPr>
        <w:t xml:space="preserve">„3. Inwestor realizując przedsięwzięcie jest obowiązany uwzględnić ochronę środowiska na obszarze prowadzenia prac oraz wszystkie zachować warunki wynikające z decyzji z dnia 7 lipca 2023 r. Regionalnego Dyrektora Ochrony Środowiska w Warszawie o środowiskowych uwarunkowaniach, znak: WOOŚ-II.420.85.2022.MP.278, dla inwestycji pn. „Budowa Centralnego Portu Komunikacyjnego wraz z urządzeniami obiektami niezbędnymi do jego funkcjonowania według wariantu 1 (inwestycyjny, proponowany przez wnioskodawcę)", oraz decyzji z dnia 19 czerwca 2024 r. Regionalnego Dyrektora Ochrony Środowiska w Warszawie, znak: WOOS-TT.420.69.2023.AG.12 </w:t>
      </w:r>
      <w:r w:rsidRPr="00F32A97">
        <w:rPr>
          <w:rFonts w:ascii="Lato" w:hAnsi="Lato" w:cs="Arial"/>
          <w:bCs/>
          <w:spacing w:val="4"/>
          <w:sz w:val="22"/>
          <w:szCs w:val="22"/>
        </w:rPr>
        <w:br/>
        <w:t>o środowiskowych uwarunkowaniach dla inwestycji pn. „Budowa Centralnego Portu Komunikacyjnego wraz z urządzeniami i obiektami niezbędnymi do jego funkcjonowania - budowa bocznicy kolejowej na odcinku linia kolejowa nr 3 - Centralny Port Komunikacyjny."</w:t>
      </w:r>
    </w:p>
    <w:p w14:paraId="343C600D" w14:textId="77777777" w:rsidR="00BF0DEB" w:rsidRPr="00F32A97" w:rsidRDefault="00BF0DEB" w:rsidP="00BF0DEB">
      <w:pPr>
        <w:pStyle w:val="Akapitzlist"/>
        <w:tabs>
          <w:tab w:val="left" w:pos="284"/>
        </w:tabs>
        <w:spacing w:line="240" w:lineRule="exact"/>
        <w:ind w:left="567"/>
        <w:contextualSpacing w:val="0"/>
        <w:jc w:val="both"/>
        <w:rPr>
          <w:rFonts w:ascii="Lato" w:hAnsi="Lato" w:cs="Arial"/>
          <w:bCs/>
          <w:spacing w:val="4"/>
          <w:sz w:val="22"/>
          <w:szCs w:val="22"/>
        </w:rPr>
      </w:pPr>
      <w:r w:rsidRPr="00F32A97">
        <w:rPr>
          <w:rFonts w:ascii="Lato" w:hAnsi="Lato" w:cs="Arial"/>
          <w:bCs/>
          <w:spacing w:val="4"/>
          <w:sz w:val="22"/>
          <w:szCs w:val="22"/>
        </w:rPr>
        <w:t>3.1 Charakterystyka inwestycji z punktu widzenia jej oddziaływania na środowisko</w:t>
      </w:r>
    </w:p>
    <w:p w14:paraId="0B3D9377" w14:textId="77777777" w:rsidR="00BF0DEB" w:rsidRPr="00F32A97" w:rsidRDefault="00BF0DEB" w:rsidP="00BF0DEB">
      <w:pPr>
        <w:pStyle w:val="Akapitzlist"/>
        <w:tabs>
          <w:tab w:val="left" w:pos="284"/>
        </w:tabs>
        <w:spacing w:after="120" w:line="240" w:lineRule="exact"/>
        <w:ind w:left="567"/>
        <w:contextualSpacing w:val="0"/>
        <w:jc w:val="both"/>
        <w:rPr>
          <w:rFonts w:ascii="Lato" w:hAnsi="Lato"/>
          <w:spacing w:val="4"/>
          <w:sz w:val="22"/>
          <w:szCs w:val="22"/>
        </w:rPr>
      </w:pPr>
      <w:r w:rsidRPr="00F32A97">
        <w:rPr>
          <w:rFonts w:ascii="Lato" w:hAnsi="Lato" w:cs="Arial"/>
          <w:bCs/>
          <w:spacing w:val="4"/>
          <w:sz w:val="22"/>
          <w:szCs w:val="22"/>
        </w:rPr>
        <w:t xml:space="preserve">Zgodnie z charakterystyką planowanego przedsięwzięcia stanowiącą załączniki </w:t>
      </w:r>
      <w:r w:rsidRPr="00F32A97">
        <w:rPr>
          <w:rFonts w:ascii="Lato" w:hAnsi="Lato" w:cs="Arial"/>
          <w:bCs/>
          <w:spacing w:val="4"/>
          <w:sz w:val="22"/>
          <w:szCs w:val="22"/>
        </w:rPr>
        <w:br/>
        <w:t xml:space="preserve">do decyzji z dnia 7 lipca 2023r. Regionalnego Dyrektora Ochrony Środowiska </w:t>
      </w:r>
      <w:r w:rsidRPr="00F32A97">
        <w:rPr>
          <w:rFonts w:ascii="Lato" w:hAnsi="Lato" w:cs="Arial"/>
          <w:bCs/>
          <w:spacing w:val="4"/>
          <w:sz w:val="22"/>
          <w:szCs w:val="22"/>
        </w:rPr>
        <w:br/>
        <w:t xml:space="preserve">w Warszawie o środowiskowych uwarunkowaniach: Przedmiotem inwestycji jest budowa Centralnego Portu Komunikacyjnego wraz z urządzeniami i obiektami niezbędnymi do jego funkcjonowania. Przedsięwzięcie zlokalizowane jest </w:t>
      </w:r>
      <w:r w:rsidRPr="00F32A97">
        <w:rPr>
          <w:rFonts w:ascii="Lato" w:hAnsi="Lato" w:cs="Arial"/>
          <w:bCs/>
          <w:spacing w:val="4"/>
          <w:sz w:val="22"/>
          <w:szCs w:val="22"/>
        </w:rPr>
        <w:br/>
        <w:t xml:space="preserve">w granicach powiatów: żyrardowskiego, sochaczewskiego, grodziskiego </w:t>
      </w:r>
      <w:r w:rsidRPr="00F32A97">
        <w:rPr>
          <w:rFonts w:ascii="Lato" w:hAnsi="Lato" w:cs="Arial"/>
          <w:bCs/>
          <w:spacing w:val="4"/>
          <w:sz w:val="22"/>
          <w:szCs w:val="22"/>
        </w:rPr>
        <w:br/>
        <w:t xml:space="preserve">i warszawskiego zachodniego na terenie następujących gmin: Wiskitki, Radziejowice, Żyrardów, Teresin, Nowa Sucha, Baranów, Jaktorów, Grodzisk Mazowiecki, Błonie. Planowane przedsięwzięcie obejmuje inwestycję, o której mowa w art. 2 ust. 3 ustawy o CPK, w następującym zakresie: Pozyskana dla przedsięwzięcia pn. Budowa Centralnego Portu Komunikacyjnego decyzja </w:t>
      </w:r>
      <w:r w:rsidRPr="00F32A97">
        <w:rPr>
          <w:rFonts w:ascii="Lato" w:hAnsi="Lato" w:cs="Arial"/>
          <w:bCs/>
          <w:spacing w:val="4"/>
          <w:sz w:val="22"/>
          <w:szCs w:val="22"/>
        </w:rPr>
        <w:br/>
        <w:t xml:space="preserve">o środowiskowych uwarunkowanych znak: WOOŚ-II.420.85.2022.MP.278 zgodnie z pkt. 1.1 obejmuje swoim zakresem m.in. lit. A „Lotnisko, w tym m.in. terminal jako główny obiekt lotniska oraz obszary: tzw. lotniczy (obszar trwale przeznaczony do startów i lądowań statków powietrznych oraz do związanego </w:t>
      </w:r>
      <w:r w:rsidRPr="00F32A97">
        <w:rPr>
          <w:rFonts w:ascii="Lato" w:hAnsi="Lato" w:cs="Arial"/>
          <w:bCs/>
          <w:spacing w:val="4"/>
          <w:sz w:val="22"/>
          <w:szCs w:val="22"/>
        </w:rPr>
        <w:br/>
        <w:t xml:space="preserve">z tym ruchu statków powietrznych, wraz z urządzeniami służącymi do obsługi tego ruchu, do którego dostęp jest kontrolowany) oraz lądowy (części lotniska, które umożliwiają nieograniczony wjazd dla pojazdów publicznych lub prywatnych np. strefa ogólnodostępna w obrębie i wokół budynku terminalu, parkingi samochodowe, drogi publiczne); lit. B Węzeł Kolejowy - linie kolejowe łączące obszar lotniska (Stację kolejową) z istniejącymi oraz nowo projektowanymi liniami. Oprócz linii kolejowych w ramach Węzła kolejowego wchodzić będzie budowa dróg technologicznych oraz przebudowa dróg istniejących, budowa systemu odwodnienia wzdłuż linii, a także budowa przystanków osobowych oraz obiektów inżynieryjnych i inżynierskich wraz z niezbędnymi przekładkami cieków i rowów. </w:t>
      </w:r>
      <w:r w:rsidRPr="00F32A97">
        <w:rPr>
          <w:rFonts w:ascii="Lato" w:hAnsi="Lato" w:cs="Arial"/>
          <w:bCs/>
          <w:spacing w:val="4"/>
          <w:sz w:val="22"/>
          <w:szCs w:val="22"/>
        </w:rPr>
        <w:lastRenderedPageBreak/>
        <w:t xml:space="preserve">Obszarowo Węzeł Kolejowy zawierać się </w:t>
      </w:r>
      <w:r w:rsidRPr="00F32A97">
        <w:rPr>
          <w:rFonts w:ascii="Lato" w:hAnsi="Lato"/>
          <w:spacing w:val="4"/>
          <w:sz w:val="22"/>
          <w:szCs w:val="22"/>
        </w:rPr>
        <w:t xml:space="preserve">będzie w obrębie pomiędzy liniami istniejącymi (nr 1, 3, 4) oraz planowanymi (nr 5 i 85), a także; lit. C Drogi </w:t>
      </w:r>
      <w:r w:rsidRPr="00F32A97">
        <w:rPr>
          <w:rFonts w:ascii="Lato" w:hAnsi="Lato"/>
          <w:spacing w:val="4"/>
          <w:sz w:val="22"/>
          <w:szCs w:val="22"/>
        </w:rPr>
        <w:br/>
        <w:t>(w rozumieniu dróg na zewnątrz obszaru lotniska).</w:t>
      </w:r>
    </w:p>
    <w:p w14:paraId="544EED4F" w14:textId="77777777" w:rsidR="00BF0DEB" w:rsidRPr="00F32A97" w:rsidRDefault="00BF0DEB" w:rsidP="00BF0DEB">
      <w:pPr>
        <w:pStyle w:val="Akapitzlist"/>
        <w:tabs>
          <w:tab w:val="left" w:pos="284"/>
        </w:tabs>
        <w:spacing w:after="240" w:line="240" w:lineRule="exact"/>
        <w:ind w:left="567"/>
        <w:jc w:val="both"/>
        <w:rPr>
          <w:rFonts w:ascii="Lato" w:hAnsi="Lato"/>
          <w:spacing w:val="4"/>
          <w:sz w:val="22"/>
          <w:szCs w:val="22"/>
        </w:rPr>
      </w:pPr>
      <w:r w:rsidRPr="00F32A97">
        <w:rPr>
          <w:rFonts w:ascii="Lato" w:hAnsi="Lato" w:cs="Arial"/>
          <w:bCs/>
          <w:spacing w:val="4"/>
          <w:sz w:val="22"/>
          <w:szCs w:val="22"/>
        </w:rPr>
        <w:t xml:space="preserve">3.2. </w:t>
      </w:r>
      <w:r w:rsidRPr="00F32A97">
        <w:rPr>
          <w:rFonts w:ascii="Lato" w:hAnsi="Lato"/>
          <w:spacing w:val="4"/>
          <w:sz w:val="22"/>
          <w:szCs w:val="22"/>
        </w:rPr>
        <w:t>Ustalenia dotyczące ochrony środowiska</w:t>
      </w:r>
    </w:p>
    <w:p w14:paraId="72F2C890" w14:textId="77777777" w:rsidR="00BF0DEB" w:rsidRPr="00F32A97" w:rsidRDefault="00BF0DEB" w:rsidP="00BF0DEB">
      <w:pPr>
        <w:pStyle w:val="Akapitzlist"/>
        <w:tabs>
          <w:tab w:val="left" w:pos="284"/>
        </w:tabs>
        <w:ind w:left="567"/>
        <w:contextualSpacing w:val="0"/>
        <w:jc w:val="both"/>
        <w:rPr>
          <w:rFonts w:ascii="Lato" w:hAnsi="Lato"/>
          <w:spacing w:val="4"/>
          <w:sz w:val="22"/>
          <w:szCs w:val="22"/>
        </w:rPr>
      </w:pPr>
      <w:r w:rsidRPr="00F32A97">
        <w:rPr>
          <w:rFonts w:ascii="Lato" w:hAnsi="Lato"/>
          <w:spacing w:val="4"/>
          <w:sz w:val="22"/>
          <w:szCs w:val="22"/>
        </w:rPr>
        <w:t>Zgodnie z decyzją z dnia 7 lipca 2023 r. Regionalnego Dyrektora Ochrony Środowiska w Warszawie o środowiskowych uwarunkowaniach, znak: WOOŚ-II.420.85.2022.MP278:</w:t>
      </w:r>
    </w:p>
    <w:p w14:paraId="6705267C" w14:textId="77777777" w:rsidR="00BF0DEB" w:rsidRPr="00F32A97" w:rsidRDefault="00BF0DEB" w:rsidP="00BF0DEB">
      <w:pPr>
        <w:pStyle w:val="Akapitzlist"/>
        <w:numPr>
          <w:ilvl w:val="0"/>
          <w:numId w:val="15"/>
        </w:numPr>
        <w:tabs>
          <w:tab w:val="left" w:pos="284"/>
        </w:tabs>
        <w:ind w:left="924" w:hanging="357"/>
        <w:contextualSpacing w:val="0"/>
        <w:jc w:val="both"/>
        <w:rPr>
          <w:rFonts w:ascii="Lato" w:hAnsi="Lato" w:cs="Arial"/>
          <w:bCs/>
          <w:spacing w:val="4"/>
          <w:sz w:val="22"/>
          <w:szCs w:val="22"/>
        </w:rPr>
      </w:pPr>
      <w:r w:rsidRPr="00F32A97">
        <w:rPr>
          <w:rFonts w:ascii="Lato" w:hAnsi="Lato"/>
          <w:spacing w:val="4"/>
          <w:sz w:val="22"/>
          <w:szCs w:val="22"/>
        </w:rPr>
        <w:t>Określono:</w:t>
      </w:r>
    </w:p>
    <w:p w14:paraId="4BA24BB9" w14:textId="77777777" w:rsidR="00BF0DEB" w:rsidRPr="00F32A97" w:rsidRDefault="00BF0DEB" w:rsidP="00BF0DEB">
      <w:pPr>
        <w:pStyle w:val="Akapitzlist"/>
        <w:numPr>
          <w:ilvl w:val="0"/>
          <w:numId w:val="16"/>
        </w:numPr>
        <w:tabs>
          <w:tab w:val="left" w:pos="284"/>
        </w:tabs>
        <w:ind w:left="1281" w:hanging="357"/>
        <w:contextualSpacing w:val="0"/>
        <w:jc w:val="both"/>
        <w:rPr>
          <w:rFonts w:ascii="Lato" w:hAnsi="Lato" w:cs="Arial"/>
          <w:bCs/>
          <w:spacing w:val="4"/>
          <w:sz w:val="22"/>
          <w:szCs w:val="22"/>
        </w:rPr>
      </w:pPr>
      <w:r w:rsidRPr="00F32A97">
        <w:rPr>
          <w:rFonts w:ascii="Lato" w:hAnsi="Lato"/>
          <w:spacing w:val="4"/>
          <w:sz w:val="22"/>
          <w:szCs w:val="22"/>
        </w:rPr>
        <w:t>rodzaj i miejsce realizacji przedsięwzięcia,</w:t>
      </w:r>
    </w:p>
    <w:p w14:paraId="2C3FC888" w14:textId="77777777" w:rsidR="00BF0DEB" w:rsidRPr="00F32A97" w:rsidRDefault="00BF0DEB" w:rsidP="00BF0DEB">
      <w:pPr>
        <w:pStyle w:val="Akapitzlist"/>
        <w:numPr>
          <w:ilvl w:val="0"/>
          <w:numId w:val="16"/>
        </w:numPr>
        <w:tabs>
          <w:tab w:val="left" w:pos="284"/>
        </w:tabs>
        <w:contextualSpacing w:val="0"/>
        <w:jc w:val="both"/>
        <w:rPr>
          <w:rFonts w:ascii="Lato" w:hAnsi="Lato" w:cs="Arial"/>
          <w:bCs/>
          <w:spacing w:val="4"/>
          <w:sz w:val="22"/>
          <w:szCs w:val="22"/>
        </w:rPr>
      </w:pPr>
      <w:r w:rsidRPr="00F32A97">
        <w:rPr>
          <w:rFonts w:ascii="Lato" w:hAnsi="Lato"/>
          <w:spacing w:val="4"/>
          <w:sz w:val="22"/>
          <w:szCs w:val="22"/>
        </w:rPr>
        <w:t>istotne warunki korzystania ze środowiska w fazie realizacji i eksploatacji lub użytkowania tego przedsięwzięcia, ze szczególnym uwzględnieniem konieczności ochrony cennych wartości przyrodniczych, zasobów naturalnych i zabytków oraz ograniczenia uciążliwości dla terenów sąsiednich,</w:t>
      </w:r>
    </w:p>
    <w:p w14:paraId="25FCD875" w14:textId="77777777" w:rsidR="00BF0DEB" w:rsidRPr="00F32A97" w:rsidRDefault="00BF0DEB" w:rsidP="00BF0DEB">
      <w:pPr>
        <w:pStyle w:val="Akapitzlist"/>
        <w:numPr>
          <w:ilvl w:val="0"/>
          <w:numId w:val="16"/>
        </w:numPr>
        <w:tabs>
          <w:tab w:val="left" w:pos="284"/>
        </w:tabs>
        <w:contextualSpacing w:val="0"/>
        <w:jc w:val="both"/>
        <w:rPr>
          <w:rFonts w:ascii="Lato" w:hAnsi="Lato" w:cs="Arial"/>
          <w:bCs/>
          <w:spacing w:val="4"/>
          <w:sz w:val="22"/>
          <w:szCs w:val="22"/>
        </w:rPr>
      </w:pPr>
      <w:r w:rsidRPr="00F32A97">
        <w:rPr>
          <w:rFonts w:ascii="Lato" w:hAnsi="Lato"/>
          <w:spacing w:val="4"/>
          <w:sz w:val="22"/>
          <w:szCs w:val="22"/>
        </w:rPr>
        <w:t xml:space="preserve">wymagania dotyczące ochrony środowiska konieczne do uwzględnienia </w:t>
      </w:r>
      <w:r w:rsidRPr="00F32A97">
        <w:rPr>
          <w:rFonts w:ascii="Lato" w:hAnsi="Lato"/>
          <w:spacing w:val="4"/>
          <w:sz w:val="22"/>
          <w:szCs w:val="22"/>
        </w:rPr>
        <w:br/>
        <w:t>w dokumentacji wymaganej do wydania decyzji, o której mowa w art. 72 ust. 1,</w:t>
      </w:r>
    </w:p>
    <w:p w14:paraId="7008CC2E" w14:textId="77777777" w:rsidR="00BF0DEB" w:rsidRPr="00F32A97" w:rsidRDefault="00BF0DEB" w:rsidP="00BF0DEB">
      <w:pPr>
        <w:pStyle w:val="Akapitzlist"/>
        <w:numPr>
          <w:ilvl w:val="0"/>
          <w:numId w:val="15"/>
        </w:numPr>
        <w:tabs>
          <w:tab w:val="left" w:pos="284"/>
        </w:tabs>
        <w:contextualSpacing w:val="0"/>
        <w:jc w:val="both"/>
        <w:rPr>
          <w:rFonts w:ascii="Lato" w:hAnsi="Lato" w:cs="Arial"/>
          <w:bCs/>
          <w:spacing w:val="4"/>
          <w:sz w:val="22"/>
          <w:szCs w:val="22"/>
        </w:rPr>
      </w:pPr>
      <w:r w:rsidRPr="00F32A97">
        <w:rPr>
          <w:rFonts w:ascii="Lato" w:hAnsi="Lato"/>
          <w:spacing w:val="4"/>
          <w:sz w:val="22"/>
          <w:szCs w:val="22"/>
        </w:rPr>
        <w:t>Stwierdzono konieczność wykonania kompensacji przyrodniczej,</w:t>
      </w:r>
    </w:p>
    <w:p w14:paraId="1C8DEC16" w14:textId="77777777" w:rsidR="00BF0DEB" w:rsidRPr="00F32A97" w:rsidRDefault="00BF0DEB" w:rsidP="00BF0DEB">
      <w:pPr>
        <w:pStyle w:val="Akapitzlist"/>
        <w:numPr>
          <w:ilvl w:val="0"/>
          <w:numId w:val="15"/>
        </w:numPr>
        <w:tabs>
          <w:tab w:val="left" w:pos="284"/>
        </w:tabs>
        <w:contextualSpacing w:val="0"/>
        <w:jc w:val="both"/>
        <w:rPr>
          <w:rFonts w:ascii="Lato" w:hAnsi="Lato" w:cs="Arial"/>
          <w:bCs/>
          <w:spacing w:val="4"/>
          <w:sz w:val="22"/>
          <w:szCs w:val="22"/>
        </w:rPr>
      </w:pPr>
      <w:r w:rsidRPr="00F32A97">
        <w:rPr>
          <w:rFonts w:ascii="Lato" w:hAnsi="Lato"/>
          <w:spacing w:val="4"/>
          <w:sz w:val="22"/>
          <w:szCs w:val="22"/>
        </w:rPr>
        <w:t>Stwierdzono konieczność utworzenia obszaru ograniczonego użytkowania,</w:t>
      </w:r>
    </w:p>
    <w:p w14:paraId="0BA6C6B6" w14:textId="77777777" w:rsidR="00BF0DEB" w:rsidRPr="00F32A97" w:rsidRDefault="00BF0DEB" w:rsidP="00BF0DEB">
      <w:pPr>
        <w:pStyle w:val="Akapitzlist"/>
        <w:numPr>
          <w:ilvl w:val="0"/>
          <w:numId w:val="15"/>
        </w:numPr>
        <w:tabs>
          <w:tab w:val="left" w:pos="284"/>
        </w:tabs>
        <w:contextualSpacing w:val="0"/>
        <w:jc w:val="both"/>
        <w:rPr>
          <w:rFonts w:ascii="Lato" w:hAnsi="Lato" w:cs="Arial"/>
          <w:bCs/>
          <w:spacing w:val="4"/>
          <w:sz w:val="22"/>
          <w:szCs w:val="22"/>
        </w:rPr>
      </w:pPr>
      <w:r w:rsidRPr="00F32A97">
        <w:rPr>
          <w:rFonts w:ascii="Lato" w:hAnsi="Lato"/>
          <w:spacing w:val="4"/>
          <w:sz w:val="22"/>
          <w:szCs w:val="22"/>
        </w:rPr>
        <w:t>Nie nałożono obowiązku przeprowadzenia oceny oddziaływania przedsięwzięcia na środowisko w ramach postępowania w sprawie wydania pozwolenia na prace przygotowawcze, o którym mowa w ustawie o CPK,</w:t>
      </w:r>
    </w:p>
    <w:p w14:paraId="1821E8DF" w14:textId="77777777" w:rsidR="00BF0DEB" w:rsidRPr="00F32A97" w:rsidRDefault="00BF0DEB" w:rsidP="00BF0DEB">
      <w:pPr>
        <w:pStyle w:val="Akapitzlist"/>
        <w:numPr>
          <w:ilvl w:val="0"/>
          <w:numId w:val="15"/>
        </w:numPr>
        <w:tabs>
          <w:tab w:val="left" w:pos="284"/>
        </w:tabs>
        <w:contextualSpacing w:val="0"/>
        <w:jc w:val="both"/>
        <w:rPr>
          <w:rFonts w:ascii="Lato" w:hAnsi="Lato" w:cs="Arial"/>
          <w:bCs/>
          <w:spacing w:val="4"/>
          <w:sz w:val="22"/>
          <w:szCs w:val="22"/>
        </w:rPr>
      </w:pPr>
      <w:r w:rsidRPr="00F32A97">
        <w:rPr>
          <w:rFonts w:ascii="Lato" w:hAnsi="Lato"/>
          <w:spacing w:val="4"/>
          <w:sz w:val="22"/>
          <w:szCs w:val="22"/>
        </w:rPr>
        <w:t>Nałożono obowiązek przedstawienia analizy porealizacyjnej,</w:t>
      </w:r>
    </w:p>
    <w:p w14:paraId="67EF61B1" w14:textId="77777777" w:rsidR="00BF0DEB" w:rsidRPr="00F32A97" w:rsidRDefault="00BF0DEB" w:rsidP="00BF0DEB">
      <w:pPr>
        <w:pStyle w:val="Akapitzlist"/>
        <w:numPr>
          <w:ilvl w:val="0"/>
          <w:numId w:val="15"/>
        </w:numPr>
        <w:tabs>
          <w:tab w:val="left" w:pos="284"/>
        </w:tabs>
        <w:contextualSpacing w:val="0"/>
        <w:jc w:val="both"/>
        <w:rPr>
          <w:rFonts w:ascii="Lato" w:hAnsi="Lato" w:cs="Arial"/>
          <w:bCs/>
          <w:spacing w:val="4"/>
          <w:sz w:val="22"/>
          <w:szCs w:val="22"/>
        </w:rPr>
      </w:pPr>
      <w:r w:rsidRPr="00F32A97">
        <w:rPr>
          <w:rFonts w:ascii="Lato" w:hAnsi="Lato"/>
          <w:spacing w:val="4"/>
          <w:sz w:val="22"/>
          <w:szCs w:val="22"/>
        </w:rPr>
        <w:t>Stwierdzono potrzebę monitorowania oddziaływania przedsięwzięcia na środowisko w zakresie przyrodniczym</w:t>
      </w:r>
    </w:p>
    <w:p w14:paraId="6583A35B" w14:textId="77777777" w:rsidR="00BF0DEB" w:rsidRPr="00F32A97" w:rsidRDefault="00BF0DEB" w:rsidP="00BF0DEB">
      <w:pPr>
        <w:pStyle w:val="Akapitzlist"/>
        <w:numPr>
          <w:ilvl w:val="0"/>
          <w:numId w:val="15"/>
        </w:numPr>
        <w:tabs>
          <w:tab w:val="left" w:pos="284"/>
        </w:tabs>
        <w:contextualSpacing w:val="0"/>
        <w:jc w:val="both"/>
        <w:rPr>
          <w:rFonts w:ascii="Lato" w:hAnsi="Lato" w:cs="Arial"/>
          <w:bCs/>
          <w:spacing w:val="4"/>
          <w:sz w:val="22"/>
          <w:szCs w:val="22"/>
        </w:rPr>
      </w:pPr>
      <w:r w:rsidRPr="00F32A97">
        <w:rPr>
          <w:rFonts w:ascii="Lato" w:hAnsi="Lato"/>
          <w:spacing w:val="4"/>
          <w:sz w:val="22"/>
          <w:szCs w:val="22"/>
        </w:rPr>
        <w:t>Zgodnie z art. 75c ust. 1 ustawy o CPK, wskazano teren, na którym jest planowane przeprowadzenie prac wstępnych, o których mowa w art. 75b ustawy o CPK, o ile prace takie są przewidziane do realizacji.</w:t>
      </w:r>
    </w:p>
    <w:p w14:paraId="061ED505" w14:textId="77777777" w:rsidR="00BF0DEB" w:rsidRPr="00F32A97" w:rsidRDefault="00BF0DEB" w:rsidP="00BF0DEB">
      <w:pPr>
        <w:pStyle w:val="Akapitzlist"/>
        <w:numPr>
          <w:ilvl w:val="0"/>
          <w:numId w:val="15"/>
        </w:numPr>
        <w:tabs>
          <w:tab w:val="left" w:pos="284"/>
        </w:tabs>
        <w:spacing w:after="240" w:line="240" w:lineRule="exact"/>
        <w:ind w:left="924" w:hanging="357"/>
        <w:contextualSpacing w:val="0"/>
        <w:jc w:val="both"/>
        <w:rPr>
          <w:rFonts w:ascii="Lato" w:hAnsi="Lato" w:cs="Arial"/>
          <w:bCs/>
          <w:spacing w:val="4"/>
          <w:sz w:val="22"/>
          <w:szCs w:val="22"/>
        </w:rPr>
      </w:pPr>
      <w:r w:rsidRPr="00F32A97">
        <w:rPr>
          <w:rFonts w:ascii="Lato" w:hAnsi="Lato"/>
          <w:spacing w:val="4"/>
          <w:sz w:val="22"/>
          <w:szCs w:val="22"/>
        </w:rPr>
        <w:t>Nadano decyzji rygor natychmiastowej wykonalności”,</w:t>
      </w:r>
    </w:p>
    <w:p w14:paraId="67DED710" w14:textId="78CC393C" w:rsidR="00BF0DEB" w:rsidRPr="00F32A97" w:rsidRDefault="00BF0DEB" w:rsidP="00BF0DEB">
      <w:pPr>
        <w:pStyle w:val="Akapitzlist"/>
        <w:numPr>
          <w:ilvl w:val="0"/>
          <w:numId w:val="3"/>
        </w:numPr>
        <w:spacing w:after="240" w:line="240" w:lineRule="exact"/>
        <w:ind w:left="567" w:hanging="283"/>
        <w:contextualSpacing w:val="0"/>
        <w:jc w:val="both"/>
        <w:rPr>
          <w:rFonts w:ascii="Lato" w:hAnsi="Lato" w:cs="Arial"/>
          <w:bCs/>
          <w:spacing w:val="4"/>
          <w:sz w:val="22"/>
          <w:szCs w:val="22"/>
        </w:rPr>
      </w:pPr>
      <w:r w:rsidRPr="00F32A97">
        <w:rPr>
          <w:rFonts w:ascii="Lato" w:hAnsi="Lato" w:cs="Arial"/>
          <w:bCs/>
          <w:spacing w:val="4"/>
          <w:sz w:val="22"/>
          <w:szCs w:val="22"/>
        </w:rPr>
        <w:t>w rozstrzygnięciu zaskarżonej decyzji, znajdujący się na stronie 91, w wiersz</w:t>
      </w:r>
      <w:r w:rsidR="001E0572">
        <w:rPr>
          <w:rFonts w:ascii="Lato" w:hAnsi="Lato" w:cs="Arial"/>
          <w:bCs/>
          <w:spacing w:val="4"/>
          <w:sz w:val="22"/>
          <w:szCs w:val="22"/>
        </w:rPr>
        <w:t>ach</w:t>
      </w:r>
      <w:r w:rsidRPr="00F32A97">
        <w:rPr>
          <w:rFonts w:ascii="Lato" w:hAnsi="Lato" w:cs="Arial"/>
          <w:bCs/>
          <w:spacing w:val="4"/>
          <w:sz w:val="22"/>
          <w:szCs w:val="22"/>
        </w:rPr>
        <w:t xml:space="preserve"> </w:t>
      </w:r>
      <w:r w:rsidRPr="00F32A97">
        <w:rPr>
          <w:rFonts w:ascii="Lato" w:hAnsi="Lato" w:cs="Arial"/>
          <w:bCs/>
          <w:spacing w:val="4"/>
          <w:sz w:val="22"/>
          <w:szCs w:val="22"/>
        </w:rPr>
        <w:br/>
        <w:t>14-15, licząc od dołu strony, zapis:</w:t>
      </w:r>
    </w:p>
    <w:p w14:paraId="6AED6E21" w14:textId="77777777" w:rsidR="00BF0DEB" w:rsidRPr="00F32A97" w:rsidRDefault="00BF0DEB" w:rsidP="00BF0DEB">
      <w:pPr>
        <w:pStyle w:val="Akapitzlist"/>
        <w:spacing w:after="240" w:line="240" w:lineRule="exact"/>
        <w:ind w:left="567"/>
        <w:contextualSpacing w:val="0"/>
        <w:jc w:val="both"/>
        <w:rPr>
          <w:rFonts w:ascii="Lato" w:hAnsi="Lato" w:cs="Arial"/>
          <w:bCs/>
          <w:spacing w:val="4"/>
          <w:sz w:val="22"/>
          <w:szCs w:val="22"/>
        </w:rPr>
      </w:pPr>
      <w:r w:rsidRPr="00F32A97">
        <w:rPr>
          <w:rFonts w:ascii="Lato" w:hAnsi="Lato" w:cs="Arial"/>
          <w:bCs/>
          <w:spacing w:val="4"/>
          <w:sz w:val="22"/>
          <w:szCs w:val="22"/>
        </w:rPr>
        <w:t>„Pismem z dnia 30 grudnia 2020 r. Mazowiecki Komendant Wojewódzkiej Państwowej Straży Pożarnej, znak: WPZ.077.15.2.2023,</w:t>
      </w:r>
    </w:p>
    <w:p w14:paraId="31A6E8B7" w14:textId="4DBCAD61" w:rsidR="00BF0DEB" w:rsidRPr="00BF0DEB" w:rsidRDefault="00BF0DEB" w:rsidP="00BF0DEB">
      <w:pPr>
        <w:pStyle w:val="Akapitzlist"/>
        <w:numPr>
          <w:ilvl w:val="0"/>
          <w:numId w:val="3"/>
        </w:numPr>
        <w:spacing w:after="240" w:line="240" w:lineRule="exact"/>
        <w:ind w:left="568" w:hanging="284"/>
        <w:contextualSpacing w:val="0"/>
        <w:jc w:val="both"/>
        <w:rPr>
          <w:rFonts w:ascii="Lato" w:hAnsi="Lato" w:cs="Arial"/>
          <w:bCs/>
          <w:spacing w:val="4"/>
          <w:sz w:val="22"/>
          <w:szCs w:val="22"/>
        </w:rPr>
      </w:pPr>
      <w:r w:rsidRPr="00BF0DEB">
        <w:rPr>
          <w:rFonts w:ascii="Lato" w:hAnsi="Lato" w:cs="Arial"/>
          <w:bCs/>
          <w:spacing w:val="4"/>
          <w:sz w:val="22"/>
          <w:szCs w:val="22"/>
        </w:rPr>
        <w:t xml:space="preserve">w rozstrzygnięciu zaskarżonej decyzji, znajdujące się na stronach 91-93, zapisy stanowiące dotychczasową treść pkt 3 pn.: „Ochrona zabytków i dóbr kultury”,  </w:t>
      </w:r>
    </w:p>
    <w:p w14:paraId="6B3A90B7" w14:textId="77777777" w:rsidR="00BF0DEB" w:rsidRPr="00F32A97" w:rsidRDefault="00BF0DEB" w:rsidP="00BF0DEB">
      <w:pPr>
        <w:pStyle w:val="Akapitzlist"/>
        <w:numPr>
          <w:ilvl w:val="0"/>
          <w:numId w:val="3"/>
        </w:numPr>
        <w:spacing w:after="240" w:line="240" w:lineRule="exact"/>
        <w:ind w:left="568" w:hanging="284"/>
        <w:contextualSpacing w:val="0"/>
        <w:jc w:val="both"/>
        <w:rPr>
          <w:rFonts w:ascii="Lato" w:hAnsi="Lato" w:cs="Arial"/>
          <w:bCs/>
          <w:spacing w:val="4"/>
          <w:sz w:val="22"/>
          <w:szCs w:val="22"/>
        </w:rPr>
      </w:pPr>
      <w:r w:rsidRPr="00F32A97">
        <w:rPr>
          <w:rFonts w:ascii="Lato" w:hAnsi="Lato" w:cs="Arial"/>
          <w:bCs/>
          <w:spacing w:val="4"/>
          <w:sz w:val="22"/>
          <w:szCs w:val="22"/>
        </w:rPr>
        <w:t xml:space="preserve">w rozstrzygnięciu zaskarżonej decyzji, znajdujące się na stronie 152, zapisy stanowiące dotychczasową treść pkt XIII zaskarżonej decyzji,  </w:t>
      </w:r>
    </w:p>
    <w:p w14:paraId="40CEAD53" w14:textId="77777777" w:rsidR="00BF0DEB" w:rsidRDefault="00BF0DEB" w:rsidP="00BF0DEB">
      <w:pPr>
        <w:spacing w:after="240" w:line="240" w:lineRule="exact"/>
        <w:ind w:left="284"/>
        <w:jc w:val="both"/>
        <w:rPr>
          <w:rFonts w:ascii="Lato" w:hAnsi="Lato" w:cs="Arial"/>
          <w:spacing w:val="4"/>
          <w:sz w:val="22"/>
          <w:szCs w:val="22"/>
        </w:rPr>
      </w:pPr>
      <w:r w:rsidRPr="00057AAD">
        <w:rPr>
          <w:rFonts w:ascii="Lato" w:hAnsi="Lato" w:cs="Arial"/>
          <w:b/>
          <w:spacing w:val="4"/>
          <w:sz w:val="22"/>
          <w:szCs w:val="22"/>
        </w:rPr>
        <w:t>i orzekam w tym zakresie</w:t>
      </w:r>
      <w:r w:rsidRPr="00057AAD">
        <w:rPr>
          <w:rFonts w:ascii="Lato" w:hAnsi="Lato" w:cs="Arial"/>
          <w:spacing w:val="4"/>
          <w:sz w:val="22"/>
          <w:szCs w:val="22"/>
        </w:rPr>
        <w:t xml:space="preserve"> poprzez:</w:t>
      </w:r>
    </w:p>
    <w:p w14:paraId="4758270B" w14:textId="5A54425F" w:rsidR="00BF0DEB" w:rsidRPr="00F32A97" w:rsidRDefault="00BF0DEB" w:rsidP="00C32788">
      <w:pPr>
        <w:numPr>
          <w:ilvl w:val="0"/>
          <w:numId w:val="18"/>
        </w:numPr>
        <w:spacing w:after="240" w:line="240" w:lineRule="exact"/>
        <w:ind w:left="567" w:hanging="284"/>
        <w:jc w:val="both"/>
        <w:rPr>
          <w:rFonts w:ascii="Lato" w:hAnsi="Lato" w:cs="Arial"/>
          <w:spacing w:val="4"/>
          <w:sz w:val="22"/>
          <w:szCs w:val="22"/>
        </w:rPr>
      </w:pPr>
      <w:r w:rsidRPr="00F32A97">
        <w:rPr>
          <w:rFonts w:ascii="Lato" w:hAnsi="Lato" w:cs="Arial"/>
          <w:spacing w:val="4"/>
          <w:sz w:val="22"/>
          <w:szCs w:val="22"/>
        </w:rPr>
        <w:t>ustalenie, w rozstrzygnięciu zaskarżonej decyzji, w miejsce uchylenia, na stronie 88, w wiersz</w:t>
      </w:r>
      <w:r w:rsidR="001E0572">
        <w:rPr>
          <w:rFonts w:ascii="Lato" w:hAnsi="Lato" w:cs="Arial"/>
          <w:spacing w:val="4"/>
          <w:sz w:val="22"/>
          <w:szCs w:val="22"/>
        </w:rPr>
        <w:t>ach</w:t>
      </w:r>
      <w:r w:rsidRPr="00F32A97">
        <w:rPr>
          <w:rFonts w:ascii="Lato" w:hAnsi="Lato" w:cs="Arial"/>
          <w:spacing w:val="4"/>
          <w:sz w:val="22"/>
          <w:szCs w:val="22"/>
        </w:rPr>
        <w:t xml:space="preserve"> 17-18, licząc od dołu strony, nowego zapisu:</w:t>
      </w:r>
    </w:p>
    <w:p w14:paraId="1BDEB481" w14:textId="0F429A9E" w:rsidR="00BF0DEB" w:rsidRPr="00F32A97" w:rsidRDefault="00BF0DEB" w:rsidP="00C32788">
      <w:pPr>
        <w:spacing w:after="240" w:line="240" w:lineRule="exact"/>
        <w:ind w:left="567"/>
        <w:jc w:val="both"/>
        <w:rPr>
          <w:rFonts w:ascii="Lato" w:hAnsi="Lato" w:cs="Arial"/>
          <w:spacing w:val="4"/>
          <w:sz w:val="22"/>
          <w:szCs w:val="22"/>
        </w:rPr>
      </w:pPr>
      <w:r w:rsidRPr="00F32A97">
        <w:rPr>
          <w:rFonts w:ascii="Lato" w:hAnsi="Lato" w:cs="Arial"/>
          <w:spacing w:val="4"/>
          <w:sz w:val="22"/>
          <w:szCs w:val="22"/>
        </w:rPr>
        <w:t>„Wymagania dotyczące powiązania Inwestycji z drogami publicznymi, liniami kolejowymi oraz sieciami przedstawiono w pkt II niniejszej decyzji pn. „Charakterystyka Inwestycji”.</w:t>
      </w:r>
      <w:r w:rsidR="009961D2">
        <w:rPr>
          <w:rFonts w:ascii="Lato" w:hAnsi="Lato" w:cs="Arial"/>
          <w:spacing w:val="4"/>
          <w:sz w:val="22"/>
          <w:szCs w:val="22"/>
        </w:rPr>
        <w:t xml:space="preserve"> </w:t>
      </w:r>
      <w:r w:rsidRPr="00F32A97">
        <w:rPr>
          <w:rFonts w:ascii="Lato" w:hAnsi="Lato" w:cs="Arial"/>
          <w:spacing w:val="4"/>
          <w:sz w:val="22"/>
          <w:szCs w:val="22"/>
        </w:rPr>
        <w:t xml:space="preserve">Zgodnie z zakresem przedmiotowym </w:t>
      </w:r>
      <w:r w:rsidRPr="00F32A97">
        <w:rPr>
          <w:rFonts w:ascii="Lato" w:hAnsi="Lato" w:cs="Arial"/>
          <w:spacing w:val="4"/>
          <w:sz w:val="22"/>
          <w:szCs w:val="22"/>
        </w:rPr>
        <w:lastRenderedPageBreak/>
        <w:t>przedstawionym w pkt II niniejszej decyzji, powiązanie z drogami publicznymi nastąpi w ramach realizowania komponentu drogowego.”,</w:t>
      </w:r>
    </w:p>
    <w:p w14:paraId="49BF74BB" w14:textId="77777777" w:rsidR="00BF0DEB" w:rsidRPr="00F32A97" w:rsidRDefault="00BF0DEB" w:rsidP="00C32788">
      <w:pPr>
        <w:pStyle w:val="Akapitzlist"/>
        <w:numPr>
          <w:ilvl w:val="0"/>
          <w:numId w:val="14"/>
        </w:numPr>
        <w:spacing w:after="240" w:line="240" w:lineRule="exact"/>
        <w:ind w:left="567" w:hanging="284"/>
        <w:contextualSpacing w:val="0"/>
        <w:jc w:val="both"/>
        <w:rPr>
          <w:rFonts w:ascii="Lato" w:hAnsi="Lato" w:cs="Arial"/>
          <w:bCs/>
          <w:spacing w:val="4"/>
          <w:sz w:val="22"/>
          <w:szCs w:val="22"/>
        </w:rPr>
      </w:pPr>
      <w:r w:rsidRPr="00F32A97">
        <w:rPr>
          <w:rFonts w:ascii="Lato" w:hAnsi="Lato" w:cs="Arial"/>
          <w:bCs/>
          <w:spacing w:val="4"/>
          <w:sz w:val="22"/>
          <w:szCs w:val="22"/>
        </w:rPr>
        <w:t>ustalenie, w rozstrzygnięciu zaskarżonej decyzji, w miejsce uchylenia na stronie 89, w wierszu 8, licząc od góry strony, nowego zapisu:</w:t>
      </w:r>
    </w:p>
    <w:p w14:paraId="50EE08CB" w14:textId="77777777" w:rsidR="00BF0DEB" w:rsidRPr="00F32A97" w:rsidRDefault="00BF0DEB" w:rsidP="00C32788">
      <w:pPr>
        <w:pStyle w:val="Akapitzlist"/>
        <w:spacing w:after="240" w:line="240" w:lineRule="exact"/>
        <w:ind w:left="567"/>
        <w:contextualSpacing w:val="0"/>
        <w:jc w:val="both"/>
        <w:rPr>
          <w:rFonts w:ascii="Lato" w:hAnsi="Lato" w:cs="Arial"/>
          <w:bCs/>
          <w:spacing w:val="4"/>
          <w:sz w:val="22"/>
          <w:szCs w:val="22"/>
        </w:rPr>
      </w:pPr>
      <w:r w:rsidRPr="00F32A97">
        <w:rPr>
          <w:rFonts w:ascii="Lato" w:hAnsi="Lato" w:cs="Arial"/>
          <w:bCs/>
          <w:spacing w:val="4"/>
          <w:sz w:val="22"/>
          <w:szCs w:val="22"/>
        </w:rPr>
        <w:t>„• ustawy z dnia 20 lipca 2017 r. Prawo wodne,”,</w:t>
      </w:r>
    </w:p>
    <w:p w14:paraId="56D42BF0" w14:textId="77777777" w:rsidR="00BF0DEB" w:rsidRPr="00F32A97" w:rsidRDefault="00BF0DEB" w:rsidP="00BF0DEB">
      <w:pPr>
        <w:pStyle w:val="Akapitzlist"/>
        <w:numPr>
          <w:ilvl w:val="0"/>
          <w:numId w:val="14"/>
        </w:numPr>
        <w:tabs>
          <w:tab w:val="left" w:pos="284"/>
        </w:tabs>
        <w:spacing w:after="240" w:line="240" w:lineRule="exact"/>
        <w:ind w:left="567" w:hanging="283"/>
        <w:contextualSpacing w:val="0"/>
        <w:jc w:val="both"/>
        <w:rPr>
          <w:rFonts w:ascii="Lato" w:hAnsi="Lato" w:cs="Arial"/>
          <w:bCs/>
          <w:spacing w:val="4"/>
          <w:sz w:val="22"/>
          <w:szCs w:val="22"/>
        </w:rPr>
      </w:pPr>
      <w:r w:rsidRPr="00F32A97">
        <w:rPr>
          <w:rFonts w:ascii="Lato" w:hAnsi="Lato" w:cs="Arial"/>
          <w:bCs/>
          <w:spacing w:val="4"/>
          <w:sz w:val="22"/>
          <w:szCs w:val="22"/>
        </w:rPr>
        <w:t>ustalenie w rozstrzygnięciu zaskarżonej decyzji, w miejsce uchylenia, na stronie 89, nowego zapisu:</w:t>
      </w:r>
    </w:p>
    <w:p w14:paraId="24A66803" w14:textId="77777777" w:rsidR="00BF0DEB" w:rsidRPr="00F32A97" w:rsidRDefault="00BF0DEB" w:rsidP="00BF0DEB">
      <w:pPr>
        <w:pStyle w:val="Akapitzlist"/>
        <w:tabs>
          <w:tab w:val="left" w:pos="284"/>
        </w:tabs>
        <w:spacing w:after="120" w:line="240" w:lineRule="exact"/>
        <w:ind w:left="567"/>
        <w:contextualSpacing w:val="0"/>
        <w:jc w:val="both"/>
        <w:rPr>
          <w:rFonts w:ascii="Lato" w:hAnsi="Lato" w:cs="Arial"/>
          <w:bCs/>
          <w:iCs/>
          <w:spacing w:val="4"/>
          <w:sz w:val="22"/>
          <w:szCs w:val="22"/>
          <w:lang w:bidi="pl-PL"/>
        </w:rPr>
      </w:pPr>
      <w:r w:rsidRPr="00F32A97">
        <w:rPr>
          <w:rFonts w:ascii="Lato" w:hAnsi="Lato" w:cs="Arial"/>
          <w:bCs/>
          <w:spacing w:val="4"/>
          <w:sz w:val="22"/>
          <w:szCs w:val="22"/>
        </w:rPr>
        <w:t xml:space="preserve">„3. Inwestor realizując przedsięwzięcie jest obowiązany uwzględnić ochronę środowiska, życia i zdrowia ludzi oraz </w:t>
      </w:r>
      <w:r w:rsidRPr="00F32A97">
        <w:rPr>
          <w:rFonts w:ascii="Lato" w:hAnsi="Lato" w:cs="Arial"/>
          <w:bCs/>
          <w:iCs/>
          <w:spacing w:val="4"/>
          <w:sz w:val="22"/>
          <w:szCs w:val="22"/>
          <w:lang w:bidi="pl-PL"/>
        </w:rPr>
        <w:t>zobowiązany jest do przestrzegania warunków i wymagań zawartych w:</w:t>
      </w:r>
    </w:p>
    <w:p w14:paraId="1EF0FC0E" w14:textId="77777777" w:rsidR="00BF0DEB" w:rsidRPr="00F32A97" w:rsidRDefault="00BF0DEB" w:rsidP="00BF0DEB">
      <w:pPr>
        <w:pStyle w:val="Akapitzlist"/>
        <w:numPr>
          <w:ilvl w:val="0"/>
          <w:numId w:val="17"/>
        </w:numPr>
        <w:tabs>
          <w:tab w:val="left" w:pos="284"/>
        </w:tabs>
        <w:spacing w:after="120" w:line="240" w:lineRule="exact"/>
        <w:contextualSpacing w:val="0"/>
        <w:jc w:val="both"/>
        <w:rPr>
          <w:rFonts w:ascii="Lato" w:hAnsi="Lato" w:cs="Arial"/>
          <w:bCs/>
          <w:iCs/>
          <w:spacing w:val="4"/>
          <w:sz w:val="22"/>
          <w:szCs w:val="22"/>
          <w:lang w:bidi="pl-PL"/>
        </w:rPr>
      </w:pPr>
      <w:r w:rsidRPr="00F32A97">
        <w:rPr>
          <w:rFonts w:ascii="Lato" w:hAnsi="Lato" w:cs="Arial"/>
          <w:bCs/>
          <w:iCs/>
          <w:spacing w:val="4"/>
          <w:sz w:val="22"/>
          <w:szCs w:val="22"/>
          <w:lang w:bidi="pl-PL"/>
        </w:rPr>
        <w:t xml:space="preserve">decyzji Regionalnego Dyrektora Ochrony Środowiska w Warszawie z dnia </w:t>
      </w:r>
      <w:r w:rsidRPr="00F32A97">
        <w:rPr>
          <w:rFonts w:ascii="Lato" w:hAnsi="Lato" w:cs="Arial"/>
          <w:bCs/>
          <w:iCs/>
          <w:spacing w:val="4"/>
          <w:sz w:val="22"/>
          <w:szCs w:val="22"/>
          <w:lang w:bidi="pl-PL"/>
        </w:rPr>
        <w:br/>
        <w:t>7 lipca 2023 r., znak: WOOŚ-II.420.85.2022.MP.278, ustalającej środowiskowe uwarunkowania dla przedsięwzięcia pn. „Budowa Centralnego Portu Komunikacyjnego wraz z urządzeniami i obiektami niezbędnymi do jego funkcjonowania”,</w:t>
      </w:r>
    </w:p>
    <w:p w14:paraId="1E026B12" w14:textId="55C9606F" w:rsidR="00BF0DEB" w:rsidRPr="00800FD4" w:rsidRDefault="00BF0DEB" w:rsidP="00BF0DEB">
      <w:pPr>
        <w:pStyle w:val="Akapitzlist"/>
        <w:numPr>
          <w:ilvl w:val="0"/>
          <w:numId w:val="17"/>
        </w:numPr>
        <w:tabs>
          <w:tab w:val="left" w:pos="284"/>
        </w:tabs>
        <w:spacing w:after="120" w:line="240" w:lineRule="exact"/>
        <w:contextualSpacing w:val="0"/>
        <w:jc w:val="both"/>
        <w:rPr>
          <w:rFonts w:ascii="Lato" w:hAnsi="Lato" w:cs="Arial"/>
          <w:bCs/>
          <w:iCs/>
          <w:spacing w:val="4"/>
          <w:sz w:val="22"/>
          <w:szCs w:val="22"/>
          <w:lang w:bidi="pl-PL"/>
        </w:rPr>
      </w:pPr>
      <w:r w:rsidRPr="00800FD4">
        <w:rPr>
          <w:rFonts w:ascii="Lato" w:hAnsi="Lato" w:cs="Arial"/>
          <w:bCs/>
          <w:iCs/>
          <w:spacing w:val="4"/>
          <w:sz w:val="22"/>
          <w:szCs w:val="22"/>
          <w:lang w:bidi="pl-PL"/>
        </w:rPr>
        <w:t>decyzji Generalnego Dyrektora Ochrony Środowiska z dnia 30 grudnia 2025 r., znak: DOOŚ-WDŚZOO.420.27.2023.KN.94, uchylającej w części i orzekającej w tym zakresie co do istoty sprawy, a w pozostałej części utrzymującej w mocy ww. decyzję Regionalnego Dyrektora Ochrony Środowiska w Warszawie z dnia 7 lipca 2023 r., znak: WOOŚ-II.420.85.2022.MP.278,</w:t>
      </w:r>
      <w:r w:rsidR="00194718" w:rsidRPr="00800FD4">
        <w:rPr>
          <w:rFonts w:ascii="Lato" w:hAnsi="Lato" w:cs="Arial"/>
          <w:bCs/>
          <w:iCs/>
          <w:spacing w:val="4"/>
          <w:sz w:val="22"/>
          <w:szCs w:val="22"/>
          <w:lang w:bidi="pl-PL"/>
        </w:rPr>
        <w:t xml:space="preserve"> sprostowan</w:t>
      </w:r>
      <w:r w:rsidR="000A4FEE" w:rsidRPr="00800FD4">
        <w:rPr>
          <w:rFonts w:ascii="Lato" w:hAnsi="Lato" w:cs="Arial"/>
          <w:bCs/>
          <w:iCs/>
          <w:spacing w:val="4"/>
          <w:sz w:val="22"/>
          <w:szCs w:val="22"/>
          <w:lang w:bidi="pl-PL"/>
        </w:rPr>
        <w:t>ej</w:t>
      </w:r>
      <w:r w:rsidR="00194718" w:rsidRPr="00800FD4">
        <w:rPr>
          <w:rFonts w:ascii="Lato" w:hAnsi="Lato" w:cs="Arial"/>
          <w:bCs/>
          <w:iCs/>
          <w:spacing w:val="4"/>
          <w:sz w:val="22"/>
          <w:szCs w:val="22"/>
          <w:lang w:bidi="pl-PL"/>
        </w:rPr>
        <w:t xml:space="preserve"> postanowieniem Generalnego Dyrektora Ochrony Środowiska z dnia 30 marca 2026 r., znak: DOOŚ-WDŚZOO.420.27.2023.KN.105,</w:t>
      </w:r>
    </w:p>
    <w:p w14:paraId="5DD25E0A" w14:textId="77777777" w:rsidR="00BF0DEB" w:rsidRPr="00F32A97" w:rsidRDefault="00BF0DEB" w:rsidP="00BF0DEB">
      <w:pPr>
        <w:pStyle w:val="Akapitzlist"/>
        <w:numPr>
          <w:ilvl w:val="0"/>
          <w:numId w:val="17"/>
        </w:numPr>
        <w:tabs>
          <w:tab w:val="left" w:pos="284"/>
        </w:tabs>
        <w:spacing w:after="240" w:line="240" w:lineRule="exact"/>
        <w:ind w:left="924" w:hanging="357"/>
        <w:contextualSpacing w:val="0"/>
        <w:jc w:val="both"/>
        <w:rPr>
          <w:rFonts w:ascii="Lato" w:hAnsi="Lato" w:cs="Arial"/>
          <w:bCs/>
          <w:iCs/>
          <w:spacing w:val="4"/>
          <w:sz w:val="22"/>
          <w:szCs w:val="22"/>
          <w:lang w:bidi="pl-PL"/>
        </w:rPr>
      </w:pPr>
      <w:r w:rsidRPr="00F32A97">
        <w:rPr>
          <w:rFonts w:ascii="Lato" w:hAnsi="Lato" w:cs="Arial"/>
          <w:bCs/>
          <w:iCs/>
          <w:spacing w:val="4"/>
          <w:sz w:val="22"/>
          <w:szCs w:val="22"/>
          <w:lang w:bidi="pl-PL"/>
        </w:rPr>
        <w:t xml:space="preserve">decyzji Regionalnego Dyrektora Ochrony Środowiska w Warszawie z dnia </w:t>
      </w:r>
      <w:r w:rsidRPr="00F32A97">
        <w:rPr>
          <w:rFonts w:ascii="Lato" w:hAnsi="Lato" w:cs="Arial"/>
          <w:bCs/>
          <w:iCs/>
          <w:spacing w:val="4"/>
          <w:sz w:val="22"/>
          <w:szCs w:val="22"/>
          <w:lang w:bidi="pl-PL"/>
        </w:rPr>
        <w:br/>
        <w:t xml:space="preserve">19 czerwca 2024 r., znak: WOOŚ-II.420.69.2023.AG.12, stwierdzającej brak potrzeby przeprowadzenia oceny odziaływania na środowisko przedsięwzięcia pn.: „Budowa Centralnego Portu Komunikacyjnego wraz z urządzeniami </w:t>
      </w:r>
      <w:r w:rsidRPr="00F32A97">
        <w:rPr>
          <w:rFonts w:ascii="Lato" w:hAnsi="Lato" w:cs="Arial"/>
          <w:bCs/>
          <w:iCs/>
          <w:spacing w:val="4"/>
          <w:sz w:val="22"/>
          <w:szCs w:val="22"/>
          <w:lang w:bidi="pl-PL"/>
        </w:rPr>
        <w:br/>
        <w:t>i obiektami niezbędnymi do jego funkcjonowania - budowa bocznicy kolejowej na odcinku linia kolejowa nr 3 - Centralny Port Komunikacyjny”.,</w:t>
      </w:r>
    </w:p>
    <w:p w14:paraId="6A6E90EE" w14:textId="77777777" w:rsidR="00BF0DEB" w:rsidRPr="00F32A97" w:rsidRDefault="00BF0DEB" w:rsidP="00BF0DEB">
      <w:pPr>
        <w:pStyle w:val="Akapitzlist"/>
        <w:numPr>
          <w:ilvl w:val="0"/>
          <w:numId w:val="3"/>
        </w:numPr>
        <w:spacing w:after="240" w:line="240" w:lineRule="exact"/>
        <w:ind w:left="567" w:hanging="283"/>
        <w:contextualSpacing w:val="0"/>
        <w:jc w:val="both"/>
        <w:rPr>
          <w:rFonts w:ascii="Lato" w:hAnsi="Lato" w:cs="Arial"/>
          <w:bCs/>
          <w:spacing w:val="4"/>
          <w:sz w:val="22"/>
          <w:szCs w:val="22"/>
        </w:rPr>
      </w:pPr>
      <w:r w:rsidRPr="00F32A97">
        <w:rPr>
          <w:rFonts w:ascii="Lato" w:hAnsi="Lato" w:cs="Arial"/>
          <w:bCs/>
          <w:spacing w:val="4"/>
          <w:sz w:val="22"/>
          <w:szCs w:val="22"/>
        </w:rPr>
        <w:t>ustalenie, w rozstrzygnięciu zaskarżonej decyzji, w miejsce uchylenia, na stronie 91, w wierszu 14-15, licząc od dołu strony, nowego zapisu:</w:t>
      </w:r>
    </w:p>
    <w:p w14:paraId="2EBAD87F" w14:textId="77777777" w:rsidR="00BF0DEB" w:rsidRPr="00F32A97" w:rsidRDefault="00BF0DEB" w:rsidP="00BF0DEB">
      <w:pPr>
        <w:pStyle w:val="Akapitzlist"/>
        <w:spacing w:after="240" w:line="240" w:lineRule="exact"/>
        <w:ind w:left="567"/>
        <w:contextualSpacing w:val="0"/>
        <w:jc w:val="both"/>
        <w:rPr>
          <w:rFonts w:ascii="Lato" w:hAnsi="Lato" w:cs="Arial"/>
          <w:bCs/>
          <w:spacing w:val="4"/>
          <w:sz w:val="22"/>
          <w:szCs w:val="22"/>
        </w:rPr>
      </w:pPr>
      <w:r w:rsidRPr="00F32A97">
        <w:rPr>
          <w:rFonts w:ascii="Lato" w:hAnsi="Lato" w:cs="Arial"/>
          <w:bCs/>
          <w:spacing w:val="4"/>
          <w:sz w:val="22"/>
          <w:szCs w:val="22"/>
        </w:rPr>
        <w:t>„Pismem z dnia 4 października 2023 r. Mazowiecki Komendant Wojewódzkiej Państwowej Straży Pożarnej, znak: WPZ.077.15.2.2023”,</w:t>
      </w:r>
    </w:p>
    <w:p w14:paraId="51105867" w14:textId="6D831212" w:rsidR="00BF0DEB" w:rsidRPr="00DC2331" w:rsidRDefault="00BF0DEB" w:rsidP="00BF0DEB">
      <w:pPr>
        <w:pStyle w:val="Akapitzlist"/>
        <w:numPr>
          <w:ilvl w:val="0"/>
          <w:numId w:val="3"/>
        </w:numPr>
        <w:spacing w:after="240" w:line="240" w:lineRule="exact"/>
        <w:ind w:left="568" w:hanging="284"/>
        <w:contextualSpacing w:val="0"/>
        <w:jc w:val="both"/>
        <w:rPr>
          <w:rFonts w:ascii="Lato" w:hAnsi="Lato" w:cs="Arial"/>
          <w:bCs/>
          <w:spacing w:val="4"/>
          <w:sz w:val="22"/>
          <w:szCs w:val="22"/>
        </w:rPr>
      </w:pPr>
      <w:r w:rsidRPr="00DC2331">
        <w:rPr>
          <w:rFonts w:ascii="Lato" w:hAnsi="Lato" w:cs="Arial"/>
          <w:bCs/>
          <w:spacing w:val="4"/>
          <w:sz w:val="22"/>
          <w:szCs w:val="22"/>
        </w:rPr>
        <w:t>ustalenie, w rozstrzygnięciu zaskarżonej decyzji, w miejsce uchylenia, na stronach 91-93, zapisów stanowiących nową treść pkt 3:</w:t>
      </w:r>
    </w:p>
    <w:p w14:paraId="7B1C4034" w14:textId="77777777" w:rsidR="00BF0DEB" w:rsidRPr="00DC2331" w:rsidRDefault="00BF0DEB" w:rsidP="00BF0DEB">
      <w:pPr>
        <w:pStyle w:val="Akapitzlist"/>
        <w:spacing w:after="240" w:line="240" w:lineRule="exact"/>
        <w:ind w:left="568"/>
        <w:contextualSpacing w:val="0"/>
        <w:jc w:val="both"/>
        <w:rPr>
          <w:rFonts w:ascii="Lato" w:hAnsi="Lato" w:cs="Arial"/>
          <w:b/>
          <w:spacing w:val="4"/>
          <w:sz w:val="22"/>
          <w:szCs w:val="22"/>
        </w:rPr>
      </w:pPr>
      <w:r w:rsidRPr="00DC2331">
        <w:rPr>
          <w:rFonts w:ascii="Lato" w:hAnsi="Lato" w:cs="Arial"/>
          <w:bCs/>
          <w:spacing w:val="4"/>
          <w:sz w:val="22"/>
          <w:szCs w:val="22"/>
        </w:rPr>
        <w:t>„</w:t>
      </w:r>
      <w:r w:rsidRPr="00DC2331">
        <w:rPr>
          <w:rFonts w:ascii="Lato" w:hAnsi="Lato" w:cs="Arial"/>
          <w:b/>
          <w:spacing w:val="4"/>
          <w:sz w:val="22"/>
          <w:szCs w:val="22"/>
        </w:rPr>
        <w:t>3. Warunki wynikające z ochrony zabytków i dóbr kultury</w:t>
      </w:r>
      <w:r>
        <w:rPr>
          <w:rFonts w:ascii="Lato" w:hAnsi="Lato" w:cs="Arial"/>
          <w:b/>
          <w:spacing w:val="4"/>
          <w:sz w:val="22"/>
          <w:szCs w:val="22"/>
        </w:rPr>
        <w:t>.</w:t>
      </w:r>
    </w:p>
    <w:p w14:paraId="05D81476" w14:textId="3D4E3B7F" w:rsidR="00BF0DEB" w:rsidRPr="00DC2331" w:rsidRDefault="00BF0DEB" w:rsidP="00BF0DEB">
      <w:pPr>
        <w:pStyle w:val="Akapitzlist"/>
        <w:spacing w:after="120" w:line="240" w:lineRule="exact"/>
        <w:ind w:left="709"/>
        <w:contextualSpacing w:val="0"/>
        <w:jc w:val="both"/>
        <w:rPr>
          <w:rFonts w:ascii="Lato" w:hAnsi="Lato" w:cs="Arial"/>
          <w:bCs/>
          <w:spacing w:val="4"/>
          <w:sz w:val="22"/>
          <w:szCs w:val="22"/>
        </w:rPr>
      </w:pPr>
      <w:r w:rsidRPr="00DC2331">
        <w:rPr>
          <w:rFonts w:ascii="Lato" w:hAnsi="Lato" w:cs="Arial"/>
          <w:bCs/>
          <w:spacing w:val="4"/>
          <w:sz w:val="22"/>
          <w:szCs w:val="22"/>
        </w:rPr>
        <w:t xml:space="preserve">Warunki wynikające z potrzeb ochrony zabytków i dóbr kultury związane </w:t>
      </w:r>
      <w:r w:rsidR="000C69F8">
        <w:rPr>
          <w:rFonts w:ascii="Lato" w:hAnsi="Lato" w:cs="Arial"/>
          <w:bCs/>
          <w:spacing w:val="4"/>
          <w:sz w:val="22"/>
          <w:szCs w:val="22"/>
        </w:rPr>
        <w:br/>
      </w:r>
      <w:r w:rsidRPr="00DC2331">
        <w:rPr>
          <w:rFonts w:ascii="Lato" w:hAnsi="Lato" w:cs="Arial"/>
          <w:bCs/>
          <w:spacing w:val="4"/>
          <w:sz w:val="22"/>
          <w:szCs w:val="22"/>
        </w:rPr>
        <w:t xml:space="preserve">są bezpośrednio z lokalizacją zabytków oraz stanowisk archeologicznych </w:t>
      </w:r>
      <w:r w:rsidR="000C69F8">
        <w:rPr>
          <w:rFonts w:ascii="Lato" w:hAnsi="Lato" w:cs="Arial"/>
          <w:bCs/>
          <w:spacing w:val="4"/>
          <w:sz w:val="22"/>
          <w:szCs w:val="22"/>
        </w:rPr>
        <w:br/>
      </w:r>
      <w:r w:rsidRPr="00DC2331">
        <w:rPr>
          <w:rFonts w:ascii="Lato" w:hAnsi="Lato" w:cs="Arial"/>
          <w:bCs/>
          <w:spacing w:val="4"/>
          <w:sz w:val="22"/>
          <w:szCs w:val="22"/>
        </w:rPr>
        <w:t xml:space="preserve">na obszarze Inwestycji. </w:t>
      </w:r>
    </w:p>
    <w:p w14:paraId="4D95B939" w14:textId="114103A1" w:rsidR="00BF0DEB" w:rsidRPr="00DC2331" w:rsidRDefault="00BF0DEB" w:rsidP="00BF0DEB">
      <w:pPr>
        <w:pStyle w:val="Akapitzlist"/>
        <w:numPr>
          <w:ilvl w:val="0"/>
          <w:numId w:val="20"/>
        </w:numPr>
        <w:spacing w:after="120" w:line="240" w:lineRule="exact"/>
        <w:ind w:left="993" w:hanging="284"/>
        <w:contextualSpacing w:val="0"/>
        <w:jc w:val="both"/>
        <w:rPr>
          <w:rFonts w:ascii="Lato" w:hAnsi="Lato" w:cs="Arial"/>
          <w:bCs/>
          <w:spacing w:val="4"/>
          <w:sz w:val="22"/>
          <w:szCs w:val="22"/>
        </w:rPr>
      </w:pPr>
      <w:r w:rsidRPr="00DC2331">
        <w:rPr>
          <w:rFonts w:ascii="Lato" w:hAnsi="Lato" w:cs="Arial"/>
          <w:bCs/>
          <w:spacing w:val="4"/>
          <w:sz w:val="22"/>
          <w:szCs w:val="22"/>
        </w:rPr>
        <w:t xml:space="preserve">stanowiska archeologiczne będące w kolizji z planowaną Inwestycją należy poddać ratowniczym archeologicznym badaniom wykopaliskowym. Prace należy wykonać zgodnie ze Standardami prowadzenia badań archeologicznych opracowanymi przez Narodowy Instytut Dziedzictwa (Standardy prowadzenia badań archeologicznych, Narodowy Instytut Dziedzictwa, Warszawa, 2019), </w:t>
      </w:r>
      <w:r w:rsidR="00CA2B91">
        <w:rPr>
          <w:rFonts w:ascii="Lato" w:hAnsi="Lato" w:cs="Arial"/>
          <w:bCs/>
          <w:spacing w:val="4"/>
          <w:sz w:val="22"/>
          <w:szCs w:val="22"/>
        </w:rPr>
        <w:br/>
      </w:r>
      <w:r w:rsidRPr="00DC2331">
        <w:rPr>
          <w:rFonts w:ascii="Lato" w:hAnsi="Lato" w:cs="Arial"/>
          <w:bCs/>
          <w:spacing w:val="4"/>
          <w:sz w:val="22"/>
          <w:szCs w:val="22"/>
        </w:rPr>
        <w:lastRenderedPageBreak/>
        <w:t>na podstawie planowanego do uzyskania pozwolenia Mazowieckiego Wojewódzkiego Konserwatora Zabytków. W przypadku odnalezienia nowych stanowisk archeologicznych, które do tej pory nie zostały zidentyfikowane, przeprowadzić takie same prace jak dla stanowisk już zidentyfikowanych;</w:t>
      </w:r>
    </w:p>
    <w:p w14:paraId="03EFAF0E" w14:textId="77777777" w:rsidR="00BF0DEB" w:rsidRPr="00DC2331" w:rsidRDefault="00BF0DEB" w:rsidP="00BF0DEB">
      <w:pPr>
        <w:pStyle w:val="Akapitzlist"/>
        <w:numPr>
          <w:ilvl w:val="0"/>
          <w:numId w:val="20"/>
        </w:numPr>
        <w:spacing w:after="120" w:line="240" w:lineRule="exact"/>
        <w:ind w:left="993" w:hanging="284"/>
        <w:contextualSpacing w:val="0"/>
        <w:jc w:val="both"/>
        <w:rPr>
          <w:rFonts w:ascii="Lato" w:hAnsi="Lato" w:cs="Arial"/>
          <w:bCs/>
          <w:spacing w:val="4"/>
          <w:sz w:val="22"/>
          <w:szCs w:val="22"/>
        </w:rPr>
      </w:pPr>
      <w:r w:rsidRPr="00DC2331">
        <w:rPr>
          <w:rFonts w:ascii="Lato" w:hAnsi="Lato" w:cs="Arial"/>
          <w:bCs/>
          <w:spacing w:val="4"/>
          <w:sz w:val="22"/>
          <w:szCs w:val="22"/>
        </w:rPr>
        <w:t>badania archeologiczne wyprzedzające planowaną budowę winny brać pod uwagę konieczność:</w:t>
      </w:r>
    </w:p>
    <w:p w14:paraId="1D1B5C6B" w14:textId="58593B64" w:rsidR="00BF0DEB" w:rsidRPr="00DC2331" w:rsidRDefault="00BF0DEB" w:rsidP="00BF0DEB">
      <w:pPr>
        <w:pStyle w:val="Akapitzlist"/>
        <w:numPr>
          <w:ilvl w:val="0"/>
          <w:numId w:val="14"/>
        </w:numPr>
        <w:spacing w:after="120" w:line="240" w:lineRule="exact"/>
        <w:ind w:left="1418"/>
        <w:contextualSpacing w:val="0"/>
        <w:jc w:val="both"/>
        <w:rPr>
          <w:rFonts w:ascii="Lato" w:hAnsi="Lato" w:cs="Arial"/>
          <w:bCs/>
          <w:spacing w:val="4"/>
          <w:sz w:val="22"/>
          <w:szCs w:val="22"/>
        </w:rPr>
      </w:pPr>
      <w:r w:rsidRPr="00DC2331">
        <w:rPr>
          <w:rFonts w:ascii="Lato" w:hAnsi="Lato" w:cs="Arial"/>
          <w:bCs/>
          <w:spacing w:val="4"/>
          <w:sz w:val="22"/>
          <w:szCs w:val="22"/>
        </w:rPr>
        <w:t>w przypadku stanowisk o większej wartości poznawczej - dostosowania technik badawczych do specyfiki badanego stanowiska (w tym m.in. wykonanie planigrafii, przesiewanie warstw, pobieranie próbek) oraz wykonania wszelkich możliwych analiz specjalistycznych (w tym m.in.: palinologiczną, antropologiczną, archeozoologiczną, dostępne metody datowania oraz traseologię),</w:t>
      </w:r>
    </w:p>
    <w:p w14:paraId="3DB52E6B" w14:textId="72E2A18D" w:rsidR="00BF0DEB" w:rsidRPr="00DC2331" w:rsidRDefault="00BF0DEB" w:rsidP="00BF0DEB">
      <w:pPr>
        <w:pStyle w:val="Akapitzlist"/>
        <w:numPr>
          <w:ilvl w:val="0"/>
          <w:numId w:val="14"/>
        </w:numPr>
        <w:spacing w:after="120" w:line="240" w:lineRule="exact"/>
        <w:ind w:left="1418"/>
        <w:contextualSpacing w:val="0"/>
        <w:jc w:val="both"/>
        <w:rPr>
          <w:rFonts w:ascii="Lato" w:hAnsi="Lato" w:cs="Arial"/>
          <w:bCs/>
          <w:spacing w:val="4"/>
          <w:sz w:val="22"/>
          <w:szCs w:val="22"/>
        </w:rPr>
      </w:pPr>
      <w:r w:rsidRPr="00DC2331">
        <w:rPr>
          <w:rFonts w:ascii="Lato" w:hAnsi="Lato" w:cs="Arial"/>
          <w:bCs/>
          <w:spacing w:val="4"/>
          <w:sz w:val="22"/>
          <w:szCs w:val="22"/>
        </w:rPr>
        <w:t>w przypadku stanowisk o niewielkiej wartości poznawczej</w:t>
      </w:r>
      <w:r w:rsidR="00CC234C">
        <w:rPr>
          <w:rFonts w:ascii="Lato" w:hAnsi="Lato" w:cs="Arial"/>
          <w:bCs/>
          <w:spacing w:val="4"/>
          <w:sz w:val="22"/>
          <w:szCs w:val="22"/>
        </w:rPr>
        <w:t xml:space="preserve"> i sprzyjającej takiemu rozwiązaniu </w:t>
      </w:r>
      <w:r w:rsidRPr="00DC2331">
        <w:rPr>
          <w:rFonts w:ascii="Lato" w:hAnsi="Lato" w:cs="Arial"/>
          <w:bCs/>
          <w:spacing w:val="4"/>
          <w:sz w:val="22"/>
          <w:szCs w:val="22"/>
        </w:rPr>
        <w:t>techni</w:t>
      </w:r>
      <w:r w:rsidR="00CC234C">
        <w:rPr>
          <w:rFonts w:ascii="Lato" w:hAnsi="Lato" w:cs="Arial"/>
          <w:bCs/>
          <w:spacing w:val="4"/>
          <w:sz w:val="22"/>
          <w:szCs w:val="22"/>
        </w:rPr>
        <w:t>ce</w:t>
      </w:r>
      <w:r w:rsidRPr="00DC2331">
        <w:rPr>
          <w:rFonts w:ascii="Lato" w:hAnsi="Lato" w:cs="Arial"/>
          <w:bCs/>
          <w:spacing w:val="4"/>
          <w:sz w:val="22"/>
          <w:szCs w:val="22"/>
        </w:rPr>
        <w:t xml:space="preserve"> prowadzenia prac ziemnych - badań </w:t>
      </w:r>
      <w:r w:rsidR="00CC234C">
        <w:rPr>
          <w:rFonts w:ascii="Lato" w:hAnsi="Lato" w:cs="Arial"/>
          <w:bCs/>
          <w:spacing w:val="4"/>
          <w:sz w:val="22"/>
          <w:szCs w:val="22"/>
        </w:rPr>
        <w:br/>
      </w:r>
      <w:r w:rsidRPr="00DC2331">
        <w:rPr>
          <w:rFonts w:ascii="Lato" w:hAnsi="Lato" w:cs="Arial"/>
          <w:bCs/>
          <w:spacing w:val="4"/>
          <w:sz w:val="22"/>
          <w:szCs w:val="22"/>
        </w:rPr>
        <w:t xml:space="preserve">w formie stałego, ścisłego nadzoru archeologicznego z rygorem zmiany nadzoru na archeologiczne badania wykopaliskowe w przypadku odkrycia </w:t>
      </w:r>
      <w:r w:rsidRPr="00DC2331">
        <w:rPr>
          <w:rFonts w:ascii="Lato" w:hAnsi="Lato" w:cs="Arial"/>
          <w:bCs/>
          <w:spacing w:val="4"/>
          <w:sz w:val="22"/>
          <w:szCs w:val="22"/>
        </w:rPr>
        <w:br/>
        <w:t>w nadzorowanych wykopach zabytków, obiektów lub nawarstwień archeologicznych;</w:t>
      </w:r>
    </w:p>
    <w:p w14:paraId="6AC28587" w14:textId="7B5C835F" w:rsidR="00BF0DEB" w:rsidRPr="00DC2331" w:rsidRDefault="00BF0DEB" w:rsidP="00BF0DEB">
      <w:pPr>
        <w:pStyle w:val="Akapitzlist"/>
        <w:numPr>
          <w:ilvl w:val="0"/>
          <w:numId w:val="20"/>
        </w:numPr>
        <w:spacing w:after="120" w:line="240" w:lineRule="exact"/>
        <w:ind w:left="993" w:hanging="284"/>
        <w:contextualSpacing w:val="0"/>
        <w:jc w:val="both"/>
        <w:rPr>
          <w:rFonts w:ascii="Lato" w:hAnsi="Lato" w:cs="Arial"/>
          <w:bCs/>
          <w:spacing w:val="4"/>
          <w:sz w:val="22"/>
          <w:szCs w:val="22"/>
        </w:rPr>
      </w:pPr>
      <w:r w:rsidRPr="00DC2331">
        <w:rPr>
          <w:rFonts w:ascii="Lato" w:hAnsi="Lato" w:cs="Arial"/>
          <w:bCs/>
          <w:spacing w:val="4"/>
          <w:sz w:val="22"/>
          <w:szCs w:val="22"/>
        </w:rPr>
        <w:t xml:space="preserve">biorąc pod uwagę duże prawdopodobieństwo natrafienia w trakcie prac ziemnych na zabytki archeologiczne nieujawnione i nie zewidencjonowane dotychczas zaleca się, aby wszelkie prace ziemne związane z planowaną </w:t>
      </w:r>
      <w:r w:rsidR="00CC234C">
        <w:rPr>
          <w:rFonts w:ascii="Lato" w:hAnsi="Lato" w:cs="Arial"/>
          <w:bCs/>
          <w:spacing w:val="4"/>
          <w:sz w:val="22"/>
          <w:szCs w:val="22"/>
        </w:rPr>
        <w:t>I</w:t>
      </w:r>
      <w:r w:rsidRPr="00DC2331">
        <w:rPr>
          <w:rFonts w:ascii="Lato" w:hAnsi="Lato" w:cs="Arial"/>
          <w:bCs/>
          <w:spacing w:val="4"/>
          <w:sz w:val="22"/>
          <w:szCs w:val="22"/>
        </w:rPr>
        <w:t>nwestycją prowadzić pod stałym, ścisłym nadzorem archeologicznym;</w:t>
      </w:r>
    </w:p>
    <w:p w14:paraId="438970E6" w14:textId="7B4DA361" w:rsidR="00BF0DEB" w:rsidRPr="00DC2331" w:rsidRDefault="00BF0DEB" w:rsidP="00312AB7">
      <w:pPr>
        <w:pStyle w:val="Akapitzlist"/>
        <w:numPr>
          <w:ilvl w:val="0"/>
          <w:numId w:val="20"/>
        </w:numPr>
        <w:spacing w:after="120" w:line="240" w:lineRule="exact"/>
        <w:ind w:left="993" w:hanging="284"/>
        <w:contextualSpacing w:val="0"/>
        <w:jc w:val="both"/>
        <w:rPr>
          <w:rFonts w:ascii="Lato" w:hAnsi="Lato" w:cs="Arial"/>
          <w:bCs/>
          <w:spacing w:val="4"/>
          <w:sz w:val="22"/>
          <w:szCs w:val="22"/>
        </w:rPr>
      </w:pPr>
      <w:r w:rsidRPr="00DC2331">
        <w:rPr>
          <w:rFonts w:ascii="Lato" w:hAnsi="Lato" w:cs="Arial"/>
          <w:bCs/>
          <w:spacing w:val="4"/>
          <w:sz w:val="22"/>
          <w:szCs w:val="22"/>
        </w:rPr>
        <w:t>dla alei zabytkowych drzew</w:t>
      </w:r>
      <w:r w:rsidRPr="00DC2331">
        <w:rPr>
          <w:rFonts w:ascii="Arial" w:hAnsi="Arial" w:cs="Arial"/>
          <w:color w:val="000000"/>
          <w:sz w:val="17"/>
          <w:szCs w:val="17"/>
          <w:shd w:val="clear" w:color="auto" w:fill="FFFFFF"/>
        </w:rPr>
        <w:t xml:space="preserve"> </w:t>
      </w:r>
      <w:r w:rsidRPr="00DC2331">
        <w:rPr>
          <w:rFonts w:ascii="Lato" w:hAnsi="Lato" w:cs="Arial"/>
          <w:bCs/>
          <w:spacing w:val="4"/>
          <w:sz w:val="22"/>
          <w:szCs w:val="22"/>
        </w:rPr>
        <w:t xml:space="preserve">wpisanych do rejestru zabytków w miejscach kolizji należy przygotować rozwiązania projektowe pozwalające na jak najmniejszą ingerencję w zabytkowy drzewostan lub jej uniknięcie. W przypadku, kiedy kolizji nie będzie można uniknąć, dalsze postępowanie należy uzgodnić </w:t>
      </w:r>
      <w:r w:rsidR="00312AB7">
        <w:rPr>
          <w:rFonts w:ascii="Lato" w:hAnsi="Lato" w:cs="Arial"/>
          <w:bCs/>
          <w:spacing w:val="4"/>
          <w:sz w:val="22"/>
          <w:szCs w:val="22"/>
        </w:rPr>
        <w:br/>
      </w:r>
      <w:r w:rsidRPr="00DC2331">
        <w:rPr>
          <w:rFonts w:ascii="Lato" w:hAnsi="Lato" w:cs="Arial"/>
          <w:bCs/>
          <w:spacing w:val="4"/>
          <w:sz w:val="22"/>
          <w:szCs w:val="22"/>
        </w:rPr>
        <w:t>z Mazowieckim Wojewódzkim Konserwatorem Zabytków;</w:t>
      </w:r>
    </w:p>
    <w:p w14:paraId="0ABCEDC4" w14:textId="69E251A1" w:rsidR="00BF0DEB" w:rsidRPr="00DC2331" w:rsidRDefault="00BF0DEB" w:rsidP="00F40707">
      <w:pPr>
        <w:pStyle w:val="Akapitzlist"/>
        <w:numPr>
          <w:ilvl w:val="0"/>
          <w:numId w:val="20"/>
        </w:numPr>
        <w:spacing w:after="120" w:line="240" w:lineRule="exact"/>
        <w:ind w:left="993" w:hanging="284"/>
        <w:contextualSpacing w:val="0"/>
        <w:jc w:val="both"/>
        <w:rPr>
          <w:rFonts w:ascii="Lato" w:hAnsi="Lato" w:cs="Arial"/>
          <w:bCs/>
          <w:spacing w:val="4"/>
          <w:sz w:val="22"/>
          <w:szCs w:val="22"/>
        </w:rPr>
      </w:pPr>
      <w:r w:rsidRPr="00DC2331">
        <w:rPr>
          <w:rFonts w:ascii="Lato" w:hAnsi="Lato" w:cs="Arial"/>
          <w:bCs/>
          <w:spacing w:val="4"/>
          <w:sz w:val="22"/>
          <w:szCs w:val="22"/>
        </w:rPr>
        <w:t xml:space="preserve">względem obiektów i obszarów zabytkowych </w:t>
      </w:r>
      <w:r w:rsidR="00CC234C">
        <w:rPr>
          <w:rFonts w:ascii="Lato" w:hAnsi="Lato" w:cs="Arial"/>
          <w:bCs/>
          <w:spacing w:val="4"/>
          <w:sz w:val="22"/>
          <w:szCs w:val="22"/>
        </w:rPr>
        <w:t xml:space="preserve">ujętych w gminnej ewidencji zabytków, </w:t>
      </w:r>
      <w:r w:rsidRPr="00DC2331">
        <w:rPr>
          <w:rFonts w:ascii="Lato" w:hAnsi="Lato" w:cs="Arial"/>
          <w:bCs/>
          <w:spacing w:val="4"/>
          <w:sz w:val="22"/>
          <w:szCs w:val="22"/>
        </w:rPr>
        <w:t>będąc</w:t>
      </w:r>
      <w:r w:rsidR="00633216">
        <w:rPr>
          <w:rFonts w:ascii="Lato" w:hAnsi="Lato" w:cs="Arial"/>
          <w:bCs/>
          <w:spacing w:val="4"/>
          <w:sz w:val="22"/>
          <w:szCs w:val="22"/>
        </w:rPr>
        <w:t>ych</w:t>
      </w:r>
      <w:r w:rsidRPr="00DC2331">
        <w:rPr>
          <w:rFonts w:ascii="Lato" w:hAnsi="Lato" w:cs="Arial"/>
          <w:bCs/>
          <w:spacing w:val="4"/>
          <w:sz w:val="22"/>
          <w:szCs w:val="22"/>
        </w:rPr>
        <w:t xml:space="preserve"> w kolizji z obszarem objętym Inwestycją</w:t>
      </w:r>
      <w:r w:rsidR="00CC234C">
        <w:rPr>
          <w:rFonts w:ascii="Lato" w:hAnsi="Lato" w:cs="Arial"/>
          <w:bCs/>
          <w:spacing w:val="4"/>
          <w:sz w:val="22"/>
          <w:szCs w:val="22"/>
        </w:rPr>
        <w:t xml:space="preserve">, </w:t>
      </w:r>
      <w:r w:rsidRPr="00DC2331">
        <w:rPr>
          <w:rFonts w:ascii="Lato" w:hAnsi="Lato" w:cs="Arial"/>
          <w:bCs/>
          <w:spacing w:val="4"/>
          <w:sz w:val="22"/>
          <w:szCs w:val="22"/>
        </w:rPr>
        <w:t>należy opracować działania kompensujące i minimalizujące wpływ Inwestycji na ww. elementy na etapie prac przygotowawczych lub w początkowej fazie prac budowlanych. Działania te to unikanie kolizji z zabytkami tam, gdzie to będzie możliwe oraz przemieszczenie obiektów zabytkowych, poprzedzone badaniami konserwatorskimi. Do relokacji wskazać należy również kapliczki i krzyże kolidujące z obszarem Inwestycji;</w:t>
      </w:r>
    </w:p>
    <w:p w14:paraId="0CFA3340" w14:textId="0CF0070B" w:rsidR="00BF0DEB" w:rsidRPr="00DC2331" w:rsidRDefault="00BF0DEB" w:rsidP="00F40707">
      <w:pPr>
        <w:pStyle w:val="Akapitzlist"/>
        <w:numPr>
          <w:ilvl w:val="0"/>
          <w:numId w:val="20"/>
        </w:numPr>
        <w:spacing w:after="240" w:line="240" w:lineRule="exact"/>
        <w:ind w:left="993" w:hanging="284"/>
        <w:contextualSpacing w:val="0"/>
        <w:jc w:val="both"/>
        <w:rPr>
          <w:rFonts w:ascii="Lato" w:hAnsi="Lato" w:cs="Arial"/>
          <w:bCs/>
          <w:spacing w:val="4"/>
          <w:sz w:val="22"/>
          <w:szCs w:val="22"/>
        </w:rPr>
      </w:pPr>
      <w:r w:rsidRPr="00DC2331">
        <w:rPr>
          <w:rFonts w:ascii="Lato" w:hAnsi="Lato" w:cs="Arial"/>
          <w:bCs/>
          <w:spacing w:val="4"/>
          <w:sz w:val="22"/>
          <w:szCs w:val="22"/>
        </w:rPr>
        <w:t xml:space="preserve">jeżeli w trakcie prowadzenia robót budowlanych bądź ziemnych zostanie odkryty przedmiot, co do którego istnieje przypuszczenie, iż jest on zabytkiem, należy postępować zgodnie z przepisami dotyczącymi ochrony zabytków </w:t>
      </w:r>
      <w:r w:rsidR="00B53BDF">
        <w:rPr>
          <w:rFonts w:ascii="Lato" w:hAnsi="Lato" w:cs="Arial"/>
          <w:bCs/>
          <w:spacing w:val="4"/>
          <w:sz w:val="22"/>
          <w:szCs w:val="22"/>
        </w:rPr>
        <w:br/>
      </w:r>
      <w:r w:rsidRPr="00DC2331">
        <w:rPr>
          <w:rFonts w:ascii="Lato" w:hAnsi="Lato" w:cs="Arial"/>
          <w:bCs/>
          <w:spacing w:val="4"/>
          <w:sz w:val="22"/>
          <w:szCs w:val="22"/>
        </w:rPr>
        <w:t>i opieki nad zabytkami.”,</w:t>
      </w:r>
    </w:p>
    <w:p w14:paraId="758CD6D1" w14:textId="77777777" w:rsidR="00BF0DEB" w:rsidRPr="00F32A97" w:rsidRDefault="00BF0DEB" w:rsidP="00BF0DEB">
      <w:pPr>
        <w:pStyle w:val="Akapitzlist"/>
        <w:numPr>
          <w:ilvl w:val="0"/>
          <w:numId w:val="4"/>
        </w:numPr>
        <w:spacing w:after="240" w:line="240" w:lineRule="exact"/>
        <w:ind w:left="568" w:hanging="284"/>
        <w:contextualSpacing w:val="0"/>
        <w:jc w:val="both"/>
        <w:rPr>
          <w:rFonts w:ascii="Lato" w:hAnsi="Lato" w:cs="Arial"/>
          <w:bCs/>
          <w:spacing w:val="4"/>
          <w:sz w:val="22"/>
          <w:szCs w:val="22"/>
        </w:rPr>
      </w:pPr>
      <w:r w:rsidRPr="00F32A97">
        <w:rPr>
          <w:rFonts w:ascii="Lato" w:hAnsi="Lato" w:cs="Arial"/>
          <w:bCs/>
          <w:spacing w:val="4"/>
          <w:sz w:val="22"/>
          <w:szCs w:val="22"/>
        </w:rPr>
        <w:t>ustalenie, w rozstrzygnięciu zaskarżonej decyzji, w miejsce uchylenia, na stronie 152, zapisów stanowiących nową treść pkt XIII zaskarżonej decyzji:</w:t>
      </w:r>
    </w:p>
    <w:p w14:paraId="371A1573" w14:textId="77777777" w:rsidR="00BF0DEB" w:rsidRPr="00F32A97" w:rsidRDefault="00BF0DEB" w:rsidP="00BF0DEB">
      <w:pPr>
        <w:pStyle w:val="Akapitzlist"/>
        <w:spacing w:after="240" w:line="240" w:lineRule="exact"/>
        <w:ind w:left="567"/>
        <w:contextualSpacing w:val="0"/>
        <w:jc w:val="both"/>
        <w:rPr>
          <w:rFonts w:ascii="Lato" w:hAnsi="Lato" w:cs="Arial"/>
          <w:b/>
          <w:spacing w:val="4"/>
          <w:sz w:val="22"/>
          <w:szCs w:val="22"/>
        </w:rPr>
      </w:pPr>
      <w:r w:rsidRPr="00F32A97">
        <w:rPr>
          <w:rFonts w:ascii="Lato" w:hAnsi="Lato" w:cs="Arial"/>
          <w:bCs/>
          <w:spacing w:val="4"/>
          <w:sz w:val="22"/>
          <w:szCs w:val="22"/>
        </w:rPr>
        <w:t>„</w:t>
      </w:r>
      <w:r w:rsidRPr="00F32A97">
        <w:rPr>
          <w:rFonts w:ascii="Lato" w:hAnsi="Lato" w:cs="Arial"/>
          <w:b/>
          <w:spacing w:val="4"/>
          <w:sz w:val="22"/>
          <w:szCs w:val="22"/>
        </w:rPr>
        <w:t>XIII. Termin wydania nieruchomości, opróżnienia lokali i innych pomieszczeń oraz faktycznego objęcia nieruchomości w posiadanie przez Spółkę Celową.</w:t>
      </w:r>
    </w:p>
    <w:p w14:paraId="7EB5AAA0" w14:textId="2A6281DB" w:rsidR="00BF0DEB" w:rsidRPr="00F32A97" w:rsidRDefault="00BF0DEB" w:rsidP="00BF0DEB">
      <w:pPr>
        <w:pStyle w:val="Akapitzlist"/>
        <w:spacing w:after="240" w:line="240" w:lineRule="exact"/>
        <w:ind w:left="567"/>
        <w:contextualSpacing w:val="0"/>
        <w:jc w:val="both"/>
        <w:rPr>
          <w:rFonts w:ascii="Lato" w:hAnsi="Lato" w:cs="Arial"/>
          <w:bCs/>
          <w:spacing w:val="4"/>
          <w:sz w:val="22"/>
          <w:szCs w:val="22"/>
        </w:rPr>
      </w:pPr>
      <w:r w:rsidRPr="00F32A97">
        <w:rPr>
          <w:rFonts w:ascii="Lato" w:hAnsi="Lato" w:cs="Arial"/>
          <w:bCs/>
          <w:spacing w:val="4"/>
          <w:sz w:val="22"/>
          <w:szCs w:val="22"/>
        </w:rPr>
        <w:t xml:space="preserve">Działając na podstawie art. 40 ust. 2 pkt 11 i art. 52 ust. 1 ustawy z dnia 10 maja 2018 r. o Centralnym Porcie Komunikacyjnym, określam termin wydania nieruchomości, opróżnienia lokali i innych pomieszczeń oraz faktycznego objęcia nieruchomości w posiadanie przez Spółkę Celową na 120 dzień, licząc od dnia, </w:t>
      </w:r>
      <w:r w:rsidR="00CA2B91">
        <w:rPr>
          <w:rFonts w:ascii="Lato" w:hAnsi="Lato" w:cs="Arial"/>
          <w:bCs/>
          <w:spacing w:val="4"/>
          <w:sz w:val="22"/>
          <w:szCs w:val="22"/>
        </w:rPr>
        <w:br/>
      </w:r>
      <w:r w:rsidRPr="00F32A97">
        <w:rPr>
          <w:rFonts w:ascii="Lato" w:hAnsi="Lato" w:cs="Arial"/>
          <w:bCs/>
          <w:spacing w:val="4"/>
          <w:sz w:val="22"/>
          <w:szCs w:val="22"/>
        </w:rPr>
        <w:lastRenderedPageBreak/>
        <w:t>w którym decyzja o ustaleniu lokalizacji inwestycji w zakresie CPK stanie się ostateczna.”</w:t>
      </w:r>
      <w:r w:rsidR="00D91D10">
        <w:rPr>
          <w:rFonts w:ascii="Lato" w:hAnsi="Lato" w:cs="Arial"/>
          <w:bCs/>
          <w:spacing w:val="4"/>
          <w:sz w:val="22"/>
          <w:szCs w:val="22"/>
        </w:rPr>
        <w:t>.</w:t>
      </w:r>
    </w:p>
    <w:p w14:paraId="1A5FB1C4" w14:textId="77777777" w:rsidR="00BF0DEB" w:rsidRPr="00C42F5E" w:rsidRDefault="00BF0DEB" w:rsidP="00BF0DEB">
      <w:pPr>
        <w:numPr>
          <w:ilvl w:val="0"/>
          <w:numId w:val="1"/>
        </w:numPr>
        <w:spacing w:after="240" w:line="240" w:lineRule="exact"/>
        <w:ind w:left="142" w:firstLine="0"/>
        <w:jc w:val="both"/>
        <w:rPr>
          <w:rFonts w:ascii="Lato" w:hAnsi="Lato" w:cs="Arial"/>
          <w:b/>
          <w:bCs/>
          <w:color w:val="000000"/>
          <w:spacing w:val="4"/>
          <w:sz w:val="22"/>
          <w:szCs w:val="22"/>
        </w:rPr>
      </w:pPr>
      <w:r>
        <w:rPr>
          <w:rFonts w:ascii="Lato" w:hAnsi="Lato" w:cs="Arial"/>
          <w:b/>
          <w:bCs/>
          <w:spacing w:val="4"/>
          <w:sz w:val="22"/>
          <w:szCs w:val="22"/>
        </w:rPr>
        <w:t xml:space="preserve"> </w:t>
      </w:r>
      <w:r w:rsidRPr="00C679F2">
        <w:rPr>
          <w:rFonts w:ascii="Lato" w:hAnsi="Lato" w:cs="Arial"/>
          <w:b/>
          <w:bCs/>
          <w:spacing w:val="4"/>
          <w:sz w:val="22"/>
          <w:szCs w:val="22"/>
        </w:rPr>
        <w:t>W pozostałej części zaskarżoną decyzję utrzymuję w mocy</w:t>
      </w:r>
      <w:r>
        <w:rPr>
          <w:rFonts w:ascii="Lato" w:hAnsi="Lato" w:cs="Arial"/>
          <w:b/>
          <w:bCs/>
          <w:spacing w:val="4"/>
          <w:sz w:val="22"/>
          <w:szCs w:val="22"/>
        </w:rPr>
        <w:t>.</w:t>
      </w:r>
    </w:p>
    <w:p w14:paraId="274DCA05" w14:textId="6F9CD07E" w:rsidR="00872D87" w:rsidRPr="00C32788" w:rsidRDefault="00BF0DEB" w:rsidP="00594BF4">
      <w:pPr>
        <w:numPr>
          <w:ilvl w:val="0"/>
          <w:numId w:val="1"/>
        </w:numPr>
        <w:spacing w:after="480" w:line="240" w:lineRule="exact"/>
        <w:ind w:left="142" w:firstLine="0"/>
        <w:jc w:val="both"/>
        <w:rPr>
          <w:rFonts w:ascii="Lato" w:hAnsi="Lato" w:cs="Arial"/>
          <w:b/>
          <w:bCs/>
          <w:spacing w:val="4"/>
          <w:sz w:val="22"/>
          <w:szCs w:val="22"/>
        </w:rPr>
      </w:pPr>
      <w:r>
        <w:rPr>
          <w:rFonts w:ascii="Lato" w:hAnsi="Lato" w:cs="Arial"/>
          <w:b/>
          <w:bCs/>
          <w:spacing w:val="4"/>
          <w:sz w:val="22"/>
          <w:szCs w:val="22"/>
        </w:rPr>
        <w:t xml:space="preserve"> </w:t>
      </w:r>
      <w:r w:rsidRPr="00C42F5E">
        <w:rPr>
          <w:rFonts w:ascii="Lato" w:hAnsi="Lato" w:cs="Arial"/>
          <w:b/>
          <w:bCs/>
          <w:spacing w:val="4"/>
          <w:sz w:val="22"/>
          <w:szCs w:val="22"/>
        </w:rPr>
        <w:t>Umarzam postępowanie odwoławcze w zakresie odwołania</w:t>
      </w:r>
      <w:r>
        <w:rPr>
          <w:rFonts w:ascii="Lato" w:eastAsia="Calibri" w:hAnsi="Lato" w:cs="Arial"/>
          <w:spacing w:val="4"/>
          <w:sz w:val="22"/>
          <w:szCs w:val="22"/>
        </w:rPr>
        <w:t xml:space="preserve"> </w:t>
      </w:r>
      <w:r w:rsidRPr="00C42F5E">
        <w:rPr>
          <w:rFonts w:ascii="Lato" w:hAnsi="Lato" w:cs="Arial"/>
          <w:b/>
          <w:bCs/>
          <w:spacing w:val="4"/>
          <w:sz w:val="22"/>
          <w:szCs w:val="22"/>
        </w:rPr>
        <w:t>Centraln</w:t>
      </w:r>
      <w:r>
        <w:rPr>
          <w:rFonts w:ascii="Lato" w:hAnsi="Lato" w:cs="Arial"/>
          <w:b/>
          <w:bCs/>
          <w:spacing w:val="4"/>
          <w:sz w:val="22"/>
          <w:szCs w:val="22"/>
        </w:rPr>
        <w:t>ego</w:t>
      </w:r>
      <w:r w:rsidRPr="00C42F5E">
        <w:rPr>
          <w:rFonts w:ascii="Lato" w:hAnsi="Lato" w:cs="Arial"/>
          <w:b/>
          <w:bCs/>
          <w:spacing w:val="4"/>
          <w:sz w:val="22"/>
          <w:szCs w:val="22"/>
        </w:rPr>
        <w:t xml:space="preserve"> Port</w:t>
      </w:r>
      <w:r>
        <w:rPr>
          <w:rFonts w:ascii="Lato" w:hAnsi="Lato" w:cs="Arial"/>
          <w:b/>
          <w:bCs/>
          <w:spacing w:val="4"/>
          <w:sz w:val="22"/>
          <w:szCs w:val="22"/>
        </w:rPr>
        <w:t>u</w:t>
      </w:r>
      <w:r w:rsidRPr="00C42F5E">
        <w:rPr>
          <w:rFonts w:ascii="Lato" w:hAnsi="Lato" w:cs="Arial"/>
          <w:b/>
          <w:bCs/>
          <w:spacing w:val="4"/>
          <w:sz w:val="22"/>
          <w:szCs w:val="22"/>
        </w:rPr>
        <w:t xml:space="preserve"> Komunikacyjn</w:t>
      </w:r>
      <w:r>
        <w:rPr>
          <w:rFonts w:ascii="Lato" w:hAnsi="Lato" w:cs="Arial"/>
          <w:b/>
          <w:bCs/>
          <w:spacing w:val="4"/>
          <w:sz w:val="22"/>
          <w:szCs w:val="22"/>
        </w:rPr>
        <w:t>ego</w:t>
      </w:r>
      <w:r w:rsidRPr="00C42F5E">
        <w:rPr>
          <w:rFonts w:ascii="Lato" w:hAnsi="Lato" w:cs="Arial"/>
          <w:b/>
          <w:bCs/>
          <w:spacing w:val="4"/>
          <w:sz w:val="22"/>
          <w:szCs w:val="22"/>
        </w:rPr>
        <w:t xml:space="preserve"> Sp. z o.o. z siedzibą w Warszawie</w:t>
      </w:r>
      <w:r>
        <w:rPr>
          <w:rFonts w:ascii="Lato" w:hAnsi="Lato" w:cs="Arial"/>
          <w:b/>
          <w:bCs/>
          <w:spacing w:val="4"/>
          <w:sz w:val="22"/>
          <w:szCs w:val="22"/>
        </w:rPr>
        <w:t>.</w:t>
      </w:r>
    </w:p>
    <w:bookmarkEnd w:id="1"/>
    <w:p w14:paraId="2399B0EF" w14:textId="77777777" w:rsidR="00612E96" w:rsidRPr="008A6B61" w:rsidRDefault="00612E96" w:rsidP="00612E96">
      <w:pPr>
        <w:pStyle w:val="Akapitzlist"/>
        <w:spacing w:after="240" w:line="240" w:lineRule="exact"/>
        <w:ind w:left="74"/>
        <w:contextualSpacing w:val="0"/>
        <w:jc w:val="center"/>
        <w:outlineLvl w:val="0"/>
        <w:rPr>
          <w:rFonts w:ascii="Lato" w:hAnsi="Lato"/>
          <w:sz w:val="22"/>
          <w:szCs w:val="22"/>
        </w:rPr>
      </w:pPr>
      <w:r w:rsidRPr="008A6B61">
        <w:rPr>
          <w:rFonts w:ascii="Lato" w:hAnsi="Lato" w:cs="Arial"/>
          <w:b/>
          <w:bCs/>
          <w:spacing w:val="4"/>
          <w:sz w:val="22"/>
          <w:szCs w:val="22"/>
        </w:rPr>
        <w:t>UZASADNIENIE</w:t>
      </w:r>
    </w:p>
    <w:p w14:paraId="5C69F33A" w14:textId="77777777" w:rsidR="0009014A" w:rsidRPr="0009014A" w:rsidRDefault="0009014A" w:rsidP="0009014A">
      <w:pPr>
        <w:spacing w:after="240" w:line="240" w:lineRule="exact"/>
        <w:jc w:val="both"/>
        <w:rPr>
          <w:rFonts w:ascii="Lato" w:hAnsi="Lato" w:cs="Arial"/>
          <w:spacing w:val="4"/>
          <w:sz w:val="22"/>
          <w:szCs w:val="22"/>
        </w:rPr>
      </w:pPr>
      <w:r w:rsidRPr="0009014A">
        <w:rPr>
          <w:rFonts w:ascii="Lato" w:hAnsi="Lato" w:cs="Arial"/>
          <w:spacing w:val="4"/>
          <w:sz w:val="22"/>
          <w:szCs w:val="22"/>
        </w:rPr>
        <w:t xml:space="preserve">Wnioskiem z dnia 10 października 2023 r. (wpływ do Mazowieckiego Urzędu Wojewódzkiego w Warszawie w dniu 16 października 2023 r.), uzupełnionym </w:t>
      </w:r>
      <w:r w:rsidRPr="0009014A">
        <w:rPr>
          <w:rFonts w:ascii="Lato" w:hAnsi="Lato" w:cs="Arial"/>
          <w:spacing w:val="4"/>
          <w:sz w:val="22"/>
          <w:szCs w:val="22"/>
        </w:rPr>
        <w:br/>
        <w:t xml:space="preserve">i skorygowanym w trakcie prowadzonego postępowania, Centralny Port Komunikacyjny Sp. z o.o. z siedzibą w Warszawie, zwana dalej „inwestorem” lub „CPK Sp. z o.o.”, wystąpiła do Wojewody Mazowieckiego o wydanie decyzji o </w:t>
      </w:r>
      <w:r w:rsidRPr="0009014A">
        <w:rPr>
          <w:rFonts w:ascii="Lato" w:hAnsi="Lato" w:cs="Arial"/>
          <w:bCs/>
          <w:spacing w:val="4"/>
          <w:sz w:val="22"/>
          <w:szCs w:val="22"/>
        </w:rPr>
        <w:t xml:space="preserve">ustaleniu lokalizacji inwestycji w zakresie Centralnego Portu Komunikacyjnego pn.: „Budowa Lotniska </w:t>
      </w:r>
      <w:r w:rsidRPr="0009014A">
        <w:rPr>
          <w:rFonts w:ascii="Lato" w:hAnsi="Lato" w:cs="Arial"/>
          <w:bCs/>
          <w:spacing w:val="4"/>
          <w:sz w:val="22"/>
          <w:szCs w:val="22"/>
        </w:rPr>
        <w:br/>
        <w:t>(Port Solidarność) Centralnego Portu Komunikacyjnego wraz z układem komunikacyjnym po jego zachodniej stronie”</w:t>
      </w:r>
      <w:r w:rsidRPr="0009014A">
        <w:rPr>
          <w:rFonts w:ascii="Lato" w:hAnsi="Lato" w:cs="Arial"/>
          <w:spacing w:val="4"/>
          <w:sz w:val="22"/>
          <w:szCs w:val="22"/>
        </w:rPr>
        <w:t xml:space="preserve">. </w:t>
      </w:r>
    </w:p>
    <w:p w14:paraId="67A4EE88" w14:textId="77777777" w:rsidR="0009014A" w:rsidRPr="0009014A" w:rsidRDefault="0009014A" w:rsidP="0009014A">
      <w:pPr>
        <w:spacing w:after="240" w:line="240" w:lineRule="exact"/>
        <w:jc w:val="both"/>
        <w:rPr>
          <w:rFonts w:ascii="Lato" w:hAnsi="Lato" w:cs="Arial"/>
          <w:spacing w:val="4"/>
          <w:sz w:val="22"/>
          <w:szCs w:val="22"/>
        </w:rPr>
      </w:pPr>
      <w:r w:rsidRPr="0009014A">
        <w:rPr>
          <w:rFonts w:ascii="Lato" w:hAnsi="Lato" w:cs="Arial"/>
          <w:spacing w:val="4"/>
          <w:sz w:val="22"/>
          <w:szCs w:val="22"/>
        </w:rPr>
        <w:t xml:space="preserve">W piśmie z dnia 19 grudnia 2023 r. inwestor wniósł do Wojewody Mazowieckiego </w:t>
      </w:r>
      <w:r w:rsidRPr="0009014A">
        <w:rPr>
          <w:rFonts w:ascii="Lato" w:hAnsi="Lato" w:cs="Arial"/>
          <w:spacing w:val="4"/>
          <w:sz w:val="22"/>
          <w:szCs w:val="22"/>
        </w:rPr>
        <w:br/>
        <w:t xml:space="preserve">o nadanie rygoru natychmiastowej wykonalności, </w:t>
      </w:r>
      <w:r w:rsidRPr="0009014A">
        <w:rPr>
          <w:rFonts w:ascii="Lato" w:hAnsi="Lato" w:cs="Arial"/>
          <w:bCs/>
          <w:iCs/>
          <w:spacing w:val="4"/>
          <w:sz w:val="22"/>
          <w:szCs w:val="22"/>
        </w:rPr>
        <w:t xml:space="preserve">na podstawie art. 108 § 1 </w:t>
      </w:r>
      <w:r w:rsidRPr="0009014A">
        <w:rPr>
          <w:rFonts w:ascii="Lato" w:hAnsi="Lato" w:cs="Arial"/>
          <w:bCs/>
          <w:spacing w:val="4"/>
          <w:sz w:val="22"/>
          <w:szCs w:val="22"/>
        </w:rPr>
        <w:t>kpa, wnioskowanej decyzji</w:t>
      </w:r>
      <w:r w:rsidRPr="0009014A">
        <w:rPr>
          <w:rFonts w:ascii="Lato" w:hAnsi="Lato" w:cs="Arial"/>
          <w:spacing w:val="4"/>
          <w:sz w:val="22"/>
          <w:szCs w:val="22"/>
        </w:rPr>
        <w:t xml:space="preserve"> </w:t>
      </w:r>
      <w:r w:rsidRPr="0009014A">
        <w:rPr>
          <w:rFonts w:ascii="Lato" w:hAnsi="Lato" w:cs="Arial"/>
          <w:bCs/>
          <w:spacing w:val="4"/>
          <w:sz w:val="22"/>
          <w:szCs w:val="22"/>
        </w:rPr>
        <w:t xml:space="preserve">o ustaleniu lokalizacji inwestycji w zakresie Centralnego Portu Komunikacyjnego w zakresie rozstrzygnięć, o których mowa w art. 40 ust. 1 pkt 1-7 oraz pkt 9-10 ustawy CPK. W piśmie z dnia 16 grudnia 2024 r. inwestor wycofał wniosek </w:t>
      </w:r>
      <w:r w:rsidRPr="0009014A">
        <w:rPr>
          <w:rFonts w:ascii="Lato" w:hAnsi="Lato" w:cs="Arial"/>
          <w:bCs/>
          <w:spacing w:val="4"/>
          <w:sz w:val="22"/>
          <w:szCs w:val="22"/>
        </w:rPr>
        <w:br/>
        <w:t xml:space="preserve">o nadanie decyzji rygoru natychmiastowej wykonalności. Z tego powodu, decyzją </w:t>
      </w:r>
      <w:r w:rsidRPr="0009014A">
        <w:rPr>
          <w:rFonts w:ascii="Lato" w:hAnsi="Lato" w:cs="Arial"/>
          <w:bCs/>
          <w:spacing w:val="4"/>
          <w:sz w:val="22"/>
          <w:szCs w:val="22"/>
        </w:rPr>
        <w:br/>
        <w:t>Nr 4/SPEC/2025 z dnia 8 stycznia 2025 r., znak: WIR-I.746.1.44.2023, WIR-I.747.6.28.2023, Wojewoda Mazowiecki umorzył postępowanie dotyczące nadania rygoru natychmiastowej wykonalności wnioskowanej decyzji o ustaleniu lokalizacji inwestycji w zakresie Centralnego Portu Komunikacyjnego.</w:t>
      </w:r>
    </w:p>
    <w:p w14:paraId="3D5FB7EA" w14:textId="77777777" w:rsidR="0009014A" w:rsidRPr="0009014A" w:rsidRDefault="0009014A" w:rsidP="0009014A">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09014A">
        <w:rPr>
          <w:rFonts w:ascii="Lato" w:eastAsia="Calibri" w:hAnsi="Lato"/>
          <w:bCs/>
          <w:spacing w:val="4"/>
          <w:sz w:val="22"/>
          <w:szCs w:val="22"/>
        </w:rPr>
        <w:t xml:space="preserve">Po przeprowadzeniu postępowania w sprawie ww. wniosku lokalizacyjnego, Wojewoda Mazowiecki wydał w dniu 8 stycznia 2025 r. decyzję Nr 5/SPEC/2025, znak: WIR-I.746.1.44.2023, WIR-I.747.6.28.2023, o ustaleniu lokalizacji inwestycji w zakresie Centralnego Portu Komunikacyjnego obejmującej „Budowę Lotniska (port Solidarność) Centralnego Portu Komunikacyjnego wraz z układem komunikacyjnym po jego zachodniej stronie”, zwaną dalej „decyzją Wojewody Mazowieckiego”. </w:t>
      </w:r>
    </w:p>
    <w:p w14:paraId="1C1F640D" w14:textId="77777777" w:rsidR="0009014A" w:rsidRPr="0009014A" w:rsidRDefault="0009014A" w:rsidP="00184706">
      <w:pPr>
        <w:tabs>
          <w:tab w:val="left" w:pos="-1843"/>
          <w:tab w:val="left" w:pos="-993"/>
          <w:tab w:val="left" w:pos="4678"/>
          <w:tab w:val="left" w:pos="5387"/>
          <w:tab w:val="right" w:pos="5812"/>
        </w:tabs>
        <w:spacing w:after="120" w:line="240" w:lineRule="exact"/>
        <w:jc w:val="both"/>
        <w:outlineLvl w:val="0"/>
        <w:rPr>
          <w:rFonts w:ascii="Lato" w:eastAsia="Calibri" w:hAnsi="Lato"/>
          <w:bCs/>
          <w:spacing w:val="4"/>
          <w:sz w:val="22"/>
          <w:szCs w:val="22"/>
        </w:rPr>
      </w:pPr>
      <w:r w:rsidRPr="0009014A">
        <w:rPr>
          <w:rFonts w:ascii="Lato" w:eastAsia="Calibri" w:hAnsi="Lato"/>
          <w:bCs/>
          <w:spacing w:val="4"/>
          <w:sz w:val="22"/>
          <w:szCs w:val="22"/>
        </w:rPr>
        <w:t>Od decyzji Wojewody Mazowieckiego odwołania, za pośrednictwem organu I instancji, wnieśli:</w:t>
      </w:r>
    </w:p>
    <w:p w14:paraId="7B4E0A9B" w14:textId="5C286ABD"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jc w:val="both"/>
        <w:outlineLvl w:val="0"/>
        <w:rPr>
          <w:rFonts w:ascii="Lato" w:eastAsia="Calibri" w:hAnsi="Lato"/>
          <w:bCs/>
          <w:spacing w:val="4"/>
          <w:sz w:val="22"/>
          <w:szCs w:val="22"/>
        </w:rPr>
      </w:pPr>
      <w:r w:rsidRPr="0009014A">
        <w:rPr>
          <w:rFonts w:ascii="Lato" w:eastAsia="Calibri" w:hAnsi="Lato"/>
          <w:bCs/>
          <w:spacing w:val="4"/>
          <w:sz w:val="22"/>
          <w:szCs w:val="22"/>
        </w:rPr>
        <w:t>Pani A</w:t>
      </w:r>
      <w:r w:rsidR="00D13F91">
        <w:rPr>
          <w:rFonts w:ascii="Lato" w:eastAsia="Calibri" w:hAnsi="Lato"/>
          <w:bCs/>
          <w:spacing w:val="4"/>
          <w:sz w:val="22"/>
          <w:szCs w:val="22"/>
        </w:rPr>
        <w:t>.</w:t>
      </w:r>
      <w:r w:rsidRPr="0009014A">
        <w:rPr>
          <w:rFonts w:ascii="Lato" w:eastAsia="Calibri" w:hAnsi="Lato"/>
          <w:bCs/>
          <w:spacing w:val="4"/>
          <w:sz w:val="22"/>
          <w:szCs w:val="22"/>
        </w:rPr>
        <w:t xml:space="preserve"> B</w:t>
      </w:r>
      <w:r w:rsidR="00D13F91">
        <w:rPr>
          <w:rFonts w:ascii="Lato" w:eastAsia="Calibri" w:hAnsi="Lato"/>
          <w:bCs/>
          <w:spacing w:val="4"/>
          <w:sz w:val="22"/>
          <w:szCs w:val="22"/>
        </w:rPr>
        <w:t>.</w:t>
      </w:r>
      <w:r w:rsidRPr="0009014A">
        <w:rPr>
          <w:rFonts w:ascii="Lato" w:eastAsia="Calibri" w:hAnsi="Lato"/>
          <w:bCs/>
          <w:spacing w:val="4"/>
          <w:sz w:val="22"/>
          <w:szCs w:val="22"/>
        </w:rPr>
        <w:t>,</w:t>
      </w:r>
    </w:p>
    <w:p w14:paraId="7BF9CBE0" w14:textId="4C30F987"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 Z</w:t>
      </w:r>
      <w:r w:rsidR="00D13F91">
        <w:rPr>
          <w:rFonts w:ascii="Lato" w:eastAsia="Calibri" w:hAnsi="Lato"/>
          <w:bCs/>
          <w:spacing w:val="4"/>
          <w:sz w:val="22"/>
          <w:szCs w:val="22"/>
        </w:rPr>
        <w:t>.</w:t>
      </w:r>
      <w:r w:rsidRPr="0009014A">
        <w:rPr>
          <w:rFonts w:ascii="Lato" w:eastAsia="Calibri" w:hAnsi="Lato"/>
          <w:bCs/>
          <w:spacing w:val="4"/>
          <w:sz w:val="22"/>
          <w:szCs w:val="22"/>
        </w:rPr>
        <w:t xml:space="preserve"> K</w:t>
      </w:r>
      <w:r w:rsidR="00D13F91">
        <w:rPr>
          <w:rFonts w:ascii="Lato" w:eastAsia="Calibri" w:hAnsi="Lato"/>
          <w:bCs/>
          <w:spacing w:val="4"/>
          <w:sz w:val="22"/>
          <w:szCs w:val="22"/>
        </w:rPr>
        <w:t>.</w:t>
      </w:r>
      <w:r w:rsidRPr="0009014A">
        <w:rPr>
          <w:rFonts w:ascii="Lato" w:eastAsia="Calibri" w:hAnsi="Lato"/>
          <w:bCs/>
          <w:spacing w:val="4"/>
          <w:sz w:val="22"/>
          <w:szCs w:val="22"/>
        </w:rPr>
        <w:t>, Pani B</w:t>
      </w:r>
      <w:r w:rsidR="00D13F91">
        <w:rPr>
          <w:rFonts w:ascii="Lato" w:eastAsia="Calibri" w:hAnsi="Lato"/>
          <w:bCs/>
          <w:spacing w:val="4"/>
          <w:sz w:val="22"/>
          <w:szCs w:val="22"/>
        </w:rPr>
        <w:t>.</w:t>
      </w:r>
      <w:r w:rsidRPr="0009014A">
        <w:rPr>
          <w:rFonts w:ascii="Lato" w:eastAsia="Calibri" w:hAnsi="Lato"/>
          <w:bCs/>
          <w:spacing w:val="4"/>
          <w:sz w:val="22"/>
          <w:szCs w:val="22"/>
        </w:rPr>
        <w:t xml:space="preserve"> K</w:t>
      </w:r>
      <w:r w:rsidR="00D13F91">
        <w:rPr>
          <w:rFonts w:ascii="Lato" w:eastAsia="Calibri" w:hAnsi="Lato"/>
          <w:bCs/>
          <w:spacing w:val="4"/>
          <w:sz w:val="22"/>
          <w:szCs w:val="22"/>
        </w:rPr>
        <w:t>.</w:t>
      </w:r>
      <w:r w:rsidRPr="0009014A">
        <w:rPr>
          <w:rFonts w:ascii="Lato" w:eastAsia="Calibri" w:hAnsi="Lato"/>
          <w:bCs/>
          <w:spacing w:val="4"/>
          <w:sz w:val="22"/>
          <w:szCs w:val="22"/>
        </w:rPr>
        <w:t>, Pan P</w:t>
      </w:r>
      <w:r w:rsidR="00D13F91">
        <w:rPr>
          <w:rFonts w:ascii="Lato" w:eastAsia="Calibri" w:hAnsi="Lato"/>
          <w:bCs/>
          <w:spacing w:val="4"/>
          <w:sz w:val="22"/>
          <w:szCs w:val="22"/>
        </w:rPr>
        <w:t>.</w:t>
      </w:r>
      <w:r w:rsidRPr="0009014A">
        <w:rPr>
          <w:rFonts w:ascii="Lato" w:eastAsia="Calibri" w:hAnsi="Lato"/>
          <w:bCs/>
          <w:spacing w:val="4"/>
          <w:sz w:val="22"/>
          <w:szCs w:val="22"/>
        </w:rPr>
        <w:t xml:space="preserve"> K</w:t>
      </w:r>
      <w:r w:rsidR="00D13F91">
        <w:rPr>
          <w:rFonts w:ascii="Lato" w:eastAsia="Calibri" w:hAnsi="Lato"/>
          <w:bCs/>
          <w:spacing w:val="4"/>
          <w:sz w:val="22"/>
          <w:szCs w:val="22"/>
        </w:rPr>
        <w:t>.</w:t>
      </w:r>
      <w:r w:rsidRPr="0009014A">
        <w:rPr>
          <w:rFonts w:ascii="Lato" w:eastAsia="Calibri" w:hAnsi="Lato"/>
          <w:bCs/>
          <w:spacing w:val="4"/>
          <w:sz w:val="22"/>
          <w:szCs w:val="22"/>
        </w:rPr>
        <w:t>, Pani K</w:t>
      </w:r>
      <w:r w:rsidR="00D13F91">
        <w:rPr>
          <w:rFonts w:ascii="Lato" w:eastAsia="Calibri" w:hAnsi="Lato"/>
          <w:bCs/>
          <w:spacing w:val="4"/>
          <w:sz w:val="22"/>
          <w:szCs w:val="22"/>
        </w:rPr>
        <w:t xml:space="preserve">. </w:t>
      </w:r>
      <w:r w:rsidRPr="0009014A">
        <w:rPr>
          <w:rFonts w:ascii="Lato" w:eastAsia="Calibri" w:hAnsi="Lato"/>
          <w:bCs/>
          <w:spacing w:val="4"/>
          <w:sz w:val="22"/>
          <w:szCs w:val="22"/>
        </w:rPr>
        <w:t>K</w:t>
      </w:r>
      <w:r w:rsidR="00D13F91">
        <w:rPr>
          <w:rFonts w:ascii="Lato" w:eastAsia="Calibri" w:hAnsi="Lato"/>
          <w:bCs/>
          <w:spacing w:val="4"/>
          <w:sz w:val="22"/>
          <w:szCs w:val="22"/>
        </w:rPr>
        <w:t>.</w:t>
      </w:r>
      <w:r w:rsidRPr="0009014A">
        <w:rPr>
          <w:rFonts w:ascii="Lato" w:eastAsia="Calibri" w:hAnsi="Lato"/>
          <w:bCs/>
          <w:spacing w:val="4"/>
          <w:sz w:val="22"/>
          <w:szCs w:val="22"/>
        </w:rPr>
        <w:t xml:space="preserve">, spółka </w:t>
      </w:r>
      <w:r w:rsidR="00D13F91">
        <w:rPr>
          <w:rFonts w:ascii="Lato" w:eastAsia="Calibri" w:hAnsi="Lato"/>
          <w:bCs/>
          <w:spacing w:val="4"/>
          <w:sz w:val="22"/>
          <w:szCs w:val="22"/>
        </w:rPr>
        <w:t>(…)</w:t>
      </w:r>
      <w:r w:rsidRPr="0009014A">
        <w:rPr>
          <w:rFonts w:ascii="Lato" w:eastAsia="Calibri" w:hAnsi="Lato"/>
          <w:bCs/>
          <w:spacing w:val="4"/>
          <w:sz w:val="22"/>
          <w:szCs w:val="22"/>
        </w:rPr>
        <w:t xml:space="preserve"> Sp. z o.o. z siedzibą w </w:t>
      </w:r>
      <w:r w:rsidR="00D13F91">
        <w:rPr>
          <w:rFonts w:ascii="Lato" w:eastAsia="Calibri" w:hAnsi="Lato"/>
          <w:bCs/>
          <w:spacing w:val="4"/>
          <w:sz w:val="22"/>
          <w:szCs w:val="22"/>
        </w:rPr>
        <w:t>(…)</w:t>
      </w:r>
      <w:r w:rsidRPr="0009014A">
        <w:rPr>
          <w:rFonts w:ascii="Lato" w:eastAsia="Calibri" w:hAnsi="Lato"/>
          <w:bCs/>
          <w:spacing w:val="4"/>
          <w:sz w:val="22"/>
          <w:szCs w:val="22"/>
        </w:rPr>
        <w:t xml:space="preserve"> </w:t>
      </w:r>
      <w:r w:rsidR="00D13F91">
        <w:rPr>
          <w:rFonts w:ascii="Lato" w:eastAsia="Calibri" w:hAnsi="Lato"/>
          <w:bCs/>
          <w:spacing w:val="4"/>
          <w:sz w:val="22"/>
          <w:szCs w:val="22"/>
        </w:rPr>
        <w:t>[</w:t>
      </w:r>
      <w:r w:rsidRPr="0009014A">
        <w:rPr>
          <w:rFonts w:ascii="Lato" w:eastAsia="Calibri" w:hAnsi="Lato"/>
          <w:bCs/>
          <w:spacing w:val="4"/>
          <w:sz w:val="22"/>
          <w:szCs w:val="22"/>
        </w:rPr>
        <w:t xml:space="preserve">dalej: spółka </w:t>
      </w:r>
      <w:r w:rsidR="00D13F91">
        <w:rPr>
          <w:rFonts w:ascii="Lato" w:eastAsia="Calibri" w:hAnsi="Lato"/>
          <w:bCs/>
          <w:spacing w:val="4"/>
          <w:sz w:val="22"/>
          <w:szCs w:val="22"/>
        </w:rPr>
        <w:t>(…)]</w:t>
      </w:r>
      <w:r w:rsidRPr="0009014A">
        <w:rPr>
          <w:rFonts w:ascii="Lato" w:eastAsia="Calibri" w:hAnsi="Lato"/>
          <w:bCs/>
          <w:spacing w:val="4"/>
          <w:sz w:val="22"/>
          <w:szCs w:val="22"/>
        </w:rPr>
        <w:t xml:space="preserve"> - reprezentowani przez adw. dr Ł</w:t>
      </w:r>
      <w:r w:rsidR="00D13F91">
        <w:rPr>
          <w:rFonts w:ascii="Lato" w:eastAsia="Calibri" w:hAnsi="Lato"/>
          <w:bCs/>
          <w:spacing w:val="4"/>
          <w:sz w:val="22"/>
          <w:szCs w:val="22"/>
        </w:rPr>
        <w:t>.</w:t>
      </w:r>
      <w:r w:rsidRPr="0009014A">
        <w:rPr>
          <w:rFonts w:ascii="Lato" w:eastAsia="Calibri" w:hAnsi="Lato"/>
          <w:bCs/>
          <w:spacing w:val="4"/>
          <w:sz w:val="22"/>
          <w:szCs w:val="22"/>
        </w:rPr>
        <w:t xml:space="preserve"> W. W trakcie postępowania organ odwoławczy powziął wiadomość o śmierci Pani B</w:t>
      </w:r>
      <w:r w:rsidR="00EA0C18">
        <w:rPr>
          <w:rFonts w:ascii="Lato" w:eastAsia="Calibri" w:hAnsi="Lato"/>
          <w:bCs/>
          <w:spacing w:val="4"/>
          <w:sz w:val="22"/>
          <w:szCs w:val="22"/>
        </w:rPr>
        <w:t>.</w:t>
      </w:r>
      <w:r w:rsidRPr="0009014A">
        <w:rPr>
          <w:rFonts w:ascii="Lato" w:eastAsia="Calibri" w:hAnsi="Lato"/>
          <w:bCs/>
          <w:spacing w:val="4"/>
          <w:sz w:val="22"/>
          <w:szCs w:val="22"/>
        </w:rPr>
        <w:t xml:space="preserve"> K. Na podstawie aktu poświadczenia dziedziczenia z dnia 14 listopada 2025 r. </w:t>
      </w:r>
      <w:r w:rsidR="00EA0C18">
        <w:rPr>
          <w:rFonts w:ascii="Lato" w:eastAsia="Calibri" w:hAnsi="Lato"/>
          <w:bCs/>
          <w:spacing w:val="4"/>
          <w:sz w:val="22"/>
          <w:szCs w:val="22"/>
        </w:rPr>
        <w:t>[</w:t>
      </w:r>
      <w:r w:rsidRPr="0009014A">
        <w:rPr>
          <w:rFonts w:ascii="Lato" w:eastAsia="Calibri" w:hAnsi="Lato"/>
          <w:bCs/>
          <w:spacing w:val="4"/>
          <w:sz w:val="22"/>
          <w:szCs w:val="22"/>
        </w:rPr>
        <w:t xml:space="preserve">Repertorium </w:t>
      </w:r>
      <w:r w:rsidR="0037475B">
        <w:rPr>
          <w:rFonts w:ascii="Lato" w:eastAsia="Calibri" w:hAnsi="Lato"/>
          <w:bCs/>
          <w:spacing w:val="4"/>
          <w:sz w:val="22"/>
          <w:szCs w:val="22"/>
        </w:rPr>
        <w:t>(…)</w:t>
      </w:r>
      <w:r w:rsidRPr="0009014A">
        <w:rPr>
          <w:rFonts w:ascii="Lato" w:eastAsia="Calibri" w:hAnsi="Lato"/>
          <w:bCs/>
          <w:spacing w:val="4"/>
          <w:sz w:val="22"/>
          <w:szCs w:val="22"/>
        </w:rPr>
        <w:t xml:space="preserve"> numer </w:t>
      </w:r>
      <w:r w:rsidR="00EA0C18">
        <w:rPr>
          <w:rFonts w:ascii="Lato" w:eastAsia="Calibri" w:hAnsi="Lato"/>
          <w:bCs/>
          <w:spacing w:val="4"/>
          <w:sz w:val="22"/>
          <w:szCs w:val="22"/>
        </w:rPr>
        <w:t>(…)]</w:t>
      </w:r>
      <w:r w:rsidRPr="0009014A">
        <w:rPr>
          <w:rFonts w:ascii="Lato" w:eastAsia="Calibri" w:hAnsi="Lato"/>
          <w:bCs/>
          <w:spacing w:val="4"/>
          <w:sz w:val="22"/>
          <w:szCs w:val="22"/>
        </w:rPr>
        <w:t>, przedłożonego przez pełnomocnika skarżących przy piśmie z dnia 9 stycznia 2026 r., własność nieruchomości (stanowiących dotychczas własność Pani B</w:t>
      </w:r>
      <w:r w:rsidR="00A0398D">
        <w:rPr>
          <w:rFonts w:ascii="Lato" w:eastAsia="Calibri" w:hAnsi="Lato"/>
          <w:bCs/>
          <w:spacing w:val="4"/>
          <w:sz w:val="22"/>
          <w:szCs w:val="22"/>
        </w:rPr>
        <w:t>.</w:t>
      </w:r>
      <w:r w:rsidRPr="0009014A">
        <w:rPr>
          <w:rFonts w:ascii="Lato" w:eastAsia="Calibri" w:hAnsi="Lato"/>
          <w:bCs/>
          <w:spacing w:val="4"/>
          <w:sz w:val="22"/>
          <w:szCs w:val="22"/>
        </w:rPr>
        <w:t xml:space="preserve"> K</w:t>
      </w:r>
      <w:r w:rsidR="00A0398D">
        <w:rPr>
          <w:rFonts w:ascii="Lato" w:eastAsia="Calibri" w:hAnsi="Lato"/>
          <w:bCs/>
          <w:spacing w:val="4"/>
          <w:sz w:val="22"/>
          <w:szCs w:val="22"/>
        </w:rPr>
        <w:t>.</w:t>
      </w:r>
      <w:r w:rsidRPr="0009014A">
        <w:rPr>
          <w:rFonts w:ascii="Lato" w:eastAsia="Calibri" w:hAnsi="Lato"/>
          <w:bCs/>
          <w:spacing w:val="4"/>
          <w:sz w:val="22"/>
          <w:szCs w:val="22"/>
        </w:rPr>
        <w:t>) objętych zakresem decyzji Wojewody Mazowieckiego została nabyta na podstawie zapisu windykacyjnego przez syna zmarłej - Pana P</w:t>
      </w:r>
      <w:r w:rsidR="00A0398D">
        <w:rPr>
          <w:rFonts w:ascii="Lato" w:eastAsia="Calibri" w:hAnsi="Lato"/>
          <w:bCs/>
          <w:spacing w:val="4"/>
          <w:sz w:val="22"/>
          <w:szCs w:val="22"/>
        </w:rPr>
        <w:t>.</w:t>
      </w:r>
      <w:r w:rsidRPr="0009014A">
        <w:rPr>
          <w:rFonts w:ascii="Lato" w:eastAsia="Calibri" w:hAnsi="Lato"/>
          <w:bCs/>
          <w:spacing w:val="4"/>
          <w:sz w:val="22"/>
          <w:szCs w:val="22"/>
        </w:rPr>
        <w:t xml:space="preserve"> K</w:t>
      </w:r>
      <w:r w:rsidR="00A0398D">
        <w:rPr>
          <w:rFonts w:ascii="Lato" w:eastAsia="Calibri" w:hAnsi="Lato"/>
          <w:bCs/>
          <w:spacing w:val="4"/>
          <w:sz w:val="22"/>
          <w:szCs w:val="22"/>
        </w:rPr>
        <w:t>.</w:t>
      </w:r>
      <w:r w:rsidRPr="0009014A">
        <w:rPr>
          <w:rFonts w:ascii="Lato" w:eastAsia="Calibri" w:hAnsi="Lato"/>
          <w:bCs/>
          <w:spacing w:val="4"/>
          <w:sz w:val="22"/>
          <w:szCs w:val="22"/>
        </w:rPr>
        <w:t xml:space="preserve"> i córkę zmarłej - Panią K</w:t>
      </w:r>
      <w:r w:rsidR="00A0398D">
        <w:rPr>
          <w:rFonts w:ascii="Lato" w:eastAsia="Calibri" w:hAnsi="Lato"/>
          <w:bCs/>
          <w:spacing w:val="4"/>
          <w:sz w:val="22"/>
          <w:szCs w:val="22"/>
        </w:rPr>
        <w:t>.</w:t>
      </w:r>
      <w:r w:rsidRPr="0009014A">
        <w:rPr>
          <w:rFonts w:ascii="Lato" w:eastAsia="Calibri" w:hAnsi="Lato"/>
          <w:bCs/>
          <w:spacing w:val="4"/>
          <w:sz w:val="22"/>
          <w:szCs w:val="22"/>
        </w:rPr>
        <w:t xml:space="preserve"> K. W myśl art. 30 § 4 kpa w sprawach dotyczących praw zbywalnych lub dziedzicznych w razie zbycia prawa lub śmierci strony w toku postępowania na miejsce dotychczasowej strony wstępują jej następcy prawni.,</w:t>
      </w:r>
    </w:p>
    <w:p w14:paraId="390F3C0C" w14:textId="350C3B2E"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lastRenderedPageBreak/>
        <w:t>Pani A</w:t>
      </w:r>
      <w:r w:rsidR="001929E8">
        <w:rPr>
          <w:rFonts w:ascii="Lato" w:eastAsia="Calibri" w:hAnsi="Lato"/>
          <w:bCs/>
          <w:spacing w:val="4"/>
          <w:sz w:val="22"/>
          <w:szCs w:val="22"/>
        </w:rPr>
        <w:t>.</w:t>
      </w:r>
      <w:r w:rsidRPr="0009014A">
        <w:rPr>
          <w:rFonts w:ascii="Lato" w:eastAsia="Calibri" w:hAnsi="Lato"/>
          <w:bCs/>
          <w:spacing w:val="4"/>
          <w:sz w:val="22"/>
          <w:szCs w:val="22"/>
        </w:rPr>
        <w:t xml:space="preserve"> Ł. W dniu 17 lutego 2026 r., przy zapoznaniu się z aktami sprawy, adw. M</w:t>
      </w:r>
      <w:r w:rsidR="001929E8">
        <w:rPr>
          <w:rFonts w:ascii="Lato" w:eastAsia="Calibri" w:hAnsi="Lato"/>
          <w:bCs/>
          <w:spacing w:val="4"/>
          <w:sz w:val="22"/>
          <w:szCs w:val="22"/>
        </w:rPr>
        <w:t>.</w:t>
      </w:r>
      <w:r w:rsidRPr="0009014A">
        <w:rPr>
          <w:rFonts w:ascii="Lato" w:eastAsia="Calibri" w:hAnsi="Lato"/>
          <w:bCs/>
          <w:spacing w:val="4"/>
          <w:sz w:val="22"/>
          <w:szCs w:val="22"/>
        </w:rPr>
        <w:t xml:space="preserve"> D</w:t>
      </w:r>
      <w:r w:rsidR="001929E8">
        <w:rPr>
          <w:rFonts w:ascii="Lato" w:eastAsia="Calibri" w:hAnsi="Lato"/>
          <w:bCs/>
          <w:spacing w:val="4"/>
          <w:sz w:val="22"/>
          <w:szCs w:val="22"/>
        </w:rPr>
        <w:t>.</w:t>
      </w:r>
      <w:r w:rsidRPr="0009014A">
        <w:rPr>
          <w:rFonts w:ascii="Lato" w:eastAsia="Calibri" w:hAnsi="Lato"/>
          <w:bCs/>
          <w:spacing w:val="4"/>
          <w:sz w:val="22"/>
          <w:szCs w:val="22"/>
        </w:rPr>
        <w:t xml:space="preserve"> przedłożyła do akt sprawy potwierdzoną za zgodność z oryginałem kopię pełnomocnictwa z dnia 5 lutego 2026 r., które uprawnia ją do reprezentowania Pani A</w:t>
      </w:r>
      <w:r w:rsidR="001929E8">
        <w:rPr>
          <w:rFonts w:ascii="Lato" w:eastAsia="Calibri" w:hAnsi="Lato"/>
          <w:bCs/>
          <w:spacing w:val="4"/>
          <w:sz w:val="22"/>
          <w:szCs w:val="22"/>
        </w:rPr>
        <w:t>.</w:t>
      </w:r>
      <w:r w:rsidRPr="0009014A">
        <w:rPr>
          <w:rFonts w:ascii="Lato" w:eastAsia="Calibri" w:hAnsi="Lato"/>
          <w:bCs/>
          <w:spacing w:val="4"/>
          <w:sz w:val="22"/>
          <w:szCs w:val="22"/>
        </w:rPr>
        <w:t xml:space="preserve"> Ł</w:t>
      </w:r>
      <w:r w:rsidR="001929E8">
        <w:rPr>
          <w:rFonts w:ascii="Lato" w:eastAsia="Calibri" w:hAnsi="Lato"/>
          <w:bCs/>
          <w:spacing w:val="4"/>
          <w:sz w:val="22"/>
          <w:szCs w:val="22"/>
        </w:rPr>
        <w:t>.</w:t>
      </w:r>
      <w:r w:rsidRPr="0009014A">
        <w:rPr>
          <w:rFonts w:ascii="Lato" w:eastAsia="Calibri" w:hAnsi="Lato"/>
          <w:bCs/>
          <w:spacing w:val="4"/>
          <w:sz w:val="22"/>
          <w:szCs w:val="22"/>
        </w:rPr>
        <w:t xml:space="preserve"> w sprawie jej odwołania od decyzji Wojewody Mazowieckiego,</w:t>
      </w:r>
    </w:p>
    <w:p w14:paraId="187F72F3" w14:textId="73901D40"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 P</w:t>
      </w:r>
      <w:r w:rsidR="001929E8">
        <w:rPr>
          <w:rFonts w:ascii="Lato" w:eastAsia="Calibri" w:hAnsi="Lato"/>
          <w:bCs/>
          <w:spacing w:val="4"/>
          <w:sz w:val="22"/>
          <w:szCs w:val="22"/>
        </w:rPr>
        <w:t>.</w:t>
      </w:r>
      <w:r w:rsidRPr="0009014A">
        <w:rPr>
          <w:rFonts w:ascii="Lato" w:eastAsia="Calibri" w:hAnsi="Lato"/>
          <w:bCs/>
          <w:spacing w:val="4"/>
          <w:sz w:val="22"/>
          <w:szCs w:val="22"/>
        </w:rPr>
        <w:t xml:space="preserve"> K</w:t>
      </w:r>
      <w:r w:rsidR="001929E8">
        <w:rPr>
          <w:rFonts w:ascii="Lato" w:eastAsia="Calibri" w:hAnsi="Lato"/>
          <w:bCs/>
          <w:spacing w:val="4"/>
          <w:sz w:val="22"/>
          <w:szCs w:val="22"/>
        </w:rPr>
        <w:t>.</w:t>
      </w:r>
      <w:r w:rsidRPr="0009014A">
        <w:rPr>
          <w:rFonts w:ascii="Lato" w:eastAsia="Calibri" w:hAnsi="Lato"/>
          <w:bCs/>
          <w:spacing w:val="4"/>
          <w:sz w:val="22"/>
          <w:szCs w:val="22"/>
        </w:rPr>
        <w:t>,</w:t>
      </w:r>
    </w:p>
    <w:p w14:paraId="6C699EE7" w14:textId="3F4B610E"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Pani J</w:t>
      </w:r>
      <w:r w:rsidR="001929E8">
        <w:rPr>
          <w:rFonts w:ascii="Lato" w:eastAsia="Calibri" w:hAnsi="Lato"/>
          <w:bCs/>
          <w:spacing w:val="4"/>
          <w:sz w:val="22"/>
          <w:szCs w:val="22"/>
        </w:rPr>
        <w:t>.</w:t>
      </w:r>
      <w:r w:rsidRPr="0009014A">
        <w:rPr>
          <w:rFonts w:ascii="Lato" w:eastAsia="Calibri" w:hAnsi="Lato"/>
          <w:bCs/>
          <w:spacing w:val="4"/>
          <w:sz w:val="22"/>
          <w:szCs w:val="22"/>
        </w:rPr>
        <w:t xml:space="preserve"> K</w:t>
      </w:r>
      <w:r w:rsidR="001929E8">
        <w:rPr>
          <w:rFonts w:ascii="Lato" w:eastAsia="Calibri" w:hAnsi="Lato"/>
          <w:bCs/>
          <w:spacing w:val="4"/>
          <w:sz w:val="22"/>
          <w:szCs w:val="22"/>
        </w:rPr>
        <w:t>.</w:t>
      </w:r>
      <w:r w:rsidRPr="0009014A">
        <w:rPr>
          <w:rFonts w:ascii="Lato" w:eastAsia="Calibri" w:hAnsi="Lato"/>
          <w:bCs/>
          <w:spacing w:val="4"/>
          <w:sz w:val="22"/>
          <w:szCs w:val="22"/>
        </w:rPr>
        <w:t xml:space="preserve"> i Pan M</w:t>
      </w:r>
      <w:r w:rsidR="001929E8">
        <w:rPr>
          <w:rFonts w:ascii="Lato" w:eastAsia="Calibri" w:hAnsi="Lato"/>
          <w:bCs/>
          <w:spacing w:val="4"/>
          <w:sz w:val="22"/>
          <w:szCs w:val="22"/>
        </w:rPr>
        <w:t>.</w:t>
      </w:r>
      <w:r w:rsidRPr="0009014A">
        <w:rPr>
          <w:rFonts w:ascii="Lato" w:eastAsia="Calibri" w:hAnsi="Lato"/>
          <w:bCs/>
          <w:spacing w:val="4"/>
          <w:sz w:val="22"/>
          <w:szCs w:val="22"/>
        </w:rPr>
        <w:t xml:space="preserve"> K</w:t>
      </w:r>
      <w:r w:rsidR="001929E8">
        <w:rPr>
          <w:rFonts w:ascii="Lato" w:eastAsia="Calibri" w:hAnsi="Lato"/>
          <w:bCs/>
          <w:spacing w:val="4"/>
          <w:sz w:val="22"/>
          <w:szCs w:val="22"/>
        </w:rPr>
        <w:t>.</w:t>
      </w:r>
      <w:r w:rsidRPr="0009014A">
        <w:rPr>
          <w:rFonts w:ascii="Lato" w:eastAsia="Calibri" w:hAnsi="Lato"/>
          <w:bCs/>
          <w:spacing w:val="4"/>
          <w:sz w:val="22"/>
          <w:szCs w:val="22"/>
        </w:rPr>
        <w:t>,</w:t>
      </w:r>
    </w:p>
    <w:p w14:paraId="2B0200D3" w14:textId="519147E9"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Pani A</w:t>
      </w:r>
      <w:r w:rsidR="001929E8">
        <w:rPr>
          <w:rFonts w:ascii="Lato" w:eastAsia="Calibri" w:hAnsi="Lato"/>
          <w:bCs/>
          <w:spacing w:val="4"/>
          <w:sz w:val="22"/>
          <w:szCs w:val="22"/>
        </w:rPr>
        <w:t>.</w:t>
      </w:r>
      <w:r w:rsidRPr="0009014A">
        <w:rPr>
          <w:rFonts w:ascii="Lato" w:eastAsia="Calibri" w:hAnsi="Lato"/>
          <w:bCs/>
          <w:spacing w:val="4"/>
          <w:sz w:val="22"/>
          <w:szCs w:val="22"/>
        </w:rPr>
        <w:t xml:space="preserve"> S</w:t>
      </w:r>
      <w:r w:rsidR="001929E8">
        <w:rPr>
          <w:rFonts w:ascii="Lato" w:eastAsia="Calibri" w:hAnsi="Lato"/>
          <w:bCs/>
          <w:spacing w:val="4"/>
          <w:sz w:val="22"/>
          <w:szCs w:val="22"/>
        </w:rPr>
        <w:t>.</w:t>
      </w:r>
      <w:r w:rsidRPr="0009014A">
        <w:rPr>
          <w:rFonts w:ascii="Lato" w:eastAsia="Calibri" w:hAnsi="Lato"/>
          <w:bCs/>
          <w:spacing w:val="4"/>
          <w:sz w:val="22"/>
          <w:szCs w:val="22"/>
        </w:rPr>
        <w:t>,</w:t>
      </w:r>
    </w:p>
    <w:p w14:paraId="06E670B4" w14:textId="0C356E47"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Pani K</w:t>
      </w:r>
      <w:r w:rsidR="001929E8">
        <w:rPr>
          <w:rFonts w:ascii="Lato" w:eastAsia="Calibri" w:hAnsi="Lato"/>
          <w:bCs/>
          <w:spacing w:val="4"/>
          <w:sz w:val="22"/>
          <w:szCs w:val="22"/>
        </w:rPr>
        <w:t>.</w:t>
      </w:r>
      <w:r w:rsidRPr="0009014A">
        <w:rPr>
          <w:rFonts w:ascii="Lato" w:eastAsia="Calibri" w:hAnsi="Lato"/>
          <w:bCs/>
          <w:spacing w:val="4"/>
          <w:sz w:val="22"/>
          <w:szCs w:val="22"/>
        </w:rPr>
        <w:t xml:space="preserve"> J</w:t>
      </w:r>
      <w:r w:rsidR="001929E8">
        <w:rPr>
          <w:rFonts w:ascii="Lato" w:eastAsia="Calibri" w:hAnsi="Lato"/>
          <w:bCs/>
          <w:spacing w:val="4"/>
          <w:sz w:val="22"/>
          <w:szCs w:val="22"/>
        </w:rPr>
        <w:t>.</w:t>
      </w:r>
      <w:r w:rsidRPr="0009014A">
        <w:rPr>
          <w:rFonts w:ascii="Lato" w:eastAsia="Calibri" w:hAnsi="Lato"/>
          <w:bCs/>
          <w:spacing w:val="4"/>
          <w:sz w:val="22"/>
          <w:szCs w:val="22"/>
        </w:rPr>
        <w:t>,</w:t>
      </w:r>
    </w:p>
    <w:p w14:paraId="517E58E5" w14:textId="01A02579"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 P</w:t>
      </w:r>
      <w:r w:rsidR="001929E8">
        <w:rPr>
          <w:rFonts w:ascii="Lato" w:eastAsia="Calibri" w:hAnsi="Lato"/>
          <w:bCs/>
          <w:spacing w:val="4"/>
          <w:sz w:val="22"/>
          <w:szCs w:val="22"/>
        </w:rPr>
        <w:t>.</w:t>
      </w:r>
      <w:r w:rsidRPr="0009014A">
        <w:rPr>
          <w:rFonts w:ascii="Lato" w:eastAsia="Calibri" w:hAnsi="Lato"/>
          <w:bCs/>
          <w:spacing w:val="4"/>
          <w:sz w:val="22"/>
          <w:szCs w:val="22"/>
        </w:rPr>
        <w:t xml:space="preserve"> G</w:t>
      </w:r>
      <w:r w:rsidR="001929E8">
        <w:rPr>
          <w:rFonts w:ascii="Lato" w:eastAsia="Calibri" w:hAnsi="Lato"/>
          <w:bCs/>
          <w:spacing w:val="4"/>
          <w:sz w:val="22"/>
          <w:szCs w:val="22"/>
        </w:rPr>
        <w:t>.</w:t>
      </w:r>
      <w:r w:rsidRPr="0009014A">
        <w:rPr>
          <w:rFonts w:ascii="Lato" w:eastAsia="Calibri" w:hAnsi="Lato"/>
          <w:bCs/>
          <w:spacing w:val="4"/>
          <w:sz w:val="22"/>
          <w:szCs w:val="22"/>
        </w:rPr>
        <w:t>,</w:t>
      </w:r>
    </w:p>
    <w:p w14:paraId="7725292C" w14:textId="1BD03EF4"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Pani B</w:t>
      </w:r>
      <w:r w:rsidR="001929E8">
        <w:rPr>
          <w:rFonts w:ascii="Lato" w:eastAsia="Calibri" w:hAnsi="Lato"/>
          <w:bCs/>
          <w:spacing w:val="4"/>
          <w:sz w:val="22"/>
          <w:szCs w:val="22"/>
        </w:rPr>
        <w:t>.</w:t>
      </w:r>
      <w:r w:rsidRPr="0009014A">
        <w:rPr>
          <w:rFonts w:ascii="Lato" w:eastAsia="Calibri" w:hAnsi="Lato"/>
          <w:bCs/>
          <w:spacing w:val="4"/>
          <w:sz w:val="22"/>
          <w:szCs w:val="22"/>
        </w:rPr>
        <w:t xml:space="preserve"> J</w:t>
      </w:r>
      <w:r w:rsidR="001929E8">
        <w:rPr>
          <w:rFonts w:ascii="Lato" w:eastAsia="Calibri" w:hAnsi="Lato"/>
          <w:bCs/>
          <w:spacing w:val="4"/>
          <w:sz w:val="22"/>
          <w:szCs w:val="22"/>
        </w:rPr>
        <w:t>.</w:t>
      </w:r>
      <w:r w:rsidRPr="0009014A">
        <w:rPr>
          <w:rFonts w:ascii="Lato" w:eastAsia="Calibri" w:hAnsi="Lato"/>
          <w:bCs/>
          <w:spacing w:val="4"/>
          <w:sz w:val="22"/>
          <w:szCs w:val="22"/>
        </w:rPr>
        <w:t xml:space="preserve"> i Pan M</w:t>
      </w:r>
      <w:r w:rsidR="001929E8">
        <w:rPr>
          <w:rFonts w:ascii="Lato" w:eastAsia="Calibri" w:hAnsi="Lato"/>
          <w:bCs/>
          <w:spacing w:val="4"/>
          <w:sz w:val="22"/>
          <w:szCs w:val="22"/>
        </w:rPr>
        <w:t>.</w:t>
      </w:r>
      <w:r w:rsidRPr="0009014A">
        <w:rPr>
          <w:rFonts w:ascii="Lato" w:eastAsia="Calibri" w:hAnsi="Lato"/>
          <w:bCs/>
          <w:spacing w:val="4"/>
          <w:sz w:val="22"/>
          <w:szCs w:val="22"/>
        </w:rPr>
        <w:t xml:space="preserve"> J</w:t>
      </w:r>
      <w:r w:rsidR="001929E8">
        <w:rPr>
          <w:rFonts w:ascii="Lato" w:eastAsia="Calibri" w:hAnsi="Lato"/>
          <w:bCs/>
          <w:spacing w:val="4"/>
          <w:sz w:val="22"/>
          <w:szCs w:val="22"/>
        </w:rPr>
        <w:t>.</w:t>
      </w:r>
      <w:r w:rsidRPr="0009014A">
        <w:rPr>
          <w:rFonts w:ascii="Lato" w:eastAsia="Calibri" w:hAnsi="Lato"/>
          <w:bCs/>
          <w:spacing w:val="4"/>
          <w:sz w:val="22"/>
          <w:szCs w:val="22"/>
        </w:rPr>
        <w:t>,</w:t>
      </w:r>
    </w:p>
    <w:p w14:paraId="67A970F9" w14:textId="5DA057AE"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Pani E</w:t>
      </w:r>
      <w:r w:rsidR="0063542E">
        <w:rPr>
          <w:rFonts w:ascii="Lato" w:eastAsia="Calibri" w:hAnsi="Lato"/>
          <w:bCs/>
          <w:spacing w:val="4"/>
          <w:sz w:val="22"/>
          <w:szCs w:val="22"/>
        </w:rPr>
        <w:t>.</w:t>
      </w:r>
      <w:r w:rsidRPr="0009014A">
        <w:rPr>
          <w:rFonts w:ascii="Lato" w:eastAsia="Calibri" w:hAnsi="Lato"/>
          <w:bCs/>
          <w:spacing w:val="4"/>
          <w:sz w:val="22"/>
          <w:szCs w:val="22"/>
        </w:rPr>
        <w:t xml:space="preserve"> W</w:t>
      </w:r>
      <w:r w:rsidR="0063542E">
        <w:rPr>
          <w:rFonts w:ascii="Lato" w:eastAsia="Calibri" w:hAnsi="Lato"/>
          <w:bCs/>
          <w:spacing w:val="4"/>
          <w:sz w:val="22"/>
          <w:szCs w:val="22"/>
        </w:rPr>
        <w:t>.</w:t>
      </w:r>
      <w:r w:rsidRPr="0009014A">
        <w:rPr>
          <w:rFonts w:ascii="Lato" w:eastAsia="Calibri" w:hAnsi="Lato"/>
          <w:bCs/>
          <w:spacing w:val="4"/>
          <w:sz w:val="22"/>
          <w:szCs w:val="22"/>
        </w:rPr>
        <w:t xml:space="preserve"> i Pan R</w:t>
      </w:r>
      <w:r w:rsidR="0063542E">
        <w:rPr>
          <w:rFonts w:ascii="Lato" w:eastAsia="Calibri" w:hAnsi="Lato"/>
          <w:bCs/>
          <w:spacing w:val="4"/>
          <w:sz w:val="22"/>
          <w:szCs w:val="22"/>
        </w:rPr>
        <w:t>.</w:t>
      </w:r>
      <w:r w:rsidRPr="0009014A">
        <w:rPr>
          <w:rFonts w:ascii="Lato" w:eastAsia="Calibri" w:hAnsi="Lato"/>
          <w:bCs/>
          <w:spacing w:val="4"/>
          <w:sz w:val="22"/>
          <w:szCs w:val="22"/>
        </w:rPr>
        <w:t xml:space="preserve"> W. Brak formalny odwołania w zakresie wniesienia go przez Panią E</w:t>
      </w:r>
      <w:r w:rsidR="0063542E">
        <w:rPr>
          <w:rFonts w:ascii="Lato" w:eastAsia="Calibri" w:hAnsi="Lato"/>
          <w:bCs/>
          <w:spacing w:val="4"/>
          <w:sz w:val="22"/>
          <w:szCs w:val="22"/>
        </w:rPr>
        <w:t>.</w:t>
      </w:r>
      <w:r w:rsidRPr="0009014A">
        <w:rPr>
          <w:rFonts w:ascii="Lato" w:eastAsia="Calibri" w:hAnsi="Lato"/>
          <w:bCs/>
          <w:spacing w:val="4"/>
          <w:sz w:val="22"/>
          <w:szCs w:val="22"/>
        </w:rPr>
        <w:t xml:space="preserve"> W</w:t>
      </w:r>
      <w:r w:rsidR="0063542E">
        <w:rPr>
          <w:rFonts w:ascii="Lato" w:eastAsia="Calibri" w:hAnsi="Lato"/>
          <w:bCs/>
          <w:spacing w:val="4"/>
          <w:sz w:val="22"/>
          <w:szCs w:val="22"/>
        </w:rPr>
        <w:t>.</w:t>
      </w:r>
      <w:r w:rsidRPr="0009014A">
        <w:rPr>
          <w:rFonts w:ascii="Lato" w:eastAsia="Calibri" w:hAnsi="Lato"/>
          <w:bCs/>
          <w:spacing w:val="4"/>
          <w:sz w:val="22"/>
          <w:szCs w:val="22"/>
        </w:rPr>
        <w:t xml:space="preserve"> został usunięty w dniu 10 marca 2025 r. (wpływ do Ministerstwa Rozwoju </w:t>
      </w:r>
      <w:r w:rsidR="0063542E">
        <w:rPr>
          <w:rFonts w:ascii="Lato" w:eastAsia="Calibri" w:hAnsi="Lato"/>
          <w:bCs/>
          <w:spacing w:val="4"/>
          <w:sz w:val="22"/>
          <w:szCs w:val="22"/>
        </w:rPr>
        <w:br/>
      </w:r>
      <w:r w:rsidRPr="0009014A">
        <w:rPr>
          <w:rFonts w:ascii="Lato" w:eastAsia="Calibri" w:hAnsi="Lato"/>
          <w:bCs/>
          <w:spacing w:val="4"/>
          <w:sz w:val="22"/>
          <w:szCs w:val="22"/>
        </w:rPr>
        <w:t>i Technologii podpisanego odwołania przez Panią E</w:t>
      </w:r>
      <w:r w:rsidR="0063542E">
        <w:rPr>
          <w:rFonts w:ascii="Lato" w:eastAsia="Calibri" w:hAnsi="Lato"/>
          <w:bCs/>
          <w:spacing w:val="4"/>
          <w:sz w:val="22"/>
          <w:szCs w:val="22"/>
        </w:rPr>
        <w:t>.</w:t>
      </w:r>
      <w:r w:rsidRPr="0009014A">
        <w:rPr>
          <w:rFonts w:ascii="Lato" w:eastAsia="Calibri" w:hAnsi="Lato"/>
          <w:bCs/>
          <w:spacing w:val="4"/>
          <w:sz w:val="22"/>
          <w:szCs w:val="22"/>
        </w:rPr>
        <w:t xml:space="preserve"> W</w:t>
      </w:r>
      <w:r w:rsidR="0063542E">
        <w:rPr>
          <w:rFonts w:ascii="Lato" w:eastAsia="Calibri" w:hAnsi="Lato"/>
          <w:bCs/>
          <w:spacing w:val="4"/>
          <w:sz w:val="22"/>
          <w:szCs w:val="22"/>
        </w:rPr>
        <w:t>.</w:t>
      </w:r>
      <w:r w:rsidRPr="0009014A">
        <w:rPr>
          <w:rFonts w:ascii="Lato" w:eastAsia="Calibri" w:hAnsi="Lato"/>
          <w:bCs/>
          <w:spacing w:val="4"/>
          <w:sz w:val="22"/>
          <w:szCs w:val="22"/>
        </w:rPr>
        <w:t>),</w:t>
      </w:r>
    </w:p>
    <w:p w14:paraId="6A5FE130" w14:textId="105FDAC0"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 T</w:t>
      </w:r>
      <w:r w:rsidR="0063542E">
        <w:rPr>
          <w:rFonts w:ascii="Lato" w:eastAsia="Calibri" w:hAnsi="Lato"/>
          <w:bCs/>
          <w:spacing w:val="4"/>
          <w:sz w:val="22"/>
          <w:szCs w:val="22"/>
        </w:rPr>
        <w:t>.</w:t>
      </w:r>
      <w:r w:rsidRPr="0009014A">
        <w:rPr>
          <w:rFonts w:ascii="Lato" w:eastAsia="Calibri" w:hAnsi="Lato"/>
          <w:bCs/>
          <w:spacing w:val="4"/>
          <w:sz w:val="22"/>
          <w:szCs w:val="22"/>
        </w:rPr>
        <w:t xml:space="preserve"> T</w:t>
      </w:r>
      <w:r w:rsidR="0063542E">
        <w:rPr>
          <w:rFonts w:ascii="Lato" w:eastAsia="Calibri" w:hAnsi="Lato"/>
          <w:bCs/>
          <w:spacing w:val="4"/>
          <w:sz w:val="22"/>
          <w:szCs w:val="22"/>
        </w:rPr>
        <w:t>.</w:t>
      </w:r>
      <w:r w:rsidRPr="0009014A">
        <w:rPr>
          <w:rFonts w:ascii="Lato" w:eastAsia="Calibri" w:hAnsi="Lato"/>
          <w:bCs/>
          <w:spacing w:val="4"/>
          <w:sz w:val="22"/>
          <w:szCs w:val="22"/>
        </w:rPr>
        <w:t>,</w:t>
      </w:r>
    </w:p>
    <w:p w14:paraId="7B4EDB61" w14:textId="41CBF59D"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jc w:val="both"/>
        <w:outlineLvl w:val="0"/>
        <w:rPr>
          <w:rFonts w:ascii="Lato" w:eastAsia="Calibri" w:hAnsi="Lato"/>
          <w:bCs/>
          <w:spacing w:val="4"/>
          <w:sz w:val="22"/>
          <w:szCs w:val="22"/>
        </w:rPr>
      </w:pPr>
      <w:r w:rsidRPr="0009014A">
        <w:rPr>
          <w:rFonts w:ascii="Lato" w:eastAsia="Calibri" w:hAnsi="Lato"/>
          <w:bCs/>
          <w:spacing w:val="4"/>
          <w:sz w:val="22"/>
          <w:szCs w:val="22"/>
        </w:rPr>
        <w:t>Pan S</w:t>
      </w:r>
      <w:r w:rsidR="0063542E">
        <w:rPr>
          <w:rFonts w:ascii="Lato" w:eastAsia="Calibri" w:hAnsi="Lato"/>
          <w:bCs/>
          <w:spacing w:val="4"/>
          <w:sz w:val="22"/>
          <w:szCs w:val="22"/>
        </w:rPr>
        <w:t>.</w:t>
      </w:r>
      <w:r w:rsidRPr="0009014A">
        <w:rPr>
          <w:rFonts w:ascii="Lato" w:eastAsia="Calibri" w:hAnsi="Lato"/>
          <w:bCs/>
          <w:spacing w:val="4"/>
          <w:sz w:val="22"/>
          <w:szCs w:val="22"/>
        </w:rPr>
        <w:t xml:space="preserve"> T</w:t>
      </w:r>
      <w:r w:rsidR="0063542E">
        <w:rPr>
          <w:rFonts w:ascii="Lato" w:eastAsia="Calibri" w:hAnsi="Lato"/>
          <w:bCs/>
          <w:spacing w:val="4"/>
          <w:sz w:val="22"/>
          <w:szCs w:val="22"/>
        </w:rPr>
        <w:t>.</w:t>
      </w:r>
      <w:r w:rsidRPr="0009014A">
        <w:rPr>
          <w:rFonts w:ascii="Lato" w:eastAsia="Calibri" w:hAnsi="Lato"/>
          <w:bCs/>
          <w:spacing w:val="4"/>
          <w:sz w:val="22"/>
          <w:szCs w:val="22"/>
        </w:rPr>
        <w:t>,</w:t>
      </w:r>
    </w:p>
    <w:p w14:paraId="1B431C7D" w14:textId="5F084A3F"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Pani W</w:t>
      </w:r>
      <w:r w:rsidR="0063542E">
        <w:rPr>
          <w:rFonts w:ascii="Lato" w:eastAsia="Calibri" w:hAnsi="Lato"/>
          <w:bCs/>
          <w:spacing w:val="4"/>
          <w:sz w:val="22"/>
          <w:szCs w:val="22"/>
        </w:rPr>
        <w:t>.</w:t>
      </w:r>
      <w:r w:rsidRPr="0009014A">
        <w:rPr>
          <w:rFonts w:ascii="Lato" w:eastAsia="Calibri" w:hAnsi="Lato"/>
          <w:bCs/>
          <w:spacing w:val="4"/>
          <w:sz w:val="22"/>
          <w:szCs w:val="22"/>
        </w:rPr>
        <w:t xml:space="preserve"> B</w:t>
      </w:r>
      <w:r w:rsidR="0063542E">
        <w:rPr>
          <w:rFonts w:ascii="Lato" w:eastAsia="Calibri" w:hAnsi="Lato"/>
          <w:bCs/>
          <w:spacing w:val="4"/>
          <w:sz w:val="22"/>
          <w:szCs w:val="22"/>
        </w:rPr>
        <w:t>.</w:t>
      </w:r>
      <w:r w:rsidRPr="0009014A">
        <w:rPr>
          <w:rFonts w:ascii="Lato" w:eastAsia="Calibri" w:hAnsi="Lato"/>
          <w:bCs/>
          <w:spacing w:val="4"/>
          <w:sz w:val="22"/>
          <w:szCs w:val="22"/>
        </w:rPr>
        <w:t>,</w:t>
      </w:r>
    </w:p>
    <w:p w14:paraId="78A8B1D0" w14:textId="6265E4C8"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jc w:val="both"/>
        <w:outlineLvl w:val="0"/>
        <w:rPr>
          <w:rFonts w:ascii="Lato" w:eastAsia="Calibri" w:hAnsi="Lato"/>
          <w:bCs/>
          <w:spacing w:val="4"/>
          <w:sz w:val="22"/>
          <w:szCs w:val="22"/>
        </w:rPr>
      </w:pPr>
      <w:r w:rsidRPr="0009014A">
        <w:rPr>
          <w:rFonts w:ascii="Lato" w:eastAsia="Calibri" w:hAnsi="Lato"/>
          <w:bCs/>
          <w:spacing w:val="4"/>
          <w:sz w:val="22"/>
          <w:szCs w:val="22"/>
        </w:rPr>
        <w:t>Pan A</w:t>
      </w:r>
      <w:r w:rsidR="0063542E">
        <w:rPr>
          <w:rFonts w:ascii="Lato" w:eastAsia="Calibri" w:hAnsi="Lato"/>
          <w:bCs/>
          <w:spacing w:val="4"/>
          <w:sz w:val="22"/>
          <w:szCs w:val="22"/>
        </w:rPr>
        <w:t>.</w:t>
      </w:r>
      <w:r w:rsidRPr="0009014A">
        <w:rPr>
          <w:rFonts w:ascii="Lato" w:eastAsia="Calibri" w:hAnsi="Lato"/>
          <w:bCs/>
          <w:spacing w:val="4"/>
          <w:sz w:val="22"/>
          <w:szCs w:val="22"/>
        </w:rPr>
        <w:t xml:space="preserve"> M</w:t>
      </w:r>
      <w:r w:rsidR="0063542E">
        <w:rPr>
          <w:rFonts w:ascii="Lato" w:eastAsia="Calibri" w:hAnsi="Lato"/>
          <w:bCs/>
          <w:spacing w:val="4"/>
          <w:sz w:val="22"/>
          <w:szCs w:val="22"/>
        </w:rPr>
        <w:t>.</w:t>
      </w:r>
      <w:r w:rsidRPr="0009014A">
        <w:rPr>
          <w:rFonts w:ascii="Lato" w:eastAsia="Calibri" w:hAnsi="Lato"/>
          <w:bCs/>
          <w:spacing w:val="4"/>
          <w:sz w:val="22"/>
          <w:szCs w:val="22"/>
        </w:rPr>
        <w:t>,</w:t>
      </w:r>
    </w:p>
    <w:p w14:paraId="7ABA608F" w14:textId="2440D66E"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 Ł</w:t>
      </w:r>
      <w:r w:rsidR="0063542E">
        <w:rPr>
          <w:rFonts w:ascii="Lato" w:eastAsia="Calibri" w:hAnsi="Lato"/>
          <w:bCs/>
          <w:spacing w:val="4"/>
          <w:sz w:val="22"/>
          <w:szCs w:val="22"/>
        </w:rPr>
        <w:t>.</w:t>
      </w:r>
      <w:r w:rsidRPr="0009014A">
        <w:rPr>
          <w:rFonts w:ascii="Lato" w:eastAsia="Calibri" w:hAnsi="Lato"/>
          <w:bCs/>
          <w:spacing w:val="4"/>
          <w:sz w:val="22"/>
          <w:szCs w:val="22"/>
        </w:rPr>
        <w:t xml:space="preserve"> S</w:t>
      </w:r>
      <w:r w:rsidR="0063542E">
        <w:rPr>
          <w:rFonts w:ascii="Lato" w:eastAsia="Calibri" w:hAnsi="Lato"/>
          <w:bCs/>
          <w:spacing w:val="4"/>
          <w:sz w:val="22"/>
          <w:szCs w:val="22"/>
        </w:rPr>
        <w:t>.</w:t>
      </w:r>
      <w:r w:rsidRPr="0009014A">
        <w:rPr>
          <w:rFonts w:ascii="Lato" w:eastAsia="Calibri" w:hAnsi="Lato"/>
          <w:bCs/>
          <w:spacing w:val="4"/>
          <w:sz w:val="22"/>
          <w:szCs w:val="22"/>
        </w:rPr>
        <w:t xml:space="preserve"> i Pani K</w:t>
      </w:r>
      <w:r w:rsidR="0063542E">
        <w:rPr>
          <w:rFonts w:ascii="Lato" w:eastAsia="Calibri" w:hAnsi="Lato"/>
          <w:bCs/>
          <w:spacing w:val="4"/>
          <w:sz w:val="22"/>
          <w:szCs w:val="22"/>
        </w:rPr>
        <w:t>.</w:t>
      </w:r>
      <w:r w:rsidRPr="0009014A">
        <w:rPr>
          <w:rFonts w:ascii="Lato" w:eastAsia="Calibri" w:hAnsi="Lato"/>
          <w:bCs/>
          <w:spacing w:val="4"/>
          <w:sz w:val="22"/>
          <w:szCs w:val="22"/>
        </w:rPr>
        <w:t xml:space="preserve"> S. W trakcie procedury odwoławczej, przy piśmie z dnia 20 maja 2025 r., r.pr. M</w:t>
      </w:r>
      <w:r w:rsidR="0063542E">
        <w:rPr>
          <w:rFonts w:ascii="Lato" w:eastAsia="Calibri" w:hAnsi="Lato"/>
          <w:bCs/>
          <w:spacing w:val="4"/>
          <w:sz w:val="22"/>
          <w:szCs w:val="22"/>
        </w:rPr>
        <w:t>.</w:t>
      </w:r>
      <w:r w:rsidRPr="0009014A">
        <w:rPr>
          <w:rFonts w:ascii="Lato" w:eastAsia="Calibri" w:hAnsi="Lato"/>
          <w:bCs/>
          <w:spacing w:val="4"/>
          <w:sz w:val="22"/>
          <w:szCs w:val="22"/>
        </w:rPr>
        <w:t xml:space="preserve"> K</w:t>
      </w:r>
      <w:r w:rsidR="0063542E">
        <w:rPr>
          <w:rFonts w:ascii="Lato" w:eastAsia="Calibri" w:hAnsi="Lato"/>
          <w:bCs/>
          <w:spacing w:val="4"/>
          <w:sz w:val="22"/>
          <w:szCs w:val="22"/>
        </w:rPr>
        <w:t>.</w:t>
      </w:r>
      <w:r w:rsidRPr="0009014A">
        <w:rPr>
          <w:rFonts w:ascii="Lato" w:eastAsia="Calibri" w:hAnsi="Lato"/>
          <w:bCs/>
          <w:spacing w:val="4"/>
          <w:sz w:val="22"/>
          <w:szCs w:val="22"/>
        </w:rPr>
        <w:t xml:space="preserve"> przedłożyła pełnomocnictwo do reprezentowania Pana Ł</w:t>
      </w:r>
      <w:r w:rsidR="0063542E">
        <w:rPr>
          <w:rFonts w:ascii="Lato" w:eastAsia="Calibri" w:hAnsi="Lato"/>
          <w:bCs/>
          <w:spacing w:val="4"/>
          <w:sz w:val="22"/>
          <w:szCs w:val="22"/>
        </w:rPr>
        <w:t>.</w:t>
      </w:r>
      <w:r w:rsidRPr="0009014A">
        <w:rPr>
          <w:rFonts w:ascii="Lato" w:eastAsia="Calibri" w:hAnsi="Lato"/>
          <w:bCs/>
          <w:spacing w:val="4"/>
          <w:sz w:val="22"/>
          <w:szCs w:val="22"/>
        </w:rPr>
        <w:t xml:space="preserve"> S</w:t>
      </w:r>
      <w:r w:rsidR="0063542E">
        <w:rPr>
          <w:rFonts w:ascii="Lato" w:eastAsia="Calibri" w:hAnsi="Lato"/>
          <w:bCs/>
          <w:spacing w:val="4"/>
          <w:sz w:val="22"/>
          <w:szCs w:val="22"/>
        </w:rPr>
        <w:t>.</w:t>
      </w:r>
      <w:r w:rsidRPr="0009014A">
        <w:rPr>
          <w:rFonts w:ascii="Lato" w:eastAsia="Calibri" w:hAnsi="Lato"/>
          <w:bCs/>
          <w:spacing w:val="4"/>
          <w:sz w:val="22"/>
          <w:szCs w:val="22"/>
        </w:rPr>
        <w:t xml:space="preserve"> i Pani K</w:t>
      </w:r>
      <w:r w:rsidR="0063542E">
        <w:rPr>
          <w:rFonts w:ascii="Lato" w:eastAsia="Calibri" w:hAnsi="Lato"/>
          <w:bCs/>
          <w:spacing w:val="4"/>
          <w:sz w:val="22"/>
          <w:szCs w:val="22"/>
        </w:rPr>
        <w:t>.</w:t>
      </w:r>
      <w:r w:rsidRPr="0009014A">
        <w:rPr>
          <w:rFonts w:ascii="Lato" w:eastAsia="Calibri" w:hAnsi="Lato"/>
          <w:bCs/>
          <w:spacing w:val="4"/>
          <w:sz w:val="22"/>
          <w:szCs w:val="22"/>
        </w:rPr>
        <w:t xml:space="preserve"> S</w:t>
      </w:r>
      <w:r w:rsidR="0063542E">
        <w:rPr>
          <w:rFonts w:ascii="Lato" w:eastAsia="Calibri" w:hAnsi="Lato"/>
          <w:bCs/>
          <w:spacing w:val="4"/>
          <w:sz w:val="22"/>
          <w:szCs w:val="22"/>
        </w:rPr>
        <w:t>.</w:t>
      </w:r>
      <w:r w:rsidRPr="0009014A">
        <w:rPr>
          <w:rFonts w:ascii="Lato" w:eastAsia="Calibri" w:hAnsi="Lato"/>
          <w:bCs/>
          <w:spacing w:val="4"/>
          <w:sz w:val="22"/>
          <w:szCs w:val="22"/>
        </w:rPr>
        <w:t xml:space="preserve"> w przedmiotowej sprawie,</w:t>
      </w:r>
    </w:p>
    <w:p w14:paraId="5B1752A5" w14:textId="0C1E37EF"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jc w:val="both"/>
        <w:outlineLvl w:val="0"/>
        <w:rPr>
          <w:rFonts w:ascii="Lato" w:eastAsia="Calibri" w:hAnsi="Lato"/>
          <w:bCs/>
          <w:spacing w:val="4"/>
          <w:sz w:val="22"/>
          <w:szCs w:val="22"/>
        </w:rPr>
      </w:pPr>
      <w:r w:rsidRPr="0009014A">
        <w:rPr>
          <w:rFonts w:ascii="Lato" w:eastAsia="Calibri" w:hAnsi="Lato"/>
          <w:bCs/>
          <w:spacing w:val="4"/>
          <w:sz w:val="22"/>
          <w:szCs w:val="22"/>
        </w:rPr>
        <w:t>Pan D</w:t>
      </w:r>
      <w:r w:rsidR="0063542E">
        <w:rPr>
          <w:rFonts w:ascii="Lato" w:eastAsia="Calibri" w:hAnsi="Lato"/>
          <w:bCs/>
          <w:spacing w:val="4"/>
          <w:sz w:val="22"/>
          <w:szCs w:val="22"/>
        </w:rPr>
        <w:t>.</w:t>
      </w:r>
      <w:r w:rsidRPr="0009014A">
        <w:rPr>
          <w:rFonts w:ascii="Lato" w:eastAsia="Calibri" w:hAnsi="Lato"/>
          <w:bCs/>
          <w:spacing w:val="4"/>
          <w:sz w:val="22"/>
          <w:szCs w:val="22"/>
        </w:rPr>
        <w:t xml:space="preserve"> T</w:t>
      </w:r>
      <w:r w:rsidR="0063542E">
        <w:rPr>
          <w:rFonts w:ascii="Lato" w:eastAsia="Calibri" w:hAnsi="Lato"/>
          <w:bCs/>
          <w:spacing w:val="4"/>
          <w:sz w:val="22"/>
          <w:szCs w:val="22"/>
        </w:rPr>
        <w:t>.</w:t>
      </w:r>
      <w:r w:rsidRPr="0009014A">
        <w:rPr>
          <w:rFonts w:ascii="Lato" w:eastAsia="Calibri" w:hAnsi="Lato"/>
          <w:bCs/>
          <w:spacing w:val="4"/>
          <w:sz w:val="22"/>
          <w:szCs w:val="22"/>
        </w:rPr>
        <w:t>,</w:t>
      </w:r>
    </w:p>
    <w:p w14:paraId="28CA7828" w14:textId="4C90C795"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jc w:val="both"/>
        <w:outlineLvl w:val="0"/>
        <w:rPr>
          <w:rFonts w:ascii="Lato" w:eastAsia="Calibri" w:hAnsi="Lato"/>
          <w:bCs/>
          <w:spacing w:val="4"/>
          <w:sz w:val="22"/>
          <w:szCs w:val="22"/>
        </w:rPr>
      </w:pPr>
      <w:r w:rsidRPr="0009014A">
        <w:rPr>
          <w:rFonts w:ascii="Lato" w:eastAsia="Calibri" w:hAnsi="Lato"/>
          <w:bCs/>
          <w:spacing w:val="4"/>
          <w:sz w:val="22"/>
          <w:szCs w:val="22"/>
        </w:rPr>
        <w:t xml:space="preserve">Gmina </w:t>
      </w:r>
      <w:r w:rsidR="0063542E">
        <w:rPr>
          <w:rFonts w:ascii="Lato" w:eastAsia="Calibri" w:hAnsi="Lato"/>
          <w:bCs/>
          <w:spacing w:val="4"/>
          <w:sz w:val="22"/>
          <w:szCs w:val="22"/>
        </w:rPr>
        <w:t>(…)</w:t>
      </w:r>
      <w:r w:rsidRPr="0009014A">
        <w:rPr>
          <w:rFonts w:ascii="Lato" w:eastAsia="Calibri" w:hAnsi="Lato"/>
          <w:bCs/>
          <w:spacing w:val="4"/>
          <w:sz w:val="22"/>
          <w:szCs w:val="22"/>
        </w:rPr>
        <w:t>,</w:t>
      </w:r>
    </w:p>
    <w:p w14:paraId="7A7065CD" w14:textId="787C3A85" w:rsidR="0009014A" w:rsidRPr="0009014A" w:rsidRDefault="0009014A" w:rsidP="00184706">
      <w:pPr>
        <w:numPr>
          <w:ilvl w:val="0"/>
          <w:numId w:val="5"/>
        </w:numPr>
        <w:tabs>
          <w:tab w:val="left" w:pos="-1843"/>
          <w:tab w:val="left" w:pos="-993"/>
          <w:tab w:val="left" w:pos="4678"/>
          <w:tab w:val="left" w:pos="5387"/>
          <w:tab w:val="right" w:pos="5812"/>
        </w:tabs>
        <w:spacing w:after="120" w:line="240" w:lineRule="exact"/>
        <w:ind w:left="357" w:hanging="357"/>
        <w:jc w:val="both"/>
        <w:outlineLvl w:val="0"/>
        <w:rPr>
          <w:rFonts w:ascii="Lato" w:eastAsia="Calibri" w:hAnsi="Lato"/>
          <w:bCs/>
          <w:spacing w:val="4"/>
          <w:sz w:val="22"/>
          <w:szCs w:val="22"/>
        </w:rPr>
      </w:pPr>
      <w:r w:rsidRPr="0009014A">
        <w:rPr>
          <w:rFonts w:ascii="Lato" w:eastAsia="Calibri" w:hAnsi="Lato"/>
          <w:bCs/>
          <w:spacing w:val="4"/>
          <w:sz w:val="22"/>
          <w:szCs w:val="22"/>
        </w:rPr>
        <w:t>Pani E</w:t>
      </w:r>
      <w:r w:rsidR="0063542E">
        <w:rPr>
          <w:rFonts w:ascii="Lato" w:eastAsia="Calibri" w:hAnsi="Lato"/>
          <w:bCs/>
          <w:spacing w:val="4"/>
          <w:sz w:val="22"/>
          <w:szCs w:val="22"/>
        </w:rPr>
        <w:t>.</w:t>
      </w:r>
      <w:r w:rsidRPr="0009014A">
        <w:rPr>
          <w:rFonts w:ascii="Lato" w:eastAsia="Calibri" w:hAnsi="Lato"/>
          <w:bCs/>
          <w:spacing w:val="4"/>
          <w:sz w:val="22"/>
          <w:szCs w:val="22"/>
        </w:rPr>
        <w:t xml:space="preserve"> M</w:t>
      </w:r>
      <w:r w:rsidR="0063542E">
        <w:rPr>
          <w:rFonts w:ascii="Lato" w:eastAsia="Calibri" w:hAnsi="Lato"/>
          <w:bCs/>
          <w:spacing w:val="4"/>
          <w:sz w:val="22"/>
          <w:szCs w:val="22"/>
        </w:rPr>
        <w:t>.</w:t>
      </w:r>
      <w:r w:rsidRPr="0009014A">
        <w:rPr>
          <w:rFonts w:ascii="Lato" w:eastAsia="Calibri" w:hAnsi="Lato"/>
          <w:bCs/>
          <w:spacing w:val="4"/>
          <w:sz w:val="22"/>
          <w:szCs w:val="22"/>
        </w:rPr>
        <w:t xml:space="preserve"> i Pan G</w:t>
      </w:r>
      <w:r w:rsidR="0063542E">
        <w:rPr>
          <w:rFonts w:ascii="Lato" w:eastAsia="Calibri" w:hAnsi="Lato"/>
          <w:bCs/>
          <w:spacing w:val="4"/>
          <w:sz w:val="22"/>
          <w:szCs w:val="22"/>
        </w:rPr>
        <w:t>.</w:t>
      </w:r>
      <w:r w:rsidRPr="0009014A">
        <w:rPr>
          <w:rFonts w:ascii="Lato" w:eastAsia="Calibri" w:hAnsi="Lato"/>
          <w:bCs/>
          <w:spacing w:val="4"/>
          <w:sz w:val="22"/>
          <w:szCs w:val="22"/>
        </w:rPr>
        <w:t xml:space="preserve"> M</w:t>
      </w:r>
      <w:r w:rsidR="0063542E">
        <w:rPr>
          <w:rFonts w:ascii="Lato" w:eastAsia="Calibri" w:hAnsi="Lato"/>
          <w:bCs/>
          <w:spacing w:val="4"/>
          <w:sz w:val="22"/>
          <w:szCs w:val="22"/>
        </w:rPr>
        <w:t>.</w:t>
      </w:r>
      <w:r w:rsidRPr="0009014A">
        <w:rPr>
          <w:rFonts w:ascii="Lato" w:eastAsia="Calibri" w:hAnsi="Lato"/>
          <w:bCs/>
          <w:spacing w:val="4"/>
          <w:sz w:val="22"/>
          <w:szCs w:val="22"/>
        </w:rPr>
        <w:t>,</w:t>
      </w:r>
    </w:p>
    <w:p w14:paraId="44FE706B" w14:textId="70CFEF62"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Pani B</w:t>
      </w:r>
      <w:r w:rsidR="0063542E">
        <w:rPr>
          <w:rFonts w:ascii="Lato" w:eastAsia="Calibri" w:hAnsi="Lato"/>
          <w:bCs/>
          <w:spacing w:val="4"/>
          <w:sz w:val="22"/>
          <w:szCs w:val="22"/>
        </w:rPr>
        <w:t>.</w:t>
      </w:r>
      <w:r w:rsidRPr="0009014A">
        <w:rPr>
          <w:rFonts w:ascii="Lato" w:eastAsia="Calibri" w:hAnsi="Lato"/>
          <w:bCs/>
          <w:spacing w:val="4"/>
          <w:sz w:val="22"/>
          <w:szCs w:val="22"/>
        </w:rPr>
        <w:t xml:space="preserve"> B. Brak formalny odwołania został usunięty w dniu 7 kwietnia 2025 r. (wpływ do Ministerstwa Rozwoju i Technologii podpisanego odwołania przez Panią B</w:t>
      </w:r>
      <w:r w:rsidR="0063542E">
        <w:rPr>
          <w:rFonts w:ascii="Lato" w:eastAsia="Calibri" w:hAnsi="Lato"/>
          <w:bCs/>
          <w:spacing w:val="4"/>
          <w:sz w:val="22"/>
          <w:szCs w:val="22"/>
        </w:rPr>
        <w:t>.</w:t>
      </w:r>
      <w:r w:rsidRPr="0009014A">
        <w:rPr>
          <w:rFonts w:ascii="Lato" w:eastAsia="Calibri" w:hAnsi="Lato"/>
          <w:bCs/>
          <w:spacing w:val="4"/>
          <w:sz w:val="22"/>
          <w:szCs w:val="22"/>
        </w:rPr>
        <w:t xml:space="preserve"> B</w:t>
      </w:r>
      <w:r w:rsidR="0063542E">
        <w:rPr>
          <w:rFonts w:ascii="Lato" w:eastAsia="Calibri" w:hAnsi="Lato"/>
          <w:bCs/>
          <w:spacing w:val="4"/>
          <w:sz w:val="22"/>
          <w:szCs w:val="22"/>
        </w:rPr>
        <w:t>.</w:t>
      </w:r>
      <w:r w:rsidRPr="0009014A">
        <w:rPr>
          <w:rFonts w:ascii="Lato" w:eastAsia="Calibri" w:hAnsi="Lato"/>
          <w:bCs/>
          <w:spacing w:val="4"/>
          <w:sz w:val="22"/>
          <w:szCs w:val="22"/>
        </w:rPr>
        <w:t>),</w:t>
      </w:r>
    </w:p>
    <w:p w14:paraId="702B97F4" w14:textId="4FFF6279"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 S</w:t>
      </w:r>
      <w:r w:rsidR="0063542E">
        <w:rPr>
          <w:rFonts w:ascii="Lato" w:eastAsia="Calibri" w:hAnsi="Lato"/>
          <w:bCs/>
          <w:spacing w:val="4"/>
          <w:sz w:val="22"/>
          <w:szCs w:val="22"/>
        </w:rPr>
        <w:t>.</w:t>
      </w:r>
      <w:r w:rsidRPr="0009014A">
        <w:rPr>
          <w:rFonts w:ascii="Lato" w:eastAsia="Calibri" w:hAnsi="Lato"/>
          <w:bCs/>
          <w:spacing w:val="4"/>
          <w:sz w:val="22"/>
          <w:szCs w:val="22"/>
        </w:rPr>
        <w:t xml:space="preserve"> B. Brak formalny odwołania został usunięty w dniu 7 kwietnia 2025 r. (wpływ do Ministerstwa Rozwoju i Technologii podpisanego odwołania przez Pana S</w:t>
      </w:r>
      <w:r w:rsidR="0063542E">
        <w:rPr>
          <w:rFonts w:ascii="Lato" w:eastAsia="Calibri" w:hAnsi="Lato"/>
          <w:bCs/>
          <w:spacing w:val="4"/>
          <w:sz w:val="22"/>
          <w:szCs w:val="22"/>
        </w:rPr>
        <w:t>.</w:t>
      </w:r>
      <w:r w:rsidRPr="0009014A">
        <w:rPr>
          <w:rFonts w:ascii="Lato" w:eastAsia="Calibri" w:hAnsi="Lato"/>
          <w:bCs/>
          <w:spacing w:val="4"/>
          <w:sz w:val="22"/>
          <w:szCs w:val="22"/>
        </w:rPr>
        <w:t xml:space="preserve"> B</w:t>
      </w:r>
      <w:r w:rsidR="0063542E">
        <w:rPr>
          <w:rFonts w:ascii="Lato" w:eastAsia="Calibri" w:hAnsi="Lato"/>
          <w:bCs/>
          <w:spacing w:val="4"/>
          <w:sz w:val="22"/>
          <w:szCs w:val="22"/>
        </w:rPr>
        <w:t>.</w:t>
      </w:r>
      <w:r w:rsidRPr="0009014A">
        <w:rPr>
          <w:rFonts w:ascii="Lato" w:eastAsia="Calibri" w:hAnsi="Lato"/>
          <w:bCs/>
          <w:spacing w:val="4"/>
          <w:sz w:val="22"/>
          <w:szCs w:val="22"/>
        </w:rPr>
        <w:t>),</w:t>
      </w:r>
    </w:p>
    <w:p w14:paraId="537158BC" w14:textId="1C05F111"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 S</w:t>
      </w:r>
      <w:r w:rsidR="0063542E">
        <w:rPr>
          <w:rFonts w:ascii="Lato" w:eastAsia="Calibri" w:hAnsi="Lato"/>
          <w:bCs/>
          <w:spacing w:val="4"/>
          <w:sz w:val="22"/>
          <w:szCs w:val="22"/>
        </w:rPr>
        <w:t>.</w:t>
      </w:r>
      <w:r w:rsidRPr="0009014A">
        <w:rPr>
          <w:rFonts w:ascii="Lato" w:eastAsia="Calibri" w:hAnsi="Lato"/>
          <w:bCs/>
          <w:spacing w:val="4"/>
          <w:sz w:val="22"/>
          <w:szCs w:val="22"/>
        </w:rPr>
        <w:t xml:space="preserve"> J</w:t>
      </w:r>
      <w:r w:rsidR="0063542E">
        <w:rPr>
          <w:rFonts w:ascii="Lato" w:eastAsia="Calibri" w:hAnsi="Lato"/>
          <w:bCs/>
          <w:spacing w:val="4"/>
          <w:sz w:val="22"/>
          <w:szCs w:val="22"/>
        </w:rPr>
        <w:t>.</w:t>
      </w:r>
      <w:r w:rsidRPr="0009014A">
        <w:rPr>
          <w:rFonts w:ascii="Lato" w:eastAsia="Calibri" w:hAnsi="Lato"/>
          <w:bCs/>
          <w:spacing w:val="4"/>
          <w:sz w:val="22"/>
          <w:szCs w:val="22"/>
        </w:rPr>
        <w:t xml:space="preserve"> i Pani B</w:t>
      </w:r>
      <w:r w:rsidR="0063542E">
        <w:rPr>
          <w:rFonts w:ascii="Lato" w:eastAsia="Calibri" w:hAnsi="Lato"/>
          <w:bCs/>
          <w:spacing w:val="4"/>
          <w:sz w:val="22"/>
          <w:szCs w:val="22"/>
        </w:rPr>
        <w:t>.</w:t>
      </w:r>
      <w:r w:rsidRPr="0009014A">
        <w:rPr>
          <w:rFonts w:ascii="Lato" w:eastAsia="Calibri" w:hAnsi="Lato"/>
          <w:bCs/>
          <w:spacing w:val="4"/>
          <w:sz w:val="22"/>
          <w:szCs w:val="22"/>
        </w:rPr>
        <w:t xml:space="preserve"> J</w:t>
      </w:r>
      <w:r w:rsidR="0063542E">
        <w:rPr>
          <w:rFonts w:ascii="Lato" w:eastAsia="Calibri" w:hAnsi="Lato"/>
          <w:bCs/>
          <w:spacing w:val="4"/>
          <w:sz w:val="22"/>
          <w:szCs w:val="22"/>
        </w:rPr>
        <w:t>.</w:t>
      </w:r>
      <w:r w:rsidRPr="0009014A">
        <w:rPr>
          <w:rFonts w:ascii="Lato" w:eastAsia="Calibri" w:hAnsi="Lato"/>
          <w:bCs/>
          <w:spacing w:val="4"/>
          <w:sz w:val="22"/>
          <w:szCs w:val="22"/>
        </w:rPr>
        <w:t>,</w:t>
      </w:r>
    </w:p>
    <w:p w14:paraId="3E66101E" w14:textId="10B5C329" w:rsidR="0009014A" w:rsidRPr="0009014A" w:rsidRDefault="0009014A" w:rsidP="00184706">
      <w:pPr>
        <w:numPr>
          <w:ilvl w:val="0"/>
          <w:numId w:val="5"/>
        </w:numPr>
        <w:spacing w:after="120" w:line="240" w:lineRule="exact"/>
        <w:jc w:val="both"/>
        <w:rPr>
          <w:rFonts w:ascii="Lato" w:eastAsia="Calibri" w:hAnsi="Lato"/>
          <w:bCs/>
          <w:spacing w:val="4"/>
          <w:sz w:val="22"/>
          <w:szCs w:val="22"/>
        </w:rPr>
      </w:pPr>
      <w:r w:rsidRPr="0009014A">
        <w:rPr>
          <w:rFonts w:ascii="Lato" w:eastAsia="Calibri" w:hAnsi="Lato"/>
          <w:bCs/>
          <w:spacing w:val="4"/>
          <w:sz w:val="22"/>
          <w:szCs w:val="22"/>
        </w:rPr>
        <w:t>Pani M</w:t>
      </w:r>
      <w:r w:rsidR="0063542E">
        <w:rPr>
          <w:rFonts w:ascii="Lato" w:eastAsia="Calibri" w:hAnsi="Lato"/>
          <w:bCs/>
          <w:spacing w:val="4"/>
          <w:sz w:val="22"/>
          <w:szCs w:val="22"/>
        </w:rPr>
        <w:t>.</w:t>
      </w:r>
      <w:r w:rsidRPr="0009014A">
        <w:rPr>
          <w:rFonts w:ascii="Lato" w:eastAsia="Calibri" w:hAnsi="Lato"/>
          <w:bCs/>
          <w:spacing w:val="4"/>
          <w:sz w:val="22"/>
          <w:szCs w:val="22"/>
        </w:rPr>
        <w:t xml:space="preserve"> G</w:t>
      </w:r>
      <w:r w:rsidR="0063542E">
        <w:rPr>
          <w:rFonts w:ascii="Lato" w:eastAsia="Calibri" w:hAnsi="Lato"/>
          <w:bCs/>
          <w:spacing w:val="4"/>
          <w:sz w:val="22"/>
          <w:szCs w:val="22"/>
        </w:rPr>
        <w:t>.</w:t>
      </w:r>
      <w:r w:rsidRPr="0009014A">
        <w:rPr>
          <w:rFonts w:ascii="Lato" w:eastAsia="Calibri" w:hAnsi="Lato"/>
          <w:bCs/>
          <w:spacing w:val="4"/>
          <w:sz w:val="22"/>
          <w:szCs w:val="22"/>
        </w:rPr>
        <w:t>,</w:t>
      </w:r>
    </w:p>
    <w:p w14:paraId="6C853759" w14:textId="61A8FDA7" w:rsidR="0009014A" w:rsidRPr="0009014A" w:rsidRDefault="0009014A" w:rsidP="00184706">
      <w:pPr>
        <w:numPr>
          <w:ilvl w:val="0"/>
          <w:numId w:val="5"/>
        </w:numPr>
        <w:spacing w:after="120" w:line="240" w:lineRule="exact"/>
        <w:jc w:val="both"/>
        <w:rPr>
          <w:rFonts w:ascii="Lato" w:eastAsia="Calibri" w:hAnsi="Lato"/>
          <w:bCs/>
          <w:spacing w:val="4"/>
          <w:sz w:val="22"/>
          <w:szCs w:val="22"/>
        </w:rPr>
      </w:pPr>
      <w:r w:rsidRPr="0009014A">
        <w:rPr>
          <w:rFonts w:ascii="Lato" w:eastAsia="Calibri" w:hAnsi="Lato"/>
          <w:bCs/>
          <w:spacing w:val="4"/>
          <w:sz w:val="22"/>
          <w:szCs w:val="22"/>
        </w:rPr>
        <w:t>Pan K</w:t>
      </w:r>
      <w:r w:rsidR="0063542E">
        <w:rPr>
          <w:rFonts w:ascii="Lato" w:eastAsia="Calibri" w:hAnsi="Lato"/>
          <w:bCs/>
          <w:spacing w:val="4"/>
          <w:sz w:val="22"/>
          <w:szCs w:val="22"/>
        </w:rPr>
        <w:t>.</w:t>
      </w:r>
      <w:r w:rsidRPr="0009014A">
        <w:rPr>
          <w:rFonts w:ascii="Lato" w:eastAsia="Calibri" w:hAnsi="Lato"/>
          <w:bCs/>
          <w:spacing w:val="4"/>
          <w:sz w:val="22"/>
          <w:szCs w:val="22"/>
        </w:rPr>
        <w:t xml:space="preserve"> M</w:t>
      </w:r>
      <w:r w:rsidR="0063542E">
        <w:rPr>
          <w:rFonts w:ascii="Lato" w:eastAsia="Calibri" w:hAnsi="Lato"/>
          <w:bCs/>
          <w:spacing w:val="4"/>
          <w:sz w:val="22"/>
          <w:szCs w:val="22"/>
        </w:rPr>
        <w:t>.</w:t>
      </w:r>
      <w:r w:rsidRPr="0009014A">
        <w:rPr>
          <w:rFonts w:ascii="Lato" w:eastAsia="Calibri" w:hAnsi="Lato"/>
          <w:bCs/>
          <w:spacing w:val="4"/>
          <w:sz w:val="22"/>
          <w:szCs w:val="22"/>
        </w:rPr>
        <w:t>,</w:t>
      </w:r>
    </w:p>
    <w:p w14:paraId="4DA9331D" w14:textId="2C6A2621"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Pani D</w:t>
      </w:r>
      <w:r w:rsidR="0063542E">
        <w:rPr>
          <w:rFonts w:ascii="Lato" w:eastAsia="Calibri" w:hAnsi="Lato"/>
          <w:bCs/>
          <w:spacing w:val="4"/>
          <w:sz w:val="22"/>
          <w:szCs w:val="22"/>
        </w:rPr>
        <w:t>.</w:t>
      </w:r>
      <w:r w:rsidRPr="0009014A">
        <w:rPr>
          <w:rFonts w:ascii="Lato" w:eastAsia="Calibri" w:hAnsi="Lato"/>
          <w:bCs/>
          <w:spacing w:val="4"/>
          <w:sz w:val="22"/>
          <w:szCs w:val="22"/>
        </w:rPr>
        <w:t xml:space="preserve"> K</w:t>
      </w:r>
      <w:r w:rsidR="0063542E">
        <w:rPr>
          <w:rFonts w:ascii="Lato" w:eastAsia="Calibri" w:hAnsi="Lato"/>
          <w:bCs/>
          <w:spacing w:val="4"/>
          <w:sz w:val="22"/>
          <w:szCs w:val="22"/>
        </w:rPr>
        <w:t>.</w:t>
      </w:r>
      <w:r w:rsidRPr="0009014A">
        <w:rPr>
          <w:rFonts w:ascii="Lato" w:eastAsia="Calibri" w:hAnsi="Lato"/>
          <w:bCs/>
          <w:spacing w:val="4"/>
          <w:sz w:val="22"/>
          <w:szCs w:val="22"/>
        </w:rPr>
        <w:t>,</w:t>
      </w:r>
    </w:p>
    <w:p w14:paraId="6F1ABB05" w14:textId="7613C682"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 K</w:t>
      </w:r>
      <w:r w:rsidR="0063542E">
        <w:rPr>
          <w:rFonts w:ascii="Lato" w:eastAsia="Calibri" w:hAnsi="Lato"/>
          <w:bCs/>
          <w:spacing w:val="4"/>
          <w:sz w:val="22"/>
          <w:szCs w:val="22"/>
        </w:rPr>
        <w:t>.</w:t>
      </w:r>
      <w:r w:rsidRPr="0009014A">
        <w:rPr>
          <w:rFonts w:ascii="Lato" w:eastAsia="Calibri" w:hAnsi="Lato"/>
          <w:bCs/>
          <w:spacing w:val="4"/>
          <w:sz w:val="22"/>
          <w:szCs w:val="22"/>
        </w:rPr>
        <w:t xml:space="preserve"> O</w:t>
      </w:r>
      <w:r w:rsidR="0063542E">
        <w:rPr>
          <w:rFonts w:ascii="Lato" w:eastAsia="Calibri" w:hAnsi="Lato"/>
          <w:bCs/>
          <w:spacing w:val="4"/>
          <w:sz w:val="22"/>
          <w:szCs w:val="22"/>
        </w:rPr>
        <w:t>.</w:t>
      </w:r>
      <w:r w:rsidRPr="0009014A">
        <w:rPr>
          <w:rFonts w:ascii="Lato" w:eastAsia="Calibri" w:hAnsi="Lato"/>
          <w:bCs/>
          <w:spacing w:val="4"/>
          <w:sz w:val="22"/>
          <w:szCs w:val="22"/>
        </w:rPr>
        <w:t>,</w:t>
      </w:r>
    </w:p>
    <w:p w14:paraId="6F85A6B3" w14:textId="503D9FF9"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 M</w:t>
      </w:r>
      <w:r w:rsidR="0063542E">
        <w:rPr>
          <w:rFonts w:ascii="Lato" w:eastAsia="Calibri" w:hAnsi="Lato"/>
          <w:bCs/>
          <w:spacing w:val="4"/>
          <w:sz w:val="22"/>
          <w:szCs w:val="22"/>
        </w:rPr>
        <w:t>.</w:t>
      </w:r>
      <w:r w:rsidRPr="0009014A">
        <w:rPr>
          <w:rFonts w:ascii="Lato" w:eastAsia="Calibri" w:hAnsi="Lato"/>
          <w:bCs/>
          <w:spacing w:val="4"/>
          <w:sz w:val="22"/>
          <w:szCs w:val="22"/>
        </w:rPr>
        <w:t xml:space="preserve"> B</w:t>
      </w:r>
      <w:r w:rsidR="0063542E">
        <w:rPr>
          <w:rFonts w:ascii="Lato" w:eastAsia="Calibri" w:hAnsi="Lato"/>
          <w:bCs/>
          <w:spacing w:val="4"/>
          <w:sz w:val="22"/>
          <w:szCs w:val="22"/>
        </w:rPr>
        <w:t>.</w:t>
      </w:r>
      <w:r w:rsidRPr="0009014A">
        <w:rPr>
          <w:rFonts w:ascii="Lato" w:eastAsia="Calibri" w:hAnsi="Lato"/>
          <w:bCs/>
          <w:spacing w:val="4"/>
          <w:sz w:val="22"/>
          <w:szCs w:val="22"/>
        </w:rPr>
        <w:t>,</w:t>
      </w:r>
    </w:p>
    <w:p w14:paraId="755912D7" w14:textId="5EF9787B"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 W</w:t>
      </w:r>
      <w:r w:rsidR="0063542E">
        <w:rPr>
          <w:rFonts w:ascii="Lato" w:eastAsia="Calibri" w:hAnsi="Lato"/>
          <w:bCs/>
          <w:spacing w:val="4"/>
          <w:sz w:val="22"/>
          <w:szCs w:val="22"/>
        </w:rPr>
        <w:t>.</w:t>
      </w:r>
      <w:r w:rsidRPr="0009014A">
        <w:rPr>
          <w:rFonts w:ascii="Lato" w:eastAsia="Calibri" w:hAnsi="Lato"/>
          <w:bCs/>
          <w:spacing w:val="4"/>
          <w:sz w:val="22"/>
          <w:szCs w:val="22"/>
        </w:rPr>
        <w:t xml:space="preserve"> B</w:t>
      </w:r>
      <w:r w:rsidR="0063542E">
        <w:rPr>
          <w:rFonts w:ascii="Lato" w:eastAsia="Calibri" w:hAnsi="Lato"/>
          <w:bCs/>
          <w:spacing w:val="4"/>
          <w:sz w:val="22"/>
          <w:szCs w:val="22"/>
        </w:rPr>
        <w:t>.</w:t>
      </w:r>
      <w:r w:rsidRPr="0009014A">
        <w:rPr>
          <w:rFonts w:ascii="Lato" w:eastAsia="Calibri" w:hAnsi="Lato"/>
          <w:bCs/>
          <w:spacing w:val="4"/>
          <w:sz w:val="22"/>
          <w:szCs w:val="22"/>
        </w:rPr>
        <w:t>,</w:t>
      </w:r>
    </w:p>
    <w:p w14:paraId="7534BF02" w14:textId="0FA6A27F"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Pani J</w:t>
      </w:r>
      <w:r w:rsidR="0063542E">
        <w:rPr>
          <w:rFonts w:ascii="Lato" w:eastAsia="Calibri" w:hAnsi="Lato"/>
          <w:bCs/>
          <w:spacing w:val="4"/>
          <w:sz w:val="22"/>
          <w:szCs w:val="22"/>
        </w:rPr>
        <w:t>.</w:t>
      </w:r>
      <w:r w:rsidRPr="0009014A">
        <w:rPr>
          <w:rFonts w:ascii="Lato" w:eastAsia="Calibri" w:hAnsi="Lato"/>
          <w:bCs/>
          <w:spacing w:val="4"/>
          <w:sz w:val="22"/>
          <w:szCs w:val="22"/>
        </w:rPr>
        <w:t xml:space="preserve"> B</w:t>
      </w:r>
      <w:r w:rsidR="0063542E">
        <w:rPr>
          <w:rFonts w:ascii="Lato" w:eastAsia="Calibri" w:hAnsi="Lato"/>
          <w:bCs/>
          <w:spacing w:val="4"/>
          <w:sz w:val="22"/>
          <w:szCs w:val="22"/>
        </w:rPr>
        <w:t>.</w:t>
      </w:r>
      <w:r w:rsidRPr="0009014A">
        <w:rPr>
          <w:rFonts w:ascii="Lato" w:eastAsia="Calibri" w:hAnsi="Lato"/>
          <w:bCs/>
          <w:spacing w:val="4"/>
          <w:sz w:val="22"/>
          <w:szCs w:val="22"/>
        </w:rPr>
        <w:t>,</w:t>
      </w:r>
    </w:p>
    <w:p w14:paraId="0390A824" w14:textId="36267EB6" w:rsidR="0009014A" w:rsidRPr="0009014A" w:rsidRDefault="0009014A" w:rsidP="00184706">
      <w:pPr>
        <w:numPr>
          <w:ilvl w:val="0"/>
          <w:numId w:val="5"/>
        </w:numPr>
        <w:spacing w:after="120" w:line="240" w:lineRule="exact"/>
        <w:jc w:val="both"/>
        <w:rPr>
          <w:rFonts w:ascii="Lato" w:eastAsia="Calibri" w:hAnsi="Lato"/>
          <w:bCs/>
          <w:spacing w:val="4"/>
          <w:sz w:val="22"/>
          <w:szCs w:val="22"/>
        </w:rPr>
      </w:pPr>
      <w:r w:rsidRPr="0009014A">
        <w:rPr>
          <w:rFonts w:ascii="Lato" w:eastAsia="Calibri" w:hAnsi="Lato"/>
          <w:bCs/>
          <w:spacing w:val="4"/>
          <w:sz w:val="22"/>
          <w:szCs w:val="22"/>
        </w:rPr>
        <w:t>Pan A</w:t>
      </w:r>
      <w:r w:rsidR="0063542E">
        <w:rPr>
          <w:rFonts w:ascii="Lato" w:eastAsia="Calibri" w:hAnsi="Lato"/>
          <w:bCs/>
          <w:spacing w:val="4"/>
          <w:sz w:val="22"/>
          <w:szCs w:val="22"/>
        </w:rPr>
        <w:t>.</w:t>
      </w:r>
      <w:r w:rsidRPr="0009014A">
        <w:rPr>
          <w:rFonts w:ascii="Lato" w:eastAsia="Calibri" w:hAnsi="Lato"/>
          <w:bCs/>
          <w:spacing w:val="4"/>
          <w:sz w:val="22"/>
          <w:szCs w:val="22"/>
        </w:rPr>
        <w:t xml:space="preserve"> T</w:t>
      </w:r>
      <w:r w:rsidR="0063542E">
        <w:rPr>
          <w:rFonts w:ascii="Lato" w:eastAsia="Calibri" w:hAnsi="Lato"/>
          <w:bCs/>
          <w:spacing w:val="4"/>
          <w:sz w:val="22"/>
          <w:szCs w:val="22"/>
        </w:rPr>
        <w:t>.</w:t>
      </w:r>
      <w:r w:rsidRPr="0009014A">
        <w:rPr>
          <w:rFonts w:ascii="Lato" w:eastAsia="Calibri" w:hAnsi="Lato"/>
          <w:bCs/>
          <w:spacing w:val="4"/>
          <w:sz w:val="22"/>
          <w:szCs w:val="22"/>
        </w:rPr>
        <w:t>,</w:t>
      </w:r>
    </w:p>
    <w:p w14:paraId="5F8F1CA8" w14:textId="4B6F48C7"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 Z</w:t>
      </w:r>
      <w:r w:rsidR="0063542E">
        <w:rPr>
          <w:rFonts w:ascii="Lato" w:eastAsia="Calibri" w:hAnsi="Lato"/>
          <w:bCs/>
          <w:spacing w:val="4"/>
          <w:sz w:val="22"/>
          <w:szCs w:val="22"/>
        </w:rPr>
        <w:t>.</w:t>
      </w:r>
      <w:r w:rsidRPr="0009014A">
        <w:rPr>
          <w:rFonts w:ascii="Lato" w:eastAsia="Calibri" w:hAnsi="Lato"/>
          <w:bCs/>
          <w:spacing w:val="4"/>
          <w:sz w:val="22"/>
          <w:szCs w:val="22"/>
        </w:rPr>
        <w:t xml:space="preserve"> J</w:t>
      </w:r>
      <w:r w:rsidR="0063542E">
        <w:rPr>
          <w:rFonts w:ascii="Lato" w:eastAsia="Calibri" w:hAnsi="Lato"/>
          <w:bCs/>
          <w:spacing w:val="4"/>
          <w:sz w:val="22"/>
          <w:szCs w:val="22"/>
        </w:rPr>
        <w:t>.</w:t>
      </w:r>
      <w:r w:rsidRPr="0009014A">
        <w:rPr>
          <w:rFonts w:ascii="Lato" w:eastAsia="Calibri" w:hAnsi="Lato"/>
          <w:bCs/>
          <w:spacing w:val="4"/>
          <w:sz w:val="22"/>
          <w:szCs w:val="22"/>
        </w:rPr>
        <w:t xml:space="preserve"> K</w:t>
      </w:r>
      <w:r w:rsidR="0063542E">
        <w:rPr>
          <w:rFonts w:ascii="Lato" w:eastAsia="Calibri" w:hAnsi="Lato"/>
          <w:bCs/>
          <w:spacing w:val="4"/>
          <w:sz w:val="22"/>
          <w:szCs w:val="22"/>
        </w:rPr>
        <w:t>.</w:t>
      </w:r>
      <w:r w:rsidRPr="0009014A">
        <w:rPr>
          <w:rFonts w:ascii="Lato" w:eastAsia="Calibri" w:hAnsi="Lato"/>
          <w:bCs/>
          <w:spacing w:val="4"/>
          <w:sz w:val="22"/>
          <w:szCs w:val="22"/>
        </w:rPr>
        <w:t>,</w:t>
      </w:r>
    </w:p>
    <w:p w14:paraId="104B3FFC" w14:textId="462BEAD0"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Pani E</w:t>
      </w:r>
      <w:r w:rsidR="0063542E">
        <w:rPr>
          <w:rFonts w:ascii="Lato" w:eastAsia="Calibri" w:hAnsi="Lato"/>
          <w:bCs/>
          <w:spacing w:val="4"/>
          <w:sz w:val="22"/>
          <w:szCs w:val="22"/>
        </w:rPr>
        <w:t>.</w:t>
      </w:r>
      <w:r w:rsidRPr="0009014A">
        <w:rPr>
          <w:rFonts w:ascii="Lato" w:eastAsia="Calibri" w:hAnsi="Lato"/>
          <w:bCs/>
          <w:spacing w:val="4"/>
          <w:sz w:val="22"/>
          <w:szCs w:val="22"/>
        </w:rPr>
        <w:t xml:space="preserve"> L</w:t>
      </w:r>
      <w:r w:rsidR="0063542E">
        <w:rPr>
          <w:rFonts w:ascii="Lato" w:eastAsia="Calibri" w:hAnsi="Lato"/>
          <w:bCs/>
          <w:spacing w:val="4"/>
          <w:sz w:val="22"/>
          <w:szCs w:val="22"/>
        </w:rPr>
        <w:t>.</w:t>
      </w:r>
      <w:r w:rsidRPr="0009014A">
        <w:rPr>
          <w:rFonts w:ascii="Lato" w:eastAsia="Calibri" w:hAnsi="Lato"/>
          <w:bCs/>
          <w:spacing w:val="4"/>
          <w:sz w:val="22"/>
          <w:szCs w:val="22"/>
        </w:rPr>
        <w:t xml:space="preserve"> i Pan J</w:t>
      </w:r>
      <w:r w:rsidR="0063542E">
        <w:rPr>
          <w:rFonts w:ascii="Lato" w:eastAsia="Calibri" w:hAnsi="Lato"/>
          <w:bCs/>
          <w:spacing w:val="4"/>
          <w:sz w:val="22"/>
          <w:szCs w:val="22"/>
        </w:rPr>
        <w:t>.</w:t>
      </w:r>
      <w:r w:rsidRPr="0009014A">
        <w:rPr>
          <w:rFonts w:ascii="Lato" w:eastAsia="Calibri" w:hAnsi="Lato"/>
          <w:bCs/>
          <w:spacing w:val="4"/>
          <w:sz w:val="22"/>
          <w:szCs w:val="22"/>
        </w:rPr>
        <w:t xml:space="preserve"> L</w:t>
      </w:r>
      <w:r w:rsidR="0063542E">
        <w:rPr>
          <w:rFonts w:ascii="Lato" w:eastAsia="Calibri" w:hAnsi="Lato"/>
          <w:bCs/>
          <w:spacing w:val="4"/>
          <w:sz w:val="22"/>
          <w:szCs w:val="22"/>
        </w:rPr>
        <w:t>.</w:t>
      </w:r>
      <w:r w:rsidRPr="0009014A">
        <w:rPr>
          <w:rFonts w:ascii="Lato" w:eastAsia="Calibri" w:hAnsi="Lato"/>
          <w:bCs/>
          <w:spacing w:val="4"/>
          <w:sz w:val="22"/>
          <w:szCs w:val="22"/>
        </w:rPr>
        <w:t>,</w:t>
      </w:r>
    </w:p>
    <w:p w14:paraId="31E2700D" w14:textId="431360B9"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 M</w:t>
      </w:r>
      <w:r w:rsidR="0063542E">
        <w:rPr>
          <w:rFonts w:ascii="Lato" w:eastAsia="Calibri" w:hAnsi="Lato"/>
          <w:bCs/>
          <w:spacing w:val="4"/>
          <w:sz w:val="22"/>
          <w:szCs w:val="22"/>
        </w:rPr>
        <w:t>.</w:t>
      </w:r>
      <w:r w:rsidRPr="0009014A">
        <w:rPr>
          <w:rFonts w:ascii="Lato" w:eastAsia="Calibri" w:hAnsi="Lato"/>
          <w:bCs/>
          <w:spacing w:val="4"/>
          <w:sz w:val="22"/>
          <w:szCs w:val="22"/>
        </w:rPr>
        <w:t xml:space="preserve"> J</w:t>
      </w:r>
      <w:r w:rsidR="0063542E">
        <w:rPr>
          <w:rFonts w:ascii="Lato" w:eastAsia="Calibri" w:hAnsi="Lato"/>
          <w:bCs/>
          <w:spacing w:val="4"/>
          <w:sz w:val="22"/>
          <w:szCs w:val="22"/>
        </w:rPr>
        <w:t>.</w:t>
      </w:r>
      <w:r w:rsidRPr="0009014A">
        <w:rPr>
          <w:rFonts w:ascii="Lato" w:eastAsia="Calibri" w:hAnsi="Lato"/>
          <w:bCs/>
          <w:spacing w:val="4"/>
          <w:sz w:val="22"/>
          <w:szCs w:val="22"/>
        </w:rPr>
        <w:t>,</w:t>
      </w:r>
    </w:p>
    <w:p w14:paraId="56F183D4" w14:textId="6C6EF906" w:rsidR="0009014A" w:rsidRPr="0009014A" w:rsidRDefault="0009014A" w:rsidP="00184706">
      <w:pPr>
        <w:numPr>
          <w:ilvl w:val="0"/>
          <w:numId w:val="5"/>
        </w:numPr>
        <w:spacing w:after="12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lastRenderedPageBreak/>
        <w:t>Pan K</w:t>
      </w:r>
      <w:r w:rsidR="006E0802">
        <w:rPr>
          <w:rFonts w:ascii="Lato" w:eastAsia="Calibri" w:hAnsi="Lato"/>
          <w:bCs/>
          <w:spacing w:val="4"/>
          <w:sz w:val="22"/>
          <w:szCs w:val="22"/>
        </w:rPr>
        <w:t>.</w:t>
      </w:r>
      <w:r w:rsidRPr="0009014A">
        <w:rPr>
          <w:rFonts w:ascii="Lato" w:eastAsia="Calibri" w:hAnsi="Lato"/>
          <w:bCs/>
          <w:spacing w:val="4"/>
          <w:sz w:val="22"/>
          <w:szCs w:val="22"/>
        </w:rPr>
        <w:t xml:space="preserve"> T</w:t>
      </w:r>
      <w:r w:rsidR="006E0802">
        <w:rPr>
          <w:rFonts w:ascii="Lato" w:eastAsia="Calibri" w:hAnsi="Lato"/>
          <w:bCs/>
          <w:spacing w:val="4"/>
          <w:sz w:val="22"/>
          <w:szCs w:val="22"/>
        </w:rPr>
        <w:t>.</w:t>
      </w:r>
      <w:r w:rsidRPr="0009014A">
        <w:rPr>
          <w:rFonts w:ascii="Lato" w:eastAsia="Calibri" w:hAnsi="Lato"/>
          <w:bCs/>
          <w:spacing w:val="4"/>
          <w:sz w:val="22"/>
          <w:szCs w:val="22"/>
        </w:rPr>
        <w:t>,</w:t>
      </w:r>
    </w:p>
    <w:p w14:paraId="0A5B4571" w14:textId="78E2084D" w:rsidR="0009014A" w:rsidRPr="0009014A" w:rsidRDefault="0009014A" w:rsidP="00184706">
      <w:pPr>
        <w:numPr>
          <w:ilvl w:val="0"/>
          <w:numId w:val="5"/>
        </w:numPr>
        <w:spacing w:after="120" w:line="240" w:lineRule="exact"/>
        <w:jc w:val="both"/>
        <w:rPr>
          <w:rFonts w:ascii="Lato" w:eastAsia="Calibri" w:hAnsi="Lato"/>
          <w:bCs/>
          <w:spacing w:val="4"/>
          <w:sz w:val="22"/>
          <w:szCs w:val="22"/>
        </w:rPr>
      </w:pPr>
      <w:r w:rsidRPr="0009014A">
        <w:rPr>
          <w:rFonts w:ascii="Lato" w:eastAsia="Calibri" w:hAnsi="Lato"/>
          <w:bCs/>
          <w:spacing w:val="4"/>
          <w:sz w:val="22"/>
          <w:szCs w:val="22"/>
        </w:rPr>
        <w:t>Pan K</w:t>
      </w:r>
      <w:r w:rsidR="006E0802">
        <w:rPr>
          <w:rFonts w:ascii="Lato" w:eastAsia="Calibri" w:hAnsi="Lato"/>
          <w:bCs/>
          <w:spacing w:val="4"/>
          <w:sz w:val="22"/>
          <w:szCs w:val="22"/>
        </w:rPr>
        <w:t>.</w:t>
      </w:r>
      <w:r w:rsidRPr="0009014A">
        <w:rPr>
          <w:rFonts w:ascii="Lato" w:eastAsia="Calibri" w:hAnsi="Lato"/>
          <w:bCs/>
          <w:spacing w:val="4"/>
          <w:sz w:val="22"/>
          <w:szCs w:val="22"/>
        </w:rPr>
        <w:t>S</w:t>
      </w:r>
      <w:r w:rsidR="006E0802">
        <w:rPr>
          <w:rFonts w:ascii="Lato" w:eastAsia="Calibri" w:hAnsi="Lato"/>
          <w:bCs/>
          <w:spacing w:val="4"/>
          <w:sz w:val="22"/>
          <w:szCs w:val="22"/>
        </w:rPr>
        <w:t>.</w:t>
      </w:r>
      <w:r w:rsidRPr="0009014A">
        <w:rPr>
          <w:rFonts w:ascii="Lato" w:eastAsia="Calibri" w:hAnsi="Lato"/>
          <w:bCs/>
          <w:spacing w:val="4"/>
          <w:sz w:val="22"/>
          <w:szCs w:val="22"/>
        </w:rPr>
        <w:t>,</w:t>
      </w:r>
    </w:p>
    <w:p w14:paraId="6A83C954" w14:textId="31B27C7A" w:rsidR="0009014A" w:rsidRPr="0009014A" w:rsidRDefault="0009014A" w:rsidP="00184706">
      <w:pPr>
        <w:numPr>
          <w:ilvl w:val="0"/>
          <w:numId w:val="5"/>
        </w:numPr>
        <w:spacing w:after="120" w:line="240" w:lineRule="exact"/>
        <w:jc w:val="both"/>
        <w:rPr>
          <w:rFonts w:ascii="Lato" w:eastAsia="Calibri" w:hAnsi="Lato"/>
          <w:bCs/>
          <w:spacing w:val="4"/>
          <w:sz w:val="22"/>
          <w:szCs w:val="22"/>
        </w:rPr>
      </w:pPr>
      <w:r w:rsidRPr="0009014A">
        <w:rPr>
          <w:rFonts w:ascii="Lato" w:eastAsia="Calibri" w:hAnsi="Lato"/>
          <w:bCs/>
          <w:spacing w:val="4"/>
          <w:sz w:val="22"/>
          <w:szCs w:val="22"/>
        </w:rPr>
        <w:t>Pani E</w:t>
      </w:r>
      <w:r w:rsidR="006E0802">
        <w:rPr>
          <w:rFonts w:ascii="Lato" w:eastAsia="Calibri" w:hAnsi="Lato"/>
          <w:bCs/>
          <w:spacing w:val="4"/>
          <w:sz w:val="22"/>
          <w:szCs w:val="22"/>
        </w:rPr>
        <w:t>.</w:t>
      </w:r>
      <w:r w:rsidRPr="0009014A">
        <w:rPr>
          <w:rFonts w:ascii="Lato" w:eastAsia="Calibri" w:hAnsi="Lato"/>
          <w:bCs/>
          <w:spacing w:val="4"/>
          <w:sz w:val="22"/>
          <w:szCs w:val="22"/>
        </w:rPr>
        <w:t xml:space="preserve"> L</w:t>
      </w:r>
      <w:r w:rsidR="006E0802">
        <w:rPr>
          <w:rFonts w:ascii="Lato" w:eastAsia="Calibri" w:hAnsi="Lato"/>
          <w:bCs/>
          <w:spacing w:val="4"/>
          <w:sz w:val="22"/>
          <w:szCs w:val="22"/>
        </w:rPr>
        <w:t>.</w:t>
      </w:r>
      <w:r w:rsidRPr="0009014A">
        <w:rPr>
          <w:rFonts w:ascii="Lato" w:eastAsia="Calibri" w:hAnsi="Lato"/>
          <w:bCs/>
          <w:spacing w:val="4"/>
          <w:sz w:val="22"/>
          <w:szCs w:val="22"/>
        </w:rPr>
        <w:t xml:space="preserve"> i Pan K</w:t>
      </w:r>
      <w:r w:rsidR="006E0802">
        <w:rPr>
          <w:rFonts w:ascii="Lato" w:eastAsia="Calibri" w:hAnsi="Lato"/>
          <w:bCs/>
          <w:spacing w:val="4"/>
          <w:sz w:val="22"/>
          <w:szCs w:val="22"/>
        </w:rPr>
        <w:t>.</w:t>
      </w:r>
      <w:r w:rsidRPr="0009014A">
        <w:rPr>
          <w:rFonts w:ascii="Lato" w:eastAsia="Calibri" w:hAnsi="Lato"/>
          <w:bCs/>
          <w:spacing w:val="4"/>
          <w:sz w:val="22"/>
          <w:szCs w:val="22"/>
        </w:rPr>
        <w:t xml:space="preserve"> L</w:t>
      </w:r>
      <w:r w:rsidR="006E0802">
        <w:rPr>
          <w:rFonts w:ascii="Lato" w:eastAsia="Calibri" w:hAnsi="Lato"/>
          <w:bCs/>
          <w:spacing w:val="4"/>
          <w:sz w:val="22"/>
          <w:szCs w:val="22"/>
        </w:rPr>
        <w:t>.</w:t>
      </w:r>
      <w:r w:rsidRPr="0009014A">
        <w:rPr>
          <w:rFonts w:ascii="Lato" w:eastAsia="Calibri" w:hAnsi="Lato"/>
          <w:bCs/>
          <w:spacing w:val="4"/>
          <w:sz w:val="22"/>
          <w:szCs w:val="22"/>
        </w:rPr>
        <w:t xml:space="preserve"> – reprezentowani przez adw. M</w:t>
      </w:r>
      <w:r w:rsidR="006E0802">
        <w:rPr>
          <w:rFonts w:ascii="Lato" w:eastAsia="Calibri" w:hAnsi="Lato"/>
          <w:bCs/>
          <w:spacing w:val="4"/>
          <w:sz w:val="22"/>
          <w:szCs w:val="22"/>
        </w:rPr>
        <w:t>.</w:t>
      </w:r>
      <w:r w:rsidRPr="0009014A">
        <w:rPr>
          <w:rFonts w:ascii="Lato" w:eastAsia="Calibri" w:hAnsi="Lato"/>
          <w:bCs/>
          <w:spacing w:val="4"/>
          <w:sz w:val="22"/>
          <w:szCs w:val="22"/>
        </w:rPr>
        <w:t xml:space="preserve"> D</w:t>
      </w:r>
      <w:r w:rsidR="006E0802">
        <w:rPr>
          <w:rFonts w:ascii="Lato" w:eastAsia="Calibri" w:hAnsi="Lato"/>
          <w:bCs/>
          <w:spacing w:val="4"/>
          <w:sz w:val="22"/>
          <w:szCs w:val="22"/>
        </w:rPr>
        <w:t>.</w:t>
      </w:r>
      <w:r w:rsidRPr="0009014A">
        <w:rPr>
          <w:rFonts w:ascii="Lato" w:eastAsia="Calibri" w:hAnsi="Lato"/>
          <w:bCs/>
          <w:spacing w:val="4"/>
          <w:sz w:val="22"/>
          <w:szCs w:val="22"/>
        </w:rPr>
        <w:t>,</w:t>
      </w:r>
    </w:p>
    <w:p w14:paraId="5CCF8E14" w14:textId="5FEA85E8" w:rsidR="0009014A" w:rsidRPr="0009014A" w:rsidRDefault="0009014A" w:rsidP="00184706">
      <w:pPr>
        <w:numPr>
          <w:ilvl w:val="0"/>
          <w:numId w:val="5"/>
        </w:numPr>
        <w:spacing w:after="120" w:line="240" w:lineRule="exact"/>
        <w:jc w:val="both"/>
        <w:rPr>
          <w:rFonts w:ascii="Lato" w:eastAsia="Calibri" w:hAnsi="Lato"/>
          <w:bCs/>
          <w:spacing w:val="4"/>
          <w:sz w:val="22"/>
          <w:szCs w:val="22"/>
        </w:rPr>
      </w:pPr>
      <w:r w:rsidRPr="0009014A">
        <w:rPr>
          <w:rFonts w:ascii="Lato" w:eastAsia="Calibri" w:hAnsi="Lato"/>
          <w:bCs/>
          <w:spacing w:val="4"/>
          <w:sz w:val="22"/>
          <w:szCs w:val="22"/>
        </w:rPr>
        <w:t>Pani A</w:t>
      </w:r>
      <w:r w:rsidR="006E0802">
        <w:rPr>
          <w:rFonts w:ascii="Lato" w:eastAsia="Calibri" w:hAnsi="Lato"/>
          <w:bCs/>
          <w:spacing w:val="4"/>
          <w:sz w:val="22"/>
          <w:szCs w:val="22"/>
        </w:rPr>
        <w:t>.</w:t>
      </w:r>
      <w:r w:rsidRPr="0009014A">
        <w:rPr>
          <w:rFonts w:ascii="Lato" w:eastAsia="Calibri" w:hAnsi="Lato"/>
          <w:bCs/>
          <w:spacing w:val="4"/>
          <w:sz w:val="22"/>
          <w:szCs w:val="22"/>
        </w:rPr>
        <w:t xml:space="preserve"> M</w:t>
      </w:r>
      <w:r w:rsidR="006E0802">
        <w:rPr>
          <w:rFonts w:ascii="Lato" w:eastAsia="Calibri" w:hAnsi="Lato"/>
          <w:bCs/>
          <w:spacing w:val="4"/>
          <w:sz w:val="22"/>
          <w:szCs w:val="22"/>
        </w:rPr>
        <w:t>.</w:t>
      </w:r>
      <w:r w:rsidRPr="0009014A">
        <w:rPr>
          <w:rFonts w:ascii="Lato" w:eastAsia="Calibri" w:hAnsi="Lato"/>
          <w:bCs/>
          <w:spacing w:val="4"/>
          <w:sz w:val="22"/>
          <w:szCs w:val="22"/>
        </w:rPr>
        <w:t xml:space="preserve"> i Pan S</w:t>
      </w:r>
      <w:r w:rsidR="006E0802">
        <w:rPr>
          <w:rFonts w:ascii="Lato" w:eastAsia="Calibri" w:hAnsi="Lato"/>
          <w:bCs/>
          <w:spacing w:val="4"/>
          <w:sz w:val="22"/>
          <w:szCs w:val="22"/>
        </w:rPr>
        <w:t>.</w:t>
      </w:r>
      <w:r w:rsidRPr="0009014A">
        <w:rPr>
          <w:rFonts w:ascii="Lato" w:eastAsia="Calibri" w:hAnsi="Lato"/>
          <w:bCs/>
          <w:spacing w:val="4"/>
          <w:sz w:val="22"/>
          <w:szCs w:val="22"/>
        </w:rPr>
        <w:t xml:space="preserve"> M</w:t>
      </w:r>
      <w:r w:rsidR="006E0802">
        <w:rPr>
          <w:rFonts w:ascii="Lato" w:eastAsia="Calibri" w:hAnsi="Lato"/>
          <w:bCs/>
          <w:spacing w:val="4"/>
          <w:sz w:val="22"/>
          <w:szCs w:val="22"/>
        </w:rPr>
        <w:t>.</w:t>
      </w:r>
      <w:r w:rsidRPr="0009014A">
        <w:rPr>
          <w:rFonts w:ascii="Lato" w:eastAsia="Calibri" w:hAnsi="Lato"/>
          <w:bCs/>
          <w:spacing w:val="4"/>
          <w:sz w:val="22"/>
          <w:szCs w:val="22"/>
        </w:rPr>
        <w:t>,</w:t>
      </w:r>
    </w:p>
    <w:p w14:paraId="218A8B0E" w14:textId="75E7BADA" w:rsidR="0009014A" w:rsidRPr="0009014A" w:rsidRDefault="0009014A" w:rsidP="00184706">
      <w:pPr>
        <w:numPr>
          <w:ilvl w:val="0"/>
          <w:numId w:val="5"/>
        </w:numPr>
        <w:spacing w:after="120" w:line="240" w:lineRule="exact"/>
        <w:jc w:val="both"/>
        <w:rPr>
          <w:rFonts w:ascii="Lato" w:eastAsia="Calibri" w:hAnsi="Lato"/>
          <w:bCs/>
          <w:spacing w:val="4"/>
          <w:sz w:val="22"/>
          <w:szCs w:val="22"/>
        </w:rPr>
      </w:pPr>
      <w:r w:rsidRPr="0009014A">
        <w:rPr>
          <w:rFonts w:ascii="Lato" w:eastAsia="Calibri" w:hAnsi="Lato"/>
          <w:bCs/>
          <w:spacing w:val="4"/>
          <w:sz w:val="22"/>
          <w:szCs w:val="22"/>
        </w:rPr>
        <w:t>Pan E</w:t>
      </w:r>
      <w:r w:rsidR="006E0802">
        <w:rPr>
          <w:rFonts w:ascii="Lato" w:eastAsia="Calibri" w:hAnsi="Lato"/>
          <w:bCs/>
          <w:spacing w:val="4"/>
          <w:sz w:val="22"/>
          <w:szCs w:val="22"/>
        </w:rPr>
        <w:t>.</w:t>
      </w:r>
      <w:r w:rsidRPr="0009014A">
        <w:rPr>
          <w:rFonts w:ascii="Lato" w:eastAsia="Calibri" w:hAnsi="Lato"/>
          <w:bCs/>
          <w:spacing w:val="4"/>
          <w:sz w:val="22"/>
          <w:szCs w:val="22"/>
        </w:rPr>
        <w:t xml:space="preserve"> T</w:t>
      </w:r>
      <w:r w:rsidR="006E0802">
        <w:rPr>
          <w:rFonts w:ascii="Lato" w:eastAsia="Calibri" w:hAnsi="Lato"/>
          <w:bCs/>
          <w:spacing w:val="4"/>
          <w:sz w:val="22"/>
          <w:szCs w:val="22"/>
        </w:rPr>
        <w:t>.</w:t>
      </w:r>
      <w:r w:rsidRPr="0009014A">
        <w:rPr>
          <w:rFonts w:ascii="Lato" w:eastAsia="Calibri" w:hAnsi="Lato"/>
          <w:bCs/>
          <w:spacing w:val="4"/>
          <w:sz w:val="22"/>
          <w:szCs w:val="22"/>
        </w:rPr>
        <w:t>,</w:t>
      </w:r>
    </w:p>
    <w:p w14:paraId="5B05603E" w14:textId="6BFBB7F5" w:rsidR="0009014A" w:rsidRPr="0009014A" w:rsidRDefault="0009014A" w:rsidP="00184706">
      <w:pPr>
        <w:numPr>
          <w:ilvl w:val="0"/>
          <w:numId w:val="5"/>
        </w:numPr>
        <w:spacing w:after="240" w:line="240" w:lineRule="exact"/>
        <w:ind w:left="357" w:hanging="357"/>
        <w:jc w:val="both"/>
        <w:rPr>
          <w:rFonts w:ascii="Lato" w:eastAsia="Calibri" w:hAnsi="Lato"/>
          <w:bCs/>
          <w:spacing w:val="4"/>
          <w:sz w:val="22"/>
          <w:szCs w:val="22"/>
        </w:rPr>
      </w:pPr>
      <w:r w:rsidRPr="0009014A">
        <w:rPr>
          <w:rFonts w:ascii="Lato" w:eastAsia="Calibri" w:hAnsi="Lato"/>
          <w:bCs/>
          <w:spacing w:val="4"/>
          <w:sz w:val="22"/>
          <w:szCs w:val="22"/>
        </w:rPr>
        <w:t>Pani K</w:t>
      </w:r>
      <w:r w:rsidR="006E0802">
        <w:rPr>
          <w:rFonts w:ascii="Lato" w:eastAsia="Calibri" w:hAnsi="Lato"/>
          <w:bCs/>
          <w:spacing w:val="4"/>
          <w:sz w:val="22"/>
          <w:szCs w:val="22"/>
        </w:rPr>
        <w:t>.</w:t>
      </w:r>
      <w:r w:rsidRPr="0009014A">
        <w:rPr>
          <w:rFonts w:ascii="Lato" w:eastAsia="Calibri" w:hAnsi="Lato"/>
          <w:bCs/>
          <w:spacing w:val="4"/>
          <w:sz w:val="22"/>
          <w:szCs w:val="22"/>
        </w:rPr>
        <w:t xml:space="preserve"> T. </w:t>
      </w:r>
    </w:p>
    <w:p w14:paraId="784A014A" w14:textId="0D16D095" w:rsidR="0009014A" w:rsidRPr="0009014A" w:rsidRDefault="0009014A" w:rsidP="0009014A">
      <w:pPr>
        <w:spacing w:after="240" w:line="240" w:lineRule="exact"/>
        <w:jc w:val="both"/>
        <w:rPr>
          <w:rFonts w:ascii="Lato" w:hAnsi="Lato"/>
          <w:iCs/>
          <w:spacing w:val="4"/>
          <w:sz w:val="22"/>
          <w:szCs w:val="22"/>
        </w:rPr>
      </w:pPr>
      <w:r w:rsidRPr="0009014A">
        <w:rPr>
          <w:rFonts w:ascii="Lato" w:hAnsi="Lato" w:cs="Arial"/>
          <w:spacing w:val="4"/>
          <w:sz w:val="22"/>
          <w:szCs w:val="22"/>
        </w:rPr>
        <w:t xml:space="preserve">Powyższe odwołania </w:t>
      </w:r>
      <w:r w:rsidRPr="0009014A">
        <w:rPr>
          <w:rFonts w:ascii="Lato" w:hAnsi="Lato"/>
          <w:spacing w:val="4"/>
          <w:sz w:val="22"/>
          <w:szCs w:val="22"/>
        </w:rPr>
        <w:t>wniesiono w terminie. W odwołaniach, uzupełnionych w trakcie procedury odwoławczej przez niektórych skarżących, podniesiono zarzuty w sprawie decyzji Wojewody Mazowieckiego, jak i postępowania zakończonego wydaniem tej decyzji. Odwołanie, za pośrednictwem organu I instancji, wniósł także Pan M</w:t>
      </w:r>
      <w:r w:rsidR="009C48F0">
        <w:rPr>
          <w:rFonts w:ascii="Lato" w:hAnsi="Lato"/>
          <w:spacing w:val="4"/>
          <w:sz w:val="22"/>
          <w:szCs w:val="22"/>
        </w:rPr>
        <w:t>.</w:t>
      </w:r>
      <w:r w:rsidRPr="0009014A">
        <w:rPr>
          <w:rFonts w:ascii="Lato" w:hAnsi="Lato"/>
          <w:spacing w:val="4"/>
          <w:sz w:val="22"/>
          <w:szCs w:val="22"/>
        </w:rPr>
        <w:t xml:space="preserve"> Ł. Odwołanie to zostało pozostawione bez rozpoznania z powodu nieusunięcia braku formalnego, o czym poinformowano w piśmie organu odwoławczego z dnia </w:t>
      </w:r>
      <w:r w:rsidRPr="0009014A">
        <w:rPr>
          <w:rFonts w:ascii="Lato" w:hAnsi="Lato"/>
          <w:spacing w:val="4"/>
          <w:sz w:val="22"/>
          <w:szCs w:val="22"/>
        </w:rPr>
        <w:br/>
        <w:t xml:space="preserve">7 maja 2025 r., znak: DLI-II.7620.7.2025.KR.16. W toku postępowania odwoławczego, </w:t>
      </w:r>
      <w:r w:rsidRPr="0009014A">
        <w:rPr>
          <w:rFonts w:ascii="Lato" w:hAnsi="Lato"/>
          <w:iCs/>
          <w:spacing w:val="4"/>
          <w:sz w:val="22"/>
          <w:szCs w:val="22"/>
        </w:rPr>
        <w:t>zgodnie z art. 30 § 4 kpa, inwestor wstąpił w odwołania od decyzji Wojewody Mazowieckiego wniesione</w:t>
      </w:r>
      <w:r w:rsidRPr="0009014A">
        <w:t xml:space="preserve"> </w:t>
      </w:r>
      <w:r w:rsidRPr="0009014A">
        <w:rPr>
          <w:rFonts w:ascii="Lato" w:hAnsi="Lato"/>
          <w:iCs/>
          <w:spacing w:val="4"/>
          <w:sz w:val="22"/>
          <w:szCs w:val="22"/>
        </w:rPr>
        <w:t>przez Panią B</w:t>
      </w:r>
      <w:r w:rsidR="009C48F0">
        <w:rPr>
          <w:rFonts w:ascii="Lato" w:hAnsi="Lato"/>
          <w:iCs/>
          <w:spacing w:val="4"/>
          <w:sz w:val="22"/>
          <w:szCs w:val="22"/>
        </w:rPr>
        <w:t>.</w:t>
      </w:r>
      <w:r w:rsidRPr="0009014A">
        <w:rPr>
          <w:rFonts w:ascii="Lato" w:hAnsi="Lato"/>
          <w:iCs/>
          <w:spacing w:val="4"/>
          <w:sz w:val="22"/>
          <w:szCs w:val="22"/>
        </w:rPr>
        <w:t xml:space="preserve"> J</w:t>
      </w:r>
      <w:r w:rsidR="009C48F0">
        <w:rPr>
          <w:rFonts w:ascii="Lato" w:hAnsi="Lato"/>
          <w:iCs/>
          <w:spacing w:val="4"/>
          <w:sz w:val="22"/>
          <w:szCs w:val="22"/>
        </w:rPr>
        <w:t>.</w:t>
      </w:r>
      <w:r w:rsidRPr="0009014A">
        <w:rPr>
          <w:rFonts w:ascii="Lato" w:hAnsi="Lato"/>
          <w:iCs/>
          <w:spacing w:val="4"/>
          <w:sz w:val="22"/>
          <w:szCs w:val="22"/>
        </w:rPr>
        <w:t xml:space="preserve"> i Pana M</w:t>
      </w:r>
      <w:r w:rsidR="009C48F0">
        <w:rPr>
          <w:rFonts w:ascii="Lato" w:hAnsi="Lato"/>
          <w:iCs/>
          <w:spacing w:val="4"/>
          <w:sz w:val="22"/>
          <w:szCs w:val="22"/>
        </w:rPr>
        <w:t>.</w:t>
      </w:r>
      <w:r w:rsidRPr="0009014A">
        <w:rPr>
          <w:rFonts w:ascii="Lato" w:hAnsi="Lato"/>
          <w:iCs/>
          <w:spacing w:val="4"/>
          <w:sz w:val="22"/>
          <w:szCs w:val="22"/>
        </w:rPr>
        <w:t xml:space="preserve"> J</w:t>
      </w:r>
      <w:r w:rsidR="009C48F0">
        <w:rPr>
          <w:rFonts w:ascii="Lato" w:hAnsi="Lato"/>
          <w:iCs/>
          <w:spacing w:val="4"/>
          <w:sz w:val="22"/>
          <w:szCs w:val="22"/>
        </w:rPr>
        <w:t>.</w:t>
      </w:r>
      <w:r w:rsidRPr="0009014A">
        <w:rPr>
          <w:rFonts w:ascii="Lato" w:hAnsi="Lato"/>
          <w:iCs/>
          <w:spacing w:val="4"/>
          <w:sz w:val="22"/>
          <w:szCs w:val="22"/>
        </w:rPr>
        <w:t>,</w:t>
      </w:r>
      <w:r w:rsidRPr="0009014A">
        <w:t xml:space="preserve"> </w:t>
      </w:r>
      <w:r w:rsidRPr="0009014A">
        <w:rPr>
          <w:rFonts w:ascii="Lato" w:hAnsi="Lato"/>
          <w:iCs/>
          <w:spacing w:val="4"/>
          <w:sz w:val="22"/>
          <w:szCs w:val="22"/>
        </w:rPr>
        <w:t>Panią A</w:t>
      </w:r>
      <w:r w:rsidR="009C48F0">
        <w:rPr>
          <w:rFonts w:ascii="Lato" w:hAnsi="Lato"/>
          <w:iCs/>
          <w:spacing w:val="4"/>
          <w:sz w:val="22"/>
          <w:szCs w:val="22"/>
        </w:rPr>
        <w:t>.</w:t>
      </w:r>
      <w:r w:rsidRPr="0009014A">
        <w:rPr>
          <w:rFonts w:ascii="Lato" w:hAnsi="Lato"/>
          <w:iCs/>
          <w:spacing w:val="4"/>
          <w:sz w:val="22"/>
          <w:szCs w:val="22"/>
        </w:rPr>
        <w:t xml:space="preserve"> M</w:t>
      </w:r>
      <w:r w:rsidR="009C48F0">
        <w:rPr>
          <w:rFonts w:ascii="Lato" w:hAnsi="Lato"/>
          <w:iCs/>
          <w:spacing w:val="4"/>
          <w:sz w:val="22"/>
          <w:szCs w:val="22"/>
        </w:rPr>
        <w:t>.</w:t>
      </w:r>
      <w:r w:rsidRPr="0009014A">
        <w:rPr>
          <w:rFonts w:ascii="Lato" w:hAnsi="Lato"/>
          <w:iCs/>
          <w:spacing w:val="4"/>
          <w:sz w:val="22"/>
          <w:szCs w:val="22"/>
        </w:rPr>
        <w:t xml:space="preserve"> i Pana S</w:t>
      </w:r>
      <w:r w:rsidR="009C48F0">
        <w:rPr>
          <w:rFonts w:ascii="Lato" w:hAnsi="Lato"/>
          <w:iCs/>
          <w:spacing w:val="4"/>
          <w:sz w:val="22"/>
          <w:szCs w:val="22"/>
        </w:rPr>
        <w:t>.</w:t>
      </w:r>
      <w:r w:rsidRPr="0009014A">
        <w:rPr>
          <w:rFonts w:ascii="Lato" w:hAnsi="Lato"/>
          <w:iCs/>
          <w:spacing w:val="4"/>
          <w:sz w:val="22"/>
          <w:szCs w:val="22"/>
        </w:rPr>
        <w:t xml:space="preserve"> M</w:t>
      </w:r>
      <w:r w:rsidR="009C48F0">
        <w:rPr>
          <w:rFonts w:ascii="Lato" w:hAnsi="Lato"/>
          <w:iCs/>
          <w:spacing w:val="4"/>
          <w:sz w:val="22"/>
          <w:szCs w:val="22"/>
        </w:rPr>
        <w:t>.</w:t>
      </w:r>
      <w:r w:rsidRPr="0009014A">
        <w:rPr>
          <w:rFonts w:ascii="Lato" w:hAnsi="Lato"/>
          <w:iCs/>
          <w:spacing w:val="4"/>
          <w:sz w:val="22"/>
          <w:szCs w:val="22"/>
        </w:rPr>
        <w:t>,</w:t>
      </w:r>
      <w:r w:rsidRPr="0009014A">
        <w:t xml:space="preserve"> </w:t>
      </w:r>
      <w:r w:rsidRPr="0009014A">
        <w:rPr>
          <w:rFonts w:ascii="Lato" w:hAnsi="Lato"/>
          <w:iCs/>
          <w:spacing w:val="4"/>
          <w:sz w:val="22"/>
          <w:szCs w:val="22"/>
        </w:rPr>
        <w:t>Panią D</w:t>
      </w:r>
      <w:r w:rsidR="009C48F0">
        <w:rPr>
          <w:rFonts w:ascii="Lato" w:hAnsi="Lato"/>
          <w:iCs/>
          <w:spacing w:val="4"/>
          <w:sz w:val="22"/>
          <w:szCs w:val="22"/>
        </w:rPr>
        <w:t>.</w:t>
      </w:r>
      <w:r w:rsidRPr="0009014A">
        <w:rPr>
          <w:rFonts w:ascii="Lato" w:hAnsi="Lato"/>
          <w:iCs/>
          <w:spacing w:val="4"/>
          <w:sz w:val="22"/>
          <w:szCs w:val="22"/>
        </w:rPr>
        <w:t xml:space="preserve"> K</w:t>
      </w:r>
      <w:r w:rsidR="009C48F0">
        <w:rPr>
          <w:rFonts w:ascii="Lato" w:hAnsi="Lato"/>
          <w:iCs/>
          <w:spacing w:val="4"/>
          <w:sz w:val="22"/>
          <w:szCs w:val="22"/>
        </w:rPr>
        <w:t>.</w:t>
      </w:r>
      <w:r w:rsidRPr="0009014A">
        <w:rPr>
          <w:rFonts w:ascii="Lato" w:hAnsi="Lato"/>
          <w:iCs/>
          <w:spacing w:val="4"/>
          <w:sz w:val="22"/>
          <w:szCs w:val="22"/>
        </w:rPr>
        <w:t>, w związku z nabyciem na własność przez inwestora (w ramach</w:t>
      </w:r>
      <w:r w:rsidR="00184706">
        <w:rPr>
          <w:rFonts w:ascii="Lato" w:hAnsi="Lato"/>
          <w:iCs/>
          <w:spacing w:val="4"/>
          <w:sz w:val="22"/>
          <w:szCs w:val="22"/>
        </w:rPr>
        <w:t xml:space="preserve"> </w:t>
      </w:r>
      <w:r w:rsidRPr="0009014A">
        <w:rPr>
          <w:rFonts w:ascii="Lato" w:hAnsi="Lato"/>
          <w:iCs/>
          <w:spacing w:val="4"/>
          <w:sz w:val="22"/>
          <w:szCs w:val="22"/>
        </w:rPr>
        <w:t xml:space="preserve">tzw. Programu Dobrowolnych Nabyć) działek tych skarżących objętych zakresem decyzji Wojewody Mazowieckiego, i odwołania te zostały przez inwestora wycofane. </w:t>
      </w:r>
    </w:p>
    <w:p w14:paraId="4A205AC2" w14:textId="77777777" w:rsidR="0009014A" w:rsidRPr="0009014A" w:rsidRDefault="0009014A" w:rsidP="0009014A">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09014A">
        <w:rPr>
          <w:rFonts w:ascii="Lato" w:hAnsi="Lato"/>
          <w:spacing w:val="4"/>
          <w:sz w:val="22"/>
          <w:szCs w:val="22"/>
        </w:rPr>
        <w:t xml:space="preserve">Organ odwoławczy </w:t>
      </w:r>
      <w:r w:rsidRPr="0009014A">
        <w:rPr>
          <w:rFonts w:ascii="Lato" w:hAnsi="Lato"/>
          <w:bCs/>
          <w:spacing w:val="4"/>
          <w:sz w:val="22"/>
          <w:szCs w:val="22"/>
        </w:rPr>
        <w:t xml:space="preserve">stwierdził, co następuje. Na wstępie wyjaśnić należy, iż </w:t>
      </w:r>
      <w:r w:rsidRPr="0009014A">
        <w:rPr>
          <w:rFonts w:ascii="Lato" w:hAnsi="Lato" w:cs="Arial"/>
          <w:bCs/>
          <w:spacing w:val="4"/>
          <w:sz w:val="22"/>
          <w:szCs w:val="22"/>
        </w:rPr>
        <w:t xml:space="preserve">właściwym w przedmiotowej sprawie – stosownie do treści rozporządzenia Prezesa Rady Ministrów z dnia 25 lipca 2025 r. w sprawie szczegółowego zakresu działania Ministra Finansów </w:t>
      </w:r>
      <w:r w:rsidRPr="0009014A">
        <w:rPr>
          <w:rFonts w:ascii="Lato" w:hAnsi="Lato" w:cs="Arial"/>
          <w:bCs/>
          <w:spacing w:val="4"/>
          <w:sz w:val="22"/>
          <w:szCs w:val="22"/>
        </w:rPr>
        <w:br/>
        <w:t>i Gospodarki (Dz.U. z 2025 r. poz. 997) – jest obecnie Minister Finansów i Gospodarki, zwany dalej „Ministrem”. Natomiast zgodnie z § 1 ust. 4 pkt 1 lit. a i b ww. rozporządzenia Prezesa Rady Ministrów z dnia 25 lipca 2025 r. obsługę Ministra Finansów i Gospodarki zapewnia Ministerstwo Rozwoju i Technologii w zakresie działów administracji rządowej: budownictwo, planowanie i zagospodarowanie przestrzenne oraz mieszkalnictwo; gospodarka.</w:t>
      </w:r>
    </w:p>
    <w:p w14:paraId="5646AD73" w14:textId="77777777" w:rsidR="0009014A" w:rsidRPr="0009014A" w:rsidRDefault="0009014A" w:rsidP="0009014A">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09014A">
        <w:rPr>
          <w:rFonts w:ascii="Lato" w:eastAsia="Calibri" w:hAnsi="Lato"/>
          <w:bCs/>
          <w:spacing w:val="4"/>
          <w:sz w:val="22"/>
          <w:szCs w:val="22"/>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Pr="0009014A">
        <w:rPr>
          <w:rFonts w:ascii="Lato" w:eastAsia="Calibri" w:hAnsi="Lato"/>
          <w:bCs/>
          <w:spacing w:val="4"/>
          <w:sz w:val="22"/>
          <w:szCs w:val="22"/>
        </w:rPr>
        <w:b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Pr="0009014A">
        <w:rPr>
          <w:rFonts w:ascii="Lato" w:eastAsia="Calibri" w:hAnsi="Lato"/>
          <w:bCs/>
          <w:spacing w:val="4"/>
          <w:sz w:val="22"/>
          <w:szCs w:val="22"/>
        </w:rPr>
        <w:br/>
        <w:t xml:space="preserve">dla podjęcia rozstrzygnięcia powinny zostać w miarę możliwości bezsprzecznie ustalone. Obowiązek ten wynika z art. 7 i art. 77 kpa. Dlatego też trafność rozstrzygnięcia </w:t>
      </w:r>
      <w:r w:rsidRPr="0009014A">
        <w:rPr>
          <w:rFonts w:ascii="Lato" w:eastAsia="Calibri" w:hAnsi="Lato"/>
          <w:bCs/>
          <w:spacing w:val="4"/>
          <w:sz w:val="22"/>
          <w:szCs w:val="22"/>
        </w:rPr>
        <w:b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działań niezbędnych do dokładnego wyjaśnienia stanu faktycznego.</w:t>
      </w:r>
    </w:p>
    <w:p w14:paraId="707900F9" w14:textId="4221E8B0" w:rsidR="0009014A" w:rsidRPr="0009014A" w:rsidRDefault="0009014A" w:rsidP="0009014A">
      <w:pPr>
        <w:tabs>
          <w:tab w:val="left" w:pos="-1843"/>
          <w:tab w:val="left" w:pos="-993"/>
          <w:tab w:val="left" w:pos="4678"/>
          <w:tab w:val="left" w:pos="5387"/>
          <w:tab w:val="right" w:pos="5812"/>
        </w:tabs>
        <w:spacing w:after="240" w:line="240" w:lineRule="exact"/>
        <w:jc w:val="both"/>
        <w:outlineLvl w:val="0"/>
        <w:rPr>
          <w:rFonts w:ascii="Lato" w:hAnsi="Lato"/>
          <w:spacing w:val="4"/>
          <w:sz w:val="22"/>
          <w:szCs w:val="22"/>
        </w:rPr>
      </w:pPr>
      <w:r w:rsidRPr="0009014A">
        <w:rPr>
          <w:rFonts w:ascii="Lato" w:eastAsia="Calibri" w:hAnsi="Lato"/>
          <w:bCs/>
          <w:spacing w:val="4"/>
          <w:sz w:val="22"/>
          <w:szCs w:val="22"/>
        </w:rPr>
        <w:t xml:space="preserve">Mając na uwadze powyższe, w trakcie przeprowadzonego postępowania odwoławczego Minister rozpatrzył ponownie wniosek inwestora o wydanie przedmiotowej decyzji </w:t>
      </w:r>
      <w:r w:rsidRPr="0009014A">
        <w:rPr>
          <w:rFonts w:ascii="Lato" w:eastAsia="Calibri" w:hAnsi="Lato"/>
          <w:bCs/>
          <w:spacing w:val="4"/>
          <w:sz w:val="22"/>
          <w:szCs w:val="22"/>
        </w:rPr>
        <w:br/>
        <w:t>o ustaleniu lokalizacji inwestycji w zakresie Centralnego Portu Komunikacyjnego (zwanego dalej również jako „CPK”)</w:t>
      </w:r>
      <w:r w:rsidRPr="0009014A">
        <w:rPr>
          <w:rFonts w:ascii="Lato" w:eastAsia="Calibri" w:hAnsi="Lato" w:cs="Arial"/>
          <w:spacing w:val="4"/>
          <w:sz w:val="22"/>
          <w:szCs w:val="22"/>
        </w:rPr>
        <w:t>,</w:t>
      </w:r>
      <w:r w:rsidRPr="0009014A">
        <w:rPr>
          <w:rFonts w:ascii="Lato" w:eastAsia="Calibri" w:hAnsi="Lato"/>
          <w:bCs/>
          <w:spacing w:val="4"/>
          <w:sz w:val="22"/>
          <w:szCs w:val="22"/>
        </w:rPr>
        <w:t xml:space="preserve"> przeanalizował materiał dowodowy zgromadzony przez Wojewodę Mazowieckiego, w tym zbadał poprawność postępowania organu </w:t>
      </w:r>
      <w:r w:rsidRPr="0009014A">
        <w:rPr>
          <w:rFonts w:ascii="Lato" w:eastAsia="Calibri" w:hAnsi="Lato"/>
          <w:bCs/>
          <w:spacing w:val="4"/>
          <w:sz w:val="22"/>
          <w:szCs w:val="22"/>
        </w:rPr>
        <w:br/>
        <w:t xml:space="preserve">I instancji oraz poprawność kończącej to postępowanie decyzji Wojewody Mazowieckiego, jak również rozpatrzył zarzuty podniesione przez skarżących. Zgodnie </w:t>
      </w:r>
      <w:r w:rsidRPr="0009014A">
        <w:rPr>
          <w:rFonts w:ascii="Lato" w:eastAsia="Calibri" w:hAnsi="Lato"/>
          <w:bCs/>
          <w:spacing w:val="4"/>
          <w:sz w:val="22"/>
          <w:szCs w:val="22"/>
        </w:rPr>
        <w:br/>
        <w:t xml:space="preserve">z art. 38 ust. 1 i 2 ustawy CPK, lokalizacja Inwestycji (w rozumieniu art. 2 pkt 3 ustawy </w:t>
      </w:r>
      <w:r w:rsidRPr="0009014A">
        <w:rPr>
          <w:rFonts w:ascii="Lato" w:eastAsia="Calibri" w:hAnsi="Lato"/>
          <w:bCs/>
          <w:spacing w:val="4"/>
          <w:sz w:val="22"/>
          <w:szCs w:val="22"/>
        </w:rPr>
        <w:lastRenderedPageBreak/>
        <w:t>CPK) następuje w decyzji o ustaleniu lokalizacji inwestycji w zakresie CPK.</w:t>
      </w:r>
      <w:r w:rsidRPr="0009014A">
        <w:rPr>
          <w:rFonts w:ascii="Lato" w:hAnsi="Lato"/>
          <w:spacing w:val="4"/>
          <w:sz w:val="22"/>
          <w:szCs w:val="22"/>
        </w:rPr>
        <w:t xml:space="preserve"> </w:t>
      </w:r>
      <w:r w:rsidRPr="0009014A">
        <w:rPr>
          <w:rFonts w:ascii="Lato" w:eastAsia="Calibri" w:hAnsi="Lato"/>
          <w:bCs/>
          <w:spacing w:val="4"/>
          <w:sz w:val="22"/>
          <w:szCs w:val="22"/>
        </w:rPr>
        <w:t>Dopuszcza się wydanie odrębnej decyzji o ustaleniu lokalizacji inwestycji w zakresie CPK dla całości lub części Inwestycji. W myśl art. 40 ust. 1 ustawy CPK, decyzję o ustaleniu lokalizacji inwestycji w zakresie CPK wydaje wojewoda.</w:t>
      </w:r>
      <w:r w:rsidRPr="0009014A">
        <w:rPr>
          <w:rFonts w:ascii="Lato" w:hAnsi="Lato"/>
          <w:spacing w:val="4"/>
          <w:sz w:val="22"/>
          <w:szCs w:val="22"/>
        </w:rPr>
        <w:t xml:space="preserve"> Organem wyższego stopnia jest minister właściwy do spraw budownictwa, planowania i zagospodarowania przestrzennego oraz mieszkalnictwa. </w:t>
      </w:r>
      <w:r w:rsidRPr="0009014A">
        <w:rPr>
          <w:rFonts w:ascii="Lato" w:eastAsia="Calibri" w:hAnsi="Lato"/>
          <w:bCs/>
          <w:spacing w:val="4"/>
          <w:sz w:val="22"/>
          <w:szCs w:val="22"/>
        </w:rPr>
        <w:t xml:space="preserve">Z wnioskiem o wydanie decyzji o ustaleniu lokalizacji inwestycji </w:t>
      </w:r>
      <w:r w:rsidRPr="0009014A">
        <w:rPr>
          <w:rFonts w:ascii="Lato" w:eastAsia="Calibri" w:hAnsi="Lato"/>
          <w:bCs/>
          <w:spacing w:val="4"/>
          <w:sz w:val="22"/>
          <w:szCs w:val="22"/>
        </w:rPr>
        <w:br/>
        <w:t>w zakresie CPK wystąpił uprawniony do tego podmiot, tj. Centralny Port Komunikacyjny Sp. z o.o. z siedzibą w Warszawie, będąca Spółką Celową, o której mowa w art. 2 pkt 10 ustawy CPK, powołaną z dniem 12</w:t>
      </w:r>
      <w:r w:rsidR="00184706">
        <w:rPr>
          <w:rFonts w:ascii="Lato" w:eastAsia="Calibri" w:hAnsi="Lato"/>
          <w:bCs/>
          <w:spacing w:val="4"/>
          <w:sz w:val="22"/>
          <w:szCs w:val="22"/>
        </w:rPr>
        <w:t xml:space="preserve"> października </w:t>
      </w:r>
      <w:r w:rsidRPr="0009014A">
        <w:rPr>
          <w:rFonts w:ascii="Lato" w:eastAsia="Calibri" w:hAnsi="Lato"/>
          <w:bCs/>
          <w:spacing w:val="4"/>
          <w:sz w:val="22"/>
          <w:szCs w:val="22"/>
        </w:rPr>
        <w:t xml:space="preserve">2018 r. na mocy art. 11 ustawy CPK. </w:t>
      </w:r>
      <w:r w:rsidRPr="0009014A">
        <w:rPr>
          <w:rFonts w:ascii="Lato" w:eastAsia="Calibri" w:hAnsi="Lato"/>
          <w:bCs/>
          <w:iCs/>
          <w:spacing w:val="4"/>
          <w:sz w:val="22"/>
          <w:szCs w:val="22"/>
        </w:rPr>
        <w:t>Projektowana inwestycja stanowi</w:t>
      </w:r>
      <w:r w:rsidRPr="0009014A">
        <w:t xml:space="preserve"> </w:t>
      </w:r>
      <w:r w:rsidRPr="0009014A">
        <w:rPr>
          <w:rFonts w:ascii="Lato" w:eastAsia="Calibri" w:hAnsi="Lato"/>
          <w:bCs/>
          <w:iCs/>
          <w:spacing w:val="4"/>
          <w:sz w:val="22"/>
          <w:szCs w:val="22"/>
        </w:rPr>
        <w:t>Inwestycję</w:t>
      </w:r>
      <w:r w:rsidRPr="0009014A">
        <w:rPr>
          <w:rFonts w:ascii="Lato" w:eastAsia="Calibri" w:hAnsi="Lato"/>
          <w:bCs/>
          <w:spacing w:val="4"/>
          <w:sz w:val="22"/>
          <w:szCs w:val="22"/>
        </w:rPr>
        <w:t xml:space="preserve"> </w:t>
      </w:r>
      <w:r w:rsidRPr="0009014A">
        <w:rPr>
          <w:rFonts w:ascii="Lato" w:eastAsia="Calibri" w:hAnsi="Lato"/>
          <w:bCs/>
          <w:iCs/>
          <w:spacing w:val="4"/>
          <w:sz w:val="22"/>
          <w:szCs w:val="22"/>
        </w:rPr>
        <w:t xml:space="preserve">w zakresie Centralnego Portu Komunikacyjnego, w rozumieniu art. 2 pkt 3 ustawy CPK. O kwestii tej będzie mowa szerzej przy rozpatrywaniu zarzutów poszczególnych odwołań. Inwestycja składa się </w:t>
      </w:r>
      <w:r w:rsidRPr="0009014A">
        <w:rPr>
          <w:rFonts w:ascii="Lato" w:eastAsia="Calibri" w:hAnsi="Lato"/>
          <w:bCs/>
          <w:iCs/>
          <w:spacing w:val="4"/>
          <w:sz w:val="22"/>
          <w:szCs w:val="22"/>
        </w:rPr>
        <w:br/>
        <w:t xml:space="preserve">z trzech głównych komponentów, tj. lotniskowego, kolejowego i drogowego, które wspólnie tworzą Centralny Port Komunikacyjny. Ponadto występują komponenty podrzędne związane głównie z koniecznością usunięcia kolizji z planowaną Inwestycją. </w:t>
      </w:r>
      <w:r w:rsidRPr="0009014A">
        <w:rPr>
          <w:rFonts w:ascii="Lato" w:eastAsia="Calibri" w:hAnsi="Lato"/>
          <w:bCs/>
          <w:spacing w:val="4"/>
          <w:sz w:val="22"/>
          <w:szCs w:val="22"/>
        </w:rPr>
        <w:t xml:space="preserve">Analizując złożony przez inwestora wniosek, Minister stwierdził, że jest on kompletny </w:t>
      </w:r>
      <w:r w:rsidRPr="0009014A">
        <w:rPr>
          <w:rFonts w:ascii="Lato" w:eastAsia="Calibri" w:hAnsi="Lato"/>
          <w:bCs/>
          <w:spacing w:val="4"/>
          <w:sz w:val="22"/>
          <w:szCs w:val="22"/>
        </w:rPr>
        <w:br/>
        <w:t xml:space="preserve">i zawiera elementy wskazane w art. 41 i art. 43 ustawy CPK, wymagane </w:t>
      </w:r>
      <w:r w:rsidR="00184706">
        <w:rPr>
          <w:rFonts w:ascii="Lato" w:eastAsia="Calibri" w:hAnsi="Lato"/>
          <w:bCs/>
          <w:spacing w:val="4"/>
          <w:sz w:val="22"/>
          <w:szCs w:val="22"/>
        </w:rPr>
        <w:br/>
      </w:r>
      <w:r w:rsidRPr="0009014A">
        <w:rPr>
          <w:rFonts w:ascii="Lato" w:eastAsia="Calibri" w:hAnsi="Lato"/>
          <w:bCs/>
          <w:spacing w:val="4"/>
          <w:sz w:val="22"/>
          <w:szCs w:val="22"/>
        </w:rPr>
        <w:t>w okolicznościach niniejszej sprawy.</w:t>
      </w:r>
    </w:p>
    <w:p w14:paraId="6D273562" w14:textId="77777777" w:rsidR="0009014A" w:rsidRPr="0009014A" w:rsidRDefault="0009014A" w:rsidP="0009014A">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rPr>
      </w:pPr>
      <w:r w:rsidRPr="0009014A">
        <w:rPr>
          <w:rFonts w:ascii="Lato" w:eastAsia="Calibri" w:hAnsi="Lato"/>
          <w:bCs/>
          <w:spacing w:val="4"/>
          <w:sz w:val="22"/>
          <w:szCs w:val="22"/>
        </w:rPr>
        <w:t xml:space="preserve">Następnie organ odwoławczy poddał kontroli przeprowadzone przez Wojewodę Mazowieckiego postępowanie o wydanie </w:t>
      </w:r>
      <w:bookmarkStart w:id="4" w:name="_Hlk122521283"/>
      <w:r w:rsidRPr="0009014A">
        <w:rPr>
          <w:rFonts w:ascii="Lato" w:eastAsia="Calibri" w:hAnsi="Lato"/>
          <w:bCs/>
          <w:spacing w:val="4"/>
          <w:sz w:val="22"/>
          <w:szCs w:val="22"/>
        </w:rPr>
        <w:t xml:space="preserve">decyzji o ustaleniu lokalizacji inwestycji </w:t>
      </w:r>
      <w:r w:rsidRPr="0009014A">
        <w:rPr>
          <w:rFonts w:ascii="Lato" w:eastAsia="Calibri" w:hAnsi="Lato"/>
          <w:bCs/>
          <w:spacing w:val="4"/>
          <w:sz w:val="22"/>
          <w:szCs w:val="22"/>
        </w:rPr>
        <w:br/>
        <w:t xml:space="preserve">w zakresie CPK </w:t>
      </w:r>
      <w:bookmarkEnd w:id="4"/>
      <w:r w:rsidRPr="0009014A">
        <w:rPr>
          <w:rFonts w:ascii="Lato" w:eastAsia="Calibri" w:hAnsi="Lato"/>
          <w:bCs/>
          <w:spacing w:val="4"/>
          <w:sz w:val="22"/>
          <w:szCs w:val="22"/>
        </w:rPr>
        <w:t xml:space="preserve">i stwierdził, co następuje. W ocenie organu II instancji, Wojewoda Mazowiecki poinformował strony o wszczętym postępowaniu zgodnie z procedurą wynikającą z art. 88 w zw. z art. 90 ustawy CPK. Wojewoda Mazowiecki pismem z dnia 3 czerwca 2024 r., znak: WIR-I.746.1.44.2023.DM/AC, WIR-I.747.6.28.2023.DM/AC, zawiadomił wnioskodawcę, właścicieli oraz użytkowników wieczystych nieruchomości objętych wnioskiem o wszczęciu postępowania w sprawie wydania decyzji o ustaleniu lokalizacji przedmiotowej inwestycji w zakresie CPK. Pozostałe strony postępowania zostały poinformowane o powyższym w drodze obwieszczenia. W zawiadomieniu </w:t>
      </w:r>
      <w:r w:rsidRPr="0009014A">
        <w:rPr>
          <w:rFonts w:ascii="Lato" w:eastAsia="Calibri" w:hAnsi="Lato"/>
          <w:bCs/>
          <w:spacing w:val="4"/>
          <w:sz w:val="22"/>
          <w:szCs w:val="22"/>
        </w:rPr>
        <w:br/>
        <w:t>i obwieszczeniu oznaczono teren Inwestycji objęty wnioskiem o wydanie decyzji, według katastru nieruchomości oraz zamieszczono informację o sposobie, w jaki strony postępowania mogą zapoznać się z aktami sprawy.</w:t>
      </w:r>
      <w:r w:rsidRPr="0009014A">
        <w:rPr>
          <w:rFonts w:ascii="Lato" w:eastAsiaTheme="minorHAnsi" w:hAnsi="Lato" w:cs="Arial"/>
          <w:spacing w:val="4"/>
          <w:sz w:val="22"/>
          <w:szCs w:val="22"/>
          <w:lang w:eastAsia="en-US"/>
        </w:rPr>
        <w:t xml:space="preserve"> </w:t>
      </w:r>
      <w:r w:rsidRPr="0009014A">
        <w:rPr>
          <w:rFonts w:ascii="Lato" w:eastAsia="Calibri" w:hAnsi="Lato"/>
          <w:bCs/>
          <w:spacing w:val="4"/>
          <w:sz w:val="22"/>
          <w:szCs w:val="22"/>
        </w:rPr>
        <w:t>W toku postępowania przed Wojewodą Mazowieckim wniesiono uwagi i zastrzeżenia dotyczące przedmiotowej Inwestycji, które organ I instancji przesłał inwestorowi w celu zajęcia stanowiska, a ten ustosunkował się do zagadnień poruszonych przez strony postępowania.</w:t>
      </w:r>
    </w:p>
    <w:p w14:paraId="1437E438" w14:textId="77777777" w:rsidR="0009014A" w:rsidRPr="0009014A" w:rsidRDefault="0009014A" w:rsidP="0009014A">
      <w:pPr>
        <w:spacing w:after="240" w:line="240" w:lineRule="exact"/>
        <w:jc w:val="both"/>
        <w:outlineLvl w:val="0"/>
        <w:rPr>
          <w:rFonts w:ascii="Lato" w:eastAsia="Calibri" w:hAnsi="Lato"/>
          <w:bCs/>
          <w:spacing w:val="4"/>
          <w:sz w:val="22"/>
          <w:szCs w:val="22"/>
          <w:lang w:bidi="pl-PL"/>
        </w:rPr>
      </w:pPr>
      <w:r w:rsidRPr="0009014A">
        <w:rPr>
          <w:rFonts w:ascii="Lato" w:eastAsia="Calibri" w:hAnsi="Lato"/>
          <w:bCs/>
          <w:spacing w:val="4"/>
          <w:sz w:val="22"/>
          <w:szCs w:val="22"/>
        </w:rPr>
        <w:t xml:space="preserve">Uznając, że zebrany w sprawie materiał dowodowy pozwala na wydanie rozstrzygnięcia, Wojewoda Mazowiecki wydał w dniu 8 stycznia 2025 r. decyzję Nr 5/SPEC/2025 </w:t>
      </w:r>
      <w:r w:rsidRPr="0009014A">
        <w:rPr>
          <w:rFonts w:ascii="Lato" w:eastAsia="Calibri" w:hAnsi="Lato"/>
          <w:bCs/>
          <w:spacing w:val="4"/>
          <w:sz w:val="22"/>
          <w:szCs w:val="22"/>
          <w:lang w:bidi="pl-PL"/>
        </w:rPr>
        <w:br/>
        <w:t xml:space="preserve">o ustaleniu lokalizacji inwestycji w zakresie Centralnego Portu Komunikacyjnego obejmującej „Budowę Lotniska (port Solidarność) Centralnego Portu Komunikacyjnego wraz z układem komunikacyjnym po jego zachodniej stronie”. W uzasadnieniu kontrolowanej decyzji organ I instancji, mając na uwadze stanowisko przedstawione przez inwestora, odniósł się do uwag wniesionych w toku postępowania. Kontrolowana </w:t>
      </w:r>
      <w:r w:rsidRPr="0009014A">
        <w:rPr>
          <w:rFonts w:ascii="Lato" w:eastAsia="Calibri" w:hAnsi="Lato"/>
          <w:bCs/>
          <w:iCs/>
          <w:spacing w:val="4"/>
          <w:sz w:val="22"/>
          <w:szCs w:val="22"/>
          <w:lang w:bidi="pl-PL"/>
        </w:rPr>
        <w:t xml:space="preserve">decyzja Wojewody Mazowieckiego (z zastrzeżeniem uchybień, o których będzie mowa w dalszej części niniejszej decyzji) </w:t>
      </w:r>
      <w:r w:rsidRPr="0009014A">
        <w:rPr>
          <w:rFonts w:ascii="Lato" w:eastAsia="Calibri" w:hAnsi="Lato"/>
          <w:bCs/>
          <w:spacing w:val="4"/>
          <w:sz w:val="22"/>
          <w:szCs w:val="22"/>
          <w:lang w:bidi="pl-PL"/>
        </w:rPr>
        <w:t xml:space="preserve">czyni zadość wymogom przedstawionym w art. 40 ust. 2 ustawy CPK. </w:t>
      </w:r>
    </w:p>
    <w:p w14:paraId="3F3AF64F" w14:textId="754472BC" w:rsidR="0009014A" w:rsidRPr="0009014A" w:rsidRDefault="0009014A" w:rsidP="0009014A">
      <w:pPr>
        <w:spacing w:after="240" w:line="240" w:lineRule="exact"/>
        <w:jc w:val="both"/>
        <w:outlineLvl w:val="0"/>
        <w:rPr>
          <w:rFonts w:ascii="Lato" w:eastAsia="Calibri" w:hAnsi="Lato"/>
          <w:bCs/>
          <w:spacing w:val="4"/>
          <w:sz w:val="22"/>
          <w:szCs w:val="22"/>
        </w:rPr>
      </w:pPr>
      <w:r w:rsidRPr="0009014A">
        <w:rPr>
          <w:rFonts w:ascii="Lato" w:eastAsia="Calibri" w:hAnsi="Lato"/>
          <w:bCs/>
          <w:spacing w:val="4"/>
          <w:sz w:val="22"/>
          <w:szCs w:val="22"/>
        </w:rPr>
        <w:t xml:space="preserve">W myśl art. 89 w zw. z art. 90 ustawy CPK, Wojewoda Mazowiecki doręczył ww. decyzję wnioskodawcy, natomiast do właścicieli oraz użytkowników wieczystych nieruchomości objętych decyzją zostało wysłane zawiadomienie z dnia 14 stycznia 2025 r., znak: WIR-I.746.1.44.2023, WIR-I.747.6.28.2023, informujące o wydaniu decyzji Wojewody Mazowieckiego. Pozostałe strony o wydaniu decyzji Wojewody Mazowieckiego zostały poinformowane w drodze obwieszczenia. W zawiadomieniu i obwieszczeniu zamieszczono oznaczenie terenu </w:t>
      </w:r>
      <w:r w:rsidR="00184706">
        <w:rPr>
          <w:rFonts w:ascii="Lato" w:eastAsia="Calibri" w:hAnsi="Lato"/>
          <w:bCs/>
          <w:spacing w:val="4"/>
          <w:sz w:val="22"/>
          <w:szCs w:val="22"/>
        </w:rPr>
        <w:t>i</w:t>
      </w:r>
      <w:r w:rsidRPr="0009014A">
        <w:rPr>
          <w:rFonts w:ascii="Lato" w:eastAsia="Calibri" w:hAnsi="Lato"/>
          <w:bCs/>
          <w:spacing w:val="4"/>
          <w:sz w:val="22"/>
          <w:szCs w:val="22"/>
        </w:rPr>
        <w:t xml:space="preserve">nwestycji objętego rozstrzygnięciem, według katastru </w:t>
      </w:r>
      <w:r w:rsidRPr="0009014A">
        <w:rPr>
          <w:rFonts w:ascii="Lato" w:eastAsia="Calibri" w:hAnsi="Lato"/>
          <w:bCs/>
          <w:spacing w:val="4"/>
          <w:sz w:val="22"/>
          <w:szCs w:val="22"/>
        </w:rPr>
        <w:lastRenderedPageBreak/>
        <w:t xml:space="preserve">nieruchomości oraz informację o sposobie, w jaki strony postępowania mogą zapoznać się z treścią decyzji. </w:t>
      </w:r>
    </w:p>
    <w:p w14:paraId="540816DB" w14:textId="77777777" w:rsidR="0009014A" w:rsidRPr="0009014A" w:rsidRDefault="0009014A" w:rsidP="0009014A">
      <w:pPr>
        <w:spacing w:after="240" w:line="240" w:lineRule="exact"/>
        <w:jc w:val="both"/>
        <w:outlineLvl w:val="0"/>
        <w:rPr>
          <w:rFonts w:ascii="Lato" w:eastAsiaTheme="minorHAnsi" w:hAnsi="Lato" w:cs="Lao UI"/>
          <w:bCs/>
          <w:iCs/>
          <w:spacing w:val="4"/>
          <w:sz w:val="22"/>
          <w:szCs w:val="22"/>
          <w:lang w:eastAsia="en-US" w:bidi="pl-PL"/>
        </w:rPr>
      </w:pPr>
      <w:r w:rsidRPr="0009014A">
        <w:rPr>
          <w:rFonts w:ascii="Lato" w:eastAsiaTheme="minorHAnsi" w:hAnsi="Lato" w:cs="Arial"/>
          <w:spacing w:val="4"/>
          <w:sz w:val="22"/>
          <w:szCs w:val="22"/>
          <w:lang w:eastAsia="en-US"/>
        </w:rPr>
        <w:t xml:space="preserve">Po zapoznaniu się ze zgromadzonym materiałem dowodowym organ II instancji stwierdził, iż wydana w I instancji decyzja wymaga dokonania korekty merytoryczno-reformacyjnej. Należy zauważyć, iż przepis art. 138 § 1 pkt 2 </w:t>
      </w:r>
      <w:r w:rsidRPr="0009014A">
        <w:rPr>
          <w:rFonts w:ascii="Lato" w:eastAsiaTheme="minorHAnsi" w:hAnsi="Lato" w:cs="Arial"/>
          <w:iCs/>
          <w:spacing w:val="4"/>
          <w:sz w:val="22"/>
          <w:szCs w:val="22"/>
          <w:lang w:eastAsia="en-US"/>
        </w:rPr>
        <w:t>kpa</w:t>
      </w:r>
      <w:r w:rsidRPr="0009014A">
        <w:rPr>
          <w:rFonts w:ascii="Lato" w:eastAsiaTheme="minorHAnsi" w:hAnsi="Lato" w:cs="Arial"/>
          <w:spacing w:val="4"/>
          <w:sz w:val="22"/>
          <w:szCs w:val="22"/>
          <w:lang w:eastAsia="en-US"/>
        </w:rPr>
        <w:t xml:space="preserve"> umożliwia organowi odwoławczemu korektę zaskarżonej decyzji przez jej uchylenie w części i orzeczenie </w:t>
      </w:r>
      <w:r w:rsidRPr="0009014A">
        <w:rPr>
          <w:rFonts w:ascii="Lato" w:eastAsiaTheme="minorHAnsi" w:hAnsi="Lato" w:cs="Arial"/>
          <w:spacing w:val="4"/>
          <w:sz w:val="22"/>
          <w:szCs w:val="22"/>
          <w:lang w:eastAsia="en-US"/>
        </w:rPr>
        <w:br/>
        <w:t>w tym zakresie co do istoty sprawy.</w:t>
      </w:r>
      <w:r w:rsidRPr="0009014A">
        <w:rPr>
          <w:rFonts w:ascii="Lato" w:eastAsiaTheme="minorHAnsi" w:hAnsi="Lato" w:cs="Lao UI"/>
          <w:bCs/>
          <w:iCs/>
          <w:spacing w:val="4"/>
          <w:sz w:val="22"/>
          <w:szCs w:val="22"/>
          <w:lang w:eastAsia="en-US" w:bidi="pl-PL"/>
        </w:rPr>
        <w:t xml:space="preserve"> </w:t>
      </w:r>
    </w:p>
    <w:p w14:paraId="5561A773" w14:textId="77777777" w:rsidR="0009014A" w:rsidRPr="0009014A" w:rsidRDefault="0009014A" w:rsidP="0009014A">
      <w:pPr>
        <w:spacing w:after="240" w:line="240" w:lineRule="exact"/>
        <w:jc w:val="both"/>
        <w:outlineLvl w:val="0"/>
        <w:rPr>
          <w:rFonts w:ascii="Lato" w:hAnsi="Lato" w:cs="Arial"/>
          <w:color w:val="000000"/>
          <w:spacing w:val="4"/>
          <w:sz w:val="22"/>
          <w:szCs w:val="22"/>
        </w:rPr>
      </w:pPr>
      <w:r w:rsidRPr="0009014A">
        <w:rPr>
          <w:rFonts w:ascii="Lato" w:eastAsiaTheme="minorHAnsi" w:hAnsi="Lato" w:cs="Arial"/>
          <w:bCs/>
          <w:spacing w:val="4"/>
          <w:sz w:val="22"/>
          <w:szCs w:val="22"/>
          <w:lang w:eastAsia="en-US"/>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09014A">
        <w:rPr>
          <w:rFonts w:ascii="Lato" w:eastAsiaTheme="minorHAnsi" w:hAnsi="Lato" w:cs="Arial"/>
          <w:bCs/>
          <w:spacing w:val="4"/>
          <w:sz w:val="22"/>
          <w:szCs w:val="22"/>
          <w:lang w:eastAsia="en-US"/>
        </w:rPr>
        <w:br/>
        <w:t>w postępowaniu odwoławczym</w:t>
      </w:r>
      <w:r w:rsidRPr="0009014A">
        <w:rPr>
          <w:rFonts w:ascii="Lato" w:hAnsi="Lato" w:cs="Arial"/>
          <w:bCs/>
          <w:color w:val="000000"/>
          <w:spacing w:val="4"/>
          <w:sz w:val="22"/>
          <w:szCs w:val="22"/>
        </w:rPr>
        <w:t>.</w:t>
      </w:r>
      <w:r w:rsidRPr="0009014A">
        <w:rPr>
          <w:rFonts w:ascii="Lato" w:hAnsi="Lato" w:cs="Arial"/>
          <w:color w:val="000000"/>
          <w:spacing w:val="4"/>
          <w:sz w:val="22"/>
          <w:szCs w:val="22"/>
        </w:rPr>
        <w:t xml:space="preserve"> W toku postępowania odwoławczego możliwa jest więc m.in. zmiana wniosku lokalizacyjnego przez </w:t>
      </w:r>
      <w:r w:rsidRPr="0009014A">
        <w:rPr>
          <w:rFonts w:ascii="Lato" w:hAnsi="Lato" w:cs="Arial"/>
          <w:iCs/>
          <w:color w:val="000000"/>
          <w:spacing w:val="4"/>
          <w:sz w:val="22"/>
          <w:szCs w:val="22"/>
        </w:rPr>
        <w:t>inwestora.</w:t>
      </w:r>
    </w:p>
    <w:p w14:paraId="1E61C317" w14:textId="13036840" w:rsidR="0009014A" w:rsidRPr="0009014A" w:rsidRDefault="0009014A" w:rsidP="0009014A">
      <w:pPr>
        <w:spacing w:after="240" w:line="240" w:lineRule="exact"/>
        <w:jc w:val="both"/>
        <w:outlineLvl w:val="0"/>
        <w:rPr>
          <w:rFonts w:ascii="Lato" w:hAnsi="Lato" w:cs="Arial"/>
          <w:color w:val="000000"/>
          <w:spacing w:val="4"/>
          <w:sz w:val="22"/>
          <w:szCs w:val="22"/>
        </w:rPr>
      </w:pPr>
      <w:r w:rsidRPr="0009014A">
        <w:rPr>
          <w:rFonts w:ascii="Lato" w:hAnsi="Lato" w:cs="Arial"/>
          <w:color w:val="000000"/>
          <w:spacing w:val="4"/>
          <w:sz w:val="22"/>
          <w:szCs w:val="22"/>
        </w:rPr>
        <w:t xml:space="preserve">Przenosząc powyższe na grunt niniejszej sprawy, zauważyć należy, że </w:t>
      </w:r>
      <w:r w:rsidRPr="0009014A">
        <w:rPr>
          <w:rFonts w:ascii="Lato" w:eastAsiaTheme="minorHAnsi" w:hAnsi="Lato" w:cs="Lao UI"/>
          <w:bCs/>
          <w:iCs/>
          <w:spacing w:val="4"/>
          <w:sz w:val="22"/>
          <w:szCs w:val="22"/>
          <w:lang w:eastAsia="en-US" w:bidi="pl-PL"/>
        </w:rPr>
        <w:t>w toku prowadzonego postępowania odwoławczego inwestor informował organ odwoławczy, iż po wydaniu decyzji Wojewody Mazowieckiego w ramach prowadzonego tzw. Programu Dobrowolnych</w:t>
      </w:r>
      <w:r w:rsidR="00184706">
        <w:rPr>
          <w:rFonts w:ascii="Lato" w:eastAsiaTheme="minorHAnsi" w:hAnsi="Lato" w:cs="Lao UI"/>
          <w:bCs/>
          <w:iCs/>
          <w:spacing w:val="4"/>
          <w:sz w:val="22"/>
          <w:szCs w:val="22"/>
          <w:lang w:eastAsia="en-US" w:bidi="pl-PL"/>
        </w:rPr>
        <w:t xml:space="preserve"> </w:t>
      </w:r>
      <w:r w:rsidRPr="0009014A">
        <w:rPr>
          <w:rFonts w:ascii="Lato" w:eastAsiaTheme="minorHAnsi" w:hAnsi="Lato" w:cs="Lao UI"/>
          <w:bCs/>
          <w:iCs/>
          <w:spacing w:val="4"/>
          <w:sz w:val="22"/>
          <w:szCs w:val="22"/>
          <w:lang w:eastAsia="en-US" w:bidi="pl-PL"/>
        </w:rPr>
        <w:t xml:space="preserve">Nabyć stał się właścicielem nieruchomości zlokalizowanych </w:t>
      </w:r>
      <w:r w:rsidRPr="0009014A">
        <w:rPr>
          <w:rFonts w:ascii="Lato" w:eastAsiaTheme="minorHAnsi" w:hAnsi="Lato" w:cs="Lao UI"/>
          <w:bCs/>
          <w:iCs/>
          <w:spacing w:val="4"/>
          <w:sz w:val="22"/>
          <w:szCs w:val="22"/>
          <w:lang w:eastAsia="en-US" w:bidi="pl-PL"/>
        </w:rPr>
        <w:br/>
        <w:t xml:space="preserve">w obszarze objętym decyzją Wojewody Mazowieckiego, które w dacie wydania tej decyzji nie były jego własnością. Z tego powodu, inwestor wystąpił do organu odwoławczego o dokonanie niezbędnych korekt w poszczególnych tabelach znajdujących się w zaskarżonej decyzji. Zgodnie bowiem z art. 48 ust. 2 ustawy CPK, nieruchomość stanowiąca własność Skarbu Państwa albo Spółki Celowej (CPK Sp. z o.o.) nie może być wywłaszczona. Mając na uwadze oznaczanie graficzne zawarte na poszczególnych arkuszach mapy przedstawiającej projektowany obszar </w:t>
      </w:r>
      <w:r w:rsidR="00184706">
        <w:rPr>
          <w:rFonts w:ascii="Lato" w:eastAsiaTheme="minorHAnsi" w:hAnsi="Lato" w:cs="Lao UI"/>
          <w:bCs/>
          <w:iCs/>
          <w:spacing w:val="4"/>
          <w:sz w:val="22"/>
          <w:szCs w:val="22"/>
          <w:lang w:eastAsia="en-US" w:bidi="pl-PL"/>
        </w:rPr>
        <w:t>I</w:t>
      </w:r>
      <w:r w:rsidRPr="0009014A">
        <w:rPr>
          <w:rFonts w:ascii="Lato" w:eastAsiaTheme="minorHAnsi" w:hAnsi="Lato" w:cs="Lao UI"/>
          <w:bCs/>
          <w:iCs/>
          <w:spacing w:val="4"/>
          <w:sz w:val="22"/>
          <w:szCs w:val="22"/>
          <w:lang w:eastAsia="en-US" w:bidi="pl-PL"/>
        </w:rPr>
        <w:t xml:space="preserve">nwestycji, okoliczność nabycia przez inwestora poszczególnych nieruchomości zlokalizowanych </w:t>
      </w:r>
      <w:r w:rsidRPr="0009014A">
        <w:rPr>
          <w:rFonts w:ascii="Lato" w:eastAsiaTheme="minorHAnsi" w:hAnsi="Lato" w:cs="Lao UI"/>
          <w:bCs/>
          <w:iCs/>
          <w:spacing w:val="4"/>
          <w:sz w:val="22"/>
          <w:szCs w:val="22"/>
          <w:lang w:eastAsia="en-US" w:bidi="pl-PL"/>
        </w:rPr>
        <w:br/>
        <w:t xml:space="preserve">w obszarze objętym decyzją Wojewody Mazowieckiego, wiązała się również </w:t>
      </w:r>
      <w:r w:rsidRPr="0009014A">
        <w:rPr>
          <w:rFonts w:ascii="Lato" w:eastAsiaTheme="minorHAnsi" w:hAnsi="Lato" w:cs="Lao UI"/>
          <w:bCs/>
          <w:iCs/>
          <w:spacing w:val="4"/>
          <w:sz w:val="22"/>
          <w:szCs w:val="22"/>
          <w:lang w:eastAsia="en-US" w:bidi="pl-PL"/>
        </w:rPr>
        <w:br/>
        <w:t xml:space="preserve">z koniecznością skorygowania niektórych arkuszy mapy przedstawiającej projektowany obszar </w:t>
      </w:r>
      <w:r w:rsidR="00184706">
        <w:rPr>
          <w:rFonts w:ascii="Lato" w:eastAsiaTheme="minorHAnsi" w:hAnsi="Lato" w:cs="Lao UI"/>
          <w:bCs/>
          <w:iCs/>
          <w:spacing w:val="4"/>
          <w:sz w:val="22"/>
          <w:szCs w:val="22"/>
          <w:lang w:eastAsia="en-US" w:bidi="pl-PL"/>
        </w:rPr>
        <w:t>I</w:t>
      </w:r>
      <w:r w:rsidRPr="0009014A">
        <w:rPr>
          <w:rFonts w:ascii="Lato" w:eastAsiaTheme="minorHAnsi" w:hAnsi="Lato" w:cs="Lao UI"/>
          <w:bCs/>
          <w:iCs/>
          <w:spacing w:val="4"/>
          <w:sz w:val="22"/>
          <w:szCs w:val="22"/>
          <w:lang w:eastAsia="en-US" w:bidi="pl-PL"/>
        </w:rPr>
        <w:t xml:space="preserve">nwestycji. Inwestor w toku postępowania odwoławczego przedłożył skorygowane dokumenty. </w:t>
      </w:r>
    </w:p>
    <w:p w14:paraId="27861ACE" w14:textId="77777777" w:rsidR="0009014A" w:rsidRPr="0009014A" w:rsidRDefault="0009014A" w:rsidP="0009014A">
      <w:pPr>
        <w:spacing w:after="120" w:line="240" w:lineRule="exact"/>
        <w:jc w:val="both"/>
        <w:outlineLvl w:val="0"/>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 xml:space="preserve">Ponadto inwestor w toku postępowania odwoławczego (pismo inwestora z dnia </w:t>
      </w:r>
      <w:r w:rsidRPr="0009014A">
        <w:rPr>
          <w:rFonts w:ascii="Lato" w:eastAsiaTheme="minorHAnsi" w:hAnsi="Lato" w:cs="Lao UI"/>
          <w:bCs/>
          <w:iCs/>
          <w:spacing w:val="4"/>
          <w:sz w:val="22"/>
          <w:szCs w:val="22"/>
          <w:lang w:eastAsia="en-US" w:bidi="pl-PL"/>
        </w:rPr>
        <w:br/>
        <w:t>18 czerwca 2025 r.) zwrócił uwagę na dodatkowe kwestie w decyzji Wojewody Mazowieckiego, które w jego ocenie wymagają korekty/doprecyzowania:</w:t>
      </w:r>
    </w:p>
    <w:p w14:paraId="5EBF1552" w14:textId="2F9C838A" w:rsidR="0009014A" w:rsidRPr="0009014A" w:rsidRDefault="0009014A">
      <w:pPr>
        <w:numPr>
          <w:ilvl w:val="0"/>
          <w:numId w:val="31"/>
        </w:num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 xml:space="preserve">w tabeli nr 1 pn.:. „Wykaz działek objętych wnioskiem o wydanie decyzji o ustaleniu lokalizacji Inwestycji; województwo mazowieckie”, w pozycjach nr 1672 i nr 1673 tabeli dwukrotnie umieszczono działkę o numerze 25/1 (powiat żyrardowski, gmina Wiskitki, obręb Duninopol). Jednocześnie nie umieszczono w tej tabeli działki nr 25/2 z tego samego obrębu. W związku z tym, inwestor zawnioskował o korektę </w:t>
      </w:r>
      <w:r w:rsidRPr="0009014A">
        <w:rPr>
          <w:rFonts w:ascii="Lato" w:eastAsiaTheme="minorHAnsi" w:hAnsi="Lato" w:cs="Lao UI"/>
          <w:bCs/>
          <w:iCs/>
          <w:spacing w:val="4"/>
          <w:sz w:val="22"/>
          <w:szCs w:val="22"/>
          <w:lang w:eastAsia="en-US" w:bidi="pl-PL"/>
        </w:rPr>
        <w:br/>
        <w:t>i wskazanie w pozycji 1673 tabeli działki nr 25/2 zamiast działki 25/1. W pozostałych tabelach zaskarżonej decyzji, jak wyjaśnił inwestor, przedmiotowa działka nr 25/2 jest umieszczona prawidłowo</w:t>
      </w:r>
      <w:r w:rsidR="00181B4F">
        <w:rPr>
          <w:rFonts w:ascii="Lato" w:eastAsiaTheme="minorHAnsi" w:hAnsi="Lato" w:cs="Lao UI"/>
          <w:bCs/>
          <w:iCs/>
          <w:spacing w:val="4"/>
          <w:sz w:val="22"/>
          <w:szCs w:val="22"/>
          <w:lang w:eastAsia="en-US" w:bidi="pl-PL"/>
        </w:rPr>
        <w:t>.</w:t>
      </w:r>
    </w:p>
    <w:p w14:paraId="63A1C560" w14:textId="226F1289" w:rsidR="0009014A" w:rsidRPr="0009014A" w:rsidRDefault="0009014A">
      <w:pPr>
        <w:numPr>
          <w:ilvl w:val="0"/>
          <w:numId w:val="31"/>
        </w:num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 xml:space="preserve">w tabeli nr 2 pn.: „Wykaz działek będących własnością CPK Sp. z o.o. objętych </w:t>
      </w:r>
      <w:r w:rsidRPr="0009014A">
        <w:rPr>
          <w:rFonts w:ascii="Lato" w:eastAsiaTheme="minorHAnsi" w:hAnsi="Lato" w:cs="Lao UI"/>
          <w:bCs/>
          <w:iCs/>
          <w:spacing w:val="4"/>
          <w:sz w:val="22"/>
          <w:szCs w:val="22"/>
          <w:lang w:eastAsia="en-US" w:bidi="pl-PL"/>
        </w:rPr>
        <w:br/>
        <w:t xml:space="preserve">w całości linią rozgraniczającą teren Inwestycji” w pozycji nr 6 błędnie wpisano numer </w:t>
      </w:r>
      <w:r w:rsidRPr="0009014A">
        <w:rPr>
          <w:rFonts w:ascii="Lato" w:eastAsiaTheme="minorHAnsi" w:hAnsi="Lato" w:cs="Lao UI"/>
          <w:bCs/>
          <w:iCs/>
          <w:spacing w:val="4"/>
          <w:sz w:val="22"/>
          <w:szCs w:val="22"/>
          <w:lang w:eastAsia="en-US" w:bidi="pl-PL"/>
        </w:rPr>
        <w:br/>
        <w:t>i nazwę obrębu jako „00059 Buszyce". W związku z tym, inwestor zawnioskował</w:t>
      </w:r>
      <w:r w:rsidRPr="0009014A">
        <w:rPr>
          <w:rFonts w:ascii="Lato" w:eastAsiaTheme="minorHAnsi" w:hAnsi="Lato" w:cs="Lao UI"/>
          <w:bCs/>
          <w:iCs/>
          <w:spacing w:val="4"/>
          <w:sz w:val="22"/>
          <w:szCs w:val="22"/>
          <w:lang w:eastAsia="en-US" w:bidi="pl-PL"/>
        </w:rPr>
        <w:br/>
        <w:t>o korektę i prawidłowe wpisanie numeru obrębu, czyli „0005 Buszyce”</w:t>
      </w:r>
      <w:r w:rsidR="00181B4F">
        <w:rPr>
          <w:rFonts w:ascii="Lato" w:eastAsiaTheme="minorHAnsi" w:hAnsi="Lato" w:cs="Lao UI"/>
          <w:bCs/>
          <w:iCs/>
          <w:spacing w:val="4"/>
          <w:sz w:val="22"/>
          <w:szCs w:val="22"/>
          <w:lang w:eastAsia="en-US" w:bidi="pl-PL"/>
        </w:rPr>
        <w:t>.</w:t>
      </w:r>
    </w:p>
    <w:p w14:paraId="501DE4DE" w14:textId="0ABE7694" w:rsidR="0009014A" w:rsidRPr="0009014A" w:rsidRDefault="0009014A">
      <w:pPr>
        <w:numPr>
          <w:ilvl w:val="0"/>
          <w:numId w:val="31"/>
        </w:numPr>
        <w:spacing w:after="120" w:line="240" w:lineRule="exact"/>
        <w:ind w:left="357" w:hanging="357"/>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lastRenderedPageBreak/>
        <w:t xml:space="preserve">w pkt XII zaskarżonej decyzji inwestor zawnioskował o dostosowanie opisu do zawartości tabeli nr 11. Wynika to z faktu, iż w tabeli nr 11 umieszczono wszystkie działki będące własnością CPK Sp. z o.o., na których będą prowadzone prace na czas realizacji </w:t>
      </w:r>
      <w:r w:rsidR="00181B4F">
        <w:rPr>
          <w:rFonts w:ascii="Lato" w:eastAsiaTheme="minorHAnsi" w:hAnsi="Lato" w:cs="Lao UI"/>
          <w:bCs/>
          <w:iCs/>
          <w:spacing w:val="4"/>
          <w:sz w:val="22"/>
          <w:szCs w:val="22"/>
          <w:lang w:eastAsia="en-US" w:bidi="pl-PL"/>
        </w:rPr>
        <w:t>I</w:t>
      </w:r>
      <w:r w:rsidRPr="0009014A">
        <w:rPr>
          <w:rFonts w:ascii="Lato" w:eastAsiaTheme="minorHAnsi" w:hAnsi="Lato" w:cs="Lao UI"/>
          <w:bCs/>
          <w:iCs/>
          <w:spacing w:val="4"/>
          <w:sz w:val="22"/>
          <w:szCs w:val="22"/>
          <w:lang w:eastAsia="en-US" w:bidi="pl-PL"/>
        </w:rPr>
        <w:t>nwestycji</w:t>
      </w:r>
      <w:r w:rsidR="007478E6">
        <w:rPr>
          <w:rFonts w:ascii="Lato" w:eastAsiaTheme="minorHAnsi" w:hAnsi="Lato" w:cs="Lao UI"/>
          <w:bCs/>
          <w:iCs/>
          <w:spacing w:val="4"/>
          <w:sz w:val="22"/>
          <w:szCs w:val="22"/>
          <w:lang w:eastAsia="en-US" w:bidi="pl-PL"/>
        </w:rPr>
        <w:t xml:space="preserve"> (poza liniami rozgraniczającymi Inwestycji)</w:t>
      </w:r>
      <w:r w:rsidRPr="0009014A">
        <w:rPr>
          <w:rFonts w:ascii="Lato" w:eastAsiaTheme="minorHAnsi" w:hAnsi="Lato" w:cs="Lao UI"/>
          <w:bCs/>
          <w:iCs/>
          <w:spacing w:val="4"/>
          <w:sz w:val="22"/>
          <w:szCs w:val="22"/>
          <w:lang w:eastAsia="en-US" w:bidi="pl-PL"/>
        </w:rPr>
        <w:t xml:space="preserve"> - zarówno </w:t>
      </w:r>
      <w:r w:rsidR="007478E6">
        <w:rPr>
          <w:rFonts w:ascii="Lato" w:eastAsiaTheme="minorHAnsi" w:hAnsi="Lato" w:cs="Lao UI"/>
          <w:bCs/>
          <w:iCs/>
          <w:spacing w:val="4"/>
          <w:sz w:val="22"/>
          <w:szCs w:val="22"/>
          <w:lang w:eastAsia="en-US" w:bidi="pl-PL"/>
        </w:rPr>
        <w:br/>
      </w:r>
      <w:r w:rsidRPr="0009014A">
        <w:rPr>
          <w:rFonts w:ascii="Lato" w:eastAsiaTheme="minorHAnsi" w:hAnsi="Lato" w:cs="Lao UI"/>
          <w:bCs/>
          <w:iCs/>
          <w:spacing w:val="4"/>
          <w:sz w:val="22"/>
          <w:szCs w:val="22"/>
          <w:lang w:eastAsia="en-US" w:bidi="pl-PL"/>
        </w:rPr>
        <w:t>te podlegające podziałowi, jak i niepodlegające podziałowi. Ponadto w tabeli nr 11 numery działek po podziale nie przedstawiono w nawiasach, tylko pogrubioną czcionką</w:t>
      </w:r>
      <w:r w:rsidR="00181B4F">
        <w:rPr>
          <w:rFonts w:ascii="Lato" w:eastAsiaTheme="minorHAnsi" w:hAnsi="Lato" w:cs="Lao UI"/>
          <w:bCs/>
          <w:iCs/>
          <w:spacing w:val="4"/>
          <w:sz w:val="22"/>
          <w:szCs w:val="22"/>
          <w:lang w:eastAsia="en-US" w:bidi="pl-PL"/>
        </w:rPr>
        <w:t xml:space="preserve">. </w:t>
      </w:r>
    </w:p>
    <w:p w14:paraId="25E1EF31" w14:textId="0745DC4F" w:rsidR="0009014A" w:rsidRPr="0009014A" w:rsidRDefault="0009014A">
      <w:pPr>
        <w:numPr>
          <w:ilvl w:val="0"/>
          <w:numId w:val="31"/>
        </w:num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 xml:space="preserve">w pkt VIII zaskarżonej decyzji w tabeli nr 4 błędnie wskazano powiat i gminę dla wymienionych w tabeli działek. Zamiast powiatu grodziskiego i gminy Baranów </w:t>
      </w:r>
      <w:r w:rsidRPr="0009014A">
        <w:rPr>
          <w:rFonts w:ascii="Lato" w:eastAsiaTheme="minorHAnsi" w:hAnsi="Lato" w:cs="Lao UI"/>
          <w:bCs/>
          <w:iCs/>
          <w:spacing w:val="4"/>
          <w:sz w:val="22"/>
          <w:szCs w:val="22"/>
          <w:lang w:eastAsia="en-US" w:bidi="pl-PL"/>
        </w:rPr>
        <w:br/>
        <w:t xml:space="preserve">w tabeli nr 4 powinien być wpisany powiat żyrardowski i gmina Wiskitki. W związku </w:t>
      </w:r>
      <w:r w:rsidRPr="0009014A">
        <w:rPr>
          <w:rFonts w:ascii="Lato" w:eastAsiaTheme="minorHAnsi" w:hAnsi="Lato" w:cs="Lao UI"/>
          <w:bCs/>
          <w:iCs/>
          <w:spacing w:val="4"/>
          <w:sz w:val="22"/>
          <w:szCs w:val="22"/>
          <w:lang w:eastAsia="en-US" w:bidi="pl-PL"/>
        </w:rPr>
        <w:br/>
        <w:t xml:space="preserve">z tym, inwestor wskazał na konieczność korekty treści tabeli Nr 4, poprzez zastąpienie w pozycjach od 1 do 5 powiatu grodziskiego powiatem żyrardowskim, </w:t>
      </w:r>
      <w:r w:rsidRPr="0009014A">
        <w:rPr>
          <w:rFonts w:ascii="Lato" w:eastAsiaTheme="minorHAnsi" w:hAnsi="Lato" w:cs="Lao UI"/>
          <w:bCs/>
          <w:iCs/>
          <w:spacing w:val="4"/>
          <w:sz w:val="22"/>
          <w:szCs w:val="22"/>
          <w:lang w:eastAsia="en-US" w:bidi="pl-PL"/>
        </w:rPr>
        <w:br/>
        <w:t>a gminy Baranów gminą Wiskitki</w:t>
      </w:r>
      <w:r w:rsidR="007478E6">
        <w:rPr>
          <w:rFonts w:ascii="Lato" w:eastAsiaTheme="minorHAnsi" w:hAnsi="Lato" w:cs="Lao UI"/>
          <w:bCs/>
          <w:iCs/>
          <w:spacing w:val="4"/>
          <w:sz w:val="22"/>
          <w:szCs w:val="22"/>
          <w:lang w:eastAsia="en-US" w:bidi="pl-PL"/>
        </w:rPr>
        <w:t>.</w:t>
      </w:r>
    </w:p>
    <w:p w14:paraId="67A1FCC5" w14:textId="04F007A3" w:rsidR="0009014A" w:rsidRPr="0009014A" w:rsidRDefault="0009014A">
      <w:pPr>
        <w:numPr>
          <w:ilvl w:val="0"/>
          <w:numId w:val="31"/>
        </w:num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 xml:space="preserve">w pkt XII zaskarżonej decyzji w tabeli nr 11 błędnie wskazano powiat i gminę dla wymienionych w tabeli działek. Zamiast powiatu grodziskiego i gminy Baranów </w:t>
      </w:r>
      <w:r w:rsidRPr="0009014A">
        <w:rPr>
          <w:rFonts w:ascii="Lato" w:eastAsiaTheme="minorHAnsi" w:hAnsi="Lato" w:cs="Lao UI"/>
          <w:bCs/>
          <w:iCs/>
          <w:spacing w:val="4"/>
          <w:sz w:val="22"/>
          <w:szCs w:val="22"/>
          <w:lang w:eastAsia="en-US" w:bidi="pl-PL"/>
        </w:rPr>
        <w:br/>
        <w:t xml:space="preserve">w tabeli nr 11 powinien być wpisany powiat żyrardowski i gmina Wiskitki. W związku z tym, inwestor wskazał na konieczność korekty treści tabeli nr 11, poprzez zastąpienie w pozycjach od 1 do 7 powiatu grodziskiego powiatem żyrardowskim, </w:t>
      </w:r>
      <w:r w:rsidR="007478E6">
        <w:rPr>
          <w:rFonts w:ascii="Lato" w:eastAsiaTheme="minorHAnsi" w:hAnsi="Lato" w:cs="Lao UI"/>
          <w:bCs/>
          <w:iCs/>
          <w:spacing w:val="4"/>
          <w:sz w:val="22"/>
          <w:szCs w:val="22"/>
          <w:lang w:eastAsia="en-US" w:bidi="pl-PL"/>
        </w:rPr>
        <w:br/>
      </w:r>
      <w:r w:rsidRPr="0009014A">
        <w:rPr>
          <w:rFonts w:ascii="Lato" w:eastAsiaTheme="minorHAnsi" w:hAnsi="Lato" w:cs="Lao UI"/>
          <w:bCs/>
          <w:iCs/>
          <w:spacing w:val="4"/>
          <w:sz w:val="22"/>
          <w:szCs w:val="22"/>
          <w:lang w:eastAsia="en-US" w:bidi="pl-PL"/>
        </w:rPr>
        <w:t>a gminy Baranów gminą Wiskitki</w:t>
      </w:r>
      <w:r w:rsidR="007478E6">
        <w:rPr>
          <w:rFonts w:ascii="Lato" w:eastAsiaTheme="minorHAnsi" w:hAnsi="Lato" w:cs="Lao UI"/>
          <w:bCs/>
          <w:iCs/>
          <w:spacing w:val="4"/>
          <w:sz w:val="22"/>
          <w:szCs w:val="22"/>
          <w:lang w:eastAsia="en-US" w:bidi="pl-PL"/>
        </w:rPr>
        <w:t>.</w:t>
      </w:r>
      <w:r w:rsidR="007478E6" w:rsidRPr="007478E6">
        <w:rPr>
          <w:rFonts w:ascii="Lato" w:eastAsiaTheme="minorHAnsi" w:hAnsi="Lato" w:cs="Lao UI"/>
          <w:bCs/>
          <w:iCs/>
          <w:spacing w:val="4"/>
          <w:sz w:val="22"/>
          <w:szCs w:val="22"/>
          <w:lang w:eastAsia="en-US" w:bidi="pl-PL"/>
        </w:rPr>
        <w:t xml:space="preserve"> Natomiast w piśmie z dnia 17 grudnia 2025 r., znak: LZS.41.20.2025, mając na uwadze, że część działek wymienionych w tabelach nr 4 </w:t>
      </w:r>
      <w:r w:rsidR="007478E6">
        <w:rPr>
          <w:rFonts w:ascii="Lato" w:eastAsiaTheme="minorHAnsi" w:hAnsi="Lato" w:cs="Lao UI"/>
          <w:bCs/>
          <w:iCs/>
          <w:spacing w:val="4"/>
          <w:sz w:val="22"/>
          <w:szCs w:val="22"/>
          <w:lang w:eastAsia="en-US" w:bidi="pl-PL"/>
        </w:rPr>
        <w:br/>
      </w:r>
      <w:r w:rsidR="007478E6" w:rsidRPr="007478E6">
        <w:rPr>
          <w:rFonts w:ascii="Lato" w:eastAsiaTheme="minorHAnsi" w:hAnsi="Lato" w:cs="Lao UI"/>
          <w:bCs/>
          <w:iCs/>
          <w:spacing w:val="4"/>
          <w:sz w:val="22"/>
          <w:szCs w:val="22"/>
          <w:lang w:eastAsia="en-US" w:bidi="pl-PL"/>
        </w:rPr>
        <w:t>i nr 11 decyzji Wojewody Mazowieckiego powtarza się, inwestor wystąpił o scalenie tabeli nr 4 i tabeli nr 11 w jedną tabelę.</w:t>
      </w:r>
    </w:p>
    <w:p w14:paraId="4C6B06D4" w14:textId="680114D5" w:rsidR="0009014A" w:rsidRPr="0009014A" w:rsidRDefault="0009014A">
      <w:pPr>
        <w:numPr>
          <w:ilvl w:val="0"/>
          <w:numId w:val="31"/>
        </w:numPr>
        <w:spacing w:after="240" w:line="240" w:lineRule="exact"/>
        <w:ind w:left="357" w:hanging="357"/>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 xml:space="preserve">w punkcie IV zaskarżonej decyzji pn.: „Warunki wynikające z potrzeb ochrony środowiska, ochrony przeciwpożarowej oraz ochrony zabytków i dóbr kultury”, </w:t>
      </w:r>
      <w:r w:rsidRPr="0009014A">
        <w:rPr>
          <w:rFonts w:ascii="Lato" w:eastAsiaTheme="minorHAnsi" w:hAnsi="Lato" w:cs="Lao UI"/>
          <w:bCs/>
          <w:iCs/>
          <w:spacing w:val="4"/>
          <w:sz w:val="22"/>
          <w:szCs w:val="22"/>
          <w:lang w:eastAsia="en-US" w:bidi="pl-PL"/>
        </w:rPr>
        <w:br/>
        <w:t>w części mówiącej o ochronie zabytków i dóbr kultury (str. 92 decyzji) odwołano się</w:t>
      </w:r>
      <w:r w:rsidR="007478E6">
        <w:rPr>
          <w:rFonts w:ascii="Lato" w:eastAsiaTheme="minorHAnsi" w:hAnsi="Lato" w:cs="Lao UI"/>
          <w:bCs/>
          <w:iCs/>
          <w:spacing w:val="4"/>
          <w:sz w:val="22"/>
          <w:szCs w:val="22"/>
          <w:lang w:eastAsia="en-US" w:bidi="pl-PL"/>
        </w:rPr>
        <w:t xml:space="preserve"> </w:t>
      </w:r>
      <w:r w:rsidRPr="0009014A">
        <w:rPr>
          <w:rFonts w:ascii="Lato" w:eastAsiaTheme="minorHAnsi" w:hAnsi="Lato" w:cs="Lao UI"/>
          <w:bCs/>
          <w:iCs/>
          <w:spacing w:val="4"/>
          <w:sz w:val="22"/>
          <w:szCs w:val="22"/>
          <w:lang w:eastAsia="en-US" w:bidi="pl-PL"/>
        </w:rPr>
        <w:t xml:space="preserve">do pisma cyt.: „3.1 Pismem z dnia 5 października 2023 r. znak: WA.5183.65.2.2023.JG (586), Mazowiecki Wojewódzki Konserwator Zabytków Państwowej Straży Pożarnej, poinformował:”. W związku ze stwierdzoną omyłką, inwestor wskazał na zasadność usunięcie fragmentu cytowanego wyżej tekstu </w:t>
      </w:r>
      <w:r w:rsidRPr="0009014A">
        <w:rPr>
          <w:rFonts w:ascii="Lato" w:eastAsiaTheme="minorHAnsi" w:hAnsi="Lato" w:cs="Lao UI"/>
          <w:bCs/>
          <w:iCs/>
          <w:spacing w:val="4"/>
          <w:sz w:val="22"/>
          <w:szCs w:val="22"/>
          <w:lang w:eastAsia="en-US" w:bidi="pl-PL"/>
        </w:rPr>
        <w:br/>
        <w:t>w zakresie, w jakim dotyczy Straży Pożarnej tj.: „Państwowej Straży Pożarnej</w:t>
      </w:r>
      <w:r w:rsidR="007478E6">
        <w:rPr>
          <w:rFonts w:ascii="Lato" w:eastAsiaTheme="minorHAnsi" w:hAnsi="Lato" w:cs="Lao UI"/>
          <w:bCs/>
          <w:iCs/>
          <w:spacing w:val="4"/>
          <w:sz w:val="22"/>
          <w:szCs w:val="22"/>
          <w:lang w:eastAsia="en-US" w:bidi="pl-PL"/>
        </w:rPr>
        <w:t>”</w:t>
      </w:r>
      <w:r w:rsidRPr="0009014A">
        <w:rPr>
          <w:rFonts w:ascii="Lato" w:eastAsiaTheme="minorHAnsi" w:hAnsi="Lato" w:cs="Lao UI"/>
          <w:bCs/>
          <w:iCs/>
          <w:spacing w:val="4"/>
          <w:sz w:val="22"/>
          <w:szCs w:val="22"/>
          <w:lang w:eastAsia="en-US" w:bidi="pl-PL"/>
        </w:rPr>
        <w:t>.</w:t>
      </w:r>
    </w:p>
    <w:p w14:paraId="40F1D71F" w14:textId="51F67505" w:rsidR="0009014A" w:rsidRPr="0009014A" w:rsidRDefault="0009014A" w:rsidP="0009014A">
      <w:pPr>
        <w:spacing w:after="24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 xml:space="preserve">Analizując akta sprawy zakończonej wydaniem decyzji Wojewody Mazowieckiego organ odwoławczy stwierdził, że we wniosku lokalizacyjnym inwestor wystąpił o podział działki nr 30, z obrębu 0010 Guzów, stanowiącej drogę publiczną i wskazał, że wydzielona działka nr 30/1 podlega nieodpłatnemu zajęciu na rzecz CPK Sp. z o.o., co znalazło swój wyraz w zapisie tabeli nr 5 na str. 101 decyzji Wojewody Mazowieckiego. Natomiast </w:t>
      </w:r>
      <w:r w:rsidR="004B10DD">
        <w:rPr>
          <w:rFonts w:ascii="Lato" w:eastAsiaTheme="minorHAnsi" w:hAnsi="Lato" w:cs="Lao UI"/>
          <w:bCs/>
          <w:iCs/>
          <w:spacing w:val="4"/>
          <w:sz w:val="22"/>
          <w:szCs w:val="22"/>
          <w:lang w:eastAsia="en-US" w:bidi="pl-PL"/>
        </w:rPr>
        <w:br/>
      </w:r>
      <w:r w:rsidRPr="0009014A">
        <w:rPr>
          <w:rFonts w:ascii="Lato" w:eastAsiaTheme="minorHAnsi" w:hAnsi="Lato" w:cs="Lao UI"/>
          <w:bCs/>
          <w:iCs/>
          <w:spacing w:val="4"/>
          <w:sz w:val="22"/>
          <w:szCs w:val="22"/>
          <w:lang w:eastAsia="en-US" w:bidi="pl-PL"/>
        </w:rPr>
        <w:t xml:space="preserve">w piśmie z dnia 9 lipca 2025 r., znak: LZS.41.46.2025 (stanowiącym odpowiedź na wezwanie organu odwoławczego </w:t>
      </w:r>
      <w:bookmarkStart w:id="5" w:name="_Hlk109295568"/>
      <w:bookmarkStart w:id="6" w:name="_Hlk120801089"/>
      <w:r w:rsidRPr="0009014A">
        <w:rPr>
          <w:rFonts w:ascii="Lato" w:eastAsiaTheme="minorHAnsi" w:hAnsi="Lato" w:cs="Lao UI"/>
          <w:bCs/>
          <w:iCs/>
          <w:spacing w:val="4"/>
          <w:sz w:val="22"/>
          <w:szCs w:val="22"/>
          <w:lang w:eastAsia="en-US" w:bidi="pl-PL"/>
        </w:rPr>
        <w:t>z dnia 13 czerwca 2025 r., znak: DLI-II.7620.7.2025.</w:t>
      </w:r>
      <w:bookmarkEnd w:id="5"/>
      <w:r w:rsidRPr="0009014A">
        <w:rPr>
          <w:rFonts w:ascii="Lato" w:eastAsiaTheme="minorHAnsi" w:hAnsi="Lato" w:cs="Lao UI"/>
          <w:bCs/>
          <w:iCs/>
          <w:spacing w:val="4"/>
          <w:sz w:val="22"/>
          <w:szCs w:val="22"/>
          <w:lang w:eastAsia="en-US" w:bidi="pl-PL"/>
        </w:rPr>
        <w:t>KR.</w:t>
      </w:r>
      <w:bookmarkEnd w:id="6"/>
      <w:r w:rsidRPr="0009014A">
        <w:rPr>
          <w:rFonts w:ascii="Lato" w:eastAsiaTheme="minorHAnsi" w:hAnsi="Lato" w:cs="Lao UI"/>
          <w:bCs/>
          <w:iCs/>
          <w:spacing w:val="4"/>
          <w:sz w:val="22"/>
          <w:szCs w:val="22"/>
          <w:lang w:eastAsia="en-US" w:bidi="pl-PL"/>
        </w:rPr>
        <w:t xml:space="preserve">27), inwestor stwierdził, że brak jest uzasadnienia dla konieczności wydzielenia (podziału) ww. działki nr 30 stanowiącej pas drogowy drogi krajowej nr 50. W świetle powyższego, zaszła konieczność przedstawienia przez inwestora skorygowanych dokumentów wymienionych w pkt 2a-b wezwania organu odwoławczego z dnia 23 lipca 2025 r., znak: DLI-II.7620.7.2025.KR.32, </w:t>
      </w:r>
      <w:r w:rsidR="00857014">
        <w:rPr>
          <w:rFonts w:ascii="Lato" w:eastAsiaTheme="minorHAnsi" w:hAnsi="Lato" w:cs="Lao UI"/>
          <w:bCs/>
          <w:iCs/>
          <w:spacing w:val="4"/>
          <w:sz w:val="22"/>
          <w:szCs w:val="22"/>
          <w:lang w:eastAsia="en-US" w:bidi="pl-PL"/>
        </w:rPr>
        <w:br/>
      </w:r>
      <w:r w:rsidRPr="0009014A">
        <w:rPr>
          <w:rFonts w:ascii="Lato" w:eastAsiaTheme="minorHAnsi" w:hAnsi="Lato" w:cs="Lao UI"/>
          <w:bCs/>
          <w:iCs/>
          <w:spacing w:val="4"/>
          <w:sz w:val="22"/>
          <w:szCs w:val="22"/>
          <w:lang w:eastAsia="en-US" w:bidi="pl-PL"/>
        </w:rPr>
        <w:t xml:space="preserve">tj. odpowiedniego arkusza mapy w skali 1:1000 przedstawiającej projektowany obszar </w:t>
      </w:r>
      <w:r w:rsidR="007478E6">
        <w:rPr>
          <w:rFonts w:ascii="Lato" w:eastAsiaTheme="minorHAnsi" w:hAnsi="Lato" w:cs="Lao UI"/>
          <w:bCs/>
          <w:iCs/>
          <w:spacing w:val="4"/>
          <w:sz w:val="22"/>
          <w:szCs w:val="22"/>
          <w:lang w:eastAsia="en-US" w:bidi="pl-PL"/>
        </w:rPr>
        <w:t>I</w:t>
      </w:r>
      <w:r w:rsidRPr="0009014A">
        <w:rPr>
          <w:rFonts w:ascii="Lato" w:eastAsiaTheme="minorHAnsi" w:hAnsi="Lato" w:cs="Lao UI"/>
          <w:bCs/>
          <w:iCs/>
          <w:spacing w:val="4"/>
          <w:sz w:val="22"/>
          <w:szCs w:val="22"/>
          <w:lang w:eastAsia="en-US" w:bidi="pl-PL"/>
        </w:rPr>
        <w:t xml:space="preserve">nwestycji, uwzględniającego brak podziału i objęcia liniami rozgraniczającymi teren działki nr 30, z obrębu 0010 Guzów, stanowiącej drogę publiczną, i w to miejsce objęcia terenu tej działki, w niezbędnym zakresie, odpowiednimi liniami i oznaczeniami graficznymi obszaru zajętego przez grunty pod drogami publicznymi podlegającemu zajęciu na rzecz CPK Sp. z o.o., na podstawie art. 81 ust. 1 ustawy CPK. Inwestor w toku postępowania odwoławczego przedłożył skorygowane dokumenty oraz wskazał na konieczność dokonania niezbędnych zmian z tym związanych w rozstrzygnięciu zaskarżonej decyzji i w załącznikach graficznych do tej decyzji. </w:t>
      </w:r>
    </w:p>
    <w:p w14:paraId="18D68D84" w14:textId="77777777" w:rsidR="0009014A" w:rsidRPr="0009014A" w:rsidRDefault="0009014A" w:rsidP="0009014A">
      <w:pPr>
        <w:spacing w:after="24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lastRenderedPageBreak/>
        <w:t xml:space="preserve">W piśmie z dnia 20 sierpnia 2025 r., znak: LZS.41.50.2025, inwestor poinformował organ odwoławczy, że pismem z dnia 7 lipca 2025 r., znak: LZS.41.44.2025, wystąpił </w:t>
      </w:r>
      <w:r w:rsidRPr="0009014A">
        <w:rPr>
          <w:rFonts w:ascii="Lato" w:eastAsiaTheme="minorHAnsi" w:hAnsi="Lato" w:cs="Lao UI"/>
          <w:bCs/>
          <w:iCs/>
          <w:spacing w:val="4"/>
          <w:sz w:val="22"/>
          <w:szCs w:val="22"/>
          <w:lang w:eastAsia="en-US" w:bidi="pl-PL"/>
        </w:rPr>
        <w:br/>
        <w:t xml:space="preserve">do Państwowego Gospodarstwa Wodnego Wody Polskie o wyrażenie zgody na zmianę zakresu zajęcia terenów wód płynących określonego w decyzji Wojewody Mazowieckiego. Inwestor wyjaśnił, że wnioskowane zmiany wynikały z faktu, iż w toku szczegółowych prac projektowych, na całym obszarze objętym decyzją Wojewody Mazowieckiego może zaistnieć konieczność realizacji sieci uzbrojenia terenu różnego typu oraz przyłączy. W związku z tym, jak wyjaśnił inwestor, aktualny zapis w decyzji lokalizacyjnej znacząco ogranicza zakres możliwych rodzajów sieci do wykonania na obszarze śródlądowych wód płynących. Inwestor zaznaczył, że pismem z dnia 15 lipca 2025 r., znak: W.RUM.48.1089.2025.EK, Państwowe Gospodarstwo Wodne Wody Polskie, reprezentowane przez Dyrektora Regionalnego Zarządu Gospodarki Wodnej </w:t>
      </w:r>
      <w:r w:rsidRPr="0009014A">
        <w:rPr>
          <w:rFonts w:ascii="Lato" w:eastAsiaTheme="minorHAnsi" w:hAnsi="Lato" w:cs="Lao UI"/>
          <w:bCs/>
          <w:iCs/>
          <w:spacing w:val="4"/>
          <w:sz w:val="22"/>
          <w:szCs w:val="22"/>
          <w:lang w:eastAsia="en-US" w:bidi="pl-PL"/>
        </w:rPr>
        <w:br/>
        <w:t>w Warszawie, wyraziło zgodę na dokonanie zmian w decyzji Wojewody Mazowieckiego zgodnie z zakresem wskazanym przez inwestora. Mając na uwadze powyższe, inwestor zawnioskował o dokonanie niezbędnych korekt w tabeli nr 9 decyzji Wojewody Mazowieckiego pn.: „Wykaz działek stanowiących grunty pod wodami płynącymi podlegające nieodpłatnemu zajęciu na rzecz CPK Sp. z o.o.” (pkt XI zaskarżonej decyzji), kolumna „Opis prac", w zakresie wynikającym z ww. pisma z dnia 20 sierpnia 2025 r.</w:t>
      </w:r>
    </w:p>
    <w:p w14:paraId="79FFBED7" w14:textId="77777777" w:rsidR="0009014A" w:rsidRPr="0009014A" w:rsidRDefault="0009014A" w:rsidP="0009014A">
      <w:p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 xml:space="preserve">Następnie wskazać należy, że w dniu 8 listopada 2025 r. weszła w życie ustawa z dnia 24 września 2025 r. o zmianie ustawy o Centralnym Porcie Komunikacyjnym (Dz.U. </w:t>
      </w:r>
      <w:r w:rsidRPr="0009014A">
        <w:rPr>
          <w:rFonts w:ascii="Lato" w:eastAsiaTheme="minorHAnsi" w:hAnsi="Lato" w:cs="Lao UI"/>
          <w:bCs/>
          <w:iCs/>
          <w:spacing w:val="4"/>
          <w:sz w:val="22"/>
          <w:szCs w:val="22"/>
          <w:lang w:eastAsia="en-US" w:bidi="pl-PL"/>
        </w:rPr>
        <w:br/>
        <w:t>z 2025 r. poz. 1531), która nadała nowe brzmienie m.in. art. 40 w ust. 2 pkt 11 i art. 52 ust. 1 ustawy CPK, a także dodała w art. 52 po ust. 1 nowy ust. 1a. Zgodnie z przepisem przejściowym zawartym w art. 2 ww. ustawy nowelizującej z dnia 24 września 2025 r. do spraw związanych z realizacją Inwestycji lub Inwestycji Towarzyszących w rozumieniu art. 2 pkt 3 i 4 ustawy zmienianej w art. 1 (tj. ustawy CPK) wszczętych i niezakończonych decyzją ostateczną przed dniem wejścia w życie niniejszej ustawy, w szczególności:</w:t>
      </w:r>
    </w:p>
    <w:p w14:paraId="63493FA8" w14:textId="77777777" w:rsidR="0009014A" w:rsidRPr="0009014A" w:rsidRDefault="0009014A" w:rsidP="0009014A">
      <w:p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1) decyzją o ustaleniu lokalizacji inwestycji w zakresie Centralnego Portu Komunikacyjnego,</w:t>
      </w:r>
    </w:p>
    <w:p w14:paraId="0C1BEC1F" w14:textId="77777777" w:rsidR="0009014A" w:rsidRPr="0009014A" w:rsidRDefault="0009014A" w:rsidP="0009014A">
      <w:p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2) pozwoleniem na prace wstępne, o którym mowa w art. 75e ust. 1 ustawy zmienianej w art. 1,</w:t>
      </w:r>
    </w:p>
    <w:p w14:paraId="263E1DCE" w14:textId="77777777" w:rsidR="0009014A" w:rsidRPr="0009014A" w:rsidRDefault="0009014A" w:rsidP="0009014A">
      <w:p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3) pozwoleniem na prace przygotowawcze, o którym mowa w art. 76a ust. 1 ustawy zmienianej w art. 1,</w:t>
      </w:r>
    </w:p>
    <w:p w14:paraId="380A38AF" w14:textId="77777777" w:rsidR="0009014A" w:rsidRPr="0009014A" w:rsidRDefault="0009014A" w:rsidP="0009014A">
      <w:p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4) zgodą wodnoprawną,</w:t>
      </w:r>
    </w:p>
    <w:p w14:paraId="7B2D6B09" w14:textId="77777777" w:rsidR="0009014A" w:rsidRPr="0009014A" w:rsidRDefault="0009014A" w:rsidP="0009014A">
      <w:p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5) pozwoleniem na budowę,</w:t>
      </w:r>
    </w:p>
    <w:p w14:paraId="187033D4" w14:textId="77777777" w:rsidR="0009014A" w:rsidRPr="0009014A" w:rsidRDefault="0009014A" w:rsidP="0009014A">
      <w:p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6) pozwoleniem na rozbiórkę,</w:t>
      </w:r>
    </w:p>
    <w:p w14:paraId="238113B9" w14:textId="77777777" w:rsidR="0009014A" w:rsidRPr="0009014A" w:rsidRDefault="0009014A" w:rsidP="0009014A">
      <w:pPr>
        <w:spacing w:after="12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7) decyzją o zezwoleniu na zajęcie pasa drogowego,</w:t>
      </w:r>
    </w:p>
    <w:p w14:paraId="29DE7387" w14:textId="77777777" w:rsidR="0009014A" w:rsidRPr="0009014A" w:rsidRDefault="0009014A" w:rsidP="0009014A">
      <w:pPr>
        <w:spacing w:after="24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8) pozwoleniem wojewódzkiego konserwatora zabytków</w:t>
      </w:r>
    </w:p>
    <w:p w14:paraId="5602DB48" w14:textId="77777777" w:rsidR="0009014A" w:rsidRPr="0009014A" w:rsidRDefault="0009014A" w:rsidP="0009014A">
      <w:pPr>
        <w:spacing w:after="24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 xml:space="preserve">– stosuje się przepisy ustawy zmienianej w art. 1 w brzmieniu nadanym niniejszą ustawą nowelizującą z dnia 24 września 2025 r., z wyjątkiem spraw dotyczących złożonych </w:t>
      </w:r>
      <w:r w:rsidRPr="0009014A">
        <w:rPr>
          <w:rFonts w:ascii="Lato" w:eastAsiaTheme="minorHAnsi" w:hAnsi="Lato" w:cs="Lao UI"/>
          <w:bCs/>
          <w:iCs/>
          <w:spacing w:val="4"/>
          <w:sz w:val="22"/>
          <w:szCs w:val="22"/>
          <w:lang w:eastAsia="en-US" w:bidi="pl-PL"/>
        </w:rPr>
        <w:br/>
        <w:t>i nierozpatrzonych przed dniem wejścia w życie niniejszej ustawy wniosków o udzielenie zgody na wszczęcie postępowania o wydanie decyzji o ustaleniu lokalizacji inwestycji celu publicznego na podstawie art. 120b ust. 2 ustawy zmienianej w art. 1 w brzmieniu dotychczasowym, do których stosuje się przepisy dotychczasowe.</w:t>
      </w:r>
    </w:p>
    <w:p w14:paraId="46A33FCF" w14:textId="77777777" w:rsidR="0009014A" w:rsidRPr="0009014A" w:rsidRDefault="0009014A" w:rsidP="0009014A">
      <w:pPr>
        <w:spacing w:after="24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 xml:space="preserve">Mając na uwadze powyższe, w niniejszej sprawie odwoławczej znajdują zastosowanie art. 40 ust. 2 pkt 11 i art. 52 ust. 1 i ust. 1a ustawy CPK, w brzmieniu nadanym ww. ustawą nowelizującą z dnia 24 września 2025 r. Jeśli bowiem przepis intertemporalny nakazuje stosowanie nowej regulacji w toku, nowe prawo stosuje się bezpośrednio do </w:t>
      </w:r>
      <w:r w:rsidRPr="0009014A">
        <w:rPr>
          <w:rFonts w:ascii="Lato" w:eastAsiaTheme="minorHAnsi" w:hAnsi="Lato" w:cs="Lao UI"/>
          <w:bCs/>
          <w:iCs/>
          <w:spacing w:val="4"/>
          <w:sz w:val="22"/>
          <w:szCs w:val="22"/>
          <w:lang w:eastAsia="en-US" w:bidi="pl-PL"/>
        </w:rPr>
        <w:lastRenderedPageBreak/>
        <w:t>spraw będących w toku, w tym w fazie odwoławczej.</w:t>
      </w:r>
      <w:r w:rsidRPr="0009014A">
        <w:t xml:space="preserve"> </w:t>
      </w:r>
      <w:r w:rsidRPr="0009014A">
        <w:rPr>
          <w:rFonts w:ascii="Lato" w:eastAsiaTheme="minorHAnsi" w:hAnsi="Lato" w:cs="Lao UI"/>
          <w:bCs/>
          <w:iCs/>
          <w:spacing w:val="4"/>
          <w:sz w:val="22"/>
          <w:szCs w:val="22"/>
          <w:lang w:eastAsia="en-US" w:bidi="pl-PL"/>
        </w:rPr>
        <w:t xml:space="preserve">Organ odwoławczy, będący organem orzekającym, musi uwzględnić aktualny stan prawny zgodnie z wolą ustawodawcy wyrażoną w przepisach zmieniających. Zgodnie z art. 40 ust. 2 pkt 11 ustawy CPK, decyzja o ustaleniu lokalizacji inwestycji w zakresie CPK określa termin wydania nieruchomości, opróżnienia lokali i innych pomieszczeń oraz faktycznego objęcia nieruchomości w posiadanie przez Spółkę Celową. W myśl art. 52 ust. 1 ustawy CPK, termin wydania nieruchomości, opróżnienia lokali i innych pomieszczeń oraz faktycznego objęcia nieruchomości w posiadanie przez Spółkę Celową określony </w:t>
      </w:r>
      <w:r w:rsidRPr="0009014A">
        <w:rPr>
          <w:rFonts w:ascii="Lato" w:eastAsiaTheme="minorHAnsi" w:hAnsi="Lato" w:cs="Lao UI"/>
          <w:bCs/>
          <w:iCs/>
          <w:spacing w:val="4"/>
          <w:sz w:val="22"/>
          <w:szCs w:val="22"/>
          <w:lang w:eastAsia="en-US" w:bidi="pl-PL"/>
        </w:rPr>
        <w:br/>
        <w:t xml:space="preserve">w decyzji o ustaleniu lokalizacji inwestycji w zakresie CPK nie może być krótszy niż 120 dni, licząc od dnia, w którym decyzja o ustaleniu lokalizacji inwestycji w zakresie CPK stała się ostateczna. Na wniosek Spółki Celowej organ wyznacza dłuższy termin dla obszarów określonych w decyzji o ustaleniu lokalizacji inwestycji w zakresie CPK. Stosownie zaś do art. 52 ust. 1a ustawy CPK, w przypadku gdy decyzji o ustaleniu lokalizacji inwestycji w zakresie CPK nadano rygor natychmiastowej wykonalności </w:t>
      </w:r>
      <w:r w:rsidRPr="0009014A">
        <w:rPr>
          <w:rFonts w:ascii="Lato" w:eastAsiaTheme="minorHAnsi" w:hAnsi="Lato" w:cs="Lao UI"/>
          <w:bCs/>
          <w:iCs/>
          <w:spacing w:val="4"/>
          <w:sz w:val="22"/>
          <w:szCs w:val="22"/>
          <w:lang w:eastAsia="en-US" w:bidi="pl-PL"/>
        </w:rPr>
        <w:br/>
        <w:t xml:space="preserve">i decyzja ta nie stała się ostateczna, termin wydania nieruchomości, opróżnienia lokali </w:t>
      </w:r>
      <w:r w:rsidRPr="0009014A">
        <w:rPr>
          <w:rFonts w:ascii="Lato" w:eastAsiaTheme="minorHAnsi" w:hAnsi="Lato" w:cs="Lao UI"/>
          <w:bCs/>
          <w:iCs/>
          <w:spacing w:val="4"/>
          <w:sz w:val="22"/>
          <w:szCs w:val="22"/>
          <w:lang w:eastAsia="en-US" w:bidi="pl-PL"/>
        </w:rPr>
        <w:br/>
        <w:t>i innych pomieszczeń oraz faktycznego objęcia nieruchomości w posiadanie przez Spółkę Celową, nie może być krótszy niż 120 dni, licząc od dnia, w którym organ pierwszej instancji wydał decyzję ustalającą wysokość odszkodowania z tytułu wywłaszczenia nieruchomości.</w:t>
      </w:r>
    </w:p>
    <w:p w14:paraId="7FD3BC31" w14:textId="2D28EE52" w:rsidR="0009014A" w:rsidRPr="0009014A" w:rsidRDefault="0009014A" w:rsidP="0009014A">
      <w:pPr>
        <w:spacing w:after="240" w:line="240" w:lineRule="exact"/>
        <w:jc w:val="both"/>
        <w:rPr>
          <w:rFonts w:ascii="Lato" w:eastAsiaTheme="minorHAnsi" w:hAnsi="Lato" w:cs="Lao UI"/>
          <w:bCs/>
          <w:iCs/>
          <w:spacing w:val="4"/>
          <w:sz w:val="22"/>
          <w:szCs w:val="22"/>
          <w:lang w:eastAsia="en-US" w:bidi="pl-PL"/>
        </w:rPr>
      </w:pPr>
      <w:r w:rsidRPr="0009014A">
        <w:rPr>
          <w:rFonts w:ascii="Lato" w:eastAsiaTheme="minorHAnsi" w:hAnsi="Lato" w:cs="Lao UI"/>
          <w:bCs/>
          <w:iCs/>
          <w:spacing w:val="4"/>
          <w:sz w:val="22"/>
          <w:szCs w:val="22"/>
          <w:lang w:eastAsia="en-US" w:bidi="pl-PL"/>
        </w:rPr>
        <w:t xml:space="preserve">W pkt 7 na str. 30 pisma z dnia 17 grudnia 2025 r., znak: LZS.41.20.2025, uzupełnionym w tym zakresie pismem z dnia 28 stycznia 2026 r., znak: LZS.41.1.2026, inwestor wskazał, że z uwagi na zmianę przepisów, a w szczególności art. 40 ust. 2 pkt 11 oraz </w:t>
      </w:r>
      <w:r w:rsidR="00717372">
        <w:rPr>
          <w:rFonts w:ascii="Lato" w:eastAsiaTheme="minorHAnsi" w:hAnsi="Lato" w:cs="Lao UI"/>
          <w:bCs/>
          <w:iCs/>
          <w:spacing w:val="4"/>
          <w:sz w:val="22"/>
          <w:szCs w:val="22"/>
          <w:lang w:eastAsia="en-US" w:bidi="pl-PL"/>
        </w:rPr>
        <w:br/>
      </w:r>
      <w:r w:rsidR="00295498">
        <w:rPr>
          <w:rFonts w:ascii="Lato" w:eastAsiaTheme="minorHAnsi" w:hAnsi="Lato" w:cs="Lao UI"/>
          <w:bCs/>
          <w:iCs/>
          <w:spacing w:val="4"/>
          <w:sz w:val="22"/>
          <w:szCs w:val="22"/>
          <w:lang w:eastAsia="en-US" w:bidi="pl-PL"/>
        </w:rPr>
        <w:t xml:space="preserve">art. </w:t>
      </w:r>
      <w:r w:rsidRPr="0009014A">
        <w:rPr>
          <w:rFonts w:ascii="Lato" w:eastAsiaTheme="minorHAnsi" w:hAnsi="Lato" w:cs="Lao UI"/>
          <w:bCs/>
          <w:iCs/>
          <w:spacing w:val="4"/>
          <w:sz w:val="22"/>
          <w:szCs w:val="22"/>
          <w:lang w:eastAsia="en-US" w:bidi="pl-PL"/>
        </w:rPr>
        <w:t xml:space="preserve">52 ust. 1 ustawy CPK w związku z art. 2 ww. ustawy nowelizującej z dnia 24 września 2025 r. określenie terminu wydania nieruchomości powinno nastąpić stosownie </w:t>
      </w:r>
      <w:r w:rsidR="00364C73">
        <w:rPr>
          <w:rFonts w:ascii="Lato" w:eastAsiaTheme="minorHAnsi" w:hAnsi="Lato" w:cs="Lao UI"/>
          <w:bCs/>
          <w:iCs/>
          <w:spacing w:val="4"/>
          <w:sz w:val="22"/>
          <w:szCs w:val="22"/>
          <w:lang w:eastAsia="en-US" w:bidi="pl-PL"/>
        </w:rPr>
        <w:br/>
      </w:r>
      <w:r w:rsidRPr="0009014A">
        <w:rPr>
          <w:rFonts w:ascii="Lato" w:eastAsiaTheme="minorHAnsi" w:hAnsi="Lato" w:cs="Lao UI"/>
          <w:bCs/>
          <w:iCs/>
          <w:spacing w:val="4"/>
          <w:sz w:val="22"/>
          <w:szCs w:val="22"/>
          <w:lang w:eastAsia="en-US" w:bidi="pl-PL"/>
        </w:rPr>
        <w:t>do obecnego brzmienia art. 52 ust. 1 ustawy CPK, tj. termin wydania nieruchomości, opróżnienia lokali i innych pomieszczeń oraz faktycznego objęcia nieru</w:t>
      </w:r>
      <w:r w:rsidRPr="0009014A">
        <w:rPr>
          <w:rFonts w:ascii="Lato" w:eastAsiaTheme="minorHAnsi" w:hAnsi="Lato" w:cs="Lao UI"/>
          <w:bCs/>
          <w:iCs/>
          <w:spacing w:val="4"/>
          <w:sz w:val="22"/>
          <w:szCs w:val="22"/>
          <w:lang w:eastAsia="en-US" w:bidi="pl-PL"/>
        </w:rPr>
        <w:softHyphen/>
        <w:t xml:space="preserve">chomości </w:t>
      </w:r>
      <w:r w:rsidRPr="0009014A">
        <w:rPr>
          <w:rFonts w:ascii="Lato" w:eastAsiaTheme="minorHAnsi" w:hAnsi="Lato" w:cs="Lao UI"/>
          <w:bCs/>
          <w:iCs/>
          <w:spacing w:val="4"/>
          <w:sz w:val="22"/>
          <w:szCs w:val="22"/>
          <w:lang w:eastAsia="en-US" w:bidi="pl-PL"/>
        </w:rPr>
        <w:br/>
        <w:t xml:space="preserve">w posiadanie przez Spółkę Celową określa się na 120 dni, licząc od dnia, w którym decyzja o ustaleniu lokalizacji inwestycji w zakresie CPK stała się ostateczna. Jednocześnie inwestor zaznaczył, że nie składa wniosku o wyznaczenie dłuższych terminów wydania, o których mowa w art. 52 ust. 1 ustawy CPK in fine. </w:t>
      </w:r>
    </w:p>
    <w:p w14:paraId="78E79564" w14:textId="27033384" w:rsidR="0009014A" w:rsidRPr="0009014A" w:rsidRDefault="0009014A" w:rsidP="0009014A">
      <w:pPr>
        <w:spacing w:after="240" w:line="240" w:lineRule="exact"/>
        <w:jc w:val="both"/>
        <w:rPr>
          <w:rFonts w:ascii="Lato" w:eastAsiaTheme="minorHAnsi" w:hAnsi="Lato" w:cs="Lao UI"/>
          <w:bCs/>
          <w:iCs/>
          <w:color w:val="EE0000"/>
          <w:spacing w:val="4"/>
          <w:sz w:val="22"/>
          <w:szCs w:val="22"/>
          <w:lang w:eastAsia="en-US" w:bidi="pl-PL"/>
        </w:rPr>
      </w:pPr>
      <w:r w:rsidRPr="0009014A">
        <w:rPr>
          <w:rFonts w:ascii="Lato" w:eastAsiaTheme="minorHAnsi" w:hAnsi="Lato" w:cs="Lao UI"/>
          <w:bCs/>
          <w:iCs/>
          <w:spacing w:val="4"/>
          <w:sz w:val="22"/>
          <w:szCs w:val="22"/>
          <w:lang w:eastAsia="en-US" w:bidi="pl-PL"/>
        </w:rPr>
        <w:t xml:space="preserve">W piśmie z dnia 17 grudnia 2025 r., znak: LZS.41.20.2025, uzupełnionym pismem z dnia 28 stycznia 2026 r., znak: LZS.41.1.2026, inwestor przedstawił kompleksowy wykaz zmian do wprowadzenia w rozstrzygnięciu decyzji Wojewody Mazowieckiego, jak i w załącznikach graficznych do tej decyzji (mapa z zakresem </w:t>
      </w:r>
      <w:r w:rsidR="00857014">
        <w:rPr>
          <w:rFonts w:ascii="Lato" w:eastAsiaTheme="minorHAnsi" w:hAnsi="Lato" w:cs="Lao UI"/>
          <w:bCs/>
          <w:iCs/>
          <w:spacing w:val="4"/>
          <w:sz w:val="22"/>
          <w:szCs w:val="22"/>
          <w:lang w:eastAsia="en-US" w:bidi="pl-PL"/>
        </w:rPr>
        <w:t>I</w:t>
      </w:r>
      <w:r w:rsidRPr="0009014A">
        <w:rPr>
          <w:rFonts w:ascii="Lato" w:eastAsiaTheme="minorHAnsi" w:hAnsi="Lato" w:cs="Lao UI"/>
          <w:bCs/>
          <w:iCs/>
          <w:spacing w:val="4"/>
          <w:sz w:val="22"/>
          <w:szCs w:val="22"/>
          <w:lang w:eastAsia="en-US" w:bidi="pl-PL"/>
        </w:rPr>
        <w:t xml:space="preserve">nwestycji i dokumentacja podziałowa) uwzględniający okoliczności wynikłe w toku postępowania odwoławczego (w zasadniczym zarysie opisane powyżej), jak i inne okoliczności wynikłe w toku postępowania odwoławczego, o których będzie mowa przy rozpatrywaniu zarzutów poszczególnych odwołań. Odnosząc się do działek nabytych przez CPK Sp. o.o. w ramach tzw. Programu Dobrowolnych Nabyć, inwestor przedstawił wpływ tych zdarzeń na poszczególne tabele decyzji Wojewody Mazowieckiego. Ponadto inwestor uwzględnił podziały nieruchomości zrealizowane z własnej inicjatywy stron postępowania </w:t>
      </w:r>
      <w:r w:rsidR="00B40B12">
        <w:rPr>
          <w:rFonts w:ascii="Lato" w:eastAsiaTheme="minorHAnsi" w:hAnsi="Lato" w:cs="Lao UI"/>
          <w:bCs/>
          <w:iCs/>
          <w:spacing w:val="4"/>
          <w:sz w:val="22"/>
          <w:szCs w:val="22"/>
          <w:lang w:eastAsia="en-US" w:bidi="pl-PL"/>
        </w:rPr>
        <w:t>[</w:t>
      </w:r>
      <w:r w:rsidRPr="0009014A">
        <w:rPr>
          <w:rFonts w:ascii="Lato" w:eastAsiaTheme="minorHAnsi" w:hAnsi="Lato" w:cs="Lao UI"/>
          <w:bCs/>
          <w:iCs/>
          <w:spacing w:val="4"/>
          <w:sz w:val="22"/>
          <w:szCs w:val="22"/>
          <w:lang w:eastAsia="en-US" w:bidi="pl-PL"/>
        </w:rPr>
        <w:t>Państwa K</w:t>
      </w:r>
      <w:r w:rsidR="00B40B12">
        <w:rPr>
          <w:rFonts w:ascii="Lato" w:eastAsiaTheme="minorHAnsi" w:hAnsi="Lato" w:cs="Lao UI"/>
          <w:bCs/>
          <w:iCs/>
          <w:spacing w:val="4"/>
          <w:sz w:val="22"/>
          <w:szCs w:val="22"/>
          <w:lang w:eastAsia="en-US" w:bidi="pl-PL"/>
        </w:rPr>
        <w:t>.</w:t>
      </w:r>
      <w:r w:rsidRPr="0009014A">
        <w:rPr>
          <w:rFonts w:ascii="Lato" w:eastAsiaTheme="minorHAnsi" w:hAnsi="Lato" w:cs="Lao UI"/>
          <w:bCs/>
          <w:iCs/>
          <w:spacing w:val="4"/>
          <w:sz w:val="22"/>
          <w:szCs w:val="22"/>
          <w:lang w:eastAsia="en-US" w:bidi="pl-PL"/>
        </w:rPr>
        <w:t xml:space="preserve"> i spółki </w:t>
      </w:r>
      <w:r w:rsidR="00B40B12">
        <w:rPr>
          <w:rFonts w:ascii="Lato" w:eastAsiaTheme="minorHAnsi" w:hAnsi="Lato" w:cs="Lao UI"/>
          <w:bCs/>
          <w:iCs/>
          <w:spacing w:val="4"/>
          <w:sz w:val="22"/>
          <w:szCs w:val="22"/>
          <w:lang w:eastAsia="en-US" w:bidi="pl-PL"/>
        </w:rPr>
        <w:t>(…)]</w:t>
      </w:r>
      <w:r w:rsidRPr="0009014A">
        <w:rPr>
          <w:rFonts w:ascii="Lato" w:eastAsiaTheme="minorHAnsi" w:hAnsi="Lato" w:cs="Lao UI"/>
          <w:bCs/>
          <w:iCs/>
          <w:spacing w:val="4"/>
          <w:sz w:val="22"/>
          <w:szCs w:val="22"/>
          <w:lang w:eastAsia="en-US" w:bidi="pl-PL"/>
        </w:rPr>
        <w:t>. Inwestor zwrócił również uwagę na konieczność korekty zapisu w pkt VIII ppkt 2 decyzji Wojewody Mazowieckiego, gdzie napisano</w:t>
      </w:r>
      <w:r w:rsidR="00364C73">
        <w:rPr>
          <w:rFonts w:ascii="Lato" w:eastAsiaTheme="minorHAnsi" w:hAnsi="Lato" w:cs="Lao UI"/>
          <w:bCs/>
          <w:iCs/>
          <w:spacing w:val="4"/>
          <w:sz w:val="22"/>
          <w:szCs w:val="22"/>
          <w:lang w:eastAsia="en-US" w:bidi="pl-PL"/>
        </w:rPr>
        <w:t xml:space="preserve">: </w:t>
      </w:r>
      <w:r w:rsidRPr="0009014A">
        <w:rPr>
          <w:rFonts w:ascii="Lato" w:eastAsiaTheme="minorHAnsi" w:hAnsi="Lato" w:cs="Lao UI"/>
          <w:bCs/>
          <w:iCs/>
          <w:spacing w:val="4"/>
          <w:sz w:val="22"/>
          <w:szCs w:val="22"/>
          <w:lang w:eastAsia="en-US" w:bidi="pl-PL"/>
        </w:rPr>
        <w:t xml:space="preserve">„Mapy z projektem podziału nieruchomości stanowią załączniki nr 65-131 do niniejszej decyzji”, podczas gdy mapy </w:t>
      </w:r>
      <w:r w:rsidR="00B40B12">
        <w:rPr>
          <w:rFonts w:ascii="Lato" w:eastAsiaTheme="minorHAnsi" w:hAnsi="Lato" w:cs="Lao UI"/>
          <w:bCs/>
          <w:iCs/>
          <w:spacing w:val="4"/>
          <w:sz w:val="22"/>
          <w:szCs w:val="22"/>
          <w:lang w:eastAsia="en-US" w:bidi="pl-PL"/>
        </w:rPr>
        <w:br/>
      </w:r>
      <w:r w:rsidRPr="0009014A">
        <w:rPr>
          <w:rFonts w:ascii="Lato" w:eastAsiaTheme="minorHAnsi" w:hAnsi="Lato" w:cs="Lao UI"/>
          <w:bCs/>
          <w:iCs/>
          <w:spacing w:val="4"/>
          <w:sz w:val="22"/>
          <w:szCs w:val="22"/>
          <w:lang w:eastAsia="en-US" w:bidi="pl-PL"/>
        </w:rPr>
        <w:t xml:space="preserve">z projektem podziału nieruchomości stanowią załączniki nr 65-151. W związku z tym, inwestor zawnioskował o korektę w przytoczonej sentencji liczby „131” na „151”. </w:t>
      </w:r>
      <w:r w:rsidR="00B40B12">
        <w:rPr>
          <w:rFonts w:ascii="Lato" w:eastAsiaTheme="minorHAnsi" w:hAnsi="Lato" w:cs="Lao UI"/>
          <w:bCs/>
          <w:iCs/>
          <w:spacing w:val="4"/>
          <w:sz w:val="22"/>
          <w:szCs w:val="22"/>
          <w:lang w:eastAsia="en-US" w:bidi="pl-PL"/>
        </w:rPr>
        <w:br/>
      </w:r>
      <w:r w:rsidRPr="0009014A">
        <w:rPr>
          <w:rFonts w:ascii="Lato" w:eastAsiaTheme="minorHAnsi" w:hAnsi="Lato" w:cs="Lao UI"/>
          <w:bCs/>
          <w:iCs/>
          <w:spacing w:val="4"/>
          <w:sz w:val="22"/>
          <w:szCs w:val="22"/>
          <w:lang w:eastAsia="en-US" w:bidi="pl-PL"/>
        </w:rPr>
        <w:t xml:space="preserve">W końcowej części pisma z dnia 17 grudnia 2025 r. inwestor wskazał wpływ nabycia nieruchomości przez CPK Sp. o.o. na złożone uprzednio informacje dotyczące służebności przejazdu i przechodu oraz wygaśnięcie interesu prawnego niektórych stron postępowania w związku nabyciem na jego rzecz działek niektórych odwołujących objętych zaskarżoną decyzją. </w:t>
      </w:r>
    </w:p>
    <w:p w14:paraId="675B0540" w14:textId="33D3A045" w:rsidR="0009014A" w:rsidRPr="0009014A" w:rsidRDefault="0009014A" w:rsidP="0009014A">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sidRPr="0009014A">
        <w:rPr>
          <w:rFonts w:ascii="Lato" w:eastAsiaTheme="minorHAnsi" w:hAnsi="Lato" w:cs="Lato-Regular"/>
          <w:bCs/>
          <w:iCs/>
          <w:spacing w:val="4"/>
          <w:sz w:val="22"/>
          <w:szCs w:val="22"/>
          <w:lang w:eastAsia="en-US" w:bidi="pl-PL"/>
        </w:rPr>
        <w:lastRenderedPageBreak/>
        <w:t>Konsekwencją opisanych powyżej okoliczności i stwierdzonych błędów w decyzji Wojewody Mazowieckiego są – dokonane na podstawie art. 138 § 1 pkt 2 kpa – zmiany określone w pkt I-II niniejszej decyzji. W pkt I niniejszej decyzji, Minister dokonał zmian w poszczególnych jednostkach redakcyjnych decyzji Wojewody Mazowieckiego, jak i w załącznikach graficznych do tej decyzji, uwzględniających okoliczności wynikające z ww. pisma inwestora, w tym dotyczące nabycia na własność inwestora poszczególnych nieruchomości i podziały nieruchomości zrealizowane z własnej inicjatywy przez niektórych skarżących (przeniesienie działek pomiędzy poszczególnymi tabelami znajdującym</w:t>
      </w:r>
      <w:r w:rsidR="004B10DD">
        <w:rPr>
          <w:rFonts w:ascii="Lato" w:eastAsiaTheme="minorHAnsi" w:hAnsi="Lato" w:cs="Lato-Regular"/>
          <w:bCs/>
          <w:iCs/>
          <w:spacing w:val="4"/>
          <w:sz w:val="22"/>
          <w:szCs w:val="22"/>
          <w:lang w:eastAsia="en-US" w:bidi="pl-PL"/>
        </w:rPr>
        <w:t>i</w:t>
      </w:r>
      <w:r w:rsidRPr="0009014A">
        <w:rPr>
          <w:rFonts w:ascii="Lato" w:eastAsiaTheme="minorHAnsi" w:hAnsi="Lato" w:cs="Lato-Regular"/>
          <w:bCs/>
          <w:iCs/>
          <w:spacing w:val="4"/>
          <w:sz w:val="22"/>
          <w:szCs w:val="22"/>
          <w:lang w:eastAsia="en-US" w:bidi="pl-PL"/>
        </w:rPr>
        <w:t xml:space="preserve"> się w decyzji Wojewody Mazowieckiego). </w:t>
      </w:r>
    </w:p>
    <w:p w14:paraId="1FB7A923" w14:textId="5B6FE3C3" w:rsidR="004B10DD" w:rsidRPr="004B10DD" w:rsidRDefault="0009014A" w:rsidP="004B10DD">
      <w:pPr>
        <w:autoSpaceDE w:val="0"/>
        <w:autoSpaceDN w:val="0"/>
        <w:adjustRightInd w:val="0"/>
        <w:spacing w:after="240" w:line="240" w:lineRule="exact"/>
        <w:jc w:val="both"/>
        <w:rPr>
          <w:rFonts w:ascii="Lato" w:eastAsia="Aptos" w:hAnsi="Lato" w:cs="Aptos"/>
          <w:spacing w:val="4"/>
          <w:sz w:val="22"/>
          <w:szCs w:val="22"/>
          <w:lang w:eastAsia="en-US"/>
          <w14:ligatures w14:val="standardContextual"/>
        </w:rPr>
      </w:pPr>
      <w:r w:rsidRPr="0009014A">
        <w:rPr>
          <w:rFonts w:ascii="Lato" w:eastAsiaTheme="minorHAnsi" w:hAnsi="Lato" w:cs="Lato-Regular"/>
          <w:bCs/>
          <w:iCs/>
          <w:spacing w:val="4"/>
          <w:sz w:val="22"/>
          <w:szCs w:val="22"/>
          <w:lang w:eastAsia="en-US" w:bidi="pl-PL"/>
        </w:rPr>
        <w:t xml:space="preserve">W pkt II niniejszej decyzji, Minister skorygował treść pkt XIII na str. 152 zaskarżonej </w:t>
      </w:r>
      <w:r w:rsidRPr="0009014A">
        <w:rPr>
          <w:rFonts w:ascii="Lato" w:eastAsiaTheme="minorHAnsi" w:hAnsi="Lato" w:cs="Lato-Regular"/>
          <w:bCs/>
          <w:iCs/>
          <w:spacing w:val="4"/>
          <w:sz w:val="22"/>
          <w:szCs w:val="22"/>
          <w:lang w:eastAsia="en-US" w:bidi="pl-PL"/>
        </w:rPr>
        <w:br/>
        <w:t xml:space="preserve">w sposób uwzględniający aktualne brzmienie art. 40 ust. 2 pkt 11 i art. 52 ust. 1 ustawy CPK wynikające z ww. ustawy z dnia 24 września 2025 r. o zmianie ustawy o Centralnym Porcie Komunikacyjnym i konieczności stosowania jej zapisów w niniejszej sprawie, zgodnie z przepisem przejściowym zawartym w art. 2 ustawy nowelizującej. </w:t>
      </w:r>
      <w:r w:rsidR="004B10DD" w:rsidRPr="004B10DD">
        <w:rPr>
          <w:rFonts w:ascii="Lato" w:eastAsia="Aptos" w:hAnsi="Lato" w:cs="Aptos"/>
          <w:spacing w:val="4"/>
          <w:sz w:val="22"/>
          <w:szCs w:val="22"/>
          <w:lang w:eastAsia="en-US"/>
          <w14:ligatures w14:val="standardContextual"/>
        </w:rPr>
        <w:t>Koniecznoś</w:t>
      </w:r>
      <w:r w:rsidR="00857014">
        <w:rPr>
          <w:rFonts w:ascii="Lato" w:eastAsia="Aptos" w:hAnsi="Lato" w:cs="Aptos"/>
          <w:spacing w:val="4"/>
          <w:sz w:val="22"/>
          <w:szCs w:val="22"/>
          <w:lang w:eastAsia="en-US"/>
          <w14:ligatures w14:val="standardContextual"/>
        </w:rPr>
        <w:t>ć</w:t>
      </w:r>
      <w:r w:rsidR="004B10DD" w:rsidRPr="004B10DD">
        <w:rPr>
          <w:rFonts w:ascii="Lato" w:eastAsia="Aptos" w:hAnsi="Lato" w:cs="Aptos"/>
          <w:spacing w:val="4"/>
          <w:sz w:val="22"/>
          <w:szCs w:val="22"/>
          <w:lang w:eastAsia="en-US"/>
          <w14:ligatures w14:val="standardContextual"/>
        </w:rPr>
        <w:t xml:space="preserve"> dokonania korekty w tym zakresie - uwzględniającej aktualne brzmienie art. 40 ust. 2 pkt</w:t>
      </w:r>
      <w:r w:rsidR="00717372">
        <w:rPr>
          <w:rFonts w:ascii="Lato" w:eastAsia="Aptos" w:hAnsi="Lato" w:cs="Aptos"/>
          <w:spacing w:val="4"/>
          <w:sz w:val="22"/>
          <w:szCs w:val="22"/>
          <w:lang w:eastAsia="en-US"/>
          <w14:ligatures w14:val="standardContextual"/>
        </w:rPr>
        <w:t xml:space="preserve"> </w:t>
      </w:r>
      <w:r w:rsidR="004B10DD" w:rsidRPr="004B10DD">
        <w:rPr>
          <w:rFonts w:ascii="Lato" w:eastAsia="Aptos" w:hAnsi="Lato" w:cs="Aptos"/>
          <w:spacing w:val="4"/>
          <w:sz w:val="22"/>
          <w:szCs w:val="22"/>
          <w:lang w:eastAsia="en-US"/>
          <w14:ligatures w14:val="standardContextual"/>
        </w:rPr>
        <w:t xml:space="preserve">11 i art. 52 ust. 1 ustawy CPK - nie zmienia fakt, że postanowieniem </w:t>
      </w:r>
      <w:r w:rsidR="00857014">
        <w:rPr>
          <w:rFonts w:ascii="Lato" w:eastAsia="Aptos" w:hAnsi="Lato" w:cs="Aptos"/>
          <w:spacing w:val="4"/>
          <w:sz w:val="22"/>
          <w:szCs w:val="22"/>
          <w:lang w:eastAsia="en-US"/>
          <w14:ligatures w14:val="standardContextual"/>
        </w:rPr>
        <w:br/>
      </w:r>
      <w:r w:rsidR="004B10DD" w:rsidRPr="004B10DD">
        <w:rPr>
          <w:rFonts w:ascii="Lato" w:eastAsia="Aptos" w:hAnsi="Lato" w:cs="Aptos"/>
          <w:spacing w:val="4"/>
          <w:sz w:val="22"/>
          <w:szCs w:val="22"/>
          <w:lang w:eastAsia="en-US"/>
          <w14:ligatures w14:val="standardContextual"/>
        </w:rPr>
        <w:t xml:space="preserve">Nr 1777/SAAB/2025 z dnia 8 grudnia 2025 r., znak: WIR-I.746.1.44.2023, WIR-I.747.6.28.2023, Wojewoda Mazowiecki nadał rygor natychmiastowej wykonalności decyzji Wojewody Mazowieckiego. Nadany decyzji rygor natychmiastowej wykonalności funkcjonuje tylko do czasu uzyskania przez decyzję waloru ostateczności [por. wyroki Wojewódzkiego Sądu Administracyjnego w Warszawie z dnia 20 września 2012 r., sygn. akt VII SA/Wa 1417/12, i z dnia 2 marca 2023 r., sygn. akt VII SA/Wa 1802/21, opubl. Centralna Baza Orzeczeń Sądów Administracyjnych, wydane w sprawach rozpatrywanych na podstawie ustawy z dnia 10 kwietnia 2003 r. o szczególnych zasadach przygotowania i realizacji inwestycji w zakresie dróg publicznych (t.j. Dz.U. </w:t>
      </w:r>
      <w:r w:rsidR="004B10DD">
        <w:rPr>
          <w:rFonts w:ascii="Lato" w:eastAsia="Aptos" w:hAnsi="Lato" w:cs="Aptos"/>
          <w:spacing w:val="4"/>
          <w:sz w:val="22"/>
          <w:szCs w:val="22"/>
          <w:lang w:eastAsia="en-US"/>
          <w14:ligatures w14:val="standardContextual"/>
        </w:rPr>
        <w:br/>
      </w:r>
      <w:r w:rsidR="004B10DD" w:rsidRPr="004B10DD">
        <w:rPr>
          <w:rFonts w:ascii="Lato" w:eastAsia="Aptos" w:hAnsi="Lato" w:cs="Aptos"/>
          <w:spacing w:val="4"/>
          <w:sz w:val="22"/>
          <w:szCs w:val="22"/>
          <w:lang w:eastAsia="en-US"/>
          <w14:ligatures w14:val="standardContextual"/>
        </w:rPr>
        <w:t xml:space="preserve">z 2024 r. poz. 311) i ustawy z dnia 28 marca 2003 r. o transporcie kolejowym (t.j. Dz.U. z 2025 r. poz. 1234), lecz w przedmiotowym zakresie podobnej do rozwiązań przyjętych w ustawie CPK]. Uzyskanie zatem przez decyzję Wojewody Mazowieckiego waloru ostateczności skutkuje ustaniem natychmiastowej wykonalności, wobec czego wykonanie tej decyzji wynika z faktu jej ostateczności, a nie przymiotu natychmiastowej wykonalności. Dlatego też konieczne jest rozstrzygnięcie przez Ministra w decyzji ostatecznej o terminie wydania nieruchomości </w:t>
      </w:r>
      <w:r w:rsidR="00857014" w:rsidRPr="00857014">
        <w:rPr>
          <w:rFonts w:ascii="Lato" w:eastAsia="Aptos" w:hAnsi="Lato" w:cs="Aptos"/>
          <w:bCs/>
          <w:spacing w:val="4"/>
          <w:sz w:val="22"/>
          <w:szCs w:val="22"/>
          <w:lang w:eastAsia="en-US"/>
          <w14:ligatures w14:val="standardContextual"/>
        </w:rPr>
        <w:t xml:space="preserve">opróżnienia lokali i innych pomieszczeń oraz faktycznego objęcia nieruchomości </w:t>
      </w:r>
      <w:r w:rsidR="00857014" w:rsidRPr="004B10DD">
        <w:rPr>
          <w:rFonts w:ascii="Lato" w:eastAsia="Aptos" w:hAnsi="Lato" w:cs="Aptos"/>
          <w:bCs/>
          <w:spacing w:val="4"/>
          <w:sz w:val="22"/>
          <w:szCs w:val="22"/>
          <w:lang w:eastAsia="en-US"/>
          <w14:ligatures w14:val="standardContextual"/>
        </w:rPr>
        <w:t xml:space="preserve">niezbędnych dla realizacji Inwestycji </w:t>
      </w:r>
      <w:r w:rsidR="00857014">
        <w:rPr>
          <w:rFonts w:ascii="Lato" w:eastAsia="Aptos" w:hAnsi="Lato" w:cs="Aptos"/>
          <w:bCs/>
          <w:spacing w:val="4"/>
          <w:sz w:val="22"/>
          <w:szCs w:val="22"/>
          <w:lang w:eastAsia="en-US"/>
          <w14:ligatures w14:val="standardContextual"/>
        </w:rPr>
        <w:br/>
      </w:r>
      <w:r w:rsidR="00857014" w:rsidRPr="00857014">
        <w:rPr>
          <w:rFonts w:ascii="Lato" w:eastAsia="Aptos" w:hAnsi="Lato" w:cs="Aptos"/>
          <w:bCs/>
          <w:spacing w:val="4"/>
          <w:sz w:val="22"/>
          <w:szCs w:val="22"/>
          <w:lang w:eastAsia="en-US"/>
          <w14:ligatures w14:val="standardContextual"/>
        </w:rPr>
        <w:t>w posiadanie przez</w:t>
      </w:r>
      <w:r w:rsidR="00857014">
        <w:rPr>
          <w:rFonts w:ascii="Lato" w:eastAsia="Aptos" w:hAnsi="Lato" w:cs="Aptos"/>
          <w:bCs/>
          <w:spacing w:val="4"/>
          <w:sz w:val="22"/>
          <w:szCs w:val="22"/>
          <w:lang w:eastAsia="en-US"/>
          <w14:ligatures w14:val="standardContextual"/>
        </w:rPr>
        <w:t xml:space="preserve"> inwestora</w:t>
      </w:r>
      <w:r w:rsidR="00857014">
        <w:rPr>
          <w:rFonts w:ascii="Lato" w:eastAsia="Aptos" w:hAnsi="Lato" w:cs="Aptos"/>
          <w:spacing w:val="4"/>
          <w:sz w:val="22"/>
          <w:szCs w:val="22"/>
          <w:lang w:eastAsia="en-US"/>
          <w14:ligatures w14:val="standardContextual"/>
        </w:rPr>
        <w:t xml:space="preserve">, </w:t>
      </w:r>
      <w:r w:rsidR="004B10DD" w:rsidRPr="004B10DD">
        <w:rPr>
          <w:rFonts w:ascii="Lato" w:eastAsia="Aptos" w:hAnsi="Lato" w:cs="Aptos"/>
          <w:spacing w:val="4"/>
          <w:sz w:val="22"/>
          <w:szCs w:val="22"/>
          <w:lang w:eastAsia="en-US"/>
          <w14:ligatures w14:val="standardContextual"/>
        </w:rPr>
        <w:t xml:space="preserve">w sytuacji uzyskania przez decyzję </w:t>
      </w:r>
      <w:r w:rsidR="004B10DD">
        <w:rPr>
          <w:rFonts w:ascii="Lato" w:eastAsia="Aptos" w:hAnsi="Lato" w:cs="Aptos"/>
          <w:spacing w:val="4"/>
          <w:sz w:val="22"/>
          <w:szCs w:val="22"/>
          <w:lang w:eastAsia="en-US"/>
          <w14:ligatures w14:val="standardContextual"/>
        </w:rPr>
        <w:t xml:space="preserve">o ustaleniu lokalizacji inwestycji w zakresie CPK </w:t>
      </w:r>
      <w:r w:rsidR="004B10DD" w:rsidRPr="004B10DD">
        <w:rPr>
          <w:rFonts w:ascii="Lato" w:eastAsia="Aptos" w:hAnsi="Lato" w:cs="Aptos"/>
          <w:spacing w:val="4"/>
          <w:sz w:val="22"/>
          <w:szCs w:val="22"/>
          <w:lang w:eastAsia="en-US"/>
          <w14:ligatures w14:val="standardContextual"/>
        </w:rPr>
        <w:t>waloru ostateczności.</w:t>
      </w:r>
    </w:p>
    <w:p w14:paraId="6088FFF3" w14:textId="7913F7F0" w:rsidR="0009014A" w:rsidRPr="0009014A" w:rsidRDefault="0009014A" w:rsidP="0009014A">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sidRPr="0009014A">
        <w:rPr>
          <w:rFonts w:ascii="Lato" w:eastAsiaTheme="minorHAnsi" w:hAnsi="Lato" w:cs="Lato-Regular"/>
          <w:bCs/>
          <w:iCs/>
          <w:spacing w:val="4"/>
          <w:sz w:val="22"/>
          <w:szCs w:val="22"/>
          <w:lang w:eastAsia="en-US" w:bidi="pl-PL"/>
        </w:rPr>
        <w:t xml:space="preserve">Dokonując powyższej korekty, Minister uwzględnił również, iż dotychczas określony </w:t>
      </w:r>
      <w:r w:rsidRPr="0009014A">
        <w:rPr>
          <w:rFonts w:ascii="Lato" w:eastAsiaTheme="minorHAnsi" w:hAnsi="Lato" w:cs="Lato-Regular"/>
          <w:bCs/>
          <w:iCs/>
          <w:spacing w:val="4"/>
          <w:sz w:val="22"/>
          <w:szCs w:val="22"/>
          <w:lang w:eastAsia="en-US" w:bidi="pl-PL"/>
        </w:rPr>
        <w:br/>
        <w:t>w pkt XIII na str. 152 inkryminowanej decyzji zapis określający termin wydania nieruchomości, opróżnienia lokali i innych pomieszczeń oraz faktycznego objęcia nieruchomości w posiadanie przez inwestora był nieprecyzyjny, bowiem nie wskazywał on konkretnego terminu wydania nieruchomości, opróżnienia lokali i innych pomieszczeń, a jedynie okres, w jakim nieruchomości mają zostać wydane, określony na „120 dni”, co należy uznać za określenie błędne, gdyż z tego zapisu decyzji Wojewody Mazowieckiego nie wynika bowiem, w którym dniu konkretyzuje się dla właścicieli bądź użytkowników wieczystych tych nieruchomości obowiązek ich wydania, opróżnienia lokali i innych pomieszczeń. O powodach pozostałych korekt dokonanych przez Ministra</w:t>
      </w:r>
      <w:r w:rsidRPr="0009014A">
        <w:rPr>
          <w:rFonts w:ascii="Lato" w:eastAsiaTheme="minorHAnsi" w:hAnsi="Lato" w:cs="Lato-Regular"/>
          <w:bCs/>
          <w:i/>
          <w:iCs/>
          <w:spacing w:val="4"/>
          <w:sz w:val="22"/>
          <w:szCs w:val="22"/>
          <w:lang w:eastAsia="en-US" w:bidi="pl-PL"/>
        </w:rPr>
        <w:t xml:space="preserve"> </w:t>
      </w:r>
      <w:r w:rsidRPr="0009014A">
        <w:rPr>
          <w:rFonts w:ascii="Lato" w:eastAsiaTheme="minorHAnsi" w:hAnsi="Lato" w:cs="Lato-Regular"/>
          <w:bCs/>
          <w:iCs/>
          <w:spacing w:val="4"/>
          <w:sz w:val="22"/>
          <w:szCs w:val="22"/>
          <w:lang w:eastAsia="en-US" w:bidi="pl-PL"/>
        </w:rPr>
        <w:t xml:space="preserve">w zaskarżonej decyzji, będzie mowa w dalszej części uzasadnienia niniejszej decyzji przy rozpatrywaniu zarzutów poszczególnych odwołań. Organ odwoławczy dokonując rozstrzygnięcia, o którym mowa w pkt I-II niniejszej decyzji, uznał, że nie narusza ono zasady dwuinstancyjności postępowania, o której mowa w art. 15 kpa </w:t>
      </w:r>
      <w:r w:rsidR="00FF4DA6">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szerzej to stanowisko zostanie uzasadnione przy rozpatrywaniu poszczególnych zarzutów Państwa K</w:t>
      </w:r>
      <w:r w:rsidR="00FF4DA6">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i spółki </w:t>
      </w:r>
      <w:r w:rsidR="00FF4DA6">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Badając zgodność z prawem pozostałej części zaskarżonej decyzji, organ odwoławczy stwierdził, że czyni ona zadość innym wymogom ustawy CPK i dlatego – </w:t>
      </w:r>
      <w:r w:rsidR="00FF4DA6">
        <w:rPr>
          <w:rFonts w:ascii="Lato" w:eastAsiaTheme="minorHAnsi" w:hAnsi="Lato" w:cs="Lato-Regular"/>
          <w:bCs/>
          <w:iCs/>
          <w:spacing w:val="4"/>
          <w:sz w:val="22"/>
          <w:szCs w:val="22"/>
          <w:lang w:eastAsia="en-US" w:bidi="pl-PL"/>
        </w:rPr>
        <w:br/>
      </w:r>
      <w:r w:rsidRPr="0009014A">
        <w:rPr>
          <w:rFonts w:ascii="Lato" w:eastAsiaTheme="minorHAnsi" w:hAnsi="Lato" w:cs="Lato-Regular"/>
          <w:bCs/>
          <w:iCs/>
          <w:spacing w:val="4"/>
          <w:sz w:val="22"/>
          <w:szCs w:val="22"/>
          <w:lang w:eastAsia="en-US" w:bidi="pl-PL"/>
        </w:rPr>
        <w:lastRenderedPageBreak/>
        <w:t>w pkt III niniejszej decyzji –w pozostałej części – zaskarżona decyzja Wojewody Mazowieckiego została utrzymana w mocy.</w:t>
      </w:r>
    </w:p>
    <w:p w14:paraId="02CFF774" w14:textId="6CDED94D" w:rsidR="0009014A" w:rsidRPr="0009014A" w:rsidRDefault="0009014A" w:rsidP="0009014A">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sidRPr="0009014A">
        <w:rPr>
          <w:rFonts w:ascii="Lato" w:eastAsiaTheme="minorHAnsi" w:hAnsi="Lato" w:cs="Lato-Regular"/>
          <w:bCs/>
          <w:iCs/>
          <w:spacing w:val="4"/>
          <w:sz w:val="22"/>
          <w:szCs w:val="22"/>
          <w:lang w:eastAsia="en-US" w:bidi="pl-PL"/>
        </w:rPr>
        <w:t>Uzasadniając rozstrzygnięcie podjęte w pkt IV niniejszej decyzji, tj. umorzenie postępowania odwoławczego w zakresie odwołania inwestora - CPK Sp. z o.o., Minister stwierdził, co następuje. W toku prowadzonego postępowania odwoławczego w sprawie decyzji Wojewody Mazowieckiego, inwestor poinformował organ odwoławczy o nabyciu na jego własność (w ramach tzw. Programu Dobrowolnych Nabyć) wszystkich nieruchomości stanowiących dotychczas własność Pani B</w:t>
      </w:r>
      <w:r w:rsidR="00B40B12">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J</w:t>
      </w:r>
      <w:r w:rsidR="00B40B12">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i Pana M</w:t>
      </w:r>
      <w:r w:rsidR="00B40B12">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J</w:t>
      </w:r>
      <w:r w:rsidR="00B40B12">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Pani A</w:t>
      </w:r>
      <w:r w:rsidR="00B40B12">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M</w:t>
      </w:r>
      <w:r w:rsidR="00B40B12">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w:t>
      </w:r>
      <w:r w:rsidR="00B40B12">
        <w:rPr>
          <w:rFonts w:ascii="Lato" w:eastAsiaTheme="minorHAnsi" w:hAnsi="Lato" w:cs="Lato-Regular"/>
          <w:bCs/>
          <w:iCs/>
          <w:spacing w:val="4"/>
          <w:sz w:val="22"/>
          <w:szCs w:val="22"/>
          <w:lang w:eastAsia="en-US" w:bidi="pl-PL"/>
        </w:rPr>
        <w:br/>
      </w:r>
      <w:r w:rsidRPr="0009014A">
        <w:rPr>
          <w:rFonts w:ascii="Lato" w:eastAsiaTheme="minorHAnsi" w:hAnsi="Lato" w:cs="Lato-Regular"/>
          <w:bCs/>
          <w:iCs/>
          <w:spacing w:val="4"/>
          <w:sz w:val="22"/>
          <w:szCs w:val="22"/>
          <w:lang w:eastAsia="en-US" w:bidi="pl-PL"/>
        </w:rPr>
        <w:t>i Pana S</w:t>
      </w:r>
      <w:r w:rsidR="00B40B12">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M</w:t>
      </w:r>
      <w:r w:rsidR="00B40B12">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Pani D</w:t>
      </w:r>
      <w:r w:rsidR="00B40B12">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K</w:t>
      </w:r>
      <w:r w:rsidR="00B40B12">
        <w:rPr>
          <w:rFonts w:ascii="Lato" w:eastAsiaTheme="minorHAnsi" w:hAnsi="Lato" w:cs="Lato-Regular"/>
          <w:bCs/>
          <w:iCs/>
          <w:spacing w:val="4"/>
          <w:sz w:val="22"/>
          <w:szCs w:val="22"/>
          <w:lang w:eastAsia="en-US" w:bidi="pl-PL"/>
        </w:rPr>
        <w:t xml:space="preserve">. </w:t>
      </w:r>
      <w:r w:rsidRPr="0009014A">
        <w:rPr>
          <w:rFonts w:ascii="Lato" w:eastAsiaTheme="minorHAnsi" w:hAnsi="Lato" w:cs="Lato-Regular"/>
          <w:bCs/>
          <w:iCs/>
          <w:spacing w:val="4"/>
          <w:sz w:val="22"/>
          <w:szCs w:val="22"/>
          <w:lang w:eastAsia="en-US" w:bidi="pl-PL"/>
        </w:rPr>
        <w:t>objętych decyzją Wojewody Mazowieckiego. W myśl art. 30 § 4 kpa w sprawach dotyczących praw zbywalnych lub dziedzicznych w razie zbycia prawa lub śmierci strony w toku postępowania na miejsce dotychczasowej strony wstępują jej następcy prawni. Prawo do własności nieruchomości jest prawem zbywalnym. Nowy właściciel/użytkownik wieczysty wchodzi zatem jako strona i adresat decyzji do wszelkich postępowań administracyjnych jakie w stosunku do tej nieruchomości się toczą, bez potrzeby wydania w tej kwestii odrębnego aktu.</w:t>
      </w:r>
    </w:p>
    <w:p w14:paraId="7F54DF60" w14:textId="02DA424E" w:rsidR="0009014A" w:rsidRPr="0009014A" w:rsidRDefault="0009014A" w:rsidP="0009014A">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sidRPr="0009014A">
        <w:rPr>
          <w:rFonts w:ascii="Lato" w:eastAsiaTheme="minorHAnsi" w:hAnsi="Lato" w:cs="Lato-Regular"/>
          <w:bCs/>
          <w:iCs/>
          <w:spacing w:val="4"/>
          <w:sz w:val="22"/>
          <w:szCs w:val="22"/>
          <w:lang w:eastAsia="en-US" w:bidi="pl-PL"/>
        </w:rPr>
        <w:t>Wobec powyższego, zgodnie z ww. art. 30 § 4 kpa, inwestor wstąpił w odwołania Pani B</w:t>
      </w:r>
      <w:r w:rsidR="00EB684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J</w:t>
      </w:r>
      <w:r w:rsidR="00EB684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i Pana M</w:t>
      </w:r>
      <w:r w:rsidR="00EB684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J</w:t>
      </w:r>
      <w:r w:rsidR="00EB684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Pani A</w:t>
      </w:r>
      <w:r w:rsidR="00EB684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M</w:t>
      </w:r>
      <w:r w:rsidR="00EB684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i Pana S</w:t>
      </w:r>
      <w:r w:rsidR="00EB684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M</w:t>
      </w:r>
      <w:r w:rsidR="00EB684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Pani D</w:t>
      </w:r>
      <w:r w:rsidR="00EB684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K</w:t>
      </w:r>
      <w:r w:rsidR="00EB684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wniesione od decyzji Wojewody Mazowieckiego i odwołania te zostały przez inwestora wycofane w pismach z dnia </w:t>
      </w:r>
      <w:r w:rsidRPr="0009014A">
        <w:rPr>
          <w:rFonts w:ascii="Lato" w:eastAsiaTheme="minorHAnsi" w:hAnsi="Lato" w:cs="Lato-Regular"/>
          <w:bCs/>
          <w:iCs/>
          <w:spacing w:val="4"/>
          <w:sz w:val="22"/>
          <w:szCs w:val="22"/>
          <w:lang w:eastAsia="en-US" w:bidi="pl-PL"/>
        </w:rPr>
        <w:br/>
        <w:t xml:space="preserve">17 grudnia 2025 r., znak: LZS.41.20.2025, i z dnia 28 stycznia 2026 r., znak: LZS.41.1.2026. </w:t>
      </w:r>
      <w:r w:rsidRPr="0009014A">
        <w:rPr>
          <w:rFonts w:ascii="Lato" w:hAnsi="Lato" w:cs="Arial"/>
          <w:spacing w:val="4"/>
          <w:sz w:val="22"/>
          <w:szCs w:val="22"/>
        </w:rPr>
        <w:t xml:space="preserve">Zgodnie z dyspozycją art. 137 </w:t>
      </w:r>
      <w:r w:rsidRPr="0009014A">
        <w:rPr>
          <w:rFonts w:ascii="Lato" w:hAnsi="Lato" w:cs="Arial"/>
          <w:iCs/>
          <w:spacing w:val="4"/>
          <w:sz w:val="22"/>
          <w:szCs w:val="22"/>
        </w:rPr>
        <w:t>kpa</w:t>
      </w:r>
      <w:r w:rsidRPr="0009014A">
        <w:rPr>
          <w:rFonts w:ascii="Lato" w:hAnsi="Lato" w:cs="Arial"/>
          <w:spacing w:val="4"/>
          <w:sz w:val="22"/>
          <w:szCs w:val="22"/>
        </w:rPr>
        <w:t xml:space="preserve">, strona może cofnąć odwołanie przed wydaniem decyzji przez organ drugiej instancji. Organ odwoławczy nie uwzględni jednak cofnięcia odwołania, jeżeli prowadziłoby to do utrzymania w mocy decyzji naruszającej prawo lub interes społeczny. </w:t>
      </w:r>
      <w:r w:rsidRPr="0009014A">
        <w:rPr>
          <w:rFonts w:ascii="Lato" w:hAnsi="Lato" w:cs="Arial"/>
          <w:iCs/>
          <w:spacing w:val="4"/>
          <w:sz w:val="22"/>
          <w:szCs w:val="22"/>
        </w:rPr>
        <w:t xml:space="preserve">Cofnięcie odwołania od decyzji organu pierwszej instancji wypełnia przesłankę bezprzedmiotowości postępowania określoną w art. 105 § 1 </w:t>
      </w:r>
      <w:r w:rsidRPr="0009014A">
        <w:rPr>
          <w:rFonts w:ascii="Lato" w:hAnsi="Lato" w:cs="Arial"/>
          <w:spacing w:val="4"/>
          <w:sz w:val="22"/>
          <w:szCs w:val="22"/>
        </w:rPr>
        <w:t>kpa</w:t>
      </w:r>
      <w:r w:rsidRPr="0009014A">
        <w:rPr>
          <w:rFonts w:ascii="Lato" w:hAnsi="Lato" w:cs="Arial"/>
          <w:iCs/>
          <w:spacing w:val="4"/>
          <w:sz w:val="22"/>
          <w:szCs w:val="22"/>
        </w:rPr>
        <w:t xml:space="preserve"> </w:t>
      </w:r>
      <w:r w:rsidRPr="0009014A">
        <w:rPr>
          <w:rFonts w:ascii="Lato" w:hAnsi="Lato" w:cs="Arial"/>
          <w:iCs/>
          <w:spacing w:val="4"/>
          <w:sz w:val="22"/>
          <w:szCs w:val="22"/>
        </w:rPr>
        <w:br/>
        <w:t xml:space="preserve">i skutkuje umorzeniem postępowania odwoławczego w trybie art. 138 § 1 pkt 3 </w:t>
      </w:r>
      <w:r w:rsidRPr="0009014A">
        <w:rPr>
          <w:rFonts w:ascii="Lato" w:hAnsi="Lato" w:cs="Arial"/>
          <w:spacing w:val="4"/>
          <w:sz w:val="22"/>
          <w:szCs w:val="22"/>
        </w:rPr>
        <w:t>kpa</w:t>
      </w:r>
      <w:r w:rsidRPr="0009014A">
        <w:rPr>
          <w:rFonts w:ascii="Lato" w:hAnsi="Lato" w:cs="Arial"/>
          <w:iCs/>
          <w:spacing w:val="4"/>
          <w:sz w:val="22"/>
          <w:szCs w:val="22"/>
        </w:rPr>
        <w:t>. Następstwem skutecznego cofnięcia odwołania przez stronę jest bezprzedmiotowość postępowania odwoławczego, co skutkuje jego umorzeniem</w:t>
      </w:r>
      <w:r w:rsidRPr="0009014A">
        <w:rPr>
          <w:rFonts w:ascii="Lato" w:hAnsi="Lato" w:cs="Arial"/>
          <w:spacing w:val="4"/>
          <w:sz w:val="22"/>
          <w:szCs w:val="22"/>
        </w:rPr>
        <w:t xml:space="preserve">. </w:t>
      </w:r>
      <w:r w:rsidRPr="0009014A">
        <w:rPr>
          <w:rFonts w:ascii="Lato" w:hAnsi="Lato" w:cs="Arial"/>
          <w:iCs/>
          <w:spacing w:val="4"/>
          <w:sz w:val="22"/>
          <w:szCs w:val="22"/>
        </w:rPr>
        <w:t xml:space="preserve">Cofnięcie odwołania oparte jest na zasadzie rozporządzalności, która jest jednak ograniczona. Podlega ona bowiem kontroli organu wyższego stopnia i w razie oceny, że prowadziłaby do utrzymania </w:t>
      </w:r>
      <w:r w:rsidRPr="0009014A">
        <w:rPr>
          <w:rFonts w:ascii="Lato" w:hAnsi="Lato" w:cs="Arial"/>
          <w:iCs/>
          <w:spacing w:val="4"/>
          <w:sz w:val="22"/>
          <w:szCs w:val="22"/>
        </w:rPr>
        <w:br/>
        <w:t>w mocy rozstrzygnięcia naruszającego prawo lub interes społeczny, cofnięcie nie mogłoby wywołać skutków prawnych. Wprowadzenie do konstrukcji prawnej odwołania ograniczonej rozporządzalności oznacza, że celem tego środka zaskarżenia jest nie tylko ochrona praw podmiotowych jednostki, ale i obiektywnego porządku prawnego.</w:t>
      </w:r>
    </w:p>
    <w:p w14:paraId="760A5598" w14:textId="23F90629" w:rsidR="0009014A" w:rsidRPr="0009014A" w:rsidRDefault="0009014A" w:rsidP="0009014A">
      <w:pPr>
        <w:spacing w:after="240" w:line="240" w:lineRule="exact"/>
        <w:jc w:val="both"/>
        <w:rPr>
          <w:rFonts w:ascii="Lato" w:hAnsi="Lato" w:cs="Arial"/>
          <w:iCs/>
          <w:spacing w:val="4"/>
          <w:sz w:val="22"/>
          <w:szCs w:val="22"/>
        </w:rPr>
      </w:pPr>
      <w:r w:rsidRPr="0009014A">
        <w:rPr>
          <w:rFonts w:ascii="Lato" w:hAnsi="Lato" w:cs="Arial"/>
          <w:spacing w:val="4"/>
          <w:sz w:val="22"/>
          <w:szCs w:val="22"/>
        </w:rPr>
        <w:t xml:space="preserve">W niniejszej sprawie, po zbadaniu </w:t>
      </w:r>
      <w:r w:rsidRPr="0009014A">
        <w:rPr>
          <w:rFonts w:ascii="Lato" w:hAnsi="Lato" w:cs="Arial"/>
          <w:iCs/>
          <w:spacing w:val="4"/>
          <w:sz w:val="22"/>
          <w:szCs w:val="22"/>
        </w:rPr>
        <w:t xml:space="preserve">decyzji Wojewody Mazowieckiego </w:t>
      </w:r>
      <w:r w:rsidRPr="0009014A">
        <w:rPr>
          <w:rFonts w:ascii="Lato" w:hAnsi="Lato" w:cs="Arial"/>
          <w:spacing w:val="4"/>
          <w:sz w:val="22"/>
          <w:szCs w:val="22"/>
        </w:rPr>
        <w:t xml:space="preserve">oraz kontroli postępowania przeprowadzonego przez organ I instancji, </w:t>
      </w:r>
      <w:r w:rsidRPr="0009014A">
        <w:rPr>
          <w:rFonts w:ascii="Lato" w:hAnsi="Lato" w:cs="Arial"/>
          <w:iCs/>
          <w:spacing w:val="4"/>
          <w:sz w:val="22"/>
          <w:szCs w:val="22"/>
        </w:rPr>
        <w:t>Minister</w:t>
      </w:r>
      <w:r w:rsidRPr="0009014A">
        <w:rPr>
          <w:rFonts w:ascii="Lato" w:hAnsi="Lato" w:cs="Arial"/>
          <w:spacing w:val="4"/>
          <w:sz w:val="22"/>
          <w:szCs w:val="22"/>
        </w:rPr>
        <w:t xml:space="preserve"> stwierdził, </w:t>
      </w:r>
      <w:r w:rsidRPr="0009014A">
        <w:rPr>
          <w:rFonts w:ascii="Lato" w:hAnsi="Lato" w:cs="Arial"/>
          <w:spacing w:val="4"/>
          <w:sz w:val="22"/>
          <w:szCs w:val="22"/>
        </w:rPr>
        <w:br/>
        <w:t xml:space="preserve">iż umorzenie postępowania odwoławczego, prowadzonego w m.in. wyniku odwołania inwestora (który </w:t>
      </w:r>
      <w:r w:rsidRPr="0009014A">
        <w:rPr>
          <w:rFonts w:ascii="Lato" w:hAnsi="Lato" w:cs="Arial"/>
          <w:bCs/>
          <w:iCs/>
          <w:spacing w:val="4"/>
          <w:sz w:val="22"/>
          <w:szCs w:val="22"/>
          <w:lang w:bidi="pl-PL"/>
        </w:rPr>
        <w:t>jest obecnie w miejsce Pani B</w:t>
      </w:r>
      <w:r w:rsidR="003C4384">
        <w:rPr>
          <w:rFonts w:ascii="Lato" w:hAnsi="Lato" w:cs="Arial"/>
          <w:bCs/>
          <w:iCs/>
          <w:spacing w:val="4"/>
          <w:sz w:val="22"/>
          <w:szCs w:val="22"/>
          <w:lang w:bidi="pl-PL"/>
        </w:rPr>
        <w:t>.</w:t>
      </w:r>
      <w:r w:rsidRPr="0009014A">
        <w:rPr>
          <w:rFonts w:ascii="Lato" w:hAnsi="Lato" w:cs="Arial"/>
          <w:bCs/>
          <w:iCs/>
          <w:spacing w:val="4"/>
          <w:sz w:val="22"/>
          <w:szCs w:val="22"/>
          <w:lang w:bidi="pl-PL"/>
        </w:rPr>
        <w:t xml:space="preserve"> J</w:t>
      </w:r>
      <w:r w:rsidR="003C4384">
        <w:rPr>
          <w:rFonts w:ascii="Lato" w:hAnsi="Lato" w:cs="Arial"/>
          <w:bCs/>
          <w:iCs/>
          <w:spacing w:val="4"/>
          <w:sz w:val="22"/>
          <w:szCs w:val="22"/>
          <w:lang w:bidi="pl-PL"/>
        </w:rPr>
        <w:t>.</w:t>
      </w:r>
      <w:r w:rsidRPr="0009014A">
        <w:rPr>
          <w:rFonts w:ascii="Lato" w:hAnsi="Lato" w:cs="Arial"/>
          <w:bCs/>
          <w:iCs/>
          <w:spacing w:val="4"/>
          <w:sz w:val="22"/>
          <w:szCs w:val="22"/>
          <w:lang w:bidi="pl-PL"/>
        </w:rPr>
        <w:t xml:space="preserve"> i Pana M</w:t>
      </w:r>
      <w:r w:rsidR="003C4384">
        <w:rPr>
          <w:rFonts w:ascii="Lato" w:hAnsi="Lato" w:cs="Arial"/>
          <w:bCs/>
          <w:iCs/>
          <w:spacing w:val="4"/>
          <w:sz w:val="22"/>
          <w:szCs w:val="22"/>
          <w:lang w:bidi="pl-PL"/>
        </w:rPr>
        <w:t>.</w:t>
      </w:r>
      <w:r w:rsidRPr="0009014A">
        <w:rPr>
          <w:rFonts w:ascii="Lato" w:hAnsi="Lato" w:cs="Arial"/>
          <w:bCs/>
          <w:iCs/>
          <w:spacing w:val="4"/>
          <w:sz w:val="22"/>
          <w:szCs w:val="22"/>
          <w:lang w:bidi="pl-PL"/>
        </w:rPr>
        <w:t xml:space="preserve"> J</w:t>
      </w:r>
      <w:r w:rsidR="003C4384">
        <w:rPr>
          <w:rFonts w:ascii="Lato" w:hAnsi="Lato" w:cs="Arial"/>
          <w:bCs/>
          <w:iCs/>
          <w:spacing w:val="4"/>
          <w:sz w:val="22"/>
          <w:szCs w:val="22"/>
          <w:lang w:bidi="pl-PL"/>
        </w:rPr>
        <w:t>.</w:t>
      </w:r>
      <w:r w:rsidRPr="0009014A">
        <w:rPr>
          <w:rFonts w:ascii="Lato" w:hAnsi="Lato" w:cs="Arial"/>
          <w:bCs/>
          <w:iCs/>
          <w:spacing w:val="4"/>
          <w:sz w:val="22"/>
          <w:szCs w:val="22"/>
          <w:lang w:bidi="pl-PL"/>
        </w:rPr>
        <w:t>, Pani A</w:t>
      </w:r>
      <w:r w:rsidR="003C4384">
        <w:rPr>
          <w:rFonts w:ascii="Lato" w:hAnsi="Lato" w:cs="Arial"/>
          <w:bCs/>
          <w:iCs/>
          <w:spacing w:val="4"/>
          <w:sz w:val="22"/>
          <w:szCs w:val="22"/>
          <w:lang w:bidi="pl-PL"/>
        </w:rPr>
        <w:t>.</w:t>
      </w:r>
      <w:r w:rsidRPr="0009014A">
        <w:rPr>
          <w:rFonts w:ascii="Lato" w:hAnsi="Lato" w:cs="Arial"/>
          <w:bCs/>
          <w:iCs/>
          <w:spacing w:val="4"/>
          <w:sz w:val="22"/>
          <w:szCs w:val="22"/>
          <w:lang w:bidi="pl-PL"/>
        </w:rPr>
        <w:t xml:space="preserve"> M</w:t>
      </w:r>
      <w:r w:rsidR="003C4384">
        <w:rPr>
          <w:rFonts w:ascii="Lato" w:hAnsi="Lato" w:cs="Arial"/>
          <w:bCs/>
          <w:iCs/>
          <w:spacing w:val="4"/>
          <w:sz w:val="22"/>
          <w:szCs w:val="22"/>
          <w:lang w:bidi="pl-PL"/>
        </w:rPr>
        <w:t xml:space="preserve">. </w:t>
      </w:r>
      <w:r w:rsidRPr="0009014A">
        <w:rPr>
          <w:rFonts w:ascii="Lato" w:hAnsi="Lato" w:cs="Arial"/>
          <w:bCs/>
          <w:iCs/>
          <w:spacing w:val="4"/>
          <w:sz w:val="22"/>
          <w:szCs w:val="22"/>
          <w:lang w:bidi="pl-PL"/>
        </w:rPr>
        <w:t>i Pana S</w:t>
      </w:r>
      <w:r w:rsidR="003C4384">
        <w:rPr>
          <w:rFonts w:ascii="Lato" w:hAnsi="Lato" w:cs="Arial"/>
          <w:bCs/>
          <w:iCs/>
          <w:spacing w:val="4"/>
          <w:sz w:val="22"/>
          <w:szCs w:val="22"/>
          <w:lang w:bidi="pl-PL"/>
        </w:rPr>
        <w:t>.</w:t>
      </w:r>
      <w:r w:rsidRPr="0009014A">
        <w:rPr>
          <w:rFonts w:ascii="Lato" w:hAnsi="Lato" w:cs="Arial"/>
          <w:bCs/>
          <w:iCs/>
          <w:spacing w:val="4"/>
          <w:sz w:val="22"/>
          <w:szCs w:val="22"/>
          <w:lang w:bidi="pl-PL"/>
        </w:rPr>
        <w:t xml:space="preserve"> M</w:t>
      </w:r>
      <w:r w:rsidR="003C4384">
        <w:rPr>
          <w:rFonts w:ascii="Lato" w:hAnsi="Lato" w:cs="Arial"/>
          <w:bCs/>
          <w:iCs/>
          <w:spacing w:val="4"/>
          <w:sz w:val="22"/>
          <w:szCs w:val="22"/>
          <w:lang w:bidi="pl-PL"/>
        </w:rPr>
        <w:t>.</w:t>
      </w:r>
      <w:r w:rsidRPr="0009014A">
        <w:rPr>
          <w:rFonts w:ascii="Lato" w:hAnsi="Lato" w:cs="Arial"/>
          <w:bCs/>
          <w:iCs/>
          <w:spacing w:val="4"/>
          <w:sz w:val="22"/>
          <w:szCs w:val="22"/>
          <w:lang w:bidi="pl-PL"/>
        </w:rPr>
        <w:t>, Pani D</w:t>
      </w:r>
      <w:r w:rsidR="003C4384">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3C4384">
        <w:rPr>
          <w:rFonts w:ascii="Lato" w:hAnsi="Lato" w:cs="Arial"/>
          <w:bCs/>
          <w:iCs/>
          <w:spacing w:val="4"/>
          <w:sz w:val="22"/>
          <w:szCs w:val="22"/>
          <w:lang w:bidi="pl-PL"/>
        </w:rPr>
        <w:t>.</w:t>
      </w:r>
      <w:r w:rsidRPr="0009014A">
        <w:rPr>
          <w:rFonts w:ascii="Lato" w:hAnsi="Lato" w:cs="Arial"/>
          <w:bCs/>
          <w:iCs/>
          <w:spacing w:val="4"/>
          <w:sz w:val="22"/>
          <w:szCs w:val="22"/>
          <w:lang w:bidi="pl-PL"/>
        </w:rPr>
        <w:t xml:space="preserve"> stroną postępowania w odniesieniu do ich nieruchomości)</w:t>
      </w:r>
      <w:r w:rsidRPr="0009014A">
        <w:rPr>
          <w:rFonts w:ascii="Lato" w:hAnsi="Lato" w:cs="Arial"/>
          <w:i/>
          <w:spacing w:val="4"/>
          <w:sz w:val="22"/>
          <w:szCs w:val="22"/>
        </w:rPr>
        <w:t>,</w:t>
      </w:r>
      <w:r w:rsidRPr="0009014A">
        <w:rPr>
          <w:rFonts w:ascii="Lato" w:hAnsi="Lato" w:cs="Arial"/>
          <w:spacing w:val="4"/>
          <w:sz w:val="22"/>
          <w:szCs w:val="22"/>
        </w:rPr>
        <w:t xml:space="preserve"> nie prowadzi do utrzymania w mocy decyzji naruszającej prawo lub interes społeczny. </w:t>
      </w:r>
      <w:r w:rsidRPr="0009014A">
        <w:rPr>
          <w:rFonts w:ascii="Lato" w:hAnsi="Lato" w:cs="Arial"/>
          <w:iCs/>
          <w:spacing w:val="4"/>
          <w:sz w:val="22"/>
          <w:szCs w:val="22"/>
        </w:rPr>
        <w:t xml:space="preserve">Zauważyć bowiem należy, że złożone odwołanie nie prowadzi do umorzenia całego postępowania odwoławczego w sprawie </w:t>
      </w:r>
      <w:r w:rsidRPr="0009014A">
        <w:rPr>
          <w:rFonts w:ascii="Lato" w:hAnsi="Lato" w:cs="Arial"/>
          <w:spacing w:val="4"/>
          <w:sz w:val="22"/>
          <w:szCs w:val="22"/>
        </w:rPr>
        <w:t>decyzji Wojewody Mazowieckiego</w:t>
      </w:r>
      <w:r w:rsidRPr="0009014A">
        <w:rPr>
          <w:rFonts w:ascii="Lato" w:hAnsi="Lato" w:cs="Arial"/>
          <w:i/>
          <w:iCs/>
          <w:spacing w:val="4"/>
          <w:sz w:val="22"/>
          <w:szCs w:val="22"/>
        </w:rPr>
        <w:t xml:space="preserve">, </w:t>
      </w:r>
      <w:r w:rsidRPr="0009014A">
        <w:rPr>
          <w:rFonts w:ascii="Lato" w:hAnsi="Lato" w:cs="Arial"/>
          <w:iCs/>
          <w:spacing w:val="4"/>
          <w:sz w:val="22"/>
          <w:szCs w:val="22"/>
        </w:rPr>
        <w:t xml:space="preserve">a jedynie do umorzenia postępowania w zakresie odwołania ww. osób (obecnie odwołania inwestora). </w:t>
      </w:r>
      <w:r w:rsidRPr="0009014A">
        <w:rPr>
          <w:rFonts w:ascii="Lato" w:hAnsi="Lato" w:cs="Arial"/>
          <w:spacing w:val="4"/>
          <w:sz w:val="22"/>
          <w:szCs w:val="22"/>
        </w:rPr>
        <w:t xml:space="preserve">Decyzja Wojewody Mazowieckiego </w:t>
      </w:r>
      <w:r w:rsidRPr="0009014A">
        <w:rPr>
          <w:rFonts w:ascii="Lato" w:hAnsi="Lato" w:cs="Arial"/>
          <w:iCs/>
          <w:spacing w:val="4"/>
          <w:sz w:val="22"/>
          <w:szCs w:val="22"/>
        </w:rPr>
        <w:t xml:space="preserve">stanowi bowiem przedmiot kontroli </w:t>
      </w:r>
      <w:r w:rsidRPr="0009014A">
        <w:rPr>
          <w:rFonts w:ascii="Lato" w:hAnsi="Lato" w:cs="Arial"/>
          <w:spacing w:val="4"/>
          <w:sz w:val="22"/>
          <w:szCs w:val="22"/>
        </w:rPr>
        <w:t>Ministra</w:t>
      </w:r>
      <w:r w:rsidRPr="0009014A">
        <w:rPr>
          <w:rFonts w:ascii="Lato" w:hAnsi="Lato" w:cs="Arial"/>
          <w:i/>
          <w:iCs/>
          <w:spacing w:val="4"/>
          <w:sz w:val="22"/>
          <w:szCs w:val="22"/>
        </w:rPr>
        <w:t>,</w:t>
      </w:r>
      <w:r w:rsidRPr="0009014A">
        <w:rPr>
          <w:rFonts w:ascii="Lato" w:hAnsi="Lato" w:cs="Arial"/>
          <w:spacing w:val="4"/>
          <w:sz w:val="22"/>
          <w:szCs w:val="22"/>
        </w:rPr>
        <w:t xml:space="preserve"> </w:t>
      </w:r>
      <w:r w:rsidRPr="0009014A">
        <w:rPr>
          <w:rFonts w:ascii="Lato" w:hAnsi="Lato" w:cs="Arial"/>
          <w:iCs/>
          <w:spacing w:val="4"/>
          <w:sz w:val="22"/>
          <w:szCs w:val="22"/>
        </w:rPr>
        <w:t>z uwagi na wniesienie od niej odwołań przez innych skarżących. Dodać należy, że skuteczne cofnięcie odwołania czyni bezprzedmiotowym odnoszenie się przez organ odwoławczy do zarzutów podnoszonych w odwołaniach wniesionych przez ówczesnych właścicieli. Wobec powyższego, oraz biorąc pod uwagę oceną prawną zawartą w wyroku Naczelnego Sądu Administracyjnego z dnia 17 stycznia 2019 r., sygn. akt II OSK 468/17 (opubl. Centralna Baza Orzeczeń Sądów Administracyjnych), dotyczącą konieczności orzekania co do wszystkich odwołań (w tym tych również cofniętych) w jednej decyzji, orzeczono jak w pkt IV rozstrzygnięcia niniejszej decyzji.</w:t>
      </w:r>
    </w:p>
    <w:p w14:paraId="05829265" w14:textId="77777777" w:rsidR="0009014A" w:rsidRPr="0009014A" w:rsidRDefault="0009014A" w:rsidP="0009014A">
      <w:pPr>
        <w:spacing w:after="240" w:line="240" w:lineRule="exact"/>
        <w:jc w:val="both"/>
        <w:outlineLvl w:val="0"/>
        <w:rPr>
          <w:rFonts w:ascii="Lato" w:hAnsi="Lato"/>
          <w:bCs/>
          <w:iCs/>
          <w:spacing w:val="4"/>
          <w:sz w:val="22"/>
          <w:szCs w:val="22"/>
          <w:lang w:bidi="pl-PL"/>
        </w:rPr>
      </w:pPr>
      <w:r w:rsidRPr="0009014A">
        <w:rPr>
          <w:rFonts w:ascii="Lato" w:hAnsi="Lato" w:cs="Arial"/>
          <w:spacing w:val="4"/>
          <w:sz w:val="22"/>
          <w:szCs w:val="22"/>
        </w:rPr>
        <w:lastRenderedPageBreak/>
        <w:t xml:space="preserve">Rozpatrując odwołania skarżących stron, </w:t>
      </w:r>
      <w:r w:rsidRPr="0009014A">
        <w:rPr>
          <w:rFonts w:ascii="Lato" w:hAnsi="Lato" w:cs="Arial"/>
          <w:bCs/>
          <w:iCs/>
          <w:spacing w:val="4"/>
          <w:sz w:val="22"/>
          <w:szCs w:val="22"/>
          <w:lang w:bidi="pl-PL"/>
        </w:rPr>
        <w:t xml:space="preserve">w pierwszej kolejności należy wyjaśnić charakterystykę decyzji lokalizacyjnej wydawanej na podstawie ustawy CPK (tj. ustawy z dnia 10 maja 2018 r. o Centralnym Porcie Komunikacyjnym). Charakter ustawy CPK posiada bowiem zasadnicze znaczenie w procesie jej stosowania, ponieważ przez pryzmat tego charakteru należy postrzegać granice skutków prawnych wywoływanych przez przyjęte w tej ustawie rozwiązania. Przepisy ustawy CPK należą do szczególnych regulacji prawnych, których podstawowym celem jest uproszczenie i usprawnienie procesu inwestycyjno-budowlanego dotyczącego Inwestycji – w rozumieniu art. 2 pkt 3 ustawy CPK i Inwestycji Towarzyszących – w rozumieniu art. 2 pkt 4 ustawy CPK, poprzez stworzenie ram prawnych, które w maksymalny sposób pozwalają usprawnić procedurę administracyjną zmierzającą do realizacji inwestycji celu publicznego </w:t>
      </w:r>
      <w:r w:rsidRPr="0009014A">
        <w:rPr>
          <w:rFonts w:ascii="Lato" w:hAnsi="Lato" w:cs="Arial"/>
          <w:bCs/>
          <w:iCs/>
          <w:spacing w:val="4"/>
          <w:sz w:val="22"/>
          <w:szCs w:val="22"/>
          <w:lang w:bidi="pl-PL"/>
        </w:rPr>
        <w:br/>
        <w:t xml:space="preserve">w postaci Inwestycji i Inwestycji Towarzyszących. </w:t>
      </w:r>
      <w:r w:rsidRPr="0009014A">
        <w:rPr>
          <w:rFonts w:ascii="Lato" w:hAnsi="Lato"/>
          <w:bCs/>
          <w:iCs/>
          <w:spacing w:val="4"/>
          <w:sz w:val="22"/>
          <w:szCs w:val="22"/>
          <w:lang w:bidi="pl-PL"/>
        </w:rPr>
        <w:t xml:space="preserve">Uregulowania ustawy CPK mają zatem charakter uregulowań specjalnych (stanowiących wyjątki od ogólnych zasad i reguł wyrażonych w innych aktach prawnych odnoszących się do procesów inwestycyjnych), które mają za zadanie ułatwić realizację Inwestycji i Inwestycji Towarzyszących, w tym poprzez pozyskiwanie tytułów prawnych nieruchomości dla celów inwestycyjnych. </w:t>
      </w:r>
      <w:r w:rsidRPr="0009014A">
        <w:rPr>
          <w:rFonts w:ascii="Lato" w:hAnsi="Lato"/>
          <w:bCs/>
          <w:iCs/>
          <w:spacing w:val="4"/>
          <w:sz w:val="22"/>
          <w:szCs w:val="22"/>
          <w:lang w:bidi="pl-PL"/>
        </w:rPr>
        <w:br/>
        <w:t xml:space="preserve">A więc decyzja Wojewody Mazowieckiego została wydana na podstawie przepisów jednej z tzw. „specustaw”, a więc ustaw na podstawie których realizowane są inwestycje celu publicznego, mające szczególne znaczenie z punktu widzenia interesu publicznego, których wspólną </w:t>
      </w:r>
      <w:r w:rsidRPr="0009014A">
        <w:rPr>
          <w:rFonts w:ascii="Lato" w:hAnsi="Lato" w:cs="Arial"/>
          <w:bCs/>
          <w:iCs/>
          <w:spacing w:val="4"/>
          <w:sz w:val="22"/>
          <w:szCs w:val="22"/>
          <w:lang w:bidi="pl-PL"/>
        </w:rPr>
        <w:t>cechą charakterystyczną jest nie</w:t>
      </w:r>
      <w:r w:rsidRPr="0009014A">
        <w:rPr>
          <w:rFonts w:ascii="Lato" w:hAnsi="Lato"/>
          <w:bCs/>
          <w:iCs/>
          <w:spacing w:val="4"/>
          <w:sz w:val="22"/>
          <w:szCs w:val="22"/>
          <w:lang w:bidi="pl-PL"/>
        </w:rPr>
        <w:t xml:space="preserve"> </w:t>
      </w:r>
      <w:r w:rsidRPr="0009014A">
        <w:rPr>
          <w:rFonts w:ascii="Lato" w:hAnsi="Lato" w:cs="Arial"/>
          <w:bCs/>
          <w:iCs/>
          <w:spacing w:val="4"/>
          <w:sz w:val="22"/>
          <w:szCs w:val="22"/>
          <w:lang w:bidi="pl-PL"/>
        </w:rPr>
        <w:t>tylko uproszczona procedura, ale również specyficzne uregulowanie prawne w</w:t>
      </w:r>
      <w:r w:rsidRPr="0009014A">
        <w:rPr>
          <w:rFonts w:ascii="Lato" w:hAnsi="Lato"/>
          <w:bCs/>
          <w:iCs/>
          <w:spacing w:val="4"/>
          <w:sz w:val="22"/>
          <w:szCs w:val="22"/>
          <w:lang w:bidi="pl-PL"/>
        </w:rPr>
        <w:t xml:space="preserve"> </w:t>
      </w:r>
      <w:r w:rsidRPr="0009014A">
        <w:rPr>
          <w:rFonts w:ascii="Lato" w:hAnsi="Lato" w:cs="Arial"/>
          <w:bCs/>
          <w:iCs/>
          <w:spacing w:val="4"/>
          <w:sz w:val="22"/>
          <w:szCs w:val="22"/>
          <w:lang w:bidi="pl-PL"/>
        </w:rPr>
        <w:t>zakresie kognicyjnym organów administracji publicznej.</w:t>
      </w:r>
    </w:p>
    <w:p w14:paraId="7D36EF00" w14:textId="666B39BD" w:rsidR="0009014A" w:rsidRPr="0009014A" w:rsidRDefault="0009014A" w:rsidP="0009014A">
      <w:pPr>
        <w:spacing w:after="240" w:line="240" w:lineRule="exact"/>
        <w:jc w:val="both"/>
        <w:outlineLvl w:val="0"/>
        <w:rPr>
          <w:rFonts w:ascii="Lato" w:hAnsi="Lato"/>
          <w:bCs/>
          <w:iCs/>
          <w:spacing w:val="4"/>
          <w:sz w:val="22"/>
          <w:szCs w:val="22"/>
          <w:lang w:bidi="pl-PL"/>
        </w:rPr>
      </w:pPr>
      <w:r w:rsidRPr="0009014A">
        <w:rPr>
          <w:rFonts w:ascii="Lato" w:hAnsi="Lato"/>
          <w:bCs/>
          <w:iCs/>
          <w:spacing w:val="4"/>
          <w:sz w:val="22"/>
          <w:szCs w:val="22"/>
          <w:lang w:bidi="pl-PL"/>
        </w:rPr>
        <w:t xml:space="preserve">Rzeczone uproszczenia procesu inwestycyjnego z natury rzeczy muszą wiązać się </w:t>
      </w:r>
      <w:r w:rsidRPr="0009014A">
        <w:rPr>
          <w:rFonts w:ascii="Lato" w:hAnsi="Lato"/>
          <w:bCs/>
          <w:iCs/>
          <w:spacing w:val="4"/>
          <w:sz w:val="22"/>
          <w:szCs w:val="22"/>
          <w:lang w:bidi="pl-PL"/>
        </w:rPr>
        <w:br/>
        <w:t xml:space="preserve">z ograniczeniem praw właścicieli nieruchomości objętych inwestycją w porównaniu </w:t>
      </w:r>
      <w:r w:rsidRPr="0009014A">
        <w:rPr>
          <w:rFonts w:ascii="Lato" w:hAnsi="Lato"/>
          <w:bCs/>
          <w:iCs/>
          <w:spacing w:val="4"/>
          <w:sz w:val="22"/>
          <w:szCs w:val="22"/>
          <w:lang w:bidi="pl-PL"/>
        </w:rPr>
        <w:br/>
        <w:t xml:space="preserve">z ogólną (zwykłą) procedurą zmierzająca do realizacji inwestycji celu publicznego. Zgodnie z art. 3 ust. 1 ustawy CPK realizacja Inwestycji i Inwestycji Towarzyszących stanowi cel publiczny w rozumieniu przepisów ustawy z dnia 21 sierpnia 1997 r. </w:t>
      </w:r>
      <w:r w:rsidRPr="0009014A">
        <w:rPr>
          <w:rFonts w:ascii="Lato" w:hAnsi="Lato"/>
          <w:bCs/>
          <w:iCs/>
          <w:spacing w:val="4"/>
          <w:sz w:val="22"/>
          <w:szCs w:val="22"/>
          <w:lang w:bidi="pl-PL"/>
        </w:rPr>
        <w:br/>
        <w:t xml:space="preserve">o gospodarce nieruchomościami (t.j. Dz.U. z 2024 r. poz. 1145, z późn.zm.), zwanej dalej „ugn”. Wszystkie działania w ramach postępowania w sprawie lokalizacji Inwestycji </w:t>
      </w:r>
      <w:r w:rsidR="001F3CD0">
        <w:rPr>
          <w:rFonts w:ascii="Lato" w:hAnsi="Lato"/>
          <w:bCs/>
          <w:iCs/>
          <w:spacing w:val="4"/>
          <w:sz w:val="22"/>
          <w:szCs w:val="22"/>
          <w:lang w:bidi="pl-PL"/>
        </w:rPr>
        <w:br/>
      </w:r>
      <w:r w:rsidRPr="0009014A">
        <w:rPr>
          <w:rFonts w:ascii="Lato" w:hAnsi="Lato"/>
          <w:bCs/>
          <w:iCs/>
          <w:spacing w:val="4"/>
          <w:sz w:val="22"/>
          <w:szCs w:val="22"/>
          <w:lang w:bidi="pl-PL"/>
        </w:rPr>
        <w:t xml:space="preserve">i Inwestycji Towarzyszących na podstawie ustawy CPK dokonywane są w oparciu </w:t>
      </w:r>
      <w:r w:rsidR="001F3CD0">
        <w:rPr>
          <w:rFonts w:ascii="Lato" w:hAnsi="Lato"/>
          <w:bCs/>
          <w:iCs/>
          <w:spacing w:val="4"/>
          <w:sz w:val="22"/>
          <w:szCs w:val="22"/>
          <w:lang w:bidi="pl-PL"/>
        </w:rPr>
        <w:br/>
      </w:r>
      <w:r w:rsidRPr="0009014A">
        <w:rPr>
          <w:rFonts w:ascii="Lato" w:hAnsi="Lato"/>
          <w:bCs/>
          <w:iCs/>
          <w:spacing w:val="4"/>
          <w:sz w:val="22"/>
          <w:szCs w:val="22"/>
          <w:lang w:bidi="pl-PL"/>
        </w:rPr>
        <w:t xml:space="preserve">o władztwo administracyjne, a ustawa CPK nie przewiduje w tej materii konsultacji lub uzyskania zezwoleń właścicieli nieruchomości objętych zakresem danego zamierzenia inwestycyjnego. Treść decyzji o ustaleniu lokalizacji inwestycji w zakresie CPK wydawanej na podstawie ustawy CPK inkorporuje rozstrzygnięcia kwestii, które – w zwykłym trybie – stanowiłyby przedmiot kilku odrębnych postępowań. Decyzja </w:t>
      </w:r>
      <w:r w:rsidR="001F3CD0">
        <w:rPr>
          <w:rFonts w:ascii="Lato" w:hAnsi="Lato"/>
          <w:bCs/>
          <w:iCs/>
          <w:spacing w:val="4"/>
          <w:sz w:val="22"/>
          <w:szCs w:val="22"/>
          <w:lang w:bidi="pl-PL"/>
        </w:rPr>
        <w:br/>
      </w:r>
      <w:r w:rsidRPr="0009014A">
        <w:rPr>
          <w:rFonts w:ascii="Lato" w:hAnsi="Lato"/>
          <w:bCs/>
          <w:iCs/>
          <w:spacing w:val="4"/>
          <w:sz w:val="22"/>
          <w:szCs w:val="22"/>
          <w:lang w:bidi="pl-PL"/>
        </w:rPr>
        <w:t xml:space="preserve">o ustaleniu lokalizacji inwestycji w zakresie CPK jest rozstrzygnięciem o charakterze związanym. Oznacza to, że organ administracji po spełnieniu wymogów formalnych określonych w ustawie CPK, jest zobligowany ustalić lokalizację Inwestycji i Inwestycji Towarzyszącej w wersji zgodnej z wnioskiem inwestora. Zatem wydania decyzji </w:t>
      </w:r>
      <w:r w:rsidR="001F3CD0">
        <w:rPr>
          <w:rFonts w:ascii="Lato" w:hAnsi="Lato"/>
          <w:bCs/>
          <w:iCs/>
          <w:spacing w:val="4"/>
          <w:sz w:val="22"/>
          <w:szCs w:val="22"/>
          <w:lang w:bidi="pl-PL"/>
        </w:rPr>
        <w:br/>
      </w:r>
      <w:r w:rsidRPr="0009014A">
        <w:rPr>
          <w:rFonts w:ascii="Lato" w:hAnsi="Lato"/>
          <w:bCs/>
          <w:iCs/>
          <w:spacing w:val="4"/>
          <w:sz w:val="22"/>
          <w:szCs w:val="22"/>
          <w:lang w:bidi="pl-PL"/>
        </w:rPr>
        <w:t>o ustaleniu lokalizacji inwestycji w zakresie CPK nie można uzależniać od zobowiązania inwestora do spełnienia nieprzewidzianych odrębnymi przepisami świadczeń lub warunków.</w:t>
      </w:r>
    </w:p>
    <w:p w14:paraId="3F7BC9B0" w14:textId="77777777" w:rsidR="0009014A" w:rsidRPr="0009014A" w:rsidRDefault="0009014A" w:rsidP="0009014A">
      <w:pPr>
        <w:spacing w:after="240" w:line="240" w:lineRule="exact"/>
        <w:jc w:val="both"/>
        <w:outlineLvl w:val="0"/>
        <w:rPr>
          <w:rFonts w:ascii="Lato" w:eastAsia="Calibri" w:hAnsi="Lato"/>
          <w:bCs/>
          <w:iCs/>
          <w:spacing w:val="4"/>
          <w:sz w:val="22"/>
          <w:szCs w:val="22"/>
          <w:lang w:bidi="pl-PL"/>
        </w:rPr>
      </w:pPr>
      <w:r w:rsidRPr="0009014A">
        <w:rPr>
          <w:rFonts w:ascii="Lato" w:eastAsia="Calibri" w:hAnsi="Lato"/>
          <w:bCs/>
          <w:iCs/>
          <w:spacing w:val="4"/>
          <w:sz w:val="22"/>
          <w:szCs w:val="22"/>
          <w:lang w:bidi="pl-PL"/>
        </w:rPr>
        <w:t xml:space="preserve">Pozbawienie bądź ograniczenie prawa własności jest wpisane w specyfikę postępowania w sprawie wydania decyzji o ustaleniu lokalizacji inwestycji w zakresie CPK i stanowi realizację celu publicznego, a jednocześnie skutki z tym związane są rekompensowane </w:t>
      </w:r>
      <w:r w:rsidRPr="0009014A">
        <w:rPr>
          <w:rFonts w:ascii="Lato" w:eastAsia="Calibri" w:hAnsi="Lato"/>
          <w:bCs/>
          <w:iCs/>
          <w:spacing w:val="4"/>
          <w:sz w:val="22"/>
          <w:szCs w:val="22"/>
          <w:lang w:bidi="pl-PL"/>
        </w:rPr>
        <w:br/>
        <w:t xml:space="preserve">w formie odszkodowania ustalonego w odrębnym postępowaniu administracyjnym. Oznacza to, że w ustawie CPK ustawodawca dopuścił ograniczenie prawa własności </w:t>
      </w:r>
      <w:r w:rsidRPr="0009014A">
        <w:rPr>
          <w:rFonts w:ascii="Lato" w:eastAsia="Calibri" w:hAnsi="Lato"/>
          <w:bCs/>
          <w:iCs/>
          <w:spacing w:val="4"/>
          <w:sz w:val="22"/>
          <w:szCs w:val="22"/>
          <w:lang w:bidi="pl-PL"/>
        </w:rPr>
        <w:br/>
        <w:t xml:space="preserve">z uwagi na realizacja Inwestycji i Inwestycji towarzyszących. W sytuacjach kolizji interesu publicznego i indywidualnego, pomimo że prawo własności jest chronione przez Konstytucję RP (art. 21 ust. 1), prymat przyznany zostaje interesowi publicznemu. Ustawodawca znacznie zwiększa uprawnienia inwestora i zdecydowanie ogranicza uprawnienia właścicieli nieruchomości znajdujących się w obszarze oddziaływania </w:t>
      </w:r>
      <w:r w:rsidRPr="0009014A">
        <w:rPr>
          <w:rFonts w:ascii="Lato" w:eastAsia="Calibri" w:hAnsi="Lato"/>
          <w:bCs/>
          <w:iCs/>
          <w:spacing w:val="4"/>
          <w:sz w:val="22"/>
          <w:szCs w:val="22"/>
          <w:lang w:bidi="pl-PL"/>
        </w:rPr>
        <w:lastRenderedPageBreak/>
        <w:t>Inwestycji i Inwestycji Towarzyszących w zakresie określonym przepisami ustawy CPK, dążąc do zrealizowania celów publicznych. Powyższa regulacja, co należy wyraźnie zaznaczyć, mieści się w granicach ograniczeń w zakresie korzystania z konstytucyjnych wolności i praw określonych w art. 31 ust. 3 Konstytucji RP.</w:t>
      </w:r>
    </w:p>
    <w:p w14:paraId="0AF533FE"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bCs/>
          <w:iCs/>
          <w:spacing w:val="4"/>
          <w:sz w:val="22"/>
          <w:szCs w:val="22"/>
          <w:lang w:bidi="pl-PL"/>
        </w:rPr>
        <w:t>Rola organów administracji publicznej właściwych do wydania decyzji w przedmiocie ustalenia lokalizacji inwestycji w zakresie CPK w procedurze inwestycyjnej uregulowanej przepisami ustawy CPK nie polega na aktywnym uczestnictwie w projektowaniu inwestycji, bowiem organy te nie współuczestniczą w projektowaniu inwestycji, której usytuowanie i konkretny kształt zależą od woli inwestora</w:t>
      </w:r>
      <w:r w:rsidRPr="0009014A">
        <w:rPr>
          <w:rFonts w:ascii="Lato" w:hAnsi="Lato" w:cs="Arial"/>
          <w:color w:val="000000"/>
          <w:spacing w:val="4"/>
          <w:sz w:val="22"/>
          <w:szCs w:val="22"/>
        </w:rPr>
        <w:t>.</w:t>
      </w:r>
      <w:r w:rsidRPr="0009014A">
        <w:rPr>
          <w:rFonts w:ascii="Lato" w:hAnsi="Lato"/>
          <w:bCs/>
          <w:iCs/>
          <w:spacing w:val="4"/>
          <w:sz w:val="22"/>
          <w:szCs w:val="22"/>
          <w:lang w:bidi="pl-PL"/>
        </w:rPr>
        <w:t xml:space="preserve"> To inwestor we wniosku </w:t>
      </w:r>
      <w:r w:rsidRPr="0009014A">
        <w:rPr>
          <w:rFonts w:ascii="Lato" w:hAnsi="Lato"/>
          <w:bCs/>
          <w:iCs/>
          <w:spacing w:val="4"/>
          <w:sz w:val="22"/>
          <w:szCs w:val="22"/>
          <w:lang w:bidi="pl-PL"/>
        </w:rPr>
        <w:br/>
        <w:t>o wydanie decyzji o ustaleniu lokalizacji inwestycji w zakresie CPK decyduje o jej przebiegu oraz o wielkości terenu niezbędnego dla obiektów budowlanych.</w:t>
      </w:r>
      <w:bookmarkStart w:id="7" w:name="_Hlk188096667"/>
      <w:r w:rsidRPr="0009014A">
        <w:rPr>
          <w:rFonts w:ascii="Lato" w:hAnsi="Lato"/>
          <w:bCs/>
          <w:iCs/>
          <w:spacing w:val="4"/>
          <w:sz w:val="22"/>
          <w:szCs w:val="22"/>
          <w:lang w:bidi="pl-PL"/>
        </w:rPr>
        <w:t xml:space="preserve"> Zarówno wojewoda, jak i organ odwoławczy, mogą działać tylko w granicach tego wniosku i nie mają możliwości ingerowania w lokalizację inwestycji</w:t>
      </w:r>
      <w:bookmarkEnd w:id="7"/>
      <w:r w:rsidRPr="0009014A">
        <w:rPr>
          <w:rFonts w:ascii="Lato" w:hAnsi="Lato"/>
          <w:bCs/>
          <w:iCs/>
          <w:spacing w:val="4"/>
          <w:sz w:val="22"/>
          <w:szCs w:val="22"/>
          <w:lang w:bidi="pl-PL"/>
        </w:rPr>
        <w:t xml:space="preserve">. Inwestor jest zatem kreatorem miejsca, sposobu i kształtu realizacji inwestycji, natomiast rolą organu orzekającego jest wyłącznie ocena, czy przedstawiona koncepcja jest zgodna z prawem, a nie poszukiwanie rozwiązań alternatywnych czy optymalnych z punktu widzenia interesów właścicieli poszczególnych nieruchomości. Organ administracji wydający decyzję lokalizacyjną bada przede wszystkim kompletność i zgodność z przepisami wniosku o ustalenie lokalizacji inwestycji w zakresie CPK. Taki zawężony zakres kompetencji organu administracji wynika zarówno z brzmienia poszczególnych przepisów właściwych w tym zakresie, systematyki ustawy CPK, jak i celów, dla których ustawa została wydana (ratio legis ustawy). Organ administracji orzekający w sprawie wniosku o ustalenie lokalizacji inwestycji w zakresie CPK jest zatem ściśle związany przepisami ustawy CPK oraz nie jest upoważniony do wydania rozstrzygnięcia odchodzącego od literalnego </w:t>
      </w:r>
      <w:r w:rsidRPr="0009014A">
        <w:rPr>
          <w:rFonts w:ascii="Lato" w:hAnsi="Lato"/>
          <w:bCs/>
          <w:iCs/>
          <w:spacing w:val="4"/>
          <w:sz w:val="22"/>
          <w:szCs w:val="22"/>
          <w:lang w:bidi="pl-PL"/>
        </w:rPr>
        <w:br/>
        <w:t>i systemowego znaczenia ustawy CPK. W toku postępowania w sprawie ustalenia lokalizacji inwestycji w zakresie CPK organ administracji nie może odmówić wydania decyzji pozytywnej, o ile planowana przez inwestora lokalizacja pozostaje w zgodzie</w:t>
      </w:r>
      <w:r w:rsidRPr="0009014A">
        <w:rPr>
          <w:rFonts w:ascii="Lato" w:hAnsi="Lato"/>
          <w:bCs/>
          <w:iCs/>
          <w:spacing w:val="4"/>
          <w:sz w:val="22"/>
          <w:szCs w:val="22"/>
          <w:lang w:bidi="pl-PL"/>
        </w:rPr>
        <w:br/>
        <w:t>z przepisami powszechnie obowiązującego prawa. Nie stanowią przedmiotu kontroli organów właściwych do wydania decyzji o ustaleniu lokalizacji inwestycji w zakresie CPK zagadnienia dotyczące racjonalności czy słuszności koncepcji przedstawionej przez inwestora, ewentualnych odmiennych wariantów przebiegu inwestycji, infrastruktury towarzyszącej, czy aspektów ekonomicznych i społecznych koncepcji przedstawionej przez inwestora. Niezadowolenie właścicieli działek objętych inwestycją nie stanowi podstawy do żądania przez organ od inwestora zmiany przebiegu inwestycji. Oczekiwania, postulaty i życzenia co do określonego przebiegu inwestycji - nie mające prawnego osadzenia - są bezskuteczne</w:t>
      </w:r>
      <w:bookmarkStart w:id="8" w:name="_Hlk218846132"/>
      <w:r w:rsidRPr="0009014A">
        <w:rPr>
          <w:rFonts w:ascii="Lato" w:hAnsi="Lato" w:cs="Arial"/>
          <w:bCs/>
          <w:iCs/>
          <w:color w:val="000000"/>
          <w:spacing w:val="4"/>
          <w:sz w:val="22"/>
          <w:szCs w:val="22"/>
          <w:lang w:bidi="pl-PL"/>
        </w:rPr>
        <w:t xml:space="preserve">. </w:t>
      </w:r>
      <w:r w:rsidRPr="0009014A">
        <w:rPr>
          <w:rFonts w:ascii="Lato" w:hAnsi="Lato" w:cs="Arial"/>
          <w:bCs/>
          <w:iCs/>
          <w:spacing w:val="4"/>
          <w:sz w:val="22"/>
          <w:szCs w:val="22"/>
          <w:lang w:bidi="pl-PL"/>
        </w:rPr>
        <w:t>Wyjaśnić również należy, że decyzja o ustaleniu lokalizacji inwestycji w zakresie CPK jest etapem wstępnym na drodze realizacji inwestycji. Określa ona jedynie ogólne warunki realizacji inwestycji, szczegółowe rozwiązania techniczne, które pozwolą na ich dochowanie określone zostaną dopiero na etapie pozwolenia na budowę.</w:t>
      </w:r>
    </w:p>
    <w:p w14:paraId="7BD83C96" w14:textId="2208DF41" w:rsidR="0009014A" w:rsidRPr="0009014A" w:rsidRDefault="0009014A" w:rsidP="0009014A">
      <w:pPr>
        <w:spacing w:after="240" w:line="240" w:lineRule="exact"/>
        <w:jc w:val="both"/>
        <w:outlineLvl w:val="0"/>
        <w:rPr>
          <w:rFonts w:ascii="Lato" w:hAnsi="Lato"/>
          <w:bCs/>
          <w:iCs/>
          <w:spacing w:val="4"/>
          <w:sz w:val="22"/>
          <w:szCs w:val="22"/>
          <w:lang w:bidi="pl-PL"/>
        </w:rPr>
      </w:pPr>
      <w:r w:rsidRPr="0009014A">
        <w:rPr>
          <w:rFonts w:ascii="Lato" w:hAnsi="Lato"/>
          <w:bCs/>
          <w:iCs/>
          <w:spacing w:val="4"/>
          <w:sz w:val="22"/>
          <w:szCs w:val="22"/>
          <w:lang w:bidi="pl-PL"/>
        </w:rPr>
        <w:t xml:space="preserve">Nie można także pominąć istotnej okoliczności, że określenie wariantu lokalizacji przedmiotowej Inwestycji nastąpiło na etapie postępowania w sprawie wydania decyzji o środowiskowych uwarunkowaniach, która, stosownie do art. 86 pkt 2 ustawy z dnia 3 października 2008 r. o udostępnianiu informacji o środowisku i jego ochronie, udziale społeczeństwa w ochronie środowiska oraz o ocenach oddziaływania na środowisko (Dz.U. z 2024 r. poz. 1112, z późn.zm.), zwanej dalej „ustawą o udostępnianiu informacji o środowisku i jego ochronie”, wiąże organ wydający decyzję o ustaleniu lokalizacji inwestycji w zakresie CPK, o której mowa w przepisach ustawy CPK. W postępowaniach środowiskowych (prowadzonym w I instancji przez Regionalnego Dyrektora Ochrony Środowiska w Warszawie oraz prowadzonym w II instancji przez Generalnego Dyrektora Ochrony Środowiska) analizowano i oceniano m.in. bezpośredni i pośredni wpływ przedsięwzięcia na środowisko, zdrowie i warunki życia ludzi. W procesie tym </w:t>
      </w:r>
      <w:r w:rsidRPr="0009014A">
        <w:rPr>
          <w:rFonts w:ascii="Lato" w:hAnsi="Lato"/>
          <w:bCs/>
          <w:iCs/>
          <w:spacing w:val="4"/>
          <w:sz w:val="22"/>
          <w:szCs w:val="22"/>
          <w:lang w:bidi="pl-PL"/>
        </w:rPr>
        <w:lastRenderedPageBreak/>
        <w:t xml:space="preserve">przeanalizowano i oceniono zarówno bezpośrednie, jak i pośrednie skutki inwestycji, </w:t>
      </w:r>
      <w:r w:rsidR="00A31191">
        <w:rPr>
          <w:rFonts w:ascii="Lato" w:hAnsi="Lato"/>
          <w:bCs/>
          <w:iCs/>
          <w:spacing w:val="4"/>
          <w:sz w:val="22"/>
          <w:szCs w:val="22"/>
          <w:lang w:bidi="pl-PL"/>
        </w:rPr>
        <w:br/>
      </w:r>
      <w:r w:rsidRPr="0009014A">
        <w:rPr>
          <w:rFonts w:ascii="Lato" w:hAnsi="Lato"/>
          <w:bCs/>
          <w:iCs/>
          <w:spacing w:val="4"/>
          <w:sz w:val="22"/>
          <w:szCs w:val="22"/>
          <w:lang w:bidi="pl-PL"/>
        </w:rPr>
        <w:t xml:space="preserve">a w konsekwencji wybrano optymalne rozwiązania minimalizujące negatywny wpływ planowanego przedsięwzięcia. Zarówno Wojewoda Mazowiecki, jak i Minister, w ramach postępowania w sprawie wydania decyzji o ustaleniu lokalizacji inwestycji w zakresie CPK związani są ustaleniami rozstrzygnięć w przedmiocie środowiskowych uwarunkowań realizacji przedmiotowego przedsięwzięcia. </w:t>
      </w:r>
    </w:p>
    <w:bookmarkEnd w:id="8"/>
    <w:p w14:paraId="319931DE" w14:textId="77777777" w:rsidR="0009014A" w:rsidRPr="0009014A" w:rsidRDefault="0009014A" w:rsidP="0009014A">
      <w:pPr>
        <w:tabs>
          <w:tab w:val="num" w:pos="709"/>
        </w:tabs>
        <w:autoSpaceDE w:val="0"/>
        <w:autoSpaceDN w:val="0"/>
        <w:adjustRightInd w:val="0"/>
        <w:spacing w:after="12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Powyższe jest ugruntowane i jednolite w orzecznictwie sądów administracyjnych dotyczącym innych specjalnych ustaw inwestycyjnych takich jak: </w:t>
      </w:r>
    </w:p>
    <w:p w14:paraId="5D1AD05D" w14:textId="77777777" w:rsidR="0009014A" w:rsidRPr="0009014A" w:rsidRDefault="0009014A">
      <w:pPr>
        <w:numPr>
          <w:ilvl w:val="0"/>
          <w:numId w:val="30"/>
        </w:numPr>
        <w:tabs>
          <w:tab w:val="num" w:pos="709"/>
        </w:tabs>
        <w:autoSpaceDE w:val="0"/>
        <w:autoSpaceDN w:val="0"/>
        <w:adjustRightInd w:val="0"/>
        <w:spacing w:after="12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ustawa z dnia 10 kwietnia 2003 r. o szczególnych zasadach przygotowania i realizacji inwestycji w zakresie dróg publicznych (t.j. Dz.U. z 2024 r. poz. 311), zwana dalej „specustawą drogową” - por.: np. wyroki Naczelnego Sądu Administracyjnego z dnia 8 kwietnia 2025 r., sygn. akt II OSK 246/25, z dnia 17 kwietnia 2024 r., sygn. akt </w:t>
      </w:r>
      <w:r w:rsidRPr="0009014A">
        <w:rPr>
          <w:rFonts w:ascii="Lato" w:hAnsi="Lato" w:cs="Arial"/>
          <w:bCs/>
          <w:iCs/>
          <w:color w:val="000000"/>
          <w:spacing w:val="4"/>
          <w:sz w:val="22"/>
          <w:szCs w:val="22"/>
          <w:lang w:bidi="pl-PL"/>
        </w:rPr>
        <w:br/>
        <w:t xml:space="preserve">II OSK 101/24, z dnia 5 marca 2024 r., sygn. akt II OSK 2405/23, z dnia 17 stycznia 2023 r., sygn. akt II OSK 2352/22, z dnia 14 września 2021 r., sygn. akt II OSK 1332/21, z dnia 13 kwietnia 2021 r., sygn. akt II OSK 156/21, z dnia 20 lipca </w:t>
      </w:r>
      <w:r w:rsidRPr="0009014A">
        <w:rPr>
          <w:rFonts w:ascii="Lato" w:hAnsi="Lato" w:cs="Arial"/>
          <w:bCs/>
          <w:iCs/>
          <w:color w:val="000000"/>
          <w:spacing w:val="4"/>
          <w:sz w:val="22"/>
          <w:szCs w:val="22"/>
          <w:lang w:bidi="pl-PL"/>
        </w:rPr>
        <w:br/>
        <w:t>2021 r., sygn. akt II OSK 852/21, z dnia 5 sierpnia 2021 r., sygn. akt II OSK 1235/21,</w:t>
      </w:r>
      <w:r w:rsidRPr="0009014A">
        <w:rPr>
          <w:rFonts w:ascii="Lato" w:hAnsi="Lato" w:cs="Arial"/>
          <w:bCs/>
          <w:iCs/>
          <w:spacing w:val="4"/>
          <w:sz w:val="22"/>
          <w:szCs w:val="22"/>
        </w:rPr>
        <w:t xml:space="preserve"> </w:t>
      </w:r>
      <w:r w:rsidRPr="0009014A">
        <w:rPr>
          <w:rFonts w:ascii="Lato" w:hAnsi="Lato" w:cs="Arial"/>
          <w:bCs/>
          <w:iCs/>
          <w:color w:val="000000"/>
          <w:spacing w:val="4"/>
          <w:sz w:val="22"/>
          <w:szCs w:val="22"/>
          <w:lang w:bidi="pl-PL"/>
        </w:rPr>
        <w:t>z dnia 30 września 2021 r., sygn. akt II OSK 193/21,</w:t>
      </w:r>
      <w:r w:rsidRPr="0009014A">
        <w:rPr>
          <w:rFonts w:ascii="Lato" w:hAnsi="Lato" w:cs="Arial"/>
          <w:bCs/>
          <w:iCs/>
          <w:spacing w:val="4"/>
          <w:sz w:val="22"/>
          <w:szCs w:val="22"/>
        </w:rPr>
        <w:t xml:space="preserve"> </w:t>
      </w:r>
      <w:r w:rsidRPr="0009014A">
        <w:rPr>
          <w:rFonts w:ascii="Lato" w:hAnsi="Lato" w:cs="Arial"/>
          <w:bCs/>
          <w:iCs/>
          <w:color w:val="000000"/>
          <w:spacing w:val="4"/>
          <w:sz w:val="22"/>
          <w:szCs w:val="22"/>
          <w:lang w:bidi="pl-PL"/>
        </w:rPr>
        <w:t xml:space="preserve">z dnia 13 listopada 2018 r., sygn. akt II OSK 2933/18, z dnia 13 września 2017 r., sygn. akt II OSK 1705/17; </w:t>
      </w:r>
    </w:p>
    <w:p w14:paraId="68B85AE5" w14:textId="111A0C14" w:rsidR="0009014A" w:rsidRPr="0009014A" w:rsidRDefault="0009014A">
      <w:pPr>
        <w:numPr>
          <w:ilvl w:val="0"/>
          <w:numId w:val="30"/>
        </w:numPr>
        <w:tabs>
          <w:tab w:val="num" w:pos="709"/>
        </w:tabs>
        <w:autoSpaceDE w:val="0"/>
        <w:autoSpaceDN w:val="0"/>
        <w:adjustRightInd w:val="0"/>
        <w:spacing w:after="120" w:line="240" w:lineRule="exact"/>
        <w:jc w:val="both"/>
        <w:rPr>
          <w:rFonts w:ascii="Lato" w:eastAsiaTheme="minorHAnsi"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ustawa z dnia 28 marca 2003 r. o transporcie kolejowym (t.j. Dz.U. z 2025 r. poz. 1234), zwana dalej „ustawą o transporcie kolejowym” - por.: np. </w:t>
      </w:r>
      <w:r w:rsidRPr="0009014A">
        <w:rPr>
          <w:rFonts w:ascii="Lato" w:eastAsia="Aptos" w:hAnsi="Lato" w:cs="Arial"/>
          <w:bCs/>
          <w:iCs/>
          <w:color w:val="000000"/>
          <w:spacing w:val="4"/>
          <w:sz w:val="22"/>
          <w:szCs w:val="22"/>
          <w:lang w:bidi="pl-PL"/>
        </w:rPr>
        <w:t>wyroki Naczelnego Sądu Administracyjnego z dnia 10 września 2025 r., sygn. akt II OSK 899/25, z dnia 12 marca 2024 r., sygn. akt II OSK 2303/21, z dnia 5 marca 2024 r., sygn. akt II OSK 1896/23, z dnia 25 października 2023 r., sygn. akt II OSK 1350/23, z dnia 9 lutego 2018 r., sygn. akt II OSK 1282/17, z dnia 5 września 2017 r., sygn. akt II OSK 2892/15, z dnia 30 czerwca 2017 r., sygn. akt II OSK 762/17, i z dnia 15 czerwca 2016 r., sygn. akt II OSK 721/16</w:t>
      </w:r>
      <w:r w:rsidR="00672705">
        <w:rPr>
          <w:rFonts w:ascii="Lato" w:eastAsia="Aptos" w:hAnsi="Lato" w:cs="Arial"/>
          <w:bCs/>
          <w:iCs/>
          <w:color w:val="000000"/>
          <w:spacing w:val="4"/>
          <w:sz w:val="22"/>
          <w:szCs w:val="22"/>
          <w:lang w:bidi="pl-PL"/>
        </w:rPr>
        <w:t>;</w:t>
      </w:r>
      <w:r w:rsidRPr="0009014A">
        <w:t xml:space="preserve"> </w:t>
      </w:r>
      <w:r w:rsidRPr="0009014A">
        <w:rPr>
          <w:rFonts w:ascii="Lato" w:eastAsia="Aptos" w:hAnsi="Lato" w:cs="Arial"/>
          <w:bCs/>
          <w:iCs/>
          <w:color w:val="000000"/>
          <w:spacing w:val="4"/>
          <w:sz w:val="22"/>
          <w:szCs w:val="22"/>
          <w:lang w:bidi="pl-PL"/>
        </w:rPr>
        <w:t xml:space="preserve">wyroki Wojewódzkiego Sądu Administracyjnego </w:t>
      </w:r>
      <w:r w:rsidRPr="0009014A">
        <w:rPr>
          <w:rFonts w:ascii="Lato" w:eastAsia="Aptos" w:hAnsi="Lato" w:cs="Arial"/>
          <w:bCs/>
          <w:iCs/>
          <w:color w:val="000000"/>
          <w:spacing w:val="4"/>
          <w:sz w:val="22"/>
          <w:szCs w:val="22"/>
          <w:lang w:bidi="pl-PL"/>
        </w:rPr>
        <w:br/>
        <w:t>w Warszawie z dnia 24 stycznia 2025 r., sygn. akt VII SA/Wa 2967/24 z dnia 9 maja 2023 r., sygn. akt VII SA/Wa 2679/22, z dnia 28 czerwca 2017 r., sygn. akt IV SA/Wa 611/17, z dnia 9 czerwca 2017 r., sygn. akt IV SA/Wa 786/17, z dnia 28 października 2016 r., sygn. akt IV SA/Wa 1534/16, z dnia 19 października 2016 r., sygn. akt IV SA/Wa 1561/16, z dnia 15 lipca 2015 r., sygn. akt IV SA/Wa 1532/15, i z dnia 30 maja 2012 r., sygn. akt IV SA/Wa 1899/11);</w:t>
      </w:r>
    </w:p>
    <w:p w14:paraId="0383FE9A" w14:textId="77777777" w:rsidR="0009014A" w:rsidRPr="0009014A" w:rsidRDefault="0009014A">
      <w:pPr>
        <w:numPr>
          <w:ilvl w:val="0"/>
          <w:numId w:val="30"/>
        </w:numPr>
        <w:tabs>
          <w:tab w:val="num" w:pos="709"/>
        </w:tabs>
        <w:autoSpaceDE w:val="0"/>
        <w:autoSpaceDN w:val="0"/>
        <w:adjustRightInd w:val="0"/>
        <w:spacing w:after="12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ustawa z dnia 24 lipca 2015 r. o przygotowaniu i realizacji strategicznych inwestycji w zakresie sieci przesyłowych (t.j. Dz.U. z 2024 r. poz. 1199), zwana dalej „specustawą przesyłową” - por.: np. wyroki Wojewódzkiego Sądu Administracyjnego w Warszawie: z dnia 31 maja 2023 r., sygn. akt VII SA/Wa 608/23, z dnia 27 października 2022 r., sygn. akt VII SA/Wa 1225/22, z dnia 10 października 2018 r., sygn. akt IV SA/Wa 2480/17, z dnia 9 lutego 2018 r., sygn. akt IV SA/Wa 2780/17 </w:t>
      </w:r>
      <w:r w:rsidRPr="0009014A">
        <w:rPr>
          <w:rFonts w:ascii="Lato" w:hAnsi="Lato" w:cs="Arial"/>
          <w:bCs/>
          <w:iCs/>
          <w:color w:val="000000"/>
          <w:spacing w:val="4"/>
          <w:sz w:val="22"/>
          <w:szCs w:val="22"/>
          <w:lang w:bidi="pl-PL"/>
        </w:rPr>
        <w:br/>
        <w:t>i z dnia 7 września 2017 r., sygn. akt IV SA/Wa 1749/17;</w:t>
      </w:r>
    </w:p>
    <w:p w14:paraId="79CB13A3" w14:textId="3384AAD8" w:rsidR="0009014A" w:rsidRPr="0009014A" w:rsidRDefault="0009014A">
      <w:pPr>
        <w:numPr>
          <w:ilvl w:val="0"/>
          <w:numId w:val="30"/>
        </w:numPr>
        <w:tabs>
          <w:tab w:val="num" w:pos="709"/>
        </w:tabs>
        <w:autoSpaceDE w:val="0"/>
        <w:autoSpaceDN w:val="0"/>
        <w:adjustRightInd w:val="0"/>
        <w:spacing w:after="240" w:line="240" w:lineRule="exact"/>
        <w:ind w:left="357" w:hanging="357"/>
        <w:jc w:val="both"/>
        <w:rPr>
          <w:rFonts w:ascii="Lato" w:hAnsi="Lato" w:cs="Arial"/>
          <w:bCs/>
          <w:iCs/>
          <w:color w:val="000000"/>
          <w:spacing w:val="4"/>
          <w:sz w:val="22"/>
          <w:szCs w:val="22"/>
          <w:lang w:bidi="pl-PL"/>
        </w:rPr>
      </w:pPr>
      <w:bookmarkStart w:id="9" w:name="_Hlk144907730"/>
      <w:r w:rsidRPr="0009014A">
        <w:rPr>
          <w:rFonts w:ascii="Lato" w:hAnsi="Lato" w:cs="Arial"/>
          <w:bCs/>
          <w:iCs/>
          <w:color w:val="000000"/>
          <w:spacing w:val="4"/>
          <w:sz w:val="22"/>
          <w:szCs w:val="22"/>
          <w:lang w:bidi="pl-PL"/>
        </w:rPr>
        <w:t xml:space="preserve">ustawa z dnia 24 kwietnia 2009 r. o inwestycjach w zakresie terminalu regazyfikacyjnego skroplonego gazu ziemnego w Świnoujściu </w:t>
      </w:r>
      <w:bookmarkEnd w:id="9"/>
      <w:r w:rsidRPr="0009014A">
        <w:rPr>
          <w:rFonts w:ascii="Lato" w:hAnsi="Lato" w:cs="Arial"/>
          <w:bCs/>
          <w:iCs/>
          <w:color w:val="000000"/>
          <w:spacing w:val="4"/>
          <w:sz w:val="22"/>
          <w:szCs w:val="22"/>
          <w:lang w:bidi="pl-PL"/>
        </w:rPr>
        <w:t>(t.j. Dz.U. z 2025 r. poz. 1222), zwana dalej „specustawą gazow</w:t>
      </w:r>
      <w:r w:rsidR="00672705">
        <w:rPr>
          <w:rFonts w:ascii="Lato" w:hAnsi="Lato" w:cs="Arial"/>
          <w:bCs/>
          <w:iCs/>
          <w:color w:val="000000"/>
          <w:spacing w:val="4"/>
          <w:sz w:val="22"/>
          <w:szCs w:val="22"/>
          <w:lang w:bidi="pl-PL"/>
        </w:rPr>
        <w:t>ą</w:t>
      </w:r>
      <w:r w:rsidRPr="0009014A">
        <w:rPr>
          <w:rFonts w:ascii="Lato" w:hAnsi="Lato" w:cs="Arial"/>
          <w:bCs/>
          <w:iCs/>
          <w:color w:val="000000"/>
          <w:spacing w:val="4"/>
          <w:sz w:val="22"/>
          <w:szCs w:val="22"/>
          <w:lang w:bidi="pl-PL"/>
        </w:rPr>
        <w:t xml:space="preserve">” - por.: np. wyroki Naczelnego Sądu Administracyjnego: z dnia 11 grudnia 2025 r., sygn. akt II OSK 2069/25, z dnia </w:t>
      </w:r>
      <w:r w:rsidRPr="0009014A">
        <w:rPr>
          <w:rFonts w:ascii="Lato" w:hAnsi="Lato" w:cs="Arial"/>
          <w:bCs/>
          <w:iCs/>
          <w:color w:val="000000"/>
          <w:spacing w:val="4"/>
          <w:sz w:val="22"/>
          <w:szCs w:val="22"/>
          <w:lang w:bidi="pl-PL"/>
        </w:rPr>
        <w:br/>
        <w:t>23 października 2024 r., sygn. akt II OSK 1477/24, z dnia 12 września 2023 r., sygn. akt II OSK 1004/23, z dnia 8 listopada 2022 r., sygn. akt II OSK 1636/22</w:t>
      </w:r>
      <w:r w:rsidR="0067270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wyroki Wojewódzkiego Sądu Administracyjnego w Warszawie: z dnia 12 lipca 2023 r., sygn. akt VII SA/Wa 1975/22, z dnia 28 października 2022 r., sygn. akt VII SA/Wa 544/22, z dnia 21 kwietnia 2021 r., sygn. akt VII SA/Wa 364/21, z dnia 19 listopada 2019 r., sygn. akt IV SA/Wa 1496/19, z dnia 31 sierpnia 2018 r., sygn. akt IV SA/Wa 3345/17, z dnia 19 września 2018 r., sygn. akt IV SA/Wa 510/18).</w:t>
      </w:r>
    </w:p>
    <w:p w14:paraId="7EBD4F2B" w14:textId="77777777" w:rsidR="0009014A" w:rsidRPr="0009014A" w:rsidRDefault="0009014A" w:rsidP="0009014A">
      <w:pPr>
        <w:autoSpaceDE w:val="0"/>
        <w:autoSpaceDN w:val="0"/>
        <w:adjustRightInd w:val="0"/>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lastRenderedPageBreak/>
        <w:t xml:space="preserve">W tym miejscu zasadnym jest także przywołanie stanowiska Trybunału Konstytucyjnego, który w uzasadnieniu wyroku z dnia 16 października 2012 r., K 4/10 – dotyczącym specustawy drogowej [która jest często uznawana za wzór dla innych przepisów szczególnych (specustaw) w Polsce ze względu na stworzenie efektywnego modelu przyspieszania kluczowych inwestycji]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t>
      </w:r>
      <w:r w:rsidRPr="0009014A">
        <w:rPr>
          <w:rFonts w:ascii="Lato" w:hAnsi="Lato" w:cs="Arial"/>
          <w:bCs/>
          <w:iCs/>
          <w:spacing w:val="4"/>
          <w:sz w:val="22"/>
          <w:szCs w:val="22"/>
          <w:lang w:bidi="pl-PL"/>
        </w:rPr>
        <w:br/>
        <w:t xml:space="preserve">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w:t>
      </w:r>
    </w:p>
    <w:p w14:paraId="3F9327AC" w14:textId="77777777" w:rsidR="0009014A" w:rsidRPr="0009014A" w:rsidRDefault="0009014A" w:rsidP="0009014A">
      <w:pPr>
        <w:autoSpaceDE w:val="0"/>
        <w:autoSpaceDN w:val="0"/>
        <w:adjustRightInd w:val="0"/>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W ocenie organu odwoławczego przywołane powyżej orzecznictwo sądowadministracyjne dotyczące ww. ustaw inwestycyjnych i przedstawiony powyżej pogląd Trybunału Konstytucyjnego znajduje zastosowanie również w zakresie zasad ustalania lokalizacji Inwestycji i Inwestycji Towarzyszących na podstawie ustawy CPK. Powyższe stwierdzenia mają bowiem uniwersalny wymiar, niezależnie od przedmiotu postępowania, z uwagi na jedność interpretacji w ramach spójnego systemu prawa. Mając na uwadze wyżej opisaną systemową charakterystykę ustawy CPK i decyzji </w:t>
      </w:r>
      <w:r w:rsidRPr="0009014A">
        <w:rPr>
          <w:rFonts w:ascii="Lato" w:hAnsi="Lato" w:cs="Arial"/>
          <w:bCs/>
          <w:iCs/>
          <w:spacing w:val="4"/>
          <w:sz w:val="22"/>
          <w:szCs w:val="22"/>
          <w:lang w:bidi="pl-PL"/>
        </w:rPr>
        <w:br/>
        <w:t>o ustaleniu lokalizacji inwestycji w zakresie CPK wydawanej na podstawie tego aktu prawnego, przechodząc do rozpoznania poszczególnych zarzutów skarżących, Minister stwierdził, co następuje.</w:t>
      </w:r>
      <w:r w:rsidRPr="0009014A">
        <w:rPr>
          <w:rFonts w:ascii="Lato" w:hAnsi="Lato" w:cs="Arial"/>
          <w:spacing w:val="4"/>
          <w:sz w:val="22"/>
          <w:szCs w:val="22"/>
          <w:shd w:val="clear" w:color="auto" w:fill="FFFFFF"/>
        </w:rPr>
        <w:t xml:space="preserve"> </w:t>
      </w:r>
    </w:p>
    <w:p w14:paraId="0B65BF7D" w14:textId="7194456D" w:rsidR="0009014A" w:rsidRPr="0009014A" w:rsidRDefault="0009014A" w:rsidP="0009014A">
      <w:pPr>
        <w:spacing w:after="120" w:line="240" w:lineRule="exact"/>
        <w:jc w:val="both"/>
        <w:outlineLvl w:val="0"/>
        <w:rPr>
          <w:rFonts w:ascii="Lato" w:hAnsi="Lato" w:cs="Arial"/>
          <w:spacing w:val="4"/>
          <w:sz w:val="22"/>
          <w:szCs w:val="22"/>
        </w:rPr>
      </w:pPr>
      <w:r w:rsidRPr="0009014A">
        <w:rPr>
          <w:rFonts w:ascii="Lato" w:hAnsi="Lato" w:cs="Arial"/>
          <w:spacing w:val="4"/>
          <w:sz w:val="22"/>
          <w:szCs w:val="22"/>
        </w:rPr>
        <w:t>Na uwzględnienie nie zasługują zarzuty Pana Z</w:t>
      </w:r>
      <w:r w:rsidR="00CD25FB">
        <w:rPr>
          <w:rFonts w:ascii="Lato" w:hAnsi="Lato" w:cs="Arial"/>
          <w:spacing w:val="4"/>
          <w:sz w:val="22"/>
          <w:szCs w:val="22"/>
        </w:rPr>
        <w:t>.</w:t>
      </w:r>
      <w:r w:rsidRPr="0009014A">
        <w:rPr>
          <w:rFonts w:ascii="Lato" w:hAnsi="Lato" w:cs="Arial"/>
          <w:spacing w:val="4"/>
          <w:sz w:val="22"/>
          <w:szCs w:val="22"/>
        </w:rPr>
        <w:t xml:space="preserve"> K</w:t>
      </w:r>
      <w:r w:rsidR="00CD25FB">
        <w:rPr>
          <w:rFonts w:ascii="Lato" w:hAnsi="Lato" w:cs="Arial"/>
          <w:spacing w:val="4"/>
          <w:sz w:val="22"/>
          <w:szCs w:val="22"/>
        </w:rPr>
        <w:t>.</w:t>
      </w:r>
      <w:r w:rsidRPr="0009014A">
        <w:rPr>
          <w:rFonts w:ascii="Lato" w:hAnsi="Lato" w:cs="Arial"/>
          <w:spacing w:val="4"/>
          <w:sz w:val="22"/>
          <w:szCs w:val="22"/>
        </w:rPr>
        <w:t>, Pana P</w:t>
      </w:r>
      <w:r w:rsidR="00CD25FB">
        <w:rPr>
          <w:rFonts w:ascii="Lato" w:hAnsi="Lato" w:cs="Arial"/>
          <w:spacing w:val="4"/>
          <w:sz w:val="22"/>
          <w:szCs w:val="22"/>
        </w:rPr>
        <w:t>.</w:t>
      </w:r>
      <w:r w:rsidRPr="0009014A">
        <w:rPr>
          <w:rFonts w:ascii="Lato" w:hAnsi="Lato" w:cs="Arial"/>
          <w:spacing w:val="4"/>
          <w:sz w:val="22"/>
          <w:szCs w:val="22"/>
        </w:rPr>
        <w:t xml:space="preserve"> K</w:t>
      </w:r>
      <w:r w:rsidR="00CD25FB">
        <w:rPr>
          <w:rFonts w:ascii="Lato" w:hAnsi="Lato" w:cs="Arial"/>
          <w:spacing w:val="4"/>
          <w:sz w:val="22"/>
          <w:szCs w:val="22"/>
        </w:rPr>
        <w:t>.</w:t>
      </w:r>
      <w:r w:rsidRPr="0009014A">
        <w:rPr>
          <w:rFonts w:ascii="Lato" w:hAnsi="Lato" w:cs="Arial"/>
          <w:spacing w:val="4"/>
          <w:sz w:val="22"/>
          <w:szCs w:val="22"/>
        </w:rPr>
        <w:t>, Pani K</w:t>
      </w:r>
      <w:r w:rsidR="00CD25FB">
        <w:rPr>
          <w:rFonts w:ascii="Lato" w:hAnsi="Lato" w:cs="Arial"/>
          <w:spacing w:val="4"/>
          <w:sz w:val="22"/>
          <w:szCs w:val="22"/>
        </w:rPr>
        <w:t xml:space="preserve">. </w:t>
      </w:r>
      <w:r w:rsidRPr="0009014A">
        <w:rPr>
          <w:rFonts w:ascii="Lato" w:hAnsi="Lato" w:cs="Arial"/>
          <w:spacing w:val="4"/>
          <w:sz w:val="22"/>
          <w:szCs w:val="22"/>
        </w:rPr>
        <w:t>K</w:t>
      </w:r>
      <w:r w:rsidR="00CD25FB">
        <w:rPr>
          <w:rFonts w:ascii="Lato" w:hAnsi="Lato" w:cs="Arial"/>
          <w:spacing w:val="4"/>
          <w:sz w:val="22"/>
          <w:szCs w:val="22"/>
        </w:rPr>
        <w:t>.</w:t>
      </w:r>
      <w:r w:rsidRPr="0009014A">
        <w:rPr>
          <w:rFonts w:ascii="Lato" w:hAnsi="Lato" w:cs="Arial"/>
          <w:spacing w:val="4"/>
          <w:sz w:val="22"/>
          <w:szCs w:val="22"/>
        </w:rPr>
        <w:t xml:space="preserve">, spółki </w:t>
      </w:r>
      <w:r w:rsidR="00CD25FB">
        <w:rPr>
          <w:rFonts w:ascii="Lato" w:hAnsi="Lato" w:cs="Arial"/>
          <w:spacing w:val="4"/>
          <w:sz w:val="22"/>
          <w:szCs w:val="22"/>
        </w:rPr>
        <w:t>(…)</w:t>
      </w:r>
      <w:r w:rsidRPr="0009014A">
        <w:rPr>
          <w:rFonts w:ascii="Lato" w:hAnsi="Lato" w:cs="Arial"/>
          <w:spacing w:val="4"/>
          <w:sz w:val="22"/>
          <w:szCs w:val="22"/>
        </w:rPr>
        <w:t xml:space="preserve"> dotyczące naruszenia art. 97 § 1 pkt 4 kpa w zw. z art. 77 § 1 kpa, art. 80 kpa i art. 43 ust. 1 pkt 8 oraz art. 43 ust. 1 pkt 9 ustawy CPK w zw. z art. 57 ustawy z dnia 3 lipca 2002 r. - Prawo lotnicze (t.j. Dz.U. z 2025 r. poz. 1431, z późn.zm.), zwanej dalej „ustawą Prawo lotnicze” poprzez prowadzenie postępowania oraz niedopuszczalne, przedwczesne wydanie decyzji w sytuacji, w której:</w:t>
      </w:r>
    </w:p>
    <w:p w14:paraId="596FD542" w14:textId="23A8936E" w:rsidR="0009014A" w:rsidRPr="0009014A" w:rsidRDefault="0009014A">
      <w:pPr>
        <w:numPr>
          <w:ilvl w:val="0"/>
          <w:numId w:val="32"/>
        </w:numPr>
        <w:spacing w:after="120" w:line="240" w:lineRule="exact"/>
        <w:ind w:left="284" w:hanging="284"/>
        <w:jc w:val="both"/>
        <w:outlineLvl w:val="0"/>
        <w:rPr>
          <w:rFonts w:ascii="Lato" w:hAnsi="Lato" w:cs="Arial"/>
          <w:spacing w:val="4"/>
          <w:sz w:val="22"/>
          <w:szCs w:val="22"/>
        </w:rPr>
      </w:pPr>
      <w:r w:rsidRPr="0009014A">
        <w:rPr>
          <w:rFonts w:ascii="Lato" w:hAnsi="Lato" w:cs="Arial"/>
          <w:spacing w:val="4"/>
          <w:sz w:val="22"/>
          <w:szCs w:val="22"/>
        </w:rPr>
        <w:t xml:space="preserve">Wojewoda Mazowiecki powinien był zawiesić toczące się postępowanie przynajmniej do czasu uzyskania przymiotu ostateczności przez decyzję </w:t>
      </w:r>
      <w:r w:rsidRPr="0009014A">
        <w:rPr>
          <w:rFonts w:ascii="Lato" w:hAnsi="Lato" w:cs="Arial"/>
          <w:iCs/>
          <w:spacing w:val="4"/>
          <w:sz w:val="22"/>
          <w:szCs w:val="22"/>
        </w:rPr>
        <w:t>Regionalnego Dyrektora Ochrony Środowiska w Warszawie (dalej: RDOŚ w Warszawie) z dnia 7 lipca 2023 r., znak:</w:t>
      </w:r>
      <w:r w:rsidRPr="0009014A">
        <w:rPr>
          <w:rFonts w:ascii="Lato" w:hAnsi="Lato" w:cs="Arial"/>
          <w:spacing w:val="4"/>
          <w:sz w:val="22"/>
          <w:szCs w:val="22"/>
        </w:rPr>
        <w:t xml:space="preserve"> WOOŚ-II.420.85.2022.MP.278, ustalającą środowiskowe uwarunkowania dla przedsięwzięcia pn. „Budowa Centralnego Portu Komunikacyjnego wraz </w:t>
      </w:r>
      <w:r w:rsidRPr="0009014A">
        <w:rPr>
          <w:rFonts w:ascii="Lato" w:hAnsi="Lato" w:cs="Arial"/>
          <w:spacing w:val="4"/>
          <w:sz w:val="22"/>
          <w:szCs w:val="22"/>
        </w:rPr>
        <w:br/>
        <w:t xml:space="preserve">z urządzeniami i obiektami niezbędnymi do jego funkcjonowania”, zwaną dalej „decyzją o środowiskowych uwarunkowaniach RDOŚ”, choć bowiem decyzja ta została opatrzona rygorem natychmiastowej wykonalności, to w toku postępowania odwoławczego przed Generalnym Dyrektorem Ochrony Środowiska (dalej: GDOŚ) wykazano istotną wadliwość decyzji o środowiskowych uwarunkowaniach RDOŚ </w:t>
      </w:r>
      <w:r w:rsidRPr="0009014A">
        <w:rPr>
          <w:rFonts w:ascii="Lato" w:hAnsi="Lato" w:cs="Arial"/>
          <w:spacing w:val="4"/>
          <w:sz w:val="22"/>
          <w:szCs w:val="22"/>
        </w:rPr>
        <w:br/>
        <w:t xml:space="preserve">i GDOŚ wystosował do inwestora wezwanie w tym przedmiocie, a zatem - w ocenie skarżących - istnieje wysokie prawdopodobieństwo uchylenia decyzji </w:t>
      </w:r>
      <w:r w:rsidR="002148CE">
        <w:rPr>
          <w:rFonts w:ascii="Lato" w:hAnsi="Lato" w:cs="Arial"/>
          <w:spacing w:val="4"/>
          <w:sz w:val="22"/>
          <w:szCs w:val="22"/>
        </w:rPr>
        <w:br/>
      </w:r>
      <w:r w:rsidRPr="0009014A">
        <w:rPr>
          <w:rFonts w:ascii="Lato" w:hAnsi="Lato" w:cs="Arial"/>
          <w:spacing w:val="4"/>
          <w:sz w:val="22"/>
          <w:szCs w:val="22"/>
        </w:rPr>
        <w:lastRenderedPageBreak/>
        <w:t>o środowiskowych uwarunkowaniach RDOŚ, a co najmniej jej istotnej zmiany implikującej niezgodność z decyzją lokalizacyjną</w:t>
      </w:r>
      <w:r w:rsidR="0019230B">
        <w:rPr>
          <w:rFonts w:ascii="Lato" w:hAnsi="Lato" w:cs="Arial"/>
          <w:spacing w:val="4"/>
          <w:sz w:val="22"/>
          <w:szCs w:val="22"/>
        </w:rPr>
        <w:t>,</w:t>
      </w:r>
    </w:p>
    <w:p w14:paraId="32551D51" w14:textId="77777777" w:rsidR="0009014A" w:rsidRPr="0009014A" w:rsidRDefault="0009014A">
      <w:pPr>
        <w:numPr>
          <w:ilvl w:val="0"/>
          <w:numId w:val="32"/>
        </w:numPr>
        <w:spacing w:after="240" w:line="240" w:lineRule="exact"/>
        <w:ind w:left="284" w:hanging="284"/>
        <w:jc w:val="both"/>
        <w:outlineLvl w:val="0"/>
        <w:rPr>
          <w:rFonts w:ascii="Lato" w:hAnsi="Lato" w:cs="Arial"/>
          <w:spacing w:val="4"/>
          <w:sz w:val="22"/>
          <w:szCs w:val="22"/>
        </w:rPr>
      </w:pPr>
      <w:r w:rsidRPr="0009014A">
        <w:rPr>
          <w:rFonts w:ascii="Lato" w:hAnsi="Lato" w:cs="Arial"/>
          <w:spacing w:val="4"/>
          <w:sz w:val="22"/>
          <w:szCs w:val="22"/>
        </w:rPr>
        <w:t xml:space="preserve">Wojewoda Mazowiecki winien był również zawiesić postępowanie lokalizacyjne </w:t>
      </w:r>
      <w:r w:rsidRPr="0009014A">
        <w:rPr>
          <w:rFonts w:ascii="Lato" w:hAnsi="Lato" w:cs="Arial"/>
          <w:spacing w:val="4"/>
          <w:sz w:val="22"/>
          <w:szCs w:val="22"/>
        </w:rPr>
        <w:br/>
        <w:t xml:space="preserve">do dnia prawomocnego rozstrzygnięcia postępowania przed Naczelnym Sądem Administracyjnym w sprawie uchylenia &lt;&lt;decyzji Ministra Infrastruktury z 7 czerwca 2023 r. (znak sprawy: nr DL-1.4703.1.2023; „Decyzja MI”) zatwierdzającej Plan Generalny Lotniska - Port Solidarności na lata 2022-2060 („Plan Generalny”)&gt;&gt;, bowiem podczas postępowania w sprawie wydania tej „decyzji” nie zostały przeprowadzone konsultacje z gminami znajdującymi się na obszarze Planu Generalnego, co stanowiło naruszenie art. 55 ust. 7 ustawy Prawo lotnicze, potencjalnie skutkujące uchyleniem Planu Generalnego, na podstawie którego został wydany załącznik do wniosku lokalizacyjnego, tj. promesa zezwolenia na założenie lotniska użytku publicznego wydana przez Prezesa Urzędu Lotnictwa Cywilnego decyzją z dnia 21 lipca 2023 r., znak: LTL-1.601.1.2023.ULC.3. </w:t>
      </w:r>
    </w:p>
    <w:p w14:paraId="06528C30" w14:textId="77777777" w:rsidR="0009014A" w:rsidRPr="0009014A" w:rsidRDefault="0009014A" w:rsidP="0009014A">
      <w:pPr>
        <w:spacing w:after="240" w:line="240" w:lineRule="exact"/>
        <w:jc w:val="both"/>
        <w:outlineLvl w:val="0"/>
        <w:rPr>
          <w:rFonts w:ascii="Lato" w:hAnsi="Lato" w:cs="Arial"/>
          <w:spacing w:val="4"/>
          <w:sz w:val="22"/>
          <w:szCs w:val="22"/>
        </w:rPr>
      </w:pPr>
      <w:r w:rsidRPr="0009014A">
        <w:rPr>
          <w:rFonts w:ascii="Lato" w:hAnsi="Lato" w:cs="Arial"/>
          <w:spacing w:val="4"/>
          <w:sz w:val="22"/>
          <w:szCs w:val="22"/>
        </w:rPr>
        <w:t xml:space="preserve">Powoływany przez skarżących art. 97 § 1 pkt 4 kpa przewiduje obligatoryjne zawieszenie postępowania, gdy rozpatrzenie sprawy i wydanie decyzji zależy od uprzedniego rozstrzygnięcia zagadnienia wstępnego przez inny organ lub sąd. Nauka prawa administracyjnego oraz orzecznictwo sądów administracyjnych zgodnie przyjmują jednak, że przepis ten stosuje się wyłącznie w przypadkach, gdy zależność rozstrzygnięcia w jednej sprawie od innego rozstrzygnięcia ma charakter conditio iuris, to znaczy że określony organ nie może wydać decyzji tak długo, jak inny organ w innym postępowaniu swojego postępowania nie zakończył (patrz np.: B. Adamiak, Komentarz do art. 97 [k.p.a.], w: B. Adamiak, J. Borkowski: Kodeks postępowania administracyjnego. Komentarz., 13. wydanie, Warszawa 2014, str. 403-405, Nb 8; patrz też: wyrok Wojewódzkiego Sądu Administracyjnego w Warszawie z dnia 12 października 2016 r., sygn. akt VII SA/Wa 2861/15, opubl. Centralna Baza Orzeczeń Sądów Administracyjnych).  W wyroku tym mówi się o „bezwzględnym uzależnieniu rozpatrzenia sprawy i wydania decyzji w sprawie głównej, od uprzedniego rozstrzygnięcia zagadnienia wstępnego przez inny organ lub sąd”. Możliwość wstrzymania się przez organ prowadzący postępowanie główne z podejmowaniem czynności procesowych </w:t>
      </w:r>
      <w:r w:rsidRPr="0009014A">
        <w:rPr>
          <w:rFonts w:ascii="Lato" w:hAnsi="Lato" w:cs="Arial"/>
          <w:spacing w:val="4"/>
          <w:sz w:val="22"/>
          <w:szCs w:val="22"/>
        </w:rPr>
        <w:br/>
        <w:t xml:space="preserve">i załatwieniem sprawy uzależniona jest zatem od wystąpienia kwestii prejudycjalnej. Tylko istnienie bezpośredniego związku pomiędzy rozstrzygnięciem przez inny organ lub sąd zagadnienia wstępnego a załatwieniem sprawy przez organ w postępowaniu głównym uzasadnia na tej podstawie zawieszenie postępowania. </w:t>
      </w:r>
    </w:p>
    <w:p w14:paraId="27D8C629" w14:textId="77777777" w:rsidR="0009014A" w:rsidRPr="0009014A" w:rsidRDefault="0009014A" w:rsidP="0009014A">
      <w:pPr>
        <w:spacing w:after="240" w:line="240" w:lineRule="exact"/>
        <w:jc w:val="both"/>
        <w:outlineLvl w:val="0"/>
        <w:rPr>
          <w:rFonts w:ascii="Lato" w:hAnsi="Lato" w:cs="Arial"/>
          <w:spacing w:val="4"/>
          <w:sz w:val="22"/>
          <w:szCs w:val="22"/>
        </w:rPr>
      </w:pPr>
      <w:r w:rsidRPr="0009014A">
        <w:rPr>
          <w:rFonts w:ascii="Lato" w:hAnsi="Lato" w:cs="Arial"/>
          <w:spacing w:val="4"/>
          <w:sz w:val="22"/>
          <w:szCs w:val="22"/>
        </w:rPr>
        <w:t xml:space="preserve">W rozpoznawanej sprawie powołane przez skarżących ww. okoliczności nie stanowiły zagadnienia wstępnego, o jakim mowa w art. 97 § 1 pkt 4 kpa, uzasadniającego zawieszenie przez Wojewodę Mazowieckiego postępowania w sprawie wydania decyzji o ustaleniu lokalizacji inwestycji w zakresie CPK. </w:t>
      </w:r>
    </w:p>
    <w:p w14:paraId="4236D9A1" w14:textId="77777777" w:rsidR="0009014A" w:rsidRPr="0009014A" w:rsidRDefault="0009014A" w:rsidP="0009014A">
      <w:pPr>
        <w:spacing w:after="240" w:line="240" w:lineRule="exact"/>
        <w:jc w:val="both"/>
        <w:outlineLvl w:val="0"/>
        <w:rPr>
          <w:rFonts w:ascii="Lato" w:hAnsi="Lato" w:cs="Arial"/>
          <w:bCs/>
          <w:iCs/>
          <w:spacing w:val="4"/>
          <w:sz w:val="22"/>
          <w:szCs w:val="22"/>
        </w:rPr>
      </w:pPr>
      <w:r w:rsidRPr="0009014A">
        <w:rPr>
          <w:rFonts w:ascii="Lato" w:hAnsi="Lato" w:cs="Arial"/>
          <w:spacing w:val="4"/>
          <w:sz w:val="22"/>
          <w:szCs w:val="22"/>
        </w:rPr>
        <w:t xml:space="preserve">Odnosząc się w pierwszej kolejności do kwestii załączenia do wniosku nieostatecznej decyzji o środowiskowych uwarunkowaniach RDOŚ, wskazać należy, że w myśl art. 43 ust. 1 pkt 8 ustawy CPK, do wniosku o wydanie decyzji o ustaleniu lokalizacji inwestycji w zakresie CPK załącza się decyzję o środowiskowych uwarunkowaniach w rozumieniu przepisów </w:t>
      </w:r>
      <w:r w:rsidRPr="0009014A">
        <w:rPr>
          <w:rFonts w:ascii="Lato" w:hAnsi="Lato" w:cs="Arial"/>
          <w:bCs/>
          <w:iCs/>
          <w:spacing w:val="4"/>
          <w:sz w:val="22"/>
          <w:szCs w:val="22"/>
        </w:rPr>
        <w:t xml:space="preserve">ustawy o udostępnianiu informacji o środowisku i jego ochronie. W niniejszej sprawie wymóg ten został spełniony, gdyż </w:t>
      </w:r>
      <w:r w:rsidRPr="0009014A">
        <w:rPr>
          <w:rFonts w:ascii="Lato" w:hAnsi="Lato" w:cs="Arial"/>
          <w:bCs/>
          <w:spacing w:val="4"/>
          <w:sz w:val="22"/>
          <w:szCs w:val="22"/>
        </w:rPr>
        <w:t>inwestor</w:t>
      </w:r>
      <w:r w:rsidRPr="0009014A">
        <w:rPr>
          <w:rFonts w:ascii="Lato" w:hAnsi="Lato" w:cs="Arial"/>
          <w:bCs/>
          <w:iCs/>
          <w:spacing w:val="4"/>
          <w:sz w:val="22"/>
          <w:szCs w:val="22"/>
        </w:rPr>
        <w:t xml:space="preserve"> do wniosku o wydanie decyzji </w:t>
      </w:r>
      <w:r w:rsidRPr="0009014A">
        <w:rPr>
          <w:rFonts w:ascii="Lato" w:hAnsi="Lato" w:cs="Arial"/>
          <w:bCs/>
          <w:iCs/>
          <w:spacing w:val="4"/>
          <w:sz w:val="22"/>
          <w:szCs w:val="22"/>
        </w:rPr>
        <w:br/>
        <w:t xml:space="preserve">o ustaleniu lokalizacji inwestycji w zakresie CPK załączył </w:t>
      </w:r>
      <w:r w:rsidRPr="0009014A">
        <w:rPr>
          <w:rFonts w:ascii="Lato" w:hAnsi="Lato" w:cs="Arial"/>
          <w:bCs/>
          <w:spacing w:val="4"/>
          <w:sz w:val="22"/>
          <w:szCs w:val="22"/>
        </w:rPr>
        <w:t>decyzję o środowiskowych uwarunkowaniach RDOŚ</w:t>
      </w:r>
      <w:r w:rsidRPr="0009014A">
        <w:rPr>
          <w:rFonts w:ascii="Lato" w:hAnsi="Lato" w:cs="Arial"/>
          <w:bCs/>
          <w:iCs/>
          <w:spacing w:val="4"/>
          <w:sz w:val="22"/>
          <w:szCs w:val="22"/>
        </w:rPr>
        <w:t xml:space="preserve">, wydaną zgodnie z </w:t>
      </w:r>
      <w:r w:rsidRPr="0009014A">
        <w:rPr>
          <w:rFonts w:ascii="Lato" w:hAnsi="Lato" w:cs="Arial"/>
          <w:bCs/>
          <w:spacing w:val="4"/>
          <w:sz w:val="22"/>
          <w:szCs w:val="22"/>
        </w:rPr>
        <w:t xml:space="preserve">ustawą o udostępnianiu informacji </w:t>
      </w:r>
      <w:r w:rsidRPr="0009014A">
        <w:rPr>
          <w:rFonts w:ascii="Lato" w:hAnsi="Lato" w:cs="Arial"/>
          <w:bCs/>
          <w:spacing w:val="4"/>
          <w:sz w:val="22"/>
          <w:szCs w:val="22"/>
        </w:rPr>
        <w:br/>
        <w:t>o środowisku i jego ochronie</w:t>
      </w:r>
      <w:r w:rsidRPr="0009014A">
        <w:rPr>
          <w:rFonts w:ascii="Lato" w:hAnsi="Lato" w:cs="Arial"/>
          <w:bCs/>
          <w:iCs/>
          <w:spacing w:val="4"/>
          <w:sz w:val="22"/>
          <w:szCs w:val="22"/>
        </w:rPr>
        <w:t xml:space="preserve">, której w pkt 7 na str. 130 został nadany rygor natychmiastowej wykonalności. Nadanie rygoru natychmiastowej wykonalności nieostatecznej decyzji o środowiskowych uwarunkowaniach umożliwia </w:t>
      </w:r>
      <w:r w:rsidRPr="0009014A">
        <w:rPr>
          <w:rFonts w:ascii="Lato" w:hAnsi="Lato" w:cs="Arial"/>
          <w:bCs/>
          <w:spacing w:val="4"/>
          <w:sz w:val="22"/>
          <w:szCs w:val="22"/>
        </w:rPr>
        <w:t>inwestorowi</w:t>
      </w:r>
      <w:r w:rsidRPr="0009014A">
        <w:rPr>
          <w:rFonts w:ascii="Lato" w:hAnsi="Lato" w:cs="Arial"/>
          <w:bCs/>
          <w:iCs/>
          <w:spacing w:val="4"/>
          <w:sz w:val="22"/>
          <w:szCs w:val="22"/>
        </w:rPr>
        <w:t xml:space="preserve"> ubieganie się o uzyskanie decyzji o ustaleniu lokalizacji inwestycji w zakresie CPK. </w:t>
      </w:r>
      <w:r w:rsidRPr="0009014A">
        <w:rPr>
          <w:rFonts w:ascii="Lato" w:hAnsi="Lato" w:cs="Arial"/>
          <w:bCs/>
          <w:iCs/>
          <w:spacing w:val="4"/>
          <w:sz w:val="22"/>
          <w:szCs w:val="22"/>
        </w:rPr>
        <w:br/>
        <w:t xml:space="preserve">W treści ww. przepisu art. 43 ust. 1 pkt 8 ustawy CPK, ustawodawca nie wskazał, iż do </w:t>
      </w:r>
      <w:r w:rsidRPr="0009014A">
        <w:rPr>
          <w:rFonts w:ascii="Lato" w:hAnsi="Lato" w:cs="Arial"/>
          <w:bCs/>
          <w:iCs/>
          <w:spacing w:val="4"/>
          <w:sz w:val="22"/>
          <w:szCs w:val="22"/>
        </w:rPr>
        <w:lastRenderedPageBreak/>
        <w:t xml:space="preserve">wniosku lokalizacyjnego należy dołączyć prawomocną, czy też ostateczną decyzję </w:t>
      </w:r>
      <w:r w:rsidRPr="0009014A">
        <w:rPr>
          <w:rFonts w:ascii="Lato" w:hAnsi="Lato" w:cs="Arial"/>
          <w:bCs/>
          <w:iCs/>
          <w:spacing w:val="4"/>
          <w:sz w:val="22"/>
          <w:szCs w:val="22"/>
        </w:rPr>
        <w:br/>
        <w:t xml:space="preserve">o środowiskowych uwarunkowaniach. Należy podkreślić, że decyzja zaopatrzona w rygor natychmiastowej wywiera skutki prawne takie same jak decyzja ostateczna od daty jej doręczenia stronie (zob. wyrok Wojewódzkiego Sądu Administracyjnego w Warszawie </w:t>
      </w:r>
      <w:r w:rsidRPr="0009014A">
        <w:rPr>
          <w:rFonts w:ascii="Lato" w:hAnsi="Lato" w:cs="Arial"/>
          <w:bCs/>
          <w:iCs/>
          <w:spacing w:val="4"/>
          <w:sz w:val="22"/>
          <w:szCs w:val="22"/>
        </w:rPr>
        <w:br/>
        <w:t xml:space="preserve">z dnia 11 września 2012 r., sygn. akt VII SA/Wa 397/12, opubl. Centralna Baza Orzeczeń Sądów Administracyjnych). Ugruntowane orzecznictwo sądowoadministracyjne wyraźnie podkreśla również, że nadanie decyzji rygoru natychmiastowej wykonalności ma ten skutek, że przed upływem terminu wniesienia odwołania decyzja ta ulega wykonaniu, a wniesienie odwołania od niej przez którąkolwiek ze stron nie wstrzymuje jej wykonania (patrz: wyroki Naczelnego Sądu Administracyjnego z dnia 18 maja 2016 r., sygn. akt II OSK 1066/15, z dnia 8 grudnia 2011 r., sygn. akt II OSK 2169/11, opubl. Centralna Baza Orzeczeń Sądów Administracyjnych). </w:t>
      </w:r>
    </w:p>
    <w:p w14:paraId="4D47BAF2" w14:textId="77777777"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rPr>
        <w:t xml:space="preserve">W orzecznictwie Naczelnego Sądu Administracyjnego dotyczącym decyzji o zezwoleniu na realizację inwestycji drogowej przyjęto, iż dopuszczalne jest wydanie decyzji </w:t>
      </w:r>
      <w:r w:rsidRPr="0009014A">
        <w:rPr>
          <w:rFonts w:ascii="Lato" w:hAnsi="Lato" w:cs="Arial"/>
          <w:bCs/>
          <w:iCs/>
          <w:spacing w:val="4"/>
          <w:sz w:val="22"/>
          <w:szCs w:val="22"/>
        </w:rPr>
        <w:br/>
        <w:t xml:space="preserve">o zezwoleniu na realizację inwestycji drogowej, gdy decyzja o środowiskowych uwarunkowaniach wprawdzie nie jest ostateczna, lecz nadano jej rygor natychmiastowej wykonalności (por. wyrok Naczelnego Sądu Administracyjnego z dnia 9 stycznia 2018 r., sygn. akt II OSK 2563/17 i powołane tam wyraki NSA, opubl. Centralna Baza Orzeczeń Sądów Administracyjnych). Tożsame stanowisko jest prezentowane w orzecznictwie sądowoadministracyjnym dotyczącym decyzji o ustaleniu lokalizacji linii kolejowej wydawanej na podstawie </w:t>
      </w:r>
      <w:r w:rsidRPr="0009014A">
        <w:rPr>
          <w:rFonts w:ascii="Lato" w:hAnsi="Lato" w:cs="Arial"/>
          <w:bCs/>
          <w:iCs/>
          <w:spacing w:val="4"/>
          <w:sz w:val="22"/>
          <w:szCs w:val="22"/>
          <w:lang w:bidi="pl-PL"/>
        </w:rPr>
        <w:t xml:space="preserve">ustawy o transporcie kolejowym (por. wyrok Naczelnego Sądu Administracyjnego z dnia 5 marca 2024 r., sygn. akt II OSK 1896/23, wyroki Wojewódzkiego Sądu Administracyjnego w Warszawie z dnia 26 marca 2024 r., sygn. akt VII SA/Wa 27/23, z dnia 9 maja 2023 r., sygn. akt VII SA/Wa 2679/22, opubl. Centralna Baza Orzeczeń Sądów Administracyjnych). </w:t>
      </w:r>
      <w:r w:rsidRPr="0009014A">
        <w:rPr>
          <w:rFonts w:ascii="Lato" w:hAnsi="Lato" w:cs="Arial"/>
          <w:bCs/>
          <w:iCs/>
          <w:spacing w:val="4"/>
          <w:sz w:val="22"/>
          <w:szCs w:val="22"/>
        </w:rPr>
        <w:t xml:space="preserve">Tezy wynikające z ww. orzecznictwa można </w:t>
      </w:r>
      <w:r w:rsidRPr="0009014A">
        <w:rPr>
          <w:rFonts w:ascii="Lato" w:hAnsi="Lato" w:cs="Arial"/>
          <w:bCs/>
          <w:iCs/>
          <w:spacing w:val="4"/>
          <w:sz w:val="22"/>
          <w:szCs w:val="22"/>
        </w:rPr>
        <w:br/>
        <w:t xml:space="preserve">z pewnością odnieść do decyzji lokalizacyjnej wydawanej na podstawie ustawy CPK. Również w doktrynie wskazuje się, że decyzje o środowiskowych uwarunkowaniach wiążą organ wydający decyzje, o których mowa w art. 72 ust. 1 </w:t>
      </w:r>
      <w:r w:rsidRPr="0009014A">
        <w:rPr>
          <w:rFonts w:ascii="Lato" w:hAnsi="Lato" w:cs="Arial"/>
          <w:bCs/>
          <w:spacing w:val="4"/>
          <w:sz w:val="22"/>
          <w:szCs w:val="22"/>
        </w:rPr>
        <w:t>ustawy o udostępnianiu informacji  o środowisku i jego ochronie</w:t>
      </w:r>
      <w:r w:rsidRPr="0009014A">
        <w:rPr>
          <w:rFonts w:ascii="Lato" w:hAnsi="Lato" w:cs="Arial"/>
          <w:bCs/>
          <w:iCs/>
          <w:spacing w:val="4"/>
          <w:sz w:val="22"/>
          <w:szCs w:val="22"/>
        </w:rPr>
        <w:t xml:space="preserve">. Oczywiście walor taki zgodnie z art. 130 </w:t>
      </w:r>
      <w:r w:rsidRPr="0009014A">
        <w:rPr>
          <w:rFonts w:ascii="Lato" w:hAnsi="Lato" w:cs="Arial"/>
          <w:bCs/>
          <w:spacing w:val="4"/>
          <w:sz w:val="22"/>
          <w:szCs w:val="22"/>
        </w:rPr>
        <w:t>kpa</w:t>
      </w:r>
      <w:r w:rsidRPr="0009014A">
        <w:rPr>
          <w:rFonts w:ascii="Lato" w:hAnsi="Lato" w:cs="Arial"/>
          <w:bCs/>
          <w:iCs/>
          <w:spacing w:val="4"/>
          <w:sz w:val="22"/>
          <w:szCs w:val="22"/>
        </w:rPr>
        <w:t xml:space="preserve"> posiadać będą tylko decyzje ostateczne w administracyjnym toku instancji lub takie, które na podstawie art. 108 § 1 </w:t>
      </w:r>
      <w:r w:rsidRPr="0009014A">
        <w:rPr>
          <w:rFonts w:ascii="Lato" w:hAnsi="Lato" w:cs="Arial"/>
          <w:bCs/>
          <w:spacing w:val="4"/>
          <w:sz w:val="22"/>
          <w:szCs w:val="22"/>
        </w:rPr>
        <w:t>kpa</w:t>
      </w:r>
      <w:r w:rsidRPr="0009014A">
        <w:rPr>
          <w:rFonts w:ascii="Lato" w:hAnsi="Lato" w:cs="Arial"/>
          <w:bCs/>
          <w:iCs/>
          <w:spacing w:val="4"/>
          <w:sz w:val="22"/>
          <w:szCs w:val="22"/>
        </w:rPr>
        <w:t xml:space="preserve"> zostały opatrzone rygorem natychmiastowej wykonalności (por. K. Gruszecki, Komentarz do art. 72 ustawy z dnia 3 października </w:t>
      </w:r>
      <w:r w:rsidRPr="0009014A">
        <w:rPr>
          <w:rFonts w:ascii="Lato" w:hAnsi="Lato" w:cs="Arial"/>
          <w:bCs/>
          <w:iCs/>
          <w:spacing w:val="4"/>
          <w:sz w:val="22"/>
          <w:szCs w:val="22"/>
        </w:rPr>
        <w:br/>
        <w:t>2008 r. o udostępnianiu informacji o środowisku i jego ochronie, udziale społeczeństwa w ochronie środowiska oraz o ocenach oddziaływania na środowisko, Lex/el.).</w:t>
      </w:r>
    </w:p>
    <w:p w14:paraId="53DBBE5D" w14:textId="17B40FB8" w:rsidR="0009014A" w:rsidRPr="0009014A" w:rsidRDefault="0009014A" w:rsidP="0009014A">
      <w:pPr>
        <w:spacing w:after="240" w:line="240" w:lineRule="exact"/>
        <w:jc w:val="both"/>
        <w:outlineLvl w:val="0"/>
        <w:rPr>
          <w:rFonts w:ascii="Lato" w:hAnsi="Lato" w:cs="Arial"/>
          <w:bCs/>
          <w:iCs/>
          <w:spacing w:val="4"/>
          <w:sz w:val="22"/>
          <w:szCs w:val="22"/>
        </w:rPr>
      </w:pPr>
      <w:r w:rsidRPr="0009014A">
        <w:rPr>
          <w:rFonts w:ascii="Lato" w:hAnsi="Lato" w:cs="Arial"/>
          <w:bCs/>
          <w:iCs/>
          <w:spacing w:val="4"/>
          <w:sz w:val="22"/>
          <w:szCs w:val="22"/>
        </w:rPr>
        <w:t xml:space="preserve">Wobec powyższego, jasno wskazać należy, że skoro nieostateczna </w:t>
      </w:r>
      <w:r w:rsidRPr="0009014A">
        <w:rPr>
          <w:rFonts w:ascii="Lato" w:hAnsi="Lato" w:cs="Arial"/>
          <w:bCs/>
          <w:spacing w:val="4"/>
          <w:sz w:val="22"/>
          <w:szCs w:val="22"/>
        </w:rPr>
        <w:t xml:space="preserve">decyzja </w:t>
      </w:r>
      <w:r w:rsidR="0019230B">
        <w:rPr>
          <w:rFonts w:ascii="Lato" w:hAnsi="Lato" w:cs="Arial"/>
          <w:bCs/>
          <w:spacing w:val="4"/>
          <w:sz w:val="22"/>
          <w:szCs w:val="22"/>
        </w:rPr>
        <w:br/>
      </w:r>
      <w:r w:rsidRPr="0009014A">
        <w:rPr>
          <w:rFonts w:ascii="Lato" w:hAnsi="Lato" w:cs="Arial"/>
          <w:bCs/>
          <w:spacing w:val="4"/>
          <w:sz w:val="22"/>
          <w:szCs w:val="22"/>
        </w:rPr>
        <w:t xml:space="preserve">o </w:t>
      </w:r>
      <w:r w:rsidRPr="0009014A">
        <w:rPr>
          <w:rFonts w:ascii="Lato" w:hAnsi="Lato" w:cs="Arial"/>
          <w:bCs/>
          <w:spacing w:val="4"/>
          <w:sz w:val="22"/>
          <w:szCs w:val="22"/>
          <w:lang w:bidi="pl-PL"/>
        </w:rPr>
        <w:t>środowiskowych uwarunkowaniach RDOŚ</w:t>
      </w:r>
      <w:r w:rsidRPr="0009014A">
        <w:rPr>
          <w:rFonts w:ascii="Lato" w:hAnsi="Lato" w:cs="Arial"/>
          <w:bCs/>
          <w:i/>
          <w:iCs/>
          <w:spacing w:val="4"/>
          <w:sz w:val="22"/>
          <w:szCs w:val="22"/>
          <w:lang w:bidi="pl-PL"/>
        </w:rPr>
        <w:t xml:space="preserve"> </w:t>
      </w:r>
      <w:r w:rsidRPr="0009014A">
        <w:rPr>
          <w:rFonts w:ascii="Lato" w:hAnsi="Lato" w:cs="Arial"/>
          <w:bCs/>
          <w:iCs/>
          <w:spacing w:val="4"/>
          <w:sz w:val="22"/>
          <w:szCs w:val="22"/>
        </w:rPr>
        <w:t xml:space="preserve">z nadanym rygorem natychmiastowej wykonalności może być podstawą wydania innego rozstrzygnięcia, tj. m.in. decyzji </w:t>
      </w:r>
      <w:r w:rsidRPr="0009014A">
        <w:rPr>
          <w:rFonts w:ascii="Lato" w:hAnsi="Lato" w:cs="Arial"/>
          <w:bCs/>
          <w:iCs/>
          <w:spacing w:val="4"/>
          <w:sz w:val="22"/>
          <w:szCs w:val="22"/>
        </w:rPr>
        <w:br/>
        <w:t xml:space="preserve">o ustaleniu lokalizacji inwestycji w zakresie CPK, to wbrew twierdzeniu skarżących, </w:t>
      </w:r>
      <w:r w:rsidRPr="0009014A">
        <w:rPr>
          <w:rFonts w:ascii="Lato" w:hAnsi="Lato" w:cs="Arial"/>
          <w:bCs/>
          <w:spacing w:val="4"/>
          <w:sz w:val="22"/>
          <w:szCs w:val="22"/>
        </w:rPr>
        <w:t>inwestor</w:t>
      </w:r>
      <w:r w:rsidRPr="0009014A">
        <w:rPr>
          <w:rFonts w:ascii="Lato" w:hAnsi="Lato" w:cs="Arial"/>
          <w:bCs/>
          <w:i/>
          <w:iCs/>
          <w:spacing w:val="4"/>
          <w:sz w:val="22"/>
          <w:szCs w:val="22"/>
        </w:rPr>
        <w:t xml:space="preserve"> </w:t>
      </w:r>
      <w:r w:rsidRPr="0009014A">
        <w:rPr>
          <w:rFonts w:ascii="Lato" w:hAnsi="Lato" w:cs="Arial"/>
          <w:bCs/>
          <w:iCs/>
          <w:spacing w:val="4"/>
          <w:sz w:val="22"/>
          <w:szCs w:val="22"/>
          <w:lang w:bidi="pl-PL"/>
        </w:rPr>
        <w:t xml:space="preserve">przed wydaniem decyzji o ustaleniu lokalizacji inwestycji w zakresie CPK </w:t>
      </w:r>
      <w:r w:rsidRPr="0009014A">
        <w:rPr>
          <w:rFonts w:ascii="Lato" w:hAnsi="Lato" w:cs="Arial"/>
          <w:bCs/>
          <w:iCs/>
          <w:spacing w:val="4"/>
          <w:sz w:val="22"/>
          <w:szCs w:val="22"/>
        </w:rPr>
        <w:t xml:space="preserve">nie był zobowiązany do uzyskania ostatecznej, czy też prawomocnej decyzji </w:t>
      </w:r>
      <w:r w:rsidRPr="0009014A">
        <w:rPr>
          <w:rFonts w:ascii="Lato" w:hAnsi="Lato" w:cs="Arial"/>
          <w:bCs/>
          <w:iCs/>
          <w:spacing w:val="4"/>
          <w:sz w:val="22"/>
          <w:szCs w:val="22"/>
        </w:rPr>
        <w:br/>
        <w:t xml:space="preserve">o środowiskowych uwarunkowaniach. Jednocześnie w tym miejscu zauważyć należy, </w:t>
      </w:r>
      <w:r w:rsidRPr="0009014A">
        <w:rPr>
          <w:rFonts w:ascii="Lato" w:hAnsi="Lato" w:cs="Arial"/>
          <w:bCs/>
          <w:iCs/>
          <w:spacing w:val="4"/>
          <w:sz w:val="22"/>
          <w:szCs w:val="22"/>
        </w:rPr>
        <w:br/>
        <w:t>iż Naczelny Sąd Administracyjny wyrokiem z dnia 24 lutego 2026 r., sygn. akt III OSK 2755/24, oddalił skargi kasacyjne od wyroku Wojewódzkiego Sądu Administracyjnego w Warszawie z dnia 21 czerwca 2024 r., sygn. akt IV SA/Wa 109/24, oddającego skargi</w:t>
      </w:r>
      <w:r w:rsidRPr="0009014A">
        <w:rPr>
          <w:rFonts w:ascii="Lato" w:hAnsi="Lato" w:cs="Arial"/>
          <w:bCs/>
          <w:iCs/>
          <w:spacing w:val="4"/>
          <w:sz w:val="22"/>
          <w:szCs w:val="22"/>
        </w:rPr>
        <w:br/>
        <w:t xml:space="preserve">na postanowienie GDOŚ z dnia 6 listopada 2023 r., znak: DOOŚ WDŚZOO.420.27.2023.KN/AL.26, w przedmiocie odmowy wstrzymania natychmiastowego wykonania decyzji o środowiskowych uwarunkowaniach RDOŚ. </w:t>
      </w:r>
    </w:p>
    <w:p w14:paraId="3022D791" w14:textId="2D2E1C28" w:rsidR="0009014A" w:rsidRPr="0009014A" w:rsidRDefault="0009014A" w:rsidP="0009014A">
      <w:pPr>
        <w:spacing w:after="240" w:line="240" w:lineRule="exact"/>
        <w:jc w:val="both"/>
        <w:outlineLvl w:val="0"/>
        <w:rPr>
          <w:rFonts w:ascii="Lato" w:hAnsi="Lato" w:cs="Arial"/>
          <w:bCs/>
          <w:spacing w:val="4"/>
          <w:sz w:val="22"/>
          <w:szCs w:val="22"/>
        </w:rPr>
      </w:pPr>
      <w:r w:rsidRPr="0009014A">
        <w:rPr>
          <w:rFonts w:ascii="Lato" w:hAnsi="Lato" w:cs="Arial"/>
          <w:bCs/>
          <w:iCs/>
          <w:spacing w:val="4"/>
          <w:sz w:val="22"/>
          <w:szCs w:val="22"/>
        </w:rPr>
        <w:t xml:space="preserve">Jak już to zostało wyjaśnione w niniejszej decyzji, organ odwoławczy rozpatrując ponownie sprawę zobowiązany jest uwzględniać zmiany stanu prawnego </w:t>
      </w:r>
      <w:r w:rsidRPr="0009014A">
        <w:rPr>
          <w:rFonts w:ascii="Lato" w:hAnsi="Lato" w:cs="Arial"/>
          <w:bCs/>
          <w:iCs/>
          <w:spacing w:val="4"/>
          <w:sz w:val="22"/>
          <w:szCs w:val="22"/>
        </w:rPr>
        <w:br/>
        <w:t xml:space="preserve">i faktycznego sprawy zaistniałe po wydaniu zaskarżonej decyzji organu pierwszej instancji. W trakcie prowadzonego przez </w:t>
      </w:r>
      <w:r w:rsidRPr="0009014A">
        <w:rPr>
          <w:rFonts w:ascii="Lato" w:hAnsi="Lato" w:cs="Arial"/>
          <w:bCs/>
          <w:spacing w:val="4"/>
          <w:sz w:val="22"/>
          <w:szCs w:val="22"/>
        </w:rPr>
        <w:t>Ministra</w:t>
      </w:r>
      <w:r w:rsidRPr="0009014A">
        <w:rPr>
          <w:rFonts w:ascii="Lato" w:hAnsi="Lato" w:cs="Arial"/>
          <w:bCs/>
          <w:iCs/>
          <w:spacing w:val="4"/>
          <w:sz w:val="22"/>
          <w:szCs w:val="22"/>
        </w:rPr>
        <w:t xml:space="preserve"> postępowania dotyczącego </w:t>
      </w:r>
      <w:r w:rsidRPr="0009014A">
        <w:rPr>
          <w:rFonts w:ascii="Lato" w:hAnsi="Lato" w:cs="Arial"/>
          <w:bCs/>
          <w:spacing w:val="4"/>
          <w:sz w:val="22"/>
          <w:szCs w:val="22"/>
        </w:rPr>
        <w:t xml:space="preserve">decyzji </w:t>
      </w:r>
      <w:r w:rsidRPr="0009014A">
        <w:rPr>
          <w:rFonts w:ascii="Lato" w:hAnsi="Lato" w:cs="Arial"/>
          <w:bCs/>
          <w:spacing w:val="4"/>
          <w:sz w:val="22"/>
          <w:szCs w:val="22"/>
        </w:rPr>
        <w:lastRenderedPageBreak/>
        <w:t>Wojewody Mazowieckiego</w:t>
      </w:r>
      <w:r w:rsidRPr="0009014A">
        <w:rPr>
          <w:rFonts w:ascii="Lato" w:hAnsi="Lato" w:cs="Arial"/>
          <w:bCs/>
          <w:iCs/>
          <w:spacing w:val="4"/>
          <w:sz w:val="22"/>
          <w:szCs w:val="22"/>
        </w:rPr>
        <w:t xml:space="preserve">, GDOŚ zakończył postępowanie odwoławcze w sprawie decyzji o środowiskowych uwarunkowaniach RDOŚ i wydał </w:t>
      </w:r>
      <w:r w:rsidRPr="0009014A">
        <w:rPr>
          <w:rFonts w:ascii="Lato" w:hAnsi="Lato" w:cs="Arial"/>
          <w:spacing w:val="4"/>
          <w:sz w:val="22"/>
          <w:szCs w:val="22"/>
        </w:rPr>
        <w:t xml:space="preserve">decyzję z dnia 30 grudnia </w:t>
      </w:r>
      <w:r w:rsidRPr="00800FD4">
        <w:rPr>
          <w:rFonts w:ascii="Lato" w:hAnsi="Lato" w:cs="Arial"/>
          <w:spacing w:val="4"/>
          <w:sz w:val="22"/>
          <w:szCs w:val="22"/>
        </w:rPr>
        <w:t xml:space="preserve">2025 r., znak: DOOŚ-WDŚZOO.420.27.2023.KN.94, zwaną dalej „decyzją </w:t>
      </w:r>
      <w:r w:rsidRPr="00800FD4">
        <w:rPr>
          <w:rFonts w:ascii="Lato" w:hAnsi="Lato" w:cs="Arial"/>
          <w:spacing w:val="4"/>
          <w:sz w:val="22"/>
          <w:szCs w:val="22"/>
        </w:rPr>
        <w:br/>
        <w:t xml:space="preserve">o środowiskowych uwarunkowaniach GDOŚ”, </w:t>
      </w:r>
      <w:r w:rsidRPr="00800FD4">
        <w:rPr>
          <w:rFonts w:ascii="Lato" w:hAnsi="Lato" w:cs="Arial"/>
          <w:bCs/>
          <w:spacing w:val="4"/>
          <w:sz w:val="22"/>
          <w:szCs w:val="22"/>
        </w:rPr>
        <w:t xml:space="preserve">uchylającą w części i orzekającą w tym zakresie co do istoty sprawy, a w pozostałej części utrzymującą w mocy decyzję </w:t>
      </w:r>
      <w:r w:rsidRPr="00800FD4">
        <w:rPr>
          <w:rFonts w:ascii="Lato" w:hAnsi="Lato" w:cs="Arial"/>
          <w:bCs/>
          <w:spacing w:val="4"/>
          <w:sz w:val="22"/>
          <w:szCs w:val="22"/>
        </w:rPr>
        <w:br/>
        <w:t xml:space="preserve">o środowiskowych uwarunkowaniach RDOŚ. Minister porównując zapisy decyzji Wojewody Mazowieckiego i decyzji o środowiskowych uwarunkowaniach GDOŚ, </w:t>
      </w:r>
      <w:r w:rsidR="00194718" w:rsidRPr="00800FD4">
        <w:rPr>
          <w:rFonts w:ascii="Lato" w:hAnsi="Lato" w:cs="Arial"/>
          <w:bCs/>
          <w:spacing w:val="4"/>
          <w:sz w:val="22"/>
          <w:szCs w:val="22"/>
        </w:rPr>
        <w:t xml:space="preserve">sprostowanej postanowieniem GDOŚ z dnia 30 marca 2026 r., znak: DOOŚ-WDŚZOO.420.27.2023.KN.105, </w:t>
      </w:r>
      <w:r w:rsidRPr="00800FD4">
        <w:rPr>
          <w:rFonts w:ascii="Lato" w:hAnsi="Lato" w:cs="Arial"/>
          <w:bCs/>
          <w:spacing w:val="4"/>
          <w:sz w:val="22"/>
          <w:szCs w:val="22"/>
        </w:rPr>
        <w:t>stwierdził, że w związku z wydaną decyzją przez GDOŚ nie zachodzi konieczność zmiany decyzji Wojewody Mazowieckiego, jak i załącznika graficznego do niej przedstawiającego projektowany</w:t>
      </w:r>
      <w:r w:rsidRPr="0009014A">
        <w:rPr>
          <w:rFonts w:ascii="Lato" w:hAnsi="Lato" w:cs="Arial"/>
          <w:bCs/>
          <w:spacing w:val="4"/>
          <w:sz w:val="22"/>
          <w:szCs w:val="22"/>
        </w:rPr>
        <w:t xml:space="preserve"> obszar Inwestycji. Analiza ostatecznej decyzji środowiskowej wydanej przez GDOŚ nie doprowadziła do uznania przez Ministra, aby jakiekolwiek ustalenia zawarte w zaskarżonej decyzji były sprzeczne z tą decyzją. Obszar objęty decyzją Wojewody Mazowieckiego znajduje się w całości </w:t>
      </w:r>
      <w:r w:rsidR="00194718">
        <w:rPr>
          <w:rFonts w:ascii="Lato" w:hAnsi="Lato" w:cs="Arial"/>
          <w:bCs/>
          <w:spacing w:val="4"/>
          <w:sz w:val="22"/>
          <w:szCs w:val="22"/>
        </w:rPr>
        <w:br/>
      </w:r>
      <w:r w:rsidRPr="0009014A">
        <w:rPr>
          <w:rFonts w:ascii="Lato" w:hAnsi="Lato" w:cs="Arial"/>
          <w:bCs/>
          <w:spacing w:val="4"/>
          <w:sz w:val="22"/>
          <w:szCs w:val="22"/>
        </w:rPr>
        <w:t xml:space="preserve">w obszarze decyzji o środowiskowych uwarunkowaniach GDOŚ. Decyzja środowiskowa wydana przez GDOŚ nie wprowadza zmian w zakresie miejsca lokalizacji oraz tożsamości przedsięwzięcia. Potwierdził to również inwestor w piśmie z dnia 28 stycznia 2026 r., znak: LZS.41.1.2026, stanowiącym odpowiedź na wezwanie Ministra </w:t>
      </w:r>
      <w:r w:rsidRPr="0009014A">
        <w:rPr>
          <w:rFonts w:ascii="Lato" w:hAnsi="Lato" w:cs="Arial"/>
          <w:bCs/>
          <w:spacing w:val="4"/>
          <w:sz w:val="22"/>
          <w:szCs w:val="22"/>
        </w:rPr>
        <w:br/>
        <w:t xml:space="preserve">z dnia 9 stycznia 2026 r., znak: DLI-II.7620.7.2025.KR/AZ.46. Z rozstrzygnięcia decyzji o środowiskowych uwarunkowaniach GDOŚ i jej uzasadnienia (str. 104), wynika, </w:t>
      </w:r>
      <w:r w:rsidRPr="0009014A">
        <w:rPr>
          <w:rFonts w:ascii="Lato" w:hAnsi="Lato" w:cs="Arial"/>
          <w:bCs/>
          <w:spacing w:val="4"/>
          <w:sz w:val="22"/>
          <w:szCs w:val="22"/>
        </w:rPr>
        <w:br/>
        <w:t xml:space="preserve">ze GDOŚ nie zmienił miejsca lokalizacji przedmiotowej Inwestycji, a jedynie uznał </w:t>
      </w:r>
      <w:r w:rsidRPr="0009014A">
        <w:rPr>
          <w:rFonts w:ascii="Lato" w:hAnsi="Lato" w:cs="Arial"/>
          <w:bCs/>
          <w:spacing w:val="4"/>
          <w:sz w:val="22"/>
          <w:szCs w:val="22"/>
        </w:rPr>
        <w:br/>
        <w:t xml:space="preserve">za zasadne dopracowanie w tym zakresie poprzez określenie miejsca jej realizacji </w:t>
      </w:r>
      <w:r w:rsidRPr="0009014A">
        <w:rPr>
          <w:rFonts w:ascii="Lato" w:hAnsi="Lato" w:cs="Arial"/>
          <w:bCs/>
          <w:spacing w:val="4"/>
          <w:sz w:val="22"/>
          <w:szCs w:val="22"/>
        </w:rPr>
        <w:br/>
        <w:t>w postaci kartograficznej (załącznik nr 2 do decyzji o środowiskowych uwarunkowaniach GDOŚ).</w:t>
      </w:r>
      <w:r w:rsidRPr="0009014A">
        <w:t xml:space="preserve"> </w:t>
      </w:r>
    </w:p>
    <w:p w14:paraId="43B4B117" w14:textId="77777777" w:rsidR="0009014A" w:rsidRPr="0009014A" w:rsidRDefault="0009014A" w:rsidP="0009014A">
      <w:pPr>
        <w:spacing w:after="240" w:line="240" w:lineRule="exact"/>
        <w:jc w:val="both"/>
        <w:outlineLvl w:val="0"/>
        <w:rPr>
          <w:rFonts w:ascii="Lato" w:hAnsi="Lato" w:cs="Arial"/>
          <w:bCs/>
          <w:iCs/>
          <w:spacing w:val="4"/>
          <w:sz w:val="22"/>
          <w:szCs w:val="22"/>
        </w:rPr>
      </w:pPr>
      <w:r w:rsidRPr="0009014A">
        <w:rPr>
          <w:rFonts w:ascii="Lato" w:hAnsi="Lato" w:cs="Arial"/>
          <w:bCs/>
          <w:spacing w:val="4"/>
          <w:sz w:val="22"/>
          <w:szCs w:val="22"/>
        </w:rPr>
        <w:t xml:space="preserve">Badanie zgodności decyzji o ustaleniu lokalizacji inwestycji z wymogami decyzji </w:t>
      </w:r>
      <w:r w:rsidRPr="0009014A">
        <w:rPr>
          <w:rFonts w:ascii="Lato" w:hAnsi="Lato" w:cs="Arial"/>
          <w:bCs/>
          <w:spacing w:val="4"/>
          <w:sz w:val="22"/>
          <w:szCs w:val="22"/>
        </w:rPr>
        <w:br/>
        <w:t xml:space="preserve">o środowiskowych uwarunkowaniach jest podstawowym obowiązkiem organów administracji wydających decyzję lokalizacyjną, jednakże nie można pominąć, </w:t>
      </w:r>
      <w:r w:rsidRPr="0009014A">
        <w:rPr>
          <w:rFonts w:ascii="Lato" w:hAnsi="Lato" w:cs="Arial"/>
          <w:bCs/>
          <w:spacing w:val="4"/>
          <w:sz w:val="22"/>
          <w:szCs w:val="22"/>
        </w:rPr>
        <w:br/>
        <w:t xml:space="preserve">że szczegółowa implementacja zapisów decyzji o środowiskowych uwarunkowaniach jest kontrolowana na etapie pozwolenia na budowę, a więc na dalszym etapie procesu inwestycyjnego niż ten wstępny, na którym podejmowana jest decyzja lokalizacyjna. </w:t>
      </w:r>
      <w:r w:rsidRPr="0009014A">
        <w:rPr>
          <w:rFonts w:ascii="Lato" w:hAnsi="Lato" w:cs="Arial"/>
          <w:bCs/>
          <w:spacing w:val="4"/>
          <w:sz w:val="22"/>
          <w:szCs w:val="22"/>
        </w:rPr>
        <w:br/>
      </w:r>
      <w:r w:rsidRPr="0009014A">
        <w:rPr>
          <w:rFonts w:ascii="Lato" w:hAnsi="Lato" w:cs="Arial"/>
          <w:bCs/>
          <w:iCs/>
          <w:spacing w:val="4"/>
          <w:sz w:val="22"/>
          <w:szCs w:val="22"/>
        </w:rPr>
        <w:t xml:space="preserve">W myśl bowiem art. 35 ust. 1 pkt 1 lit. b ustawy z dnia 7 lipca 1994 r. – Prawo budowlane (t.j. Dz.U. z 2025 r. poz. 418), zwanej dalej „ustawą Prawo budowlane”, przed wydaniem decyzji o pozwoleniu na budowę organ administracji architektoniczno-budowlanej sprawdza zgodność projektu zagospodarowania działki lub terenu oraz projektu architektoniczno-budowlanego z wymaganiami ochrony środowiska, w szczególności określonymi w decyzji o środowiskowych uwarunkowaniach, o której mowa w art. 71 ust. 1 ustawy o udostępnianiu informacji o środowisku i jego ochronie. Natomiast na etapie lokalizacji inwestycji zgodność z decyzją o środowiskowych uwarunkowanych sprawdzana jest ramowo, a nie technicznie. Organ sprawdza, czy wnioskowana lokalizacja mieści się w granicach oraz parametrach (typ przedsięwzięcia, miejsce realizacji) zatwierdzonych wcześniej w decyzji o środowiskowych uwarunkowaniach, ale nie wchodzi w szczegóły techniczne dotyczące np. akustyki, ochrony wód czy konkretnych technologii budowy, gdyż szczegółowe sprawdzenie w tym zakresie dokonuje się na etapie pozwolenia na budowę w kontekście oceny zgodności przedstawionego przez inwestora projektu budowlanego z warunkami realizacji inwestycji określonymi w decyzji o środowiskowych uwarunkowaniach. W niniejszej sprawie, zdaniem Ministra, nie istnieje rozbieżność pomiędzy parametrami i lokalizacją Inwestycji, wskazywaną w postępowaniu zakończonym decyzją o środowiskowych uwarunkowaniach, a lokalizacją i parametrami Inwestycji przyjętymi w decyzji Wojewody Mazowieckiego. </w:t>
      </w:r>
    </w:p>
    <w:p w14:paraId="05FA89EA" w14:textId="77777777" w:rsidR="0009014A" w:rsidRPr="0009014A" w:rsidRDefault="0009014A" w:rsidP="0009014A">
      <w:pPr>
        <w:spacing w:after="240" w:line="240" w:lineRule="exact"/>
        <w:jc w:val="both"/>
        <w:outlineLvl w:val="0"/>
        <w:rPr>
          <w:rFonts w:ascii="Lato" w:hAnsi="Lato" w:cs="Arial"/>
          <w:bCs/>
          <w:spacing w:val="4"/>
          <w:sz w:val="22"/>
          <w:szCs w:val="22"/>
        </w:rPr>
      </w:pPr>
      <w:r w:rsidRPr="0009014A">
        <w:rPr>
          <w:rFonts w:ascii="Lato" w:hAnsi="Lato" w:cs="Arial"/>
          <w:bCs/>
          <w:spacing w:val="4"/>
          <w:sz w:val="22"/>
          <w:szCs w:val="22"/>
        </w:rPr>
        <w:t>W związku z wydaną decyzją o środowiskowych uwarunkowanych GDOŚ</w:t>
      </w:r>
      <w:r w:rsidRPr="0009014A">
        <w:rPr>
          <w:rFonts w:ascii="Lato" w:hAnsi="Lato" w:cs="Arial"/>
          <w:bCs/>
          <w:iCs/>
          <w:spacing w:val="4"/>
          <w:sz w:val="22"/>
          <w:szCs w:val="22"/>
        </w:rPr>
        <w:t xml:space="preserve"> warunki środowiskowe realizacji i funkcjonowania przedmiotowego przedsięwzięcia wynikają </w:t>
      </w:r>
      <w:r w:rsidRPr="0009014A">
        <w:rPr>
          <w:rFonts w:ascii="Lato" w:hAnsi="Lato" w:cs="Arial"/>
          <w:bCs/>
          <w:iCs/>
          <w:spacing w:val="4"/>
          <w:sz w:val="22"/>
          <w:szCs w:val="22"/>
        </w:rPr>
        <w:lastRenderedPageBreak/>
        <w:t xml:space="preserve">zarówno z </w:t>
      </w:r>
      <w:r w:rsidRPr="0009014A">
        <w:rPr>
          <w:rFonts w:ascii="Lato" w:hAnsi="Lato" w:cs="Arial"/>
          <w:bCs/>
          <w:spacing w:val="4"/>
          <w:sz w:val="22"/>
          <w:szCs w:val="22"/>
        </w:rPr>
        <w:t>decyzji</w:t>
      </w:r>
      <w:r w:rsidRPr="0009014A">
        <w:rPr>
          <w:rFonts w:ascii="Lato" w:hAnsi="Lato" w:cs="Arial"/>
          <w:bCs/>
          <w:spacing w:val="4"/>
          <w:sz w:val="22"/>
          <w:szCs w:val="22"/>
          <w:lang w:val="x-none"/>
        </w:rPr>
        <w:t xml:space="preserve"> </w:t>
      </w:r>
      <w:r w:rsidRPr="0009014A">
        <w:rPr>
          <w:rFonts w:ascii="Lato" w:hAnsi="Lato" w:cs="Arial"/>
          <w:bCs/>
          <w:spacing w:val="4"/>
          <w:sz w:val="22"/>
          <w:szCs w:val="22"/>
        </w:rPr>
        <w:t>o środowiskowych uwarunkowaniach RDOŚ</w:t>
      </w:r>
      <w:r w:rsidRPr="0009014A">
        <w:rPr>
          <w:rFonts w:ascii="Lato" w:hAnsi="Lato" w:cs="Arial"/>
          <w:bCs/>
          <w:iCs/>
          <w:spacing w:val="4"/>
          <w:sz w:val="22"/>
          <w:szCs w:val="22"/>
        </w:rPr>
        <w:t xml:space="preserve">, </w:t>
      </w:r>
      <w:r w:rsidRPr="0009014A">
        <w:rPr>
          <w:rFonts w:ascii="Lato" w:hAnsi="Lato" w:cs="Arial"/>
          <w:bCs/>
          <w:spacing w:val="4"/>
          <w:sz w:val="22"/>
          <w:szCs w:val="22"/>
        </w:rPr>
        <w:t>decyzji</w:t>
      </w:r>
      <w:r w:rsidRPr="0009014A">
        <w:rPr>
          <w:rFonts w:ascii="Lato" w:hAnsi="Lato" w:cs="Arial"/>
          <w:bCs/>
          <w:spacing w:val="4"/>
          <w:sz w:val="22"/>
          <w:szCs w:val="22"/>
          <w:lang w:val="x-none"/>
        </w:rPr>
        <w:t xml:space="preserve"> </w:t>
      </w:r>
      <w:r w:rsidRPr="0009014A">
        <w:rPr>
          <w:rFonts w:ascii="Lato" w:hAnsi="Lato" w:cs="Arial"/>
          <w:bCs/>
          <w:spacing w:val="4"/>
          <w:sz w:val="22"/>
          <w:szCs w:val="22"/>
          <w:lang w:val="x-none"/>
        </w:rPr>
        <w:br/>
      </w:r>
      <w:r w:rsidRPr="0009014A">
        <w:rPr>
          <w:rFonts w:ascii="Lato" w:hAnsi="Lato" w:cs="Arial"/>
          <w:bCs/>
          <w:spacing w:val="4"/>
          <w:sz w:val="22"/>
          <w:szCs w:val="22"/>
        </w:rPr>
        <w:t>o środowiskowych uwarunkowaniach GDOŚ, jak i decyzji RDOŚ w Warszawie z dnia 19 czerwca 2024 r., znak: WOOŚ-II.420.69.2023.AG.12, stwierdzającej brak potrzeby przeprowadzenia oceny odziaływania na środowisko przedsięwzięcia pn.: „Budowa Centralnego Portu Komunikacyjnego wraz z urządzeniami i obiektami niezbędnymi do jego funkcjonowania - budowa bocznicy kolejowej na odcinku linia kolejowa nr 3 - Centralny Port Komunikacyjny” (ostateczna w administracyjnym toku instancji – zgodnie z zaświadczeniem RDOŚ w Warszawie z dnia 7 sierpnia 2024 r., znak: WOOŚ-II.420.69.2023.AG.17). Decyzja</w:t>
      </w:r>
      <w:r w:rsidRPr="0009014A">
        <w:rPr>
          <w:rFonts w:ascii="Lato" w:hAnsi="Lato" w:cs="Arial"/>
          <w:bCs/>
          <w:spacing w:val="4"/>
          <w:sz w:val="22"/>
          <w:szCs w:val="22"/>
          <w:lang w:val="x-none"/>
        </w:rPr>
        <w:t xml:space="preserve"> </w:t>
      </w:r>
      <w:r w:rsidRPr="0009014A">
        <w:rPr>
          <w:rFonts w:ascii="Lato" w:hAnsi="Lato" w:cs="Arial"/>
          <w:bCs/>
          <w:spacing w:val="4"/>
          <w:sz w:val="22"/>
          <w:szCs w:val="22"/>
        </w:rPr>
        <w:t>o środowiskowych uwarunkowaniach GDOŚ</w:t>
      </w:r>
      <w:r w:rsidRPr="0009014A">
        <w:rPr>
          <w:rFonts w:ascii="Lato" w:hAnsi="Lato" w:cs="Arial"/>
          <w:bCs/>
          <w:iCs/>
          <w:spacing w:val="4"/>
          <w:sz w:val="22"/>
          <w:szCs w:val="22"/>
          <w:lang w:val="x-none"/>
        </w:rPr>
        <w:t xml:space="preserve"> wydan</w:t>
      </w:r>
      <w:r w:rsidRPr="0009014A">
        <w:rPr>
          <w:rFonts w:ascii="Lato" w:hAnsi="Lato" w:cs="Arial"/>
          <w:bCs/>
          <w:iCs/>
          <w:spacing w:val="4"/>
          <w:sz w:val="22"/>
          <w:szCs w:val="22"/>
        </w:rPr>
        <w:t xml:space="preserve">a </w:t>
      </w:r>
      <w:r w:rsidRPr="0009014A">
        <w:rPr>
          <w:rFonts w:ascii="Lato" w:hAnsi="Lato" w:cs="Arial"/>
          <w:bCs/>
          <w:iCs/>
          <w:spacing w:val="4"/>
          <w:sz w:val="22"/>
          <w:szCs w:val="22"/>
          <w:lang w:val="x-none"/>
        </w:rPr>
        <w:t xml:space="preserve">została już po </w:t>
      </w:r>
      <w:r w:rsidRPr="0009014A">
        <w:rPr>
          <w:rFonts w:ascii="Lato" w:hAnsi="Lato" w:cs="Arial"/>
          <w:bCs/>
          <w:iCs/>
          <w:spacing w:val="4"/>
          <w:sz w:val="22"/>
          <w:szCs w:val="22"/>
        </w:rPr>
        <w:t xml:space="preserve">wydaniu </w:t>
      </w:r>
      <w:r w:rsidRPr="0009014A">
        <w:rPr>
          <w:rFonts w:ascii="Lato" w:hAnsi="Lato" w:cs="Arial"/>
          <w:bCs/>
          <w:spacing w:val="4"/>
          <w:sz w:val="22"/>
          <w:szCs w:val="22"/>
        </w:rPr>
        <w:t>decyzji Wojewody Mazowieckiego</w:t>
      </w:r>
      <w:r w:rsidRPr="0009014A">
        <w:rPr>
          <w:rFonts w:ascii="Lato" w:hAnsi="Lato" w:cs="Arial"/>
          <w:bCs/>
          <w:i/>
          <w:iCs/>
          <w:spacing w:val="4"/>
          <w:sz w:val="22"/>
          <w:szCs w:val="22"/>
        </w:rPr>
        <w:t xml:space="preserve">, </w:t>
      </w:r>
      <w:r w:rsidRPr="0009014A">
        <w:rPr>
          <w:rFonts w:ascii="Lato" w:hAnsi="Lato" w:cs="Arial"/>
          <w:bCs/>
          <w:iCs/>
          <w:spacing w:val="4"/>
          <w:sz w:val="22"/>
          <w:szCs w:val="22"/>
        </w:rPr>
        <w:t>a co za tym idzie</w:t>
      </w:r>
      <w:r w:rsidRPr="0009014A">
        <w:rPr>
          <w:rFonts w:ascii="Lato" w:hAnsi="Lato" w:cs="Arial"/>
          <w:bCs/>
          <w:iCs/>
          <w:spacing w:val="4"/>
          <w:sz w:val="22"/>
          <w:szCs w:val="22"/>
          <w:lang w:val="x-none"/>
        </w:rPr>
        <w:t xml:space="preserve"> organ pierwszej instancji </w:t>
      </w:r>
      <w:r w:rsidRPr="0009014A">
        <w:rPr>
          <w:rFonts w:ascii="Lato" w:hAnsi="Lato" w:cs="Arial"/>
          <w:bCs/>
          <w:iCs/>
          <w:spacing w:val="4"/>
          <w:sz w:val="22"/>
          <w:szCs w:val="22"/>
        </w:rPr>
        <w:t xml:space="preserve">w pkt IV zaskarżonej decyzji (dotyczącym m.in. warunków wynikających z potrzeb ochrony środowiska), </w:t>
      </w:r>
      <w:r w:rsidRPr="0009014A">
        <w:rPr>
          <w:rFonts w:ascii="Lato" w:hAnsi="Lato" w:cs="Arial"/>
          <w:bCs/>
          <w:iCs/>
          <w:spacing w:val="4"/>
          <w:sz w:val="22"/>
          <w:szCs w:val="22"/>
          <w:lang w:val="x-none"/>
        </w:rPr>
        <w:t xml:space="preserve">nie mógł uwzględnić faktu wydania </w:t>
      </w:r>
      <w:r w:rsidRPr="0009014A">
        <w:rPr>
          <w:rFonts w:ascii="Lato" w:hAnsi="Lato" w:cs="Arial"/>
          <w:bCs/>
          <w:iCs/>
          <w:spacing w:val="4"/>
          <w:sz w:val="22"/>
          <w:szCs w:val="22"/>
        </w:rPr>
        <w:t xml:space="preserve">reformatoryjnej </w:t>
      </w:r>
      <w:r w:rsidRPr="0009014A">
        <w:rPr>
          <w:rFonts w:ascii="Lato" w:hAnsi="Lato" w:cs="Arial"/>
          <w:bCs/>
          <w:spacing w:val="4"/>
          <w:sz w:val="22"/>
          <w:szCs w:val="22"/>
          <w:lang w:val="x-none"/>
        </w:rPr>
        <w:t>decyzji</w:t>
      </w:r>
      <w:r w:rsidRPr="0009014A">
        <w:rPr>
          <w:rFonts w:ascii="Lato" w:hAnsi="Lato" w:cs="Arial"/>
          <w:bCs/>
          <w:spacing w:val="4"/>
          <w:sz w:val="22"/>
          <w:szCs w:val="22"/>
        </w:rPr>
        <w:t xml:space="preserve"> o środowiskowych uwarunkowaniach GDOŚ</w:t>
      </w:r>
      <w:r w:rsidRPr="0009014A">
        <w:rPr>
          <w:rFonts w:ascii="Lato" w:hAnsi="Lato" w:cs="Arial"/>
          <w:bCs/>
          <w:iCs/>
          <w:spacing w:val="4"/>
          <w:sz w:val="22"/>
          <w:szCs w:val="22"/>
          <w:lang w:val="x-none"/>
        </w:rPr>
        <w:t>,</w:t>
      </w:r>
      <w:r w:rsidRPr="0009014A">
        <w:rPr>
          <w:rFonts w:ascii="Lato" w:hAnsi="Lato" w:cs="Arial"/>
          <w:bCs/>
          <w:iCs/>
          <w:spacing w:val="4"/>
          <w:sz w:val="22"/>
          <w:szCs w:val="22"/>
        </w:rPr>
        <w:t xml:space="preserve"> </w:t>
      </w:r>
      <w:r w:rsidRPr="0009014A">
        <w:rPr>
          <w:rFonts w:ascii="Lato" w:hAnsi="Lato" w:cs="Arial"/>
          <w:bCs/>
          <w:iCs/>
          <w:spacing w:val="4"/>
          <w:sz w:val="22"/>
          <w:szCs w:val="22"/>
          <w:lang w:val="x-none"/>
        </w:rPr>
        <w:t>któr</w:t>
      </w:r>
      <w:r w:rsidRPr="0009014A">
        <w:rPr>
          <w:rFonts w:ascii="Lato" w:hAnsi="Lato" w:cs="Arial"/>
          <w:bCs/>
          <w:iCs/>
          <w:spacing w:val="4"/>
          <w:sz w:val="22"/>
          <w:szCs w:val="22"/>
        </w:rPr>
        <w:t>a</w:t>
      </w:r>
      <w:r w:rsidRPr="0009014A">
        <w:rPr>
          <w:rFonts w:ascii="Lato" w:hAnsi="Lato" w:cs="Arial"/>
          <w:bCs/>
          <w:iCs/>
          <w:spacing w:val="4"/>
          <w:sz w:val="22"/>
          <w:szCs w:val="22"/>
          <w:lang w:val="x-none"/>
        </w:rPr>
        <w:t xml:space="preserve"> pojawił</w:t>
      </w:r>
      <w:r w:rsidRPr="0009014A">
        <w:rPr>
          <w:rFonts w:ascii="Lato" w:hAnsi="Lato" w:cs="Arial"/>
          <w:bCs/>
          <w:iCs/>
          <w:spacing w:val="4"/>
          <w:sz w:val="22"/>
          <w:szCs w:val="22"/>
        </w:rPr>
        <w:t>a</w:t>
      </w:r>
      <w:r w:rsidRPr="0009014A">
        <w:rPr>
          <w:rFonts w:ascii="Lato" w:hAnsi="Lato" w:cs="Arial"/>
          <w:bCs/>
          <w:iCs/>
          <w:spacing w:val="4"/>
          <w:sz w:val="22"/>
          <w:szCs w:val="22"/>
          <w:lang w:val="x-none"/>
        </w:rPr>
        <w:t xml:space="preserve"> się dopiero na etapie postępowania odwoławczego od </w:t>
      </w:r>
      <w:r w:rsidRPr="0009014A">
        <w:rPr>
          <w:rFonts w:ascii="Lato" w:hAnsi="Lato" w:cs="Arial"/>
          <w:bCs/>
          <w:spacing w:val="4"/>
          <w:sz w:val="22"/>
          <w:szCs w:val="22"/>
          <w:lang w:val="x-none"/>
        </w:rPr>
        <w:t>decyzji Wojewody</w:t>
      </w:r>
      <w:r w:rsidRPr="0009014A">
        <w:rPr>
          <w:rFonts w:ascii="Lato" w:hAnsi="Lato" w:cs="Arial"/>
          <w:bCs/>
          <w:spacing w:val="4"/>
          <w:sz w:val="22"/>
          <w:szCs w:val="22"/>
        </w:rPr>
        <w:t xml:space="preserve"> Mazowieckiego</w:t>
      </w:r>
      <w:r w:rsidRPr="0009014A">
        <w:rPr>
          <w:rFonts w:ascii="Lato" w:hAnsi="Lato" w:cs="Arial"/>
          <w:bCs/>
          <w:i/>
          <w:iCs/>
          <w:spacing w:val="4"/>
          <w:sz w:val="22"/>
          <w:szCs w:val="22"/>
        </w:rPr>
        <w:t>.</w:t>
      </w:r>
    </w:p>
    <w:p w14:paraId="77897F37" w14:textId="5D408DDB" w:rsidR="0009014A" w:rsidRPr="0009014A" w:rsidRDefault="0009014A" w:rsidP="0009014A">
      <w:pPr>
        <w:spacing w:after="240" w:line="240" w:lineRule="exact"/>
        <w:jc w:val="both"/>
        <w:outlineLvl w:val="0"/>
        <w:rPr>
          <w:rFonts w:ascii="Lato" w:hAnsi="Lato" w:cs="Arial"/>
          <w:bCs/>
          <w:spacing w:val="4"/>
          <w:sz w:val="22"/>
          <w:szCs w:val="22"/>
          <w:lang w:bidi="pl-PL"/>
        </w:rPr>
      </w:pPr>
      <w:r w:rsidRPr="0009014A">
        <w:rPr>
          <w:rFonts w:ascii="Lato" w:hAnsi="Lato" w:cs="Arial"/>
          <w:bCs/>
          <w:spacing w:val="4"/>
          <w:sz w:val="22"/>
          <w:szCs w:val="22"/>
        </w:rPr>
        <w:t xml:space="preserve">Jak już to wyjaśniono powyżej w niniejszej decyzji, przepis art. 138 § 1 pkt 2 </w:t>
      </w:r>
      <w:r w:rsidRPr="0009014A">
        <w:rPr>
          <w:rFonts w:ascii="Lato" w:hAnsi="Lato" w:cs="Arial"/>
          <w:bCs/>
          <w:iCs/>
          <w:spacing w:val="4"/>
          <w:sz w:val="22"/>
          <w:szCs w:val="22"/>
        </w:rPr>
        <w:t xml:space="preserve">kpa </w:t>
      </w:r>
      <w:r w:rsidRPr="0009014A">
        <w:rPr>
          <w:rFonts w:ascii="Lato" w:hAnsi="Lato" w:cs="Arial"/>
          <w:bCs/>
          <w:spacing w:val="4"/>
          <w:sz w:val="22"/>
          <w:szCs w:val="22"/>
        </w:rPr>
        <w:t xml:space="preserve">umożliwia organowi odwoławczemu korektę zaskarżonej decyzji przez jej uchylenie </w:t>
      </w:r>
      <w:r w:rsidRPr="0009014A">
        <w:rPr>
          <w:rFonts w:ascii="Lato" w:hAnsi="Lato" w:cs="Arial"/>
          <w:bCs/>
          <w:spacing w:val="4"/>
          <w:sz w:val="22"/>
          <w:szCs w:val="22"/>
        </w:rPr>
        <w:br/>
        <w:t>w części i orzeczenie w tym zakresie co do istoty sprawy.</w:t>
      </w:r>
      <w:r w:rsidRPr="0009014A">
        <w:rPr>
          <w:rFonts w:ascii="Lato" w:eastAsiaTheme="minorHAnsi" w:hAnsi="Lato" w:cs="Arial"/>
          <w:bCs/>
          <w:iCs/>
          <w:spacing w:val="4"/>
          <w:sz w:val="22"/>
          <w:szCs w:val="22"/>
          <w:lang w:eastAsia="en-US" w:bidi="pl-PL"/>
        </w:rPr>
        <w:t xml:space="preserve"> </w:t>
      </w:r>
      <w:r w:rsidRPr="0009014A">
        <w:rPr>
          <w:rFonts w:ascii="Lato" w:hAnsi="Lato" w:cs="Arial"/>
          <w:bCs/>
          <w:iCs/>
          <w:spacing w:val="4"/>
          <w:sz w:val="22"/>
          <w:szCs w:val="22"/>
          <w:lang w:bidi="pl-PL"/>
        </w:rPr>
        <w:t xml:space="preserve">Organ odwoławczy uchylił zapisy w pkt IV </w:t>
      </w:r>
      <w:r w:rsidRPr="0009014A">
        <w:rPr>
          <w:rFonts w:ascii="Lato" w:hAnsi="Lato" w:cs="Arial"/>
          <w:bCs/>
          <w:spacing w:val="4"/>
          <w:sz w:val="22"/>
          <w:szCs w:val="22"/>
          <w:lang w:bidi="pl-PL"/>
        </w:rPr>
        <w:t xml:space="preserve">decyzji Wojewody Mazowieckiego </w:t>
      </w:r>
      <w:r w:rsidRPr="0009014A">
        <w:rPr>
          <w:rFonts w:ascii="Lato" w:hAnsi="Lato" w:cs="Arial"/>
          <w:bCs/>
          <w:iCs/>
          <w:spacing w:val="4"/>
          <w:sz w:val="22"/>
          <w:szCs w:val="22"/>
          <w:lang w:bidi="pl-PL"/>
        </w:rPr>
        <w:t xml:space="preserve">w zakresie, w jakim odnosiły się one </w:t>
      </w:r>
      <w:r w:rsidRPr="00800FD4">
        <w:rPr>
          <w:rFonts w:ascii="Lato" w:hAnsi="Lato" w:cs="Arial"/>
          <w:bCs/>
          <w:iCs/>
          <w:spacing w:val="4"/>
          <w:sz w:val="22"/>
          <w:szCs w:val="22"/>
          <w:lang w:bidi="pl-PL"/>
        </w:rPr>
        <w:t xml:space="preserve">do obowiązku zachowania warunków i wymagań przewidzianych w </w:t>
      </w:r>
      <w:r w:rsidRPr="00800FD4">
        <w:rPr>
          <w:rFonts w:ascii="Lato" w:hAnsi="Lato" w:cs="Arial"/>
          <w:bCs/>
          <w:spacing w:val="4"/>
          <w:sz w:val="22"/>
          <w:szCs w:val="22"/>
          <w:lang w:bidi="pl-PL"/>
        </w:rPr>
        <w:t xml:space="preserve">decyzji </w:t>
      </w:r>
      <w:r w:rsidRPr="00800FD4">
        <w:rPr>
          <w:rFonts w:ascii="Lato" w:hAnsi="Lato" w:cs="Arial"/>
          <w:bCs/>
          <w:spacing w:val="4"/>
          <w:sz w:val="22"/>
          <w:szCs w:val="22"/>
          <w:lang w:bidi="pl-PL"/>
        </w:rPr>
        <w:br/>
        <w:t>o środowiskowych uwarunkowaniach RDOŚ</w:t>
      </w:r>
      <w:r w:rsidRPr="00800FD4">
        <w:rPr>
          <w:rFonts w:ascii="Lato" w:hAnsi="Lato" w:cs="Arial"/>
          <w:bCs/>
          <w:iCs/>
          <w:spacing w:val="4"/>
          <w:sz w:val="22"/>
          <w:szCs w:val="22"/>
          <w:lang w:bidi="pl-PL"/>
        </w:rPr>
        <w:t xml:space="preserve"> (w tym stanowiły powielenie zapisów charakterystyki planowanego przedsięwzięcia stanowiącej załącznik do decyzji </w:t>
      </w:r>
      <w:r w:rsidRPr="00800FD4">
        <w:rPr>
          <w:rFonts w:ascii="Lato" w:hAnsi="Lato" w:cs="Arial"/>
          <w:bCs/>
          <w:iCs/>
          <w:spacing w:val="4"/>
          <w:sz w:val="22"/>
          <w:szCs w:val="22"/>
          <w:lang w:bidi="pl-PL"/>
        </w:rPr>
        <w:br/>
        <w:t xml:space="preserve">o środowiskowych uwarunkowaniach RDOŚ), orzekając w tym zakresie poprzez ustalenie nowych zapisów uwzględniających wydanie </w:t>
      </w:r>
      <w:r w:rsidRPr="00800FD4">
        <w:rPr>
          <w:rFonts w:ascii="Lato" w:hAnsi="Lato" w:cs="Arial"/>
          <w:bCs/>
          <w:spacing w:val="4"/>
          <w:sz w:val="22"/>
          <w:szCs w:val="22"/>
          <w:lang w:bidi="pl-PL"/>
        </w:rPr>
        <w:t>decyzji o środowiskowych uwarunkowaniach GDOŚ</w:t>
      </w:r>
      <w:r w:rsidR="000A4FEE" w:rsidRPr="00800FD4">
        <w:rPr>
          <w:rFonts w:ascii="Lato" w:hAnsi="Lato" w:cs="Arial"/>
          <w:bCs/>
          <w:spacing w:val="4"/>
          <w:sz w:val="22"/>
          <w:szCs w:val="22"/>
          <w:lang w:bidi="pl-PL"/>
        </w:rPr>
        <w:t>, sprostowanej postanowieniem GDOŚ z dnia 30 marca 2026 r.</w:t>
      </w:r>
      <w:r w:rsidR="000A4FEE">
        <w:rPr>
          <w:rFonts w:ascii="Lato" w:hAnsi="Lato" w:cs="Arial"/>
          <w:bCs/>
          <w:spacing w:val="4"/>
          <w:sz w:val="22"/>
          <w:szCs w:val="22"/>
          <w:lang w:bidi="pl-PL"/>
        </w:rPr>
        <w:t xml:space="preserve"> </w:t>
      </w:r>
    </w:p>
    <w:p w14:paraId="70E25D6F" w14:textId="77777777" w:rsidR="0009014A" w:rsidRPr="0009014A" w:rsidRDefault="0009014A" w:rsidP="0009014A">
      <w:pPr>
        <w:spacing w:after="240" w:line="240" w:lineRule="exact"/>
        <w:jc w:val="both"/>
        <w:outlineLvl w:val="0"/>
        <w:rPr>
          <w:rFonts w:ascii="Lato" w:hAnsi="Lato" w:cs="Arial"/>
          <w:bCs/>
          <w:spacing w:val="4"/>
          <w:sz w:val="22"/>
          <w:szCs w:val="22"/>
          <w:lang w:bidi="pl-PL"/>
        </w:rPr>
      </w:pPr>
      <w:r w:rsidRPr="0009014A">
        <w:rPr>
          <w:rFonts w:ascii="Lato" w:hAnsi="Lato" w:cs="Arial"/>
          <w:bCs/>
          <w:iCs/>
          <w:spacing w:val="4"/>
          <w:sz w:val="22"/>
          <w:szCs w:val="22"/>
          <w:lang w:bidi="pl-PL"/>
        </w:rPr>
        <w:t xml:space="preserve">Powyższej oceny nie zmienia powoływanie się przez skarżących na wyrok Wojewódzkiego Sądu Administracyjnego w Warszawie z dnia 3 lutego 2026 r., sygn. akt VII SA/Wa 1992/25, uchylający decyzję Głównego Inspektora Nadzoru Budowlanego </w:t>
      </w:r>
      <w:r w:rsidRPr="0009014A">
        <w:rPr>
          <w:rFonts w:ascii="Lato" w:hAnsi="Lato" w:cs="Arial"/>
          <w:bCs/>
          <w:iCs/>
          <w:spacing w:val="4"/>
          <w:sz w:val="22"/>
          <w:szCs w:val="22"/>
          <w:lang w:bidi="pl-PL"/>
        </w:rPr>
        <w:br/>
      </w:r>
      <w:r w:rsidRPr="0009014A">
        <w:rPr>
          <w:rFonts w:ascii="Lato" w:hAnsi="Lato" w:cs="Arial"/>
          <w:bCs/>
          <w:spacing w:val="4"/>
          <w:sz w:val="22"/>
          <w:szCs w:val="22"/>
          <w:lang w:bidi="pl-PL"/>
        </w:rPr>
        <w:t xml:space="preserve">z dnia 2 lipca 2025 r. znak: DOR.7110.154.2025.PKR, w przedmiocie zatwierdzenia projektu budowlanego i udzielenia pozwolenia na budowę dla inwestycji pn.: „Budowa sieci elektroenergetycznej 220kV relacji Janów – Ołtarzew z wykonaniem niezbędnych robót budowlanych”. Wyrok ten zapadł bowiem w odmiennym stanie faktycznym </w:t>
      </w:r>
      <w:r w:rsidRPr="0009014A">
        <w:rPr>
          <w:rFonts w:ascii="Lato" w:hAnsi="Lato" w:cs="Arial"/>
          <w:bCs/>
          <w:spacing w:val="4"/>
          <w:sz w:val="22"/>
          <w:szCs w:val="22"/>
          <w:lang w:bidi="pl-PL"/>
        </w:rPr>
        <w:br/>
        <w:t xml:space="preserve">i prawnym niż w niniejszej sprawie lokalizacyjnej. Jak wynika bowiem z uzasadnienia rzeczonego wyroku, przyczyną uchylenia przez WSA w Warszawie ww. </w:t>
      </w:r>
      <w:r w:rsidRPr="0009014A">
        <w:rPr>
          <w:rFonts w:ascii="Lato" w:hAnsi="Lato" w:cs="Arial"/>
          <w:bCs/>
          <w:iCs/>
          <w:spacing w:val="4"/>
          <w:sz w:val="22"/>
          <w:szCs w:val="22"/>
          <w:lang w:bidi="pl-PL"/>
        </w:rPr>
        <w:t xml:space="preserve">decyzji Głównego Inspektora Nadzoru Budowlanego </w:t>
      </w:r>
      <w:r w:rsidRPr="0009014A">
        <w:rPr>
          <w:rFonts w:ascii="Lato" w:hAnsi="Lato" w:cs="Arial"/>
          <w:bCs/>
          <w:spacing w:val="4"/>
          <w:sz w:val="22"/>
          <w:szCs w:val="22"/>
          <w:lang w:bidi="pl-PL"/>
        </w:rPr>
        <w:t xml:space="preserve">z dnia 2 lipca 2025 r. znak: DOR.7110.154.2025.PKR, była okoliczność, że decyzja ta nie uwzględniała decyzji </w:t>
      </w:r>
      <w:r w:rsidRPr="0009014A">
        <w:rPr>
          <w:rFonts w:ascii="Lato" w:hAnsi="Lato" w:cs="Arial"/>
          <w:bCs/>
          <w:spacing w:val="4"/>
          <w:sz w:val="22"/>
          <w:szCs w:val="22"/>
          <w:lang w:bidi="pl-PL"/>
        </w:rPr>
        <w:br/>
        <w:t xml:space="preserve">o środowiskowych uwarunkowaniach GDOŚ, która została wydana już po wydaniu przez Głównego Inspektora Nadzoru Budowalnego decyzji z dnia 2 lipca 2025 r. WSA </w:t>
      </w:r>
      <w:r w:rsidRPr="0009014A">
        <w:rPr>
          <w:rFonts w:ascii="Lato" w:hAnsi="Lato" w:cs="Arial"/>
          <w:bCs/>
          <w:spacing w:val="4"/>
          <w:sz w:val="22"/>
          <w:szCs w:val="22"/>
          <w:lang w:bidi="pl-PL"/>
        </w:rPr>
        <w:br/>
        <w:t xml:space="preserve">w Warszawie w uzasadnieniu rzeczonego wyroku wyraźnie zaznaczył, że: „zadaniem organu w ponownie prowadzonym postępowaniu będzie odniesienie się do odwołania skarżących w kontekście nowej okoliczności związanej z nową decyzją środowiskową </w:t>
      </w:r>
      <w:r w:rsidRPr="0009014A">
        <w:rPr>
          <w:rFonts w:ascii="Lato" w:hAnsi="Lato" w:cs="Arial"/>
          <w:bCs/>
          <w:spacing w:val="4"/>
          <w:sz w:val="22"/>
          <w:szCs w:val="22"/>
          <w:lang w:bidi="pl-PL"/>
        </w:rPr>
        <w:br/>
        <w:t xml:space="preserve">i podjęcia działań które na celu będą miały doprowadzenie zgłoszonego do zatwierdzenia projektu budowlanego, do zgodności z decyzją GDOŚ z 30 grudnia 2025 r. jeżeli oczywiście po analizie sprawy organ uzna, że ta decyzja o środowiskowych uwarunkowaniach przedsięwzięcia wymaga od Inwestora istotnych zmian w projekcie budowlanym.”. Natomiast w niniejszej sprawie lokalizacyjnej sytuacja jest odwrotna, bowiem Minister uwzględnił </w:t>
      </w:r>
      <w:r w:rsidRPr="0009014A">
        <w:rPr>
          <w:rFonts w:ascii="Lato" w:hAnsi="Lato" w:cs="Arial"/>
          <w:bCs/>
          <w:iCs/>
          <w:spacing w:val="4"/>
          <w:sz w:val="22"/>
          <w:szCs w:val="22"/>
          <w:lang w:val="x-none" w:bidi="pl-PL"/>
        </w:rPr>
        <w:t xml:space="preserve">fakt wydania </w:t>
      </w:r>
      <w:r w:rsidRPr="0009014A">
        <w:rPr>
          <w:rFonts w:ascii="Lato" w:hAnsi="Lato" w:cs="Arial"/>
          <w:bCs/>
          <w:iCs/>
          <w:spacing w:val="4"/>
          <w:sz w:val="22"/>
          <w:szCs w:val="22"/>
          <w:lang w:bidi="pl-PL"/>
        </w:rPr>
        <w:t xml:space="preserve">reformatoryjnej </w:t>
      </w:r>
      <w:r w:rsidRPr="0009014A">
        <w:rPr>
          <w:rFonts w:ascii="Lato" w:hAnsi="Lato" w:cs="Arial"/>
          <w:bCs/>
          <w:spacing w:val="4"/>
          <w:sz w:val="22"/>
          <w:szCs w:val="22"/>
          <w:lang w:val="x-none" w:bidi="pl-PL"/>
        </w:rPr>
        <w:t>decyzji</w:t>
      </w:r>
      <w:r w:rsidRPr="0009014A">
        <w:rPr>
          <w:rFonts w:ascii="Lato" w:hAnsi="Lato" w:cs="Arial"/>
          <w:bCs/>
          <w:spacing w:val="4"/>
          <w:sz w:val="22"/>
          <w:szCs w:val="22"/>
          <w:lang w:bidi="pl-PL"/>
        </w:rPr>
        <w:t xml:space="preserve"> o środowiskowych uwarunkowaniach GDOŚ</w:t>
      </w:r>
      <w:r w:rsidRPr="0009014A">
        <w:rPr>
          <w:rFonts w:ascii="Lato" w:hAnsi="Lato" w:cs="Arial"/>
          <w:bCs/>
          <w:iCs/>
          <w:spacing w:val="4"/>
          <w:sz w:val="22"/>
          <w:szCs w:val="22"/>
          <w:lang w:val="x-none" w:bidi="pl-PL"/>
        </w:rPr>
        <w:t>,</w:t>
      </w:r>
      <w:r w:rsidRPr="0009014A">
        <w:rPr>
          <w:rFonts w:ascii="Lato" w:hAnsi="Lato" w:cs="Arial"/>
          <w:bCs/>
          <w:iCs/>
          <w:spacing w:val="4"/>
          <w:sz w:val="22"/>
          <w:szCs w:val="22"/>
          <w:lang w:bidi="pl-PL"/>
        </w:rPr>
        <w:t xml:space="preserve"> </w:t>
      </w:r>
      <w:r w:rsidRPr="0009014A">
        <w:rPr>
          <w:rFonts w:ascii="Lato" w:hAnsi="Lato" w:cs="Arial"/>
          <w:bCs/>
          <w:iCs/>
          <w:spacing w:val="4"/>
          <w:sz w:val="22"/>
          <w:szCs w:val="22"/>
          <w:lang w:val="x-none" w:bidi="pl-PL"/>
        </w:rPr>
        <w:t>któr</w:t>
      </w:r>
      <w:r w:rsidRPr="0009014A">
        <w:rPr>
          <w:rFonts w:ascii="Lato" w:hAnsi="Lato" w:cs="Arial"/>
          <w:bCs/>
          <w:iCs/>
          <w:spacing w:val="4"/>
          <w:sz w:val="22"/>
          <w:szCs w:val="22"/>
          <w:lang w:bidi="pl-PL"/>
        </w:rPr>
        <w:t>a</w:t>
      </w:r>
      <w:r w:rsidRPr="0009014A">
        <w:rPr>
          <w:rFonts w:ascii="Lato" w:hAnsi="Lato" w:cs="Arial"/>
          <w:bCs/>
          <w:iCs/>
          <w:spacing w:val="4"/>
          <w:sz w:val="22"/>
          <w:szCs w:val="22"/>
          <w:lang w:val="x-none" w:bidi="pl-PL"/>
        </w:rPr>
        <w:t xml:space="preserve"> pojawił</w:t>
      </w:r>
      <w:r w:rsidRPr="0009014A">
        <w:rPr>
          <w:rFonts w:ascii="Lato" w:hAnsi="Lato" w:cs="Arial"/>
          <w:bCs/>
          <w:iCs/>
          <w:spacing w:val="4"/>
          <w:sz w:val="22"/>
          <w:szCs w:val="22"/>
          <w:lang w:bidi="pl-PL"/>
        </w:rPr>
        <w:t>a</w:t>
      </w:r>
      <w:r w:rsidRPr="0009014A">
        <w:rPr>
          <w:rFonts w:ascii="Lato" w:hAnsi="Lato" w:cs="Arial"/>
          <w:bCs/>
          <w:iCs/>
          <w:spacing w:val="4"/>
          <w:sz w:val="22"/>
          <w:szCs w:val="22"/>
          <w:lang w:val="x-none" w:bidi="pl-PL"/>
        </w:rPr>
        <w:t xml:space="preserve"> się na etapie postępowania odwoławczego od </w:t>
      </w:r>
      <w:r w:rsidRPr="0009014A">
        <w:rPr>
          <w:rFonts w:ascii="Lato" w:hAnsi="Lato" w:cs="Arial"/>
          <w:bCs/>
          <w:spacing w:val="4"/>
          <w:sz w:val="22"/>
          <w:szCs w:val="22"/>
          <w:lang w:val="x-none" w:bidi="pl-PL"/>
        </w:rPr>
        <w:t>decyzji Wojewody</w:t>
      </w:r>
      <w:r w:rsidRPr="0009014A">
        <w:rPr>
          <w:rFonts w:ascii="Lato" w:hAnsi="Lato" w:cs="Arial"/>
          <w:bCs/>
          <w:spacing w:val="4"/>
          <w:sz w:val="22"/>
          <w:szCs w:val="22"/>
          <w:lang w:bidi="pl-PL"/>
        </w:rPr>
        <w:t xml:space="preserve"> Mazowieckiego</w:t>
      </w:r>
      <w:r w:rsidRPr="0009014A">
        <w:rPr>
          <w:rFonts w:ascii="Lato" w:hAnsi="Lato" w:cs="Arial"/>
          <w:bCs/>
          <w:i/>
          <w:iCs/>
          <w:spacing w:val="4"/>
          <w:sz w:val="22"/>
          <w:szCs w:val="22"/>
          <w:lang w:bidi="pl-PL"/>
        </w:rPr>
        <w:t>.</w:t>
      </w:r>
    </w:p>
    <w:p w14:paraId="3727604A" w14:textId="37CD73F1"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spacing w:val="4"/>
          <w:sz w:val="22"/>
          <w:szCs w:val="22"/>
          <w:lang w:bidi="pl-PL"/>
        </w:rPr>
        <w:t>Wbrew błędnemu stanowisku Państwa K</w:t>
      </w:r>
      <w:r w:rsidR="00AE0474">
        <w:rPr>
          <w:rFonts w:ascii="Lato" w:hAnsi="Lato" w:cs="Arial"/>
          <w:bCs/>
          <w:spacing w:val="4"/>
          <w:sz w:val="22"/>
          <w:szCs w:val="22"/>
          <w:lang w:bidi="pl-PL"/>
        </w:rPr>
        <w:t>.</w:t>
      </w:r>
      <w:r w:rsidRPr="0009014A">
        <w:rPr>
          <w:rFonts w:ascii="Lato" w:hAnsi="Lato" w:cs="Arial"/>
          <w:bCs/>
          <w:spacing w:val="4"/>
          <w:sz w:val="22"/>
          <w:szCs w:val="22"/>
          <w:lang w:bidi="pl-PL"/>
        </w:rPr>
        <w:t xml:space="preserve"> i spółki </w:t>
      </w:r>
      <w:r w:rsidR="00AE0474">
        <w:rPr>
          <w:rFonts w:ascii="Lato" w:hAnsi="Lato" w:cs="Arial"/>
          <w:bCs/>
          <w:spacing w:val="4"/>
          <w:sz w:val="22"/>
          <w:szCs w:val="22"/>
          <w:lang w:bidi="pl-PL"/>
        </w:rPr>
        <w:t>(…)</w:t>
      </w:r>
      <w:r w:rsidRPr="0009014A">
        <w:rPr>
          <w:rFonts w:ascii="Lato" w:hAnsi="Lato" w:cs="Arial"/>
          <w:bCs/>
          <w:spacing w:val="4"/>
          <w:sz w:val="22"/>
          <w:szCs w:val="22"/>
          <w:lang w:bidi="pl-PL"/>
        </w:rPr>
        <w:t xml:space="preserve">, </w:t>
      </w:r>
      <w:r w:rsidRPr="0009014A">
        <w:rPr>
          <w:rFonts w:ascii="Lato" w:hAnsi="Lato" w:cs="Arial"/>
          <w:bCs/>
          <w:iCs/>
          <w:spacing w:val="4"/>
          <w:sz w:val="22"/>
          <w:szCs w:val="22"/>
          <w:lang w:bidi="pl-PL"/>
        </w:rPr>
        <w:t xml:space="preserve">organ II instancji uwzględniając ostateczną decyzję GDOŚ z dnia 30 grudnia 2025 r. o środowiskowych uwarunkowaniach nie naruszył zasady dwuinstancyjności postępowania, o której mowa </w:t>
      </w:r>
      <w:r w:rsidRPr="0009014A">
        <w:rPr>
          <w:rFonts w:ascii="Lato" w:hAnsi="Lato" w:cs="Arial"/>
          <w:bCs/>
          <w:iCs/>
          <w:spacing w:val="4"/>
          <w:sz w:val="22"/>
          <w:szCs w:val="22"/>
          <w:lang w:bidi="pl-PL"/>
        </w:rPr>
        <w:lastRenderedPageBreak/>
        <w:t xml:space="preserve">w art. 15 kpa. Zgodnie z tą zasadą, organ odwoławczy obowiązany jest ponownie rozpoznać i rozstrzygnąć sprawę rozstrzygniętą decyzją organu I instancji. Działanie organu odwoławczego nie ma charakteru jedynie kontrolnego, ale jest działaniem merytorycznym. Istota zasady dwuinstancyjności postępowania polega bowiem na dwukrotnym rozpatrzeniu i rozstrzygnięciu sprawy przez organy obu instancji. </w:t>
      </w:r>
      <w:r w:rsidR="00A54858">
        <w:rPr>
          <w:rFonts w:ascii="Lato" w:hAnsi="Lato" w:cs="Arial"/>
          <w:bCs/>
          <w:iCs/>
          <w:spacing w:val="4"/>
          <w:sz w:val="22"/>
          <w:szCs w:val="22"/>
          <w:lang w:bidi="pl-PL"/>
        </w:rPr>
        <w:br/>
      </w:r>
      <w:r w:rsidRPr="0009014A">
        <w:rPr>
          <w:rFonts w:ascii="Lato" w:hAnsi="Lato" w:cs="Arial"/>
          <w:bCs/>
          <w:iCs/>
          <w:spacing w:val="4"/>
          <w:sz w:val="22"/>
          <w:szCs w:val="22"/>
          <w:lang w:bidi="pl-PL"/>
        </w:rPr>
        <w:t xml:space="preserve">W postępowaniu odwoławczym Minister rozpoznawał i rozstrzygał sprawę tożsamą pod względem podmiotowym i przedmiotowym, jak przed organem I instancji. Dokonane niniejszą decyzją reformatoryjną organu odwoławczego zmiany wynikające </w:t>
      </w:r>
      <w:r w:rsidR="00A54858">
        <w:rPr>
          <w:rFonts w:ascii="Lato" w:hAnsi="Lato" w:cs="Arial"/>
          <w:bCs/>
          <w:iCs/>
          <w:spacing w:val="4"/>
          <w:sz w:val="22"/>
          <w:szCs w:val="22"/>
          <w:lang w:bidi="pl-PL"/>
        </w:rPr>
        <w:br/>
      </w:r>
      <w:r w:rsidRPr="0009014A">
        <w:rPr>
          <w:rFonts w:ascii="Lato" w:hAnsi="Lato" w:cs="Arial"/>
          <w:bCs/>
          <w:iCs/>
          <w:spacing w:val="4"/>
          <w:sz w:val="22"/>
          <w:szCs w:val="22"/>
          <w:lang w:bidi="pl-PL"/>
        </w:rPr>
        <w:t xml:space="preserve">z uwzględnienia decyzji o środowiskowych uwarunkowaniach GDOŚ, nie mogą być zatem uznane za naruszenie zasady dwuinstancyjności postępowania. Potwierdza to ugruntowane orzecznictwo sądowoadministracyjne wydane w podobnym stanie faktycznym jak w niniejszej sprawie (por. ww. wyrok Naczelnego Sądu Administracyjnego z dnia 5 marca 2024 r., sygn. akt II OSK 1896/23, ww. wyroki Wojewódzkiego Sądu Administracyjnego w Warszawie z dnia 26 marca 2024 r., sygn. akt VII SA/Wa 27/23, </w:t>
      </w:r>
      <w:r w:rsidR="00A54858">
        <w:rPr>
          <w:rFonts w:ascii="Lato" w:hAnsi="Lato" w:cs="Arial"/>
          <w:bCs/>
          <w:iCs/>
          <w:spacing w:val="4"/>
          <w:sz w:val="22"/>
          <w:szCs w:val="22"/>
          <w:lang w:bidi="pl-PL"/>
        </w:rPr>
        <w:br/>
      </w:r>
      <w:r w:rsidRPr="0009014A">
        <w:rPr>
          <w:rFonts w:ascii="Lato" w:hAnsi="Lato" w:cs="Arial"/>
          <w:bCs/>
          <w:iCs/>
          <w:spacing w:val="4"/>
          <w:sz w:val="22"/>
          <w:szCs w:val="22"/>
          <w:lang w:bidi="pl-PL"/>
        </w:rPr>
        <w:t xml:space="preserve">i z dnia 9 maja 2023 r., sygn. akt VII SA/Wa 2679/22, jak również wyrok Naczelnego Sądu Administracyjnego z dnia 29 października 2024 r., sygn. akt II OSK 1640/24). </w:t>
      </w:r>
    </w:p>
    <w:p w14:paraId="7CA5BF2F" w14:textId="77777777"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Odnośnie natomiast stanowiska skarżących, że Wojewoda Mazowiecki winien był również zawiesić postępowanie lokalizacyjne do dnia prawomocnego rozstrzygnięcia postępowania przed Naczelnym Sądem Administracyjnym w sprawie uchylenia aktu określonego przez skarżących &lt;&lt;decyzją Ministra Infrastruktury z 7 czerwca 2023 r. (znak sprawy: nr DL-1.4703.1.2023; „Decyzja MI”) zatwierdzającej Plan Generalny Lotniska - Port Solidarności na lata 2022-2060 („Plan Generalny”)&gt;&gt;, wyjaśnić należy, </w:t>
      </w:r>
      <w:r w:rsidRPr="0009014A">
        <w:rPr>
          <w:rFonts w:ascii="Lato" w:hAnsi="Lato" w:cs="Arial"/>
          <w:bCs/>
          <w:iCs/>
          <w:spacing w:val="4"/>
          <w:sz w:val="22"/>
          <w:szCs w:val="22"/>
          <w:lang w:bidi="pl-PL"/>
        </w:rPr>
        <w:br/>
        <w:t xml:space="preserve">iż wymieniony przez skarżących akt to w istocie pismo Ministra Infrastruktury z dnia 7 czerwca 2023 r. w przedmiocie zatwierdzenia planu generalnego lotniska w zakresie zgodności z polityką transportową. W art. 41 ust. 1 i art. 43 ust. 1 ustawy CPK, ustawodawca jednoznacznie wskazał elementy jakie powinien zawierać wniosek </w:t>
      </w:r>
      <w:r w:rsidRPr="0009014A">
        <w:rPr>
          <w:rFonts w:ascii="Lato" w:hAnsi="Lato" w:cs="Arial"/>
          <w:bCs/>
          <w:iCs/>
          <w:spacing w:val="4"/>
          <w:sz w:val="22"/>
          <w:szCs w:val="22"/>
          <w:lang w:bidi="pl-PL"/>
        </w:rPr>
        <w:br/>
        <w:t xml:space="preserve">o wydanie decyzji o ustaleniu lokalizacji inwestycji w zakresie CPK. Nie został w nich wskazany plan generalny lotniska użytku publicznego, o którym mowa w art. 55 ust. 5 ustawy Prawo lotnicze. Zgodnie z art. 43 ust. 1 pkt 9 ustawy CPK, do wniosku </w:t>
      </w:r>
      <w:r w:rsidRPr="0009014A">
        <w:rPr>
          <w:rFonts w:ascii="Lato" w:hAnsi="Lato" w:cs="Arial"/>
          <w:bCs/>
          <w:iCs/>
          <w:spacing w:val="4"/>
          <w:sz w:val="22"/>
          <w:szCs w:val="22"/>
          <w:lang w:bidi="pl-PL"/>
        </w:rPr>
        <w:br/>
        <w:t xml:space="preserve">o wydanie decyzji o ustaleniu lokalizacji inwestycji w zakresie CPK załącza się bowiem promesę zezwolenia na założenie lotniska, o której mowa w art. 57 ustawy Prawo lotnicze, i wymóg ten w niniejszej sprawie został przez inwestora spełniony poprzez załączeniu do wniosku lokalizacyjnego decyzji Prezesa Urzędu Lotnictwa Cywilnego </w:t>
      </w:r>
      <w:r w:rsidRPr="0009014A">
        <w:rPr>
          <w:rFonts w:ascii="Lato" w:hAnsi="Lato" w:cs="Arial"/>
          <w:bCs/>
          <w:iCs/>
          <w:spacing w:val="4"/>
          <w:sz w:val="22"/>
          <w:szCs w:val="22"/>
          <w:lang w:bidi="pl-PL"/>
        </w:rPr>
        <w:br/>
        <w:t xml:space="preserve">z dnia 21 lipca 2023 r., znak: LTL-1.601.1.2023.ULC.3. </w:t>
      </w:r>
    </w:p>
    <w:p w14:paraId="7DA47923" w14:textId="52655980"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Jednocześnie zauważyć należy, iż Naczelny Sąd Administracyjny postanowieniem </w:t>
      </w:r>
      <w:r w:rsidRPr="0009014A">
        <w:rPr>
          <w:rFonts w:ascii="Lato" w:hAnsi="Lato" w:cs="Arial"/>
          <w:bCs/>
          <w:iCs/>
          <w:spacing w:val="4"/>
          <w:sz w:val="22"/>
          <w:szCs w:val="22"/>
          <w:lang w:bidi="pl-PL"/>
        </w:rPr>
        <w:br/>
        <w:t xml:space="preserve">z dnia 6 marca 2025 r., sygn. akt II GSK 2383/24, oddalił skargę kasacyjną </w:t>
      </w:r>
      <w:r w:rsidRPr="0009014A">
        <w:rPr>
          <w:rFonts w:ascii="Lato" w:hAnsi="Lato" w:cs="Arial"/>
          <w:bCs/>
          <w:iCs/>
          <w:spacing w:val="4"/>
          <w:sz w:val="22"/>
          <w:szCs w:val="22"/>
          <w:lang w:bidi="pl-PL"/>
        </w:rPr>
        <w:br/>
        <w:t xml:space="preserve">od postanowienia Wojewódzkiego Sądu Administracyjnego w Warszawie z dnia </w:t>
      </w:r>
      <w:r w:rsidRPr="0009014A">
        <w:rPr>
          <w:rFonts w:ascii="Lato" w:hAnsi="Lato" w:cs="Arial"/>
          <w:bCs/>
          <w:iCs/>
          <w:spacing w:val="4"/>
          <w:sz w:val="22"/>
          <w:szCs w:val="22"/>
          <w:lang w:bidi="pl-PL"/>
        </w:rPr>
        <w:br/>
        <w:t xml:space="preserve">8 kwietnia 2024 r., sygn. akt VI SA/Wa 4538/23, o odrzuceniu skargi ww. na pismo Ministra Infrastruktury z dnia 7 czerwca 2023 r. w przedmiocie zatwierdzenia planu generalnego lotniska w zakresie zgodności z polityką transportową kraju. NSA i WSA </w:t>
      </w:r>
      <w:r w:rsidRPr="0009014A">
        <w:rPr>
          <w:rFonts w:ascii="Lato" w:hAnsi="Lato" w:cs="Arial"/>
          <w:bCs/>
          <w:iCs/>
          <w:spacing w:val="4"/>
          <w:sz w:val="22"/>
          <w:szCs w:val="22"/>
          <w:lang w:bidi="pl-PL"/>
        </w:rPr>
        <w:br/>
        <w:t xml:space="preserve">w Warszawie uznały, że zaskarżonego pisma Ministra Infrastruktury - wydanego na podstawie art. 55 ust. 8 ustawy Prawo lotnicze - nie sposób uznać za akt lub czynność, </w:t>
      </w:r>
      <w:r w:rsidR="000C69F8">
        <w:rPr>
          <w:rFonts w:ascii="Lato" w:hAnsi="Lato" w:cs="Arial"/>
          <w:bCs/>
          <w:iCs/>
          <w:spacing w:val="4"/>
          <w:sz w:val="22"/>
          <w:szCs w:val="22"/>
          <w:lang w:bidi="pl-PL"/>
        </w:rPr>
        <w:br/>
      </w:r>
      <w:r w:rsidRPr="0009014A">
        <w:rPr>
          <w:rFonts w:ascii="Lato" w:hAnsi="Lato" w:cs="Arial"/>
          <w:bCs/>
          <w:iCs/>
          <w:spacing w:val="4"/>
          <w:sz w:val="22"/>
          <w:szCs w:val="22"/>
          <w:lang w:bidi="pl-PL"/>
        </w:rPr>
        <w:t>o któ</w:t>
      </w:r>
      <w:r w:rsidRPr="0009014A">
        <w:rPr>
          <w:rFonts w:ascii="Lato" w:hAnsi="Lato" w:cs="Arial"/>
          <w:bCs/>
          <w:iCs/>
          <w:spacing w:val="4"/>
          <w:sz w:val="22"/>
          <w:szCs w:val="22"/>
          <w:lang w:bidi="pl-PL"/>
        </w:rPr>
        <w:softHyphen/>
        <w:t xml:space="preserve">rych mowa w przepisie art. 3 § 2 pkt 4 ustawy z dnia 30 sierpnia 2002 r. – Prawo </w:t>
      </w:r>
      <w:r w:rsidRPr="0009014A">
        <w:rPr>
          <w:rFonts w:ascii="Lato" w:hAnsi="Lato" w:cs="Arial"/>
          <w:bCs/>
          <w:iCs/>
          <w:spacing w:val="4"/>
          <w:sz w:val="22"/>
          <w:szCs w:val="22"/>
          <w:lang w:bidi="pl-PL"/>
        </w:rPr>
        <w:br/>
        <w:t xml:space="preserve">o postępowaniu przed sądami administracyjnymi (t.j. Dz.U. z 2026 r. poz. 143, </w:t>
      </w:r>
      <w:r w:rsidRPr="0009014A">
        <w:rPr>
          <w:rFonts w:ascii="Lato" w:hAnsi="Lato" w:cs="Arial"/>
          <w:bCs/>
          <w:iCs/>
          <w:spacing w:val="4"/>
          <w:sz w:val="22"/>
          <w:szCs w:val="22"/>
          <w:lang w:bidi="pl-PL"/>
        </w:rPr>
        <w:br/>
        <w:t>z późn.zm.), bowiem pismo to nie posiada charakteru władczego i nie dotyczy praw własnościowych, stanowiąc jedynie wy</w:t>
      </w:r>
      <w:r w:rsidRPr="0009014A">
        <w:rPr>
          <w:rFonts w:ascii="Lato" w:hAnsi="Lato" w:cs="Arial"/>
          <w:bCs/>
          <w:iCs/>
          <w:spacing w:val="4"/>
          <w:sz w:val="22"/>
          <w:szCs w:val="22"/>
          <w:lang w:bidi="pl-PL"/>
        </w:rPr>
        <w:softHyphen/>
        <w:t>rażenie aprobującego stanowiska co do zgodności Planu Generalnego z polityką transportową kraju, a więc w zakresie kompetencji przyznanej ministrowi właściwemu do spraw transportu i ściśle określonej w ustawie Prawo lotnicze.</w:t>
      </w:r>
    </w:p>
    <w:p w14:paraId="29C838B7" w14:textId="09AF1F60" w:rsidR="0009014A" w:rsidRPr="0009014A" w:rsidRDefault="0009014A" w:rsidP="0009014A">
      <w:pPr>
        <w:spacing w:after="12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Na uwzględnienie nie zasługuje zarzut </w:t>
      </w:r>
      <w:r w:rsidRPr="0009014A">
        <w:rPr>
          <w:rFonts w:ascii="Lato" w:hAnsi="Lato" w:cs="Arial"/>
          <w:spacing w:val="4"/>
          <w:sz w:val="22"/>
          <w:szCs w:val="22"/>
        </w:rPr>
        <w:t>Pana Z</w:t>
      </w:r>
      <w:r w:rsidR="00800D46">
        <w:rPr>
          <w:rFonts w:ascii="Lato" w:hAnsi="Lato" w:cs="Arial"/>
          <w:spacing w:val="4"/>
          <w:sz w:val="22"/>
          <w:szCs w:val="22"/>
        </w:rPr>
        <w:t>.</w:t>
      </w:r>
      <w:r w:rsidRPr="0009014A">
        <w:rPr>
          <w:rFonts w:ascii="Lato" w:hAnsi="Lato" w:cs="Arial"/>
          <w:spacing w:val="4"/>
          <w:sz w:val="22"/>
          <w:szCs w:val="22"/>
        </w:rPr>
        <w:t xml:space="preserve"> K</w:t>
      </w:r>
      <w:r w:rsidR="00800D46">
        <w:rPr>
          <w:rFonts w:ascii="Lato" w:hAnsi="Lato" w:cs="Arial"/>
          <w:spacing w:val="4"/>
          <w:sz w:val="22"/>
          <w:szCs w:val="22"/>
        </w:rPr>
        <w:t>.</w:t>
      </w:r>
      <w:r w:rsidRPr="0009014A">
        <w:rPr>
          <w:rFonts w:ascii="Lato" w:hAnsi="Lato" w:cs="Arial"/>
          <w:spacing w:val="4"/>
          <w:sz w:val="22"/>
          <w:szCs w:val="22"/>
        </w:rPr>
        <w:t>, Pana P</w:t>
      </w:r>
      <w:r w:rsidR="00800D46">
        <w:rPr>
          <w:rFonts w:ascii="Lato" w:hAnsi="Lato" w:cs="Arial"/>
          <w:spacing w:val="4"/>
          <w:sz w:val="22"/>
          <w:szCs w:val="22"/>
        </w:rPr>
        <w:t>.</w:t>
      </w:r>
      <w:r w:rsidRPr="0009014A">
        <w:rPr>
          <w:rFonts w:ascii="Lato" w:hAnsi="Lato" w:cs="Arial"/>
          <w:spacing w:val="4"/>
          <w:sz w:val="22"/>
          <w:szCs w:val="22"/>
        </w:rPr>
        <w:t xml:space="preserve"> K</w:t>
      </w:r>
      <w:r w:rsidR="00800D46">
        <w:rPr>
          <w:rFonts w:ascii="Lato" w:hAnsi="Lato" w:cs="Arial"/>
          <w:spacing w:val="4"/>
          <w:sz w:val="22"/>
          <w:szCs w:val="22"/>
        </w:rPr>
        <w:t>.</w:t>
      </w:r>
      <w:r w:rsidRPr="0009014A">
        <w:rPr>
          <w:rFonts w:ascii="Lato" w:hAnsi="Lato" w:cs="Arial"/>
          <w:spacing w:val="4"/>
          <w:sz w:val="22"/>
          <w:szCs w:val="22"/>
        </w:rPr>
        <w:t>, Pani K</w:t>
      </w:r>
      <w:r w:rsidR="00800D46">
        <w:rPr>
          <w:rFonts w:ascii="Lato" w:hAnsi="Lato" w:cs="Arial"/>
          <w:spacing w:val="4"/>
          <w:sz w:val="22"/>
          <w:szCs w:val="22"/>
        </w:rPr>
        <w:t>.</w:t>
      </w:r>
      <w:r w:rsidRPr="0009014A">
        <w:rPr>
          <w:rFonts w:ascii="Lato" w:hAnsi="Lato" w:cs="Arial"/>
          <w:spacing w:val="4"/>
          <w:sz w:val="22"/>
          <w:szCs w:val="22"/>
        </w:rPr>
        <w:t xml:space="preserve"> K</w:t>
      </w:r>
      <w:r w:rsidR="00800D46">
        <w:rPr>
          <w:rFonts w:ascii="Lato" w:hAnsi="Lato" w:cs="Arial"/>
          <w:spacing w:val="4"/>
          <w:sz w:val="22"/>
          <w:szCs w:val="22"/>
        </w:rPr>
        <w:t>.</w:t>
      </w:r>
      <w:r w:rsidRPr="0009014A">
        <w:rPr>
          <w:rFonts w:ascii="Lato" w:hAnsi="Lato" w:cs="Arial"/>
          <w:spacing w:val="4"/>
          <w:sz w:val="22"/>
          <w:szCs w:val="22"/>
        </w:rPr>
        <w:t xml:space="preserve">, spółki </w:t>
      </w:r>
      <w:r w:rsidR="00800D46">
        <w:rPr>
          <w:rFonts w:ascii="Lato" w:hAnsi="Lato" w:cs="Arial"/>
          <w:spacing w:val="4"/>
          <w:sz w:val="22"/>
          <w:szCs w:val="22"/>
        </w:rPr>
        <w:t>(…)</w:t>
      </w:r>
      <w:r w:rsidRPr="0009014A">
        <w:rPr>
          <w:rFonts w:ascii="Lato" w:hAnsi="Lato" w:cs="Arial"/>
          <w:spacing w:val="4"/>
          <w:sz w:val="22"/>
          <w:szCs w:val="22"/>
        </w:rPr>
        <w:t xml:space="preserve"> dotyczący naruszenia </w:t>
      </w:r>
      <w:r w:rsidRPr="0009014A">
        <w:rPr>
          <w:rFonts w:ascii="Lato" w:hAnsi="Lato" w:cs="Arial"/>
          <w:bCs/>
          <w:iCs/>
          <w:spacing w:val="4"/>
          <w:sz w:val="22"/>
          <w:szCs w:val="22"/>
          <w:lang w:bidi="pl-PL"/>
        </w:rPr>
        <w:t xml:space="preserve">art. 86 pkt 2 w zw. z art. 72 ust. 1 pkt 24 ustawy o udostępnianiu </w:t>
      </w:r>
      <w:r w:rsidRPr="0009014A">
        <w:rPr>
          <w:rFonts w:ascii="Lato" w:hAnsi="Lato" w:cs="Arial"/>
          <w:bCs/>
          <w:iCs/>
          <w:spacing w:val="4"/>
          <w:sz w:val="22"/>
          <w:szCs w:val="22"/>
          <w:lang w:bidi="pl-PL"/>
        </w:rPr>
        <w:lastRenderedPageBreak/>
        <w:t xml:space="preserve">informacji o środowisku i jego ochronie, poprzez wydanie zaskarżonej decyzji, której treść stoi w oczywistej sprzeczności z warunkami określonymi w decyzji </w:t>
      </w:r>
      <w:r w:rsidR="000C69F8">
        <w:rPr>
          <w:rFonts w:ascii="Lato" w:hAnsi="Lato" w:cs="Arial"/>
          <w:bCs/>
          <w:iCs/>
          <w:spacing w:val="4"/>
          <w:sz w:val="22"/>
          <w:szCs w:val="22"/>
          <w:lang w:bidi="pl-PL"/>
        </w:rPr>
        <w:br/>
      </w:r>
      <w:r w:rsidRPr="0009014A">
        <w:rPr>
          <w:rFonts w:ascii="Lato" w:hAnsi="Lato" w:cs="Arial"/>
          <w:bCs/>
          <w:iCs/>
          <w:spacing w:val="4"/>
          <w:sz w:val="22"/>
          <w:szCs w:val="22"/>
          <w:lang w:bidi="pl-PL"/>
        </w:rPr>
        <w:t xml:space="preserve">o środowiskowych uwarunkowaniach RDOŚ, które to warunki na podstawie </w:t>
      </w:r>
      <w:r w:rsidR="000C69F8">
        <w:rPr>
          <w:rFonts w:ascii="Lato" w:hAnsi="Lato" w:cs="Arial"/>
          <w:bCs/>
          <w:iCs/>
          <w:spacing w:val="4"/>
          <w:sz w:val="22"/>
          <w:szCs w:val="22"/>
          <w:lang w:bidi="pl-PL"/>
        </w:rPr>
        <w:br/>
      </w:r>
      <w:r w:rsidRPr="0009014A">
        <w:rPr>
          <w:rFonts w:ascii="Lato" w:hAnsi="Lato" w:cs="Arial"/>
          <w:bCs/>
          <w:iCs/>
          <w:spacing w:val="4"/>
          <w:sz w:val="22"/>
          <w:szCs w:val="22"/>
          <w:lang w:bidi="pl-PL"/>
        </w:rPr>
        <w:t>ww. przepisów winny być wiążące dla Wojewody Mazowieckiego jako podmiotu wydającego decyzję, które to niezgodności polegały w szczególności na:</w:t>
      </w:r>
    </w:p>
    <w:p w14:paraId="013487D8" w14:textId="77777777" w:rsidR="0009014A" w:rsidRPr="0009014A" w:rsidRDefault="0009014A">
      <w:pPr>
        <w:numPr>
          <w:ilvl w:val="0"/>
          <w:numId w:val="34"/>
        </w:numPr>
        <w:spacing w:after="120" w:line="240" w:lineRule="exact"/>
        <w:ind w:left="284" w:hanging="284"/>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odmiennym połączeniu lotniska z siecią dróg publicznych przewidzianym w decyzji Wojewody Mazowieckiego (str. 87-88 decyzji), od opisu wskazanego w decyzji </w:t>
      </w:r>
      <w:r w:rsidRPr="0009014A">
        <w:rPr>
          <w:rFonts w:ascii="Lato" w:hAnsi="Lato" w:cs="Arial"/>
          <w:bCs/>
          <w:iCs/>
          <w:spacing w:val="4"/>
          <w:sz w:val="22"/>
          <w:szCs w:val="22"/>
          <w:lang w:bidi="pl-PL"/>
        </w:rPr>
        <w:br/>
        <w:t>o środowiskowych uwarunkowaniach RDOŚ (str. 5-8), tj.:</w:t>
      </w:r>
    </w:p>
    <w:p w14:paraId="574C2842" w14:textId="77777777" w:rsidR="0009014A" w:rsidRPr="0009014A" w:rsidRDefault="0009014A">
      <w:pPr>
        <w:numPr>
          <w:ilvl w:val="0"/>
          <w:numId w:val="33"/>
        </w:numPr>
        <w:spacing w:after="120" w:line="240" w:lineRule="exact"/>
        <w:ind w:left="709" w:hanging="425"/>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sposobu połączenia przedsięwzięcia z autostradą A2, z uwagi na fakt, że </w:t>
      </w:r>
      <w:r w:rsidRPr="0009014A">
        <w:rPr>
          <w:rFonts w:ascii="Lato" w:hAnsi="Lato" w:cs="Arial"/>
          <w:bCs/>
          <w:iCs/>
          <w:spacing w:val="4"/>
          <w:sz w:val="22"/>
          <w:szCs w:val="22"/>
          <w:lang w:bidi="pl-PL"/>
        </w:rPr>
        <w:br/>
        <w:t xml:space="preserve">w decyzji o środowiskowych uwarunkowaniach RDOŚ przewidziano połączenie </w:t>
      </w:r>
      <w:r w:rsidRPr="0009014A">
        <w:rPr>
          <w:rFonts w:ascii="Lato" w:hAnsi="Lato" w:cs="Arial"/>
          <w:bCs/>
          <w:iCs/>
          <w:spacing w:val="4"/>
          <w:sz w:val="22"/>
          <w:szCs w:val="22"/>
          <w:lang w:bidi="pl-PL"/>
        </w:rPr>
        <w:br/>
        <w:t xml:space="preserve">z autostradą A2 w kierunku południowo-wschodnim od lotniska, natomiast </w:t>
      </w:r>
      <w:r w:rsidRPr="0009014A">
        <w:rPr>
          <w:rFonts w:ascii="Lato" w:hAnsi="Lato" w:cs="Arial"/>
          <w:bCs/>
          <w:iCs/>
          <w:spacing w:val="4"/>
          <w:sz w:val="22"/>
          <w:szCs w:val="22"/>
          <w:lang w:bidi="pl-PL"/>
        </w:rPr>
        <w:br/>
        <w:t xml:space="preserve">w decyzji Wojewody Mazowieckiego wskazano, że lotnisko zostanie połączone </w:t>
      </w:r>
      <w:r w:rsidRPr="0009014A">
        <w:rPr>
          <w:rFonts w:ascii="Lato" w:hAnsi="Lato" w:cs="Arial"/>
          <w:bCs/>
          <w:iCs/>
          <w:spacing w:val="4"/>
          <w:sz w:val="22"/>
          <w:szCs w:val="22"/>
          <w:lang w:bidi="pl-PL"/>
        </w:rPr>
        <w:br/>
        <w:t>z autostradą A2 po stronie zachodniej,</w:t>
      </w:r>
    </w:p>
    <w:p w14:paraId="1FB14E10" w14:textId="5C8A6F99" w:rsidR="0009014A" w:rsidRPr="0009014A" w:rsidRDefault="0009014A">
      <w:pPr>
        <w:numPr>
          <w:ilvl w:val="0"/>
          <w:numId w:val="33"/>
        </w:numPr>
        <w:spacing w:after="120" w:line="240" w:lineRule="exact"/>
        <w:ind w:left="709" w:hanging="425"/>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lakoniczne określenie w decyzji Wojewody Mazowieckiego komponentu drogowego, które nie zawiera szerszego przedstawienia przebiegu dróg publicznych prowadzących do przedsięwzięcia, a więc w sposób odbiegający od warunków i realizacji przedsięwzięcia przedstawionej w decyzji </w:t>
      </w:r>
      <w:r w:rsidR="006D316D">
        <w:rPr>
          <w:rFonts w:ascii="Lato" w:hAnsi="Lato" w:cs="Arial"/>
          <w:bCs/>
          <w:iCs/>
          <w:spacing w:val="4"/>
          <w:sz w:val="22"/>
          <w:szCs w:val="22"/>
          <w:lang w:bidi="pl-PL"/>
        </w:rPr>
        <w:br/>
      </w:r>
      <w:r w:rsidRPr="0009014A">
        <w:rPr>
          <w:rFonts w:ascii="Lato" w:hAnsi="Lato" w:cs="Arial"/>
          <w:bCs/>
          <w:iCs/>
          <w:spacing w:val="4"/>
          <w:sz w:val="22"/>
          <w:szCs w:val="22"/>
          <w:lang w:bidi="pl-PL"/>
        </w:rPr>
        <w:t>o środowiskowych uwarunkowaniach RDOŚ,</w:t>
      </w:r>
    </w:p>
    <w:p w14:paraId="700C71D5" w14:textId="77777777" w:rsidR="0009014A" w:rsidRPr="0009014A" w:rsidRDefault="0009014A">
      <w:pPr>
        <w:numPr>
          <w:ilvl w:val="0"/>
          <w:numId w:val="34"/>
        </w:numPr>
        <w:spacing w:after="120" w:line="240" w:lineRule="exact"/>
        <w:ind w:left="284" w:hanging="284"/>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braku skorygowania przebiegu drogi technologicznej prowadzonej wzdłuż projektowanej linii</w:t>
      </w:r>
      <w:r w:rsidRPr="0009014A">
        <w:rPr>
          <w:color w:val="000000"/>
          <w:sz w:val="21"/>
          <w:szCs w:val="21"/>
        </w:rPr>
        <w:t xml:space="preserve"> </w:t>
      </w:r>
      <w:r w:rsidRPr="0009014A">
        <w:rPr>
          <w:rFonts w:ascii="Lato" w:hAnsi="Lato" w:cs="Arial"/>
          <w:bCs/>
          <w:iCs/>
          <w:spacing w:val="4"/>
          <w:sz w:val="22"/>
          <w:szCs w:val="22"/>
          <w:lang w:bidi="pl-PL"/>
        </w:rPr>
        <w:t xml:space="preserve">kolejowej WZ_1, na przebieg niekolizyjny ze stanowiskami </w:t>
      </w:r>
      <w:r w:rsidRPr="0009014A">
        <w:rPr>
          <w:rFonts w:ascii="Lato" w:hAnsi="Lato" w:cs="Arial"/>
          <w:spacing w:val="4"/>
          <w:sz w:val="22"/>
          <w:szCs w:val="22"/>
        </w:rPr>
        <w:t xml:space="preserve">storczyka cuchnącego (objętego ścisłą ochroną gatunkową), co obligowało inwestora do dokonania przesunięcia drogi technologicznej jak najdalej od stanowisk </w:t>
      </w:r>
      <w:r w:rsidRPr="0009014A">
        <w:rPr>
          <w:rFonts w:ascii="Lato" w:hAnsi="Lato" w:cs="Arial"/>
          <w:spacing w:val="4"/>
          <w:sz w:val="22"/>
          <w:szCs w:val="22"/>
        </w:rPr>
        <w:br/>
        <w:t>ww. gatunku i jednocześnie maksymalnego zbliżenia do projektowanej linii kolejowej, który to obowiązek wynikał z punktu 1.3.28 (str. 47) decyzji o środowiskowych uwarunkowaniach RDOŚ i nie został uwzględniony przez Wojewodę Mazowieckiego w zaskarżonej decyzji,</w:t>
      </w:r>
    </w:p>
    <w:p w14:paraId="2877F729" w14:textId="77777777" w:rsidR="0009014A" w:rsidRPr="0009014A" w:rsidRDefault="0009014A">
      <w:pPr>
        <w:numPr>
          <w:ilvl w:val="0"/>
          <w:numId w:val="34"/>
        </w:numPr>
        <w:spacing w:after="120" w:line="240" w:lineRule="exact"/>
        <w:ind w:left="284" w:hanging="284"/>
        <w:jc w:val="both"/>
        <w:outlineLvl w:val="0"/>
        <w:rPr>
          <w:rFonts w:ascii="Lato" w:hAnsi="Lato" w:cs="Arial"/>
          <w:bCs/>
          <w:iCs/>
          <w:spacing w:val="4"/>
          <w:sz w:val="22"/>
          <w:szCs w:val="22"/>
          <w:lang w:bidi="pl-PL"/>
        </w:rPr>
      </w:pPr>
      <w:r w:rsidRPr="0009014A">
        <w:rPr>
          <w:rFonts w:ascii="Lato" w:hAnsi="Lato" w:cs="Arial"/>
          <w:spacing w:val="4"/>
          <w:sz w:val="22"/>
          <w:szCs w:val="22"/>
        </w:rPr>
        <w:t xml:space="preserve">wskazaniu w decyzji Wojewody Mazowieckiego stanowiska do utylizacji materiałów wybuchowych, które to stanowisko nie zostało uwzględnione w decyzji </w:t>
      </w:r>
      <w:r w:rsidRPr="0009014A">
        <w:rPr>
          <w:rFonts w:ascii="Lato" w:hAnsi="Lato" w:cs="Arial"/>
          <w:spacing w:val="4"/>
          <w:sz w:val="22"/>
          <w:szCs w:val="22"/>
        </w:rPr>
        <w:br/>
        <w:t>o środowiskowych uwarunkowaniach RDOŚ i wobec którego nie została dokonana ocena wpływu tej instalacji na środowisko i bezpieczeństwo całego przedsięwzięcia, co biorąc pod uwagę charakter ww. elementu przedsięwzięcia, świadczy o istotnej wadzie polegającej na uwzględnieniu we wniosku lokalizacyjnym i decyzji Wojewody Mazowieckiego dodatkowego, istotnego elementu inwestycji, który nie podlegał ocenie w postępowaniu zakończonym decyzją w przedmiocie określenia środowiskowych uwarunkowań,</w:t>
      </w:r>
    </w:p>
    <w:p w14:paraId="1D51A043" w14:textId="77777777" w:rsidR="0009014A" w:rsidRPr="0009014A" w:rsidRDefault="0009014A">
      <w:pPr>
        <w:numPr>
          <w:ilvl w:val="0"/>
          <w:numId w:val="34"/>
        </w:numPr>
        <w:spacing w:after="240" w:line="240" w:lineRule="exact"/>
        <w:ind w:left="284" w:hanging="284"/>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braku uwzględnienia w decyzji Wojewody Mazowieckiego wymagań określonych </w:t>
      </w:r>
      <w:r w:rsidRPr="0009014A">
        <w:rPr>
          <w:rFonts w:ascii="Lato" w:hAnsi="Lato" w:cs="Arial"/>
          <w:bCs/>
          <w:iCs/>
          <w:spacing w:val="4"/>
          <w:sz w:val="22"/>
          <w:szCs w:val="22"/>
          <w:lang w:bidi="pl-PL"/>
        </w:rPr>
        <w:br/>
        <w:t>w decyzji w przedmiocie określenia środowiskowych uwarunkowań, które warunkują możliwość realizacji przedsięwzięcia, i poprzestanie na lakonicznym wskazaniu spełnienia warunków przewidzianych w decyzji o środowiskowych uwarunkowaniach we wniosku lokalizacyjnym, pomimo wyżej wskazanych rozbieżności pomiędzy decyzją o środowiskowych uwarunkowaniach RDOŚ a decyzją Wojewody Mazowieckiego.</w:t>
      </w:r>
    </w:p>
    <w:p w14:paraId="5F7DDEF0" w14:textId="77777777"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W ocenie Ministra, </w:t>
      </w:r>
      <w:r w:rsidRPr="0009014A">
        <w:rPr>
          <w:rFonts w:ascii="Lato" w:hAnsi="Lato" w:cs="Arial"/>
          <w:iCs/>
          <w:spacing w:val="4"/>
          <w:sz w:val="22"/>
          <w:szCs w:val="22"/>
        </w:rPr>
        <w:t xml:space="preserve">w aktach sprawy brak jest dowodów potwierdzających tezę skarżących dotyczącą niezgodności decyzji o ustaleniu lokalizacji przedmiotowej inwestycji z decyzją o środowiskowych uwarunkowaniach (decyzja o środowiskowych uwarunkowaniach RDOŚ i decyzja o środowiskowych uwarunkowaniach GDOŚ). </w:t>
      </w:r>
      <w:r w:rsidRPr="0009014A">
        <w:rPr>
          <w:rFonts w:ascii="Lato" w:hAnsi="Lato" w:cs="Arial"/>
          <w:iCs/>
          <w:spacing w:val="4"/>
          <w:sz w:val="22"/>
          <w:szCs w:val="22"/>
        </w:rPr>
        <w:br/>
      </w:r>
      <w:r w:rsidRPr="0009014A">
        <w:rPr>
          <w:rFonts w:ascii="Lato" w:hAnsi="Lato" w:cs="Arial"/>
          <w:spacing w:val="4"/>
          <w:sz w:val="22"/>
          <w:szCs w:val="22"/>
        </w:rPr>
        <w:t xml:space="preserve">W ocenie Ministra decyzja Wojewody Mazowieckiego jest zgodna z decyzją </w:t>
      </w:r>
      <w:r w:rsidRPr="0009014A">
        <w:rPr>
          <w:rFonts w:ascii="Lato" w:hAnsi="Lato" w:cs="Arial"/>
          <w:spacing w:val="4"/>
          <w:sz w:val="22"/>
          <w:szCs w:val="22"/>
        </w:rPr>
        <w:br/>
        <w:t xml:space="preserve">o środowiskowych uwarunkowaniach RDOŚ i decyzją o środowiskowych uwarunkowaniach GDOŚ, jak również ww. decyzją </w:t>
      </w:r>
      <w:r w:rsidRPr="0009014A">
        <w:rPr>
          <w:rFonts w:ascii="Lato" w:hAnsi="Lato" w:cs="Arial"/>
          <w:bCs/>
          <w:spacing w:val="4"/>
          <w:sz w:val="22"/>
          <w:szCs w:val="22"/>
        </w:rPr>
        <w:t xml:space="preserve">RDOŚ w Warszawie z dnia 19 czerwca 2024 r., znak: WOOŚ-II.420.69.2023.AG.12, stwierdzającą brak potrzeby </w:t>
      </w:r>
      <w:r w:rsidRPr="0009014A">
        <w:rPr>
          <w:rFonts w:ascii="Lato" w:hAnsi="Lato" w:cs="Arial"/>
          <w:bCs/>
          <w:spacing w:val="4"/>
          <w:sz w:val="22"/>
          <w:szCs w:val="22"/>
        </w:rPr>
        <w:lastRenderedPageBreak/>
        <w:t xml:space="preserve">przeprowadzenia oceny odziaływania na środowisko dla przedsięwzięcia objętego jej zakresem. </w:t>
      </w:r>
    </w:p>
    <w:p w14:paraId="7ADE8AA8" w14:textId="65A6055F" w:rsidR="0009014A" w:rsidRPr="0009014A" w:rsidRDefault="0009014A" w:rsidP="0009014A">
      <w:pPr>
        <w:spacing w:after="240" w:line="240" w:lineRule="exact"/>
        <w:jc w:val="both"/>
        <w:outlineLvl w:val="0"/>
        <w:rPr>
          <w:rFonts w:ascii="Lato" w:eastAsiaTheme="minorHAnsi" w:hAnsi="Lato" w:cstheme="minorBidi"/>
          <w:iCs/>
          <w:spacing w:val="4"/>
          <w:sz w:val="22"/>
          <w:szCs w:val="22"/>
          <w:lang w:eastAsia="en-US"/>
        </w:rPr>
      </w:pPr>
      <w:r w:rsidRPr="0009014A">
        <w:rPr>
          <w:rFonts w:ascii="Lato" w:hAnsi="Lato" w:cs="Arial"/>
          <w:bCs/>
          <w:iCs/>
          <w:spacing w:val="4"/>
          <w:sz w:val="22"/>
          <w:szCs w:val="22"/>
          <w:lang w:bidi="pl-PL"/>
        </w:rPr>
        <w:t xml:space="preserve">Wskazać należy, iż </w:t>
      </w:r>
      <w:r w:rsidR="00295498">
        <w:rPr>
          <w:rFonts w:ascii="Lato" w:hAnsi="Lato" w:cs="Arial"/>
          <w:bCs/>
          <w:iCs/>
          <w:spacing w:val="4"/>
          <w:sz w:val="22"/>
          <w:szCs w:val="22"/>
          <w:lang w:bidi="pl-PL"/>
        </w:rPr>
        <w:t xml:space="preserve">opisana w polskim systemie prawnym </w:t>
      </w:r>
      <w:r w:rsidRPr="0009014A">
        <w:rPr>
          <w:rFonts w:ascii="Lato" w:hAnsi="Lato" w:cs="Arial"/>
          <w:bCs/>
          <w:iCs/>
          <w:spacing w:val="4"/>
          <w:sz w:val="22"/>
          <w:szCs w:val="22"/>
          <w:lang w:bidi="pl-PL"/>
        </w:rPr>
        <w:t xml:space="preserve">procedura wydawania pozwoleń na realizację inwestycji, kwalifikowanych jako przedsięwzięcia mogące znacząco oddziaływać na środowisko, zasadniczo podzielona jest na dwa główne etapy. Pierwszy etap, zgodnie z art. 71 ust. 1 ustawy o udostępnianiu informacji o środowisku </w:t>
      </w:r>
      <w:r w:rsidR="00717372">
        <w:rPr>
          <w:rFonts w:ascii="Lato" w:hAnsi="Lato" w:cs="Arial"/>
          <w:bCs/>
          <w:iCs/>
          <w:spacing w:val="4"/>
          <w:sz w:val="22"/>
          <w:szCs w:val="22"/>
          <w:lang w:bidi="pl-PL"/>
        </w:rPr>
        <w:br/>
      </w:r>
      <w:r w:rsidRPr="0009014A">
        <w:rPr>
          <w:rFonts w:ascii="Lato" w:hAnsi="Lato" w:cs="Arial"/>
          <w:bCs/>
          <w:iCs/>
          <w:spacing w:val="4"/>
          <w:sz w:val="22"/>
          <w:szCs w:val="22"/>
          <w:lang w:bidi="pl-PL"/>
        </w:rPr>
        <w:t xml:space="preserve">i jego ochronie, stanowi określenie, w drodze decyzji administracyjnej, środowiskowych uwarunkowań realizacji danego przedsięwzięcia. Drugi etap to wydanie zezwolenia na inwestycję. W tym miejscu należy nadmienić, że w wielu przypadkach (jak ma to również miejsce w sprawie realizacji Inwestycji i Inwestycji Towarzyszach na podstawie ustawy CPK) uzyskiwanie zezwolenia na inwestycję ma charakter etapowy, w którym, </w:t>
      </w:r>
      <w:r w:rsidR="00717372">
        <w:rPr>
          <w:rFonts w:ascii="Lato" w:hAnsi="Lato" w:cs="Arial"/>
          <w:bCs/>
          <w:iCs/>
          <w:spacing w:val="4"/>
          <w:sz w:val="22"/>
          <w:szCs w:val="22"/>
          <w:lang w:bidi="pl-PL"/>
        </w:rPr>
        <w:br/>
      </w:r>
      <w:r w:rsidRPr="0009014A">
        <w:rPr>
          <w:rFonts w:ascii="Lato" w:hAnsi="Lato" w:cs="Arial"/>
          <w:bCs/>
          <w:iCs/>
          <w:spacing w:val="4"/>
          <w:sz w:val="22"/>
          <w:szCs w:val="22"/>
          <w:lang w:bidi="pl-PL"/>
        </w:rPr>
        <w:t>w zależności od rodzaju danego przedsięwzięcia i innych uregulowań prawnych, zasadniczo wydzielić można decyzje o charakterze lokalizacyjnym i te o charakterze architektoniczno</w:t>
      </w:r>
      <w:r w:rsidRPr="0009014A">
        <w:rPr>
          <w:rFonts w:ascii="Lato" w:hAnsi="Lato" w:cs="Arial"/>
          <w:bCs/>
          <w:iCs/>
          <w:spacing w:val="4"/>
          <w:sz w:val="22"/>
          <w:szCs w:val="22"/>
          <w:lang w:bidi="pl-PL"/>
        </w:rPr>
        <w:noBreakHyphen/>
        <w:t>budowlanym (pozwolenie na budowę).</w:t>
      </w:r>
      <w:r w:rsidRPr="0009014A">
        <w:rPr>
          <w:rFonts w:ascii="Lato" w:eastAsiaTheme="minorHAnsi" w:hAnsi="Lato" w:cstheme="minorBidi"/>
          <w:iCs/>
          <w:spacing w:val="4"/>
          <w:sz w:val="22"/>
          <w:szCs w:val="22"/>
          <w:lang w:eastAsia="en-US"/>
        </w:rPr>
        <w:t xml:space="preserve"> </w:t>
      </w:r>
      <w:r w:rsidRPr="0009014A">
        <w:rPr>
          <w:rFonts w:ascii="Lato" w:eastAsiaTheme="minorHAnsi" w:hAnsi="Lato" w:cstheme="minorBidi"/>
          <w:bCs/>
          <w:iCs/>
          <w:spacing w:val="4"/>
          <w:sz w:val="22"/>
          <w:szCs w:val="22"/>
          <w:lang w:eastAsia="en-US" w:bidi="pl-PL"/>
        </w:rPr>
        <w:t>Decyzja lokalizacyjna stanowi etap pośredni między wcześniej wydaną decyzją środowiskową, którą jest związana na podstawie art. 86 pkt 2</w:t>
      </w:r>
      <w:r w:rsidRPr="0009014A">
        <w:rPr>
          <w:rFonts w:ascii="Lato" w:eastAsiaTheme="minorHAnsi" w:hAnsi="Lato" w:cstheme="minorBidi"/>
          <w:bCs/>
          <w:iCs/>
          <w:spacing w:val="4"/>
          <w:sz w:val="22"/>
          <w:szCs w:val="22"/>
          <w:lang w:eastAsia="en-US"/>
        </w:rPr>
        <w:t xml:space="preserve"> ustawą</w:t>
      </w:r>
      <w:r w:rsidR="00717372">
        <w:rPr>
          <w:rFonts w:ascii="Lato" w:eastAsiaTheme="minorHAnsi" w:hAnsi="Lato" w:cstheme="minorBidi"/>
          <w:bCs/>
          <w:iCs/>
          <w:spacing w:val="4"/>
          <w:sz w:val="22"/>
          <w:szCs w:val="22"/>
          <w:lang w:eastAsia="en-US"/>
        </w:rPr>
        <w:t xml:space="preserve"> </w:t>
      </w:r>
      <w:r w:rsidRPr="0009014A">
        <w:rPr>
          <w:rFonts w:ascii="Lato" w:eastAsiaTheme="minorHAnsi" w:hAnsi="Lato" w:cstheme="minorBidi"/>
          <w:bCs/>
          <w:iCs/>
          <w:spacing w:val="4"/>
          <w:sz w:val="22"/>
          <w:szCs w:val="22"/>
          <w:lang w:eastAsia="en-US"/>
        </w:rPr>
        <w:t>o udostępnianiu informacji o środowisku i jego ochronie</w:t>
      </w:r>
      <w:r w:rsidRPr="0009014A">
        <w:rPr>
          <w:rFonts w:ascii="Lato" w:eastAsiaTheme="minorHAnsi" w:hAnsi="Lato" w:cstheme="minorBidi"/>
          <w:bCs/>
          <w:iCs/>
          <w:spacing w:val="4"/>
          <w:sz w:val="22"/>
          <w:szCs w:val="22"/>
          <w:lang w:eastAsia="en-US" w:bidi="pl-PL"/>
        </w:rPr>
        <w:t>, a decyzją inwestycyjną, która również musi być zgodna z decyzją środowiskową w myśl art. 86 pkt 2 ustawy o udostępnianiu informacji o środowisku i jego ochronie</w:t>
      </w:r>
      <w:r w:rsidRPr="0009014A">
        <w:rPr>
          <w:rFonts w:ascii="Lato" w:eastAsiaTheme="minorHAnsi" w:hAnsi="Lato" w:cstheme="minorBidi"/>
          <w:iCs/>
          <w:spacing w:val="4"/>
          <w:sz w:val="22"/>
          <w:szCs w:val="22"/>
          <w:lang w:eastAsia="en-US"/>
        </w:rPr>
        <w:t xml:space="preserve">. Decyzja </w:t>
      </w:r>
      <w:r w:rsidR="00717372">
        <w:rPr>
          <w:rFonts w:ascii="Lato" w:eastAsiaTheme="minorHAnsi" w:hAnsi="Lato" w:cstheme="minorBidi"/>
          <w:iCs/>
          <w:spacing w:val="4"/>
          <w:sz w:val="22"/>
          <w:szCs w:val="22"/>
          <w:lang w:eastAsia="en-US"/>
        </w:rPr>
        <w:br/>
      </w:r>
      <w:r w:rsidRPr="0009014A">
        <w:rPr>
          <w:rFonts w:ascii="Lato" w:eastAsiaTheme="minorHAnsi" w:hAnsi="Lato" w:cstheme="minorBidi"/>
          <w:iCs/>
          <w:spacing w:val="4"/>
          <w:sz w:val="22"/>
          <w:szCs w:val="22"/>
          <w:lang w:eastAsia="en-US"/>
        </w:rPr>
        <w:t>o ustaleniu lokalizacji inwestycji jako decyzja wtórna wobec decyzji o środowiskowych uwarunkowaniach, musi mieścić się w parametrach oraz warunkach środowiskowych wskazanych na wcześniejszym etapie procesu inwestycyjnego.</w:t>
      </w:r>
    </w:p>
    <w:p w14:paraId="467A3755" w14:textId="5F5CF84A"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Rolą organu rozstrzygającego w sprawie uwarunkowań środowiskowych jest ocena dopuszczalności objętej wnioskiem inwestycji pod względem wymagań i uwarunkowań środowiskowych. Zatem decyzja środowiskowa nie określa warunków konkretnego usytuowania obiektu budowlanego na danej działce, a jedynie określa środowiskowe warunki dla jego budowy. </w:t>
      </w:r>
      <w:r w:rsidRPr="0009014A">
        <w:rPr>
          <w:rFonts w:ascii="Lato" w:eastAsiaTheme="minorHAnsi" w:hAnsi="Lato" w:cstheme="minorBidi"/>
          <w:spacing w:val="4"/>
          <w:sz w:val="22"/>
          <w:szCs w:val="22"/>
          <w:lang w:eastAsia="en-US"/>
        </w:rPr>
        <w:t xml:space="preserve">Pomimo użycia w ustawie </w:t>
      </w:r>
      <w:r w:rsidRPr="0009014A">
        <w:rPr>
          <w:rFonts w:ascii="Lato" w:eastAsiaTheme="minorHAnsi" w:hAnsi="Lato" w:cstheme="minorBidi"/>
          <w:bCs/>
          <w:iCs/>
          <w:spacing w:val="4"/>
          <w:sz w:val="22"/>
          <w:szCs w:val="22"/>
          <w:lang w:eastAsia="en-US"/>
        </w:rPr>
        <w:t xml:space="preserve">o udostępnianiu informacji </w:t>
      </w:r>
      <w:r w:rsidR="00717372">
        <w:rPr>
          <w:rFonts w:ascii="Lato" w:eastAsiaTheme="minorHAnsi" w:hAnsi="Lato" w:cstheme="minorBidi"/>
          <w:bCs/>
          <w:iCs/>
          <w:spacing w:val="4"/>
          <w:sz w:val="22"/>
          <w:szCs w:val="22"/>
          <w:lang w:eastAsia="en-US"/>
        </w:rPr>
        <w:br/>
      </w:r>
      <w:r w:rsidRPr="0009014A">
        <w:rPr>
          <w:rFonts w:ascii="Lato" w:eastAsiaTheme="minorHAnsi" w:hAnsi="Lato" w:cstheme="minorBidi"/>
          <w:bCs/>
          <w:iCs/>
          <w:spacing w:val="4"/>
          <w:sz w:val="22"/>
          <w:szCs w:val="22"/>
          <w:lang w:eastAsia="en-US"/>
        </w:rPr>
        <w:t>o środowisku i jego ochronie</w:t>
      </w:r>
      <w:r w:rsidRPr="0009014A">
        <w:rPr>
          <w:rFonts w:ascii="Lato" w:eastAsiaTheme="minorHAnsi" w:hAnsi="Lato" w:cstheme="minorBidi"/>
          <w:spacing w:val="4"/>
          <w:sz w:val="22"/>
          <w:szCs w:val="22"/>
          <w:lang w:eastAsia="en-US"/>
        </w:rPr>
        <w:t xml:space="preserve"> takich wyrazów jak „lokalizacja” lub „usytuowanie” </w:t>
      </w:r>
      <w:r w:rsidR="00717372">
        <w:rPr>
          <w:rFonts w:ascii="Lato" w:eastAsiaTheme="minorHAnsi" w:hAnsi="Lato" w:cstheme="minorBidi"/>
          <w:spacing w:val="4"/>
          <w:sz w:val="22"/>
          <w:szCs w:val="22"/>
          <w:lang w:eastAsia="en-US"/>
        </w:rPr>
        <w:br/>
      </w:r>
      <w:r w:rsidRPr="0009014A">
        <w:rPr>
          <w:rFonts w:ascii="Lato" w:eastAsiaTheme="minorHAnsi" w:hAnsi="Lato" w:cstheme="minorBidi"/>
          <w:spacing w:val="4"/>
          <w:sz w:val="22"/>
          <w:szCs w:val="22"/>
          <w:lang w:eastAsia="en-US"/>
        </w:rPr>
        <w:t xml:space="preserve">w kontekście danego przedsięwzięcia, istotą decyzji o środowiskowych uwarunkowaniach nie będzie całkowite skonkretyzowanie (co do dokładnych współrzędnych w przestrzeni trójwymiarowej) lokalizacji danej inwestycji (przedsięwzięcia). Istotą decyzji o środowiskowych uwarunkowaniach jest przede wszystkim ocena możliwości lokalizacji danego przedsięwzięcia, na skonkretyzowanym w przestrzeni terenie w kontekście uwarunkowań tego przedsięwzięcia w kategoriach oddziaływania na środowisko, a nie ostateczne i przesądzające na przyszłość usytuowanie konkretnych budowli (elementów przedsięwzięcia) w przestrzeni, </w:t>
      </w:r>
      <w:r w:rsidR="00717372">
        <w:rPr>
          <w:rFonts w:ascii="Lato" w:eastAsiaTheme="minorHAnsi" w:hAnsi="Lato" w:cstheme="minorBidi"/>
          <w:spacing w:val="4"/>
          <w:sz w:val="22"/>
          <w:szCs w:val="22"/>
          <w:lang w:eastAsia="en-US"/>
        </w:rPr>
        <w:br/>
      </w:r>
      <w:r w:rsidRPr="0009014A">
        <w:rPr>
          <w:rFonts w:ascii="Lato" w:eastAsiaTheme="minorHAnsi" w:hAnsi="Lato" w:cstheme="minorBidi"/>
          <w:spacing w:val="4"/>
          <w:sz w:val="22"/>
          <w:szCs w:val="22"/>
          <w:lang w:eastAsia="en-US"/>
        </w:rPr>
        <w:t>w szczególności poprzez ustalenie precyzyjnego układu współrzędnych inwestycji.</w:t>
      </w:r>
      <w:r w:rsidRPr="0009014A">
        <w:t xml:space="preserve"> </w:t>
      </w:r>
      <w:r w:rsidRPr="0009014A">
        <w:rPr>
          <w:rFonts w:ascii="Lato" w:eastAsiaTheme="minorHAnsi" w:hAnsi="Lato" w:cstheme="minorBidi"/>
          <w:spacing w:val="4"/>
          <w:sz w:val="22"/>
          <w:szCs w:val="22"/>
          <w:lang w:eastAsia="en-US"/>
        </w:rPr>
        <w:t xml:space="preserve">Kwestia szczegółowej lokalizacji (usytuowania) całego przedsięwzięcia, wraz z jego poszczególnymi elementami ingerującymi w przestrzeń, tak pod jak i na powierzchni ziemi, co do zasady, dokonana zostanie dopiero na etapie uzyskiwania decyzji </w:t>
      </w:r>
      <w:r w:rsidRPr="0009014A">
        <w:rPr>
          <w:rFonts w:ascii="Lato" w:eastAsiaTheme="minorHAnsi" w:hAnsi="Lato" w:cstheme="minorBidi"/>
          <w:spacing w:val="4"/>
          <w:sz w:val="22"/>
          <w:szCs w:val="22"/>
          <w:lang w:eastAsia="en-US"/>
        </w:rPr>
        <w:br/>
        <w:t>o pozwoleniu na budowę (por. Ustawa o udostępnianiu informacji o środowisku i jego ochronie, udziale społeczeństwa w ochronie środowiska oraz o ocenach oddziaływania na środowisko. Komentarz. red. dr Tomasz Filipowicz, Alicja Plucińska-Filipowicz, prof. dr hab. Marek Wierzbowski, Legalis, komentarz do art. 71).</w:t>
      </w:r>
    </w:p>
    <w:p w14:paraId="59A98BB9" w14:textId="77777777" w:rsidR="0009014A" w:rsidRPr="0009014A" w:rsidRDefault="0009014A" w:rsidP="0009014A">
      <w:pPr>
        <w:spacing w:after="240" w:line="240" w:lineRule="exact"/>
        <w:jc w:val="both"/>
        <w:outlineLvl w:val="0"/>
        <w:rPr>
          <w:rFonts w:ascii="Lato" w:hAnsi="Lato" w:cs="Arial"/>
          <w:spacing w:val="4"/>
          <w:sz w:val="22"/>
          <w:szCs w:val="22"/>
        </w:rPr>
      </w:pPr>
      <w:r w:rsidRPr="0009014A">
        <w:rPr>
          <w:rFonts w:ascii="Lato" w:hAnsi="Lato" w:cs="Arial"/>
          <w:spacing w:val="4"/>
          <w:sz w:val="22"/>
          <w:szCs w:val="22"/>
        </w:rPr>
        <w:t xml:space="preserve">Odnośnie zarzutu dotyczącego sprzeczności pomiędzy zapisami decyzji w przedmiocie określenia środowiskowych uwarunkowań i decyzji Wojewody Mazowieckiego w kwestii sposobu połączenia Inwestycji z autostradą A2, zauważyć należy, że w decyzji </w:t>
      </w:r>
      <w:r w:rsidRPr="0009014A">
        <w:rPr>
          <w:rFonts w:ascii="Lato" w:hAnsi="Lato" w:cs="Arial"/>
          <w:spacing w:val="4"/>
          <w:sz w:val="22"/>
          <w:szCs w:val="22"/>
        </w:rPr>
        <w:br/>
        <w:t xml:space="preserve">o środowiskowych uwarunkowaniach RDOŚ zdefiniowano również połączenie drogowe lotniska z istniejącym układem komunikacyjnym dróg publicznych po zachodniej stronie lotniska. Na stronie 5 decyzji o środowiskowych uwarunkowaniach RDOŚ w pkt C „Drogi - w rozumieniu dróg na zewnątrz lotniska”, w ppkt C.1 „Połączenia drogowe lotniska do sieci dróg publicznych”, opisano budowę odcinków dróg, które umożliwią połączenie </w:t>
      </w:r>
      <w:r w:rsidRPr="0009014A">
        <w:rPr>
          <w:rFonts w:ascii="Lato" w:hAnsi="Lato" w:cs="Arial"/>
          <w:spacing w:val="4"/>
          <w:sz w:val="22"/>
          <w:szCs w:val="22"/>
        </w:rPr>
        <w:lastRenderedPageBreak/>
        <w:t xml:space="preserve">lotniska z istniejącymi drogami publicznymi po jego zachodniej stronie, przykładowo </w:t>
      </w:r>
      <w:r w:rsidRPr="0009014A">
        <w:rPr>
          <w:rFonts w:ascii="Lato" w:hAnsi="Lato" w:cs="Arial"/>
          <w:spacing w:val="4"/>
          <w:sz w:val="22"/>
          <w:szCs w:val="22"/>
        </w:rPr>
        <w:br/>
        <w:t xml:space="preserve">z drogą krajową nr 50 (znalazło to również swoje potwierdzenie w charakterystyce przedsięwzięcia stanowiącej załącznik nr 1 do decyzji o środowiskowych uwarunkowaniach GDOŚ – str. 90). Pojazdy poruszające się pomiędzy lotniskiem </w:t>
      </w:r>
      <w:r w:rsidRPr="0009014A">
        <w:rPr>
          <w:rFonts w:ascii="Lato" w:hAnsi="Lato" w:cs="Arial"/>
          <w:spacing w:val="4"/>
          <w:sz w:val="22"/>
          <w:szCs w:val="22"/>
        </w:rPr>
        <w:br/>
        <w:t xml:space="preserve">a autostradą A2, będą mogły również skorzystać z Węzła Drogowego „Wiskitki" na połączeniu Autostrady A2 z droga krajową nr 50. Inwestor w trakcie procedury odwoławczej (w odpowiedzi na poszczególne zarzuty skarżących) wyjaśnił, że budowa połączenia drogowego lotniska z Autostradą A2 po jego wschodniej stronie, będzie realizowana w odrębnym trybie. </w:t>
      </w:r>
    </w:p>
    <w:p w14:paraId="58621BDC" w14:textId="77777777" w:rsidR="0009014A" w:rsidRPr="0009014A" w:rsidRDefault="0009014A" w:rsidP="0009014A">
      <w:pPr>
        <w:spacing w:after="240" w:line="240" w:lineRule="exact"/>
        <w:jc w:val="both"/>
        <w:outlineLvl w:val="0"/>
        <w:rPr>
          <w:rFonts w:ascii="Lato" w:hAnsi="Lato" w:cs="Arial"/>
          <w:spacing w:val="4"/>
          <w:sz w:val="22"/>
          <w:szCs w:val="22"/>
        </w:rPr>
      </w:pPr>
      <w:r w:rsidRPr="0009014A">
        <w:rPr>
          <w:rFonts w:ascii="Lato" w:hAnsi="Lato" w:cs="Arial"/>
          <w:spacing w:val="4"/>
          <w:sz w:val="22"/>
          <w:szCs w:val="22"/>
        </w:rPr>
        <w:t xml:space="preserve">Wbrew zarzutom skarżących, zdaniem Ministra, opis komponentu drogowego zawarty </w:t>
      </w:r>
      <w:r w:rsidRPr="0009014A">
        <w:rPr>
          <w:rFonts w:ascii="Lato" w:hAnsi="Lato" w:cs="Arial"/>
          <w:spacing w:val="4"/>
          <w:sz w:val="22"/>
          <w:szCs w:val="22"/>
        </w:rPr>
        <w:br/>
        <w:t>w decyzji Wojewody Mazowieckiego (str. 87-88 zaskarżonej decyzji) jest wystarczający dla etapu lokalizacji Inwestycji.</w:t>
      </w:r>
      <w:r w:rsidRPr="0009014A">
        <w:rPr>
          <w:rFonts w:ascii="Lato" w:hAnsi="Lato" w:cs="Arial"/>
          <w:color w:val="000000"/>
          <w:spacing w:val="4"/>
          <w:sz w:val="22"/>
          <w:szCs w:val="22"/>
        </w:rPr>
        <w:t xml:space="preserve"> </w:t>
      </w:r>
      <w:r w:rsidRPr="0009014A">
        <w:rPr>
          <w:rFonts w:ascii="Lato" w:hAnsi="Lato" w:cs="Arial"/>
          <w:spacing w:val="4"/>
          <w:sz w:val="22"/>
          <w:szCs w:val="22"/>
        </w:rPr>
        <w:t xml:space="preserve">Jak już to bowiem wyjaśniono powyżej, decyzja </w:t>
      </w:r>
      <w:r w:rsidRPr="0009014A">
        <w:rPr>
          <w:rFonts w:ascii="Lato" w:hAnsi="Lato" w:cs="Arial"/>
          <w:spacing w:val="4"/>
          <w:sz w:val="22"/>
          <w:szCs w:val="22"/>
        </w:rPr>
        <w:br/>
        <w:t xml:space="preserve">o ustaleniu lokalizacji inwestycji ma charakter wstępny w procesie inwestycyjno-budowlanym. Trzeba też wziąć pod uwagę stan rzeczowy wniosku lokalizacyjnego, który dotyczy budowy lotniska (Port Solidarność) Centralnego Portu Komunikacyjnego wraz </w:t>
      </w:r>
      <w:r w:rsidRPr="0009014A">
        <w:rPr>
          <w:rFonts w:ascii="Lato" w:hAnsi="Lato" w:cs="Arial"/>
          <w:spacing w:val="4"/>
          <w:sz w:val="22"/>
          <w:szCs w:val="22"/>
        </w:rPr>
        <w:br/>
        <w:t>z układem komunikacyjnym po jego zachodniej stronie. Wspominana przez skarżących droga technologiczna nale</w:t>
      </w:r>
      <w:r w:rsidRPr="0009014A">
        <w:rPr>
          <w:rFonts w:ascii="Lato" w:hAnsi="Lato" w:cs="Arial"/>
          <w:spacing w:val="4"/>
          <w:sz w:val="22"/>
          <w:szCs w:val="22"/>
        </w:rPr>
        <w:softHyphen/>
        <w:t>żąca do komponentu kolejowego, prowadzona wzdłuż projektowanej linii kolejowej WZ_1, znajduje się poza obszarem objętym decyzją Wojewody Mazowieckiego i będzie przedmiotem wniosku o uzyskanie odręb</w:t>
      </w:r>
      <w:r w:rsidRPr="0009014A">
        <w:rPr>
          <w:rFonts w:ascii="Lato" w:hAnsi="Lato" w:cs="Arial"/>
          <w:spacing w:val="4"/>
          <w:sz w:val="22"/>
          <w:szCs w:val="22"/>
        </w:rPr>
        <w:softHyphen/>
        <w:t xml:space="preserve">nej decyzji administracyjnej w przedmiocie ustalenia lokalizacji inwestycji. Wówczas dokumentacja do wniosku o ustalenie lokalizacji inwestycji kolejowej będzie ujmować aspekt opisany </w:t>
      </w:r>
      <w:r w:rsidRPr="0009014A">
        <w:rPr>
          <w:rFonts w:ascii="Lato" w:hAnsi="Lato" w:cs="Arial"/>
          <w:spacing w:val="4"/>
          <w:sz w:val="22"/>
          <w:szCs w:val="22"/>
        </w:rPr>
        <w:br/>
        <w:t>w decyzji w przedmiocie określenia środowiskowych uwarunkowań odnoszący się do przysunięcia drogi technologicznej do linii kolejowej w celu ochrony stanowisk storczyka cuchnącego.</w:t>
      </w:r>
    </w:p>
    <w:p w14:paraId="46D3B717" w14:textId="77777777" w:rsidR="0009014A" w:rsidRPr="0009014A" w:rsidRDefault="0009014A" w:rsidP="0009014A">
      <w:pPr>
        <w:widowControl w:val="0"/>
        <w:spacing w:after="240" w:line="240" w:lineRule="exact"/>
        <w:ind w:right="20"/>
        <w:jc w:val="both"/>
        <w:rPr>
          <w:rFonts w:ascii="Lato" w:hAnsi="Lato" w:cs="Arial"/>
          <w:color w:val="000000"/>
          <w:spacing w:val="4"/>
          <w:sz w:val="22"/>
          <w:szCs w:val="22"/>
        </w:rPr>
      </w:pPr>
      <w:r w:rsidRPr="0009014A">
        <w:rPr>
          <w:rFonts w:ascii="Lato" w:hAnsi="Lato" w:cs="Arial"/>
          <w:color w:val="000000"/>
          <w:spacing w:val="4"/>
          <w:sz w:val="22"/>
          <w:szCs w:val="22"/>
        </w:rPr>
        <w:t xml:space="preserve">W odniesieniu do zarzutu objęcia decyzją lokalizacyjną elementu nieuwzględnionego </w:t>
      </w:r>
      <w:r w:rsidRPr="0009014A">
        <w:rPr>
          <w:rFonts w:ascii="Lato" w:hAnsi="Lato" w:cs="Arial"/>
          <w:color w:val="000000"/>
          <w:spacing w:val="4"/>
          <w:sz w:val="22"/>
          <w:szCs w:val="22"/>
        </w:rPr>
        <w:br/>
        <w:t>w ramach decyzji określającej środowiskowe uwarunkowania, tj. stanowiska do utylizacji materiałów wybuchowych, Minister podziela stanowisko inwestora, że element ten wchodzi w typowy zakres lotniska podyktowany kwestiami bezpieczeństwa (ochrony lot</w:t>
      </w:r>
      <w:r w:rsidRPr="0009014A">
        <w:rPr>
          <w:rFonts w:ascii="Lato" w:hAnsi="Lato" w:cs="Arial"/>
          <w:color w:val="000000"/>
          <w:spacing w:val="4"/>
          <w:sz w:val="22"/>
          <w:szCs w:val="22"/>
        </w:rPr>
        <w:softHyphen/>
        <w:t>nictwa cywilnego) i z założenia brany był pod uwagę jako jego część. Element ten nie stanowi, jak twierdzą skarżący, instalacji, lecz obiekt budowlany będący płytą postojową pozwalającą na odseparowanie i pozostawienie na nim samolotu ze względów bezpieczeń</w:t>
      </w:r>
      <w:r w:rsidRPr="0009014A">
        <w:rPr>
          <w:rFonts w:ascii="Lato" w:hAnsi="Lato" w:cs="Arial"/>
          <w:color w:val="000000"/>
          <w:spacing w:val="4"/>
          <w:sz w:val="22"/>
          <w:szCs w:val="22"/>
        </w:rPr>
        <w:softHyphen/>
        <w:t>stwa. Na poziomie postępowania środowiskowego wpływ na środowisko tego elementu oceniany był w odniesieniu do płyt postojowych i miejsc kołowania.  Zgodnie z treścią rozporządzenia Ministra Transportu, Budownictwa i Gospodarki Morskiej z dnia 15 marca 2013 r. w sprawie szczegółowych wymagań dotyczących programów ochrony w lotnictwie cywilnym (tj. Dz.U. 2021 poz. 1230), w pkt. 8.2.9 załącznika nr 1 do tego rozporządzenia (pn.: „Szczegółowe wymagania dotyczące programu ochrony lotniska”) zarządzający lotniskiem jest zobowiązany do wskazania stanowiska roz</w:t>
      </w:r>
      <w:r w:rsidRPr="0009014A">
        <w:rPr>
          <w:rFonts w:ascii="Lato" w:hAnsi="Lato" w:cs="Arial"/>
          <w:color w:val="000000"/>
          <w:spacing w:val="4"/>
          <w:sz w:val="22"/>
          <w:szCs w:val="22"/>
        </w:rPr>
        <w:softHyphen/>
        <w:t>poznania i neutralizacji materiałów i urządzeń wybuchowych. Temu celowi służyło doprecyzowanie opisu we wniosku o wydanie decyzji lokalizacyjnej i opisu w samej decyzji lokalizacyjnej, nie jest to jednak zmiana czy modyfikacja przedsięwzięcia obję</w:t>
      </w:r>
      <w:r w:rsidRPr="0009014A">
        <w:rPr>
          <w:rFonts w:ascii="Lato" w:hAnsi="Lato" w:cs="Arial"/>
          <w:color w:val="000000"/>
          <w:spacing w:val="4"/>
          <w:sz w:val="22"/>
          <w:szCs w:val="22"/>
        </w:rPr>
        <w:softHyphen/>
        <w:t xml:space="preserve">tego decyzją w przedmiocie określenia środowiskowych uwarunkowań. </w:t>
      </w:r>
    </w:p>
    <w:p w14:paraId="4323C3F9" w14:textId="0CAE0FD8" w:rsidR="0009014A" w:rsidRPr="0009014A" w:rsidRDefault="0009014A" w:rsidP="0009014A">
      <w:pPr>
        <w:widowControl w:val="0"/>
        <w:spacing w:after="240" w:line="240" w:lineRule="exact"/>
        <w:ind w:right="20"/>
        <w:jc w:val="both"/>
        <w:rPr>
          <w:rFonts w:ascii="Lato" w:hAnsi="Lato" w:cs="Arial"/>
          <w:color w:val="000000"/>
          <w:spacing w:val="4"/>
          <w:sz w:val="22"/>
          <w:szCs w:val="22"/>
        </w:rPr>
      </w:pPr>
      <w:r w:rsidRPr="0009014A">
        <w:rPr>
          <w:rFonts w:ascii="Lato" w:hAnsi="Lato" w:cs="Arial"/>
          <w:color w:val="000000"/>
          <w:spacing w:val="4"/>
          <w:sz w:val="22"/>
          <w:szCs w:val="22"/>
        </w:rPr>
        <w:t>Wskazane w decyzji Wojewody Mazowieckiego stanowisko do utylizacji materiałów budowlanych jest działaniem prowadzącym do sprecyzowania nazewnictwa poszczególnych elementów lotniska, które na etapie środowiskowym brane były pod uwagę jako rodzaj obiektów budowlanych stanowiących płyty posto</w:t>
      </w:r>
      <w:r w:rsidRPr="0009014A">
        <w:rPr>
          <w:rFonts w:ascii="Lato" w:hAnsi="Lato" w:cs="Arial"/>
          <w:color w:val="000000"/>
          <w:spacing w:val="4"/>
          <w:sz w:val="22"/>
          <w:szCs w:val="22"/>
        </w:rPr>
        <w:softHyphen/>
        <w:t xml:space="preserve">jowe. Opis oznaczający utylizację wskazuje tu jedynie miejsce do rozpoznania, zabezpieczenia (neutralizacji) wskazanych materiałów. Elementy takie jak płyty postojowe i drogi kołowania były przedmiotem oceny oddziaływania na środowisko. Wynika </w:t>
      </w:r>
      <w:r w:rsidR="00717372">
        <w:rPr>
          <w:rFonts w:ascii="Lato" w:hAnsi="Lato" w:cs="Arial"/>
          <w:color w:val="000000"/>
          <w:spacing w:val="4"/>
          <w:sz w:val="22"/>
          <w:szCs w:val="22"/>
        </w:rPr>
        <w:br/>
      </w:r>
      <w:r w:rsidRPr="0009014A">
        <w:rPr>
          <w:rFonts w:ascii="Lato" w:hAnsi="Lato" w:cs="Arial"/>
          <w:color w:val="000000"/>
          <w:spacing w:val="4"/>
          <w:sz w:val="22"/>
          <w:szCs w:val="22"/>
        </w:rPr>
        <w:t xml:space="preserve">to jednoznacznie z zapisów obu decyzji środowiskowych (tj. decyzji o środowiskowych uwarunkowaniach RDOŚ i decyzji o środowiskowych uwarunkowaniach GDOŚ). </w:t>
      </w:r>
      <w:r w:rsidRPr="0009014A">
        <w:rPr>
          <w:rFonts w:ascii="Lato" w:hAnsi="Lato" w:cs="Arial"/>
          <w:color w:val="000000"/>
          <w:spacing w:val="4"/>
          <w:sz w:val="22"/>
          <w:szCs w:val="22"/>
        </w:rPr>
        <w:br/>
      </w:r>
      <w:r w:rsidRPr="0009014A">
        <w:rPr>
          <w:rFonts w:ascii="Lato" w:hAnsi="Lato" w:cs="Arial"/>
          <w:color w:val="000000"/>
          <w:spacing w:val="4"/>
          <w:sz w:val="22"/>
          <w:szCs w:val="22"/>
        </w:rPr>
        <w:lastRenderedPageBreak/>
        <w:t xml:space="preserve">Z zapisów decyzji o środowiskowych uwarunkowaniach wynika, że płyty postojowe </w:t>
      </w:r>
      <w:r w:rsidRPr="0009014A">
        <w:rPr>
          <w:rFonts w:ascii="Lato" w:hAnsi="Lato" w:cs="Arial"/>
          <w:color w:val="000000"/>
          <w:spacing w:val="4"/>
          <w:sz w:val="22"/>
          <w:szCs w:val="22"/>
        </w:rPr>
        <w:br/>
        <w:t xml:space="preserve">i miejsca kołowania zostały wymienione w tych decyzjach jako infrastruktura lotniska </w:t>
      </w:r>
      <w:r w:rsidRPr="0009014A">
        <w:rPr>
          <w:rFonts w:ascii="Lato" w:hAnsi="Lato" w:cs="Arial"/>
          <w:color w:val="000000"/>
          <w:spacing w:val="4"/>
          <w:sz w:val="22"/>
          <w:szCs w:val="22"/>
        </w:rPr>
        <w:br/>
        <w:t>w tzw. obszarze lotniczym. Aktualnie dla celów lokalizacyjnych niezbędne jest zdefiniowanie tych elementów z przypisaniem ich funkcji a nie wprowadzeniem ich jako nowych elementów. Stanowisko do utylizacji ma</w:t>
      </w:r>
      <w:r w:rsidRPr="0009014A">
        <w:rPr>
          <w:rFonts w:ascii="Lato" w:hAnsi="Lato" w:cs="Arial"/>
          <w:color w:val="000000"/>
          <w:spacing w:val="4"/>
          <w:sz w:val="22"/>
          <w:szCs w:val="22"/>
        </w:rPr>
        <w:softHyphen/>
        <w:t>teriałów wybuchowych jest zatem dedykowaną i odizolowaną płytą postojową z określoną funkcją użyt</w:t>
      </w:r>
      <w:r w:rsidRPr="0009014A">
        <w:rPr>
          <w:rFonts w:ascii="Lato" w:hAnsi="Lato" w:cs="Arial"/>
          <w:color w:val="000000"/>
          <w:spacing w:val="4"/>
          <w:sz w:val="22"/>
          <w:szCs w:val="22"/>
        </w:rPr>
        <w:softHyphen/>
        <w:t>kową, która ma być wykorzystywana do pozostawienia ze względów bezpieczeństwa statków po</w:t>
      </w:r>
      <w:r w:rsidRPr="0009014A">
        <w:rPr>
          <w:rFonts w:ascii="Lato" w:hAnsi="Lato" w:cs="Arial"/>
          <w:color w:val="000000"/>
          <w:spacing w:val="4"/>
          <w:sz w:val="22"/>
          <w:szCs w:val="22"/>
        </w:rPr>
        <w:softHyphen/>
        <w:t>wietrznych, w który</w:t>
      </w:r>
      <w:r w:rsidR="003A156B">
        <w:rPr>
          <w:rFonts w:ascii="Lato" w:hAnsi="Lato" w:cs="Arial"/>
          <w:color w:val="000000"/>
          <w:spacing w:val="4"/>
          <w:sz w:val="22"/>
          <w:szCs w:val="22"/>
        </w:rPr>
        <w:t>ch</w:t>
      </w:r>
      <w:r w:rsidRPr="0009014A">
        <w:rPr>
          <w:rFonts w:ascii="Lato" w:hAnsi="Lato" w:cs="Arial"/>
          <w:color w:val="000000"/>
          <w:spacing w:val="4"/>
          <w:sz w:val="22"/>
          <w:szCs w:val="22"/>
        </w:rPr>
        <w:t xml:space="preserve"> mogą się znajdować materiały wybuchowe. Oznacza to, że wbrew twierdzeniom skarżącego nie jest instalacją ani obiektem budowlanym wchodzącym </w:t>
      </w:r>
      <w:r w:rsidRPr="0009014A">
        <w:rPr>
          <w:rFonts w:ascii="Lato" w:hAnsi="Lato" w:cs="Arial"/>
          <w:color w:val="000000"/>
          <w:spacing w:val="4"/>
          <w:sz w:val="22"/>
          <w:szCs w:val="22"/>
        </w:rPr>
        <w:br/>
        <w:t xml:space="preserve">w zakres lotniska nie uwzględnionym w decyzji w przedmiocie określenia środowiskowych uwarunkowań realizacji inwestycji. </w:t>
      </w:r>
    </w:p>
    <w:p w14:paraId="4E220065" w14:textId="77777777"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spacing w:val="4"/>
          <w:sz w:val="22"/>
          <w:szCs w:val="22"/>
        </w:rPr>
        <w:t>W wyroku z dnia 15 czerwca 2021 r., sygn. akt II OSK 2814/20, Naczelny Sąd Administracyjny zajął stanowisko, że: „</w:t>
      </w:r>
      <w:r w:rsidRPr="0009014A">
        <w:rPr>
          <w:rFonts w:ascii="Lato" w:hAnsi="Lato" w:cs="Arial"/>
          <w:bCs/>
          <w:iCs/>
          <w:spacing w:val="4"/>
          <w:sz w:val="22"/>
          <w:szCs w:val="22"/>
          <w:lang w:bidi="pl-PL"/>
        </w:rPr>
        <w:t xml:space="preserve">Między opisem przedsięwzięcia w decyzji </w:t>
      </w:r>
      <w:r w:rsidRPr="0009014A">
        <w:rPr>
          <w:rFonts w:ascii="Lato" w:hAnsi="Lato" w:cs="Arial"/>
          <w:bCs/>
          <w:iCs/>
          <w:spacing w:val="4"/>
          <w:sz w:val="22"/>
          <w:szCs w:val="22"/>
          <w:lang w:bidi="pl-PL"/>
        </w:rPr>
        <w:br/>
        <w:t xml:space="preserve">o środowiskowych uwarunkowaniach a opisem zawartym w pozwoleniu na budowę mogą występować różnice jednakże nie mogą to być różnice, które skutkowałyby zmianą istoty planowanej inwestycji. W ocenie Naczelnego Sądu Administracyjnego oznacza to, że jeśli różnice takie występują, to nie mogą one prowadzić do innej kwalifikacji tego przedsięwzięcia. Zawarte w decyzji o środowiskowych uwarunkowaniach warunki realizacji inwestycji odnoszą się do inwestycji o określonej kwalifikacji. Zmiana kwalifikacji przedsięwzięcia skutkowałaby koniecznością ustalenia innych warunków. Różnice w określeniu inwestycji między decyzją o środowiskowych uwarunkowaniach </w:t>
      </w:r>
      <w:r w:rsidRPr="0009014A">
        <w:rPr>
          <w:rFonts w:ascii="Lato" w:hAnsi="Lato" w:cs="Arial"/>
          <w:bCs/>
          <w:iCs/>
          <w:spacing w:val="4"/>
          <w:sz w:val="22"/>
          <w:szCs w:val="22"/>
          <w:lang w:bidi="pl-PL"/>
        </w:rPr>
        <w:br/>
        <w:t>a decyzją o pozwoleniu na budowę nie mogą być rozpatrywane w kategoriach zgodności pozwolenia na budowę z wymogami zawartymi w decyzji o środowiskowych uwarunkowaniach. Opis planowanej inwestycji zawarty w decyzji o środowiskowych uwarunkowaniach, to nie wymóg wynikający z tej decyzji, tylko dane pozwalające na dokonanie oceny, czy środowiskowe uwarunkowania zostały ustalone dla tej samej inwestycji, co do której inwestor wystąpił o wydanie pozwolenia na budowę. Różnice te należy więc rozpatrywać pod kątem spełnienia przez inwestora wymogu posiadania przez inwestora decyzji o środowiskowych uwarunkowaniach dla inwestycji, co do której inwestor wystąpił o wydanie pozwolenia na budowę.”. Zacytowane stanowisko Naczelnego Sądu Administracyjnego stanowi właściwą wytyczną także w kontekście oceny zgodności decyzji lokalizacyjnej z decyzją o środowiskowych uwarunkowaniach.</w:t>
      </w:r>
    </w:p>
    <w:p w14:paraId="458C6098" w14:textId="77777777" w:rsidR="008841CE"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Za niezasadny należy uznać zarzut skarżących dotyczący braku uwzględnienia w decyzji Wojewody Mazowieckiego wymagań określonych w decyzji w przedmiocie określenia środowiskowych uwarunkowań realizacji inwestycji. </w:t>
      </w:r>
    </w:p>
    <w:p w14:paraId="097613D6" w14:textId="15FE0B7F" w:rsidR="0009014A" w:rsidRPr="0009014A" w:rsidRDefault="0009014A" w:rsidP="0009014A">
      <w:pPr>
        <w:spacing w:after="240" w:line="240" w:lineRule="exact"/>
        <w:jc w:val="both"/>
        <w:outlineLvl w:val="0"/>
        <w:rPr>
          <w:rFonts w:ascii="Lato" w:hAnsi="Lato" w:cs="Arial"/>
          <w:color w:val="000000"/>
          <w:spacing w:val="4"/>
          <w:sz w:val="22"/>
          <w:szCs w:val="22"/>
        </w:rPr>
      </w:pPr>
      <w:r w:rsidRPr="0009014A">
        <w:rPr>
          <w:rFonts w:ascii="Lato" w:hAnsi="Lato" w:cs="Arial"/>
          <w:color w:val="000000"/>
          <w:spacing w:val="4"/>
          <w:sz w:val="22"/>
          <w:szCs w:val="22"/>
        </w:rPr>
        <w:t xml:space="preserve">W pkt IV na str. 89 decyzji Wojewody Mazowieckiego organ I instancji wskazał na konieczność przestrzegania przez inwestora warunków i wymagań określonych m.in. </w:t>
      </w:r>
      <w:r w:rsidR="008841CE">
        <w:rPr>
          <w:rFonts w:ascii="Lato" w:hAnsi="Lato" w:cs="Arial"/>
          <w:color w:val="000000"/>
          <w:spacing w:val="4"/>
          <w:sz w:val="22"/>
          <w:szCs w:val="22"/>
        </w:rPr>
        <w:br/>
      </w:r>
      <w:r w:rsidRPr="0009014A">
        <w:rPr>
          <w:rFonts w:ascii="Lato" w:hAnsi="Lato" w:cs="Arial"/>
          <w:color w:val="000000"/>
          <w:spacing w:val="4"/>
          <w:sz w:val="22"/>
          <w:szCs w:val="22"/>
        </w:rPr>
        <w:t xml:space="preserve">w decyzji o środowiskowych uwarunkowaniach RDOŚ. Natomiast Minister dokonał korekty reformatoryjnej zapisu na str. 89 zaskarżonej decyzji, wskazując na konieczność przestrzegania przez inwestora także warunków zawartych w decyzji o środowiskowych uwarunkowaniach GDOŚ, która została wydana na etapie procedury odwoławczej </w:t>
      </w:r>
      <w:r w:rsidR="008841CE">
        <w:rPr>
          <w:rFonts w:ascii="Lato" w:hAnsi="Lato" w:cs="Arial"/>
          <w:color w:val="000000"/>
          <w:spacing w:val="4"/>
          <w:sz w:val="22"/>
          <w:szCs w:val="22"/>
        </w:rPr>
        <w:br/>
      </w:r>
      <w:r w:rsidRPr="0009014A">
        <w:rPr>
          <w:rFonts w:ascii="Lato" w:hAnsi="Lato" w:cs="Arial"/>
          <w:color w:val="000000"/>
          <w:spacing w:val="4"/>
          <w:sz w:val="22"/>
          <w:szCs w:val="22"/>
        </w:rPr>
        <w:t xml:space="preserve">w sprawie decyzji Wojewody Mazowieckiego. Zapisy w tym zakresie są wystarczające dla etapu lokalizacji inwestycji. Wobec tego wszelkie wymogi ochrony środowiska zawarte w decyzjach środowiskowych zostały ujęte także w decyzji lokalizacyjnej. </w:t>
      </w:r>
      <w:r w:rsidRPr="0009014A">
        <w:rPr>
          <w:rFonts w:ascii="Lato" w:hAnsi="Lato" w:cs="Arial"/>
          <w:bCs/>
          <w:iCs/>
          <w:color w:val="000000"/>
          <w:spacing w:val="4"/>
          <w:sz w:val="22"/>
          <w:szCs w:val="22"/>
          <w:lang w:bidi="pl-PL"/>
        </w:rPr>
        <w:t xml:space="preserve">Rzeczone rozstrzygnięcia środowiskowe i decyzję Wojewody Mazowieckiego należy czytać łącznie jako wzajemnie komplementarne i mające charakter wiążący </w:t>
      </w:r>
      <w:r w:rsidRPr="0009014A">
        <w:rPr>
          <w:rFonts w:ascii="Lato" w:hAnsi="Lato" w:cs="Arial"/>
          <w:color w:val="000000"/>
          <w:spacing w:val="4"/>
          <w:sz w:val="22"/>
          <w:szCs w:val="22"/>
        </w:rPr>
        <w:t xml:space="preserve">(por. wyrok Naczelnego Sądu Administracyjnego z dnia 29 października 2024 r., sygn. akt II OSK 1640/24). Zapisy decyzji o środowiskowych uwarunkowaniach nakazujące uwzględnienie określonych uwarunkowań w procesie inwestycyjno-budowlanym szczegółowo analizowane są na etapie wydawania pozwolenia na budowę, tj. na etapie procesu późniejszego niż ten, na którym podejmowana jest decyzja lokalizacyjna. Jak już </w:t>
      </w:r>
      <w:r w:rsidRPr="0009014A">
        <w:rPr>
          <w:rFonts w:ascii="Lato" w:hAnsi="Lato" w:cs="Arial"/>
          <w:bCs/>
          <w:iCs/>
          <w:color w:val="000000"/>
          <w:spacing w:val="4"/>
          <w:sz w:val="22"/>
          <w:szCs w:val="22"/>
        </w:rPr>
        <w:lastRenderedPageBreak/>
        <w:t xml:space="preserve">to wyjaśniano wcześniej, na etapie wydania pozwolenia na budowę właściwy organ administracji architektoniczno-budowlanej na podstawie przedłożonego przez inwestora projektu budowlanego </w:t>
      </w:r>
      <w:r w:rsidRPr="0009014A">
        <w:rPr>
          <w:rFonts w:ascii="Lato" w:hAnsi="Lato" w:cs="Arial"/>
          <w:bCs/>
          <w:iCs/>
          <w:color w:val="000000"/>
          <w:spacing w:val="4"/>
          <w:sz w:val="22"/>
          <w:szCs w:val="22"/>
          <w:lang w:bidi="pl-PL"/>
        </w:rPr>
        <w:t xml:space="preserve">bada czy </w:t>
      </w:r>
      <w:r w:rsidRPr="0009014A">
        <w:rPr>
          <w:rFonts w:ascii="Lato" w:hAnsi="Lato" w:cs="Arial"/>
          <w:bCs/>
          <w:color w:val="000000"/>
          <w:spacing w:val="4"/>
          <w:sz w:val="22"/>
          <w:szCs w:val="22"/>
          <w:lang w:bidi="pl-PL"/>
        </w:rPr>
        <w:t>inwestor</w:t>
      </w:r>
      <w:r w:rsidRPr="0009014A">
        <w:rPr>
          <w:rFonts w:ascii="Lato" w:hAnsi="Lato" w:cs="Arial"/>
          <w:bCs/>
          <w:iCs/>
          <w:color w:val="000000"/>
          <w:spacing w:val="4"/>
          <w:sz w:val="22"/>
          <w:szCs w:val="22"/>
          <w:lang w:bidi="pl-PL"/>
        </w:rPr>
        <w:t xml:space="preserve"> spełnił wszystkie wymagania przewidziane </w:t>
      </w:r>
      <w:r w:rsidR="008841CE">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w decyzji w przedmiocie określenia środowiskowych uwarunkowań realizacji inwestycji, co wynika z art. 35 ust. 1 pkt 1 lit. b ustawy Prawo budowlane</w:t>
      </w:r>
      <w:r w:rsidRPr="0009014A">
        <w:rPr>
          <w:rFonts w:ascii="Lato" w:hAnsi="Lato" w:cs="Arial"/>
          <w:bCs/>
          <w:color w:val="000000"/>
          <w:spacing w:val="4"/>
          <w:sz w:val="22"/>
          <w:szCs w:val="22"/>
          <w:lang w:bidi="pl-PL"/>
        </w:rPr>
        <w:t>.</w:t>
      </w:r>
    </w:p>
    <w:p w14:paraId="11E3B6DC" w14:textId="17472B39" w:rsidR="0009014A" w:rsidRPr="0009014A" w:rsidRDefault="0009014A" w:rsidP="0009014A">
      <w:pPr>
        <w:spacing w:after="240" w:line="240" w:lineRule="exact"/>
        <w:jc w:val="both"/>
        <w:outlineLvl w:val="0"/>
        <w:rPr>
          <w:rFonts w:ascii="Lato" w:hAnsi="Lato" w:cs="Arial"/>
          <w:color w:val="000000"/>
          <w:spacing w:val="4"/>
          <w:sz w:val="22"/>
          <w:szCs w:val="22"/>
        </w:rPr>
      </w:pPr>
      <w:r w:rsidRPr="0009014A">
        <w:rPr>
          <w:rFonts w:ascii="Lato" w:hAnsi="Lato" w:cs="Arial"/>
          <w:bCs/>
          <w:color w:val="000000"/>
          <w:spacing w:val="4"/>
          <w:sz w:val="22"/>
          <w:szCs w:val="22"/>
          <w:lang w:bidi="pl-PL"/>
        </w:rPr>
        <w:t>Odnosząc się do zarzutu Pana Z</w:t>
      </w:r>
      <w:r w:rsidR="00AB4A49">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xml:space="preserve"> K</w:t>
      </w:r>
      <w:r w:rsidR="00AB4A49">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Pana P</w:t>
      </w:r>
      <w:r w:rsidR="00AB4A49">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xml:space="preserve"> K</w:t>
      </w:r>
      <w:r w:rsidR="00AB4A49">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Pani K</w:t>
      </w:r>
      <w:r w:rsidR="00AB4A49">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xml:space="preserve"> K</w:t>
      </w:r>
      <w:r w:rsidR="00AB4A49">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xml:space="preserve">, spółki </w:t>
      </w:r>
      <w:r w:rsidR="00AB4A49">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xml:space="preserve"> dotyczącego naruszenia </w:t>
      </w:r>
      <w:r w:rsidRPr="0009014A">
        <w:rPr>
          <w:rFonts w:ascii="Lato" w:hAnsi="Lato" w:cs="Arial"/>
          <w:color w:val="000000"/>
          <w:spacing w:val="4"/>
          <w:sz w:val="22"/>
          <w:szCs w:val="22"/>
        </w:rPr>
        <w:t xml:space="preserve">art. 81 ustawy CPK poprzez bezpodstawne zawarcie w decyzji Wojewody Mazowieckiego wykazu nieruchomości stanowiących tereny wód płynących i dróg publicznych, wobec których inwestor jest uprawniony do nieodpłatnego zajęcia terenu na czas realizacji i użytkowania przedsięwzięcia, Minister stwierdził, co następuje. </w:t>
      </w:r>
    </w:p>
    <w:p w14:paraId="67EADFA6" w14:textId="572908BA" w:rsidR="0009014A" w:rsidRPr="0009014A" w:rsidRDefault="0009014A" w:rsidP="0009014A">
      <w:pPr>
        <w:spacing w:after="240" w:line="240" w:lineRule="exact"/>
        <w:jc w:val="both"/>
        <w:outlineLvl w:val="0"/>
        <w:rPr>
          <w:rFonts w:ascii="Lato" w:hAnsi="Lato" w:cs="Arial"/>
          <w:bCs/>
          <w:color w:val="000000"/>
          <w:spacing w:val="4"/>
          <w:sz w:val="22"/>
          <w:szCs w:val="22"/>
          <w:lang w:bidi="pl-PL"/>
        </w:rPr>
      </w:pPr>
      <w:r w:rsidRPr="0009014A">
        <w:rPr>
          <w:rFonts w:ascii="Lato" w:hAnsi="Lato" w:cs="Arial"/>
          <w:color w:val="000000"/>
          <w:spacing w:val="4"/>
          <w:sz w:val="22"/>
          <w:szCs w:val="22"/>
        </w:rPr>
        <w:t>Na wstępie wyjaśnić należy, że w wypadku, kiedy odwołaniem objęta jest decyzja dotycząca inwestycji liniowej oddziaływującej na prawa wielu osób, czy też innych podmiotów, wywodzone z własności (użytkowania wieczystego) nieruchomości, skarżący mogą wywodzić własny interes prawny, uzasadniający ich legitymację czynną, wyłącznie z konieczności ochrony własnego, indywidulanego i określonego prawa i to tylko w tym zakresie, w jakim decyzja lub jej część na prawo to rzeczywiście wpływa. Interes właścicieli konkretnych nieruchomości co do kwestionowania decyzji przesądzających o przebiegu inwestycji liniowych może dotyczyć wyłącznie tych ich odcinków, których przebieg skutkuje bezpośrednią ingerencją w ich prawa podmiotowe - prawo własności. Osoba, czy też inny podmiot, posiadający prawo własności, użytkowania wieczystego lub inne ograniczone prawo rzeczowe są stroną decyzji, ale tylko w części dotyczącej ich nieruchomości</w:t>
      </w:r>
      <w:r w:rsidR="008841CE">
        <w:rPr>
          <w:rFonts w:ascii="Lato" w:hAnsi="Lato" w:cs="Arial"/>
          <w:bCs/>
          <w:color w:val="000000"/>
          <w:spacing w:val="4"/>
          <w:sz w:val="22"/>
          <w:szCs w:val="22"/>
          <w:lang w:bidi="pl-PL"/>
        </w:rPr>
        <w:t xml:space="preserve">. </w:t>
      </w:r>
      <w:r w:rsidRPr="0009014A">
        <w:rPr>
          <w:rFonts w:ascii="Lato" w:hAnsi="Lato" w:cs="Arial"/>
          <w:bCs/>
          <w:iCs/>
          <w:color w:val="000000"/>
          <w:spacing w:val="4"/>
          <w:sz w:val="22"/>
          <w:szCs w:val="22"/>
          <w:lang w:bidi="pl-PL"/>
        </w:rPr>
        <w:t xml:space="preserve">Zatem skarżący nie mają interesu prawnego </w:t>
      </w:r>
      <w:r w:rsidRPr="0009014A">
        <w:rPr>
          <w:rFonts w:ascii="Lato" w:hAnsi="Lato" w:cs="Arial"/>
          <w:bCs/>
          <w:color w:val="000000"/>
          <w:spacing w:val="4"/>
          <w:sz w:val="22"/>
          <w:szCs w:val="22"/>
          <w:lang w:bidi="pl-PL"/>
        </w:rPr>
        <w:t xml:space="preserve">do kwestionowania decyzji Wojewody Mazowieckiego w dalszej części niż ta, która wiąże się z przysługującym im prawem własności do nieruchomości objętych tą decyzją, który to interes prawny w toku postępowania odwoławczego uległ jeszcze uszczupleniu, albowiem inwestor nabył na własność od skarżących część ich działek objętych zakresem decyzji Wojewody Mazowieckiego. W konsekwencji skarżący nie mają interesu prawnego do podnoszenia zarzutów dotyczących zawarcia w decyzji Wojewody Mazowieckiego wykazu nieruchomości stanowiących tereny wód płynących i dróg publicznych, czy też zakresu prac do wykonania na tych działkach, bowiem nie dotyczy to nieruchomości stanowiących ich własność. </w:t>
      </w:r>
    </w:p>
    <w:p w14:paraId="3892D951"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color w:val="000000"/>
          <w:spacing w:val="4"/>
          <w:sz w:val="22"/>
          <w:szCs w:val="22"/>
          <w:lang w:bidi="pl-PL"/>
        </w:rPr>
        <w:t xml:space="preserve">Niezależnie od powyższego, zauważyć należy, że przepis art. 40 ust. 2 ustawy CPK nie wyczerpuje wszystkich elementów orzeczniczej części decyzji o ustaleniu lokalizacji inwestycji w zakresie CPK, o czym świadczy użyte przez ustawodawcę sformułowanie „Decyzja (…) określa w szczególności”. </w:t>
      </w:r>
      <w:r w:rsidRPr="0009014A">
        <w:rPr>
          <w:rFonts w:ascii="Lato" w:hAnsi="Lato" w:cs="Arial"/>
          <w:bCs/>
          <w:iCs/>
          <w:color w:val="000000"/>
          <w:spacing w:val="4"/>
          <w:sz w:val="22"/>
          <w:szCs w:val="22"/>
          <w:lang w:bidi="pl-PL"/>
        </w:rPr>
        <w:t xml:space="preserve">Zgodnie z art. 81 ust. 1-3 ustawy CPK, </w:t>
      </w:r>
      <w:r w:rsidRPr="0009014A">
        <w:rPr>
          <w:rFonts w:ascii="Lato" w:hAnsi="Lato" w:cs="Arial"/>
          <w:bCs/>
          <w:iCs/>
          <w:color w:val="000000"/>
          <w:spacing w:val="4"/>
          <w:sz w:val="22"/>
          <w:szCs w:val="22"/>
          <w:lang w:bidi="pl-PL"/>
        </w:rPr>
        <w:br/>
        <w:t xml:space="preserve">w przypadku gdy inwestycja wymaga przejścia przez tereny wód płynących, dróg publicznych bądź tereny linii kolejowej, Spółka Celowa jest uprawniona do zajęcia tego terenu na czas realizacji i użytkowania tej inwestycji (ust. 1). Decyzję o zezwoleniu na zajęcie pasa drogowego, o której mowa w art. 40 ust. 1 ustawy z dnia 21 marca 1985 r. o drogach publicznych (t.j. Dz.U. z 2025 r. poz. 889), zwanej dalej „ustawą o drogach publicznych”, wydaje zarządca drogi w terminie 30 dni od dnia złożenia wniosku (ust. 2). Spółka Celowa nie później niż w terminie 30 dni przed planowanym zajęciem terenu, </w:t>
      </w:r>
      <w:r w:rsidRPr="0009014A">
        <w:rPr>
          <w:rFonts w:ascii="Lato" w:hAnsi="Lato" w:cs="Arial"/>
          <w:bCs/>
          <w:iCs/>
          <w:color w:val="000000"/>
          <w:spacing w:val="4"/>
          <w:sz w:val="22"/>
          <w:szCs w:val="22"/>
          <w:lang w:bidi="pl-PL"/>
        </w:rPr>
        <w:br/>
        <w:t xml:space="preserve">o którym mowa w ust. 1, uzgadnia w drodze pisemnego porozumienia z zarządcą infrastruktury drogowej, kolejowej lub z odpowiednimi podmiotami, o których mowa </w:t>
      </w:r>
      <w:r w:rsidRPr="0009014A">
        <w:rPr>
          <w:rFonts w:ascii="Lato" w:hAnsi="Lato" w:cs="Arial"/>
          <w:bCs/>
          <w:iCs/>
          <w:color w:val="000000"/>
          <w:spacing w:val="4"/>
          <w:sz w:val="22"/>
          <w:szCs w:val="22"/>
          <w:lang w:bidi="pl-PL"/>
        </w:rPr>
        <w:br/>
        <w:t>w art. 212 ust. 1 ustawy z dnia 20 lipca 2017 r. - Prawo wodne</w:t>
      </w:r>
      <w:r w:rsidRPr="0009014A">
        <w:t xml:space="preserve"> </w:t>
      </w:r>
      <w:r w:rsidRPr="0009014A">
        <w:rPr>
          <w:rFonts w:ascii="Lato" w:hAnsi="Lato" w:cs="Arial"/>
          <w:bCs/>
          <w:iCs/>
          <w:color w:val="000000"/>
          <w:spacing w:val="4"/>
          <w:sz w:val="22"/>
          <w:szCs w:val="22"/>
          <w:lang w:bidi="pl-PL"/>
        </w:rPr>
        <w:t xml:space="preserve">(t.j. Dz.U. z 2025 r. poz. 960), zwanej dalej „ustawą z dnia 20 lipca 2017 r. - Prawo wodne”, zakres, warunki </w:t>
      </w:r>
      <w:r w:rsidRPr="0009014A">
        <w:rPr>
          <w:rFonts w:ascii="Lato" w:hAnsi="Lato" w:cs="Arial"/>
          <w:bCs/>
          <w:iCs/>
          <w:color w:val="000000"/>
          <w:spacing w:val="4"/>
          <w:sz w:val="22"/>
          <w:szCs w:val="22"/>
          <w:lang w:bidi="pl-PL"/>
        </w:rPr>
        <w:br/>
        <w:t>i termin zajęcia tego terenu (ust. 3). Wskazanie w decyzji o ustaleniu lokali</w:t>
      </w:r>
      <w:r w:rsidRPr="0009014A">
        <w:rPr>
          <w:rFonts w:ascii="Lato" w:hAnsi="Lato" w:cs="Arial"/>
          <w:bCs/>
          <w:iCs/>
          <w:color w:val="000000"/>
          <w:spacing w:val="4"/>
          <w:sz w:val="22"/>
          <w:szCs w:val="22"/>
          <w:lang w:bidi="pl-PL"/>
        </w:rPr>
        <w:softHyphen/>
        <w:t>zacji inwestycji w zakresie CPK nieruchomości stanowiących drogi publiczne i wody płynące przeznaczonych do zajęcia w trybie art. 81 ustawy CPK jest zasadne, gdyż nieruchomości te są przewidziane jako niezbędne dla przeprowadzenia Inwe</w:t>
      </w:r>
      <w:r w:rsidRPr="0009014A">
        <w:rPr>
          <w:rFonts w:ascii="Lato" w:hAnsi="Lato" w:cs="Arial"/>
          <w:bCs/>
          <w:iCs/>
          <w:color w:val="000000"/>
          <w:spacing w:val="4"/>
          <w:sz w:val="22"/>
          <w:szCs w:val="22"/>
          <w:lang w:bidi="pl-PL"/>
        </w:rPr>
        <w:softHyphen/>
        <w:t xml:space="preserve">stycji. </w:t>
      </w:r>
    </w:p>
    <w:p w14:paraId="74A7D57C"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lastRenderedPageBreak/>
        <w:t>Jednocześnie należy zwrócić uwagę, że samo wydanie decyzji o ustaleniu lokalizacji inwestycji w zakresie CPK nie powo</w:t>
      </w:r>
      <w:r w:rsidRPr="0009014A">
        <w:rPr>
          <w:rFonts w:ascii="Lato" w:hAnsi="Lato" w:cs="Arial"/>
          <w:bCs/>
          <w:iCs/>
          <w:color w:val="000000"/>
          <w:spacing w:val="4"/>
          <w:sz w:val="22"/>
          <w:szCs w:val="22"/>
          <w:lang w:bidi="pl-PL"/>
        </w:rPr>
        <w:softHyphen/>
        <w:t xml:space="preserve">duje automatycznego zajęcia przedmiotowych nieruchomości. Zgodnie z ww. art. 81 ust. 3 ustawy CPK, Spółka Celowa nie później niż w terminie 30 dni przed planowanym zajęciem terenu, o którym mowa w ust. 1, uzgadnia w drodze pisemnego porozumienia z zarządcą infrastruktury drogowej, kolejowej lub </w:t>
      </w:r>
      <w:r w:rsidRPr="0009014A">
        <w:rPr>
          <w:rFonts w:ascii="Lato" w:hAnsi="Lato" w:cs="Arial"/>
          <w:bCs/>
          <w:iCs/>
          <w:color w:val="000000"/>
          <w:spacing w:val="4"/>
          <w:sz w:val="22"/>
          <w:szCs w:val="22"/>
          <w:lang w:bidi="pl-PL"/>
        </w:rPr>
        <w:br/>
        <w:t>z odpowiednimi podmiotami, o których mowa w art. 212 ust. 1 ustawy z dnia 20 lipca 2017 r. - Prawo wodne, zakres, warunki i termin zajęcia tego terenu. Decyzja o ustaleniu lokalizacji wskazując przypadki „gdy Inwestycja wymaga przejścia przez tereny wód płynących, dróg publicznych bądź tereny linii kolejowej” (w myśl art. 81 ust. 1 ustawy CPK), wskazuje właśnie te tereny (działki), co umożliwia realizację postanowień art. 81 ustawy CPK. Należy wskazać, że decyzja Wojewody Mazowieckiego stanowi podstawę uzyskania pozwolenia na budowę i wiąże organ wydający to po</w:t>
      </w:r>
      <w:r w:rsidRPr="0009014A">
        <w:rPr>
          <w:rFonts w:ascii="Lato" w:hAnsi="Lato" w:cs="Arial"/>
          <w:bCs/>
          <w:iCs/>
          <w:color w:val="000000"/>
          <w:spacing w:val="4"/>
          <w:sz w:val="22"/>
          <w:szCs w:val="22"/>
          <w:lang w:bidi="pl-PL"/>
        </w:rPr>
        <w:softHyphen/>
        <w:t xml:space="preserve">zwolenie (art. 44 ust. 1 pkt 2 ustawy CPK). Wskazanie terenu objętego zakresem normy z art. 81 ust. 1 ustawy CPK w decyzji lokalizacyjnej stanowi podstawę do wykazania się przez inwestora prawem dysponowania nieruchomością na cele budowlane i uzyskania pozwolenia na budowę. Jednocześnie zauważyć przy tym należy, iż wskazanie w decyzji Wojewody Mazowieckiego działek stanowiących tereny wód płynących i dróg publicznych, wbrew błędnemu stanowisku skarżących, nie zwalnia inwestora od konieczności uzyskania decyzji o zezwoleniu na zajęcie pasa drogowego, o której mowa w art. 40 ust. 1 ustawy o drogach publicznych (art. 81 ust. 2 ustawy CPK) i uzgodnienia w drodze pisemnego porozumienia zarządcą infrastruktury drogowej i odpowiednimi podmiotami, o których mowa w art. 212 ust. 1 ustawy z dnia 20 lipca 2017 r. - Prawo wodne, zakresu, warunków i terminu zajęcia tych terenów (co potwierdzono w zapisach pkt XI na str. 148 decyzji Wojewody Mazowieckiego). </w:t>
      </w:r>
    </w:p>
    <w:p w14:paraId="65B5E6D0" w14:textId="7FED6CB6"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Mając powyższe na uwadze, w ocenie Ministra, co do zasady zatem możliwe jest określenie w decyzji o ustaleniu lokalizacji inwestycji w zakresie CPK wykazu działek stanowiących tereny wód płynących, dróg publicznych bądź tereny linii kolejowej, wobec których inwestor jest uprawniony do zajęcia na czas realizacji i użytkowania tej inwestycji, co też uczyniono w pkt XI decyzji Wojewody Mazowieckiego w tabelach nr 9 i nr 10 (str. 148-150 decyzji]. Jednakże zauważyć należy, że z art. 81 ust. 1-3 ustawy CPK, nie wynika, że zajęcie terenów wód płynących bądź dróg publicznych jest nieodpłatne. Przepis art. 81 ust. 1-3 ustawy CPK reguluje wyłącznie kwestie zajęcia terenów wód płynących, dróg publicznych i terenów kolejowych na czas realizacji </w:t>
      </w:r>
      <w:r w:rsidRPr="0009014A">
        <w:rPr>
          <w:rFonts w:ascii="Lato" w:hAnsi="Lato" w:cs="Arial"/>
          <w:bCs/>
          <w:iCs/>
          <w:color w:val="000000"/>
          <w:spacing w:val="4"/>
          <w:sz w:val="22"/>
          <w:szCs w:val="22"/>
          <w:lang w:bidi="pl-PL"/>
        </w:rPr>
        <w:br/>
        <w:t>i użytkowania inwestycji, nie przesądzając, że to zajęcie jest nieodpłatne bądź odpłatne. Z tego powodu, w decyzji Wojewody Mazowieckiego nieprawidłowo orzeczono, że CPK Sp. z o.o. na podstawie art. 81 ustawy CPK jest uprawniona do nieodpłatnego zajęcia ww. terenów.</w:t>
      </w:r>
      <w:r w:rsidRPr="0009014A">
        <w:rPr>
          <w:rFonts w:ascii="Lato" w:hAnsi="Lato" w:cs="Arial"/>
          <w:iCs/>
          <w:spacing w:val="4"/>
          <w:sz w:val="20"/>
          <w:szCs w:val="20"/>
          <w:lang w:bidi="pl-PL"/>
        </w:rPr>
        <w:t xml:space="preserve"> </w:t>
      </w:r>
      <w:r w:rsidRPr="0009014A">
        <w:rPr>
          <w:rFonts w:ascii="Lato" w:hAnsi="Lato" w:cs="Arial"/>
          <w:bCs/>
          <w:iCs/>
          <w:color w:val="000000"/>
          <w:spacing w:val="4"/>
          <w:sz w:val="22"/>
          <w:szCs w:val="22"/>
          <w:lang w:bidi="pl-PL"/>
        </w:rPr>
        <w:t xml:space="preserve">Tożsame oznaczenie dotyczące nieodpłatnego zajęcia terenów wód płynących lub dróg publicznych zostało zawarte w legendzie znajdującej na arkuszach map w skali 1:1000 przedstawiających projektowany obszar </w:t>
      </w:r>
      <w:r w:rsidR="0007497F">
        <w:rPr>
          <w:rFonts w:ascii="Lato" w:hAnsi="Lato" w:cs="Arial"/>
          <w:bCs/>
          <w:iCs/>
          <w:color w:val="000000"/>
          <w:spacing w:val="4"/>
          <w:sz w:val="22"/>
          <w:szCs w:val="22"/>
          <w:lang w:bidi="pl-PL"/>
        </w:rPr>
        <w:t>I</w:t>
      </w:r>
      <w:r w:rsidRPr="0009014A">
        <w:rPr>
          <w:rFonts w:ascii="Lato" w:hAnsi="Lato" w:cs="Arial"/>
          <w:bCs/>
          <w:iCs/>
          <w:color w:val="000000"/>
          <w:spacing w:val="4"/>
          <w:sz w:val="22"/>
          <w:szCs w:val="22"/>
          <w:lang w:bidi="pl-PL"/>
        </w:rPr>
        <w:t xml:space="preserve">nwestycji, stanowiących załączniki do decyzji Wojewody Mazowieckiego. Błąd decyzji organu I instancji w tym zakresie był przedmiotem wezwania organu odwoławczego z dnia 23 lipca 2025 r., znak: DLI-II.7620.7.2025.KR.32, i odpowiedzi inwestora z dnia 11 sierpnia 2025 r., znak: LZS.41.50.2025. Minister - korzystając z uprawnień reformatoryjnych wynikających </w:t>
      </w:r>
      <w:r w:rsidRPr="0009014A">
        <w:rPr>
          <w:rFonts w:ascii="Lato" w:hAnsi="Lato" w:cs="Arial"/>
          <w:bCs/>
          <w:iCs/>
          <w:color w:val="000000"/>
          <w:spacing w:val="4"/>
          <w:sz w:val="22"/>
          <w:szCs w:val="22"/>
          <w:lang w:bidi="pl-PL"/>
        </w:rPr>
        <w:br/>
        <w:t xml:space="preserve">z art. 138 § 1 pkt 2 kpa - w pkt I niniejszej decyzji - naprawił stwierdzony błąd  </w:t>
      </w:r>
      <w:r w:rsidRPr="0009014A">
        <w:rPr>
          <w:rFonts w:ascii="Lato" w:hAnsi="Lato" w:cs="Arial"/>
          <w:bCs/>
          <w:iCs/>
          <w:color w:val="000000"/>
          <w:spacing w:val="4"/>
          <w:sz w:val="22"/>
          <w:szCs w:val="22"/>
          <w:lang w:bidi="pl-PL"/>
        </w:rPr>
        <w:br/>
        <w:t xml:space="preserve">w rozstrzygnięciu decyzji organu I instancji, co wiązało się również z dokonaniem korekty legendy mapy przedstawiającej projektowany obszar Inwestycji. </w:t>
      </w:r>
    </w:p>
    <w:p w14:paraId="0E64A1A4" w14:textId="3C6352FD" w:rsidR="0009014A" w:rsidRPr="0009014A" w:rsidRDefault="0009014A" w:rsidP="0009014A">
      <w:p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color w:val="000000"/>
          <w:spacing w:val="4"/>
          <w:sz w:val="22"/>
          <w:szCs w:val="22"/>
          <w:lang w:bidi="pl-PL"/>
        </w:rPr>
        <w:t>Odnosząc się do zarzutu Pana Z</w:t>
      </w:r>
      <w:r w:rsidR="000E0F33">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xml:space="preserve"> K</w:t>
      </w:r>
      <w:r w:rsidR="000E0F33">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Pana P</w:t>
      </w:r>
      <w:r w:rsidR="000E0F33">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xml:space="preserve"> K</w:t>
      </w:r>
      <w:r w:rsidR="000E0F33">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Pani K</w:t>
      </w:r>
      <w:r w:rsidR="000E0F33">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xml:space="preserve"> K</w:t>
      </w:r>
      <w:r w:rsidR="000E0F33">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xml:space="preserve">, spółki </w:t>
      </w:r>
      <w:r w:rsidR="000E0F33">
        <w:rPr>
          <w:rFonts w:ascii="Lato" w:hAnsi="Lato" w:cs="Arial"/>
          <w:bCs/>
          <w:color w:val="000000"/>
          <w:spacing w:val="4"/>
          <w:sz w:val="22"/>
          <w:szCs w:val="22"/>
          <w:lang w:bidi="pl-PL"/>
        </w:rPr>
        <w:t>(…)</w:t>
      </w:r>
      <w:r w:rsidRPr="0009014A">
        <w:rPr>
          <w:rFonts w:ascii="Lato" w:hAnsi="Lato" w:cs="Arial"/>
          <w:bCs/>
          <w:color w:val="000000"/>
          <w:spacing w:val="4"/>
          <w:sz w:val="22"/>
          <w:szCs w:val="22"/>
          <w:lang w:bidi="pl-PL"/>
        </w:rPr>
        <w:t xml:space="preserve"> dotyczącego naruszenia </w:t>
      </w:r>
      <w:r w:rsidRPr="0009014A">
        <w:rPr>
          <w:rFonts w:ascii="Lato" w:hAnsi="Lato" w:cs="Arial"/>
          <w:bCs/>
          <w:iCs/>
          <w:color w:val="000000"/>
          <w:spacing w:val="4"/>
          <w:sz w:val="22"/>
          <w:szCs w:val="22"/>
          <w:lang w:bidi="pl-PL"/>
        </w:rPr>
        <w:t xml:space="preserve">art. 40 ust. 2 pkt 3, 4, 5, 6 i 7 ustawy CPK poprzez brak uwzględnienia </w:t>
      </w:r>
      <w:r w:rsidRPr="0009014A">
        <w:rPr>
          <w:rFonts w:ascii="Lato" w:hAnsi="Lato" w:cs="Arial"/>
          <w:bCs/>
          <w:iCs/>
          <w:color w:val="000000"/>
          <w:spacing w:val="4"/>
          <w:sz w:val="22"/>
          <w:szCs w:val="22"/>
          <w:lang w:bidi="pl-PL"/>
        </w:rPr>
        <w:br/>
        <w:t xml:space="preserve">w decyzji Wojewody Mazowieckiego wszystkich obligatoryjnych elementów, które powinna zawierać decyzja lokalizacyjna, bądź ich sformułowanie w sposób pozorny, </w:t>
      </w:r>
      <w:r w:rsidRPr="0009014A">
        <w:rPr>
          <w:rFonts w:ascii="Lato" w:hAnsi="Lato" w:cs="Arial"/>
          <w:bCs/>
          <w:iCs/>
          <w:color w:val="000000"/>
          <w:spacing w:val="4"/>
          <w:sz w:val="22"/>
          <w:szCs w:val="22"/>
          <w:lang w:bidi="pl-PL"/>
        </w:rPr>
        <w:br/>
        <w:t>tj. w szczególności:</w:t>
      </w:r>
    </w:p>
    <w:p w14:paraId="4599CF85" w14:textId="77777777" w:rsidR="0009014A" w:rsidRPr="0009014A" w:rsidRDefault="0009014A">
      <w:pPr>
        <w:numPr>
          <w:ilvl w:val="0"/>
          <w:numId w:val="35"/>
        </w:num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lastRenderedPageBreak/>
        <w:t>ograniczenie opisu wymagań dotyczących powiązania Inwestycji z drogami publicznymi, liniami kolejowymi oraz sieciami do odesłania do opisu komponentu drogowego, streszczenia opisów komponentu drogowego i kolejowego w dwóch krótkich akapitach, co stanowi w istocie podsumowanie treści części wniosku, oraz zaniechanie:</w:t>
      </w:r>
    </w:p>
    <w:p w14:paraId="38BAEAF9" w14:textId="77777777" w:rsidR="0009014A" w:rsidRPr="0009014A" w:rsidRDefault="0009014A">
      <w:pPr>
        <w:numPr>
          <w:ilvl w:val="0"/>
          <w:numId w:val="36"/>
        </w:num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odniesienia się do zagadnienia powiązań Inwestycji z sieciami. Skarżący wskazali, że punkt III decyzji Wojewody Mazowieckiego odnosi się wyłącznie do komponentu drogowego i kolejowego,</w:t>
      </w:r>
    </w:p>
    <w:p w14:paraId="75D51B22" w14:textId="77777777" w:rsidR="0009014A" w:rsidRPr="0009014A" w:rsidRDefault="0009014A">
      <w:pPr>
        <w:numPr>
          <w:ilvl w:val="0"/>
          <w:numId w:val="36"/>
        </w:num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sformułowania jakichkolwiek faktycznych wymagań, w szczególności w celu zapewnienia, że realizacja Inwestycji nie będzie skutkowała czasowym lub trwałym odcięciem sąsiednich terenów i zabudowy od dróg publicznych, linii kolejowych i sieci,</w:t>
      </w:r>
    </w:p>
    <w:p w14:paraId="0B7EEEE6" w14:textId="77777777" w:rsidR="0009014A" w:rsidRPr="0009014A" w:rsidRDefault="0009014A">
      <w:pPr>
        <w:numPr>
          <w:ilvl w:val="0"/>
          <w:numId w:val="36"/>
        </w:numPr>
        <w:spacing w:after="120" w:line="240" w:lineRule="exact"/>
        <w:ind w:hanging="357"/>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określenia obszarów i punktów lokalizacji połączeń z drogami, liniami kolejowymi oraz sieciami, pomimo zaistnienia takiej potrzeby ze względu na znaczny wpływ Inwestycji na istniejące i planowane drogi publiczne, linie kolejowe i sieci oraz powiązanie z nimi.</w:t>
      </w:r>
    </w:p>
    <w:p w14:paraId="1F9FB7A9" w14:textId="77777777" w:rsidR="0009014A" w:rsidRPr="0009014A" w:rsidRDefault="0009014A">
      <w:pPr>
        <w:numPr>
          <w:ilvl w:val="0"/>
          <w:numId w:val="35"/>
        </w:numPr>
        <w:spacing w:after="120" w:line="240" w:lineRule="exact"/>
        <w:ind w:left="363" w:hanging="357"/>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brak opisu warunków wynikających z potrzeb ochrony przeciwpożarowej, ochrony zabytków i dóbr kultury, obronności i bezpieczeństwa państwa, w tym ochrony granicy państwowej i kontroli ruchu granicznego, oraz sieci i systemów teleinformatycznych niezbędnych do realizacji tych potrzeb,</w:t>
      </w:r>
    </w:p>
    <w:p w14:paraId="4D559A85" w14:textId="77777777" w:rsidR="0009014A" w:rsidRPr="0009014A" w:rsidRDefault="0009014A">
      <w:pPr>
        <w:numPr>
          <w:ilvl w:val="0"/>
          <w:numId w:val="35"/>
        </w:numPr>
        <w:spacing w:after="120" w:line="240" w:lineRule="exact"/>
        <w:ind w:left="363" w:hanging="357"/>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ograniczenie ustaleń w zakresie kształtowania zieleni do przytoczenia ogólnych zamierzeń inwestora dotyczących zieleni, bez sformułowania jakichkolwiek faktycznych wymagań, co należy uznać za niedopuszczalne zwłaszcza w kontekście znacznego oddziaływania Inwestycji na zieleń, w tym planu wycięcia ponad 70 000 drzew,</w:t>
      </w:r>
    </w:p>
    <w:p w14:paraId="6815CF22" w14:textId="77777777" w:rsidR="0009014A" w:rsidRPr="0009014A" w:rsidRDefault="0009014A">
      <w:pPr>
        <w:numPr>
          <w:ilvl w:val="0"/>
          <w:numId w:val="35"/>
        </w:numPr>
        <w:spacing w:after="120" w:line="240" w:lineRule="exact"/>
        <w:ind w:left="363" w:hanging="357"/>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ograniczenie wymagań dotyczących ochrony uzasadnionych interesów osób trzecich do przytoczenia art. 5 ust. 1 pkt 9 ustawy Prawo budowlane i wyłącznie fasadowych, hasłowych wymagań dotyczących ochrony interesów osób trzecich, bez sformułowania jakichkolwiek konkretnych wymagań,</w:t>
      </w:r>
    </w:p>
    <w:p w14:paraId="27B83DFE" w14:textId="77777777" w:rsidR="0009014A" w:rsidRPr="0009014A" w:rsidRDefault="0009014A">
      <w:pPr>
        <w:numPr>
          <w:ilvl w:val="0"/>
          <w:numId w:val="35"/>
        </w:numPr>
        <w:spacing w:after="120" w:line="240" w:lineRule="exact"/>
        <w:ind w:hanging="357"/>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brak uwzględnienia w decyzji Wojewody Mazowieckiego opisu warunków wynikających z potrzeb ochrony środowiska, których konieczność określenia wynika z prawdopodobnego wpływu przedsięwzięcia na obniżenie poziomu wód gruntowych zarówno na obszarze przedsięwzięcia, jak i na sąsiednich terenach należących do podmiotów trzecich,</w:t>
      </w:r>
    </w:p>
    <w:p w14:paraId="622F0FAA"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Minister stwierdził, co następuje. </w:t>
      </w:r>
    </w:p>
    <w:p w14:paraId="4278D728"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Zgodnie z art. 40 ust. 2 pkt 3, 4, 5, 6, 7 ustawy CPK, decyzja o ustaleniu lokalizacji inwestycji w zakresie CPK określa w szczególności: wymagania dotyczące powiązania inwestycji z drogami publicznymi, liniami kolejowymi oraz sieciami, w tym w zależności od potrzeb obszary albo punkty lokalizacji połączeń z tymi drogami, liniami kolejowymi oraz sieciami (pkt 3); warunki wynikające z potrzeb ochrony środowiska, ochrony przeciwpożarowej oraz ochrony zabytków i dóbr kultury (pkt 4);</w:t>
      </w:r>
      <w:r w:rsidRPr="0009014A">
        <w:rPr>
          <w:rFonts w:ascii="Lato" w:hAnsi="Lato"/>
          <w:spacing w:val="4"/>
          <w:sz w:val="22"/>
          <w:szCs w:val="22"/>
        </w:rPr>
        <w:t xml:space="preserve"> </w:t>
      </w:r>
      <w:r w:rsidRPr="0009014A">
        <w:rPr>
          <w:rFonts w:ascii="Lato" w:hAnsi="Lato" w:cs="Arial"/>
          <w:bCs/>
          <w:iCs/>
          <w:color w:val="000000"/>
          <w:spacing w:val="4"/>
          <w:sz w:val="22"/>
          <w:szCs w:val="22"/>
          <w:lang w:bidi="pl-PL"/>
        </w:rPr>
        <w:t xml:space="preserve">warunki wynikające </w:t>
      </w:r>
      <w:r w:rsidRPr="0009014A">
        <w:rPr>
          <w:rFonts w:ascii="Lato" w:hAnsi="Lato" w:cs="Arial"/>
          <w:bCs/>
          <w:iCs/>
          <w:color w:val="000000"/>
          <w:spacing w:val="4"/>
          <w:sz w:val="22"/>
          <w:szCs w:val="22"/>
          <w:lang w:bidi="pl-PL"/>
        </w:rPr>
        <w:br/>
        <w:t xml:space="preserve">z potrzeb obronności i bezpieczeństwa państwa, w tym ochrony granicy państwowej </w:t>
      </w:r>
      <w:r w:rsidRPr="0009014A">
        <w:rPr>
          <w:rFonts w:ascii="Lato" w:hAnsi="Lato" w:cs="Arial"/>
          <w:bCs/>
          <w:iCs/>
          <w:color w:val="000000"/>
          <w:spacing w:val="4"/>
          <w:sz w:val="22"/>
          <w:szCs w:val="22"/>
          <w:lang w:bidi="pl-PL"/>
        </w:rPr>
        <w:br/>
        <w:t>i kontroli ruchu granicznego, oraz sieci i systemów teleinformatycznych niezbędnych do realizacji tych potrzeb (pkt 5); ustalenia w zakresie kształtowania zieleni (pkt 6);</w:t>
      </w:r>
      <w:r w:rsidRPr="0009014A">
        <w:rPr>
          <w:rFonts w:ascii="Lato" w:hAnsi="Lato"/>
          <w:spacing w:val="4"/>
          <w:sz w:val="22"/>
          <w:szCs w:val="22"/>
        </w:rPr>
        <w:t xml:space="preserve"> </w:t>
      </w:r>
      <w:r w:rsidRPr="0009014A">
        <w:rPr>
          <w:rFonts w:ascii="Lato" w:hAnsi="Lato" w:cs="Arial"/>
          <w:bCs/>
          <w:iCs/>
          <w:color w:val="000000"/>
          <w:spacing w:val="4"/>
          <w:sz w:val="22"/>
          <w:szCs w:val="22"/>
          <w:lang w:bidi="pl-PL"/>
        </w:rPr>
        <w:t xml:space="preserve">wymagania dotyczące ochrony uzasadnionych interesów osób trzecich (pkt 7). Ustawa CPK nie precyzuje szczegółowości ww. wymagań/warunków. Określenie powyższych warunków/wymagań w decyzji lokalizacyjnej powinno być adekwatne do etapu wstępnego na drodze do budowy Inwestycji, jakim jest etap lokalizacji inwestycji. Decyzja o ustaleniu lokalizacji inwestycji w zakresie CPK nie ma na celu określenia </w:t>
      </w:r>
      <w:r w:rsidRPr="0009014A">
        <w:rPr>
          <w:rFonts w:ascii="Lato" w:hAnsi="Lato" w:cs="Arial"/>
          <w:bCs/>
          <w:iCs/>
          <w:color w:val="000000"/>
          <w:spacing w:val="4"/>
          <w:sz w:val="22"/>
          <w:szCs w:val="22"/>
          <w:lang w:bidi="pl-PL"/>
        </w:rPr>
        <w:lastRenderedPageBreak/>
        <w:t xml:space="preserve">szczegółowych rozwiązań związanych z budową Inwestycji. Przypomnieć bowiem należy, że umiejscowienie decyzji lokalizacyjnej w procesie inwestycyjnym wskazuje na to, iż ma ona charakter wstępny - określa dopuszczalność zamierzenia inwestycyjnego </w:t>
      </w:r>
      <w:r w:rsidRPr="0009014A">
        <w:rPr>
          <w:rFonts w:ascii="Lato" w:hAnsi="Lato" w:cs="Arial"/>
          <w:bCs/>
          <w:iCs/>
          <w:color w:val="000000"/>
          <w:spacing w:val="4"/>
          <w:sz w:val="22"/>
          <w:szCs w:val="22"/>
          <w:lang w:bidi="pl-PL"/>
        </w:rPr>
        <w:br/>
        <w:t xml:space="preserve">w wyznaczonej przez inwestora lokalizacji poprzez określenie terenu na którym umiejscowione zostaną planowane obiekty i urządzenia, a także podaje ogólne warunki </w:t>
      </w:r>
      <w:r w:rsidRPr="0009014A">
        <w:rPr>
          <w:rFonts w:ascii="Lato" w:hAnsi="Lato" w:cs="Arial"/>
          <w:bCs/>
          <w:iCs/>
          <w:color w:val="000000"/>
          <w:spacing w:val="4"/>
          <w:sz w:val="22"/>
          <w:szCs w:val="22"/>
          <w:lang w:bidi="pl-PL"/>
        </w:rPr>
        <w:br/>
        <w:t xml:space="preserve">i zasady, którym inwestycja powinna odpowiadać. </w:t>
      </w:r>
    </w:p>
    <w:p w14:paraId="30E2F0AD"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Na etapie ustalania lokalizacji inwestycji określane są warunki brzegowe dla planowanej Inwestycji. Nie jest to bowiem etap postępowania, który charakteryzuje się dokładnym sprecyzowaniem robót budowlanych koniecznych do realizacji inwestycji. Dopiero </w:t>
      </w:r>
      <w:r w:rsidRPr="0009014A">
        <w:rPr>
          <w:rFonts w:ascii="Lato" w:hAnsi="Lato" w:cs="Arial"/>
          <w:bCs/>
          <w:iCs/>
          <w:color w:val="000000"/>
          <w:spacing w:val="4"/>
          <w:sz w:val="22"/>
          <w:szCs w:val="22"/>
          <w:lang w:bidi="pl-PL"/>
        </w:rPr>
        <w:br/>
        <w:t xml:space="preserve">w toku prowadzonego postępowania w przedmiocie pozwolenia na budowę (a więc na dalszym etapie procesu inwestycyjnego) zostaną określone szczegółowe rozwiązania techniczne dotyczące wymogów i warunków, dla prowadzenia robót w ustalonym obszarze. W związku z powyższym, wymagania dotyczące postępowania inwestora </w:t>
      </w:r>
      <w:r w:rsidRPr="0009014A">
        <w:rPr>
          <w:rFonts w:ascii="Lato" w:hAnsi="Lato" w:cs="Arial"/>
          <w:bCs/>
          <w:iCs/>
          <w:color w:val="000000"/>
          <w:spacing w:val="4"/>
          <w:sz w:val="22"/>
          <w:szCs w:val="22"/>
          <w:lang w:bidi="pl-PL"/>
        </w:rPr>
        <w:br/>
        <w:t xml:space="preserve">w okresie budowy, jak również szczegółowe wymogi dotyczące rozwiązań technicznych zostaną określone w projekcie budowlanym, pozostałych załącznikach do projektu oraz </w:t>
      </w:r>
      <w:r w:rsidRPr="0009014A">
        <w:rPr>
          <w:rFonts w:ascii="Lato" w:hAnsi="Lato" w:cs="Arial"/>
          <w:bCs/>
          <w:iCs/>
          <w:color w:val="000000"/>
          <w:spacing w:val="4"/>
          <w:sz w:val="22"/>
          <w:szCs w:val="22"/>
          <w:lang w:bidi="pl-PL"/>
        </w:rPr>
        <w:br/>
        <w:t>w po</w:t>
      </w:r>
      <w:r w:rsidRPr="0009014A">
        <w:rPr>
          <w:rFonts w:ascii="Lato" w:hAnsi="Lato" w:cs="Arial"/>
          <w:bCs/>
          <w:iCs/>
          <w:color w:val="000000"/>
          <w:spacing w:val="4"/>
          <w:sz w:val="22"/>
          <w:szCs w:val="22"/>
          <w:lang w:bidi="pl-PL"/>
        </w:rPr>
        <w:softHyphen/>
        <w:t>zwoleniu na budowę.</w:t>
      </w:r>
      <w:r w:rsidRPr="0009014A">
        <w:rPr>
          <w:rFonts w:ascii="Lato" w:hAnsi="Lato"/>
          <w:spacing w:val="4"/>
          <w:sz w:val="22"/>
          <w:szCs w:val="22"/>
        </w:rPr>
        <w:t xml:space="preserve"> </w:t>
      </w:r>
      <w:r w:rsidRPr="0009014A">
        <w:rPr>
          <w:rFonts w:ascii="Lato" w:hAnsi="Lato" w:cs="Arial"/>
          <w:bCs/>
          <w:iCs/>
          <w:color w:val="000000"/>
          <w:spacing w:val="4"/>
          <w:sz w:val="22"/>
          <w:szCs w:val="22"/>
          <w:lang w:bidi="pl-PL"/>
        </w:rPr>
        <w:t xml:space="preserve">Pogląd taki jest powszechnie prezentowany w orzecznictwie, czego przykładem mogą być wyroki Wojewódzkiego Sądu Administracyjnego </w:t>
      </w:r>
      <w:r w:rsidRPr="0009014A">
        <w:rPr>
          <w:rFonts w:ascii="Lato" w:hAnsi="Lato" w:cs="Arial"/>
          <w:bCs/>
          <w:iCs/>
          <w:color w:val="000000"/>
          <w:spacing w:val="4"/>
          <w:sz w:val="22"/>
          <w:szCs w:val="22"/>
          <w:lang w:bidi="pl-PL"/>
        </w:rPr>
        <w:br/>
        <w:t>w Warszawie z dnia 23 kwietnia 2021 r., sygn. akt IV SA/Wa 2275/20, z dnia 10 lutego 2017 r., sygn. akt IV SA/Wa 3029/16 (opubl. Centralna Baza Orzeczeń Sądów Administracyjnych).</w:t>
      </w:r>
    </w:p>
    <w:p w14:paraId="0D37D9D8"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Mając powyższe na uwadze, szczegółowość opisu kwestionowanych przez skarżących warunków decyzji o ustaleniu lokalizacji inwestycji w zakresie CPK musi być właściwa (adekwatna) dla tego etapu procesu inwestycyjnego. </w:t>
      </w:r>
    </w:p>
    <w:p w14:paraId="32ACE167" w14:textId="152CB6E2"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W pkt II decyzji Wojewody Mazowieckiego pn. „Charakterystyka Inwestycji (str. 76-88 zaskarżonej decyzji) organ I instancji określił wymagania wynikające z art. 40 ust. 2 pkt 3 ustawy CPK, zamieszczając obszerny opis w tym zakresie. Jednocześnie w pkt III decyzji Woje</w:t>
      </w:r>
      <w:r w:rsidRPr="0009014A">
        <w:rPr>
          <w:rFonts w:ascii="Lato" w:hAnsi="Lato" w:cs="Arial"/>
          <w:bCs/>
          <w:iCs/>
          <w:color w:val="000000"/>
          <w:spacing w:val="4"/>
          <w:sz w:val="22"/>
          <w:szCs w:val="22"/>
          <w:lang w:bidi="pl-PL"/>
        </w:rPr>
        <w:softHyphen/>
        <w:t>wody Mazowieckiego</w:t>
      </w:r>
      <w:r w:rsidR="002148CE">
        <w:rPr>
          <w:rFonts w:ascii="Lato" w:hAnsi="Lato" w:cs="Arial"/>
          <w:bCs/>
          <w:iCs/>
          <w:color w:val="000000"/>
          <w:spacing w:val="4"/>
          <w:sz w:val="22"/>
          <w:szCs w:val="22"/>
          <w:lang w:bidi="pl-PL"/>
        </w:rPr>
        <w:t xml:space="preserve"> </w:t>
      </w:r>
      <w:r w:rsidRPr="0009014A">
        <w:rPr>
          <w:rFonts w:ascii="Lato" w:hAnsi="Lato" w:cs="Arial"/>
          <w:bCs/>
          <w:iCs/>
          <w:color w:val="000000"/>
          <w:spacing w:val="4"/>
          <w:sz w:val="22"/>
          <w:szCs w:val="22"/>
          <w:lang w:bidi="pl-PL"/>
        </w:rPr>
        <w:t xml:space="preserve">(formalnie zatytułowanym „Wymagania dotyczące powiązania Inwestycji z drogami publicznymi, liniami kolejowymi oraz sieciami, w tym </w:t>
      </w:r>
      <w:r w:rsidRPr="0009014A">
        <w:rPr>
          <w:rFonts w:ascii="Lato" w:hAnsi="Lato" w:cs="Arial"/>
          <w:bCs/>
          <w:iCs/>
          <w:color w:val="000000"/>
          <w:spacing w:val="4"/>
          <w:sz w:val="22"/>
          <w:szCs w:val="22"/>
          <w:lang w:bidi="pl-PL"/>
        </w:rPr>
        <w:br/>
        <w:t xml:space="preserve">w zależności od potrzeb obszary albo punkty lokalizacji połączeń z tymi drogami, liniami kolejowymi oraz sieciami”) zawarł odniesienie do „rozdziału II.5”. W tym miejscu zauważyć należy, że w pkt II decyzji Wojewody Mazowieckiego nie ma „rozdziału II.5”. Mając to na uwadze, Minister  - w pkt II niniejszej decyzji - skorygował zapisy znajdujące się pkt III decyzji Wojewody Mazowieckiego poprzez dopracowanie, że wymagania dotyczące powiązania przedmiotowej Inwestycji z drogami publicznymi, liniami kolejowymi oraz sieciami przedstawiono w pkt II decyzji Wojewody Mazowieckiego pn. „Charakterystyka Inwestycji”. </w:t>
      </w:r>
    </w:p>
    <w:p w14:paraId="2D4FED28"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Jak już to zasygnalizowano powyżej, ustawa CPK nie precyzuje szczegółowości wymagań dotyczących powiązania In</w:t>
      </w:r>
      <w:r w:rsidRPr="0009014A">
        <w:rPr>
          <w:rFonts w:ascii="Lato" w:hAnsi="Lato" w:cs="Arial"/>
          <w:bCs/>
          <w:iCs/>
          <w:color w:val="000000"/>
          <w:spacing w:val="4"/>
          <w:sz w:val="22"/>
          <w:szCs w:val="22"/>
          <w:lang w:bidi="pl-PL"/>
        </w:rPr>
        <w:softHyphen/>
        <w:t xml:space="preserve">westycji z drogami publicznymi, liniami kolejowymi oraz sieciami. W ocenie Ministra, w pkt II zaskarżonej (str. 76-88 decyzji organu I instancji) zawarto właściwe dla etapu ustalenia lokalizacji inwestycji wymagania i warunki odnośnie powiązania Inwestycji z drogami publicznymi z drogami publicznymi, liniami kolejowymi oraz sieciami (w ramach opisu poszczególnych komponentów wchodzących w skład Inwestycji). Mając na względzie opis powiązań sieci, dróg publicznych czy linii kolejowych, oraz wstępny charakter decyzji o ustaleniu lokalizacji inwestycji, organ </w:t>
      </w:r>
      <w:r w:rsidRPr="0009014A">
        <w:rPr>
          <w:rFonts w:ascii="Lato" w:hAnsi="Lato" w:cs="Arial"/>
          <w:bCs/>
          <w:iCs/>
          <w:color w:val="000000"/>
          <w:spacing w:val="4"/>
          <w:sz w:val="22"/>
          <w:szCs w:val="22"/>
          <w:lang w:bidi="pl-PL"/>
        </w:rPr>
        <w:br/>
        <w:t>I instancji odstąpił od odrębnego szczegółowego określenia obszarów albo punktów lokalizacji połączeń, co należy uznać za zasadne mając także na względzie ustawowy podział zamierzeń inwestycyjnych na Inwestycje (w rozumieniu art. 2 pkt 3 ustawy CPK) i Inwestycje To</w:t>
      </w:r>
      <w:r w:rsidRPr="0009014A">
        <w:rPr>
          <w:rFonts w:ascii="Lato" w:hAnsi="Lato" w:cs="Arial"/>
          <w:bCs/>
          <w:iCs/>
          <w:color w:val="000000"/>
          <w:spacing w:val="4"/>
          <w:sz w:val="22"/>
          <w:szCs w:val="22"/>
          <w:lang w:bidi="pl-PL"/>
        </w:rPr>
        <w:softHyphen/>
        <w:t xml:space="preserve">warzyszące (w rozumieniu art. 2 pkt 4 ustawy CPK), w tym możliwość uzyskania odrębnych decyzji o ustaleniu lokalizacji w zakresie CPK dla części Inwestycji. </w:t>
      </w:r>
    </w:p>
    <w:p w14:paraId="6E49EEF8" w14:textId="3B8BB2BA"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color w:val="000000"/>
          <w:spacing w:val="4"/>
          <w:sz w:val="22"/>
          <w:szCs w:val="22"/>
          <w:lang w:bidi="pl-PL"/>
        </w:rPr>
        <w:lastRenderedPageBreak/>
        <w:t xml:space="preserve">Jednocześnie wyjaśnić należy, że kwestii wymagań powiązania przedmiotowej Inwestycji z drogami publicznymi, liniami kolejowymi czy sieciami nie należy łączyć natomiast </w:t>
      </w:r>
      <w:r w:rsidRPr="0009014A">
        <w:rPr>
          <w:rFonts w:ascii="Lato" w:hAnsi="Lato" w:cs="Arial"/>
          <w:bCs/>
          <w:iCs/>
          <w:color w:val="000000"/>
          <w:spacing w:val="4"/>
          <w:sz w:val="22"/>
          <w:szCs w:val="22"/>
          <w:lang w:bidi="pl-PL"/>
        </w:rPr>
        <w:br/>
        <w:t xml:space="preserve">z wymaganiami w zakresie ochrony uzasadnionych interesów osób trzecich, o których mowa w art. 40 ust. 2 pkt 7 ustawy CPK. Te bowiem zostały wskazane odrębnie w decyzji Wojewody Mazowieckiego, tj. w jej pkt VII na str. 94 i 95 decyzji organu I instancji. Decyzja o ustaleniu lokalizacji powinna określać wymagania dotyczące ochrony interesów osób trzecich, jednak w zakresie właściwym dla tego postępowania. Wymagania te muszą zawierać ogólne, podstawowe informacje o działaniach jakie musi przedsięwziąć lub uwzględnić inwestor chcąc realizować planowane przedsięwzięcie, dla ochrony uzasadnionych interesów osób trzecich. Ochrona interesów osób trzecich w tym postępowaniu nie może być oceniana tak szeroko, jak w kolejnym postępowaniu inwestycyjnym - pozwoleniu na budowę. Zasada ochrony interesu prawnego osób trzecich znajduje konkretyzację w Prawie budowlanym, tak więc stosownie do wymogów tego prawa, obiekt budowlany należy projektować, budować i utrzymywać zgodnie </w:t>
      </w:r>
      <w:r w:rsidRPr="0009014A">
        <w:rPr>
          <w:rFonts w:ascii="Lato" w:hAnsi="Lato" w:cs="Arial"/>
          <w:bCs/>
          <w:iCs/>
          <w:color w:val="000000"/>
          <w:spacing w:val="4"/>
          <w:sz w:val="22"/>
          <w:szCs w:val="22"/>
          <w:lang w:bidi="pl-PL"/>
        </w:rPr>
        <w:br/>
        <w:t xml:space="preserve">z przepisami i w sposób zapewniający właśnie m.in. ochronę uzasadnionych interesów osób trzecich (por. wyroki Naczelnego Sądu Administracyjnego z dnia 5 marca 2024 r., sygn. akt II OSK 1896/23, z dnia 15 czerwca </w:t>
      </w:r>
      <w:r w:rsidRPr="0009014A">
        <w:rPr>
          <w:rFonts w:ascii="Lato" w:hAnsi="Lato" w:cs="Arial"/>
          <w:bCs/>
          <w:iCs/>
          <w:spacing w:val="4"/>
          <w:sz w:val="22"/>
          <w:szCs w:val="22"/>
          <w:lang w:bidi="pl-PL"/>
        </w:rPr>
        <w:t xml:space="preserve">2016 r., sygn. akt II OSK 721/16, wyroki Wojewódzkiego Sądu Administracyjnego w Warszawie z dnia 8 września 2020 r., sygn. akt IV SA/Wa 1057/20, z dnia 23 kwietnia 2021 r., sygn. akt IV SA/Wa 2275/20, z dnia 17 grudnia 2013 r., sygn. akt IV SA/Wa 1865/13, opubl. Centralna Baza Orzeczeń Sądów Administracyjnych). </w:t>
      </w:r>
    </w:p>
    <w:p w14:paraId="25619F53" w14:textId="77777777"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Zawarte w decyzji organu I instancji postanowienia w tym zakresie należy uznać co do zasady za wystarczające, z tym jednym zastrzeżeń, iż Wojewoda Mazowiecki nie zapewnił prawnego (poprzez ustanowienie odpowiednich służebności) dostępu do drogi publicznej dla działek, które w wyniku wydania decyzji Wojewody Mazowieckiego taki dostęp utraciły. Natomiast w normatywnym zakresie art. 40 ust. 2 pkt 7 ustawy CPK mieści się ustawowy wymóg zapewnienia dostępu do drogi publicznej określony w </w:t>
      </w:r>
      <w:hyperlink r:id="rId8" w:history="1">
        <w:r w:rsidRPr="0009014A">
          <w:rPr>
            <w:rFonts w:ascii="Lato" w:hAnsi="Lato" w:cs="Arial"/>
            <w:bCs/>
            <w:iCs/>
            <w:spacing w:val="4"/>
            <w:sz w:val="22"/>
            <w:szCs w:val="22"/>
            <w:lang w:bidi="pl-PL"/>
          </w:rPr>
          <w:t>art. 93 ust. 3</w:t>
        </w:r>
      </w:hyperlink>
      <w:r w:rsidRPr="0009014A">
        <w:rPr>
          <w:rFonts w:ascii="Lato" w:hAnsi="Lato" w:cs="Arial"/>
          <w:bCs/>
          <w:iCs/>
          <w:spacing w:val="4"/>
          <w:sz w:val="22"/>
          <w:szCs w:val="22"/>
          <w:lang w:bidi="pl-PL"/>
        </w:rPr>
        <w:t xml:space="preserve"> ugn, który stosuje się do decyzji o ustaleniu lokalizacji inwestycji w zakresie CPK </w:t>
      </w:r>
      <w:r w:rsidRPr="0009014A">
        <w:rPr>
          <w:rFonts w:ascii="Lato" w:hAnsi="Lato" w:cs="Arial"/>
          <w:bCs/>
          <w:iCs/>
          <w:color w:val="000000"/>
          <w:spacing w:val="4"/>
          <w:sz w:val="22"/>
          <w:szCs w:val="22"/>
          <w:lang w:bidi="pl-PL"/>
        </w:rPr>
        <w:t xml:space="preserve">z mocy art. 3 ust. 2 ustawy CPK. O kwestii tej będzie szerzej mowa w dalszej części niniejszej decyzji. </w:t>
      </w:r>
    </w:p>
    <w:p w14:paraId="2D29F71D"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Zdaniem Ministra w decyzji Wojewody Mazowieckiego w wystarczający sposób dla etapu lokalizacji inwestycji określono warunki wynikające z ochrony przeciwpożarowej (pkt 2 na str. 91 decyzji organu I instancji). W odniesieniu do ochrony przeciwpożarowej Wojewoda Mazowiecki odniósł się m.in. do pozytywnej opinii Mazowieckiego Komendanta Wojewódzkiego Państwowej Straży Pożarnej z dnia 4 października 2023 r., znak: WPZ.077.15.2.2023 (na str. 91 decyzji organu I instancji omyłko podano błędną datę dzienną rzeczonej opinii, tj. 30 grudnia 2020 r. – błąd ten został skorygowany przez Ministra w pkt II niniejszej decyzji), z której wynika, że teren inwestycji nie znajduje się w zasięgu oddziaływania reprezentatywnych zdarzeń awaryjnych zakładów o dużym ryzku wystąpienia awarii, jak również wskazał na konieczność prowadzenia inwestycji przy uwzględnieniu przeciwpożarowych wymagań techniczno-budowlanych, instalacyjnych i technologicznych wynikających z przepisów odrębnych oraz zastosowania rozwiązań technicznych (środki bezpieczeństwa) jak i organizacyjnych, które za</w:t>
      </w:r>
      <w:r w:rsidRPr="0009014A">
        <w:rPr>
          <w:rFonts w:ascii="Lato" w:hAnsi="Lato" w:cs="Arial"/>
          <w:bCs/>
          <w:iCs/>
          <w:color w:val="000000"/>
          <w:spacing w:val="4"/>
          <w:sz w:val="22"/>
          <w:szCs w:val="22"/>
          <w:lang w:bidi="pl-PL"/>
        </w:rPr>
        <w:softHyphen/>
        <w:t xml:space="preserve">pewnią ochronę życia, zdrowia, mienia i środowiska przed pożarem. Kwestia bezpieczeństwa pożarowego będzie szczegółowego rozstrzygana na etapie pozwolenia na budowę (por. wyrok Wojewódzkiego Sądu Administracyjnego w Warszawie z dnia </w:t>
      </w:r>
      <w:r w:rsidRPr="0009014A">
        <w:rPr>
          <w:rFonts w:ascii="Lato" w:hAnsi="Lato" w:cs="Arial"/>
          <w:bCs/>
          <w:iCs/>
          <w:color w:val="000000"/>
          <w:spacing w:val="4"/>
          <w:sz w:val="22"/>
          <w:szCs w:val="22"/>
          <w:lang w:bidi="pl-PL"/>
        </w:rPr>
        <w:br/>
        <w:t xml:space="preserve">8 września 2020 r., sygn. akt IV SA/Wa 1057/20, opubl. Centralna Baza Orzeczeń Sądów Administracyjnych). </w:t>
      </w:r>
    </w:p>
    <w:p w14:paraId="3DF9E3B5" w14:textId="60E43CD9"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W ocenie Ministra, decyzja wydana przez organ I instancji w wystarczający sposób określa także w pkt V na str. 93-94 warunki wynikające z potrzeb obronności </w:t>
      </w:r>
      <w:r w:rsidRPr="0009014A">
        <w:rPr>
          <w:rFonts w:ascii="Lato" w:hAnsi="Lato" w:cs="Arial"/>
          <w:bCs/>
          <w:iCs/>
          <w:color w:val="000000"/>
          <w:spacing w:val="4"/>
          <w:sz w:val="22"/>
          <w:szCs w:val="22"/>
          <w:lang w:bidi="pl-PL"/>
        </w:rPr>
        <w:br/>
        <w:t xml:space="preserve">i bezpieczeństwa państwa, w tym ochrony granicy państwowej i kontroli ruchu </w:t>
      </w:r>
      <w:r w:rsidRPr="0009014A">
        <w:rPr>
          <w:rFonts w:ascii="Lato" w:hAnsi="Lato" w:cs="Arial"/>
          <w:bCs/>
          <w:iCs/>
          <w:color w:val="000000"/>
          <w:spacing w:val="4"/>
          <w:sz w:val="22"/>
          <w:szCs w:val="22"/>
          <w:lang w:bidi="pl-PL"/>
        </w:rPr>
        <w:lastRenderedPageBreak/>
        <w:t xml:space="preserve">granicznego, oraz sieci i systemów teleinformatycznych niezbędnych do realizacji tych potrzeb. Błędne jest stanowisko skarżących, że decyzja Wojewody Mazowieckiego przesuwa ustalenie rzeczonych warunków na dalszy moment. Decyzja o ustaleniu lokalizacji w zakresie CPK, określa warunki adekwatnie do potrzeb i możliwości etapu przygotowania Inwestycji, jakim jest ustalenie jej lokalizacji. Informacja zawarta w pkt </w:t>
      </w:r>
      <w:r w:rsidRPr="0009014A">
        <w:rPr>
          <w:rFonts w:ascii="Lato" w:hAnsi="Lato" w:cs="Arial"/>
          <w:bCs/>
          <w:iCs/>
          <w:color w:val="000000"/>
          <w:spacing w:val="4"/>
          <w:sz w:val="22"/>
          <w:szCs w:val="22"/>
          <w:lang w:bidi="pl-PL"/>
        </w:rPr>
        <w:br/>
        <w:t xml:space="preserve">V zaskarżonej decyzji o uszczegóławianiu rozwiązań technicznych i funkcjonalnych </w:t>
      </w:r>
      <w:r w:rsidR="00CE10BA">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na dalszych etapach procesu przygotowania inwestycji jest właściwa. Decyzja ustalająca lokalizację inwestycji nie może zastępować decyzji o pozwoleniu na budowę, nie może także tworzyć dodatkowych warunków w sytuacji, gdy prowadzone postępowanie nie wskazało na istnienie takowych warunków. Potwierdzeniem tego jest opinia do wniosku o wydanie decyzji o ustaleniu lokalizacji inwestycji w zakresie CPK wydana w trybie art. 41 ust. 1 pkt 18 ustawy CPK przez Komendanta Głównego Straży Granicznej (opinia </w:t>
      </w:r>
      <w:r w:rsidRPr="0009014A">
        <w:rPr>
          <w:rFonts w:ascii="Lato" w:hAnsi="Lato" w:cs="Arial"/>
          <w:bCs/>
          <w:iCs/>
          <w:color w:val="000000"/>
          <w:spacing w:val="4"/>
          <w:sz w:val="22"/>
          <w:szCs w:val="22"/>
          <w:lang w:bidi="pl-PL"/>
        </w:rPr>
        <w:br/>
        <w:t>z dnia 3 października 2023 r., znak: KG-ZG-WSG.072.57.2023), stanowiąca o tym, iż: „na obecnym etapie prac przedmiotowa decyzja nie ma wpływu na realizację ustawowych zadań Straży Granicznej związanych z ochroną granicy państwowej i kontrolą ruchu granicznego”.</w:t>
      </w:r>
    </w:p>
    <w:p w14:paraId="36A17E3B" w14:textId="5F46154A" w:rsidR="0009014A" w:rsidRPr="0009014A" w:rsidRDefault="0009014A" w:rsidP="0009014A">
      <w:pPr>
        <w:spacing w:after="240" w:line="240" w:lineRule="exact"/>
        <w:jc w:val="both"/>
        <w:outlineLvl w:val="0"/>
        <w:rPr>
          <w:rFonts w:ascii="Lato" w:hAnsi="Lato"/>
          <w:spacing w:val="4"/>
          <w:sz w:val="22"/>
          <w:szCs w:val="22"/>
        </w:rPr>
      </w:pPr>
      <w:r w:rsidRPr="0009014A">
        <w:rPr>
          <w:rFonts w:ascii="Lato" w:hAnsi="Lato" w:cs="Arial"/>
          <w:bCs/>
          <w:iCs/>
          <w:color w:val="000000"/>
          <w:spacing w:val="4"/>
          <w:sz w:val="22"/>
          <w:szCs w:val="22"/>
          <w:lang w:bidi="pl-PL"/>
        </w:rPr>
        <w:t>Zdaniem Ministra, w decyzji Wojewody Mazowieckiego zawarto również prawidłowe ustalenia w zakresie warunków wynikające z potrzeb ochrony środowiska – pkt IV na str. 88-91 decyzji organu I instancji (uwzględniając korekty w tym zakresie dokonane przez Ministra w pkt II niniejszej decyzji, o których części była już mowa powyżej w niniejszej decyzji przy rozpatrywaniu innych zarzutów Państwa K</w:t>
      </w:r>
      <w:r w:rsidR="001E46D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skarżącej spółki), jak </w:t>
      </w:r>
      <w:r w:rsidR="001E46DD">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i adekwatne ustalenia w zakresie kształtowania zieleni (pkt VI na str. 94 decyzji organu </w:t>
      </w:r>
      <w:r w:rsidRPr="0009014A">
        <w:rPr>
          <w:rFonts w:ascii="Lato" w:hAnsi="Lato" w:cs="Arial"/>
          <w:bCs/>
          <w:iCs/>
          <w:color w:val="000000"/>
          <w:spacing w:val="4"/>
          <w:sz w:val="22"/>
          <w:szCs w:val="22"/>
          <w:lang w:bidi="pl-PL"/>
        </w:rPr>
        <w:br/>
        <w:t>I instancji). Zapisy w tym zakresie są wystarczające dla etapu lokalizacji inwestycji.</w:t>
      </w:r>
      <w:r w:rsidRPr="0009014A">
        <w:rPr>
          <w:rFonts w:ascii="Lato" w:hAnsi="Lato"/>
          <w:spacing w:val="4"/>
          <w:sz w:val="22"/>
          <w:szCs w:val="22"/>
        </w:rPr>
        <w:t xml:space="preserve"> </w:t>
      </w:r>
    </w:p>
    <w:p w14:paraId="6C74715A"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Skoro wydana w sprawie decyzja o środowiskowych uwarunkowaniach RDOŚ i decyzja </w:t>
      </w:r>
      <w:r w:rsidRPr="0009014A">
        <w:rPr>
          <w:rFonts w:ascii="Lato" w:hAnsi="Lato" w:cs="Arial"/>
          <w:bCs/>
          <w:iCs/>
          <w:color w:val="000000"/>
          <w:spacing w:val="4"/>
          <w:sz w:val="22"/>
          <w:szCs w:val="22"/>
          <w:lang w:bidi="pl-PL"/>
        </w:rPr>
        <w:br/>
        <w:t xml:space="preserve">o środowiskowych uwarunkowaniach GDOŚ, jak i decyzja RDOŚ w Warszawie z dnia 19 czerwca 2024 r., znak: WOOŚ-II.420.69.2023.AG.12, stwierdzająca brak potrzeby przeprowadzenia oceny odziaływania na środowisko przedsięwzięcia pn.: „Budowa Centralnego Portu Komunikacyjnego wraz z urządzeniami i obiektami niezbędnymi do jego funkcjonowania - budowa bocznicy kolejowej na odcinku linia kolejowa nr 3 - Centralny Port Komunikacyjny”, wskazują wymogi jakie muszą być spełnione dla ochrony środowiska na terenie planowanej Inwestycji to uwzględnienie tych wymogów w decyzji lokalizacyjnej prowadzić musi do wniosku, że lokalizacja Inwestycji odbędzie się </w:t>
      </w:r>
      <w:r w:rsidRPr="0009014A">
        <w:rPr>
          <w:rFonts w:ascii="Lato" w:hAnsi="Lato" w:cs="Arial"/>
          <w:bCs/>
          <w:iCs/>
          <w:color w:val="000000"/>
          <w:spacing w:val="4"/>
          <w:sz w:val="22"/>
          <w:szCs w:val="22"/>
          <w:lang w:bidi="pl-PL"/>
        </w:rPr>
        <w:br/>
        <w:t xml:space="preserve">w sposób gwarantujący ochronę środowiska, zagrożenia środowiskowe zostały zidentyfikowane w ww. decyzjach środowiskowych i organy środowiskowe wskazały jakie rozwiązania muszą być spełnione dla ochrony środowiska przy realizacji przedmiotowej Inwestycji. Decyzja o środowiskowych uwarunkowaniach stanowi podstawę wydania decyzji lokalizacyjnej w zakresie wymagań ochrony środowiska, określa ramy dopuszczalnego wpływu planowanego przedsięwzięcia na środowisko. Minister w niniejszej decyzji zobowiązał inwestora do przestrzegania warunków </w:t>
      </w:r>
      <w:r w:rsidRPr="0009014A">
        <w:rPr>
          <w:rFonts w:ascii="Lato" w:hAnsi="Lato" w:cs="Arial"/>
          <w:bCs/>
          <w:iCs/>
          <w:color w:val="000000"/>
          <w:spacing w:val="4"/>
          <w:sz w:val="22"/>
          <w:szCs w:val="22"/>
          <w:lang w:bidi="pl-PL"/>
        </w:rPr>
        <w:br/>
        <w:t xml:space="preserve">i wymagań zawartych zarówno w decyzji o środowiskowych uwarunkowaniach RDOŚ, jak i decyzji o środowiskowych uwarunkowaniach GDOŚ (która została wydana na etapie postępowania odwoławczego) oraz w ww. decyzji RDOŚ w Warszawie z dnia 19 czerwca 2024 r., znak: WOOŚ-II.420.69.2023.AG.12. Decyzja lokalizacyjna przewiduje zatem obowiązek lokalizowania inwestycji w zakresie CPK z poszanowaniem warunków ochrony środowiska (por. wyrok Naczelnego Sądu Administracyjnego z dnia 29 października 2024 r., sygn. akt II OSK 1640/24, opubl. Centralna Baza Orzeczeń Sądów Administracyjnych). </w:t>
      </w:r>
    </w:p>
    <w:p w14:paraId="4A2D7451" w14:textId="75B6BCF5" w:rsidR="0009014A" w:rsidRPr="0009014A" w:rsidRDefault="0009014A" w:rsidP="0009014A">
      <w:pPr>
        <w:spacing w:after="240" w:line="240" w:lineRule="exact"/>
        <w:jc w:val="both"/>
        <w:outlineLvl w:val="0"/>
        <w:rPr>
          <w:rFonts w:ascii="Lato" w:eastAsia="Calibri" w:hAnsi="Lato" w:cs="Arial"/>
          <w:bCs/>
          <w:iCs/>
          <w:spacing w:val="4"/>
          <w:sz w:val="22"/>
          <w:szCs w:val="22"/>
          <w:lang w:bidi="pl-PL"/>
        </w:rPr>
      </w:pPr>
      <w:r w:rsidRPr="0009014A">
        <w:rPr>
          <w:rFonts w:ascii="Lato" w:hAnsi="Lato" w:cs="Arial"/>
          <w:bCs/>
          <w:iCs/>
          <w:color w:val="000000"/>
          <w:spacing w:val="4"/>
          <w:sz w:val="22"/>
          <w:szCs w:val="22"/>
          <w:lang w:bidi="pl-PL"/>
        </w:rPr>
        <w:t xml:space="preserve">Niezależnie od powyższego, Minister analizując zapisy zawarte na str. 88 i 89 decyzji Wojewody Mazowieckiego stwierdził, iż organ I instancji niepoprawnie wskazał, </w:t>
      </w:r>
      <w:r w:rsidR="003358A2">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że planowana inwestycja zaliczana jest do przedsięwzięć mogących zawsze znacząco oddziaływać na środowisko wymienionych w § 1 ust. 1 pkt 30 </w:t>
      </w:r>
      <w:r w:rsidRPr="0009014A">
        <w:rPr>
          <w:rFonts w:ascii="Lato" w:eastAsia="Calibri" w:hAnsi="Lato" w:cs="Arial"/>
          <w:bCs/>
          <w:spacing w:val="4"/>
          <w:sz w:val="22"/>
          <w:szCs w:val="22"/>
          <w:lang w:bidi="pl-PL"/>
        </w:rPr>
        <w:t xml:space="preserve">rozporządzenia Rady </w:t>
      </w:r>
      <w:r w:rsidRPr="0009014A">
        <w:rPr>
          <w:rFonts w:ascii="Lato" w:eastAsia="Calibri" w:hAnsi="Lato" w:cs="Arial"/>
          <w:bCs/>
          <w:spacing w:val="4"/>
          <w:sz w:val="22"/>
          <w:szCs w:val="22"/>
          <w:lang w:bidi="pl-PL"/>
        </w:rPr>
        <w:lastRenderedPageBreak/>
        <w:t>Ministrów z dnia 10 września 2019 r. w sprawie przedsięwzięć mogących znacząco oddziaływać na środowisko (Dz.U. z 2019 r. poz. 1839, z późn.zm.), zwanego dalej „rozporządzeniem</w:t>
      </w:r>
      <w:r w:rsidRPr="0009014A">
        <w:rPr>
          <w:rFonts w:ascii="Lato" w:hAnsi="Lato" w:cs="TimesNewRomanPS-ItalicMT"/>
          <w:i/>
          <w:iCs/>
          <w:spacing w:val="4"/>
          <w:sz w:val="22"/>
          <w:szCs w:val="22"/>
        </w:rPr>
        <w:t xml:space="preserve"> </w:t>
      </w:r>
      <w:r w:rsidRPr="0009014A">
        <w:rPr>
          <w:rFonts w:ascii="Lato" w:eastAsia="Calibri" w:hAnsi="Lato" w:cs="Arial"/>
          <w:bCs/>
          <w:spacing w:val="4"/>
          <w:sz w:val="22"/>
          <w:szCs w:val="22"/>
          <w:lang w:bidi="pl-PL"/>
        </w:rPr>
        <w:t>ooś”. Wyjaśnić bowiem należy, iż w rozporządzeniu ooś nie ma powołanej przez Wojewodę Mazowieckiego jednostki redakcyjnej „</w:t>
      </w:r>
      <w:r w:rsidRPr="0009014A">
        <w:rPr>
          <w:rFonts w:ascii="Lato" w:eastAsia="Calibri" w:hAnsi="Lato" w:cs="Arial"/>
          <w:bCs/>
          <w:iCs/>
          <w:spacing w:val="4"/>
          <w:sz w:val="22"/>
          <w:szCs w:val="22"/>
          <w:lang w:bidi="pl-PL"/>
        </w:rPr>
        <w:t xml:space="preserve">§ 1 ust. 1 pkt 30”. </w:t>
      </w:r>
      <w:r w:rsidRPr="0009014A">
        <w:rPr>
          <w:rFonts w:ascii="Lato" w:eastAsia="Calibri" w:hAnsi="Lato" w:cs="Arial"/>
          <w:bCs/>
          <w:iCs/>
          <w:spacing w:val="4"/>
          <w:sz w:val="22"/>
          <w:szCs w:val="22"/>
          <w:lang w:bidi="pl-PL"/>
        </w:rPr>
        <w:br/>
        <w:t xml:space="preserve">W rozporządzeniu ooś w § 2 ust. 1 pkt 30 tego aktu prawnego do przedsięwzięć mogących zawsze znacząco oddziaływać na środowisko zaliczono lotniska </w:t>
      </w:r>
      <w:r w:rsidRPr="0009014A">
        <w:rPr>
          <w:rFonts w:ascii="Lato" w:eastAsia="Calibri" w:hAnsi="Lato" w:cs="Arial"/>
          <w:bCs/>
          <w:iCs/>
          <w:spacing w:val="4"/>
          <w:sz w:val="22"/>
          <w:szCs w:val="22"/>
          <w:lang w:bidi="pl-PL"/>
        </w:rPr>
        <w:br/>
        <w:t xml:space="preserve">o podstawowej długości drogi startowej nie mniejszej niż 2100 m. Jednakże w niniejszej sprawie nie można pominąć, iż GDOŚ w pkt I na str. 1-5 decyzji o środowiskowych uwarunkowaniach GDOŚ zreformował pkt 1.1 decyzji o środowiskowych uwarunkowaniach RDOŚ,  poprzez wskazanie w myśl których jednostek redakcyjnych rozporządzenia ooś poszczególne komponenty przedmiotowej inwestycji kwalifikują się jako przedsięwzięcia mogące znacząco oddziaływać na środowisko (por. str. 104 uzasadnienia decyzji o środowiskowych uwarunkowaniach GDOŚ). Powielanie tych zapisów w decyzji lokalizacyjnej jest zbędne, bowiem Minister w niniejszej decyzji zobowiązał inwestora do przestrzegania warunków i wymagań zawartych zarówno </w:t>
      </w:r>
      <w:r w:rsidRPr="0009014A">
        <w:rPr>
          <w:rFonts w:ascii="Lato" w:eastAsia="Calibri" w:hAnsi="Lato" w:cs="Arial"/>
          <w:bCs/>
          <w:iCs/>
          <w:spacing w:val="4"/>
          <w:sz w:val="22"/>
          <w:szCs w:val="22"/>
          <w:lang w:bidi="pl-PL"/>
        </w:rPr>
        <w:br/>
        <w:t xml:space="preserve">w decyzji o środowiskowych uwarunkowaniach RDOŚ, jak i decyzji o środowiskowych uwarunkowaniach GDOŚ. </w:t>
      </w:r>
    </w:p>
    <w:p w14:paraId="4CD4338C" w14:textId="7E7BF172"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eastAsia="Calibri" w:hAnsi="Lato" w:cs="Arial"/>
          <w:bCs/>
          <w:iCs/>
          <w:spacing w:val="4"/>
          <w:sz w:val="22"/>
          <w:szCs w:val="22"/>
          <w:lang w:bidi="pl-PL"/>
        </w:rPr>
        <w:t xml:space="preserve">Ponadto Minister zauważył również, że Wojewoda Mazowiecki w zapisie zaskarżonej decyzji na str. 89 </w:t>
      </w:r>
      <w:r w:rsidRPr="0009014A">
        <w:rPr>
          <w:rFonts w:ascii="Lato" w:hAnsi="Lato" w:cs="Arial"/>
          <w:bCs/>
          <w:iCs/>
          <w:color w:val="000000"/>
          <w:spacing w:val="4"/>
          <w:sz w:val="22"/>
          <w:szCs w:val="22"/>
          <w:lang w:bidi="pl-PL"/>
        </w:rPr>
        <w:t xml:space="preserve">powołał uchyloną ustawę z dnia 18 lipca 2001 r. – Prawo wodne </w:t>
      </w:r>
      <w:r w:rsidRPr="0009014A">
        <w:rPr>
          <w:rFonts w:ascii="Lato" w:hAnsi="Lato" w:cs="Arial"/>
          <w:bCs/>
          <w:iCs/>
          <w:color w:val="000000"/>
          <w:spacing w:val="4"/>
          <w:sz w:val="22"/>
          <w:szCs w:val="22"/>
          <w:lang w:bidi="pl-PL"/>
        </w:rPr>
        <w:br/>
        <w:t xml:space="preserve">(Dz. U. z 2017 r. poz. 1121), co zostało skorygowane przez Ministra w pkt II niniejszej decyzji poprzez przywołanie obowiązującej ustawy z dnia 20 lipca 2017 r. - Prawo wodne. Wyjaśnić przy tym należy, że skoro w trybie odwoławczym na podstawie art. 138 § 1 pkt 2 kpa organ może skorygować orzeczenie organu I instancji in merito, to tym bardziej może dokonać korekty błędów którą mogą nosić znamiona oczywistych omyłek organu I instancji (por. wyrok Naczelnego Sądu Administracyjnego z dnia 18 lipca </w:t>
      </w:r>
      <w:r w:rsidRPr="0009014A">
        <w:rPr>
          <w:rFonts w:ascii="Lato" w:hAnsi="Lato" w:cs="Arial"/>
          <w:bCs/>
          <w:iCs/>
          <w:color w:val="000000"/>
          <w:spacing w:val="4"/>
          <w:sz w:val="22"/>
          <w:szCs w:val="22"/>
          <w:lang w:bidi="pl-PL"/>
        </w:rPr>
        <w:br/>
        <w:t xml:space="preserve">2001 r., sygn. akt V SA 3928/00, wyrok Wojewódzkiego Sądu Administracyjnego </w:t>
      </w:r>
      <w:r w:rsidR="003358A2">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Warszawie z dnia 17 marca 2017 r., sygn. akt IV SA/Wa 3019/16, opubl. Centralna Baza Orzeczeń Sądów Administracyjnych). </w:t>
      </w:r>
    </w:p>
    <w:p w14:paraId="03CA5FD3" w14:textId="24BF2F09"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Na uwzględnienie nie zasługuje zarzut skarżących dotyczący tego, że zarówno wymagania uzasadnionych interesów osób trzecich, jak i wa</w:t>
      </w:r>
      <w:r w:rsidRPr="0009014A">
        <w:rPr>
          <w:rFonts w:ascii="Lato" w:hAnsi="Lato" w:cs="Arial"/>
          <w:bCs/>
          <w:iCs/>
          <w:color w:val="000000"/>
          <w:spacing w:val="4"/>
          <w:sz w:val="22"/>
          <w:szCs w:val="22"/>
          <w:lang w:bidi="pl-PL"/>
        </w:rPr>
        <w:softHyphen/>
        <w:t xml:space="preserve">runki dotyczące ochrony środowiska nie zostały prawidłowo wskazane w zaskarżonej decyzji, gdyż na obszarze inwestycji znajdują się studnie głębinowe, które zaopatrują społeczeństwo w wodę, </w:t>
      </w:r>
      <w:r w:rsidRPr="0009014A">
        <w:rPr>
          <w:rFonts w:ascii="Lato" w:hAnsi="Lato" w:cs="Arial"/>
          <w:bCs/>
          <w:iCs/>
          <w:color w:val="000000"/>
          <w:spacing w:val="4"/>
          <w:sz w:val="22"/>
          <w:szCs w:val="22"/>
          <w:lang w:bidi="pl-PL"/>
        </w:rPr>
        <w:br/>
        <w:t>a w ramach realizacji przedmiotowego przedsięwzięcia ma zostać zlikwidowane ujęcie wody w M</w:t>
      </w:r>
      <w:r w:rsidR="00364AAB">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po uruchomieniu nowego ujęcia, które będzie zaopatrywało mieszkańców gminy Teresin w wodę, a zarówno w decyzji o środowiskowych uwarunkowaniach RDOŚ i decyzji Wojewody Mazowieckiego nie określono jednak żadnych parametrów nowego ujęcia i nie wskazano też jego lokalizacji.</w:t>
      </w:r>
    </w:p>
    <w:p w14:paraId="05CACC97" w14:textId="4E5B8A04" w:rsidR="0009014A" w:rsidRPr="0009014A" w:rsidRDefault="0009014A" w:rsidP="0009014A">
      <w:pPr>
        <w:spacing w:after="240" w:line="240" w:lineRule="exact"/>
        <w:jc w:val="both"/>
        <w:outlineLvl w:val="0"/>
        <w:rPr>
          <w:rFonts w:ascii="Lato" w:hAnsi="Lato" w:cs="Arial"/>
          <w:spacing w:val="4"/>
          <w:sz w:val="22"/>
          <w:szCs w:val="22"/>
        </w:rPr>
      </w:pPr>
      <w:r w:rsidRPr="0009014A">
        <w:rPr>
          <w:rFonts w:ascii="Lato" w:hAnsi="Lato" w:cs="Arial"/>
          <w:bCs/>
          <w:iCs/>
          <w:color w:val="000000"/>
          <w:spacing w:val="4"/>
          <w:sz w:val="22"/>
          <w:szCs w:val="22"/>
          <w:lang w:bidi="pl-PL"/>
        </w:rPr>
        <w:t>Zgodnie z pkt 1.2.32 decyzji o środowiskowych uwarunkowaniach RDOŚ (określającym warunki korzystania ze środowiska w fazie realizacji i eksploatacji lub użytkowania przedsięwzięcia) wskazano, że w fazie realizacji likwidację ujęcia wody w M</w:t>
      </w:r>
      <w:r w:rsidR="00364AAB">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wykonać należy niezwłocznie po wcześniejszym wybudowaniu i uruchomieniu nowego ujęcia zaopatrującego mieszkańców gminy Teresin w wodę. W pkt II.10.b na str. 14 i 15 decyzji o środowiskowych uwarunkowaniach GDOŚ zmodyfikowano rzeczony warunek </w:t>
      </w:r>
      <w:r w:rsidR="00364AAB">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w następujący sposób: „</w:t>
      </w:r>
      <w:r w:rsidRPr="0009014A">
        <w:rPr>
          <w:rFonts w:ascii="Lato" w:hAnsi="Lato" w:cs="Arial"/>
          <w:spacing w:val="4"/>
          <w:sz w:val="22"/>
          <w:szCs w:val="22"/>
        </w:rPr>
        <w:t xml:space="preserve">likwidacja ujęcia wody zlokalizowanego na działce ewid. nr 80, obręb Maurycew, gmina Teresin jest dopuszczalna po wcześniejszym wybudowaniu </w:t>
      </w:r>
      <w:r w:rsidRPr="0009014A">
        <w:rPr>
          <w:rFonts w:ascii="Lato" w:hAnsi="Lato" w:cs="Arial"/>
          <w:spacing w:val="4"/>
          <w:sz w:val="22"/>
          <w:szCs w:val="22"/>
        </w:rPr>
        <w:br/>
        <w:t>i uruchomieniu nowego ujęcia zaopatrującego w wodę mieszkańców gminy Teresin. Zapotrzebowanie mieszkańców gminy Teresin na wodę do wysokości: 42 m</w:t>
      </w:r>
      <w:r w:rsidRPr="0009014A">
        <w:rPr>
          <w:rFonts w:ascii="Lato" w:hAnsi="Lato" w:cs="Arial"/>
          <w:spacing w:val="4"/>
          <w:sz w:val="22"/>
          <w:szCs w:val="22"/>
          <w:vertAlign w:val="superscript"/>
        </w:rPr>
        <w:t>3</w:t>
      </w:r>
      <w:r w:rsidRPr="0009014A">
        <w:rPr>
          <w:rFonts w:ascii="Lato" w:hAnsi="Lato" w:cs="Arial"/>
          <w:spacing w:val="4"/>
          <w:sz w:val="22"/>
          <w:szCs w:val="22"/>
        </w:rPr>
        <w:t>/h, 800 m</w:t>
      </w:r>
      <w:r w:rsidRPr="0009014A">
        <w:rPr>
          <w:rFonts w:ascii="Lato" w:hAnsi="Lato" w:cs="Arial"/>
          <w:spacing w:val="4"/>
          <w:sz w:val="22"/>
          <w:szCs w:val="22"/>
          <w:vertAlign w:val="superscript"/>
        </w:rPr>
        <w:t>3</w:t>
      </w:r>
      <w:r w:rsidRPr="0009014A">
        <w:rPr>
          <w:rFonts w:ascii="Lato" w:hAnsi="Lato" w:cs="Arial"/>
          <w:spacing w:val="4"/>
          <w:sz w:val="22"/>
          <w:szCs w:val="22"/>
        </w:rPr>
        <w:t>/dobę i 292 000 m</w:t>
      </w:r>
      <w:r w:rsidRPr="0009014A">
        <w:rPr>
          <w:rFonts w:ascii="Lato" w:hAnsi="Lato" w:cs="Arial"/>
          <w:spacing w:val="4"/>
          <w:sz w:val="22"/>
          <w:szCs w:val="22"/>
          <w:vertAlign w:val="superscript"/>
        </w:rPr>
        <w:t>3</w:t>
      </w:r>
      <w:r w:rsidRPr="0009014A">
        <w:rPr>
          <w:rFonts w:ascii="Lato" w:hAnsi="Lato" w:cs="Arial"/>
          <w:spacing w:val="4"/>
          <w:sz w:val="22"/>
          <w:szCs w:val="22"/>
        </w:rPr>
        <w:t xml:space="preserve">/rok z ujęcia zastępczego ma być zaspokajane w pierwszej kolejności, przed zapotrzebowaniem wynikającym z prowadzenia prac budowlanych </w:t>
      </w:r>
      <w:r w:rsidRPr="0009014A">
        <w:rPr>
          <w:rFonts w:ascii="Lato" w:hAnsi="Lato" w:cs="Arial"/>
          <w:spacing w:val="4"/>
          <w:sz w:val="22"/>
          <w:szCs w:val="22"/>
        </w:rPr>
        <w:br/>
        <w:t xml:space="preserve">i eksploatacji przedsięwzięcia.”. Na stronie nr 209 uzasadnienia decyzji </w:t>
      </w:r>
      <w:r w:rsidR="003358A2">
        <w:rPr>
          <w:rFonts w:ascii="Lato" w:hAnsi="Lato" w:cs="Arial"/>
          <w:spacing w:val="4"/>
          <w:sz w:val="22"/>
          <w:szCs w:val="22"/>
        </w:rPr>
        <w:br/>
      </w:r>
      <w:r w:rsidRPr="0009014A">
        <w:rPr>
          <w:rFonts w:ascii="Lato" w:hAnsi="Lato" w:cs="Arial"/>
          <w:spacing w:val="4"/>
          <w:sz w:val="22"/>
          <w:szCs w:val="22"/>
        </w:rPr>
        <w:t xml:space="preserve">o środowiskowych uwarunkowaniach GDOŚ przedstawiono następujące stanowisko: </w:t>
      </w:r>
      <w:r w:rsidRPr="0009014A">
        <w:rPr>
          <w:rFonts w:ascii="Lato" w:hAnsi="Lato" w:cs="Arial"/>
          <w:spacing w:val="4"/>
          <w:sz w:val="22"/>
          <w:szCs w:val="22"/>
        </w:rPr>
        <w:lastRenderedPageBreak/>
        <w:t xml:space="preserve">„GDOŚ nie zgadza się z tezą </w:t>
      </w:r>
      <w:r w:rsidR="00DC447E">
        <w:rPr>
          <w:rFonts w:ascii="Lato" w:hAnsi="Lato" w:cs="Arial"/>
          <w:spacing w:val="4"/>
          <w:sz w:val="22"/>
          <w:szCs w:val="22"/>
        </w:rPr>
        <w:t>(…)</w:t>
      </w:r>
      <w:r w:rsidRPr="0009014A">
        <w:rPr>
          <w:rFonts w:ascii="Lato" w:hAnsi="Lato" w:cs="Arial"/>
          <w:spacing w:val="4"/>
          <w:sz w:val="22"/>
          <w:szCs w:val="22"/>
        </w:rPr>
        <w:t xml:space="preserve"> Sp. z o.o., że decyzja RDOŚ w Warszawie z 7 lipca 2023 r. zawiera nieprawidłowe ustalenia co do ujęcia zastępczego dla Gminy Teresin. </w:t>
      </w:r>
      <w:r w:rsidRPr="0009014A">
        <w:rPr>
          <w:rFonts w:ascii="Lato" w:hAnsi="Lato" w:cs="Arial"/>
          <w:spacing w:val="4"/>
          <w:sz w:val="22"/>
          <w:szCs w:val="22"/>
        </w:rPr>
        <w:br/>
        <w:t>W ocenie organu odwoławczego warunek sformułowany w pkt 1.2.32 zaskarżonej decyzji: w fazie realizacji likwidację ujęcia wody w M</w:t>
      </w:r>
      <w:r w:rsidR="00364AAB">
        <w:rPr>
          <w:rFonts w:ascii="Lato" w:hAnsi="Lato" w:cs="Arial"/>
          <w:spacing w:val="4"/>
          <w:sz w:val="22"/>
          <w:szCs w:val="22"/>
        </w:rPr>
        <w:t>.</w:t>
      </w:r>
      <w:r w:rsidRPr="0009014A">
        <w:rPr>
          <w:rFonts w:ascii="Lato" w:hAnsi="Lato" w:cs="Arial"/>
          <w:spacing w:val="4"/>
          <w:sz w:val="22"/>
          <w:szCs w:val="22"/>
        </w:rPr>
        <w:t xml:space="preserve"> wykonać niezwłocznie po wcześniejszym wybudowaniu uruchomieniu nowego ujęcia zaopatrującego mieszkańców gminy Teresin w wodę, jest co do zasady prawidłowy i adekwatny. Z tego też względu, po odpowiednim zmodyfikowaniu, znalazł się on w pkt II.10.c [powinno być w pkt II.10.b – dopisek własny tut. organu] niniejszej decyzji. W opinii GDOŚ warunek ten zabezpiecza dostęp do wody pitnej dla okolicznych mieszkańców, ponieważ nakazuje inwestorowi potraktować te kwestię w sposób priorytetowy – ich zapotrzebowanie na wodę ma zostać pokryte w pierwszej kolejności, przed zapotrzebowaniem projektowanego przedsięwzięcia. W treści raportu przedstawiono również wynikające </w:t>
      </w:r>
      <w:r w:rsidRPr="0009014A">
        <w:rPr>
          <w:rFonts w:ascii="Lato" w:hAnsi="Lato" w:cs="Arial"/>
          <w:spacing w:val="4"/>
          <w:sz w:val="22"/>
          <w:szCs w:val="22"/>
        </w:rPr>
        <w:br/>
        <w:t xml:space="preserve">ze wstępnych badań przewidywane lokalizacje ujęć wód projektowanych w związku </w:t>
      </w:r>
      <w:r w:rsidRPr="0009014A">
        <w:rPr>
          <w:rFonts w:ascii="Lato" w:hAnsi="Lato" w:cs="Arial"/>
          <w:spacing w:val="4"/>
          <w:sz w:val="22"/>
          <w:szCs w:val="22"/>
        </w:rPr>
        <w:br/>
        <w:t xml:space="preserve">z realizacją inwestycji (str. 461 erraty do raportu z 2 marca 2023 r.). Natomiast biorąc pod uwagę wczesny etap procesu inwestycyjnego, szczegółowa lokalizacja zastępczego ujęcia zostanie dookreślona na etapie ponownej oceny oddziaływania przedsięwzięcia na środowisko, po przeprowadzeniu wszystkich planowanych badań hydrogeologicznych </w:t>
      </w:r>
      <w:r w:rsidRPr="0009014A">
        <w:rPr>
          <w:rFonts w:ascii="Lato" w:hAnsi="Lato" w:cs="Arial"/>
          <w:spacing w:val="4"/>
          <w:sz w:val="22"/>
          <w:szCs w:val="22"/>
        </w:rPr>
        <w:br/>
        <w:t xml:space="preserve">i szczegółowym rozpoznaniu zasobów wód podziemnych, co również znalazło swoje odzwierciedlenie w osnowie niniejszego rozstrzygnięcia (pkt V.2).”. </w:t>
      </w:r>
    </w:p>
    <w:p w14:paraId="50177367" w14:textId="6F000308" w:rsidR="0009014A" w:rsidRPr="0009014A" w:rsidRDefault="0009014A" w:rsidP="0009014A">
      <w:pPr>
        <w:spacing w:after="240" w:line="240" w:lineRule="exact"/>
        <w:jc w:val="both"/>
        <w:outlineLvl w:val="0"/>
        <w:rPr>
          <w:rFonts w:ascii="Lato" w:hAnsi="Lato" w:cs="Arial"/>
          <w:spacing w:val="4"/>
          <w:sz w:val="22"/>
          <w:szCs w:val="22"/>
        </w:rPr>
      </w:pPr>
      <w:r w:rsidRPr="0009014A">
        <w:rPr>
          <w:rFonts w:ascii="Lato" w:hAnsi="Lato" w:cs="Arial"/>
          <w:spacing w:val="4"/>
          <w:sz w:val="22"/>
          <w:szCs w:val="22"/>
        </w:rPr>
        <w:t xml:space="preserve">Z unormowań art. 88 ustawy </w:t>
      </w:r>
      <w:r w:rsidRPr="0009014A">
        <w:rPr>
          <w:rFonts w:ascii="Lato" w:hAnsi="Lato" w:cs="Arial"/>
          <w:bCs/>
          <w:iCs/>
          <w:spacing w:val="4"/>
          <w:sz w:val="22"/>
          <w:szCs w:val="22"/>
          <w:lang w:bidi="pl-PL"/>
        </w:rPr>
        <w:t>o udostępnianiu informacji o środowisku i jego ochronie</w:t>
      </w:r>
      <w:r w:rsidRPr="0009014A">
        <w:rPr>
          <w:rFonts w:ascii="Lato" w:hAnsi="Lato" w:cs="Arial"/>
          <w:spacing w:val="4"/>
          <w:sz w:val="22"/>
          <w:szCs w:val="22"/>
        </w:rPr>
        <w:t xml:space="preserve">, wynika, że ponowną ocenę o odziaływaniu inwestycji na środowisko przeprowadza się na etapie wydawania pozwolenia na budowę (zezwolenia na realizację inwestycji), a nie na etapie ustalenia samej lokalizacji inwestycji. Podkreślić należy, iż w pkt II niniejszej decyzji Minister zobowiązał inwestora do przestrzegania warunków wynikających zarówno z decyzji o środowiskowych uwarunkowaniach RDOŚ, jak i decyzji </w:t>
      </w:r>
      <w:r w:rsidRPr="0009014A">
        <w:rPr>
          <w:rFonts w:ascii="Lato" w:hAnsi="Lato" w:cs="Arial"/>
          <w:spacing w:val="4"/>
          <w:sz w:val="22"/>
          <w:szCs w:val="22"/>
        </w:rPr>
        <w:br/>
        <w:t>o środowiskowych uwarunkowaniach</w:t>
      </w:r>
      <w:r w:rsidR="003358A2">
        <w:rPr>
          <w:rFonts w:ascii="Lato" w:hAnsi="Lato" w:cs="Arial"/>
          <w:spacing w:val="4"/>
          <w:sz w:val="22"/>
          <w:szCs w:val="22"/>
        </w:rPr>
        <w:t xml:space="preserve"> GDOŚ</w:t>
      </w:r>
      <w:r w:rsidRPr="0009014A">
        <w:rPr>
          <w:rFonts w:ascii="Lato" w:hAnsi="Lato" w:cs="Arial"/>
          <w:spacing w:val="4"/>
          <w:sz w:val="22"/>
          <w:szCs w:val="22"/>
        </w:rPr>
        <w:t xml:space="preserve">. Zatem inwestor zobowiązany został </w:t>
      </w:r>
      <w:r w:rsidR="003358A2">
        <w:rPr>
          <w:rFonts w:ascii="Lato" w:hAnsi="Lato" w:cs="Arial"/>
          <w:spacing w:val="4"/>
          <w:sz w:val="22"/>
          <w:szCs w:val="22"/>
        </w:rPr>
        <w:br/>
      </w:r>
      <w:r w:rsidRPr="0009014A">
        <w:rPr>
          <w:rFonts w:ascii="Lato" w:hAnsi="Lato" w:cs="Arial"/>
          <w:spacing w:val="4"/>
          <w:sz w:val="22"/>
          <w:szCs w:val="22"/>
        </w:rPr>
        <w:t>do utrzymania działania ujęcia w M</w:t>
      </w:r>
      <w:r w:rsidR="00364AAB">
        <w:rPr>
          <w:rFonts w:ascii="Lato" w:hAnsi="Lato" w:cs="Arial"/>
          <w:spacing w:val="4"/>
          <w:sz w:val="22"/>
          <w:szCs w:val="22"/>
        </w:rPr>
        <w:t>.</w:t>
      </w:r>
      <w:r w:rsidRPr="0009014A">
        <w:rPr>
          <w:rFonts w:ascii="Lato" w:hAnsi="Lato" w:cs="Arial"/>
          <w:spacing w:val="4"/>
          <w:sz w:val="22"/>
          <w:szCs w:val="22"/>
        </w:rPr>
        <w:t xml:space="preserve"> do czasu uruchomienia nowego ujęcia (zastępującego ujęcie w M</w:t>
      </w:r>
      <w:r w:rsidR="00364AAB">
        <w:rPr>
          <w:rFonts w:ascii="Lato" w:hAnsi="Lato" w:cs="Arial"/>
          <w:spacing w:val="4"/>
          <w:sz w:val="22"/>
          <w:szCs w:val="22"/>
        </w:rPr>
        <w:t>.</w:t>
      </w:r>
      <w:r w:rsidRPr="0009014A">
        <w:rPr>
          <w:rFonts w:ascii="Lato" w:hAnsi="Lato" w:cs="Arial"/>
          <w:spacing w:val="4"/>
          <w:sz w:val="22"/>
          <w:szCs w:val="22"/>
        </w:rPr>
        <w:t xml:space="preserve">) w celu zapewnienia ciągłości dostaw wody dla gminy Teresin. Jak już to wyjaśniono wcześniej w niniejszej decyzji, </w:t>
      </w:r>
      <w:r w:rsidRPr="0009014A">
        <w:rPr>
          <w:rFonts w:ascii="Lato" w:hAnsi="Lato" w:cs="Arial"/>
          <w:bCs/>
          <w:iCs/>
          <w:spacing w:val="4"/>
          <w:sz w:val="22"/>
          <w:szCs w:val="22"/>
          <w:lang w:bidi="pl-PL"/>
        </w:rPr>
        <w:t xml:space="preserve">rzeczone rozstrzygnięcia środowiskowe i decyzję Wojewody Mazowieckiego należy czytać łącznie jako wzajemnie komplementarne i mające charakter wiążący. </w:t>
      </w:r>
      <w:r w:rsidRPr="0009014A">
        <w:rPr>
          <w:rFonts w:ascii="Lato" w:hAnsi="Lato" w:cs="Arial"/>
          <w:bCs/>
          <w:iCs/>
          <w:color w:val="000000"/>
          <w:spacing w:val="4"/>
          <w:sz w:val="22"/>
          <w:szCs w:val="22"/>
          <w:lang w:bidi="pl-PL"/>
        </w:rPr>
        <w:t xml:space="preserve">W odniesieniu do kwestii związanych </w:t>
      </w:r>
      <w:r w:rsidR="00364AAB">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z równowagą hydrologiczną czy obniżeniem wód gruntowych, należy wskazać, że były one szczegółowo opisane w ramach oceny oddziaływania na środowisko oraz są przedmiotem decyzji o środowiskowych uwarunkowaniach RDOŚ i decyzji </w:t>
      </w:r>
      <w:r w:rsidR="00364AAB">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o środowiskowych uwarunkowaniach GDOŚ, które to uzgodnienia środowiskowe</w:t>
      </w:r>
      <w:r w:rsidR="00364AAB">
        <w:rPr>
          <w:rFonts w:ascii="Lato" w:hAnsi="Lato" w:cs="Arial"/>
          <w:bCs/>
          <w:iCs/>
          <w:color w:val="000000"/>
          <w:spacing w:val="4"/>
          <w:sz w:val="22"/>
          <w:szCs w:val="22"/>
          <w:lang w:bidi="pl-PL"/>
        </w:rPr>
        <w:t xml:space="preserve"> </w:t>
      </w:r>
      <w:r w:rsidRPr="0009014A">
        <w:rPr>
          <w:rFonts w:ascii="Lato" w:hAnsi="Lato" w:cs="Arial"/>
          <w:bCs/>
          <w:iCs/>
          <w:color w:val="000000"/>
          <w:spacing w:val="4"/>
          <w:sz w:val="22"/>
          <w:szCs w:val="22"/>
          <w:lang w:bidi="pl-PL"/>
        </w:rPr>
        <w:t xml:space="preserve">wskazały określone obowiązki inwestora w ramach przygotowania </w:t>
      </w:r>
      <w:r w:rsidRPr="0009014A">
        <w:rPr>
          <w:rFonts w:ascii="Lato" w:hAnsi="Lato" w:cs="Arial"/>
          <w:bCs/>
          <w:iCs/>
          <w:color w:val="000000"/>
          <w:spacing w:val="4"/>
          <w:sz w:val="22"/>
          <w:szCs w:val="22"/>
          <w:lang w:bidi="pl-PL"/>
        </w:rPr>
        <w:br/>
        <w:t>i realizacji oraz eksploatacji przedsięwzięcia.</w:t>
      </w:r>
      <w:r w:rsidRPr="0009014A">
        <w:rPr>
          <w:rFonts w:ascii="Lato" w:hAnsi="Lato" w:cs="Arial"/>
          <w:color w:val="000000"/>
          <w:spacing w:val="4"/>
          <w:sz w:val="22"/>
          <w:szCs w:val="22"/>
        </w:rPr>
        <w:t xml:space="preserve"> </w:t>
      </w:r>
      <w:r w:rsidRPr="0009014A">
        <w:rPr>
          <w:rFonts w:ascii="Lato" w:hAnsi="Lato" w:cs="Arial"/>
          <w:bCs/>
          <w:iCs/>
          <w:color w:val="000000"/>
          <w:spacing w:val="4"/>
          <w:sz w:val="22"/>
          <w:szCs w:val="22"/>
          <w:lang w:bidi="pl-PL"/>
        </w:rPr>
        <w:t xml:space="preserve">Szczegółowe warunki korzystania z wód </w:t>
      </w:r>
      <w:r w:rsidRPr="0009014A">
        <w:rPr>
          <w:rFonts w:ascii="Lato" w:hAnsi="Lato" w:cs="Arial"/>
          <w:bCs/>
          <w:iCs/>
          <w:color w:val="000000"/>
          <w:spacing w:val="4"/>
          <w:sz w:val="22"/>
          <w:szCs w:val="22"/>
          <w:lang w:bidi="pl-PL"/>
        </w:rPr>
        <w:br/>
        <w:t>są określane etapowo w ramach prac projektowych dla kolej</w:t>
      </w:r>
      <w:r w:rsidRPr="0009014A">
        <w:rPr>
          <w:rFonts w:ascii="Lato" w:hAnsi="Lato" w:cs="Arial"/>
          <w:bCs/>
          <w:iCs/>
          <w:color w:val="000000"/>
          <w:spacing w:val="4"/>
          <w:sz w:val="22"/>
          <w:szCs w:val="22"/>
          <w:lang w:bidi="pl-PL"/>
        </w:rPr>
        <w:softHyphen/>
        <w:t xml:space="preserve">nych elementów Inwestycji i są przedmiotem dalszych rozstrzygnięć administracyjnych (pozwolenie wodnoprawne) na drodze do realizacji przedmiotowej </w:t>
      </w:r>
      <w:r w:rsidR="003358A2">
        <w:rPr>
          <w:rFonts w:ascii="Lato" w:hAnsi="Lato" w:cs="Arial"/>
          <w:bCs/>
          <w:iCs/>
          <w:color w:val="000000"/>
          <w:spacing w:val="4"/>
          <w:sz w:val="22"/>
          <w:szCs w:val="22"/>
          <w:lang w:bidi="pl-PL"/>
        </w:rPr>
        <w:t>I</w:t>
      </w:r>
      <w:r w:rsidRPr="0009014A">
        <w:rPr>
          <w:rFonts w:ascii="Lato" w:hAnsi="Lato" w:cs="Arial"/>
          <w:bCs/>
          <w:iCs/>
          <w:color w:val="000000"/>
          <w:spacing w:val="4"/>
          <w:sz w:val="22"/>
          <w:szCs w:val="22"/>
          <w:lang w:bidi="pl-PL"/>
        </w:rPr>
        <w:t xml:space="preserve">nwestycji. </w:t>
      </w:r>
    </w:p>
    <w:p w14:paraId="2EB31940" w14:textId="263419C2"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Odnosząc się do zarzutu skarżących dotycząc</w:t>
      </w:r>
      <w:r w:rsidR="003358A2">
        <w:rPr>
          <w:rFonts w:ascii="Lato" w:hAnsi="Lato" w:cs="Arial"/>
          <w:bCs/>
          <w:iCs/>
          <w:color w:val="000000"/>
          <w:spacing w:val="4"/>
          <w:sz w:val="22"/>
          <w:szCs w:val="22"/>
          <w:lang w:bidi="pl-PL"/>
        </w:rPr>
        <w:t>ego</w:t>
      </w:r>
      <w:r w:rsidRPr="0009014A">
        <w:rPr>
          <w:rFonts w:ascii="Lato" w:hAnsi="Lato" w:cs="Arial"/>
          <w:bCs/>
          <w:iCs/>
          <w:color w:val="000000"/>
          <w:spacing w:val="4"/>
          <w:sz w:val="22"/>
          <w:szCs w:val="22"/>
          <w:lang w:bidi="pl-PL"/>
        </w:rPr>
        <w:t xml:space="preserve"> określenia w decyzji Wojewody Mazowieckiego warunków wynikających z ochrony zabytków i dóbr kultury, zauważyć należy, iż w pkt 3 na str. 92-93 zaskarżonej decyzji organ I instancji określając rzeczone warunki ograniczył się de facto do zacytowania w całości opinii Mazowieckiego Wojewódzkiego Konserwator Zabytków (omyłkowo nazwanego na str. 92 decyzji jako: „Mazowiecki Wojewódzki Konserwator Zabytków Państwowej Straży Pożarnej) z dnia 5 października 2023 r., znak: WA.5183.65.2.2023.JG(586), załączon</w:t>
      </w:r>
      <w:r w:rsidR="003358A2">
        <w:rPr>
          <w:rFonts w:ascii="Lato" w:hAnsi="Lato" w:cs="Arial"/>
          <w:bCs/>
          <w:iCs/>
          <w:color w:val="000000"/>
          <w:spacing w:val="4"/>
          <w:sz w:val="22"/>
          <w:szCs w:val="22"/>
          <w:lang w:bidi="pl-PL"/>
        </w:rPr>
        <w:t>ej</w:t>
      </w:r>
      <w:r w:rsidRPr="0009014A">
        <w:rPr>
          <w:rFonts w:ascii="Lato" w:hAnsi="Lato" w:cs="Arial"/>
          <w:bCs/>
          <w:iCs/>
          <w:color w:val="000000"/>
          <w:spacing w:val="4"/>
          <w:sz w:val="22"/>
          <w:szCs w:val="22"/>
          <w:lang w:bidi="pl-PL"/>
        </w:rPr>
        <w:t xml:space="preserve"> przez inwestora do wniosku lokalizacyjnego, zgodnie z art. 41 ust. 1 pkt 12 w zw. z art. 43 ust. 1 pkt 10 ustawy CPK. W ocenie </w:t>
      </w:r>
      <w:r w:rsidRPr="0009014A">
        <w:rPr>
          <w:rFonts w:ascii="Lato" w:hAnsi="Lato" w:cs="Arial"/>
          <w:bCs/>
          <w:color w:val="000000"/>
          <w:spacing w:val="4"/>
          <w:sz w:val="22"/>
          <w:szCs w:val="22"/>
          <w:lang w:bidi="pl-PL"/>
        </w:rPr>
        <w:t xml:space="preserve">Ministra, </w:t>
      </w:r>
      <w:r w:rsidRPr="0009014A">
        <w:rPr>
          <w:rFonts w:ascii="Lato" w:hAnsi="Lato" w:cs="Arial"/>
          <w:bCs/>
          <w:iCs/>
          <w:color w:val="000000"/>
          <w:spacing w:val="4"/>
          <w:sz w:val="22"/>
          <w:szCs w:val="22"/>
          <w:lang w:bidi="pl-PL"/>
        </w:rPr>
        <w:t xml:space="preserve">nie jest rolą organu orzekającego nie jako „automatyczne” powielanie całości treści opinii w decyzji lokalizacyjnej, jak to uczynił Wojewoda Mazowiecki na stronach 92-93 zaskarżonej decyzji. Zauważyć bowiem </w:t>
      </w:r>
      <w:r w:rsidR="003358A2">
        <w:rPr>
          <w:rFonts w:ascii="Lato" w:hAnsi="Lato" w:cs="Arial"/>
          <w:bCs/>
          <w:iCs/>
          <w:color w:val="000000"/>
          <w:spacing w:val="4"/>
          <w:sz w:val="22"/>
          <w:szCs w:val="22"/>
          <w:lang w:bidi="pl-PL"/>
        </w:rPr>
        <w:br/>
      </w:r>
      <w:r w:rsidR="007E4F95">
        <w:rPr>
          <w:rFonts w:ascii="Lato" w:hAnsi="Lato" w:cs="Arial"/>
          <w:bCs/>
          <w:iCs/>
          <w:color w:val="000000"/>
          <w:spacing w:val="4"/>
          <w:sz w:val="22"/>
          <w:szCs w:val="22"/>
          <w:lang w:bidi="pl-PL"/>
        </w:rPr>
        <w:t xml:space="preserve">należy, </w:t>
      </w:r>
      <w:r w:rsidRPr="0009014A">
        <w:rPr>
          <w:rFonts w:ascii="Lato" w:hAnsi="Lato" w:cs="Arial"/>
          <w:bCs/>
          <w:iCs/>
          <w:color w:val="000000"/>
          <w:spacing w:val="4"/>
          <w:sz w:val="22"/>
          <w:szCs w:val="22"/>
          <w:lang w:bidi="pl-PL"/>
        </w:rPr>
        <w:t>że takie działanie nie ma ż</w:t>
      </w:r>
      <w:r w:rsidR="007E4F95" w:rsidRPr="007E4F95">
        <w:rPr>
          <w:rFonts w:ascii="Lato" w:hAnsi="Lato" w:cs="Arial"/>
          <w:bCs/>
          <w:iCs/>
          <w:color w:val="000000"/>
          <w:spacing w:val="4"/>
          <w:sz w:val="22"/>
          <w:szCs w:val="22"/>
          <w:lang w:bidi="pl-PL"/>
        </w:rPr>
        <w:t>a</w:t>
      </w:r>
      <w:r w:rsidRPr="0009014A">
        <w:rPr>
          <w:rFonts w:ascii="Lato" w:hAnsi="Lato" w:cs="Arial"/>
          <w:bCs/>
          <w:iCs/>
          <w:color w:val="000000"/>
          <w:spacing w:val="4"/>
          <w:sz w:val="22"/>
          <w:szCs w:val="22"/>
          <w:lang w:bidi="pl-PL"/>
        </w:rPr>
        <w:t xml:space="preserve">dnej wartości normatywnej, bowiem </w:t>
      </w:r>
      <w:r w:rsidR="007E4F95">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lastRenderedPageBreak/>
        <w:t>z dotychczasowego zapis</w:t>
      </w:r>
      <w:r w:rsidR="003358A2">
        <w:rPr>
          <w:rFonts w:ascii="Lato" w:hAnsi="Lato" w:cs="Arial"/>
          <w:bCs/>
          <w:iCs/>
          <w:color w:val="000000"/>
          <w:spacing w:val="4"/>
          <w:sz w:val="22"/>
          <w:szCs w:val="22"/>
          <w:lang w:bidi="pl-PL"/>
        </w:rPr>
        <w:t>u</w:t>
      </w:r>
      <w:r w:rsidRPr="0009014A">
        <w:rPr>
          <w:rFonts w:ascii="Lato" w:hAnsi="Lato" w:cs="Arial"/>
          <w:bCs/>
          <w:iCs/>
          <w:color w:val="000000"/>
          <w:spacing w:val="4"/>
          <w:sz w:val="22"/>
          <w:szCs w:val="22"/>
          <w:lang w:bidi="pl-PL"/>
        </w:rPr>
        <w:t xml:space="preserve"> na str. 92-93 decyzji organu I instancji nie wynika, czy dane wymogi (zacytowane z opinii organu ochrony zabytków) zostały na inwestora nałożone czy też nie. Gdyby wolą ustawodawcy było, aby np. przy ustalaniu w decyzji lokalizacyjnej warunków wynikających z ochrony zabytków i dóbr kultury, organ był bezwzględnie związany treścią opinii wydanej przez wojewódzkiego konserwatora zabytków, czy też opinia ta musiałyby stanowić samodzielny element części orzeczniczej decyzji, </w:t>
      </w:r>
      <w:r w:rsidR="007E4F95">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z pewnością znalazłoby to swoje odzwierciedlenie w treści przepisów ustawy CPK. Skoro tego jednak racjonalny ustawodawca nie uczynił, to oznacza, że opinie przekładane wraz z wnioskiem lokalizacyjnym, nie są wiążące dla organu, nie stanowią elementu orzeczniczego decyzji lokalizacyjnej, i ewentualnie mogą mieć jedynie charakter pomocniczy, przy ustalaniu ww. warunków.</w:t>
      </w:r>
      <w:r w:rsidRPr="0009014A">
        <w:rPr>
          <w:rFonts w:ascii="Lato" w:hAnsi="Lato" w:cs="Arial"/>
          <w:bCs/>
          <w:iCs/>
          <w:spacing w:val="4"/>
          <w:sz w:val="22"/>
          <w:szCs w:val="22"/>
        </w:rPr>
        <w:t xml:space="preserve"> </w:t>
      </w:r>
      <w:r w:rsidRPr="0009014A">
        <w:rPr>
          <w:rFonts w:ascii="Lato" w:hAnsi="Lato" w:cs="Arial"/>
          <w:bCs/>
          <w:iCs/>
          <w:color w:val="000000"/>
          <w:spacing w:val="4"/>
          <w:sz w:val="22"/>
          <w:szCs w:val="22"/>
          <w:lang w:bidi="pl-PL"/>
        </w:rPr>
        <w:t xml:space="preserve">Podkreślenia wymaga, iż opinia, </w:t>
      </w:r>
      <w:r w:rsidR="007E4F95">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przeciwieństwie do uzgodnienia, nie jest formą o znaczeniu stanowczym, bowiem nie wiąże organu administracyjnego rozstrzygającego sprawę. O kwestii tej będzie mowa szerzej w dalszej części niniejszej decyzji. </w:t>
      </w:r>
    </w:p>
    <w:p w14:paraId="27DC7622"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Mając powyższe na uwadze, w pkt II niniejszej decyzji, Minister dokonał korekty zapisów dotychczasowego pkt 3 pn.: „Ochrona zabytków i dóbr kultury” na str. 91-93 decyzji Wojewody Mazowieckiego. Ustalając treść nowych zapisów, </w:t>
      </w:r>
      <w:r w:rsidRPr="0009014A">
        <w:rPr>
          <w:rFonts w:ascii="Lato" w:hAnsi="Lato" w:cs="Arial"/>
          <w:bCs/>
          <w:color w:val="000000"/>
          <w:spacing w:val="4"/>
          <w:sz w:val="22"/>
          <w:szCs w:val="22"/>
          <w:lang w:bidi="pl-PL"/>
        </w:rPr>
        <w:t>Minister</w:t>
      </w:r>
      <w:r w:rsidRPr="0009014A">
        <w:rPr>
          <w:rFonts w:ascii="Lato" w:hAnsi="Lato" w:cs="Arial"/>
          <w:bCs/>
          <w:iCs/>
          <w:color w:val="000000"/>
          <w:spacing w:val="4"/>
          <w:sz w:val="22"/>
          <w:szCs w:val="22"/>
          <w:lang w:bidi="pl-PL"/>
        </w:rPr>
        <w:t xml:space="preserve"> posiłkował się </w:t>
      </w:r>
      <w:r w:rsidRPr="0009014A">
        <w:rPr>
          <w:rFonts w:ascii="Lato" w:hAnsi="Lato" w:cs="Arial"/>
          <w:bCs/>
          <w:iCs/>
          <w:color w:val="000000"/>
          <w:spacing w:val="4"/>
          <w:sz w:val="22"/>
          <w:szCs w:val="22"/>
          <w:lang w:bidi="pl-PL"/>
        </w:rPr>
        <w:br/>
        <w:t xml:space="preserve">w tym zakresie ww. opinią Mazowieckiego Wojewódzkiego Konserwator Zabytków  </w:t>
      </w:r>
      <w:r w:rsidRPr="0009014A">
        <w:rPr>
          <w:rFonts w:ascii="Lato" w:hAnsi="Lato" w:cs="Arial"/>
          <w:bCs/>
          <w:iCs/>
          <w:color w:val="000000"/>
          <w:spacing w:val="4"/>
          <w:sz w:val="22"/>
          <w:szCs w:val="22"/>
          <w:lang w:bidi="pl-PL"/>
        </w:rPr>
        <w:br/>
        <w:t xml:space="preserve">z dnia 5 października 2023 r., znak: WA.5183.65.2.2023.JG(586), oraz informacjami wskazanymi przez </w:t>
      </w:r>
      <w:r w:rsidRPr="0009014A">
        <w:rPr>
          <w:rFonts w:ascii="Lato" w:hAnsi="Lato" w:cs="Arial"/>
          <w:bCs/>
          <w:color w:val="000000"/>
          <w:spacing w:val="4"/>
          <w:sz w:val="22"/>
          <w:szCs w:val="22"/>
          <w:lang w:bidi="pl-PL"/>
        </w:rPr>
        <w:t>inwestora</w:t>
      </w:r>
      <w:r w:rsidRPr="0009014A">
        <w:rPr>
          <w:rFonts w:ascii="Lato" w:hAnsi="Lato" w:cs="Arial"/>
          <w:bCs/>
          <w:iCs/>
          <w:color w:val="000000"/>
          <w:spacing w:val="4"/>
          <w:sz w:val="22"/>
          <w:szCs w:val="22"/>
          <w:lang w:bidi="pl-PL"/>
        </w:rPr>
        <w:t xml:space="preserve"> we wniosku lokalizacyjnym i przedstawionymi na etapie odwoławczym. </w:t>
      </w:r>
      <w:r w:rsidRPr="0009014A">
        <w:rPr>
          <w:rFonts w:ascii="Lato" w:hAnsi="Lato" w:cs="Arial"/>
          <w:bCs/>
          <w:color w:val="000000"/>
          <w:spacing w:val="4"/>
          <w:sz w:val="22"/>
          <w:szCs w:val="22"/>
          <w:lang w:bidi="pl-PL"/>
        </w:rPr>
        <w:t>Minister</w:t>
      </w:r>
      <w:r w:rsidRPr="0009014A">
        <w:rPr>
          <w:rFonts w:ascii="Lato" w:hAnsi="Lato" w:cs="Arial"/>
          <w:bCs/>
          <w:iCs/>
          <w:color w:val="000000"/>
          <w:spacing w:val="4"/>
          <w:sz w:val="22"/>
          <w:szCs w:val="22"/>
          <w:lang w:bidi="pl-PL"/>
        </w:rPr>
        <w:t xml:space="preserve"> miał również na uwadze opisany już w niniejszej decyzji charakter decyzji lokalizacyjnej. </w:t>
      </w:r>
    </w:p>
    <w:p w14:paraId="4FACAD93" w14:textId="575DEAA2"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Za niezasadny należy uznać zarzut Pana Z</w:t>
      </w:r>
      <w:r w:rsidR="0017758A">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17758A">
        <w:rPr>
          <w:rFonts w:ascii="Lato" w:hAnsi="Lato" w:cs="Arial"/>
          <w:bCs/>
          <w:iCs/>
          <w:spacing w:val="4"/>
          <w:sz w:val="22"/>
          <w:szCs w:val="22"/>
          <w:lang w:bidi="pl-PL"/>
        </w:rPr>
        <w:t>.</w:t>
      </w:r>
      <w:r w:rsidRPr="0009014A">
        <w:rPr>
          <w:rFonts w:ascii="Lato" w:hAnsi="Lato" w:cs="Arial"/>
          <w:bCs/>
          <w:iCs/>
          <w:spacing w:val="4"/>
          <w:sz w:val="22"/>
          <w:szCs w:val="22"/>
          <w:lang w:bidi="pl-PL"/>
        </w:rPr>
        <w:t>, Pana P</w:t>
      </w:r>
      <w:r w:rsidR="0017758A">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17758A">
        <w:rPr>
          <w:rFonts w:ascii="Lato" w:hAnsi="Lato" w:cs="Arial"/>
          <w:bCs/>
          <w:iCs/>
          <w:spacing w:val="4"/>
          <w:sz w:val="22"/>
          <w:szCs w:val="22"/>
          <w:lang w:bidi="pl-PL"/>
        </w:rPr>
        <w:t>.</w:t>
      </w:r>
      <w:r w:rsidRPr="0009014A">
        <w:rPr>
          <w:rFonts w:ascii="Lato" w:hAnsi="Lato" w:cs="Arial"/>
          <w:bCs/>
          <w:iCs/>
          <w:spacing w:val="4"/>
          <w:sz w:val="22"/>
          <w:szCs w:val="22"/>
          <w:lang w:bidi="pl-PL"/>
        </w:rPr>
        <w:t>, Pani K</w:t>
      </w:r>
      <w:r w:rsidR="0017758A">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17758A">
        <w:rPr>
          <w:rFonts w:ascii="Lato" w:hAnsi="Lato" w:cs="Arial"/>
          <w:bCs/>
          <w:iCs/>
          <w:spacing w:val="4"/>
          <w:sz w:val="22"/>
          <w:szCs w:val="22"/>
          <w:lang w:bidi="pl-PL"/>
        </w:rPr>
        <w:t>.</w:t>
      </w:r>
      <w:r w:rsidRPr="0009014A">
        <w:rPr>
          <w:rFonts w:ascii="Lato" w:hAnsi="Lato" w:cs="Arial"/>
          <w:bCs/>
          <w:iCs/>
          <w:spacing w:val="4"/>
          <w:sz w:val="22"/>
          <w:szCs w:val="22"/>
          <w:lang w:bidi="pl-PL"/>
        </w:rPr>
        <w:t xml:space="preserve"> i spółki </w:t>
      </w:r>
      <w:r w:rsidR="0017758A">
        <w:rPr>
          <w:rFonts w:ascii="Lato" w:hAnsi="Lato" w:cs="Arial"/>
          <w:bCs/>
          <w:iCs/>
          <w:spacing w:val="4"/>
          <w:sz w:val="22"/>
          <w:szCs w:val="22"/>
          <w:lang w:bidi="pl-PL"/>
        </w:rPr>
        <w:t>(…)</w:t>
      </w:r>
      <w:r w:rsidRPr="0009014A">
        <w:rPr>
          <w:rFonts w:ascii="Lato" w:hAnsi="Lato" w:cs="Arial"/>
          <w:bCs/>
          <w:iCs/>
          <w:spacing w:val="4"/>
          <w:sz w:val="22"/>
          <w:szCs w:val="22"/>
          <w:lang w:bidi="pl-PL"/>
        </w:rPr>
        <w:t xml:space="preserve"> dotyczący naruszenia art. 40 ust. 2 pkt 10 ustawy CPK poprzez brak wymaganego wskazania sposobu ograniczenia w korzystaniu z nieruchomości w części decyzji Wojewody Mazowieckiego zawierającej wykaz nieruchomości lub ich części podlegających ograniczeniom w korzystaniu, co stanowi</w:t>
      </w:r>
      <w:r w:rsidRPr="0009014A">
        <w:rPr>
          <w:rFonts w:ascii="Lato" w:hAnsi="Lato"/>
          <w:spacing w:val="4"/>
          <w:sz w:val="22"/>
          <w:szCs w:val="22"/>
        </w:rPr>
        <w:t xml:space="preserve"> </w:t>
      </w:r>
      <w:r w:rsidRPr="0009014A">
        <w:rPr>
          <w:rFonts w:ascii="Lato" w:hAnsi="Lato" w:cs="Arial"/>
          <w:bCs/>
          <w:iCs/>
          <w:spacing w:val="4"/>
          <w:sz w:val="22"/>
          <w:szCs w:val="22"/>
          <w:lang w:bidi="pl-PL"/>
        </w:rPr>
        <w:t>obligatoryjny element treści decyzji lokalizacyjnej wydawanej na podstawie przepisów ustawy CPK.</w:t>
      </w:r>
    </w:p>
    <w:p w14:paraId="2E8BB539" w14:textId="77777777"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Zgodnie z art. 43 ust. 1 pkt 6 ustawy CPK, do wniosku o wydanie decyzji o ustaleniu lokalizacji inwestycji w zakresie CPK załącza się oznaczenie nieruchomości lub ich części, wobec których ustanowione mają zostać ograniczenia w sposobie korzystania, wraz ze wskazaniem sposobu ograniczenia. W myśl art. 40 ust. 2 pkt 10 ustawy CPK, decyzja </w:t>
      </w:r>
      <w:r w:rsidRPr="0009014A">
        <w:rPr>
          <w:rFonts w:ascii="Lato" w:hAnsi="Lato" w:cs="Arial"/>
          <w:bCs/>
          <w:iCs/>
          <w:spacing w:val="4"/>
          <w:sz w:val="22"/>
          <w:szCs w:val="22"/>
          <w:lang w:bidi="pl-PL"/>
        </w:rPr>
        <w:br/>
        <w:t xml:space="preserve">o ustaleniu lokalizacji inwestycji w zakresie CPK określa wykaz nieruchomości lub ich części, wobec których ogranicza się sposób korzystania z nieruchomości wraz ze wskazaniem sposobu ograniczenia w korzystaniu z nieruchomości. W myśl art. 53 ust. 1 pkt 1-3 ustawy CPK, ograniczenie sposobu korzystania z nieruchomości, wskazanych zgodnie z art. 40 ust. 2 pkt 10, następuje w zakresie pozwalającym w szczególności na zapewnienie prawa do wejścia na teren nieruchomości dla prowadzenia Inwestycji, </w:t>
      </w:r>
      <w:r w:rsidRPr="0009014A">
        <w:rPr>
          <w:rFonts w:ascii="Lato" w:hAnsi="Lato" w:cs="Arial"/>
          <w:bCs/>
          <w:iCs/>
          <w:spacing w:val="4"/>
          <w:sz w:val="22"/>
          <w:szCs w:val="22"/>
          <w:lang w:bidi="pl-PL"/>
        </w:rPr>
        <w:br/>
        <w:t xml:space="preserve">w tym dokonania związanej z nią budowy lub przebudowy układu drogowego, sieci kolejowej lub urządzeń wodnych (pkt 1); realizację i funkcjonowanie na nieruchomości: obiektów i urządzeń służących do przesyłania lub dystrybucji cieczy, gazów i energii elektrycznej oraz infrastruktury telekomunikacyjnej, a także innych podziemnych, naziemnych lub nadziemnych obiektów i urządzeń niezbędnych do korzystania z tych przewodów i urządzeń (pkt 2); realizację i funkcjonowanie Inwestycji w tunelu (pkt 3). Zgodnie z art. 55 ust. 1 ustawy CPK ograniczenie sposobu korzystania z nieruchomości następuje w zakresie pozwalającym na wykonanie czynności związanych z bieżącym utrzymaniem, konserwacją, remontem, przebudową oraz usuwaniem awarii ciągów drenażowych, przewodów i urządzeń służących do przesyłania lub dystrybucji płynów, pary, gazów i energii elektrycznej oraz urządzeń infrastruktury telekomunikacyjnej, </w:t>
      </w:r>
      <w:r w:rsidRPr="0009014A">
        <w:rPr>
          <w:rFonts w:ascii="Lato" w:hAnsi="Lato" w:cs="Arial"/>
          <w:bCs/>
          <w:iCs/>
          <w:spacing w:val="4"/>
          <w:sz w:val="22"/>
          <w:szCs w:val="22"/>
          <w:lang w:bidi="pl-PL"/>
        </w:rPr>
        <w:br/>
        <w:t xml:space="preserve">a także innych podziemnych, naziemnych lub nadziemnych obiektów i urządzeń </w:t>
      </w:r>
      <w:r w:rsidRPr="0009014A">
        <w:rPr>
          <w:rFonts w:ascii="Lato" w:hAnsi="Lato" w:cs="Arial"/>
          <w:bCs/>
          <w:iCs/>
          <w:spacing w:val="4"/>
          <w:sz w:val="22"/>
          <w:szCs w:val="22"/>
          <w:lang w:bidi="pl-PL"/>
        </w:rPr>
        <w:lastRenderedPageBreak/>
        <w:t>niezbędnych do korzystania z tych przewodów i urządzeń, a także usuwaniem z gruntu tych obiektów.</w:t>
      </w:r>
    </w:p>
    <w:p w14:paraId="57DDD6E1" w14:textId="560FF861"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Podkreślić należy, iż dla ustanowienia służebności publicznej na podstawie art. 53 ust. 1 w zw. z art. 40 ust. 2 pkt 10 ustawy CPK (tj. administracyjnoprawnego ograniczenia sposobu korzystania z nieruchomości) ustawodawca używa ogólnego normatywnego pojęcia: „ograniczenie sposobu korzystania z nieruchomości, wskazanych zgodnie z </w:t>
      </w:r>
      <w:hyperlink r:id="rId9" w:history="1">
        <w:r w:rsidRPr="0009014A">
          <w:rPr>
            <w:rFonts w:ascii="Lato" w:hAnsi="Lato" w:cs="Arial"/>
            <w:bCs/>
            <w:iCs/>
            <w:spacing w:val="4"/>
            <w:sz w:val="22"/>
            <w:szCs w:val="22"/>
            <w:lang w:bidi="pl-PL"/>
          </w:rPr>
          <w:t>art. 40 ust. 2 pkt 10</w:t>
        </w:r>
      </w:hyperlink>
      <w:r w:rsidRPr="0009014A">
        <w:rPr>
          <w:rFonts w:ascii="Lato" w:hAnsi="Lato" w:cs="Arial"/>
          <w:bCs/>
          <w:iCs/>
          <w:spacing w:val="4"/>
          <w:sz w:val="22"/>
          <w:szCs w:val="22"/>
          <w:lang w:bidi="pl-PL"/>
        </w:rPr>
        <w:t xml:space="preserve">, następuje w zakresie pozwalającym w szczególności na: (…)”. </w:t>
      </w:r>
      <w:r w:rsidRPr="0009014A">
        <w:rPr>
          <w:rFonts w:ascii="Lato" w:hAnsi="Lato" w:cs="Arial"/>
          <w:bCs/>
          <w:iCs/>
          <w:spacing w:val="4"/>
          <w:sz w:val="22"/>
          <w:szCs w:val="22"/>
          <w:lang w:bidi="pl-PL"/>
        </w:rPr>
        <w:br/>
        <w:t xml:space="preserve">W omawianym przypadku nie stosuje się procedury uzyskiwania zgody właściciela nieruchomości na ograniczenie w korzystaniu z nieruchomości, bowiem wyłączony jest obowiązek prowadzenia rokowań między właścicielem nieruchomości a inwestorem </w:t>
      </w:r>
      <w:r w:rsidRPr="0009014A">
        <w:rPr>
          <w:rFonts w:ascii="Lato" w:hAnsi="Lato" w:cs="Arial"/>
          <w:bCs/>
          <w:iCs/>
          <w:spacing w:val="4"/>
          <w:sz w:val="22"/>
          <w:szCs w:val="22"/>
          <w:lang w:bidi="pl-PL"/>
        </w:rPr>
        <w:br/>
        <w:t>co do przeprowadzenia robót.</w:t>
      </w:r>
      <w:r w:rsidR="00EB273A">
        <w:rPr>
          <w:rFonts w:ascii="Lato" w:hAnsi="Lato" w:cs="Arial"/>
          <w:bCs/>
          <w:iCs/>
          <w:spacing w:val="4"/>
          <w:sz w:val="22"/>
          <w:szCs w:val="22"/>
          <w:lang w:bidi="pl-PL"/>
        </w:rPr>
        <w:t xml:space="preserve"> </w:t>
      </w:r>
      <w:r w:rsidRPr="0009014A">
        <w:rPr>
          <w:rFonts w:ascii="Lato" w:hAnsi="Lato" w:cs="Arial"/>
          <w:bCs/>
          <w:iCs/>
          <w:spacing w:val="4"/>
          <w:sz w:val="22"/>
          <w:szCs w:val="22"/>
          <w:lang w:bidi="pl-PL"/>
        </w:rPr>
        <w:t xml:space="preserve">Zgodnie z art. 43 ust. 1 pkt 6 ustawy CPK, inwestor </w:t>
      </w:r>
      <w:r w:rsidR="00EB273A">
        <w:rPr>
          <w:rFonts w:ascii="Lato" w:hAnsi="Lato" w:cs="Arial"/>
          <w:bCs/>
          <w:iCs/>
          <w:spacing w:val="4"/>
          <w:sz w:val="22"/>
          <w:szCs w:val="22"/>
          <w:lang w:bidi="pl-PL"/>
        </w:rPr>
        <w:br/>
      </w:r>
      <w:r w:rsidRPr="0009014A">
        <w:rPr>
          <w:rFonts w:ascii="Lato" w:hAnsi="Lato" w:cs="Arial"/>
          <w:bCs/>
          <w:iCs/>
          <w:spacing w:val="4"/>
          <w:sz w:val="22"/>
          <w:szCs w:val="22"/>
          <w:lang w:bidi="pl-PL"/>
        </w:rPr>
        <w:t>we wniosku określił nieruchomości lub ich części, wobec których ustanowione mają zostać ograniczenia w sposobie korzystania, wraz ze wskazaniem sposobu ograniczenia. Sposób ograniczenia nieruchomości został określony przez inwestora poprzez opis prac w celu zajęcia poszczególnych nieruchomości z dodatkowym rozróżnieniem 2 typów ograniczeń w korzystaniu (tj. czasowe i trwałe). W pkt X na str. 135-147 decyzji Wojewody Mazowieckiego organ I instancji, na podstawie art. 40 ust. 2 pkt 10 ustawy CPK zawarł wykaz nieru</w:t>
      </w:r>
      <w:r w:rsidRPr="0009014A">
        <w:rPr>
          <w:rFonts w:ascii="Lato" w:hAnsi="Lato" w:cs="Arial"/>
          <w:bCs/>
          <w:iCs/>
          <w:spacing w:val="4"/>
          <w:sz w:val="22"/>
          <w:szCs w:val="22"/>
          <w:lang w:bidi="pl-PL"/>
        </w:rPr>
        <w:softHyphen/>
        <w:t>chomości lub ich części, wobec których ogranicza się sposób korzystania z nieruchomości wraz ze wska</w:t>
      </w:r>
      <w:r w:rsidRPr="0009014A">
        <w:rPr>
          <w:rFonts w:ascii="Lato" w:hAnsi="Lato" w:cs="Arial"/>
          <w:bCs/>
          <w:iCs/>
          <w:spacing w:val="4"/>
          <w:sz w:val="22"/>
          <w:szCs w:val="22"/>
          <w:lang w:bidi="pl-PL"/>
        </w:rPr>
        <w:softHyphen/>
        <w:t xml:space="preserve">zaniem sposobu ograniczenia w korzystaniu </w:t>
      </w:r>
      <w:r w:rsidRPr="0009014A">
        <w:rPr>
          <w:rFonts w:ascii="Lato" w:hAnsi="Lato" w:cs="Arial"/>
          <w:bCs/>
          <w:iCs/>
          <w:spacing w:val="4"/>
          <w:sz w:val="22"/>
          <w:szCs w:val="22"/>
          <w:lang w:bidi="pl-PL"/>
        </w:rPr>
        <w:br/>
        <w:t>z nieruchomości. Sposób ograniczenia w korzystaniu z nieruchomości został określony tożsamo jak we wniosku inwestora, tj. poprzez opis celu zajęcia poszczególnych nieruchomości w ramach ograniczenia w sposobie korzystania z dodatkowym rozróżnieniem 2 typów ograniczeń w korzystaniu (tj. czasowe i trwałe).</w:t>
      </w:r>
    </w:p>
    <w:p w14:paraId="74895139" w14:textId="77777777"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 xml:space="preserve">Nie mają racji skarżący wskazując, że decyzja Wojewody Mazowieckiego powinna określać czas trwania (jak zapewne chcieli tego skarżący, konkretne daty) ograniczeń oznaczonych jako „Czasowe”. Minister podziela stanowisko inwestora przedstawione </w:t>
      </w:r>
      <w:r w:rsidRPr="0009014A">
        <w:rPr>
          <w:rFonts w:ascii="Lato" w:hAnsi="Lato" w:cs="Arial"/>
          <w:bCs/>
          <w:iCs/>
          <w:spacing w:val="4"/>
          <w:sz w:val="22"/>
          <w:szCs w:val="22"/>
          <w:lang w:bidi="pl-PL"/>
        </w:rPr>
        <w:br/>
        <w:t>w toku procedury odwoławczej, że przyjęty podział w zakresie ograniczeń w korzystaniu z nierucho</w:t>
      </w:r>
      <w:r w:rsidRPr="0009014A">
        <w:rPr>
          <w:rFonts w:ascii="Lato" w:hAnsi="Lato" w:cs="Arial"/>
          <w:bCs/>
          <w:iCs/>
          <w:spacing w:val="4"/>
          <w:sz w:val="22"/>
          <w:szCs w:val="22"/>
          <w:lang w:bidi="pl-PL"/>
        </w:rPr>
        <w:softHyphen/>
        <w:t xml:space="preserve">mości na typ ograniczenia, tj. trwałe i czasowe stanowi element opisu sposobu ograniczenia w korzystaniu z nieruchomości. Ma on na celu informacyjnie doprecyzować treść opisu prac na poszczególnych nieruchomościach (zawartych w sąsiedniej kolumnie tabeli), nie ma on jednakże odrębnego znaczenia normatywnego, w sensie konieczności określenia precyzyjnego terminu ograniczeń. Ujęcie ograniczeń jako czasowych miało na celu wskazanie przejściowego charakteru prowadzonych prac, „okresowość” zajęcia nieruchomości. Na powyższe wskazuje zresztą art. 56 ust. 1 ustawy CPK stanowiący, </w:t>
      </w:r>
      <w:r w:rsidRPr="0009014A">
        <w:rPr>
          <w:rFonts w:ascii="Lato" w:hAnsi="Lato" w:cs="Arial"/>
          <w:bCs/>
          <w:iCs/>
          <w:spacing w:val="4"/>
          <w:sz w:val="22"/>
          <w:szCs w:val="22"/>
          <w:lang w:bidi="pl-PL"/>
        </w:rPr>
        <w:br/>
        <w:t>że niezwłocznie po wykonaniu, o których mowa w art. 53 i art. 55, na inwestorze ciąży obowiązek przywrócenia nieruchomości do stanu poprzedniego. W zaskarżonej decyzji pod pojęciem „ograniczenie czasowe" należy rozumieć prawo do wejścia na teren nieruchomości na czas budowy.</w:t>
      </w:r>
      <w:r w:rsidRPr="0009014A">
        <w:rPr>
          <w:rFonts w:ascii="Lato" w:eastAsiaTheme="minorHAnsi" w:hAnsi="Lato" w:cs="Arial"/>
          <w:spacing w:val="4"/>
          <w:sz w:val="22"/>
          <w:szCs w:val="22"/>
          <w:lang w:eastAsia="en-US"/>
        </w:rPr>
        <w:t xml:space="preserve"> </w:t>
      </w:r>
      <w:r w:rsidRPr="0009014A">
        <w:rPr>
          <w:rFonts w:ascii="Lato" w:hAnsi="Lato" w:cs="Arial"/>
          <w:bCs/>
          <w:iCs/>
          <w:spacing w:val="4"/>
          <w:sz w:val="22"/>
          <w:szCs w:val="22"/>
          <w:lang w:bidi="pl-PL"/>
        </w:rPr>
        <w:t xml:space="preserve">Takie prawo ma zawsze charakter czasowy, to znaczy czas jego trwania jest wyznaczony czasem budowy. </w:t>
      </w:r>
    </w:p>
    <w:p w14:paraId="52FDEF97" w14:textId="77777777" w:rsidR="0009014A" w:rsidRPr="0009014A" w:rsidRDefault="0009014A" w:rsidP="0009014A">
      <w:pPr>
        <w:spacing w:after="240" w:line="240" w:lineRule="exact"/>
        <w:jc w:val="both"/>
        <w:outlineLvl w:val="0"/>
        <w:rPr>
          <w:rFonts w:ascii="Lato" w:hAnsi="Lato" w:cs="Arial"/>
          <w:bCs/>
          <w:spacing w:val="4"/>
          <w:sz w:val="22"/>
          <w:szCs w:val="22"/>
          <w:lang w:bidi="pl-PL"/>
        </w:rPr>
      </w:pPr>
      <w:r w:rsidRPr="0009014A">
        <w:rPr>
          <w:rFonts w:ascii="Lato" w:hAnsi="Lato" w:cs="Arial"/>
          <w:bCs/>
          <w:iCs/>
          <w:spacing w:val="4"/>
          <w:sz w:val="22"/>
          <w:szCs w:val="22"/>
          <w:lang w:bidi="pl-PL"/>
        </w:rPr>
        <w:t xml:space="preserve">Z przepisów </w:t>
      </w:r>
      <w:r w:rsidRPr="0009014A">
        <w:rPr>
          <w:rFonts w:ascii="Lato" w:hAnsi="Lato" w:cs="Arial"/>
          <w:bCs/>
          <w:spacing w:val="4"/>
          <w:sz w:val="22"/>
          <w:szCs w:val="22"/>
          <w:lang w:bidi="pl-PL"/>
        </w:rPr>
        <w:t xml:space="preserve">ustawy CPK </w:t>
      </w:r>
      <w:r w:rsidRPr="0009014A">
        <w:rPr>
          <w:rFonts w:ascii="Lato" w:hAnsi="Lato" w:cs="Arial"/>
          <w:bCs/>
          <w:iCs/>
          <w:spacing w:val="4"/>
          <w:sz w:val="22"/>
          <w:szCs w:val="22"/>
          <w:lang w:bidi="pl-PL"/>
        </w:rPr>
        <w:t xml:space="preserve">nie wynika obowiązek określenia w decyzji o ustaleniu lokalizacji inwestycji w zakresie CPK terminu ograniczenia sposobu korzystania </w:t>
      </w:r>
      <w:r w:rsidRPr="0009014A">
        <w:rPr>
          <w:rFonts w:ascii="Lato" w:hAnsi="Lato" w:cs="Arial"/>
          <w:bCs/>
          <w:iCs/>
          <w:spacing w:val="4"/>
          <w:sz w:val="22"/>
          <w:szCs w:val="22"/>
          <w:lang w:bidi="pl-PL"/>
        </w:rPr>
        <w:br/>
        <w:t>z nieruchomości.</w:t>
      </w:r>
      <w:r w:rsidRPr="0009014A">
        <w:rPr>
          <w:rFonts w:ascii="Lato" w:hAnsi="Lato" w:cs="Arial"/>
          <w:bCs/>
          <w:spacing w:val="4"/>
          <w:sz w:val="22"/>
          <w:szCs w:val="22"/>
          <w:lang w:bidi="pl-PL"/>
        </w:rPr>
        <w:t xml:space="preserve"> Skoro ustawodawca nie nakłada na organ orzekający w trybie art. 40 ust. 2 pkt 10 ustawy CPK obowiązku wskazania w decyzji zezwalającej na ograniczenie sposobu korzystania z nieruchomości terminu, to ustalenie takowego terminu nie jest wymagane. Organ, działając na podstawie przepisów ustawy CPK nie mógł orzec </w:t>
      </w:r>
      <w:r w:rsidRPr="0009014A">
        <w:rPr>
          <w:rFonts w:ascii="Lato" w:hAnsi="Lato" w:cs="Arial"/>
          <w:bCs/>
          <w:spacing w:val="4"/>
          <w:sz w:val="22"/>
          <w:szCs w:val="22"/>
          <w:lang w:bidi="pl-PL"/>
        </w:rPr>
        <w:br/>
        <w:t xml:space="preserve">o dodatkowym elemencie, nie przewidzianym w przepisach tej ustawy. </w:t>
      </w:r>
      <w:r w:rsidRPr="0009014A">
        <w:rPr>
          <w:rFonts w:ascii="Lato" w:hAnsi="Lato" w:cs="Arial"/>
          <w:bCs/>
          <w:iCs/>
          <w:spacing w:val="4"/>
          <w:sz w:val="22"/>
          <w:szCs w:val="22"/>
          <w:lang w:bidi="pl-PL"/>
        </w:rPr>
        <w:t xml:space="preserve">Jest to zupełnie zrozumiałe, bowiem kwestia terminu czy czasokresu zajęcia nieruchomości w ramach wykonania prac na nieruchomościach objętych ograniczeniem w korzystaniu </w:t>
      </w:r>
      <w:r w:rsidRPr="0009014A">
        <w:rPr>
          <w:rFonts w:ascii="Lato" w:hAnsi="Lato" w:cs="Arial"/>
          <w:bCs/>
          <w:iCs/>
          <w:spacing w:val="4"/>
          <w:sz w:val="22"/>
          <w:szCs w:val="22"/>
          <w:lang w:bidi="pl-PL"/>
        </w:rPr>
        <w:br/>
        <w:t>z nieruchomości określona zostaje na etapie prowadzenia robót budowlanych, przyjęcia harmonogramu robót. Jest to etap ściśle zwią</w:t>
      </w:r>
      <w:r w:rsidRPr="0009014A">
        <w:rPr>
          <w:rFonts w:ascii="Lato" w:hAnsi="Lato" w:cs="Arial"/>
          <w:bCs/>
          <w:iCs/>
          <w:spacing w:val="4"/>
          <w:sz w:val="22"/>
          <w:szCs w:val="22"/>
          <w:lang w:bidi="pl-PL"/>
        </w:rPr>
        <w:softHyphen/>
        <w:t>zany z wykonywaniem prac w terenie, stąd decyzja lokalizacyjna nie może zasadniczo określać ter</w:t>
      </w:r>
      <w:r w:rsidRPr="0009014A">
        <w:rPr>
          <w:rFonts w:ascii="Lato" w:hAnsi="Lato" w:cs="Arial"/>
          <w:bCs/>
          <w:iCs/>
          <w:spacing w:val="4"/>
          <w:sz w:val="22"/>
          <w:szCs w:val="22"/>
          <w:lang w:bidi="pl-PL"/>
        </w:rPr>
        <w:softHyphen/>
        <w:t>minu zajęcia.</w:t>
      </w:r>
      <w:r w:rsidRPr="0009014A">
        <w:rPr>
          <w:rFonts w:ascii="Lato" w:hAnsi="Lato" w:cs="Arial"/>
          <w:color w:val="000000"/>
          <w:spacing w:val="4"/>
          <w:sz w:val="22"/>
          <w:szCs w:val="22"/>
        </w:rPr>
        <w:t xml:space="preserve"> </w:t>
      </w:r>
      <w:r w:rsidRPr="0009014A">
        <w:rPr>
          <w:rFonts w:ascii="Lato" w:hAnsi="Lato" w:cs="Arial"/>
          <w:bCs/>
          <w:iCs/>
          <w:spacing w:val="4"/>
          <w:sz w:val="22"/>
          <w:szCs w:val="22"/>
          <w:lang w:bidi="pl-PL"/>
        </w:rPr>
        <w:t xml:space="preserve">Art. 54 ust. 1 ustawy </w:t>
      </w:r>
      <w:r w:rsidRPr="0009014A">
        <w:rPr>
          <w:rFonts w:ascii="Lato" w:hAnsi="Lato" w:cs="Arial"/>
          <w:bCs/>
          <w:iCs/>
          <w:spacing w:val="4"/>
          <w:sz w:val="22"/>
          <w:szCs w:val="22"/>
          <w:lang w:bidi="pl-PL"/>
        </w:rPr>
        <w:lastRenderedPageBreak/>
        <w:t xml:space="preserve">CPK stanowi, że ustanowienie ograniczenia sposobu korzystania z nieruchomości następuje z dniem, w którym decyzja o ustaleniu lokalizacji inwestycji w zakresie CPK stała się ostateczna i jest to jedyny przepis określający czasookres ograniczenia </w:t>
      </w:r>
      <w:r w:rsidRPr="0009014A">
        <w:rPr>
          <w:rFonts w:ascii="Lato" w:hAnsi="Lato" w:cs="Arial"/>
          <w:bCs/>
          <w:iCs/>
          <w:spacing w:val="4"/>
          <w:sz w:val="22"/>
          <w:szCs w:val="22"/>
          <w:lang w:bidi="pl-PL"/>
        </w:rPr>
        <w:br/>
        <w:t xml:space="preserve">w korzystaniu z nieruchomości wynikający wprost z przepisów ustawy CPK (stanowiący skutek ex lege, gdy decyzja o ustaleniu lokalizacji w zakresie CPK stanie się ostateczna). </w:t>
      </w:r>
    </w:p>
    <w:p w14:paraId="72DD65AB" w14:textId="77777777" w:rsidR="0009014A" w:rsidRPr="0009014A" w:rsidRDefault="0009014A" w:rsidP="0009014A">
      <w:pPr>
        <w:spacing w:after="240" w:line="240" w:lineRule="exact"/>
        <w:jc w:val="both"/>
        <w:outlineLvl w:val="0"/>
        <w:rPr>
          <w:rFonts w:ascii="Lato" w:hAnsi="Lato" w:cs="Arial"/>
          <w:bCs/>
          <w:iCs/>
          <w:spacing w:val="4"/>
          <w:sz w:val="22"/>
          <w:szCs w:val="22"/>
          <w:lang w:bidi="pl-PL"/>
        </w:rPr>
      </w:pPr>
      <w:r w:rsidRPr="0009014A">
        <w:rPr>
          <w:rFonts w:ascii="Lato" w:hAnsi="Lato" w:cs="Arial"/>
          <w:bCs/>
          <w:iCs/>
          <w:spacing w:val="4"/>
          <w:sz w:val="22"/>
          <w:szCs w:val="22"/>
          <w:lang w:bidi="pl-PL"/>
        </w:rPr>
        <w:t>Na uwzględnienie nie zasługuje stanowisko skarżących dotyczące kwestii arbitralności wskazania działek podlegających ograniczeniom. Z ww. przepisów ustawy CPK jednoznacznie wynika, że to inwestor wskazuje we wniosku nieruchomości lub ich części, wobec których ustanowione mają zostać ograniczenia w sposobie korzystania, wraz ze wskazaniem sposobu ograniczenia (art. 43 ust. 1 pkt 6 ustawy CPK).</w:t>
      </w:r>
      <w:r w:rsidRPr="0009014A">
        <w:rPr>
          <w:rFonts w:ascii="Lato" w:eastAsiaTheme="minorHAnsi" w:hAnsi="Lato" w:cs="Arial"/>
          <w:bCs/>
          <w:spacing w:val="4"/>
          <w:sz w:val="22"/>
          <w:szCs w:val="22"/>
          <w:lang w:eastAsia="en-US" w:bidi="pl-PL"/>
        </w:rPr>
        <w:t xml:space="preserve"> </w:t>
      </w:r>
      <w:r w:rsidRPr="0009014A">
        <w:rPr>
          <w:rFonts w:ascii="Lato" w:hAnsi="Lato" w:cs="Arial"/>
          <w:bCs/>
          <w:iCs/>
          <w:spacing w:val="4"/>
          <w:sz w:val="22"/>
          <w:szCs w:val="22"/>
          <w:lang w:bidi="pl-PL"/>
        </w:rPr>
        <w:t>Konsekwentnie, ustawa CPK w art. 40 ust. 2 pkt 10 przewiduje, że decyzja o ustaleniu lokalizacji inwestycji w zakresie CPK zawiera wykaz nieruchomości lub ich części, wobec których ogranicza się sposób korzystania z nieruchomości wraz ze wskazaniem sposobu ograniczenia w korzystaniu z nieruchomości. W tym wypadku organ administracji przyjmuje oznaczenie nieruchomości przedstawionych przez inwestora. Organ orzekający dokonuje jedynie oceny formalnoprawnej do</w:t>
      </w:r>
      <w:r w:rsidRPr="0009014A">
        <w:rPr>
          <w:rFonts w:ascii="Lato" w:hAnsi="Lato" w:cs="Arial"/>
          <w:bCs/>
          <w:iCs/>
          <w:spacing w:val="4"/>
          <w:sz w:val="22"/>
          <w:szCs w:val="22"/>
          <w:lang w:bidi="pl-PL"/>
        </w:rPr>
        <w:softHyphen/>
        <w:t>puszczalności lokalizacji inwestycji, natomiast to inwestor wyznacza miejsce oraz sposób realizacji inwestycji. Inwestor wyjaśnił, iż mając na względzie zarówno uwa</w:t>
      </w:r>
      <w:r w:rsidRPr="0009014A">
        <w:rPr>
          <w:rFonts w:ascii="Lato" w:hAnsi="Lato" w:cs="Arial"/>
          <w:bCs/>
          <w:iCs/>
          <w:spacing w:val="4"/>
          <w:sz w:val="22"/>
          <w:szCs w:val="22"/>
          <w:lang w:bidi="pl-PL"/>
        </w:rPr>
        <w:softHyphen/>
        <w:t xml:space="preserve">runkowania techniczne, jak </w:t>
      </w:r>
      <w:r w:rsidRPr="0009014A">
        <w:rPr>
          <w:rFonts w:ascii="Lato" w:hAnsi="Lato" w:cs="Arial"/>
          <w:bCs/>
          <w:iCs/>
          <w:spacing w:val="4"/>
          <w:sz w:val="22"/>
          <w:szCs w:val="22"/>
          <w:lang w:bidi="pl-PL"/>
        </w:rPr>
        <w:br/>
        <w:t xml:space="preserve">i ograniczenie zakresu zajęcia nieruchomości stanowiących własność osób trzecich wskazał zakres zajęcia nieruchomości do ograniczenia w korzystaniu. Natomiast zakres przestrzenny ograniczenia został określony w załączniku graficznym do decyzji Wojewody Mazowieckiego, tj. mapie w skali 1:1000 przedstawiającej projektowany obszar Inwestycji. W konsekwencji, nie można podzielić stanowiska skarżących, </w:t>
      </w:r>
      <w:r w:rsidRPr="0009014A">
        <w:rPr>
          <w:rFonts w:ascii="Lato" w:hAnsi="Lato" w:cs="Arial"/>
          <w:bCs/>
          <w:iCs/>
          <w:spacing w:val="4"/>
          <w:sz w:val="22"/>
          <w:szCs w:val="22"/>
          <w:lang w:bidi="pl-PL"/>
        </w:rPr>
        <w:br/>
        <w:t xml:space="preserve">że inwestor arbitralnie wskazał działki podlegające ograniczeniom. </w:t>
      </w:r>
    </w:p>
    <w:p w14:paraId="32924DF4" w14:textId="3FF00684"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Na uwzględnienie nie zasługuje zarzut Pana Z</w:t>
      </w:r>
      <w:r w:rsidR="00F3220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F3220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P</w:t>
      </w:r>
      <w:r w:rsidR="00F3220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F3220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K</w:t>
      </w:r>
      <w:r w:rsidR="00F3220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F3220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spółki </w:t>
      </w:r>
      <w:r w:rsidR="00F3220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naruszenia art. 38 ust. 1 w zw. z art. 2 pkt 3 i art. 3 ust. 1 i 2 ustawy CPK </w:t>
      </w:r>
      <w:r w:rsidRPr="0009014A">
        <w:rPr>
          <w:rFonts w:ascii="Lato" w:hAnsi="Lato" w:cs="Arial"/>
          <w:bCs/>
          <w:iCs/>
          <w:color w:val="000000"/>
          <w:spacing w:val="4"/>
          <w:sz w:val="22"/>
          <w:szCs w:val="22"/>
          <w:lang w:bidi="pl-PL"/>
        </w:rPr>
        <w:br/>
        <w:t xml:space="preserve">w zw. z art. 6 ugn oraz art. 21 ust. 2 Konstytucji RP w zw. z art. 48 ust. 1 i art. 53 ust. 1 ustawy CPK poprzez błędne przyjęcie, że przedsięwzięcie objęte wnioskiem stanowi </w:t>
      </w:r>
      <w:r w:rsidRPr="0009014A">
        <w:rPr>
          <w:rFonts w:ascii="Lato" w:hAnsi="Lato" w:cs="Arial"/>
          <w:bCs/>
          <w:iCs/>
          <w:color w:val="000000"/>
          <w:spacing w:val="4"/>
          <w:sz w:val="22"/>
          <w:szCs w:val="22"/>
          <w:lang w:bidi="pl-PL"/>
        </w:rPr>
        <w:br/>
        <w:t>w całości inwestycję celu publicznego, podczas gdy zakres przedmiotowy przedsięwzięcia wskazanego we wniosku inwestora obejmuje obszar nieruchomości, które będą przeznaczone na cele, które nie są celami publicznymi i stanowią inwestycje komercyjne, m.in. farmy fotowoltaiczne, instalacje geotermalne, oraz tzw. „airport city”, tj. zabudowę otaczającą lotnisko, na którą składają się budynki biurowe i konferencyjne, hotele, oraz budynki mieszkalne, w których będzie mieszkał personel obsługujący pracę lotniska, a w konsekwencji naruszenie konstytucyjnego zakazu wywłaszczenia na cele inne niż publiczne.</w:t>
      </w:r>
    </w:p>
    <w:p w14:paraId="31C554CB" w14:textId="77777777" w:rsidR="0009014A" w:rsidRPr="0009014A" w:rsidRDefault="0009014A" w:rsidP="0009014A">
      <w:p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Zgodnie z art. 1 pkt 1-4 ustawy CPK (określającym zakres przedmiotowy tego aktu prawnego) ustawa ta określa zasady i tryb zarządzania przygotowaniem i realizacją Centralnego Portu Komunikacyjnego, w skład którego wchodzą zawarte w Programie: Inwestycja, Inwestycje Towarzyszące oraz pozostałe zadania, w tym o charakterze nieinwestycyjnym, powiązane z realizacją Inwestycji oraz Inwestycji Towarzyszących, zwane dalej łącznie "Przedsięwzięciami" (pkt 1);  przygotowania i realizacji Przedsięwzięć (pkt 2); zarządzania rozwojem obszaru otoczenia CPK (pkt 3); przygotowania i realizacji procesów zorganizowanej relokacji w związku z nabywaniem gruntów na cele określone w ustawie (pkt 4). W art. 2 pkt 3 ustawy CPK objaśniono pojęcie „Inwestycja”. W myśl  tego przepisu przez „Inwestycję” należy przez to rozumieć budowę lotniska użytku publicznego w rozumieniu art. 54 ust. 2 ustawy Prawo lotnicze wraz z obiektami, urządzeniami, wyposażeniem, sieciami i instalacjami służącymi do jego budowy, przebudowy, remontu, utrzymania, użytkowania, zmiany sposobu użytkowania, eksploatacji lub rozbiórki oraz innymi inwestycjami, w szczególności wraz z:</w:t>
      </w:r>
    </w:p>
    <w:p w14:paraId="7A52D0B3" w14:textId="77777777" w:rsidR="0009014A" w:rsidRPr="0009014A" w:rsidRDefault="0009014A" w:rsidP="0009014A">
      <w:p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a) drogami publicznymi w rozumieniu art. 1 ustawy o drogach publicznych,</w:t>
      </w:r>
    </w:p>
    <w:p w14:paraId="561D64E1" w14:textId="77777777" w:rsidR="0009014A" w:rsidRPr="0009014A" w:rsidRDefault="0009014A" w:rsidP="0009014A">
      <w:p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lastRenderedPageBreak/>
        <w:t xml:space="preserve">b) sieciami przesyłowymi i sieciami dystrybucyjnymi w rozumieniu przepisów ustawy </w:t>
      </w:r>
      <w:r w:rsidRPr="0009014A">
        <w:rPr>
          <w:rFonts w:ascii="Lato" w:hAnsi="Lato" w:cs="Arial"/>
          <w:bCs/>
          <w:iCs/>
          <w:color w:val="000000"/>
          <w:spacing w:val="4"/>
          <w:sz w:val="22"/>
          <w:szCs w:val="22"/>
          <w:lang w:bidi="pl-PL"/>
        </w:rPr>
        <w:br/>
        <w:t>z dnia 10 kwietnia 1997 r. - Prawo energetyczne (Dz.U. z 2024 r. poz. 266 , 834 i 859 ),</w:t>
      </w:r>
    </w:p>
    <w:p w14:paraId="40B3DD56" w14:textId="77777777" w:rsidR="0009014A" w:rsidRPr="0009014A" w:rsidRDefault="0009014A" w:rsidP="0009014A">
      <w:p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c) drogami kolejowymi w rozumieniu art. 4 pkt 1a ustawy o transporcie kolejowym,</w:t>
      </w:r>
    </w:p>
    <w:p w14:paraId="4F3EFEAA" w14:textId="77777777" w:rsidR="0009014A" w:rsidRPr="0009014A" w:rsidRDefault="0009014A" w:rsidP="0009014A">
      <w:p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d) urządzeniami i obiektami do obsługi ruchu lotniczego w rozumieniu art. 2 pkt 8 ustawy z dnia 12 lutego 2009 r. o szczególnych zasadach przygotowania i realizacji inwestycji </w:t>
      </w:r>
      <w:r w:rsidRPr="0009014A">
        <w:rPr>
          <w:rFonts w:ascii="Lato" w:hAnsi="Lato" w:cs="Arial"/>
          <w:bCs/>
          <w:iCs/>
          <w:color w:val="000000"/>
          <w:spacing w:val="4"/>
          <w:sz w:val="22"/>
          <w:szCs w:val="22"/>
          <w:lang w:bidi="pl-PL"/>
        </w:rPr>
        <w:br/>
        <w:t>w zakresie lotnisk użytku publicznego (Dz.U. z 2024 r. poz. 1464),</w:t>
      </w:r>
    </w:p>
    <w:p w14:paraId="3EBC921B" w14:textId="77777777" w:rsidR="0009014A" w:rsidRPr="0009014A" w:rsidRDefault="0009014A" w:rsidP="0009014A">
      <w:p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e) urządzeniami wodnymi w rozumieniu art. 16 pkt 65 ustawy z dnia 20 lipca 2017 r. - Prawo wodne,</w:t>
      </w:r>
    </w:p>
    <w:p w14:paraId="633DE12F" w14:textId="77777777" w:rsidR="0009014A" w:rsidRPr="0009014A" w:rsidRDefault="0009014A" w:rsidP="0009014A">
      <w:p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f) rurociągami ropy naftowej lub produktów naftowych wraz z infrastrukturą niezbędną do obsługi w rozumieniu ustawy z dnia 22 lutego 2019 r. o przygotowaniu i realizacji strategicznych inwestycji w sektorze naftowym (Dz.U. z 2024 r. poz. 405 i 834)</w:t>
      </w:r>
    </w:p>
    <w:p w14:paraId="57F4BDEF"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jeżeli są one przestrzennie oraz funkcjonalnie powiązane z projektowanym lotniskiem;</w:t>
      </w:r>
    </w:p>
    <w:p w14:paraId="63276F4F"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 powyższego wynika, iż ustawodawca w sposób dość szeroki wskazał na zakres pojęcia „Inwestycja” użyty w ustawie CPK. Przepis art. 2 pkt 3 ustawy CPK nie zawiera zamkniętego katalogu obiektów, urządzeń, wyposażenia, sieci i instalacji służących do budowy lotniska użytku publicznego, przebudowy, remontu, utrzymania, użytkowania, zmiany sposobu użytkowania, eksploatacji lub rozbiórki oraz innych inwestycji (wskazuje na to wyraźnie posłużenie się przez ustawodawcę wyrażeniem „w szczególności”), zastrzegając jedynie, że elementy te muszą być przestrzennie oraz funkcjonalnie powiązane z projektowanym lotniskiem. Należy zauważyć także, że przepisy ustawy CPK stanowią wprost i w sposób jednoznaczny, że realizacja Inwestycji (w rozumieniu art. 2 pkt 3 ustawy CPK) i Inwestycji Towarzyszących (w rozumieniu art. 2 pkt 4 ustawy CPK) stanowi cel publiczny w rozumieniu przepisów ugn (art. 3 ust. 1 ustawy CPK), przy czym art. 6 pkt 10 ugn wyraźnie łączy pojęcie celu publicznego w jej rozumieniu z celami określonymi jako publiczne w odrębnych ustawach.</w:t>
      </w:r>
      <w:r w:rsidRPr="0009014A">
        <w:rPr>
          <w:rFonts w:ascii="Lato" w:hAnsi="Lato" w:cs="Arial"/>
          <w:color w:val="000000"/>
          <w:spacing w:val="4"/>
          <w:sz w:val="22"/>
          <w:szCs w:val="22"/>
        </w:rPr>
        <w:t xml:space="preserve"> </w:t>
      </w:r>
      <w:r w:rsidRPr="0009014A">
        <w:rPr>
          <w:rFonts w:ascii="Lato" w:hAnsi="Lato" w:cs="Arial"/>
          <w:bCs/>
          <w:iCs/>
          <w:color w:val="000000"/>
          <w:spacing w:val="4"/>
          <w:sz w:val="22"/>
          <w:szCs w:val="22"/>
        </w:rPr>
        <w:t xml:space="preserve">Zatem ustawodawca w sposób wiążący w art. 3 ust. 1 ustawy CPK zadecydował, że </w:t>
      </w:r>
      <w:r w:rsidRPr="0009014A">
        <w:rPr>
          <w:rFonts w:ascii="Lato" w:hAnsi="Lato" w:cs="Arial"/>
          <w:bCs/>
          <w:iCs/>
          <w:color w:val="000000"/>
          <w:spacing w:val="4"/>
          <w:sz w:val="22"/>
          <w:szCs w:val="22"/>
          <w:lang w:bidi="pl-PL"/>
        </w:rPr>
        <w:t>Inwestycja i Inwestycja Towarzysząca</w:t>
      </w:r>
      <w:r w:rsidRPr="0009014A">
        <w:rPr>
          <w:rFonts w:ascii="Lato" w:hAnsi="Lato" w:cs="Arial"/>
          <w:bCs/>
          <w:iCs/>
          <w:color w:val="000000"/>
          <w:spacing w:val="4"/>
          <w:sz w:val="22"/>
          <w:szCs w:val="22"/>
        </w:rPr>
        <w:t xml:space="preserve">, realizowana w trybie ustawy CPK, ipso iure jest inwestycją celu publicznego. </w:t>
      </w:r>
      <w:r w:rsidRPr="0009014A">
        <w:rPr>
          <w:rFonts w:ascii="Lato" w:hAnsi="Lato" w:cs="Arial"/>
          <w:bCs/>
          <w:iCs/>
          <w:color w:val="000000"/>
          <w:spacing w:val="4"/>
          <w:sz w:val="22"/>
          <w:szCs w:val="22"/>
          <w:lang w:bidi="pl-PL"/>
        </w:rPr>
        <w:t>Celem sformułowania na potrzeby realizacji Inwestycji odrębnego celu publicznego było stworzenie moż</w:t>
      </w:r>
      <w:r w:rsidRPr="0009014A">
        <w:rPr>
          <w:rFonts w:ascii="Lato" w:hAnsi="Lato" w:cs="Arial"/>
          <w:bCs/>
          <w:iCs/>
          <w:color w:val="000000"/>
          <w:spacing w:val="4"/>
          <w:sz w:val="22"/>
          <w:szCs w:val="22"/>
          <w:lang w:bidi="pl-PL"/>
        </w:rPr>
        <w:softHyphen/>
        <w:t>liwości realizacji obiektów lotniska jak i innych obiektów, urządzeń, których wspólną cechą jest prze</w:t>
      </w:r>
      <w:r w:rsidRPr="0009014A">
        <w:rPr>
          <w:rFonts w:ascii="Lato" w:hAnsi="Lato" w:cs="Arial"/>
          <w:bCs/>
          <w:iCs/>
          <w:color w:val="000000"/>
          <w:spacing w:val="4"/>
          <w:sz w:val="22"/>
          <w:szCs w:val="22"/>
          <w:lang w:bidi="pl-PL"/>
        </w:rPr>
        <w:softHyphen/>
        <w:t>strzenne oraz funkcjonalne powiązanie z projektowanym lotniskiem. Należy mieć na uwadze, że usta</w:t>
      </w:r>
      <w:r w:rsidRPr="0009014A">
        <w:rPr>
          <w:rFonts w:ascii="Lato" w:hAnsi="Lato" w:cs="Arial"/>
          <w:bCs/>
          <w:iCs/>
          <w:color w:val="000000"/>
          <w:spacing w:val="4"/>
          <w:sz w:val="22"/>
          <w:szCs w:val="22"/>
          <w:lang w:bidi="pl-PL"/>
        </w:rPr>
        <w:softHyphen/>
        <w:t xml:space="preserve">wodawca tworzył definicję tego celu mając na względzie realizację Inwestycji w zakresie Centralnego Portu Komunikacyjnego. </w:t>
      </w:r>
    </w:p>
    <w:p w14:paraId="7AE622B5"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Na zakres obecnego brzmienia pojęcia „Inwestycja” określonego w art. 2 pkt 3 ustawy CPK zwraca uwagę także uzasadnienie do rządowego projektu ustawy o usprawnieniu procesu inwestycyjnego Centralnego Portu Komunikacyjnego (druk sejmowy nr 2400, Sejm IX kadencji, </w:t>
      </w:r>
      <w:hyperlink r:id="rId10" w:history="1">
        <w:r w:rsidRPr="0009014A">
          <w:rPr>
            <w:rFonts w:ascii="Lato" w:hAnsi="Lato" w:cs="Arial"/>
            <w:bCs/>
            <w:iCs/>
            <w:spacing w:val="4"/>
            <w:sz w:val="22"/>
            <w:szCs w:val="22"/>
            <w:lang w:bidi="pl-PL"/>
          </w:rPr>
          <w:t>https://www.sejm.gov.pl</w:t>
        </w:r>
      </w:hyperlink>
      <w:r w:rsidRPr="0009014A">
        <w:rPr>
          <w:rFonts w:ascii="Lato" w:hAnsi="Lato" w:cs="Arial"/>
          <w:bCs/>
          <w:iCs/>
          <w:color w:val="000000"/>
          <w:spacing w:val="4"/>
          <w:sz w:val="22"/>
          <w:szCs w:val="22"/>
          <w:lang w:bidi="pl-PL"/>
        </w:rPr>
        <w:t>) [ustawa z dnia 22 lipca 2022 r.</w:t>
      </w:r>
      <w:r w:rsidRPr="0009014A">
        <w:rPr>
          <w:rFonts w:ascii="Lato" w:hAnsi="Lato"/>
          <w:spacing w:val="4"/>
          <w:sz w:val="22"/>
          <w:szCs w:val="22"/>
        </w:rPr>
        <w:t xml:space="preserve"> </w:t>
      </w:r>
      <w:r w:rsidRPr="0009014A">
        <w:rPr>
          <w:rFonts w:ascii="Lato" w:hAnsi="Lato"/>
          <w:spacing w:val="4"/>
          <w:sz w:val="22"/>
          <w:szCs w:val="22"/>
        </w:rPr>
        <w:br/>
      </w:r>
      <w:r w:rsidRPr="0009014A">
        <w:rPr>
          <w:rFonts w:ascii="Lato" w:hAnsi="Lato" w:cs="Arial"/>
          <w:bCs/>
          <w:iCs/>
          <w:color w:val="000000"/>
          <w:spacing w:val="4"/>
          <w:sz w:val="22"/>
          <w:szCs w:val="22"/>
          <w:lang w:bidi="pl-PL"/>
        </w:rPr>
        <w:t xml:space="preserve">o usprawnieniu procesu inwestycyjnego Centralnego Portu Komunikacyjnego (Dz.U. </w:t>
      </w:r>
      <w:r w:rsidRPr="0009014A">
        <w:rPr>
          <w:rFonts w:ascii="Lato" w:hAnsi="Lato" w:cs="Arial"/>
          <w:bCs/>
          <w:iCs/>
          <w:color w:val="000000"/>
          <w:spacing w:val="4"/>
          <w:sz w:val="22"/>
          <w:szCs w:val="22"/>
          <w:lang w:bidi="pl-PL"/>
        </w:rPr>
        <w:br/>
        <w:t xml:space="preserve">z 2022 r. poz. 1846)], w którym zwraca się uwagę, że: „Zmiana definicji Inwestycji związana jest z koniecznością ujęcia wprost, iż to wielkoskalowe zamierzenie inwestycyjne obejmuje lotnisko użytku publicznego oraz szereg innych rodzajów obiektów budowlanych, które są przestrzennie i funkcjonalnie powiązane z portem lotniczym. Obecnie brzmienie przepisu nie wskazuje wprost, iż przedmiotem inwestycji jest budowa wydzielonego obszaru na lądzie przeznaczonego do wykonywania startów, lądowań i naziemnego ruchu statków powietrznych, wraz ze znajdującymi się w jego granicach obiektami i urządzeniami budowlanymi o charakterze trwałym, wpisanego do odpowiednego rejestru. W projektowanym przepisie zawarto katalog otwarty wskazujący szczególne rodzaje obiektów, które są niezbędne do zapewnienia prawidłowego funkcjonowania lotniska oraz całego związanego z nim krajowego węzła komunikacyjnego.”. </w:t>
      </w:r>
    </w:p>
    <w:p w14:paraId="69CE6101"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lastRenderedPageBreak/>
        <w:t xml:space="preserve">Jak wynika z pkt II decyzji Wojewody Mazowieckiego pn. „Charakterystyka Inwestycji” </w:t>
      </w:r>
      <w:r w:rsidRPr="0009014A">
        <w:rPr>
          <w:rFonts w:ascii="Lato" w:hAnsi="Lato" w:cs="Arial"/>
          <w:bCs/>
          <w:iCs/>
          <w:color w:val="000000"/>
          <w:spacing w:val="4"/>
          <w:sz w:val="22"/>
          <w:szCs w:val="22"/>
          <w:lang w:bidi="pl-PL"/>
        </w:rPr>
        <w:br/>
        <w:t>i charakterystyki Inwestycji zamieszczonej we wniosku lokalizacyjnym (pkt II.5 – zakres przedmiotowy wniosku o wydanie decyzji o ustaleniu lokalizacji Inwestycji), Inwestycja składa się z trzech głównych komponentów: lotniskowego, kolejowego i drogowego, które wspólnie tworzą Centralny Port Komunikacyjny. Jakie elementy wchodzą w zakres poszczególnych komponentów inwestycji opisano obszernie w pkt II decyzji Wojewody Mazowieckiego i charakterystyce Inwestycji zamieszczonej we wniosku lokalizacyjnym. Minister po analizie akt sprawy stwierdził, że decyzja Wojewody Mazowieckiego ustanowiła lokalizację „Inwestycji” w znaczeniu jakim temu pojęciu nadaje art. 2 pkt 3 ustawy CPK, a zatem w zakresie przedmiotowo mieszczącym się w ustawie CPK.</w:t>
      </w:r>
    </w:p>
    <w:p w14:paraId="2D6C48E4"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Budowa Centralnego Portu Komunikacyjnego to jedno z największych przedsięwzięć infrastrukturalnych w historii Polski mające na celu stworzenie nowego węzła transportowego łączącego transport lotniczy, kolejowy i drogowy. Centralny Port Komunikacyjny to nie tylko nowe lotnisko – to kompleksowa inwestycja, która ma się przyczynić do wzrostu konkurencyjności polskiej gospodarki. Aby ten cel osiągnąć koniecznym jest nie tylko wybudowanie samego lotniska, ale również koniecznym jest odpowiednie zagospodarowanie przestrzeni wokół lotniska poprzez obiekty/instalacje/urządzenia i inne inwestycje przestrzennie oraz funkcjonalnie powiązane z projektowanym lotniskiem, przyczyniające się do wzrostu konkurencyjności lotniska. Nowe lotnisko ma być </w:t>
      </w:r>
      <w:r w:rsidRPr="0009014A">
        <w:rPr>
          <w:rFonts w:ascii="Lato" w:hAnsi="Lato" w:cs="Arial"/>
          <w:iCs/>
          <w:color w:val="000000"/>
          <w:spacing w:val="4"/>
          <w:sz w:val="22"/>
          <w:szCs w:val="22"/>
          <w:lang w:bidi="pl-PL"/>
        </w:rPr>
        <w:t>akceleratorem rozwoju dla regionu i kraju, a nie wyizolowaną wyspą infrastrukturalną przeznaczoną wyłącznie do startu i lądowań samolotów.</w:t>
      </w:r>
      <w:r w:rsidRPr="0009014A">
        <w:rPr>
          <w:rFonts w:ascii="Lato" w:hAnsi="Lato" w:cs="Arial"/>
          <w:bCs/>
          <w:iCs/>
          <w:color w:val="000000"/>
          <w:spacing w:val="4"/>
          <w:sz w:val="22"/>
          <w:szCs w:val="22"/>
          <w:lang w:bidi="pl-PL"/>
        </w:rPr>
        <w:t xml:space="preserve"> Obrazowo rzecz ujmując: nowe lotnisko nie może pozostawać w próżni </w:t>
      </w:r>
      <w:r w:rsidRPr="0009014A">
        <w:rPr>
          <w:rFonts w:ascii="Lato" w:hAnsi="Lato" w:cs="Arial"/>
          <w:bCs/>
          <w:iCs/>
          <w:color w:val="000000"/>
          <w:spacing w:val="4"/>
          <w:sz w:val="22"/>
          <w:szCs w:val="22"/>
          <w:lang w:bidi="pl-PL"/>
        </w:rPr>
        <w:br/>
        <w:t xml:space="preserve">i służyć wyłącznie niejako „samemu sobie”. Nowe lotnisko, aby realnie spełniać zakładane funkcje gospodarcze i cele użyteczne społecznie, w tym transportowe, musi być odpowiednio wyposażone integrując w swej przestrzeni różnorodne obiekty niezbędne dla prawidłowego funkcjonowania zgodnie z celem publicznym, i w tym sensie to otaczające zagospodarowanie dotyczy „Inwestycji” w znaczeniu jakie temu pojęciu nadaje art. 2 pkt 3 ustawy CPK, a więc </w:t>
      </w:r>
      <w:r w:rsidRPr="0009014A">
        <w:rPr>
          <w:rFonts w:ascii="Lato" w:hAnsi="Lato"/>
          <w:spacing w:val="4"/>
          <w:sz w:val="22"/>
          <w:szCs w:val="22"/>
        </w:rPr>
        <w:t xml:space="preserve">jako część składowa „Inwestycji” korzysta </w:t>
      </w:r>
      <w:r w:rsidRPr="0009014A">
        <w:rPr>
          <w:rFonts w:ascii="Lato" w:hAnsi="Lato"/>
          <w:spacing w:val="4"/>
          <w:sz w:val="22"/>
          <w:szCs w:val="22"/>
        </w:rPr>
        <w:br/>
        <w:t xml:space="preserve">z ustawy CPK, bowiem wpisuje się w realizację „Inwestycji” w znaczeniu prawnym. Warto w tym miejscu nadmienić, że ocena, co w danym przypadku jest </w:t>
      </w:r>
      <w:r w:rsidRPr="0009014A">
        <w:rPr>
          <w:rFonts w:ascii="Lato" w:hAnsi="Lato"/>
          <w:bCs/>
          <w:iCs/>
          <w:spacing w:val="4"/>
          <w:sz w:val="22"/>
          <w:szCs w:val="22"/>
          <w:lang w:bidi="pl-PL"/>
        </w:rPr>
        <w:t>przestrzennie oraz funkcjonalnie powiązane z projektowanym lotniskiem</w:t>
      </w:r>
      <w:r w:rsidRPr="0009014A">
        <w:rPr>
          <w:rFonts w:ascii="Lato" w:hAnsi="Lato"/>
          <w:spacing w:val="4"/>
          <w:sz w:val="22"/>
          <w:szCs w:val="22"/>
        </w:rPr>
        <w:t xml:space="preserve">, powinna uwzględniać także stanowisko inwestora, który odpowiedzialny jest za koncepcję Inwestycji i w projekcie przedstawia szereg powiązań funkcjonalnych stanowiących założenia dla danego zamierzenia. Rzecz jasna, nie jest tak, że wszystko, cokolwiek zaprojektuje inwestor, będzie musiało podpadać pod </w:t>
      </w:r>
      <w:r w:rsidRPr="0009014A">
        <w:rPr>
          <w:rFonts w:ascii="Lato" w:hAnsi="Lato"/>
          <w:bCs/>
          <w:iCs/>
          <w:spacing w:val="4"/>
          <w:sz w:val="22"/>
          <w:szCs w:val="22"/>
          <w:lang w:bidi="pl-PL"/>
        </w:rPr>
        <w:t>art. 2 pkt 3 ustawy CPK. Jednakże w niniejszej sprawie występuje czytelny związek przestrzenny oraz funkcjonalny powiązania zakwestionowanych przez skarżących elementów z projektowanym lotniskiem.</w:t>
      </w:r>
      <w:r w:rsidRPr="0009014A">
        <w:rPr>
          <w:rFonts w:ascii="Lato" w:hAnsi="Lato"/>
          <w:spacing w:val="4"/>
          <w:sz w:val="22"/>
          <w:szCs w:val="22"/>
        </w:rPr>
        <w:t xml:space="preserve"> </w:t>
      </w:r>
    </w:p>
    <w:p w14:paraId="2E353164" w14:textId="4EE238A9"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 doświadczenia życiowego wynika, że nowoczesne lotniska, w tym w szczególności lotniska hubowe, muszą zapewniać pasażerom, załogom statków powietrznych, a także personelowi obsługi lotniska odpowiedni zakres usług, by utrzymać konkurencyjność na coraz bardziej wymagającym rynku przewozów lotniczych.</w:t>
      </w:r>
      <w:r w:rsidRPr="0009014A">
        <w:rPr>
          <w:rFonts w:ascii="Lato" w:hAnsi="Lato" w:cs="Arial"/>
          <w:color w:val="000000"/>
          <w:spacing w:val="4"/>
          <w:sz w:val="22"/>
          <w:szCs w:val="22"/>
        </w:rPr>
        <w:t xml:space="preserve"> Nowoczesne lotniska stają się zaawansowanymi, spójnymi systemami obiektów o różnorodnych funkcjach, które muszą zaspokajać złożone potrzeby trzech głównych grup użytkowników (pasażerów, załóg linii lotniczych oraz pracowników lotniska). </w:t>
      </w:r>
      <w:r w:rsidRPr="0009014A">
        <w:rPr>
          <w:rFonts w:ascii="Lato" w:hAnsi="Lato" w:cs="Arial"/>
          <w:bCs/>
          <w:iCs/>
          <w:color w:val="000000"/>
          <w:spacing w:val="4"/>
          <w:sz w:val="22"/>
          <w:szCs w:val="22"/>
          <w:lang w:bidi="pl-PL"/>
        </w:rPr>
        <w:t>Zważywszy na konieczność minimalizacji oddziaływania hałasowego na otoczenie, lotniska sytuowane są w znacznej odległości od kluczowych usług niezbędnych dla prawidłowego i komfortowego</w:t>
      </w:r>
      <w:r w:rsidR="00D8785D">
        <w:rPr>
          <w:rFonts w:ascii="Lato" w:hAnsi="Lato" w:cs="Arial"/>
          <w:bCs/>
          <w:iCs/>
          <w:color w:val="000000"/>
          <w:spacing w:val="4"/>
          <w:sz w:val="22"/>
          <w:szCs w:val="22"/>
          <w:lang w:bidi="pl-PL"/>
        </w:rPr>
        <w:t xml:space="preserve"> </w:t>
      </w:r>
      <w:r w:rsidRPr="0009014A">
        <w:rPr>
          <w:rFonts w:ascii="Lato" w:hAnsi="Lato" w:cs="Arial"/>
          <w:bCs/>
          <w:iCs/>
          <w:color w:val="000000"/>
          <w:spacing w:val="4"/>
          <w:sz w:val="22"/>
          <w:szCs w:val="22"/>
          <w:lang w:bidi="pl-PL"/>
        </w:rPr>
        <w:t>użytkowania tych obiektów przez pasażerów. To z kolei generuje potrzebę realizacji w obrębie lotniska obiektów powiązanych funkcjonalnie z projektowanym lotniskiem.</w:t>
      </w:r>
      <w:r w:rsidRPr="0009014A">
        <w:rPr>
          <w:rFonts w:ascii="Lato" w:hAnsi="Lato" w:cs="Arial"/>
          <w:color w:val="000000"/>
          <w:spacing w:val="4"/>
          <w:sz w:val="22"/>
          <w:szCs w:val="22"/>
        </w:rPr>
        <w:t xml:space="preserve"> </w:t>
      </w:r>
      <w:r w:rsidRPr="0009014A">
        <w:rPr>
          <w:rFonts w:ascii="Lato" w:hAnsi="Lato" w:cs="Arial"/>
          <w:bCs/>
          <w:iCs/>
          <w:color w:val="000000"/>
          <w:spacing w:val="4"/>
          <w:sz w:val="22"/>
          <w:szCs w:val="22"/>
          <w:lang w:bidi="pl-PL"/>
        </w:rPr>
        <w:t>Konsekwencją oddalenia portów lotniczych jest brak dostępu do kluczowej infrastruktury, która odpowiada</w:t>
      </w:r>
      <w:r w:rsidRPr="0009014A">
        <w:rPr>
          <w:rFonts w:ascii="Lato" w:hAnsi="Lato" w:cs="Arial"/>
          <w:bCs/>
          <w:iCs/>
          <w:color w:val="000000"/>
          <w:spacing w:val="4"/>
          <w:sz w:val="22"/>
          <w:szCs w:val="22"/>
          <w:lang w:bidi="pl-PL"/>
        </w:rPr>
        <w:softHyphen/>
        <w:t>łaby wymogom zapewniania wysokich standardów obsługi pasażerów, załóg, linii lotniczych oraz pra</w:t>
      </w:r>
      <w:r w:rsidRPr="0009014A">
        <w:rPr>
          <w:rFonts w:ascii="Lato" w:hAnsi="Lato" w:cs="Arial"/>
          <w:bCs/>
          <w:iCs/>
          <w:color w:val="000000"/>
          <w:spacing w:val="4"/>
          <w:sz w:val="22"/>
          <w:szCs w:val="22"/>
          <w:lang w:bidi="pl-PL"/>
        </w:rPr>
        <w:softHyphen/>
        <w:t xml:space="preserve">cowników lotniska. Odpowiedzią na te potrzeby jest zaplanowanie rozwoju stref obsługi pasażerów w bezpośrednim sąsiedztwie terminali </w:t>
      </w:r>
      <w:r w:rsidRPr="0009014A">
        <w:rPr>
          <w:rFonts w:ascii="Lato" w:hAnsi="Lato" w:cs="Arial"/>
          <w:bCs/>
          <w:iCs/>
          <w:color w:val="000000"/>
          <w:spacing w:val="4"/>
          <w:sz w:val="22"/>
          <w:szCs w:val="22"/>
          <w:lang w:bidi="pl-PL"/>
        </w:rPr>
        <w:lastRenderedPageBreak/>
        <w:t>lotniczych zapewniających lokalizację zwartych struktur urbani</w:t>
      </w:r>
      <w:r w:rsidRPr="0009014A">
        <w:rPr>
          <w:rFonts w:ascii="Lato" w:hAnsi="Lato" w:cs="Arial"/>
          <w:bCs/>
          <w:iCs/>
          <w:color w:val="000000"/>
          <w:spacing w:val="4"/>
          <w:sz w:val="22"/>
          <w:szCs w:val="22"/>
          <w:lang w:bidi="pl-PL"/>
        </w:rPr>
        <w:softHyphen/>
        <w:t>stycznych oferujących wszystkie niezbędne dla użytkowników i pracowników lotniska usługi, jednocze</w:t>
      </w:r>
      <w:r w:rsidRPr="0009014A">
        <w:rPr>
          <w:rFonts w:ascii="Lato" w:hAnsi="Lato" w:cs="Arial"/>
          <w:bCs/>
          <w:iCs/>
          <w:color w:val="000000"/>
          <w:spacing w:val="4"/>
          <w:sz w:val="22"/>
          <w:szCs w:val="22"/>
          <w:lang w:bidi="pl-PL"/>
        </w:rPr>
        <w:softHyphen/>
        <w:t>śnie wzmacniając efekt ekonomiczny lotnisk jako generujący pozytywny efekt gospodarczy dla regio</w:t>
      </w:r>
      <w:r w:rsidRPr="0009014A">
        <w:rPr>
          <w:rFonts w:ascii="Lato" w:hAnsi="Lato" w:cs="Arial"/>
          <w:bCs/>
          <w:iCs/>
          <w:color w:val="000000"/>
          <w:spacing w:val="4"/>
          <w:sz w:val="22"/>
          <w:szCs w:val="22"/>
          <w:lang w:bidi="pl-PL"/>
        </w:rPr>
        <w:softHyphen/>
        <w:t xml:space="preserve">nów lotniskowych. Nowoczesne lotniska tworzą tzw. „lotniskowe miasta” (Airport City), oferując przestrzenie biurowe, centra konferencyjne i hotele. Inwestor </w:t>
      </w:r>
      <w:r w:rsidR="005A6718" w:rsidRPr="005A6718">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w toku postępowania odwoławczego wskazał, że warunek sytuowania stref obsługi pasażerów w sąsiedztwie terminali lotniskowych wraz z bezpośrednim dostępem pieszym do terminala umożliwi sprawne przemieszczanie się pasażerów, w szczególności tych z ograniczoną mobilnością ruchową, co wymagane jest zgodnie z Rozporządzeniem (WE) nr 1107/2006 Parlamentu Europejskiego i Rady z dnia 5 lipca 2006 r. w sprawie praw osób niepełnosprawnych oraz osób o ograniczonej sprawności ruchowej podróżujących drogą lotniczą.</w:t>
      </w:r>
    </w:p>
    <w:p w14:paraId="49B485A5" w14:textId="77777777" w:rsidR="0009014A" w:rsidRPr="0009014A" w:rsidRDefault="0009014A" w:rsidP="0009014A">
      <w:p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W świetle powyższego, jak wyjaśnił inwestor, zapewnienie właściwego poziomu obsługi pasażerów, pracowników lotniska oraz personelu lotniczego, realizowane będzie przede wszystkim w wyniku zaplanowania i zaprojekto</w:t>
      </w:r>
      <w:r w:rsidRPr="0009014A">
        <w:rPr>
          <w:rFonts w:ascii="Lato" w:hAnsi="Lato" w:cs="Arial"/>
          <w:bCs/>
          <w:iCs/>
          <w:color w:val="000000"/>
          <w:spacing w:val="4"/>
          <w:sz w:val="22"/>
          <w:szCs w:val="22"/>
          <w:lang w:bidi="pl-PL"/>
        </w:rPr>
        <w:softHyphen/>
        <w:t>wania obiektów przestrzennie lub funkcjonalnie powiązanych z lotniskiem, lecz jednocześnie wspiera</w:t>
      </w:r>
      <w:r w:rsidRPr="0009014A">
        <w:rPr>
          <w:rFonts w:ascii="Lato" w:hAnsi="Lato" w:cs="Arial"/>
          <w:bCs/>
          <w:iCs/>
          <w:color w:val="000000"/>
          <w:spacing w:val="4"/>
          <w:sz w:val="22"/>
          <w:szCs w:val="22"/>
          <w:lang w:bidi="pl-PL"/>
        </w:rPr>
        <w:softHyphen/>
        <w:t>jących jego wielofunkcyjny charakter, w szczególności:</w:t>
      </w:r>
    </w:p>
    <w:p w14:paraId="2D77ED40" w14:textId="77777777" w:rsidR="0009014A" w:rsidRPr="0009014A" w:rsidRDefault="0009014A">
      <w:pPr>
        <w:numPr>
          <w:ilvl w:val="0"/>
          <w:numId w:val="37"/>
        </w:num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obiektów służących zapewnieniu najwyższej jakości świadczonych usług oraz zminimalizowa</w:t>
      </w:r>
      <w:r w:rsidRPr="0009014A">
        <w:rPr>
          <w:rFonts w:ascii="Lato" w:hAnsi="Lato" w:cs="Arial"/>
          <w:bCs/>
          <w:iCs/>
          <w:color w:val="000000"/>
          <w:spacing w:val="4"/>
          <w:sz w:val="22"/>
          <w:szCs w:val="22"/>
          <w:lang w:bidi="pl-PL"/>
        </w:rPr>
        <w:softHyphen/>
        <w:t>niu trudności i niedogodności dla pasażerów i załóg w przypadku wystąpienia sytuacji o cha</w:t>
      </w:r>
      <w:r w:rsidRPr="0009014A">
        <w:rPr>
          <w:rFonts w:ascii="Lato" w:hAnsi="Lato" w:cs="Arial"/>
          <w:bCs/>
          <w:iCs/>
          <w:color w:val="000000"/>
          <w:spacing w:val="4"/>
          <w:sz w:val="22"/>
          <w:szCs w:val="22"/>
          <w:lang w:bidi="pl-PL"/>
        </w:rPr>
        <w:softHyphen/>
        <w:t>rakterze wyjątkowym, w tym obiektów zapewniających dostęp do usług noclegowych, gastrono</w:t>
      </w:r>
      <w:r w:rsidRPr="0009014A">
        <w:rPr>
          <w:rFonts w:ascii="Lato" w:hAnsi="Lato" w:cs="Arial"/>
          <w:bCs/>
          <w:iCs/>
          <w:color w:val="000000"/>
          <w:spacing w:val="4"/>
          <w:sz w:val="22"/>
          <w:szCs w:val="22"/>
          <w:lang w:bidi="pl-PL"/>
        </w:rPr>
        <w:softHyphen/>
        <w:t>micznych i handlowych;</w:t>
      </w:r>
    </w:p>
    <w:p w14:paraId="6CD56FB6" w14:textId="77777777" w:rsidR="0009014A" w:rsidRPr="0009014A" w:rsidRDefault="0009014A">
      <w:pPr>
        <w:numPr>
          <w:ilvl w:val="0"/>
          <w:numId w:val="37"/>
        </w:num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obiektów służących do bezpiecznego pozostawienia pojazdów przez pasażerów, pracowników lotniska czy personel lotniczy;</w:t>
      </w:r>
    </w:p>
    <w:p w14:paraId="532B938D" w14:textId="16E1D1E7" w:rsidR="0009014A" w:rsidRPr="0009014A" w:rsidRDefault="0009014A">
      <w:pPr>
        <w:numPr>
          <w:ilvl w:val="0"/>
          <w:numId w:val="37"/>
        </w:numPr>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obiektów wspierających zapewnienie odpowiedniej jakości świadczonych usług przez personel statków powietrznych i obsługę techniczną statków powietrznych, w tym obiekt</w:t>
      </w:r>
      <w:r w:rsidR="00D8785D">
        <w:rPr>
          <w:rFonts w:ascii="Lato" w:hAnsi="Lato" w:cs="Arial"/>
          <w:bCs/>
          <w:iCs/>
          <w:color w:val="000000"/>
          <w:spacing w:val="4"/>
          <w:sz w:val="22"/>
          <w:szCs w:val="22"/>
          <w:lang w:bidi="pl-PL"/>
        </w:rPr>
        <w:t>ów</w:t>
      </w:r>
      <w:r w:rsidRPr="0009014A">
        <w:rPr>
          <w:rFonts w:ascii="Lato" w:hAnsi="Lato" w:cs="Arial"/>
          <w:bCs/>
          <w:iCs/>
          <w:color w:val="000000"/>
          <w:spacing w:val="4"/>
          <w:sz w:val="22"/>
          <w:szCs w:val="22"/>
          <w:lang w:bidi="pl-PL"/>
        </w:rPr>
        <w:t xml:space="preserve"> służąc</w:t>
      </w:r>
      <w:r w:rsidR="00D8785D">
        <w:rPr>
          <w:rFonts w:ascii="Lato" w:hAnsi="Lato" w:cs="Arial"/>
          <w:bCs/>
          <w:iCs/>
          <w:color w:val="000000"/>
          <w:spacing w:val="4"/>
          <w:sz w:val="22"/>
          <w:szCs w:val="22"/>
          <w:lang w:bidi="pl-PL"/>
        </w:rPr>
        <w:t>ych</w:t>
      </w:r>
      <w:r w:rsidRPr="0009014A">
        <w:rPr>
          <w:rFonts w:ascii="Lato" w:hAnsi="Lato" w:cs="Arial"/>
          <w:bCs/>
          <w:iCs/>
          <w:color w:val="000000"/>
          <w:spacing w:val="4"/>
          <w:sz w:val="22"/>
          <w:szCs w:val="22"/>
          <w:lang w:bidi="pl-PL"/>
        </w:rPr>
        <w:t xml:space="preserve"> kształceniu personelu i rozwojowi technologicznemu lotnisk;</w:t>
      </w:r>
    </w:p>
    <w:p w14:paraId="49C85A92" w14:textId="77777777" w:rsidR="0009014A" w:rsidRPr="0009014A" w:rsidRDefault="0009014A">
      <w:pPr>
        <w:numPr>
          <w:ilvl w:val="0"/>
          <w:numId w:val="37"/>
        </w:numPr>
        <w:spacing w:after="240" w:line="240" w:lineRule="exact"/>
        <w:ind w:left="357" w:hanging="357"/>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obiektów i urządzeń służących poprawie efektywności energetycznej obiektów lotniska, w tym w szczególności urządzeń zapewniających i zwiększających dostęp do odnawialnych źródeł energii.</w:t>
      </w:r>
    </w:p>
    <w:p w14:paraId="26475E6B"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Biorąc powyższe pod uwagę, zaprojektowanie najważniejszych obiektów wspierających funkcjonowa</w:t>
      </w:r>
      <w:r w:rsidRPr="0009014A">
        <w:rPr>
          <w:rFonts w:ascii="Lato" w:hAnsi="Lato" w:cs="Arial"/>
          <w:bCs/>
          <w:iCs/>
          <w:color w:val="000000"/>
          <w:spacing w:val="4"/>
          <w:sz w:val="22"/>
          <w:szCs w:val="22"/>
          <w:lang w:bidi="pl-PL"/>
        </w:rPr>
        <w:softHyphen/>
        <w:t>nie lotniska umożliwi osiągnięcie pożądanych celów, w szczególności potrzeb: załóg statków powietrznych, obsługi lotniska (w tym personelu administracyjnego), w zakresie utworzenia zaplecza socjalnego, biurowego, gastronomicznego i usługowego; pasażerów, polegające na zapewnieniu im odpowiednich warunków odpoczynku, np. w przy</w:t>
      </w:r>
      <w:r w:rsidRPr="0009014A">
        <w:rPr>
          <w:rFonts w:ascii="Lato" w:hAnsi="Lato" w:cs="Arial"/>
          <w:bCs/>
          <w:iCs/>
          <w:color w:val="000000"/>
          <w:spacing w:val="4"/>
          <w:sz w:val="22"/>
          <w:szCs w:val="22"/>
          <w:lang w:bidi="pl-PL"/>
        </w:rPr>
        <w:softHyphen/>
        <w:t xml:space="preserve">padku wystąpienia sytuacji </w:t>
      </w:r>
      <w:r w:rsidRPr="0009014A">
        <w:rPr>
          <w:rFonts w:ascii="Lato" w:hAnsi="Lato" w:cs="Arial"/>
          <w:bCs/>
          <w:iCs/>
          <w:color w:val="000000"/>
          <w:spacing w:val="4"/>
          <w:sz w:val="22"/>
          <w:szCs w:val="22"/>
          <w:lang w:bidi="pl-PL"/>
        </w:rPr>
        <w:br/>
        <w:t>o charakterze wyjątkowym: odwołania lub znacznego opóźnienia</w:t>
      </w:r>
      <w:r w:rsidRPr="0009014A">
        <w:rPr>
          <w:rFonts w:ascii="Lato" w:hAnsi="Lato" w:cs="Arial"/>
          <w:color w:val="000000"/>
          <w:spacing w:val="4"/>
          <w:sz w:val="22"/>
          <w:szCs w:val="22"/>
        </w:rPr>
        <w:t xml:space="preserve"> </w:t>
      </w:r>
      <w:r w:rsidRPr="0009014A">
        <w:rPr>
          <w:rFonts w:ascii="Lato" w:hAnsi="Lato" w:cs="Arial"/>
          <w:bCs/>
          <w:iCs/>
          <w:color w:val="000000"/>
          <w:spacing w:val="4"/>
          <w:sz w:val="22"/>
          <w:szCs w:val="22"/>
          <w:lang w:bidi="pl-PL"/>
        </w:rPr>
        <w:t>lotów, strajków personelu, zagrożenia epidemiologicznego i innych źródeł zakłóceń w plano</w:t>
      </w:r>
      <w:r w:rsidRPr="0009014A">
        <w:rPr>
          <w:rFonts w:ascii="Lato" w:hAnsi="Lato" w:cs="Arial"/>
          <w:bCs/>
          <w:iCs/>
          <w:color w:val="000000"/>
          <w:spacing w:val="4"/>
          <w:sz w:val="22"/>
          <w:szCs w:val="22"/>
          <w:lang w:bidi="pl-PL"/>
        </w:rPr>
        <w:softHyphen/>
        <w:t xml:space="preserve">wanych operacjach lotniczych. Zaproponowane podejście ma charakter kompleksowy </w:t>
      </w:r>
      <w:r w:rsidRPr="0009014A">
        <w:rPr>
          <w:rFonts w:ascii="Lato" w:hAnsi="Lato" w:cs="Arial"/>
          <w:bCs/>
          <w:iCs/>
          <w:color w:val="000000"/>
          <w:spacing w:val="4"/>
          <w:sz w:val="22"/>
          <w:szCs w:val="22"/>
          <w:lang w:bidi="pl-PL"/>
        </w:rPr>
        <w:br/>
        <w:t xml:space="preserve">i uwzględnia fakt, że proces obsługi pasażerów i towarów przewożonych statkami powietrznymi nie rozpoczyna się i nie kończy na pokładzie samolotu. Obiekty obsługujące lotnisko stanowią infrastrukturę uzupełniającą, ale jednocześnie niezbędną dla jego prawidłowego funkcjonowania. Nie ulega wątpliwości, że kwestionowane przez odwołujących elementy przedmiotowej inwestycji wpisują się w zbiór „obiektów, urządzeń, wyposażenia, sieci i instalacji lub innych inwestycji” służących do utrzymania </w:t>
      </w:r>
      <w:r w:rsidRPr="0009014A">
        <w:rPr>
          <w:rFonts w:ascii="Lato" w:hAnsi="Lato" w:cs="Arial"/>
          <w:bCs/>
          <w:iCs/>
          <w:color w:val="000000"/>
          <w:spacing w:val="4"/>
          <w:sz w:val="22"/>
          <w:szCs w:val="22"/>
          <w:lang w:bidi="pl-PL"/>
        </w:rPr>
        <w:br/>
        <w:t xml:space="preserve">i użytkowania lotniska przestrzennie oraz funkcjonalnie powiązanych z projektowanym lotniskiem.  Konieczność ich realizacji związana jest z realizacją (budową) lotniska i nie można traktować ich odrębnie i w związku z tym oceniać, tak jak proponują skarżący, jako inwestycji, które nie są realizowane dla dobra ogółu społeczeństwa i nie stanowią celu publicznego. Tego typu obiekty są nierozerwalnie związane z lotniskiem użytku publicznego i stanowią element „Inwestycji” zdefiniowanej w art. 2 pkt 3 ustawy CPK. </w:t>
      </w:r>
      <w:r w:rsidRPr="0009014A">
        <w:rPr>
          <w:rFonts w:ascii="Lato" w:hAnsi="Lato" w:cs="Arial"/>
          <w:bCs/>
          <w:iCs/>
          <w:color w:val="000000"/>
          <w:spacing w:val="4"/>
          <w:sz w:val="22"/>
          <w:szCs w:val="22"/>
          <w:lang w:bidi="pl-PL"/>
        </w:rPr>
        <w:lastRenderedPageBreak/>
        <w:t xml:space="preserve">Restrykcyjne wyłączanie pewnych elementów zaprojektowanych przez inwestora </w:t>
      </w:r>
      <w:r w:rsidRPr="0009014A">
        <w:rPr>
          <w:rFonts w:ascii="Lato" w:hAnsi="Lato" w:cs="Arial"/>
          <w:bCs/>
          <w:iCs/>
          <w:color w:val="000000"/>
          <w:spacing w:val="4"/>
          <w:sz w:val="22"/>
          <w:szCs w:val="22"/>
          <w:lang w:bidi="pl-PL"/>
        </w:rPr>
        <w:br/>
        <w:t xml:space="preserve">z procesu inwestycyjnego prowadzonego w trybie ustawy CPK, nie bacząc na ich przestrzennie i funkcjonalnie powiązane z projektowanym lotniskiem jako całością, prowadziłoby nie tylko do efektów zupełnie nieracjonalnych, ale również stanowiłby naruszenie zakresu przedmiotowego pojęcia „Inwestycja” zdefiniowanego w art. 2 pkt 3 ustawy CPK. A takie podejście nie było założeniem racjonalnego ustawodawcy tworzącego na potrzeby ustawy CPK deficjencję „Inwestycji”. </w:t>
      </w:r>
    </w:p>
    <w:p w14:paraId="1AFDFE5F" w14:textId="041FB050"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Za chybiony należy uznać zarzut Pana Z</w:t>
      </w:r>
      <w:r w:rsidR="008155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8155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P</w:t>
      </w:r>
      <w:r w:rsidR="008155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8155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K</w:t>
      </w:r>
      <w:r w:rsidR="008155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8155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spółki </w:t>
      </w:r>
      <w:r w:rsidR="008155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naruszenia</w:t>
      </w:r>
      <w:r w:rsidRPr="0009014A">
        <w:rPr>
          <w:rFonts w:ascii="Lato" w:hAnsi="Lato"/>
          <w:spacing w:val="4"/>
          <w:sz w:val="22"/>
          <w:szCs w:val="22"/>
        </w:rPr>
        <w:t xml:space="preserve"> </w:t>
      </w:r>
      <w:r w:rsidRPr="0009014A">
        <w:rPr>
          <w:rFonts w:ascii="Lato" w:hAnsi="Lato" w:cs="Arial"/>
          <w:bCs/>
          <w:iCs/>
          <w:color w:val="000000"/>
          <w:spacing w:val="4"/>
          <w:sz w:val="22"/>
          <w:szCs w:val="22"/>
          <w:lang w:bidi="pl-PL"/>
        </w:rPr>
        <w:t xml:space="preserve">art. 38 ust. 1 w zw. z art. 2 pkt 3 w zw. z art. 2 pkt 4 i art. 119 </w:t>
      </w:r>
      <w:r w:rsidRPr="0009014A">
        <w:rPr>
          <w:rFonts w:ascii="Lato" w:hAnsi="Lato" w:cs="Arial"/>
          <w:bCs/>
          <w:iCs/>
          <w:color w:val="000000"/>
          <w:spacing w:val="4"/>
          <w:sz w:val="22"/>
          <w:szCs w:val="22"/>
          <w:lang w:bidi="pl-PL"/>
        </w:rPr>
        <w:br/>
        <w:t xml:space="preserve">i 120 ust. 1 ustawy CPK poprzez błędne przyjęcie, że zakres przedmiotowy wniosku </w:t>
      </w:r>
      <w:r w:rsidRPr="0009014A">
        <w:rPr>
          <w:rFonts w:ascii="Lato" w:hAnsi="Lato" w:cs="Arial"/>
          <w:bCs/>
          <w:iCs/>
          <w:color w:val="000000"/>
          <w:spacing w:val="4"/>
          <w:sz w:val="22"/>
          <w:szCs w:val="22"/>
          <w:lang w:bidi="pl-PL"/>
        </w:rPr>
        <w:br/>
        <w:t xml:space="preserve">o wydanie decyzji o ustaleniu lokalizacji inwestycji w zakresie CPK został sporządzony </w:t>
      </w:r>
      <w:r w:rsidRPr="0009014A">
        <w:rPr>
          <w:rFonts w:ascii="Lato" w:hAnsi="Lato" w:cs="Arial"/>
          <w:bCs/>
          <w:iCs/>
          <w:color w:val="000000"/>
          <w:spacing w:val="4"/>
          <w:sz w:val="22"/>
          <w:szCs w:val="22"/>
          <w:lang w:bidi="pl-PL"/>
        </w:rPr>
        <w:br/>
        <w:t xml:space="preserve">w sposób prawidłowy i w całości dotyczy wyłącznie inwestycji celu publicznego jakim jest budowa Inwestycji w rozumieniu art. 2 pkt 3 ustawy CPK, podczas gdy sposób sporządzenia wniosku, w szczególności objęcie wnioskiem planowanej realizacji Inwestycji w części dotyczącej budowy komponentu kolejowego położonego na zachód od planowanego lotniska, w odniesieniu do którego inwestor uzyskał odrębną decyzję środowiskową (tj. decyzję RDOŚ w Warszawie z dnia 19 czerwca 2024 r., znak: WOOŚ-II.420.69.2023.AG.12, stwierdzającą brak potrzeby przeprowadzenia oceny odziaływania na środowisko przedsięwzięcia pn.: „Budowa Centralnego Portu Komunikacyjnego wraz z urządzeniami i obiektami niezbędnymi do jego funkcjonowania - budowa bocznicy kolejowej na odcinku linia kolejowa nr 3 - Centralny Port Komunikacyjny”), winien być zakwalifikowany jako Inwestycja Towarzysząca </w:t>
      </w:r>
      <w:r w:rsidRPr="0009014A">
        <w:rPr>
          <w:rFonts w:ascii="Lato" w:hAnsi="Lato" w:cs="Arial"/>
          <w:bCs/>
          <w:iCs/>
          <w:color w:val="000000"/>
          <w:spacing w:val="4"/>
          <w:sz w:val="22"/>
          <w:szCs w:val="22"/>
          <w:lang w:bidi="pl-PL"/>
        </w:rPr>
        <w:br/>
        <w:t xml:space="preserve">w rozumieniu art. 2 pkt 4 ustawy CPK, i stanowić przedmiot osobnego postępowania przed Wojewodą Mazowieckim. </w:t>
      </w:r>
    </w:p>
    <w:p w14:paraId="1D1451A3" w14:textId="579766F8"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Przypomnieć należy, że przepisy ustawy CPK stanowią szczególny rodzaj regulacji, który w zakresie dopuszczonym ustawą daje inwestorowi swobodę w definiowaniu zakresu Inwestycji (w rozumieniu art. 2 pkt 3 ustawy CPK) i jednocześnie w przypadku realizacji zamie</w:t>
      </w:r>
      <w:r w:rsidRPr="0009014A">
        <w:rPr>
          <w:rFonts w:ascii="Lato" w:hAnsi="Lato" w:cs="Arial"/>
          <w:bCs/>
          <w:iCs/>
          <w:color w:val="000000"/>
          <w:spacing w:val="4"/>
          <w:sz w:val="22"/>
          <w:szCs w:val="22"/>
          <w:lang w:bidi="pl-PL"/>
        </w:rPr>
        <w:softHyphen/>
        <w:t xml:space="preserve">rzeń jako Inwestycji Towarzyszących (w rozumieniu art. 2 pkt 4 ustawy CPK) ogranicza go do możliwości ich realizacji w zakresie określonym w przepisach wykonawczych wydanych na podstawie art. 118 ust. 1 ustawy CPK. To inwestor jest kreatorem kształtu, miejsca i sposobu realizacji planowanego przedsięwzięcia, a ustawa CPK ma mu to ułatwić. Zgodnie z art. 2 pkt 4 ustawy CPK przez pojęcie „Inwestycji Towarzyszącej” należy rozumieć inwestycje celu publicznego określone w przepisach wydanych na podstawie art. 118 ustawy CPK. W przypadku gdy inwestor zakwalifikował węzeł kolejowy (wchodzący w skład komponentu kolejowego Inwestycji objętej decyzją Wojewody Mazowieckiego) ogólnie do zakresu Inwestycji jako drogi kolejowe nie definiując ich poprzez odniesienie się do wskazanych przepisów wykonawczych (wydanych na podstawie </w:t>
      </w:r>
      <w:hyperlink r:id="rId11" w:history="1">
        <w:r w:rsidRPr="0009014A">
          <w:rPr>
            <w:rFonts w:ascii="Lato" w:hAnsi="Lato" w:cs="Arial"/>
            <w:bCs/>
            <w:iCs/>
            <w:spacing w:val="4"/>
            <w:sz w:val="22"/>
            <w:szCs w:val="22"/>
            <w:lang w:bidi="pl-PL"/>
          </w:rPr>
          <w:t>art. 118</w:t>
        </w:r>
      </w:hyperlink>
      <w:r w:rsidRPr="0009014A">
        <w:rPr>
          <w:rFonts w:ascii="Lato" w:hAnsi="Lato" w:cs="Arial"/>
          <w:bCs/>
          <w:iCs/>
          <w:spacing w:val="4"/>
          <w:sz w:val="22"/>
          <w:szCs w:val="22"/>
          <w:lang w:bidi="pl-PL"/>
        </w:rPr>
        <w:t xml:space="preserve"> ustawy CPK)</w:t>
      </w:r>
      <w:r w:rsidRPr="0009014A">
        <w:rPr>
          <w:rFonts w:ascii="Lato" w:hAnsi="Lato" w:cs="Arial"/>
          <w:bCs/>
          <w:iCs/>
          <w:color w:val="000000"/>
          <w:spacing w:val="4"/>
          <w:sz w:val="22"/>
          <w:szCs w:val="22"/>
          <w:lang w:bidi="pl-PL"/>
        </w:rPr>
        <w:t>, to w konsekwencji nie musiał ich wyodrębniać do innej kategorii niż Inwestycja (w rozumieniu art. 2 pkt 3 ustawy CPK), bo ta ma szersze znaczenie i może obejmować elementy ogólnie traktowane jako drogi kolejowe. W art. 2 pkt 3 ustawy CPK jednoznacznie bowiem wskazano, iż desygnat tego pojęcia obejmuje</w:t>
      </w:r>
      <w:r w:rsidRPr="0009014A">
        <w:rPr>
          <w:rFonts w:ascii="Lato" w:hAnsi="Lato"/>
          <w:spacing w:val="4"/>
          <w:sz w:val="22"/>
          <w:szCs w:val="22"/>
        </w:rPr>
        <w:t xml:space="preserve"> nie tylko </w:t>
      </w:r>
      <w:r w:rsidRPr="0009014A">
        <w:rPr>
          <w:rFonts w:ascii="Lato" w:hAnsi="Lato" w:cs="Arial"/>
          <w:bCs/>
          <w:iCs/>
          <w:color w:val="000000"/>
          <w:spacing w:val="4"/>
          <w:sz w:val="22"/>
          <w:szCs w:val="22"/>
          <w:lang w:bidi="pl-PL"/>
        </w:rPr>
        <w:t xml:space="preserve">budowę lotniska użytku publicznego, ale również możliwości realizacji innych inwestycji, w tym dróg kolejowych w rozumieniu art. 4 pkt 1a ustawy </w:t>
      </w:r>
      <w:r w:rsidR="00075E69">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o transporcie kolejowym, jeżeli są one przestrzennie oraz funkcjonalnie powiązane </w:t>
      </w:r>
      <w:r w:rsidR="00075E69">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z projektowanym lotniskiem. Podejście to jest z kolei następstwem (jak wskazał inwestor w wyjaśnieniach przedkładanych na etapie postępowania przed Wojewodą Mazowieckim) uznania przedmiotowego węzła kolejowego jako przestrzennie </w:t>
      </w:r>
      <w:r w:rsidR="00075E69">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i funkcjonalnie związanego z lotniskiem użytku publicznego. Stanowisko takie wzmacnia treść art. 38a pkt 3</w:t>
      </w:r>
      <w:r w:rsidRPr="0009014A">
        <w:rPr>
          <w:rFonts w:ascii="Lato" w:hAnsi="Lato"/>
          <w:spacing w:val="4"/>
          <w:sz w:val="22"/>
          <w:szCs w:val="22"/>
        </w:rPr>
        <w:t xml:space="preserve"> ustawy CPK, zgodnie z który, </w:t>
      </w:r>
      <w:r w:rsidRPr="0009014A">
        <w:rPr>
          <w:rFonts w:ascii="Lato" w:hAnsi="Lato" w:cs="Arial"/>
          <w:bCs/>
          <w:iCs/>
          <w:color w:val="000000"/>
          <w:spacing w:val="4"/>
          <w:sz w:val="22"/>
          <w:szCs w:val="22"/>
          <w:lang w:bidi="pl-PL"/>
        </w:rPr>
        <w:t xml:space="preserve">decyzja o ustaleniu lokalizacji inwestycji w zakresie CPK może obejmować lokalizację innych obiektów, urządzeń, sieci lub instalacji w zakresie, w jakim są one przestrzennie oraz funkcjonalnie powiązane </w:t>
      </w:r>
      <w:r w:rsidR="00075E69">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z Inwestycją, w tym dróg kolejowych w rozumieniu ustawy o transporcie kolejowym.</w:t>
      </w:r>
    </w:p>
    <w:p w14:paraId="2F8CACDD"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lastRenderedPageBreak/>
        <w:t>Ponadto treść normatywna art. 119 ustawy CPK nie odnosi się do kwalifikacji danego przedsięwzięcia jako Inwestycji czy Inwestycji Towarzyszącej. Wskazuje je</w:t>
      </w:r>
      <w:r w:rsidRPr="0009014A">
        <w:rPr>
          <w:rFonts w:ascii="Lato" w:hAnsi="Lato" w:cs="Arial"/>
          <w:bCs/>
          <w:iCs/>
          <w:color w:val="000000"/>
          <w:spacing w:val="4"/>
          <w:sz w:val="22"/>
          <w:szCs w:val="22"/>
          <w:lang w:bidi="pl-PL"/>
        </w:rPr>
        <w:softHyphen/>
        <w:t xml:space="preserve">dynie, </w:t>
      </w:r>
      <w:r w:rsidRPr="0009014A">
        <w:rPr>
          <w:rFonts w:ascii="Lato" w:hAnsi="Lato" w:cs="Arial"/>
          <w:bCs/>
          <w:iCs/>
          <w:color w:val="000000"/>
          <w:spacing w:val="4"/>
          <w:sz w:val="22"/>
          <w:szCs w:val="22"/>
          <w:lang w:bidi="pl-PL"/>
        </w:rPr>
        <w:br/>
        <w:t>że w przypadku jeśli inwestor realizowałby przedsięwzięcie jako Inwestycję Towarzyszącą ma prawo stosować nie tylko przepisy ustawy CPK, ale również przepisy innych aktów prawnych tzw. „specustaw” regulują</w:t>
      </w:r>
      <w:r w:rsidRPr="0009014A">
        <w:rPr>
          <w:rFonts w:ascii="Lato" w:hAnsi="Lato" w:cs="Arial"/>
          <w:bCs/>
          <w:iCs/>
          <w:color w:val="000000"/>
          <w:spacing w:val="4"/>
          <w:sz w:val="22"/>
          <w:szCs w:val="22"/>
          <w:lang w:bidi="pl-PL"/>
        </w:rPr>
        <w:softHyphen/>
        <w:t>cych zasady przygotowania i realizacji poszczególnych kategorii tych przedsięwzięć. Co więcej, z brzmie</w:t>
      </w:r>
      <w:r w:rsidRPr="0009014A">
        <w:rPr>
          <w:rFonts w:ascii="Lato" w:hAnsi="Lato" w:cs="Arial"/>
          <w:bCs/>
          <w:iCs/>
          <w:color w:val="000000"/>
          <w:spacing w:val="4"/>
          <w:sz w:val="22"/>
          <w:szCs w:val="22"/>
          <w:lang w:bidi="pl-PL"/>
        </w:rPr>
        <w:softHyphen/>
        <w:t xml:space="preserve">nia przepisu wprost wynika, że jest to uprawnienie inwestora i wynika wyłącznie z jego decyzji. Nie nakłada na inwestora konieczności stosowania innych przepisów. Podsumowując, w przypadku gdyby inwestor realizował przedsięwzięcie, które jest Inwestycją Towarzyszącą ma on prawo swobodnego wyboru, czy będzie realizował dane przedsięwzięcie w oparciu </w:t>
      </w:r>
      <w:r w:rsidRPr="0009014A">
        <w:rPr>
          <w:rFonts w:ascii="Lato" w:hAnsi="Lato" w:cs="Arial"/>
          <w:bCs/>
          <w:iCs/>
          <w:color w:val="000000"/>
          <w:spacing w:val="4"/>
          <w:sz w:val="22"/>
          <w:szCs w:val="22"/>
          <w:lang w:bidi="pl-PL"/>
        </w:rPr>
        <w:br/>
        <w:t>o przepisy ustawy o CPK czy o inne przepisy wskazane w art. 119 ust. 1 ustawy CPK. Art. 119 ustawy CPK nie definiuje podziału na Inwestycję i Inwestycje Towa</w:t>
      </w:r>
      <w:r w:rsidRPr="0009014A">
        <w:rPr>
          <w:rFonts w:ascii="Lato" w:hAnsi="Lato" w:cs="Arial"/>
          <w:bCs/>
          <w:iCs/>
          <w:color w:val="000000"/>
          <w:spacing w:val="4"/>
          <w:sz w:val="22"/>
          <w:szCs w:val="22"/>
          <w:lang w:bidi="pl-PL"/>
        </w:rPr>
        <w:softHyphen/>
        <w:t>rzyszące.</w:t>
      </w:r>
    </w:p>
    <w:p w14:paraId="42D05B2C" w14:textId="24965D8A"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Za niezasadny należy uznać zarzut Pana Z</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P</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K</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spółki </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tego, że wątpliwości budzi zauważalna różnica między powierzchnią oznaczoną jako obszar Inwestycji, a powierzchnią, która ma zostać faktycznie zajęta przez linie kolejowe, bowiem obszar oznaczony w decyzji Wojewody Mazowieckiego w miejscach, gdzie przebiegają linie kolejowe jest zbyt szeroki. Z wyjaśnień przedstawionych przez inwestora i analizy akt sprawy wynika, że komponent kolejowy to nie same odcinki linii kolejowych, ale również jak wskazano w decyzji Wojewody Mazowieckiego (str. 83 - 87) stacje kolejowe oraz inne obiekty, drogi, energetyka trakcyjna - co powoduje, że zakres Inwestycji jest większy niż tylko pod linie kolejowe. </w:t>
      </w:r>
    </w:p>
    <w:p w14:paraId="4E468C5D" w14:textId="23351699"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Na uwzględnienie nie zasługuje zarzut Pana Z</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P</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K</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spółki </w:t>
      </w:r>
      <w:r w:rsidR="00555F3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naruszenia art. 38 ust. 1 w zw. z art. 41 ust. 1 pkt 1 ustawy CPK poprzez wydanie decyzji w kształcie objętym wnioskiem inwestora, pomimo uzyskania przez inwestora negatywnych opinii Wójta Gminy </w:t>
      </w:r>
      <w:r w:rsidR="00DC447E">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z dnia 13 października 2023 r. oraz Zarządu Województwa Mazowieckiego z dnia 2 października 2023 r., w których </w:t>
      </w:r>
      <w:r w:rsidRPr="0009014A">
        <w:rPr>
          <w:rFonts w:ascii="Lato" w:hAnsi="Lato" w:cs="Arial"/>
          <w:bCs/>
          <w:iCs/>
          <w:color w:val="000000"/>
          <w:spacing w:val="4"/>
          <w:sz w:val="22"/>
          <w:szCs w:val="22"/>
          <w:lang w:bidi="pl-PL"/>
        </w:rPr>
        <w:br/>
        <w:t>to opiniach ww. organy wskazywały na liczne uchybienia wniosku m.in. w zakresie zgodności z dokumentami planistycznymi oraz określenia lokalizacji przedsięwzięcia.</w:t>
      </w:r>
    </w:p>
    <w:p w14:paraId="03839C69" w14:textId="77777777" w:rsidR="0009014A" w:rsidRPr="0009014A" w:rsidRDefault="0009014A" w:rsidP="0009014A">
      <w:pPr>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Zgodnie z art. 41 ust. 1 pkt 1 ustawy CPK, inwestor składa wniosek o wydanie decyzji </w:t>
      </w:r>
      <w:r w:rsidRPr="0009014A">
        <w:rPr>
          <w:rFonts w:ascii="Lato" w:hAnsi="Lato" w:cs="Arial"/>
          <w:bCs/>
          <w:iCs/>
          <w:color w:val="000000"/>
          <w:spacing w:val="4"/>
          <w:sz w:val="22"/>
          <w:szCs w:val="22"/>
          <w:lang w:bidi="pl-PL"/>
        </w:rPr>
        <w:br/>
        <w:t>o ustaleniu lokalizacji inwestycji w zakresie CPK po uzyskaniu opinii zarządu województwa, zarządu powiatu oraz wójta (burmistrza, prezydenta miasta). W myśl art. 41 ust. 2 ustawy CPK, niewydanie opinii, o których mowa w ust. 1, w terminie 21 dni od dnia doręczenia wniosku o wydanie opinii, traktuje się jako brak zastrzeżeń do wniosku. Zgodnie z art. 43 ust. 1 pkt 10 ustawy CPK, do wniosku o wydanie decyzji o ustaleniu lokalizacji inwestycji w zakresie CPK załącza się opinie, o których mowa w art. 41 ust. 1, albo dowody doręczenia wniosków o wydanie tych opinii. Stosownie natomiast do treści art. 43 ust. 2 ustawy CPK, opinie, o których mowa w art. 41 ust. 1, zastępują uzgodnienia, pozwolenia, opinie bądź stanowiska właściwych organów wymagane odrębnymi przepisami do dokonania lokalizacji inwestycji.</w:t>
      </w:r>
    </w:p>
    <w:p w14:paraId="6B142CB4" w14:textId="16E583E7"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spacing w:val="4"/>
          <w:sz w:val="22"/>
          <w:szCs w:val="22"/>
          <w:lang w:eastAsia="en-US"/>
        </w:rPr>
        <w:t xml:space="preserve">Należy podkreślić, że opinie </w:t>
      </w:r>
      <w:r w:rsidRPr="0009014A">
        <w:rPr>
          <w:rFonts w:ascii="Lato" w:eastAsiaTheme="minorHAnsi" w:hAnsi="Lato" w:cs="Arial"/>
          <w:bCs/>
          <w:iCs/>
          <w:spacing w:val="4"/>
          <w:sz w:val="22"/>
          <w:szCs w:val="22"/>
          <w:lang w:eastAsia="en-US" w:bidi="pl-PL"/>
        </w:rPr>
        <w:t>zarządu województwa oraz wójta (burmistrza, prezydenta miasta)</w:t>
      </w:r>
      <w:r w:rsidRPr="0009014A">
        <w:rPr>
          <w:rFonts w:ascii="Lato" w:eastAsiaTheme="minorHAnsi" w:hAnsi="Lato" w:cs="Arial"/>
          <w:spacing w:val="4"/>
          <w:sz w:val="22"/>
          <w:szCs w:val="22"/>
          <w:lang w:eastAsia="en-US"/>
        </w:rPr>
        <w:t xml:space="preserve">, jak również pozostałe opinie właściwych organów załączone przez inwestora do wniosku, nie mają dla organów orzekających w sprawie decyzji o ustaleniu lokalizacji inwestycji w zakresie CPK charakteru wiążącego. Przepisy </w:t>
      </w:r>
      <w:r w:rsidRPr="0009014A">
        <w:rPr>
          <w:rFonts w:ascii="Lato" w:eastAsiaTheme="minorHAnsi" w:hAnsi="Lato" w:cs="Arial"/>
          <w:bCs/>
          <w:iCs/>
          <w:spacing w:val="4"/>
          <w:sz w:val="22"/>
          <w:szCs w:val="22"/>
          <w:lang w:eastAsia="en-US" w:bidi="pl-PL"/>
        </w:rPr>
        <w:t xml:space="preserve">ustawy CPK nie wskazują, że dla wydania decyzji o ustaleniu lokalizacji inwestycji w zakresie CPK niezbędne jest uzyskanie pozytywnych stanowisk od wszystkich organów. </w:t>
      </w:r>
      <w:r w:rsidRPr="0009014A">
        <w:rPr>
          <w:rFonts w:ascii="Lato" w:eastAsia="Aptos" w:hAnsi="Lato" w:cs="Aptos"/>
          <w:spacing w:val="4"/>
          <w:sz w:val="22"/>
          <w:szCs w:val="22"/>
          <w:lang w:eastAsia="en-US"/>
        </w:rPr>
        <w:t xml:space="preserve">Zaznaczyć należy, iż opinia, w przeciwieństwie do uzgodnienia, nie jest formą o znaczeniu stanowczym, bowiem nie wiąże organu administracyjnego rozstrzygającego sprawę. W uzasadnieniu uchwały składu pięciu sędziów NSA z dnia 15 lutego 1999 r., OPK 14/98, ONSA 1999, nr 3, poz. 80, przeczytać można m.in., że: „Najluźniejszą formą współdziałania organów administracji publicznej jest współdziałanie polegające na zasięganiu opinii. </w:t>
      </w:r>
      <w:r w:rsidRPr="0009014A">
        <w:rPr>
          <w:rFonts w:ascii="Lato" w:eastAsia="Aptos" w:hAnsi="Lato" w:cs="Aptos"/>
          <w:spacing w:val="4"/>
          <w:sz w:val="22"/>
          <w:szCs w:val="22"/>
          <w:lang w:eastAsia="en-US"/>
        </w:rPr>
        <w:lastRenderedPageBreak/>
        <w:t>Współdziałanie takie polega na tym, że jeden z organów jest 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w:t>
      </w:r>
      <w:r w:rsidRPr="0009014A">
        <w:rPr>
          <w:rFonts w:ascii="Lato" w:eastAsiaTheme="minorHAnsi" w:hAnsi="Lato" w:cs="Arial"/>
          <w:bCs/>
          <w:iCs/>
          <w:spacing w:val="4"/>
          <w:sz w:val="22"/>
          <w:szCs w:val="22"/>
          <w:lang w:eastAsia="en-US" w:bidi="pl-PL"/>
        </w:rPr>
        <w:t xml:space="preserve"> </w:t>
      </w:r>
      <w:r w:rsidRPr="0009014A">
        <w:rPr>
          <w:rFonts w:ascii="Lato" w:eastAsia="Aptos" w:hAnsi="Lato" w:cs="Aptos"/>
          <w:spacing w:val="4"/>
          <w:sz w:val="22"/>
          <w:szCs w:val="22"/>
          <w:lang w:eastAsia="en-US"/>
        </w:rPr>
        <w:t xml:space="preserve">Trybunał Konstytucyjny w wyroku z dnia 6 czerwca </w:t>
      </w:r>
      <w:r w:rsidRPr="0009014A">
        <w:rPr>
          <w:rFonts w:ascii="Lato" w:eastAsia="Aptos" w:hAnsi="Lato" w:cs="Aptos"/>
          <w:spacing w:val="4"/>
          <w:sz w:val="22"/>
          <w:szCs w:val="22"/>
          <w:lang w:eastAsia="en-US"/>
        </w:rPr>
        <w:br/>
        <w:t>2006 r., sygn. K 23/05, OTK-A 2006, Nr 6, poz. 62, stwierdził, iż: „(…)</w:t>
      </w:r>
      <w:r w:rsidRPr="0009014A">
        <w:rPr>
          <w:rFonts w:ascii="Lato" w:eastAsia="Aptos" w:hAnsi="Lato" w:cs="Aptos"/>
          <w:i/>
          <w:iCs/>
          <w:spacing w:val="4"/>
          <w:sz w:val="22"/>
          <w:szCs w:val="22"/>
          <w:lang w:eastAsia="en-US"/>
        </w:rPr>
        <w:t xml:space="preserve"> </w:t>
      </w:r>
      <w:r w:rsidRPr="0009014A">
        <w:rPr>
          <w:rFonts w:ascii="Lato" w:eastAsia="Aptos" w:hAnsi="Lato" w:cs="Aptos"/>
          <w:spacing w:val="4"/>
          <w:sz w:val="22"/>
          <w:szCs w:val="22"/>
          <w:lang w:eastAsia="en-US"/>
        </w:rPr>
        <w:t xml:space="preserve">organy samorządu terytorialnego w kwestii wniosku o ustalenie lokalizacji drogi mają prawo do: po pierwsze – wyrażenia opinii pozytywnej, po drugie – niewyrażenia w ogóle opinii na ten temat, </w:t>
      </w:r>
      <w:r w:rsidR="00A13859">
        <w:rPr>
          <w:rFonts w:ascii="Lato" w:eastAsia="Aptos" w:hAnsi="Lato" w:cs="Aptos"/>
          <w:spacing w:val="4"/>
          <w:sz w:val="22"/>
          <w:szCs w:val="22"/>
          <w:lang w:eastAsia="en-US"/>
        </w:rPr>
        <w:br/>
      </w:r>
      <w:r w:rsidRPr="0009014A">
        <w:rPr>
          <w:rFonts w:ascii="Lato" w:eastAsia="Aptos" w:hAnsi="Lato" w:cs="Aptos"/>
          <w:spacing w:val="4"/>
          <w:sz w:val="22"/>
          <w:szCs w:val="22"/>
          <w:lang w:eastAsia="en-US"/>
        </w:rPr>
        <w:t>po trzecie – wyrażenia opinii negatywnej co do całego wniosku, po czwarte – wyrażenia opinii co do części wniosku. W pierwszych dwóch sytuacjach (opinia pozytywna, niewyrażenie opinii) wojewoda ma prawo podjąć decyzję, która jest dodatkowo „umocniona” stanowiskiem pozytywnym (lub dorozumianym brakiem sprzeciwu) organów jednostek samorządowych. W trzeciej i czwartej możliwej sytuacji (opina negatywna lub częściowo negatywna) wojewoda, podejmując decyzję, nie ma prawnego obowiązku uzależniania decyzji od opinii właściwych jednostek samorządu terytorialnego</w:t>
      </w:r>
      <w:r w:rsidRPr="0009014A">
        <w:rPr>
          <w:rFonts w:ascii="Lato" w:eastAsia="Aptos" w:hAnsi="Lato" w:cs="Aptos"/>
          <w:i/>
          <w:iCs/>
          <w:spacing w:val="4"/>
          <w:sz w:val="22"/>
          <w:szCs w:val="22"/>
          <w:lang w:eastAsia="en-US"/>
        </w:rPr>
        <w:t>.</w:t>
      </w:r>
      <w:r w:rsidRPr="0009014A">
        <w:rPr>
          <w:rFonts w:ascii="Lato" w:eastAsia="Aptos" w:hAnsi="Lato" w:cs="Aptos"/>
          <w:spacing w:val="4"/>
          <w:sz w:val="22"/>
          <w:szCs w:val="22"/>
          <w:lang w:eastAsia="en-US"/>
        </w:rPr>
        <w:t xml:space="preserve">” </w:t>
      </w:r>
      <w:r w:rsidRPr="0009014A">
        <w:rPr>
          <w:rFonts w:ascii="Lato" w:eastAsia="Aptos" w:hAnsi="Lato" w:cs="Aptos"/>
          <w:bCs/>
          <w:iCs/>
          <w:spacing w:val="4"/>
          <w:sz w:val="22"/>
          <w:szCs w:val="22"/>
          <w:lang w:eastAsia="en-US"/>
        </w:rPr>
        <w:t xml:space="preserve">Przedstawiony pogląd Trybunału Konstytucyjnego znajduje, w ocenie Ministra, zastosowanie również w zakresie opinii załączanych do wniosku o wydanie decyzji w przedmiocie ustalenia lokalizacji inwestycji w zakresie CPK. </w:t>
      </w:r>
    </w:p>
    <w:p w14:paraId="0003D6F4" w14:textId="77777777" w:rsidR="0009014A" w:rsidRPr="0009014A" w:rsidRDefault="0009014A" w:rsidP="0009014A">
      <w:pPr>
        <w:spacing w:after="240" w:line="240" w:lineRule="exact"/>
        <w:jc w:val="both"/>
        <w:rPr>
          <w:rFonts w:ascii="Lato" w:eastAsia="Aptos" w:hAnsi="Lato" w:cs="Aptos"/>
          <w:spacing w:val="4"/>
          <w:sz w:val="22"/>
          <w:szCs w:val="22"/>
          <w:lang w:eastAsia="en-US"/>
        </w:rPr>
      </w:pPr>
      <w:r w:rsidRPr="0009014A">
        <w:rPr>
          <w:rFonts w:ascii="Lato" w:eastAsia="Aptos" w:hAnsi="Lato" w:cs="Aptos"/>
          <w:spacing w:val="4"/>
          <w:sz w:val="22"/>
          <w:szCs w:val="22"/>
          <w:lang w:eastAsia="en-US"/>
        </w:rPr>
        <w:t xml:space="preserve">Z powyższego wynika, iż opinia, jeżeli szczególny przepis prawa nie nadał jej innego charakteru, jest tylko oceną faktów z użyciem ustawowych lub subiektywnych kryteriów opiniującego, która nie wiąże organu rozstrzygającego sprawę. Ze względu </w:t>
      </w:r>
      <w:r w:rsidRPr="0009014A">
        <w:rPr>
          <w:rFonts w:ascii="Lato" w:eastAsia="Aptos" w:hAnsi="Lato" w:cs="Aptos"/>
          <w:spacing w:val="4"/>
          <w:sz w:val="22"/>
          <w:szCs w:val="22"/>
          <w:lang w:eastAsia="en-US"/>
        </w:rPr>
        <w:br/>
        <w:t xml:space="preserve">na konieczność przyspieszenia procesu przygotowania Inwestycji, ustawodawca </w:t>
      </w:r>
      <w:r w:rsidRPr="0009014A">
        <w:rPr>
          <w:rFonts w:ascii="Lato" w:eastAsia="Aptos" w:hAnsi="Lato" w:cs="Aptos"/>
          <w:spacing w:val="4"/>
          <w:sz w:val="22"/>
          <w:szCs w:val="22"/>
          <w:lang w:eastAsia="en-US"/>
        </w:rPr>
        <w:br/>
        <w:t xml:space="preserve">w ustawie CPK świadomie zrezygnował z uzyskiwania uzgodnień, na rzecz pozyskania opinii. Jest to jedyne wyjście przecinające trwające czasem miesiącami/latami uzgodnienia i radykalnie przyspieszające proces inwestycyjny. Ustawodawca zastrzegł formę opinii właśnie dlatego by inwestor nie był zobligowany jej ustaleniami </w:t>
      </w:r>
      <w:r w:rsidRPr="0009014A">
        <w:rPr>
          <w:rFonts w:ascii="Lato" w:eastAsia="Aptos" w:hAnsi="Lato" w:cs="Aptos"/>
          <w:spacing w:val="4"/>
          <w:sz w:val="22"/>
          <w:szCs w:val="22"/>
          <w:lang w:eastAsia="en-US"/>
        </w:rPr>
        <w:br/>
        <w:t xml:space="preserve">w przypadku opinii negatywnej i mógł mimo to prowadzić bez przeszkód Inwestycję. Analogiczne rozwiązanie zostało przyjęte w innych aktach prawnych określanych mianem tzw. „specustawach”. Opinie wydawane w trybie art. 41 ust. 1 ustawy CPK nie są zatem wiążące dla inwestora ani dla organów orzekających w przedmiocie ustalenia lokalizacji inwestycji w zakresie CPK w tym sensie, że ustawa CPK nakłada obowiązek tylko dołączenia do wniosku o wydanie decyzji o ustaleniu lokalizacji inwestycji </w:t>
      </w:r>
      <w:r w:rsidRPr="0009014A">
        <w:rPr>
          <w:rFonts w:ascii="Lato" w:eastAsia="Aptos" w:hAnsi="Lato" w:cs="Aptos"/>
          <w:spacing w:val="4"/>
          <w:sz w:val="22"/>
          <w:szCs w:val="22"/>
          <w:lang w:eastAsia="en-US"/>
        </w:rPr>
        <w:br/>
        <w:t xml:space="preserve">w zakresie CPK opinii od wymienionych w art. 41 ust. 1 ustawy CPK podmiotów (albo dowodów doręczenia wniosków o wydanie tych opinii, w przypadku ich nie wydania), nie uzależniając jednocześnie możliwości ustalenia lokalizacji inwestycji w zakresie CPK </w:t>
      </w:r>
      <w:r w:rsidRPr="0009014A">
        <w:rPr>
          <w:rFonts w:ascii="Lato" w:eastAsia="Aptos" w:hAnsi="Lato" w:cs="Aptos"/>
          <w:spacing w:val="4"/>
          <w:sz w:val="22"/>
          <w:szCs w:val="22"/>
          <w:lang w:eastAsia="en-US"/>
        </w:rPr>
        <w:br/>
        <w:t>od pozytywnej treści tych opinii (tak Wojewódzki Sąd Administracyjny w wyroku z dnia 27 maja 2020 r., sygn. akt II SA/Lu 89/20, w sprawie rozstrzyganej na podstawie specustawy drogowej, opubl. Centralna Baza Orzeczeń Sądów Administracyjnych).</w:t>
      </w:r>
    </w:p>
    <w:p w14:paraId="2E59EEF0" w14:textId="02D4B6F6" w:rsidR="0009014A" w:rsidRPr="0009014A" w:rsidRDefault="0009014A" w:rsidP="0009014A">
      <w:pPr>
        <w:spacing w:after="240" w:line="240" w:lineRule="exact"/>
        <w:jc w:val="both"/>
        <w:rPr>
          <w:rFonts w:ascii="Lato" w:eastAsia="Aptos" w:hAnsi="Lato" w:cs="Aptos"/>
          <w:bCs/>
          <w:iCs/>
          <w:spacing w:val="4"/>
          <w:sz w:val="22"/>
          <w:szCs w:val="22"/>
          <w:lang w:eastAsia="en-US" w:bidi="pl-PL"/>
        </w:rPr>
      </w:pPr>
      <w:r w:rsidRPr="0009014A">
        <w:rPr>
          <w:rFonts w:ascii="Lato" w:eastAsia="Aptos" w:hAnsi="Lato" w:cs="Aptos"/>
          <w:bCs/>
          <w:spacing w:val="4"/>
          <w:sz w:val="22"/>
          <w:szCs w:val="22"/>
          <w:lang w:eastAsia="en-US"/>
        </w:rPr>
        <w:t xml:space="preserve">Skoro więc uzyskane przez inwestora negatywne opinie Zarządu Województwa Mazowieckiego i Wójta Gminy </w:t>
      </w:r>
      <w:r w:rsidR="00DC447E">
        <w:rPr>
          <w:rFonts w:ascii="Lato" w:eastAsia="Aptos" w:hAnsi="Lato" w:cs="Aptos"/>
          <w:bCs/>
          <w:spacing w:val="4"/>
          <w:sz w:val="22"/>
          <w:szCs w:val="22"/>
          <w:lang w:eastAsia="en-US"/>
        </w:rPr>
        <w:t>(…)</w:t>
      </w:r>
      <w:r w:rsidRPr="0009014A">
        <w:rPr>
          <w:rFonts w:ascii="Lato" w:eastAsia="Aptos" w:hAnsi="Lato" w:cs="Aptos"/>
          <w:bCs/>
          <w:spacing w:val="4"/>
          <w:sz w:val="22"/>
          <w:szCs w:val="22"/>
          <w:lang w:eastAsia="en-US"/>
        </w:rPr>
        <w:t xml:space="preserve"> nie miały charakteru wiążącego, to Wojewoda Mazowiecki, wbrew stanowisku skarżących, nie był związany stanowiskiem w nich zawartym i nie mógł ich potraktować jako swoiście rozumianego negatywnego uzgodnienia Inwestycji przez ww. organ. Przyjęcie za zasadne stanowiska skarżących </w:t>
      </w:r>
      <w:r w:rsidRPr="0009014A">
        <w:rPr>
          <w:rFonts w:ascii="Lato" w:eastAsia="Aptos" w:hAnsi="Lato" w:cs="Aptos"/>
          <w:bCs/>
          <w:spacing w:val="4"/>
          <w:sz w:val="22"/>
          <w:szCs w:val="22"/>
          <w:lang w:eastAsia="en-US"/>
        </w:rPr>
        <w:br/>
        <w:t xml:space="preserve">w tym zakresie byłaby możliwe tylko przy wprowadzeniu istotnych zmian całej konstrukcji prawnej, jaką ustawodawca przyjął tworząc ramy prawne dla inwestycji </w:t>
      </w:r>
      <w:r w:rsidRPr="0009014A">
        <w:rPr>
          <w:rFonts w:ascii="Lato" w:eastAsia="Aptos" w:hAnsi="Lato" w:cs="Aptos"/>
          <w:bCs/>
          <w:spacing w:val="4"/>
          <w:sz w:val="22"/>
          <w:szCs w:val="22"/>
          <w:lang w:eastAsia="en-US"/>
        </w:rPr>
        <w:br/>
        <w:t>w zakresie Centralnego Portu Komunikacyjnego. Z woli ustawodawcy, to na organie orzekającym w sprawie wydania decyzji o ustaleniu lokalizacji inwestycji w zakresie CPK spoczywa więc ciężar dokonania we własnym zakresie oceny zgodności z prawem wnioskowanej inwestycji.</w:t>
      </w:r>
      <w:r w:rsidRPr="0009014A">
        <w:rPr>
          <w:rFonts w:ascii="Lato" w:eastAsiaTheme="minorHAnsi" w:hAnsi="Lato" w:cs="Arial"/>
          <w:spacing w:val="4"/>
          <w:sz w:val="22"/>
          <w:szCs w:val="22"/>
          <w:lang w:eastAsia="en-US"/>
        </w:rPr>
        <w:t xml:space="preserve"> </w:t>
      </w:r>
      <w:r w:rsidRPr="0009014A">
        <w:rPr>
          <w:rFonts w:ascii="Lato" w:eastAsia="Aptos" w:hAnsi="Lato" w:cs="Aptos"/>
          <w:bCs/>
          <w:spacing w:val="4"/>
          <w:sz w:val="22"/>
          <w:szCs w:val="22"/>
          <w:lang w:eastAsia="en-US"/>
        </w:rPr>
        <w:t xml:space="preserve">To nie odczucia organu opiniującego wniosek, lecz zamierzenie inwestora determinuje kształt przyjętych rozwiązań lokalizacyjnych. </w:t>
      </w:r>
    </w:p>
    <w:p w14:paraId="4B302BAE" w14:textId="371E9CB4" w:rsidR="0009014A" w:rsidRPr="0009014A" w:rsidRDefault="0009014A" w:rsidP="0009014A">
      <w:pPr>
        <w:spacing w:after="240" w:line="240" w:lineRule="exact"/>
        <w:jc w:val="both"/>
        <w:rPr>
          <w:rFonts w:ascii="Lato" w:eastAsia="Aptos" w:hAnsi="Lato" w:cs="Aptos"/>
          <w:bCs/>
          <w:iCs/>
          <w:spacing w:val="4"/>
          <w:sz w:val="22"/>
          <w:szCs w:val="22"/>
          <w:lang w:eastAsia="en-US" w:bidi="pl-PL"/>
        </w:rPr>
      </w:pPr>
      <w:r w:rsidRPr="0009014A">
        <w:rPr>
          <w:rFonts w:ascii="Lato" w:eastAsia="Aptos" w:hAnsi="Lato" w:cs="Aptos"/>
          <w:bCs/>
          <w:iCs/>
          <w:spacing w:val="4"/>
          <w:sz w:val="22"/>
          <w:szCs w:val="22"/>
          <w:lang w:eastAsia="en-US" w:bidi="pl-PL"/>
        </w:rPr>
        <w:lastRenderedPageBreak/>
        <w:t>Za niezasadne należy uznać zarzuty Pana Z</w:t>
      </w:r>
      <w:r w:rsidR="00D104C0">
        <w:rPr>
          <w:rFonts w:ascii="Lato" w:eastAsia="Aptos" w:hAnsi="Lato" w:cs="Aptos"/>
          <w:bCs/>
          <w:iCs/>
          <w:spacing w:val="4"/>
          <w:sz w:val="22"/>
          <w:szCs w:val="22"/>
          <w:lang w:eastAsia="en-US" w:bidi="pl-PL"/>
        </w:rPr>
        <w:t>.</w:t>
      </w:r>
      <w:r w:rsidRPr="0009014A">
        <w:rPr>
          <w:rFonts w:ascii="Lato" w:eastAsia="Aptos" w:hAnsi="Lato" w:cs="Aptos"/>
          <w:bCs/>
          <w:iCs/>
          <w:spacing w:val="4"/>
          <w:sz w:val="22"/>
          <w:szCs w:val="22"/>
          <w:lang w:eastAsia="en-US" w:bidi="pl-PL"/>
        </w:rPr>
        <w:t xml:space="preserve"> K</w:t>
      </w:r>
      <w:r w:rsidR="00D104C0">
        <w:rPr>
          <w:rFonts w:ascii="Lato" w:eastAsia="Aptos" w:hAnsi="Lato" w:cs="Aptos"/>
          <w:bCs/>
          <w:iCs/>
          <w:spacing w:val="4"/>
          <w:sz w:val="22"/>
          <w:szCs w:val="22"/>
          <w:lang w:eastAsia="en-US" w:bidi="pl-PL"/>
        </w:rPr>
        <w:t>.</w:t>
      </w:r>
      <w:r w:rsidRPr="0009014A">
        <w:rPr>
          <w:rFonts w:ascii="Lato" w:eastAsia="Aptos" w:hAnsi="Lato" w:cs="Aptos"/>
          <w:bCs/>
          <w:iCs/>
          <w:spacing w:val="4"/>
          <w:sz w:val="22"/>
          <w:szCs w:val="22"/>
          <w:lang w:eastAsia="en-US" w:bidi="pl-PL"/>
        </w:rPr>
        <w:t>, Pana P</w:t>
      </w:r>
      <w:r w:rsidR="00D104C0">
        <w:rPr>
          <w:rFonts w:ascii="Lato" w:eastAsia="Aptos" w:hAnsi="Lato" w:cs="Aptos"/>
          <w:bCs/>
          <w:iCs/>
          <w:spacing w:val="4"/>
          <w:sz w:val="22"/>
          <w:szCs w:val="22"/>
          <w:lang w:eastAsia="en-US" w:bidi="pl-PL"/>
        </w:rPr>
        <w:t>.</w:t>
      </w:r>
      <w:r w:rsidRPr="0009014A">
        <w:rPr>
          <w:rFonts w:ascii="Lato" w:eastAsia="Aptos" w:hAnsi="Lato" w:cs="Aptos"/>
          <w:bCs/>
          <w:iCs/>
          <w:spacing w:val="4"/>
          <w:sz w:val="22"/>
          <w:szCs w:val="22"/>
          <w:lang w:eastAsia="en-US" w:bidi="pl-PL"/>
        </w:rPr>
        <w:t xml:space="preserve"> K</w:t>
      </w:r>
      <w:r w:rsidR="00D104C0">
        <w:rPr>
          <w:rFonts w:ascii="Lato" w:eastAsia="Aptos" w:hAnsi="Lato" w:cs="Aptos"/>
          <w:bCs/>
          <w:iCs/>
          <w:spacing w:val="4"/>
          <w:sz w:val="22"/>
          <w:szCs w:val="22"/>
          <w:lang w:eastAsia="en-US" w:bidi="pl-PL"/>
        </w:rPr>
        <w:t>.</w:t>
      </w:r>
      <w:r w:rsidRPr="0009014A">
        <w:rPr>
          <w:rFonts w:ascii="Lato" w:eastAsia="Aptos" w:hAnsi="Lato" w:cs="Aptos"/>
          <w:bCs/>
          <w:iCs/>
          <w:spacing w:val="4"/>
          <w:sz w:val="22"/>
          <w:szCs w:val="22"/>
          <w:lang w:eastAsia="en-US" w:bidi="pl-PL"/>
        </w:rPr>
        <w:t>, Pani K</w:t>
      </w:r>
      <w:r w:rsidR="00D104C0">
        <w:rPr>
          <w:rFonts w:ascii="Lato" w:eastAsia="Aptos" w:hAnsi="Lato" w:cs="Aptos"/>
          <w:bCs/>
          <w:iCs/>
          <w:spacing w:val="4"/>
          <w:sz w:val="22"/>
          <w:szCs w:val="22"/>
          <w:lang w:eastAsia="en-US" w:bidi="pl-PL"/>
        </w:rPr>
        <w:t>.</w:t>
      </w:r>
      <w:r w:rsidRPr="0009014A">
        <w:rPr>
          <w:rFonts w:ascii="Lato" w:eastAsia="Aptos" w:hAnsi="Lato" w:cs="Aptos"/>
          <w:bCs/>
          <w:iCs/>
          <w:spacing w:val="4"/>
          <w:sz w:val="22"/>
          <w:szCs w:val="22"/>
          <w:lang w:eastAsia="en-US" w:bidi="pl-PL"/>
        </w:rPr>
        <w:t xml:space="preserve"> K</w:t>
      </w:r>
      <w:r w:rsidR="00D104C0">
        <w:rPr>
          <w:rFonts w:ascii="Lato" w:eastAsia="Aptos" w:hAnsi="Lato" w:cs="Aptos"/>
          <w:bCs/>
          <w:iCs/>
          <w:spacing w:val="4"/>
          <w:sz w:val="22"/>
          <w:szCs w:val="22"/>
          <w:lang w:eastAsia="en-US" w:bidi="pl-PL"/>
        </w:rPr>
        <w:t>.</w:t>
      </w:r>
      <w:r w:rsidRPr="0009014A">
        <w:rPr>
          <w:rFonts w:ascii="Lato" w:eastAsia="Aptos" w:hAnsi="Lato" w:cs="Aptos"/>
          <w:bCs/>
          <w:iCs/>
          <w:spacing w:val="4"/>
          <w:sz w:val="22"/>
          <w:szCs w:val="22"/>
          <w:lang w:eastAsia="en-US" w:bidi="pl-PL"/>
        </w:rPr>
        <w:t xml:space="preserve"> i spółki </w:t>
      </w:r>
      <w:r w:rsidR="00D104C0">
        <w:rPr>
          <w:rFonts w:ascii="Lato" w:eastAsia="Aptos" w:hAnsi="Lato" w:cs="Aptos"/>
          <w:bCs/>
          <w:iCs/>
          <w:spacing w:val="4"/>
          <w:sz w:val="22"/>
          <w:szCs w:val="22"/>
          <w:lang w:eastAsia="en-US" w:bidi="pl-PL"/>
        </w:rPr>
        <w:t>(…)</w:t>
      </w:r>
      <w:r w:rsidRPr="0009014A">
        <w:rPr>
          <w:rFonts w:ascii="Lato" w:eastAsia="Aptos" w:hAnsi="Lato" w:cs="Aptos"/>
          <w:bCs/>
          <w:iCs/>
          <w:spacing w:val="4"/>
          <w:sz w:val="22"/>
          <w:szCs w:val="22"/>
          <w:lang w:eastAsia="en-US" w:bidi="pl-PL"/>
        </w:rPr>
        <w:t xml:space="preserve"> dotyczące naruszenia art. 44 ust. 1 pkt 1 ustawy CPK poprzez błędne dokonanie podziału oraz połączenia nieruchomości w liniach rozgraniczających teren przedmiotowego przedsięwzięcia, zgodnie z wnioskiem inwestora, podczas gdy wniosek inwestora zawierał błędne dane w wykazie zmian gruntowych co do powierzchni działek przed dokonaniem podziału oraz po jego dokonaniu, które to dane mają kluczowe znaczenie dla prawidłowego określenia nieruchomości (części powierzchni ziemi) wobec których decyzja Wojewody Mazowieckiego wywołuje skutki prawne oraz wadliwie określa prawa i obowiązki właścicieli błędnie oznaczonych nieruchomości. </w:t>
      </w:r>
    </w:p>
    <w:p w14:paraId="1208863F" w14:textId="298544A4" w:rsidR="0009014A" w:rsidRPr="0009014A" w:rsidRDefault="0009014A" w:rsidP="0009014A">
      <w:pPr>
        <w:spacing w:after="240" w:line="240" w:lineRule="exact"/>
        <w:jc w:val="both"/>
        <w:rPr>
          <w:rFonts w:ascii="Lato" w:eastAsiaTheme="minorHAnsi" w:hAnsi="Lato" w:cs="Arial"/>
          <w:iCs/>
          <w:spacing w:val="4"/>
          <w:sz w:val="22"/>
          <w:szCs w:val="22"/>
          <w:lang w:eastAsia="en-US"/>
        </w:rPr>
      </w:pPr>
      <w:r w:rsidRPr="0009014A">
        <w:rPr>
          <w:rFonts w:ascii="Lato" w:eastAsiaTheme="minorHAnsi" w:hAnsi="Lato" w:cs="Arial"/>
          <w:spacing w:val="4"/>
          <w:sz w:val="22"/>
          <w:szCs w:val="22"/>
          <w:lang w:eastAsia="en-US"/>
        </w:rPr>
        <w:t xml:space="preserve">Z dyspozycji art. 43 ust. 1 pkt 3 ustawy CPK wynika, że do wniosku o wydanie decyzji </w:t>
      </w:r>
      <w:r w:rsidRPr="0009014A">
        <w:rPr>
          <w:rFonts w:ascii="Lato" w:eastAsiaTheme="minorHAnsi" w:hAnsi="Lato" w:cs="Arial"/>
          <w:spacing w:val="4"/>
          <w:sz w:val="22"/>
          <w:szCs w:val="22"/>
          <w:lang w:eastAsia="en-US"/>
        </w:rPr>
        <w:br/>
        <w:t>o ustaleniu lokalizacji inwestycji w zakresie CPK załącza się mapy zawierające projekty podziału nieruchomości sporządzone zgodnie z przepisami odrębnymi. Wynika z tego,</w:t>
      </w:r>
      <w:r w:rsidRPr="0009014A">
        <w:rPr>
          <w:rFonts w:ascii="Lato" w:eastAsiaTheme="minorHAnsi" w:hAnsi="Lato" w:cs="Arial"/>
          <w:spacing w:val="4"/>
          <w:sz w:val="22"/>
          <w:szCs w:val="22"/>
          <w:lang w:eastAsia="en-US"/>
        </w:rPr>
        <w:br/>
        <w:t xml:space="preserve">iż </w:t>
      </w:r>
      <w:r w:rsidRPr="0009014A">
        <w:rPr>
          <w:rFonts w:ascii="Lato" w:eastAsiaTheme="minorHAnsi" w:hAnsi="Lato" w:cs="Arial"/>
          <w:iCs/>
          <w:spacing w:val="4"/>
          <w:sz w:val="22"/>
          <w:szCs w:val="22"/>
          <w:lang w:val="x-none" w:eastAsia="en-US"/>
        </w:rPr>
        <w:t>do zatwierdzenia podziałów nieruchomości dokumentację podziałową opracowują uprawnione do tego osoby przed złożeniem wniosku o wydanie decyzji</w:t>
      </w:r>
      <w:r w:rsidRPr="0009014A">
        <w:rPr>
          <w:rFonts w:ascii="Lato" w:eastAsiaTheme="minorHAnsi" w:hAnsi="Lato" w:cs="Arial"/>
          <w:spacing w:val="4"/>
          <w:sz w:val="22"/>
          <w:szCs w:val="22"/>
          <w:lang w:eastAsia="en-US"/>
        </w:rPr>
        <w:t xml:space="preserve"> o ustaleniu lokalizacji inwestycji w zakresie CPK</w:t>
      </w:r>
      <w:r w:rsidRPr="0009014A">
        <w:rPr>
          <w:rFonts w:ascii="Lato" w:eastAsiaTheme="minorHAnsi" w:hAnsi="Lato" w:cs="Arial"/>
          <w:iCs/>
          <w:spacing w:val="4"/>
          <w:sz w:val="22"/>
          <w:szCs w:val="22"/>
          <w:lang w:eastAsia="en-US"/>
        </w:rPr>
        <w:t xml:space="preserve">. Organ wydający decyzję o ustaleniu lokalizacji inwestycji w zakresie CPK nie wykonuje zatem samodzielnie czynności i nie sporządza samodzielnie dokumentacji dotyczącej podziału nieruchomości objętych przedmiotowym postępowaniem, tylko korzysta z dołączonej do wniosku o wydanie decyzji dokumentacji geodezyjnej przygotowanej przez uprawnione podmioty. Czynności podejmowane </w:t>
      </w:r>
      <w:r w:rsidR="00A13859">
        <w:rPr>
          <w:rFonts w:ascii="Lato" w:eastAsiaTheme="minorHAnsi" w:hAnsi="Lato" w:cs="Arial"/>
          <w:iCs/>
          <w:spacing w:val="4"/>
          <w:sz w:val="22"/>
          <w:szCs w:val="22"/>
          <w:lang w:eastAsia="en-US"/>
        </w:rPr>
        <w:br/>
      </w:r>
      <w:r w:rsidRPr="0009014A">
        <w:rPr>
          <w:rFonts w:ascii="Lato" w:eastAsiaTheme="minorHAnsi" w:hAnsi="Lato" w:cs="Arial"/>
          <w:iCs/>
          <w:spacing w:val="4"/>
          <w:sz w:val="22"/>
          <w:szCs w:val="22"/>
          <w:lang w:eastAsia="en-US"/>
        </w:rPr>
        <w:t xml:space="preserve">w związku z wykonywaniem prac geodezyjnych nie są częścią postępowania prowadzonego w sprawie ustalenia lokalizacji inwestycji w CPK. </w:t>
      </w:r>
      <w:r w:rsidRPr="0009014A">
        <w:rPr>
          <w:rFonts w:ascii="Lato" w:eastAsiaTheme="minorHAnsi" w:hAnsi="Lato" w:cs="Arial"/>
          <w:bCs/>
          <w:iCs/>
          <w:spacing w:val="4"/>
          <w:sz w:val="22"/>
          <w:szCs w:val="22"/>
          <w:lang w:eastAsia="en-US" w:bidi="pl-PL"/>
        </w:rPr>
        <w:t>W myśl art. 40 ust. 2 pkt 8 w zw. z art. 44 ust. 1 pkt 1</w:t>
      </w:r>
      <w:r w:rsidRPr="0009014A">
        <w:rPr>
          <w:rFonts w:ascii="Lato" w:eastAsiaTheme="minorHAnsi" w:hAnsi="Lato" w:cs="Arial"/>
          <w:spacing w:val="4"/>
          <w:sz w:val="22"/>
          <w:szCs w:val="22"/>
          <w:lang w:eastAsia="en-US"/>
        </w:rPr>
        <w:t xml:space="preserve"> </w:t>
      </w:r>
      <w:r w:rsidRPr="0009014A">
        <w:rPr>
          <w:rFonts w:ascii="Lato" w:eastAsiaTheme="minorHAnsi" w:hAnsi="Lato" w:cs="Arial"/>
          <w:bCs/>
          <w:iCs/>
          <w:spacing w:val="4"/>
          <w:sz w:val="22"/>
          <w:szCs w:val="22"/>
          <w:lang w:eastAsia="en-US" w:bidi="pl-PL"/>
        </w:rPr>
        <w:t xml:space="preserve">ustawy CPK, decyzja o ustaleniu lokalizacji inwestycji </w:t>
      </w:r>
      <w:r w:rsidR="00A13859">
        <w:rPr>
          <w:rFonts w:ascii="Lato" w:eastAsiaTheme="minorHAnsi" w:hAnsi="Lato" w:cs="Arial"/>
          <w:bCs/>
          <w:iCs/>
          <w:spacing w:val="4"/>
          <w:sz w:val="22"/>
          <w:szCs w:val="22"/>
          <w:lang w:eastAsia="en-US" w:bidi="pl-PL"/>
        </w:rPr>
        <w:br/>
      </w:r>
      <w:r w:rsidRPr="0009014A">
        <w:rPr>
          <w:rFonts w:ascii="Lato" w:eastAsiaTheme="minorHAnsi" w:hAnsi="Lato" w:cs="Arial"/>
          <w:bCs/>
          <w:iCs/>
          <w:spacing w:val="4"/>
          <w:sz w:val="22"/>
          <w:szCs w:val="22"/>
          <w:lang w:eastAsia="en-US" w:bidi="pl-PL"/>
        </w:rPr>
        <w:t>w zakresie CPK zatwierdza podział nieruchomości, a w razie wniosku inwestora - również zatwierdza połączenie nieruchomości</w:t>
      </w:r>
      <w:r w:rsidRPr="0009014A">
        <w:rPr>
          <w:rFonts w:ascii="Lato" w:eastAsiaTheme="minorHAnsi" w:hAnsi="Lato" w:cs="Arial"/>
          <w:iCs/>
          <w:spacing w:val="4"/>
          <w:sz w:val="22"/>
          <w:szCs w:val="22"/>
          <w:lang w:eastAsia="en-US"/>
        </w:rPr>
        <w:t xml:space="preserve">. </w:t>
      </w:r>
      <w:r w:rsidRPr="0009014A">
        <w:rPr>
          <w:rFonts w:ascii="Lato" w:eastAsiaTheme="minorHAnsi" w:hAnsi="Lato" w:cs="Arial"/>
          <w:bCs/>
          <w:iCs/>
          <w:spacing w:val="4"/>
          <w:sz w:val="22"/>
          <w:szCs w:val="22"/>
          <w:lang w:eastAsia="en-US" w:bidi="pl-PL"/>
        </w:rPr>
        <w:t xml:space="preserve">Żaden z przepisów ustawy CPK nie zawiera innych wymogów - poza przedstawieniem projektu podziału nieruchomości, od których spełnienia zależne byłoby zatwierdzenie podziału nieruchomości niezbędnych dla planowanej Inwestycji. </w:t>
      </w:r>
    </w:p>
    <w:p w14:paraId="6C12DA61" w14:textId="2FDAA879" w:rsidR="0009014A" w:rsidRPr="0009014A" w:rsidRDefault="0009014A" w:rsidP="0009014A">
      <w:pPr>
        <w:spacing w:after="240" w:line="240" w:lineRule="exact"/>
        <w:jc w:val="both"/>
        <w:rPr>
          <w:rFonts w:ascii="Lato" w:eastAsiaTheme="minorHAnsi" w:hAnsi="Lato" w:cs="Arial"/>
          <w:bCs/>
          <w:iCs/>
          <w:spacing w:val="4"/>
          <w:sz w:val="22"/>
          <w:szCs w:val="22"/>
          <w:lang w:eastAsia="en-US"/>
        </w:rPr>
      </w:pPr>
      <w:r w:rsidRPr="0009014A">
        <w:rPr>
          <w:rFonts w:ascii="Lato" w:eastAsiaTheme="minorHAnsi" w:hAnsi="Lato" w:cs="Arial"/>
          <w:bCs/>
          <w:iCs/>
          <w:spacing w:val="4"/>
          <w:sz w:val="22"/>
          <w:szCs w:val="22"/>
          <w:lang w:eastAsia="en-US"/>
        </w:rPr>
        <w:t xml:space="preserve">W rozpoznawanej sprawie mapy z projektem podziałów nieruchomości zatwierdzone </w:t>
      </w:r>
      <w:r w:rsidRPr="0009014A">
        <w:rPr>
          <w:rFonts w:ascii="Lato" w:eastAsiaTheme="minorHAnsi" w:hAnsi="Lato" w:cs="Arial"/>
          <w:bCs/>
          <w:iCs/>
          <w:spacing w:val="4"/>
          <w:sz w:val="22"/>
          <w:szCs w:val="22"/>
          <w:lang w:eastAsia="en-US"/>
        </w:rPr>
        <w:br/>
        <w:t xml:space="preserve">w </w:t>
      </w:r>
      <w:r w:rsidRPr="0009014A">
        <w:rPr>
          <w:rFonts w:ascii="Lato" w:eastAsiaTheme="minorHAnsi" w:hAnsi="Lato" w:cs="Arial"/>
          <w:bCs/>
          <w:spacing w:val="4"/>
          <w:sz w:val="22"/>
          <w:szCs w:val="22"/>
          <w:lang w:eastAsia="en-US"/>
        </w:rPr>
        <w:t>decyzji Wojewody Mazowieckiego</w:t>
      </w:r>
      <w:r w:rsidRPr="0009014A">
        <w:rPr>
          <w:rFonts w:ascii="Lato" w:eastAsiaTheme="minorHAnsi" w:hAnsi="Lato" w:cs="Arial"/>
          <w:bCs/>
          <w:iCs/>
          <w:spacing w:val="4"/>
          <w:sz w:val="22"/>
          <w:szCs w:val="22"/>
          <w:lang w:eastAsia="en-US"/>
        </w:rPr>
        <w:t>, w tym również mapy z projektami podziału działek skarżących, zostały wykonane przez uprawnionego geodetę i przyjęte wraz z wykazami zmian gruntowych do państwowego zasobu geodezyjnego i kartograficznego przez uprawniony do tego organ służby geodezyjnej i kartograficznej - właściwego starostę</w:t>
      </w:r>
      <w:r w:rsidRPr="0009014A">
        <w:rPr>
          <w:rFonts w:ascii="Lato" w:hAnsi="Lato" w:cs="Arial"/>
          <w:color w:val="000000"/>
          <w:spacing w:val="4"/>
          <w:sz w:val="22"/>
          <w:szCs w:val="22"/>
        </w:rPr>
        <w:t>.</w:t>
      </w:r>
      <w:r w:rsidRPr="0009014A">
        <w:rPr>
          <w:rFonts w:ascii="Lato" w:eastAsiaTheme="minorHAnsi" w:hAnsi="Lato" w:cs="Arial"/>
          <w:bCs/>
          <w:iCs/>
          <w:spacing w:val="4"/>
          <w:sz w:val="22"/>
          <w:szCs w:val="22"/>
          <w:lang w:eastAsia="en-US"/>
        </w:rPr>
        <w:t xml:space="preserve"> Mapy z projektami podziału nieruchomości, wraz z wykazami zmian danych gruntowych zostały opatrzone stosowną klauzulą urzędową. Zatem dane w nich zawarte zostały potwierdzone urzędowo. </w:t>
      </w:r>
      <w:r w:rsidRPr="0009014A">
        <w:rPr>
          <w:rFonts w:ascii="Lato" w:eastAsiaTheme="minorHAnsi" w:hAnsi="Lato" w:cs="Arial"/>
          <w:iCs/>
          <w:spacing w:val="4"/>
          <w:sz w:val="22"/>
          <w:szCs w:val="22"/>
          <w:lang w:eastAsia="en-US"/>
        </w:rPr>
        <w:t xml:space="preserve">Klauzula przyjęcia map podziałowych do zasobów właściwego ośrodka dokumentacji geodezyjnej i kartograficznej stanowi wystarczający dowód, </w:t>
      </w:r>
      <w:r w:rsidR="00A13859">
        <w:rPr>
          <w:rFonts w:ascii="Lato" w:eastAsiaTheme="minorHAnsi" w:hAnsi="Lato" w:cs="Arial"/>
          <w:iCs/>
          <w:spacing w:val="4"/>
          <w:sz w:val="22"/>
          <w:szCs w:val="22"/>
          <w:lang w:eastAsia="en-US"/>
        </w:rPr>
        <w:br/>
      </w:r>
      <w:r w:rsidRPr="0009014A">
        <w:rPr>
          <w:rFonts w:ascii="Lato" w:eastAsiaTheme="minorHAnsi" w:hAnsi="Lato" w:cs="Arial"/>
          <w:iCs/>
          <w:spacing w:val="4"/>
          <w:sz w:val="22"/>
          <w:szCs w:val="22"/>
          <w:lang w:eastAsia="en-US"/>
        </w:rPr>
        <w:t xml:space="preserve">iż ww. mapy podziału zostały sporządzone z zachowaniem przepisów odrębnych. Skoro więc mapy projektowanych podziałów działek, stanowiące dla Wojewody Mazowieckiego podstawę do zatwierdzenia projektu podziału, zostały w sposób oficjalny zatwierdzone przez właściwy ku temu organ, z potwierdzeniem dokonania oceny projektu podziału przez wyspecjalizowane do tego rodzaju czynności służby geodezyjno-kartograficzne, a rezultat opracowania zawiera operat techniczny wpisany do ewidencji materiałów państwowego zasobu geodezyjnego i kartograficznego – to zarówno Wojewoda Mazowiecki, jak i </w:t>
      </w:r>
      <w:r w:rsidRPr="0009014A">
        <w:rPr>
          <w:rFonts w:ascii="Lato" w:eastAsiaTheme="minorHAnsi" w:hAnsi="Lato" w:cs="Arial"/>
          <w:spacing w:val="4"/>
          <w:sz w:val="22"/>
          <w:szCs w:val="22"/>
          <w:lang w:eastAsia="en-US"/>
        </w:rPr>
        <w:t xml:space="preserve">Minister, </w:t>
      </w:r>
      <w:r w:rsidRPr="0009014A">
        <w:rPr>
          <w:rFonts w:ascii="Lato" w:eastAsiaTheme="minorHAnsi" w:hAnsi="Lato" w:cs="Arial"/>
          <w:iCs/>
          <w:spacing w:val="4"/>
          <w:sz w:val="22"/>
          <w:szCs w:val="22"/>
          <w:lang w:eastAsia="en-US"/>
        </w:rPr>
        <w:t xml:space="preserve">nie mają nie tylko podstaw, ale również i prawa do zakwestionowania takiego dokumentu i odmowy zatwierdzenia podziału. </w:t>
      </w:r>
    </w:p>
    <w:p w14:paraId="2A509D9F" w14:textId="77777777"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W orzecznictwie sądowoadministracyjnym podkreśla się, iż dokumentacja geodezyjno-kartograficzna przyjęta do opracowania materiałów graficznych, w tym projektów podziałów nieruchomości, opatrzona stosownymi klauzulami ośrodka dokumentacji geodezyjnej i kartograficznej, które stanowią potwierdzenie dokonania ich oceny przez wyspecjalizowane do tego rodzaju czynności służby geodezyjno-kartograficzne, nie może być kwestionowana przez organ orzekający w sprawie. Badaniu organu </w:t>
      </w:r>
      <w:r w:rsidRPr="0009014A">
        <w:rPr>
          <w:rFonts w:ascii="Lato" w:eastAsiaTheme="minorHAnsi" w:hAnsi="Lato" w:cs="Arial"/>
          <w:bCs/>
          <w:iCs/>
          <w:spacing w:val="4"/>
          <w:sz w:val="22"/>
          <w:szCs w:val="22"/>
          <w:lang w:eastAsia="en-US" w:bidi="pl-PL"/>
        </w:rPr>
        <w:br/>
      </w:r>
      <w:r w:rsidRPr="0009014A">
        <w:rPr>
          <w:rFonts w:ascii="Lato" w:eastAsiaTheme="minorHAnsi" w:hAnsi="Lato" w:cs="Arial"/>
          <w:bCs/>
          <w:iCs/>
          <w:spacing w:val="4"/>
          <w:sz w:val="22"/>
          <w:szCs w:val="22"/>
          <w:lang w:eastAsia="en-US" w:bidi="pl-PL"/>
        </w:rPr>
        <w:lastRenderedPageBreak/>
        <w:t xml:space="preserve">w postępowaniu w sprawie ustalenia lokalizacji inwestycji w zakresie CPK nie podlega ani działalność właściwego organu w sprawie prowadzenia ewidencji gruntów, ani czynności geodety związane z wykonywaniem prac geodezyjnych, gdyż kwestie te pozostają poza zakresem postępowania w sprawie ustalenia lokalizacji Inwestycji </w:t>
      </w:r>
      <w:r w:rsidRPr="0009014A">
        <w:rPr>
          <w:rFonts w:ascii="Lato" w:eastAsiaTheme="minorHAnsi" w:hAnsi="Lato" w:cs="Arial"/>
          <w:bCs/>
          <w:iCs/>
          <w:spacing w:val="4"/>
          <w:sz w:val="22"/>
          <w:szCs w:val="22"/>
          <w:lang w:eastAsia="en-US" w:bidi="pl-PL"/>
        </w:rPr>
        <w:br/>
        <w:t xml:space="preserve">(por. wyroki Naczelnego Sądu Administracyjnego z dnia 8 maja 2019 r., sygn. akt II OSK 339/19, z dnia 9 stycznia 2018 r., sygn. akt II OSK 2563/17, z dnia 1 marca 2016 r., sygn. akt II OSK 2334/15, z dnia 19 września 2013 r., sygn. akt II OSK 1593/13, oraz z dnia 27 marca 2012 r. sygn. akt II OSK 208/12, wyroki Wojewódzkiego Sądu Administracyjnego w Warszawie z dnia 6 czerwca 2019 r., sygn. akt VII SA/Wa 303/19, z dnia 14 października 2021 r., sygn. akt VII SA/Wa 1093/21, opubl. Centralna Baza Orzeczeń Sądów Administracyjnych, wydane w sprawach rozpatrywanych na podstawie specustawy drogowej, lecz w istotnym zakresie w pełni analogicznej do rozwiązań przyjętych w ustawie CPK). </w:t>
      </w:r>
    </w:p>
    <w:p w14:paraId="71BBA344" w14:textId="77777777"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Niezależnie od powyższego, zauważyć należy, iż rzeczony zarzut był podnoszony przez skarżących na etapie postępowania pierwszoinstancyjnego. Inwestor pi</w:t>
      </w:r>
      <w:r w:rsidRPr="0009014A">
        <w:rPr>
          <w:rFonts w:ascii="Lato" w:eastAsiaTheme="minorHAnsi" w:hAnsi="Lato" w:cs="Arial"/>
          <w:bCs/>
          <w:iCs/>
          <w:spacing w:val="4"/>
          <w:sz w:val="22"/>
          <w:szCs w:val="22"/>
          <w:lang w:eastAsia="en-US" w:bidi="pl-PL"/>
        </w:rPr>
        <w:softHyphen/>
        <w:t xml:space="preserve">smem z dnia </w:t>
      </w:r>
      <w:r w:rsidRPr="0009014A">
        <w:rPr>
          <w:rFonts w:ascii="Lato" w:eastAsiaTheme="minorHAnsi" w:hAnsi="Lato" w:cs="Arial"/>
          <w:bCs/>
          <w:iCs/>
          <w:spacing w:val="4"/>
          <w:sz w:val="22"/>
          <w:szCs w:val="22"/>
          <w:lang w:eastAsia="en-US" w:bidi="pl-PL"/>
        </w:rPr>
        <w:br/>
        <w:t>3 października 2024 r. ustosunkował się do przedmiotowego zagadnienia (odpowiedź uwzględniona została w uzasadnieniu decyzji Wojewody Mazowieckiego na str. 190-191).</w:t>
      </w:r>
    </w:p>
    <w:p w14:paraId="467364FC" w14:textId="0D1FD2C6"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Za niezasadny należy uznać zarzut Pana Z</w:t>
      </w:r>
      <w:r w:rsidR="001C007A">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1C007A">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Pana P</w:t>
      </w:r>
      <w:r w:rsidR="001C007A">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1C007A">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Pani K</w:t>
      </w:r>
      <w:r w:rsidR="001C007A">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1C007A">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i spółki </w:t>
      </w:r>
      <w:r w:rsidR="001C007A">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dotyczący pozbawienia dostępu do drogi publicznej dla ich działek podlegających podziałowi wymienionych w piśmie z dnia 13 października 2025 r., stanowiącym uzupełnienie odwołania. </w:t>
      </w:r>
    </w:p>
    <w:p w14:paraId="53F5E5FF" w14:textId="7A475F73"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Wskazana ww. piśmie skarżących działka nr 111/6, z obrębu 0033 SHRO Szymanów była działką projektowaną w wyniku podziału działki nr 111/2, z obrębu 0033 SHRO Szymanów realizowanego w ramach decyzji Wojewody Mazowieckiego. Obecnie </w:t>
      </w:r>
      <w:r w:rsidRPr="0009014A">
        <w:rPr>
          <w:rFonts w:ascii="Lato" w:eastAsiaTheme="minorHAnsi" w:hAnsi="Lato" w:cs="Arial"/>
          <w:bCs/>
          <w:iCs/>
          <w:spacing w:val="4"/>
          <w:sz w:val="22"/>
          <w:szCs w:val="22"/>
          <w:lang w:eastAsia="en-US" w:bidi="pl-PL"/>
        </w:rPr>
        <w:br/>
        <w:t xml:space="preserve">w wyniku podziału przeprowadzonego na wniosek skarżących ma oznaczenie nr 111/12. Skarżący w odrębnym trybie podzielili działkę pierwotną nr 111/2 zgodnie z linią rozgraniczająca określoną w decyzji Wojewody Mazowieckiego, a podział działki odbył się na wniosek stron za zgodą </w:t>
      </w:r>
      <w:r w:rsidR="00A13859" w:rsidRPr="00A13859">
        <w:rPr>
          <w:rFonts w:ascii="Lato" w:eastAsiaTheme="minorHAnsi" w:hAnsi="Lato" w:cs="Arial"/>
          <w:bCs/>
          <w:iCs/>
          <w:spacing w:val="4"/>
          <w:sz w:val="22"/>
          <w:szCs w:val="22"/>
          <w:lang w:eastAsia="en-US" w:bidi="pl-PL"/>
        </w:rPr>
        <w:t>Pełnomocnik</w:t>
      </w:r>
      <w:r w:rsidR="00A13859">
        <w:rPr>
          <w:rFonts w:ascii="Lato" w:eastAsiaTheme="minorHAnsi" w:hAnsi="Lato" w:cs="Arial"/>
          <w:bCs/>
          <w:iCs/>
          <w:spacing w:val="4"/>
          <w:sz w:val="22"/>
          <w:szCs w:val="22"/>
          <w:lang w:eastAsia="en-US" w:bidi="pl-PL"/>
        </w:rPr>
        <w:t>a</w:t>
      </w:r>
      <w:r w:rsidR="00A13859" w:rsidRPr="00A13859">
        <w:rPr>
          <w:rFonts w:ascii="Lato" w:eastAsiaTheme="minorHAnsi" w:hAnsi="Lato" w:cs="Arial"/>
          <w:bCs/>
          <w:iCs/>
          <w:spacing w:val="4"/>
          <w:sz w:val="22"/>
          <w:szCs w:val="22"/>
          <w:lang w:eastAsia="en-US" w:bidi="pl-PL"/>
        </w:rPr>
        <w:t xml:space="preserve"> Rządu ds. Centralnego Portu Komunikacyjnego</w:t>
      </w:r>
      <w:r w:rsidR="00A13859">
        <w:rPr>
          <w:rFonts w:ascii="Lato" w:eastAsiaTheme="minorHAnsi" w:hAnsi="Lato" w:cs="Arial"/>
          <w:bCs/>
          <w:iCs/>
          <w:spacing w:val="4"/>
          <w:sz w:val="22"/>
          <w:szCs w:val="22"/>
          <w:lang w:eastAsia="en-US" w:bidi="pl-PL"/>
        </w:rPr>
        <w:t xml:space="preserve"> </w:t>
      </w:r>
      <w:r w:rsidRPr="0009014A">
        <w:rPr>
          <w:rFonts w:ascii="Lato" w:eastAsiaTheme="minorHAnsi" w:hAnsi="Lato" w:cs="Arial"/>
          <w:bCs/>
          <w:iCs/>
          <w:spacing w:val="4"/>
          <w:sz w:val="22"/>
          <w:szCs w:val="22"/>
          <w:lang w:eastAsia="en-US" w:bidi="pl-PL"/>
        </w:rPr>
        <w:t>wydaną na podstawie art. 29 ust. 7 w zw. z art. 29 ust. 1 pkt 5 ustawy CPK, tworząc działki o numerach 111/11 i 111/13 (mieszczących się w granicach linii rozgraniczającej i nabytych przez inwestora – CPK Sp. z o.o. w dniu 21 listopada 2025 r.) oraz numerach 111/12 i 111/14 (pozostających własnością strony skarżącej). Innymi słowy to sam właściciel nieruchomości wydzielił działkę, w opinii stron, bez dostępu do drogi publicz</w:t>
      </w:r>
      <w:r w:rsidRPr="0009014A">
        <w:rPr>
          <w:rFonts w:ascii="Lato" w:eastAsiaTheme="minorHAnsi" w:hAnsi="Lato" w:cs="Arial"/>
          <w:bCs/>
          <w:iCs/>
          <w:spacing w:val="4"/>
          <w:sz w:val="22"/>
          <w:szCs w:val="22"/>
          <w:lang w:eastAsia="en-US" w:bidi="pl-PL"/>
        </w:rPr>
        <w:softHyphen/>
        <w:t xml:space="preserve">nej, powinien zatem także zadbać o kwestie dostępu do drogi publicznej. Niezależnie od powyższego, jak wynika z analizy akt sprawy (w tym wyjaśnień inwestora zawartych w piśmie z dnia 5 grudnia 2025 r., znak: LZS.41.87.2025) i analizy opracowań kartograficznych znajdujących się na stronie internetowej http://geoportal.gov.pl (Geoportal), do działki nr 111/12 jest dojazd przez istniejącą działkę nr 174, z obrębu 0024 Szymanów o użytku „dr”, stanowiącą własność Gminy Teresin. </w:t>
      </w:r>
    </w:p>
    <w:p w14:paraId="0150ABF0" w14:textId="77777777" w:rsidR="00004EB0"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Odnośnie powołanej przez skarżących działki nr </w:t>
      </w:r>
      <w:r w:rsidRPr="0009014A">
        <w:rPr>
          <w:rFonts w:ascii="Lato" w:eastAsiaTheme="minorHAnsi" w:hAnsi="Lato" w:cs="Arial"/>
          <w:bCs/>
          <w:spacing w:val="4"/>
          <w:sz w:val="22"/>
          <w:szCs w:val="22"/>
          <w:lang w:eastAsia="en-US" w:bidi="pl-PL"/>
        </w:rPr>
        <w:t>271/3</w:t>
      </w:r>
      <w:r w:rsidRPr="0009014A">
        <w:rPr>
          <w:rFonts w:ascii="Lato" w:eastAsiaTheme="minorHAnsi" w:hAnsi="Lato" w:cs="Arial"/>
          <w:bCs/>
          <w:i/>
          <w:iCs/>
          <w:spacing w:val="4"/>
          <w:sz w:val="22"/>
          <w:szCs w:val="22"/>
          <w:lang w:eastAsia="en-US" w:bidi="pl-PL"/>
        </w:rPr>
        <w:t xml:space="preserve">, </w:t>
      </w:r>
      <w:r w:rsidRPr="0009014A">
        <w:rPr>
          <w:rFonts w:ascii="Lato" w:eastAsiaTheme="minorHAnsi" w:hAnsi="Lato" w:cs="Arial"/>
          <w:bCs/>
          <w:spacing w:val="4"/>
          <w:sz w:val="22"/>
          <w:szCs w:val="22"/>
          <w:lang w:eastAsia="en-US" w:bidi="pl-PL"/>
        </w:rPr>
        <w:t xml:space="preserve">z obrębu 0020 Strumiany Dolne, zauważyć należy, że w decyzji Wojewody Mazowieckiego została ona wydzielona </w:t>
      </w:r>
      <w:r w:rsidRPr="0009014A">
        <w:rPr>
          <w:rFonts w:ascii="Lato" w:eastAsiaTheme="minorHAnsi" w:hAnsi="Lato" w:cs="Arial"/>
          <w:bCs/>
          <w:spacing w:val="4"/>
          <w:sz w:val="22"/>
          <w:szCs w:val="22"/>
          <w:lang w:eastAsia="en-US" w:bidi="pl-PL"/>
        </w:rPr>
        <w:br/>
        <w:t xml:space="preserve">z działki nr 271/1.  Natomiast </w:t>
      </w:r>
      <w:r w:rsidRPr="0009014A">
        <w:rPr>
          <w:rFonts w:ascii="Lato" w:eastAsiaTheme="minorHAnsi" w:hAnsi="Lato" w:cs="Arial"/>
          <w:bCs/>
          <w:iCs/>
          <w:spacing w:val="4"/>
          <w:sz w:val="22"/>
          <w:szCs w:val="22"/>
          <w:lang w:eastAsia="en-US" w:bidi="pl-PL"/>
        </w:rPr>
        <w:t xml:space="preserve">działka nr 271/1, z obrębu 0020 Strumiany Dolne została nabyta na własność inwestora – CPK Sp. z o.o. w dniu 21 listopada 2025 r. Zatem poruszane kwestie dotyczące dostępu działki do drogi publicznej są obecnie bezprzedmiotowe. Natomiast w zakresie dotyczącym dostępu do drogi publicznej dla działki nr 202/4 (powstałej z podziału z podziału działki nr 202/2), z obrębu 0023 Strumiany Górne, Minister w pkt I niniejszej decyzji ustanowił dla tej działki służebności przejazdu i przechodu w celu zapewnia dostępu do drogi publicznej, zgodnie z wnioskiem inwestora w tym zakresie zawartym w piśmie z dnia 17 grudnia 2025 r., znak: </w:t>
      </w:r>
      <w:r w:rsidRPr="0009014A">
        <w:rPr>
          <w:rFonts w:ascii="Lato" w:eastAsiaTheme="minorHAnsi" w:hAnsi="Lato" w:cs="Arial"/>
          <w:bCs/>
          <w:iCs/>
          <w:spacing w:val="4"/>
          <w:sz w:val="22"/>
          <w:szCs w:val="22"/>
          <w:lang w:eastAsia="en-US" w:bidi="pl-PL"/>
        </w:rPr>
        <w:lastRenderedPageBreak/>
        <w:t>LZS.41.20.2025, uzupełnionym w tym zakresie pismem z dnia 27 marca 2026 r., znak: LZS.41.20.2025. Służebność przejazdu i przechodu zastała ustanowiona po drodze przewidzianej do wybudowania w ramach Inwestycji (nazwanej przez inwestora drogą wewnętrzną), której przebieg zostanie wyznaczony przez inwestora – CPK Sp. z o.o. na działkach, które stanowią już własność inwestora lub staną się jego własnością z dniem, w którym decyzja o ustalenie lokalizacji inwestycji w zakresie CPK stanie się ostateczna.</w:t>
      </w:r>
    </w:p>
    <w:p w14:paraId="1B85484C" w14:textId="4C2A3B7B"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Jedocześnie Minister nałożył na inwestora obwiązek budowy ww. drogi i utrzymania jej </w:t>
      </w:r>
      <w:r w:rsidRPr="0009014A">
        <w:rPr>
          <w:rFonts w:ascii="Lato" w:eastAsiaTheme="minorHAnsi" w:hAnsi="Lato" w:cs="Arial"/>
          <w:bCs/>
          <w:iCs/>
          <w:spacing w:val="4"/>
          <w:sz w:val="22"/>
          <w:szCs w:val="22"/>
          <w:lang w:eastAsia="en-US" w:bidi="pl-PL"/>
        </w:rPr>
        <w:br/>
        <w:t xml:space="preserve">w odpowiednim stanie. Droga ta zapewni dostęp do drogi publicznej zgodnie z treścią służebności. Budowa wyżej powołanej drogi stanowi wypełnienie obowiązku wskazanego w art. 49 ustawy CPK. Zgodnie z art. 49 ustawy CPK, jeżeli zachodzi potrzeba zapobieżenia niebezpieczeństwu, wystąpieniu szkody lub niedogodnościom, jakie mogą powstać dla właścicieli albo użytkowników wieczystych nieruchomości sąsiednich wskutek wywłaszczenia lub innego niż dotychczas zagospodarowania wywłaszczonej nieruchomości, w decyzji o ustaleniu lokalizacji inwestycji w zakresie budowy CPK ustanawia się niezbędne służebności oraz ustala obowiązek budowy </w:t>
      </w:r>
      <w:r w:rsidRPr="0009014A">
        <w:rPr>
          <w:rFonts w:ascii="Lato" w:eastAsiaTheme="minorHAnsi" w:hAnsi="Lato" w:cs="Arial"/>
          <w:bCs/>
          <w:iCs/>
          <w:spacing w:val="4"/>
          <w:sz w:val="22"/>
          <w:szCs w:val="22"/>
          <w:lang w:eastAsia="en-US" w:bidi="pl-PL"/>
        </w:rPr>
        <w:br/>
        <w:t>i utrzymania odpowiednich urządzeń zapobiegających tym zdarzeniom lub okolicznościom. Obowiązek budowy i utrzymania odpowiednich urządzeń ciąży na Spółce Celowej. Powyższe nie wyklucza, że droga ta będzie także wykorzystana na potrzeby techniczne czy technologiczne związane z utrzymaniem urządzeń lub obiektów realizowanych w ramach Inwestycji. O konieczności ustanowienia w niniejszej decyzji służebności przejazdu i przechodu w celu zapewnia dostępu do drogi publicznej dla działek objętych podziałem, które w wyniku tego podziału tracą dostęp do drogi publicznej, będzie również mowa przy rozpatrywaniu zarzutu Pana K</w:t>
      </w:r>
      <w:r w:rsidR="00A272B7">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O</w:t>
      </w:r>
      <w:r w:rsidR="00A272B7">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dotyczącego naruszenia</w:t>
      </w:r>
      <w:r w:rsidRPr="0009014A">
        <w:rPr>
          <w:rFonts w:ascii="Lato" w:hAnsi="Lato" w:cs="Arial"/>
          <w:bCs/>
          <w:iCs/>
          <w:color w:val="000000"/>
          <w:spacing w:val="4"/>
          <w:sz w:val="22"/>
          <w:szCs w:val="22"/>
          <w:lang w:bidi="pl-PL"/>
        </w:rPr>
        <w:t xml:space="preserve"> </w:t>
      </w:r>
      <w:r w:rsidRPr="0009014A">
        <w:rPr>
          <w:rFonts w:ascii="Lato" w:eastAsiaTheme="minorHAnsi" w:hAnsi="Lato" w:cs="Arial"/>
          <w:bCs/>
          <w:iCs/>
          <w:spacing w:val="4"/>
          <w:sz w:val="22"/>
          <w:szCs w:val="22"/>
          <w:lang w:eastAsia="en-US" w:bidi="pl-PL"/>
        </w:rPr>
        <w:t xml:space="preserve">art. 93 ust. 3 ugn w zw. z art. 3 ust. 2 ustawy CPK. </w:t>
      </w:r>
    </w:p>
    <w:p w14:paraId="63334B39" w14:textId="48769B40"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Podkreślić przy tym należy, iż art. 285 § 1 ustawy z dnia 23 kwietnia 1964 r. – Kodeks cywilny (t.j. Dz.U. z 2025 r. poz. 1071), zwanej dalej „kodeks cywilny” – regulujący zagadnienie służebności gruntowej – nie definiuje, jakie dane powinny być zawarte </w:t>
      </w:r>
      <w:r w:rsidRPr="0009014A">
        <w:rPr>
          <w:rFonts w:ascii="Lato" w:eastAsiaTheme="minorHAnsi" w:hAnsi="Lato" w:cs="Arial"/>
          <w:bCs/>
          <w:iCs/>
          <w:spacing w:val="4"/>
          <w:sz w:val="22"/>
          <w:szCs w:val="22"/>
          <w:lang w:eastAsia="en-US" w:bidi="pl-PL"/>
        </w:rPr>
        <w:br/>
        <w:t xml:space="preserve">w opisie służebności. Zdaniem Ministra, dokonane w niniejszej decyzji zapewnienie </w:t>
      </w:r>
      <w:r w:rsidR="00D77DAC">
        <w:rPr>
          <w:rFonts w:ascii="Lato" w:eastAsiaTheme="minorHAnsi" w:hAnsi="Lato" w:cs="Arial"/>
          <w:bCs/>
          <w:iCs/>
          <w:spacing w:val="4"/>
          <w:sz w:val="22"/>
          <w:szCs w:val="22"/>
          <w:lang w:eastAsia="en-US" w:bidi="pl-PL"/>
        </w:rPr>
        <w:br/>
      </w:r>
      <w:r w:rsidRPr="0009014A">
        <w:rPr>
          <w:rFonts w:ascii="Lato" w:eastAsiaTheme="minorHAnsi" w:hAnsi="Lato" w:cs="Arial"/>
          <w:bCs/>
          <w:iCs/>
          <w:spacing w:val="4"/>
          <w:sz w:val="22"/>
          <w:szCs w:val="22"/>
          <w:lang w:eastAsia="en-US" w:bidi="pl-PL"/>
        </w:rPr>
        <w:t>na rzecz nieruchomości władnących dostępu do drogi publicznej poprzez ustanowienie służebności przejazdu i przechodu po drodze wewnętrznej, której przebieg zostanie wyznaczony przez właściciela nieruchomości obciążonej przez działkę/ki</w:t>
      </w:r>
      <w:r w:rsidR="008F21F0">
        <w:rPr>
          <w:rFonts w:ascii="Lato" w:eastAsiaTheme="minorHAnsi" w:hAnsi="Lato" w:cs="Arial"/>
          <w:bCs/>
          <w:iCs/>
          <w:spacing w:val="4"/>
          <w:sz w:val="22"/>
          <w:szCs w:val="22"/>
          <w:lang w:eastAsia="en-US" w:bidi="pl-PL"/>
        </w:rPr>
        <w:t xml:space="preserve">, </w:t>
      </w:r>
      <w:r w:rsidRPr="0009014A">
        <w:rPr>
          <w:rFonts w:ascii="Lato" w:eastAsiaTheme="minorHAnsi" w:hAnsi="Lato" w:cs="Arial"/>
          <w:bCs/>
          <w:iCs/>
          <w:spacing w:val="4"/>
          <w:sz w:val="22"/>
          <w:szCs w:val="22"/>
          <w:lang w:eastAsia="en-US" w:bidi="pl-PL"/>
        </w:rPr>
        <w:t xml:space="preserve">jest zgodne </w:t>
      </w:r>
      <w:r w:rsidR="00D77DAC">
        <w:rPr>
          <w:rFonts w:ascii="Lato" w:eastAsiaTheme="minorHAnsi" w:hAnsi="Lato" w:cs="Arial"/>
          <w:bCs/>
          <w:iCs/>
          <w:spacing w:val="4"/>
          <w:sz w:val="22"/>
          <w:szCs w:val="22"/>
          <w:lang w:eastAsia="en-US" w:bidi="pl-PL"/>
        </w:rPr>
        <w:br/>
      </w:r>
      <w:r w:rsidRPr="0009014A">
        <w:rPr>
          <w:rFonts w:ascii="Lato" w:eastAsiaTheme="minorHAnsi" w:hAnsi="Lato" w:cs="Arial"/>
          <w:bCs/>
          <w:iCs/>
          <w:spacing w:val="4"/>
          <w:sz w:val="22"/>
          <w:szCs w:val="22"/>
          <w:lang w:eastAsia="en-US" w:bidi="pl-PL"/>
        </w:rPr>
        <w:t xml:space="preserve">z prawem. Zakres służebności jest determinowany przez kształt Inwestycji przewidziany na działkach obciążonych, a jak już to zostało wyjaśnione powyżej, na działkach obciążonych (które stanowią własność inwestora lub które staną się jego własnością </w:t>
      </w:r>
      <w:r w:rsidR="00D77DAC">
        <w:rPr>
          <w:rFonts w:ascii="Lato" w:eastAsiaTheme="minorHAnsi" w:hAnsi="Lato" w:cs="Arial"/>
          <w:bCs/>
          <w:iCs/>
          <w:spacing w:val="4"/>
          <w:sz w:val="22"/>
          <w:szCs w:val="22"/>
          <w:lang w:eastAsia="en-US" w:bidi="pl-PL"/>
        </w:rPr>
        <w:br/>
      </w:r>
      <w:r w:rsidRPr="0009014A">
        <w:rPr>
          <w:rFonts w:ascii="Lato" w:eastAsiaTheme="minorHAnsi" w:hAnsi="Lato" w:cs="Arial"/>
          <w:bCs/>
          <w:iCs/>
          <w:spacing w:val="4"/>
          <w:sz w:val="22"/>
          <w:szCs w:val="22"/>
          <w:lang w:eastAsia="en-US" w:bidi="pl-PL"/>
        </w:rPr>
        <w:t xml:space="preserve">z dniem, w którym decyzja o ustaleniu lokalizacji w zakresie CPK stanie się ostateczna, będzie urządzona droga (której obwiązek budowy </w:t>
      </w:r>
      <w:r w:rsidR="00D77DAC">
        <w:rPr>
          <w:rFonts w:ascii="Lato" w:eastAsiaTheme="minorHAnsi" w:hAnsi="Lato" w:cs="Arial"/>
          <w:bCs/>
          <w:iCs/>
          <w:spacing w:val="4"/>
          <w:sz w:val="22"/>
          <w:szCs w:val="22"/>
          <w:lang w:eastAsia="en-US" w:bidi="pl-PL"/>
        </w:rPr>
        <w:t xml:space="preserve">i utrzymania </w:t>
      </w:r>
      <w:r w:rsidRPr="0009014A">
        <w:rPr>
          <w:rFonts w:ascii="Lato" w:eastAsiaTheme="minorHAnsi" w:hAnsi="Lato" w:cs="Arial"/>
          <w:bCs/>
          <w:iCs/>
          <w:spacing w:val="4"/>
          <w:sz w:val="22"/>
          <w:szCs w:val="22"/>
          <w:lang w:eastAsia="en-US" w:bidi="pl-PL"/>
        </w:rPr>
        <w:t xml:space="preserve">został nałożony na inwestora w niniejszej decyzji organu odwoławczego), umożliwiająca dostęp do drogi publicznej (por. wyrok Wojewódzkiego Sądu Administracyjnego w Warszawie z dnia </w:t>
      </w:r>
      <w:r w:rsidR="00D77DAC">
        <w:rPr>
          <w:rFonts w:ascii="Lato" w:eastAsiaTheme="minorHAnsi" w:hAnsi="Lato" w:cs="Arial"/>
          <w:bCs/>
          <w:iCs/>
          <w:spacing w:val="4"/>
          <w:sz w:val="22"/>
          <w:szCs w:val="22"/>
          <w:lang w:eastAsia="en-US" w:bidi="pl-PL"/>
        </w:rPr>
        <w:br/>
      </w:r>
      <w:r w:rsidRPr="0009014A">
        <w:rPr>
          <w:rFonts w:ascii="Lato" w:eastAsiaTheme="minorHAnsi" w:hAnsi="Lato" w:cs="Arial"/>
          <w:bCs/>
          <w:iCs/>
          <w:spacing w:val="4"/>
          <w:sz w:val="22"/>
          <w:szCs w:val="22"/>
          <w:lang w:eastAsia="en-US" w:bidi="pl-PL"/>
        </w:rPr>
        <w:t xml:space="preserve">2 marca 2023 r., sygn. akt VII SA/Wa 1802/21, opubl. Centralna Baza Orzeczeń Sądów Administracyjnych). </w:t>
      </w:r>
    </w:p>
    <w:p w14:paraId="41D9ABB7" w14:textId="6F788CF4"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Zatem decyzja Wojewody Mazowieckiego po jej zmianie przez Ministra zawiera prawem przewidziane wymagania dotyczące ochrony interesów osób trzecich w zakresie dotyczących ustanowienia dostępu do drogi publicznej. Jednocześnie wyjaśnić należy, </w:t>
      </w:r>
      <w:r w:rsidR="00004EB0">
        <w:rPr>
          <w:rFonts w:ascii="Lato" w:eastAsiaTheme="minorHAnsi" w:hAnsi="Lato" w:cs="Arial"/>
          <w:bCs/>
          <w:iCs/>
          <w:spacing w:val="4"/>
          <w:sz w:val="22"/>
          <w:szCs w:val="22"/>
          <w:lang w:eastAsia="en-US" w:bidi="pl-PL"/>
        </w:rPr>
        <w:br/>
      </w:r>
      <w:r w:rsidRPr="0009014A">
        <w:rPr>
          <w:rFonts w:ascii="Lato" w:eastAsiaTheme="minorHAnsi" w:hAnsi="Lato" w:cs="Arial"/>
          <w:bCs/>
          <w:iCs/>
          <w:spacing w:val="4"/>
          <w:sz w:val="22"/>
          <w:szCs w:val="22"/>
          <w:lang w:eastAsia="en-US" w:bidi="pl-PL"/>
        </w:rPr>
        <w:t xml:space="preserve">że w orzecznictwie wskazuje się, że pojęcie dostępu do drogi publicznej należy rozumieć możliwie jak najszerzej. Z tego względu warunek dostępu do drogi publicznej spełniony jest zawsze wtedy, kiedy na działkę można dostać się – zgodnie z prawem – z drogi publicznej. Ustawodawca nie stawia przy tym wymagań co do rodzaju tego dostępu, czy ma być to droga, ścieżka, itp. Brak jest bowiem przepisu prawa, który nakazywałby zapewnienie określonego charakteru dostępu do drogi publicznej, ewentualnie dostępu do określonej kategorii dróg publicznych, bądź projektowanie dostępu zgodnie </w:t>
      </w:r>
      <w:r w:rsidRPr="0009014A">
        <w:rPr>
          <w:rFonts w:ascii="Lato" w:eastAsiaTheme="minorHAnsi" w:hAnsi="Lato" w:cs="Arial"/>
          <w:bCs/>
          <w:iCs/>
          <w:spacing w:val="4"/>
          <w:sz w:val="22"/>
          <w:szCs w:val="22"/>
          <w:lang w:eastAsia="en-US" w:bidi="pl-PL"/>
        </w:rPr>
        <w:br/>
        <w:t xml:space="preserve">z żądaniem osoby zainteresowanej. Obowiązek zapewnienia dostępu do drogi publicznej </w:t>
      </w:r>
      <w:r w:rsidRPr="0009014A">
        <w:rPr>
          <w:rFonts w:ascii="Lato" w:eastAsiaTheme="minorHAnsi" w:hAnsi="Lato" w:cs="Arial"/>
          <w:bCs/>
          <w:iCs/>
          <w:spacing w:val="4"/>
          <w:sz w:val="22"/>
          <w:szCs w:val="22"/>
          <w:lang w:eastAsia="en-US" w:bidi="pl-PL"/>
        </w:rPr>
        <w:lastRenderedPageBreak/>
        <w:t xml:space="preserve">nie jest równoznaczny z obowiązkiem dostępu do drogi publicznej co najmniej na dotychczasowych warunkach (por. wyroki Naczelnego Sądu Administracyjnego z dnia </w:t>
      </w:r>
      <w:r w:rsidRPr="0009014A">
        <w:rPr>
          <w:rFonts w:ascii="Lato" w:eastAsiaTheme="minorHAnsi" w:hAnsi="Lato" w:cs="Arial"/>
          <w:bCs/>
          <w:iCs/>
          <w:spacing w:val="4"/>
          <w:sz w:val="22"/>
          <w:szCs w:val="22"/>
          <w:lang w:eastAsia="en-US" w:bidi="pl-PL"/>
        </w:rPr>
        <w:br/>
        <w:t xml:space="preserve">6 kwietnia 2018 r., sygn. akt II OSK 365/18, z dnia 15 października 2020 r., sygn. akt </w:t>
      </w:r>
      <w:r w:rsidRPr="0009014A">
        <w:rPr>
          <w:rFonts w:ascii="Lato" w:eastAsiaTheme="minorHAnsi" w:hAnsi="Lato" w:cs="Arial"/>
          <w:bCs/>
          <w:iCs/>
          <w:spacing w:val="4"/>
          <w:sz w:val="22"/>
          <w:szCs w:val="22"/>
          <w:lang w:eastAsia="en-US" w:bidi="pl-PL"/>
        </w:rPr>
        <w:br/>
        <w:t xml:space="preserve">II OSK 1439/20, z dnia 19 lipca 2016 r., sygn. akt II OSK 1373/16, z dnia 26 lipca </w:t>
      </w:r>
      <w:r w:rsidRPr="0009014A">
        <w:rPr>
          <w:rFonts w:ascii="Lato" w:eastAsiaTheme="minorHAnsi" w:hAnsi="Lato" w:cs="Arial"/>
          <w:bCs/>
          <w:iCs/>
          <w:spacing w:val="4"/>
          <w:sz w:val="22"/>
          <w:szCs w:val="22"/>
          <w:lang w:eastAsia="en-US" w:bidi="pl-PL"/>
        </w:rPr>
        <w:br/>
        <w:t xml:space="preserve">2013 r., sygn. akt II OSK 762/13, wyroki Wojewódzkiego Sądu Administracyjnego </w:t>
      </w:r>
      <w:r w:rsidRPr="0009014A">
        <w:rPr>
          <w:rFonts w:ascii="Lato" w:eastAsiaTheme="minorHAnsi" w:hAnsi="Lato" w:cs="Arial"/>
          <w:bCs/>
          <w:iCs/>
          <w:spacing w:val="4"/>
          <w:sz w:val="22"/>
          <w:szCs w:val="22"/>
          <w:lang w:eastAsia="en-US" w:bidi="pl-PL"/>
        </w:rPr>
        <w:br/>
        <w:t xml:space="preserve">w Warszawie z dnia 21 listopada 2019 r., sygn. akt VII SA/Wa 1749/19, z dnia </w:t>
      </w:r>
      <w:r w:rsidRPr="0009014A">
        <w:rPr>
          <w:rFonts w:ascii="Lato" w:eastAsiaTheme="minorHAnsi" w:hAnsi="Lato" w:cs="Arial"/>
          <w:bCs/>
          <w:iCs/>
          <w:spacing w:val="4"/>
          <w:sz w:val="22"/>
          <w:szCs w:val="22"/>
          <w:lang w:eastAsia="en-US" w:bidi="pl-PL"/>
        </w:rPr>
        <w:br/>
        <w:t>6 października 2017 r., sygn. akt VII SA/Wa 1388/17 i z dnia 26 listopada 2009 r., sygn. akt IV SA/Wa 1433/09, opubl. Centralna Baza Orzeczeń Sądów Administracyjnych).</w:t>
      </w:r>
    </w:p>
    <w:p w14:paraId="569D556F" w14:textId="0FC6719E"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Na uwzględnienie nie zasługuje zarzut Pana Z</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Pana P</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Pani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i spółki </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dotyczący</w:t>
      </w:r>
      <w:r w:rsidRPr="0009014A">
        <w:rPr>
          <w:rFonts w:ascii="Lato" w:hAnsi="Lato"/>
          <w:spacing w:val="4"/>
          <w:sz w:val="22"/>
          <w:szCs w:val="22"/>
        </w:rPr>
        <w:t xml:space="preserve"> </w:t>
      </w:r>
      <w:r w:rsidRPr="0009014A">
        <w:rPr>
          <w:rFonts w:ascii="Lato" w:eastAsiaTheme="minorHAnsi" w:hAnsi="Lato" w:cs="Arial"/>
          <w:bCs/>
          <w:iCs/>
          <w:spacing w:val="4"/>
          <w:sz w:val="22"/>
          <w:szCs w:val="22"/>
          <w:lang w:eastAsia="en-US" w:bidi="pl-PL"/>
        </w:rPr>
        <w:t>konieczności zapewnienia dostępu do drogi publicznej również, gdy działka dzielona nie posiadała dostępu do drogi publicznej przed podziałem.</w:t>
      </w:r>
    </w:p>
    <w:p w14:paraId="6CE367E0" w14:textId="77777777"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Stosownie do treści art. 3 ust. 2 ustawy CPK, w sprawach nieuregulowanych w tej ustawie, stosuje się odpowiednio m.in. przepisy ugn. Natomiast stosownie do treści art. 93 ust. 3 ugn, podział nieruchomości nie jest dopuszczalny, jeżeli projektowane do wydzielenia działki gruntu nie mają dostępu do drogi publicznej; za dostęp do drogi publicznej uważa się również wydzielenie drogi wewnętrznej wraz z ustanowieniem na tej drodze odpowiednich służebności dla wydzielonych działek gruntu albo ustanowienie dla tych działek innych służebności drogowych, jeżeli nie ma możliwości wydzielenia drogi wewnętrznej z nieruchomości objętej podziałem. Nie ustanawia się służebności na drodze wewnętrznej w przypadku sprzedaży wydzielonych działek gruntu wraz </w:t>
      </w:r>
      <w:r w:rsidRPr="0009014A">
        <w:rPr>
          <w:rFonts w:ascii="Lato" w:eastAsiaTheme="minorHAnsi" w:hAnsi="Lato" w:cs="Arial"/>
          <w:bCs/>
          <w:iCs/>
          <w:spacing w:val="4"/>
          <w:sz w:val="22"/>
          <w:szCs w:val="22"/>
          <w:lang w:eastAsia="en-US" w:bidi="pl-PL"/>
        </w:rPr>
        <w:br/>
        <w:t>ze sprzedażą udziału w prawie do działki gruntu stanowiącej drogę wewnętrzną. Przepisu nie stosuje się w odniesieniu do projektowanych do wydzielenia działek gruntu stanowiących części nieruchomości, o których mowa w art. 37 ust. 2 pkt 6.</w:t>
      </w:r>
    </w:p>
    <w:p w14:paraId="6B14F36F" w14:textId="77777777"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Zgodnie z treścią przepisu art. 120 </w:t>
      </w:r>
      <w:r w:rsidRPr="0009014A">
        <w:rPr>
          <w:rFonts w:ascii="Lato" w:eastAsiaTheme="minorHAnsi" w:hAnsi="Lato" w:cs="Arial"/>
          <w:bCs/>
          <w:spacing w:val="4"/>
          <w:sz w:val="22"/>
          <w:szCs w:val="22"/>
          <w:lang w:eastAsia="en-US" w:bidi="pl-PL"/>
        </w:rPr>
        <w:t>ugn</w:t>
      </w:r>
      <w:r w:rsidRPr="0009014A">
        <w:rPr>
          <w:rFonts w:ascii="Lato" w:eastAsiaTheme="minorHAnsi" w:hAnsi="Lato" w:cs="Arial"/>
          <w:bCs/>
          <w:iCs/>
          <w:spacing w:val="4"/>
          <w:sz w:val="22"/>
          <w:szCs w:val="22"/>
          <w:lang w:eastAsia="en-US" w:bidi="pl-PL"/>
        </w:rPr>
        <w:t xml:space="preserve">, jeżeli zachodzi potrzeba zapobieżenia niebezpieczeństwu, wystąpieniu szkody lub niedogodnościom, jakie mogą powstać dla właścicieli albo użytkowników wieczystych nieruchomości sąsiednich wskutek wywłaszczenia lub innego niż dotychczas zagospodarowania wywłaszczonej nieruchomości, w decyzji o wywłaszczeniu ustanawia się niezbędne służebności oraz ustala obowiązek budowy i utrzymania odpowiednich urządzeń zapobiegających tym zdarzeniom lub okolicznościom. Obowiązek budowy i utrzymania odpowiednich urządzeń ciąży na występującym z wnioskiem o wywłaszczenie. Odpowiednikiem art. 120 ugn w ustawie CPK jest art. 49 tej ustawy (którego treść powołano powyżej). </w:t>
      </w:r>
    </w:p>
    <w:p w14:paraId="60F546A6" w14:textId="77777777" w:rsidR="008E4D4E"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Jak podkreśla się w doktrynie, niebezpieczeństwo, szkoda lub niedogodność, o których mowa w art. 120 </w:t>
      </w:r>
      <w:r w:rsidRPr="0009014A">
        <w:rPr>
          <w:rFonts w:ascii="Lato" w:eastAsiaTheme="minorHAnsi" w:hAnsi="Lato" w:cs="Arial"/>
          <w:bCs/>
          <w:spacing w:val="4"/>
          <w:sz w:val="22"/>
          <w:szCs w:val="22"/>
          <w:lang w:eastAsia="en-US" w:bidi="pl-PL"/>
        </w:rPr>
        <w:t>ugn</w:t>
      </w:r>
      <w:r w:rsidRPr="0009014A">
        <w:rPr>
          <w:rFonts w:ascii="Lato" w:eastAsiaTheme="minorHAnsi" w:hAnsi="Lato" w:cs="Arial"/>
          <w:bCs/>
          <w:iCs/>
          <w:spacing w:val="4"/>
          <w:sz w:val="22"/>
          <w:szCs w:val="22"/>
          <w:lang w:eastAsia="en-US" w:bidi="pl-PL"/>
        </w:rPr>
        <w:t xml:space="preserve">, muszą być bezpośrednim skutkiem dokonanego wywłaszczenia bądź zmiany dotychczasowego zagospodarowania nieruchomości na sposób polegający na realizacji celu publicznego, dla którego dokonano wywłaszczenia. Okoliczności </w:t>
      </w:r>
      <w:r w:rsidRPr="0009014A">
        <w:rPr>
          <w:rFonts w:ascii="Lato" w:eastAsiaTheme="minorHAnsi" w:hAnsi="Lato" w:cs="Arial"/>
          <w:bCs/>
          <w:iCs/>
          <w:spacing w:val="4"/>
          <w:sz w:val="22"/>
          <w:szCs w:val="22"/>
          <w:lang w:eastAsia="en-US" w:bidi="pl-PL"/>
        </w:rPr>
        <w:br/>
        <w:t xml:space="preserve">te w żadnym razie nie mogą być skutkiem działań niewynikających z wywłaszczenia lub realizacji na nieruchomości celu wywłaszczenia. Nie mogą być zatem skutkiem działań, które nie pozostają w związku przyczynowo – skutkowym z wywłaszczeniem lub następstwami wywłaszczenia. Samo subiektywne odczucie określonego podmiotu, </w:t>
      </w:r>
      <w:r w:rsidRPr="0009014A">
        <w:rPr>
          <w:rFonts w:ascii="Lato" w:eastAsiaTheme="minorHAnsi" w:hAnsi="Lato" w:cs="Arial"/>
          <w:bCs/>
          <w:iCs/>
          <w:spacing w:val="4"/>
          <w:sz w:val="22"/>
          <w:szCs w:val="22"/>
          <w:lang w:eastAsia="en-US" w:bidi="pl-PL"/>
        </w:rPr>
        <w:br/>
        <w:t xml:space="preserve">że zachodzi niebezpieczeństwo, szkoda lub niedogodność, o których mowa w treści </w:t>
      </w:r>
      <w:r w:rsidRPr="0009014A">
        <w:rPr>
          <w:rFonts w:ascii="Lato" w:eastAsiaTheme="minorHAnsi" w:hAnsi="Lato" w:cs="Arial"/>
          <w:bCs/>
          <w:iCs/>
          <w:spacing w:val="4"/>
          <w:sz w:val="22"/>
          <w:szCs w:val="22"/>
          <w:lang w:eastAsia="en-US" w:bidi="pl-PL"/>
        </w:rPr>
        <w:br/>
        <w:t xml:space="preserve">art. 120 ugn nie świadczy, że istnieją podstawy do ustanowienia służebności drogowej (vide: J. Jaworski, A. Prusaczyk, A. Tułodziecki, M. Wolanin, Ustawa o gospodarce nieruchomościami. Komentarz, wyd. C.H. BECK Warszawa 2011 r., E. Bończak-Kucharczyk, Ustawa o gospodarce nieruchomościami. Komentarz aktualizowany, Opublikowano: LEX/el. 2024). </w:t>
      </w:r>
    </w:p>
    <w:p w14:paraId="1DCBDB4B" w14:textId="6F70C05C"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Stąd też, mając na względzie dyspozycje art. 49 ustawy CPK, obowiązek zapewniania nowowyodrębnionej działce gruntu dostępu do drogi publicznej spoczywa na organie wydającym decyzję w sprawie ustalenia lokalizacji inwestycji w zakresie CPK tylko </w:t>
      </w:r>
      <w:r w:rsidRPr="0009014A">
        <w:rPr>
          <w:rFonts w:ascii="Lato" w:eastAsiaTheme="minorHAnsi" w:hAnsi="Lato" w:cs="Arial"/>
          <w:bCs/>
          <w:iCs/>
          <w:spacing w:val="4"/>
          <w:sz w:val="22"/>
          <w:szCs w:val="22"/>
          <w:lang w:eastAsia="en-US" w:bidi="pl-PL"/>
        </w:rPr>
        <w:lastRenderedPageBreak/>
        <w:t xml:space="preserve">wówczas, gdy działka ta – przed dokonaniem podziału – taki prawny dostęp posiadała. Jeżeli zatem nieruchomość, przed jej wywłaszczeniem posiadała prawnie uregulowany dostęp do drogi publicznej i w wyniku realizacji celu publicznego (wywłaszczenia części nieruchomości) pozostała część nieruchomości taki dostęp może utracić, to w decyzji </w:t>
      </w:r>
      <w:r w:rsidR="008E4D4E">
        <w:rPr>
          <w:rFonts w:ascii="Lato" w:eastAsiaTheme="minorHAnsi" w:hAnsi="Lato" w:cs="Arial"/>
          <w:bCs/>
          <w:iCs/>
          <w:spacing w:val="4"/>
          <w:sz w:val="22"/>
          <w:szCs w:val="22"/>
          <w:lang w:eastAsia="en-US" w:bidi="pl-PL"/>
        </w:rPr>
        <w:br/>
      </w:r>
      <w:r w:rsidRPr="0009014A">
        <w:rPr>
          <w:rFonts w:ascii="Lato" w:eastAsiaTheme="minorHAnsi" w:hAnsi="Lato" w:cs="Arial"/>
          <w:bCs/>
          <w:iCs/>
          <w:spacing w:val="4"/>
          <w:sz w:val="22"/>
          <w:szCs w:val="22"/>
          <w:lang w:eastAsia="en-US" w:bidi="pl-PL"/>
        </w:rPr>
        <w:t>o ustaleniu lokalizacji inwestycji w zakresie CPK, której jednym ze skutków jest przejęcie własności nieruchomości na rzecz innego podmiotu, właściwy organ zobowiązany jest zapewnić taki dostęp. Natomiast jeżeli wywłaszczana nieruchomość nie posiadała legalnego dostępu do drogi publicznej, to po stronie organu nie będzie ciążył obowiązek zapewnienia takiego dostępu, bowiem w związku z wywłaszczeniem sytuacja właściciela nieruchomości w zakresie dostępności do drogi publicznej nie uległa zmianie (pogorszeniu).</w:t>
      </w:r>
    </w:p>
    <w:p w14:paraId="30A88A5D" w14:textId="77777777"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W orzecznictwie sądowoadministracyjnym podkreśla się także, że pojęcie dostępu do drogi publicznej nie może być utożsamiane jedynie z dostępem faktycznym. Dostęp ten musi być legalny, tj. prawo do korzystania z niego musi wynikać wprost z przepisu prawa, czynności prawnej, orzeczenia sądowego czy też administracyjnego (por. wyrok Naczelnego Sądu Administracyjnego z dnia 1 października 2009 r., sygn. akt II OSK 1471/08, wyrok Wojewódzkiego Sądu Administracyjnego w Warszawie z dnia 1 grudnia 2005 r., sygn. akt IV SA/Wa 1505/05). Pojęcie „dostępu do drogi publicznej” należy rozumieć szeroko, tj. przez dostęp bezpośredni bądź pośredni, jednakże dostęp ten musi być zgodny z prawem. Jak zauważył Wojewódzki Sąd Administracyjny w Kielcach </w:t>
      </w:r>
      <w:r w:rsidRPr="0009014A">
        <w:rPr>
          <w:rFonts w:ascii="Lato" w:eastAsiaTheme="minorHAnsi" w:hAnsi="Lato" w:cs="Arial"/>
          <w:bCs/>
          <w:iCs/>
          <w:spacing w:val="4"/>
          <w:sz w:val="22"/>
          <w:szCs w:val="22"/>
          <w:lang w:eastAsia="en-US" w:bidi="pl-PL"/>
        </w:rPr>
        <w:br/>
        <w:t>w wyroku z dnia 10 maja 2012 r., sygn. akt II SA/Ke 41/12: „Skoro z akt sprawy wynika, że w dacie wydania decyzji działka nie posiadała dostępu do drogi publicznej (dostęp bezpośredni, przez drogę wewnętrzną, bądź przez ustanowienie służebności drogi koniecznej) to inwestor na etapie przygotowania i realizacji inwestycji nie był zobligowany do zapewnienia dostępu do drogi publicznej dla tej działki”. Również Wojewódzki Sąd Administracyjny w Gliwicach w wyroku z dnia 1 lipca 2010 r., sygn. akt II SA/Gl 340/10, uznał, iż okoliczność, iż nieruchomość podlegająca podziałowi nie posiadała wcześniej dostępu do drogi publicznej powoduje, iż „jej podział nie miał w tym względzie (gdy chodzi o dostęp do drogi publicznej) żadnego prawnego znaczenia”, gdyż „przed podziałem cała działka (…) nie miała również dostępu do drogi publicznej”.</w:t>
      </w:r>
    </w:p>
    <w:p w14:paraId="4CD0DB84" w14:textId="77777777"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W wyroku z dnia 13 marca 2024 r., sygn. akt II OSK 124/23 (opubl. Centralna Baza Orzeczeń Sądów Administracyjnych), Naczelny Sąd Administracyjny stanął na stanowisku, że: „O ile dopuszczalne jest zawarcie w decyzji zezwalającej na realizację inwestycji drogowej rozstrzygnięcia o ustanowieniu służebności drogowej w celu zapewnienia dostępu do drogi publicznej nieruchomościom objętym podziałem, dokonywanym w celu nabycia oznaczonych nieruchomości pod drogi, to podzielić należy pogląd, że nie dotyczy to takiej sytuacji, gdzie nieruchomość nie posiadała przed podziałem prawnie uregulowanego dostępu do drogi publicznej”. Tożsame stanowisko zajął Naczelny Sąd Administracyjny w wyroku z dnia 11 lutego 2025 r., sygn. akt II OSK 3081/24 (opubl. Centralna Baza Orzeczeń Sądów Administracyjnych).</w:t>
      </w:r>
    </w:p>
    <w:p w14:paraId="0382269B" w14:textId="77777777"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Inwestor w piśmie z dnia 22 września 2025 r., znak: LZS.41.61.2025, wskazał, że  służebności przejazdu i przechodu zostały określone dla wszystkich działek objętych podziałem nieruchomości, które w wyniku tego po</w:t>
      </w:r>
      <w:r w:rsidRPr="0009014A">
        <w:rPr>
          <w:rFonts w:ascii="Lato" w:eastAsiaTheme="minorHAnsi" w:hAnsi="Lato" w:cs="Arial"/>
          <w:bCs/>
          <w:iCs/>
          <w:spacing w:val="4"/>
          <w:sz w:val="22"/>
          <w:szCs w:val="22"/>
          <w:lang w:eastAsia="en-US" w:bidi="pl-PL"/>
        </w:rPr>
        <w:softHyphen/>
        <w:t>działu tracą dostęp do dróg publicznych.</w:t>
      </w:r>
      <w:r w:rsidRPr="0009014A">
        <w:rPr>
          <w:rFonts w:ascii="Lato" w:hAnsi="Lato"/>
          <w:spacing w:val="4"/>
          <w:sz w:val="22"/>
          <w:szCs w:val="22"/>
        </w:rPr>
        <w:t xml:space="preserve"> </w:t>
      </w:r>
      <w:r w:rsidRPr="0009014A">
        <w:rPr>
          <w:rFonts w:ascii="Lato" w:eastAsiaTheme="minorHAnsi" w:hAnsi="Lato" w:cs="Arial"/>
          <w:bCs/>
          <w:iCs/>
          <w:spacing w:val="4"/>
          <w:sz w:val="22"/>
          <w:szCs w:val="22"/>
          <w:lang w:eastAsia="en-US" w:bidi="pl-PL"/>
        </w:rPr>
        <w:t xml:space="preserve">W odniesieniu do pozostałych działek, powstałych w wyniku podziału zgodnie z decyzją organu I instancji, inwestor wskazał, że nie ma konieczności ustanowienia służebności przejazdu i przechodu. Wynika to z faktu, iż pozostałe działki mają zachowany dostęp do drogi publicznej albo nie miały dostępu do drogi publicznej przed podziałem, albo wreszcie stanowią lub będą stanowić własność inwestora – CPK Sp. z.o.o. Przepisy ustawy CPK mają na celu realizację inwestycji w zakresie CPK oraz inwestycji towarzyszących i wynikający z nich podział nieruchomości, a nie regulowanie kwestii drogi koniecznej dla gruntów, które już wcześniej nie spełniały wymogów </w:t>
      </w:r>
      <w:r w:rsidRPr="0009014A">
        <w:rPr>
          <w:rFonts w:ascii="Lato" w:eastAsiaTheme="minorHAnsi" w:hAnsi="Lato" w:cs="Arial"/>
          <w:bCs/>
          <w:iCs/>
          <w:spacing w:val="4"/>
          <w:sz w:val="22"/>
          <w:szCs w:val="22"/>
          <w:lang w:eastAsia="en-US" w:bidi="pl-PL"/>
        </w:rPr>
        <w:lastRenderedPageBreak/>
        <w:t>prawnych (brak dostępu przed podziałem).</w:t>
      </w:r>
      <w:r w:rsidRPr="0009014A">
        <w:rPr>
          <w:rFonts w:ascii="Lato" w:hAnsi="Lato"/>
          <w:spacing w:val="4"/>
          <w:sz w:val="22"/>
          <w:szCs w:val="22"/>
        </w:rPr>
        <w:t xml:space="preserve"> </w:t>
      </w:r>
      <w:r w:rsidRPr="0009014A">
        <w:rPr>
          <w:rFonts w:ascii="Lato" w:eastAsiaTheme="minorHAnsi" w:hAnsi="Lato" w:cs="Arial"/>
          <w:bCs/>
          <w:iCs/>
          <w:spacing w:val="4"/>
          <w:sz w:val="22"/>
          <w:szCs w:val="22"/>
          <w:lang w:eastAsia="en-US" w:bidi="pl-PL"/>
        </w:rPr>
        <w:t xml:space="preserve">Skoro nieruchomość nie miała prawnego dostępu do drogi przed podziałem, to sama decyzja o ustaleniu lokalizacji inwestycji </w:t>
      </w:r>
      <w:r w:rsidRPr="0009014A">
        <w:rPr>
          <w:rFonts w:ascii="Lato" w:eastAsiaTheme="minorHAnsi" w:hAnsi="Lato" w:cs="Arial"/>
          <w:bCs/>
          <w:iCs/>
          <w:spacing w:val="4"/>
          <w:sz w:val="22"/>
          <w:szCs w:val="22"/>
          <w:lang w:eastAsia="en-US" w:bidi="pl-PL"/>
        </w:rPr>
        <w:br/>
        <w:t xml:space="preserve">w zakresie CPK nie pogorszyła jej sytuacji w tym zakresie, więc brak jest podstaw </w:t>
      </w:r>
      <w:r w:rsidRPr="0009014A">
        <w:rPr>
          <w:rFonts w:ascii="Lato" w:eastAsiaTheme="minorHAnsi" w:hAnsi="Lato" w:cs="Arial"/>
          <w:bCs/>
          <w:iCs/>
          <w:spacing w:val="4"/>
          <w:sz w:val="22"/>
          <w:szCs w:val="22"/>
          <w:lang w:eastAsia="en-US" w:bidi="pl-PL"/>
        </w:rPr>
        <w:br/>
        <w:t>do nakładania służebności w tym trybie.</w:t>
      </w:r>
      <w:r w:rsidRPr="0009014A">
        <w:rPr>
          <w:rFonts w:ascii="Lato" w:hAnsi="Lato"/>
          <w:spacing w:val="4"/>
          <w:sz w:val="22"/>
          <w:szCs w:val="22"/>
        </w:rPr>
        <w:t xml:space="preserve"> </w:t>
      </w:r>
      <w:r w:rsidRPr="0009014A">
        <w:rPr>
          <w:rFonts w:ascii="Lato" w:eastAsiaTheme="minorHAnsi" w:hAnsi="Lato" w:cs="Arial"/>
          <w:bCs/>
          <w:iCs/>
          <w:spacing w:val="4"/>
          <w:sz w:val="22"/>
          <w:szCs w:val="22"/>
          <w:lang w:eastAsia="en-US" w:bidi="pl-PL"/>
        </w:rPr>
        <w:t xml:space="preserve">Służebność przechodu i przejazdu ustanawiana </w:t>
      </w:r>
      <w:r w:rsidRPr="0009014A">
        <w:rPr>
          <w:rFonts w:ascii="Lato" w:eastAsiaTheme="minorHAnsi" w:hAnsi="Lato" w:cs="Arial"/>
          <w:bCs/>
          <w:iCs/>
          <w:spacing w:val="4"/>
          <w:sz w:val="22"/>
          <w:szCs w:val="22"/>
          <w:lang w:eastAsia="en-US" w:bidi="pl-PL"/>
        </w:rPr>
        <w:br/>
        <w:t>w decyzji o ustaleniu lokalizacji inwestycji w zakresie CPK to instrument ochronny dla działek „odciętych” podziałem które wcześniej miały dostęp do drogi publicznej, a nie narzędzie do naprawiania wcześniejszych zaniedbań w zapewnieniu dostępu do drogi publicznej.</w:t>
      </w:r>
    </w:p>
    <w:p w14:paraId="330FBF02" w14:textId="75BEAF91"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Na uwzględnienie nie zasługuje zarzut Pana Z</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Pana P</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Pani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i spółki </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dotyczący niedopuszczalności wywłaszczenia w decyzji Wojewody Mazowieckiego gruntów stanowiących drogi publiczne, w tym m.in. działki nr 46/3, w obrębie 0018 Cyganka, powstałej w wyniku planowanego podziału działki nr 46/2, stanowiącej część drogi powiatowej nr 3834W, bowiem własność dróg publicznych nie może być przypisana innym podmiotom niż podmioty publicznoprawne wymienione w art. 2a ustawy o drogach publicznych. </w:t>
      </w:r>
    </w:p>
    <w:p w14:paraId="7E1F7A20" w14:textId="466F4214"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Zgodnie z art. 48 ust. 1 ustawy CPK, nieruchomości określone w decyzji o ustaleniu lokalizacji inwestycji w zakresie CPK, zgodnie z art. 40 ust. 2 pkt 9, stają się własnością Spółki Celowej za odszkodowaniem. Przepisów art. 113 ust. 1 i 2 ugn nie stosuje się. Przejście prawa własności na rzecz Spółki Celowej części działki na której zlokalizowana jest droga publiczna, jako skutek wynikający z mocy art. 50 ust. 1 ustawy CPK, nie oznacza, że droga publiczna z mocy prawa utraci status drogi publicznej kategorii drogi powiatowej. Nie ma przepisów wskazujących na ww. skutek w związku z przedmiotowym zdarzeniem ani w ustawie CPK, ani w innych obowiązujących przepisach. Ustawa CPK nie wprowadziła szczególnych zasad pozbawiania dróg publicznych samorządowych dotychczasowej kategorii. Wskazany przepis art. 48 ust. 1 i art. 50 ust. 1 ustawy CPK nie stanowią, że przewłaszczenie nieruchomości znajdującej się w liniach rozgraniczających Inwestycji i jednocześnie objętych granicami pasa drogowego skutkuje pozbawieniem tych dróg kategorii dróg publicznych. Warto wskazać, że ustawa o drogach publicznych zawiera regulacje dotyczące zasad i trybu pozbawienia drogi dotychczasowej kategorii, jednakże nie wskazuje, że przyczyną pozbawienia drogi dotychczasowej kategorii może być przejście prawa własności. Przejście prawa własności m.in. działki nr 46/3 (ozn. </w:t>
      </w:r>
      <w:r w:rsidR="00817192">
        <w:rPr>
          <w:rFonts w:ascii="Lato" w:eastAsiaTheme="minorHAnsi" w:hAnsi="Lato" w:cs="Arial"/>
          <w:bCs/>
          <w:iCs/>
          <w:spacing w:val="4"/>
          <w:sz w:val="22"/>
          <w:szCs w:val="22"/>
          <w:lang w:eastAsia="en-US" w:bidi="pl-PL"/>
        </w:rPr>
        <w:br/>
      </w:r>
      <w:r w:rsidRPr="0009014A">
        <w:rPr>
          <w:rFonts w:ascii="Lato" w:eastAsiaTheme="minorHAnsi" w:hAnsi="Lato" w:cs="Arial"/>
          <w:bCs/>
          <w:iCs/>
          <w:spacing w:val="4"/>
          <w:sz w:val="22"/>
          <w:szCs w:val="22"/>
          <w:lang w:eastAsia="en-US" w:bidi="pl-PL"/>
        </w:rPr>
        <w:t xml:space="preserve">po podziale), z obrębu 0018 Cyganka nie oznacza zatem, że z dniem ostateczności decyzji o ustaleniu lokalizacji inwestycji w zakresie CPK istniejąca droga na ww. działce straci status drogi publicznej. </w:t>
      </w:r>
    </w:p>
    <w:p w14:paraId="189D2BFE" w14:textId="3546C339" w:rsidR="0009014A" w:rsidRPr="0009014A" w:rsidRDefault="0009014A" w:rsidP="0009014A">
      <w:pPr>
        <w:spacing w:after="120" w:line="240" w:lineRule="exact"/>
        <w:jc w:val="both"/>
        <w:rPr>
          <w:rFonts w:ascii="Lato" w:eastAsiaTheme="minorHAnsi" w:hAnsi="Lato" w:cs="Arial"/>
          <w:bCs/>
          <w:iCs/>
          <w:spacing w:val="6"/>
          <w:sz w:val="22"/>
          <w:szCs w:val="22"/>
          <w:lang w:eastAsia="en-US" w:bidi="pl-PL"/>
        </w:rPr>
      </w:pPr>
      <w:r w:rsidRPr="0009014A">
        <w:rPr>
          <w:rFonts w:ascii="Lato" w:eastAsiaTheme="minorHAnsi" w:hAnsi="Lato" w:cs="Arial"/>
          <w:bCs/>
          <w:iCs/>
          <w:spacing w:val="6"/>
          <w:sz w:val="22"/>
          <w:szCs w:val="22"/>
          <w:lang w:eastAsia="en-US" w:bidi="pl-PL"/>
        </w:rPr>
        <w:t xml:space="preserve">Przedmiotowe stanowisko potwierdza także orzecznictwo sądów administracyjnych. </w:t>
      </w:r>
      <w:r w:rsidRPr="0009014A">
        <w:rPr>
          <w:rFonts w:ascii="Lato" w:eastAsiaTheme="minorHAnsi" w:hAnsi="Lato" w:cs="Arial"/>
          <w:bCs/>
          <w:iCs/>
          <w:spacing w:val="6"/>
          <w:sz w:val="22"/>
          <w:szCs w:val="22"/>
          <w:lang w:eastAsia="en-US" w:bidi="pl-PL"/>
        </w:rPr>
        <w:br/>
        <w:t xml:space="preserve">W wyroku z dnia 22 listopada 2013 r., sygn. akt II OSK 1285/12 (opubl. Centralna Baza Orzeczeń Sądów Administracyjnych) Naczelny Sąd Administracyjny zwraca uwagę, </w:t>
      </w:r>
      <w:r w:rsidR="00817192">
        <w:rPr>
          <w:rFonts w:ascii="Lato" w:eastAsiaTheme="minorHAnsi" w:hAnsi="Lato" w:cs="Arial"/>
          <w:bCs/>
          <w:iCs/>
          <w:spacing w:val="6"/>
          <w:sz w:val="22"/>
          <w:szCs w:val="22"/>
          <w:lang w:eastAsia="en-US" w:bidi="pl-PL"/>
        </w:rPr>
        <w:br/>
      </w:r>
      <w:r w:rsidRPr="0009014A">
        <w:rPr>
          <w:rFonts w:ascii="Lato" w:eastAsiaTheme="minorHAnsi" w:hAnsi="Lato" w:cs="Arial"/>
          <w:bCs/>
          <w:iCs/>
          <w:spacing w:val="6"/>
          <w:sz w:val="22"/>
          <w:szCs w:val="22"/>
          <w:lang w:eastAsia="en-US" w:bidi="pl-PL"/>
        </w:rPr>
        <w:t>że sam fakt, że nieruchomość na której zlokalizowana jest zgodnie z odrębnymi przepisami (ustawy o drogach publicznych) droga publiczna nie musi stanowić własności właściciela drogi zgodnie z art. 2a ustawy o drogach publicznych oraz, że status drogi może być pojmowany niezależnie od jej własności, wskazując m.in.:</w:t>
      </w:r>
    </w:p>
    <w:p w14:paraId="60AD673E" w14:textId="77777777" w:rsidR="0009014A" w:rsidRPr="0009014A" w:rsidRDefault="0009014A">
      <w:pPr>
        <w:numPr>
          <w:ilvl w:val="0"/>
          <w:numId w:val="39"/>
        </w:numPr>
        <w:spacing w:after="120" w:line="240" w:lineRule="exact"/>
        <w:jc w:val="both"/>
        <w:rPr>
          <w:rFonts w:ascii="Lato" w:eastAsiaTheme="minorHAnsi" w:hAnsi="Lato" w:cs="Arial"/>
          <w:bCs/>
          <w:iCs/>
          <w:spacing w:val="6"/>
          <w:sz w:val="22"/>
          <w:szCs w:val="22"/>
          <w:lang w:eastAsia="en-US" w:bidi="pl-PL"/>
        </w:rPr>
      </w:pPr>
      <w:r w:rsidRPr="0009014A">
        <w:rPr>
          <w:rFonts w:ascii="Lato" w:eastAsiaTheme="minorHAnsi" w:hAnsi="Lato" w:cs="Arial"/>
          <w:bCs/>
          <w:iCs/>
          <w:spacing w:val="6"/>
          <w:sz w:val="22"/>
          <w:szCs w:val="22"/>
          <w:lang w:eastAsia="en-US" w:bidi="pl-PL"/>
        </w:rPr>
        <w:t>„Uchwała rady gminy ustalająca przebieg drogi gminnej, nie może wyłączać pewnych odcinków drogi tylko z tej racji, że w ciągu tej drogi stoi wiadukt, który został posadowiony na gruncie będącym w użytkowaniu wieczystym (...) S.A., bowiem niezależnie od tego status drogi biegnącej po wiadukcie powinien być taki, jak dróg dochodzących do niego z obu stron.”,</w:t>
      </w:r>
    </w:p>
    <w:p w14:paraId="775EA9A9" w14:textId="77777777" w:rsidR="0009014A" w:rsidRPr="0009014A" w:rsidRDefault="0009014A">
      <w:pPr>
        <w:numPr>
          <w:ilvl w:val="0"/>
          <w:numId w:val="39"/>
        </w:numPr>
        <w:spacing w:after="240" w:line="240" w:lineRule="exact"/>
        <w:ind w:left="357" w:hanging="357"/>
        <w:jc w:val="both"/>
        <w:rPr>
          <w:rFonts w:ascii="Lato" w:eastAsiaTheme="minorHAnsi" w:hAnsi="Lato" w:cs="Arial"/>
          <w:bCs/>
          <w:iCs/>
          <w:spacing w:val="6"/>
          <w:sz w:val="22"/>
          <w:szCs w:val="22"/>
          <w:lang w:eastAsia="en-US" w:bidi="pl-PL"/>
        </w:rPr>
      </w:pPr>
      <w:r w:rsidRPr="0009014A">
        <w:rPr>
          <w:rFonts w:ascii="Lato" w:eastAsiaTheme="minorHAnsi" w:hAnsi="Lato" w:cs="Arial"/>
          <w:bCs/>
          <w:iCs/>
          <w:spacing w:val="6"/>
          <w:sz w:val="22"/>
          <w:szCs w:val="22"/>
          <w:lang w:eastAsia="en-US" w:bidi="pl-PL"/>
        </w:rPr>
        <w:t xml:space="preserve">„Jak z akt sprawy wynika, mamy tu do czynienia z dwoma obiektami budowlanymi (wiadukt, droga) usytuowanymi jeden na drugim na tej samej nieruchomości gruntowej. Dostrzeżenie tej okoliczności jest niezbędne do prawidłowego ustalenia kto jest właścicielem a kto zarządcą obiektu budowlanego w rozumieniu art. 66 </w:t>
      </w:r>
      <w:r w:rsidRPr="0009014A">
        <w:rPr>
          <w:rFonts w:ascii="Lato" w:eastAsiaTheme="minorHAnsi" w:hAnsi="Lato" w:cs="Arial"/>
          <w:bCs/>
          <w:iCs/>
          <w:spacing w:val="6"/>
          <w:sz w:val="22"/>
          <w:szCs w:val="22"/>
          <w:lang w:eastAsia="en-US" w:bidi="pl-PL"/>
        </w:rPr>
        <w:lastRenderedPageBreak/>
        <w:t>Prawa budowlanego i w stosunku do jakiego obiektu w tym przypadku realizuje swe prawa właściciel, a do jakiego zarządca. Tak więc w świetle art. 235 k.c. (...) S.A. jest właścicielem przedmiotowego wiaduktu drogowego, co nie stoi na przeszkodzie aby zarządcą drogi biegnącej po działkach nr (...), (...) i (...) był zarządca drogi, w ciągu której one leżą - drogi gminnej”.</w:t>
      </w:r>
    </w:p>
    <w:p w14:paraId="059FA711" w14:textId="77777777" w:rsidR="0009014A" w:rsidRPr="0009014A" w:rsidRDefault="0009014A" w:rsidP="0009014A">
      <w:pPr>
        <w:widowControl w:val="0"/>
        <w:spacing w:after="240" w:line="240" w:lineRule="exact"/>
        <w:ind w:right="20"/>
        <w:jc w:val="both"/>
        <w:rPr>
          <w:rFonts w:ascii="Lato" w:eastAsiaTheme="minorHAnsi" w:hAnsi="Lato" w:cs="Arial"/>
          <w:color w:val="000000"/>
          <w:spacing w:val="6"/>
          <w:sz w:val="22"/>
          <w:szCs w:val="22"/>
          <w:shd w:val="clear" w:color="auto" w:fill="FFFFFF"/>
          <w:lang w:eastAsia="en-US"/>
        </w:rPr>
      </w:pPr>
      <w:r w:rsidRPr="0009014A">
        <w:rPr>
          <w:rFonts w:ascii="Lato" w:eastAsiaTheme="minorHAnsi" w:hAnsi="Lato" w:cs="Arial"/>
          <w:color w:val="000000"/>
          <w:spacing w:val="6"/>
          <w:sz w:val="22"/>
          <w:szCs w:val="22"/>
          <w:shd w:val="clear" w:color="auto" w:fill="FFFFFF"/>
          <w:lang w:eastAsia="en-US"/>
        </w:rPr>
        <w:t>Powyższe stanowisko znalazło swoje potwierdzenie także w innym stanie faktycznym, który był przed</w:t>
      </w:r>
      <w:r w:rsidRPr="0009014A">
        <w:rPr>
          <w:rFonts w:ascii="Lato" w:eastAsiaTheme="minorHAnsi" w:hAnsi="Lato" w:cs="Arial"/>
          <w:color w:val="000000"/>
          <w:spacing w:val="6"/>
          <w:sz w:val="22"/>
          <w:szCs w:val="22"/>
          <w:shd w:val="clear" w:color="auto" w:fill="FFFFFF"/>
          <w:lang w:eastAsia="en-US"/>
        </w:rPr>
        <w:softHyphen/>
        <w:t xml:space="preserve">miotem oceny przez Wojewódzki Sąd Administracyjny w Warszawie, który w wyroku z dnia 2 marca 2023 r. sygn. akt VII SA/Wa 1802/21 </w:t>
      </w:r>
      <w:r w:rsidRPr="0009014A">
        <w:rPr>
          <w:rFonts w:ascii="Lato" w:eastAsiaTheme="minorHAnsi" w:hAnsi="Lato" w:cs="Arial"/>
          <w:bCs/>
          <w:color w:val="000000"/>
          <w:spacing w:val="6"/>
          <w:sz w:val="22"/>
          <w:szCs w:val="22"/>
          <w:shd w:val="clear" w:color="auto" w:fill="FFFFFF"/>
          <w:lang w:eastAsia="en-US" w:bidi="pl-PL"/>
        </w:rPr>
        <w:t>(opubl. Centralna Baza Orzeczeń Sądów Administracyjnych)</w:t>
      </w:r>
      <w:r w:rsidRPr="0009014A">
        <w:rPr>
          <w:rFonts w:ascii="Lato" w:eastAsiaTheme="minorHAnsi" w:hAnsi="Lato" w:cs="Arial"/>
          <w:color w:val="000000"/>
          <w:spacing w:val="6"/>
          <w:sz w:val="22"/>
          <w:szCs w:val="22"/>
          <w:shd w:val="clear" w:color="auto" w:fill="FFFFFF"/>
          <w:lang w:eastAsia="en-US"/>
        </w:rPr>
        <w:t xml:space="preserve"> stwierdził m.in.:</w:t>
      </w:r>
      <w:r w:rsidRPr="0009014A">
        <w:rPr>
          <w:rFonts w:ascii="Lato" w:eastAsiaTheme="minorHAnsi" w:hAnsi="Lato" w:cs="Arial"/>
          <w:i/>
          <w:iCs/>
          <w:color w:val="000000"/>
          <w:spacing w:val="6"/>
          <w:sz w:val="22"/>
          <w:szCs w:val="22"/>
          <w:shd w:val="clear" w:color="auto" w:fill="FFFFFF"/>
          <w:lang w:eastAsia="en-US"/>
        </w:rPr>
        <w:t xml:space="preserve"> </w:t>
      </w:r>
      <w:r w:rsidRPr="0009014A">
        <w:rPr>
          <w:rFonts w:ascii="Lato" w:eastAsiaTheme="minorHAnsi" w:hAnsi="Lato" w:cs="Arial"/>
          <w:color w:val="000000"/>
          <w:spacing w:val="6"/>
          <w:sz w:val="22"/>
          <w:szCs w:val="22"/>
          <w:shd w:val="clear" w:color="auto" w:fill="FFFFFF"/>
          <w:lang w:eastAsia="en-US"/>
        </w:rPr>
        <w:t>&lt;&lt;Wbrew twierdzeniom A., przez „oddanie w de</w:t>
      </w:r>
      <w:r w:rsidRPr="0009014A">
        <w:rPr>
          <w:rFonts w:ascii="Lato" w:eastAsiaTheme="minorHAnsi" w:hAnsi="Lato" w:cs="Arial"/>
          <w:color w:val="000000"/>
          <w:spacing w:val="6"/>
          <w:sz w:val="22"/>
          <w:szCs w:val="22"/>
          <w:shd w:val="clear" w:color="auto" w:fill="FFFFFF"/>
          <w:lang w:eastAsia="en-US"/>
        </w:rPr>
        <w:softHyphen/>
        <w:t>cyzji spółce prawa handlowego w użytkowanie wieczyste ul. W-D (na odcinku, na jakim stanowi ona drogę gminna) oraz poprzez równoczesną nacjonalizację mienia gminnego, zajętego pod tą drogę pu</w:t>
      </w:r>
      <w:r w:rsidRPr="0009014A">
        <w:rPr>
          <w:rFonts w:ascii="Lato" w:eastAsiaTheme="minorHAnsi" w:hAnsi="Lato" w:cs="Arial"/>
          <w:color w:val="000000"/>
          <w:spacing w:val="6"/>
          <w:sz w:val="22"/>
          <w:szCs w:val="22"/>
          <w:shd w:val="clear" w:color="auto" w:fill="FFFFFF"/>
          <w:lang w:eastAsia="en-US"/>
        </w:rPr>
        <w:softHyphen/>
        <w:t xml:space="preserve">bliczną na rzecz Skarbu Państwa" nie został naruszony „art. 2a. ust. 2 ustawy o drogach publicznych w zw. </w:t>
      </w:r>
      <w:r w:rsidRPr="0009014A">
        <w:rPr>
          <w:rFonts w:ascii="Lato" w:eastAsiaTheme="minorHAnsi" w:hAnsi="Lato" w:cs="Arial"/>
          <w:color w:val="000000"/>
          <w:spacing w:val="6"/>
          <w:sz w:val="22"/>
          <w:szCs w:val="22"/>
          <w:shd w:val="clear" w:color="auto" w:fill="FFFFFF"/>
          <w:lang w:eastAsia="en-US"/>
        </w:rPr>
        <w:br/>
        <w:t>z art. 73 ust. 1 ww. ustawy z 13 października 1998 r. w zw. z art. 9s ust. 3 pkt 1 u.t.k.”. Jak już była o tym mowa, przejście własności nieruchomości w trybie art. 9s ust. 3 pkt 1 u.t.k. następuje ex lege. To nie wola organu o tym rozstrzyga, ale ustawa. (...) Zaskarżona decyzja w żadnej mierze - wbrew skardze - nie pozbawiła ul. W-D. „na odcinku, na jakim stanowiła ona drogę gminna charakteru drogi publicz</w:t>
      </w:r>
      <w:r w:rsidRPr="0009014A">
        <w:rPr>
          <w:rFonts w:ascii="Lato" w:eastAsiaTheme="minorHAnsi" w:hAnsi="Lato" w:cs="Arial"/>
          <w:color w:val="000000"/>
          <w:spacing w:val="6"/>
          <w:sz w:val="22"/>
          <w:szCs w:val="22"/>
          <w:shd w:val="clear" w:color="auto" w:fill="FFFFFF"/>
          <w:lang w:eastAsia="en-US"/>
        </w:rPr>
        <w:softHyphen/>
        <w:t>nej” ani tym bardziej - o czym stanowi art. 10 ust. 1, ust. 2 i ust. 3 ustawy o drogach publicznych - dotychczasowej kategorii. W takim też zakresie zasadnie wyjaśnił Minister w swej decyzji, że kategoria drogi publicznej nadana ul. W-D uchwałą Nr (...) Rady Narodowej Miasta K. z dnia (...) maja 1986 r., w sprawie zaliczenia dróg do kategorii dróg gminnych oraz lokalnych miejskich, nie została w późniejszym czasie zmieniona poprzez wyłączenie tego odcinka drogi z kategorii drogi gminnej. Jak słusznie zauważa Minister „ponadto, przejście z mocy prawa własności nieruchomości zajętych pod ul. W-D na rzecz Skarbu Państwa nie spowoduje, że ww. droga gminna utraci status drogi gminnej”.&gt;&gt;.</w:t>
      </w:r>
    </w:p>
    <w:p w14:paraId="58D8F597" w14:textId="77777777" w:rsidR="0009014A" w:rsidRPr="0009014A" w:rsidRDefault="0009014A" w:rsidP="0009014A">
      <w:pPr>
        <w:spacing w:after="240" w:line="240" w:lineRule="exact"/>
        <w:jc w:val="both"/>
        <w:rPr>
          <w:rFonts w:ascii="Lato" w:hAnsi="Lato" w:cs="Arial"/>
          <w:color w:val="000000"/>
          <w:spacing w:val="6"/>
          <w:sz w:val="22"/>
          <w:szCs w:val="22"/>
          <w:shd w:val="clear" w:color="auto" w:fill="FFFFFF"/>
        </w:rPr>
      </w:pPr>
      <w:r w:rsidRPr="0009014A">
        <w:rPr>
          <w:rFonts w:ascii="Lato" w:hAnsi="Lato" w:cs="Arial"/>
          <w:color w:val="000000"/>
          <w:spacing w:val="6"/>
          <w:sz w:val="22"/>
          <w:szCs w:val="22"/>
          <w:shd w:val="clear" w:color="auto" w:fill="FFFFFF"/>
        </w:rPr>
        <w:t xml:space="preserve">Powyższe potwierdza także stanowisko Departamentu Dróg Publicznych Ministerstwa Infrastruktury z dnia 30 maja 2025 r., znak: DDP-1.450.26.2025 (stanowiące załącznik nr 3 do odpowiedzi inwestora z dnia 22 września 2025 r., znak: LZS.41.61.2025, na wezwanie organu odwoławczego z dnia 29 sierpnia 2025 r., znak: </w:t>
      </w:r>
      <w:r w:rsidRPr="0009014A">
        <w:rPr>
          <w:rFonts w:ascii="Lato" w:hAnsi="Lato" w:cs="Arial"/>
          <w:color w:val="000000"/>
          <w:spacing w:val="6"/>
          <w:sz w:val="22"/>
          <w:szCs w:val="22"/>
          <w:shd w:val="clear" w:color="auto" w:fill="FFFFFF"/>
        </w:rPr>
        <w:br/>
        <w:t xml:space="preserve">DLI-II.7620.7.2025.KR.34). </w:t>
      </w:r>
    </w:p>
    <w:p w14:paraId="16528776" w14:textId="77A8C422" w:rsidR="0009014A" w:rsidRPr="0009014A" w:rsidRDefault="0009014A" w:rsidP="0009014A">
      <w:pPr>
        <w:spacing w:after="120" w:line="240" w:lineRule="exact"/>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O wadliwości decyzji Wojewody Mazowieckiego nie stanowią zarzuty Pana Z</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Pana P</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Pani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K</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i spółki </w:t>
      </w:r>
      <w:r w:rsidR="005D5276">
        <w:rPr>
          <w:rFonts w:ascii="Lato" w:eastAsiaTheme="minorHAnsi" w:hAnsi="Lato" w:cs="Arial"/>
          <w:bCs/>
          <w:iCs/>
          <w:spacing w:val="4"/>
          <w:sz w:val="22"/>
          <w:szCs w:val="22"/>
          <w:lang w:eastAsia="en-US" w:bidi="pl-PL"/>
        </w:rPr>
        <w:t>(…)</w:t>
      </w:r>
      <w:r w:rsidRPr="0009014A">
        <w:rPr>
          <w:rFonts w:ascii="Lato" w:eastAsiaTheme="minorHAnsi" w:hAnsi="Lato" w:cs="Arial"/>
          <w:bCs/>
          <w:iCs/>
          <w:spacing w:val="4"/>
          <w:sz w:val="22"/>
          <w:szCs w:val="22"/>
          <w:lang w:eastAsia="en-US" w:bidi="pl-PL"/>
        </w:rPr>
        <w:t xml:space="preserve"> dotyczące naruszenia:</w:t>
      </w:r>
    </w:p>
    <w:p w14:paraId="77237907" w14:textId="77777777" w:rsidR="0009014A" w:rsidRPr="0009014A" w:rsidRDefault="0009014A">
      <w:pPr>
        <w:numPr>
          <w:ilvl w:val="0"/>
          <w:numId w:val="38"/>
        </w:numPr>
        <w:spacing w:after="120" w:line="240" w:lineRule="exact"/>
        <w:ind w:left="357" w:hanging="357"/>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art. 10 § 1 kpa w zw. z art. 7 kpa poprzez brak zapewnienia stronom postępowania czynnego udziału w sprawie, w szczególności zaniechanie informowania stron </w:t>
      </w:r>
      <w:r w:rsidRPr="0009014A">
        <w:rPr>
          <w:rFonts w:ascii="Lato" w:eastAsiaTheme="minorHAnsi" w:hAnsi="Lato" w:cs="Arial"/>
          <w:bCs/>
          <w:iCs/>
          <w:spacing w:val="4"/>
          <w:sz w:val="22"/>
          <w:szCs w:val="22"/>
          <w:lang w:eastAsia="en-US" w:bidi="pl-PL"/>
        </w:rPr>
        <w:br/>
        <w:t>o zakończeniu przeprowadzenia etapu postępowania dowodowego i możliwości wypowiedzenia co do zgromadzonych w sprawie dowodów, co skutkowało uniemożliwieniem stronom zgłoszenia uwag i merytorycznej oceny wniosku lokalizacyjnego bezpośrednio przed wydaniem decyzji Wojewody Mazowieckiego,</w:t>
      </w:r>
      <w:r w:rsidRPr="0009014A">
        <w:rPr>
          <w:rFonts w:ascii="Lato" w:eastAsiaTheme="minorHAnsi" w:hAnsi="Lato" w:cs="Arial"/>
          <w:bCs/>
          <w:iCs/>
          <w:spacing w:val="4"/>
          <w:sz w:val="22"/>
          <w:szCs w:val="22"/>
          <w:lang w:eastAsia="en-US" w:bidi="pl-PL"/>
        </w:rPr>
        <w:br/>
        <w:t xml:space="preserve">tj. w czasie, w którym do akt sprawy wpłynęła ostateczna wersja wniosku, </w:t>
      </w:r>
      <w:r w:rsidRPr="0009014A">
        <w:rPr>
          <w:rFonts w:ascii="Lato" w:eastAsiaTheme="minorHAnsi" w:hAnsi="Lato" w:cs="Arial"/>
          <w:bCs/>
          <w:iCs/>
          <w:spacing w:val="4"/>
          <w:sz w:val="22"/>
          <w:szCs w:val="22"/>
          <w:lang w:eastAsia="en-US" w:bidi="pl-PL"/>
        </w:rPr>
        <w:br/>
        <w:t xml:space="preserve">co uniemożliwiło stronom postępowania dokonania czynności procesowej, </w:t>
      </w:r>
      <w:r w:rsidRPr="0009014A">
        <w:rPr>
          <w:rFonts w:ascii="Lato" w:eastAsiaTheme="minorHAnsi" w:hAnsi="Lato" w:cs="Arial"/>
          <w:bCs/>
          <w:iCs/>
          <w:spacing w:val="4"/>
          <w:sz w:val="22"/>
          <w:szCs w:val="22"/>
          <w:lang w:eastAsia="en-US" w:bidi="pl-PL"/>
        </w:rPr>
        <w:br/>
        <w:t>w szczególności złożenie pisma procesowego i przedłożenia dodatkowych dowodów w sprawie, m.in. opinii eksperckich,</w:t>
      </w:r>
    </w:p>
    <w:p w14:paraId="26E70678" w14:textId="77777777" w:rsidR="0009014A" w:rsidRPr="0009014A" w:rsidRDefault="0009014A">
      <w:pPr>
        <w:numPr>
          <w:ilvl w:val="0"/>
          <w:numId w:val="38"/>
        </w:numPr>
        <w:spacing w:after="240" w:line="240" w:lineRule="exact"/>
        <w:ind w:left="357" w:hanging="357"/>
        <w:jc w:val="both"/>
        <w:rPr>
          <w:rFonts w:ascii="Lato" w:eastAsiaTheme="minorHAnsi" w:hAnsi="Lato" w:cs="Arial"/>
          <w:bCs/>
          <w:iCs/>
          <w:spacing w:val="4"/>
          <w:sz w:val="22"/>
          <w:szCs w:val="22"/>
          <w:lang w:eastAsia="en-US" w:bidi="pl-PL"/>
        </w:rPr>
      </w:pPr>
      <w:r w:rsidRPr="0009014A">
        <w:rPr>
          <w:rFonts w:ascii="Lato" w:eastAsiaTheme="minorHAnsi" w:hAnsi="Lato" w:cs="Arial"/>
          <w:bCs/>
          <w:iCs/>
          <w:spacing w:val="4"/>
          <w:sz w:val="22"/>
          <w:szCs w:val="22"/>
          <w:lang w:eastAsia="en-US" w:bidi="pl-PL"/>
        </w:rPr>
        <w:t xml:space="preserve">art. 9 kpa, art. 10 § 1 kpa, art. 73 § 1 kpa oraz art. 74 § 2 kpa poprzez niedopuszczalne ograniczenie stronom dostępu do akt postępowania, w szczególności poprzez nadmierne ograniczanie czasu dostępu do akt oraz udostępnianie części zamiast całości akt, bez wydania stosownego postanowienia w sprawie odmowy udostępnienia akt oraz brak poinformowania stron o zmianach i uzupełnieniach wniosku, czym Wojewoda Mazowieckie faktycznie uniemożliwił stronom dostęp do </w:t>
      </w:r>
      <w:r w:rsidRPr="0009014A">
        <w:rPr>
          <w:rFonts w:ascii="Lato" w:eastAsiaTheme="minorHAnsi" w:hAnsi="Lato" w:cs="Arial"/>
          <w:bCs/>
          <w:iCs/>
          <w:spacing w:val="4"/>
          <w:sz w:val="22"/>
          <w:szCs w:val="22"/>
          <w:lang w:eastAsia="en-US" w:bidi="pl-PL"/>
        </w:rPr>
        <w:lastRenderedPageBreak/>
        <w:t>akt, zapoznanie się z zebranym materiałem dowodowym i w konsekwencji przedstawienie pełnego stanowiska i kompletnej argumentacji, co równoznaczne jest z pozbawieniem stron możliwości czynnego udziału w postępowaniu.</w:t>
      </w:r>
    </w:p>
    <w:p w14:paraId="07EFE611" w14:textId="77777777" w:rsidR="0009014A" w:rsidRPr="0009014A" w:rsidRDefault="0009014A" w:rsidP="0009014A">
      <w:pPr>
        <w:spacing w:after="240" w:line="240" w:lineRule="exact"/>
        <w:jc w:val="both"/>
        <w:rPr>
          <w:rFonts w:ascii="Lato" w:hAnsi="Lato" w:cs="Arial"/>
          <w:spacing w:val="4"/>
          <w:sz w:val="22"/>
          <w:szCs w:val="22"/>
        </w:rPr>
      </w:pPr>
      <w:bookmarkStart w:id="10" w:name="mip60886579"/>
      <w:bookmarkEnd w:id="10"/>
      <w:r w:rsidRPr="0009014A">
        <w:rPr>
          <w:rFonts w:ascii="Lato" w:hAnsi="Lato" w:cs="Arial"/>
          <w:spacing w:val="4"/>
          <w:sz w:val="22"/>
          <w:szCs w:val="22"/>
        </w:rPr>
        <w:t>Na wstępie przypomnieć należy, iż analiza przepisów</w:t>
      </w:r>
      <w:r w:rsidRPr="0009014A">
        <w:rPr>
          <w:rFonts w:ascii="Lato" w:hAnsi="Lato" w:cs="Arial"/>
          <w:iCs/>
          <w:spacing w:val="4"/>
          <w:sz w:val="22"/>
          <w:szCs w:val="22"/>
        </w:rPr>
        <w:t xml:space="preserve"> ustawy CPK</w:t>
      </w:r>
      <w:r w:rsidRPr="0009014A">
        <w:rPr>
          <w:rFonts w:ascii="Lato" w:hAnsi="Lato" w:cs="Arial"/>
          <w:spacing w:val="4"/>
          <w:sz w:val="22"/>
          <w:szCs w:val="22"/>
        </w:rPr>
        <w:t xml:space="preserve">, jak i znajomość uzasadnienia do projektu tej ustawy (i jej poszczególnych nowelizacji) wskazują, że celem przyjęcia tego aktu było przyspieszenie prac organizacyjnych i projektowych mających prowadzić do powstania Centralnego Portu Komunikacyjnego. Aby ten cel osiągnąć niezbędne było również uproszczenie i skrócenie postępowań administracyjnych. </w:t>
      </w:r>
      <w:r w:rsidRPr="0009014A">
        <w:rPr>
          <w:rFonts w:ascii="Lato" w:hAnsi="Lato" w:cs="Arial"/>
          <w:bCs/>
          <w:iCs/>
          <w:spacing w:val="4"/>
          <w:sz w:val="22"/>
          <w:szCs w:val="22"/>
          <w:lang w:bidi="pl-PL"/>
        </w:rPr>
        <w:t xml:space="preserve">Konsekwencją szczególnego charakteru wielu przepisów ustawy CPK jest to, że </w:t>
      </w:r>
      <w:r w:rsidRPr="0009014A">
        <w:rPr>
          <w:rFonts w:ascii="Lato" w:hAnsi="Lato" w:cs="Arial"/>
          <w:spacing w:val="4"/>
          <w:sz w:val="22"/>
          <w:szCs w:val="22"/>
        </w:rPr>
        <w:t xml:space="preserve">przepisy ustawy CPK w istotny sposób ograniczają uprawnienia materialne i procesowe podmiotów administrowanych w stosunku do ogólnej regulacji kodeksu postępowania administracyjnego w postaci m.in. zasady informowania wyrażonej w art. 9 </w:t>
      </w:r>
      <w:r w:rsidRPr="0009014A">
        <w:rPr>
          <w:rFonts w:ascii="Lato" w:hAnsi="Lato" w:cs="Arial"/>
          <w:iCs/>
          <w:spacing w:val="4"/>
          <w:sz w:val="22"/>
          <w:szCs w:val="22"/>
        </w:rPr>
        <w:t>kpa</w:t>
      </w:r>
      <w:r w:rsidRPr="0009014A">
        <w:rPr>
          <w:rFonts w:ascii="Lato" w:hAnsi="Lato" w:cs="Arial"/>
          <w:spacing w:val="4"/>
          <w:sz w:val="22"/>
          <w:szCs w:val="22"/>
        </w:rPr>
        <w:t xml:space="preserve"> i zasady czynnego udziału strony w postępowaniu (art. 10 </w:t>
      </w:r>
      <w:r w:rsidRPr="0009014A">
        <w:rPr>
          <w:rFonts w:ascii="Lato" w:hAnsi="Lato" w:cs="Arial"/>
          <w:iCs/>
          <w:spacing w:val="4"/>
          <w:sz w:val="22"/>
          <w:szCs w:val="22"/>
        </w:rPr>
        <w:t>kpa</w:t>
      </w:r>
      <w:r w:rsidRPr="0009014A">
        <w:rPr>
          <w:rFonts w:ascii="Lato" w:hAnsi="Lato" w:cs="Arial"/>
          <w:spacing w:val="4"/>
          <w:sz w:val="22"/>
          <w:szCs w:val="22"/>
        </w:rPr>
        <w:t xml:space="preserve">) (por. wyrok Naczelnego Sądu Administracyjnego z dnia 11 września 2013 r., sygn. akt II OSK 1757/13, wyrok Wojewódzkiego Sądu Administracyjnego w Warszawie z dnia 18 lipca 2019 r., sygn. akt VII SA/Wa 1017/19, opubl. Centralna Baza Orzeczeń Sądów Administracyjnych, wydane w sprawach rozpatrywanych na podstawie </w:t>
      </w:r>
      <w:r w:rsidRPr="0009014A">
        <w:rPr>
          <w:rFonts w:ascii="Lato" w:hAnsi="Lato" w:cs="Arial"/>
          <w:iCs/>
          <w:spacing w:val="4"/>
          <w:sz w:val="22"/>
          <w:szCs w:val="22"/>
        </w:rPr>
        <w:t>specustawy drogowej</w:t>
      </w:r>
      <w:r w:rsidRPr="0009014A">
        <w:rPr>
          <w:rFonts w:ascii="Lato" w:hAnsi="Lato" w:cs="Arial"/>
          <w:spacing w:val="4"/>
          <w:sz w:val="22"/>
          <w:szCs w:val="22"/>
        </w:rPr>
        <w:t xml:space="preserve">, lecz w istotnym zakresie w pełni analogicznej do rozwiązań przyjętych w ustawie CPK). </w:t>
      </w:r>
    </w:p>
    <w:p w14:paraId="1959BDB2" w14:textId="77777777"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W orzecznictwie sądowoadministracyjnym dotyczącym szczególnych przepisów ułatwiających wydawanie zgód administracyjnych na lokalizację i realizację inwestycji infrastrukturalnych (por. ww. wyrok Naczelnego Sądu Administracyjnego z dnia 11 września 2013 r., sygn. akt II OSK 1757/13, i ww. wyrok Wojewódzkiego Sądu Administracyjnego w Warszawie z dnia 18 lipca 2019 r., sygn. akt VII SA/Wa 1017/19), wskazuje się, iż podnoszenie zarzutu naruszenia art. 10 </w:t>
      </w:r>
      <w:r w:rsidRPr="0009014A">
        <w:rPr>
          <w:rFonts w:ascii="Lato" w:hAnsi="Lato" w:cs="Arial"/>
          <w:bCs/>
          <w:spacing w:val="4"/>
          <w:sz w:val="22"/>
          <w:szCs w:val="22"/>
          <w:lang w:bidi="pl-PL"/>
        </w:rPr>
        <w:t xml:space="preserve">kpa </w:t>
      </w:r>
      <w:r w:rsidRPr="0009014A">
        <w:rPr>
          <w:rFonts w:ascii="Lato" w:hAnsi="Lato" w:cs="Arial"/>
          <w:bCs/>
          <w:iCs/>
          <w:spacing w:val="4"/>
          <w:sz w:val="22"/>
          <w:szCs w:val="22"/>
          <w:lang w:bidi="pl-PL"/>
        </w:rPr>
        <w:t xml:space="preserve">(jak czynią to skarżący) </w:t>
      </w:r>
      <w:r w:rsidRPr="0009014A">
        <w:rPr>
          <w:rFonts w:ascii="Lato" w:hAnsi="Lato" w:cs="Arial"/>
          <w:bCs/>
          <w:iCs/>
          <w:spacing w:val="4"/>
          <w:sz w:val="22"/>
          <w:szCs w:val="22"/>
          <w:lang w:bidi="pl-PL"/>
        </w:rPr>
        <w:br/>
        <w:t xml:space="preserve">w tego rodzaju sprawach musi być szczególnie dobrze przemyślane i uzasadnione. Dorobek orzeczniczy wojewódzkich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t>
      </w:r>
      <w:r w:rsidRPr="0009014A">
        <w:rPr>
          <w:rFonts w:ascii="Lato" w:hAnsi="Lato" w:cs="Arial"/>
          <w:bCs/>
          <w:iCs/>
          <w:spacing w:val="4"/>
          <w:sz w:val="22"/>
          <w:szCs w:val="22"/>
          <w:lang w:bidi="pl-PL"/>
        </w:rPr>
        <w:br/>
        <w:t xml:space="preserve">w ww. sprawach szczególnego znaczenia. Zwłaszcza że z art. 88 ust. 2 ustawy CPK  (podobnie jak z art. 11d ust. 5 </w:t>
      </w:r>
      <w:r w:rsidRPr="0009014A">
        <w:rPr>
          <w:rFonts w:ascii="Lato" w:hAnsi="Lato" w:cs="Arial"/>
          <w:bCs/>
          <w:spacing w:val="4"/>
          <w:sz w:val="22"/>
          <w:szCs w:val="22"/>
          <w:lang w:bidi="pl-PL"/>
        </w:rPr>
        <w:t>specustawy drogowej</w:t>
      </w:r>
      <w:r w:rsidRPr="0009014A">
        <w:rPr>
          <w:rFonts w:ascii="Lato" w:hAnsi="Lato" w:cs="Arial"/>
          <w:bCs/>
          <w:iCs/>
          <w:spacing w:val="4"/>
          <w:sz w:val="22"/>
          <w:szCs w:val="22"/>
          <w:lang w:bidi="pl-PL"/>
        </w:rPr>
        <w:t xml:space="preserve">) nie wynika, aby ustawodawca przewidział uprawnienie do wypowiadania się przez uczestników postępowania co do zebranych materiałów w postępowaniu lokalizacyjnym. Przepis ten stanowi natomiast lex specialis w stosunku do tych przepisów </w:t>
      </w:r>
      <w:r w:rsidRPr="0009014A">
        <w:rPr>
          <w:rFonts w:ascii="Lato" w:hAnsi="Lato" w:cs="Arial"/>
          <w:bCs/>
          <w:spacing w:val="4"/>
          <w:sz w:val="22"/>
          <w:szCs w:val="22"/>
          <w:lang w:bidi="pl-PL"/>
        </w:rPr>
        <w:t>kpa</w:t>
      </w:r>
      <w:r w:rsidRPr="0009014A">
        <w:rPr>
          <w:rFonts w:ascii="Lato" w:hAnsi="Lato" w:cs="Arial"/>
          <w:bCs/>
          <w:iCs/>
          <w:spacing w:val="4"/>
          <w:sz w:val="22"/>
          <w:szCs w:val="22"/>
          <w:lang w:bidi="pl-PL"/>
        </w:rPr>
        <w:t>, które odmiennie regulują kwestie postępowania administracyjnego. Jak zaś wiadomo, lex specialis derogat legi generali.</w:t>
      </w:r>
    </w:p>
    <w:p w14:paraId="22CF0CE3" w14:textId="578BF897"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Dla skuteczności zarzutu naruszenia art. 10 § 1 kpa konieczne jest wykazanie, </w:t>
      </w:r>
      <w:r w:rsidRPr="0009014A">
        <w:rPr>
          <w:rFonts w:ascii="Lato" w:hAnsi="Lato" w:cs="Arial"/>
          <w:bCs/>
          <w:iCs/>
          <w:spacing w:val="4"/>
          <w:sz w:val="22"/>
          <w:szCs w:val="22"/>
          <w:lang w:bidi="pl-PL"/>
        </w:rPr>
        <w:br/>
        <w:t>że zarzucane uchybienie uniemożliwiło stronie przeprowadzenie konkretnych czynności procesowych, a w następstwie realizację przysługujących jej praw, i nie mogło być konwalidowane na późniejszych etapach tego postępowania, jak również, że naruszenie to miało istotny wpływ na wynik sprawy. To do strony stawiającej zarzut należy wykazanie istnienia związku przyczynowego między naruszeniem przepisów postępowania, a wynikiem sprawy. Strona powinna wykazać, że niezawiadomienie jej przed wydaniem decyzji o zebraniu materiału dowodowego i możliwości składania wniosków dowodowych uniemożliwiło jej dokonanie w danym postępowaniu konkretnej czynności procesowej. Naruszenie art. 10 § 1 kpa ocenić należy z punktu widzenia uniemożliwienia stronie podjęcia konkretnie wskazanej czynności procesowej oraz wpływu tego uchybienia na wynik sprawy. W niniejszym przypadku Państwo K</w:t>
      </w:r>
      <w:r w:rsidR="00FF4DA6">
        <w:rPr>
          <w:rFonts w:ascii="Lato" w:hAnsi="Lato" w:cs="Arial"/>
          <w:bCs/>
          <w:iCs/>
          <w:spacing w:val="4"/>
          <w:sz w:val="22"/>
          <w:szCs w:val="22"/>
          <w:lang w:bidi="pl-PL"/>
        </w:rPr>
        <w:t>.</w:t>
      </w:r>
      <w:r w:rsidRPr="0009014A">
        <w:rPr>
          <w:rFonts w:ascii="Lato" w:hAnsi="Lato" w:cs="Arial"/>
          <w:bCs/>
          <w:iCs/>
          <w:spacing w:val="4"/>
          <w:sz w:val="22"/>
          <w:szCs w:val="22"/>
          <w:lang w:bidi="pl-PL"/>
        </w:rPr>
        <w:t xml:space="preserve"> i skarżąca spółka, jak również inni skarżący podnoszący tożsamy zarzut </w:t>
      </w:r>
      <w:r w:rsidRPr="0009014A">
        <w:rPr>
          <w:rFonts w:ascii="Lato" w:hAnsi="Lato" w:cs="Arial"/>
          <w:bCs/>
          <w:iCs/>
          <w:spacing w:val="4"/>
          <w:sz w:val="22"/>
          <w:szCs w:val="22"/>
          <w:lang w:bidi="pl-PL"/>
        </w:rPr>
        <w:br/>
        <w:t xml:space="preserve">w swoich odwołaniach, nie wykazali wpływu wskazanego wyżej naruszenia na wynik sprawy, nie wskazali jakich istotnych czynności dowodowych nie mogli dokonać, tym bardziej że powyższe uchybienie dotyczy postępowania przed organem I instancji, </w:t>
      </w:r>
      <w:r w:rsidRPr="0009014A">
        <w:rPr>
          <w:rFonts w:ascii="Lato" w:hAnsi="Lato" w:cs="Arial"/>
          <w:bCs/>
          <w:iCs/>
          <w:spacing w:val="4"/>
          <w:sz w:val="22"/>
          <w:szCs w:val="22"/>
          <w:lang w:bidi="pl-PL"/>
        </w:rPr>
        <w:br/>
      </w:r>
      <w:r w:rsidRPr="0009014A">
        <w:rPr>
          <w:rFonts w:ascii="Lato" w:hAnsi="Lato" w:cs="Arial"/>
          <w:bCs/>
          <w:iCs/>
          <w:spacing w:val="4"/>
          <w:sz w:val="22"/>
          <w:szCs w:val="22"/>
          <w:lang w:bidi="pl-PL"/>
        </w:rPr>
        <w:lastRenderedPageBreak/>
        <w:t xml:space="preserve">a zatem ewentualne wnioski i stanowiska mogły być złożone na etapie postępowania odwoławczego (por. m.in. wyrok Naczelnego Sądu Administracyjnego z dnia 16 stycznia </w:t>
      </w:r>
      <w:r w:rsidRPr="0009014A">
        <w:rPr>
          <w:rFonts w:ascii="Lato" w:hAnsi="Lato" w:cs="Arial"/>
          <w:bCs/>
          <w:iCs/>
          <w:spacing w:val="4"/>
          <w:sz w:val="22"/>
          <w:szCs w:val="22"/>
          <w:lang w:bidi="pl-PL"/>
        </w:rPr>
        <w:br/>
        <w:t xml:space="preserve">2025 r., sygn. akt </w:t>
      </w:r>
      <w:hyperlink r:id="rId12" w:history="1">
        <w:r w:rsidRPr="0009014A">
          <w:rPr>
            <w:rFonts w:ascii="Lato" w:hAnsi="Lato" w:cs="Arial"/>
            <w:bCs/>
            <w:iCs/>
            <w:spacing w:val="4"/>
            <w:sz w:val="22"/>
            <w:szCs w:val="22"/>
            <w:lang w:bidi="pl-PL"/>
          </w:rPr>
          <w:t>I OSK 119/24</w:t>
        </w:r>
      </w:hyperlink>
      <w:r w:rsidRPr="0009014A">
        <w:rPr>
          <w:rFonts w:ascii="Lato" w:hAnsi="Lato" w:cs="Arial"/>
          <w:bCs/>
          <w:iCs/>
          <w:spacing w:val="4"/>
          <w:sz w:val="22"/>
          <w:szCs w:val="22"/>
          <w:lang w:bidi="pl-PL"/>
        </w:rPr>
        <w:t xml:space="preserve">, opubl. Centralna Baza Orzeczeń Sądów Administracyjnych, jak również wyrok Wojewódzkiego Sądu Administracyjnego </w:t>
      </w:r>
      <w:r w:rsidRPr="0009014A">
        <w:rPr>
          <w:rFonts w:ascii="Lato" w:hAnsi="Lato" w:cs="Arial"/>
          <w:bCs/>
          <w:iCs/>
          <w:spacing w:val="4"/>
          <w:sz w:val="22"/>
          <w:szCs w:val="22"/>
          <w:lang w:bidi="pl-PL"/>
        </w:rPr>
        <w:br/>
        <w:t>w Warszawie z dnia 19 listopada 2025 r., sygn. akt IV SA/Wa 1563/25 – oddalający skargi Pana Z</w:t>
      </w:r>
      <w:r w:rsidR="00FF4DA6">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FF4DA6">
        <w:rPr>
          <w:rFonts w:ascii="Lato" w:hAnsi="Lato" w:cs="Arial"/>
          <w:bCs/>
          <w:iCs/>
          <w:spacing w:val="4"/>
          <w:sz w:val="22"/>
          <w:szCs w:val="22"/>
          <w:lang w:bidi="pl-PL"/>
        </w:rPr>
        <w:t>.</w:t>
      </w:r>
      <w:r w:rsidRPr="0009014A">
        <w:rPr>
          <w:rFonts w:ascii="Lato" w:hAnsi="Lato" w:cs="Arial"/>
          <w:bCs/>
          <w:iCs/>
          <w:spacing w:val="4"/>
          <w:sz w:val="22"/>
          <w:szCs w:val="22"/>
          <w:lang w:bidi="pl-PL"/>
        </w:rPr>
        <w:t xml:space="preserve"> i Pani K</w:t>
      </w:r>
      <w:r w:rsidR="00FF4DA6">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FF4DA6">
        <w:rPr>
          <w:rFonts w:ascii="Lato" w:hAnsi="Lato" w:cs="Arial"/>
          <w:bCs/>
          <w:iCs/>
          <w:spacing w:val="4"/>
          <w:sz w:val="22"/>
          <w:szCs w:val="22"/>
          <w:lang w:bidi="pl-PL"/>
        </w:rPr>
        <w:t>.</w:t>
      </w:r>
      <w:r w:rsidRPr="0009014A">
        <w:rPr>
          <w:rFonts w:ascii="Lato" w:hAnsi="Lato" w:cs="Arial"/>
          <w:bCs/>
          <w:iCs/>
          <w:spacing w:val="4"/>
          <w:sz w:val="22"/>
          <w:szCs w:val="22"/>
          <w:lang w:bidi="pl-PL"/>
        </w:rPr>
        <w:t xml:space="preserve"> na decyzję Ministra Rozwoju i Technologii z dnia 30 kwietnia 2025 r., znak: DLI-IV.7620.33.2023.MO, w przedmiocie zezwolenia na udostępnienie nieruchomości). Za takie wskazanie nie można uznać ogólnego stwierdzenia skarżących, iż brak zawiadomienia o zebranym materiale dowodowym uniemożliwił stronom postępowania dokonania czynności procesowej, w szczególności złożenie pisma procesowego i przedłożenia dodatkowych dowodów w sprawie, m.in. opinii eksperckich. </w:t>
      </w:r>
    </w:p>
    <w:p w14:paraId="7C2E3548" w14:textId="2F406851" w:rsidR="0009014A" w:rsidRPr="0009014A" w:rsidRDefault="0009014A" w:rsidP="0009014A">
      <w:pPr>
        <w:spacing w:after="240" w:line="240" w:lineRule="exact"/>
        <w:jc w:val="both"/>
        <w:rPr>
          <w:rFonts w:ascii="Lato" w:hAnsi="Lato" w:cs="Arial"/>
          <w:b/>
          <w:bCs/>
          <w:iCs/>
          <w:spacing w:val="4"/>
          <w:sz w:val="22"/>
          <w:szCs w:val="22"/>
          <w:lang w:bidi="pl-PL"/>
        </w:rPr>
      </w:pPr>
      <w:r w:rsidRPr="0009014A">
        <w:rPr>
          <w:rFonts w:ascii="Lato" w:hAnsi="Lato" w:cs="Arial"/>
          <w:bCs/>
          <w:iCs/>
          <w:spacing w:val="4"/>
          <w:sz w:val="22"/>
          <w:szCs w:val="22"/>
          <w:lang w:bidi="pl-PL"/>
        </w:rPr>
        <w:t>Odnośnie zarzutu Państwa K</w:t>
      </w:r>
      <w:r w:rsidR="00D035B7">
        <w:rPr>
          <w:rFonts w:ascii="Lato" w:hAnsi="Lato" w:cs="Arial"/>
          <w:bCs/>
          <w:iCs/>
          <w:spacing w:val="4"/>
          <w:sz w:val="22"/>
          <w:szCs w:val="22"/>
          <w:lang w:bidi="pl-PL"/>
        </w:rPr>
        <w:t>.</w:t>
      </w:r>
      <w:r w:rsidRPr="0009014A">
        <w:rPr>
          <w:rFonts w:ascii="Lato" w:hAnsi="Lato" w:cs="Arial"/>
          <w:bCs/>
          <w:iCs/>
          <w:spacing w:val="4"/>
          <w:sz w:val="22"/>
          <w:szCs w:val="22"/>
          <w:lang w:bidi="pl-PL"/>
        </w:rPr>
        <w:t xml:space="preserve"> i skarżącej spółki, jak również tożsamego zarzutu podnoszonego przez innych skarżących w odwołaniach, dotyczącego ograniczenia prawa do zapoznania się z aktami sprawy z uwagi na krótkie terminy przyjmowania interesantów w Mazowieckim Urzędzie Wojewódzkim w Warszawie, wskazać należy, że zgodnie z art. 88 ust. 2 ustawy CPK, zawiadomienie o wszczęciu postępowania zawiera oznaczenie terenu inwestycji objętego wnioskiem o wydanie decyzji, według katastru nieruchomości oraz informację o sposobie, w jaki strony postępowania mogą zapoznać się z aktami sprawy. W zawiadomieniu Wojewody Mazowieckiego z dnia 3 czerwca </w:t>
      </w:r>
      <w:r w:rsidR="00D035B7">
        <w:rPr>
          <w:rFonts w:ascii="Lato" w:hAnsi="Lato" w:cs="Arial"/>
          <w:bCs/>
          <w:iCs/>
          <w:spacing w:val="4"/>
          <w:sz w:val="22"/>
          <w:szCs w:val="22"/>
          <w:lang w:bidi="pl-PL"/>
        </w:rPr>
        <w:br/>
      </w:r>
      <w:r w:rsidRPr="0009014A">
        <w:rPr>
          <w:rFonts w:ascii="Lato" w:hAnsi="Lato" w:cs="Arial"/>
          <w:bCs/>
          <w:iCs/>
          <w:spacing w:val="4"/>
          <w:sz w:val="22"/>
          <w:szCs w:val="22"/>
          <w:lang w:bidi="pl-PL"/>
        </w:rPr>
        <w:t xml:space="preserve">2024 r. o wszczęciu postępowania w sprawie wydania decyzji o ustaleniu lokalizacji inwestycji w zakresie CPK i dokonanym w tym przedmiocie obwieszczeniu z dnia 3 czerwca 2024 r., zamieszczono następującą klauzulę informacyjną o sposobie, w jaki strony postępowania mogą zapoznać się z aktami sprawy: „Akta przedmiotowej sprawy znajdują się do wglądu w Wydziale Infrastruktury i Rolnictwa Mazowieckiego Urzędu Wojewódzkiego w Warszawie, pl. Bankowy 3/5, 00-950 Warszawa, gdzie można zgłaszać ewentualne uwagi i wnioski do czasu wydania orzeczenia w sprawie. Strona chcąca zapoznać się z aktami postępowania, może tego dokonać w siedzibie tutejszego organu na Pl. Bankowym 3/5 pok. 14 w poniedziałek w godz. 13.00 - 16.00 lub </w:t>
      </w:r>
      <w:r w:rsidR="00D035B7">
        <w:rPr>
          <w:rFonts w:ascii="Lato" w:hAnsi="Lato" w:cs="Arial"/>
          <w:bCs/>
          <w:iCs/>
          <w:spacing w:val="4"/>
          <w:sz w:val="22"/>
          <w:szCs w:val="22"/>
          <w:lang w:bidi="pl-PL"/>
        </w:rPr>
        <w:br/>
      </w:r>
      <w:r w:rsidRPr="0009014A">
        <w:rPr>
          <w:rFonts w:ascii="Lato" w:hAnsi="Lato" w:cs="Arial"/>
          <w:bCs/>
          <w:iCs/>
          <w:spacing w:val="4"/>
          <w:sz w:val="22"/>
          <w:szCs w:val="22"/>
          <w:lang w:bidi="pl-PL"/>
        </w:rPr>
        <w:t xml:space="preserve">w czwartek w godz. 8.00 - 12.00 po wcześniejszym umówieniu się telefonicznym pod nr 22 695-62-19. Osoby nieumówione nie będą obsługiwane. Czas przeznaczony na zapoznanie się z aktami wynosi do 30 min i nie może zostać przedłużony. Informacja </w:t>
      </w:r>
      <w:r w:rsidR="00D035B7">
        <w:rPr>
          <w:rFonts w:ascii="Lato" w:hAnsi="Lato" w:cs="Arial"/>
          <w:bCs/>
          <w:iCs/>
          <w:spacing w:val="4"/>
          <w:sz w:val="22"/>
          <w:szCs w:val="22"/>
          <w:lang w:bidi="pl-PL"/>
        </w:rPr>
        <w:br/>
      </w:r>
      <w:r w:rsidRPr="0009014A">
        <w:rPr>
          <w:rFonts w:ascii="Lato" w:hAnsi="Lato" w:cs="Arial"/>
          <w:bCs/>
          <w:iCs/>
          <w:spacing w:val="4"/>
          <w:sz w:val="22"/>
          <w:szCs w:val="22"/>
          <w:lang w:bidi="pl-PL"/>
        </w:rPr>
        <w:t>w sprawach będzie ponadto udzielania telefonicznie w poniedziałek w godz. 13</w:t>
      </w:r>
      <w:r w:rsidRPr="0009014A">
        <w:rPr>
          <w:rFonts w:ascii="Lato" w:hAnsi="Lato" w:cs="Arial"/>
          <w:bCs/>
          <w:iCs/>
          <w:spacing w:val="4"/>
          <w:sz w:val="22"/>
          <w:szCs w:val="22"/>
          <w:vertAlign w:val="superscript"/>
          <w:lang w:bidi="pl-PL"/>
        </w:rPr>
        <w:t>00</w:t>
      </w:r>
      <w:r w:rsidRPr="0009014A">
        <w:rPr>
          <w:rFonts w:ascii="Lato" w:hAnsi="Lato" w:cs="Arial"/>
          <w:bCs/>
          <w:iCs/>
          <w:spacing w:val="4"/>
          <w:sz w:val="22"/>
          <w:szCs w:val="22"/>
          <w:lang w:bidi="pl-PL"/>
        </w:rPr>
        <w:t xml:space="preserve"> - 16</w:t>
      </w:r>
      <w:r w:rsidRPr="0009014A">
        <w:rPr>
          <w:rFonts w:ascii="Lato" w:hAnsi="Lato" w:cs="Arial"/>
          <w:bCs/>
          <w:iCs/>
          <w:spacing w:val="4"/>
          <w:sz w:val="22"/>
          <w:szCs w:val="22"/>
          <w:vertAlign w:val="superscript"/>
          <w:lang w:bidi="pl-PL"/>
        </w:rPr>
        <w:t>00</w:t>
      </w:r>
      <w:r w:rsidRPr="0009014A">
        <w:rPr>
          <w:rFonts w:ascii="Lato" w:hAnsi="Lato" w:cs="Arial"/>
          <w:bCs/>
          <w:iCs/>
          <w:spacing w:val="4"/>
          <w:sz w:val="22"/>
          <w:szCs w:val="22"/>
          <w:lang w:bidi="pl-PL"/>
        </w:rPr>
        <w:t xml:space="preserve"> lub w czwartek w godz. 8</w:t>
      </w:r>
      <w:r w:rsidRPr="0009014A">
        <w:rPr>
          <w:rFonts w:ascii="Lato" w:hAnsi="Lato" w:cs="Arial"/>
          <w:bCs/>
          <w:iCs/>
          <w:spacing w:val="4"/>
          <w:sz w:val="22"/>
          <w:szCs w:val="22"/>
          <w:vertAlign w:val="superscript"/>
          <w:lang w:bidi="pl-PL"/>
        </w:rPr>
        <w:t>00</w:t>
      </w:r>
      <w:r w:rsidRPr="0009014A">
        <w:rPr>
          <w:rFonts w:ascii="Lato" w:hAnsi="Lato" w:cs="Arial"/>
          <w:bCs/>
          <w:iCs/>
          <w:spacing w:val="4"/>
          <w:sz w:val="22"/>
          <w:szCs w:val="22"/>
          <w:lang w:bidi="pl-PL"/>
        </w:rPr>
        <w:t xml:space="preserve"> - 12</w:t>
      </w:r>
      <w:r w:rsidRPr="0009014A">
        <w:rPr>
          <w:rFonts w:ascii="Lato" w:hAnsi="Lato" w:cs="Arial"/>
          <w:bCs/>
          <w:iCs/>
          <w:spacing w:val="4"/>
          <w:sz w:val="22"/>
          <w:szCs w:val="22"/>
          <w:vertAlign w:val="superscript"/>
          <w:lang w:bidi="pl-PL"/>
        </w:rPr>
        <w:t>00</w:t>
      </w:r>
      <w:r w:rsidRPr="0009014A">
        <w:rPr>
          <w:rFonts w:ascii="Lato" w:hAnsi="Lato" w:cs="Arial"/>
          <w:bCs/>
          <w:iCs/>
          <w:spacing w:val="4"/>
          <w:sz w:val="22"/>
          <w:szCs w:val="22"/>
          <w:lang w:bidi="pl-PL"/>
        </w:rPr>
        <w:t xml:space="preserve"> pod nr 22 695-66-48. Informacja ta ma na celu jedynie przedstawienie aktualnego stanu postępowania. Podczas rozmowy strony nie uzyskają informacji o planowanym terminie zakończenia postępowania.”. </w:t>
      </w:r>
    </w:p>
    <w:p w14:paraId="13BEFCAD" w14:textId="0E405387"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Od daty publicznego obwieszczenia o wszczęciu postępowania w sprawie wydania decyzji o ustaleniu lokalizacji dla inwestycji w zakresie CPK (5 czerwca 2024 r.) do dnia wydania decyzji Wojewody Mazowieckiego (8 stycznia 2025 r.) strony postępowania miały pół roku na zapoznanie się z materiałem dowodowym. Wyznaczone ograniczenie czasowe nie uniemożliwiło żadnej ze stron postępowania zapoznania się z aktami, bowiem każda ze stron postępowania miała prawo umawiać się wielokrotnie na przegląd akt, z czego strony postępowania korzystały. W aktach administracyjnych Wojewody Mazowieckiego obrazujących przebieg postępowania administracyjnego znajdują protokoły z przeglądu akt sprawy przez strony postępowania (w tym osobiście przez niektóre osoby składające odwołania od decyzji Wojewody Mazowieckiego lub ich pełnomocników). Jak wynika z akt sprawy organu I instancji, strony postępowania,  </w:t>
      </w:r>
      <w:r w:rsidRPr="0009014A">
        <w:rPr>
          <w:rFonts w:ascii="Lato" w:hAnsi="Lato" w:cs="Arial"/>
          <w:bCs/>
          <w:iCs/>
          <w:spacing w:val="4"/>
          <w:sz w:val="22"/>
          <w:szCs w:val="22"/>
          <w:lang w:bidi="pl-PL"/>
        </w:rPr>
        <w:br/>
        <w:t xml:space="preserve">w tym skarżący mieli możliwość (i z niej w pełni niektórzy korzystali) do zapoznania się </w:t>
      </w:r>
      <w:r w:rsidRPr="0009014A">
        <w:rPr>
          <w:rFonts w:ascii="Lato" w:hAnsi="Lato" w:cs="Arial"/>
          <w:bCs/>
          <w:iCs/>
          <w:spacing w:val="4"/>
          <w:sz w:val="22"/>
          <w:szCs w:val="22"/>
          <w:lang w:bidi="pl-PL"/>
        </w:rPr>
        <w:br/>
        <w:t xml:space="preserve">z aktami sprawy i zaprezentowania swego stanowiska w sprawie. Z akt sprawy organu </w:t>
      </w:r>
      <w:r w:rsidRPr="0009014A">
        <w:rPr>
          <w:rFonts w:ascii="Lato" w:hAnsi="Lato" w:cs="Arial"/>
          <w:bCs/>
          <w:iCs/>
          <w:spacing w:val="4"/>
          <w:sz w:val="22"/>
          <w:szCs w:val="22"/>
          <w:lang w:bidi="pl-PL"/>
        </w:rPr>
        <w:br/>
        <w:t>I instancji wynika, że Wojewoda Mazowiecki nie odmówił stronom dostępu do akt sprawy i możliwości ich przeglądania, choć należy przyznać racj</w:t>
      </w:r>
      <w:r w:rsidR="001D3922">
        <w:rPr>
          <w:rFonts w:ascii="Lato" w:hAnsi="Lato" w:cs="Arial"/>
          <w:bCs/>
          <w:iCs/>
          <w:spacing w:val="4"/>
          <w:sz w:val="22"/>
          <w:szCs w:val="22"/>
          <w:lang w:bidi="pl-PL"/>
        </w:rPr>
        <w:t>ę</w:t>
      </w:r>
      <w:r w:rsidRPr="0009014A">
        <w:rPr>
          <w:rFonts w:ascii="Lato" w:hAnsi="Lato" w:cs="Arial"/>
          <w:bCs/>
          <w:iCs/>
          <w:spacing w:val="4"/>
          <w:sz w:val="22"/>
          <w:szCs w:val="22"/>
          <w:lang w:bidi="pl-PL"/>
        </w:rPr>
        <w:t xml:space="preserve">, że z niektórych protokołów z przeglądu akt postępowania (m.in. osób upoważnionych do tej czynności </w:t>
      </w:r>
      <w:r w:rsidRPr="0009014A">
        <w:rPr>
          <w:rFonts w:ascii="Lato" w:hAnsi="Lato" w:cs="Arial"/>
          <w:bCs/>
          <w:iCs/>
          <w:spacing w:val="4"/>
          <w:sz w:val="22"/>
          <w:szCs w:val="22"/>
          <w:lang w:bidi="pl-PL"/>
        </w:rPr>
        <w:lastRenderedPageBreak/>
        <w:t>przez pełnomocnika Państwa K</w:t>
      </w:r>
      <w:r w:rsidR="00C568A5">
        <w:rPr>
          <w:rFonts w:ascii="Lato" w:hAnsi="Lato" w:cs="Arial"/>
          <w:bCs/>
          <w:iCs/>
          <w:spacing w:val="4"/>
          <w:sz w:val="22"/>
          <w:szCs w:val="22"/>
          <w:lang w:bidi="pl-PL"/>
        </w:rPr>
        <w:t>.</w:t>
      </w:r>
      <w:r w:rsidRPr="0009014A">
        <w:rPr>
          <w:rFonts w:ascii="Lato" w:hAnsi="Lato" w:cs="Arial"/>
          <w:bCs/>
          <w:iCs/>
          <w:spacing w:val="4"/>
          <w:sz w:val="22"/>
          <w:szCs w:val="22"/>
          <w:lang w:bidi="pl-PL"/>
        </w:rPr>
        <w:t xml:space="preserve"> i skarżącej spółki) wynika, iż w polu „Uwagi” zamieszczono adnotacje o braku udostępnienia całości akt sprawy.  </w:t>
      </w:r>
    </w:p>
    <w:p w14:paraId="20F03385" w14:textId="6FAB4890"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Wobec wniesionego do Wojewody Mazowieckiego wniosku z dnia 10 lipca 2024 r. pełnomocnika Państwa K</w:t>
      </w:r>
      <w:r w:rsidR="000072E8">
        <w:rPr>
          <w:rFonts w:ascii="Lato" w:hAnsi="Lato" w:cs="Arial"/>
          <w:bCs/>
          <w:iCs/>
          <w:spacing w:val="4"/>
          <w:sz w:val="22"/>
          <w:szCs w:val="22"/>
          <w:lang w:bidi="pl-PL"/>
        </w:rPr>
        <w:t>.</w:t>
      </w:r>
      <w:r w:rsidRPr="0009014A">
        <w:rPr>
          <w:rFonts w:ascii="Lato" w:hAnsi="Lato" w:cs="Arial"/>
          <w:bCs/>
          <w:iCs/>
          <w:spacing w:val="4"/>
          <w:sz w:val="22"/>
          <w:szCs w:val="22"/>
          <w:lang w:bidi="pl-PL"/>
        </w:rPr>
        <w:t xml:space="preserve"> i spółki </w:t>
      </w:r>
      <w:r w:rsidR="000072E8">
        <w:rPr>
          <w:rFonts w:ascii="Lato" w:hAnsi="Lato" w:cs="Arial"/>
          <w:bCs/>
          <w:iCs/>
          <w:spacing w:val="4"/>
          <w:sz w:val="22"/>
          <w:szCs w:val="22"/>
          <w:lang w:bidi="pl-PL"/>
        </w:rPr>
        <w:t>(…)</w:t>
      </w:r>
      <w:r w:rsidRPr="0009014A">
        <w:rPr>
          <w:rFonts w:ascii="Lato" w:hAnsi="Lato" w:cs="Arial"/>
          <w:bCs/>
          <w:iCs/>
          <w:spacing w:val="4"/>
          <w:sz w:val="22"/>
          <w:szCs w:val="22"/>
          <w:lang w:bidi="pl-PL"/>
        </w:rPr>
        <w:t xml:space="preserve"> o udostępnienie stronom całości akt, organ zobowiązany był zatem udostępnić stronom kompletne akta sprawy, a w przypadku uznania, że nie jest możliwe udostępnienie stronom części akt postępowania, Wojewoda Mazowiecki powinien był wydać stosowne postanowienie o odmowie dostępu do akt sprawy w trybie art. 74 § 2 kpa. Z materiału dowodowego zgromadzonego w sprawie wynika, iż po otrzymaniu ww. pisma skarżących z dnia 10 lipca 2024 r. Wojewoda Mazowiecki nie wydał postanowienia o odmowie dostępu do akt sprawy w trybie art. 74 § 2 kpa</w:t>
      </w:r>
      <w:r w:rsidR="004C56A7">
        <w:rPr>
          <w:rFonts w:ascii="Lato" w:hAnsi="Lato" w:cs="Arial"/>
          <w:bCs/>
          <w:iCs/>
          <w:spacing w:val="4"/>
          <w:sz w:val="22"/>
          <w:szCs w:val="22"/>
          <w:lang w:bidi="pl-PL"/>
        </w:rPr>
        <w:t xml:space="preserve">. Natomiast z protokołu z dnia 7 listopada 2024 r. z przeglądu akt sprawy przez osobę upoważnioną do tej czynności przez </w:t>
      </w:r>
      <w:r w:rsidR="004C56A7" w:rsidRPr="0009014A">
        <w:rPr>
          <w:rFonts w:ascii="Lato" w:hAnsi="Lato" w:cs="Arial"/>
          <w:bCs/>
          <w:iCs/>
          <w:spacing w:val="4"/>
          <w:sz w:val="22"/>
          <w:szCs w:val="22"/>
          <w:lang w:bidi="pl-PL"/>
        </w:rPr>
        <w:t>pełnomocnika Państwa K</w:t>
      </w:r>
      <w:r w:rsidR="0024227A">
        <w:rPr>
          <w:rFonts w:ascii="Lato" w:hAnsi="Lato" w:cs="Arial"/>
          <w:bCs/>
          <w:iCs/>
          <w:spacing w:val="4"/>
          <w:sz w:val="22"/>
          <w:szCs w:val="22"/>
          <w:lang w:bidi="pl-PL"/>
        </w:rPr>
        <w:t>.</w:t>
      </w:r>
      <w:r w:rsidR="004C56A7">
        <w:rPr>
          <w:rFonts w:ascii="Lato" w:hAnsi="Lato" w:cs="Arial"/>
          <w:bCs/>
          <w:iCs/>
          <w:spacing w:val="4"/>
          <w:sz w:val="22"/>
          <w:szCs w:val="22"/>
          <w:lang w:bidi="pl-PL"/>
        </w:rPr>
        <w:t xml:space="preserve">, wynika, iż w polu „Uwagi” nie zamieszczono już adnotacji o braku udostępnienia </w:t>
      </w:r>
      <w:r w:rsidR="00B939A6">
        <w:rPr>
          <w:rFonts w:ascii="Lato" w:hAnsi="Lato" w:cs="Arial"/>
          <w:bCs/>
          <w:iCs/>
          <w:spacing w:val="4"/>
          <w:sz w:val="22"/>
          <w:szCs w:val="22"/>
          <w:lang w:bidi="pl-PL"/>
        </w:rPr>
        <w:t>całości akt sprawy. Natomiast wcześniejsze p</w:t>
      </w:r>
      <w:r w:rsidRPr="0009014A">
        <w:rPr>
          <w:rFonts w:ascii="Lato" w:hAnsi="Lato" w:cs="Arial"/>
          <w:bCs/>
          <w:iCs/>
          <w:spacing w:val="4"/>
          <w:sz w:val="22"/>
          <w:szCs w:val="22"/>
          <w:lang w:bidi="pl-PL"/>
        </w:rPr>
        <w:t xml:space="preserve">ominięcie udostępnienia skarżącym niektórych dokumentów </w:t>
      </w:r>
      <w:r w:rsidR="0024227A">
        <w:rPr>
          <w:rFonts w:ascii="Lato" w:hAnsi="Lato" w:cs="Arial"/>
          <w:bCs/>
          <w:iCs/>
          <w:spacing w:val="4"/>
          <w:sz w:val="22"/>
          <w:szCs w:val="22"/>
          <w:lang w:bidi="pl-PL"/>
        </w:rPr>
        <w:br/>
      </w:r>
      <w:r w:rsidRPr="0009014A">
        <w:rPr>
          <w:rFonts w:ascii="Lato" w:hAnsi="Lato" w:cs="Arial"/>
          <w:bCs/>
          <w:iCs/>
          <w:spacing w:val="4"/>
          <w:sz w:val="22"/>
          <w:szCs w:val="22"/>
          <w:lang w:bidi="pl-PL"/>
        </w:rPr>
        <w:t xml:space="preserve">z akt sprawy, w ocenie Ministra, nie stanowiło celowego działania organu I instancji </w:t>
      </w:r>
      <w:r w:rsidR="0024227A">
        <w:rPr>
          <w:rFonts w:ascii="Lato" w:hAnsi="Lato" w:cs="Arial"/>
          <w:bCs/>
          <w:iCs/>
          <w:spacing w:val="4"/>
          <w:sz w:val="22"/>
          <w:szCs w:val="22"/>
          <w:lang w:bidi="pl-PL"/>
        </w:rPr>
        <w:br/>
      </w:r>
      <w:r w:rsidRPr="0009014A">
        <w:rPr>
          <w:rFonts w:ascii="Lato" w:hAnsi="Lato" w:cs="Arial"/>
          <w:bCs/>
          <w:iCs/>
          <w:spacing w:val="4"/>
          <w:sz w:val="22"/>
          <w:szCs w:val="22"/>
          <w:lang w:bidi="pl-PL"/>
        </w:rPr>
        <w:t xml:space="preserve">(w aktach sprawy brak jest dowodów na to), ale mogło być spowodowane nieuwagą pracownika organu bezpośrednio zaangażowanego w tą czynność, która to sytuacja oczywiście nie powinna mieć miejsca. Przy ocenie zarzucanego naruszenia nie można jednakże pominąć, że skarżącym zapewniono możliwość zapoznania się z całością akt sprawy na etapie procedury odwoławczej w sprawie decyzji Wojewody Mazowieckiego. Z uprawnienia tego niektórzy skarżący osobiście lub przez pełnomocników korzystali, </w:t>
      </w:r>
      <w:r w:rsidR="0024227A">
        <w:rPr>
          <w:rFonts w:ascii="Lato" w:hAnsi="Lato" w:cs="Arial"/>
          <w:bCs/>
          <w:iCs/>
          <w:spacing w:val="4"/>
          <w:sz w:val="22"/>
          <w:szCs w:val="22"/>
          <w:lang w:bidi="pl-PL"/>
        </w:rPr>
        <w:br/>
      </w:r>
      <w:r w:rsidRPr="0009014A">
        <w:rPr>
          <w:rFonts w:ascii="Lato" w:hAnsi="Lato" w:cs="Arial"/>
          <w:bCs/>
          <w:iCs/>
          <w:spacing w:val="4"/>
          <w:sz w:val="22"/>
          <w:szCs w:val="22"/>
          <w:lang w:bidi="pl-PL"/>
        </w:rPr>
        <w:t>w tym niektórzy wielokrotnie (osoby uprawnione do przeglądu akt sprawy w imieniu pełnomocnika Państwa K</w:t>
      </w:r>
      <w:r w:rsidR="002022FB">
        <w:rPr>
          <w:rFonts w:ascii="Lato" w:hAnsi="Lato" w:cs="Arial"/>
          <w:bCs/>
          <w:iCs/>
          <w:spacing w:val="4"/>
          <w:sz w:val="22"/>
          <w:szCs w:val="22"/>
          <w:lang w:bidi="pl-PL"/>
        </w:rPr>
        <w:t>.</w:t>
      </w:r>
      <w:r w:rsidRPr="0009014A">
        <w:rPr>
          <w:rFonts w:ascii="Lato" w:hAnsi="Lato" w:cs="Arial"/>
          <w:bCs/>
          <w:iCs/>
          <w:spacing w:val="4"/>
          <w:sz w:val="22"/>
          <w:szCs w:val="22"/>
          <w:lang w:bidi="pl-PL"/>
        </w:rPr>
        <w:t xml:space="preserve"> i skarżącej spółki), czego dowodem są notatki służbowe potwierdzające zapoznanie z dokumentacją sprawy.  </w:t>
      </w:r>
    </w:p>
    <w:p w14:paraId="39F53169" w14:textId="53907578"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Podsumowując, jeśli chodzi o zarzut naruszenia art. 73 § 1 kpa poprzez brak udostępnienia  przez organ I instancji kompletnych akt sprawy, to na gruncie rozważanego przypadku nie ma podstaw do przyjęcia, że uchybienie to miało wpływ na wynik sprawy, skoro udostępnienie stronom kompletnych akt sprawy nastąpiło </w:t>
      </w:r>
      <w:r w:rsidRPr="0009014A">
        <w:rPr>
          <w:rFonts w:ascii="Lato" w:hAnsi="Lato" w:cs="Arial"/>
          <w:bCs/>
          <w:iCs/>
          <w:spacing w:val="4"/>
          <w:sz w:val="22"/>
          <w:szCs w:val="22"/>
          <w:lang w:bidi="pl-PL"/>
        </w:rPr>
        <w:br/>
        <w:t xml:space="preserve">w postępowaniu przed organem odwoławczym (por. ww. wyrok Wojewódzkiego Sądu Administracyjnego w Warszawie z dnia 19 listopada 2025 r., sygn. akt IV SA/Wa 1563/25). Natomiast sama kwestia oceny organizacji udostępniania akt sprawy </w:t>
      </w:r>
      <w:r w:rsidRPr="0009014A">
        <w:rPr>
          <w:rFonts w:ascii="Lato" w:hAnsi="Lato" w:cs="Arial"/>
          <w:bCs/>
          <w:iCs/>
          <w:spacing w:val="4"/>
          <w:sz w:val="22"/>
          <w:szCs w:val="22"/>
          <w:lang w:bidi="pl-PL"/>
        </w:rPr>
        <w:br/>
        <w:t xml:space="preserve">w Wydziale Infrastruktury i Rolnictwa Mazowieckiego Urzędu Wojewódzkiego </w:t>
      </w:r>
      <w:r w:rsidRPr="0009014A">
        <w:rPr>
          <w:rFonts w:ascii="Lato" w:hAnsi="Lato" w:cs="Arial"/>
          <w:bCs/>
          <w:iCs/>
          <w:spacing w:val="4"/>
          <w:sz w:val="22"/>
          <w:szCs w:val="22"/>
          <w:lang w:bidi="pl-PL"/>
        </w:rPr>
        <w:br/>
        <w:t xml:space="preserve">(w związku limitowaniem czasu na zapoznanie się z aktami) wykracza poza kompetencje </w:t>
      </w:r>
      <w:r w:rsidRPr="0009014A">
        <w:rPr>
          <w:rFonts w:ascii="Lato" w:hAnsi="Lato" w:cs="Arial"/>
          <w:bCs/>
          <w:spacing w:val="4"/>
          <w:sz w:val="22"/>
          <w:szCs w:val="22"/>
          <w:lang w:bidi="pl-PL"/>
        </w:rPr>
        <w:t>Ministra</w:t>
      </w:r>
      <w:r w:rsidRPr="0009014A">
        <w:rPr>
          <w:rFonts w:ascii="Lato" w:hAnsi="Lato" w:cs="Arial"/>
          <w:bCs/>
          <w:iCs/>
          <w:spacing w:val="4"/>
          <w:sz w:val="22"/>
          <w:szCs w:val="22"/>
          <w:lang w:bidi="pl-PL"/>
        </w:rPr>
        <w:t xml:space="preserve"> w niniejszej spawie. Jeśli skarżący mieli zastrzeżenia odnośnie sposobu organizacji udostępniania akt sprawy w Wydziale Infrastruktury i Rolnictwa Mazowieckiego Urzędu Wojewódzkiego, to powinni o tym fakcie powiadomić Dyrektora Generalnego Mazowieckiego Urzędu Wojewódzkiego, który odpowiada </w:t>
      </w:r>
      <w:r w:rsidR="008E4D4E">
        <w:rPr>
          <w:rFonts w:ascii="Lato" w:hAnsi="Lato" w:cs="Arial"/>
          <w:bCs/>
          <w:iCs/>
          <w:spacing w:val="4"/>
          <w:sz w:val="22"/>
          <w:szCs w:val="22"/>
          <w:lang w:bidi="pl-PL"/>
        </w:rPr>
        <w:br/>
      </w:r>
      <w:r w:rsidRPr="0009014A">
        <w:rPr>
          <w:rFonts w:ascii="Lato" w:hAnsi="Lato" w:cs="Arial"/>
          <w:bCs/>
          <w:iCs/>
          <w:spacing w:val="4"/>
          <w:sz w:val="22"/>
          <w:szCs w:val="22"/>
          <w:lang w:bidi="pl-PL"/>
        </w:rPr>
        <w:t xml:space="preserve">za funkcjonowanie urzędu. </w:t>
      </w:r>
    </w:p>
    <w:p w14:paraId="0E75568C" w14:textId="20808A48"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W światle powyższej argumentacji, o wadliwości decyzji Wojewody Mazowieckiego </w:t>
      </w:r>
      <w:r w:rsidRPr="0009014A">
        <w:rPr>
          <w:rFonts w:ascii="Lato" w:hAnsi="Lato" w:cs="Arial"/>
          <w:bCs/>
          <w:iCs/>
          <w:spacing w:val="4"/>
          <w:sz w:val="22"/>
          <w:szCs w:val="22"/>
          <w:lang w:bidi="pl-PL"/>
        </w:rPr>
        <w:br/>
        <w:t>w stopniu mającym wpływ na wynik sprawy nie stanowią tożsame w swoje</w:t>
      </w:r>
      <w:r w:rsidR="001D3922">
        <w:rPr>
          <w:rFonts w:ascii="Lato" w:hAnsi="Lato" w:cs="Arial"/>
          <w:bCs/>
          <w:iCs/>
          <w:spacing w:val="4"/>
          <w:sz w:val="22"/>
          <w:szCs w:val="22"/>
          <w:lang w:bidi="pl-PL"/>
        </w:rPr>
        <w:t>j</w:t>
      </w:r>
      <w:r w:rsidRPr="0009014A">
        <w:rPr>
          <w:rFonts w:ascii="Lato" w:hAnsi="Lato" w:cs="Arial"/>
          <w:bCs/>
          <w:iCs/>
          <w:spacing w:val="4"/>
          <w:sz w:val="22"/>
          <w:szCs w:val="22"/>
          <w:lang w:bidi="pl-PL"/>
        </w:rPr>
        <w:t xml:space="preserve"> istocie zarzuty (dotyczące odpowiednio naruszenia art. 10 kpa i ograniczenia prawa </w:t>
      </w:r>
      <w:r w:rsidR="005D4C4F">
        <w:rPr>
          <w:rFonts w:ascii="Lato" w:hAnsi="Lato" w:cs="Arial"/>
          <w:bCs/>
          <w:iCs/>
          <w:spacing w:val="4"/>
          <w:sz w:val="22"/>
          <w:szCs w:val="22"/>
          <w:lang w:bidi="pl-PL"/>
        </w:rPr>
        <w:br/>
      </w:r>
      <w:r w:rsidRPr="0009014A">
        <w:rPr>
          <w:rFonts w:ascii="Lato" w:hAnsi="Lato" w:cs="Arial"/>
          <w:bCs/>
          <w:iCs/>
          <w:spacing w:val="4"/>
          <w:sz w:val="22"/>
          <w:szCs w:val="22"/>
          <w:lang w:bidi="pl-PL"/>
        </w:rPr>
        <w:t>do zapoznania się z aktami sprawy z uwagi na krótkie terminy przyjmowania interesantów w Mazowieckim Urzędzie Wojewódzkim) zgłoszone przez Pana P</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Panią J</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Pana M</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Panią A</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B</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Panią A</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Ł</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(jedyny zarzut podniesiony w odwołaniu dotyczący zbyt krótkiego czasu wyznaczonego na zapoznanie się aktami), Panią A</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S</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Panią K</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J</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Pana P</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G</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Panią E</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W</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Pana R</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W</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Pana T</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T</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Pana S</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T</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Panią W</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B</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Panią M</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G</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Pana K</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M</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Pana K</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O</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Pana M</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B</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Pana W</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B</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Panią J</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B</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Pana A</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T</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Pana M</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J</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Pana K</w:t>
      </w:r>
      <w:r w:rsidR="00AA424E">
        <w:rPr>
          <w:rFonts w:ascii="Lato" w:hAnsi="Lato" w:cs="Arial"/>
          <w:bCs/>
          <w:iCs/>
          <w:spacing w:val="4"/>
          <w:sz w:val="22"/>
          <w:szCs w:val="22"/>
          <w:lang w:bidi="pl-PL"/>
        </w:rPr>
        <w:t>.</w:t>
      </w:r>
      <w:r w:rsidRPr="0009014A">
        <w:rPr>
          <w:rFonts w:ascii="Lato" w:hAnsi="Lato" w:cs="Arial"/>
          <w:bCs/>
          <w:iCs/>
          <w:spacing w:val="4"/>
          <w:sz w:val="22"/>
          <w:szCs w:val="22"/>
          <w:lang w:bidi="pl-PL"/>
        </w:rPr>
        <w:t xml:space="preserve"> S.</w:t>
      </w:r>
    </w:p>
    <w:p w14:paraId="468604B0" w14:textId="477FF64D"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Odnośnie zarzutu Pana Z</w:t>
      </w:r>
      <w:r w:rsidR="00F45C0A">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F45C0A">
        <w:rPr>
          <w:rFonts w:ascii="Lato" w:hAnsi="Lato" w:cs="Arial"/>
          <w:bCs/>
          <w:iCs/>
          <w:spacing w:val="4"/>
          <w:sz w:val="22"/>
          <w:szCs w:val="22"/>
          <w:lang w:bidi="pl-PL"/>
        </w:rPr>
        <w:t>.</w:t>
      </w:r>
      <w:r w:rsidRPr="0009014A">
        <w:rPr>
          <w:rFonts w:ascii="Lato" w:hAnsi="Lato" w:cs="Arial"/>
          <w:bCs/>
          <w:iCs/>
          <w:spacing w:val="4"/>
          <w:sz w:val="22"/>
          <w:szCs w:val="22"/>
          <w:lang w:bidi="pl-PL"/>
        </w:rPr>
        <w:t>, Pana P</w:t>
      </w:r>
      <w:r w:rsidR="00F45C0A">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F45C0A">
        <w:rPr>
          <w:rFonts w:ascii="Lato" w:hAnsi="Lato" w:cs="Arial"/>
          <w:bCs/>
          <w:iCs/>
          <w:spacing w:val="4"/>
          <w:sz w:val="22"/>
          <w:szCs w:val="22"/>
          <w:lang w:bidi="pl-PL"/>
        </w:rPr>
        <w:t>.</w:t>
      </w:r>
      <w:r w:rsidRPr="0009014A">
        <w:rPr>
          <w:rFonts w:ascii="Lato" w:hAnsi="Lato" w:cs="Arial"/>
          <w:bCs/>
          <w:iCs/>
          <w:spacing w:val="4"/>
          <w:sz w:val="22"/>
          <w:szCs w:val="22"/>
          <w:lang w:bidi="pl-PL"/>
        </w:rPr>
        <w:t>, Pani K</w:t>
      </w:r>
      <w:r w:rsidR="00F45C0A">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F45C0A">
        <w:rPr>
          <w:rFonts w:ascii="Lato" w:hAnsi="Lato" w:cs="Arial"/>
          <w:bCs/>
          <w:iCs/>
          <w:spacing w:val="4"/>
          <w:sz w:val="22"/>
          <w:szCs w:val="22"/>
          <w:lang w:bidi="pl-PL"/>
        </w:rPr>
        <w:t>.</w:t>
      </w:r>
      <w:r w:rsidRPr="0009014A">
        <w:rPr>
          <w:rFonts w:ascii="Lato" w:hAnsi="Lato" w:cs="Arial"/>
          <w:bCs/>
          <w:iCs/>
          <w:spacing w:val="4"/>
          <w:sz w:val="22"/>
          <w:szCs w:val="22"/>
          <w:lang w:bidi="pl-PL"/>
        </w:rPr>
        <w:t xml:space="preserve"> i spółki </w:t>
      </w:r>
      <w:r w:rsidR="00F45C0A">
        <w:rPr>
          <w:rFonts w:ascii="Lato" w:hAnsi="Lato" w:cs="Arial"/>
          <w:bCs/>
          <w:iCs/>
          <w:spacing w:val="4"/>
          <w:sz w:val="22"/>
          <w:szCs w:val="22"/>
          <w:lang w:bidi="pl-PL"/>
        </w:rPr>
        <w:t>(…)</w:t>
      </w:r>
      <w:r w:rsidRPr="0009014A">
        <w:rPr>
          <w:rFonts w:ascii="Lato" w:hAnsi="Lato" w:cs="Arial"/>
          <w:bCs/>
          <w:iCs/>
          <w:spacing w:val="4"/>
          <w:sz w:val="22"/>
          <w:szCs w:val="22"/>
          <w:lang w:bidi="pl-PL"/>
        </w:rPr>
        <w:t xml:space="preserve"> dotyczącego naruszenia art. 107 § 1 pkt 7 kpa w zw. z art. 90 ust. 2 i 3 ustawy CPK poprzez nieprawidłowe </w:t>
      </w:r>
      <w:r w:rsidRPr="0009014A">
        <w:rPr>
          <w:rFonts w:ascii="Lato" w:hAnsi="Lato" w:cs="Arial"/>
          <w:bCs/>
          <w:iCs/>
          <w:spacing w:val="4"/>
          <w:sz w:val="22"/>
          <w:szCs w:val="22"/>
          <w:lang w:bidi="pl-PL"/>
        </w:rPr>
        <w:lastRenderedPageBreak/>
        <w:t xml:space="preserve">wskazanie terminu na wniesienie odwołania od decyzji Wojewody Mazowieckiego </w:t>
      </w:r>
      <w:r w:rsidR="00C70D95">
        <w:rPr>
          <w:rFonts w:ascii="Lato" w:hAnsi="Lato" w:cs="Arial"/>
          <w:bCs/>
          <w:iCs/>
          <w:spacing w:val="4"/>
          <w:sz w:val="22"/>
          <w:szCs w:val="22"/>
          <w:lang w:bidi="pl-PL"/>
        </w:rPr>
        <w:br/>
      </w:r>
      <w:r w:rsidRPr="0009014A">
        <w:rPr>
          <w:rFonts w:ascii="Lato" w:hAnsi="Lato" w:cs="Arial"/>
          <w:bCs/>
          <w:iCs/>
          <w:spacing w:val="4"/>
          <w:sz w:val="22"/>
          <w:szCs w:val="22"/>
          <w:lang w:bidi="pl-PL"/>
        </w:rPr>
        <w:t>w zawiadomieniu z dnia 14 stycznia 2025 r. informującym o wydaniu decyzji Wojewody Mazowieckiego, zauważyć należy, iż odwołanie Państwa K</w:t>
      </w:r>
      <w:r w:rsidR="00FF4DA6">
        <w:rPr>
          <w:rFonts w:ascii="Lato" w:hAnsi="Lato" w:cs="Arial"/>
          <w:bCs/>
          <w:iCs/>
          <w:spacing w:val="4"/>
          <w:sz w:val="22"/>
          <w:szCs w:val="22"/>
          <w:lang w:bidi="pl-PL"/>
        </w:rPr>
        <w:t>.</w:t>
      </w:r>
      <w:r w:rsidRPr="0009014A">
        <w:rPr>
          <w:rFonts w:ascii="Lato" w:hAnsi="Lato" w:cs="Arial"/>
          <w:bCs/>
          <w:iCs/>
          <w:spacing w:val="4"/>
          <w:sz w:val="22"/>
          <w:szCs w:val="22"/>
          <w:lang w:bidi="pl-PL"/>
        </w:rPr>
        <w:t xml:space="preserve"> i skarżącej spółki, jak również pozostałe odwołania, zostały wniesione w terminie. Treść zamieszczonego pouczenia </w:t>
      </w:r>
      <w:r w:rsidR="00FF4DA6">
        <w:rPr>
          <w:rFonts w:ascii="Lato" w:hAnsi="Lato" w:cs="Arial"/>
          <w:bCs/>
          <w:iCs/>
          <w:spacing w:val="4"/>
          <w:sz w:val="22"/>
          <w:szCs w:val="22"/>
          <w:lang w:bidi="pl-PL"/>
        </w:rPr>
        <w:br/>
      </w:r>
      <w:r w:rsidRPr="0009014A">
        <w:rPr>
          <w:rFonts w:ascii="Lato" w:hAnsi="Lato" w:cs="Arial"/>
          <w:bCs/>
          <w:iCs/>
          <w:spacing w:val="4"/>
          <w:sz w:val="22"/>
          <w:szCs w:val="22"/>
          <w:lang w:bidi="pl-PL"/>
        </w:rPr>
        <w:t xml:space="preserve">w zawiadomieniu o wydaniu decyzji Wojewody Mazowieckiego miałaby znaczenie </w:t>
      </w:r>
      <w:r w:rsidR="00FF4DA6">
        <w:rPr>
          <w:rFonts w:ascii="Lato" w:hAnsi="Lato" w:cs="Arial"/>
          <w:bCs/>
          <w:iCs/>
          <w:spacing w:val="4"/>
          <w:sz w:val="22"/>
          <w:szCs w:val="22"/>
          <w:lang w:bidi="pl-PL"/>
        </w:rPr>
        <w:br/>
      </w:r>
      <w:r w:rsidRPr="0009014A">
        <w:rPr>
          <w:rFonts w:ascii="Lato" w:hAnsi="Lato" w:cs="Arial"/>
          <w:bCs/>
          <w:iCs/>
          <w:spacing w:val="4"/>
          <w:sz w:val="22"/>
          <w:szCs w:val="22"/>
          <w:lang w:bidi="pl-PL"/>
        </w:rPr>
        <w:t xml:space="preserve">w sytuacji gdyby odwołania zostały wniesione po terminie ustawowym, w kontekście </w:t>
      </w:r>
      <w:r w:rsidR="00FF4DA6">
        <w:rPr>
          <w:rFonts w:ascii="Lato" w:hAnsi="Lato" w:cs="Arial"/>
          <w:bCs/>
          <w:iCs/>
          <w:spacing w:val="4"/>
          <w:sz w:val="22"/>
          <w:szCs w:val="22"/>
          <w:lang w:bidi="pl-PL"/>
        </w:rPr>
        <w:br/>
      </w:r>
      <w:r w:rsidRPr="0009014A">
        <w:rPr>
          <w:rFonts w:ascii="Lato" w:hAnsi="Lato" w:cs="Arial"/>
          <w:bCs/>
          <w:iCs/>
          <w:spacing w:val="4"/>
          <w:sz w:val="22"/>
          <w:szCs w:val="22"/>
          <w:lang w:bidi="pl-PL"/>
        </w:rPr>
        <w:t>art. 112 kpa.</w:t>
      </w:r>
    </w:p>
    <w:p w14:paraId="1E6EA6E3" w14:textId="30937BAB"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Za niezasadny należy uznać zarzut Pana Z</w:t>
      </w:r>
      <w:r w:rsidR="00C70D95">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C70D95">
        <w:rPr>
          <w:rFonts w:ascii="Lato" w:hAnsi="Lato" w:cs="Arial"/>
          <w:bCs/>
          <w:iCs/>
          <w:spacing w:val="4"/>
          <w:sz w:val="22"/>
          <w:szCs w:val="22"/>
          <w:lang w:bidi="pl-PL"/>
        </w:rPr>
        <w:t>.</w:t>
      </w:r>
      <w:r w:rsidRPr="0009014A">
        <w:rPr>
          <w:rFonts w:ascii="Lato" w:hAnsi="Lato" w:cs="Arial"/>
          <w:bCs/>
          <w:iCs/>
          <w:spacing w:val="4"/>
          <w:sz w:val="22"/>
          <w:szCs w:val="22"/>
          <w:lang w:bidi="pl-PL"/>
        </w:rPr>
        <w:t>, Pana P</w:t>
      </w:r>
      <w:r w:rsidR="00C70D95">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C70D95">
        <w:rPr>
          <w:rFonts w:ascii="Lato" w:hAnsi="Lato" w:cs="Arial"/>
          <w:bCs/>
          <w:iCs/>
          <w:spacing w:val="4"/>
          <w:sz w:val="22"/>
          <w:szCs w:val="22"/>
          <w:lang w:bidi="pl-PL"/>
        </w:rPr>
        <w:t>.</w:t>
      </w:r>
      <w:r w:rsidRPr="0009014A">
        <w:rPr>
          <w:rFonts w:ascii="Lato" w:hAnsi="Lato" w:cs="Arial"/>
          <w:bCs/>
          <w:iCs/>
          <w:spacing w:val="4"/>
          <w:sz w:val="22"/>
          <w:szCs w:val="22"/>
          <w:lang w:bidi="pl-PL"/>
        </w:rPr>
        <w:t>, Pani K</w:t>
      </w:r>
      <w:r w:rsidR="00C70D95">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C70D95">
        <w:rPr>
          <w:rFonts w:ascii="Lato" w:hAnsi="Lato" w:cs="Arial"/>
          <w:bCs/>
          <w:iCs/>
          <w:spacing w:val="4"/>
          <w:sz w:val="22"/>
          <w:szCs w:val="22"/>
          <w:lang w:bidi="pl-PL"/>
        </w:rPr>
        <w:t>.</w:t>
      </w:r>
      <w:r w:rsidRPr="0009014A">
        <w:rPr>
          <w:rFonts w:ascii="Lato" w:hAnsi="Lato" w:cs="Arial"/>
          <w:bCs/>
          <w:iCs/>
          <w:spacing w:val="4"/>
          <w:sz w:val="22"/>
          <w:szCs w:val="22"/>
          <w:lang w:bidi="pl-PL"/>
        </w:rPr>
        <w:t xml:space="preserve"> i spółki </w:t>
      </w:r>
      <w:r w:rsidR="00C70D95">
        <w:rPr>
          <w:rFonts w:ascii="Lato" w:hAnsi="Lato" w:cs="Arial"/>
          <w:bCs/>
          <w:iCs/>
          <w:spacing w:val="4"/>
          <w:sz w:val="22"/>
          <w:szCs w:val="22"/>
          <w:lang w:bidi="pl-PL"/>
        </w:rPr>
        <w:t>(…)</w:t>
      </w:r>
      <w:r w:rsidRPr="0009014A">
        <w:rPr>
          <w:rFonts w:ascii="Lato" w:hAnsi="Lato" w:cs="Arial"/>
          <w:bCs/>
          <w:iCs/>
          <w:spacing w:val="4"/>
          <w:sz w:val="22"/>
          <w:szCs w:val="22"/>
          <w:lang w:bidi="pl-PL"/>
        </w:rPr>
        <w:t xml:space="preserve"> dotyczący  tego, iż przeprowadzone przez organ odwoławczy postępowanie wyjaśniające  wykraczało poza dopuszczalny zakres uzupełniającego postępowania dowodowego, </w:t>
      </w:r>
      <w:r w:rsidRPr="0009014A">
        <w:rPr>
          <w:rFonts w:ascii="Lato" w:hAnsi="Lato" w:cs="Arial"/>
          <w:bCs/>
          <w:iCs/>
          <w:spacing w:val="4"/>
          <w:sz w:val="22"/>
          <w:szCs w:val="22"/>
          <w:lang w:bidi="pl-PL"/>
        </w:rPr>
        <w:br/>
        <w:t>o którym mowa w art. 136 § 1 kpa.</w:t>
      </w:r>
    </w:p>
    <w:p w14:paraId="160508DE" w14:textId="77777777"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Podstawą działania organu odwoławczego w niniejsze sprawie był art. 136 § 1 kpa. Zgodnie z art. 136 § 1 kpa, organ odwoławczy może przeprowadzić na żądanie strony lub z urzędu dodatkowe postępowanie w celu uzupełnienia dowodów i materiałów </w:t>
      </w:r>
      <w:r w:rsidRPr="0009014A">
        <w:rPr>
          <w:rFonts w:ascii="Lato" w:hAnsi="Lato" w:cs="Arial"/>
          <w:bCs/>
          <w:iCs/>
          <w:spacing w:val="4"/>
          <w:sz w:val="22"/>
          <w:szCs w:val="22"/>
          <w:lang w:bidi="pl-PL"/>
        </w:rPr>
        <w:br/>
        <w:t>w sprawie albo zlecić przeprowadzenie tego postępowania organowi, który wydał decyzję. W tym miejscu wskazania wymaga, że jeżeli organ odwoławczy ustali, że zachodzi konieczność przeprowadzenia postępowania wyjaśniającego mieszczącego się w granicach art. 136 § 1 kpa, wówczas powinien przeprowadzić dodatkowe postępowanie uzupełniające, a następnie zależnie od wyników tego postępowania wydać właściwe rozstrzygnięcie, tj. w tym przypadku decyzję reformacyjną (art. 138 § 1 pkt 2 kpa).</w:t>
      </w:r>
      <w:r w:rsidRPr="0009014A">
        <w:rPr>
          <w:rFonts w:ascii="Lato" w:hAnsi="Lato"/>
          <w:spacing w:val="4"/>
          <w:sz w:val="22"/>
          <w:szCs w:val="22"/>
        </w:rPr>
        <w:t xml:space="preserve"> </w:t>
      </w:r>
      <w:r w:rsidRPr="0009014A">
        <w:rPr>
          <w:rFonts w:ascii="Lato" w:hAnsi="Lato" w:cs="Arial"/>
          <w:bCs/>
          <w:iCs/>
          <w:spacing w:val="4"/>
          <w:sz w:val="22"/>
          <w:szCs w:val="22"/>
          <w:lang w:bidi="pl-PL"/>
        </w:rPr>
        <w:t xml:space="preserve">Konieczność przeprowadzenia dowodu, uzupełnienia w dopełniającym zakresie postępowania lub uzupełnienia/korekty rozstrzygnięcia mieści się zaś w kompetencjach organu odwoławczego do uzupełnienia postępowania wyjaśniającego i wyłącza dopuszczalność kasacji decyzji. Organ odwoławczy może powołać się na przepis art. 138 § 2 kpa tylko wówczas, gdy wykaże, że przeprowadzenie dodatkowego postępowania wyjaśniającego w granicach art. 136 § 1 kpa nie jest wystarczające do rozstrzygnięcia sprawy. Podjęcie takiej decyzji stanowi nie tylko odstępstwo od generalnej zasady orzekania przez organ odwoławczy co do istoty, ale jest wyłomem zarówno </w:t>
      </w:r>
      <w:r w:rsidRPr="0009014A">
        <w:rPr>
          <w:rFonts w:ascii="Lato" w:hAnsi="Lato" w:cs="Arial"/>
          <w:bCs/>
          <w:iCs/>
          <w:spacing w:val="4"/>
          <w:sz w:val="22"/>
          <w:szCs w:val="22"/>
          <w:lang w:bidi="pl-PL"/>
        </w:rPr>
        <w:br/>
        <w:t xml:space="preserve">w odniesieniu do zasady dwuinstancyjności postępowania (art. 15 kpa), jak i zasady szybkości postępowania (art. 12 kpa), gdyż skutkiem takiej decyzji jest odsunięcie </w:t>
      </w:r>
      <w:r w:rsidRPr="0009014A">
        <w:rPr>
          <w:rFonts w:ascii="Lato" w:hAnsi="Lato" w:cs="Arial"/>
          <w:bCs/>
          <w:iCs/>
          <w:spacing w:val="4"/>
          <w:sz w:val="22"/>
          <w:szCs w:val="22"/>
          <w:lang w:bidi="pl-PL"/>
        </w:rPr>
        <w:br/>
        <w:t xml:space="preserve">w czasie ostatecznego załatwienia sprawy (por. wyrok Naczelnego Sądu Administracyjnego z dnia 14 maja 2021 r., sygn. akt II OSK 383/21, opubl. Centralna Baza Orzeczeń Sądów Administracyjnych). </w:t>
      </w:r>
    </w:p>
    <w:p w14:paraId="4B695B46" w14:textId="77777777" w:rsidR="008E4D4E"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W sytuacji, gdy przeprowadzenie postępowania wyjaśniającego, przewidzianego</w:t>
      </w:r>
      <w:r w:rsidR="00175F40">
        <w:rPr>
          <w:rFonts w:ascii="Lato" w:hAnsi="Lato" w:cs="Arial"/>
          <w:bCs/>
          <w:iCs/>
          <w:spacing w:val="4"/>
          <w:sz w:val="22"/>
          <w:szCs w:val="22"/>
          <w:lang w:bidi="pl-PL"/>
        </w:rPr>
        <w:t xml:space="preserve"> </w:t>
      </w:r>
      <w:r w:rsidRPr="0009014A">
        <w:rPr>
          <w:rFonts w:ascii="Lato" w:hAnsi="Lato" w:cs="Arial"/>
          <w:bCs/>
          <w:iCs/>
          <w:spacing w:val="4"/>
          <w:sz w:val="22"/>
          <w:szCs w:val="22"/>
          <w:lang w:bidi="pl-PL"/>
        </w:rPr>
        <w:t xml:space="preserve">w art. 136 § 1 kpa umożliwia temu organowi prawidłowe załatwienie sprawy </w:t>
      </w:r>
      <w:r w:rsidRPr="0009014A">
        <w:rPr>
          <w:rFonts w:ascii="Lato" w:hAnsi="Lato" w:cs="Arial"/>
          <w:bCs/>
          <w:iCs/>
          <w:spacing w:val="4"/>
          <w:sz w:val="22"/>
          <w:szCs w:val="22"/>
          <w:lang w:bidi="pl-PL"/>
        </w:rPr>
        <w:br/>
        <w:t xml:space="preserve">(co niewątpliwie miało miejsce w niniejsze sprawie), podjęcie przez organ odwoławczy decyzji kasacyjnej z tym uzasadnieniem, że rozstrzygnięcie sprawy wymaga uprzedniego przeprowadzenia postępowania w całości lub znacznej części jest równoznaczne z naruszeniem obu tych przepisów. Braki w postępowaniu dowodowym nie mogą stanowić samodzielnej podstawy do zastosowania art. 138 § 2 kpa, jeżeli organ odwoławczy ma możliwość skorzystania z art. 136 § 1 kpa. Wydanie decyzji na podstawie art. 138 § 2 kpa jest niedopuszczalne, gdy organ odwoławczy może uzupełnić braki postępowania we własnym zakresie. Tym samym zastosowanie art. 138 § 2 kpa poprzedzone być powinno wykazaniem, że ewentualne postępowanie dowodowe przeprowadzone przez organ II instancji lub na podstawie art. 136 § 1 kpa będzie niewystarczające. Brak jest także podstaw do wydania decyzji na podstawie art. 138 </w:t>
      </w:r>
      <w:r w:rsidRPr="0009014A">
        <w:rPr>
          <w:rFonts w:ascii="Lato" w:hAnsi="Lato" w:cs="Arial"/>
          <w:bCs/>
          <w:iCs/>
          <w:spacing w:val="4"/>
          <w:sz w:val="22"/>
          <w:szCs w:val="22"/>
          <w:lang w:bidi="pl-PL"/>
        </w:rPr>
        <w:br/>
        <w:t xml:space="preserve">§ 2 kpa w sytuacji, gdy organ odwoławczy dokona oceny merytorycznej odmiennej od tej, jaka stanowiła podstawę podjęcia rozstrzygnięcia przez organ I instancji. Odmienna ocena merytoryczna wpisuje się bowiem w uprawnienia organu odwoławczego, którego obowiązkiem jest ponowne rozpoznanie sprawy i wydanie rozstrzygnięcia, o czym </w:t>
      </w:r>
      <w:r w:rsidRPr="0009014A">
        <w:rPr>
          <w:rFonts w:ascii="Lato" w:hAnsi="Lato" w:cs="Arial"/>
          <w:bCs/>
          <w:iCs/>
          <w:spacing w:val="4"/>
          <w:sz w:val="22"/>
          <w:szCs w:val="22"/>
          <w:lang w:bidi="pl-PL"/>
        </w:rPr>
        <w:lastRenderedPageBreak/>
        <w:t xml:space="preserve">stosownie do art. 138 § 1 pkt 2 kpa świadczą przyznane mu kompetencje reformacyjno-merytoryczne. </w:t>
      </w:r>
    </w:p>
    <w:p w14:paraId="5A31DB2D" w14:textId="67F753BC"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W orzecznictwie podkreśla się także, że nie jest uprawnione interpretowanie zasady dwuinstancyjności w ten sposób, że każdy dowód w sprawie musi być przeprowadzony </w:t>
      </w:r>
      <w:r w:rsidR="008E4D4E">
        <w:rPr>
          <w:rFonts w:ascii="Lato" w:hAnsi="Lato" w:cs="Arial"/>
          <w:bCs/>
          <w:iCs/>
          <w:spacing w:val="4"/>
          <w:sz w:val="22"/>
          <w:szCs w:val="22"/>
          <w:lang w:bidi="pl-PL"/>
        </w:rPr>
        <w:br/>
      </w:r>
      <w:r w:rsidRPr="0009014A">
        <w:rPr>
          <w:rFonts w:ascii="Lato" w:hAnsi="Lato" w:cs="Arial"/>
          <w:bCs/>
          <w:iCs/>
          <w:spacing w:val="4"/>
          <w:sz w:val="22"/>
          <w:szCs w:val="22"/>
          <w:lang w:bidi="pl-PL"/>
        </w:rPr>
        <w:t xml:space="preserve">i oceniony zarówno przez organ I, jak i II instancji. Konkluzja taka nie tylko, że byłaby sprzeczna z zasadą szybkości postępowania administracyjnego (art. 12 § 1 kpa), ale </w:t>
      </w:r>
      <w:r w:rsidR="008E4D4E">
        <w:rPr>
          <w:rFonts w:ascii="Lato" w:hAnsi="Lato" w:cs="Arial"/>
          <w:bCs/>
          <w:iCs/>
          <w:spacing w:val="4"/>
          <w:sz w:val="22"/>
          <w:szCs w:val="22"/>
          <w:lang w:bidi="pl-PL"/>
        </w:rPr>
        <w:br/>
      </w:r>
      <w:r w:rsidRPr="0009014A">
        <w:rPr>
          <w:rFonts w:ascii="Lato" w:hAnsi="Lato" w:cs="Arial"/>
          <w:bCs/>
          <w:iCs/>
          <w:spacing w:val="4"/>
          <w:sz w:val="22"/>
          <w:szCs w:val="22"/>
          <w:lang w:bidi="pl-PL"/>
        </w:rPr>
        <w:t xml:space="preserve">i byłaby nie do pogodzenia z art. 136 § 1 kpa. Jak już to wskazano powyżej, konieczność przeprowadzenia dowodu, uzupełnienia w dopełniającym zakresie postępowania lub </w:t>
      </w:r>
      <w:r w:rsidR="00175F40">
        <w:rPr>
          <w:rFonts w:ascii="Lato" w:hAnsi="Lato" w:cs="Arial"/>
          <w:bCs/>
          <w:iCs/>
          <w:spacing w:val="4"/>
          <w:sz w:val="22"/>
          <w:szCs w:val="22"/>
          <w:lang w:bidi="pl-PL"/>
        </w:rPr>
        <w:t xml:space="preserve">korekty </w:t>
      </w:r>
      <w:r w:rsidRPr="0009014A">
        <w:rPr>
          <w:rFonts w:ascii="Lato" w:hAnsi="Lato" w:cs="Arial"/>
          <w:bCs/>
          <w:iCs/>
          <w:spacing w:val="4"/>
          <w:sz w:val="22"/>
          <w:szCs w:val="22"/>
          <w:lang w:bidi="pl-PL"/>
        </w:rPr>
        <w:t>rozstrzygnięcia mieści się zaś w kompetencjach organu odwoławczego do uzupełnienia postępowania wyjaśniającego i wyłącza dopuszczalność kasacji decyzji. Zauważyć należy, że organ II instancji może wydać decyzję reformatoryjną, a zatem zmienić merytorycznie rozstrzygnięcie w całości lub w części, niewątpliwym jest zatem, że pochodną tej kompetencji jest odpowiedni zakres postępowania dowodowego, implikujący konieczność dokonania zmian w decyzji organu I instancji. Ponadto organ odwoławczy jest obowiązany uwzględniać zmiany stanu prawnego i faktycznego sprawy zaistniałe po wydaniu zaskarżonej decyzji organu pierwszej instancji (por. m.in. wyroki Naczelnego Sądu Administracyjnego Sądu Administracyjnego z dnia 16 września 2025 r., sygn. akt III OSK 2282/22, i z dnia 14 stycznia 2025 r., sygn. akt II OSK 2665/24, wyrok Wojewódzkiego Sądu Administracyjnego w Warszawie z dnia 5 lipca 2016 r., sygn. akt VII SA/Wa 916/16, opubl. Centralna Baza Orzeczeń Sądów Administracyjnych).</w:t>
      </w:r>
    </w:p>
    <w:p w14:paraId="229BECC2" w14:textId="165436A8" w:rsidR="008E4D4E"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Zasadą jest, że organ odwoławczy wydaje rozstrzygnięcie co do istoty sprawy, </w:t>
      </w:r>
      <w:r w:rsidR="008E4D4E">
        <w:rPr>
          <w:rFonts w:ascii="Lato" w:hAnsi="Lato" w:cs="Arial"/>
          <w:bCs/>
          <w:iCs/>
          <w:spacing w:val="4"/>
          <w:sz w:val="22"/>
          <w:szCs w:val="22"/>
          <w:lang w:bidi="pl-PL"/>
        </w:rPr>
        <w:br/>
      </w:r>
      <w:r w:rsidRPr="0009014A">
        <w:rPr>
          <w:rFonts w:ascii="Lato" w:hAnsi="Lato" w:cs="Arial"/>
          <w:bCs/>
          <w:iCs/>
          <w:spacing w:val="4"/>
          <w:sz w:val="22"/>
          <w:szCs w:val="22"/>
          <w:lang w:bidi="pl-PL"/>
        </w:rPr>
        <w:t xml:space="preserve">co - zgodnie z art. 138 § 1 kpa - następuje przez wydanie rozstrzygnięcia merytorycznego. Odstępstwem od tej ogólnej zasady jest natomiast, wynikające z art. 138 § 2 kpa, uprawnienie organu odwoławczego do wydania decyzji kasacyjnej. </w:t>
      </w:r>
      <w:r w:rsidR="008E4D4E">
        <w:rPr>
          <w:rFonts w:ascii="Lato" w:hAnsi="Lato" w:cs="Arial"/>
          <w:bCs/>
          <w:iCs/>
          <w:spacing w:val="4"/>
          <w:sz w:val="22"/>
          <w:szCs w:val="22"/>
          <w:lang w:bidi="pl-PL"/>
        </w:rPr>
        <w:br/>
      </w:r>
      <w:r w:rsidRPr="0009014A">
        <w:rPr>
          <w:rFonts w:ascii="Lato" w:hAnsi="Lato" w:cs="Arial"/>
          <w:bCs/>
          <w:iCs/>
          <w:spacing w:val="4"/>
          <w:sz w:val="22"/>
          <w:szCs w:val="22"/>
          <w:lang w:bidi="pl-PL"/>
        </w:rPr>
        <w:t xml:space="preserve">W sytuacji, gdy nie ma przeszkód do ponownego rozpatrzenia sprawy administracyjnej </w:t>
      </w:r>
      <w:r w:rsidR="008E4D4E">
        <w:rPr>
          <w:rFonts w:ascii="Lato" w:hAnsi="Lato" w:cs="Arial"/>
          <w:bCs/>
          <w:iCs/>
          <w:spacing w:val="4"/>
          <w:sz w:val="22"/>
          <w:szCs w:val="22"/>
          <w:lang w:bidi="pl-PL"/>
        </w:rPr>
        <w:br/>
      </w:r>
      <w:r w:rsidRPr="0009014A">
        <w:rPr>
          <w:rFonts w:ascii="Lato" w:hAnsi="Lato" w:cs="Arial"/>
          <w:bCs/>
          <w:iCs/>
          <w:spacing w:val="4"/>
          <w:sz w:val="22"/>
          <w:szCs w:val="22"/>
          <w:lang w:bidi="pl-PL"/>
        </w:rPr>
        <w:t xml:space="preserve">i zakończenia jej merytoryczną decyzją drugoinstancyjną, niedopuszczalne - jako niezgodne z zasadą dwuinstancyjności - jest wydanie decyzji kasacyjnej. W sprzeczności z art. 138 § 2 kpa pozostaje wydanie decyzji kasacyjnej zarówno w przypadku, gdy zaskarżona decyzja była dotknięta jedynie błędami natury prawnej, jak i w przypadku, gdy postępowanie wyjaśniające pierwszej instancji było dotknięte brakami, które można uzupełnić w postępowaniu odwoławczym na podstawie art. 136 § 1 kpa. </w:t>
      </w:r>
    </w:p>
    <w:p w14:paraId="45B245D5" w14:textId="1DD229D7" w:rsidR="0009014A" w:rsidRPr="0009014A" w:rsidRDefault="0009014A" w:rsidP="0009014A">
      <w:pPr>
        <w:spacing w:after="240" w:line="240" w:lineRule="exact"/>
        <w:jc w:val="both"/>
        <w:rPr>
          <w:rFonts w:ascii="Lato" w:hAnsi="Lato"/>
          <w:spacing w:val="4"/>
          <w:sz w:val="22"/>
          <w:szCs w:val="22"/>
        </w:rPr>
      </w:pPr>
      <w:r w:rsidRPr="0009014A">
        <w:rPr>
          <w:rFonts w:ascii="Lato" w:hAnsi="Lato" w:cs="Arial"/>
          <w:bCs/>
          <w:iCs/>
          <w:spacing w:val="4"/>
          <w:sz w:val="22"/>
          <w:szCs w:val="22"/>
          <w:lang w:bidi="pl-PL"/>
        </w:rPr>
        <w:t xml:space="preserve">Wydanie decyzji kasacyjnej jest więc możliwe wyłącznie w sytuacjach wyjątkowych, jako że zasadą powinno być orzekanie co do istoty sprawy. Kasacyjny charakter decyzji organu odwoławczego, stanowiący wyłom od zasady merytorycznego rozstrzygnięcia sprawy przez organ odwoławczy, nie może więc podlegać wykładni rozszerzającej. Przepis art. 138 kpa kształtuje bowiem postępowanie przed organem odwoławczym jako postępowanie merytoryczne. Nowelizacja kpa dokonana tzw. nowelą kwietniową </w:t>
      </w:r>
      <w:r w:rsidRPr="0009014A">
        <w:rPr>
          <w:rFonts w:ascii="Lato" w:hAnsi="Lato" w:cs="Arial"/>
          <w:bCs/>
          <w:iCs/>
          <w:spacing w:val="4"/>
          <w:sz w:val="22"/>
          <w:szCs w:val="22"/>
          <w:lang w:bidi="pl-PL"/>
        </w:rPr>
        <w:br/>
        <w:t>z 2017 r. [ustawa z dnia 7 kwietnia 2017 r. o zmianie ustawy – Kodeks postępowania administracyjnego oraz niektórych innych ustaw (Dz.U. 2017 poz. 935)], wskazuje na to, że ustawodawca wzmacnia zakres i funkcję postępowania odwoławczego, podkreślając merytoryczny charakter tego postępowania.</w:t>
      </w:r>
      <w:r w:rsidRPr="0009014A">
        <w:rPr>
          <w:rFonts w:ascii="Lato" w:hAnsi="Lato"/>
          <w:spacing w:val="4"/>
          <w:sz w:val="22"/>
          <w:szCs w:val="22"/>
        </w:rPr>
        <w:t xml:space="preserve"> Podkreślić zatem należy, że współczesny kształt postępowania odwoławczego odchodzi od modelu czysto kasacyjnego na rzecz reformatoryjnego, nakazując organowi wyższego stopnia merytoryczne rozstrzygnięcie sprawy.</w:t>
      </w:r>
      <w:r w:rsidRPr="0009014A">
        <w:t xml:space="preserve"> </w:t>
      </w:r>
      <w:r w:rsidRPr="0009014A">
        <w:rPr>
          <w:rFonts w:ascii="Lato" w:hAnsi="Lato"/>
          <w:spacing w:val="4"/>
          <w:sz w:val="22"/>
          <w:szCs w:val="22"/>
        </w:rPr>
        <w:t xml:space="preserve">Współczesna praktyka stawia zatem na efektywność i ostateczne załatwienie sprawy przez organ odwoławczy. Model reformatoryjny wzmacnia dwuinstancyjność, zapewniając, że sprawa zostanie ostatecznie załatwiona przez organ wyższego stopnia. </w:t>
      </w:r>
    </w:p>
    <w:p w14:paraId="632DD937" w14:textId="1AF6ABAA"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W ocenie Ministra, w przedmiotowej sprawie uzasadnione było przeprowadzenie </w:t>
      </w:r>
      <w:r w:rsidRPr="0009014A">
        <w:rPr>
          <w:rFonts w:ascii="Lato" w:hAnsi="Lato" w:cs="Arial"/>
          <w:bCs/>
          <w:iCs/>
          <w:spacing w:val="4"/>
          <w:sz w:val="22"/>
          <w:szCs w:val="22"/>
          <w:lang w:bidi="pl-PL"/>
        </w:rPr>
        <w:br/>
        <w:t xml:space="preserve">z urzędu dodatkowego postępowania w celu uzupełnienia dowodów i materiałów  </w:t>
      </w:r>
      <w:r w:rsidRPr="0009014A">
        <w:rPr>
          <w:rFonts w:ascii="Lato" w:hAnsi="Lato" w:cs="Arial"/>
          <w:bCs/>
          <w:iCs/>
          <w:spacing w:val="4"/>
          <w:sz w:val="22"/>
          <w:szCs w:val="22"/>
          <w:lang w:bidi="pl-PL"/>
        </w:rPr>
        <w:br/>
        <w:t xml:space="preserve">w sprawie, o którym mowa w art. 136 § 1 kpa. Podjęte przez organ odwoławczy czynności wyjaśniające były konieczne, ale nie determinowały istoty postępowania i tym </w:t>
      </w:r>
      <w:r w:rsidRPr="0009014A">
        <w:rPr>
          <w:rFonts w:ascii="Lato" w:hAnsi="Lato" w:cs="Arial"/>
          <w:bCs/>
          <w:iCs/>
          <w:spacing w:val="4"/>
          <w:sz w:val="22"/>
          <w:szCs w:val="22"/>
          <w:lang w:bidi="pl-PL"/>
        </w:rPr>
        <w:lastRenderedPageBreak/>
        <w:t>samym nie wykraczały poza ramy postępowania, przewidziane w art. 136 § 1 kpa. Analizując treść wezwań skierowanych przez organ odwoławczy do organu I instancji oraz inwestora, stwierdzić należy, że dokonane uzupełnienia mieściły się w kompetencji organu II instancji przewidzianej w art. 136 § 1 kpa, i wyłączały dopuszczalność wydania rozstrzygnięcia kasacyjnego na podstawie art. 138 § 2 kpa. Uzupełniające postępowanie na etapie postępowania odwoławczego było w istocie konsekwencją zarzutów i żądań zawartych we wniesionych odwołaniach. Korespondencja z wnioskującym o ustalenie lokalizacji przedmiotowej inwestycji w zakresie CPK nie wykraczała poza zakres postępowania odwoławczego, wręcz przeciwnie realizował</w:t>
      </w:r>
      <w:r w:rsidR="00175F40">
        <w:rPr>
          <w:rFonts w:ascii="Lato" w:hAnsi="Lato" w:cs="Arial"/>
          <w:bCs/>
          <w:iCs/>
          <w:spacing w:val="4"/>
          <w:sz w:val="22"/>
          <w:szCs w:val="22"/>
          <w:lang w:bidi="pl-PL"/>
        </w:rPr>
        <w:t>a</w:t>
      </w:r>
      <w:r w:rsidRPr="0009014A">
        <w:rPr>
          <w:rFonts w:ascii="Lato" w:hAnsi="Lato" w:cs="Arial"/>
          <w:bCs/>
          <w:iCs/>
          <w:spacing w:val="4"/>
          <w:sz w:val="22"/>
          <w:szCs w:val="22"/>
          <w:lang w:bidi="pl-PL"/>
        </w:rPr>
        <w:t xml:space="preserve"> obowiązki organu, przede wszystkim zasadę dwuinstancyjności. </w:t>
      </w:r>
    </w:p>
    <w:p w14:paraId="70F2EED7" w14:textId="77777777"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Minister prowadząc uzupełniające postępowanie dowodowe w myśl art. 136 § 1 kpa, wbrew błędnemu stanowisku skarżących, nie naruszył zasady dwuinstancyjności, </w:t>
      </w:r>
      <w:r w:rsidRPr="0009014A">
        <w:rPr>
          <w:rFonts w:ascii="Lato" w:hAnsi="Lato" w:cs="Arial"/>
          <w:bCs/>
          <w:iCs/>
          <w:spacing w:val="4"/>
          <w:sz w:val="22"/>
          <w:szCs w:val="22"/>
          <w:lang w:bidi="pl-PL"/>
        </w:rPr>
        <w:br/>
        <w:t xml:space="preserve">o której mowa w art. 15 kpa. Istota zasady dwuinstancyjności postępowania polega bowiem na dwukrotnym rozpatrzeniu i rozstrzygnięciu sprawy przez organy obu instancji. Z chwilą zainicjowania postępowania przed organem II instancji na skutek wniesienia odwołania powstaje obowiązek traktowania postępowania odwoławczego jako powtórzenia rozpatrywania rozstrzygania tej samej sprawy. Oznacza to, że organ odwoławczy zobowiązany jest rozpoznać sprawę merytorycznie w jej całokształcie </w:t>
      </w:r>
      <w:r w:rsidRPr="0009014A">
        <w:rPr>
          <w:rFonts w:ascii="Lato" w:hAnsi="Lato" w:cs="Arial"/>
          <w:bCs/>
          <w:iCs/>
          <w:spacing w:val="4"/>
          <w:sz w:val="22"/>
          <w:szCs w:val="22"/>
          <w:lang w:bidi="pl-PL"/>
        </w:rPr>
        <w:br/>
        <w:t>i dodatkowo odnieść się do zarzutów strony wyartykułowanych w odwołaniu. Działanie organu odwoławczego nie ma zatem charakteru jedynie kontrolnego, ale jest działaniem merytorycznym. Organ odwoławczy, rozpoznając sprawę, może więc skorygować ewentualne dostrzeżone przez siebie uchybienia.</w:t>
      </w:r>
      <w:r w:rsidRPr="0009014A">
        <w:rPr>
          <w:rFonts w:ascii="Lato" w:hAnsi="Lato"/>
          <w:spacing w:val="4"/>
          <w:sz w:val="22"/>
          <w:szCs w:val="22"/>
        </w:rPr>
        <w:t xml:space="preserve"> </w:t>
      </w:r>
      <w:r w:rsidRPr="0009014A">
        <w:rPr>
          <w:rFonts w:ascii="Lato" w:hAnsi="Lato" w:cs="Arial"/>
          <w:bCs/>
          <w:iCs/>
          <w:spacing w:val="4"/>
          <w:sz w:val="22"/>
          <w:szCs w:val="22"/>
          <w:lang w:bidi="pl-PL"/>
        </w:rPr>
        <w:t>Zasada określona w art. 15 kpa zawierająca wymóg dwuinstancyjności postępowania administracyjnego musi być tak rozumiana, iż sprawę w jej całokształcie rozpoznaje nie tylko organ pierwszej instancji, ale w razie zaskarżenia orzeczenia organu pierwszej instancji również organ odwoławczy.</w:t>
      </w:r>
      <w:r w:rsidRPr="0009014A">
        <w:rPr>
          <w:rFonts w:ascii="Lato" w:hAnsi="Lato"/>
          <w:spacing w:val="4"/>
          <w:sz w:val="22"/>
          <w:szCs w:val="22"/>
        </w:rPr>
        <w:t xml:space="preserve"> </w:t>
      </w:r>
      <w:r w:rsidRPr="0009014A">
        <w:rPr>
          <w:rFonts w:ascii="Lato" w:hAnsi="Lato" w:cs="Arial"/>
          <w:bCs/>
          <w:iCs/>
          <w:spacing w:val="4"/>
          <w:sz w:val="22"/>
          <w:szCs w:val="22"/>
          <w:lang w:bidi="pl-PL"/>
        </w:rPr>
        <w:t>Rozstrzygnięcie organu drugiej instancji jest takim samym aktem stosowania prawa, jak rozstrzygnięcie organu pierwszej instancji, a działanie organu drugiej instancji nie ma charakteru kontrolnego, ale jest działaniem merytorycznym, równoważnym działaniu organu pierwszej instancji. Zatem rolą organu odwoławczego było merytoryczne rozpatrzenie sprawy w jej całokształcie. Wynika to z art. 138 kpa, który przyznaje organowi odwoławczemu kompetencje do merytorycznego rozstrzygnięcia sprawy, czego następstwem jest utrzymanie w mocy zaskarżonej decyzji, bądź uchylenie i zmiana zaskarżonej decyzji.</w:t>
      </w:r>
      <w:r w:rsidRPr="0009014A">
        <w:rPr>
          <w:rFonts w:ascii="Lato" w:hAnsi="Lato"/>
          <w:spacing w:val="4"/>
          <w:sz w:val="22"/>
          <w:szCs w:val="22"/>
        </w:rPr>
        <w:t xml:space="preserve"> </w:t>
      </w:r>
    </w:p>
    <w:p w14:paraId="645C8744" w14:textId="77777777" w:rsidR="008E4D4E"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Kierując się powyższym założeniami organ odwoławczy, dostrzegając potrzebę dokonania korekty decyzji pierwszoinstancyjnej miał pełne podstawy do przeprowadzenia w postępowaniu odwoławczym uzupełniającego postępowania dowodowego. Reformatoryjne rozstrzygnięcie, uwidocznione w osnowie niniejszej decyzji i rzeczowo uzasadnione przez organ odwoławczy w pisemnych motywach niniejszej decyzji nie zmieniało ani rodzaju inwestycji, ani zakresu przedmiotowego rozstrzygnięcia zawartego w decyzji organu pierwszej instancji. W postępowaniu odwoławczym Minister rozpoznawał i rozstrzygnął sprawę tożsamą pod względem podmiotowym i przedmiotowym, jak przed organem I instancji. Charakter dokonanych przez organ odwoławczy zmian nie prowadzi do stwierdzenia, że na etapie postępowania odwoławczego przedmiotem postępowania była lokalizacja innej inwestycji aniżeli ta, która stanowiła przedmiot wypowiedzi organu pierwszej instancji. </w:t>
      </w:r>
    </w:p>
    <w:p w14:paraId="32C1A278" w14:textId="2A0386F1"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Korekta reformatoryjna decyzji Wojewody Mazowieckiego dokonana przez Ministra potwierdza, że organ odwoławczy w pełni prawidłowo zastosował przepis art. 138 § 1 pkt 2 kpa. Postępowanie w przedmiocie ustalenia lokalizacji inwestycji w zakresie CPK powinno bowiem toczyć się w miarę możliwości sprawnie i szybko. Przy takim założeniu, fakt wprowadzenia zmian do treści decyzji organu I instancji bezpośrednio przez organ II instancji, po przeprowadzeniu z urzędu uzupełniającego postępowania dowodowego na </w:t>
      </w:r>
      <w:r w:rsidRPr="0009014A">
        <w:rPr>
          <w:rFonts w:ascii="Lato" w:hAnsi="Lato" w:cs="Arial"/>
          <w:bCs/>
          <w:iCs/>
          <w:spacing w:val="4"/>
          <w:sz w:val="22"/>
          <w:szCs w:val="22"/>
          <w:lang w:bidi="pl-PL"/>
        </w:rPr>
        <w:lastRenderedPageBreak/>
        <w:t>podstawie art. 136 § 1 kpa, świadczy o sprawnym i rzetelnym prowadzeniu postępowania.</w:t>
      </w:r>
      <w:r w:rsidRPr="0009014A">
        <w:rPr>
          <w:rFonts w:ascii="Lato" w:hAnsi="Lato"/>
          <w:spacing w:val="4"/>
          <w:sz w:val="22"/>
          <w:szCs w:val="22"/>
        </w:rPr>
        <w:t xml:space="preserve"> </w:t>
      </w:r>
      <w:r w:rsidRPr="0009014A">
        <w:rPr>
          <w:rFonts w:ascii="Lato" w:hAnsi="Lato" w:cs="Arial"/>
          <w:bCs/>
          <w:iCs/>
          <w:spacing w:val="4"/>
          <w:sz w:val="22"/>
          <w:szCs w:val="22"/>
          <w:lang w:bidi="pl-PL"/>
        </w:rPr>
        <w:t>Przepisy kpa w istotnym stopniu preferują merytoryczne zakończenie sprawy na etapie odwoławczym, dążąc do tego, aby organ drugiej instancji rozstrzygnął sprawę co do istoty (zasada reformatoryjności). Rzeczą organu drugiej instancji było zatem - w okolicznościach niniejszej sprawy - zreformowanie decyzji organu pierwszej instancji i orzeczenie co do istoty sprawy po uzupełnieniu postępowania dowodowego.</w:t>
      </w:r>
    </w:p>
    <w:p w14:paraId="4982B2E1" w14:textId="77777777"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Powyższe stanowisko jest ugruntowane w orzecznictwie sądowoadministracyjnym dotyczącym aktów prawnych ułatwiających przygotowanie i realizację inwestycji infrastrukturalnych określanych mianem „specustaw” (por. wyroki Naczelnego Sądu Administracyjnego z dnia 14 stycznia 2025 r., sygn. akt II OSK 2665/24, z dnia 5 marca 2024 r., sygn. akt II OSK 1896/23, z dnia 14 maja 2021 r., sygn. akt II OSK 383/21, </w:t>
      </w:r>
      <w:r w:rsidRPr="0009014A">
        <w:rPr>
          <w:rFonts w:ascii="Lato" w:hAnsi="Lato" w:cs="Arial"/>
          <w:bCs/>
          <w:iCs/>
          <w:spacing w:val="4"/>
          <w:sz w:val="22"/>
          <w:szCs w:val="22"/>
          <w:lang w:bidi="pl-PL"/>
        </w:rPr>
        <w:br/>
        <w:t xml:space="preserve">z dnia 5 lutego 2020 r., sygn. akt II OSK 3586/19, z dnia 12 lipca 2013 r., sygn. akt II OSK 1231/13, z dnia 8 listopada 2023 r., sygn. akt II OSK 1371/23, wyroki Wojewódzkiego Sądu Administracyjnego w Warszawie z dnia 26 marca 2024 r., sygn. akt VII SA/Wa 27/23, z dnia 9 maja 2023 r., sygn. akt VII SA/Wa 2679/22, z dnia 5 kwietnia 2019 r., sygn. akt VII SA/Wa 301/19, z dnia 25 kwietnia 2017 r., sygn. akt VII SA/Wa 39/17, z dnia 5 lipca 2016 r., sygn. akt VII SA/Wa 916/16, opubl. Centralna Baza Orzeczeń Sądów Administracyjnych). </w:t>
      </w:r>
    </w:p>
    <w:p w14:paraId="3615410C" w14:textId="77777777"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Podsumowując, Minister rozpoznając odwołania spełnił swój ustawowy obowiązek rozpatrzenia sprawy administracyjnej w jej całokształcie w II instancji (art. 78 Konstytucji RP i art. 15 kpa), w tym odniósł się do zarzutów odwołań, przeprowadził uzupełniające postępowanie i dokonał niezbędnych korekt w osnowie decyzji organu I instancji będących tego konsekwencją, w tym także do</w:t>
      </w:r>
      <w:r w:rsidRPr="0009014A">
        <w:rPr>
          <w:rFonts w:ascii="Lato" w:hAnsi="Lato" w:cs="Arial"/>
          <w:bCs/>
          <w:iCs/>
          <w:spacing w:val="4"/>
          <w:sz w:val="22"/>
          <w:szCs w:val="22"/>
          <w:lang w:bidi="pl-PL"/>
        </w:rPr>
        <w:softHyphen/>
        <w:t>strzegł i poprawił niedoskonałości decyzji pierwszoinstancyjnej - nie zmieniając przy tym rodzaju in</w:t>
      </w:r>
      <w:r w:rsidRPr="0009014A">
        <w:rPr>
          <w:rFonts w:ascii="Lato" w:hAnsi="Lato" w:cs="Arial"/>
          <w:bCs/>
          <w:iCs/>
          <w:spacing w:val="4"/>
          <w:sz w:val="22"/>
          <w:szCs w:val="22"/>
          <w:lang w:bidi="pl-PL"/>
        </w:rPr>
        <w:softHyphen/>
        <w:t xml:space="preserve">westycji, jej zakresu i istoty rozstrzygnięcia decyzji Wojewody Mazowieckiego, która pozostaje niezmienna w swym głównym zakresie – czyli ustalenia lokalizacji inwestycji w zakresie CPK. Stanowisko organu odwoławczego co do utrzymania w swym zasadniczym trzonie rozstrzygnięcia zawartego w osnowie decyzji organu I instancji, z niezbędnymi w ocenie organu II instancji modyfikacjami (korektami) wynikającymi z rozpatrzenia całokształtu sprawy </w:t>
      </w:r>
      <w:r w:rsidRPr="0009014A">
        <w:rPr>
          <w:rFonts w:ascii="Lato" w:hAnsi="Lato" w:cs="Arial"/>
          <w:bCs/>
          <w:iCs/>
          <w:spacing w:val="4"/>
          <w:sz w:val="22"/>
          <w:szCs w:val="22"/>
          <w:lang w:bidi="pl-PL"/>
        </w:rPr>
        <w:br/>
        <w:t xml:space="preserve">i merytorycznego orzekania w drugiej instancji (w tym wynikających z poszczególnych pism inwestora o dokonanie niezbędnych z punktu widzenia wnioskodawcy korekt </w:t>
      </w:r>
      <w:r w:rsidRPr="0009014A">
        <w:rPr>
          <w:rFonts w:ascii="Lato" w:hAnsi="Lato" w:cs="Arial"/>
          <w:bCs/>
          <w:iCs/>
          <w:spacing w:val="4"/>
          <w:sz w:val="22"/>
          <w:szCs w:val="22"/>
          <w:lang w:bidi="pl-PL"/>
        </w:rPr>
        <w:br/>
        <w:t>w decyzji Wojewody Mazowieckiego), jest w ocenie Ministra trafne i znajduje pełne umocowanie w przepisach art. 15 kpa, art. 136 § 1 kpa i art. 138 § 1 pkt 2 kpa. Natomiast obszerność niniejszej decyzji wynika ze specyfiki przedmiotowej sprawy</w:t>
      </w:r>
      <w:r w:rsidRPr="0009014A">
        <w:rPr>
          <w:rFonts w:ascii="Lato" w:eastAsiaTheme="minorHAnsi" w:hAnsi="Lato"/>
          <w:spacing w:val="4"/>
          <w:sz w:val="22"/>
          <w:szCs w:val="22"/>
          <w:lang w:eastAsia="en-US"/>
        </w:rPr>
        <w:t xml:space="preserve"> dotyczącej </w:t>
      </w:r>
      <w:r w:rsidRPr="0009014A">
        <w:rPr>
          <w:rFonts w:ascii="Lato" w:hAnsi="Lato" w:cs="Arial"/>
          <w:bCs/>
          <w:iCs/>
          <w:spacing w:val="4"/>
          <w:sz w:val="22"/>
          <w:szCs w:val="22"/>
          <w:lang w:bidi="pl-PL"/>
        </w:rPr>
        <w:t>lokalizacji inwestycji o tak istotnym zakresie terytorialnym</w:t>
      </w:r>
      <w:r w:rsidRPr="0009014A">
        <w:rPr>
          <w:rFonts w:ascii="Lato" w:eastAsiaTheme="minorHAnsi" w:hAnsi="Lato"/>
          <w:spacing w:val="4"/>
          <w:sz w:val="22"/>
          <w:szCs w:val="22"/>
          <w:lang w:eastAsia="en-US"/>
        </w:rPr>
        <w:t xml:space="preserve">, jak </w:t>
      </w:r>
      <w:r w:rsidRPr="0009014A">
        <w:rPr>
          <w:rFonts w:ascii="Lato" w:hAnsi="Lato" w:cs="Arial"/>
          <w:bCs/>
          <w:iCs/>
          <w:spacing w:val="4"/>
          <w:sz w:val="22"/>
          <w:szCs w:val="22"/>
          <w:lang w:bidi="pl-PL"/>
        </w:rPr>
        <w:t xml:space="preserve">również faktu złożenia znacznej liczby odwołań od decyzji lokalizacyjnej (w tym w przeważającej części bardzo obszernych, które dodatkowo były uzupełniane w toku procedury odwoławczej przez niektórych skarżących), zawierających liczne, różnorodne merytorycznie i prawnie zarzuty, i w konsekwencji związanych z tym szeregu okoliczności, które organ odwoławczy uznał za wymagające omówienia i odniesienia się do nich. </w:t>
      </w:r>
    </w:p>
    <w:p w14:paraId="686D44FF" w14:textId="3F2D37FE" w:rsidR="0009014A" w:rsidRPr="0009014A" w:rsidRDefault="0009014A" w:rsidP="0009014A">
      <w:pPr>
        <w:spacing w:after="12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Na uwzględnienie nie zasługują zarzuty Pana P</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Pani J</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Pana M</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K</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Pani A</w:t>
      </w:r>
      <w:r w:rsidR="0075411D">
        <w:rPr>
          <w:rFonts w:ascii="Lato" w:hAnsi="Lato" w:cs="Arial"/>
          <w:bCs/>
          <w:iCs/>
          <w:spacing w:val="4"/>
          <w:sz w:val="22"/>
          <w:szCs w:val="22"/>
          <w:lang w:bidi="pl-PL"/>
        </w:rPr>
        <w:t xml:space="preserve">. </w:t>
      </w:r>
      <w:r w:rsidRPr="0009014A">
        <w:rPr>
          <w:rFonts w:ascii="Lato" w:hAnsi="Lato" w:cs="Arial"/>
          <w:bCs/>
          <w:iCs/>
          <w:spacing w:val="4"/>
          <w:sz w:val="22"/>
          <w:szCs w:val="22"/>
          <w:lang w:bidi="pl-PL"/>
        </w:rPr>
        <w:t>S</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Pani K</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J</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Pani E</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W</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Pana R</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W</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Pana T</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T</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Pana S</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T</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Pani W</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B</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Pani M</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G</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Pana K</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M</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Pana K</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O</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Pana M</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B</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Pana W</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B</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Pani J</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B</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Pana A</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T</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Pana M</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J</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spacing w:val="4"/>
          <w:sz w:val="22"/>
          <w:szCs w:val="22"/>
          <w:lang w:bidi="pl-PL"/>
        </w:rPr>
        <w:t>Pana K</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S</w:t>
      </w:r>
      <w:r w:rsidR="0075411D">
        <w:rPr>
          <w:rFonts w:ascii="Lato" w:hAnsi="Lato" w:cs="Arial"/>
          <w:bCs/>
          <w:iCs/>
          <w:spacing w:val="4"/>
          <w:sz w:val="22"/>
          <w:szCs w:val="22"/>
          <w:lang w:bidi="pl-PL"/>
        </w:rPr>
        <w:t>.</w:t>
      </w:r>
      <w:r w:rsidRPr="0009014A">
        <w:rPr>
          <w:rFonts w:ascii="Lato" w:hAnsi="Lato" w:cs="Arial"/>
          <w:bCs/>
          <w:iCs/>
          <w:spacing w:val="4"/>
          <w:sz w:val="22"/>
          <w:szCs w:val="22"/>
          <w:lang w:bidi="pl-PL"/>
        </w:rPr>
        <w:t xml:space="preserve"> dotyczące naruszenia:</w:t>
      </w:r>
    </w:p>
    <w:p w14:paraId="42FCCA18" w14:textId="77777777" w:rsidR="0009014A" w:rsidRPr="0009014A" w:rsidRDefault="0009014A">
      <w:pPr>
        <w:numPr>
          <w:ilvl w:val="0"/>
          <w:numId w:val="40"/>
        </w:numPr>
        <w:spacing w:after="12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art. 21 ust. 2 Konstytucji RP w zw. z art. 113 ust. 1 ugn w zw. z art. 48 ust. 1 ustawy CPK poprzez ich błędne zastosowanie polegające na wywłaszczeniu nieruchomości wskazanych w tabelach nr 6 i nr 7 decyzji Wojewody Mazowieckiego na rzecz CPK Sp. z. o.o.  podczas gdy wywłaszczenie jest dopuszczalne jedynie wówczas, gdy jest dokonywane na cele publiczne, a z normy konstytucyjnej wynika, że wywłaszczenie następuje zawsze z inicjatywy podmiotu publicznego, na rzecz którego przechodzi własność,</w:t>
      </w:r>
      <w:r w:rsidRPr="0009014A">
        <w:t xml:space="preserve"> </w:t>
      </w:r>
      <w:r w:rsidRPr="0009014A">
        <w:rPr>
          <w:rFonts w:ascii="Lato" w:hAnsi="Lato" w:cs="Arial"/>
          <w:bCs/>
          <w:iCs/>
          <w:spacing w:val="4"/>
          <w:sz w:val="22"/>
          <w:szCs w:val="22"/>
          <w:lang w:bidi="pl-PL"/>
        </w:rPr>
        <w:t xml:space="preserve">co znajduje potwierdzenie w regulacji ustawowej zawartej w art. 113 ust. </w:t>
      </w:r>
      <w:r w:rsidRPr="0009014A">
        <w:rPr>
          <w:rFonts w:ascii="Lato" w:hAnsi="Lato" w:cs="Arial"/>
          <w:bCs/>
          <w:iCs/>
          <w:spacing w:val="4"/>
          <w:sz w:val="22"/>
          <w:szCs w:val="22"/>
          <w:lang w:bidi="pl-PL"/>
        </w:rPr>
        <w:lastRenderedPageBreak/>
        <w:t>1 ugn, który dopuszcza wywłaszczenie jedynie na rzecz Skarbu Państwa albo na rzecz jednostki samorządu terytorialnego, a CPK Sp. z o. o. jest podmiotem prawa prywatnego w formie spółki z ograniczoną odpowiedzialnością, a więc nie może być beneficjentem wywłaszczenia, co w konsekwencji powinno stanowić podstawę do odmowy wydania decyzji o ustaleniu lokalizacji inwestycji w zakresie CPK,</w:t>
      </w:r>
    </w:p>
    <w:p w14:paraId="76E1E44A" w14:textId="77777777" w:rsidR="0009014A" w:rsidRPr="0009014A" w:rsidRDefault="0009014A">
      <w:pPr>
        <w:numPr>
          <w:ilvl w:val="0"/>
          <w:numId w:val="40"/>
        </w:numPr>
        <w:spacing w:after="120" w:line="240" w:lineRule="exact"/>
        <w:ind w:left="357" w:hanging="357"/>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art. 5, art. 7 i art. 8 ustawy z dnia 30 kwietnia 2004 r. o postępowaniu w sprawach dotyczących pomocy publicznej (t.j. Dz.U. z 2025 r. poz. 468, z późn.zm.) poprzez jego niezastosowanie i wydanie skarżonej decyzji, na mocy której podmiot prawa prywatnego nabył 375 nieruchomości wymienionych w tabeli nr 6 oraz 831 nieruchomości wymienionych w tabeli nr 7 skarżonej decyzji, co stanowi udzielenie pomocy publicznej, a więc organ I Instancji powinien przeprowadzić postępowanie uregulowane w naruszonych przepisach, co skutkuje rażącym naruszeniem prawa </w:t>
      </w:r>
      <w:r w:rsidRPr="0009014A">
        <w:rPr>
          <w:rFonts w:ascii="Lato" w:hAnsi="Lato" w:cs="Arial"/>
          <w:bCs/>
          <w:iCs/>
          <w:spacing w:val="4"/>
          <w:sz w:val="22"/>
          <w:szCs w:val="22"/>
          <w:lang w:bidi="pl-PL"/>
        </w:rPr>
        <w:br/>
        <w:t>i winno skutkować uchyleniem skarżonej decyzji,</w:t>
      </w:r>
    </w:p>
    <w:p w14:paraId="52FFE876" w14:textId="27359871" w:rsidR="0009014A" w:rsidRPr="0009014A" w:rsidRDefault="0009014A">
      <w:pPr>
        <w:numPr>
          <w:ilvl w:val="0"/>
          <w:numId w:val="40"/>
        </w:numPr>
        <w:spacing w:after="120" w:line="240" w:lineRule="exact"/>
        <w:ind w:left="357" w:hanging="357"/>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art. 21 ust. 2 Konstytucji RP w zw. z art. 6 pkt 1b ugn w zw. z art. 56 ust. 1 ustawy </w:t>
      </w:r>
      <w:r w:rsidRPr="0009014A">
        <w:rPr>
          <w:rFonts w:ascii="Lato" w:hAnsi="Lato" w:cs="Arial"/>
          <w:bCs/>
          <w:iCs/>
          <w:spacing w:val="4"/>
          <w:sz w:val="22"/>
          <w:szCs w:val="22"/>
          <w:lang w:bidi="pl-PL"/>
        </w:rPr>
        <w:br/>
        <w:t xml:space="preserve">z dnia 15 września 2000 r. o referendum lokalnym (t.j. Dz.U. z 2025 r. poz. 472) </w:t>
      </w:r>
      <w:r w:rsidRPr="0009014A">
        <w:rPr>
          <w:rFonts w:ascii="Lato" w:hAnsi="Lato" w:cs="Arial"/>
          <w:bCs/>
          <w:iCs/>
          <w:spacing w:val="4"/>
          <w:sz w:val="22"/>
          <w:szCs w:val="22"/>
          <w:lang w:bidi="pl-PL"/>
        </w:rPr>
        <w:br/>
        <w:t xml:space="preserve">w zw. z art. 3 ust. 1 ustawy CPK poprzez jego błędne zastosowanie polegające na uznaniu, że inwestycja wnioskodawcy realizuje cele publiczne, podczas gdy celem publicznym może być jedynie „najwłaściwsze rozwiązanie dla danej, konkretnej sytuacji społecznej przy uwzględnianiu powszechnie w społeczeństwie akceptowanych wartości oraz bieżących uwarunkowań gospodarczych i politycznych, podczas gdy w 2018 roku na terenie gminy </w:t>
      </w:r>
      <w:r w:rsidR="00FF4DA6">
        <w:rPr>
          <w:rFonts w:ascii="Lato" w:hAnsi="Lato" w:cs="Arial"/>
          <w:bCs/>
          <w:iCs/>
          <w:spacing w:val="4"/>
          <w:sz w:val="22"/>
          <w:szCs w:val="22"/>
          <w:lang w:bidi="pl-PL"/>
        </w:rPr>
        <w:t>(…)</w:t>
      </w:r>
      <w:r w:rsidRPr="0009014A">
        <w:rPr>
          <w:rFonts w:ascii="Lato" w:hAnsi="Lato" w:cs="Arial"/>
          <w:bCs/>
          <w:iCs/>
          <w:spacing w:val="4"/>
          <w:sz w:val="22"/>
          <w:szCs w:val="22"/>
          <w:lang w:bidi="pl-PL"/>
        </w:rPr>
        <w:t xml:space="preserve"> przeprowadzono referendum lokalne, którego przedmiotem było m.in. wyrażenie zgody politycznej członków wspólnoty samorządowej na lokalizację Centralnego Portu Komunikacyjnego na terenie tej gminy, a wynik tego referendum był rozstrzygający i negatywny, </w:t>
      </w:r>
      <w:r w:rsidRPr="0009014A">
        <w:rPr>
          <w:rFonts w:ascii="Lato" w:hAnsi="Lato" w:cs="Arial"/>
          <w:bCs/>
          <w:iCs/>
          <w:spacing w:val="4"/>
          <w:sz w:val="22"/>
          <w:szCs w:val="22"/>
          <w:lang w:bidi="pl-PL"/>
        </w:rPr>
        <w:br/>
        <w:t xml:space="preserve">a rozstrzygający wynik referendum oznacza, że rodzi ono skutki prawne, że jego wynik wiąże organy publiczne i zobowiązuje je do podjęcia działań zmierzających do realizacji tego wyniku, co przesądza o braku spełnienia przesłanki powszechnie społeczeństwie akceptowanych wartości, a ponadto inwestycja realizuje jedynie cele komercyjne, a nie publiczne, a więc nie można było uznać inwestycji wnioskodawcy za realizującą cele publiczne, co z kolei uniemożliwiało dokonanie wywłaszczenia, </w:t>
      </w:r>
      <w:r w:rsidRPr="0009014A">
        <w:rPr>
          <w:rFonts w:ascii="Lato" w:hAnsi="Lato" w:cs="Arial"/>
          <w:bCs/>
          <w:iCs/>
          <w:spacing w:val="4"/>
          <w:sz w:val="22"/>
          <w:szCs w:val="22"/>
          <w:lang w:bidi="pl-PL"/>
        </w:rPr>
        <w:br/>
        <w:t>a więc organ I instancji winien był odmówić wydania decyzji”,</w:t>
      </w:r>
    </w:p>
    <w:p w14:paraId="3E85E131" w14:textId="77777777" w:rsidR="0009014A" w:rsidRPr="0009014A" w:rsidRDefault="0009014A">
      <w:pPr>
        <w:numPr>
          <w:ilvl w:val="0"/>
          <w:numId w:val="40"/>
        </w:numPr>
        <w:spacing w:after="240" w:line="240" w:lineRule="exact"/>
        <w:ind w:left="357" w:hanging="357"/>
        <w:jc w:val="both"/>
        <w:rPr>
          <w:rFonts w:ascii="Lato" w:hAnsi="Lato" w:cs="Arial"/>
          <w:bCs/>
          <w:iCs/>
          <w:spacing w:val="4"/>
          <w:sz w:val="22"/>
          <w:szCs w:val="22"/>
          <w:lang w:bidi="pl-PL"/>
        </w:rPr>
      </w:pPr>
      <w:r w:rsidRPr="0009014A">
        <w:rPr>
          <w:rFonts w:ascii="Lato" w:hAnsi="Lato" w:cs="Arial"/>
          <w:bCs/>
          <w:iCs/>
          <w:spacing w:val="4"/>
          <w:sz w:val="22"/>
          <w:szCs w:val="22"/>
          <w:lang w:bidi="pl-PL"/>
        </w:rPr>
        <w:t>art. 21 ust. 2 Konstytucji RP w zw. z art. 6 pkt 1b ugn w zw. z art. 54 i art. 55 ust. 1 ustawy Prawo lotnicze w zw. z art. 3 ust. 1 ustawy CPK poprzez jego błędne zastosowanie, bowiem przedmiotowa inwestycja  -  w opinii skarżących - nie spełnia wymogów lotniska, gdyż wnioskodawca nie wystąpił do Prezesa Urzędu Lotnictwa Cywilnego o wydanie zezwolenia na założenie lotniska publicznego, a więc nie można było uznać inwestycji wnioskodawcy za realizującą cele publiczne, co z kolei uniemożliwiało dokonanie wywłaszczenia, a więc organ I Instancji winien był odmówić wydania decyzji.</w:t>
      </w:r>
    </w:p>
    <w:p w14:paraId="311CE4FA" w14:textId="1669E02B"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color w:val="000000"/>
          <w:spacing w:val="4"/>
          <w:sz w:val="22"/>
          <w:szCs w:val="22"/>
          <w:lang w:bidi="pl-PL"/>
        </w:rPr>
        <w:t xml:space="preserve">Na wstępie rozważań wyjaśnić należy, że zgodnie z zawartą w art. 7 Konstytucji RP zasadą legalizmu, znajdującą swój wyraz w art. 6 kpa, organy administracji publicznej obowiązane są działać na podstawie przepisów prawa. Źródła prawa powszechnie obowiązującego zostały określone w art. 87 Konstytucji RP. Oznacza to, że organy administracji publicznej nie mogą odstępować od stosowania przepisów ustawowych, bądź aktów wykonawczych, powołując się bezpośrednio na przepisy Konstytucji RP. Nie są również uprawnione do rozstrzygania w sprawie zgodności aktów normatywnych </w:t>
      </w:r>
      <w:r w:rsidRPr="0009014A">
        <w:rPr>
          <w:rFonts w:ascii="Lato" w:hAnsi="Lato" w:cs="Arial"/>
          <w:bCs/>
          <w:iCs/>
          <w:color w:val="000000"/>
          <w:spacing w:val="4"/>
          <w:sz w:val="22"/>
          <w:szCs w:val="22"/>
          <w:lang w:bidi="pl-PL"/>
        </w:rPr>
        <w:br/>
        <w:t>z Konstytucją i nie mogą odmówić zastosowania w sprawie obowiązującego przepisu uznając samodzielnie jego niekonstytucyjność.</w:t>
      </w:r>
      <w:r w:rsidR="00021809">
        <w:t xml:space="preserve"> </w:t>
      </w:r>
      <w:r w:rsidRPr="0009014A">
        <w:rPr>
          <w:rFonts w:ascii="Lato" w:hAnsi="Lato" w:cs="Arial"/>
          <w:bCs/>
          <w:iCs/>
          <w:color w:val="000000"/>
          <w:spacing w:val="4"/>
          <w:sz w:val="22"/>
          <w:szCs w:val="22"/>
          <w:lang w:bidi="pl-PL"/>
        </w:rPr>
        <w:t xml:space="preserve">Domniemanie konstytucyjności ustaw </w:t>
      </w:r>
      <w:r w:rsidRPr="0009014A">
        <w:rPr>
          <w:rFonts w:ascii="Lato" w:hAnsi="Lato" w:cs="Arial"/>
          <w:bCs/>
          <w:iCs/>
          <w:color w:val="000000"/>
          <w:spacing w:val="4"/>
          <w:sz w:val="22"/>
          <w:szCs w:val="22"/>
          <w:lang w:bidi="pl-PL"/>
        </w:rPr>
        <w:br/>
        <w:t xml:space="preserve">to zasada prawna zakładająca, że każda ustawa uchwalona przez parlament jest zgodna z Konstytucją, dopóki </w:t>
      </w:r>
      <w:hyperlink r:id="rId13" w:history="1">
        <w:r w:rsidRPr="0009014A">
          <w:rPr>
            <w:rFonts w:ascii="Lato" w:hAnsi="Lato" w:cs="Arial"/>
            <w:bCs/>
            <w:iCs/>
            <w:spacing w:val="4"/>
            <w:sz w:val="22"/>
            <w:szCs w:val="22"/>
            <w:lang w:bidi="pl-PL"/>
          </w:rPr>
          <w:t>Trybunał Konstytucyjny</w:t>
        </w:r>
      </w:hyperlink>
      <w:r w:rsidRPr="0009014A">
        <w:rPr>
          <w:rFonts w:ascii="Lato" w:hAnsi="Lato" w:cs="Arial"/>
          <w:bCs/>
          <w:iCs/>
          <w:spacing w:val="4"/>
          <w:sz w:val="22"/>
          <w:szCs w:val="22"/>
          <w:lang w:bidi="pl-PL"/>
        </w:rPr>
        <w:t xml:space="preserve"> nie orzeknie inaczej.</w:t>
      </w:r>
    </w:p>
    <w:p w14:paraId="3C890BEF" w14:textId="0053DD96" w:rsidR="0009014A" w:rsidRPr="0009014A" w:rsidRDefault="0009014A" w:rsidP="0009014A">
      <w:pPr>
        <w:spacing w:after="240" w:line="240" w:lineRule="exact"/>
        <w:jc w:val="both"/>
        <w:rPr>
          <w:rFonts w:ascii="Lato" w:hAnsi="Lato" w:cs="Arial"/>
          <w:bCs/>
          <w:iCs/>
          <w:color w:val="000000"/>
          <w:spacing w:val="4"/>
          <w:sz w:val="22"/>
          <w:szCs w:val="22"/>
        </w:rPr>
      </w:pPr>
      <w:r w:rsidRPr="0009014A">
        <w:rPr>
          <w:rFonts w:ascii="Lato" w:hAnsi="Lato" w:cs="Arial"/>
          <w:bCs/>
          <w:iCs/>
          <w:color w:val="000000"/>
          <w:spacing w:val="4"/>
          <w:sz w:val="22"/>
          <w:szCs w:val="22"/>
          <w:lang w:bidi="pl-PL"/>
        </w:rPr>
        <w:lastRenderedPageBreak/>
        <w:t>Następnie przypomnieć należy, że przepis art. 3 ust. 1 ustawy CPK stanowi wprost</w:t>
      </w:r>
      <w:r w:rsidRPr="0009014A">
        <w:rPr>
          <w:rFonts w:ascii="Lato" w:hAnsi="Lato" w:cs="Arial"/>
          <w:bCs/>
          <w:iCs/>
          <w:color w:val="000000"/>
          <w:spacing w:val="4"/>
          <w:sz w:val="22"/>
          <w:szCs w:val="22"/>
          <w:lang w:bidi="pl-PL"/>
        </w:rPr>
        <w:br/>
        <w:t xml:space="preserve">i w sposób jednoznaczny, że realizacja Inwestycji i Inwestycji Towarzyszących </w:t>
      </w:r>
      <w:r w:rsidRPr="0009014A">
        <w:rPr>
          <w:rFonts w:ascii="Lato" w:hAnsi="Lato" w:cs="Arial"/>
          <w:bCs/>
          <w:iCs/>
          <w:color w:val="000000"/>
          <w:spacing w:val="4"/>
          <w:sz w:val="22"/>
          <w:szCs w:val="22"/>
          <w:lang w:bidi="pl-PL"/>
        </w:rPr>
        <w:br/>
        <w:t>w rozumieniu art. 2 pkt 3 i 4 ustawy CPK, stanowi cel publiczny w rozumieniu przepisów ugn.</w:t>
      </w:r>
      <w:r w:rsidRPr="0009014A">
        <w:rPr>
          <w:rFonts w:ascii="Lato" w:hAnsi="Lato" w:cs="Arial"/>
          <w:color w:val="000000"/>
          <w:spacing w:val="4"/>
          <w:sz w:val="22"/>
          <w:szCs w:val="22"/>
        </w:rPr>
        <w:t xml:space="preserve"> </w:t>
      </w:r>
      <w:r w:rsidRPr="0009014A">
        <w:rPr>
          <w:rFonts w:ascii="Lato" w:hAnsi="Lato" w:cs="Arial"/>
          <w:bCs/>
          <w:iCs/>
          <w:color w:val="000000"/>
          <w:spacing w:val="4"/>
          <w:sz w:val="22"/>
          <w:szCs w:val="22"/>
        </w:rPr>
        <w:t xml:space="preserve">Zatem ustawodawca w sposób wiążący w art. 3 ust. 1 ustawy CPK zadecydował, że </w:t>
      </w:r>
      <w:r w:rsidRPr="0009014A">
        <w:rPr>
          <w:rFonts w:ascii="Lato" w:hAnsi="Lato" w:cs="Arial"/>
          <w:bCs/>
          <w:iCs/>
          <w:color w:val="000000"/>
          <w:spacing w:val="4"/>
          <w:sz w:val="22"/>
          <w:szCs w:val="22"/>
          <w:lang w:bidi="pl-PL"/>
        </w:rPr>
        <w:t>Inwestycja i Inwestycja Towarzysząca</w:t>
      </w:r>
      <w:r w:rsidRPr="0009014A">
        <w:rPr>
          <w:rFonts w:ascii="Lato" w:hAnsi="Lato" w:cs="Arial"/>
          <w:bCs/>
          <w:iCs/>
          <w:color w:val="000000"/>
          <w:spacing w:val="4"/>
          <w:sz w:val="22"/>
          <w:szCs w:val="22"/>
        </w:rPr>
        <w:t>, realizowane w trybie ustawy CPK, ipso iure są inwestycjami celu publicznego. Tym sa</w:t>
      </w:r>
      <w:r w:rsidRPr="0009014A">
        <w:rPr>
          <w:rFonts w:ascii="Lato" w:hAnsi="Lato" w:cs="Arial"/>
          <w:bCs/>
          <w:iCs/>
          <w:color w:val="000000"/>
          <w:spacing w:val="4"/>
          <w:sz w:val="22"/>
          <w:szCs w:val="22"/>
        </w:rPr>
        <w:softHyphen/>
        <w:t xml:space="preserve">mym realizacja wywłaszczenia nieruchomości na cele inwestycyjne prowadzone przez inwestora i w związku z Inwestycją lub Inwestycją Towarzyszącą zawiera się wprost w normie art. 21 Konstytucji RP. Art. 21 ust. 2 Konstytucji RP wskazuje, że wywłaszczenie, może nastąpić jedynie, gdy jest dokonywane dla realizacji celu publicznego i za słusznym odszkodowaniem. W przypadku realizacji Inwestycji określonej w decyzji Wojewody Mazowieckiego wszystkie te warunki </w:t>
      </w:r>
      <w:r w:rsidR="00BA33D3">
        <w:rPr>
          <w:rFonts w:ascii="Lato" w:hAnsi="Lato" w:cs="Arial"/>
          <w:bCs/>
          <w:iCs/>
          <w:color w:val="000000"/>
          <w:spacing w:val="4"/>
          <w:sz w:val="22"/>
          <w:szCs w:val="22"/>
        </w:rPr>
        <w:br/>
      </w:r>
      <w:r w:rsidRPr="0009014A">
        <w:rPr>
          <w:rFonts w:ascii="Lato" w:hAnsi="Lato" w:cs="Arial"/>
          <w:bCs/>
          <w:iCs/>
          <w:color w:val="000000"/>
          <w:spacing w:val="4"/>
          <w:sz w:val="22"/>
          <w:szCs w:val="22"/>
        </w:rPr>
        <w:t>są speł</w:t>
      </w:r>
      <w:r w:rsidRPr="0009014A">
        <w:rPr>
          <w:rFonts w:ascii="Lato" w:hAnsi="Lato" w:cs="Arial"/>
          <w:bCs/>
          <w:iCs/>
          <w:color w:val="000000"/>
          <w:spacing w:val="4"/>
          <w:sz w:val="22"/>
          <w:szCs w:val="22"/>
        </w:rPr>
        <w:softHyphen/>
        <w:t>nione - Inwestycja spełnia warunki określone w art. 2 pkt 3 ustawy CPK, a więc została uznana za cel publiczny, a w konsekwencji każdemu właścicielowi przysługuje prawo do uzy</w:t>
      </w:r>
      <w:r w:rsidRPr="0009014A">
        <w:rPr>
          <w:rFonts w:ascii="Lato" w:hAnsi="Lato" w:cs="Arial"/>
          <w:bCs/>
          <w:iCs/>
          <w:color w:val="000000"/>
          <w:spacing w:val="4"/>
          <w:sz w:val="22"/>
          <w:szCs w:val="22"/>
        </w:rPr>
        <w:softHyphen/>
        <w:t>skania odszkodowania na zasadach określonych w ustawie CPK. Przy odpowiedzi na zarzuty Państwa K</w:t>
      </w:r>
      <w:r w:rsidR="00FF4DA6">
        <w:rPr>
          <w:rFonts w:ascii="Lato" w:hAnsi="Lato" w:cs="Arial"/>
          <w:bCs/>
          <w:iCs/>
          <w:color w:val="000000"/>
          <w:spacing w:val="4"/>
          <w:sz w:val="22"/>
          <w:szCs w:val="22"/>
        </w:rPr>
        <w:t>.</w:t>
      </w:r>
      <w:r w:rsidRPr="0009014A">
        <w:rPr>
          <w:rFonts w:ascii="Lato" w:hAnsi="Lato" w:cs="Arial"/>
          <w:bCs/>
          <w:iCs/>
          <w:color w:val="000000"/>
          <w:spacing w:val="4"/>
          <w:sz w:val="22"/>
          <w:szCs w:val="22"/>
        </w:rPr>
        <w:t xml:space="preserve"> i skarżącej spółki </w:t>
      </w:r>
      <w:r w:rsidR="00FF4DA6">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zostało uargumentowane, że decyzja Wojewody Mazowieckiego ustanowiła lokalizację „Inwestycji” w znaczeniu jakim temu pojęciu nadaje art. 2 pkt 3 ustawy CPK, a zatem w zakresie przedmiotowo mieszczącym się w ustawie CPK. </w:t>
      </w:r>
    </w:p>
    <w:p w14:paraId="709BA3BE" w14:textId="50139D00" w:rsidR="0009014A" w:rsidRPr="002712D2" w:rsidRDefault="0009014A" w:rsidP="0009014A">
      <w:pPr>
        <w:spacing w:after="240" w:line="240" w:lineRule="exact"/>
        <w:jc w:val="both"/>
        <w:rPr>
          <w:rFonts w:ascii="Lato" w:hAnsi="Lato" w:cs="Arial"/>
          <w:bCs/>
          <w:iCs/>
          <w:color w:val="000000"/>
          <w:spacing w:val="4"/>
          <w:sz w:val="22"/>
          <w:szCs w:val="22"/>
        </w:rPr>
      </w:pPr>
      <w:r w:rsidRPr="002712D2">
        <w:rPr>
          <w:rFonts w:ascii="Lato" w:hAnsi="Lato" w:cs="Arial"/>
          <w:bCs/>
          <w:iCs/>
          <w:color w:val="000000"/>
          <w:spacing w:val="4"/>
          <w:sz w:val="22"/>
          <w:szCs w:val="22"/>
        </w:rPr>
        <w:t xml:space="preserve">Zgodnie z art. 48 ust. 1 ustawy CPK, nieruchomości określone w decyzji o ustaleniu lokalizacji inwestycji w zakresie CPK, zgodnie z art. 40 ust. 2 pkt 9, stają się własnością Spółki Celowej za odszkodowaniem. Przepisów art. 113 ust. 1 i 2 ugn nie stosuje się. Przepis ten stanowi przepis szczególny w stosunku do art. 113 ugn, dodatkowo wprost wyłącza jego zastosowanie. Tym samym przepis ustawy CPK wprost wskazuje, </w:t>
      </w:r>
      <w:r w:rsidR="00BA33D3" w:rsidRPr="002712D2">
        <w:rPr>
          <w:rFonts w:ascii="Lato" w:hAnsi="Lato" w:cs="Arial"/>
          <w:bCs/>
          <w:iCs/>
          <w:color w:val="000000"/>
          <w:spacing w:val="4"/>
          <w:sz w:val="22"/>
          <w:szCs w:val="22"/>
        </w:rPr>
        <w:br/>
      </w:r>
      <w:r w:rsidRPr="002712D2">
        <w:rPr>
          <w:rFonts w:ascii="Lato" w:hAnsi="Lato" w:cs="Arial"/>
          <w:bCs/>
          <w:iCs/>
          <w:color w:val="000000"/>
          <w:spacing w:val="4"/>
          <w:sz w:val="22"/>
          <w:szCs w:val="22"/>
        </w:rPr>
        <w:t>że w odniesieniu do nieruchomości wskazanych do wywłaszczenia w decyzji lokalizacyjnej to Spółka Celowa jest podmiotem, na którego rzecz przenoszona jest własność nieruchomości.</w:t>
      </w:r>
      <w:r w:rsidRPr="002712D2">
        <w:rPr>
          <w:rFonts w:ascii="Lato" w:eastAsia="Calibri" w:hAnsi="Lato"/>
          <w:bCs/>
          <w:spacing w:val="4"/>
          <w:sz w:val="22"/>
          <w:szCs w:val="22"/>
          <w:lang w:eastAsia="en-US"/>
        </w:rPr>
        <w:t xml:space="preserve"> </w:t>
      </w:r>
      <w:r w:rsidRPr="002712D2">
        <w:rPr>
          <w:rFonts w:ascii="Lato" w:hAnsi="Lato" w:cs="Arial"/>
          <w:bCs/>
          <w:iCs/>
          <w:color w:val="000000"/>
          <w:spacing w:val="4"/>
          <w:sz w:val="22"/>
          <w:szCs w:val="22"/>
        </w:rPr>
        <w:t>Zgodnie z art. 2 pkt 10 ustawy CPK, przez Spółkę Celową należy rozumieć spółkę z ograniczoną odpowiedzialnością utworzoną przez Skarb Państwa w celu zapewnienia przygotowania i realizacji Programu (w rozumieniu art. 2 pkt 7 ustawy CPK) oraz koordynacji i kontroli realizacji Przedsięwzięć (w rozumieniu art. 1 pkt 1 ustawy CPK). Zgodnie z art. 1 pkt 1 ustawy CPK, przez Przedsięwzięcia rozumie się Inwestycj</w:t>
      </w:r>
      <w:r w:rsidR="002712D2">
        <w:rPr>
          <w:rFonts w:ascii="Lato" w:hAnsi="Lato" w:cs="Arial"/>
          <w:bCs/>
          <w:iCs/>
          <w:color w:val="000000"/>
          <w:spacing w:val="4"/>
          <w:sz w:val="22"/>
          <w:szCs w:val="22"/>
        </w:rPr>
        <w:t>ę</w:t>
      </w:r>
      <w:r w:rsidRPr="002712D2">
        <w:rPr>
          <w:rFonts w:ascii="Lato" w:hAnsi="Lato" w:cs="Arial"/>
          <w:bCs/>
          <w:iCs/>
          <w:color w:val="000000"/>
          <w:spacing w:val="4"/>
          <w:sz w:val="22"/>
          <w:szCs w:val="22"/>
        </w:rPr>
        <w:t xml:space="preserve">, Inwestycje Towarzyszące oraz pozostałe zadania, w tym o charakterze nie inwestycyjnym, powiązane z realizacją Inwestycji oraz Inwestycji Towarzyszących. </w:t>
      </w:r>
      <w:r w:rsidR="002712D2" w:rsidRPr="002712D2">
        <w:rPr>
          <w:rFonts w:ascii="Lato" w:hAnsi="Lato" w:cs="Arial"/>
          <w:bCs/>
          <w:iCs/>
          <w:color w:val="000000"/>
          <w:spacing w:val="4"/>
          <w:sz w:val="22"/>
          <w:szCs w:val="22"/>
        </w:rPr>
        <w:br/>
        <w:t xml:space="preserve">Z kolei w myśl art. 2 pkt 7 ustawy CPK przez Program należy rozumieć program wieloletni w rozumieniu ustawy z dnia 27 sierpnia 2009 r. o finansach publicznych (Dz.U. z 2024 r. poz. 1530 i 1572 ), niestanowiący programu rozwoju w rozumieniu przepisów o zasadach prowadzenia polityki rozwoju, obejmujący Inwestycję, Inwestycje Towarzyszące oraz inne zadania, w tym finansowane z budżetu państwa, określający terminy ich realizacji oraz łączne nakłady z budżetu państwa na ich realizację. </w:t>
      </w:r>
      <w:r w:rsidRPr="002712D2">
        <w:rPr>
          <w:rFonts w:ascii="Lato" w:hAnsi="Lato" w:cs="Arial"/>
          <w:bCs/>
          <w:iCs/>
          <w:color w:val="000000"/>
          <w:spacing w:val="4"/>
          <w:sz w:val="22"/>
          <w:szCs w:val="22"/>
        </w:rPr>
        <w:t xml:space="preserve">CPK Sp. z o.o. jest spółką Skarbu Państwa powołaną na mocy art. 11 ustawy CPK w celu zapewnienia przygotowania </w:t>
      </w:r>
      <w:r w:rsidR="002712D2">
        <w:rPr>
          <w:rFonts w:ascii="Lato" w:hAnsi="Lato" w:cs="Arial"/>
          <w:bCs/>
          <w:iCs/>
          <w:color w:val="000000"/>
          <w:spacing w:val="4"/>
          <w:sz w:val="22"/>
          <w:szCs w:val="22"/>
        </w:rPr>
        <w:br/>
      </w:r>
      <w:r w:rsidRPr="002712D2">
        <w:rPr>
          <w:rFonts w:ascii="Lato" w:hAnsi="Lato" w:cs="Arial"/>
          <w:bCs/>
          <w:iCs/>
          <w:color w:val="000000"/>
          <w:spacing w:val="4"/>
          <w:sz w:val="22"/>
          <w:szCs w:val="22"/>
        </w:rPr>
        <w:t>i realizacji Programu oraz koordynacji i kontroli realizacji Przedsięwzięć.</w:t>
      </w:r>
    </w:p>
    <w:p w14:paraId="1DE59AA6" w14:textId="77777777" w:rsidR="0009014A" w:rsidRPr="0009014A" w:rsidRDefault="0009014A" w:rsidP="0009014A">
      <w:pPr>
        <w:spacing w:after="240" w:line="240" w:lineRule="exact"/>
        <w:jc w:val="both"/>
        <w:rPr>
          <w:rFonts w:ascii="Lato" w:hAnsi="Lato" w:cs="Arial"/>
          <w:bCs/>
          <w:iCs/>
          <w:color w:val="000000"/>
          <w:spacing w:val="4"/>
          <w:sz w:val="22"/>
          <w:szCs w:val="22"/>
        </w:rPr>
      </w:pPr>
      <w:r w:rsidRPr="0009014A">
        <w:rPr>
          <w:rFonts w:ascii="Lato" w:hAnsi="Lato" w:cs="Arial"/>
          <w:bCs/>
          <w:iCs/>
          <w:spacing w:val="4"/>
          <w:sz w:val="22"/>
          <w:szCs w:val="22"/>
        </w:rPr>
        <w:t xml:space="preserve">W konsekwencji, to z woli samego ustawodawcy Spółka Celowa staje się właścicielem nieruchomości wywłaszczanych na cele inwestycyjne w decyzji o ustaleniu lokalizacji inwestycji w zakresie CPK. W tym miejscu zwrócić należy uwagę na uzasadnienie do rządowego projektu ustawy o usprawnieniu procesu inwestycyjnego Centralnego Portu Komunikacyjnego (druk sejmowy nr 2400, Sejm IX kadencji, </w:t>
      </w:r>
      <w:hyperlink r:id="rId14" w:history="1">
        <w:r w:rsidRPr="0009014A">
          <w:rPr>
            <w:rFonts w:ascii="Lato" w:hAnsi="Lato" w:cs="Arial"/>
            <w:bCs/>
            <w:iCs/>
            <w:spacing w:val="4"/>
            <w:sz w:val="22"/>
            <w:szCs w:val="22"/>
          </w:rPr>
          <w:t>https://www.sejm.gov.pl</w:t>
        </w:r>
      </w:hyperlink>
      <w:r w:rsidRPr="0009014A">
        <w:rPr>
          <w:rFonts w:ascii="Lato" w:hAnsi="Lato" w:cs="Arial"/>
          <w:bCs/>
          <w:iCs/>
          <w:spacing w:val="4"/>
          <w:sz w:val="22"/>
          <w:szCs w:val="22"/>
        </w:rPr>
        <w:t xml:space="preserve">), bowiem ustawa z dnia 22 lipca 2022 r. o usprawnieniu procesu inwestycyjnego Centralnego Portu Komunikacyjnego (Dz.U. z 2022 r. poz. 1846), zmieniła pierwotne brzmienie art. 48 ust. 1 ustawy CPK. W uzasadnieniu do rządowego projektu ustawy </w:t>
      </w:r>
      <w:r w:rsidRPr="0009014A">
        <w:rPr>
          <w:rFonts w:ascii="Lato" w:hAnsi="Lato" w:cs="Arial"/>
          <w:bCs/>
          <w:iCs/>
          <w:spacing w:val="4"/>
          <w:sz w:val="22"/>
          <w:szCs w:val="22"/>
        </w:rPr>
        <w:br/>
        <w:t>o usprawnieniu procesu inwestycyjnego Centralnego Portu Komunikacyjnego jako powód zmiany art. 48 ust. 1 ustawy CPK wskazano, że: „</w:t>
      </w:r>
      <w:r w:rsidRPr="0009014A">
        <w:rPr>
          <w:rFonts w:ascii="Lato" w:hAnsi="Lato" w:cs="Arial"/>
          <w:bCs/>
          <w:iCs/>
          <w:color w:val="000000"/>
          <w:spacing w:val="4"/>
          <w:sz w:val="22"/>
          <w:szCs w:val="22"/>
        </w:rPr>
        <w:t xml:space="preserve">Po przeanalizowaniu zgodności z Konstytucją wprowadzenia rozwiązań w prosty sposób czyniących Spółkę właścicielem nieruchomości objętych decyzją lokalizacyjną, mając na uwadze, że art. 21 Konstytucji </w:t>
      </w:r>
      <w:r w:rsidRPr="0009014A">
        <w:rPr>
          <w:rFonts w:ascii="Lato" w:hAnsi="Lato" w:cs="Arial"/>
          <w:bCs/>
          <w:iCs/>
          <w:color w:val="000000"/>
          <w:spacing w:val="4"/>
          <w:sz w:val="22"/>
          <w:szCs w:val="22"/>
        </w:rPr>
        <w:lastRenderedPageBreak/>
        <w:t xml:space="preserve">RP dopuszcza wywłaszczenie dokonywane na cele publiczne i za słusznym odszkodowaniem, a jednocześnie nie zawęża kręgu podmiotów na rzecz których wywłaszczenie to ma nastąpić, uwzględniając fakt, że Spółka jest spółką ze 100% udziałem Skarbu Państwa, a więc – choć jest podmiotem od Skarbu Państwa odrębnym, to mającym charakter niejako operacyjno-wykonawczy, a realizowane przez nią zadania mają charakter realizacji celów publicznych (na co wskazuje chociażby wyrok Sądu Najwyższego z dnia 5 listopada 2009 r., I CSK 158/09, zgodnie z którym interes spółki handlowej odpowiada interesom wszystkich grup jej wspólników z uwzględnieniem wspólnego celu określonego w umowie (statucie) spółki, co w przypadku spółek ze 100% udziałem Skarbu Państwa oznacza, że interes takiej spółki odpowiada interesowi Skarbu Państwa, a więc interesowi publicznemu – zależność taka i funkcjonowanie spółek ze 100% udziałem podmiotu publicznego jako swoistego narzędzia wykonawczego jest jeszcze silniej i jednoznaczniej widoczne w przypadku spółek z udziałem jednostek samorządu terytorialnego, bowiem zgodnie z art. 2 ustawy z dnia 20 grudnia 1996 r. </w:t>
      </w:r>
      <w:r w:rsidRPr="0009014A">
        <w:rPr>
          <w:rFonts w:ascii="Lato" w:hAnsi="Lato" w:cs="Arial"/>
          <w:bCs/>
          <w:iCs/>
          <w:color w:val="000000"/>
          <w:spacing w:val="4"/>
          <w:sz w:val="22"/>
          <w:szCs w:val="22"/>
        </w:rPr>
        <w:br/>
        <w:t>o gospodarce komunalnej, gospodarka komunalna może być prowadzona przez jednostki samorządu terytorialnego, w szczególności w formach samorządowego zakładu budżetowego lub spółek prawa handlowego), proponuje się, aby nieruchomości określone w decyzji o ustaleniu lokalizacji inwestycji w zakresie CPK, zgodnie z art. 40 ust. 2 pkt 9, stawały się nie własnością Skarbu Państwa, lecz bezpośrednio własnością Spółki. Wywłaszczenie nastąpi za odszkodowaniem. Odszkodowanie będzie wypłacane przez Spółkę.”.</w:t>
      </w:r>
    </w:p>
    <w:p w14:paraId="0C6A9811" w14:textId="77777777" w:rsidR="0009014A" w:rsidRPr="0009014A" w:rsidRDefault="0009014A" w:rsidP="0009014A">
      <w:pPr>
        <w:spacing w:after="240" w:line="240" w:lineRule="exact"/>
        <w:jc w:val="both"/>
        <w:rPr>
          <w:rFonts w:ascii="Lato" w:hAnsi="Lato" w:cs="Arial"/>
          <w:bCs/>
          <w:iCs/>
          <w:color w:val="000000"/>
          <w:spacing w:val="4"/>
          <w:sz w:val="22"/>
          <w:szCs w:val="22"/>
        </w:rPr>
      </w:pPr>
      <w:r w:rsidRPr="00EE356A">
        <w:rPr>
          <w:rFonts w:ascii="Lato" w:hAnsi="Lato" w:cs="Arial"/>
          <w:bCs/>
          <w:iCs/>
          <w:color w:val="000000"/>
          <w:spacing w:val="4"/>
          <w:sz w:val="22"/>
          <w:szCs w:val="22"/>
        </w:rPr>
        <w:t>Tym samym należy stwierdzić, że na gruncie obowiązujących, nie zakwestionowanych dotąd konstytucyjnie</w:t>
      </w:r>
      <w:r w:rsidRPr="0009014A">
        <w:rPr>
          <w:rFonts w:ascii="Lato" w:hAnsi="Lato" w:cs="Arial"/>
          <w:bCs/>
          <w:iCs/>
          <w:color w:val="000000"/>
          <w:spacing w:val="4"/>
          <w:sz w:val="22"/>
          <w:szCs w:val="22"/>
        </w:rPr>
        <w:t xml:space="preserve"> regulacji prawnych - wywłaszczenie na rzecz Spółki Celowej  (CPK Sp. z o.o.) zostało uznane przez ustawodawcę za dopuszczalne, w szczególności </w:t>
      </w:r>
      <w:r w:rsidRPr="0009014A">
        <w:rPr>
          <w:rFonts w:ascii="Lato" w:hAnsi="Lato" w:cs="Arial"/>
          <w:bCs/>
          <w:iCs/>
          <w:color w:val="000000"/>
          <w:spacing w:val="4"/>
          <w:sz w:val="22"/>
          <w:szCs w:val="22"/>
        </w:rPr>
        <w:br/>
        <w:t>ze względu na szczególny charakter Spółki Celowej, w tym cele publiczne jakie ma realizować, a także wyraźny obowiązek wypłacenia odszkodowań za przejęte nieruchomości.</w:t>
      </w:r>
      <w:r w:rsidRPr="0009014A">
        <w:rPr>
          <w:rFonts w:ascii="Lato" w:hAnsi="Lato" w:cs="Arial"/>
          <w:bCs/>
          <w:iCs/>
          <w:spacing w:val="4"/>
          <w:sz w:val="22"/>
          <w:szCs w:val="22"/>
        </w:rPr>
        <w:t xml:space="preserve"> Ponadto zauważyć należy, że sam </w:t>
      </w:r>
      <w:r w:rsidRPr="0009014A">
        <w:rPr>
          <w:rFonts w:ascii="Lato" w:hAnsi="Lato" w:cs="Arial"/>
          <w:bCs/>
          <w:iCs/>
          <w:color w:val="000000"/>
          <w:spacing w:val="4"/>
          <w:sz w:val="22"/>
          <w:szCs w:val="22"/>
        </w:rPr>
        <w:t xml:space="preserve">mechanizm nabycia nieruchomości przez Spółkę Celową nie stanowi pomocy publicznej, gdyż </w:t>
      </w:r>
      <w:r w:rsidRPr="0009014A">
        <w:rPr>
          <w:rFonts w:ascii="Lato" w:hAnsi="Lato" w:cs="Arial"/>
          <w:bCs/>
          <w:iCs/>
          <w:spacing w:val="4"/>
          <w:sz w:val="22"/>
          <w:szCs w:val="22"/>
        </w:rPr>
        <w:t xml:space="preserve">istotą pomocy publicznej jest udzielenie przedsiębiorstwu wsparcia ze środków publicznych, a także musi zaistnieć łącznie szereg innych przesłanek, aby można było mówić o występowaniu pomocy publicznej oraz uznać pomoc publiczną za niedozwoloną. </w:t>
      </w:r>
      <w:r w:rsidRPr="0009014A">
        <w:rPr>
          <w:rFonts w:ascii="Lato" w:hAnsi="Lato" w:cs="Arial"/>
          <w:bCs/>
          <w:iCs/>
          <w:color w:val="000000"/>
          <w:spacing w:val="4"/>
          <w:sz w:val="22"/>
          <w:szCs w:val="22"/>
        </w:rPr>
        <w:t xml:space="preserve">Wskazać jednak należy, </w:t>
      </w:r>
      <w:r w:rsidRPr="0009014A">
        <w:rPr>
          <w:rFonts w:ascii="Lato" w:hAnsi="Lato" w:cs="Arial"/>
          <w:bCs/>
          <w:iCs/>
          <w:color w:val="000000"/>
          <w:spacing w:val="4"/>
          <w:sz w:val="22"/>
          <w:szCs w:val="22"/>
        </w:rPr>
        <w:br/>
        <w:t xml:space="preserve">iż w przedmiotowym postępowaniu Minister bada jedynie zgodność z prawem decyzji Wojewody Mazowieckiego i postępowania przeprowadzonego przez organ pierwszej instancji. Minister nie jest organem uprawnionym do badania sposobu finansowania przedmiotowego przedsięwzięcia, czy badania zgodności z Konstytucją RP lub zasadami udzielania pomocy publicznej obowiązujących w systemie prawnym regulacji przyznających określone uprawnienia i prawa Spółce Celowej. Wydając decyzję </w:t>
      </w:r>
      <w:r w:rsidRPr="0009014A">
        <w:rPr>
          <w:rFonts w:ascii="Lato" w:hAnsi="Lato" w:cs="Arial"/>
          <w:bCs/>
          <w:iCs/>
          <w:color w:val="000000"/>
          <w:spacing w:val="4"/>
          <w:sz w:val="22"/>
          <w:szCs w:val="22"/>
        </w:rPr>
        <w:br/>
        <w:t xml:space="preserve">o ustaleniu lokalizacji inwestycji w zakresie CPK organ orzekający dokonuje jedynie oceny prawnej dopuszczalności lokalizacji inwestycji we wnioskowanym miejscu, oceniając procedurę lokalizacji w świetle obowiązujących szczególnych norm prawnych w tym zakresie. </w:t>
      </w:r>
      <w:r w:rsidRPr="0009014A">
        <w:rPr>
          <w:rFonts w:ascii="Lato" w:hAnsi="Lato" w:cs="Arial"/>
          <w:bCs/>
          <w:iCs/>
          <w:spacing w:val="4"/>
          <w:sz w:val="22"/>
          <w:szCs w:val="22"/>
        </w:rPr>
        <w:t>Warto zaznaczyć, że w orzecznictwie na tle kwestii podmiotu, który realizuje cel publiczny niekwestio</w:t>
      </w:r>
      <w:r w:rsidRPr="0009014A">
        <w:rPr>
          <w:rFonts w:ascii="Lato" w:hAnsi="Lato" w:cs="Arial"/>
          <w:bCs/>
          <w:iCs/>
          <w:spacing w:val="4"/>
          <w:sz w:val="22"/>
          <w:szCs w:val="22"/>
        </w:rPr>
        <w:softHyphen/>
        <w:t xml:space="preserve">nowane jest stanowisko zaprezentowane w wyroku Naczelnego Sądu Administracyjnego z dnia 15 maja 2008 r. sygn. akt II OSK 548/07 (opubl. Centralna Baza Orzeczeń Sądów Administracyjnych) wskazującego, że „Pojęcie inwestycji celu publicznego jest w swej istocie oparte na kryterium przedmiotowym, nie zaś podmiotowym czy funkcjonalnym. Oznacza to, że inwestycję tego typu stanowi każde działanie o zasięgu lokalnym i ponadlokalnym, które realizuje cele publiczne, bez względu na to czy inwestorem jest podmiot prywatny czy publiczny. Nie ma również znaczenia zaangażowanie środków publicznych. Inwestycja celu publicznego może być finansowana równie dobrze w całości ze środków prywatnych jak i publicznych, o ile tylko realizuje cele zawarte w zamkniętym katalogu przepisu art. 6 u.g.n. lub zostało </w:t>
      </w:r>
      <w:r w:rsidRPr="0009014A">
        <w:rPr>
          <w:rFonts w:ascii="Lato" w:hAnsi="Lato" w:cs="Arial"/>
          <w:bCs/>
          <w:iCs/>
          <w:spacing w:val="4"/>
          <w:sz w:val="22"/>
          <w:szCs w:val="22"/>
        </w:rPr>
        <w:br/>
        <w:t>w innej ustawie uznane za cel publiczny”.</w:t>
      </w:r>
    </w:p>
    <w:p w14:paraId="70587BC5" w14:textId="444A268F" w:rsidR="0009014A" w:rsidRPr="0009014A" w:rsidRDefault="0009014A" w:rsidP="0009014A">
      <w:pPr>
        <w:spacing w:after="240" w:line="240" w:lineRule="exact"/>
        <w:jc w:val="both"/>
        <w:rPr>
          <w:rFonts w:ascii="Lato" w:hAnsi="Lato" w:cs="Arial"/>
          <w:bCs/>
          <w:iCs/>
          <w:spacing w:val="4"/>
          <w:sz w:val="22"/>
          <w:szCs w:val="22"/>
        </w:rPr>
      </w:pPr>
      <w:r w:rsidRPr="0009014A">
        <w:rPr>
          <w:rFonts w:ascii="Lato" w:hAnsi="Lato" w:cs="Arial"/>
          <w:bCs/>
          <w:iCs/>
          <w:spacing w:val="4"/>
          <w:sz w:val="22"/>
          <w:szCs w:val="22"/>
        </w:rPr>
        <w:lastRenderedPageBreak/>
        <w:t xml:space="preserve">Według Ministra nie można w niniejszej sprawie dokonać takiego rozgraniczenia, jak czynią to skarżący przyjmując, iż interes inwestora stoi w sprzeczności z interesem społecznym. W tym przypadku interes inwestora pokrywa się z interesem społecznym, bo swymi działaniami inwestor realizuje interes społeczny. W przypadku inwestora – CPK Sp. z. o.o. podejmującego Inwestycję na podstawie i ściśle w ramach regulacji ustawy CPK nie można mówić, aby podmiot ten posiadał własny interes, odrębny od interesu społecznego. Nie można bowiem zapominać o tym, że inwestor w oparciu </w:t>
      </w:r>
      <w:r w:rsidRPr="0009014A">
        <w:rPr>
          <w:rFonts w:ascii="Lato" w:hAnsi="Lato" w:cs="Arial"/>
          <w:bCs/>
          <w:iCs/>
          <w:spacing w:val="4"/>
          <w:sz w:val="22"/>
          <w:szCs w:val="22"/>
        </w:rPr>
        <w:br/>
        <w:t xml:space="preserve">o ustawę CPK przygotowuje do realizacji </w:t>
      </w:r>
      <w:r w:rsidR="002712D2">
        <w:rPr>
          <w:rFonts w:ascii="Lato" w:hAnsi="Lato" w:cs="Arial"/>
          <w:bCs/>
          <w:iCs/>
          <w:spacing w:val="4"/>
          <w:sz w:val="22"/>
          <w:szCs w:val="22"/>
        </w:rPr>
        <w:t>i</w:t>
      </w:r>
      <w:r w:rsidRPr="0009014A">
        <w:rPr>
          <w:rFonts w:ascii="Lato" w:hAnsi="Lato" w:cs="Arial"/>
          <w:bCs/>
          <w:iCs/>
          <w:spacing w:val="4"/>
          <w:sz w:val="22"/>
          <w:szCs w:val="22"/>
        </w:rPr>
        <w:t xml:space="preserve">nwestycje celu publicznego w zakresie Centralnego Portu Komunikacyjnego, wraz z </w:t>
      </w:r>
      <w:r w:rsidR="002712D2">
        <w:rPr>
          <w:rFonts w:ascii="Lato" w:hAnsi="Lato" w:cs="Arial"/>
          <w:bCs/>
          <w:iCs/>
          <w:spacing w:val="4"/>
          <w:sz w:val="22"/>
          <w:szCs w:val="22"/>
        </w:rPr>
        <w:t>i</w:t>
      </w:r>
      <w:r w:rsidRPr="0009014A">
        <w:rPr>
          <w:rFonts w:ascii="Lato" w:hAnsi="Lato" w:cs="Arial"/>
          <w:bCs/>
          <w:iCs/>
          <w:spacing w:val="4"/>
          <w:sz w:val="22"/>
          <w:szCs w:val="22"/>
        </w:rPr>
        <w:t xml:space="preserve">nwestycjami </w:t>
      </w:r>
      <w:r w:rsidR="002712D2">
        <w:rPr>
          <w:rFonts w:ascii="Lato" w:hAnsi="Lato" w:cs="Arial"/>
          <w:bCs/>
          <w:iCs/>
          <w:spacing w:val="4"/>
          <w:sz w:val="22"/>
          <w:szCs w:val="22"/>
        </w:rPr>
        <w:t>t</w:t>
      </w:r>
      <w:r w:rsidRPr="0009014A">
        <w:rPr>
          <w:rFonts w:ascii="Lato" w:hAnsi="Lato" w:cs="Arial"/>
          <w:bCs/>
          <w:iCs/>
          <w:spacing w:val="4"/>
          <w:sz w:val="22"/>
          <w:szCs w:val="22"/>
        </w:rPr>
        <w:t xml:space="preserve">owarzyszącymi, które są istotne i ważne dla kraju. Z mocy ustawy CPK te ściśle określone uprawnienia, bardzo istotne, przysługują inwestorowi - CPK Sp. z o.o. Ale to nie oznacza, iż w tym zakresie CPK Sp. z o.o. działa autonomicznie, w oderwaniu od interesu kraju i wspólnot samorządowych i realizując zadania ustawowe ma na uwadze swój własny, partykularny interes. CPK Sp. z o.o. działa w interesie państwa i w interesie społecznym. Podmiot ten, realizując inwestycje celu publicznego (zgodnie z </w:t>
      </w:r>
      <w:r w:rsidRPr="0009014A">
        <w:rPr>
          <w:rFonts w:ascii="Lato" w:hAnsi="Lato" w:cs="Arial"/>
          <w:bCs/>
          <w:iCs/>
          <w:spacing w:val="4"/>
          <w:sz w:val="22"/>
          <w:szCs w:val="22"/>
          <w:lang w:bidi="pl-PL"/>
        </w:rPr>
        <w:t>art. 3 ust. 1 ustawy CPK</w:t>
      </w:r>
      <w:r w:rsidRPr="0009014A">
        <w:rPr>
          <w:rFonts w:ascii="Lato" w:hAnsi="Lato" w:cs="Arial"/>
          <w:bCs/>
          <w:iCs/>
          <w:spacing w:val="4"/>
          <w:sz w:val="22"/>
          <w:szCs w:val="22"/>
        </w:rPr>
        <w:t xml:space="preserve">) reprezentuje interes społeczny, gdyż działania polegające na budowie </w:t>
      </w:r>
      <w:r w:rsidR="002712D2">
        <w:rPr>
          <w:rFonts w:ascii="Lato" w:hAnsi="Lato" w:cs="Arial"/>
          <w:bCs/>
          <w:iCs/>
          <w:spacing w:val="4"/>
          <w:sz w:val="22"/>
          <w:szCs w:val="22"/>
        </w:rPr>
        <w:t>i</w:t>
      </w:r>
      <w:r w:rsidRPr="0009014A">
        <w:rPr>
          <w:rFonts w:ascii="Lato" w:hAnsi="Lato" w:cs="Arial"/>
          <w:bCs/>
          <w:iCs/>
          <w:spacing w:val="4"/>
          <w:sz w:val="22"/>
          <w:szCs w:val="22"/>
        </w:rPr>
        <w:t xml:space="preserve">nwestycji w zakresie CPK </w:t>
      </w:r>
      <w:r w:rsidRPr="0009014A">
        <w:rPr>
          <w:rFonts w:ascii="Lato" w:hAnsi="Lato" w:cs="Arial"/>
          <w:bCs/>
          <w:iCs/>
          <w:spacing w:val="4"/>
          <w:sz w:val="22"/>
          <w:szCs w:val="22"/>
        </w:rPr>
        <w:br/>
        <w:t xml:space="preserve">i inwestycji temu towarzyszących, należy uznać za inwestycję celu publicznego. Inwestycja objęta decyzją Wojewody Mazowieckiego jest uznawana za strategiczną dla rozwoju transportu i gospodarki kraju. </w:t>
      </w:r>
      <w:r w:rsidRPr="0009014A">
        <w:rPr>
          <w:rFonts w:ascii="Lato" w:hAnsi="Lato" w:cs="Arial"/>
          <w:bCs/>
          <w:iCs/>
          <w:spacing w:val="4"/>
          <w:sz w:val="22"/>
          <w:szCs w:val="22"/>
          <w:lang w:bidi="pl-PL"/>
        </w:rPr>
        <w:t xml:space="preserve">CPK jako planowane lotnisko publiczne i element infrastruktury transportowej państwa, będzie pełnić funkcje służące dobru wspólnemu </w:t>
      </w:r>
      <w:r w:rsidRPr="0009014A">
        <w:rPr>
          <w:rFonts w:ascii="Lato" w:hAnsi="Lato" w:cs="Arial"/>
          <w:bCs/>
          <w:iCs/>
          <w:spacing w:val="4"/>
          <w:sz w:val="22"/>
          <w:szCs w:val="22"/>
          <w:lang w:bidi="pl-PL"/>
        </w:rPr>
        <w:br/>
        <w:t>i ma zapewnić realizację potrzeb zbiorowych - w tym transportowych i lo</w:t>
      </w:r>
      <w:r w:rsidRPr="0009014A">
        <w:rPr>
          <w:rFonts w:ascii="Lato" w:hAnsi="Lato" w:cs="Arial"/>
          <w:bCs/>
          <w:iCs/>
          <w:spacing w:val="4"/>
          <w:sz w:val="22"/>
          <w:szCs w:val="22"/>
          <w:lang w:bidi="pl-PL"/>
        </w:rPr>
        <w:softHyphen/>
        <w:t>gistycznych.</w:t>
      </w:r>
      <w:r w:rsidRPr="0009014A">
        <w:rPr>
          <w:rFonts w:ascii="Lato" w:hAnsi="Lato" w:cs="Arial"/>
          <w:bCs/>
          <w:iCs/>
          <w:spacing w:val="4"/>
          <w:sz w:val="22"/>
          <w:szCs w:val="22"/>
        </w:rPr>
        <w:t xml:space="preserve"> Celu zaś publicznego nie można wiązać z określonym inwestorem i uznawać, że realizacja tego celu leży w interesie indywidualnym/własnym tegoż inwestora. Realizacja inwestycji celu publicznego leży w interesie społecznym (kraju, województwa, powiatu, gminy), a tym samym nie może tu być mowy o interesie indywidualnym/partykularnym.</w:t>
      </w:r>
    </w:p>
    <w:p w14:paraId="0D912C3B" w14:textId="6BA3399B" w:rsidR="0009014A" w:rsidRPr="0009014A" w:rsidRDefault="0009014A" w:rsidP="0009014A">
      <w:pPr>
        <w:spacing w:after="240" w:line="240" w:lineRule="exact"/>
        <w:jc w:val="both"/>
        <w:rPr>
          <w:rFonts w:ascii="Lato" w:hAnsi="Lato" w:cs="Arial"/>
          <w:bCs/>
          <w:iCs/>
          <w:spacing w:val="4"/>
          <w:sz w:val="22"/>
          <w:szCs w:val="22"/>
        </w:rPr>
      </w:pPr>
      <w:r w:rsidRPr="0009014A">
        <w:rPr>
          <w:rFonts w:ascii="Lato" w:hAnsi="Lato" w:cs="Arial"/>
          <w:bCs/>
          <w:iCs/>
          <w:spacing w:val="4"/>
          <w:sz w:val="22"/>
          <w:szCs w:val="22"/>
        </w:rPr>
        <w:t>CPK Sp. z o.o. jest inwestorem realizującym zadania ustawowe (publiczne), a nie autonomiczną firmą kierującą się własnym interesem biznesowym. CPK Sp. z o.o. jest spółką Skarbu Państwa (100% udziałów należy do Skarbu Państwa) powołaną na mocy ustawy do zadań rządowych, a nadzór nad nią sprawuje Pełnomocnik Rządu ds. Centralnego Portu Komunikacyjnego.</w:t>
      </w:r>
      <w:r w:rsidRPr="0009014A">
        <w:rPr>
          <w:rFonts w:ascii="Lato" w:hAnsi="Lato"/>
          <w:spacing w:val="4"/>
          <w:sz w:val="22"/>
          <w:szCs w:val="22"/>
        </w:rPr>
        <w:t xml:space="preserve"> </w:t>
      </w:r>
      <w:r w:rsidRPr="0009014A">
        <w:rPr>
          <w:rFonts w:ascii="Lato" w:hAnsi="Lato" w:cs="Arial"/>
          <w:bCs/>
          <w:iCs/>
          <w:spacing w:val="4"/>
          <w:sz w:val="22"/>
          <w:szCs w:val="22"/>
        </w:rPr>
        <w:t>Działalność spółki jest ściśle regulowana prawnie, a jej celem jest budowa infrastruktury transportowej. Zadania Spółki Celowej (CPK Sp.</w:t>
      </w:r>
      <w:r w:rsidR="00BA33D3">
        <w:rPr>
          <w:rFonts w:ascii="Lato" w:hAnsi="Lato" w:cs="Arial"/>
          <w:bCs/>
          <w:iCs/>
          <w:spacing w:val="4"/>
          <w:sz w:val="22"/>
          <w:szCs w:val="22"/>
        </w:rPr>
        <w:br/>
      </w:r>
      <w:r w:rsidRPr="0009014A">
        <w:rPr>
          <w:rFonts w:ascii="Lato" w:hAnsi="Lato" w:cs="Arial"/>
          <w:bCs/>
          <w:iCs/>
          <w:spacing w:val="4"/>
          <w:sz w:val="22"/>
          <w:szCs w:val="22"/>
        </w:rPr>
        <w:t xml:space="preserve">z o.o.) określa w szczególności ustawa CPK, akt założycielski, a co istotne </w:t>
      </w:r>
      <w:r w:rsidRPr="0009014A">
        <w:rPr>
          <w:rFonts w:ascii="Lato" w:hAnsi="Lato" w:cs="Arial"/>
          <w:bCs/>
          <w:iCs/>
          <w:spacing w:val="4"/>
          <w:sz w:val="22"/>
          <w:szCs w:val="22"/>
        </w:rPr>
        <w:br/>
        <w:t>do spółki, której akcjonariuszem jest wyłącznie Skarb Państwa, znajdują w określonym zakresie zastosowanie przepisy ustawy z dnia 16 grudnia 2016 r.</w:t>
      </w:r>
      <w:r w:rsidRPr="0009014A">
        <w:rPr>
          <w:rFonts w:ascii="Lato" w:hAnsi="Lato"/>
          <w:spacing w:val="4"/>
          <w:sz w:val="22"/>
          <w:szCs w:val="22"/>
        </w:rPr>
        <w:t xml:space="preserve"> </w:t>
      </w:r>
      <w:r w:rsidRPr="0009014A">
        <w:rPr>
          <w:rFonts w:ascii="Lato" w:hAnsi="Lato" w:cs="Arial"/>
          <w:bCs/>
          <w:iCs/>
          <w:spacing w:val="4"/>
          <w:sz w:val="22"/>
          <w:szCs w:val="22"/>
        </w:rPr>
        <w:t>o zasadach zarządzania mieniem państwowym</w:t>
      </w:r>
      <w:r w:rsidRPr="0009014A">
        <w:rPr>
          <w:rFonts w:ascii="Lato" w:hAnsi="Lato"/>
          <w:spacing w:val="4"/>
          <w:sz w:val="22"/>
          <w:szCs w:val="22"/>
        </w:rPr>
        <w:t xml:space="preserve"> (t.j. </w:t>
      </w:r>
      <w:r w:rsidRPr="0009014A">
        <w:rPr>
          <w:rFonts w:ascii="Lato" w:hAnsi="Lato" w:cs="Arial"/>
          <w:bCs/>
          <w:iCs/>
          <w:spacing w:val="4"/>
          <w:sz w:val="22"/>
          <w:szCs w:val="22"/>
        </w:rPr>
        <w:t>Dz. U. z 2026 r. poz. 373) – jako państwowej osoby prawnej, w rozumieniu art. 3 ust. 3 pkt 2 tej ustawy.</w:t>
      </w:r>
      <w:r w:rsidRPr="0009014A">
        <w:rPr>
          <w:rFonts w:ascii="Lato" w:hAnsi="Lato" w:cs="Arial"/>
          <w:color w:val="0A0A0A"/>
          <w:spacing w:val="4"/>
          <w:sz w:val="22"/>
          <w:szCs w:val="22"/>
          <w:shd w:val="clear" w:color="auto" w:fill="FFFFFF"/>
        </w:rPr>
        <w:t xml:space="preserve"> Zatem CPK Sp. z .o.o. choć </w:t>
      </w:r>
      <w:r w:rsidRPr="0009014A">
        <w:rPr>
          <w:rFonts w:ascii="Lato" w:hAnsi="Lato" w:cs="Arial"/>
          <w:bCs/>
          <w:iCs/>
          <w:color w:val="0A0A0A"/>
          <w:spacing w:val="4"/>
          <w:sz w:val="22"/>
          <w:szCs w:val="22"/>
          <w:shd w:val="clear" w:color="auto" w:fill="FFFFFF"/>
        </w:rPr>
        <w:t>korzysta z formy prawnej spółki z o.o.</w:t>
      </w:r>
      <w:r w:rsidRPr="0009014A">
        <w:rPr>
          <w:rFonts w:ascii="Lato" w:hAnsi="Lato" w:cs="Arial"/>
          <w:color w:val="0A0A0A"/>
          <w:spacing w:val="4"/>
          <w:sz w:val="22"/>
          <w:szCs w:val="22"/>
          <w:shd w:val="clear" w:color="auto" w:fill="FFFFFF"/>
        </w:rPr>
        <w:t xml:space="preserve"> </w:t>
      </w:r>
      <w:r w:rsidRPr="0009014A">
        <w:rPr>
          <w:rFonts w:ascii="Lato" w:hAnsi="Lato" w:cs="Arial"/>
          <w:bCs/>
          <w:iCs/>
          <w:spacing w:val="4"/>
          <w:sz w:val="22"/>
          <w:szCs w:val="22"/>
        </w:rPr>
        <w:t>stanowi w istocie państwową osobę prawną - wyspecjalizowany podmiot mający charakter operacyjno-wykonawczy Skarbu Państwa - spółkę państwową realizującą misję publiczną w rozumieniu art. 2 pkt 8 lit a ww. ustawy z dnia 16 grudnia 2016 r. o zasadach zarządzania mieniem państwowym, której przedmiot działalności albo cel działania został określony ustawą.</w:t>
      </w:r>
      <w:r w:rsidRPr="0009014A">
        <w:rPr>
          <w:rFonts w:ascii="Lato" w:hAnsi="Lato"/>
          <w:spacing w:val="4"/>
          <w:sz w:val="22"/>
          <w:szCs w:val="22"/>
        </w:rPr>
        <w:t xml:space="preserve"> Jak wyraźnie bowiem stanowi art. 2 pkt 10 ustawy CPK, Spółka Celowa została utworzona w celu zapewnienia przygotowania i realizacji Programu obejmującego Inwestycję, Inwestycje Towarzyszące oraz inne zadania oraz koordynacji i kontroli realizacji Przedsięwzięć, przy czym art. 3 ust. 1 ustawy CPK precyzuje, że realizacja Inwestycji i Inwestycji Towarzyszących stanowi cel publiczny </w:t>
      </w:r>
      <w:r w:rsidR="00BA33D3">
        <w:rPr>
          <w:rFonts w:ascii="Lato" w:hAnsi="Lato"/>
          <w:spacing w:val="4"/>
          <w:sz w:val="22"/>
          <w:szCs w:val="22"/>
        </w:rPr>
        <w:br/>
      </w:r>
      <w:r w:rsidRPr="0009014A">
        <w:rPr>
          <w:rFonts w:ascii="Lato" w:hAnsi="Lato"/>
          <w:spacing w:val="4"/>
          <w:sz w:val="22"/>
          <w:szCs w:val="22"/>
        </w:rPr>
        <w:t>w rozumieniu przepisów ugn.</w:t>
      </w:r>
      <w:r w:rsidRPr="0009014A">
        <w:rPr>
          <w:rFonts w:ascii="Lato" w:hAnsi="Lato" w:cs="Arial"/>
          <w:bCs/>
          <w:iCs/>
          <w:spacing w:val="4"/>
          <w:sz w:val="22"/>
          <w:szCs w:val="22"/>
        </w:rPr>
        <w:t xml:space="preserve"> Zatem zadania </w:t>
      </w:r>
      <w:r w:rsidRPr="0009014A">
        <w:rPr>
          <w:rFonts w:ascii="Lato" w:hAnsi="Lato"/>
          <w:bCs/>
          <w:iCs/>
          <w:spacing w:val="4"/>
          <w:sz w:val="22"/>
          <w:szCs w:val="22"/>
        </w:rPr>
        <w:t>realizowane przez Spółkę Celową mają charakter realizacji celów publicznych.</w:t>
      </w:r>
    </w:p>
    <w:p w14:paraId="155A8A0F" w14:textId="26E0E690"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rPr>
        <w:t xml:space="preserve">Odnośnie podnoszonej przez skarżących kwestii </w:t>
      </w:r>
      <w:r w:rsidRPr="0009014A">
        <w:rPr>
          <w:rFonts w:ascii="Lato" w:hAnsi="Lato" w:cs="Arial"/>
          <w:bCs/>
          <w:iCs/>
          <w:spacing w:val="4"/>
          <w:sz w:val="22"/>
          <w:szCs w:val="22"/>
          <w:lang w:bidi="pl-PL"/>
        </w:rPr>
        <w:t xml:space="preserve">referendum lokalnego, przede wszystkim podkreślić należy, iż przepisy ustawy CPK nie zobowiązują inwestora do poprzedzenia wystąpienia z wnioskiem o wydanie decyzji o ustaleniu lokalizacji inwestycji w zakresie CPK przeprowadzeniem uzgodnień, czy też konsultacji, które miałyby na celu ustalenie przebiegu projektowanej inwestycji z właścicielami </w:t>
      </w:r>
      <w:r w:rsidRPr="0009014A">
        <w:rPr>
          <w:rFonts w:ascii="Lato" w:hAnsi="Lato" w:cs="Arial"/>
          <w:bCs/>
          <w:iCs/>
          <w:spacing w:val="4"/>
          <w:sz w:val="22"/>
          <w:szCs w:val="22"/>
          <w:lang w:bidi="pl-PL"/>
        </w:rPr>
        <w:lastRenderedPageBreak/>
        <w:t xml:space="preserve">nieruchomości objętych inwestycją. Przepisy ustawy CPK nie nakładają obowiązku uzyskania społecznej akceptacji dla przedsięwzięcia. Sprzeciw mieszkańców gminy </w:t>
      </w:r>
      <w:r w:rsidR="00FF4DA6">
        <w:rPr>
          <w:rFonts w:ascii="Lato" w:hAnsi="Lato" w:cs="Arial"/>
          <w:bCs/>
          <w:iCs/>
          <w:spacing w:val="4"/>
          <w:sz w:val="22"/>
          <w:szCs w:val="22"/>
          <w:lang w:bidi="pl-PL"/>
        </w:rPr>
        <w:t>(…)</w:t>
      </w:r>
      <w:r w:rsidRPr="0009014A">
        <w:rPr>
          <w:rFonts w:ascii="Lato" w:hAnsi="Lato" w:cs="Arial"/>
          <w:bCs/>
          <w:iCs/>
          <w:spacing w:val="4"/>
          <w:sz w:val="22"/>
          <w:szCs w:val="22"/>
          <w:lang w:bidi="pl-PL"/>
        </w:rPr>
        <w:t xml:space="preserve"> wyrażony w referendum lokalnym nie mógł zatem stanowić podstawy do wydania przez Wojewodę Mazowieckiego negatywnej decyzji o ustaleniu lokalizacji przedmiotowej inwestycji w zakresie CPK. Zgodnie z art. 170 Konstytucji RP </w:t>
      </w:r>
      <w:r w:rsidRPr="0009014A">
        <w:rPr>
          <w:rFonts w:ascii="Lato" w:hAnsi="Lato" w:cs="Arial"/>
          <w:bCs/>
          <w:iCs/>
          <w:spacing w:val="4"/>
          <w:sz w:val="22"/>
          <w:szCs w:val="22"/>
          <w:lang w:bidi="pl-PL"/>
        </w:rPr>
        <w:br/>
        <w:t>w referendum lokalnym członkowie lokalnej społeczności mogą decydo</w:t>
      </w:r>
      <w:r w:rsidRPr="0009014A">
        <w:rPr>
          <w:rFonts w:ascii="Lato" w:hAnsi="Lato" w:cs="Arial"/>
          <w:bCs/>
          <w:iCs/>
          <w:spacing w:val="4"/>
          <w:sz w:val="22"/>
          <w:szCs w:val="22"/>
          <w:lang w:bidi="pl-PL"/>
        </w:rPr>
        <w:softHyphen/>
        <w:t xml:space="preserve">wać o sprawach dotyczących tej wspólnoty. Z treści art. 2 ust. 1 pkt 2 ww. ustawy z dnia 15 września 2000 r. o referendum lokalnym wynika wprost, że referendum gminne może dotyczyć wyłącznie spraw, które pozostają w kompetencji organów gminy. Art. 2 ust. 1 pkt 3 ww. ustawy z dnia 15 września 2000 r. o referendum lokalnym, umożliwia mieszkańcom gminy wyrażenie woli poprzez głosowanie w innych istotnych sprawach dotyczących społecznych, gospodarczych lub kulturowych więzi łączących daną wspólnotę, jednak „inne istotne sprawy” także nie mogą dotyczyć regulacji, które nie mieściłyby się </w:t>
      </w:r>
      <w:r w:rsidRPr="0009014A">
        <w:rPr>
          <w:rFonts w:ascii="Lato" w:hAnsi="Lato" w:cs="Arial"/>
          <w:bCs/>
          <w:iCs/>
          <w:spacing w:val="4"/>
          <w:sz w:val="22"/>
          <w:szCs w:val="22"/>
          <w:lang w:bidi="pl-PL"/>
        </w:rPr>
        <w:br/>
        <w:t xml:space="preserve">w kompetencji organu gminy przeprowadzającego referendum. Potwierdza to art. 65 ww. ustawy z dnia 15 września 2000 r. o referendum lokalnym, na podstawie którego </w:t>
      </w:r>
      <w:r w:rsidRPr="0009014A">
        <w:rPr>
          <w:rFonts w:ascii="Lato" w:hAnsi="Lato" w:cs="Arial"/>
          <w:bCs/>
          <w:iCs/>
          <w:spacing w:val="4"/>
          <w:sz w:val="22"/>
          <w:szCs w:val="22"/>
          <w:lang w:bidi="pl-PL"/>
        </w:rPr>
        <w:br/>
        <w:t>w przypadku, gdy wynik referendum kończy się wynikiem rozstrzygają</w:t>
      </w:r>
      <w:r w:rsidRPr="0009014A">
        <w:rPr>
          <w:rFonts w:ascii="Lato" w:hAnsi="Lato" w:cs="Arial"/>
          <w:bCs/>
          <w:iCs/>
          <w:spacing w:val="4"/>
          <w:sz w:val="22"/>
          <w:szCs w:val="22"/>
          <w:lang w:bidi="pl-PL"/>
        </w:rPr>
        <w:softHyphen/>
        <w:t>cym, organ jednostki samorządu terytorialnego, który je przeprowadził zobligowany jest niezwłocznie podjąć czynności w celu realizacji sprawy poddanej referendum.</w:t>
      </w:r>
    </w:p>
    <w:p w14:paraId="4D6F24E2" w14:textId="77777777"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Realizacja Inwestycji, dla której lokalizację ustalono w decyzji Wojewody Mazowieckiego podlega reżimowi ustawy CPK, zaś ta ustawa nie przewiduje żadnych kompetencji organów gminy, które mogłyby być wykorzystane dla realizacji rozstrzygnięcia referendum. Sprawa realiza</w:t>
      </w:r>
      <w:r w:rsidRPr="0009014A">
        <w:rPr>
          <w:rFonts w:ascii="Lato" w:hAnsi="Lato" w:cs="Arial"/>
          <w:bCs/>
          <w:iCs/>
          <w:spacing w:val="4"/>
          <w:sz w:val="22"/>
          <w:szCs w:val="22"/>
          <w:lang w:bidi="pl-PL"/>
        </w:rPr>
        <w:softHyphen/>
        <w:t>cji Inwestycji nie leży w kompetencji rady gminy czy też wójta gminy. W związku z powyższym charakter referendum lokalnego odnoszącego się do lokalizacji inwestycji publicznych może mieć jedynie charakter konsultacyjny. Wy</w:t>
      </w:r>
      <w:r w:rsidRPr="0009014A">
        <w:rPr>
          <w:rFonts w:ascii="Lato" w:hAnsi="Lato" w:cs="Arial"/>
          <w:bCs/>
          <w:iCs/>
          <w:spacing w:val="4"/>
          <w:sz w:val="22"/>
          <w:szCs w:val="22"/>
          <w:lang w:bidi="pl-PL"/>
        </w:rPr>
        <w:softHyphen/>
        <w:t xml:space="preserve">nik takiego referendum nie rozstrzyga o charakterze inwestycji realizowanych przez Skarb Państwa, jak również nie może wywierać wprost skutków prawnych w odniesieniu do inwestycji o znaczeniu ponadlokalnym. </w:t>
      </w:r>
    </w:p>
    <w:p w14:paraId="3BE6DE39" w14:textId="5A2EB7CC"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Nie wydaje się możliwe zaprojektowanie inwestycji, zwłaszcza jak w niniejszej sprawie </w:t>
      </w:r>
      <w:r w:rsidRPr="0009014A">
        <w:rPr>
          <w:rFonts w:ascii="Lato" w:hAnsi="Lato" w:cs="Arial"/>
          <w:bCs/>
          <w:iCs/>
          <w:spacing w:val="4"/>
          <w:sz w:val="22"/>
          <w:szCs w:val="22"/>
          <w:lang w:bidi="pl-PL"/>
        </w:rPr>
        <w:br/>
        <w:t>o tak znacznym zakresie terytorialnym, przez nieruchomości nie 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publicznej lub społecznej użyteczności w ramach społecznej funkcji prawa własności. Ewolucja polskiego systemu prawnego po uchwaleniu specustawy drogowej, która okazała się skutecznym narzędziem wywłaszczenia nieruchomości pod budowę dróg za odszkodowaniem, potwierdza trend, w którym prawo coraz silniej preferuje rozwój infrastruktury kosztem prawa własności, realizując w ten sposób społeczną funkcję własności. Specustawa drogowa stała się wzorem dla kolejnych specustaw infrastrukturalnych, w tym również ustawy CPK, co tylko umocniło ten kierunek zmian</w:t>
      </w:r>
      <w:r w:rsidR="00EB273A">
        <w:rPr>
          <w:rFonts w:ascii="Lato" w:hAnsi="Lato" w:cs="Arial"/>
          <w:bCs/>
          <w:iCs/>
          <w:spacing w:val="4"/>
          <w:sz w:val="22"/>
          <w:szCs w:val="22"/>
          <w:lang w:bidi="pl-PL"/>
        </w:rPr>
        <w:t>.</w:t>
      </w:r>
    </w:p>
    <w:p w14:paraId="22E80EAB" w14:textId="71C209FB"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Ustalenie lokalizacji inwestycji w zakresie CPK, w wielu wypadkach musi zatem uwzględniać sprzeczne i trudne do pogodzenia interesy, z jednej strony inwestora, </w:t>
      </w:r>
      <w:r w:rsidR="00090860">
        <w:rPr>
          <w:rFonts w:ascii="Lato" w:hAnsi="Lato" w:cs="Arial"/>
          <w:bCs/>
          <w:iCs/>
          <w:spacing w:val="4"/>
          <w:sz w:val="22"/>
          <w:szCs w:val="22"/>
          <w:lang w:bidi="pl-PL"/>
        </w:rPr>
        <w:br/>
      </w:r>
      <w:r w:rsidRPr="0009014A">
        <w:rPr>
          <w:rFonts w:ascii="Lato" w:hAnsi="Lato" w:cs="Arial"/>
          <w:bCs/>
          <w:iCs/>
          <w:spacing w:val="4"/>
          <w:sz w:val="22"/>
          <w:szCs w:val="22"/>
          <w:lang w:bidi="pl-PL"/>
        </w:rPr>
        <w:t xml:space="preserve">a z drugiej strony osób lub podmiotów których prawa lub interesy mogą być przez to zezwolenie zagrożone lub naruszone. Granice tych praw i interesów określają przepisy ustawy CPK mającej charakter regulacji wyjątkowej (bowiem wyłączającej m.in. stosowanie innych ustaw, w tym ustawy z dnia 3 lutego 1995 r. o ochronie gruntów rolnych i leśnych, jak i umożliwiającej lokalizację inwestycji wbrew ustaleniom miejscowego planu zagospodarowania przestrzennego). Poza tymi granicami, a zatem poza ochroną prawną wynikającą z norm prawa pozytywnego, pozostają natomiast protesty obywateli lub innych podmiotów wyrażające ich osobiste zapatrywania, </w:t>
      </w:r>
      <w:r w:rsidRPr="0009014A">
        <w:rPr>
          <w:rFonts w:ascii="Lato" w:hAnsi="Lato" w:cs="Arial"/>
          <w:bCs/>
          <w:iCs/>
          <w:spacing w:val="4"/>
          <w:sz w:val="22"/>
          <w:szCs w:val="22"/>
          <w:lang w:bidi="pl-PL"/>
        </w:rPr>
        <w:lastRenderedPageBreak/>
        <w:t>oczekiwania, postulaty i życzenia co do określonego przebiegu inwestycji, polityki planowania inwestycji. Nieuwzględnienie ich nie może jednak stanowić podstawy kwestionowania legalności ustalenia lokalizacji inwestycji w zakresie CPK.</w:t>
      </w:r>
    </w:p>
    <w:p w14:paraId="3B87876B"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bCs/>
          <w:iCs/>
          <w:spacing w:val="4"/>
          <w:sz w:val="22"/>
          <w:szCs w:val="22"/>
          <w:lang w:bidi="pl-PL"/>
        </w:rPr>
        <w:t xml:space="preserve">Błędne jest również stanowisko skarżących, że przedmiotowa inwestycja nie spełnia wymogów lotniska, gdyż wnioskodawca nie wystąpił do Prezesa Urzędu Lotnictwa Cywilnego o wydanie zezwolenia na założenie lotniska publicznego. </w:t>
      </w:r>
      <w:r w:rsidRPr="0009014A">
        <w:rPr>
          <w:rFonts w:ascii="Lato" w:hAnsi="Lato" w:cs="Arial"/>
          <w:color w:val="000000"/>
          <w:spacing w:val="4"/>
          <w:sz w:val="22"/>
          <w:szCs w:val="22"/>
        </w:rPr>
        <w:t xml:space="preserve">Zgodnie z art. 43 ust 1 pkt 9 ustawy CPK, do wniosku o wydanie decyzji o ustaleniu lokalizacji inwestycji </w:t>
      </w:r>
      <w:r w:rsidRPr="0009014A">
        <w:rPr>
          <w:rFonts w:ascii="Lato" w:hAnsi="Lato" w:cs="Arial"/>
          <w:color w:val="000000"/>
          <w:spacing w:val="4"/>
          <w:sz w:val="22"/>
          <w:szCs w:val="22"/>
        </w:rPr>
        <w:br/>
        <w:t xml:space="preserve">w zakresie CPK załącza się promesę zezwolenia na założenie lotniska, o której mowa </w:t>
      </w:r>
      <w:r w:rsidRPr="0009014A">
        <w:rPr>
          <w:rFonts w:ascii="Lato" w:hAnsi="Lato" w:cs="Arial"/>
          <w:color w:val="000000"/>
          <w:spacing w:val="4"/>
          <w:sz w:val="22"/>
          <w:szCs w:val="22"/>
        </w:rPr>
        <w:br/>
        <w:t>w art. 57 ustawy Prawo lotnicze. W dniu 21 lipca 2023 r. Prezes Urzędu Lotnictwa Cywilnego wydał promesę zezwolenia na założenie lotniska użytku publicznego (decyzja z dnia 21 lipca 2023 r., znak: LTL-1.601.1.2023.ULC.3), z okresem ważności do 30 lipca 2028 r., która została dołączona do wniosku o wydanie decyzji o ustaleniu lokalizacji inwestycji w zakresie CPK. W celu uzyskania zezwolenia na założenie lotniska użytku publicznego, zgodnie z zapisami promesy oraz zgodnie z art. 55 ust. 3 pkt 2 ustawy Prawo lotnicze, do wniosku o wydanie ww. zezwolenia wnio</w:t>
      </w:r>
      <w:r w:rsidRPr="0009014A">
        <w:rPr>
          <w:rFonts w:ascii="Lato" w:hAnsi="Lato" w:cs="Arial"/>
          <w:color w:val="000000"/>
          <w:spacing w:val="4"/>
          <w:sz w:val="22"/>
          <w:szCs w:val="22"/>
        </w:rPr>
        <w:softHyphen/>
        <w:t>skodawca jest obowiązany dołączyć odpis</w:t>
      </w:r>
      <w:r w:rsidRPr="0009014A">
        <w:rPr>
          <w:rFonts w:ascii="Lato" w:hAnsi="Lato"/>
          <w:spacing w:val="4"/>
          <w:sz w:val="22"/>
          <w:szCs w:val="22"/>
        </w:rPr>
        <w:t xml:space="preserve"> </w:t>
      </w:r>
      <w:r w:rsidRPr="0009014A">
        <w:rPr>
          <w:rFonts w:ascii="Lato" w:hAnsi="Lato" w:cs="Arial"/>
          <w:color w:val="000000"/>
          <w:spacing w:val="4"/>
          <w:sz w:val="22"/>
          <w:szCs w:val="22"/>
        </w:rPr>
        <w:t>decyzji o ustaleniu lokalizacji inwestycji lotniska Port Solidar</w:t>
      </w:r>
      <w:r w:rsidRPr="0009014A">
        <w:rPr>
          <w:rFonts w:ascii="Lato" w:hAnsi="Lato" w:cs="Arial"/>
          <w:color w:val="000000"/>
          <w:spacing w:val="4"/>
          <w:sz w:val="22"/>
          <w:szCs w:val="22"/>
        </w:rPr>
        <w:softHyphen/>
        <w:t>ność w rozumieniu przepisów ustawy CPK. W związku z czym uzyskanie decyzji lokalizacyjnej jest krokiem niezbędnym do uzyskania zezwolenia na założenie lotniska.</w:t>
      </w:r>
    </w:p>
    <w:p w14:paraId="5962F0C8" w14:textId="7A1CAA8A"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color w:val="000000"/>
          <w:spacing w:val="4"/>
          <w:sz w:val="22"/>
          <w:szCs w:val="22"/>
        </w:rPr>
        <w:t>Na uwzględnienie nie zasługuje zarzut Pana P</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K</w:t>
      </w:r>
      <w:r w:rsidR="00090860">
        <w:rPr>
          <w:rFonts w:ascii="Lato" w:hAnsi="Lato" w:cs="Arial"/>
          <w:color w:val="000000"/>
          <w:spacing w:val="4"/>
          <w:sz w:val="22"/>
          <w:szCs w:val="22"/>
        </w:rPr>
        <w:t>.</w:t>
      </w:r>
      <w:r w:rsidRPr="0009014A">
        <w:rPr>
          <w:rFonts w:ascii="Lato" w:hAnsi="Lato" w:cs="Arial"/>
          <w:bCs/>
          <w:iCs/>
          <w:spacing w:val="4"/>
          <w:sz w:val="22"/>
          <w:szCs w:val="22"/>
          <w:lang w:bidi="pl-PL"/>
        </w:rPr>
        <w:t xml:space="preserve">, </w:t>
      </w:r>
      <w:r w:rsidRPr="0009014A">
        <w:rPr>
          <w:rFonts w:ascii="Lato" w:hAnsi="Lato" w:cs="Arial"/>
          <w:bCs/>
          <w:iCs/>
          <w:color w:val="000000"/>
          <w:spacing w:val="4"/>
          <w:sz w:val="22"/>
          <w:szCs w:val="22"/>
          <w:lang w:bidi="pl-PL"/>
        </w:rPr>
        <w:t>Pani J</w:t>
      </w:r>
      <w:r w:rsidR="00090860">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090860">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M</w:t>
      </w:r>
      <w:r w:rsidR="00090860">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090860">
        <w:rPr>
          <w:rFonts w:ascii="Lato" w:hAnsi="Lato" w:cs="Arial"/>
          <w:bCs/>
          <w:iCs/>
          <w:color w:val="000000"/>
          <w:spacing w:val="4"/>
          <w:sz w:val="22"/>
          <w:szCs w:val="22"/>
          <w:lang w:bidi="pl-PL"/>
        </w:rPr>
        <w:t>.</w:t>
      </w:r>
      <w:r w:rsidRPr="0009014A">
        <w:rPr>
          <w:rFonts w:ascii="Lato" w:hAnsi="Lato" w:cs="Arial"/>
          <w:color w:val="000000"/>
          <w:spacing w:val="4"/>
          <w:sz w:val="22"/>
          <w:szCs w:val="22"/>
        </w:rPr>
        <w:t>, Pani A</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S</w:t>
      </w:r>
      <w:r w:rsidR="00090860">
        <w:rPr>
          <w:rFonts w:ascii="Lato" w:hAnsi="Lato" w:cs="Arial"/>
          <w:color w:val="000000"/>
          <w:spacing w:val="4"/>
          <w:sz w:val="22"/>
          <w:szCs w:val="22"/>
        </w:rPr>
        <w:t>.</w:t>
      </w:r>
      <w:r w:rsidRPr="0009014A">
        <w:rPr>
          <w:rFonts w:ascii="Lato" w:hAnsi="Lato" w:cs="Arial"/>
          <w:color w:val="000000"/>
          <w:spacing w:val="4"/>
          <w:sz w:val="22"/>
          <w:szCs w:val="22"/>
        </w:rPr>
        <w:t>, Pani K</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J</w:t>
      </w:r>
      <w:r w:rsidR="00090860">
        <w:rPr>
          <w:rFonts w:ascii="Lato" w:hAnsi="Lato" w:cs="Arial"/>
          <w:color w:val="000000"/>
          <w:spacing w:val="4"/>
          <w:sz w:val="22"/>
          <w:szCs w:val="22"/>
        </w:rPr>
        <w:t>.</w:t>
      </w:r>
      <w:r w:rsidRPr="0009014A">
        <w:rPr>
          <w:rFonts w:ascii="Lato" w:hAnsi="Lato" w:cs="Arial"/>
          <w:color w:val="000000"/>
          <w:spacing w:val="4"/>
          <w:sz w:val="22"/>
          <w:szCs w:val="22"/>
        </w:rPr>
        <w:t>, Pani E</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W</w:t>
      </w:r>
      <w:r w:rsidR="00090860">
        <w:rPr>
          <w:rFonts w:ascii="Lato" w:hAnsi="Lato" w:cs="Arial"/>
          <w:color w:val="000000"/>
          <w:spacing w:val="4"/>
          <w:sz w:val="22"/>
          <w:szCs w:val="22"/>
        </w:rPr>
        <w:t>.</w:t>
      </w:r>
      <w:r w:rsidRPr="0009014A">
        <w:rPr>
          <w:rFonts w:ascii="Lato" w:hAnsi="Lato" w:cs="Arial"/>
          <w:color w:val="000000"/>
          <w:spacing w:val="4"/>
          <w:sz w:val="22"/>
          <w:szCs w:val="22"/>
        </w:rPr>
        <w:t>, Pana R</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W</w:t>
      </w:r>
      <w:r w:rsidR="00090860">
        <w:rPr>
          <w:rFonts w:ascii="Lato" w:hAnsi="Lato" w:cs="Arial"/>
          <w:color w:val="000000"/>
          <w:spacing w:val="4"/>
          <w:sz w:val="22"/>
          <w:szCs w:val="22"/>
        </w:rPr>
        <w:t>.</w:t>
      </w:r>
      <w:r w:rsidRPr="0009014A">
        <w:rPr>
          <w:rFonts w:ascii="Lato" w:hAnsi="Lato" w:cs="Arial"/>
          <w:color w:val="000000"/>
          <w:spacing w:val="4"/>
          <w:sz w:val="22"/>
          <w:szCs w:val="22"/>
        </w:rPr>
        <w:t>, Pana T</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T</w:t>
      </w:r>
      <w:r w:rsidR="00090860">
        <w:rPr>
          <w:rFonts w:ascii="Lato" w:hAnsi="Lato" w:cs="Arial"/>
          <w:color w:val="000000"/>
          <w:spacing w:val="4"/>
          <w:sz w:val="22"/>
          <w:szCs w:val="22"/>
        </w:rPr>
        <w:t>.</w:t>
      </w:r>
      <w:r w:rsidRPr="0009014A">
        <w:rPr>
          <w:rFonts w:ascii="Lato" w:hAnsi="Lato" w:cs="Arial"/>
          <w:color w:val="000000"/>
          <w:spacing w:val="4"/>
          <w:sz w:val="22"/>
          <w:szCs w:val="22"/>
        </w:rPr>
        <w:t>, Pana S</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T</w:t>
      </w:r>
      <w:r w:rsidR="00090860">
        <w:rPr>
          <w:rFonts w:ascii="Lato" w:hAnsi="Lato" w:cs="Arial"/>
          <w:color w:val="000000"/>
          <w:spacing w:val="4"/>
          <w:sz w:val="22"/>
          <w:szCs w:val="22"/>
        </w:rPr>
        <w:t>.</w:t>
      </w:r>
      <w:r w:rsidRPr="0009014A">
        <w:rPr>
          <w:rFonts w:ascii="Lato" w:hAnsi="Lato" w:cs="Arial"/>
          <w:color w:val="000000"/>
          <w:spacing w:val="4"/>
          <w:sz w:val="22"/>
          <w:szCs w:val="22"/>
        </w:rPr>
        <w:t>, Pani W</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B</w:t>
      </w:r>
      <w:r w:rsidR="00090860">
        <w:rPr>
          <w:rFonts w:ascii="Lato" w:hAnsi="Lato" w:cs="Arial"/>
          <w:color w:val="000000"/>
          <w:spacing w:val="4"/>
          <w:sz w:val="22"/>
          <w:szCs w:val="22"/>
        </w:rPr>
        <w:t>.</w:t>
      </w:r>
      <w:r w:rsidRPr="0009014A">
        <w:rPr>
          <w:rFonts w:ascii="Lato" w:hAnsi="Lato" w:cs="Arial"/>
          <w:color w:val="000000"/>
          <w:spacing w:val="4"/>
          <w:sz w:val="22"/>
          <w:szCs w:val="22"/>
        </w:rPr>
        <w:t>, Pani M</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G</w:t>
      </w:r>
      <w:r w:rsidR="00090860">
        <w:rPr>
          <w:rFonts w:ascii="Lato" w:hAnsi="Lato" w:cs="Arial"/>
          <w:color w:val="000000"/>
          <w:spacing w:val="4"/>
          <w:sz w:val="22"/>
          <w:szCs w:val="22"/>
        </w:rPr>
        <w:t>.</w:t>
      </w:r>
      <w:r w:rsidRPr="0009014A">
        <w:rPr>
          <w:rFonts w:ascii="Lato" w:hAnsi="Lato" w:cs="Arial"/>
          <w:color w:val="000000"/>
          <w:spacing w:val="4"/>
          <w:sz w:val="22"/>
          <w:szCs w:val="22"/>
        </w:rPr>
        <w:t>, Pana K</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M</w:t>
      </w:r>
      <w:r w:rsidR="00090860">
        <w:rPr>
          <w:rFonts w:ascii="Lato" w:hAnsi="Lato" w:cs="Arial"/>
          <w:color w:val="000000"/>
          <w:spacing w:val="4"/>
          <w:sz w:val="22"/>
          <w:szCs w:val="22"/>
        </w:rPr>
        <w:t>.</w:t>
      </w:r>
      <w:r w:rsidRPr="0009014A">
        <w:rPr>
          <w:rFonts w:ascii="Lato" w:hAnsi="Lato" w:cs="Arial"/>
          <w:color w:val="000000"/>
          <w:spacing w:val="4"/>
          <w:sz w:val="22"/>
          <w:szCs w:val="22"/>
        </w:rPr>
        <w:t>, Pana K</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O</w:t>
      </w:r>
      <w:r w:rsidR="00090860">
        <w:rPr>
          <w:rFonts w:ascii="Lato" w:hAnsi="Lato" w:cs="Arial"/>
          <w:color w:val="000000"/>
          <w:spacing w:val="4"/>
          <w:sz w:val="22"/>
          <w:szCs w:val="22"/>
        </w:rPr>
        <w:t>.</w:t>
      </w:r>
      <w:r w:rsidRPr="0009014A">
        <w:rPr>
          <w:rFonts w:ascii="Lato" w:hAnsi="Lato" w:cs="Arial"/>
          <w:color w:val="000000"/>
          <w:spacing w:val="4"/>
          <w:sz w:val="22"/>
          <w:szCs w:val="22"/>
        </w:rPr>
        <w:t>,</w:t>
      </w:r>
      <w:r w:rsidRPr="0009014A">
        <w:rPr>
          <w:rFonts w:ascii="Lato" w:eastAsia="Calibri" w:hAnsi="Lato" w:cs="Arial"/>
          <w:spacing w:val="4"/>
          <w:sz w:val="22"/>
          <w:szCs w:val="22"/>
        </w:rPr>
        <w:t xml:space="preserve"> </w:t>
      </w:r>
      <w:r w:rsidRPr="0009014A">
        <w:rPr>
          <w:rFonts w:ascii="Lato" w:hAnsi="Lato" w:cs="Arial"/>
          <w:color w:val="000000"/>
          <w:spacing w:val="4"/>
          <w:sz w:val="22"/>
          <w:szCs w:val="22"/>
        </w:rPr>
        <w:t>Pana M</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B</w:t>
      </w:r>
      <w:r w:rsidR="00090860">
        <w:rPr>
          <w:rFonts w:ascii="Lato" w:hAnsi="Lato" w:cs="Arial"/>
          <w:color w:val="000000"/>
          <w:spacing w:val="4"/>
          <w:sz w:val="22"/>
          <w:szCs w:val="22"/>
        </w:rPr>
        <w:t>.</w:t>
      </w:r>
      <w:r w:rsidRPr="0009014A">
        <w:rPr>
          <w:rFonts w:ascii="Lato" w:hAnsi="Lato" w:cs="Arial"/>
          <w:color w:val="000000"/>
          <w:spacing w:val="4"/>
          <w:sz w:val="22"/>
          <w:szCs w:val="22"/>
        </w:rPr>
        <w:t>,</w:t>
      </w:r>
      <w:r w:rsidRPr="0009014A">
        <w:rPr>
          <w:rFonts w:ascii="Lato" w:eastAsia="Calibri" w:hAnsi="Lato" w:cs="Arial"/>
          <w:spacing w:val="4"/>
          <w:sz w:val="22"/>
          <w:szCs w:val="22"/>
        </w:rPr>
        <w:t xml:space="preserve"> </w:t>
      </w:r>
      <w:r w:rsidRPr="0009014A">
        <w:rPr>
          <w:rFonts w:ascii="Lato" w:hAnsi="Lato" w:cs="Arial"/>
          <w:color w:val="000000"/>
          <w:spacing w:val="4"/>
          <w:sz w:val="22"/>
          <w:szCs w:val="22"/>
        </w:rPr>
        <w:t>Pana W</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B</w:t>
      </w:r>
      <w:r w:rsidR="00090860">
        <w:rPr>
          <w:rFonts w:ascii="Lato" w:hAnsi="Lato" w:cs="Arial"/>
          <w:color w:val="000000"/>
          <w:spacing w:val="4"/>
          <w:sz w:val="22"/>
          <w:szCs w:val="22"/>
        </w:rPr>
        <w:t>.</w:t>
      </w:r>
      <w:r w:rsidRPr="0009014A">
        <w:rPr>
          <w:rFonts w:ascii="Lato" w:hAnsi="Lato" w:cs="Arial"/>
          <w:color w:val="000000"/>
          <w:spacing w:val="4"/>
          <w:sz w:val="22"/>
          <w:szCs w:val="22"/>
        </w:rPr>
        <w:t>,</w:t>
      </w:r>
      <w:r w:rsidRPr="0009014A">
        <w:rPr>
          <w:rFonts w:ascii="Lato" w:eastAsia="Calibri" w:hAnsi="Lato" w:cs="Arial"/>
          <w:spacing w:val="4"/>
          <w:sz w:val="22"/>
          <w:szCs w:val="22"/>
        </w:rPr>
        <w:t xml:space="preserve"> </w:t>
      </w:r>
      <w:r w:rsidRPr="0009014A">
        <w:rPr>
          <w:rFonts w:ascii="Lato" w:hAnsi="Lato" w:cs="Arial"/>
          <w:color w:val="000000"/>
          <w:spacing w:val="4"/>
          <w:sz w:val="22"/>
          <w:szCs w:val="22"/>
        </w:rPr>
        <w:t>Pani J</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B</w:t>
      </w:r>
      <w:r w:rsidR="00090860">
        <w:rPr>
          <w:rFonts w:ascii="Lato" w:hAnsi="Lato" w:cs="Arial"/>
          <w:color w:val="000000"/>
          <w:spacing w:val="4"/>
          <w:sz w:val="22"/>
          <w:szCs w:val="22"/>
        </w:rPr>
        <w:t>.</w:t>
      </w:r>
      <w:r w:rsidRPr="0009014A">
        <w:rPr>
          <w:rFonts w:ascii="Lato" w:hAnsi="Lato" w:cs="Arial"/>
          <w:color w:val="000000"/>
          <w:spacing w:val="4"/>
          <w:sz w:val="22"/>
          <w:szCs w:val="22"/>
        </w:rPr>
        <w:t>,</w:t>
      </w:r>
      <w:r w:rsidRPr="0009014A">
        <w:rPr>
          <w:rFonts w:ascii="Lato" w:eastAsia="Calibri" w:hAnsi="Lato" w:cs="Arial"/>
          <w:spacing w:val="4"/>
          <w:sz w:val="22"/>
          <w:szCs w:val="22"/>
        </w:rPr>
        <w:t xml:space="preserve"> </w:t>
      </w:r>
      <w:r w:rsidRPr="0009014A">
        <w:rPr>
          <w:rFonts w:ascii="Lato" w:hAnsi="Lato" w:cs="Arial"/>
          <w:color w:val="000000"/>
          <w:spacing w:val="4"/>
          <w:sz w:val="22"/>
          <w:szCs w:val="22"/>
        </w:rPr>
        <w:t>Pana A</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T</w:t>
      </w:r>
      <w:r w:rsidR="00090860">
        <w:rPr>
          <w:rFonts w:ascii="Lato" w:hAnsi="Lato" w:cs="Arial"/>
          <w:color w:val="000000"/>
          <w:spacing w:val="4"/>
          <w:sz w:val="22"/>
          <w:szCs w:val="22"/>
        </w:rPr>
        <w:t>.</w:t>
      </w:r>
      <w:r w:rsidRPr="0009014A">
        <w:rPr>
          <w:rFonts w:ascii="Lato" w:hAnsi="Lato" w:cs="Arial"/>
          <w:color w:val="000000"/>
          <w:spacing w:val="4"/>
          <w:sz w:val="22"/>
          <w:szCs w:val="22"/>
        </w:rPr>
        <w:t>,</w:t>
      </w:r>
      <w:r w:rsidRPr="0009014A">
        <w:rPr>
          <w:rFonts w:ascii="Lato" w:eastAsia="Calibri" w:hAnsi="Lato" w:cs="Arial"/>
          <w:spacing w:val="4"/>
          <w:sz w:val="22"/>
          <w:szCs w:val="22"/>
        </w:rPr>
        <w:t xml:space="preserve"> </w:t>
      </w:r>
      <w:r w:rsidRPr="0009014A">
        <w:rPr>
          <w:rFonts w:ascii="Lato" w:hAnsi="Lato" w:cs="Arial"/>
          <w:color w:val="000000"/>
          <w:spacing w:val="4"/>
          <w:sz w:val="22"/>
          <w:szCs w:val="22"/>
        </w:rPr>
        <w:t>Pana M</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J</w:t>
      </w:r>
      <w:r w:rsidR="00090860">
        <w:rPr>
          <w:rFonts w:ascii="Lato" w:hAnsi="Lato" w:cs="Arial"/>
          <w:color w:val="000000"/>
          <w:spacing w:val="4"/>
          <w:sz w:val="22"/>
          <w:szCs w:val="22"/>
        </w:rPr>
        <w:t>.</w:t>
      </w:r>
      <w:r w:rsidRPr="0009014A">
        <w:rPr>
          <w:rFonts w:ascii="Lato" w:hAnsi="Lato" w:cs="Arial"/>
          <w:color w:val="000000"/>
          <w:spacing w:val="4"/>
          <w:sz w:val="22"/>
          <w:szCs w:val="22"/>
        </w:rPr>
        <w:t>, Pana K</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S</w:t>
      </w:r>
      <w:r w:rsidR="00090860">
        <w:rPr>
          <w:rFonts w:ascii="Lato" w:hAnsi="Lato" w:cs="Arial"/>
          <w:color w:val="000000"/>
          <w:spacing w:val="4"/>
          <w:sz w:val="22"/>
          <w:szCs w:val="22"/>
        </w:rPr>
        <w:t>.</w:t>
      </w:r>
      <w:r w:rsidRPr="0009014A">
        <w:rPr>
          <w:rFonts w:ascii="Lato" w:hAnsi="Lato" w:cs="Arial"/>
          <w:color w:val="000000"/>
          <w:spacing w:val="4"/>
          <w:sz w:val="22"/>
          <w:szCs w:val="22"/>
        </w:rPr>
        <w:t xml:space="preserve"> dotyczący naruszenia art. 43 ust. 1 pkt 8 ustawy CPK poprzez jego rażące naruszenie i wydanie zaskarżonej decyzji na podstawie wniosku, do którego nie została dołączona prawomocna i ostateczna decyzja o środowiskowych uwarunkowaniach. W zakresie tego zarzutu Minister podtrzymuje argumentację zawartą wcześniej w niniejszej decyzji odnośnie tożsamego w swej istocie zarzutu odwołania </w:t>
      </w:r>
      <w:r w:rsidRPr="0009014A">
        <w:rPr>
          <w:rFonts w:ascii="Lato" w:hAnsi="Lato" w:cs="Arial"/>
          <w:bCs/>
          <w:iCs/>
          <w:color w:val="000000"/>
          <w:spacing w:val="4"/>
          <w:sz w:val="22"/>
          <w:szCs w:val="22"/>
        </w:rPr>
        <w:t>Państwa K</w:t>
      </w:r>
      <w:r w:rsidR="00090860">
        <w:rPr>
          <w:rFonts w:ascii="Lato" w:hAnsi="Lato" w:cs="Arial"/>
          <w:bCs/>
          <w:iCs/>
          <w:color w:val="000000"/>
          <w:spacing w:val="4"/>
          <w:sz w:val="22"/>
          <w:szCs w:val="22"/>
        </w:rPr>
        <w:t>.</w:t>
      </w:r>
      <w:r w:rsidRPr="0009014A">
        <w:rPr>
          <w:rFonts w:ascii="Lato" w:hAnsi="Lato" w:cs="Arial"/>
          <w:bCs/>
          <w:iCs/>
          <w:color w:val="000000"/>
          <w:spacing w:val="4"/>
          <w:sz w:val="22"/>
          <w:szCs w:val="22"/>
        </w:rPr>
        <w:t xml:space="preserve"> i spółki </w:t>
      </w:r>
      <w:r w:rsidR="00090860">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p>
    <w:p w14:paraId="43BC0B7D"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bCs/>
          <w:iCs/>
          <w:color w:val="000000"/>
          <w:spacing w:val="4"/>
          <w:sz w:val="22"/>
          <w:szCs w:val="22"/>
          <w:lang w:bidi="pl-PL"/>
        </w:rPr>
        <w:t xml:space="preserve">Za niezasadny należy uznać zarzut ww. skarżących dotyczący naruszenia </w:t>
      </w:r>
      <w:r w:rsidRPr="0009014A">
        <w:rPr>
          <w:rFonts w:ascii="Lato" w:hAnsi="Lato" w:cs="Arial"/>
          <w:color w:val="000000"/>
          <w:spacing w:val="4"/>
          <w:sz w:val="22"/>
          <w:szCs w:val="22"/>
        </w:rPr>
        <w:t>art. 41 ust. 1 pkt 15 w zw. z art. 43 ust. 1 pkt 10 ustawy CPK poprzez jego rażące naruszenie i wydanie zaskarżonej decyzji pomimo braku dołączenia do wniosku inwestora opinii lub dowodu doręczenia wniosku o wydanie opinii do Starosty Powiatu Sochaczewskiego w zakresie masowych ruchów ziemi.</w:t>
      </w:r>
    </w:p>
    <w:p w14:paraId="2011844B" w14:textId="63AC700F"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spacing w:val="4"/>
          <w:sz w:val="22"/>
          <w:szCs w:val="22"/>
        </w:rPr>
        <w:t xml:space="preserve">Zgodnie z art. 43 ust. 1 pkt 10 ustawy CPK do wniosku o wydanie decyzji o ustaleniu lokalizacji inwestycji w zakresie CPK załącza się opinie, o których mowa w </w:t>
      </w:r>
      <w:hyperlink r:id="rId15" w:history="1">
        <w:r w:rsidRPr="0009014A">
          <w:rPr>
            <w:rFonts w:ascii="Lato" w:hAnsi="Lato" w:cs="Arial"/>
            <w:spacing w:val="4"/>
            <w:sz w:val="22"/>
            <w:szCs w:val="22"/>
          </w:rPr>
          <w:t>art. 41 ust. 1</w:t>
        </w:r>
      </w:hyperlink>
      <w:r w:rsidRPr="0009014A">
        <w:rPr>
          <w:rFonts w:ascii="Lato" w:hAnsi="Lato" w:cs="Arial"/>
          <w:spacing w:val="4"/>
          <w:sz w:val="22"/>
          <w:szCs w:val="22"/>
        </w:rPr>
        <w:t xml:space="preserve">, albo dowody doręczenia wniosków o wydanie tych opinii. W myśl art. 41 ust. 1 pkt 15 ustawy CPK, Spółka Celowa składa wniosek o wydanie decyzji po uzyskaniu opinii starosty w zakresie masowych ruchów ziemi. </w:t>
      </w:r>
      <w:r w:rsidRPr="0009014A">
        <w:rPr>
          <w:rFonts w:ascii="Lato" w:hAnsi="Lato" w:cs="Arial"/>
          <w:color w:val="000000"/>
          <w:spacing w:val="4"/>
          <w:sz w:val="22"/>
          <w:szCs w:val="22"/>
        </w:rPr>
        <w:t>Wnioskiem z dnia 14 września 2023 r. inwestor wystąpił do Starosty Powiatu Sochaczewskiego o wydanie opi</w:t>
      </w:r>
      <w:r w:rsidRPr="0009014A">
        <w:rPr>
          <w:rFonts w:ascii="Lato" w:hAnsi="Lato" w:cs="Arial"/>
          <w:color w:val="000000"/>
          <w:spacing w:val="4"/>
          <w:sz w:val="22"/>
          <w:szCs w:val="22"/>
        </w:rPr>
        <w:softHyphen/>
        <w:t xml:space="preserve">nii w zakresie masowych ruchów ziemi. Pismem z dnia 5 października 2023 r., znak: ORN.0021.33.2023.MO, Starosta Powiatu Sochaczewskiego pozytywnie zaopiniował przedstawiony materiał, również w zakresie masowych ruchów ziemi, informując, że na całym ternie planowanej inwestycji CPK w gminie </w:t>
      </w:r>
      <w:r w:rsidR="00FF4DA6">
        <w:rPr>
          <w:rFonts w:ascii="Lato" w:hAnsi="Lato" w:cs="Arial"/>
          <w:color w:val="000000"/>
          <w:spacing w:val="4"/>
          <w:sz w:val="22"/>
          <w:szCs w:val="22"/>
        </w:rPr>
        <w:t>(…)</w:t>
      </w:r>
      <w:r w:rsidRPr="0009014A">
        <w:rPr>
          <w:rFonts w:ascii="Lato" w:hAnsi="Lato" w:cs="Arial"/>
          <w:color w:val="000000"/>
          <w:spacing w:val="4"/>
          <w:sz w:val="22"/>
          <w:szCs w:val="22"/>
        </w:rPr>
        <w:t xml:space="preserve"> nie ma osuwisk oraz terenów zagrożonych ruchami masowymi ziemi. Pismo to zostało załączone do wniosku </w:t>
      </w:r>
      <w:r w:rsidRPr="0009014A">
        <w:rPr>
          <w:rFonts w:ascii="Lato" w:hAnsi="Lato" w:cs="Arial"/>
          <w:color w:val="000000"/>
          <w:spacing w:val="4"/>
          <w:sz w:val="22"/>
          <w:szCs w:val="22"/>
        </w:rPr>
        <w:br/>
        <w:t>o wydanie decyzji o ustaleniu lokalizacji inwestycji w zakresie CPK.</w:t>
      </w:r>
    </w:p>
    <w:p w14:paraId="5B0CE878"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bCs/>
          <w:iCs/>
          <w:color w:val="000000"/>
          <w:spacing w:val="4"/>
          <w:sz w:val="22"/>
          <w:szCs w:val="22"/>
          <w:lang w:bidi="pl-PL"/>
        </w:rPr>
        <w:t xml:space="preserve">Za niezasadny należy uznać zarzut ww. skarżących dotyczący naruszenia </w:t>
      </w:r>
      <w:r w:rsidRPr="0009014A">
        <w:rPr>
          <w:rFonts w:ascii="Lato" w:hAnsi="Lato" w:cs="Arial"/>
          <w:color w:val="000000"/>
          <w:spacing w:val="4"/>
          <w:sz w:val="22"/>
          <w:szCs w:val="22"/>
        </w:rPr>
        <w:t xml:space="preserve">art. 41 ust. 1 pkt 1 w zw. z art. 43 ust. 1 pkt 10 ustawy CPK poprzez jego rażące naruszenie i wydanie zaskrzonej decyzji pomimo braku dołączenia do wniosku opinii lub dowodu doręczenia wniosku o wydanie opinii do zarządu powiatów grodziskiego oraz żyrardowskiego. </w:t>
      </w:r>
    </w:p>
    <w:p w14:paraId="193F186A"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color w:val="000000"/>
          <w:spacing w:val="4"/>
          <w:sz w:val="22"/>
          <w:szCs w:val="22"/>
        </w:rPr>
        <w:lastRenderedPageBreak/>
        <w:t>Zgodnie z art. 43 ust. 1 pkt 10 ustawy CPK do wniosku o wydanie decyzji o ustaleniu lokalizacji inwestycji w zakresie CPK załącza się opinie, o których mowa w art. 41 ust. 1, albo dowody doręczenia wniosków o wydanie tych opinii. W myśl art. 41 ust. 1 pkt 1 ustawy CPK, Spółka Celowa składa wniosek o wydanie decyzji po uzyskaniu opinii zarządu województwa, zarządu powiatu oraz wójta (burmistrza, prezydenta miasta).</w:t>
      </w:r>
      <w:r w:rsidRPr="0009014A">
        <w:rPr>
          <w:rFonts w:ascii="Lato" w:hAnsi="Lato" w:cs="Arial"/>
          <w:color w:val="000000"/>
          <w:spacing w:val="4"/>
          <w:sz w:val="22"/>
          <w:szCs w:val="22"/>
        </w:rPr>
        <w:br/>
        <w:t>W odniesieniu do Zarządu Powiatu Żyrardowskiego i Zarządu Powiatu Grodziskiego  wystą</w:t>
      </w:r>
      <w:r w:rsidRPr="0009014A">
        <w:rPr>
          <w:rFonts w:ascii="Lato" w:hAnsi="Lato" w:cs="Arial"/>
          <w:color w:val="000000"/>
          <w:spacing w:val="4"/>
          <w:sz w:val="22"/>
          <w:szCs w:val="22"/>
        </w:rPr>
        <w:softHyphen/>
        <w:t>pił brak przekazania stosownych opinii w terminie 21 dni od dnia doręczenia wniosku o ich wydanie. Wnioski o wy</w:t>
      </w:r>
      <w:r w:rsidRPr="0009014A">
        <w:rPr>
          <w:rFonts w:ascii="Lato" w:hAnsi="Lato" w:cs="Arial"/>
          <w:color w:val="000000"/>
          <w:spacing w:val="4"/>
          <w:sz w:val="22"/>
          <w:szCs w:val="22"/>
        </w:rPr>
        <w:softHyphen/>
        <w:t>danie opinii zostały doręczone do organów w dniu 14 września 2023 r. Dowody doręczenia wniosków (tzw. urzędowe poświadczenia przedłożenia) do ww. organów zostały załączone przez inwestora do wniosku o wydanie decyzji o ustaleniu lokalizacji inwestycji w zakresie CPK. Zgodnie z art. 41 ust. 2 ustawy CPK, niewydanie opinii, o których mowa w ust. 1 tego przepisu, w terminie 21 dni od dnia doręczenia wniosku o wydanie opinii, traktuje się jako brak zastrzeżeń do wniosku.</w:t>
      </w:r>
    </w:p>
    <w:p w14:paraId="249865AA"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bCs/>
          <w:iCs/>
          <w:color w:val="000000"/>
          <w:spacing w:val="4"/>
          <w:sz w:val="22"/>
          <w:szCs w:val="22"/>
          <w:lang w:bidi="pl-PL"/>
        </w:rPr>
        <w:t xml:space="preserve">Za niezasadny należy uznać zarzut ww. skarżących dotyczący naruszenia </w:t>
      </w:r>
      <w:r w:rsidRPr="0009014A">
        <w:rPr>
          <w:rFonts w:ascii="Lato" w:hAnsi="Lato" w:cs="Arial"/>
          <w:color w:val="000000"/>
          <w:spacing w:val="4"/>
          <w:sz w:val="22"/>
          <w:szCs w:val="22"/>
        </w:rPr>
        <w:t xml:space="preserve">art. 41 ust. 1 pkt 5 i 6 w zw. z art. 43 ust. 1 pkt 10 ustawy CPK poprzez jego rażące naruszenie </w:t>
      </w:r>
      <w:r w:rsidRPr="0009014A">
        <w:rPr>
          <w:rFonts w:ascii="Lato" w:hAnsi="Lato" w:cs="Arial"/>
          <w:color w:val="000000"/>
          <w:spacing w:val="4"/>
          <w:sz w:val="22"/>
          <w:szCs w:val="22"/>
        </w:rPr>
        <w:br/>
        <w:t xml:space="preserve">i wydanie zaskarżonej decyzji pomimo braku dołączenia do wniosku opinii lub dowodu doręczenia wniosku o wydanie opinii do ministra właściwego do spraw zdrowia </w:t>
      </w:r>
      <w:r w:rsidRPr="0009014A">
        <w:rPr>
          <w:rFonts w:ascii="Lato" w:hAnsi="Lato" w:cs="Arial"/>
          <w:color w:val="000000"/>
          <w:spacing w:val="4"/>
          <w:sz w:val="22"/>
          <w:szCs w:val="22"/>
        </w:rPr>
        <w:br/>
        <w:t xml:space="preserve">- w odniesieniu do inwestycji lokalizowanej w miejscowościach uzdrowiskowych, zgodnie z przepisami ustawy z dnia 28 lipca 2005 r. o lecznictwie uzdrowiskowym, uzdrowiskach i obszarach ochrony uzdrowiskowej oraz o gminach uzdrowiskowych </w:t>
      </w:r>
      <w:r w:rsidRPr="0009014A">
        <w:rPr>
          <w:rFonts w:ascii="Lato" w:hAnsi="Lato" w:cs="Arial"/>
          <w:color w:val="000000"/>
          <w:spacing w:val="4"/>
          <w:sz w:val="22"/>
          <w:szCs w:val="22"/>
        </w:rPr>
        <w:br/>
        <w:t xml:space="preserve">(t.j. Dz.U. z 2025 r. poz. 1135), a także do ministra właściwego do spraw rozwoju wsi - w odniesieniu do gruntów rolnych oraz rolniczej przestrzeni produkcyjnej, „albowiem do wniosku o wydanie skarżonej decyzji załączono jedynie pozytywną opinię </w:t>
      </w:r>
      <w:r w:rsidRPr="0009014A">
        <w:rPr>
          <w:rFonts w:ascii="Lato" w:hAnsi="Lato" w:cs="Arial"/>
          <w:color w:val="000000"/>
          <w:spacing w:val="4"/>
          <w:sz w:val="22"/>
          <w:szCs w:val="22"/>
        </w:rPr>
        <w:br/>
        <w:t>z zastrzeżeniami ministra właściwego do spraw zdrowia - w odniesieniu do gruntów rolnych oraz rolniczej przestrzeni produkcyjnej”.</w:t>
      </w:r>
    </w:p>
    <w:p w14:paraId="0580E55B"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color w:val="000000"/>
          <w:spacing w:val="4"/>
          <w:sz w:val="22"/>
          <w:szCs w:val="22"/>
        </w:rPr>
        <w:t>W myśl art. 41 ust. 1 pkt 5 i 6 ustawy CPK, Spółka Celowa składa wniosek o wydanie decyzji po uzyskaniu opinii: ministra właściwego do spraw zdrowia - w odniesieniu do Inwestycji lokalizowanej w miejscowościach uzdrowiskowych, zgodnie z przepisami ww. ustawy z dnia 28 lipca 2005 r. o lecznictwie uzdrowiskowym, uzdrowiskach i obszarach ochrony uzdrowiskowej oraz o gminach uzdrowiskowych; ministra właściwego do spraw rozwoju wsi - w odniesieniu do gruntów rolnych oraz rolniczej przestrzeni produkcyjnej. Należy uwzględnić okoliczność, że nie wszystkie opinie wymienione w art. 41 ust. 1 ustawy CPK będą musiały być przedłożone w konkretnej sprawie. Przepis ten określa bowiem katalog niezbędnych opinii, o ile w konkretnej sytuacji dokumenty te będą konieczne ze względu na istniejące indywidualne uwarunkowania prawne i faktyczne miejsca, w którym projektowana jest inwestycja. Opinie te konieczne są tylko zatem wtedy, gdy na terenie inwestycji objętej wnioskiem znajdą się obszary lub inne obiekty wymienione w powołanym ust. 1 art. 41 ustawy CPK. W związku z faktem,</w:t>
      </w:r>
      <w:r w:rsidRPr="0009014A">
        <w:rPr>
          <w:rFonts w:ascii="Lato" w:hAnsi="Lato" w:cs="Arial"/>
          <w:i/>
          <w:iCs/>
          <w:color w:val="000000"/>
          <w:spacing w:val="4"/>
          <w:sz w:val="22"/>
          <w:szCs w:val="22"/>
        </w:rPr>
        <w:t xml:space="preserve"> </w:t>
      </w:r>
      <w:r w:rsidRPr="0009014A">
        <w:rPr>
          <w:rFonts w:ascii="Lato" w:hAnsi="Lato" w:cs="Arial"/>
          <w:color w:val="000000"/>
          <w:spacing w:val="4"/>
          <w:sz w:val="22"/>
          <w:szCs w:val="22"/>
        </w:rPr>
        <w:t>że Inwestycja objęta wnioskiem inwestora nie jest lokalizowana w miejscowościach uzdrowiskowych, zgodnie z przepisami ww. ustawy z dnia 28 lipca 2005 r. o lecznictwie uzdrowiskowym, uzdrowiskach i obszarach ochrony uzdrowiskowej oraz o gminach uzdrowiskowych, inwestor nie wystąpił o opinię ministra wła</w:t>
      </w:r>
      <w:r w:rsidRPr="0009014A">
        <w:rPr>
          <w:rFonts w:ascii="Lato" w:hAnsi="Lato" w:cs="Arial"/>
          <w:color w:val="000000"/>
          <w:spacing w:val="4"/>
          <w:sz w:val="22"/>
          <w:szCs w:val="22"/>
        </w:rPr>
        <w:softHyphen/>
        <w:t>ściwego do spraw zdrowia i nie miał obowiązku dołączyć do wniosku o wydanie decyzji lokalizacyjnej dowodu doręczenia wniosku o wydanie ww. opinii. W załączniku nr 6 pn. „Opinie, o których mowa w art. 41 ust. 1 Ustawy o CPK wraz z dowodami doręczenia o wydanie opinii” do wniosku lokalizacyjnego wyraźnie podano, że opinia ministra właściwego do spraw zdrowia nie jest wymaga, albowiem inwestycja jest zlokalizowana poza miejscowościami uzdrowiskowymi. Zgodnie z informacjami zamieszczonymi w ww. załączniku nr 6 do wniosku lokalizacyjnego, w dniu 14 września 2023 r. inwestor wy</w:t>
      </w:r>
      <w:r w:rsidRPr="0009014A">
        <w:rPr>
          <w:rFonts w:ascii="Lato" w:hAnsi="Lato" w:cs="Arial"/>
          <w:color w:val="000000"/>
          <w:spacing w:val="4"/>
          <w:sz w:val="22"/>
          <w:szCs w:val="22"/>
        </w:rPr>
        <w:softHyphen/>
        <w:t xml:space="preserve">stąpił do ministra właściwego do spraw rozwoju wsi z wnioskiem o opinię w odniesieniu do gruntów rolnych oraz rolniczej przestrzeni produkcyjnej. W piśmie z dnia 28 września 2023 r., znak: DNI.tr.600.99.2023, Minister Rolnictwa i Rozwoju Wsi wydał pozytywną opinię we </w:t>
      </w:r>
      <w:r w:rsidRPr="0009014A">
        <w:rPr>
          <w:rFonts w:ascii="Lato" w:hAnsi="Lato" w:cs="Arial"/>
          <w:color w:val="000000"/>
          <w:spacing w:val="4"/>
          <w:sz w:val="22"/>
          <w:szCs w:val="22"/>
        </w:rPr>
        <w:lastRenderedPageBreak/>
        <w:t>wnioskowanym zakresie, która została dołączona do wniosku o wyda</w:t>
      </w:r>
      <w:r w:rsidRPr="0009014A">
        <w:rPr>
          <w:rFonts w:ascii="Lato" w:hAnsi="Lato" w:cs="Arial"/>
          <w:color w:val="000000"/>
          <w:spacing w:val="4"/>
          <w:sz w:val="22"/>
          <w:szCs w:val="22"/>
        </w:rPr>
        <w:softHyphen/>
        <w:t>nie decyzji lokalizacyjnej.</w:t>
      </w:r>
    </w:p>
    <w:p w14:paraId="3CEB892F"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bCs/>
          <w:iCs/>
          <w:color w:val="000000"/>
          <w:spacing w:val="4"/>
          <w:sz w:val="22"/>
          <w:szCs w:val="22"/>
          <w:lang w:bidi="pl-PL"/>
        </w:rPr>
        <w:t>Za niezasadny należy uznać zarzut ww. skarżących dotyczący naruszenia</w:t>
      </w:r>
      <w:r w:rsidRPr="0009014A">
        <w:rPr>
          <w:rFonts w:ascii="Lato" w:hAnsi="Lato" w:cs="Arial"/>
          <w:color w:val="000000"/>
          <w:spacing w:val="4"/>
          <w:sz w:val="22"/>
          <w:szCs w:val="22"/>
        </w:rPr>
        <w:t xml:space="preserve"> art. 41 ust. 1 pkt 9 w zw. z art. 43 ust. 1 pkt 10 ustawy CPK poprzez jego rażące naruszenie i wydanie zaskarżonej decyzji pomimo braku dołączenia do wniosku opinii lub dowodu doręczenia wniosku o wydanie opinii do dyrektora regionalnej dyrekcji Państwowego Gospodarstwa Leśnego Lasy Państwowe - w odniesieniu do nieruchomości stanowiących własność Skarbu Państwa, będących w zarządzie Państwowego Gospodarstwa Leśnego Lasy Państwowe.</w:t>
      </w:r>
    </w:p>
    <w:p w14:paraId="32FAA199"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color w:val="000000"/>
          <w:spacing w:val="4"/>
          <w:sz w:val="22"/>
          <w:szCs w:val="22"/>
        </w:rPr>
        <w:t>W myśl art. 41 ust. 1 pkt 9 ustawy CPK, Spółka Celowa składa wniosek o wydanie decyzji po uzyskaniu opinii dyrektora regionalnej dyrekcji Państwowego Gospodarstwa Leśnego Lasy Państwowe - w odniesieniu do nieruchomości stanowiących własność Skarbu Państwa, będących w zarządzie Państwowego Gospodarstwa Leśnego Lasy Państwowe. Jak już to wyjaśniono uprzednio, opinie wymienione w art. 41 ust. 1 ustawy CPK konieczne są tylko wtedy, gdy na terenie inwestycji objętej wnioskiem znajdą się obszary lub inne obiekty wymienione w ust. 1 tego artykułu. W związku z faktem, że przedmiotowa Inwestycja jest lokalizowana poza obszarami stanowiącymi własność Skarbu Państwa, będących w zarządzie Państwowego Gospodarstwa Leśnego Lasy Państwowe, inwestor nie wy</w:t>
      </w:r>
      <w:r w:rsidRPr="0009014A">
        <w:rPr>
          <w:rFonts w:ascii="Lato" w:hAnsi="Lato" w:cs="Arial"/>
          <w:color w:val="000000"/>
          <w:spacing w:val="4"/>
          <w:sz w:val="22"/>
          <w:szCs w:val="22"/>
        </w:rPr>
        <w:softHyphen/>
        <w:t>stąpił o opinię do dyrektora regionalnej dyrekcji Państwowego Gospodarstwa Leśnego Lasy Pań</w:t>
      </w:r>
      <w:r w:rsidRPr="0009014A">
        <w:rPr>
          <w:rFonts w:ascii="Lato" w:hAnsi="Lato" w:cs="Arial"/>
          <w:color w:val="000000"/>
          <w:spacing w:val="4"/>
          <w:sz w:val="22"/>
          <w:szCs w:val="22"/>
        </w:rPr>
        <w:softHyphen/>
        <w:t>stwowe i nie miał obowiązku dołączyć do wniosku o wydanie decyzji lokalizacyjnej dowodu doręcze</w:t>
      </w:r>
      <w:r w:rsidRPr="0009014A">
        <w:rPr>
          <w:rFonts w:ascii="Lato" w:hAnsi="Lato" w:cs="Arial"/>
          <w:color w:val="000000"/>
          <w:spacing w:val="4"/>
          <w:sz w:val="22"/>
          <w:szCs w:val="22"/>
        </w:rPr>
        <w:softHyphen/>
        <w:t xml:space="preserve">nia wniosku o wydanie </w:t>
      </w:r>
      <w:r w:rsidRPr="0009014A">
        <w:rPr>
          <w:rFonts w:ascii="Lato" w:hAnsi="Lato" w:cs="Arial"/>
          <w:color w:val="000000"/>
          <w:spacing w:val="4"/>
          <w:sz w:val="22"/>
          <w:szCs w:val="22"/>
        </w:rPr>
        <w:br/>
        <w:t>tej opinii. W ww. załączniku nr 6 do wniosku lokalizacyjnego podano, że opinia dyrektora regionalnej dyrekcji Państwowego Gospodarstwa Leśnego Lasy Państwowe nie jest wymaga, albowiem inwestycja jest zlokalizowana poza obszarami stanowiącymi własność Skarbu Państwa w zarządzie Państwowego Gospodarstwa Leśnego Lasy Państwowe.</w:t>
      </w:r>
    </w:p>
    <w:p w14:paraId="54163609"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bCs/>
          <w:iCs/>
          <w:color w:val="000000"/>
          <w:spacing w:val="4"/>
          <w:sz w:val="22"/>
          <w:szCs w:val="22"/>
          <w:lang w:bidi="pl-PL"/>
        </w:rPr>
        <w:t>Za niezasadny należy uznać zarzut ww. skarżących dotyczący naruszenia</w:t>
      </w:r>
      <w:r w:rsidRPr="0009014A">
        <w:rPr>
          <w:rFonts w:ascii="Lato" w:hAnsi="Lato" w:cs="Arial"/>
          <w:color w:val="000000"/>
          <w:spacing w:val="4"/>
          <w:sz w:val="22"/>
          <w:szCs w:val="22"/>
        </w:rPr>
        <w:t xml:space="preserve"> art. 41 ust. 1 pkt 11 w zw. z art. 43 ust. 1 pkt 10 ustawy CPK  poprzez jego rażące naruszenie i wydanie zaskarżonej decyzji pomimo braku dołączenia do wniosku opinii lub dowodu doręczenia wniosku o wydanie opinii do regionalnego dyrektora ochrony środowiska - w odniesieniu do otuliny rezerwatu, obszaru Natura 2000, parku krajobrazowego i obszaru chronionego krajobrazu - w zakresie otuliny Bolimowskiego Parku Krajobrazowego oraz Obszaru Chronionego Krajobrazu Bolimowsko-Radziejowskiego z doliną Środkowej Rawki.</w:t>
      </w:r>
    </w:p>
    <w:p w14:paraId="7323CDBC" w14:textId="6E89A735"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color w:val="000000"/>
          <w:spacing w:val="4"/>
          <w:sz w:val="22"/>
          <w:szCs w:val="22"/>
        </w:rPr>
        <w:t>W myśl art. 41 ust. 1 pkt 11 ustawy CPK, Spółka Celowa składa wniosek o wydanie decyzji po uzyskaniu</w:t>
      </w:r>
      <w:r w:rsidRPr="0009014A">
        <w:rPr>
          <w:rFonts w:ascii="Lato" w:hAnsi="Lato"/>
          <w:spacing w:val="4"/>
          <w:sz w:val="22"/>
          <w:szCs w:val="22"/>
        </w:rPr>
        <w:t xml:space="preserve"> opinii </w:t>
      </w:r>
      <w:r w:rsidRPr="0009014A">
        <w:rPr>
          <w:rFonts w:ascii="Lato" w:hAnsi="Lato" w:cs="Arial"/>
          <w:color w:val="000000"/>
          <w:spacing w:val="4"/>
          <w:sz w:val="22"/>
          <w:szCs w:val="22"/>
        </w:rPr>
        <w:t>regionalnego dyrektora ochrony środowiska - w odniesieniu do otuliny rezerwatu, obszaru Natura 2000, parku krajobrazowego i obszaru chronionego krajobrazu. W związku z brakiem na terenach objętych przedmiot</w:t>
      </w:r>
      <w:r w:rsidR="00752EAD">
        <w:rPr>
          <w:rFonts w:ascii="Lato" w:hAnsi="Lato" w:cs="Arial"/>
          <w:color w:val="000000"/>
          <w:spacing w:val="4"/>
          <w:sz w:val="22"/>
          <w:szCs w:val="22"/>
        </w:rPr>
        <w:t>owym</w:t>
      </w:r>
      <w:r w:rsidRPr="0009014A">
        <w:rPr>
          <w:rFonts w:ascii="Lato" w:hAnsi="Lato" w:cs="Arial"/>
          <w:color w:val="000000"/>
          <w:spacing w:val="4"/>
          <w:sz w:val="22"/>
          <w:szCs w:val="22"/>
        </w:rPr>
        <w:t xml:space="preserve"> wnioskiem </w:t>
      </w:r>
      <w:r w:rsidRPr="0009014A">
        <w:rPr>
          <w:rFonts w:ascii="Lato" w:hAnsi="Lato" w:cs="Arial"/>
          <w:color w:val="000000"/>
          <w:spacing w:val="4"/>
          <w:sz w:val="22"/>
          <w:szCs w:val="22"/>
        </w:rPr>
        <w:br/>
        <w:t>o wydanie decyzji lokalizacyjnej ta</w:t>
      </w:r>
      <w:r w:rsidRPr="0009014A">
        <w:rPr>
          <w:rFonts w:ascii="Lato" w:hAnsi="Lato" w:cs="Arial"/>
          <w:color w:val="000000"/>
          <w:spacing w:val="4"/>
          <w:sz w:val="22"/>
          <w:szCs w:val="22"/>
        </w:rPr>
        <w:softHyphen/>
        <w:t>kich form ochrony przyrody jak: otuliny rezerwatu, obszary Natura 2000, parku krajobrazowego i obszaru chronionego krajobrazu, inwestor nie wystąpił o opinię do regionalnego dyrektora ochrony środowiska i nie miał obowiązku dołączyć do wniosku o wydanie decyzji lokalizacyjnej dowodu doręczenia wnio</w:t>
      </w:r>
      <w:r w:rsidRPr="0009014A">
        <w:rPr>
          <w:rFonts w:ascii="Lato" w:hAnsi="Lato" w:cs="Arial"/>
          <w:color w:val="000000"/>
          <w:spacing w:val="4"/>
          <w:sz w:val="22"/>
          <w:szCs w:val="22"/>
        </w:rPr>
        <w:softHyphen/>
        <w:t xml:space="preserve">sku </w:t>
      </w:r>
      <w:r w:rsidRPr="0009014A">
        <w:rPr>
          <w:rFonts w:ascii="Lato" w:hAnsi="Lato" w:cs="Arial"/>
          <w:color w:val="000000"/>
          <w:spacing w:val="4"/>
          <w:sz w:val="22"/>
          <w:szCs w:val="22"/>
        </w:rPr>
        <w:br/>
        <w:t>o wydanie ww. opinii. W ww. załączniku nr 6 do wniosku lokalizacyjnego (uzupełnionym w tym zakresie w piśmie inwestora z dnia 23 listopada 2023 r.) podano, że opinia regionalnego dyrektora ochrony środowiska nie jest wymagana, albowiem inwestycja jest zlokalizowana poza otuliną rezerwatu, obszarami Natura 2000, parkami krajobrazowymi i obszarami chronionego krajobrazu.</w:t>
      </w:r>
    </w:p>
    <w:p w14:paraId="3F9896AA"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bCs/>
          <w:iCs/>
          <w:color w:val="000000"/>
          <w:spacing w:val="4"/>
          <w:sz w:val="22"/>
          <w:szCs w:val="22"/>
          <w:lang w:bidi="pl-PL"/>
        </w:rPr>
        <w:t>Za niezasadny należy uznać zarzut ww. skarżących dotyczący naruszenia</w:t>
      </w:r>
      <w:r w:rsidRPr="0009014A">
        <w:rPr>
          <w:rFonts w:ascii="Lato" w:hAnsi="Lato" w:cs="Arial"/>
          <w:color w:val="000000"/>
          <w:spacing w:val="4"/>
          <w:sz w:val="22"/>
          <w:szCs w:val="22"/>
        </w:rPr>
        <w:t xml:space="preserve"> art. 41 ust. 3 ustawy CPK poprzez jego rażące naruszenie i wydanie zaskarżonej decyzji pomimo braku </w:t>
      </w:r>
      <w:r w:rsidRPr="0009014A">
        <w:rPr>
          <w:rFonts w:ascii="Lato" w:hAnsi="Lato" w:cs="Arial"/>
          <w:color w:val="000000"/>
          <w:spacing w:val="4"/>
          <w:sz w:val="22"/>
          <w:szCs w:val="22"/>
        </w:rPr>
        <w:lastRenderedPageBreak/>
        <w:t>wykazania, że do wniosków o wydanie opinii załączono projekt wniosku o wydanie decyzji o ustaleniu lokalizacji inwestycji w zakresie CPK wraz z załącznikami.</w:t>
      </w:r>
    </w:p>
    <w:p w14:paraId="5BD8CADA"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spacing w:val="4"/>
          <w:sz w:val="22"/>
          <w:szCs w:val="22"/>
        </w:rPr>
        <w:t xml:space="preserve">Zgodnie z art. 41 ust. 3 ustawy CPK, do wniosku o wydanie opinii, o których mowa </w:t>
      </w:r>
      <w:r w:rsidRPr="0009014A">
        <w:rPr>
          <w:rFonts w:ascii="Lato" w:hAnsi="Lato" w:cs="Arial"/>
          <w:spacing w:val="4"/>
          <w:sz w:val="22"/>
          <w:szCs w:val="22"/>
        </w:rPr>
        <w:br/>
        <w:t>w ust. 1 tego artykułu, załącza się projekt wniosku o wydanie decyzji o ustaleniu lokalizacji inwestycji w zakresie CPK wraz z załącznikami. Art. 41 ust. 3 ustawy CPK nie wskazuje, aby podczas składania wniosku o wydanie decyzji o ustaleniu lokalizacji inwestycji w zakresie CPK wnioskodawca był zobowiązany do przedstawienia dodatkowych dowodów, że do wniosków o wydanie opinii załączono projekt wniosku</w:t>
      </w:r>
      <w:r w:rsidRPr="0009014A">
        <w:rPr>
          <w:rFonts w:ascii="Lato" w:hAnsi="Lato" w:cs="Arial"/>
          <w:spacing w:val="4"/>
          <w:sz w:val="22"/>
          <w:szCs w:val="22"/>
        </w:rPr>
        <w:br/>
        <w:t xml:space="preserve">o wydanie decyzji o ustaleniu lokalizacji inwestycji. Przepis art. 43 ust. 1 pkt 10 ustawy CPK w sposób wyraźny stanowi o tym, że do wniosku o wydanie decyzji o ustaleniu lokalizacji inwestycji w zakresie CPK załącza się jedynie opinie, o których mowa w </w:t>
      </w:r>
      <w:hyperlink r:id="rId16" w:history="1">
        <w:r w:rsidRPr="0009014A">
          <w:rPr>
            <w:rFonts w:ascii="Lato" w:hAnsi="Lato" w:cs="Arial"/>
            <w:spacing w:val="4"/>
            <w:sz w:val="22"/>
            <w:szCs w:val="22"/>
          </w:rPr>
          <w:t>art. 41 ust. 1</w:t>
        </w:r>
      </w:hyperlink>
      <w:r w:rsidRPr="0009014A">
        <w:rPr>
          <w:rFonts w:ascii="Lato" w:hAnsi="Lato" w:cs="Arial"/>
          <w:spacing w:val="4"/>
          <w:sz w:val="22"/>
          <w:szCs w:val="22"/>
        </w:rPr>
        <w:t xml:space="preserve"> </w:t>
      </w:r>
      <w:r w:rsidRPr="0009014A">
        <w:rPr>
          <w:rFonts w:ascii="Lato" w:hAnsi="Lato" w:cs="Arial"/>
          <w:color w:val="000000"/>
          <w:spacing w:val="4"/>
          <w:sz w:val="22"/>
          <w:szCs w:val="22"/>
        </w:rPr>
        <w:t>ustawy CPK, albo dowody doręczenia wniosków o wydanie tych opinii, a nie pisma którymi inwestor zwracał się do organów o wydanie opinii, wraz z</w:t>
      </w:r>
      <w:r w:rsidRPr="0009014A">
        <w:rPr>
          <w:rFonts w:ascii="Lato" w:hAnsi="Lato" w:cs="Arial"/>
          <w:spacing w:val="4"/>
          <w:sz w:val="22"/>
          <w:szCs w:val="22"/>
        </w:rPr>
        <w:t xml:space="preserve"> </w:t>
      </w:r>
      <w:r w:rsidRPr="0009014A">
        <w:rPr>
          <w:rFonts w:ascii="Lato" w:hAnsi="Lato" w:cs="Arial"/>
          <w:color w:val="000000"/>
          <w:spacing w:val="4"/>
          <w:sz w:val="22"/>
          <w:szCs w:val="22"/>
        </w:rPr>
        <w:t xml:space="preserve">projektem wniosku o wydanie decyzji o ustaleniu lokalizacji inwestycji w zakresie CPK </w:t>
      </w:r>
      <w:r w:rsidRPr="0009014A">
        <w:rPr>
          <w:rFonts w:ascii="Lato" w:hAnsi="Lato" w:cs="Arial"/>
          <w:color w:val="000000"/>
          <w:spacing w:val="4"/>
          <w:sz w:val="22"/>
          <w:szCs w:val="22"/>
        </w:rPr>
        <w:br/>
        <w:t xml:space="preserve">i z załącznikami do niego. Skoro ustawodawca nie przewidział prawnego wymogu załączania owych wniosków, to skarżący nie mogą czynić skutecznego zarzutu w zakresie naruszenia prawa w tym zakresie. To nie wniosek inwestora o wydanie opinii bowiem jest istotny dla sprawy, ale wydana na jego skutek właściwa opinia. Prawidłowość takiego stanowiska wynika z wyroku Wojewódzkiego Sądu Administracyjnego w Warszawie </w:t>
      </w:r>
      <w:r w:rsidRPr="0009014A">
        <w:rPr>
          <w:rFonts w:ascii="Lato" w:hAnsi="Lato" w:cs="Arial"/>
          <w:color w:val="000000"/>
          <w:spacing w:val="4"/>
          <w:sz w:val="22"/>
          <w:szCs w:val="22"/>
        </w:rPr>
        <w:br/>
        <w:t xml:space="preserve">z dnia 26 czerwca 2018 r., sygn. akt VII SA/Wa 1012/18 (opubl. Centralna Baza Orzeczeń Sądów Administracyjnych) dotyczącego sprawy rozpatrywanej na podstawie specustawy drogowej. Niezależnie od powyższego, inwestor w toku postępowania odwoławczego (ustosunkowując się do przedmiotowego zarzutu) wskazał, że dołączył projekt wniosku o wydanie decyzji o ustaleniu lokalizacji inwestycji w zakresie CPK wraz z załącznikami do każdego wniosku o wydanie opinii składanego do organów wskazanych w art. 41 ust 1 ustawy CPK. </w:t>
      </w:r>
    </w:p>
    <w:p w14:paraId="26EAF7E5"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bCs/>
          <w:iCs/>
          <w:color w:val="000000"/>
          <w:spacing w:val="4"/>
          <w:sz w:val="22"/>
          <w:szCs w:val="22"/>
          <w:lang w:bidi="pl-PL"/>
        </w:rPr>
        <w:t xml:space="preserve">Za niezasadny należy uznać ww. skarżących </w:t>
      </w:r>
      <w:r w:rsidRPr="0009014A">
        <w:rPr>
          <w:rFonts w:ascii="Lato" w:hAnsi="Lato" w:cs="Arial"/>
          <w:color w:val="000000"/>
          <w:spacing w:val="4"/>
          <w:sz w:val="22"/>
          <w:szCs w:val="22"/>
        </w:rPr>
        <w:t>dotyczący naruszenia art. 90 ust. 1 ustawy CPK poprzez jego rażące naruszenie polegające na pominięciu dokonania obwieszczenia o wydaniu decyzji Wojewody Mazowieckiego w prasie lokalnej i na stronie internetowej Pełnomocnika Rządu ds. Centralnego Portu Komunikacyjnego.</w:t>
      </w:r>
    </w:p>
    <w:p w14:paraId="1F34D8D8" w14:textId="07BF5BA6"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color w:val="000000"/>
          <w:spacing w:val="4"/>
          <w:sz w:val="22"/>
          <w:szCs w:val="22"/>
        </w:rPr>
        <w:t xml:space="preserve">Z art. 90 ust. 1 ustawy CPK, wynika, że obwieszczenie informujące o wydaniu decyzji </w:t>
      </w:r>
      <w:r w:rsidRPr="0009014A">
        <w:rPr>
          <w:rFonts w:ascii="Lato" w:hAnsi="Lato" w:cs="Arial"/>
          <w:color w:val="000000"/>
          <w:spacing w:val="4"/>
          <w:sz w:val="22"/>
          <w:szCs w:val="22"/>
        </w:rPr>
        <w:br/>
        <w:t xml:space="preserve">o ustaleniu lokalizacji inwestycji w zakresie CPK powinno być m.in. zamieszczone </w:t>
      </w:r>
      <w:r w:rsidRPr="0009014A">
        <w:rPr>
          <w:rFonts w:ascii="Lato" w:hAnsi="Lato" w:cs="Arial"/>
          <w:color w:val="000000"/>
          <w:spacing w:val="4"/>
          <w:sz w:val="22"/>
          <w:szCs w:val="22"/>
        </w:rPr>
        <w:br/>
        <w:t xml:space="preserve">w prasie lokalnej i na stronie internetowej Pełnomocnika Rządu ds. Centralnego Portu Komunikacyjnego. Kwestia zamieszczenia obwieszczenia informującego o wydaniu decyzji Wojewody Mazowieckiego we właściwej prasie była przedmiotem postępowania wyjaśniającego (korespondencja organu odwoławczego z Wojewodą Mazowieckim). Finalnie przy piśmie z dnia 1 lipca 2025 r., znak: WIR-I.746.1.44.2023, </w:t>
      </w:r>
      <w:r w:rsidRPr="0009014A">
        <w:rPr>
          <w:rFonts w:ascii="Lato" w:hAnsi="Lato" w:cs="Arial"/>
          <w:color w:val="000000"/>
          <w:spacing w:val="4"/>
          <w:sz w:val="22"/>
          <w:szCs w:val="22"/>
        </w:rPr>
        <w:br/>
        <w:t xml:space="preserve">WIR-I.747.6.28.2023, Wojewoda Mazowiecki przekazał dowód publikacji obwieszczenia informującego o wydaniu decyzji Wojewody Mazowieckiego w prasie lokalnej (wydanie stołeczne Gazety Wyborczej z dnia 23 czerwca 2025 r.), bowiem wcześniej obwieszczenie to zastało błędnie zamieszczone przez Wojewodę Mazowieckiego </w:t>
      </w:r>
      <w:r w:rsidRPr="0009014A">
        <w:rPr>
          <w:rFonts w:ascii="Lato" w:hAnsi="Lato" w:cs="Arial"/>
          <w:color w:val="000000"/>
          <w:spacing w:val="4"/>
          <w:sz w:val="22"/>
          <w:szCs w:val="22"/>
        </w:rPr>
        <w:br/>
        <w:t>w prasie ogólnopolskiej „Puls Biznesu”. Stołeczne wydanie „Gazety Wyborczej” wypełnia znamiona prasy lokalnej, a w konsekwencji tego publikacja w tym periodyku spełnia wymogi zamieszczania obwieszczenia informujące</w:t>
      </w:r>
      <w:r w:rsidR="00D41F94">
        <w:rPr>
          <w:rFonts w:ascii="Lato" w:hAnsi="Lato" w:cs="Arial"/>
          <w:color w:val="000000"/>
          <w:spacing w:val="4"/>
          <w:sz w:val="22"/>
          <w:szCs w:val="22"/>
        </w:rPr>
        <w:t>go</w:t>
      </w:r>
      <w:r w:rsidRPr="0009014A">
        <w:rPr>
          <w:rFonts w:ascii="Lato" w:hAnsi="Lato" w:cs="Arial"/>
          <w:color w:val="000000"/>
          <w:spacing w:val="4"/>
          <w:sz w:val="22"/>
          <w:szCs w:val="22"/>
        </w:rPr>
        <w:t xml:space="preserve"> o wydaniu decyzji o ustaleniu lokalizacji inwestycji w zakresie CPK w prasie lokalnej (por. wyrok Wojewódzkiego Sądu Administracyjnego w Krakowie z dnia 27 września 2022 r., sygn. akt II SA/Kr 763/22, opubl. Centralna Baza Orzeczeń Sądów Administracyjnych).</w:t>
      </w:r>
    </w:p>
    <w:p w14:paraId="496FA957"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color w:val="000000"/>
          <w:spacing w:val="4"/>
          <w:sz w:val="22"/>
          <w:szCs w:val="22"/>
        </w:rPr>
        <w:t xml:space="preserve">Odnośnie zaś publikacji obwieszczania informującego o wydaniu decyzji Wojewody Mazowieckiego na stronie internetowej Pełnomocnika Rządu ds. Centralnego Portu Komunikacyjnego, wyjaśnić należy, iż Wojewoda Mazowiecki przy piśmie z dnia 21 maja </w:t>
      </w:r>
      <w:r w:rsidRPr="0009014A">
        <w:rPr>
          <w:rFonts w:ascii="Lato" w:hAnsi="Lato" w:cs="Arial"/>
          <w:color w:val="000000"/>
          <w:spacing w:val="4"/>
          <w:sz w:val="22"/>
          <w:szCs w:val="22"/>
        </w:rPr>
        <w:lastRenderedPageBreak/>
        <w:t xml:space="preserve">2025 r., znak: WIR-I.746.1.44.2023, WIR-I.747.6.28.2023, przekazał do organu odwoławczego pismo Pełnomocnika Rządu ds. Centralnego Portu Komunikacyjnego </w:t>
      </w:r>
      <w:r w:rsidRPr="0009014A">
        <w:rPr>
          <w:rFonts w:ascii="Lato" w:hAnsi="Lato" w:cs="Arial"/>
          <w:color w:val="000000"/>
          <w:spacing w:val="4"/>
          <w:sz w:val="22"/>
          <w:szCs w:val="22"/>
        </w:rPr>
        <w:br/>
        <w:t xml:space="preserve">z dnia 5 lutego 2025 r., znak: BPCPK-1.0210.14.2025, informujące o terminie zamieszczenia obwieszczenia o wydaniu decyzji Wojewody Mazowieckiego na stronie internetowej Ministerstwa Infrastruktury (Biuletynie Informacji Publicznej Ministerstwa Infrastruktury). Zgodnie z ustawą z dnia 15 maja 2024 r. o zmianie niektórych ustaw związanych z funkcjonowaniem administracji rządowej (Dz.U. z 2024 r. poz. 834), dotychczasowe zadania ministra właściwego do spraw rozwoju regionalnego dotyczące Centralnego Portu Komunikacyjnego przejął minister właściwy do spraw transportu. </w:t>
      </w:r>
      <w:r w:rsidRPr="0009014A">
        <w:rPr>
          <w:rFonts w:ascii="Lato" w:hAnsi="Lato" w:cs="Arial"/>
          <w:color w:val="000000"/>
          <w:spacing w:val="4"/>
          <w:sz w:val="22"/>
          <w:szCs w:val="22"/>
        </w:rPr>
        <w:br/>
        <w:t>Od 1 lipca 2024 r. Pełnomocnik Rządu ds. Centralnego Portu Komunikacyjnego jest Sekretarzem Stanu w Ministerstwie Infrastruktury. Pełnomocnik Rządu do spraw Centralnego Portu Komunikacyjnego jako Sekretarz Stanu w ministerstwie obsługującym ministra właściwego do spraw transportu (Minister Infrastruktury) nie posiada własnej strony internetowej. Obsługę organizacyjno-prawną, techniczną i kancelaryjno-biurową Pełnomocnika Rządu ds. Centralnego Portu Komunikacyjnego zapewnia ministerstwo obsługujące ministra właści</w:t>
      </w:r>
      <w:r w:rsidRPr="0009014A">
        <w:rPr>
          <w:rFonts w:ascii="Lato" w:hAnsi="Lato" w:cs="Arial"/>
          <w:color w:val="000000"/>
          <w:spacing w:val="4"/>
          <w:sz w:val="22"/>
          <w:szCs w:val="22"/>
        </w:rPr>
        <w:softHyphen/>
        <w:t>wego do spraw transportu, tj. Ministerstwo Infrastruktury, w którego strukturze organizacyjnej działa Biuro Pełnomocnika Rządu ds. Centralnego Portu Komunikacyjnego.</w:t>
      </w:r>
    </w:p>
    <w:p w14:paraId="5BC04466" w14:textId="77777777"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color w:val="000000"/>
          <w:spacing w:val="4"/>
          <w:sz w:val="22"/>
          <w:szCs w:val="22"/>
        </w:rPr>
        <w:t xml:space="preserve">W świetle powyższego, zamieszczenie obwieszczenia informującego o wydaniu decyzji Wojewody Mazowieckiego na stronie internetowej - Biuletynie Informacji Publicznej Ministerstwa Infrastruktury, wypełnia wymóg art. 90 ust. 1 ustawy CPK, dotyczący publikacji obwieszczenia informujące o wydaniu decyzji o ustaleniu lokalizacji inwestycji w zakresie CPK na stronie internetowej Pełnomocnika Rządu ds. Centralnego Portu Komunikacyjnego. </w:t>
      </w:r>
    </w:p>
    <w:p w14:paraId="7A0CD611" w14:textId="044452AD"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color w:val="000000"/>
          <w:spacing w:val="4"/>
          <w:sz w:val="22"/>
          <w:szCs w:val="22"/>
        </w:rPr>
        <w:t>Na uwzględnienie nie zasługuje zarzut (podniesiony w piśmie z dnia 29 lipca 2025 r. stanowiącym uzupełnienie odwołania) Państwa E</w:t>
      </w:r>
      <w:r w:rsidR="00BC638D">
        <w:rPr>
          <w:rFonts w:ascii="Lato" w:hAnsi="Lato" w:cs="Arial"/>
          <w:color w:val="000000"/>
          <w:spacing w:val="4"/>
          <w:sz w:val="22"/>
          <w:szCs w:val="22"/>
        </w:rPr>
        <w:t>.</w:t>
      </w:r>
      <w:r w:rsidRPr="0009014A">
        <w:rPr>
          <w:rFonts w:ascii="Lato" w:hAnsi="Lato" w:cs="Arial"/>
          <w:color w:val="000000"/>
          <w:spacing w:val="4"/>
          <w:sz w:val="22"/>
          <w:szCs w:val="22"/>
        </w:rPr>
        <w:t xml:space="preserve"> i R</w:t>
      </w:r>
      <w:r w:rsidR="00BC638D">
        <w:rPr>
          <w:rFonts w:ascii="Lato" w:hAnsi="Lato" w:cs="Arial"/>
          <w:color w:val="000000"/>
          <w:spacing w:val="4"/>
          <w:sz w:val="22"/>
          <w:szCs w:val="22"/>
        </w:rPr>
        <w:t>.</w:t>
      </w:r>
      <w:r w:rsidRPr="0009014A">
        <w:rPr>
          <w:rFonts w:ascii="Lato" w:hAnsi="Lato" w:cs="Arial"/>
          <w:color w:val="000000"/>
          <w:spacing w:val="4"/>
          <w:sz w:val="22"/>
          <w:szCs w:val="22"/>
        </w:rPr>
        <w:t xml:space="preserve"> W</w:t>
      </w:r>
      <w:r w:rsidR="00BC638D">
        <w:rPr>
          <w:rFonts w:ascii="Lato" w:hAnsi="Lato" w:cs="Arial"/>
          <w:color w:val="000000"/>
          <w:spacing w:val="4"/>
          <w:sz w:val="22"/>
          <w:szCs w:val="22"/>
        </w:rPr>
        <w:t>.</w:t>
      </w:r>
      <w:r w:rsidRPr="0009014A">
        <w:rPr>
          <w:rFonts w:ascii="Lato" w:hAnsi="Lato" w:cs="Arial"/>
          <w:color w:val="000000"/>
          <w:spacing w:val="4"/>
          <w:sz w:val="22"/>
          <w:szCs w:val="22"/>
        </w:rPr>
        <w:t xml:space="preserve"> o następującej treści cyt.: „W pkt 3 Inwestor wskazuje, że przedłożył promesę wydaną przez Prezesa ULC. Należy jednak wskazać, że Inwestor nie mógł uzyskać takiej promesy. Zgodnie z art. 57 ust. 1a ustawy prawo lotnicze, Do wniosku o wydanie promesy zezwolenia wnioskodawca dołącza dokumenty określone w art. 55 ust. 3 pkt 1-4 oraz 7-9. Zgodnie z art. 55 ust. 3 pkt 2 ustawy prawo lotnicze, do wniosku wnioskodawca jest obowiązany dołączyć m.in. odpis decyzji o ustaleniu lokalizacji inwestycji w zakresie CPK w rozumieniu przepisów ustawy z dnia 10 maja 2018 r. o Centralnym Porcie Komunikacyjnym (Dz.U. z 2023 r. poz. 892, 1113 i 1688). W momencie złożenia wniosku Inwestor nie mógł dysponować taką decyzją, bo ta została wydana dopiero przez organ I instancji w toku niniejszego postępowania.”. </w:t>
      </w:r>
    </w:p>
    <w:p w14:paraId="597D4249" w14:textId="3982A219"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color w:val="000000"/>
          <w:spacing w:val="4"/>
          <w:sz w:val="22"/>
          <w:szCs w:val="22"/>
        </w:rPr>
        <w:t>Twierdzenie skarżących, że inwestor nie mógł uzyskać promesy zezwolenia na założenie lotniska użytku pu</w:t>
      </w:r>
      <w:r w:rsidRPr="0009014A">
        <w:rPr>
          <w:rFonts w:ascii="Lato" w:hAnsi="Lato" w:cs="Arial"/>
          <w:color w:val="000000"/>
          <w:spacing w:val="4"/>
          <w:sz w:val="22"/>
          <w:szCs w:val="22"/>
        </w:rPr>
        <w:softHyphen/>
        <w:t>blicznego wydanej przez Prezesa Urzędu Lotnictwa Cywilnego nie jest prawdziwe, ponieważ należy zwrócić uwagę na to, że art. 57 ust. 1b ustawy Prawo lotnicze wskazuje, że wymagania określone w art. 57 ust. 1a tej ustawy, na który powołują się skarżący</w:t>
      </w:r>
      <w:r w:rsidR="008420AA">
        <w:rPr>
          <w:rFonts w:ascii="Lato" w:hAnsi="Lato" w:cs="Arial"/>
          <w:color w:val="000000"/>
          <w:spacing w:val="4"/>
          <w:sz w:val="22"/>
          <w:szCs w:val="22"/>
        </w:rPr>
        <w:t xml:space="preserve">, </w:t>
      </w:r>
      <w:r w:rsidRPr="0009014A">
        <w:rPr>
          <w:rFonts w:ascii="Lato" w:hAnsi="Lato" w:cs="Arial"/>
          <w:color w:val="000000"/>
          <w:spacing w:val="4"/>
          <w:sz w:val="22"/>
          <w:szCs w:val="22"/>
        </w:rPr>
        <w:t xml:space="preserve">dotyczące art. 55 ust. 3 pkt 2 i 7 ustawy Prawo lotnicze nie dotyczą inwestycji, o których mowa w przepisach ustawy z dnia 12 lutego 2009 r. </w:t>
      </w:r>
      <w:r w:rsidR="008420AA">
        <w:rPr>
          <w:rFonts w:ascii="Lato" w:hAnsi="Lato" w:cs="Arial"/>
          <w:color w:val="000000"/>
          <w:spacing w:val="4"/>
          <w:sz w:val="22"/>
          <w:szCs w:val="22"/>
        </w:rPr>
        <w:br/>
      </w:r>
      <w:r w:rsidRPr="0009014A">
        <w:rPr>
          <w:rFonts w:ascii="Lato" w:hAnsi="Lato" w:cs="Arial"/>
          <w:color w:val="000000"/>
          <w:spacing w:val="4"/>
          <w:sz w:val="22"/>
          <w:szCs w:val="22"/>
        </w:rPr>
        <w:t>o szczególnych zasadach przygotowania i realizacji inwestycji w zakresie lotnisk użytku publicznego (Dz.U. z 2024 r. poz. 1464) oraz ustawy CPK. Przy</w:t>
      </w:r>
      <w:r w:rsidRPr="0009014A">
        <w:rPr>
          <w:rFonts w:ascii="Lato" w:hAnsi="Lato" w:cs="Arial"/>
          <w:color w:val="000000"/>
          <w:spacing w:val="4"/>
          <w:sz w:val="22"/>
          <w:szCs w:val="22"/>
        </w:rPr>
        <w:softHyphen/>
        <w:t xml:space="preserve">wołany przepis jednoznacznie wskazuje, że do wniosku o wydanie promesy inwestor – CPK Sp. z o.o. nie musiała dołączyć odpisu decyzji o ustaleniu lokalizacji inwestycji w zakresie CPK </w:t>
      </w:r>
      <w:r w:rsidR="008420AA">
        <w:rPr>
          <w:rFonts w:ascii="Lato" w:hAnsi="Lato" w:cs="Arial"/>
          <w:color w:val="000000"/>
          <w:spacing w:val="4"/>
          <w:sz w:val="22"/>
          <w:szCs w:val="22"/>
        </w:rPr>
        <w:br/>
      </w:r>
      <w:r w:rsidRPr="0009014A">
        <w:rPr>
          <w:rFonts w:ascii="Lato" w:hAnsi="Lato" w:cs="Arial"/>
          <w:color w:val="000000"/>
          <w:spacing w:val="4"/>
          <w:sz w:val="22"/>
          <w:szCs w:val="22"/>
        </w:rPr>
        <w:t>w rozumieniu przepisów ustawy CPK</w:t>
      </w:r>
      <w:r w:rsidR="008420AA">
        <w:rPr>
          <w:rFonts w:ascii="Lato" w:hAnsi="Lato" w:cs="Arial"/>
          <w:color w:val="000000"/>
          <w:spacing w:val="4"/>
          <w:sz w:val="22"/>
          <w:szCs w:val="22"/>
        </w:rPr>
        <w:t xml:space="preserve"> </w:t>
      </w:r>
      <w:r w:rsidRPr="0009014A">
        <w:rPr>
          <w:rFonts w:ascii="Lato" w:hAnsi="Lato" w:cs="Arial"/>
          <w:color w:val="000000"/>
          <w:spacing w:val="4"/>
          <w:sz w:val="22"/>
          <w:szCs w:val="22"/>
        </w:rPr>
        <w:t xml:space="preserve">(art. 55 ust. 3 pkt 2), a także dokumentów stwierdzających prawo dysponowania nieruchomością na cele budowy lotniska (art. 55 ust. 3 pkt 7). Jak już to wyjaśniono powyżej, w celu uzyskania zezwolenia na założenie lotniska użytku publicznego, zgodnie z zapisami promesy (decyzja  Prezesa Urzędu Lotnictwa Cywilnego z dnia 21 lipca 2023 r., znak: LTL-1.601.1.2023.ULC.3), oraz </w:t>
      </w:r>
      <w:r w:rsidRPr="0009014A">
        <w:rPr>
          <w:rFonts w:ascii="Lato" w:hAnsi="Lato" w:cs="Arial"/>
          <w:color w:val="000000"/>
          <w:spacing w:val="4"/>
          <w:sz w:val="22"/>
          <w:szCs w:val="22"/>
        </w:rPr>
        <w:lastRenderedPageBreak/>
        <w:t>zgodnie z art. 55 ust. 3 pkt 2 ustawy Prawo lotnicze, wnio</w:t>
      </w:r>
      <w:r w:rsidRPr="0009014A">
        <w:rPr>
          <w:rFonts w:ascii="Lato" w:hAnsi="Lato" w:cs="Arial"/>
          <w:color w:val="000000"/>
          <w:spacing w:val="4"/>
          <w:sz w:val="22"/>
          <w:szCs w:val="22"/>
        </w:rPr>
        <w:softHyphen/>
        <w:t>skodawca jest obowiązany dołączyć odpis decyzji o ustaleniu lokalizacji inwestycji lotniska Port Solidar</w:t>
      </w:r>
      <w:r w:rsidRPr="0009014A">
        <w:rPr>
          <w:rFonts w:ascii="Lato" w:hAnsi="Lato" w:cs="Arial"/>
          <w:color w:val="000000"/>
          <w:spacing w:val="4"/>
          <w:sz w:val="22"/>
          <w:szCs w:val="22"/>
        </w:rPr>
        <w:softHyphen/>
        <w:t xml:space="preserve">ność </w:t>
      </w:r>
      <w:r w:rsidR="008420AA">
        <w:rPr>
          <w:rFonts w:ascii="Lato" w:hAnsi="Lato" w:cs="Arial"/>
          <w:color w:val="000000"/>
          <w:spacing w:val="4"/>
          <w:sz w:val="22"/>
          <w:szCs w:val="22"/>
        </w:rPr>
        <w:br/>
      </w:r>
      <w:r w:rsidRPr="0009014A">
        <w:rPr>
          <w:rFonts w:ascii="Lato" w:hAnsi="Lato" w:cs="Arial"/>
          <w:color w:val="000000"/>
          <w:spacing w:val="4"/>
          <w:sz w:val="22"/>
          <w:szCs w:val="22"/>
        </w:rPr>
        <w:t>w rozumieniu przepisów ustawy CPK, w związku z czym uzyskanie decyzji lokalizacyjnej jest krokiem niezbędnym do uzyskania zezwolenia na założenie lotniska.</w:t>
      </w:r>
    </w:p>
    <w:p w14:paraId="3564CAF4" w14:textId="7A90702A" w:rsidR="0009014A" w:rsidRPr="0009014A" w:rsidRDefault="0009014A" w:rsidP="0009014A">
      <w:pPr>
        <w:spacing w:after="240" w:line="240" w:lineRule="exact"/>
        <w:jc w:val="both"/>
        <w:rPr>
          <w:rFonts w:ascii="Lato" w:hAnsi="Lato" w:cs="Arial"/>
          <w:color w:val="000000"/>
          <w:spacing w:val="4"/>
          <w:sz w:val="22"/>
          <w:szCs w:val="22"/>
        </w:rPr>
      </w:pPr>
      <w:r w:rsidRPr="0009014A">
        <w:rPr>
          <w:rFonts w:ascii="Lato" w:hAnsi="Lato" w:cs="Arial"/>
          <w:spacing w:val="4"/>
          <w:sz w:val="22"/>
          <w:szCs w:val="22"/>
        </w:rPr>
        <w:t>Na uwzględnienie nie zasługuje zarzut Pani J</w:t>
      </w:r>
      <w:r w:rsidR="001D7869">
        <w:rPr>
          <w:rFonts w:ascii="Lato" w:hAnsi="Lato" w:cs="Arial"/>
          <w:spacing w:val="4"/>
          <w:sz w:val="22"/>
          <w:szCs w:val="22"/>
        </w:rPr>
        <w:t>.</w:t>
      </w:r>
      <w:r w:rsidRPr="0009014A">
        <w:rPr>
          <w:rFonts w:ascii="Lato" w:hAnsi="Lato" w:cs="Arial"/>
          <w:spacing w:val="4"/>
          <w:sz w:val="22"/>
          <w:szCs w:val="22"/>
        </w:rPr>
        <w:t xml:space="preserve"> K</w:t>
      </w:r>
      <w:r w:rsidR="001D7869">
        <w:rPr>
          <w:rFonts w:ascii="Lato" w:hAnsi="Lato" w:cs="Arial"/>
          <w:spacing w:val="4"/>
          <w:sz w:val="22"/>
          <w:szCs w:val="22"/>
        </w:rPr>
        <w:t>.</w:t>
      </w:r>
      <w:r w:rsidRPr="0009014A">
        <w:rPr>
          <w:rFonts w:ascii="Lato" w:hAnsi="Lato" w:cs="Arial"/>
          <w:spacing w:val="4"/>
          <w:sz w:val="22"/>
          <w:szCs w:val="22"/>
        </w:rPr>
        <w:t xml:space="preserve"> i Pana M</w:t>
      </w:r>
      <w:r w:rsidR="001D7869">
        <w:rPr>
          <w:rFonts w:ascii="Lato" w:hAnsi="Lato" w:cs="Arial"/>
          <w:spacing w:val="4"/>
          <w:sz w:val="22"/>
          <w:szCs w:val="22"/>
        </w:rPr>
        <w:t>.</w:t>
      </w:r>
      <w:r w:rsidRPr="0009014A">
        <w:rPr>
          <w:rFonts w:ascii="Lato" w:hAnsi="Lato" w:cs="Arial"/>
          <w:spacing w:val="4"/>
          <w:sz w:val="22"/>
          <w:szCs w:val="22"/>
        </w:rPr>
        <w:t xml:space="preserve"> K</w:t>
      </w:r>
      <w:r w:rsidR="001D7869">
        <w:rPr>
          <w:rFonts w:ascii="Lato" w:hAnsi="Lato" w:cs="Arial"/>
          <w:spacing w:val="4"/>
          <w:sz w:val="22"/>
          <w:szCs w:val="22"/>
        </w:rPr>
        <w:t>.</w:t>
      </w:r>
      <w:r w:rsidRPr="0009014A">
        <w:rPr>
          <w:rFonts w:ascii="Lato" w:hAnsi="Lato" w:cs="Arial"/>
          <w:spacing w:val="4"/>
          <w:sz w:val="22"/>
          <w:szCs w:val="22"/>
        </w:rPr>
        <w:t xml:space="preserve"> dotyczący naruszenia art. 7 kpa poprzez jego rażące naruszenie polegające na nieuwzględnieniu słusznego interesu obywateli polegające na nieuwzględnieniu trudnej sytuacji strony, o której organ I Instancji był informowany w trakcie postępowania (str. 156-157 oraz 171-172 uzasadnienia decyzji Wojewody Mazowieckiego), tj. sytuacji że na wywłaszczanej nieruchomości należącej do stron zamieszkują małe dzieci, osoba niesłysząca oraz osoba chora na nowotwór, a jednocześnie większość miejscowości zamieszkiwanej przez strony nie podlega wywłaszczeniu, jak również nieruchomość </w:t>
      </w:r>
      <w:r w:rsidRPr="0009014A">
        <w:rPr>
          <w:rFonts w:ascii="Lato" w:hAnsi="Lato" w:cs="Arial"/>
          <w:color w:val="000000"/>
          <w:spacing w:val="4"/>
          <w:sz w:val="22"/>
          <w:szCs w:val="22"/>
        </w:rPr>
        <w:t>wywłaszczana należąca do strony nie jest niezbędna wnioskodawcy na cel wskazany we wniosku, a ponadto wnioskodawca nie wykazał, że nieruchomość należąca do strony jest niezbędna do realizacji celu, na jaki ma być ona wywłaszczona.</w:t>
      </w:r>
    </w:p>
    <w:p w14:paraId="76CAC3B6" w14:textId="63916CED" w:rsidR="0009014A" w:rsidRPr="0009014A" w:rsidRDefault="0009014A" w:rsidP="0009014A">
      <w:pPr>
        <w:spacing w:after="240" w:line="240" w:lineRule="exact"/>
        <w:jc w:val="both"/>
        <w:rPr>
          <w:rFonts w:ascii="Lato" w:hAnsi="Lato" w:cs="Arial"/>
          <w:bCs/>
          <w:iCs/>
          <w:color w:val="000000"/>
          <w:spacing w:val="4"/>
          <w:sz w:val="22"/>
          <w:szCs w:val="22"/>
        </w:rPr>
      </w:pPr>
      <w:r w:rsidRPr="0009014A">
        <w:rPr>
          <w:rFonts w:ascii="Lato" w:hAnsi="Lato" w:cs="Arial"/>
          <w:bCs/>
          <w:iCs/>
          <w:color w:val="000000"/>
          <w:spacing w:val="4"/>
          <w:sz w:val="22"/>
          <w:szCs w:val="22"/>
          <w:lang w:bidi="pl-PL"/>
        </w:rPr>
        <w:t xml:space="preserve">Wyjaśnienia wymaga, że </w:t>
      </w:r>
      <w:r w:rsidRPr="0009014A">
        <w:rPr>
          <w:rFonts w:ascii="Lato" w:hAnsi="Lato" w:cs="Arial"/>
          <w:bCs/>
          <w:iCs/>
          <w:color w:val="000000"/>
          <w:spacing w:val="4"/>
          <w:sz w:val="22"/>
          <w:szCs w:val="22"/>
        </w:rPr>
        <w:t xml:space="preserve">reguła wynikająca z art. 7 kpa nakazująca załatwienie sprawy </w:t>
      </w:r>
      <w:r w:rsidRPr="0009014A">
        <w:rPr>
          <w:rFonts w:ascii="Lato" w:hAnsi="Lato" w:cs="Arial"/>
          <w:bCs/>
          <w:iCs/>
          <w:color w:val="000000"/>
          <w:spacing w:val="4"/>
          <w:sz w:val="22"/>
          <w:szCs w:val="22"/>
        </w:rPr>
        <w:br/>
        <w:t xml:space="preserve">w sposób uwzględniający interes społeczny i słuszny interes obywateli nie mogła doprowadzić do wyłączenia stosowania przepisów ustawy CPK. Nakaz ten jest możliwy 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w:t>
      </w:r>
      <w:r w:rsidRPr="0009014A">
        <w:rPr>
          <w:rFonts w:ascii="Lato" w:hAnsi="Lato" w:cs="Arial"/>
          <w:bCs/>
          <w:iCs/>
          <w:color w:val="000000"/>
          <w:spacing w:val="4"/>
          <w:sz w:val="22"/>
          <w:szCs w:val="22"/>
        </w:rPr>
        <w:br/>
        <w:t xml:space="preserve">o określonej treści. Zatem dopuszczalność zastosowania przepisów prawa materialnego tj. ustawy CPK nie może być zmodyfikowana z uwagi na słuszny interes skarżących </w:t>
      </w:r>
      <w:r w:rsidRPr="0009014A">
        <w:rPr>
          <w:rFonts w:ascii="Lato" w:hAnsi="Lato" w:cs="Arial"/>
          <w:bCs/>
          <w:iCs/>
          <w:color w:val="000000"/>
          <w:spacing w:val="4"/>
          <w:sz w:val="22"/>
          <w:szCs w:val="22"/>
        </w:rPr>
        <w:br/>
        <w:t xml:space="preserve">(por. wyrok Naczelnego Sądu Administracyjnego z dnia 14 września 2021 r., sygn. akt </w:t>
      </w:r>
      <w:r w:rsidR="008420AA">
        <w:rPr>
          <w:rFonts w:ascii="Lato" w:hAnsi="Lato" w:cs="Arial"/>
          <w:bCs/>
          <w:iCs/>
          <w:color w:val="000000"/>
          <w:spacing w:val="4"/>
          <w:sz w:val="22"/>
          <w:szCs w:val="22"/>
        </w:rPr>
        <w:br/>
      </w:r>
      <w:r w:rsidRPr="0009014A">
        <w:rPr>
          <w:rFonts w:ascii="Lato" w:hAnsi="Lato" w:cs="Arial"/>
          <w:bCs/>
          <w:iCs/>
          <w:color w:val="000000"/>
          <w:spacing w:val="4"/>
          <w:sz w:val="22"/>
          <w:szCs w:val="22"/>
        </w:rPr>
        <w:t xml:space="preserve">II OSK 1332/21, Centralna Baza Orzeczeń Sądów Administracyjnych, </w:t>
      </w:r>
      <w:r w:rsidRPr="0009014A">
        <w:rPr>
          <w:rFonts w:ascii="Lato" w:hAnsi="Lato" w:cs="Arial"/>
          <w:bCs/>
          <w:iCs/>
          <w:color w:val="000000"/>
          <w:spacing w:val="4"/>
          <w:sz w:val="22"/>
          <w:szCs w:val="22"/>
          <w:lang w:bidi="pl-PL"/>
        </w:rPr>
        <w:t xml:space="preserve">wydany w sprawie rozpatrywanej na podstawie </w:t>
      </w:r>
      <w:r w:rsidRPr="0009014A">
        <w:rPr>
          <w:rFonts w:ascii="Lato" w:hAnsi="Lato" w:cs="Arial"/>
          <w:bCs/>
          <w:color w:val="000000"/>
          <w:spacing w:val="4"/>
          <w:sz w:val="22"/>
          <w:szCs w:val="22"/>
          <w:lang w:bidi="pl-PL"/>
        </w:rPr>
        <w:t>specustawy drogowej</w:t>
      </w:r>
      <w:r w:rsidRPr="0009014A">
        <w:rPr>
          <w:rFonts w:ascii="Lato" w:hAnsi="Lato" w:cs="Arial"/>
          <w:bCs/>
          <w:iCs/>
          <w:color w:val="000000"/>
          <w:spacing w:val="4"/>
          <w:sz w:val="22"/>
          <w:szCs w:val="22"/>
          <w:lang w:bidi="pl-PL"/>
        </w:rPr>
        <w:t>, lecz w istotnym zakresie w pełni analogicznej do rozwiązań przyjętych</w:t>
      </w:r>
      <w:r w:rsidRPr="0009014A">
        <w:rPr>
          <w:rFonts w:ascii="Lato" w:hAnsi="Lato" w:cs="Arial"/>
          <w:bCs/>
          <w:color w:val="000000"/>
          <w:spacing w:val="4"/>
          <w:sz w:val="22"/>
          <w:szCs w:val="22"/>
          <w:lang w:bidi="pl-PL"/>
        </w:rPr>
        <w:t xml:space="preserve"> w ustawie CPK</w:t>
      </w:r>
      <w:r w:rsidRPr="0009014A">
        <w:rPr>
          <w:rFonts w:ascii="Lato" w:hAnsi="Lato" w:cs="Arial"/>
          <w:bCs/>
          <w:iCs/>
          <w:color w:val="000000"/>
          <w:spacing w:val="4"/>
          <w:sz w:val="22"/>
          <w:szCs w:val="22"/>
          <w:lang w:bidi="pl-PL"/>
        </w:rPr>
        <w:t>)</w:t>
      </w:r>
      <w:r w:rsidRPr="0009014A">
        <w:rPr>
          <w:rFonts w:ascii="Lato" w:hAnsi="Lato" w:cs="Arial"/>
          <w:bCs/>
          <w:iCs/>
          <w:color w:val="000000"/>
          <w:spacing w:val="4"/>
          <w:sz w:val="22"/>
          <w:szCs w:val="22"/>
        </w:rPr>
        <w:t>.</w:t>
      </w:r>
    </w:p>
    <w:p w14:paraId="5BC30B7C"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rPr>
        <w:t>Na tle orzecznictwa sądowoadministracyjnego</w:t>
      </w:r>
      <w:r w:rsidRPr="0009014A">
        <w:rPr>
          <w:rFonts w:ascii="Lato" w:hAnsi="Lato" w:cs="Arial"/>
          <w:bCs/>
          <w:iCs/>
          <w:color w:val="000000"/>
          <w:spacing w:val="4"/>
          <w:sz w:val="22"/>
          <w:szCs w:val="22"/>
          <w:lang w:bidi="pl-PL"/>
        </w:rPr>
        <w:t xml:space="preserve"> (powołanego w części niniejszej decyzji wyjaśniającej charakterystykę decyzji lokalizacyjnej wydawanej na podstawie ustawy CPK)</w:t>
      </w:r>
      <w:r w:rsidRPr="0009014A">
        <w:rPr>
          <w:rFonts w:ascii="Lato" w:hAnsi="Lato" w:cs="Arial"/>
          <w:bCs/>
          <w:iCs/>
          <w:color w:val="000000"/>
          <w:spacing w:val="4"/>
          <w:sz w:val="22"/>
          <w:szCs w:val="22"/>
        </w:rPr>
        <w:t xml:space="preserve">, podkreślenia wymaga, że właściwy organ ustalając lokalizację inwestycji zobowiązany jest wyłącznie do badania zgodności z prawem przebiegu linii rozgraniczających teren inwestycji, określonych w stosownych załącznikach do wniosku o wydanie decyzji lokalizacyjnej. Przesłanki oceny organu nie stanowi zatem kryterium celowości przeprowadzenia linii rozgraniczających w określony sposób, bądź też racjonalności lub szersza ochrona uzasadnionego interesu stron danego postępowania lokalizacyjnego. Równocześnie organ administracji publicznej, do którego wpływa wniosek o ustalenie lokalizacji inwestycji w zakresie CPK nie posiada kompetencji do modyfikowania przebiegu linii rozgraniczających teren Inwestycji, wskazanych przez wnioskodawcę. </w:t>
      </w:r>
      <w:r w:rsidRPr="0009014A">
        <w:rPr>
          <w:rFonts w:ascii="Lato" w:hAnsi="Lato" w:cs="Arial"/>
          <w:bCs/>
          <w:iCs/>
          <w:color w:val="000000"/>
          <w:spacing w:val="4"/>
          <w:sz w:val="22"/>
          <w:szCs w:val="22"/>
          <w:lang w:bidi="pl-PL"/>
        </w:rPr>
        <w:t xml:space="preserve">To </w:t>
      </w:r>
      <w:r w:rsidRPr="0009014A">
        <w:rPr>
          <w:rFonts w:ascii="Lato" w:hAnsi="Lato" w:cs="Arial"/>
          <w:bCs/>
          <w:color w:val="000000"/>
          <w:spacing w:val="4"/>
          <w:sz w:val="22"/>
          <w:szCs w:val="22"/>
          <w:lang w:bidi="pl-PL"/>
        </w:rPr>
        <w:t>inwestor</w:t>
      </w:r>
      <w:r w:rsidRPr="0009014A">
        <w:rPr>
          <w:rFonts w:ascii="Lato" w:hAnsi="Lato" w:cs="Arial"/>
          <w:bCs/>
          <w:iCs/>
          <w:color w:val="000000"/>
          <w:spacing w:val="4"/>
          <w:sz w:val="22"/>
          <w:szCs w:val="22"/>
          <w:lang w:bidi="pl-PL"/>
        </w:rPr>
        <w:t xml:space="preserve"> decyduje o przebiegu Inwestycji oraz katalogu nieruchomości niezbędnych do wywłaszczenia z punktu widzenia Inwestycji. Związany charakter decyzji o ustaleniu lokalizacji inwestycji w zakresie CPK oznacza, </w:t>
      </w:r>
      <w:r w:rsidRPr="0009014A">
        <w:rPr>
          <w:rFonts w:ascii="Lato" w:hAnsi="Lato" w:cs="Arial"/>
          <w:bCs/>
          <w:iCs/>
          <w:color w:val="000000"/>
          <w:spacing w:val="4"/>
          <w:sz w:val="22"/>
          <w:szCs w:val="22"/>
          <w:lang w:bidi="pl-PL"/>
        </w:rPr>
        <w:br/>
        <w:t xml:space="preserve">że w przypadku spełnienia przewidzianych prawem przesłanek właściwy organ ma bezwzględny obowiązek wydania pozytywnego rozstrzygnięcia, tj. ustalenia lokalizacji Inwestycji w wersji zgodnej z wnioskiem inwestora. Wojewoda Mazowiecki i Minister weryfikują wniosek złożony przez inwestora pod kątem zgodności z przepisami prawa, </w:t>
      </w:r>
      <w:r w:rsidRPr="0009014A">
        <w:rPr>
          <w:rFonts w:ascii="Lato" w:hAnsi="Lato" w:cs="Arial"/>
          <w:bCs/>
          <w:iCs/>
          <w:color w:val="000000"/>
          <w:spacing w:val="4"/>
          <w:sz w:val="22"/>
          <w:szCs w:val="22"/>
          <w:lang w:bidi="pl-PL"/>
        </w:rPr>
        <w:br/>
        <w:t>a nie analizują zasadności wyboru danego wariantu względem innych potencjalnych lokalizacji. Nie można również pominąć istotnej okoliczności, iż lokalizację przedmiotowej Inwestycji determinuje decyzja o środowiskowych uwarunkowaniach.</w:t>
      </w:r>
    </w:p>
    <w:p w14:paraId="649C8350" w14:textId="5D0CA3C0"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hAnsi="Lato" w:cs="Arial"/>
          <w:bCs/>
          <w:iCs/>
          <w:color w:val="000000"/>
          <w:spacing w:val="4"/>
          <w:sz w:val="22"/>
          <w:szCs w:val="22"/>
          <w:lang w:bidi="pl-PL"/>
        </w:rPr>
        <w:lastRenderedPageBreak/>
        <w:t xml:space="preserve">Zgodnie z art. 43 ust. 1 pkt 1 ustawy CPK, do wniosku o wydanie decyzji o ustaleniu lokalizacji inwestycji w zakresie CPK załącza się mapę w skali co najmniej 1:5000, sporządzoną z wykorzystaniem treści mapy zasadniczej, a jeżeli nie jest to możliwe - mapy ewidencyjnej, przedstawiającą projektowany obszar Inwestycji, z zaznaczeniem terenu niezbędnego dla obiektów budowlanych, oraz istniejące uzbrojenie terenu. </w:t>
      </w:r>
      <w:r w:rsidRPr="0009014A">
        <w:rPr>
          <w:rFonts w:ascii="Lato" w:hAnsi="Lato" w:cs="Arial"/>
          <w:bCs/>
          <w:iCs/>
          <w:color w:val="000000"/>
          <w:spacing w:val="4"/>
          <w:sz w:val="22"/>
          <w:szCs w:val="22"/>
          <w:lang w:bidi="pl-PL"/>
        </w:rPr>
        <w:br/>
        <w:t xml:space="preserve">To podmiot składający wniosek o wydanie decyzji o ustaleniu lokalizacji inwestycji </w:t>
      </w:r>
      <w:r w:rsidRPr="0009014A">
        <w:rPr>
          <w:rFonts w:ascii="Lato" w:hAnsi="Lato" w:cs="Arial"/>
          <w:bCs/>
          <w:iCs/>
          <w:color w:val="000000"/>
          <w:spacing w:val="4"/>
          <w:sz w:val="22"/>
          <w:szCs w:val="22"/>
          <w:lang w:bidi="pl-PL"/>
        </w:rPr>
        <w:br/>
        <w:t>w zakresie CPK określa projektowany obszar Inwestycji, tj. wielkości terenu niezbędnego dla obiektów budowlanych, jak również wskazuje nieruchomości lub ich części, które planowane są do wywłaszczenia, co z kolei wynika z art. 43 ust. 1 pkt 5 ustawy CPK.</w:t>
      </w:r>
      <w:r w:rsidRPr="0009014A">
        <w:rPr>
          <w:rFonts w:ascii="Lato" w:hAnsi="Lato"/>
          <w:spacing w:val="4"/>
          <w:sz w:val="22"/>
          <w:szCs w:val="22"/>
        </w:rPr>
        <w:t xml:space="preserve"> </w:t>
      </w:r>
      <w:r w:rsidR="008420AA">
        <w:rPr>
          <w:rFonts w:ascii="Lato" w:hAnsi="Lato"/>
          <w:spacing w:val="4"/>
          <w:sz w:val="22"/>
          <w:szCs w:val="22"/>
        </w:rPr>
        <w:br/>
      </w:r>
      <w:r w:rsidRPr="0009014A">
        <w:rPr>
          <w:rFonts w:ascii="Lato" w:hAnsi="Lato"/>
          <w:spacing w:val="4"/>
          <w:sz w:val="22"/>
          <w:szCs w:val="22"/>
        </w:rPr>
        <w:t xml:space="preserve">Na załączonej przez inwestora do wniosku mapie przedstawiano </w:t>
      </w:r>
      <w:r w:rsidRPr="0009014A">
        <w:rPr>
          <w:rFonts w:ascii="Lato" w:hAnsi="Lato"/>
          <w:bCs/>
          <w:iCs/>
          <w:spacing w:val="4"/>
          <w:sz w:val="22"/>
          <w:szCs w:val="22"/>
          <w:lang w:bidi="pl-PL"/>
        </w:rPr>
        <w:t xml:space="preserve">projektowany obszar Inwestycji i wyszczególniono (poprzez odpowiednie oznaczenie graficzne) nieruchomości zajęte odpowiednio pod komponent lotniskowy, komponent drogowy i komponent kolejowy Inwestycji. Mapa ta wyznacza obszar, na którym inwestor planuje budowę Inwestycji, bez konieczności szczegółowego rozrysowania poszczególnych obiektów czy infrastruktury na tym etapie procesu inwestycyjnego. Jak już to bowiem wyjaśniono powyżej, treść art. 43 ust. 1 pkt 1 ustawy CPK jasno wskazuje, że załączona przez inwestora do wniosku mapa ma przedstawiać jedynie „projektowany obszar Inwestycji, </w:t>
      </w:r>
      <w:r w:rsidRPr="0009014A">
        <w:rPr>
          <w:rFonts w:ascii="Lato" w:hAnsi="Lato"/>
          <w:bCs/>
          <w:iCs/>
          <w:spacing w:val="4"/>
          <w:sz w:val="22"/>
          <w:szCs w:val="22"/>
          <w:lang w:bidi="pl-PL"/>
        </w:rPr>
        <w:br/>
        <w:t xml:space="preserve">z zaznaczeniem terenu niezbędnego dla obiektów budowlanych”, a nie obrazować jakie konkretne obiekty budowlane będą realizowane na zaznaczonym terenie. </w:t>
      </w:r>
    </w:p>
    <w:p w14:paraId="6FCEB7D5" w14:textId="144A5C79"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hAnsi="Lato"/>
          <w:bCs/>
          <w:iCs/>
          <w:spacing w:val="4"/>
          <w:sz w:val="22"/>
          <w:szCs w:val="22"/>
          <w:lang w:bidi="pl-PL"/>
        </w:rPr>
        <w:t xml:space="preserve">Nie można bowiem pominąć, że postępowanie dotyczące lokalizacji inwestycji jest wstępnym etapem procesu inwestycyjnego, którego istotą jest określenie czy wskazana we wniosku inwestycja może być realizowana zgodnie z przepisami prawa oraz określenie terenu na którym umiejscowione zostaną planowane obiekty i urządzenia. </w:t>
      </w:r>
      <w:r w:rsidRPr="0009014A">
        <w:rPr>
          <w:rFonts w:ascii="Lato" w:hAnsi="Lato"/>
          <w:bCs/>
          <w:iCs/>
          <w:spacing w:val="4"/>
          <w:sz w:val="22"/>
          <w:szCs w:val="22"/>
          <w:lang w:bidi="pl-PL"/>
        </w:rPr>
        <w:br/>
        <w:t xml:space="preserve">Z racji takiego charakteru decyzja lokalizacyjna nie określa szczegółowych rozwiązań dotyczących realizacji inwestycji, a w sposób ogólny i wystarczający dla tego etapu postępowania określa co będzie przedmiotem planowanej inwestycji. Dopiero w toku prowadzonego postępowania w przedmiocie pozwolenia na budowę (a więc na dalszym etapie procesu inwestycyjnego) inwestor przedkłada projekt budowlany (projekt zagospodarowania działki lub terenu oraz projekt architektoniczno-budowlany) zawierający szczegółowe rozwiązania techniczne inwestycji dla której została wydana decyzja lokalizacyjna. </w:t>
      </w:r>
      <w:r w:rsidRPr="0009014A">
        <w:rPr>
          <w:rFonts w:ascii="Lato" w:hAnsi="Lato" w:cs="Arial"/>
          <w:bCs/>
          <w:iCs/>
          <w:color w:val="000000"/>
          <w:spacing w:val="4"/>
          <w:sz w:val="22"/>
          <w:szCs w:val="22"/>
          <w:lang w:bidi="pl-PL"/>
        </w:rPr>
        <w:t xml:space="preserve">Z załączonej przez inwestora do wniosku mapy przedstawiającej projektowany obszar Inwestycji (która została następnie zatwierdzona przez organ </w:t>
      </w:r>
      <w:r w:rsidR="003124ED">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I instancji jako załączniki nr 1-64 do decyzji Wojewody Mazowieckiego) działki skarżących zostały oznaczone jako niezbędne do zajęcia pod obszar komponentu lotniskowego Inwestycji, w tym pod funkcje towarzyszące (obszary funkcjonalne lotniska). W charakterystyce przedsięwzięcia (pkt II na str. 76-88 decyzji Wojewody Mazowieckiego) opisano jakie elementy wchodzą w zakres komponentów lotniskowego, kolejowego i drogowego przedmiotowej Inwestycji. Inwestor w wyjaśnieniach składanych na etapie postępowania przed Wojewodą Mazowieckim (w odpowiedzi na uwagi skarżących) wskazywał działki skarżących jako niezbędne na potrzeby lokalizacji planowanego przedsięwzięcia. W konsekwencji, działki skarżących zostały wywłaszczone w decyzji Wojewody Mazowieckiego na potrzeby lokalizacji Inwestycji </w:t>
      </w:r>
      <w:r w:rsidR="003124ED">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rozumieniu art. 2 pkt 3 ustawy CPK. Brak jest podstaw do przyjęcia, że ingerencja </w:t>
      </w:r>
      <w:r w:rsidR="003124ED">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prawo własności odwołujących się ma charakter nadmierny, nieusprawiedliwiony. </w:t>
      </w:r>
    </w:p>
    <w:p w14:paraId="686F5306"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sidDel="00E50C8D">
        <w:rPr>
          <w:rFonts w:ascii="Lato" w:hAnsi="Lato" w:cs="Arial"/>
          <w:bCs/>
          <w:iCs/>
          <w:color w:val="000000"/>
          <w:spacing w:val="4"/>
          <w:sz w:val="22"/>
          <w:szCs w:val="22"/>
          <w:lang w:bidi="pl-PL"/>
        </w:rPr>
        <w:t xml:space="preserve">Dostrzec trzeba, że skarżący domagają się utrzymania swojego status quo w zakresie, </w:t>
      </w:r>
      <w:r w:rsidRPr="0009014A">
        <w:rPr>
          <w:rFonts w:ascii="Lato" w:hAnsi="Lato" w:cs="Arial"/>
          <w:bCs/>
          <w:iCs/>
          <w:color w:val="000000"/>
          <w:spacing w:val="4"/>
          <w:sz w:val="22"/>
          <w:szCs w:val="22"/>
          <w:lang w:bidi="pl-PL"/>
        </w:rPr>
        <w:br/>
      </w:r>
      <w:r w:rsidRPr="0009014A" w:rsidDel="00E50C8D">
        <w:rPr>
          <w:rFonts w:ascii="Lato" w:hAnsi="Lato" w:cs="Arial"/>
          <w:bCs/>
          <w:iCs/>
          <w:color w:val="000000"/>
          <w:spacing w:val="4"/>
          <w:sz w:val="22"/>
          <w:szCs w:val="22"/>
          <w:lang w:bidi="pl-PL"/>
        </w:rPr>
        <w:t xml:space="preserve">w jakim dotychczas korzystali z nieruchomości objętych lokalizacją przedmiotowej </w:t>
      </w:r>
      <w:r w:rsidRPr="0009014A">
        <w:rPr>
          <w:rFonts w:ascii="Lato" w:hAnsi="Lato" w:cs="Arial"/>
          <w:bCs/>
          <w:iCs/>
          <w:color w:val="000000"/>
          <w:spacing w:val="4"/>
          <w:sz w:val="22"/>
          <w:szCs w:val="22"/>
          <w:lang w:bidi="pl-PL"/>
        </w:rPr>
        <w:t>I</w:t>
      </w:r>
      <w:r w:rsidRPr="0009014A" w:rsidDel="00E50C8D">
        <w:rPr>
          <w:rFonts w:ascii="Lato" w:hAnsi="Lato" w:cs="Arial"/>
          <w:bCs/>
          <w:iCs/>
          <w:color w:val="000000"/>
          <w:spacing w:val="4"/>
          <w:sz w:val="22"/>
          <w:szCs w:val="22"/>
          <w:lang w:bidi="pl-PL"/>
        </w:rPr>
        <w:t>nwestycji lub planowali ich przyszłe wykorzystanie</w:t>
      </w:r>
      <w:r w:rsidRPr="0009014A">
        <w:rPr>
          <w:rFonts w:ascii="Lato" w:hAnsi="Lato" w:cs="Arial"/>
          <w:bCs/>
          <w:iCs/>
          <w:color w:val="000000"/>
          <w:spacing w:val="4"/>
          <w:sz w:val="22"/>
          <w:szCs w:val="22"/>
          <w:lang w:bidi="pl-PL"/>
        </w:rPr>
        <w:t xml:space="preserve"> </w:t>
      </w:r>
      <w:r w:rsidRPr="0009014A" w:rsidDel="00E50C8D">
        <w:rPr>
          <w:rFonts w:ascii="Lato" w:hAnsi="Lato" w:cs="Arial"/>
          <w:bCs/>
          <w:iCs/>
          <w:color w:val="000000"/>
          <w:spacing w:val="4"/>
          <w:sz w:val="22"/>
          <w:szCs w:val="22"/>
          <w:lang w:bidi="pl-PL"/>
        </w:rPr>
        <w:t>i w tym kontekście ich sprzeciw wydaje się być oczywiście naturalnym odruchem ochrony sposobu wykonywania dotychczasowego prawa własności nieruchomości.</w:t>
      </w:r>
      <w:r w:rsidRPr="0009014A">
        <w:rPr>
          <w:rFonts w:ascii="Lato" w:hAnsi="Lato" w:cs="Arial"/>
          <w:bCs/>
          <w:iCs/>
          <w:color w:val="000000"/>
          <w:spacing w:val="4"/>
          <w:sz w:val="22"/>
          <w:szCs w:val="22"/>
          <w:lang w:bidi="pl-PL"/>
        </w:rPr>
        <w:t xml:space="preserve"> Jednakże ustalenie lokalizacji inwestycji w zakresie CPK o tak znacznym zasięgu terytorialnym jak w niniejszej sprawie wiąże się z licznymi wywłaszczeniami, a przedmiotowa inwestycja byłaby niemożliwa do zrealizowania, jeśliby organy orzekające w sprawie miały obowiązek uwzględniać uwagi </w:t>
      </w:r>
      <w:r w:rsidRPr="0009014A">
        <w:rPr>
          <w:rFonts w:ascii="Lato" w:hAnsi="Lato" w:cs="Arial"/>
          <w:bCs/>
          <w:iCs/>
          <w:color w:val="000000"/>
          <w:spacing w:val="4"/>
          <w:sz w:val="22"/>
          <w:szCs w:val="22"/>
          <w:lang w:bidi="pl-PL"/>
        </w:rPr>
        <w:lastRenderedPageBreak/>
        <w:t xml:space="preserve">właścicieli wywłaszczonych nieruchomości dotyczące nadmiernego obciążenia ich nieruchomości. Ewentualna korekta w zakresie obciążeń nieruchomości mogłaby budzić z kolei sprzeciw podmiotu, którego prawa w wyniku dokonania tej korekty podlegałyby zwiększonym ograniczeniom. Stąd też celowy zabieg ustawodawcy, który konstruując przepisy ustawy CPK nie pozostawił organom kompetencji do dokonywania oceny w tym zakresie. Funkcję kompensacyjną pełni w tych sytuacjach odszkodowanie ustalone decyzją wojewody w odrębnym postępowaniu. Pomimo odjęcia własności, dochodzi </w:t>
      </w:r>
      <w:r w:rsidRPr="0009014A">
        <w:rPr>
          <w:rFonts w:ascii="Lato" w:hAnsi="Lato" w:cs="Arial"/>
          <w:bCs/>
          <w:iCs/>
          <w:color w:val="000000"/>
          <w:spacing w:val="4"/>
          <w:sz w:val="22"/>
          <w:szCs w:val="22"/>
          <w:lang w:bidi="pl-PL"/>
        </w:rPr>
        <w:br/>
        <w:t xml:space="preserve">w ten sposób do równoważenia strat i szkód związanych z prowadzonym postępowaniem. </w:t>
      </w:r>
    </w:p>
    <w:p w14:paraId="11D0F5B5"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Oczywiste i nieuniknione jest, że każda realizacja inwestycji liniowej, a więc przebiegającej obok, albo na szeregu działkach prowadzi do wywłaszczenia nieruchomości, bądź ich części lub powoduje inne, często znaczne, uciążliwości dla właścicieli nieruchomości.</w:t>
      </w:r>
      <w:r w:rsidRPr="0009014A">
        <w:rPr>
          <w:rFonts w:ascii="Lato" w:eastAsiaTheme="minorHAnsi" w:hAnsi="Lato" w:cs="Arial"/>
          <w:bCs/>
          <w:iCs/>
          <w:spacing w:val="4"/>
          <w:sz w:val="22"/>
          <w:szCs w:val="22"/>
          <w:lang w:eastAsia="en-US" w:bidi="pl-PL"/>
        </w:rPr>
        <w:t xml:space="preserve"> Nie oznacza to jednak, że taka decyzja o ustaleniu lokalizacji inwestycji jest wadliwa. </w:t>
      </w:r>
      <w:r w:rsidRPr="0009014A">
        <w:rPr>
          <w:rFonts w:ascii="Lato" w:hAnsi="Lato" w:cs="Arial"/>
          <w:bCs/>
          <w:iCs/>
          <w:color w:val="000000"/>
          <w:spacing w:val="4"/>
          <w:sz w:val="22"/>
          <w:szCs w:val="22"/>
          <w:lang w:bidi="pl-PL"/>
        </w:rPr>
        <w:t>W postępowaniu w sprawie wydania decyzji o ustaleniu lokalizacji inwestycji w zakresie CPK zarówno Wojewoda Mazowiecki, jak i Minister, badają zgodność z prawem wniosku inwestora, nie zaś zagadnień dotyczących ewentualnych negatywnych następstw dla podmiotów objętych tą decyzją, bowiem organ wydający decyzję o ustaleniu lokalizacji inwestycji w zakresie CPK nie jest bowiem kompetentny do oceny przesłanek społecznych powstającej Inwestycji, w jej kształcie określonym przez inwestora. Do organu administracji należy jedynie ocena wniosku inwestora pod względem jego zgodności z prawem powszechnie obowiązującym.</w:t>
      </w:r>
      <w:r w:rsidRPr="0009014A">
        <w:rPr>
          <w:rFonts w:ascii="Lato" w:eastAsiaTheme="minorHAnsi" w:hAnsi="Lato" w:cs="Arial"/>
          <w:bCs/>
          <w:iCs/>
          <w:spacing w:val="4"/>
          <w:sz w:val="22"/>
          <w:szCs w:val="22"/>
          <w:lang w:eastAsia="en-US" w:bidi="pl-PL"/>
        </w:rPr>
        <w:t xml:space="preserve"> Nieuniknione jest to, że lokalizacja Inwestycji może stwarzać określone uciążliwości dla właścicieli nieruchomości objętych jej zakresem. </w:t>
      </w:r>
      <w:r w:rsidRPr="0009014A">
        <w:rPr>
          <w:rFonts w:ascii="Lato" w:hAnsi="Lato" w:cs="Arial"/>
          <w:bCs/>
          <w:iCs/>
          <w:color w:val="000000"/>
          <w:spacing w:val="4"/>
          <w:sz w:val="22"/>
          <w:szCs w:val="22"/>
          <w:lang w:bidi="pl-PL"/>
        </w:rPr>
        <w:t xml:space="preserve">W przypadku realizacji celów publicznych niemal zawsze dochodzi do nieuchronnej kolizji interesu publicznego </w:t>
      </w:r>
      <w:r w:rsidRPr="0009014A">
        <w:rPr>
          <w:rFonts w:ascii="Lato" w:hAnsi="Lato" w:cs="Arial"/>
          <w:bCs/>
          <w:iCs/>
          <w:color w:val="000000"/>
          <w:spacing w:val="4"/>
          <w:sz w:val="22"/>
          <w:szCs w:val="22"/>
          <w:lang w:bidi="pl-PL"/>
        </w:rPr>
        <w:br/>
        <w:t xml:space="preserve">i interesów indywidualnych. Co do zasady, w tego rodzaju sytuacji prymat przyznany zostaje interesowi publicznemu, chyba że zakres planowanej ingerencji w prawo podmiotowe doprowadziłby do naruszenia jego istoty (art. 64 ust. 3 Konstytucji RP), </w:t>
      </w:r>
      <w:r w:rsidRPr="0009014A">
        <w:rPr>
          <w:rFonts w:ascii="Lato" w:hAnsi="Lato" w:cs="Arial"/>
          <w:bCs/>
          <w:iCs/>
          <w:color w:val="000000"/>
          <w:spacing w:val="4"/>
          <w:sz w:val="22"/>
          <w:szCs w:val="22"/>
          <w:lang w:bidi="pl-PL"/>
        </w:rPr>
        <w:br/>
        <w:t>co w niniejszej sprawie nie miało miejsca.</w:t>
      </w:r>
    </w:p>
    <w:p w14:paraId="186EE325" w14:textId="423248E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Odnosząc się do kwestii podniesionych przez Pana M</w:t>
      </w:r>
      <w:r w:rsidR="007C295E">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7C295E">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W</w:t>
      </w:r>
      <w:r w:rsidR="007C295E">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7C295E">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i </w:t>
      </w:r>
      <w:r w:rsidRPr="0009014A">
        <w:rPr>
          <w:rFonts w:ascii="Lato" w:hAnsi="Lato" w:cs="Arial"/>
          <w:bCs/>
          <w:iCs/>
          <w:color w:val="000000"/>
          <w:spacing w:val="4"/>
          <w:sz w:val="22"/>
          <w:szCs w:val="22"/>
          <w:lang w:bidi="pl-PL"/>
        </w:rPr>
        <w:t>Panią J</w:t>
      </w:r>
      <w:r w:rsidR="007C295E">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7C295E">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t>
      </w:r>
      <w:r w:rsidR="007C295E">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pismach załączonych do odwołań kwestionujących przejęty wariant lokalizacji Inwestycji, przypomnieć należy, iż wariant ustalenia lokalizacji przedmiotowej Inwestycji determinuje decyzja o środowiskowych uwarunkowaniach, a więc kwestia ta była przedmiotem odrębnego postępowania w sprawie wydania decyzji o środowiskowych uwarunkowaniach. Znacznie decyzji o środowiskowych uwarunkowaniach dla dalszego procesu inwestycyjnego zostało określone w art. 86 pkt 2 ustawy o udostępnianiu informacji o środowisku i jego ochronie. Zgodnie z tym przepisem, decyzja </w:t>
      </w:r>
      <w:r w:rsidR="007C295E">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o środowiskowych uwarunkowaniach wiąże organ wydający decyzję o ustaleniu lokalizacji inwestycji w zakresie CPK. Kompetentne organy środowiskowe dokonały oceny wpływu Inwestycji w projektowanym wariancie na środowisko oraz ludzi uznały przyjętą przez inwestora lokalizację Inwestycji za możliwą do realizacji. Natomiast na etapie postępowania o wydanie decyzji o ustaleniu lokalizacji inwestycji w zakresie CPK nie bada się już innych wariantów lokalizacyjnych przeprowadzenia inwestycji. Żaden </w:t>
      </w:r>
      <w:r w:rsidR="007C295E">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z organów administracji właściwych do wydania decyzji o ustaleniu lokalizacji inwestycji w zakresie CPK, na podstawie przepisów ustawy CPK, nie miał uprawnienia do ingerowania w przebieg inwestycji zaproponowany przez inwestora a który to wcześniej został zatwierdzony i zaakceptowany w decyzji określającej środowiskowe uwarunkowania realizacji Inwestycji.</w:t>
      </w:r>
    </w:p>
    <w:p w14:paraId="710CB35E" w14:textId="3EEF43E6" w:rsidR="0009014A" w:rsidRPr="0009014A" w:rsidRDefault="0009014A" w:rsidP="0009014A">
      <w:pPr>
        <w:spacing w:after="240" w:line="240" w:lineRule="exact"/>
        <w:jc w:val="both"/>
        <w:rPr>
          <w:rFonts w:ascii="Lato" w:hAnsi="Lato"/>
          <w:spacing w:val="4"/>
          <w:sz w:val="22"/>
          <w:szCs w:val="22"/>
        </w:rPr>
      </w:pPr>
      <w:r w:rsidRPr="0009014A">
        <w:rPr>
          <w:rFonts w:ascii="Lato" w:hAnsi="Lato" w:cs="Arial"/>
          <w:bCs/>
          <w:iCs/>
          <w:color w:val="000000"/>
          <w:spacing w:val="4"/>
          <w:sz w:val="22"/>
          <w:szCs w:val="22"/>
          <w:lang w:bidi="pl-PL"/>
        </w:rPr>
        <w:t>Co zaś się tyczy innych kwestii podniesionych przez Pana M</w:t>
      </w:r>
      <w:r w:rsidR="001E55E2">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1E55E2">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W</w:t>
      </w:r>
      <w:r w:rsidR="001E55E2">
        <w:rPr>
          <w:rFonts w:ascii="Lato" w:hAnsi="Lato" w:cs="Arial"/>
          <w:bCs/>
          <w:iCs/>
          <w:color w:val="000000"/>
          <w:spacing w:val="4"/>
          <w:sz w:val="22"/>
          <w:szCs w:val="22"/>
          <w:lang w:bidi="pl-PL"/>
        </w:rPr>
        <w:t xml:space="preserve">. </w:t>
      </w:r>
      <w:r w:rsidRPr="0009014A">
        <w:rPr>
          <w:rFonts w:ascii="Lato" w:hAnsi="Lato" w:cs="Arial"/>
          <w:bCs/>
          <w:iCs/>
          <w:color w:val="000000"/>
          <w:spacing w:val="4"/>
          <w:sz w:val="22"/>
          <w:szCs w:val="22"/>
          <w:lang w:bidi="pl-PL"/>
        </w:rPr>
        <w:t>B</w:t>
      </w:r>
      <w:r w:rsidR="001E55E2">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Panią J</w:t>
      </w:r>
      <w:r w:rsidR="001E55E2">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1E55E2">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 pismach załączonych do odwołania (nacechowanych emocjonalnie), to wyjaśnić należy, iż organ wydający decyzję o ustaleniu lokalizacji inwestycji w zakresie CPK - jak już to wyjaśniono powyżej - nie jest kompetentny do oceny przesłanek społecznych </w:t>
      </w:r>
      <w:r w:rsidRPr="0009014A">
        <w:rPr>
          <w:rFonts w:ascii="Lato" w:hAnsi="Lato" w:cs="Arial"/>
          <w:bCs/>
          <w:iCs/>
          <w:color w:val="000000"/>
          <w:spacing w:val="4"/>
          <w:sz w:val="22"/>
          <w:szCs w:val="22"/>
          <w:lang w:bidi="pl-PL"/>
        </w:rPr>
        <w:lastRenderedPageBreak/>
        <w:t>powstającej inwestycji, w jej kształcie określonym przez inwestora</w:t>
      </w:r>
      <w:r w:rsidRPr="0009014A">
        <w:rPr>
          <w:rFonts w:ascii="Lato" w:hAnsi="Lato"/>
          <w:spacing w:val="4"/>
          <w:sz w:val="22"/>
          <w:szCs w:val="22"/>
        </w:rPr>
        <w:t xml:space="preserve">. Samo stanowisko skarżących, że nie widzą potrzeby realizacji przedmiotowej Inwestycji w przyjętej lokalizacji nie poddaje się ocenie prawnej, ponieważ obowiązujące przepisy nie uzależniają możliwości uzyskania decyzji o ustaleniu lokalizacja inwestycji w zakresie CPK od woli osób trzecich (właścicieli nieruchomości objętych zakresem lokalizacji Inwestycji). Tego rodzaju argumentacja skarżących nie mieści się zatem w pojęciu uzasadnionych interesów osób trzecich, które to interesy powinny być oparte nie na woli danych podmiotów, lecz normach prawnych, których naruszenia nie wykazano jeśli chodzi o wydanie zaskarżonej decyzji z punktu widzenia interesów prawnych skarżących. Ustawa CPK dopuszcza ingerencję w prawa własności i co więcej, czyni to w zgodzie </w:t>
      </w:r>
      <w:r w:rsidR="00326DE8">
        <w:rPr>
          <w:rFonts w:ascii="Lato" w:hAnsi="Lato"/>
          <w:spacing w:val="4"/>
          <w:sz w:val="22"/>
          <w:szCs w:val="22"/>
        </w:rPr>
        <w:br/>
      </w:r>
      <w:r w:rsidRPr="0009014A">
        <w:rPr>
          <w:rFonts w:ascii="Lato" w:hAnsi="Lato"/>
          <w:spacing w:val="4"/>
          <w:sz w:val="22"/>
          <w:szCs w:val="22"/>
        </w:rPr>
        <w:t xml:space="preserve">z przepisami Konstytucji RP, bowiem za słusznym odszkodowaniem (ustalonym z urzędu przez wojewodę w odrębnej procedurze administracyjnej). Zasadniczo decyzje </w:t>
      </w:r>
      <w:r w:rsidR="00326DE8">
        <w:rPr>
          <w:rFonts w:ascii="Lato" w:hAnsi="Lato"/>
          <w:spacing w:val="4"/>
          <w:sz w:val="22"/>
          <w:szCs w:val="22"/>
        </w:rPr>
        <w:br/>
      </w:r>
      <w:r w:rsidRPr="0009014A">
        <w:rPr>
          <w:rFonts w:ascii="Lato" w:hAnsi="Lato"/>
          <w:spacing w:val="4"/>
          <w:sz w:val="22"/>
          <w:szCs w:val="22"/>
        </w:rPr>
        <w:t xml:space="preserve">o ustaleniu lokalizacji inwestycji/zezwoleniu na realizację inwestycji/pozwoleniu na budowę w polskim systemie prawnym mają charakter decyzji związanych, co oznacza, że dla uzyskania tego rodzaju decyzji wystarczające jest spełnienie przez wnioskodawcę wymogów ustawowych, a wtedy organ architektoniczno-budowlany nie może odmówić udzielenia zgody lokalizacyjnej/zgody budowlanej (por. wyrok Naczelnego Sądu Administracyjnego z dnia 29 stycznia 2025 r., sygn. akt II OSK 2890/24, opubl. Centralna Baza Orzeczeń Sądów Administracyjnych). </w:t>
      </w:r>
    </w:p>
    <w:p w14:paraId="0F4A0E71" w14:textId="3AF424B9"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hAnsi="Lato"/>
          <w:spacing w:val="4"/>
          <w:sz w:val="22"/>
          <w:szCs w:val="22"/>
        </w:rPr>
        <w:t xml:space="preserve">Powyższe argumentacja odnosi się również do </w:t>
      </w:r>
      <w:r w:rsidRPr="0009014A">
        <w:rPr>
          <w:rFonts w:ascii="Lato" w:hAnsi="Lato"/>
          <w:bCs/>
          <w:iCs/>
          <w:spacing w:val="4"/>
          <w:sz w:val="22"/>
          <w:szCs w:val="22"/>
          <w:lang w:bidi="pl-PL"/>
        </w:rPr>
        <w:t>kwestii podniesionej przez Pana M</w:t>
      </w:r>
      <w:r w:rsidR="00CD7FC8">
        <w:rPr>
          <w:rFonts w:ascii="Lato" w:hAnsi="Lato"/>
          <w:bCs/>
          <w:iCs/>
          <w:spacing w:val="4"/>
          <w:sz w:val="22"/>
          <w:szCs w:val="22"/>
          <w:lang w:bidi="pl-PL"/>
        </w:rPr>
        <w:t>.</w:t>
      </w:r>
      <w:r w:rsidRPr="0009014A">
        <w:rPr>
          <w:rFonts w:ascii="Lato" w:hAnsi="Lato"/>
          <w:bCs/>
          <w:iCs/>
          <w:spacing w:val="4"/>
          <w:sz w:val="22"/>
          <w:szCs w:val="22"/>
          <w:lang w:bidi="pl-PL"/>
        </w:rPr>
        <w:t xml:space="preserve"> J</w:t>
      </w:r>
      <w:r w:rsidR="00CD7FC8">
        <w:rPr>
          <w:rFonts w:ascii="Lato" w:hAnsi="Lato"/>
          <w:bCs/>
          <w:iCs/>
          <w:spacing w:val="4"/>
          <w:sz w:val="22"/>
          <w:szCs w:val="22"/>
          <w:lang w:bidi="pl-PL"/>
        </w:rPr>
        <w:t>.</w:t>
      </w:r>
      <w:r w:rsidRPr="0009014A">
        <w:rPr>
          <w:rFonts w:ascii="Lato" w:hAnsi="Lato"/>
          <w:bCs/>
          <w:iCs/>
          <w:spacing w:val="4"/>
          <w:sz w:val="22"/>
          <w:szCs w:val="22"/>
          <w:lang w:bidi="pl-PL"/>
        </w:rPr>
        <w:t xml:space="preserve"> </w:t>
      </w:r>
      <w:r w:rsidR="00CD7FC8">
        <w:rPr>
          <w:rFonts w:ascii="Lato" w:hAnsi="Lato"/>
          <w:bCs/>
          <w:iCs/>
          <w:spacing w:val="4"/>
          <w:sz w:val="22"/>
          <w:szCs w:val="22"/>
          <w:lang w:bidi="pl-PL"/>
        </w:rPr>
        <w:br/>
      </w:r>
      <w:r w:rsidRPr="0009014A">
        <w:rPr>
          <w:rFonts w:ascii="Lato" w:hAnsi="Lato"/>
          <w:bCs/>
          <w:iCs/>
          <w:spacing w:val="4"/>
          <w:sz w:val="22"/>
          <w:szCs w:val="22"/>
          <w:lang w:bidi="pl-PL"/>
        </w:rPr>
        <w:t xml:space="preserve">w piśmie załączonym do odwołania, że wydana decyzji Wojewody Mazowieckiego narusza jego podstawowe prawo konstytucyjne jakim jest własność </w:t>
      </w:r>
      <w:r w:rsidRPr="0009014A">
        <w:rPr>
          <w:rFonts w:ascii="Lato" w:hAnsi="Lato"/>
          <w:bCs/>
          <w:iCs/>
          <w:spacing w:val="4"/>
          <w:sz w:val="22"/>
          <w:szCs w:val="22"/>
          <w:lang w:bidi="pl-PL"/>
        </w:rPr>
        <w:br/>
        <w:t>i zarządzanie swoim majątkiem. O tym, że decyzja Wojewody Mazowieckiego nie narusza konstytucyjnego chronionego prawa własność będzie również szczegółow</w:t>
      </w:r>
      <w:r w:rsidR="00B0642C">
        <w:rPr>
          <w:rFonts w:ascii="Lato" w:hAnsi="Lato"/>
          <w:bCs/>
          <w:iCs/>
          <w:spacing w:val="4"/>
          <w:sz w:val="22"/>
          <w:szCs w:val="22"/>
          <w:lang w:bidi="pl-PL"/>
        </w:rPr>
        <w:t>o</w:t>
      </w:r>
      <w:r w:rsidRPr="0009014A">
        <w:rPr>
          <w:rFonts w:ascii="Lato" w:hAnsi="Lato"/>
          <w:bCs/>
          <w:iCs/>
          <w:spacing w:val="4"/>
          <w:sz w:val="22"/>
          <w:szCs w:val="22"/>
          <w:lang w:bidi="pl-PL"/>
        </w:rPr>
        <w:t xml:space="preserve"> mowa </w:t>
      </w:r>
      <w:r w:rsidRPr="0009014A">
        <w:rPr>
          <w:rFonts w:ascii="Lato" w:hAnsi="Lato"/>
          <w:bCs/>
          <w:iCs/>
          <w:spacing w:val="4"/>
          <w:sz w:val="22"/>
          <w:szCs w:val="22"/>
          <w:lang w:bidi="pl-PL"/>
        </w:rPr>
        <w:br/>
        <w:t xml:space="preserve">w dalszej części niniejszej przy rozpatrywaniu zarzutów innych odwołań.  </w:t>
      </w:r>
    </w:p>
    <w:p w14:paraId="2718D11B" w14:textId="2A5DE6E9"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Na uwzględnienie nie zasługuje zarzut Pana K</w:t>
      </w:r>
      <w:r w:rsidR="00CD7FC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O</w:t>
      </w:r>
      <w:r w:rsidR="00CD7FC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naruszenia </w:t>
      </w:r>
      <w:r w:rsidRPr="0009014A">
        <w:rPr>
          <w:rFonts w:ascii="Lato" w:hAnsi="Lato" w:cs="Arial"/>
          <w:bCs/>
          <w:iCs/>
          <w:color w:val="000000"/>
          <w:spacing w:val="4"/>
          <w:sz w:val="22"/>
          <w:szCs w:val="22"/>
          <w:lang w:bidi="pl-PL"/>
        </w:rPr>
        <w:br/>
        <w:t xml:space="preserve">art. 7 ust. 2 pkt 1 ustawy Prawo budowlane w zw. z § 12 ust. 1 rozporządzenia Ministra Infrastruktury z dnia 12 kwietnia 2002 r. w sprawie warunków technicznych, jakim powinny odpowiadać budynki i ich usytuowanie (t.j. Dz.U. z 2022 r. poz. 1225,  późn.zm.), zwanego dalej </w:t>
      </w:r>
      <w:r w:rsidRPr="0009014A">
        <w:rPr>
          <w:rFonts w:ascii="Lato" w:hAnsi="Lato" w:cs="Arial"/>
          <w:bCs/>
          <w:i/>
          <w:iCs/>
          <w:color w:val="000000"/>
          <w:spacing w:val="4"/>
          <w:sz w:val="22"/>
          <w:szCs w:val="22"/>
          <w:lang w:bidi="pl-PL"/>
        </w:rPr>
        <w:t>„</w:t>
      </w:r>
      <w:r w:rsidRPr="0009014A">
        <w:rPr>
          <w:rFonts w:ascii="Lato" w:hAnsi="Lato" w:cs="Arial"/>
          <w:bCs/>
          <w:iCs/>
          <w:color w:val="000000"/>
          <w:spacing w:val="4"/>
          <w:sz w:val="22"/>
          <w:szCs w:val="22"/>
          <w:lang w:bidi="pl-PL"/>
        </w:rPr>
        <w:t>rozporządzeniem w sprawie warunków technicznych, jakim powinny odpowiadać budynki i ich usytuowanie</w:t>
      </w:r>
      <w:r w:rsidRPr="0009014A">
        <w:rPr>
          <w:rFonts w:ascii="Lato" w:hAnsi="Lato" w:cs="Arial"/>
          <w:bCs/>
          <w:i/>
          <w:iCs/>
          <w:color w:val="000000"/>
          <w:spacing w:val="4"/>
          <w:sz w:val="22"/>
          <w:szCs w:val="22"/>
          <w:lang w:bidi="pl-PL"/>
        </w:rPr>
        <w:t>”</w:t>
      </w:r>
      <w:r w:rsidRPr="0009014A">
        <w:rPr>
          <w:rFonts w:ascii="Lato" w:hAnsi="Lato" w:cs="Arial"/>
          <w:bCs/>
          <w:iCs/>
          <w:color w:val="000000"/>
          <w:spacing w:val="4"/>
          <w:sz w:val="22"/>
          <w:szCs w:val="22"/>
          <w:lang w:bidi="pl-PL"/>
        </w:rPr>
        <w:t xml:space="preserve"> w zw. z art. 94 ust. 1 pkt 1 ugn poprzez pominięcie jego zastosowania polegające na zatwierdzeniu podziału nieruchomości, </w:t>
      </w:r>
      <w:r w:rsidRPr="0009014A">
        <w:rPr>
          <w:rFonts w:ascii="Lato" w:hAnsi="Lato" w:cs="Arial"/>
          <w:bCs/>
          <w:iCs/>
          <w:color w:val="000000"/>
          <w:spacing w:val="4"/>
          <w:sz w:val="22"/>
          <w:szCs w:val="22"/>
          <w:lang w:bidi="pl-PL"/>
        </w:rPr>
        <w:br/>
        <w:t xml:space="preserve">w wyniku którego granica działek powstałych z podziału działki </w:t>
      </w:r>
      <w:r w:rsidR="00B0642C">
        <w:rPr>
          <w:rFonts w:ascii="Lato" w:hAnsi="Lato" w:cs="Arial"/>
          <w:bCs/>
          <w:iCs/>
          <w:color w:val="000000"/>
          <w:spacing w:val="4"/>
          <w:sz w:val="22"/>
          <w:szCs w:val="22"/>
          <w:lang w:bidi="pl-PL"/>
        </w:rPr>
        <w:t xml:space="preserve">nr </w:t>
      </w:r>
      <w:r w:rsidRPr="0009014A">
        <w:rPr>
          <w:rFonts w:ascii="Lato" w:hAnsi="Lato" w:cs="Arial"/>
          <w:bCs/>
          <w:iCs/>
          <w:color w:val="000000"/>
          <w:spacing w:val="4"/>
          <w:sz w:val="22"/>
          <w:szCs w:val="22"/>
          <w:lang w:bidi="pl-PL"/>
        </w:rPr>
        <w:t xml:space="preserve">134/3, z obrębu 0022 Nowy Oryszew nie będzie spełniała warunków technicznych dotyczących odległości budynków od granicy z sąsiednią działką, o których mowa w § 12 rozporządzenia </w:t>
      </w:r>
      <w:r w:rsidRPr="0009014A">
        <w:rPr>
          <w:rFonts w:ascii="Lato" w:hAnsi="Lato" w:cs="Arial"/>
          <w:bCs/>
          <w:iCs/>
          <w:color w:val="000000"/>
          <w:spacing w:val="4"/>
          <w:sz w:val="22"/>
          <w:szCs w:val="22"/>
          <w:lang w:bidi="pl-PL"/>
        </w:rPr>
        <w:br/>
        <w:t xml:space="preserve">w sprawie warunków technicznych, jakim powinny odpowiadać budynki i ich usytuowanie, co stanowi naruszenie zasad podziału nieruchomości i prowadzi do powstania działek ewidencyjnych niespełniających wymogów prawnych, co </w:t>
      </w:r>
      <w:r w:rsidR="00B0642C">
        <w:rPr>
          <w:rFonts w:ascii="Lato" w:hAnsi="Lato" w:cs="Arial"/>
          <w:bCs/>
          <w:iCs/>
          <w:color w:val="000000"/>
          <w:spacing w:val="4"/>
          <w:sz w:val="22"/>
          <w:szCs w:val="22"/>
          <w:lang w:bidi="pl-PL"/>
        </w:rPr>
        <w:t xml:space="preserve">- w ocenie skarżącego - </w:t>
      </w:r>
      <w:r w:rsidRPr="0009014A">
        <w:rPr>
          <w:rFonts w:ascii="Lato" w:hAnsi="Lato" w:cs="Arial"/>
          <w:bCs/>
          <w:iCs/>
          <w:color w:val="000000"/>
          <w:spacing w:val="4"/>
          <w:sz w:val="22"/>
          <w:szCs w:val="22"/>
          <w:lang w:bidi="pl-PL"/>
        </w:rPr>
        <w:t>powinno prowadzić do uchylenia decyzji organu I Instancji.</w:t>
      </w:r>
    </w:p>
    <w:p w14:paraId="7E1ABA4B" w14:textId="3049767C"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Mając na uwadze treść ww. zarzutu, w pierwszej kolejności wyjaśnić należy, że oceny warunków techniczno-budowlanych dokonuje się w odrębnym postępowaniu </w:t>
      </w:r>
      <w:r w:rsidRPr="0009014A">
        <w:rPr>
          <w:rFonts w:ascii="Lato" w:hAnsi="Lato" w:cs="Arial"/>
          <w:bCs/>
          <w:iCs/>
          <w:color w:val="000000"/>
          <w:spacing w:val="4"/>
          <w:sz w:val="22"/>
          <w:szCs w:val="22"/>
          <w:lang w:bidi="pl-PL"/>
        </w:rPr>
        <w:br/>
        <w:t>o pozwolenie na budowę, a więc na późniejszym etap</w:t>
      </w:r>
      <w:r w:rsidR="00B0642C">
        <w:rPr>
          <w:rFonts w:ascii="Lato" w:hAnsi="Lato" w:cs="Arial"/>
          <w:bCs/>
          <w:iCs/>
          <w:color w:val="000000"/>
          <w:spacing w:val="4"/>
          <w:sz w:val="22"/>
          <w:szCs w:val="22"/>
          <w:lang w:bidi="pl-PL"/>
        </w:rPr>
        <w:t>ie</w:t>
      </w:r>
      <w:r w:rsidRPr="0009014A">
        <w:rPr>
          <w:rFonts w:ascii="Lato" w:hAnsi="Lato" w:cs="Arial"/>
          <w:bCs/>
          <w:iCs/>
          <w:color w:val="000000"/>
          <w:spacing w:val="4"/>
          <w:sz w:val="22"/>
          <w:szCs w:val="22"/>
          <w:lang w:bidi="pl-PL"/>
        </w:rPr>
        <w:t xml:space="preserve"> procesu inwestycyjnego, </w:t>
      </w:r>
      <w:r w:rsidR="00B0642C">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na podstawie przedstawionego przez inwestora projektu budowlanego. Następnie zwrócić należy uwagę na zakres stosowania rozporządzenia w sprawie warunków technicznych, jakim powinny odpowiadać budynki i ich usytuowanie, określony w § 1, nakazuje stosowanie tego rozporządzenia w takim zakresie, w jakim ustala ono warunki techniczne, ale wyłącznie takie, jakim powinny odpowiadać budynki i związane z nimi urządzenia, ich usytuowanie na działce budowlanej oraz zagospodarowanie działek przeznaczonych pod zabudowę. Chodzi więc w nim o dostosowanie odległości nowobudowanych budynków, a nie sytuowania inwestycji w zakresie CPK w stosunku do istniejących budynków. Powyższego przepisu nie stosuje się do budynków już </w:t>
      </w:r>
      <w:r w:rsidRPr="0009014A">
        <w:rPr>
          <w:rFonts w:ascii="Lato" w:hAnsi="Lato" w:cs="Arial"/>
          <w:bCs/>
          <w:iCs/>
          <w:color w:val="000000"/>
          <w:spacing w:val="4"/>
          <w:sz w:val="22"/>
          <w:szCs w:val="22"/>
          <w:lang w:bidi="pl-PL"/>
        </w:rPr>
        <w:lastRenderedPageBreak/>
        <w:t>istniejących. Brak jest zatem podstaw, by linia podziału ww. działki skarżącego była kształtowana dyspozycją rozporządzenia w sprawie warunków technicznych, jakim powinny odpowiadać budynki i ich usytuowanie.</w:t>
      </w:r>
      <w:r w:rsidRPr="0009014A">
        <w:rPr>
          <w:rFonts w:ascii="Lato" w:eastAsiaTheme="minorHAnsi" w:hAnsi="Lato" w:cs="Calibri"/>
          <w:color w:val="000000"/>
          <w:spacing w:val="4"/>
          <w:sz w:val="22"/>
          <w:szCs w:val="22"/>
          <w:lang w:eastAsia="en-US"/>
        </w:rPr>
        <w:t xml:space="preserve"> </w:t>
      </w:r>
      <w:r w:rsidRPr="0009014A">
        <w:rPr>
          <w:rFonts w:ascii="Lato" w:hAnsi="Lato" w:cs="Arial"/>
          <w:bCs/>
          <w:iCs/>
          <w:color w:val="000000"/>
          <w:spacing w:val="4"/>
          <w:sz w:val="22"/>
          <w:szCs w:val="22"/>
          <w:lang w:bidi="pl-PL"/>
        </w:rPr>
        <w:t xml:space="preserve">Przepisy nie regulują minimalnych odległości pomiędzy budynkiem a projektowaną linią podziału nieruchomości. </w:t>
      </w:r>
    </w:p>
    <w:p w14:paraId="6269C601"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Powyższe potwierdza ugruntowane orzecznictwo sądowoadministracyjne dotyczące decyzji o zezwoleniu na realizację inwestycji drogowej wydawanej na podstawie specustawy drogowej (por. wyrok Naczelnego Sądu Administracyjnego z dnia 8 listopada 2023 r., sygn. akt II OSK 1371/23, wyroki Wojewódzkiego Sądu Administracyjnego </w:t>
      </w:r>
      <w:r w:rsidRPr="0009014A">
        <w:rPr>
          <w:rFonts w:ascii="Lato" w:hAnsi="Lato" w:cs="Arial"/>
          <w:bCs/>
          <w:iCs/>
          <w:color w:val="000000"/>
          <w:spacing w:val="4"/>
          <w:sz w:val="22"/>
          <w:szCs w:val="22"/>
          <w:lang w:bidi="pl-PL"/>
        </w:rPr>
        <w:br/>
        <w:t xml:space="preserve">w Warszawie z dnia 26 czerwca 2018 r., sygn. akt VII SA/Wa 1012/18, i z dnia 8 maja </w:t>
      </w:r>
      <w:r w:rsidRPr="0009014A">
        <w:rPr>
          <w:rFonts w:ascii="Lato" w:hAnsi="Lato" w:cs="Arial"/>
          <w:bCs/>
          <w:iCs/>
          <w:color w:val="000000"/>
          <w:spacing w:val="4"/>
          <w:sz w:val="22"/>
          <w:szCs w:val="22"/>
          <w:lang w:bidi="pl-PL"/>
        </w:rPr>
        <w:br/>
        <w:t>2019 r., sygn. akt VII SA/Wa 56/19, opubl. Centralna Baza Orzeczeń Sądów Administracyjnych).</w:t>
      </w:r>
    </w:p>
    <w:p w14:paraId="0EDE10D3" w14:textId="779AF439"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Odnosząc się zarzutu Pana K</w:t>
      </w:r>
      <w:r w:rsidR="0091416C">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O</w:t>
      </w:r>
      <w:r w:rsidR="0091416C">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dotyczącego naruszenia art. 93 ust. 3 ugn </w:t>
      </w:r>
      <w:r w:rsidRPr="0009014A">
        <w:rPr>
          <w:rFonts w:ascii="Lato" w:hAnsi="Lato" w:cs="Arial"/>
          <w:bCs/>
          <w:iCs/>
          <w:color w:val="000000"/>
          <w:spacing w:val="4"/>
          <w:sz w:val="22"/>
          <w:szCs w:val="22"/>
          <w:lang w:bidi="pl-PL"/>
        </w:rPr>
        <w:br/>
        <w:t xml:space="preserve">w zw. z art. 3 ust. 2 ustawy CPK polegające na zatwierdzeniu podziału nieruchomości, </w:t>
      </w:r>
      <w:r w:rsidRPr="0009014A">
        <w:rPr>
          <w:rFonts w:ascii="Lato" w:hAnsi="Lato" w:cs="Arial"/>
          <w:bCs/>
          <w:iCs/>
          <w:color w:val="000000"/>
          <w:spacing w:val="4"/>
          <w:sz w:val="22"/>
          <w:szCs w:val="22"/>
          <w:lang w:bidi="pl-PL"/>
        </w:rPr>
        <w:br/>
        <w:t xml:space="preserve">w wyniku którego działki utworzone po podziale działki nr 134/2, z obrębu 0022 Nowy Oryszew, tj. działki nr 134/7 oraz nr 134/10, utracą dostęp do drogi publicznej, podczas gdy podział nieruchomości nie jest dopuszczalny, jeżeli projektowane do wydzielenia działki gruntu nie mają dostępu do drogi publicznej, Minister stwierdził, co następuje. </w:t>
      </w:r>
    </w:p>
    <w:p w14:paraId="783816D0" w14:textId="4BC54051" w:rsidR="0009014A" w:rsidRPr="0009014A" w:rsidRDefault="0009014A" w:rsidP="0009014A">
      <w:pPr>
        <w:autoSpaceDE w:val="0"/>
        <w:autoSpaceDN w:val="0"/>
        <w:adjustRightInd w:val="0"/>
        <w:spacing w:after="240" w:line="240" w:lineRule="exact"/>
        <w:jc w:val="both"/>
        <w:rPr>
          <w:rFonts w:ascii="Lato" w:eastAsiaTheme="minorHAnsi" w:hAnsi="Lato" w:cs="Lato-Regular"/>
          <w:spacing w:val="4"/>
          <w:sz w:val="22"/>
          <w:szCs w:val="22"/>
          <w:lang w:eastAsia="en-US"/>
        </w:rPr>
      </w:pPr>
      <w:r w:rsidRPr="0009014A">
        <w:rPr>
          <w:rFonts w:ascii="Lato" w:eastAsiaTheme="minorHAnsi" w:hAnsi="Lato" w:cs="Lato-Regular"/>
          <w:spacing w:val="4"/>
          <w:sz w:val="22"/>
          <w:szCs w:val="22"/>
          <w:lang w:eastAsia="en-US"/>
        </w:rPr>
        <w:t xml:space="preserve">W piśmie z dnia 9 lipca 2025 r., znak: LZS.41.46.2025, inwestor wskazał, że: „Zgodnie </w:t>
      </w:r>
      <w:r w:rsidRPr="0009014A">
        <w:rPr>
          <w:rFonts w:ascii="Lato" w:eastAsiaTheme="minorHAnsi" w:hAnsi="Lato" w:cs="Lato-Regular"/>
          <w:spacing w:val="4"/>
          <w:sz w:val="22"/>
          <w:szCs w:val="22"/>
          <w:lang w:eastAsia="en-US"/>
        </w:rPr>
        <w:br/>
        <w:t xml:space="preserve">z załącznikiem nr 1 do DULICpk działka nr 134/2 obręb Nowy Oryszew, gmina </w:t>
      </w:r>
      <w:r w:rsidR="00FF4DA6">
        <w:rPr>
          <w:rFonts w:ascii="Lato" w:eastAsiaTheme="minorHAnsi" w:hAnsi="Lato" w:cs="Lato-Regular"/>
          <w:spacing w:val="4"/>
          <w:sz w:val="22"/>
          <w:szCs w:val="22"/>
          <w:lang w:eastAsia="en-US"/>
        </w:rPr>
        <w:t>(…)</w:t>
      </w:r>
      <w:r w:rsidRPr="0009014A">
        <w:rPr>
          <w:rFonts w:ascii="Lato" w:eastAsiaTheme="minorHAnsi" w:hAnsi="Lato" w:cs="Lato-Regular"/>
          <w:spacing w:val="4"/>
          <w:sz w:val="22"/>
          <w:szCs w:val="22"/>
          <w:lang w:eastAsia="en-US"/>
        </w:rPr>
        <w:t xml:space="preserve"> nie ma dostępu do drogi publicznej. Po zatwierdzeniu podziału DULICpk działki nr 134/7 </w:t>
      </w:r>
      <w:r w:rsidR="00FF4DA6">
        <w:rPr>
          <w:rFonts w:ascii="Lato" w:eastAsiaTheme="minorHAnsi" w:hAnsi="Lato" w:cs="Lato-Regular"/>
          <w:spacing w:val="4"/>
          <w:sz w:val="22"/>
          <w:szCs w:val="22"/>
          <w:lang w:eastAsia="en-US"/>
        </w:rPr>
        <w:br/>
      </w:r>
      <w:r w:rsidRPr="0009014A">
        <w:rPr>
          <w:rFonts w:ascii="Lato" w:eastAsiaTheme="minorHAnsi" w:hAnsi="Lato" w:cs="Lato-Regular"/>
          <w:spacing w:val="4"/>
          <w:sz w:val="22"/>
          <w:szCs w:val="22"/>
          <w:lang w:eastAsia="en-US"/>
        </w:rPr>
        <w:t xml:space="preserve">i 134/10 wydzielone z działki nr 134/2 nadal nie będą miały dostępu do drogi publicznej.”. Jednakże zauważyć należy, iż z mapy w skali 1:1000 przedstawiającej projektowany obszar </w:t>
      </w:r>
      <w:r w:rsidR="00786573">
        <w:rPr>
          <w:rFonts w:ascii="Lato" w:eastAsiaTheme="minorHAnsi" w:hAnsi="Lato" w:cs="Lato-Regular"/>
          <w:spacing w:val="4"/>
          <w:sz w:val="22"/>
          <w:szCs w:val="22"/>
          <w:lang w:eastAsia="en-US"/>
        </w:rPr>
        <w:t>I</w:t>
      </w:r>
      <w:r w:rsidRPr="0009014A">
        <w:rPr>
          <w:rFonts w:ascii="Lato" w:eastAsiaTheme="minorHAnsi" w:hAnsi="Lato" w:cs="Lato-Regular"/>
          <w:spacing w:val="4"/>
          <w:sz w:val="22"/>
          <w:szCs w:val="22"/>
          <w:lang w:eastAsia="en-US"/>
        </w:rPr>
        <w:t>nwestycji, stanowiącej załącznik do decyzji Wojewody Mazowieckiego, oraz z analizy Geoportalu wynika, że działka nr 134/2, stanowiąca własność Pana K</w:t>
      </w:r>
      <w:r w:rsidR="0091416C">
        <w:rPr>
          <w:rFonts w:ascii="Lato" w:eastAsiaTheme="minorHAnsi" w:hAnsi="Lato" w:cs="Lato-Regular"/>
          <w:spacing w:val="4"/>
          <w:sz w:val="22"/>
          <w:szCs w:val="22"/>
          <w:lang w:eastAsia="en-US"/>
        </w:rPr>
        <w:t>.</w:t>
      </w:r>
      <w:r w:rsidRPr="0009014A">
        <w:rPr>
          <w:rFonts w:ascii="Lato" w:eastAsiaTheme="minorHAnsi" w:hAnsi="Lato" w:cs="Lato-Regular"/>
          <w:spacing w:val="4"/>
          <w:sz w:val="22"/>
          <w:szCs w:val="22"/>
          <w:lang w:eastAsia="en-US"/>
        </w:rPr>
        <w:t xml:space="preserve"> O</w:t>
      </w:r>
      <w:r w:rsidR="0091416C">
        <w:rPr>
          <w:rFonts w:ascii="Lato" w:eastAsiaTheme="minorHAnsi" w:hAnsi="Lato" w:cs="Lato-Regular"/>
          <w:spacing w:val="4"/>
          <w:sz w:val="22"/>
          <w:szCs w:val="22"/>
          <w:lang w:eastAsia="en-US"/>
        </w:rPr>
        <w:t>.</w:t>
      </w:r>
      <w:r w:rsidRPr="0009014A">
        <w:rPr>
          <w:rFonts w:ascii="Lato" w:eastAsiaTheme="minorHAnsi" w:hAnsi="Lato" w:cs="Lato-Regular"/>
          <w:spacing w:val="4"/>
          <w:sz w:val="22"/>
          <w:szCs w:val="22"/>
          <w:lang w:eastAsia="en-US"/>
        </w:rPr>
        <w:t xml:space="preserve"> graniczy bezpośrednio z działkami 134/1 i nr 134/3, które stanowią również własność Pana K</w:t>
      </w:r>
      <w:r w:rsidR="0091416C">
        <w:rPr>
          <w:rFonts w:ascii="Lato" w:eastAsiaTheme="minorHAnsi" w:hAnsi="Lato" w:cs="Lato-Regular"/>
          <w:spacing w:val="4"/>
          <w:sz w:val="22"/>
          <w:szCs w:val="22"/>
          <w:lang w:eastAsia="en-US"/>
        </w:rPr>
        <w:t>.</w:t>
      </w:r>
      <w:r w:rsidRPr="0009014A">
        <w:rPr>
          <w:rFonts w:ascii="Lato" w:eastAsiaTheme="minorHAnsi" w:hAnsi="Lato" w:cs="Lato-Regular"/>
          <w:spacing w:val="4"/>
          <w:sz w:val="22"/>
          <w:szCs w:val="22"/>
          <w:lang w:eastAsia="en-US"/>
        </w:rPr>
        <w:t xml:space="preserve"> O</w:t>
      </w:r>
      <w:r w:rsidR="0091416C">
        <w:rPr>
          <w:rFonts w:ascii="Lato" w:eastAsiaTheme="minorHAnsi" w:hAnsi="Lato" w:cs="Lato-Regular"/>
          <w:spacing w:val="4"/>
          <w:sz w:val="22"/>
          <w:szCs w:val="22"/>
          <w:lang w:eastAsia="en-US"/>
        </w:rPr>
        <w:t>.</w:t>
      </w:r>
      <w:r w:rsidRPr="0009014A">
        <w:rPr>
          <w:rFonts w:ascii="Lato" w:eastAsiaTheme="minorHAnsi" w:hAnsi="Lato" w:cs="Lato-Regular"/>
          <w:spacing w:val="4"/>
          <w:sz w:val="22"/>
          <w:szCs w:val="22"/>
          <w:lang w:eastAsia="en-US"/>
        </w:rPr>
        <w:t xml:space="preserve"> i wszystkie trzy działki objęte są jedną księgą wieczystą, </w:t>
      </w:r>
      <w:r w:rsidR="00FF4DA6">
        <w:rPr>
          <w:rFonts w:ascii="Lato" w:eastAsiaTheme="minorHAnsi" w:hAnsi="Lato" w:cs="Lato-Regular"/>
          <w:spacing w:val="4"/>
          <w:sz w:val="22"/>
          <w:szCs w:val="22"/>
          <w:lang w:eastAsia="en-US"/>
        </w:rPr>
        <w:br/>
      </w:r>
      <w:r w:rsidRPr="0009014A">
        <w:rPr>
          <w:rFonts w:ascii="Lato" w:eastAsiaTheme="minorHAnsi" w:hAnsi="Lato" w:cs="Lato-Regular"/>
          <w:spacing w:val="4"/>
          <w:sz w:val="22"/>
          <w:szCs w:val="22"/>
          <w:lang w:eastAsia="en-US"/>
        </w:rPr>
        <w:t>a zatem stanowią jedną nieruchomość (kilka działek objętych jedną księgą wieczystą stanowi zawsze jedną nieruchomość - por. uchwała Sądu Najwyższego z dnia 21 marca 2013 r., sygn. akt III CZP 8/13). Działka nr 134/3, przed wydaniem decyzji Wojewody Mazowieckiego, miała zapewniony dostęp do drogi zlokalizowanej na działce nr 240/3, a zatem w wyniku tego, również pozostałe dwie działki skarżącego nr 134/1 i nr 134/2 (objęte zakresem przedmiotowej inwestycji) miały zapewniony dostęp do drogi.</w:t>
      </w:r>
    </w:p>
    <w:p w14:paraId="1AD01131" w14:textId="77777777" w:rsidR="0009014A" w:rsidRPr="0009014A" w:rsidRDefault="0009014A" w:rsidP="0009014A">
      <w:pPr>
        <w:autoSpaceDE w:val="0"/>
        <w:autoSpaceDN w:val="0"/>
        <w:adjustRightInd w:val="0"/>
        <w:spacing w:after="240" w:line="240" w:lineRule="exact"/>
        <w:jc w:val="both"/>
        <w:rPr>
          <w:rFonts w:ascii="Lato" w:eastAsiaTheme="minorHAnsi" w:hAnsi="Lato" w:cs="Lato-Regular"/>
          <w:spacing w:val="4"/>
          <w:sz w:val="22"/>
          <w:szCs w:val="22"/>
          <w:lang w:eastAsia="en-US"/>
        </w:rPr>
      </w:pPr>
      <w:r w:rsidRPr="0009014A">
        <w:rPr>
          <w:rFonts w:ascii="Lato" w:eastAsiaTheme="minorHAnsi" w:hAnsi="Lato" w:cs="Lato-Regular"/>
          <w:spacing w:val="4"/>
          <w:sz w:val="22"/>
          <w:szCs w:val="22"/>
          <w:lang w:eastAsia="en-US"/>
        </w:rPr>
        <w:t xml:space="preserve">Stosownie do treści art. 3 ust. 2 ustawy CPK, w sprawach nieuregulowanych w tej ustawie, stosuje się odpowiednio m.in. przepisy ugn. Zaznaczyć trzeba, że w ustawie CPK zawarto jedynie szczególne regulacje co do niektórych kwestii związanych z nabywaniem nieruchomości pod inwestycje w zakresie CPK, podczas gdy zasadniczo materia ta uregulowana jest systemowo w ugn. Przepisy ugn mają więc charakter uzupełniający </w:t>
      </w:r>
      <w:r w:rsidRPr="0009014A">
        <w:rPr>
          <w:rFonts w:ascii="Lato" w:eastAsiaTheme="minorHAnsi" w:hAnsi="Lato" w:cs="Lato-Regular"/>
          <w:spacing w:val="4"/>
          <w:sz w:val="22"/>
          <w:szCs w:val="22"/>
          <w:lang w:eastAsia="en-US"/>
        </w:rPr>
        <w:br/>
        <w:t xml:space="preserve">w stosunku do ustawy CPK, w zakresie w niej nieuregulowanym. Jako że przepisy ustawy CPK nie zawierają indywidualnych, szczególnych regulacji dotyczących sposobu kształtowania nowych działek gruntu w wyniku projektowania linii podziału nieruchomości, ani też nie wyłączają expressis verbis stosowania konkretnych norm regulujących generalnie warunki dokonywania podziałów nieruchomości określonych </w:t>
      </w:r>
      <w:r w:rsidRPr="0009014A">
        <w:rPr>
          <w:rFonts w:ascii="Lato" w:eastAsiaTheme="minorHAnsi" w:hAnsi="Lato" w:cs="Lato-Regular"/>
          <w:spacing w:val="4"/>
          <w:sz w:val="22"/>
          <w:szCs w:val="22"/>
          <w:lang w:eastAsia="en-US"/>
        </w:rPr>
        <w:br/>
        <w:t xml:space="preserve">w ugn, niewątpliwie w przypadku dokonywania podziału nieruchomości na gruncie ustawy CPK zastosowanie znajduje m.in. generalna zasada wyłączająca możliwość dokonywania podziałów nieruchomości skutkujących sankcjonowaniem powstania nowych działek/nieruchomości, które nie mają dostępu do drogi publicznej, określona </w:t>
      </w:r>
      <w:r w:rsidRPr="0009014A">
        <w:rPr>
          <w:rFonts w:ascii="Lato" w:eastAsiaTheme="minorHAnsi" w:hAnsi="Lato" w:cs="Lato-Regular"/>
          <w:spacing w:val="4"/>
          <w:sz w:val="22"/>
          <w:szCs w:val="22"/>
          <w:lang w:eastAsia="en-US"/>
        </w:rPr>
        <w:br/>
        <w:t xml:space="preserve">w art. 93 ust. 3 ugn. Stosownie do treści art. 93 ust. 3 ugn, podział nieruchomości nie jest dopuszczalny, jeżeli projektowane do wydzielenia działki gruntu nie mają dostępu do drogi publicznej; za dostęp do drogi publicznej uważa się również wydzielenie drogi wewnętrznej wraz z ustanowieniem na tej drodze odpowiednich służebności dla </w:t>
      </w:r>
      <w:r w:rsidRPr="0009014A">
        <w:rPr>
          <w:rFonts w:ascii="Lato" w:eastAsiaTheme="minorHAnsi" w:hAnsi="Lato" w:cs="Lato-Regular"/>
          <w:spacing w:val="4"/>
          <w:sz w:val="22"/>
          <w:szCs w:val="22"/>
          <w:lang w:eastAsia="en-US"/>
        </w:rPr>
        <w:lastRenderedPageBreak/>
        <w:t xml:space="preserve">wydzielonych działek gruntu albo ustanowienie dla tych działek innych służebności drogowych, jeżeli nie ma możliwości wydzielenia drogi wewnętrznej z nieruchomości objętej podziałem. Nie ustanawia się służebności na drodze wewnętrznej w przypadku sprzedaży wydzielonych działek gruntu wraz ze sprzedażą udziału w prawie do działki gruntu stanowiącej drogę wewnętrzną. Przepisu nie stosuje się w odniesieniu  </w:t>
      </w:r>
      <w:r w:rsidRPr="0009014A">
        <w:rPr>
          <w:rFonts w:ascii="Lato" w:eastAsiaTheme="minorHAnsi" w:hAnsi="Lato" w:cs="Lato-Regular"/>
          <w:spacing w:val="4"/>
          <w:sz w:val="22"/>
          <w:szCs w:val="22"/>
          <w:lang w:eastAsia="en-US"/>
        </w:rPr>
        <w:br/>
        <w:t xml:space="preserve">do projektowanych do wydzielenia działek gruntu stanowiących części nieruchomości, </w:t>
      </w:r>
      <w:r w:rsidRPr="0009014A">
        <w:rPr>
          <w:rFonts w:ascii="Lato" w:eastAsiaTheme="minorHAnsi" w:hAnsi="Lato" w:cs="Lato-Regular"/>
          <w:spacing w:val="4"/>
          <w:sz w:val="22"/>
          <w:szCs w:val="22"/>
          <w:lang w:eastAsia="en-US"/>
        </w:rPr>
        <w:br/>
        <w:t xml:space="preserve">o których mowa w art. 37 ust. 2 pkt 6. </w:t>
      </w:r>
    </w:p>
    <w:p w14:paraId="3B30405F" w14:textId="6A81AF03" w:rsidR="0009014A" w:rsidRPr="0009014A" w:rsidRDefault="0009014A" w:rsidP="0009014A">
      <w:pPr>
        <w:autoSpaceDE w:val="0"/>
        <w:autoSpaceDN w:val="0"/>
        <w:adjustRightInd w:val="0"/>
        <w:spacing w:after="240" w:line="240" w:lineRule="exact"/>
        <w:jc w:val="both"/>
        <w:rPr>
          <w:rFonts w:ascii="Lato" w:eastAsiaTheme="minorHAnsi" w:hAnsi="Lato" w:cs="Lato-Regular"/>
          <w:spacing w:val="4"/>
          <w:sz w:val="22"/>
          <w:szCs w:val="22"/>
          <w:lang w:eastAsia="en-US"/>
        </w:rPr>
      </w:pPr>
      <w:r w:rsidRPr="0009014A">
        <w:rPr>
          <w:rFonts w:ascii="Lato" w:eastAsiaTheme="minorHAnsi" w:hAnsi="Lato" w:cs="Lato-Regular"/>
          <w:spacing w:val="4"/>
          <w:sz w:val="22"/>
          <w:szCs w:val="22"/>
          <w:lang w:eastAsia="en-US"/>
        </w:rPr>
        <w:t xml:space="preserve">W art. 40 ust. 2 pkt 7, 8 i 9 ustawy CPK wskazano, że decyzja o ustaleniu lokalizacji inwestycji w zakresie CPK określa wymagania dotyczące ochrony uzasadnionych interesów osób trzecich; zatwierdzenie podziału nieruchomości, a w razie wniosku inwestora – również zatwierdzenie połączenia nieruchomości; wykaz nieruchomości lub ich części, podlegających wywłaszczeniu. Zgodnie z art. 48 ust. 1 ustawy CPK, nieruchomości określone w decyzji o ustaleniu lokalizacji inwestycji w zakresie CPK, zgodnie z art. 40 ust. 2 pkt 9, stają się własnością Spółki Celowej za odszkodowaniem. Szczególna, uproszczona procedura realizacji Inwestycji i Inwestycji Towarzyszących, uwzględniająca charakter tych inwestycji i konieczność przyspieszenia osiągnięcia tego celu, nie może oznaczać pozbawienia właścicieli i użytkowników wieczystych nieruchomości uprawnień przysługujących takim podmiotom w przypadku dokonania wywłaszczenia w innym trybie, w tym na gruncie ugn. Nie ma uzasadnionych podstaw do zróżnicowania uprawnień właścicieli i użytkowników wieczystych nieruchomości </w:t>
      </w:r>
      <w:r w:rsidR="00786573">
        <w:rPr>
          <w:rFonts w:ascii="Lato" w:eastAsiaTheme="minorHAnsi" w:hAnsi="Lato" w:cs="Lato-Regular"/>
          <w:spacing w:val="4"/>
          <w:sz w:val="22"/>
          <w:szCs w:val="22"/>
          <w:lang w:eastAsia="en-US"/>
        </w:rPr>
        <w:br/>
      </w:r>
      <w:r w:rsidRPr="0009014A">
        <w:rPr>
          <w:rFonts w:ascii="Lato" w:eastAsiaTheme="minorHAnsi" w:hAnsi="Lato" w:cs="Lato-Regular"/>
          <w:spacing w:val="4"/>
          <w:sz w:val="22"/>
          <w:szCs w:val="22"/>
          <w:lang w:eastAsia="en-US"/>
        </w:rPr>
        <w:t xml:space="preserve">w postępowaniu prowadzonym na podstawie ustawy CPK i w postępowaniu wywłaszczeniowym prowadzonym na podstawie ugn. Z samego faktu, iż strona zostaje pozbawiona własności nieruchomości nie na podstawie decyzji o wywłaszczeniu nieruchomości, ale na mocy decyzji o ustaleniu lokalizacji inwestycji w zakresie CPK nie można skutecznie wywodzić, że przepisy ugn w rozważanym zakresie nie znajdują zastosowania. Należy mieć na uwadze, iż decyzja o ustaleniu lokalizacji inwestycji </w:t>
      </w:r>
      <w:r w:rsidR="00786573">
        <w:rPr>
          <w:rFonts w:ascii="Lato" w:eastAsiaTheme="minorHAnsi" w:hAnsi="Lato" w:cs="Lato-Regular"/>
          <w:spacing w:val="4"/>
          <w:sz w:val="22"/>
          <w:szCs w:val="22"/>
          <w:lang w:eastAsia="en-US"/>
        </w:rPr>
        <w:br/>
      </w:r>
      <w:r w:rsidRPr="0009014A">
        <w:rPr>
          <w:rFonts w:ascii="Lato" w:eastAsiaTheme="minorHAnsi" w:hAnsi="Lato" w:cs="Lato-Regular"/>
          <w:spacing w:val="4"/>
          <w:sz w:val="22"/>
          <w:szCs w:val="22"/>
          <w:lang w:eastAsia="en-US"/>
        </w:rPr>
        <w:t>w zakresie CPK powoduje taki sam skutek prawny jak decyzja o wywłaszczeniu nieruchomości („przymusowe” odjęcie prawa własności).</w:t>
      </w:r>
    </w:p>
    <w:p w14:paraId="45223F7F" w14:textId="77777777" w:rsidR="0009014A" w:rsidRPr="0009014A" w:rsidRDefault="0009014A" w:rsidP="0009014A">
      <w:pPr>
        <w:autoSpaceDE w:val="0"/>
        <w:autoSpaceDN w:val="0"/>
        <w:adjustRightInd w:val="0"/>
        <w:spacing w:after="240" w:line="240" w:lineRule="exact"/>
        <w:jc w:val="both"/>
        <w:rPr>
          <w:rFonts w:ascii="Lato" w:eastAsiaTheme="minorHAnsi" w:hAnsi="Lato" w:cs="Lato-Regular"/>
          <w:spacing w:val="4"/>
          <w:sz w:val="22"/>
          <w:szCs w:val="22"/>
          <w:lang w:eastAsia="en-US"/>
        </w:rPr>
      </w:pPr>
      <w:r w:rsidRPr="0009014A">
        <w:rPr>
          <w:rFonts w:ascii="Lato" w:eastAsiaTheme="minorHAnsi" w:hAnsi="Lato" w:cs="Lato-Regular"/>
          <w:spacing w:val="4"/>
          <w:sz w:val="22"/>
          <w:szCs w:val="22"/>
          <w:lang w:eastAsia="en-US"/>
        </w:rPr>
        <w:t xml:space="preserve">A zatem, w sytuacji, gdy na skutek nabycia przez inwestora nieruchomości bądź jej części na podstawie decyzji, o której mowa w art. 40 ust. 2 ustawy CPK (tj. decyzji o ustaleniu lokalizacji inwestycji w zakresie CPK), właściciel nieruchomości (użytkownik wieczysty) zostaje pozbawiony dostępu do drogi publicznej, odpowiednie zastosowanie znajdzie art. 49 ustawy CPK (będący odpowiednikiem art. 120 ugn) normujący ustanowienie niezbędnych służebności (por. wyroki Naczelnego Sądu Administracyjnego z dnia 25 lipca 2012 r., sygn. akt II OSK 1245/12, z dnia 25 lutego 2014 r., sygn. akt II OSK 339/13, </w:t>
      </w:r>
      <w:r w:rsidRPr="0009014A">
        <w:rPr>
          <w:rFonts w:ascii="Lato" w:eastAsiaTheme="minorHAnsi" w:hAnsi="Lato" w:cs="Lato-Regular"/>
          <w:bCs/>
          <w:iCs/>
          <w:spacing w:val="4"/>
          <w:sz w:val="22"/>
          <w:szCs w:val="22"/>
          <w:lang w:eastAsia="en-US" w:bidi="pl-PL"/>
        </w:rPr>
        <w:t>z dnia 15 czerwca 2016 r., sygn. akt II OSK 721/16, wyrok Wojewódzkiego Sądu Administracyjnego w Warszawie z dnia 2 marca 2023 r., sygn. akt VII SA/Wa 1802/21</w:t>
      </w:r>
      <w:r w:rsidRPr="0009014A">
        <w:rPr>
          <w:rFonts w:ascii="Lato" w:eastAsiaTheme="minorHAnsi" w:hAnsi="Lato" w:cs="Lato-Regular"/>
          <w:spacing w:val="4"/>
          <w:sz w:val="22"/>
          <w:szCs w:val="22"/>
          <w:lang w:eastAsia="en-US"/>
        </w:rPr>
        <w:t>, zapadłe na gruncie ustawy z dnia 12 lutego 2009 r. o szczególnych zasadach przygotowania i realizacji inwestycji w zakresie lotnisk użytku publicznego, specustawy drogowej i ustawy o transporcie kolejowym).</w:t>
      </w:r>
    </w:p>
    <w:p w14:paraId="4DEAD3D0" w14:textId="77777777" w:rsidR="0009014A" w:rsidRPr="0009014A" w:rsidRDefault="0009014A" w:rsidP="0009014A">
      <w:pPr>
        <w:autoSpaceDE w:val="0"/>
        <w:autoSpaceDN w:val="0"/>
        <w:adjustRightInd w:val="0"/>
        <w:spacing w:after="240" w:line="240" w:lineRule="exact"/>
        <w:jc w:val="both"/>
        <w:rPr>
          <w:rFonts w:ascii="Lato" w:eastAsiaTheme="minorHAnsi" w:hAnsi="Lato" w:cs="Lato-Regular"/>
          <w:spacing w:val="4"/>
          <w:sz w:val="22"/>
          <w:szCs w:val="22"/>
          <w:lang w:eastAsia="en-US"/>
        </w:rPr>
      </w:pPr>
      <w:r w:rsidRPr="0009014A">
        <w:rPr>
          <w:rFonts w:ascii="Lato" w:eastAsiaTheme="minorHAnsi" w:hAnsi="Lato" w:cs="Lato-Regular"/>
          <w:spacing w:val="4"/>
          <w:sz w:val="22"/>
          <w:szCs w:val="22"/>
          <w:lang w:eastAsia="en-US"/>
        </w:rPr>
        <w:t xml:space="preserve">Przypomnieć należy, że zgodnie z art. 49 ustawy CPK, jeżeli zachodzi potrzeba zapobieżenia niebezpieczeństwu, wystąpieniu szkody lub niedogodnościom, jakie mogą powstać dla właścicieli albo użytkowników wieczystych nieruchomości sąsiednich wskutek wywłaszczenia lub innego niż dotychczas zagospodarowania wywłaszczonej nieruchomości, w decyzji o ustaleniu lokalizacji inwestycji w zakresie budowy CPK ustanawia się niezbędne służebności oraz ustala obowiązek budowy i utrzymania odpowiednich urządzeń zapobiegających tym zdarzeniom lub okolicznościom. Obowiązek budowy i utrzymania odpowiednich urządzeń ciąży na Spółce Celowej. Jak podkreślił Naczelny Sąd Administracyjny w wyroku z dnia 18 grudnia 2009 r., sygn. akt </w:t>
      </w:r>
      <w:r w:rsidRPr="0009014A">
        <w:rPr>
          <w:rFonts w:ascii="Lato" w:eastAsiaTheme="minorHAnsi" w:hAnsi="Lato" w:cs="Lato-Regular"/>
          <w:spacing w:val="4"/>
          <w:sz w:val="22"/>
          <w:szCs w:val="22"/>
          <w:lang w:eastAsia="en-US"/>
        </w:rPr>
        <w:br/>
        <w:t xml:space="preserve">I OSK321/09, skoro z woli ustawodawcy obowiązki mające charakter cywilnoprawny, np. ustanowienie służebności, budowa urządzeń itp., zostały przekazane do drogi </w:t>
      </w:r>
      <w:r w:rsidRPr="0009014A">
        <w:rPr>
          <w:rFonts w:ascii="Lato" w:eastAsiaTheme="minorHAnsi" w:hAnsi="Lato" w:cs="Lato-Regular"/>
          <w:spacing w:val="4"/>
          <w:sz w:val="22"/>
          <w:szCs w:val="22"/>
          <w:lang w:eastAsia="en-US"/>
        </w:rPr>
        <w:lastRenderedPageBreak/>
        <w:t xml:space="preserve">administracyjnej, a ich konkretyzacja ma nastąpić w decyzji administracyjnej, przesądza to o publicznoprawnym charakterze powinności organu. </w:t>
      </w:r>
    </w:p>
    <w:p w14:paraId="44CCA2E3" w14:textId="77777777" w:rsidR="0009014A" w:rsidRPr="0009014A" w:rsidRDefault="0009014A" w:rsidP="0009014A">
      <w:pPr>
        <w:autoSpaceDE w:val="0"/>
        <w:autoSpaceDN w:val="0"/>
        <w:adjustRightInd w:val="0"/>
        <w:spacing w:after="240" w:line="240" w:lineRule="exact"/>
        <w:jc w:val="both"/>
        <w:rPr>
          <w:rFonts w:ascii="Lato" w:eastAsiaTheme="minorHAnsi" w:hAnsi="Lato" w:cs="Lato-Regular"/>
          <w:spacing w:val="4"/>
          <w:sz w:val="22"/>
          <w:szCs w:val="22"/>
          <w:lang w:eastAsia="en-US"/>
        </w:rPr>
      </w:pPr>
      <w:r w:rsidRPr="0009014A">
        <w:rPr>
          <w:rFonts w:ascii="Lato" w:eastAsiaTheme="minorHAnsi" w:hAnsi="Lato" w:cs="Lato-Regular"/>
          <w:spacing w:val="4"/>
          <w:sz w:val="22"/>
          <w:szCs w:val="22"/>
          <w:lang w:eastAsia="en-US"/>
        </w:rPr>
        <w:t>Zatem dopuszczalne jest zawarcie w decyzji o ustaleniu lokalizacji inwestycji w zakresie CPK rozstrzygnięcia o ustanowieniu służebności drogowej w celu zapewnienia dostępu do drogi publicznej nieruchomościom objętym podziałem. Z powyższego wynika, iż to już na etapie wydawania decyzji o ustaleniu lokalizacji inwestycji w zakresie CPK należy zapewnić prawny dostęp do drogi publicznej, np. poprzez ustanowienie niezbędnych służebności. Ustawowy wymóg zapewnienia dostępu do drogi publicznej działce, która w wyniku wydania decyzji o ustaleniu lokalizacji inwestycji w zakresie CPK traci taki dostęp, mieści się bowiem w normatywnym zakresie art. 40 ust. 2 pkt 7 ustawy CPK, stanowiącym o obowiązku zamieszczania przez organ w decyzji wymagań dotyczących ochrony uzasadnionych interesów osób trzecich, którym w rozpatrywanej sprawie jest określenie prawnego sposobu zapewnienia działkom dostępu do drogi publicznej.</w:t>
      </w:r>
    </w:p>
    <w:p w14:paraId="7991AD83" w14:textId="70D1EA51" w:rsidR="0009014A" w:rsidRPr="0009014A" w:rsidRDefault="0009014A" w:rsidP="0009014A">
      <w:pPr>
        <w:autoSpaceDE w:val="0"/>
        <w:autoSpaceDN w:val="0"/>
        <w:adjustRightInd w:val="0"/>
        <w:spacing w:after="240" w:line="240" w:lineRule="exact"/>
        <w:jc w:val="both"/>
        <w:rPr>
          <w:rFonts w:ascii="Lato" w:eastAsiaTheme="minorHAnsi" w:hAnsi="Lato" w:cs="Lato-Regular"/>
          <w:spacing w:val="4"/>
          <w:sz w:val="22"/>
          <w:szCs w:val="22"/>
          <w:lang w:eastAsia="en-US"/>
        </w:rPr>
      </w:pPr>
      <w:r w:rsidRPr="0009014A">
        <w:rPr>
          <w:rFonts w:ascii="Lato" w:eastAsiaTheme="minorHAnsi" w:hAnsi="Lato" w:cs="Lato-Regular"/>
          <w:spacing w:val="4"/>
          <w:sz w:val="22"/>
          <w:szCs w:val="22"/>
          <w:lang w:eastAsia="en-US"/>
        </w:rPr>
        <w:t xml:space="preserve">Po przenalizowaniu zebranego w sprawie materiału dowodowego, Minister ustalił, </w:t>
      </w:r>
      <w:r w:rsidRPr="0009014A">
        <w:rPr>
          <w:rFonts w:ascii="Lato" w:eastAsiaTheme="minorHAnsi" w:hAnsi="Lato" w:cs="Lato-Regular"/>
          <w:spacing w:val="4"/>
          <w:sz w:val="22"/>
          <w:szCs w:val="22"/>
          <w:lang w:eastAsia="en-US"/>
        </w:rPr>
        <w:br/>
        <w:t xml:space="preserve">iż dostęp dla działki nr 134/10 (powstałej z podziału działki nr 134/2) do drogi będzie zapewniony jak dotychczas, tj. przez działki nr 134/5 i 134/9 (pozostające własnością skarżącego po zatwierdzonym podziale działek nr 134/1 i nr 134/3), które stanowią jedną nieruchomość. Działka nr 134/9 przylega bezpośrednio do drogi zlokalizowanej na działce nr 240/3,  z obrębu 0022 Nowy Oryszew. Jednocześnie w toku postępowania odwoławczego zaszła wątpliwość odnośnie statusu drogi zlokalizowanie na działce </w:t>
      </w:r>
      <w:r w:rsidRPr="0009014A">
        <w:rPr>
          <w:rFonts w:ascii="Lato" w:eastAsiaTheme="minorHAnsi" w:hAnsi="Lato" w:cs="Lato-Regular"/>
          <w:spacing w:val="4"/>
          <w:sz w:val="22"/>
          <w:szCs w:val="22"/>
          <w:lang w:eastAsia="en-US"/>
        </w:rPr>
        <w:br/>
        <w:t xml:space="preserve">nr 240/3. Z pisma inwestora z dnia 11 sierpnia 2025 r., znak: LZS.41.50.2025 (strona 4 </w:t>
      </w:r>
      <w:r w:rsidRPr="0009014A">
        <w:rPr>
          <w:rFonts w:ascii="Lato" w:eastAsiaTheme="minorHAnsi" w:hAnsi="Lato" w:cs="Lato-Regular"/>
          <w:spacing w:val="4"/>
          <w:sz w:val="22"/>
          <w:szCs w:val="22"/>
          <w:lang w:eastAsia="en-US"/>
        </w:rPr>
        <w:br/>
        <w:t xml:space="preserve">i 5 tego pisma), wynika, iż działka nr 240/3, z obrębu 0022 Nowy Oryszew (przy której jest m.in. położona działka skarżącego nr 134/3) stanowi istniejącą ogólnie dostępną drogę gminną wewnętrzną. Natomiast w decyzji Wojewody Mazowieckiego działka </w:t>
      </w:r>
      <w:r w:rsidR="00786573">
        <w:rPr>
          <w:rFonts w:ascii="Lato" w:eastAsiaTheme="minorHAnsi" w:hAnsi="Lato" w:cs="Lato-Regular"/>
          <w:spacing w:val="4"/>
          <w:sz w:val="22"/>
          <w:szCs w:val="22"/>
          <w:lang w:eastAsia="en-US"/>
        </w:rPr>
        <w:br/>
      </w:r>
      <w:r w:rsidRPr="0009014A">
        <w:rPr>
          <w:rFonts w:ascii="Lato" w:eastAsiaTheme="minorHAnsi" w:hAnsi="Lato" w:cs="Lato-Regular"/>
          <w:spacing w:val="4"/>
          <w:sz w:val="22"/>
          <w:szCs w:val="22"/>
          <w:lang w:eastAsia="en-US"/>
        </w:rPr>
        <w:t xml:space="preserve">nr 240/9 (powstała z podziału ww. działki nr 240/3) została wymieniona w tabeli nr 10 zawierającej wykaz działek stanowiących drogi publiczne podlegające zajęciu na rzecz inwestora. Tożsame oznaczenia graficzne (jako terenu drogi publicznej zajętego pod Inwestycję) zawarto na arkuszu nr 60/64 mapy w skali 1:1000 przedstawiającej projektowany obszar Inwestycji, stanowiącym załącznik nr 60 do decyzji Wojewody Mazowieckiego.  W piśmie z dnia 22 września 2025 r., znak: LZS.41.61.2025, inwestor wyjaśnił, że zgodnie z danymi będącymi w jego dyspozycji droga (istniejąca) zlokalizowana m.in. na ww. działce nr 240/3 nie stanowi drogi publicznej, a stanowi drogę gminna wewnętrzną, co wynika z pisma Burmistrz Miasta i Gminy </w:t>
      </w:r>
      <w:r w:rsidR="00FF4DA6">
        <w:rPr>
          <w:rFonts w:ascii="Lato" w:eastAsiaTheme="minorHAnsi" w:hAnsi="Lato" w:cs="Lato-Regular"/>
          <w:spacing w:val="4"/>
          <w:sz w:val="22"/>
          <w:szCs w:val="22"/>
          <w:lang w:eastAsia="en-US"/>
        </w:rPr>
        <w:t>(…)</w:t>
      </w:r>
      <w:r w:rsidRPr="0009014A">
        <w:rPr>
          <w:rFonts w:ascii="Lato" w:eastAsiaTheme="minorHAnsi" w:hAnsi="Lato" w:cs="Lato-Regular"/>
          <w:spacing w:val="4"/>
          <w:sz w:val="22"/>
          <w:szCs w:val="22"/>
          <w:lang w:eastAsia="en-US"/>
        </w:rPr>
        <w:t xml:space="preserve"> z dnia 2 października 2023 r., znak: TDR.7211.83.2023.BZ. W związku z tym, zajęcie terenu przedmiotowej nieruchomości powinno być ujęte w ramach Inwestycji w zakresie nieruchomości, wobec których ogranicza się sposób korzystania z nieruchomości, a nie terenów dróg publicznych. </w:t>
      </w:r>
      <w:r w:rsidRPr="00786573">
        <w:rPr>
          <w:rFonts w:ascii="Lato" w:eastAsiaTheme="minorHAnsi" w:hAnsi="Lato" w:cs="Lato-Regular"/>
          <w:spacing w:val="4"/>
          <w:sz w:val="22"/>
          <w:szCs w:val="22"/>
          <w:lang w:eastAsia="en-US"/>
        </w:rPr>
        <w:t xml:space="preserve">Mając </w:t>
      </w:r>
      <w:r w:rsidR="00786573">
        <w:rPr>
          <w:rFonts w:ascii="Lato" w:eastAsiaTheme="minorHAnsi" w:hAnsi="Lato" w:cs="Lato-Regular"/>
          <w:spacing w:val="4"/>
          <w:sz w:val="22"/>
          <w:szCs w:val="22"/>
          <w:lang w:eastAsia="en-US"/>
        </w:rPr>
        <w:t xml:space="preserve">to </w:t>
      </w:r>
      <w:r w:rsidRPr="00786573">
        <w:rPr>
          <w:rFonts w:ascii="Lato" w:eastAsiaTheme="minorHAnsi" w:hAnsi="Lato" w:cs="Lato-Regular"/>
          <w:spacing w:val="4"/>
          <w:sz w:val="22"/>
          <w:szCs w:val="22"/>
          <w:lang w:eastAsia="en-US"/>
        </w:rPr>
        <w:t>na względzie, inwestor wniósł o uwzględnienie powyższej okoliczności w rozstrzygnięciu organu II instancji poprzez dokonanie stosownych korekt w treści decyzji Wojewody Mazowieckiego, jak i w załączniku graficznym do tej decyzji, co też uczyniono w pkt I niniejszej decyzji.</w:t>
      </w:r>
      <w:r w:rsidRPr="0009014A">
        <w:rPr>
          <w:rFonts w:ascii="Lato" w:eastAsiaTheme="minorHAnsi" w:hAnsi="Lato" w:cs="Lato-Regular"/>
          <w:spacing w:val="4"/>
          <w:sz w:val="22"/>
          <w:szCs w:val="22"/>
          <w:lang w:eastAsia="en-US"/>
        </w:rPr>
        <w:t xml:space="preserve"> </w:t>
      </w:r>
    </w:p>
    <w:p w14:paraId="64BA6CA1" w14:textId="77777777" w:rsidR="0009014A" w:rsidRPr="0009014A" w:rsidRDefault="0009014A" w:rsidP="0009014A">
      <w:pPr>
        <w:autoSpaceDE w:val="0"/>
        <w:autoSpaceDN w:val="0"/>
        <w:adjustRightInd w:val="0"/>
        <w:spacing w:after="240" w:line="240" w:lineRule="exact"/>
        <w:jc w:val="both"/>
        <w:rPr>
          <w:rFonts w:ascii="Lato" w:eastAsiaTheme="minorHAnsi" w:hAnsi="Lato" w:cs="Lato-Regular"/>
          <w:bCs/>
          <w:iCs/>
          <w:spacing w:val="4"/>
          <w:sz w:val="22"/>
          <w:szCs w:val="22"/>
          <w:lang w:eastAsia="en-US"/>
        </w:rPr>
      </w:pPr>
      <w:r w:rsidRPr="0009014A">
        <w:rPr>
          <w:rFonts w:ascii="Lato" w:eastAsiaTheme="minorHAnsi" w:hAnsi="Lato" w:cs="Lato-Regular"/>
          <w:spacing w:val="4"/>
          <w:sz w:val="22"/>
          <w:szCs w:val="22"/>
          <w:lang w:eastAsia="en-US"/>
        </w:rPr>
        <w:t xml:space="preserve">Natomiast odnośnie drugiej z działek wydzielonych z działki nr 134/2, tj. działki nr 134/7, w wyniku wydania decyzji Wojewody Mazowieckiego i zatwierdzenia podziału działek skarżącego nr 134/2 i nr 134/1, działka nr 134/7 (powstała z podziału działki nr 134/2) utraciła dotychczasowy dostęp do drogi zlokalizowanej na ww. działce nr 240/3, </w:t>
      </w:r>
      <w:r w:rsidRPr="0009014A">
        <w:rPr>
          <w:rFonts w:ascii="Lato" w:eastAsiaTheme="minorHAnsi" w:hAnsi="Lato" w:cs="Lato-Regular"/>
          <w:spacing w:val="4"/>
          <w:sz w:val="22"/>
          <w:szCs w:val="22"/>
          <w:lang w:eastAsia="en-US"/>
        </w:rPr>
        <w:br/>
        <w:t xml:space="preserve">z obrębu 0022 Nowy Oryszew. Natomiast </w:t>
      </w:r>
      <w:r w:rsidRPr="0009014A">
        <w:rPr>
          <w:rFonts w:ascii="Lato" w:eastAsiaTheme="minorHAnsi" w:hAnsi="Lato" w:cs="Lato-Regular"/>
          <w:bCs/>
          <w:iCs/>
          <w:spacing w:val="4"/>
          <w:sz w:val="22"/>
          <w:szCs w:val="22"/>
          <w:lang w:eastAsia="en-US"/>
        </w:rPr>
        <w:t xml:space="preserve">Wojewoda Mazowiecki nie zapewnił w sposób prawny, poprzez ustanowienie odpowiednich służebności przejazdu i przechodu, dostępu ww. działki nr 134/7 do drogi publicznej. Błąd ten został naprawiony przez Ministra w niniejszej decyzji, bowiem organ odwoławczy ma nie tylko prawo, </w:t>
      </w:r>
      <w:r w:rsidRPr="0009014A">
        <w:rPr>
          <w:rFonts w:ascii="Lato" w:eastAsiaTheme="minorHAnsi" w:hAnsi="Lato" w:cs="Lato-Regular"/>
          <w:bCs/>
          <w:iCs/>
          <w:spacing w:val="4"/>
          <w:sz w:val="22"/>
          <w:szCs w:val="22"/>
          <w:lang w:eastAsia="en-US"/>
        </w:rPr>
        <w:br/>
        <w:t xml:space="preserve">a wręcz obowiązek skorygować błędy popełnione przez organ I instancji. Minister korzystając z uprawnień reformatoryjnych organu odwoławczego wynikających z art. 138 § 1 pkt 2 kpa – w pkt I niniejszej – ustanowił dostęp do gminnej drogi wewnętrznej </w:t>
      </w:r>
      <w:r w:rsidRPr="0009014A">
        <w:rPr>
          <w:rFonts w:ascii="Lato" w:eastAsiaTheme="minorHAnsi" w:hAnsi="Lato" w:cs="Lato-Regular"/>
          <w:bCs/>
          <w:iCs/>
          <w:spacing w:val="4"/>
          <w:sz w:val="22"/>
          <w:szCs w:val="22"/>
          <w:lang w:eastAsia="en-US"/>
        </w:rPr>
        <w:lastRenderedPageBreak/>
        <w:t xml:space="preserve">(położonej na działkach nr 240/1, nr 240/4, nr 240/6, z obrębu 0022 Nowy Oryszew) poprzez ustanowienie służebności przejazdu i przechodu przez działki, które stanowią już obecnie własność inwestora lub które staną się własnością inwestora z dniem, </w:t>
      </w:r>
      <w:r w:rsidRPr="0009014A">
        <w:rPr>
          <w:rFonts w:ascii="Lato" w:eastAsiaTheme="minorHAnsi" w:hAnsi="Lato" w:cs="Lato-Regular"/>
          <w:bCs/>
          <w:iCs/>
          <w:spacing w:val="4"/>
          <w:sz w:val="22"/>
          <w:szCs w:val="22"/>
          <w:lang w:eastAsia="en-US"/>
        </w:rPr>
        <w:br/>
        <w:t xml:space="preserve">w którym decyzja o ustaleniu lokalizacji w zakresie CPK stanie się ostateczna, </w:t>
      </w:r>
      <w:r w:rsidRPr="0009014A">
        <w:rPr>
          <w:rFonts w:ascii="Lato" w:eastAsiaTheme="minorHAnsi" w:hAnsi="Lato" w:cs="Lato-Regular"/>
          <w:bCs/>
          <w:iCs/>
          <w:spacing w:val="4"/>
          <w:sz w:val="22"/>
          <w:szCs w:val="22"/>
          <w:lang w:eastAsia="en-US" w:bidi="pl-PL"/>
        </w:rPr>
        <w:t xml:space="preserve">zgodnie </w:t>
      </w:r>
      <w:r w:rsidRPr="0009014A">
        <w:rPr>
          <w:rFonts w:ascii="Lato" w:eastAsiaTheme="minorHAnsi" w:hAnsi="Lato" w:cs="Lato-Regular"/>
          <w:bCs/>
          <w:iCs/>
          <w:spacing w:val="4"/>
          <w:sz w:val="22"/>
          <w:szCs w:val="22"/>
          <w:lang w:eastAsia="en-US" w:bidi="pl-PL"/>
        </w:rPr>
        <w:br/>
        <w:t xml:space="preserve">z wnioskiem inwestora w tym zakresie zawartym w piśmie z dnia 17 grudnia 2025 r., znak: LZS.41.20.2025. </w:t>
      </w:r>
    </w:p>
    <w:p w14:paraId="5EE64802" w14:textId="0C34A15D" w:rsidR="0009014A" w:rsidRPr="0009014A" w:rsidRDefault="0009014A" w:rsidP="0009014A">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sidRPr="0009014A">
        <w:rPr>
          <w:rFonts w:ascii="Lato" w:eastAsiaTheme="minorHAnsi" w:hAnsi="Lato" w:cs="Lato-Regular"/>
          <w:bCs/>
          <w:iCs/>
          <w:spacing w:val="4"/>
          <w:sz w:val="22"/>
          <w:szCs w:val="22"/>
          <w:lang w:eastAsia="en-US" w:bidi="pl-PL"/>
        </w:rPr>
        <w:t>Jak już to zostało wyjaśnione wcześniej w niniejszej decyzji przy rozpatrywaniu podobnego zarzutu Państwa K</w:t>
      </w:r>
      <w:r w:rsidR="004F5C2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i spółki </w:t>
      </w:r>
      <w:r w:rsidR="004F5C28">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służebność przejazdu i przechodu z</w:t>
      </w:r>
      <w:r w:rsidR="00EE356A">
        <w:rPr>
          <w:rFonts w:ascii="Lato" w:eastAsiaTheme="minorHAnsi" w:hAnsi="Lato" w:cs="Lato-Regular"/>
          <w:bCs/>
          <w:iCs/>
          <w:spacing w:val="4"/>
          <w:sz w:val="22"/>
          <w:szCs w:val="22"/>
          <w:lang w:eastAsia="en-US" w:bidi="pl-PL"/>
        </w:rPr>
        <w:t>ostała</w:t>
      </w:r>
      <w:r w:rsidRPr="0009014A">
        <w:rPr>
          <w:rFonts w:ascii="Lato" w:eastAsiaTheme="minorHAnsi" w:hAnsi="Lato" w:cs="Lato-Regular"/>
          <w:bCs/>
          <w:iCs/>
          <w:spacing w:val="4"/>
          <w:sz w:val="22"/>
          <w:szCs w:val="22"/>
          <w:lang w:eastAsia="en-US" w:bidi="pl-PL"/>
        </w:rPr>
        <w:t xml:space="preserve"> ustanowiona po drodze </w:t>
      </w:r>
      <w:r w:rsidR="00EE356A">
        <w:rPr>
          <w:rFonts w:ascii="Lato" w:eastAsiaTheme="minorHAnsi" w:hAnsi="Lato" w:cs="Lato-Regular"/>
          <w:bCs/>
          <w:iCs/>
          <w:spacing w:val="4"/>
          <w:sz w:val="22"/>
          <w:szCs w:val="22"/>
          <w:lang w:eastAsia="en-US" w:bidi="pl-PL"/>
        </w:rPr>
        <w:t xml:space="preserve">wewnętrznej </w:t>
      </w:r>
      <w:r w:rsidRPr="0009014A">
        <w:rPr>
          <w:rFonts w:ascii="Lato" w:eastAsiaTheme="minorHAnsi" w:hAnsi="Lato" w:cs="Lato-Regular"/>
          <w:bCs/>
          <w:iCs/>
          <w:spacing w:val="4"/>
          <w:sz w:val="22"/>
          <w:szCs w:val="22"/>
          <w:lang w:eastAsia="en-US" w:bidi="pl-PL"/>
        </w:rPr>
        <w:t xml:space="preserve">projektowanej w ramach Inwestycji na działkach, które stanowią już własność inwestora – CPK Sp. z o.o. lub staną się jego własnością </w:t>
      </w:r>
      <w:r w:rsidR="004F5C28">
        <w:rPr>
          <w:rFonts w:ascii="Lato" w:eastAsiaTheme="minorHAnsi" w:hAnsi="Lato" w:cs="Lato-Regular"/>
          <w:bCs/>
          <w:iCs/>
          <w:spacing w:val="4"/>
          <w:sz w:val="22"/>
          <w:szCs w:val="22"/>
          <w:lang w:eastAsia="en-US" w:bidi="pl-PL"/>
        </w:rPr>
        <w:br/>
      </w:r>
      <w:r w:rsidRPr="0009014A">
        <w:rPr>
          <w:rFonts w:ascii="Lato" w:eastAsiaTheme="minorHAnsi" w:hAnsi="Lato" w:cs="Lato-Regular"/>
          <w:bCs/>
          <w:iCs/>
          <w:spacing w:val="4"/>
          <w:sz w:val="22"/>
          <w:szCs w:val="22"/>
          <w:lang w:eastAsia="en-US" w:bidi="pl-PL"/>
        </w:rPr>
        <w:t xml:space="preserve">z dniem, w którym decyzja o ustaleniu lokalizacji inwestycji w zakresie CPK stanie się ostateczna. </w:t>
      </w:r>
      <w:r w:rsidRPr="00EE356A">
        <w:rPr>
          <w:rFonts w:ascii="Lato" w:eastAsiaTheme="minorHAnsi" w:hAnsi="Lato" w:cs="Lato-Regular"/>
          <w:bCs/>
          <w:iCs/>
          <w:spacing w:val="4"/>
          <w:sz w:val="22"/>
          <w:szCs w:val="22"/>
          <w:lang w:eastAsia="en-US" w:bidi="pl-PL"/>
        </w:rPr>
        <w:t>Nałożenie na inwestora obowiązku budowy tej drogi stanowi wypełnienie art. 49 ustawy CPK.</w:t>
      </w:r>
      <w:r w:rsidRPr="0009014A">
        <w:rPr>
          <w:rFonts w:ascii="Lato" w:eastAsiaTheme="minorHAnsi" w:hAnsi="Lato" w:cs="Lato-Regular"/>
          <w:bCs/>
          <w:iCs/>
          <w:spacing w:val="4"/>
          <w:sz w:val="22"/>
          <w:szCs w:val="22"/>
          <w:lang w:eastAsia="en-US" w:bidi="pl-PL"/>
        </w:rPr>
        <w:t xml:space="preserve"> </w:t>
      </w:r>
      <w:r w:rsidRPr="0009014A">
        <w:rPr>
          <w:rFonts w:ascii="Lato" w:eastAsiaTheme="minorHAnsi" w:hAnsi="Lato" w:cs="Lato-Regular"/>
          <w:bCs/>
          <w:iCs/>
          <w:spacing w:val="4"/>
          <w:sz w:val="22"/>
          <w:szCs w:val="22"/>
          <w:lang w:eastAsia="en-US"/>
        </w:rPr>
        <w:t xml:space="preserve">W ten sposób dla właściciela działki nr 134/7, z obrębu 0022 Nowy Oryszew, gmina </w:t>
      </w:r>
      <w:r w:rsidR="00FF4DA6">
        <w:rPr>
          <w:rFonts w:ascii="Lato" w:eastAsiaTheme="minorHAnsi" w:hAnsi="Lato" w:cs="Lato-Regular"/>
          <w:bCs/>
          <w:iCs/>
          <w:spacing w:val="4"/>
          <w:sz w:val="22"/>
          <w:szCs w:val="22"/>
          <w:lang w:eastAsia="en-US"/>
        </w:rPr>
        <w:t>(…)</w:t>
      </w:r>
      <w:r w:rsidR="00EE356A">
        <w:rPr>
          <w:rFonts w:ascii="Lato" w:eastAsiaTheme="minorHAnsi" w:hAnsi="Lato" w:cs="Lato-Regular"/>
          <w:bCs/>
          <w:iCs/>
          <w:spacing w:val="4"/>
          <w:sz w:val="22"/>
          <w:szCs w:val="22"/>
          <w:lang w:eastAsia="en-US"/>
        </w:rPr>
        <w:t xml:space="preserve"> </w:t>
      </w:r>
      <w:r w:rsidRPr="0009014A">
        <w:rPr>
          <w:rFonts w:ascii="Lato" w:eastAsiaTheme="minorHAnsi" w:hAnsi="Lato" w:cs="Lato-Regular"/>
          <w:bCs/>
          <w:iCs/>
          <w:spacing w:val="4"/>
          <w:sz w:val="22"/>
          <w:szCs w:val="22"/>
          <w:lang w:eastAsia="en-US"/>
        </w:rPr>
        <w:t xml:space="preserve">(nieruchomość władnąca) dostęp do drogi publicznej będzie realizowany jak dotychczas poprzez gminną drogę wewnętrzną ogólnodostępną </w:t>
      </w:r>
      <w:r w:rsidR="004F5C28">
        <w:rPr>
          <w:rFonts w:ascii="Lato" w:eastAsiaTheme="minorHAnsi" w:hAnsi="Lato" w:cs="Lato-Regular"/>
          <w:bCs/>
          <w:iCs/>
          <w:spacing w:val="4"/>
          <w:sz w:val="22"/>
          <w:szCs w:val="22"/>
          <w:lang w:eastAsia="en-US"/>
        </w:rPr>
        <w:br/>
      </w:r>
      <w:r w:rsidRPr="0009014A">
        <w:rPr>
          <w:rFonts w:ascii="Lato" w:eastAsiaTheme="minorHAnsi" w:hAnsi="Lato" w:cs="Lato-Regular"/>
          <w:bCs/>
          <w:iCs/>
          <w:spacing w:val="4"/>
          <w:sz w:val="22"/>
          <w:szCs w:val="22"/>
          <w:lang w:eastAsia="en-US"/>
        </w:rPr>
        <w:t xml:space="preserve">w </w:t>
      </w:r>
      <w:r w:rsidR="00C42C52">
        <w:rPr>
          <w:rFonts w:ascii="Lato" w:eastAsiaTheme="minorHAnsi" w:hAnsi="Lato" w:cs="Lato-Regular"/>
          <w:bCs/>
          <w:iCs/>
          <w:spacing w:val="4"/>
          <w:sz w:val="22"/>
          <w:szCs w:val="22"/>
          <w:lang w:eastAsia="en-US"/>
        </w:rPr>
        <w:t>(…)</w:t>
      </w:r>
      <w:r w:rsidRPr="0009014A">
        <w:rPr>
          <w:rFonts w:ascii="Lato" w:eastAsiaTheme="minorHAnsi" w:hAnsi="Lato" w:cs="Lato-Regular"/>
          <w:bCs/>
          <w:iCs/>
          <w:spacing w:val="4"/>
          <w:sz w:val="22"/>
          <w:szCs w:val="22"/>
          <w:lang w:eastAsia="en-US"/>
        </w:rPr>
        <w:t xml:space="preserve"> do której została ustanowiona (doprowadzona) służebność przejazdu i przechodu w niniejszej decyzji. </w:t>
      </w:r>
    </w:p>
    <w:p w14:paraId="436567AB" w14:textId="71774AD0" w:rsidR="0009014A" w:rsidRPr="0009014A" w:rsidRDefault="0009014A" w:rsidP="0009014A">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sidRPr="0009014A">
        <w:rPr>
          <w:rFonts w:ascii="Lato" w:eastAsiaTheme="minorHAnsi" w:hAnsi="Lato" w:cs="Lato-Regular"/>
          <w:bCs/>
          <w:iCs/>
          <w:spacing w:val="4"/>
          <w:sz w:val="22"/>
          <w:szCs w:val="22"/>
          <w:lang w:eastAsia="en-US"/>
        </w:rPr>
        <w:t xml:space="preserve">Jednocześnie wyjaśnić należy, iż w podobnej sytuacji jak działka skarżącego znalazły </w:t>
      </w:r>
      <w:r w:rsidR="0023188A">
        <w:rPr>
          <w:rFonts w:ascii="Lato" w:eastAsiaTheme="minorHAnsi" w:hAnsi="Lato" w:cs="Lato-Regular"/>
          <w:bCs/>
          <w:iCs/>
          <w:spacing w:val="4"/>
          <w:sz w:val="22"/>
          <w:szCs w:val="22"/>
          <w:lang w:eastAsia="en-US"/>
        </w:rPr>
        <w:t xml:space="preserve">się </w:t>
      </w:r>
      <w:r w:rsidRPr="0009014A">
        <w:rPr>
          <w:rFonts w:ascii="Lato" w:eastAsiaTheme="minorHAnsi" w:hAnsi="Lato" w:cs="Lato-Regular"/>
          <w:bCs/>
          <w:iCs/>
          <w:spacing w:val="4"/>
          <w:sz w:val="22"/>
          <w:szCs w:val="22"/>
          <w:lang w:eastAsia="en-US"/>
        </w:rPr>
        <w:t>inne nieruchomości objęte zakresem decyzji Wojewody Mazowieckiego dla których również  należało zapewnić dostęp do drogi publicznej poprzez ustanowienie odpowiednich służebności przejazdu i przechodu, co było przedmiotem postępowania wyjaśniającego (korespondencja organu odwoławczego z inwestorem). W wyniku poszczególnych wezwań organu odwoławczego, inwestor dokonał analizy w zakresie dostępu prawnego do drogi pu</w:t>
      </w:r>
      <w:r w:rsidRPr="0009014A">
        <w:rPr>
          <w:rFonts w:ascii="Lato" w:eastAsiaTheme="minorHAnsi" w:hAnsi="Lato" w:cs="Lato-Regular"/>
          <w:bCs/>
          <w:iCs/>
          <w:spacing w:val="4"/>
          <w:sz w:val="22"/>
          <w:szCs w:val="22"/>
          <w:lang w:eastAsia="en-US"/>
        </w:rPr>
        <w:softHyphen/>
        <w:t>blicznej projektowanych do wydzielenia działek pozostających przy dotychczasowym właścicielu, wska</w:t>
      </w:r>
      <w:r w:rsidRPr="0009014A">
        <w:rPr>
          <w:rFonts w:ascii="Lato" w:eastAsiaTheme="minorHAnsi" w:hAnsi="Lato" w:cs="Lato-Regular"/>
          <w:bCs/>
          <w:iCs/>
          <w:spacing w:val="4"/>
          <w:sz w:val="22"/>
          <w:szCs w:val="22"/>
          <w:lang w:eastAsia="en-US"/>
        </w:rPr>
        <w:softHyphen/>
        <w:t xml:space="preserve">zanych w tabelach znajdujących się w pkt VIII decyzji Wojewody Mazowieckiego, przedstawiając w piśmie </w:t>
      </w:r>
      <w:r w:rsidRPr="0009014A">
        <w:rPr>
          <w:rFonts w:ascii="Lato" w:eastAsiaTheme="minorHAnsi" w:hAnsi="Lato" w:cs="Lato-Regular"/>
          <w:bCs/>
          <w:iCs/>
          <w:spacing w:val="4"/>
          <w:sz w:val="22"/>
          <w:szCs w:val="22"/>
          <w:lang w:eastAsia="en-US" w:bidi="pl-PL"/>
        </w:rPr>
        <w:t>z dnia 17 grudnia 2025 r., znak: LZS.41.20.2025</w:t>
      </w:r>
      <w:r w:rsidRPr="0009014A">
        <w:rPr>
          <w:rFonts w:ascii="Lato" w:eastAsiaTheme="minorHAnsi" w:hAnsi="Lato" w:cs="Lato-Regular"/>
          <w:bCs/>
          <w:iCs/>
          <w:spacing w:val="4"/>
          <w:sz w:val="22"/>
          <w:szCs w:val="22"/>
          <w:lang w:eastAsia="en-US"/>
        </w:rPr>
        <w:t xml:space="preserve">, finalne zestawienie nieruchomości dla których zaszła konieczność ustanowienia służebności przejazdu i przechodu, co zostało uwzględnione w pkt I niniejszej decyzji. </w:t>
      </w:r>
      <w:r w:rsidRPr="0009014A">
        <w:rPr>
          <w:rFonts w:ascii="Lato" w:eastAsiaTheme="minorHAnsi" w:hAnsi="Lato" w:cs="Lato-Regular"/>
          <w:bCs/>
          <w:iCs/>
          <w:spacing w:val="4"/>
          <w:sz w:val="22"/>
          <w:szCs w:val="22"/>
          <w:lang w:eastAsia="en-US" w:bidi="pl-PL"/>
        </w:rPr>
        <w:t>Inwestor w piśmie z dnia 22 września 2025 r., znak: LZS.41.61.2025, wskazał, że  służebności przejazdu i przechodu zostały określone dla wszystkich działek objętych podziałem nieruchomości, które w wyniku tego po</w:t>
      </w:r>
      <w:r w:rsidRPr="0009014A">
        <w:rPr>
          <w:rFonts w:ascii="Lato" w:eastAsiaTheme="minorHAnsi" w:hAnsi="Lato" w:cs="Lato-Regular"/>
          <w:bCs/>
          <w:iCs/>
          <w:spacing w:val="4"/>
          <w:sz w:val="22"/>
          <w:szCs w:val="22"/>
          <w:lang w:eastAsia="en-US" w:bidi="pl-PL"/>
        </w:rPr>
        <w:softHyphen/>
        <w:t>działu tracą dostęp do dróg publicznych.</w:t>
      </w:r>
      <w:r w:rsidRPr="0009014A">
        <w:rPr>
          <w:rFonts w:ascii="Lato" w:eastAsiaTheme="minorHAnsi" w:hAnsi="Lato" w:cs="Lato-Regular"/>
          <w:bCs/>
          <w:iCs/>
          <w:spacing w:val="4"/>
          <w:sz w:val="22"/>
          <w:szCs w:val="22"/>
          <w:lang w:eastAsia="en-US"/>
        </w:rPr>
        <w:t xml:space="preserve"> </w:t>
      </w:r>
      <w:r w:rsidRPr="0009014A">
        <w:rPr>
          <w:rFonts w:ascii="Lato" w:eastAsiaTheme="minorHAnsi" w:hAnsi="Lato" w:cs="Lato-Regular"/>
          <w:bCs/>
          <w:iCs/>
          <w:spacing w:val="4"/>
          <w:sz w:val="22"/>
          <w:szCs w:val="22"/>
          <w:lang w:eastAsia="en-US" w:bidi="pl-PL"/>
        </w:rPr>
        <w:t xml:space="preserve">W odniesieniu do pozostałych działek, powstałych </w:t>
      </w:r>
      <w:r w:rsidR="0023188A">
        <w:rPr>
          <w:rFonts w:ascii="Lato" w:eastAsiaTheme="minorHAnsi" w:hAnsi="Lato" w:cs="Lato-Regular"/>
          <w:bCs/>
          <w:iCs/>
          <w:spacing w:val="4"/>
          <w:sz w:val="22"/>
          <w:szCs w:val="22"/>
          <w:lang w:eastAsia="en-US" w:bidi="pl-PL"/>
        </w:rPr>
        <w:br/>
      </w:r>
      <w:r w:rsidRPr="0009014A">
        <w:rPr>
          <w:rFonts w:ascii="Lato" w:eastAsiaTheme="minorHAnsi" w:hAnsi="Lato" w:cs="Lato-Regular"/>
          <w:bCs/>
          <w:iCs/>
          <w:spacing w:val="4"/>
          <w:sz w:val="22"/>
          <w:szCs w:val="22"/>
          <w:lang w:eastAsia="en-US" w:bidi="pl-PL"/>
        </w:rPr>
        <w:t xml:space="preserve">w wyniku podziału zgodnie z decyzją organu I instancji, inwestor wskazał, że nie ma konieczności ustanowienia służebności przejazdu i przechodu. Wynika to z faktu, </w:t>
      </w:r>
      <w:r w:rsidR="0023188A">
        <w:rPr>
          <w:rFonts w:ascii="Lato" w:eastAsiaTheme="minorHAnsi" w:hAnsi="Lato" w:cs="Lato-Regular"/>
          <w:bCs/>
          <w:iCs/>
          <w:spacing w:val="4"/>
          <w:sz w:val="22"/>
          <w:szCs w:val="22"/>
          <w:lang w:eastAsia="en-US" w:bidi="pl-PL"/>
        </w:rPr>
        <w:br/>
      </w:r>
      <w:r w:rsidRPr="0009014A">
        <w:rPr>
          <w:rFonts w:ascii="Lato" w:eastAsiaTheme="minorHAnsi" w:hAnsi="Lato" w:cs="Lato-Regular"/>
          <w:bCs/>
          <w:iCs/>
          <w:spacing w:val="4"/>
          <w:sz w:val="22"/>
          <w:szCs w:val="22"/>
          <w:lang w:eastAsia="en-US" w:bidi="pl-PL"/>
        </w:rPr>
        <w:t>iż pozostałe działki mają zachowany dostęp do drogi publicznej albo nie miały dostępu do drogi publicznej przed podziałem, albo wreszcie stanowią lub będą stanowić własność inwestora – CPK Sp. z.o.o. Szerzej ta kwestia została już wyjaśniona powyżej w niniejszej decyzji przy odpowiedzi na zarzuty Państwa K</w:t>
      </w:r>
      <w:r w:rsidR="00D533D7">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i spółki </w:t>
      </w:r>
      <w:r w:rsidR="00D533D7">
        <w:rPr>
          <w:rFonts w:ascii="Lato" w:eastAsiaTheme="minorHAnsi" w:hAnsi="Lato" w:cs="Lato-Regular"/>
          <w:bCs/>
          <w:iCs/>
          <w:spacing w:val="4"/>
          <w:sz w:val="22"/>
          <w:szCs w:val="22"/>
          <w:lang w:eastAsia="en-US" w:bidi="pl-PL"/>
        </w:rPr>
        <w:t>(…)</w:t>
      </w:r>
      <w:r w:rsidRPr="0009014A">
        <w:rPr>
          <w:rFonts w:ascii="Lato" w:eastAsiaTheme="minorHAnsi" w:hAnsi="Lato" w:cs="Lato-Regular"/>
          <w:bCs/>
          <w:iCs/>
          <w:spacing w:val="4"/>
          <w:sz w:val="22"/>
          <w:szCs w:val="22"/>
          <w:lang w:eastAsia="en-US" w:bidi="pl-PL"/>
        </w:rPr>
        <w:t xml:space="preserve">. </w:t>
      </w:r>
    </w:p>
    <w:p w14:paraId="2446D707" w14:textId="6F1340EB" w:rsidR="0009014A" w:rsidRPr="0009014A" w:rsidRDefault="0009014A" w:rsidP="0009014A">
      <w:pPr>
        <w:autoSpaceDE w:val="0"/>
        <w:autoSpaceDN w:val="0"/>
        <w:adjustRightInd w:val="0"/>
        <w:spacing w:after="240" w:line="240" w:lineRule="exact"/>
        <w:jc w:val="both"/>
        <w:rPr>
          <w:rFonts w:ascii="Lato" w:eastAsiaTheme="minorHAnsi" w:hAnsi="Lato" w:cs="Lato-Regular"/>
          <w:iCs/>
          <w:spacing w:val="4"/>
          <w:sz w:val="22"/>
          <w:szCs w:val="22"/>
          <w:lang w:eastAsia="en-US"/>
        </w:rPr>
      </w:pPr>
      <w:r w:rsidRPr="0009014A">
        <w:rPr>
          <w:rFonts w:ascii="Lato" w:eastAsiaTheme="minorHAnsi" w:hAnsi="Lato" w:cs="Lato-Regular"/>
          <w:bCs/>
          <w:iCs/>
          <w:spacing w:val="4"/>
          <w:sz w:val="22"/>
          <w:szCs w:val="22"/>
          <w:lang w:eastAsia="en-US"/>
        </w:rPr>
        <w:t>Na uwzględnienie nie zasługuje zarzut Pana K</w:t>
      </w:r>
      <w:r w:rsidR="00D533D7">
        <w:rPr>
          <w:rFonts w:ascii="Lato" w:eastAsiaTheme="minorHAnsi" w:hAnsi="Lato" w:cs="Lato-Regular"/>
          <w:bCs/>
          <w:iCs/>
          <w:spacing w:val="4"/>
          <w:sz w:val="22"/>
          <w:szCs w:val="22"/>
          <w:lang w:eastAsia="en-US"/>
        </w:rPr>
        <w:t>.</w:t>
      </w:r>
      <w:r w:rsidRPr="0009014A">
        <w:rPr>
          <w:rFonts w:ascii="Lato" w:eastAsiaTheme="minorHAnsi" w:hAnsi="Lato" w:cs="Lato-Regular"/>
          <w:bCs/>
          <w:iCs/>
          <w:spacing w:val="4"/>
          <w:sz w:val="22"/>
          <w:szCs w:val="22"/>
          <w:lang w:eastAsia="en-US"/>
        </w:rPr>
        <w:t xml:space="preserve"> O</w:t>
      </w:r>
      <w:r w:rsidR="00D533D7">
        <w:rPr>
          <w:rFonts w:ascii="Lato" w:eastAsiaTheme="minorHAnsi" w:hAnsi="Lato" w:cs="Lato-Regular"/>
          <w:bCs/>
          <w:iCs/>
          <w:spacing w:val="4"/>
          <w:sz w:val="22"/>
          <w:szCs w:val="22"/>
          <w:lang w:eastAsia="en-US"/>
        </w:rPr>
        <w:t>.</w:t>
      </w:r>
      <w:r w:rsidRPr="0009014A">
        <w:rPr>
          <w:rFonts w:ascii="Lato" w:eastAsiaTheme="minorHAnsi" w:hAnsi="Lato" w:cs="Lato-Regular"/>
          <w:bCs/>
          <w:iCs/>
          <w:spacing w:val="4"/>
          <w:sz w:val="22"/>
          <w:szCs w:val="22"/>
          <w:lang w:eastAsia="en-US"/>
        </w:rPr>
        <w:t xml:space="preserve"> dotyczący tego, że zatwierdzony </w:t>
      </w:r>
      <w:r w:rsidR="00D533D7">
        <w:rPr>
          <w:rFonts w:ascii="Lato" w:eastAsiaTheme="minorHAnsi" w:hAnsi="Lato" w:cs="Lato-Regular"/>
          <w:bCs/>
          <w:iCs/>
          <w:spacing w:val="4"/>
          <w:sz w:val="22"/>
          <w:szCs w:val="22"/>
          <w:lang w:eastAsia="en-US"/>
        </w:rPr>
        <w:br/>
      </w:r>
      <w:r w:rsidRPr="0009014A">
        <w:rPr>
          <w:rFonts w:ascii="Lato" w:eastAsiaTheme="minorHAnsi" w:hAnsi="Lato" w:cs="Lato-Regular"/>
          <w:bCs/>
          <w:iCs/>
          <w:spacing w:val="4"/>
          <w:sz w:val="22"/>
          <w:szCs w:val="22"/>
          <w:lang w:eastAsia="en-US"/>
        </w:rPr>
        <w:t xml:space="preserve">w decyzji Wojewody Mazowieckiego podział ww. działki nr 240/3, </w:t>
      </w:r>
      <w:r w:rsidRPr="0009014A">
        <w:rPr>
          <w:rFonts w:ascii="Lato" w:eastAsiaTheme="minorHAnsi" w:hAnsi="Lato" w:cs="Lato-Regular"/>
          <w:bCs/>
          <w:iCs/>
          <w:spacing w:val="4"/>
          <w:sz w:val="22"/>
          <w:szCs w:val="22"/>
          <w:lang w:eastAsia="en-US"/>
        </w:rPr>
        <w:br/>
        <w:t xml:space="preserve">z obrębu 0022 Nowy Oryszew spowoduje, że położna obecnie na tej działce droga gminna wewnętrzna utraci połącznie z siecią dróg publicznych. Minister w zakresie tego zarzutu podziela stanowisko inwestora zawarte w ww. piśmie z dnia 22 września </w:t>
      </w:r>
      <w:r w:rsidRPr="0009014A">
        <w:rPr>
          <w:rFonts w:ascii="Lato" w:eastAsiaTheme="minorHAnsi" w:hAnsi="Lato" w:cs="Lato-Regular"/>
          <w:bCs/>
          <w:iCs/>
          <w:spacing w:val="4"/>
          <w:sz w:val="22"/>
          <w:szCs w:val="22"/>
          <w:lang w:eastAsia="en-US"/>
        </w:rPr>
        <w:br/>
        <w:t xml:space="preserve">2025 r., że realizacja Inwestycji nie powoduje, że nie będzie możliwe dalsze wykorzystanie działki nr 240/9 (powstałej z podziału ww. działki nr 240/3), </w:t>
      </w:r>
      <w:r w:rsidRPr="0009014A">
        <w:rPr>
          <w:rFonts w:ascii="Lato" w:eastAsiaTheme="minorHAnsi" w:hAnsi="Lato" w:cs="Lato-Regular"/>
          <w:bCs/>
          <w:iCs/>
          <w:spacing w:val="4"/>
          <w:sz w:val="22"/>
          <w:szCs w:val="22"/>
          <w:lang w:eastAsia="en-US"/>
        </w:rPr>
        <w:br/>
        <w:t>w dotychczasowy sposób</w:t>
      </w:r>
      <w:r w:rsidR="0023188A">
        <w:rPr>
          <w:rFonts w:ascii="Lato" w:eastAsiaTheme="minorHAnsi" w:hAnsi="Lato" w:cs="Lato-Regular"/>
          <w:bCs/>
          <w:iCs/>
          <w:spacing w:val="4"/>
          <w:sz w:val="22"/>
          <w:szCs w:val="22"/>
          <w:lang w:eastAsia="en-US"/>
        </w:rPr>
        <w:t xml:space="preserve">, </w:t>
      </w:r>
      <w:r w:rsidRPr="0009014A">
        <w:rPr>
          <w:rFonts w:ascii="Lato" w:eastAsiaTheme="minorHAnsi" w:hAnsi="Lato" w:cs="Lato-Regular"/>
          <w:bCs/>
          <w:iCs/>
          <w:spacing w:val="4"/>
          <w:sz w:val="22"/>
          <w:szCs w:val="22"/>
          <w:lang w:eastAsia="en-US"/>
        </w:rPr>
        <w:t>tj. jako drogi wewnętrznej stanowiącej własność obecnego jej zarządcy.</w:t>
      </w:r>
      <w:r w:rsidRPr="0009014A">
        <w:rPr>
          <w:rFonts w:ascii="Lato" w:hAnsi="Lato" w:cs="Arial"/>
          <w:b/>
          <w:bCs/>
          <w:color w:val="000000"/>
          <w:spacing w:val="4"/>
          <w:sz w:val="22"/>
          <w:szCs w:val="22"/>
        </w:rPr>
        <w:t xml:space="preserve"> </w:t>
      </w:r>
      <w:r w:rsidRPr="0009014A">
        <w:rPr>
          <w:rFonts w:ascii="Lato" w:eastAsiaTheme="minorHAnsi" w:hAnsi="Lato" w:cs="Lato-Regular"/>
          <w:iCs/>
          <w:spacing w:val="4"/>
          <w:sz w:val="22"/>
          <w:szCs w:val="22"/>
          <w:lang w:eastAsia="en-US"/>
        </w:rPr>
        <w:t xml:space="preserve">W ramach Inwestycji realizowane jest także odtworzenie istniejących ciągów komunikacyjnych, w tym ich przebudowa. Dotyczy ona zarówno dróg publicznych, jak </w:t>
      </w:r>
      <w:r w:rsidRPr="0009014A">
        <w:rPr>
          <w:rFonts w:ascii="Lato" w:eastAsiaTheme="minorHAnsi" w:hAnsi="Lato" w:cs="Lato-Regular"/>
          <w:iCs/>
          <w:spacing w:val="4"/>
          <w:sz w:val="22"/>
          <w:szCs w:val="22"/>
          <w:lang w:eastAsia="en-US"/>
        </w:rPr>
        <w:br/>
        <w:t xml:space="preserve">i w tym przypadku dróg wewnętrznych. Wywłaszczenie działek nr 240/7, nr 240/6, </w:t>
      </w:r>
      <w:r w:rsidR="0023188A">
        <w:rPr>
          <w:rFonts w:ascii="Lato" w:eastAsiaTheme="minorHAnsi" w:hAnsi="Lato" w:cs="Lato-Regular"/>
          <w:iCs/>
          <w:spacing w:val="4"/>
          <w:sz w:val="22"/>
          <w:szCs w:val="22"/>
          <w:lang w:eastAsia="en-US"/>
        </w:rPr>
        <w:br/>
      </w:r>
      <w:r w:rsidRPr="0009014A">
        <w:rPr>
          <w:rFonts w:ascii="Lato" w:eastAsiaTheme="minorHAnsi" w:hAnsi="Lato" w:cs="Lato-Regular"/>
          <w:iCs/>
          <w:spacing w:val="4"/>
          <w:sz w:val="22"/>
          <w:szCs w:val="22"/>
          <w:lang w:eastAsia="en-US"/>
        </w:rPr>
        <w:t>nr 240/1 oraz nr 240/4 na rzecz inwestora nie oznacza ograniczenia w możliwości korzystania z drogi wewnętrz</w:t>
      </w:r>
      <w:r w:rsidRPr="0009014A">
        <w:rPr>
          <w:rFonts w:ascii="Lato" w:eastAsiaTheme="minorHAnsi" w:hAnsi="Lato" w:cs="Lato-Regular"/>
          <w:iCs/>
          <w:spacing w:val="4"/>
          <w:sz w:val="22"/>
          <w:szCs w:val="22"/>
          <w:lang w:eastAsia="en-US"/>
        </w:rPr>
        <w:softHyphen/>
        <w:t xml:space="preserve">nej na dotychczasowych zasadach. Inwestor wyjaśnił, </w:t>
      </w:r>
      <w:r w:rsidR="0023188A">
        <w:rPr>
          <w:rFonts w:ascii="Lato" w:eastAsiaTheme="minorHAnsi" w:hAnsi="Lato" w:cs="Lato-Regular"/>
          <w:iCs/>
          <w:spacing w:val="4"/>
          <w:sz w:val="22"/>
          <w:szCs w:val="22"/>
          <w:lang w:eastAsia="en-US"/>
        </w:rPr>
        <w:br/>
      </w:r>
      <w:r w:rsidRPr="0009014A">
        <w:rPr>
          <w:rFonts w:ascii="Lato" w:eastAsiaTheme="minorHAnsi" w:hAnsi="Lato" w:cs="Lato-Regular"/>
          <w:iCs/>
          <w:spacing w:val="4"/>
          <w:sz w:val="22"/>
          <w:szCs w:val="22"/>
          <w:lang w:eastAsia="en-US"/>
        </w:rPr>
        <w:lastRenderedPageBreak/>
        <w:t xml:space="preserve">że w ramach Inwestycji droga wewnętrzna zostanie przebudowana, ale docelowo </w:t>
      </w:r>
      <w:r w:rsidRPr="0009014A">
        <w:rPr>
          <w:rFonts w:ascii="Lato" w:eastAsiaTheme="minorHAnsi" w:hAnsi="Lato" w:cs="Lato-Regular"/>
          <w:iCs/>
          <w:spacing w:val="4"/>
          <w:sz w:val="22"/>
          <w:szCs w:val="22"/>
          <w:lang w:eastAsia="en-US"/>
        </w:rPr>
        <w:br/>
        <w:t xml:space="preserve">(po realizacji Inwestycji) zachowany zostanie ciąg komunikacyjny obecnie stanowiący drogę wewnętrzną w </w:t>
      </w:r>
      <w:r w:rsidR="00E55A54">
        <w:rPr>
          <w:rFonts w:ascii="Lato" w:eastAsiaTheme="minorHAnsi" w:hAnsi="Lato" w:cs="Lato-Regular"/>
          <w:iCs/>
          <w:spacing w:val="4"/>
          <w:sz w:val="22"/>
          <w:szCs w:val="22"/>
          <w:lang w:eastAsia="en-US"/>
        </w:rPr>
        <w:t>(…)</w:t>
      </w:r>
      <w:r w:rsidRPr="0009014A">
        <w:rPr>
          <w:rFonts w:ascii="Lato" w:eastAsiaTheme="minorHAnsi" w:hAnsi="Lato" w:cs="Lato-Regular"/>
          <w:iCs/>
          <w:spacing w:val="4"/>
          <w:sz w:val="22"/>
          <w:szCs w:val="22"/>
          <w:lang w:eastAsia="en-US"/>
        </w:rPr>
        <w:t xml:space="preserve">. W konsekwencji wyżej wskazane działki stanowią element drogi wewnętrznej, która po przebudowie - jako droga wewnętrzna (jak dotychczas) - będzie łączyć się z drogą publiczną nr 470406W (działka nr 391/2, </w:t>
      </w:r>
      <w:r w:rsidRPr="0009014A">
        <w:rPr>
          <w:rFonts w:ascii="Lato" w:eastAsiaTheme="minorHAnsi" w:hAnsi="Lato" w:cs="Lato-Regular"/>
          <w:iCs/>
          <w:spacing w:val="4"/>
          <w:sz w:val="22"/>
          <w:szCs w:val="22"/>
          <w:lang w:eastAsia="en-US"/>
        </w:rPr>
        <w:br/>
        <w:t>z obrębu Guzów).</w:t>
      </w:r>
      <w:r w:rsidRPr="0009014A">
        <w:rPr>
          <w:rFonts w:ascii="Lato" w:hAnsi="Lato"/>
          <w:spacing w:val="4"/>
          <w:sz w:val="22"/>
          <w:szCs w:val="22"/>
        </w:rPr>
        <w:t xml:space="preserve"> </w:t>
      </w:r>
      <w:r w:rsidRPr="0009014A">
        <w:rPr>
          <w:rFonts w:ascii="Lato" w:eastAsiaTheme="minorHAnsi" w:hAnsi="Lato" w:cs="Lato-Regular"/>
          <w:iCs/>
          <w:spacing w:val="4"/>
          <w:sz w:val="22"/>
          <w:szCs w:val="22"/>
          <w:lang w:eastAsia="en-US"/>
        </w:rPr>
        <w:t xml:space="preserve">Reasumując, wywłaszczenie nieruchomości na których obecnie jest położona droga gminna wewnętrzna w </w:t>
      </w:r>
      <w:r w:rsidR="00E55A54">
        <w:rPr>
          <w:rFonts w:ascii="Lato" w:eastAsiaTheme="minorHAnsi" w:hAnsi="Lato" w:cs="Lato-Regular"/>
          <w:iCs/>
          <w:spacing w:val="4"/>
          <w:sz w:val="22"/>
          <w:szCs w:val="22"/>
          <w:lang w:eastAsia="en-US"/>
        </w:rPr>
        <w:t>(…)</w:t>
      </w:r>
      <w:r w:rsidRPr="0009014A">
        <w:rPr>
          <w:rFonts w:ascii="Lato" w:eastAsiaTheme="minorHAnsi" w:hAnsi="Lato" w:cs="Lato-Regular"/>
          <w:iCs/>
          <w:spacing w:val="4"/>
          <w:sz w:val="22"/>
          <w:szCs w:val="22"/>
          <w:lang w:eastAsia="en-US"/>
        </w:rPr>
        <w:t xml:space="preserve"> nie ograniczy możliwości korzystania z nich jako drogi wewnętrznej, a droga wewnętrza zlokalizowana m.in. na ww. działkach będzie posiadała po realizacji Inwestycji połączenie z siecią dróg publicznych.</w:t>
      </w:r>
      <w:r w:rsidRPr="0009014A">
        <w:rPr>
          <w:rFonts w:ascii="Lato" w:hAnsi="Lato" w:cs="Arial"/>
          <w:color w:val="000000"/>
          <w:spacing w:val="4"/>
          <w:sz w:val="22"/>
          <w:szCs w:val="22"/>
        </w:rPr>
        <w:t xml:space="preserve"> Istniejącą </w:t>
      </w:r>
      <w:r w:rsidRPr="0009014A">
        <w:rPr>
          <w:rFonts w:ascii="Lato" w:eastAsiaTheme="minorHAnsi" w:hAnsi="Lato" w:cs="Lato-Regular"/>
          <w:iCs/>
          <w:spacing w:val="4"/>
          <w:sz w:val="22"/>
          <w:szCs w:val="22"/>
          <w:lang w:eastAsia="en-US"/>
        </w:rPr>
        <w:t xml:space="preserve">droga wewnętrzna w </w:t>
      </w:r>
      <w:r w:rsidR="00E55A54">
        <w:rPr>
          <w:rFonts w:ascii="Lato" w:eastAsiaTheme="minorHAnsi" w:hAnsi="Lato" w:cs="Lato-Regular"/>
          <w:iCs/>
          <w:spacing w:val="4"/>
          <w:sz w:val="22"/>
          <w:szCs w:val="22"/>
          <w:lang w:eastAsia="en-US"/>
        </w:rPr>
        <w:t>(…)</w:t>
      </w:r>
      <w:r w:rsidRPr="0009014A">
        <w:rPr>
          <w:rFonts w:ascii="Lato" w:eastAsiaTheme="minorHAnsi" w:hAnsi="Lato" w:cs="Lato-Regular"/>
          <w:iCs/>
          <w:spacing w:val="4"/>
          <w:sz w:val="22"/>
          <w:szCs w:val="22"/>
          <w:lang w:eastAsia="en-US"/>
        </w:rPr>
        <w:t xml:space="preserve"> jak dotychczas będzie drogą ogólnodostępną </w:t>
      </w:r>
      <w:r w:rsidR="00E55A54">
        <w:rPr>
          <w:rFonts w:ascii="Lato" w:eastAsiaTheme="minorHAnsi" w:hAnsi="Lato" w:cs="Lato-Regular"/>
          <w:iCs/>
          <w:spacing w:val="4"/>
          <w:sz w:val="22"/>
          <w:szCs w:val="22"/>
          <w:lang w:eastAsia="en-US"/>
        </w:rPr>
        <w:br/>
      </w:r>
      <w:r w:rsidRPr="0009014A">
        <w:rPr>
          <w:rFonts w:ascii="Lato" w:eastAsiaTheme="minorHAnsi" w:hAnsi="Lato" w:cs="Lato-Regular"/>
          <w:iCs/>
          <w:spacing w:val="4"/>
          <w:sz w:val="22"/>
          <w:szCs w:val="22"/>
          <w:lang w:eastAsia="en-US"/>
        </w:rPr>
        <w:t>i bezpłatną.</w:t>
      </w:r>
    </w:p>
    <w:p w14:paraId="4CB3DB18" w14:textId="10FD17D3" w:rsidR="0009014A" w:rsidRPr="0009014A" w:rsidRDefault="0009014A" w:rsidP="0009014A">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sidRPr="0009014A">
        <w:rPr>
          <w:rFonts w:ascii="Lato" w:eastAsiaTheme="minorHAnsi" w:hAnsi="Lato" w:cs="Lato-Regular"/>
          <w:iCs/>
          <w:spacing w:val="4"/>
          <w:sz w:val="22"/>
          <w:szCs w:val="22"/>
          <w:lang w:eastAsia="en-US"/>
        </w:rPr>
        <w:t>Odnosząc się do podnoszonych przez Pana K</w:t>
      </w:r>
      <w:r w:rsidR="00237451">
        <w:rPr>
          <w:rFonts w:ascii="Lato" w:eastAsiaTheme="minorHAnsi" w:hAnsi="Lato" w:cs="Lato-Regular"/>
          <w:iCs/>
          <w:spacing w:val="4"/>
          <w:sz w:val="22"/>
          <w:szCs w:val="22"/>
          <w:lang w:eastAsia="en-US"/>
        </w:rPr>
        <w:t>.</w:t>
      </w:r>
      <w:r w:rsidRPr="0009014A">
        <w:rPr>
          <w:rFonts w:ascii="Lato" w:eastAsiaTheme="minorHAnsi" w:hAnsi="Lato" w:cs="Lato-Regular"/>
          <w:iCs/>
          <w:spacing w:val="4"/>
          <w:sz w:val="22"/>
          <w:szCs w:val="22"/>
          <w:lang w:eastAsia="en-US"/>
        </w:rPr>
        <w:t xml:space="preserve"> O</w:t>
      </w:r>
      <w:r w:rsidR="00237451">
        <w:rPr>
          <w:rFonts w:ascii="Lato" w:eastAsiaTheme="minorHAnsi" w:hAnsi="Lato" w:cs="Lato-Regular"/>
          <w:iCs/>
          <w:spacing w:val="4"/>
          <w:sz w:val="22"/>
          <w:szCs w:val="22"/>
          <w:lang w:eastAsia="en-US"/>
        </w:rPr>
        <w:t>.</w:t>
      </w:r>
      <w:r w:rsidRPr="0009014A">
        <w:rPr>
          <w:rFonts w:ascii="Lato" w:eastAsiaTheme="minorHAnsi" w:hAnsi="Lato" w:cs="Lato-Regular"/>
          <w:iCs/>
          <w:spacing w:val="4"/>
          <w:sz w:val="22"/>
          <w:szCs w:val="22"/>
          <w:lang w:eastAsia="en-US"/>
        </w:rPr>
        <w:t xml:space="preserve"> wewnętrznych problemów komunikacyjnych  na działce nr 134/9 (powstałej z podziału działki nr 134/3) w zakresie dostępu do jej części użytkowanej rolniczo, wyjaśnić należy, iż w postępowaniu </w:t>
      </w:r>
      <w:r w:rsidRPr="0009014A">
        <w:rPr>
          <w:rFonts w:ascii="Lato" w:eastAsiaTheme="minorHAnsi" w:hAnsi="Lato" w:cs="Lato-Regular"/>
          <w:iCs/>
          <w:spacing w:val="4"/>
          <w:sz w:val="22"/>
          <w:szCs w:val="22"/>
          <w:lang w:eastAsia="en-US"/>
        </w:rPr>
        <w:br/>
        <w:t xml:space="preserve">w sprawie wydania decyzji o ustaleniu lokalizacji inwestycji w zakresie CPK organy orzekające badają zgodność z prawem wniosku inwestora, nie zaś zagadnień dotyczących ewentualnych negatywnych następstw dla podmiotów objętych tą decyzją. Jak już to zasygnalizowano w niniejszej decyzji, </w:t>
      </w:r>
      <w:r w:rsidRPr="0009014A">
        <w:rPr>
          <w:rFonts w:ascii="Lato" w:eastAsiaTheme="minorHAnsi" w:hAnsi="Lato" w:cs="Lato-Regular"/>
          <w:bCs/>
          <w:iCs/>
          <w:spacing w:val="4"/>
          <w:sz w:val="22"/>
          <w:szCs w:val="22"/>
          <w:lang w:eastAsia="en-US" w:bidi="pl-PL"/>
        </w:rPr>
        <w:t>nieuniknione jest to, że wywłaszczenie części nieruchomości może powodować uciążliwości dla właściciel</w:t>
      </w:r>
      <w:r w:rsidR="0023188A">
        <w:rPr>
          <w:rFonts w:ascii="Lato" w:eastAsiaTheme="minorHAnsi" w:hAnsi="Lato" w:cs="Lato-Regular"/>
          <w:bCs/>
          <w:iCs/>
          <w:spacing w:val="4"/>
          <w:sz w:val="22"/>
          <w:szCs w:val="22"/>
          <w:lang w:eastAsia="en-US" w:bidi="pl-PL"/>
        </w:rPr>
        <w:t>a</w:t>
      </w:r>
      <w:r w:rsidRPr="0009014A">
        <w:rPr>
          <w:rFonts w:ascii="Lato" w:eastAsiaTheme="minorHAnsi" w:hAnsi="Lato" w:cs="Lato-Regular"/>
          <w:bCs/>
          <w:iCs/>
          <w:spacing w:val="4"/>
          <w:sz w:val="22"/>
          <w:szCs w:val="22"/>
          <w:lang w:eastAsia="en-US" w:bidi="pl-PL"/>
        </w:rPr>
        <w:t xml:space="preserve"> nieruchomości. Nie ma jednak podstaw prawnych ku temu, aby w postępowaniu lokalizacyjnym badać wpływ planowanej Inwestycji na komfort użytkowania części nieruchomości pozostającej po zatwierdzonym podziale przy dotychczasowym właścicielu. Brak jest bowiem stosownych przepisów uprawniających organ do takich czynności, jak również uzależniających rozstrzygnięcie od tego rodzaju okoliczności.</w:t>
      </w:r>
    </w:p>
    <w:p w14:paraId="2AE9005C" w14:textId="5D87F254" w:rsidR="0009014A" w:rsidRPr="0009014A" w:rsidRDefault="0009014A" w:rsidP="0009014A">
      <w:pPr>
        <w:autoSpaceDE w:val="0"/>
        <w:autoSpaceDN w:val="0"/>
        <w:adjustRightInd w:val="0"/>
        <w:spacing w:after="240" w:line="240" w:lineRule="exact"/>
        <w:jc w:val="both"/>
        <w:rPr>
          <w:rFonts w:ascii="Lato" w:eastAsiaTheme="minorHAnsi" w:hAnsi="Lato" w:cs="Lato-Regular"/>
          <w:iCs/>
          <w:spacing w:val="4"/>
          <w:sz w:val="22"/>
          <w:szCs w:val="22"/>
          <w:lang w:eastAsia="en-US"/>
        </w:rPr>
      </w:pPr>
      <w:r w:rsidRPr="0009014A">
        <w:rPr>
          <w:rFonts w:ascii="Lato" w:eastAsiaTheme="minorHAnsi" w:hAnsi="Lato" w:cs="Lato-Regular"/>
          <w:bCs/>
          <w:iCs/>
          <w:spacing w:val="4"/>
          <w:sz w:val="22"/>
          <w:szCs w:val="22"/>
          <w:lang w:eastAsia="en-US" w:bidi="pl-PL"/>
        </w:rPr>
        <w:t xml:space="preserve">Jak już to wyjaśniono powyżej, dostęp do działki </w:t>
      </w:r>
      <w:r w:rsidRPr="0009014A">
        <w:rPr>
          <w:rFonts w:ascii="Lato" w:eastAsiaTheme="minorHAnsi" w:hAnsi="Lato" w:cs="Lato-Regular"/>
          <w:iCs/>
          <w:spacing w:val="4"/>
          <w:sz w:val="22"/>
          <w:szCs w:val="22"/>
          <w:lang w:eastAsia="en-US"/>
        </w:rPr>
        <w:t xml:space="preserve">nr 134/9 (części, na której znajdują się budynki gospodarczo-przemysłowe) zostanie zachowany tak jak dotychczas poprzez bezpośredni dostęp do drogi gminnej wewnętrznej. Do części użytkowanej rolniczo (część działki nr 134/9; działki nr 134/5 i nr 134/10 – powstałe z podziału odpowiednio działek nr 134/1 i nr 134/2) dostęp - przejazd jest możliwy między obiektami zlokalizowanymi na działce nr 134/9. Jednakże inwestor odnosząc się do argumentacji skarżącego zawartej w piśmie z dnia 17 listopada 2025 r. wskazał, iż może umożliwić przejazd przez działkę, która zgodnie z decyzją Wojewody Mazowieckiego, ma stanowić własność CPK Sp. z o.o., tj. działkę nr 134/8 (powstałą z podziału działki nr 134/3),  </w:t>
      </w:r>
      <w:r w:rsidRPr="0009014A">
        <w:rPr>
          <w:rFonts w:ascii="Lato" w:eastAsiaTheme="minorHAnsi" w:hAnsi="Lato" w:cs="Lato-Regular"/>
          <w:iCs/>
          <w:spacing w:val="4"/>
          <w:sz w:val="22"/>
          <w:szCs w:val="22"/>
          <w:lang w:eastAsia="en-US"/>
        </w:rPr>
        <w:br/>
        <w:t xml:space="preserve">z obrębu 0022 Nowy Oryszew, co zapewni dostęp pojazdom rolniczo-przemysłowym </w:t>
      </w:r>
      <w:r w:rsidRPr="0009014A">
        <w:rPr>
          <w:rFonts w:ascii="Lato" w:eastAsiaTheme="minorHAnsi" w:hAnsi="Lato" w:cs="Lato-Regular"/>
          <w:iCs/>
          <w:spacing w:val="4"/>
          <w:sz w:val="22"/>
          <w:szCs w:val="22"/>
          <w:lang w:eastAsia="en-US"/>
        </w:rPr>
        <w:br/>
        <w:t xml:space="preserve">w sposób taki jak dotychczasowy, tj. przez część zabudowaną budynkami gospodarczo-przemysłowymi, między górną krawędzią skarpy przebudowywanego rowu a budynkiem gospodarczym. Celem ułatwienia dostępu do części użytkowanej rolniczo działki </w:t>
      </w:r>
      <w:r w:rsidR="0023188A">
        <w:rPr>
          <w:rFonts w:ascii="Lato" w:eastAsiaTheme="minorHAnsi" w:hAnsi="Lato" w:cs="Lato-Regular"/>
          <w:iCs/>
          <w:spacing w:val="4"/>
          <w:sz w:val="22"/>
          <w:szCs w:val="22"/>
          <w:lang w:eastAsia="en-US"/>
        </w:rPr>
        <w:br/>
        <w:t xml:space="preserve">nr </w:t>
      </w:r>
      <w:r w:rsidRPr="0009014A">
        <w:rPr>
          <w:rFonts w:ascii="Lato" w:eastAsiaTheme="minorHAnsi" w:hAnsi="Lato" w:cs="Lato-Regular"/>
          <w:iCs/>
          <w:spacing w:val="4"/>
          <w:sz w:val="22"/>
          <w:szCs w:val="22"/>
          <w:lang w:eastAsia="en-US"/>
        </w:rPr>
        <w:t xml:space="preserve">134/9 (pozostała część działki nr 134/9 i działki nr 134/5 i nr 134/10) i ograniczenia niedogodności wskazanych przez skarżącego, inwestor zawnioskował o ustanowienie służebności przejazdu i przechodu na działce nr 134/8, która została wskazana w decyzji Wojewody Mazowieckiego jako działka podlegająca wywłaszczeniu (nieruchomość obciążona) w zakresie niezbędnym do dojazdu do działki nr 134/9 uwzględniając obecny rolniczy sposób jej wykorzystania oraz w sposób nienaruszający rowu znajdującego się na działce nr 134/8 dla każdoczesnego właściciela działek nr 134/5, nr 134/9 i nr 134/10 (nieruchomość władnąca), co zostało uwzględnione w pkt I niniejszej decyzji. </w:t>
      </w:r>
    </w:p>
    <w:p w14:paraId="47BF9EB1" w14:textId="66F888F2" w:rsidR="0009014A" w:rsidRPr="0009014A" w:rsidRDefault="0009014A" w:rsidP="0009014A">
      <w:pPr>
        <w:autoSpaceDE w:val="0"/>
        <w:autoSpaceDN w:val="0"/>
        <w:adjustRightInd w:val="0"/>
        <w:spacing w:after="240" w:line="240" w:lineRule="exact"/>
        <w:jc w:val="both"/>
        <w:rPr>
          <w:rFonts w:ascii="Lato" w:eastAsiaTheme="minorHAnsi" w:hAnsi="Lato" w:cs="Lato-Regular"/>
          <w:iCs/>
          <w:spacing w:val="4"/>
          <w:sz w:val="22"/>
          <w:szCs w:val="22"/>
          <w:lang w:eastAsia="en-US"/>
        </w:rPr>
      </w:pPr>
      <w:r w:rsidRPr="0009014A">
        <w:rPr>
          <w:rFonts w:ascii="Lato" w:eastAsiaTheme="minorHAnsi" w:hAnsi="Lato" w:cs="Lato-Regular"/>
          <w:iCs/>
          <w:spacing w:val="4"/>
          <w:sz w:val="22"/>
          <w:szCs w:val="22"/>
          <w:lang w:eastAsia="en-US"/>
        </w:rPr>
        <w:t xml:space="preserve">Podsumowując, został zachowany dostęp do drogi dla wszystkich działek, które powstaną na skutek podziału zatwierdzonego decyzją Wojewody Mazowieckiego, </w:t>
      </w:r>
      <w:r w:rsidRPr="0009014A">
        <w:rPr>
          <w:rFonts w:ascii="Lato" w:eastAsiaTheme="minorHAnsi" w:hAnsi="Lato" w:cs="Lato-Regular"/>
          <w:iCs/>
          <w:spacing w:val="4"/>
          <w:sz w:val="22"/>
          <w:szCs w:val="22"/>
          <w:lang w:eastAsia="en-US"/>
        </w:rPr>
        <w:br/>
        <w:t>a stanowią własność skarżącego. Jednocześnie przypomnieć przy tym</w:t>
      </w:r>
      <w:r w:rsidR="0081776A">
        <w:rPr>
          <w:rFonts w:ascii="Lato" w:eastAsiaTheme="minorHAnsi" w:hAnsi="Lato" w:cs="Lato-Regular"/>
          <w:iCs/>
          <w:spacing w:val="4"/>
          <w:sz w:val="22"/>
          <w:szCs w:val="22"/>
          <w:lang w:eastAsia="en-US"/>
        </w:rPr>
        <w:t xml:space="preserve"> należy</w:t>
      </w:r>
      <w:r w:rsidRPr="0009014A">
        <w:rPr>
          <w:rFonts w:ascii="Lato" w:eastAsiaTheme="minorHAnsi" w:hAnsi="Lato" w:cs="Lato-Regular"/>
          <w:iCs/>
          <w:spacing w:val="4"/>
          <w:sz w:val="22"/>
          <w:szCs w:val="22"/>
          <w:lang w:eastAsia="en-US"/>
        </w:rPr>
        <w:t xml:space="preserve">, że brak jest przepisu prawa, który nakazywałby zapewnienie określonego charakteru dostępu do drogi publicznej, ewentualnie dostępu do określonej kategorii dróg publicznych, bądź </w:t>
      </w:r>
      <w:r w:rsidRPr="0009014A">
        <w:rPr>
          <w:rFonts w:ascii="Lato" w:eastAsiaTheme="minorHAnsi" w:hAnsi="Lato" w:cs="Lato-Regular"/>
          <w:iCs/>
          <w:spacing w:val="4"/>
          <w:sz w:val="22"/>
          <w:szCs w:val="22"/>
          <w:lang w:eastAsia="en-US"/>
        </w:rPr>
        <w:lastRenderedPageBreak/>
        <w:t>projektowania dostępu zgodnie z żądaniem osoby zainteresowanej. Szerzej była o tym mowa przy rozpatrywaniu zarzutów Państwa K</w:t>
      </w:r>
      <w:r w:rsidR="00237451">
        <w:rPr>
          <w:rFonts w:ascii="Lato" w:eastAsiaTheme="minorHAnsi" w:hAnsi="Lato" w:cs="Lato-Regular"/>
          <w:iCs/>
          <w:spacing w:val="4"/>
          <w:sz w:val="22"/>
          <w:szCs w:val="22"/>
          <w:lang w:eastAsia="en-US"/>
        </w:rPr>
        <w:t>.</w:t>
      </w:r>
      <w:r w:rsidRPr="0009014A">
        <w:rPr>
          <w:rFonts w:ascii="Lato" w:eastAsiaTheme="minorHAnsi" w:hAnsi="Lato" w:cs="Lato-Regular"/>
          <w:iCs/>
          <w:spacing w:val="4"/>
          <w:sz w:val="22"/>
          <w:szCs w:val="22"/>
          <w:lang w:eastAsia="en-US"/>
        </w:rPr>
        <w:t xml:space="preserve"> i skarżącej spółki. </w:t>
      </w:r>
    </w:p>
    <w:p w14:paraId="1D37BAE7" w14:textId="77777777" w:rsidR="0009014A" w:rsidRDefault="0009014A" w:rsidP="0009014A">
      <w:pPr>
        <w:autoSpaceDE w:val="0"/>
        <w:autoSpaceDN w:val="0"/>
        <w:adjustRightInd w:val="0"/>
        <w:spacing w:after="240" w:line="240" w:lineRule="exact"/>
        <w:jc w:val="both"/>
        <w:rPr>
          <w:rFonts w:ascii="Lato" w:eastAsiaTheme="minorHAnsi" w:hAnsi="Lato" w:cs="Lato-Regular"/>
          <w:iCs/>
          <w:spacing w:val="4"/>
          <w:sz w:val="22"/>
          <w:szCs w:val="22"/>
          <w:lang w:eastAsia="en-US"/>
        </w:rPr>
      </w:pPr>
      <w:r w:rsidRPr="0009014A">
        <w:rPr>
          <w:rFonts w:ascii="Lato" w:eastAsiaTheme="minorHAnsi" w:hAnsi="Lato" w:cs="Lato-Regular"/>
          <w:iCs/>
          <w:spacing w:val="4"/>
          <w:sz w:val="22"/>
          <w:szCs w:val="22"/>
          <w:lang w:eastAsia="en-US"/>
        </w:rPr>
        <w:t xml:space="preserve">W odniesieniu do kwestii oddziaływania hałasu z Inwestycji na nieruchomości stanowiące własność skarżącego, należy zauważyć, że kwestia bezpośredniego </w:t>
      </w:r>
      <w:r w:rsidRPr="0009014A">
        <w:rPr>
          <w:rFonts w:ascii="Lato" w:eastAsiaTheme="minorHAnsi" w:hAnsi="Lato" w:cs="Lato-Regular"/>
          <w:iCs/>
          <w:spacing w:val="4"/>
          <w:sz w:val="22"/>
          <w:szCs w:val="22"/>
          <w:lang w:eastAsia="en-US"/>
        </w:rPr>
        <w:br/>
        <w:t>i pośredniego wpływu danego przedsięwzięcia na środowisko, w tym klimat, ludność oraz zdrowie i warunki życia ludzi były przedmiotem odrębnego postępowania określającego środowiskowe uwarunkowania realizacji przedsięwzięcia. W niniejszej decyzji organu odwoławczego nałożono na inwestora obowiązek realizacji i eksploatacji Inwestycji zgodnie z decyzją o środowisko</w:t>
      </w:r>
      <w:r w:rsidRPr="0009014A">
        <w:rPr>
          <w:rFonts w:ascii="Lato" w:eastAsiaTheme="minorHAnsi" w:hAnsi="Lato" w:cs="Lato-Regular"/>
          <w:iCs/>
          <w:spacing w:val="4"/>
          <w:sz w:val="22"/>
          <w:szCs w:val="22"/>
          <w:lang w:eastAsia="en-US"/>
        </w:rPr>
        <w:softHyphen/>
        <w:t>wych uwarunkowaniach, określającą m.in. warunki realizacji czy eksploatacji z uwzględnieniem ko</w:t>
      </w:r>
      <w:r w:rsidRPr="0009014A">
        <w:rPr>
          <w:rFonts w:ascii="Lato" w:eastAsiaTheme="minorHAnsi" w:hAnsi="Lato" w:cs="Lato-Regular"/>
          <w:iCs/>
          <w:spacing w:val="4"/>
          <w:sz w:val="22"/>
          <w:szCs w:val="22"/>
          <w:lang w:eastAsia="en-US"/>
        </w:rPr>
        <w:softHyphen/>
        <w:t>nieczności zapewnienia ochrony przed hałasem. Należy ponadto wyjaśnić, że wbrew błędnemu stanowisku skarżącego zawartemu w piśmie z dnia 17 listopada 2025 r., linia rozgraniczająca między działkami nr 134/9 a nr 134/8 nie przebiega po budynku stanowiącym własność strony. Natomiast w części dotyczącej działek nr 135/3, nr 139 i nr 142/2 (wymienionych przez skarżącego w piśmie z dnia 29 września 2025 r.) zarzut należy uznać za niezasadny, gdyż skarżący nie ma interesu prawnego w odwoływaniu się w zakresie tych nieruchomości (nie jest właścicielem tych działek).</w:t>
      </w:r>
    </w:p>
    <w:p w14:paraId="147418D9" w14:textId="1F2F71CC" w:rsidR="0000338B" w:rsidRDefault="0000338B" w:rsidP="0009014A">
      <w:pPr>
        <w:autoSpaceDE w:val="0"/>
        <w:autoSpaceDN w:val="0"/>
        <w:adjustRightInd w:val="0"/>
        <w:spacing w:after="240" w:line="240" w:lineRule="exact"/>
        <w:jc w:val="both"/>
        <w:rPr>
          <w:rFonts w:ascii="Lato" w:eastAsiaTheme="minorHAnsi" w:hAnsi="Lato" w:cs="Lato-Regular"/>
          <w:iCs/>
          <w:spacing w:val="4"/>
          <w:sz w:val="22"/>
          <w:szCs w:val="22"/>
          <w:lang w:eastAsia="en-US"/>
        </w:rPr>
      </w:pPr>
      <w:r w:rsidRPr="002148CE">
        <w:rPr>
          <w:rFonts w:ascii="Lato" w:eastAsiaTheme="minorHAnsi" w:hAnsi="Lato" w:cs="Lato-Regular"/>
          <w:iCs/>
          <w:spacing w:val="4"/>
          <w:sz w:val="22"/>
          <w:szCs w:val="22"/>
          <w:lang w:eastAsia="en-US"/>
        </w:rPr>
        <w:t>Na uwzględnienie nie zasługują zarzuty Pana K</w:t>
      </w:r>
      <w:r w:rsidR="00237451">
        <w:rPr>
          <w:rFonts w:ascii="Lato" w:eastAsiaTheme="minorHAnsi" w:hAnsi="Lato" w:cs="Lato-Regular"/>
          <w:iCs/>
          <w:spacing w:val="4"/>
          <w:sz w:val="22"/>
          <w:szCs w:val="22"/>
          <w:lang w:eastAsia="en-US"/>
        </w:rPr>
        <w:t>.</w:t>
      </w:r>
      <w:r w:rsidRPr="002148CE">
        <w:rPr>
          <w:rFonts w:ascii="Lato" w:eastAsiaTheme="minorHAnsi" w:hAnsi="Lato" w:cs="Lato-Regular"/>
          <w:iCs/>
          <w:spacing w:val="4"/>
          <w:sz w:val="22"/>
          <w:szCs w:val="22"/>
          <w:lang w:eastAsia="en-US"/>
        </w:rPr>
        <w:t xml:space="preserve"> O</w:t>
      </w:r>
      <w:r w:rsidR="00237451">
        <w:rPr>
          <w:rFonts w:ascii="Lato" w:eastAsiaTheme="minorHAnsi" w:hAnsi="Lato" w:cs="Lato-Regular"/>
          <w:iCs/>
          <w:spacing w:val="4"/>
          <w:sz w:val="22"/>
          <w:szCs w:val="22"/>
          <w:lang w:eastAsia="en-US"/>
        </w:rPr>
        <w:t>.</w:t>
      </w:r>
      <w:r w:rsidRPr="002148CE">
        <w:rPr>
          <w:rFonts w:ascii="Lato" w:eastAsiaTheme="minorHAnsi" w:hAnsi="Lato" w:cs="Lato-Regular"/>
          <w:iCs/>
          <w:spacing w:val="4"/>
          <w:sz w:val="22"/>
          <w:szCs w:val="22"/>
          <w:lang w:eastAsia="en-US"/>
        </w:rPr>
        <w:t xml:space="preserve"> zawarte w piśmie z dnia 24 kwietnia 2026 r., stanowiącym uzupełnienie odwołania, dotyczące naruszenia art. 21 Konstytucji RP, art. 112 ust. 2 i ust. 3 ugn, art. 6 ugn, poprzez wywłaszczenie w całości pod Inwestycję działki nr 133, z obrębu 0022 Nowy Oryszew, w sytuacji gdy  </w:t>
      </w:r>
      <w:r w:rsidRPr="002148CE">
        <w:rPr>
          <w:rFonts w:ascii="Lato" w:eastAsiaTheme="minorHAnsi" w:hAnsi="Lato" w:cs="Lato-Regular"/>
          <w:iCs/>
          <w:spacing w:val="4"/>
          <w:sz w:val="22"/>
          <w:szCs w:val="22"/>
          <w:lang w:eastAsia="en-US"/>
        </w:rPr>
        <w:br/>
        <w:t xml:space="preserve">- w ocenie skarżącego </w:t>
      </w:r>
      <w:r w:rsidR="002148CE">
        <w:rPr>
          <w:rFonts w:ascii="Lato" w:eastAsiaTheme="minorHAnsi" w:hAnsi="Lato" w:cs="Lato-Regular"/>
          <w:iCs/>
          <w:spacing w:val="4"/>
          <w:sz w:val="22"/>
          <w:szCs w:val="22"/>
          <w:lang w:eastAsia="en-US"/>
        </w:rPr>
        <w:t>-</w:t>
      </w:r>
      <w:r w:rsidRPr="002148CE">
        <w:rPr>
          <w:rFonts w:ascii="Lato" w:eastAsiaTheme="minorHAnsi" w:hAnsi="Lato" w:cs="Lato-Regular"/>
          <w:iCs/>
          <w:spacing w:val="4"/>
          <w:sz w:val="22"/>
          <w:szCs w:val="22"/>
          <w:lang w:eastAsia="en-US"/>
        </w:rPr>
        <w:t xml:space="preserve"> jednie połowa tej działki znajduje się w obszarze inwestycji celu publicznego, a druga połowa działki nie jest przeznczona</w:t>
      </w:r>
      <w:r>
        <w:rPr>
          <w:rFonts w:ascii="Lato" w:eastAsiaTheme="minorHAnsi" w:hAnsi="Lato" w:cs="Lato-Regular"/>
          <w:iCs/>
          <w:spacing w:val="4"/>
          <w:sz w:val="22"/>
          <w:szCs w:val="22"/>
          <w:lang w:eastAsia="en-US"/>
        </w:rPr>
        <w:t xml:space="preserve"> pod cel publiczny, lecz pod działalność gospodarczą o charakterze komercyjnym. </w:t>
      </w:r>
    </w:p>
    <w:p w14:paraId="5FC50BE5" w14:textId="1C756598" w:rsidR="009D76D5" w:rsidRDefault="0000338B" w:rsidP="0000338B">
      <w:pPr>
        <w:autoSpaceDE w:val="0"/>
        <w:autoSpaceDN w:val="0"/>
        <w:adjustRightInd w:val="0"/>
        <w:spacing w:after="240" w:line="240" w:lineRule="exact"/>
        <w:jc w:val="both"/>
        <w:rPr>
          <w:rFonts w:ascii="Lato" w:eastAsiaTheme="minorHAnsi" w:hAnsi="Lato" w:cs="Lato-Regular"/>
          <w:iCs/>
          <w:spacing w:val="4"/>
          <w:sz w:val="22"/>
          <w:szCs w:val="22"/>
          <w:lang w:eastAsia="en-US"/>
        </w:rPr>
      </w:pPr>
      <w:r>
        <w:rPr>
          <w:rFonts w:ascii="Lato" w:eastAsiaTheme="minorHAnsi" w:hAnsi="Lato" w:cs="Lato-Regular"/>
          <w:bCs/>
          <w:iCs/>
          <w:spacing w:val="4"/>
          <w:sz w:val="22"/>
          <w:szCs w:val="22"/>
          <w:lang w:eastAsia="en-US" w:bidi="pl-PL"/>
        </w:rPr>
        <w:t>W</w:t>
      </w:r>
      <w:r w:rsidRPr="0000338B">
        <w:rPr>
          <w:rFonts w:ascii="Lato" w:eastAsiaTheme="minorHAnsi" w:hAnsi="Lato" w:cs="Lato-Regular"/>
          <w:bCs/>
          <w:iCs/>
          <w:spacing w:val="4"/>
          <w:sz w:val="22"/>
          <w:szCs w:val="22"/>
          <w:lang w:eastAsia="en-US" w:bidi="pl-PL"/>
        </w:rPr>
        <w:t xml:space="preserve"> </w:t>
      </w:r>
      <w:r>
        <w:rPr>
          <w:rFonts w:ascii="Lato" w:eastAsiaTheme="minorHAnsi" w:hAnsi="Lato" w:cs="Lato-Regular"/>
          <w:bCs/>
          <w:iCs/>
          <w:spacing w:val="4"/>
          <w:sz w:val="22"/>
          <w:szCs w:val="22"/>
          <w:lang w:eastAsia="en-US" w:bidi="pl-PL"/>
        </w:rPr>
        <w:t xml:space="preserve">niniejszej </w:t>
      </w:r>
      <w:r w:rsidRPr="0000338B">
        <w:rPr>
          <w:rFonts w:ascii="Lato" w:eastAsiaTheme="minorHAnsi" w:hAnsi="Lato" w:cs="Lato-Regular"/>
          <w:bCs/>
          <w:iCs/>
          <w:spacing w:val="4"/>
          <w:sz w:val="22"/>
          <w:szCs w:val="22"/>
          <w:lang w:eastAsia="en-US" w:bidi="pl-PL"/>
        </w:rPr>
        <w:t>sprawie nie miał zastosowania przepis art. 112</w:t>
      </w:r>
      <w:r w:rsidR="00CC16CC">
        <w:rPr>
          <w:rFonts w:ascii="Lato" w:eastAsiaTheme="minorHAnsi" w:hAnsi="Lato" w:cs="Lato-Regular"/>
          <w:bCs/>
          <w:iCs/>
          <w:spacing w:val="4"/>
          <w:sz w:val="22"/>
          <w:szCs w:val="22"/>
          <w:lang w:eastAsia="en-US" w:bidi="pl-PL"/>
        </w:rPr>
        <w:t xml:space="preserve"> </w:t>
      </w:r>
      <w:r w:rsidRPr="0000338B">
        <w:rPr>
          <w:rFonts w:ascii="Lato" w:eastAsiaTheme="minorHAnsi" w:hAnsi="Lato" w:cs="Lato-Regular"/>
          <w:bCs/>
          <w:iCs/>
          <w:spacing w:val="4"/>
          <w:sz w:val="22"/>
          <w:szCs w:val="22"/>
          <w:lang w:eastAsia="en-US" w:bidi="pl-PL"/>
        </w:rPr>
        <w:t>ugn z uwagi na odrębną regulację w tym zakresie zawartą w ustawie CPK.</w:t>
      </w:r>
      <w:r w:rsidRPr="0000338B">
        <w:rPr>
          <w:rFonts w:ascii="Lato" w:eastAsiaTheme="minorHAnsi" w:hAnsi="Lato" w:cs="Lato-Regular"/>
          <w:bCs/>
          <w:iCs/>
          <w:spacing w:val="4"/>
          <w:sz w:val="22"/>
          <w:szCs w:val="22"/>
          <w:lang w:eastAsia="en-US"/>
        </w:rPr>
        <w:t xml:space="preserve"> </w:t>
      </w:r>
      <w:r w:rsidRPr="0000338B">
        <w:rPr>
          <w:rFonts w:ascii="Lato" w:eastAsiaTheme="minorHAnsi" w:hAnsi="Lato" w:cs="Lato-Regular"/>
          <w:iCs/>
          <w:spacing w:val="4"/>
          <w:sz w:val="22"/>
          <w:szCs w:val="22"/>
          <w:lang w:eastAsia="en-US"/>
        </w:rPr>
        <w:t>Wyznaczenie nieruchomości przeznaczonych pod lokalizację inwestycji w zakresie CPK następuje, zgodnie z wolą ustawodawcy, na etapie stosowania przez organ przepisów ustawy CPK. Przepisy ustawy CPK reguluje nabywanie nieruchomości pod Inwestycje, a zatem regulacja z art. 112 ugn</w:t>
      </w:r>
      <w:r w:rsidR="00CC16CC">
        <w:rPr>
          <w:rFonts w:ascii="Lato" w:eastAsiaTheme="minorHAnsi" w:hAnsi="Lato" w:cs="Lato-Regular"/>
          <w:iCs/>
          <w:spacing w:val="4"/>
          <w:sz w:val="22"/>
          <w:szCs w:val="22"/>
          <w:lang w:eastAsia="en-US"/>
        </w:rPr>
        <w:t xml:space="preserve"> </w:t>
      </w:r>
      <w:r w:rsidRPr="0000338B">
        <w:rPr>
          <w:rFonts w:ascii="Lato" w:eastAsiaTheme="minorHAnsi" w:hAnsi="Lato" w:cs="Lato-Regular"/>
          <w:iCs/>
          <w:spacing w:val="4"/>
          <w:sz w:val="22"/>
          <w:szCs w:val="22"/>
          <w:lang w:eastAsia="en-US"/>
        </w:rPr>
        <w:t xml:space="preserve">nie </w:t>
      </w:r>
      <w:r w:rsidR="00CC16CC">
        <w:rPr>
          <w:rFonts w:ascii="Lato" w:eastAsiaTheme="minorHAnsi" w:hAnsi="Lato" w:cs="Lato-Regular"/>
          <w:iCs/>
          <w:spacing w:val="4"/>
          <w:sz w:val="22"/>
          <w:szCs w:val="22"/>
          <w:lang w:eastAsia="en-US"/>
        </w:rPr>
        <w:t xml:space="preserve">ma </w:t>
      </w:r>
      <w:r w:rsidRPr="0000338B">
        <w:rPr>
          <w:rFonts w:ascii="Lato" w:eastAsiaTheme="minorHAnsi" w:hAnsi="Lato" w:cs="Lato-Regular"/>
          <w:iCs/>
          <w:spacing w:val="4"/>
          <w:sz w:val="22"/>
          <w:szCs w:val="22"/>
          <w:lang w:eastAsia="en-US"/>
        </w:rPr>
        <w:t xml:space="preserve">zastosowania w sprawach dotyczących decyzji o ustaleniu lokalizacji inwestycji </w:t>
      </w:r>
      <w:r w:rsidR="002148CE">
        <w:rPr>
          <w:rFonts w:ascii="Lato" w:eastAsiaTheme="minorHAnsi" w:hAnsi="Lato" w:cs="Lato-Regular"/>
          <w:iCs/>
          <w:spacing w:val="4"/>
          <w:sz w:val="22"/>
          <w:szCs w:val="22"/>
          <w:lang w:eastAsia="en-US"/>
        </w:rPr>
        <w:br/>
      </w:r>
      <w:r w:rsidRPr="0000338B">
        <w:rPr>
          <w:rFonts w:ascii="Lato" w:eastAsiaTheme="minorHAnsi" w:hAnsi="Lato" w:cs="Lato-Regular"/>
          <w:iCs/>
          <w:spacing w:val="4"/>
          <w:sz w:val="22"/>
          <w:szCs w:val="22"/>
          <w:lang w:eastAsia="en-US"/>
        </w:rPr>
        <w:t xml:space="preserve">w zakresie CPK. </w:t>
      </w:r>
      <w:r w:rsidR="00CC16CC">
        <w:rPr>
          <w:rFonts w:ascii="Lato" w:eastAsiaTheme="minorHAnsi" w:hAnsi="Lato" w:cs="Lato-Regular"/>
          <w:iCs/>
          <w:spacing w:val="4"/>
          <w:sz w:val="22"/>
          <w:szCs w:val="22"/>
          <w:lang w:eastAsia="en-US"/>
        </w:rPr>
        <w:t>Szerzej ta kwestia zosta</w:t>
      </w:r>
      <w:r w:rsidR="003124ED">
        <w:rPr>
          <w:rFonts w:ascii="Lato" w:eastAsiaTheme="minorHAnsi" w:hAnsi="Lato" w:cs="Lato-Regular"/>
          <w:iCs/>
          <w:spacing w:val="4"/>
          <w:sz w:val="22"/>
          <w:szCs w:val="22"/>
          <w:lang w:eastAsia="en-US"/>
        </w:rPr>
        <w:t>nie</w:t>
      </w:r>
      <w:r w:rsidR="00CC16CC">
        <w:rPr>
          <w:rFonts w:ascii="Lato" w:eastAsiaTheme="minorHAnsi" w:hAnsi="Lato" w:cs="Lato-Regular"/>
          <w:iCs/>
          <w:spacing w:val="4"/>
          <w:sz w:val="22"/>
          <w:szCs w:val="22"/>
          <w:lang w:eastAsia="en-US"/>
        </w:rPr>
        <w:t xml:space="preserve"> wyjaśniona w dalszej części niniejszej decyzji przy rozpatrywaniu zarzutów Państwa B. </w:t>
      </w:r>
    </w:p>
    <w:p w14:paraId="0FC71081" w14:textId="091CD7B1" w:rsidR="00C0489B" w:rsidRPr="00B145C4" w:rsidRDefault="009D76D5" w:rsidP="0000338B">
      <w:pPr>
        <w:autoSpaceDE w:val="0"/>
        <w:autoSpaceDN w:val="0"/>
        <w:adjustRightInd w:val="0"/>
        <w:spacing w:after="240" w:line="240" w:lineRule="exact"/>
        <w:jc w:val="both"/>
        <w:rPr>
          <w:rFonts w:ascii="Lato" w:eastAsiaTheme="minorHAnsi" w:hAnsi="Lato" w:cs="Lato-Regular"/>
          <w:iCs/>
          <w:spacing w:val="4"/>
          <w:sz w:val="22"/>
          <w:szCs w:val="22"/>
          <w:lang w:eastAsia="en-US"/>
        </w:rPr>
      </w:pPr>
      <w:r w:rsidRPr="0009014A">
        <w:rPr>
          <w:rFonts w:ascii="Lato" w:eastAsia="Calibri" w:hAnsi="Lato" w:cs="Arial"/>
          <w:bCs/>
          <w:iCs/>
          <w:spacing w:val="4"/>
          <w:sz w:val="22"/>
          <w:szCs w:val="22"/>
          <w:lang w:bidi="pl-PL"/>
        </w:rPr>
        <w:t>Działka skarżąc</w:t>
      </w:r>
      <w:r>
        <w:rPr>
          <w:rFonts w:ascii="Lato" w:eastAsia="Calibri" w:hAnsi="Lato" w:cs="Arial"/>
          <w:bCs/>
          <w:iCs/>
          <w:spacing w:val="4"/>
          <w:sz w:val="22"/>
          <w:szCs w:val="22"/>
          <w:lang w:bidi="pl-PL"/>
        </w:rPr>
        <w:t xml:space="preserve">ego nr 133, </w:t>
      </w:r>
      <w:r w:rsidRPr="009D76D5">
        <w:rPr>
          <w:rFonts w:ascii="Lato" w:eastAsia="Calibri" w:hAnsi="Lato" w:cs="Arial"/>
          <w:bCs/>
          <w:iCs/>
          <w:spacing w:val="4"/>
          <w:sz w:val="22"/>
          <w:szCs w:val="22"/>
          <w:lang w:bidi="pl-PL"/>
        </w:rPr>
        <w:t>z obrębu 0022 Nowy Oryszew</w:t>
      </w:r>
      <w:r>
        <w:rPr>
          <w:rFonts w:ascii="Lato" w:eastAsia="Calibri" w:hAnsi="Lato" w:cs="Arial"/>
          <w:bCs/>
          <w:iCs/>
          <w:spacing w:val="4"/>
          <w:sz w:val="22"/>
          <w:szCs w:val="22"/>
          <w:lang w:bidi="pl-PL"/>
        </w:rPr>
        <w:t xml:space="preserve">, </w:t>
      </w:r>
      <w:r w:rsidRPr="0009014A">
        <w:rPr>
          <w:rFonts w:ascii="Lato" w:eastAsia="Calibri" w:hAnsi="Lato" w:cs="Arial"/>
          <w:bCs/>
          <w:iCs/>
          <w:spacing w:val="4"/>
          <w:sz w:val="22"/>
          <w:szCs w:val="22"/>
          <w:lang w:bidi="pl-PL"/>
        </w:rPr>
        <w:t xml:space="preserve">została wywłaszczona </w:t>
      </w:r>
      <w:r>
        <w:rPr>
          <w:rFonts w:ascii="Lato" w:eastAsia="Calibri" w:hAnsi="Lato" w:cs="Arial"/>
          <w:bCs/>
          <w:iCs/>
          <w:spacing w:val="4"/>
          <w:sz w:val="22"/>
          <w:szCs w:val="22"/>
          <w:lang w:bidi="pl-PL"/>
        </w:rPr>
        <w:br/>
      </w:r>
      <w:r w:rsidRPr="0009014A">
        <w:rPr>
          <w:rFonts w:ascii="Lato" w:eastAsia="Calibri" w:hAnsi="Lato" w:cs="Arial"/>
          <w:bCs/>
          <w:iCs/>
          <w:spacing w:val="4"/>
          <w:sz w:val="22"/>
          <w:szCs w:val="22"/>
          <w:lang w:bidi="pl-PL"/>
        </w:rPr>
        <w:t xml:space="preserve">w decyzji Wojewody Mazowieckiego na potrzeby lokalizacji Inwestycji zdefiniowanej </w:t>
      </w:r>
      <w:r w:rsidR="00C0489B">
        <w:rPr>
          <w:rFonts w:ascii="Lato" w:eastAsia="Calibri" w:hAnsi="Lato" w:cs="Arial"/>
          <w:bCs/>
          <w:iCs/>
          <w:spacing w:val="4"/>
          <w:sz w:val="22"/>
          <w:szCs w:val="22"/>
          <w:lang w:bidi="pl-PL"/>
        </w:rPr>
        <w:br/>
      </w:r>
      <w:r w:rsidRPr="0009014A">
        <w:rPr>
          <w:rFonts w:ascii="Lato" w:eastAsia="Calibri" w:hAnsi="Lato" w:cs="Arial"/>
          <w:bCs/>
          <w:iCs/>
          <w:spacing w:val="4"/>
          <w:sz w:val="22"/>
          <w:szCs w:val="22"/>
          <w:lang w:bidi="pl-PL"/>
        </w:rPr>
        <w:t>w art. 2 pkt 3 ustawy CPK.</w:t>
      </w:r>
      <w:r>
        <w:rPr>
          <w:rFonts w:ascii="Lato" w:eastAsia="Calibri" w:hAnsi="Lato" w:cs="Arial"/>
          <w:bCs/>
          <w:iCs/>
          <w:spacing w:val="4"/>
          <w:sz w:val="22"/>
          <w:szCs w:val="22"/>
          <w:lang w:bidi="pl-PL"/>
        </w:rPr>
        <w:t xml:space="preserve"> </w:t>
      </w:r>
      <w:r w:rsidR="00CC16CC" w:rsidRPr="00CC16CC">
        <w:rPr>
          <w:rFonts w:ascii="Lato" w:eastAsiaTheme="minorHAnsi" w:hAnsi="Lato" w:cs="Lato-Regular"/>
          <w:bCs/>
          <w:iCs/>
          <w:spacing w:val="4"/>
          <w:sz w:val="22"/>
          <w:szCs w:val="22"/>
          <w:lang w:eastAsia="en-US"/>
        </w:rPr>
        <w:t>Przy odpowiedzi na zarzuty Państwa K</w:t>
      </w:r>
      <w:r w:rsidR="00387D48">
        <w:rPr>
          <w:rFonts w:ascii="Lato" w:eastAsiaTheme="minorHAnsi" w:hAnsi="Lato" w:cs="Lato-Regular"/>
          <w:bCs/>
          <w:iCs/>
          <w:spacing w:val="4"/>
          <w:sz w:val="22"/>
          <w:szCs w:val="22"/>
          <w:lang w:eastAsia="en-US"/>
        </w:rPr>
        <w:t>.</w:t>
      </w:r>
      <w:r w:rsidR="00C0489B">
        <w:rPr>
          <w:rFonts w:ascii="Lato" w:eastAsiaTheme="minorHAnsi" w:hAnsi="Lato" w:cs="Lato-Regular"/>
          <w:bCs/>
          <w:iCs/>
          <w:spacing w:val="4"/>
          <w:sz w:val="22"/>
          <w:szCs w:val="22"/>
          <w:lang w:eastAsia="en-US"/>
        </w:rPr>
        <w:br/>
      </w:r>
      <w:r w:rsidR="00CC16CC" w:rsidRPr="00CC16CC">
        <w:rPr>
          <w:rFonts w:ascii="Lato" w:eastAsiaTheme="minorHAnsi" w:hAnsi="Lato" w:cs="Lato-Regular"/>
          <w:bCs/>
          <w:iCs/>
          <w:spacing w:val="4"/>
          <w:sz w:val="22"/>
          <w:szCs w:val="22"/>
          <w:lang w:eastAsia="en-US"/>
        </w:rPr>
        <w:t xml:space="preserve">i skarżącej spółki </w:t>
      </w:r>
      <w:r w:rsidR="00387D48">
        <w:rPr>
          <w:rFonts w:ascii="Lato" w:eastAsiaTheme="minorHAnsi" w:hAnsi="Lato" w:cs="Lato-Regular"/>
          <w:bCs/>
          <w:iCs/>
          <w:spacing w:val="4"/>
          <w:sz w:val="22"/>
          <w:szCs w:val="22"/>
          <w:lang w:eastAsia="en-US" w:bidi="pl-PL"/>
        </w:rPr>
        <w:t>(…)</w:t>
      </w:r>
      <w:r w:rsidR="00CC16CC" w:rsidRPr="00CC16CC">
        <w:rPr>
          <w:rFonts w:ascii="Lato" w:eastAsiaTheme="minorHAnsi" w:hAnsi="Lato" w:cs="Lato-Regular"/>
          <w:bCs/>
          <w:iCs/>
          <w:spacing w:val="4"/>
          <w:sz w:val="22"/>
          <w:szCs w:val="22"/>
          <w:lang w:eastAsia="en-US" w:bidi="pl-PL"/>
        </w:rPr>
        <w:t xml:space="preserve"> zostało uargumentowane, że decyzja Wojewody Mazowieckiego ustanowiła lokalizację „Inwestycji” w znaczeniu jakim temu pojęciu nadaje art. 2 pkt 3 ustawy CPK, a zatem w zakresie przedmiotowo mieszczącym się w ustawie CPK.</w:t>
      </w:r>
      <w:r w:rsidR="00CC16CC">
        <w:rPr>
          <w:rFonts w:ascii="Lato" w:eastAsiaTheme="minorHAnsi" w:hAnsi="Lato" w:cs="Lato-Regular"/>
          <w:iCs/>
          <w:spacing w:val="4"/>
          <w:sz w:val="22"/>
          <w:szCs w:val="22"/>
          <w:lang w:eastAsia="en-US"/>
        </w:rPr>
        <w:t xml:space="preserve"> </w:t>
      </w:r>
      <w:r w:rsidR="00CC16CC" w:rsidRPr="00CC16CC">
        <w:rPr>
          <w:rFonts w:ascii="Lato" w:eastAsiaTheme="minorHAnsi" w:hAnsi="Lato" w:cs="Lato-Regular"/>
          <w:bCs/>
          <w:iCs/>
          <w:spacing w:val="4"/>
          <w:sz w:val="22"/>
          <w:szCs w:val="22"/>
          <w:lang w:eastAsia="en-US" w:bidi="pl-PL"/>
        </w:rPr>
        <w:t xml:space="preserve">Należy </w:t>
      </w:r>
      <w:r w:rsidR="00CC16CC">
        <w:rPr>
          <w:rFonts w:ascii="Lato" w:eastAsiaTheme="minorHAnsi" w:hAnsi="Lato" w:cs="Lato-Regular"/>
          <w:bCs/>
          <w:iCs/>
          <w:spacing w:val="4"/>
          <w:sz w:val="22"/>
          <w:szCs w:val="22"/>
          <w:lang w:eastAsia="en-US" w:bidi="pl-PL"/>
        </w:rPr>
        <w:t xml:space="preserve">także przypomnieć, że </w:t>
      </w:r>
      <w:r w:rsidR="00CC16CC" w:rsidRPr="00CC16CC">
        <w:rPr>
          <w:rFonts w:ascii="Lato" w:eastAsiaTheme="minorHAnsi" w:hAnsi="Lato" w:cs="Lato-Regular"/>
          <w:bCs/>
          <w:iCs/>
          <w:spacing w:val="4"/>
          <w:sz w:val="22"/>
          <w:szCs w:val="22"/>
          <w:lang w:eastAsia="en-US" w:bidi="pl-PL"/>
        </w:rPr>
        <w:t xml:space="preserve">przepisy ustawy CPK stanowią wprost i w sposób jednoznaczny, że realizacja Inwestycji (w rozumieniu art. 2 pkt 3 ustawy CPK) i Inwestycji Towarzyszących (w rozumieniu art. 2 pkt 4 ustawy CPK) stanowi cel publiczny </w:t>
      </w:r>
      <w:r w:rsidR="00387D48">
        <w:rPr>
          <w:rFonts w:ascii="Lato" w:eastAsiaTheme="minorHAnsi" w:hAnsi="Lato" w:cs="Lato-Regular"/>
          <w:bCs/>
          <w:iCs/>
          <w:spacing w:val="4"/>
          <w:sz w:val="22"/>
          <w:szCs w:val="22"/>
          <w:lang w:eastAsia="en-US" w:bidi="pl-PL"/>
        </w:rPr>
        <w:br/>
      </w:r>
      <w:r w:rsidR="00CC16CC" w:rsidRPr="00CC16CC">
        <w:rPr>
          <w:rFonts w:ascii="Lato" w:eastAsiaTheme="minorHAnsi" w:hAnsi="Lato" w:cs="Lato-Regular"/>
          <w:bCs/>
          <w:iCs/>
          <w:spacing w:val="4"/>
          <w:sz w:val="22"/>
          <w:szCs w:val="22"/>
          <w:lang w:eastAsia="en-US" w:bidi="pl-PL"/>
        </w:rPr>
        <w:t>w rozumieniu przepisów ugn (art. 3 ust. 1 ustawy CPK), przy czym art. 6 pkt 10 ugn wyraźnie łączy pojęcie celu publicznego w jej rozumieniu z celami określonymi jako publiczne w odrębnych ustawach.</w:t>
      </w:r>
      <w:r w:rsidR="00CC16CC" w:rsidRPr="00CC16CC">
        <w:rPr>
          <w:rFonts w:ascii="Lato" w:eastAsiaTheme="minorHAnsi" w:hAnsi="Lato" w:cs="Lato-Regular"/>
          <w:iCs/>
          <w:spacing w:val="4"/>
          <w:sz w:val="22"/>
          <w:szCs w:val="22"/>
          <w:lang w:eastAsia="en-US"/>
        </w:rPr>
        <w:t xml:space="preserve"> </w:t>
      </w:r>
      <w:r w:rsidR="00CC16CC" w:rsidRPr="00CC16CC">
        <w:rPr>
          <w:rFonts w:ascii="Lato" w:eastAsiaTheme="minorHAnsi" w:hAnsi="Lato" w:cs="Lato-Regular"/>
          <w:bCs/>
          <w:iCs/>
          <w:spacing w:val="4"/>
          <w:sz w:val="22"/>
          <w:szCs w:val="22"/>
          <w:lang w:eastAsia="en-US"/>
        </w:rPr>
        <w:t xml:space="preserve">Zatem ustawodawca w sposób wiążący w art. 3 ust. 1 ustawy CPK zadecydował, że </w:t>
      </w:r>
      <w:r w:rsidR="00CC16CC" w:rsidRPr="00CC16CC">
        <w:rPr>
          <w:rFonts w:ascii="Lato" w:eastAsiaTheme="minorHAnsi" w:hAnsi="Lato" w:cs="Lato-Regular"/>
          <w:bCs/>
          <w:iCs/>
          <w:spacing w:val="4"/>
          <w:sz w:val="22"/>
          <w:szCs w:val="22"/>
          <w:lang w:eastAsia="en-US" w:bidi="pl-PL"/>
        </w:rPr>
        <w:t>Inwestycja i Inwestycja Towarzysząca</w:t>
      </w:r>
      <w:r w:rsidR="00CC16CC" w:rsidRPr="00CC16CC">
        <w:rPr>
          <w:rFonts w:ascii="Lato" w:eastAsiaTheme="minorHAnsi" w:hAnsi="Lato" w:cs="Lato-Regular"/>
          <w:bCs/>
          <w:iCs/>
          <w:spacing w:val="4"/>
          <w:sz w:val="22"/>
          <w:szCs w:val="22"/>
          <w:lang w:eastAsia="en-US"/>
        </w:rPr>
        <w:t xml:space="preserve">, realizowana </w:t>
      </w:r>
      <w:r w:rsidR="00387D48">
        <w:rPr>
          <w:rFonts w:ascii="Lato" w:eastAsiaTheme="minorHAnsi" w:hAnsi="Lato" w:cs="Lato-Regular"/>
          <w:bCs/>
          <w:iCs/>
          <w:spacing w:val="4"/>
          <w:sz w:val="22"/>
          <w:szCs w:val="22"/>
          <w:lang w:eastAsia="en-US"/>
        </w:rPr>
        <w:br/>
      </w:r>
      <w:r w:rsidR="00CC16CC" w:rsidRPr="00CC16CC">
        <w:rPr>
          <w:rFonts w:ascii="Lato" w:eastAsiaTheme="minorHAnsi" w:hAnsi="Lato" w:cs="Lato-Regular"/>
          <w:bCs/>
          <w:iCs/>
          <w:spacing w:val="4"/>
          <w:sz w:val="22"/>
          <w:szCs w:val="22"/>
          <w:lang w:eastAsia="en-US"/>
        </w:rPr>
        <w:t>w trybie ustawy CPK, ipso iure jest inwestycją celu publicznego.</w:t>
      </w:r>
      <w:r w:rsidR="00C0489B">
        <w:rPr>
          <w:rFonts w:ascii="Lato" w:eastAsiaTheme="minorHAnsi" w:hAnsi="Lato" w:cs="Lato-Regular"/>
          <w:bCs/>
          <w:iCs/>
          <w:spacing w:val="4"/>
          <w:sz w:val="22"/>
          <w:szCs w:val="22"/>
          <w:lang w:eastAsia="en-US"/>
        </w:rPr>
        <w:t xml:space="preserve"> </w:t>
      </w:r>
      <w:r w:rsidR="00C0489B" w:rsidRPr="00C0489B">
        <w:rPr>
          <w:rFonts w:ascii="Lato" w:eastAsiaTheme="minorHAnsi" w:hAnsi="Lato" w:cs="Lato-Regular"/>
          <w:bCs/>
          <w:iCs/>
          <w:spacing w:val="4"/>
          <w:sz w:val="22"/>
          <w:szCs w:val="22"/>
          <w:lang w:eastAsia="en-US"/>
        </w:rPr>
        <w:t>Tym sa</w:t>
      </w:r>
      <w:r w:rsidR="00C0489B" w:rsidRPr="00C0489B">
        <w:rPr>
          <w:rFonts w:ascii="Lato" w:eastAsiaTheme="minorHAnsi" w:hAnsi="Lato" w:cs="Lato-Regular"/>
          <w:bCs/>
          <w:iCs/>
          <w:spacing w:val="4"/>
          <w:sz w:val="22"/>
          <w:szCs w:val="22"/>
          <w:lang w:eastAsia="en-US"/>
        </w:rPr>
        <w:softHyphen/>
        <w:t xml:space="preserve">mym realizacja wywłaszczenia nieruchomości </w:t>
      </w:r>
      <w:r w:rsidR="00C0489B">
        <w:rPr>
          <w:rFonts w:ascii="Lato" w:eastAsiaTheme="minorHAnsi" w:hAnsi="Lato" w:cs="Lato-Regular"/>
          <w:bCs/>
          <w:iCs/>
          <w:spacing w:val="4"/>
          <w:sz w:val="22"/>
          <w:szCs w:val="22"/>
          <w:lang w:eastAsia="en-US"/>
        </w:rPr>
        <w:t xml:space="preserve">skarżącego </w:t>
      </w:r>
      <w:r w:rsidR="00C0489B" w:rsidRPr="00C0489B">
        <w:rPr>
          <w:rFonts w:ascii="Lato" w:eastAsiaTheme="minorHAnsi" w:hAnsi="Lato" w:cs="Lato-Regular"/>
          <w:bCs/>
          <w:iCs/>
          <w:spacing w:val="4"/>
          <w:sz w:val="22"/>
          <w:szCs w:val="22"/>
          <w:lang w:eastAsia="en-US"/>
        </w:rPr>
        <w:t>na cele inwestycyjne prowadzone przez inwestora i w związku z Inwestycją zawiera się wprost w normie art. 21 Konstytucji RP.</w:t>
      </w:r>
    </w:p>
    <w:p w14:paraId="471EA2D2" w14:textId="03936431" w:rsidR="0078489C" w:rsidRDefault="002A73D6" w:rsidP="0000338B">
      <w:pPr>
        <w:autoSpaceDE w:val="0"/>
        <w:autoSpaceDN w:val="0"/>
        <w:adjustRightInd w:val="0"/>
        <w:spacing w:after="240" w:line="240" w:lineRule="exact"/>
        <w:jc w:val="both"/>
        <w:rPr>
          <w:rFonts w:ascii="Lato" w:hAnsi="Lato"/>
          <w:bCs/>
          <w:iCs/>
          <w:spacing w:val="4"/>
          <w:sz w:val="22"/>
          <w:szCs w:val="22"/>
          <w:lang w:bidi="pl-PL"/>
        </w:rPr>
      </w:pPr>
      <w:r w:rsidRPr="002A73D6">
        <w:rPr>
          <w:rFonts w:ascii="Lato" w:eastAsiaTheme="minorHAnsi" w:hAnsi="Lato" w:cs="Lato-Regular"/>
          <w:bCs/>
          <w:iCs/>
          <w:spacing w:val="4"/>
          <w:sz w:val="22"/>
          <w:szCs w:val="22"/>
          <w:lang w:eastAsia="en-US"/>
        </w:rPr>
        <w:lastRenderedPageBreak/>
        <w:t>W niniejszej decyzji zostało już wyjaśnione obszernie, że zgodnie z przepisami ustawy CPK, to inwestor – CPK Sp. z o.o. kształtuje projekt Inwestycji. Wniosek lokalizacyjny inwestora zawierał mapy z projektowanym obszarem, charakterystykę Inwestycji, mapy zawierające projekty podziału nieruchomości (w przypadku konieczności podziału nieruchomości pod Inwestycję) oraz oznaczenie nieruchomości do wywłaszczenia.</w:t>
      </w:r>
      <w:r>
        <w:rPr>
          <w:rFonts w:ascii="Lato" w:eastAsiaTheme="minorHAnsi" w:hAnsi="Lato" w:cs="Lato-Regular"/>
          <w:bCs/>
          <w:iCs/>
          <w:spacing w:val="4"/>
          <w:sz w:val="22"/>
          <w:szCs w:val="22"/>
          <w:lang w:eastAsia="en-US"/>
        </w:rPr>
        <w:t xml:space="preserve"> </w:t>
      </w:r>
      <w:r w:rsidR="00717AB7">
        <w:rPr>
          <w:rFonts w:ascii="Lato" w:eastAsiaTheme="minorHAnsi" w:hAnsi="Lato" w:cs="Lato-Regular"/>
          <w:bCs/>
          <w:iCs/>
          <w:spacing w:val="4"/>
          <w:sz w:val="22"/>
          <w:szCs w:val="22"/>
          <w:lang w:eastAsia="en-US"/>
        </w:rPr>
        <w:br/>
      </w:r>
      <w:r w:rsidR="001D4E39" w:rsidRPr="001D4E39">
        <w:rPr>
          <w:rFonts w:ascii="Lato" w:eastAsiaTheme="minorHAnsi" w:hAnsi="Lato" w:cs="Lato-Regular"/>
          <w:bCs/>
          <w:iCs/>
          <w:spacing w:val="4"/>
          <w:sz w:val="22"/>
          <w:szCs w:val="22"/>
          <w:lang w:eastAsia="en-US" w:bidi="pl-PL"/>
        </w:rPr>
        <w:t>We wniosku lokalizacyjnym, mając na względzie terytorialny zasięg planowanej Inwestycji, inwestor określił linie rozgraniczające teren Inwestycji, jak również  przedłożył wykaz nieruchomości lub ich części podlegających wywłaszczeniu.</w:t>
      </w:r>
      <w:r w:rsidR="001D4E39">
        <w:rPr>
          <w:rFonts w:ascii="Lato" w:eastAsiaTheme="minorHAnsi" w:hAnsi="Lato" w:cs="Lato-Regular"/>
          <w:bCs/>
          <w:iCs/>
          <w:spacing w:val="4"/>
          <w:sz w:val="22"/>
          <w:szCs w:val="22"/>
          <w:lang w:eastAsia="en-US" w:bidi="pl-PL"/>
        </w:rPr>
        <w:t xml:space="preserve"> </w:t>
      </w:r>
      <w:r w:rsidR="00717AB7">
        <w:rPr>
          <w:rFonts w:ascii="Lato" w:eastAsiaTheme="minorHAnsi" w:hAnsi="Lato" w:cs="Lato-Regular"/>
          <w:bCs/>
          <w:iCs/>
          <w:spacing w:val="4"/>
          <w:sz w:val="22"/>
          <w:szCs w:val="22"/>
          <w:lang w:eastAsia="en-US" w:bidi="pl-PL"/>
        </w:rPr>
        <w:br/>
      </w:r>
      <w:r w:rsidR="008D5D0B" w:rsidRPr="008D5D0B">
        <w:rPr>
          <w:rFonts w:ascii="Lato" w:eastAsiaTheme="minorHAnsi" w:hAnsi="Lato" w:cs="Lato-Regular"/>
          <w:bCs/>
          <w:iCs/>
          <w:spacing w:val="4"/>
          <w:sz w:val="22"/>
          <w:szCs w:val="22"/>
          <w:lang w:eastAsia="en-US" w:bidi="pl-PL"/>
        </w:rPr>
        <w:t xml:space="preserve">To podmiot składający wniosek o wydanie decyzji o ustaleniu lokalizacji inwestycji </w:t>
      </w:r>
      <w:r w:rsidR="00717AB7">
        <w:rPr>
          <w:rFonts w:ascii="Lato" w:eastAsiaTheme="minorHAnsi" w:hAnsi="Lato" w:cs="Lato-Regular"/>
          <w:bCs/>
          <w:iCs/>
          <w:spacing w:val="4"/>
          <w:sz w:val="22"/>
          <w:szCs w:val="22"/>
          <w:lang w:eastAsia="en-US" w:bidi="pl-PL"/>
        </w:rPr>
        <w:br/>
      </w:r>
      <w:r w:rsidR="008D5D0B" w:rsidRPr="008D5D0B">
        <w:rPr>
          <w:rFonts w:ascii="Lato" w:eastAsiaTheme="minorHAnsi" w:hAnsi="Lato" w:cs="Lato-Regular"/>
          <w:bCs/>
          <w:iCs/>
          <w:spacing w:val="4"/>
          <w:sz w:val="22"/>
          <w:szCs w:val="22"/>
          <w:lang w:eastAsia="en-US" w:bidi="pl-PL"/>
        </w:rPr>
        <w:t>w zakresie CPK określa projektowany obszar Inwestycji, tj. wielkości terenu niezbędnego dla obiektów budowlanych, jak również wskazuje nieruchomości lub ich części, które planowane są do wywłaszczenia</w:t>
      </w:r>
      <w:r w:rsidR="008D5D0B">
        <w:rPr>
          <w:rFonts w:ascii="Lato" w:eastAsiaTheme="minorHAnsi" w:hAnsi="Lato" w:cs="Lato-Regular"/>
          <w:bCs/>
          <w:iCs/>
          <w:spacing w:val="4"/>
          <w:sz w:val="22"/>
          <w:szCs w:val="22"/>
          <w:lang w:eastAsia="en-US" w:bidi="pl-PL"/>
        </w:rPr>
        <w:t xml:space="preserve">. </w:t>
      </w:r>
      <w:r>
        <w:rPr>
          <w:rFonts w:ascii="Lato" w:eastAsiaTheme="minorHAnsi" w:hAnsi="Lato" w:cs="Lato-Regular"/>
          <w:bCs/>
          <w:iCs/>
          <w:spacing w:val="4"/>
          <w:sz w:val="22"/>
          <w:szCs w:val="22"/>
          <w:lang w:eastAsia="en-US" w:bidi="pl-PL"/>
        </w:rPr>
        <w:t xml:space="preserve">Działka </w:t>
      </w:r>
      <w:r w:rsidR="009D76D5">
        <w:rPr>
          <w:rFonts w:ascii="Lato" w:eastAsiaTheme="minorHAnsi" w:hAnsi="Lato" w:cs="Lato-Regular"/>
          <w:bCs/>
          <w:iCs/>
          <w:spacing w:val="4"/>
          <w:sz w:val="22"/>
          <w:szCs w:val="22"/>
          <w:lang w:eastAsia="en-US" w:bidi="pl-PL"/>
        </w:rPr>
        <w:t xml:space="preserve">skarżącego </w:t>
      </w:r>
      <w:r>
        <w:rPr>
          <w:rFonts w:ascii="Lato" w:eastAsiaTheme="minorHAnsi" w:hAnsi="Lato" w:cs="Lato-Regular"/>
          <w:bCs/>
          <w:iCs/>
          <w:spacing w:val="4"/>
          <w:sz w:val="22"/>
          <w:szCs w:val="22"/>
          <w:lang w:eastAsia="en-US" w:bidi="pl-PL"/>
        </w:rPr>
        <w:t>nr 133, z obrębu 0022 Nowy Oryszew we wniosku inwestora i w decyzji Wojewody Mazowieckiego została wskazana do wywłaszczenia w całości pod Inwestycję</w:t>
      </w:r>
      <w:r w:rsidR="008D5D0B">
        <w:rPr>
          <w:rFonts w:ascii="Lato" w:eastAsiaTheme="minorHAnsi" w:hAnsi="Lato" w:cs="Lato-Regular"/>
          <w:bCs/>
          <w:iCs/>
          <w:spacing w:val="4"/>
          <w:sz w:val="22"/>
          <w:szCs w:val="22"/>
          <w:lang w:eastAsia="en-US" w:bidi="pl-PL"/>
        </w:rPr>
        <w:t>, bowiem znajduje się w całości w liniach rozgraniczających teren Inwestycji.</w:t>
      </w:r>
      <w:r>
        <w:rPr>
          <w:rFonts w:ascii="Lato" w:eastAsiaTheme="minorHAnsi" w:hAnsi="Lato" w:cs="Lato-Regular"/>
          <w:bCs/>
          <w:iCs/>
          <w:spacing w:val="4"/>
          <w:sz w:val="22"/>
          <w:szCs w:val="22"/>
          <w:lang w:eastAsia="en-US" w:bidi="pl-PL"/>
        </w:rPr>
        <w:t xml:space="preserve"> </w:t>
      </w:r>
      <w:r w:rsidR="008D5D0B">
        <w:rPr>
          <w:rFonts w:ascii="Lato" w:eastAsiaTheme="minorHAnsi" w:hAnsi="Lato" w:cs="Lato-Regular"/>
          <w:bCs/>
          <w:iCs/>
          <w:spacing w:val="4"/>
          <w:sz w:val="22"/>
          <w:szCs w:val="22"/>
          <w:lang w:eastAsia="en-US" w:bidi="pl-PL"/>
        </w:rPr>
        <w:t>Potwierdza to analiza załączników graficznych nr 45 i nr 60 do decyzji Wojewody Mazowieckiego.</w:t>
      </w:r>
      <w:r w:rsidR="008D5D0B" w:rsidRPr="0009014A">
        <w:rPr>
          <w:rFonts w:ascii="Lato" w:hAnsi="Lato"/>
          <w:bCs/>
          <w:iCs/>
          <w:spacing w:val="4"/>
          <w:sz w:val="22"/>
          <w:szCs w:val="22"/>
          <w:lang w:bidi="pl-PL"/>
        </w:rPr>
        <w:t xml:space="preserve"> Jak już to wyjaśniono powyżej</w:t>
      </w:r>
      <w:r w:rsidR="008D5D0B">
        <w:rPr>
          <w:rFonts w:ascii="Lato" w:hAnsi="Lato"/>
          <w:bCs/>
          <w:iCs/>
          <w:spacing w:val="4"/>
          <w:sz w:val="22"/>
          <w:szCs w:val="22"/>
          <w:lang w:bidi="pl-PL"/>
        </w:rPr>
        <w:t xml:space="preserve"> w niniejszej decyzji (będzie również o tym mowa w dalszej części niniejszej decyzji przy rozpatrywaniu zarzutów innych odwołań)</w:t>
      </w:r>
      <w:r w:rsidR="008D5D0B" w:rsidRPr="0009014A">
        <w:rPr>
          <w:rFonts w:ascii="Lato" w:hAnsi="Lato"/>
          <w:bCs/>
          <w:iCs/>
          <w:spacing w:val="4"/>
          <w:sz w:val="22"/>
          <w:szCs w:val="22"/>
          <w:lang w:bidi="pl-PL"/>
        </w:rPr>
        <w:t xml:space="preserve">, treść art. 43 ust. 1 pkt 1 ustawy CPK wskazuje, że załączona przez inwestora do wniosku mapa ma przedstawiać jedynie „projektowany obszar Inwestycji, z zaznaczeniem terenu niezbędnego dla obiektów budowlanych”, a nie obrazować jakie konkretne obiekty budowlane będą realizowane na zaznaczonym terenie. </w:t>
      </w:r>
      <w:r w:rsidR="009D76D5" w:rsidRPr="009D76D5">
        <w:rPr>
          <w:rFonts w:ascii="Lato" w:hAnsi="Lato"/>
          <w:bCs/>
          <w:iCs/>
          <w:spacing w:val="4"/>
          <w:sz w:val="22"/>
          <w:szCs w:val="22"/>
          <w:lang w:bidi="pl-PL"/>
        </w:rPr>
        <w:t>Mapa wyznacza obszar, na którym inwestor planuje budowę Inwestycji, bez konieczności szczegółowego rozrysowania poszczególnych obiektów czy infrastruktury na tym etapie. Ustawa CPK rozdziela etap lokalizacyjny od etapu pozwolenia na budowę, tworząc dwuetapowy proces inwestycyjny.</w:t>
      </w:r>
      <w:r w:rsidR="009D76D5">
        <w:rPr>
          <w:rFonts w:ascii="Lato" w:hAnsi="Lato"/>
          <w:bCs/>
          <w:iCs/>
          <w:spacing w:val="4"/>
          <w:sz w:val="22"/>
          <w:szCs w:val="22"/>
          <w:lang w:bidi="pl-PL"/>
        </w:rPr>
        <w:t xml:space="preserve"> Etap wydawania decyzji o ustaleniu lokalizacji inwestycji w zakresie CPK to </w:t>
      </w:r>
      <w:r w:rsidR="009D76D5" w:rsidRPr="009D76D5">
        <w:rPr>
          <w:rFonts w:ascii="Lato" w:hAnsi="Lato"/>
          <w:bCs/>
          <w:iCs/>
          <w:spacing w:val="4"/>
          <w:sz w:val="22"/>
          <w:szCs w:val="22"/>
          <w:lang w:bidi="pl-PL"/>
        </w:rPr>
        <w:t>jest de facto etap planistyczny, którego celem jest wyznaczenie terenu pod budowę Inwestycji, a nie uszczegóławianie planu zagospodarowania poszczególnych obiektów na tym etapie</w:t>
      </w:r>
      <w:r w:rsidR="009D76D5">
        <w:rPr>
          <w:rFonts w:ascii="Lato" w:hAnsi="Lato"/>
          <w:bCs/>
          <w:iCs/>
          <w:spacing w:val="4"/>
          <w:sz w:val="22"/>
          <w:szCs w:val="22"/>
          <w:lang w:bidi="pl-PL"/>
        </w:rPr>
        <w:t xml:space="preserve">. </w:t>
      </w:r>
    </w:p>
    <w:p w14:paraId="58A1E772" w14:textId="193C45F9" w:rsidR="00941683" w:rsidRDefault="00E06B08" w:rsidP="0000338B">
      <w:pPr>
        <w:autoSpaceDE w:val="0"/>
        <w:autoSpaceDN w:val="0"/>
        <w:adjustRightInd w:val="0"/>
        <w:spacing w:after="240" w:line="240" w:lineRule="exact"/>
        <w:jc w:val="both"/>
        <w:rPr>
          <w:rFonts w:ascii="Lato" w:hAnsi="Lato"/>
          <w:bCs/>
          <w:iCs/>
          <w:spacing w:val="4"/>
          <w:sz w:val="22"/>
          <w:szCs w:val="22"/>
          <w:lang w:bidi="pl-PL"/>
        </w:rPr>
      </w:pPr>
      <w:r w:rsidRPr="00E06B08">
        <w:rPr>
          <w:rFonts w:ascii="Lato" w:hAnsi="Lato"/>
          <w:bCs/>
          <w:iCs/>
          <w:spacing w:val="4"/>
          <w:sz w:val="22"/>
          <w:szCs w:val="22"/>
          <w:lang w:bidi="pl-PL"/>
        </w:rPr>
        <w:t xml:space="preserve">Co więcej, w tym miejscu wskazać należy, iż w wyroku z dnia 5 września 2017 r., sygn. akt II OSK 2892/15, w sprawie dotyczącej ustalenia lokalizacji linii kolejowej w trybie </w:t>
      </w:r>
      <w:r w:rsidRPr="00717AB7">
        <w:rPr>
          <w:rFonts w:ascii="Lato" w:hAnsi="Lato"/>
          <w:bCs/>
          <w:spacing w:val="4"/>
          <w:sz w:val="22"/>
          <w:szCs w:val="22"/>
          <w:lang w:bidi="pl-PL"/>
        </w:rPr>
        <w:t>ustawy o transporcie kolejowym</w:t>
      </w:r>
      <w:r w:rsidRPr="00E06B08">
        <w:rPr>
          <w:rFonts w:ascii="Lato" w:hAnsi="Lato"/>
          <w:bCs/>
          <w:iCs/>
          <w:spacing w:val="4"/>
          <w:sz w:val="22"/>
          <w:szCs w:val="22"/>
          <w:lang w:bidi="pl-PL"/>
        </w:rPr>
        <w:t xml:space="preserve">, Naczelny Sąd Administracyjny wyraził pogląd, </w:t>
      </w:r>
      <w:r w:rsidR="00941683">
        <w:rPr>
          <w:rFonts w:ascii="Lato" w:hAnsi="Lato"/>
          <w:bCs/>
          <w:iCs/>
          <w:spacing w:val="4"/>
          <w:sz w:val="22"/>
          <w:szCs w:val="22"/>
          <w:lang w:bidi="pl-PL"/>
        </w:rPr>
        <w:br/>
      </w:r>
      <w:r w:rsidRPr="00E06B08">
        <w:rPr>
          <w:rFonts w:ascii="Lato" w:hAnsi="Lato"/>
          <w:bCs/>
          <w:iCs/>
          <w:spacing w:val="4"/>
          <w:sz w:val="22"/>
          <w:szCs w:val="22"/>
          <w:lang w:bidi="pl-PL"/>
        </w:rPr>
        <w:t>iż</w:t>
      </w:r>
      <w:r w:rsidR="00941683">
        <w:rPr>
          <w:rFonts w:ascii="Lato" w:hAnsi="Lato"/>
          <w:bCs/>
          <w:iCs/>
          <w:spacing w:val="4"/>
          <w:sz w:val="22"/>
          <w:szCs w:val="22"/>
          <w:lang w:bidi="pl-PL"/>
        </w:rPr>
        <w:t>: „</w:t>
      </w:r>
      <w:r w:rsidR="00941683" w:rsidRPr="00941683">
        <w:rPr>
          <w:rFonts w:ascii="Lato" w:hAnsi="Lato"/>
          <w:bCs/>
          <w:iCs/>
          <w:spacing w:val="4"/>
          <w:sz w:val="22"/>
          <w:szCs w:val="22"/>
          <w:lang w:bidi="pl-PL"/>
        </w:rPr>
        <w:t xml:space="preserve">Po stronie organów nie istniał bowiem obowiązek zweryfikowania przesłanki niezbędności wywłaszczenia, która po prostu nie obowiązuje na gruncie specustawy kolejowej. Nie mogło też stanowić przedmiotu postępowania w ramach postępowania </w:t>
      </w:r>
      <w:r w:rsidR="00941683">
        <w:rPr>
          <w:rFonts w:ascii="Lato" w:hAnsi="Lato"/>
          <w:bCs/>
          <w:iCs/>
          <w:spacing w:val="4"/>
          <w:sz w:val="22"/>
          <w:szCs w:val="22"/>
          <w:lang w:bidi="pl-PL"/>
        </w:rPr>
        <w:br/>
      </w:r>
      <w:r w:rsidR="00941683" w:rsidRPr="00941683">
        <w:rPr>
          <w:rFonts w:ascii="Lato" w:hAnsi="Lato"/>
          <w:bCs/>
          <w:iCs/>
          <w:spacing w:val="4"/>
          <w:sz w:val="22"/>
          <w:szCs w:val="22"/>
          <w:lang w:bidi="pl-PL"/>
        </w:rPr>
        <w:t xml:space="preserve">o wydanie decyzji lokalizacyjnej kwestia zbadania jakie konkretnie są planowane działania inwestycyjne, dla których realizacji konieczne byłoby zarezerwowanie terenu </w:t>
      </w:r>
      <w:r w:rsidR="00941683">
        <w:rPr>
          <w:rFonts w:ascii="Lato" w:hAnsi="Lato"/>
          <w:bCs/>
          <w:iCs/>
          <w:spacing w:val="4"/>
          <w:sz w:val="22"/>
          <w:szCs w:val="22"/>
          <w:lang w:bidi="pl-PL"/>
        </w:rPr>
        <w:br/>
      </w:r>
      <w:r w:rsidR="00941683" w:rsidRPr="00941683">
        <w:rPr>
          <w:rFonts w:ascii="Lato" w:hAnsi="Lato"/>
          <w:bCs/>
          <w:iCs/>
          <w:spacing w:val="4"/>
          <w:sz w:val="22"/>
          <w:szCs w:val="22"/>
          <w:lang w:bidi="pl-PL"/>
        </w:rPr>
        <w:t>o wskazanej szerokości.</w:t>
      </w:r>
      <w:r w:rsidR="00941683">
        <w:rPr>
          <w:rFonts w:ascii="Lato" w:hAnsi="Lato"/>
          <w:bCs/>
          <w:iCs/>
          <w:spacing w:val="4"/>
          <w:sz w:val="22"/>
          <w:szCs w:val="22"/>
          <w:lang w:bidi="pl-PL"/>
        </w:rPr>
        <w:t>”.</w:t>
      </w:r>
    </w:p>
    <w:p w14:paraId="35AB4553" w14:textId="0CD1DEB3" w:rsidR="008342AB" w:rsidRDefault="009A478D" w:rsidP="008342AB">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Pr>
          <w:rFonts w:ascii="Lato" w:hAnsi="Lato"/>
          <w:bCs/>
          <w:iCs/>
          <w:spacing w:val="4"/>
          <w:sz w:val="22"/>
          <w:szCs w:val="22"/>
          <w:lang w:bidi="pl-PL"/>
        </w:rPr>
        <w:t>Na uwzględnienie nie zasługuje zarzut Pan K</w:t>
      </w:r>
      <w:r w:rsidR="00387D48">
        <w:rPr>
          <w:rFonts w:ascii="Lato" w:hAnsi="Lato"/>
          <w:bCs/>
          <w:iCs/>
          <w:spacing w:val="4"/>
          <w:sz w:val="22"/>
          <w:szCs w:val="22"/>
          <w:lang w:bidi="pl-PL"/>
        </w:rPr>
        <w:t>.</w:t>
      </w:r>
      <w:r>
        <w:rPr>
          <w:rFonts w:ascii="Lato" w:hAnsi="Lato"/>
          <w:bCs/>
          <w:iCs/>
          <w:spacing w:val="4"/>
          <w:sz w:val="22"/>
          <w:szCs w:val="22"/>
          <w:lang w:bidi="pl-PL"/>
        </w:rPr>
        <w:t xml:space="preserve"> O</w:t>
      </w:r>
      <w:r w:rsidR="00387D48">
        <w:rPr>
          <w:rFonts w:ascii="Lato" w:hAnsi="Lato"/>
          <w:bCs/>
          <w:iCs/>
          <w:spacing w:val="4"/>
          <w:sz w:val="22"/>
          <w:szCs w:val="22"/>
          <w:lang w:bidi="pl-PL"/>
        </w:rPr>
        <w:t>.</w:t>
      </w:r>
      <w:r>
        <w:rPr>
          <w:rFonts w:ascii="Lato" w:hAnsi="Lato"/>
          <w:bCs/>
          <w:iCs/>
          <w:spacing w:val="4"/>
          <w:sz w:val="22"/>
          <w:szCs w:val="22"/>
          <w:lang w:bidi="pl-PL"/>
        </w:rPr>
        <w:t xml:space="preserve"> podniesiony </w:t>
      </w:r>
      <w:r w:rsidRPr="009A478D">
        <w:rPr>
          <w:rFonts w:ascii="Lato" w:eastAsiaTheme="minorHAnsi" w:hAnsi="Lato" w:cs="Lato-Regular"/>
          <w:bCs/>
          <w:iCs/>
          <w:spacing w:val="4"/>
          <w:sz w:val="22"/>
          <w:szCs w:val="22"/>
          <w:lang w:eastAsia="en-US" w:bidi="pl-PL"/>
        </w:rPr>
        <w:t xml:space="preserve">w </w:t>
      </w:r>
      <w:r>
        <w:rPr>
          <w:rFonts w:ascii="Lato" w:eastAsiaTheme="minorHAnsi" w:hAnsi="Lato" w:cs="Lato-Regular"/>
          <w:bCs/>
          <w:iCs/>
          <w:spacing w:val="4"/>
          <w:sz w:val="22"/>
          <w:szCs w:val="22"/>
          <w:lang w:eastAsia="en-US" w:bidi="pl-PL"/>
        </w:rPr>
        <w:t xml:space="preserve">ww. </w:t>
      </w:r>
      <w:r w:rsidRPr="009A478D">
        <w:rPr>
          <w:rFonts w:ascii="Lato" w:eastAsiaTheme="minorHAnsi" w:hAnsi="Lato" w:cs="Lato-Regular"/>
          <w:bCs/>
          <w:iCs/>
          <w:spacing w:val="4"/>
          <w:sz w:val="22"/>
          <w:szCs w:val="22"/>
          <w:lang w:eastAsia="en-US" w:bidi="pl-PL"/>
        </w:rPr>
        <w:t xml:space="preserve">piśmie </w:t>
      </w:r>
      <w:r w:rsidR="0078489C">
        <w:rPr>
          <w:rFonts w:ascii="Lato" w:eastAsiaTheme="minorHAnsi" w:hAnsi="Lato" w:cs="Lato-Regular"/>
          <w:bCs/>
          <w:iCs/>
          <w:spacing w:val="4"/>
          <w:sz w:val="22"/>
          <w:szCs w:val="22"/>
          <w:lang w:eastAsia="en-US" w:bidi="pl-PL"/>
        </w:rPr>
        <w:br/>
      </w:r>
      <w:r w:rsidRPr="009A478D">
        <w:rPr>
          <w:rFonts w:ascii="Lato" w:eastAsiaTheme="minorHAnsi" w:hAnsi="Lato" w:cs="Lato-Regular"/>
          <w:bCs/>
          <w:iCs/>
          <w:spacing w:val="4"/>
          <w:sz w:val="22"/>
          <w:szCs w:val="22"/>
          <w:lang w:eastAsia="en-US" w:bidi="pl-PL"/>
        </w:rPr>
        <w:t>z dnia 24 kwietnia 2026 r.</w:t>
      </w:r>
      <w:r>
        <w:rPr>
          <w:rFonts w:ascii="Lato" w:eastAsiaTheme="minorHAnsi" w:hAnsi="Lato" w:cs="Lato-Regular"/>
          <w:bCs/>
          <w:iCs/>
          <w:spacing w:val="4"/>
          <w:sz w:val="22"/>
          <w:szCs w:val="22"/>
          <w:lang w:eastAsia="en-US" w:bidi="pl-PL"/>
        </w:rPr>
        <w:t xml:space="preserve"> dotyczący nierównego traktowania </w:t>
      </w:r>
      <w:r w:rsidR="00D641C1">
        <w:rPr>
          <w:rFonts w:ascii="Lato" w:eastAsiaTheme="minorHAnsi" w:hAnsi="Lato" w:cs="Lato-Regular"/>
          <w:bCs/>
          <w:iCs/>
          <w:spacing w:val="4"/>
          <w:sz w:val="22"/>
          <w:szCs w:val="22"/>
          <w:lang w:eastAsia="en-US" w:bidi="pl-PL"/>
        </w:rPr>
        <w:t>właścicieli poprzez podział pod Inwestycję jego działek nr 134/1, nr 134/2, nr 134/3, z obrębu 0022 Nowy Oryszew, w taki sposób, iż pozostałe przy skarżącym części ww. działek są bezużyteczne</w:t>
      </w:r>
      <w:r w:rsidR="008342AB">
        <w:rPr>
          <w:rFonts w:ascii="Lato" w:eastAsiaTheme="minorHAnsi" w:hAnsi="Lato" w:cs="Lato-Regular"/>
          <w:bCs/>
          <w:iCs/>
          <w:spacing w:val="4"/>
          <w:sz w:val="22"/>
          <w:szCs w:val="22"/>
          <w:lang w:eastAsia="en-US" w:bidi="pl-PL"/>
        </w:rPr>
        <w:t>.</w:t>
      </w:r>
      <w:r w:rsidR="003124ED">
        <w:rPr>
          <w:rFonts w:ascii="Lato" w:eastAsiaTheme="minorHAnsi" w:hAnsi="Lato" w:cs="Lato-Regular"/>
          <w:bCs/>
          <w:iCs/>
          <w:spacing w:val="4"/>
          <w:sz w:val="22"/>
          <w:szCs w:val="22"/>
          <w:lang w:eastAsia="en-US" w:bidi="pl-PL"/>
        </w:rPr>
        <w:t xml:space="preserve"> </w:t>
      </w:r>
      <w:r w:rsidR="00D641C1">
        <w:rPr>
          <w:rFonts w:ascii="Lato" w:eastAsiaTheme="minorHAnsi" w:hAnsi="Lato" w:cs="Lato-Regular"/>
          <w:bCs/>
          <w:iCs/>
          <w:spacing w:val="4"/>
          <w:sz w:val="22"/>
          <w:szCs w:val="22"/>
          <w:lang w:eastAsia="en-US" w:bidi="pl-PL"/>
        </w:rPr>
        <w:t>Zauważyć należy, że w art. 48 ust. 3 i ust. 4 ustawy CPK u</w:t>
      </w:r>
      <w:r w:rsidR="00D641C1" w:rsidRPr="00D641C1">
        <w:rPr>
          <w:rFonts w:ascii="Lato" w:eastAsiaTheme="minorHAnsi" w:hAnsi="Lato" w:cs="Lato-Regular"/>
          <w:bCs/>
          <w:iCs/>
          <w:spacing w:val="4"/>
          <w:sz w:val="22"/>
          <w:szCs w:val="22"/>
          <w:lang w:eastAsia="en-US" w:bidi="pl-PL"/>
        </w:rPr>
        <w:t>stawodawca zabezpieczył interesy właścicieli nieruchomości, które jedynie w części niezbędne są do realizacji Inwestycji, a pozostała część nieruchomości na skutek podziału nie nadaje się do prawidłowego wykorzystywania na dotychczasowe cele.</w:t>
      </w:r>
      <w:r w:rsidR="00D641C1">
        <w:rPr>
          <w:rFonts w:ascii="Lato" w:eastAsiaTheme="minorHAnsi" w:hAnsi="Lato" w:cs="Lato-Regular"/>
          <w:bCs/>
          <w:iCs/>
          <w:spacing w:val="4"/>
          <w:sz w:val="22"/>
          <w:szCs w:val="22"/>
          <w:lang w:eastAsia="en-US" w:bidi="pl-PL"/>
        </w:rPr>
        <w:t xml:space="preserve"> Zgodnie bowiem z tymi przepisami, </w:t>
      </w:r>
      <w:r w:rsidR="008342AB">
        <w:rPr>
          <w:rFonts w:ascii="Lato" w:eastAsiaTheme="minorHAnsi" w:hAnsi="Lato" w:cs="Lato-Regular"/>
          <w:bCs/>
          <w:iCs/>
          <w:spacing w:val="4"/>
          <w:sz w:val="22"/>
          <w:szCs w:val="22"/>
          <w:lang w:eastAsia="en-US" w:bidi="pl-PL"/>
        </w:rPr>
        <w:t>w</w:t>
      </w:r>
      <w:r w:rsidR="008342AB" w:rsidRPr="008342AB">
        <w:rPr>
          <w:rFonts w:ascii="Lato" w:eastAsiaTheme="minorHAnsi" w:hAnsi="Lato" w:cs="Lato-Regular"/>
          <w:bCs/>
          <w:iCs/>
          <w:spacing w:val="4"/>
          <w:sz w:val="22"/>
          <w:szCs w:val="22"/>
          <w:lang w:eastAsia="en-US" w:bidi="pl-PL"/>
        </w:rPr>
        <w:t xml:space="preserve">ywłaszczeniem może być objęta cała nieruchomość lub jej część. Jeżeli wywłaszczeniem objęta jest część nieruchomości, a pozostała część nieruchomości nie nadaje się do wykorzystywania w dotychczasowy sposób albo zgodnie </w:t>
      </w:r>
      <w:r w:rsidR="00941683">
        <w:rPr>
          <w:rFonts w:ascii="Lato" w:eastAsiaTheme="minorHAnsi" w:hAnsi="Lato" w:cs="Lato-Regular"/>
          <w:bCs/>
          <w:iCs/>
          <w:spacing w:val="4"/>
          <w:sz w:val="22"/>
          <w:szCs w:val="22"/>
          <w:lang w:eastAsia="en-US" w:bidi="pl-PL"/>
        </w:rPr>
        <w:br/>
      </w:r>
      <w:r w:rsidR="008342AB" w:rsidRPr="008342AB">
        <w:rPr>
          <w:rFonts w:ascii="Lato" w:eastAsiaTheme="minorHAnsi" w:hAnsi="Lato" w:cs="Lato-Regular"/>
          <w:bCs/>
          <w:iCs/>
          <w:spacing w:val="4"/>
          <w:sz w:val="22"/>
          <w:szCs w:val="22"/>
          <w:lang w:eastAsia="en-US" w:bidi="pl-PL"/>
        </w:rPr>
        <w:t>z dotychczasowym przeznaczeniem, na żądanie właściciela lub użytkownika wieczystego Inwestor nabywa pozostałą część, w drodze umowy, na rzecz Spółki Celowej.</w:t>
      </w:r>
      <w:r w:rsidR="008342AB">
        <w:rPr>
          <w:rFonts w:ascii="Lato" w:eastAsiaTheme="minorHAnsi" w:hAnsi="Lato" w:cs="Lato-Regular"/>
          <w:bCs/>
          <w:iCs/>
          <w:spacing w:val="4"/>
          <w:sz w:val="22"/>
          <w:szCs w:val="22"/>
          <w:lang w:eastAsia="en-US" w:bidi="pl-PL"/>
        </w:rPr>
        <w:t xml:space="preserve"> </w:t>
      </w:r>
      <w:r w:rsidR="008342AB" w:rsidRPr="008342AB">
        <w:rPr>
          <w:rFonts w:ascii="Lato" w:eastAsiaTheme="minorHAnsi" w:hAnsi="Lato" w:cs="Lato-Regular"/>
          <w:bCs/>
          <w:iCs/>
          <w:spacing w:val="4"/>
          <w:sz w:val="22"/>
          <w:szCs w:val="22"/>
          <w:lang w:eastAsia="en-US" w:bidi="pl-PL"/>
        </w:rPr>
        <w:t xml:space="preserve">Przez wykorzystanie w dotychczasowy sposób należy rozumieć wykorzystanie nieruchomości w jej faktycznym stanie zagospodarowania lub dokonanie zmiany sposobu </w:t>
      </w:r>
      <w:r w:rsidR="008342AB" w:rsidRPr="008342AB">
        <w:rPr>
          <w:rFonts w:ascii="Lato" w:eastAsiaTheme="minorHAnsi" w:hAnsi="Lato" w:cs="Lato-Regular"/>
          <w:bCs/>
          <w:iCs/>
          <w:spacing w:val="4"/>
          <w:sz w:val="22"/>
          <w:szCs w:val="22"/>
          <w:lang w:eastAsia="en-US" w:bidi="pl-PL"/>
        </w:rPr>
        <w:lastRenderedPageBreak/>
        <w:t>zagospodarowania nieruchomości zgodnej z ostatecznym pozwoleniem na budowę.</w:t>
      </w:r>
      <w:r w:rsidR="00941683">
        <w:rPr>
          <w:rFonts w:ascii="Lato" w:eastAsiaTheme="minorHAnsi" w:hAnsi="Lato" w:cs="Lato-Regular"/>
          <w:bCs/>
          <w:iCs/>
          <w:spacing w:val="4"/>
          <w:sz w:val="22"/>
          <w:szCs w:val="22"/>
          <w:lang w:eastAsia="en-US" w:bidi="pl-PL"/>
        </w:rPr>
        <w:t xml:space="preserve"> </w:t>
      </w:r>
      <w:r w:rsidR="008342AB" w:rsidRPr="008342AB">
        <w:rPr>
          <w:rFonts w:ascii="Lato" w:eastAsiaTheme="minorHAnsi" w:hAnsi="Lato" w:cs="Lato-Regular"/>
          <w:bCs/>
          <w:iCs/>
          <w:spacing w:val="4"/>
          <w:sz w:val="22"/>
          <w:szCs w:val="22"/>
          <w:lang w:eastAsia="en-US" w:bidi="pl-PL"/>
        </w:rPr>
        <w:t xml:space="preserve">Wykup pozostałej po podziale części nieruchomości </w:t>
      </w:r>
      <w:r w:rsidR="008342AB">
        <w:rPr>
          <w:rFonts w:ascii="Lato" w:eastAsiaTheme="minorHAnsi" w:hAnsi="Lato" w:cs="Lato-Regular"/>
          <w:bCs/>
          <w:iCs/>
          <w:spacing w:val="4"/>
          <w:sz w:val="22"/>
          <w:szCs w:val="22"/>
          <w:lang w:eastAsia="en-US" w:bidi="pl-PL"/>
        </w:rPr>
        <w:t xml:space="preserve">w trybie ww. </w:t>
      </w:r>
      <w:r w:rsidR="008342AB" w:rsidRPr="008342AB">
        <w:rPr>
          <w:rFonts w:ascii="Lato" w:eastAsiaTheme="minorHAnsi" w:hAnsi="Lato" w:cs="Lato-Regular"/>
          <w:bCs/>
          <w:iCs/>
          <w:spacing w:val="4"/>
          <w:sz w:val="22"/>
          <w:szCs w:val="22"/>
          <w:lang w:eastAsia="en-US" w:bidi="pl-PL"/>
        </w:rPr>
        <w:t>art. 48 ust. 3 i ust. 4 ustawy CPK</w:t>
      </w:r>
      <w:r w:rsidR="008342AB">
        <w:rPr>
          <w:rFonts w:ascii="Lato" w:eastAsiaTheme="minorHAnsi" w:hAnsi="Lato" w:cs="Lato-Regular"/>
          <w:bCs/>
          <w:iCs/>
          <w:spacing w:val="4"/>
          <w:sz w:val="22"/>
          <w:szCs w:val="22"/>
          <w:lang w:eastAsia="en-US" w:bidi="pl-PL"/>
        </w:rPr>
        <w:t xml:space="preserve"> </w:t>
      </w:r>
      <w:r w:rsidR="008342AB" w:rsidRPr="008342AB">
        <w:rPr>
          <w:rFonts w:ascii="Lato" w:eastAsiaTheme="minorHAnsi" w:hAnsi="Lato" w:cs="Lato-Regular"/>
          <w:bCs/>
          <w:iCs/>
          <w:spacing w:val="4"/>
          <w:sz w:val="22"/>
          <w:szCs w:val="22"/>
          <w:lang w:eastAsia="en-US" w:bidi="pl-PL"/>
        </w:rPr>
        <w:t xml:space="preserve">odbywa się poza postępowaniem administracyjnym w sprawie wydania decyzji o ustaleniu lokalizacji inwestycji w zakresie CPK i nie podlega załatwieniu </w:t>
      </w:r>
      <w:r w:rsidR="008342AB">
        <w:rPr>
          <w:rFonts w:ascii="Lato" w:eastAsiaTheme="minorHAnsi" w:hAnsi="Lato" w:cs="Lato-Regular"/>
          <w:bCs/>
          <w:iCs/>
          <w:spacing w:val="4"/>
          <w:sz w:val="22"/>
          <w:szCs w:val="22"/>
          <w:lang w:eastAsia="en-US" w:bidi="pl-PL"/>
        </w:rPr>
        <w:br/>
      </w:r>
      <w:r w:rsidR="008342AB" w:rsidRPr="008342AB">
        <w:rPr>
          <w:rFonts w:ascii="Lato" w:eastAsiaTheme="minorHAnsi" w:hAnsi="Lato" w:cs="Lato-Regular"/>
          <w:bCs/>
          <w:iCs/>
          <w:spacing w:val="4"/>
          <w:sz w:val="22"/>
          <w:szCs w:val="22"/>
          <w:lang w:eastAsia="en-US" w:bidi="pl-PL"/>
        </w:rPr>
        <w:t>w drodze decyzji administracyjnej. Jest to roszczenie cywilnoprawne</w:t>
      </w:r>
      <w:r w:rsidR="008342AB">
        <w:rPr>
          <w:rFonts w:ascii="Lato" w:eastAsiaTheme="minorHAnsi" w:hAnsi="Lato" w:cs="Lato-Regular"/>
          <w:bCs/>
          <w:iCs/>
          <w:spacing w:val="4"/>
          <w:sz w:val="22"/>
          <w:szCs w:val="22"/>
          <w:lang w:eastAsia="en-US" w:bidi="pl-PL"/>
        </w:rPr>
        <w:t xml:space="preserve">. O kwestii tej będzie również mowa w dalszej części niniejszej decyzji. </w:t>
      </w:r>
    </w:p>
    <w:p w14:paraId="2F8730F6" w14:textId="4F54B5C9" w:rsidR="00B145C4" w:rsidRDefault="008342AB" w:rsidP="008342AB">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Pr>
          <w:rFonts w:ascii="Lato" w:eastAsiaTheme="minorHAnsi" w:hAnsi="Lato" w:cs="Lato-Regular"/>
          <w:bCs/>
          <w:iCs/>
          <w:spacing w:val="4"/>
          <w:sz w:val="22"/>
          <w:szCs w:val="22"/>
          <w:lang w:eastAsia="en-US" w:bidi="pl-PL"/>
        </w:rPr>
        <w:t xml:space="preserve">W świetle powyższego, nie ma racji skarżący twierdząc, że </w:t>
      </w:r>
      <w:r w:rsidRPr="008342AB">
        <w:rPr>
          <w:rFonts w:ascii="Lato" w:eastAsiaTheme="minorHAnsi" w:hAnsi="Lato" w:cs="Lato-Regular"/>
          <w:bCs/>
          <w:iCs/>
          <w:spacing w:val="4"/>
          <w:sz w:val="22"/>
          <w:szCs w:val="22"/>
          <w:lang w:eastAsia="en-US" w:bidi="pl-PL"/>
        </w:rPr>
        <w:t xml:space="preserve">narusza </w:t>
      </w:r>
      <w:r w:rsidR="00941683">
        <w:rPr>
          <w:rFonts w:ascii="Lato" w:eastAsiaTheme="minorHAnsi" w:hAnsi="Lato" w:cs="Lato-Regular"/>
          <w:bCs/>
          <w:iCs/>
          <w:spacing w:val="4"/>
          <w:sz w:val="22"/>
          <w:szCs w:val="22"/>
          <w:lang w:eastAsia="en-US" w:bidi="pl-PL"/>
        </w:rPr>
        <w:t xml:space="preserve">przepis </w:t>
      </w:r>
      <w:r w:rsidRPr="008342AB">
        <w:rPr>
          <w:rFonts w:ascii="Lato" w:eastAsiaTheme="minorHAnsi" w:hAnsi="Lato" w:cs="Lato-Regular"/>
          <w:bCs/>
          <w:iCs/>
          <w:spacing w:val="4"/>
          <w:sz w:val="22"/>
          <w:szCs w:val="22"/>
          <w:lang w:eastAsia="en-US" w:bidi="pl-PL"/>
        </w:rPr>
        <w:t>art. 8 kpa</w:t>
      </w:r>
      <w:r>
        <w:rPr>
          <w:rFonts w:ascii="Lato" w:eastAsiaTheme="minorHAnsi" w:hAnsi="Lato" w:cs="Lato-Regular"/>
          <w:bCs/>
          <w:iCs/>
          <w:spacing w:val="4"/>
          <w:sz w:val="22"/>
          <w:szCs w:val="22"/>
          <w:lang w:eastAsia="en-US" w:bidi="pl-PL"/>
        </w:rPr>
        <w:t xml:space="preserve"> przejęcie w decyzji Wojewody Mazowieckiego pod Inwestycję w całości ww. działki </w:t>
      </w:r>
      <w:r w:rsidR="00941683">
        <w:rPr>
          <w:rFonts w:ascii="Lato" w:eastAsiaTheme="minorHAnsi" w:hAnsi="Lato" w:cs="Lato-Regular"/>
          <w:bCs/>
          <w:iCs/>
          <w:spacing w:val="4"/>
          <w:sz w:val="22"/>
          <w:szCs w:val="22"/>
          <w:lang w:eastAsia="en-US" w:bidi="pl-PL"/>
        </w:rPr>
        <w:br/>
      </w:r>
      <w:r>
        <w:rPr>
          <w:rFonts w:ascii="Lato" w:eastAsiaTheme="minorHAnsi" w:hAnsi="Lato" w:cs="Lato-Regular"/>
          <w:bCs/>
          <w:iCs/>
          <w:spacing w:val="4"/>
          <w:sz w:val="22"/>
          <w:szCs w:val="22"/>
          <w:lang w:eastAsia="en-US" w:bidi="pl-PL"/>
        </w:rPr>
        <w:t xml:space="preserve">nr 133 i zatwierdzony w tej decyzji podział ww. działek </w:t>
      </w:r>
      <w:r w:rsidRPr="008342AB">
        <w:rPr>
          <w:rFonts w:ascii="Lato" w:eastAsiaTheme="minorHAnsi" w:hAnsi="Lato" w:cs="Lato-Regular"/>
          <w:bCs/>
          <w:iCs/>
          <w:spacing w:val="4"/>
          <w:sz w:val="22"/>
          <w:szCs w:val="22"/>
          <w:lang w:eastAsia="en-US" w:bidi="pl-PL"/>
        </w:rPr>
        <w:t>nr 134/1, nr 134/2, nr 134/3</w:t>
      </w:r>
      <w:r>
        <w:rPr>
          <w:rFonts w:ascii="Lato" w:eastAsiaTheme="minorHAnsi" w:hAnsi="Lato" w:cs="Lato-Regular"/>
          <w:bCs/>
          <w:iCs/>
          <w:spacing w:val="4"/>
          <w:sz w:val="22"/>
          <w:szCs w:val="22"/>
          <w:lang w:eastAsia="en-US" w:bidi="pl-PL"/>
        </w:rPr>
        <w:t xml:space="preserve">. </w:t>
      </w:r>
      <w:r w:rsidRPr="008342AB">
        <w:rPr>
          <w:rFonts w:ascii="Lato" w:eastAsiaTheme="minorHAnsi" w:hAnsi="Lato" w:cs="Lato-Regular"/>
          <w:bCs/>
          <w:iCs/>
          <w:spacing w:val="4"/>
          <w:sz w:val="22"/>
          <w:szCs w:val="22"/>
          <w:lang w:eastAsia="en-US" w:bidi="pl-PL"/>
        </w:rPr>
        <w:t xml:space="preserve">Siłą rzeczy inwestycja w zakresie CPK ma swoje granice przestrzenne, w związku z czym istnieć będzie zbiór nieruchomości znajdujących </w:t>
      </w:r>
      <w:r>
        <w:rPr>
          <w:rFonts w:ascii="Lato" w:eastAsiaTheme="minorHAnsi" w:hAnsi="Lato" w:cs="Lato-Regular"/>
          <w:bCs/>
          <w:iCs/>
          <w:spacing w:val="4"/>
          <w:sz w:val="22"/>
          <w:szCs w:val="22"/>
          <w:lang w:eastAsia="en-US" w:bidi="pl-PL"/>
        </w:rPr>
        <w:t xml:space="preserve">w całości w liniach rozgraniczających teren Inwestycji, </w:t>
      </w:r>
      <w:r w:rsidRPr="008342AB">
        <w:rPr>
          <w:rFonts w:ascii="Lato" w:eastAsiaTheme="minorHAnsi" w:hAnsi="Lato" w:cs="Lato-Regular"/>
          <w:bCs/>
          <w:iCs/>
          <w:spacing w:val="4"/>
          <w:sz w:val="22"/>
          <w:szCs w:val="22"/>
          <w:lang w:eastAsia="en-US" w:bidi="pl-PL"/>
        </w:rPr>
        <w:t xml:space="preserve">zbiór nieruchomości znajdujących w </w:t>
      </w:r>
      <w:r>
        <w:rPr>
          <w:rFonts w:ascii="Lato" w:eastAsiaTheme="minorHAnsi" w:hAnsi="Lato" w:cs="Lato-Regular"/>
          <w:bCs/>
          <w:iCs/>
          <w:spacing w:val="4"/>
          <w:sz w:val="22"/>
          <w:szCs w:val="22"/>
          <w:lang w:eastAsia="en-US" w:bidi="pl-PL"/>
        </w:rPr>
        <w:t xml:space="preserve">części </w:t>
      </w:r>
      <w:r w:rsidRPr="008342AB">
        <w:rPr>
          <w:rFonts w:ascii="Lato" w:eastAsiaTheme="minorHAnsi" w:hAnsi="Lato" w:cs="Lato-Regular"/>
          <w:bCs/>
          <w:iCs/>
          <w:spacing w:val="4"/>
          <w:sz w:val="22"/>
          <w:szCs w:val="22"/>
          <w:lang w:eastAsia="en-US" w:bidi="pl-PL"/>
        </w:rPr>
        <w:t xml:space="preserve">w liniach rozgraniczających teren Inwestycji, </w:t>
      </w:r>
      <w:r>
        <w:rPr>
          <w:rFonts w:ascii="Lato" w:eastAsiaTheme="minorHAnsi" w:hAnsi="Lato" w:cs="Lato-Regular"/>
          <w:bCs/>
          <w:iCs/>
          <w:spacing w:val="4"/>
          <w:sz w:val="22"/>
          <w:szCs w:val="22"/>
          <w:lang w:eastAsia="en-US" w:bidi="pl-PL"/>
        </w:rPr>
        <w:t xml:space="preserve">jak również zbiór nieruchomości znajdujących się w </w:t>
      </w:r>
      <w:r w:rsidRPr="008342AB">
        <w:rPr>
          <w:rFonts w:ascii="Lato" w:eastAsiaTheme="minorHAnsi" w:hAnsi="Lato" w:cs="Lato-Regular"/>
          <w:bCs/>
          <w:iCs/>
          <w:spacing w:val="4"/>
          <w:sz w:val="22"/>
          <w:szCs w:val="22"/>
          <w:lang w:eastAsia="en-US" w:bidi="pl-PL"/>
        </w:rPr>
        <w:t>bezpośrednim sąsiedztwie</w:t>
      </w:r>
      <w:r>
        <w:rPr>
          <w:rFonts w:ascii="Lato" w:eastAsiaTheme="minorHAnsi" w:hAnsi="Lato" w:cs="Lato-Regular"/>
          <w:bCs/>
          <w:iCs/>
          <w:spacing w:val="4"/>
          <w:sz w:val="22"/>
          <w:szCs w:val="22"/>
          <w:lang w:eastAsia="en-US" w:bidi="pl-PL"/>
        </w:rPr>
        <w:t xml:space="preserve"> Inwestycji</w:t>
      </w:r>
      <w:r w:rsidRPr="008342AB">
        <w:rPr>
          <w:rFonts w:ascii="Lato" w:eastAsiaTheme="minorHAnsi" w:hAnsi="Lato" w:cs="Lato-Regular"/>
          <w:bCs/>
          <w:iCs/>
          <w:spacing w:val="4"/>
          <w:sz w:val="22"/>
          <w:szCs w:val="22"/>
          <w:lang w:eastAsia="en-US" w:bidi="pl-PL"/>
        </w:rPr>
        <w:t xml:space="preserve">, ale nieobjętych decyzją o ustaleniu lokalizacji inwestycji </w:t>
      </w:r>
      <w:r>
        <w:rPr>
          <w:rFonts w:ascii="Lato" w:eastAsiaTheme="minorHAnsi" w:hAnsi="Lato" w:cs="Lato-Regular"/>
          <w:bCs/>
          <w:iCs/>
          <w:spacing w:val="4"/>
          <w:sz w:val="22"/>
          <w:szCs w:val="22"/>
          <w:lang w:eastAsia="en-US" w:bidi="pl-PL"/>
        </w:rPr>
        <w:br/>
      </w:r>
      <w:r w:rsidRPr="008342AB">
        <w:rPr>
          <w:rFonts w:ascii="Lato" w:eastAsiaTheme="minorHAnsi" w:hAnsi="Lato" w:cs="Lato-Regular"/>
          <w:bCs/>
          <w:iCs/>
          <w:spacing w:val="4"/>
          <w:sz w:val="22"/>
          <w:szCs w:val="22"/>
          <w:lang w:eastAsia="en-US" w:bidi="pl-PL"/>
        </w:rPr>
        <w:t>w zakresie CPK. Ten nieunikniony stan rzeczy nie świadczy o wadliwości decyzji lokalizacyjnej organu I instancji czy też naruszeniu zasady równości wobec prawa.</w:t>
      </w:r>
      <w:r w:rsidR="00B145C4">
        <w:rPr>
          <w:rFonts w:ascii="Lato" w:eastAsiaTheme="minorHAnsi" w:hAnsi="Lato" w:cs="Lato-Regular"/>
          <w:bCs/>
          <w:iCs/>
          <w:spacing w:val="4"/>
          <w:sz w:val="22"/>
          <w:szCs w:val="22"/>
          <w:lang w:eastAsia="en-US" w:bidi="pl-PL"/>
        </w:rPr>
        <w:t xml:space="preserve"> </w:t>
      </w:r>
      <w:r w:rsidR="00941683">
        <w:rPr>
          <w:rFonts w:ascii="Lato" w:eastAsiaTheme="minorHAnsi" w:hAnsi="Lato" w:cs="Lato-Regular"/>
          <w:bCs/>
          <w:iCs/>
          <w:spacing w:val="4"/>
          <w:sz w:val="22"/>
          <w:szCs w:val="22"/>
          <w:lang w:eastAsia="en-US" w:bidi="pl-PL"/>
        </w:rPr>
        <w:t xml:space="preserve">Inwestycja w zakresie CPK, podobnie jak każda inna inwestycja </w:t>
      </w:r>
      <w:r w:rsidR="00B145C4" w:rsidRPr="00B145C4">
        <w:rPr>
          <w:rFonts w:ascii="Lato" w:eastAsiaTheme="minorHAnsi" w:hAnsi="Lato" w:cs="Lato-Regular"/>
          <w:bCs/>
          <w:iCs/>
          <w:spacing w:val="4"/>
          <w:sz w:val="22"/>
          <w:szCs w:val="22"/>
          <w:lang w:eastAsia="en-US" w:bidi="pl-PL"/>
        </w:rPr>
        <w:t>liniowa</w:t>
      </w:r>
      <w:r w:rsidR="00941683">
        <w:rPr>
          <w:rFonts w:ascii="Lato" w:eastAsiaTheme="minorHAnsi" w:hAnsi="Lato" w:cs="Lato-Regular"/>
          <w:bCs/>
          <w:iCs/>
          <w:spacing w:val="4"/>
          <w:sz w:val="22"/>
          <w:szCs w:val="22"/>
          <w:lang w:eastAsia="en-US" w:bidi="pl-PL"/>
        </w:rPr>
        <w:t xml:space="preserve"> </w:t>
      </w:r>
      <w:r w:rsidR="00B145C4" w:rsidRPr="00B145C4">
        <w:rPr>
          <w:rFonts w:ascii="Lato" w:eastAsiaTheme="minorHAnsi" w:hAnsi="Lato" w:cs="Lato-Regular"/>
          <w:bCs/>
          <w:iCs/>
          <w:spacing w:val="4"/>
          <w:sz w:val="22"/>
          <w:szCs w:val="22"/>
          <w:lang w:eastAsia="en-US" w:bidi="pl-PL"/>
        </w:rPr>
        <w:t>lub powierzchniowa</w:t>
      </w:r>
      <w:r w:rsidR="00941683">
        <w:rPr>
          <w:rFonts w:ascii="Lato" w:eastAsiaTheme="minorHAnsi" w:hAnsi="Lato" w:cs="Lato-Regular"/>
          <w:bCs/>
          <w:iCs/>
          <w:spacing w:val="4"/>
          <w:sz w:val="22"/>
          <w:szCs w:val="22"/>
          <w:lang w:eastAsia="en-US" w:bidi="pl-PL"/>
        </w:rPr>
        <w:t xml:space="preserve">, </w:t>
      </w:r>
      <w:r w:rsidR="00B145C4" w:rsidRPr="00B145C4">
        <w:rPr>
          <w:rFonts w:ascii="Lato" w:eastAsiaTheme="minorHAnsi" w:hAnsi="Lato" w:cs="Lato-Regular"/>
          <w:bCs/>
          <w:iCs/>
          <w:spacing w:val="4"/>
          <w:sz w:val="22"/>
          <w:szCs w:val="22"/>
          <w:lang w:eastAsia="en-US" w:bidi="pl-PL"/>
        </w:rPr>
        <w:t xml:space="preserve">musi posiadać określony teren niezbędny do jej realizacji, </w:t>
      </w:r>
      <w:r w:rsidR="00941683">
        <w:rPr>
          <w:rFonts w:ascii="Lato" w:eastAsiaTheme="minorHAnsi" w:hAnsi="Lato" w:cs="Lato-Regular"/>
          <w:bCs/>
          <w:iCs/>
          <w:spacing w:val="4"/>
          <w:sz w:val="22"/>
          <w:szCs w:val="22"/>
          <w:lang w:eastAsia="en-US" w:bidi="pl-PL"/>
        </w:rPr>
        <w:br/>
      </w:r>
      <w:r w:rsidR="00B145C4" w:rsidRPr="00B145C4">
        <w:rPr>
          <w:rFonts w:ascii="Lato" w:eastAsiaTheme="minorHAnsi" w:hAnsi="Lato" w:cs="Lato-Regular"/>
          <w:bCs/>
          <w:iCs/>
          <w:spacing w:val="4"/>
          <w:sz w:val="22"/>
          <w:szCs w:val="22"/>
          <w:lang w:eastAsia="en-US" w:bidi="pl-PL"/>
        </w:rPr>
        <w:t>co wyznacza</w:t>
      </w:r>
      <w:r w:rsidR="00B145C4">
        <w:rPr>
          <w:rFonts w:ascii="Lato" w:eastAsiaTheme="minorHAnsi" w:hAnsi="Lato" w:cs="Lato-Regular"/>
          <w:bCs/>
          <w:iCs/>
          <w:spacing w:val="4"/>
          <w:sz w:val="22"/>
          <w:szCs w:val="22"/>
          <w:lang w:eastAsia="en-US" w:bidi="pl-PL"/>
        </w:rPr>
        <w:t>ją</w:t>
      </w:r>
      <w:r w:rsidR="00B145C4" w:rsidRPr="00B145C4">
        <w:rPr>
          <w:rFonts w:ascii="Lato" w:eastAsiaTheme="minorHAnsi" w:hAnsi="Lato" w:cs="Lato-Regular"/>
          <w:bCs/>
          <w:iCs/>
          <w:spacing w:val="4"/>
          <w:sz w:val="22"/>
          <w:szCs w:val="22"/>
          <w:lang w:eastAsia="en-US" w:bidi="pl-PL"/>
        </w:rPr>
        <w:t xml:space="preserve"> linie rozgraniczające</w:t>
      </w:r>
      <w:r w:rsidR="00B145C4">
        <w:rPr>
          <w:rFonts w:ascii="Lato" w:eastAsiaTheme="minorHAnsi" w:hAnsi="Lato" w:cs="Lato-Regular"/>
          <w:bCs/>
          <w:iCs/>
          <w:spacing w:val="4"/>
          <w:sz w:val="22"/>
          <w:szCs w:val="22"/>
          <w:lang w:eastAsia="en-US" w:bidi="pl-PL"/>
        </w:rPr>
        <w:t xml:space="preserve"> teren </w:t>
      </w:r>
      <w:r w:rsidR="00941683">
        <w:rPr>
          <w:rFonts w:ascii="Lato" w:eastAsiaTheme="minorHAnsi" w:hAnsi="Lato" w:cs="Lato-Regular"/>
          <w:bCs/>
          <w:iCs/>
          <w:spacing w:val="4"/>
          <w:sz w:val="22"/>
          <w:szCs w:val="22"/>
          <w:lang w:eastAsia="en-US" w:bidi="pl-PL"/>
        </w:rPr>
        <w:t>I</w:t>
      </w:r>
      <w:r w:rsidR="00B145C4">
        <w:rPr>
          <w:rFonts w:ascii="Lato" w:eastAsiaTheme="minorHAnsi" w:hAnsi="Lato" w:cs="Lato-Regular"/>
          <w:bCs/>
          <w:iCs/>
          <w:spacing w:val="4"/>
          <w:sz w:val="22"/>
          <w:szCs w:val="22"/>
          <w:lang w:eastAsia="en-US" w:bidi="pl-PL"/>
        </w:rPr>
        <w:t>nwestycji</w:t>
      </w:r>
      <w:r w:rsidR="00941683">
        <w:rPr>
          <w:rFonts w:ascii="Lato" w:eastAsiaTheme="minorHAnsi" w:hAnsi="Lato" w:cs="Lato-Regular"/>
          <w:bCs/>
          <w:iCs/>
          <w:spacing w:val="4"/>
          <w:sz w:val="22"/>
          <w:szCs w:val="22"/>
          <w:lang w:eastAsia="en-US" w:bidi="pl-PL"/>
        </w:rPr>
        <w:t xml:space="preserve"> zatwierdzone w decyzji o ustaleniu lokalizacji inwestycji w zakresie CPK</w:t>
      </w:r>
      <w:r w:rsidR="00B145C4" w:rsidRPr="00B145C4">
        <w:rPr>
          <w:rFonts w:ascii="Lato" w:eastAsiaTheme="minorHAnsi" w:hAnsi="Lato" w:cs="Lato-Regular"/>
          <w:bCs/>
          <w:iCs/>
          <w:spacing w:val="4"/>
          <w:sz w:val="22"/>
          <w:szCs w:val="22"/>
          <w:lang w:eastAsia="en-US" w:bidi="pl-PL"/>
        </w:rPr>
        <w:t>. Jest to realizacja zasady proporcjonalności – zajmuje się tylko tyle terenu, ile jest niezbędne dla celu publicznego</w:t>
      </w:r>
      <w:r w:rsidR="002676C0">
        <w:rPr>
          <w:rFonts w:ascii="Lato" w:eastAsiaTheme="minorHAnsi" w:hAnsi="Lato" w:cs="Lato-Regular"/>
          <w:bCs/>
          <w:iCs/>
          <w:spacing w:val="4"/>
          <w:sz w:val="22"/>
          <w:szCs w:val="22"/>
          <w:lang w:eastAsia="en-US" w:bidi="pl-PL"/>
        </w:rPr>
        <w:t xml:space="preserve"> zdefiniowanego </w:t>
      </w:r>
      <w:r w:rsidR="00941683">
        <w:rPr>
          <w:rFonts w:ascii="Lato" w:eastAsiaTheme="minorHAnsi" w:hAnsi="Lato" w:cs="Lato-Regular"/>
          <w:bCs/>
          <w:iCs/>
          <w:spacing w:val="4"/>
          <w:sz w:val="22"/>
          <w:szCs w:val="22"/>
          <w:lang w:eastAsia="en-US" w:bidi="pl-PL"/>
        </w:rPr>
        <w:br/>
      </w:r>
      <w:r w:rsidR="002676C0">
        <w:rPr>
          <w:rFonts w:ascii="Lato" w:eastAsiaTheme="minorHAnsi" w:hAnsi="Lato" w:cs="Lato-Regular"/>
          <w:bCs/>
          <w:iCs/>
          <w:spacing w:val="4"/>
          <w:sz w:val="22"/>
          <w:szCs w:val="22"/>
          <w:lang w:eastAsia="en-US" w:bidi="pl-PL"/>
        </w:rPr>
        <w:t>w art. 3 ust. 1 ustawy CPK.</w:t>
      </w:r>
      <w:r w:rsidR="00941683" w:rsidRPr="00941683">
        <w:rPr>
          <w:rFonts w:ascii="Lato" w:eastAsiaTheme="minorHAnsi" w:hAnsi="Lato" w:cs="Lato-Regular"/>
          <w:bCs/>
          <w:iCs/>
          <w:spacing w:val="4"/>
          <w:sz w:val="22"/>
          <w:szCs w:val="22"/>
          <w:lang w:eastAsia="en-US" w:bidi="pl-PL"/>
        </w:rPr>
        <w:t xml:space="preserve"> Brak jest podstaw do przyjęcia, że ingerencja w prawo własności skarżącego ma charakter nadmierny i nieusprawiedliwiony.</w:t>
      </w:r>
    </w:p>
    <w:p w14:paraId="46057077" w14:textId="6A28D945" w:rsidR="00C417ED" w:rsidRDefault="002676C0" w:rsidP="0000338B">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sidRPr="00C417ED">
        <w:rPr>
          <w:rFonts w:ascii="Lato" w:eastAsiaTheme="minorHAnsi" w:hAnsi="Lato" w:cs="Lato-Regular"/>
          <w:bCs/>
          <w:iCs/>
          <w:spacing w:val="4"/>
          <w:sz w:val="22"/>
          <w:szCs w:val="22"/>
          <w:lang w:eastAsia="en-US" w:bidi="pl-PL"/>
        </w:rPr>
        <w:t>Przedmiotem</w:t>
      </w:r>
      <w:r w:rsidR="00B145C4" w:rsidRPr="00C417ED">
        <w:rPr>
          <w:rFonts w:ascii="Lato" w:eastAsiaTheme="minorHAnsi" w:hAnsi="Lato" w:cs="Lato-Regular"/>
          <w:bCs/>
          <w:iCs/>
          <w:spacing w:val="4"/>
          <w:sz w:val="22"/>
          <w:szCs w:val="22"/>
          <w:lang w:eastAsia="en-US" w:bidi="pl-PL"/>
        </w:rPr>
        <w:t xml:space="preserve"> </w:t>
      </w:r>
      <w:r w:rsidRPr="00C417ED">
        <w:rPr>
          <w:rFonts w:ascii="Lato" w:eastAsiaTheme="minorHAnsi" w:hAnsi="Lato" w:cs="Lato-Regular"/>
          <w:bCs/>
          <w:iCs/>
          <w:spacing w:val="4"/>
          <w:sz w:val="22"/>
          <w:szCs w:val="22"/>
          <w:lang w:eastAsia="en-US" w:bidi="pl-PL"/>
        </w:rPr>
        <w:t>niniejszego</w:t>
      </w:r>
      <w:r w:rsidR="00B145C4" w:rsidRPr="00C417ED">
        <w:rPr>
          <w:rFonts w:ascii="Lato" w:eastAsiaTheme="minorHAnsi" w:hAnsi="Lato" w:cs="Lato-Regular"/>
          <w:bCs/>
          <w:iCs/>
          <w:spacing w:val="4"/>
          <w:sz w:val="22"/>
          <w:szCs w:val="22"/>
          <w:lang w:eastAsia="en-US" w:bidi="pl-PL"/>
        </w:rPr>
        <w:t xml:space="preserve"> postępowani</w:t>
      </w:r>
      <w:r w:rsidRPr="00C417ED">
        <w:rPr>
          <w:rFonts w:ascii="Lato" w:eastAsiaTheme="minorHAnsi" w:hAnsi="Lato" w:cs="Lato-Regular"/>
          <w:bCs/>
          <w:iCs/>
          <w:spacing w:val="4"/>
          <w:sz w:val="22"/>
          <w:szCs w:val="22"/>
          <w:lang w:eastAsia="en-US" w:bidi="pl-PL"/>
        </w:rPr>
        <w:t>a odwoławczego</w:t>
      </w:r>
      <w:r w:rsidR="00B145C4" w:rsidRPr="00C417ED">
        <w:rPr>
          <w:rFonts w:ascii="Lato" w:eastAsiaTheme="minorHAnsi" w:hAnsi="Lato" w:cs="Lato-Regular"/>
          <w:bCs/>
          <w:iCs/>
          <w:spacing w:val="4"/>
          <w:sz w:val="22"/>
          <w:szCs w:val="22"/>
          <w:lang w:eastAsia="en-US" w:bidi="pl-PL"/>
        </w:rPr>
        <w:t xml:space="preserve"> </w:t>
      </w:r>
      <w:r w:rsidRPr="00C417ED">
        <w:rPr>
          <w:rFonts w:ascii="Lato" w:eastAsiaTheme="minorHAnsi" w:hAnsi="Lato" w:cs="Lato-Regular"/>
          <w:bCs/>
          <w:iCs/>
          <w:spacing w:val="4"/>
          <w:sz w:val="22"/>
          <w:szCs w:val="22"/>
          <w:lang w:eastAsia="en-US" w:bidi="pl-PL"/>
        </w:rPr>
        <w:t>nie jest ocena negatywnego zdania skarżącego na temat działań spółki CPK Sp. z o.o. w zakresie „zatajania” i odmowy udostępnienia map i dokumentów planistycznych, nie informowania o przeznaczeniu części ww. działki nr 133 jako terenu przemysłowo-usługowego, publikowania niepełnych danych dotyczących przebiegu Inwestycji</w:t>
      </w:r>
      <w:r w:rsidR="00C417ED">
        <w:rPr>
          <w:rFonts w:ascii="Lato" w:eastAsiaTheme="minorHAnsi" w:hAnsi="Lato" w:cs="Lato-Regular"/>
          <w:bCs/>
          <w:iCs/>
          <w:spacing w:val="4"/>
          <w:sz w:val="22"/>
          <w:szCs w:val="22"/>
          <w:lang w:eastAsia="en-US" w:bidi="pl-PL"/>
        </w:rPr>
        <w:t>, co w ocenie skarżącego stanowi naruszenie art. 9</w:t>
      </w:r>
      <w:r w:rsidR="00552785">
        <w:rPr>
          <w:rFonts w:ascii="Lato" w:eastAsiaTheme="minorHAnsi" w:hAnsi="Lato" w:cs="Lato-Regular"/>
          <w:bCs/>
          <w:iCs/>
          <w:spacing w:val="4"/>
          <w:sz w:val="22"/>
          <w:szCs w:val="22"/>
          <w:lang w:eastAsia="en-US" w:bidi="pl-PL"/>
        </w:rPr>
        <w:t xml:space="preserve">, </w:t>
      </w:r>
      <w:r w:rsidR="00552785" w:rsidRPr="00552785">
        <w:rPr>
          <w:rFonts w:ascii="Lato" w:eastAsiaTheme="minorHAnsi" w:hAnsi="Lato" w:cs="Lato-Regular"/>
          <w:bCs/>
          <w:iCs/>
          <w:spacing w:val="4"/>
          <w:sz w:val="22"/>
          <w:szCs w:val="22"/>
          <w:lang w:eastAsia="en-US" w:bidi="pl-PL"/>
        </w:rPr>
        <w:t xml:space="preserve">art. </w:t>
      </w:r>
      <w:r w:rsidR="00552785" w:rsidRPr="00552785">
        <w:rPr>
          <w:rFonts w:ascii="Lato" w:eastAsiaTheme="minorHAnsi" w:hAnsi="Lato" w:cs="Lato-Regular"/>
          <w:bCs/>
          <w:iCs/>
          <w:spacing w:val="4"/>
          <w:sz w:val="22"/>
          <w:szCs w:val="22"/>
          <w:lang w:val="en-US" w:eastAsia="en-US" w:bidi="pl-PL"/>
        </w:rPr>
        <w:t>10 § 1 kpa, art. 73 § 1 kpa, art. 7 kpa</w:t>
      </w:r>
      <w:r w:rsidR="00C417ED">
        <w:rPr>
          <w:rFonts w:ascii="Lato" w:eastAsiaTheme="minorHAnsi" w:hAnsi="Lato" w:cs="Lato-Regular"/>
          <w:bCs/>
          <w:iCs/>
          <w:spacing w:val="4"/>
          <w:sz w:val="22"/>
          <w:szCs w:val="22"/>
          <w:lang w:eastAsia="en-US" w:bidi="pl-PL"/>
        </w:rPr>
        <w:t xml:space="preserve">. </w:t>
      </w:r>
      <w:r w:rsidRPr="00C417ED">
        <w:rPr>
          <w:rFonts w:ascii="Lato" w:eastAsiaTheme="minorHAnsi" w:hAnsi="Lato" w:cs="Lato-Regular"/>
          <w:bCs/>
          <w:iCs/>
          <w:spacing w:val="4"/>
          <w:sz w:val="22"/>
          <w:szCs w:val="22"/>
          <w:lang w:eastAsia="en-US" w:bidi="pl-PL"/>
        </w:rPr>
        <w:t xml:space="preserve">Wyjaśnić bowiem należy, </w:t>
      </w:r>
      <w:r w:rsidR="00552785">
        <w:rPr>
          <w:rFonts w:ascii="Lato" w:eastAsiaTheme="minorHAnsi" w:hAnsi="Lato" w:cs="Lato-Regular"/>
          <w:bCs/>
          <w:iCs/>
          <w:spacing w:val="4"/>
          <w:sz w:val="22"/>
          <w:szCs w:val="22"/>
          <w:lang w:eastAsia="en-US" w:bidi="pl-PL"/>
        </w:rPr>
        <w:br/>
      </w:r>
      <w:r w:rsidRPr="00C417ED">
        <w:rPr>
          <w:rFonts w:ascii="Lato" w:eastAsiaTheme="minorHAnsi" w:hAnsi="Lato" w:cs="Lato-Regular"/>
          <w:bCs/>
          <w:iCs/>
          <w:spacing w:val="4"/>
          <w:sz w:val="22"/>
          <w:szCs w:val="22"/>
          <w:lang w:eastAsia="en-US" w:bidi="pl-PL"/>
        </w:rPr>
        <w:t xml:space="preserve">iż w niniejszym postępowaniu </w:t>
      </w:r>
      <w:r w:rsidR="00C417ED">
        <w:rPr>
          <w:rFonts w:ascii="Lato" w:eastAsiaTheme="minorHAnsi" w:hAnsi="Lato" w:cs="Lato-Regular"/>
          <w:bCs/>
          <w:iCs/>
          <w:spacing w:val="4"/>
          <w:sz w:val="22"/>
          <w:szCs w:val="22"/>
          <w:lang w:eastAsia="en-US" w:bidi="pl-PL"/>
        </w:rPr>
        <w:t xml:space="preserve">odwoławczym </w:t>
      </w:r>
      <w:r w:rsidRPr="00C417ED">
        <w:rPr>
          <w:rFonts w:ascii="Lato" w:eastAsiaTheme="minorHAnsi" w:hAnsi="Lato" w:cs="Lato-Regular"/>
          <w:bCs/>
          <w:iCs/>
          <w:spacing w:val="4"/>
          <w:sz w:val="22"/>
          <w:szCs w:val="22"/>
          <w:lang w:eastAsia="en-US" w:bidi="pl-PL"/>
        </w:rPr>
        <w:t>Minister ocenia jedynie zgodność z prawem wniosku</w:t>
      </w:r>
      <w:r w:rsidR="00C417ED" w:rsidRPr="00C417ED">
        <w:rPr>
          <w:rFonts w:ascii="Lato" w:eastAsiaTheme="minorHAnsi" w:hAnsi="Lato" w:cs="Lato-Regular"/>
          <w:bCs/>
          <w:iCs/>
          <w:spacing w:val="4"/>
          <w:sz w:val="22"/>
          <w:szCs w:val="22"/>
          <w:lang w:eastAsia="en-US" w:bidi="pl-PL"/>
        </w:rPr>
        <w:t xml:space="preserve"> lokalizacyjnego inwestora</w:t>
      </w:r>
      <w:r w:rsidRPr="00C417ED">
        <w:rPr>
          <w:rFonts w:ascii="Lato" w:eastAsiaTheme="minorHAnsi" w:hAnsi="Lato" w:cs="Lato-Regular"/>
          <w:bCs/>
          <w:iCs/>
          <w:spacing w:val="4"/>
          <w:sz w:val="22"/>
          <w:szCs w:val="22"/>
          <w:lang w:eastAsia="en-US" w:bidi="pl-PL"/>
        </w:rPr>
        <w:t>,</w:t>
      </w:r>
      <w:r w:rsidR="00C417ED" w:rsidRPr="00C417ED">
        <w:rPr>
          <w:rFonts w:ascii="Lato" w:eastAsiaTheme="minorHAnsi" w:hAnsi="Lato" w:cs="Lato-Regular"/>
          <w:bCs/>
          <w:iCs/>
          <w:spacing w:val="4"/>
          <w:sz w:val="22"/>
          <w:szCs w:val="22"/>
          <w:lang w:eastAsia="en-US" w:bidi="pl-PL"/>
        </w:rPr>
        <w:t xml:space="preserve"> wydanej w wyniku rozpatrzenia tego wniosku </w:t>
      </w:r>
      <w:r w:rsidRPr="00C417ED">
        <w:rPr>
          <w:rFonts w:ascii="Lato" w:eastAsiaTheme="minorHAnsi" w:hAnsi="Lato" w:cs="Lato-Regular"/>
          <w:bCs/>
          <w:iCs/>
          <w:spacing w:val="4"/>
          <w:sz w:val="22"/>
          <w:szCs w:val="22"/>
          <w:lang w:eastAsia="en-US" w:bidi="pl-PL"/>
        </w:rPr>
        <w:t xml:space="preserve">decyzji Wojewody Mazowieckiego i przebiegu postępowania </w:t>
      </w:r>
      <w:r w:rsidR="00C417ED" w:rsidRPr="00C417ED">
        <w:rPr>
          <w:rFonts w:ascii="Lato" w:eastAsiaTheme="minorHAnsi" w:hAnsi="Lato" w:cs="Lato-Regular"/>
          <w:bCs/>
          <w:iCs/>
          <w:spacing w:val="4"/>
          <w:sz w:val="22"/>
          <w:szCs w:val="22"/>
          <w:lang w:eastAsia="en-US" w:bidi="pl-PL"/>
        </w:rPr>
        <w:t>administracyjnego</w:t>
      </w:r>
      <w:r w:rsidRPr="00C417ED">
        <w:rPr>
          <w:rFonts w:ascii="Lato" w:eastAsiaTheme="minorHAnsi" w:hAnsi="Lato" w:cs="Lato-Regular"/>
          <w:bCs/>
          <w:iCs/>
          <w:spacing w:val="4"/>
          <w:sz w:val="22"/>
          <w:szCs w:val="22"/>
          <w:lang w:eastAsia="en-US" w:bidi="pl-PL"/>
        </w:rPr>
        <w:t xml:space="preserve"> zakończonego wydaniem tej decyzji. </w:t>
      </w:r>
      <w:r w:rsidR="00C417ED" w:rsidRPr="00C417ED">
        <w:rPr>
          <w:rFonts w:ascii="Lato" w:eastAsiaTheme="minorHAnsi" w:hAnsi="Lato" w:cs="Lato-Regular"/>
          <w:bCs/>
          <w:iCs/>
          <w:spacing w:val="4"/>
          <w:sz w:val="22"/>
          <w:szCs w:val="22"/>
          <w:lang w:eastAsia="en-US" w:bidi="pl-PL"/>
        </w:rPr>
        <w:t>Uwagi i zarzuty formułowane przez skarżącego pod adres</w:t>
      </w:r>
      <w:r w:rsidR="00C417ED">
        <w:rPr>
          <w:rFonts w:ascii="Lato" w:eastAsiaTheme="minorHAnsi" w:hAnsi="Lato" w:cs="Lato-Regular"/>
          <w:bCs/>
          <w:iCs/>
          <w:spacing w:val="4"/>
          <w:sz w:val="22"/>
          <w:szCs w:val="22"/>
          <w:lang w:eastAsia="en-US" w:bidi="pl-PL"/>
        </w:rPr>
        <w:t xml:space="preserve">em </w:t>
      </w:r>
      <w:r w:rsidR="00C417ED" w:rsidRPr="00C417ED">
        <w:rPr>
          <w:rFonts w:ascii="Lato" w:eastAsiaTheme="minorHAnsi" w:hAnsi="Lato" w:cs="Lato-Regular"/>
          <w:bCs/>
          <w:iCs/>
          <w:spacing w:val="4"/>
          <w:sz w:val="22"/>
          <w:szCs w:val="22"/>
          <w:lang w:eastAsia="en-US" w:bidi="pl-PL"/>
        </w:rPr>
        <w:t>CPK Sp. z</w:t>
      </w:r>
      <w:r w:rsidR="00C417ED">
        <w:rPr>
          <w:rFonts w:ascii="Lato" w:eastAsiaTheme="minorHAnsi" w:hAnsi="Lato" w:cs="Lato-Regular"/>
          <w:bCs/>
          <w:iCs/>
          <w:spacing w:val="4"/>
          <w:sz w:val="22"/>
          <w:szCs w:val="22"/>
          <w:lang w:eastAsia="en-US" w:bidi="pl-PL"/>
        </w:rPr>
        <w:t xml:space="preserve"> </w:t>
      </w:r>
      <w:r w:rsidR="00C417ED" w:rsidRPr="00C417ED">
        <w:rPr>
          <w:rFonts w:ascii="Lato" w:eastAsiaTheme="minorHAnsi" w:hAnsi="Lato" w:cs="Lato-Regular"/>
          <w:bCs/>
          <w:iCs/>
          <w:spacing w:val="4"/>
          <w:sz w:val="22"/>
          <w:szCs w:val="22"/>
          <w:lang w:eastAsia="en-US" w:bidi="pl-PL"/>
        </w:rPr>
        <w:t xml:space="preserve">o.o. powinny być </w:t>
      </w:r>
      <w:r w:rsidR="00C417ED">
        <w:rPr>
          <w:rFonts w:ascii="Lato" w:eastAsiaTheme="minorHAnsi" w:hAnsi="Lato" w:cs="Lato-Regular"/>
          <w:bCs/>
          <w:iCs/>
          <w:spacing w:val="4"/>
          <w:sz w:val="22"/>
          <w:szCs w:val="22"/>
          <w:lang w:eastAsia="en-US" w:bidi="pl-PL"/>
        </w:rPr>
        <w:t xml:space="preserve">kierowane </w:t>
      </w:r>
      <w:r w:rsidR="00C417ED" w:rsidRPr="00C417ED">
        <w:rPr>
          <w:rFonts w:ascii="Lato" w:eastAsiaTheme="minorHAnsi" w:hAnsi="Lato" w:cs="Lato-Regular"/>
          <w:bCs/>
          <w:iCs/>
          <w:spacing w:val="4"/>
          <w:sz w:val="22"/>
          <w:szCs w:val="22"/>
          <w:lang w:eastAsia="en-US" w:bidi="pl-PL"/>
        </w:rPr>
        <w:t xml:space="preserve">do organów sprawujących nadzór właścicielski </w:t>
      </w:r>
      <w:r w:rsidR="00941683">
        <w:rPr>
          <w:rFonts w:ascii="Lato" w:eastAsiaTheme="minorHAnsi" w:hAnsi="Lato" w:cs="Lato-Regular"/>
          <w:bCs/>
          <w:iCs/>
          <w:spacing w:val="4"/>
          <w:sz w:val="22"/>
          <w:szCs w:val="22"/>
          <w:lang w:eastAsia="en-US" w:bidi="pl-PL"/>
        </w:rPr>
        <w:br/>
      </w:r>
      <w:r w:rsidR="00C417ED" w:rsidRPr="00C417ED">
        <w:rPr>
          <w:rFonts w:ascii="Lato" w:eastAsiaTheme="minorHAnsi" w:hAnsi="Lato" w:cs="Lato-Regular"/>
          <w:bCs/>
          <w:iCs/>
          <w:spacing w:val="4"/>
          <w:sz w:val="22"/>
          <w:szCs w:val="22"/>
          <w:lang w:eastAsia="en-US" w:bidi="pl-PL"/>
        </w:rPr>
        <w:t>i merytoryczny</w:t>
      </w:r>
      <w:r w:rsidR="00C417ED">
        <w:rPr>
          <w:rFonts w:ascii="Lato" w:eastAsiaTheme="minorHAnsi" w:hAnsi="Lato" w:cs="Lato-Regular"/>
          <w:bCs/>
          <w:iCs/>
          <w:spacing w:val="4"/>
          <w:sz w:val="22"/>
          <w:szCs w:val="22"/>
          <w:lang w:eastAsia="en-US" w:bidi="pl-PL"/>
        </w:rPr>
        <w:t xml:space="preserve"> nad tą spółką, tj. </w:t>
      </w:r>
      <w:r w:rsidR="00C417ED" w:rsidRPr="00C417ED">
        <w:rPr>
          <w:rFonts w:ascii="Lato" w:eastAsiaTheme="minorHAnsi" w:hAnsi="Lato" w:cs="Lato-Regular"/>
          <w:bCs/>
          <w:iCs/>
          <w:spacing w:val="4"/>
          <w:sz w:val="22"/>
          <w:szCs w:val="22"/>
          <w:lang w:eastAsia="en-US" w:bidi="pl-PL"/>
        </w:rPr>
        <w:t>Pełnomocnik</w:t>
      </w:r>
      <w:r w:rsidR="00C417ED">
        <w:rPr>
          <w:rFonts w:ascii="Lato" w:eastAsiaTheme="minorHAnsi" w:hAnsi="Lato" w:cs="Lato-Regular"/>
          <w:bCs/>
          <w:iCs/>
          <w:spacing w:val="4"/>
          <w:sz w:val="22"/>
          <w:szCs w:val="22"/>
          <w:lang w:eastAsia="en-US" w:bidi="pl-PL"/>
        </w:rPr>
        <w:t>a</w:t>
      </w:r>
      <w:r w:rsidR="00C417ED" w:rsidRPr="00C417ED">
        <w:rPr>
          <w:rFonts w:ascii="Lato" w:eastAsiaTheme="minorHAnsi" w:hAnsi="Lato" w:cs="Lato-Regular"/>
          <w:bCs/>
          <w:iCs/>
          <w:spacing w:val="4"/>
          <w:sz w:val="22"/>
          <w:szCs w:val="22"/>
          <w:lang w:eastAsia="en-US" w:bidi="pl-PL"/>
        </w:rPr>
        <w:t xml:space="preserve"> Rządu ds. Centralnego Portu Komunikacyjnego</w:t>
      </w:r>
      <w:r w:rsidR="00C417ED">
        <w:rPr>
          <w:rFonts w:ascii="Lato" w:eastAsiaTheme="minorHAnsi" w:hAnsi="Lato" w:cs="Lato-Regular"/>
          <w:bCs/>
          <w:iCs/>
          <w:spacing w:val="4"/>
          <w:sz w:val="22"/>
          <w:szCs w:val="22"/>
          <w:lang w:eastAsia="en-US" w:bidi="pl-PL"/>
        </w:rPr>
        <w:t xml:space="preserve"> i Ministra Infrastruktury. </w:t>
      </w:r>
    </w:p>
    <w:p w14:paraId="42A58126" w14:textId="55DD6628" w:rsidR="00552785" w:rsidRDefault="00552785" w:rsidP="0000338B">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Pr>
          <w:rFonts w:ascii="Lato" w:eastAsiaTheme="minorHAnsi" w:hAnsi="Lato" w:cs="Lato-Regular"/>
          <w:bCs/>
          <w:iCs/>
          <w:spacing w:val="4"/>
          <w:sz w:val="22"/>
          <w:szCs w:val="22"/>
          <w:lang w:eastAsia="en-US" w:bidi="pl-PL"/>
        </w:rPr>
        <w:t xml:space="preserve">O wadliwości decyzji Wojewody Mazowieckiego nie świadczą </w:t>
      </w:r>
      <w:r w:rsidR="00C417ED" w:rsidRPr="00C417ED">
        <w:rPr>
          <w:rFonts w:ascii="Lato" w:eastAsiaTheme="minorHAnsi" w:hAnsi="Lato" w:cs="Lato-Regular"/>
          <w:bCs/>
          <w:iCs/>
          <w:spacing w:val="4"/>
          <w:sz w:val="22"/>
          <w:szCs w:val="22"/>
          <w:lang w:eastAsia="en-US" w:bidi="pl-PL"/>
        </w:rPr>
        <w:t>zarzuty Pana K</w:t>
      </w:r>
      <w:r w:rsidR="00387D48">
        <w:rPr>
          <w:rFonts w:ascii="Lato" w:eastAsiaTheme="minorHAnsi" w:hAnsi="Lato" w:cs="Lato-Regular"/>
          <w:bCs/>
          <w:iCs/>
          <w:spacing w:val="4"/>
          <w:sz w:val="22"/>
          <w:szCs w:val="22"/>
          <w:lang w:eastAsia="en-US" w:bidi="pl-PL"/>
        </w:rPr>
        <w:t>.</w:t>
      </w:r>
      <w:r w:rsidR="00C417ED" w:rsidRPr="00C417ED">
        <w:rPr>
          <w:rFonts w:ascii="Lato" w:eastAsiaTheme="minorHAnsi" w:hAnsi="Lato" w:cs="Lato-Regular"/>
          <w:bCs/>
          <w:iCs/>
          <w:spacing w:val="4"/>
          <w:sz w:val="22"/>
          <w:szCs w:val="22"/>
          <w:lang w:eastAsia="en-US" w:bidi="pl-PL"/>
        </w:rPr>
        <w:t xml:space="preserve"> O</w:t>
      </w:r>
      <w:r w:rsidR="00387D48">
        <w:rPr>
          <w:rFonts w:ascii="Lato" w:eastAsiaTheme="minorHAnsi" w:hAnsi="Lato" w:cs="Lato-Regular"/>
          <w:bCs/>
          <w:iCs/>
          <w:spacing w:val="4"/>
          <w:sz w:val="22"/>
          <w:szCs w:val="22"/>
          <w:lang w:eastAsia="en-US" w:bidi="pl-PL"/>
        </w:rPr>
        <w:t xml:space="preserve">. </w:t>
      </w:r>
      <w:r w:rsidR="00C417ED" w:rsidRPr="00C417ED">
        <w:rPr>
          <w:rFonts w:ascii="Lato" w:eastAsiaTheme="minorHAnsi" w:hAnsi="Lato" w:cs="Lato-Regular"/>
          <w:bCs/>
          <w:iCs/>
          <w:spacing w:val="4"/>
          <w:sz w:val="22"/>
          <w:szCs w:val="22"/>
          <w:lang w:eastAsia="en-US" w:bidi="pl-PL"/>
        </w:rPr>
        <w:t xml:space="preserve">dotyczące naruszenia </w:t>
      </w:r>
      <w:r w:rsidR="0009267A" w:rsidRPr="0009267A">
        <w:rPr>
          <w:rFonts w:ascii="Lato" w:eastAsiaTheme="minorHAnsi" w:hAnsi="Lato" w:cs="Lato-Regular"/>
          <w:bCs/>
          <w:iCs/>
          <w:spacing w:val="4"/>
          <w:sz w:val="22"/>
          <w:szCs w:val="22"/>
          <w:lang w:eastAsia="en-US" w:bidi="pl-PL"/>
        </w:rPr>
        <w:t xml:space="preserve">art. 9 kpa, art. </w:t>
      </w:r>
      <w:r w:rsidR="0009267A" w:rsidRPr="0009267A">
        <w:rPr>
          <w:rFonts w:ascii="Lato" w:eastAsiaTheme="minorHAnsi" w:hAnsi="Lato" w:cs="Lato-Regular"/>
          <w:bCs/>
          <w:iCs/>
          <w:spacing w:val="4"/>
          <w:sz w:val="22"/>
          <w:szCs w:val="22"/>
          <w:lang w:val="en-US" w:eastAsia="en-US" w:bidi="pl-PL"/>
        </w:rPr>
        <w:t>10 § 1 kpa, art. 73 § 1 kpa, art. 7 kpa</w:t>
      </w:r>
      <w:r w:rsidR="0009267A">
        <w:rPr>
          <w:rFonts w:ascii="Lato" w:eastAsiaTheme="minorHAnsi" w:hAnsi="Lato" w:cs="Lato-Regular"/>
          <w:bCs/>
          <w:iCs/>
          <w:spacing w:val="4"/>
          <w:sz w:val="22"/>
          <w:szCs w:val="22"/>
          <w:lang w:eastAsia="en-US" w:bidi="pl-PL"/>
        </w:rPr>
        <w:t xml:space="preserve"> </w:t>
      </w:r>
      <w:r>
        <w:rPr>
          <w:rFonts w:ascii="Lato" w:eastAsiaTheme="minorHAnsi" w:hAnsi="Lato" w:cs="Lato-Regular"/>
          <w:bCs/>
          <w:iCs/>
          <w:spacing w:val="4"/>
          <w:sz w:val="22"/>
          <w:szCs w:val="22"/>
          <w:lang w:eastAsia="en-US" w:bidi="pl-PL"/>
        </w:rPr>
        <w:t xml:space="preserve">przez organ </w:t>
      </w:r>
      <w:r w:rsidRPr="00552785">
        <w:rPr>
          <w:rFonts w:ascii="Lato" w:eastAsiaTheme="minorHAnsi" w:hAnsi="Lato" w:cs="Lato-Regular"/>
          <w:bCs/>
          <w:iCs/>
          <w:spacing w:val="4"/>
          <w:sz w:val="22"/>
          <w:szCs w:val="22"/>
          <w:lang w:eastAsia="en-US" w:bidi="pl-PL"/>
        </w:rPr>
        <w:t>prowadząc</w:t>
      </w:r>
      <w:r w:rsidR="0009267A">
        <w:rPr>
          <w:rFonts w:ascii="Lato" w:eastAsiaTheme="minorHAnsi" w:hAnsi="Lato" w:cs="Lato-Regular"/>
          <w:bCs/>
          <w:iCs/>
          <w:spacing w:val="4"/>
          <w:sz w:val="22"/>
          <w:szCs w:val="22"/>
          <w:lang w:eastAsia="en-US" w:bidi="pl-PL"/>
        </w:rPr>
        <w:t>y</w:t>
      </w:r>
      <w:r w:rsidRPr="00552785">
        <w:rPr>
          <w:rFonts w:ascii="Lato" w:eastAsiaTheme="minorHAnsi" w:hAnsi="Lato" w:cs="Lato-Regular"/>
          <w:bCs/>
          <w:iCs/>
          <w:spacing w:val="4"/>
          <w:sz w:val="22"/>
          <w:szCs w:val="22"/>
          <w:lang w:eastAsia="en-US" w:bidi="pl-PL"/>
        </w:rPr>
        <w:t xml:space="preserve"> postępowani</w:t>
      </w:r>
      <w:r w:rsidR="0009267A">
        <w:rPr>
          <w:rFonts w:ascii="Lato" w:eastAsiaTheme="minorHAnsi" w:hAnsi="Lato" w:cs="Lato-Regular"/>
          <w:bCs/>
          <w:iCs/>
          <w:spacing w:val="4"/>
          <w:sz w:val="22"/>
          <w:szCs w:val="22"/>
          <w:lang w:eastAsia="en-US" w:bidi="pl-PL"/>
        </w:rPr>
        <w:t>a</w:t>
      </w:r>
      <w:r w:rsidRPr="00552785">
        <w:rPr>
          <w:rFonts w:ascii="Lato" w:eastAsiaTheme="minorHAnsi" w:hAnsi="Lato" w:cs="Lato-Regular"/>
          <w:bCs/>
          <w:iCs/>
          <w:spacing w:val="4"/>
          <w:sz w:val="22"/>
          <w:szCs w:val="22"/>
          <w:lang w:eastAsia="en-US" w:bidi="pl-PL"/>
        </w:rPr>
        <w:t xml:space="preserve"> w sprawie pozwoleń na budowę związanych </w:t>
      </w:r>
      <w:r w:rsidR="0009267A">
        <w:rPr>
          <w:rFonts w:ascii="Lato" w:eastAsiaTheme="minorHAnsi" w:hAnsi="Lato" w:cs="Lato-Regular"/>
          <w:bCs/>
          <w:iCs/>
          <w:spacing w:val="4"/>
          <w:sz w:val="22"/>
          <w:szCs w:val="22"/>
          <w:lang w:eastAsia="en-US" w:bidi="pl-PL"/>
        </w:rPr>
        <w:br/>
      </w:r>
      <w:r w:rsidRPr="00552785">
        <w:rPr>
          <w:rFonts w:ascii="Lato" w:eastAsiaTheme="minorHAnsi" w:hAnsi="Lato" w:cs="Lato-Regular"/>
          <w:bCs/>
          <w:iCs/>
          <w:spacing w:val="4"/>
          <w:sz w:val="22"/>
          <w:szCs w:val="22"/>
          <w:lang w:eastAsia="en-US" w:bidi="pl-PL"/>
        </w:rPr>
        <w:t xml:space="preserve">z </w:t>
      </w:r>
      <w:r w:rsidR="0009267A">
        <w:rPr>
          <w:rFonts w:ascii="Lato" w:eastAsiaTheme="minorHAnsi" w:hAnsi="Lato" w:cs="Lato-Regular"/>
          <w:bCs/>
          <w:iCs/>
          <w:spacing w:val="4"/>
          <w:sz w:val="22"/>
          <w:szCs w:val="22"/>
          <w:lang w:eastAsia="en-US" w:bidi="pl-PL"/>
        </w:rPr>
        <w:t>I</w:t>
      </w:r>
      <w:r w:rsidRPr="00552785">
        <w:rPr>
          <w:rFonts w:ascii="Lato" w:eastAsiaTheme="minorHAnsi" w:hAnsi="Lato" w:cs="Lato-Regular"/>
          <w:bCs/>
          <w:iCs/>
          <w:spacing w:val="4"/>
          <w:sz w:val="22"/>
          <w:szCs w:val="22"/>
          <w:lang w:eastAsia="en-US" w:bidi="pl-PL"/>
        </w:rPr>
        <w:t xml:space="preserve">nwestycją </w:t>
      </w:r>
      <w:r w:rsidR="0009267A">
        <w:rPr>
          <w:rFonts w:ascii="Lato" w:eastAsiaTheme="minorHAnsi" w:hAnsi="Lato" w:cs="Lato-Regular"/>
          <w:bCs/>
          <w:iCs/>
          <w:spacing w:val="4"/>
          <w:sz w:val="22"/>
          <w:szCs w:val="22"/>
          <w:lang w:eastAsia="en-US" w:bidi="pl-PL"/>
        </w:rPr>
        <w:t xml:space="preserve">w zakresie </w:t>
      </w:r>
      <w:r w:rsidRPr="00552785">
        <w:rPr>
          <w:rFonts w:ascii="Lato" w:eastAsiaTheme="minorHAnsi" w:hAnsi="Lato" w:cs="Lato-Regular"/>
          <w:bCs/>
          <w:iCs/>
          <w:spacing w:val="4"/>
          <w:sz w:val="22"/>
          <w:szCs w:val="22"/>
          <w:lang w:eastAsia="en-US" w:bidi="pl-PL"/>
        </w:rPr>
        <w:t>uchyl</w:t>
      </w:r>
      <w:r>
        <w:rPr>
          <w:rFonts w:ascii="Lato" w:eastAsiaTheme="minorHAnsi" w:hAnsi="Lato" w:cs="Lato-Regular"/>
          <w:bCs/>
          <w:iCs/>
          <w:spacing w:val="4"/>
          <w:sz w:val="22"/>
          <w:szCs w:val="22"/>
          <w:lang w:eastAsia="en-US" w:bidi="pl-PL"/>
        </w:rPr>
        <w:t>eni</w:t>
      </w:r>
      <w:r w:rsidR="0009267A">
        <w:rPr>
          <w:rFonts w:ascii="Lato" w:eastAsiaTheme="minorHAnsi" w:hAnsi="Lato" w:cs="Lato-Regular"/>
          <w:bCs/>
          <w:iCs/>
          <w:spacing w:val="4"/>
          <w:sz w:val="22"/>
          <w:szCs w:val="22"/>
          <w:lang w:eastAsia="en-US" w:bidi="pl-PL"/>
        </w:rPr>
        <w:t>a</w:t>
      </w:r>
      <w:r w:rsidRPr="00552785">
        <w:rPr>
          <w:rFonts w:ascii="Lato" w:eastAsiaTheme="minorHAnsi" w:hAnsi="Lato" w:cs="Lato-Regular"/>
          <w:bCs/>
          <w:iCs/>
          <w:spacing w:val="4"/>
          <w:sz w:val="22"/>
          <w:szCs w:val="22"/>
          <w:lang w:eastAsia="en-US" w:bidi="pl-PL"/>
        </w:rPr>
        <w:t xml:space="preserve"> się od ustawowego obowiązku rzetelnego i pełnego informowania właścicieli nieruchomości, których te postępowania dotyczą lub których nieruchomości sąsiadują z obszarem </w:t>
      </w:r>
      <w:r>
        <w:rPr>
          <w:rFonts w:ascii="Lato" w:eastAsiaTheme="minorHAnsi" w:hAnsi="Lato" w:cs="Lato-Regular"/>
          <w:bCs/>
          <w:iCs/>
          <w:spacing w:val="4"/>
          <w:sz w:val="22"/>
          <w:szCs w:val="22"/>
          <w:lang w:eastAsia="en-US" w:bidi="pl-PL"/>
        </w:rPr>
        <w:t>I</w:t>
      </w:r>
      <w:r w:rsidRPr="00552785">
        <w:rPr>
          <w:rFonts w:ascii="Lato" w:eastAsiaTheme="minorHAnsi" w:hAnsi="Lato" w:cs="Lato-Regular"/>
          <w:bCs/>
          <w:iCs/>
          <w:spacing w:val="4"/>
          <w:sz w:val="22"/>
          <w:szCs w:val="22"/>
          <w:lang w:eastAsia="en-US" w:bidi="pl-PL"/>
        </w:rPr>
        <w:t>nwestycji.</w:t>
      </w:r>
      <w:r>
        <w:rPr>
          <w:rFonts w:ascii="Lato" w:eastAsiaTheme="minorHAnsi" w:hAnsi="Lato" w:cs="Lato-Regular"/>
          <w:bCs/>
          <w:iCs/>
          <w:spacing w:val="4"/>
          <w:sz w:val="22"/>
          <w:szCs w:val="22"/>
          <w:lang w:eastAsia="en-US" w:bidi="pl-PL"/>
        </w:rPr>
        <w:t xml:space="preserve"> </w:t>
      </w:r>
    </w:p>
    <w:p w14:paraId="6C72E509" w14:textId="5CBD261D" w:rsidR="0000338B" w:rsidRDefault="0009267A" w:rsidP="0009014A">
      <w:pPr>
        <w:autoSpaceDE w:val="0"/>
        <w:autoSpaceDN w:val="0"/>
        <w:adjustRightInd w:val="0"/>
        <w:spacing w:after="240" w:line="240" w:lineRule="exact"/>
        <w:jc w:val="both"/>
        <w:rPr>
          <w:rFonts w:ascii="Lato" w:eastAsiaTheme="minorHAnsi" w:hAnsi="Lato" w:cs="Lato-Regular"/>
          <w:bCs/>
          <w:iCs/>
          <w:spacing w:val="4"/>
          <w:sz w:val="22"/>
          <w:szCs w:val="22"/>
          <w:lang w:eastAsia="en-US" w:bidi="pl-PL"/>
        </w:rPr>
      </w:pPr>
      <w:r>
        <w:rPr>
          <w:rFonts w:ascii="Lato" w:eastAsiaTheme="minorHAnsi" w:hAnsi="Lato" w:cs="Lato-Regular"/>
          <w:bCs/>
          <w:iCs/>
          <w:spacing w:val="4"/>
          <w:sz w:val="22"/>
          <w:szCs w:val="22"/>
          <w:lang w:eastAsia="en-US" w:bidi="pl-PL"/>
        </w:rPr>
        <w:t xml:space="preserve">Zauważyć należy, iż będąca </w:t>
      </w:r>
      <w:r w:rsidR="008356B2">
        <w:rPr>
          <w:rFonts w:ascii="Lato" w:eastAsiaTheme="minorHAnsi" w:hAnsi="Lato" w:cs="Lato-Regular"/>
          <w:bCs/>
          <w:iCs/>
          <w:spacing w:val="4"/>
          <w:sz w:val="22"/>
          <w:szCs w:val="22"/>
          <w:lang w:eastAsia="en-US" w:bidi="pl-PL"/>
        </w:rPr>
        <w:t>przedmiotem niniejszego postepowania odwoławczego d</w:t>
      </w:r>
      <w:r w:rsidR="00552785" w:rsidRPr="00552785">
        <w:rPr>
          <w:rFonts w:ascii="Lato" w:eastAsiaTheme="minorHAnsi" w:hAnsi="Lato" w:cs="Lato-Regular"/>
          <w:bCs/>
          <w:iCs/>
          <w:spacing w:val="4"/>
          <w:sz w:val="22"/>
          <w:szCs w:val="22"/>
          <w:lang w:eastAsia="en-US" w:bidi="pl-PL"/>
        </w:rPr>
        <w:t>ecyzja Wojewody Mazowieckiego jest decyzją o ustaleniu lokalizacji inwestycji</w:t>
      </w:r>
      <w:r w:rsidR="008356B2">
        <w:rPr>
          <w:rFonts w:ascii="Lato" w:eastAsiaTheme="minorHAnsi" w:hAnsi="Lato" w:cs="Lato-Regular"/>
          <w:bCs/>
          <w:iCs/>
          <w:spacing w:val="4"/>
          <w:sz w:val="22"/>
          <w:szCs w:val="22"/>
          <w:lang w:eastAsia="en-US" w:bidi="pl-PL"/>
        </w:rPr>
        <w:t xml:space="preserve"> </w:t>
      </w:r>
      <w:r w:rsidR="008356B2">
        <w:rPr>
          <w:rFonts w:ascii="Lato" w:eastAsiaTheme="minorHAnsi" w:hAnsi="Lato" w:cs="Lato-Regular"/>
          <w:bCs/>
          <w:iCs/>
          <w:spacing w:val="4"/>
          <w:sz w:val="22"/>
          <w:szCs w:val="22"/>
          <w:lang w:eastAsia="en-US" w:bidi="pl-PL"/>
        </w:rPr>
        <w:br/>
        <w:t>w zakresie CPK.</w:t>
      </w:r>
      <w:r w:rsidR="00552785">
        <w:rPr>
          <w:rFonts w:ascii="Lato" w:eastAsiaTheme="minorHAnsi" w:hAnsi="Lato" w:cs="Lato-Regular"/>
          <w:bCs/>
          <w:iCs/>
          <w:spacing w:val="4"/>
          <w:sz w:val="22"/>
          <w:szCs w:val="22"/>
          <w:lang w:eastAsia="en-US" w:bidi="pl-PL"/>
        </w:rPr>
        <w:t xml:space="preserve"> Minister w niniejszym postępowaniu odwoławczym </w:t>
      </w:r>
      <w:r w:rsidR="008356B2" w:rsidRPr="008356B2">
        <w:rPr>
          <w:rFonts w:ascii="Lato" w:eastAsiaTheme="minorHAnsi" w:hAnsi="Lato" w:cs="Lato-Regular"/>
          <w:bCs/>
          <w:iCs/>
          <w:spacing w:val="4"/>
          <w:sz w:val="22"/>
          <w:szCs w:val="22"/>
          <w:lang w:eastAsia="en-US" w:bidi="pl-PL"/>
        </w:rPr>
        <w:t xml:space="preserve">nie jest właściwy do oceny zgodności z prawem </w:t>
      </w:r>
      <w:r>
        <w:rPr>
          <w:rFonts w:ascii="Lato" w:eastAsiaTheme="minorHAnsi" w:hAnsi="Lato" w:cs="Lato-Regular"/>
          <w:bCs/>
          <w:iCs/>
          <w:spacing w:val="4"/>
          <w:sz w:val="22"/>
          <w:szCs w:val="22"/>
          <w:lang w:eastAsia="en-US" w:bidi="pl-PL"/>
        </w:rPr>
        <w:t xml:space="preserve">odrębnych </w:t>
      </w:r>
      <w:r w:rsidR="008356B2" w:rsidRPr="008356B2">
        <w:rPr>
          <w:rFonts w:ascii="Lato" w:eastAsiaTheme="minorHAnsi" w:hAnsi="Lato" w:cs="Lato-Regular"/>
          <w:bCs/>
          <w:iCs/>
          <w:spacing w:val="4"/>
          <w:sz w:val="22"/>
          <w:szCs w:val="22"/>
          <w:lang w:eastAsia="en-US" w:bidi="pl-PL"/>
        </w:rPr>
        <w:t>postępowań w sprawie pozwoleń na budowę, gdy leży to poza jego kompetencjami</w:t>
      </w:r>
      <w:r w:rsidR="008356B2">
        <w:rPr>
          <w:rFonts w:ascii="Lato" w:eastAsiaTheme="minorHAnsi" w:hAnsi="Lato" w:cs="Lato-Regular"/>
          <w:bCs/>
          <w:iCs/>
          <w:spacing w:val="4"/>
          <w:sz w:val="22"/>
          <w:szCs w:val="22"/>
          <w:lang w:eastAsia="en-US" w:bidi="pl-PL"/>
        </w:rPr>
        <w:t xml:space="preserve"> jako organu właściwego do rozpatrzenia odwołania </w:t>
      </w:r>
      <w:r>
        <w:rPr>
          <w:rFonts w:ascii="Lato" w:eastAsiaTheme="minorHAnsi" w:hAnsi="Lato" w:cs="Lato-Regular"/>
          <w:bCs/>
          <w:iCs/>
          <w:spacing w:val="4"/>
          <w:sz w:val="22"/>
          <w:szCs w:val="22"/>
          <w:lang w:eastAsia="en-US" w:bidi="pl-PL"/>
        </w:rPr>
        <w:br/>
      </w:r>
      <w:r w:rsidR="008356B2">
        <w:rPr>
          <w:rFonts w:ascii="Lato" w:eastAsiaTheme="minorHAnsi" w:hAnsi="Lato" w:cs="Lato-Regular"/>
          <w:bCs/>
          <w:iCs/>
          <w:spacing w:val="4"/>
          <w:sz w:val="22"/>
          <w:szCs w:val="22"/>
          <w:lang w:eastAsia="en-US" w:bidi="pl-PL"/>
        </w:rPr>
        <w:t xml:space="preserve">od </w:t>
      </w:r>
      <w:r w:rsidR="008356B2">
        <w:rPr>
          <w:rFonts w:ascii="Lato" w:eastAsiaTheme="minorHAnsi" w:hAnsi="Lato" w:cs="Lato-Regular"/>
          <w:iCs/>
          <w:spacing w:val="4"/>
          <w:sz w:val="22"/>
          <w:szCs w:val="22"/>
          <w:lang w:eastAsia="en-US"/>
        </w:rPr>
        <w:t>d</w:t>
      </w:r>
      <w:r w:rsidR="008356B2" w:rsidRPr="008356B2">
        <w:rPr>
          <w:rFonts w:ascii="Lato" w:eastAsiaTheme="minorHAnsi" w:hAnsi="Lato" w:cs="Lato-Regular"/>
          <w:iCs/>
          <w:spacing w:val="4"/>
          <w:sz w:val="22"/>
          <w:szCs w:val="22"/>
          <w:lang w:eastAsia="en-US"/>
        </w:rPr>
        <w:t>ecyzj</w:t>
      </w:r>
      <w:r w:rsidR="008356B2">
        <w:rPr>
          <w:rFonts w:ascii="Lato" w:eastAsiaTheme="minorHAnsi" w:hAnsi="Lato" w:cs="Lato-Regular"/>
          <w:iCs/>
          <w:spacing w:val="4"/>
          <w:sz w:val="22"/>
          <w:szCs w:val="22"/>
          <w:lang w:eastAsia="en-US"/>
        </w:rPr>
        <w:t>i</w:t>
      </w:r>
      <w:r w:rsidR="008356B2" w:rsidRPr="008356B2">
        <w:rPr>
          <w:rFonts w:ascii="Lato" w:eastAsiaTheme="minorHAnsi" w:hAnsi="Lato" w:cs="Lato-Regular"/>
          <w:iCs/>
          <w:spacing w:val="4"/>
          <w:sz w:val="22"/>
          <w:szCs w:val="22"/>
          <w:lang w:eastAsia="en-US"/>
        </w:rPr>
        <w:t xml:space="preserve"> o ustaleniu lokalizacji inwestycji w zakresie CPK</w:t>
      </w:r>
      <w:r w:rsidR="008356B2">
        <w:rPr>
          <w:rFonts w:ascii="Lato" w:eastAsiaTheme="minorHAnsi" w:hAnsi="Lato" w:cs="Lato-Regular"/>
          <w:iCs/>
          <w:spacing w:val="4"/>
          <w:sz w:val="22"/>
          <w:szCs w:val="22"/>
          <w:lang w:eastAsia="en-US"/>
        </w:rPr>
        <w:t xml:space="preserve">, zgodnie z art. 40 ust. 1 ustawy CPK. </w:t>
      </w:r>
      <w:r w:rsidRPr="0009267A">
        <w:rPr>
          <w:rFonts w:ascii="Lato" w:eastAsiaTheme="minorHAnsi" w:hAnsi="Lato" w:cs="Lato-Regular"/>
          <w:bCs/>
          <w:iCs/>
          <w:spacing w:val="4"/>
          <w:sz w:val="22"/>
          <w:szCs w:val="22"/>
          <w:lang w:eastAsia="en-US" w:bidi="pl-PL"/>
        </w:rPr>
        <w:t xml:space="preserve">Nie jest zadaniem </w:t>
      </w:r>
      <w:r>
        <w:rPr>
          <w:rFonts w:ascii="Lato" w:eastAsiaTheme="minorHAnsi" w:hAnsi="Lato" w:cs="Lato-Regular"/>
          <w:bCs/>
          <w:iCs/>
          <w:spacing w:val="4"/>
          <w:sz w:val="22"/>
          <w:szCs w:val="22"/>
          <w:lang w:eastAsia="en-US" w:bidi="pl-PL"/>
        </w:rPr>
        <w:t xml:space="preserve">Ministra </w:t>
      </w:r>
      <w:r w:rsidRPr="0009267A">
        <w:rPr>
          <w:rFonts w:ascii="Lato" w:eastAsiaTheme="minorHAnsi" w:hAnsi="Lato" w:cs="Lato-Regular"/>
          <w:bCs/>
          <w:iCs/>
          <w:spacing w:val="4"/>
          <w:sz w:val="22"/>
          <w:szCs w:val="22"/>
          <w:lang w:eastAsia="en-US" w:bidi="pl-PL"/>
        </w:rPr>
        <w:t xml:space="preserve">ocena </w:t>
      </w:r>
      <w:r>
        <w:rPr>
          <w:rFonts w:ascii="Lato" w:eastAsiaTheme="minorHAnsi" w:hAnsi="Lato" w:cs="Lato-Regular"/>
          <w:bCs/>
          <w:iCs/>
          <w:spacing w:val="4"/>
          <w:sz w:val="22"/>
          <w:szCs w:val="22"/>
          <w:lang w:eastAsia="en-US" w:bidi="pl-PL"/>
        </w:rPr>
        <w:t xml:space="preserve">innych spraw </w:t>
      </w:r>
      <w:r w:rsidRPr="0009267A">
        <w:rPr>
          <w:rFonts w:ascii="Lato" w:eastAsiaTheme="minorHAnsi" w:hAnsi="Lato" w:cs="Lato-Regular"/>
          <w:bCs/>
          <w:iCs/>
          <w:spacing w:val="4"/>
          <w:sz w:val="22"/>
          <w:szCs w:val="22"/>
          <w:lang w:eastAsia="en-US" w:bidi="pl-PL"/>
        </w:rPr>
        <w:t>nie będących przedmiotem prowadzonego postępowania</w:t>
      </w:r>
      <w:r>
        <w:rPr>
          <w:rFonts w:ascii="Lato" w:eastAsiaTheme="minorHAnsi" w:hAnsi="Lato" w:cs="Lato-Regular"/>
          <w:bCs/>
          <w:iCs/>
          <w:spacing w:val="4"/>
          <w:sz w:val="22"/>
          <w:szCs w:val="22"/>
          <w:lang w:eastAsia="en-US" w:bidi="pl-PL"/>
        </w:rPr>
        <w:t>.</w:t>
      </w:r>
    </w:p>
    <w:p w14:paraId="5CF8446D" w14:textId="5757D9ED" w:rsidR="003124ED" w:rsidRPr="00717AB7" w:rsidRDefault="00F665AC" w:rsidP="0009014A">
      <w:pPr>
        <w:autoSpaceDE w:val="0"/>
        <w:autoSpaceDN w:val="0"/>
        <w:adjustRightInd w:val="0"/>
        <w:spacing w:after="240" w:line="240" w:lineRule="exact"/>
        <w:jc w:val="both"/>
        <w:rPr>
          <w:rFonts w:ascii="Lato" w:eastAsiaTheme="minorHAnsi" w:hAnsi="Lato" w:cs="Lato-Regular"/>
          <w:b/>
          <w:bCs/>
          <w:iCs/>
          <w:spacing w:val="4"/>
          <w:sz w:val="22"/>
          <w:szCs w:val="22"/>
          <w:lang w:val="en-US" w:eastAsia="en-US" w:bidi="pl-PL"/>
        </w:rPr>
      </w:pPr>
      <w:r w:rsidRPr="00045305">
        <w:rPr>
          <w:rFonts w:ascii="Lato" w:eastAsiaTheme="minorHAnsi" w:hAnsi="Lato" w:cs="Lato-Regular"/>
          <w:bCs/>
          <w:iCs/>
          <w:spacing w:val="4"/>
          <w:sz w:val="22"/>
          <w:szCs w:val="22"/>
          <w:lang w:eastAsia="en-US" w:bidi="pl-PL"/>
        </w:rPr>
        <w:lastRenderedPageBreak/>
        <w:t>Odnosząc się do żądania skarżącego o uchylenie „decyzji o nadaniu” decyzji lokalizacyjnej  rygoru natychmiastowej wykonalności</w:t>
      </w:r>
      <w:r w:rsidR="00045305" w:rsidRPr="00717AB7">
        <w:rPr>
          <w:rFonts w:asciiTheme="minorHAnsi" w:eastAsiaTheme="minorHAnsi" w:hAnsiTheme="minorHAnsi" w:cstheme="minorBidi"/>
          <w:b/>
          <w:bCs/>
          <w:kern w:val="2"/>
          <w:sz w:val="22"/>
          <w:szCs w:val="22"/>
          <w:lang w:val="en-US" w:eastAsia="en-US"/>
          <w14:ligatures w14:val="standardContextual"/>
        </w:rPr>
        <w:t xml:space="preserve"> </w:t>
      </w:r>
      <w:r w:rsidR="00045305" w:rsidRPr="00717AB7">
        <w:rPr>
          <w:rFonts w:ascii="Lato" w:eastAsiaTheme="minorHAnsi" w:hAnsi="Lato" w:cstheme="minorBidi"/>
          <w:kern w:val="2"/>
          <w:sz w:val="22"/>
          <w:szCs w:val="22"/>
          <w:lang w:val="en-US" w:eastAsia="en-US"/>
          <w14:ligatures w14:val="standardContextual"/>
        </w:rPr>
        <w:t xml:space="preserve">w części dotyczącej </w:t>
      </w:r>
      <w:r w:rsidR="00045305">
        <w:rPr>
          <w:rFonts w:ascii="Lato" w:eastAsiaTheme="minorHAnsi" w:hAnsi="Lato" w:cstheme="minorBidi"/>
          <w:kern w:val="2"/>
          <w:sz w:val="22"/>
          <w:szCs w:val="22"/>
          <w:lang w:val="en-US" w:eastAsia="en-US"/>
          <w14:ligatures w14:val="standardContextual"/>
        </w:rPr>
        <w:t xml:space="preserve">ww. </w:t>
      </w:r>
      <w:r w:rsidR="00045305" w:rsidRPr="00717AB7">
        <w:rPr>
          <w:rFonts w:ascii="Lato" w:eastAsiaTheme="minorHAnsi" w:hAnsi="Lato" w:cstheme="minorBidi"/>
          <w:kern w:val="2"/>
          <w:sz w:val="22"/>
          <w:szCs w:val="22"/>
          <w:lang w:val="en-US" w:eastAsia="en-US"/>
          <w14:ligatures w14:val="standardContextual"/>
        </w:rPr>
        <w:t>działki nr 133</w:t>
      </w:r>
      <w:r>
        <w:rPr>
          <w:rFonts w:ascii="Lato" w:eastAsiaTheme="minorHAnsi" w:hAnsi="Lato" w:cs="Lato-Regular"/>
          <w:bCs/>
          <w:iCs/>
          <w:spacing w:val="4"/>
          <w:sz w:val="22"/>
          <w:szCs w:val="22"/>
          <w:lang w:eastAsia="en-US" w:bidi="pl-PL"/>
        </w:rPr>
        <w:t xml:space="preserve">, to wyjaśnić należy, że rygor natychmiastowej wykonalności został nadany decyzji Wojewody Mazowieckiego w drodze odrębnego </w:t>
      </w:r>
      <w:r w:rsidRPr="00F665AC">
        <w:rPr>
          <w:rFonts w:ascii="Lato" w:eastAsiaTheme="minorHAnsi" w:hAnsi="Lato" w:cs="Lato-Regular"/>
          <w:bCs/>
          <w:iCs/>
          <w:spacing w:val="4"/>
          <w:sz w:val="22"/>
          <w:szCs w:val="22"/>
          <w:lang w:eastAsia="en-US" w:bidi="pl-PL"/>
        </w:rPr>
        <w:t>postanowieni</w:t>
      </w:r>
      <w:r>
        <w:rPr>
          <w:rFonts w:ascii="Lato" w:eastAsiaTheme="minorHAnsi" w:hAnsi="Lato" w:cs="Lato-Regular"/>
          <w:bCs/>
          <w:iCs/>
          <w:spacing w:val="4"/>
          <w:sz w:val="22"/>
          <w:szCs w:val="22"/>
          <w:lang w:eastAsia="en-US" w:bidi="pl-PL"/>
        </w:rPr>
        <w:t xml:space="preserve">a Wojewody Mazowieckiego </w:t>
      </w:r>
      <w:r w:rsidR="00045305">
        <w:rPr>
          <w:rFonts w:ascii="Lato" w:eastAsiaTheme="minorHAnsi" w:hAnsi="Lato" w:cs="Lato-Regular"/>
          <w:bCs/>
          <w:iCs/>
          <w:spacing w:val="4"/>
          <w:sz w:val="22"/>
          <w:szCs w:val="22"/>
          <w:lang w:eastAsia="en-US" w:bidi="pl-PL"/>
        </w:rPr>
        <w:br/>
      </w:r>
      <w:r w:rsidRPr="00F665AC">
        <w:rPr>
          <w:rFonts w:ascii="Lato" w:eastAsiaTheme="minorHAnsi" w:hAnsi="Lato" w:cs="Lato-Regular"/>
          <w:bCs/>
          <w:iCs/>
          <w:spacing w:val="4"/>
          <w:sz w:val="22"/>
          <w:szCs w:val="22"/>
          <w:lang w:eastAsia="en-US" w:bidi="pl-PL"/>
        </w:rPr>
        <w:t>Nr 1777/SAAB/2025 z dnia 8 grudnia 2025 r., znak: WIR-I.746.1.44.2023, WIR-I.747.6.28.2023</w:t>
      </w:r>
      <w:r>
        <w:rPr>
          <w:rFonts w:ascii="Lato" w:eastAsiaTheme="minorHAnsi" w:hAnsi="Lato" w:cs="Lato-Regular"/>
          <w:bCs/>
          <w:iCs/>
          <w:spacing w:val="4"/>
          <w:sz w:val="22"/>
          <w:szCs w:val="22"/>
          <w:lang w:eastAsia="en-US" w:bidi="pl-PL"/>
        </w:rPr>
        <w:t>), które podlegało odrębnemu trybowi zaskarżenia</w:t>
      </w:r>
      <w:r w:rsidR="00045305">
        <w:rPr>
          <w:rFonts w:ascii="Lato" w:eastAsiaTheme="minorHAnsi" w:hAnsi="Lato" w:cs="Lato-Regular"/>
          <w:bCs/>
          <w:iCs/>
          <w:spacing w:val="4"/>
          <w:sz w:val="22"/>
          <w:szCs w:val="22"/>
          <w:lang w:eastAsia="en-US" w:bidi="pl-PL"/>
        </w:rPr>
        <w:t xml:space="preserve"> w drodze zażalenia</w:t>
      </w:r>
      <w:r>
        <w:rPr>
          <w:rFonts w:ascii="Lato" w:eastAsiaTheme="minorHAnsi" w:hAnsi="Lato" w:cs="Lato-Regular"/>
          <w:bCs/>
          <w:iCs/>
          <w:spacing w:val="4"/>
          <w:sz w:val="22"/>
          <w:szCs w:val="22"/>
          <w:lang w:eastAsia="en-US" w:bidi="pl-PL"/>
        </w:rPr>
        <w:t xml:space="preserve">, </w:t>
      </w:r>
      <w:r w:rsidR="00045305">
        <w:rPr>
          <w:rFonts w:ascii="Lato" w:eastAsiaTheme="minorHAnsi" w:hAnsi="Lato" w:cs="Lato-Regular"/>
          <w:bCs/>
          <w:iCs/>
          <w:spacing w:val="4"/>
          <w:sz w:val="22"/>
          <w:szCs w:val="22"/>
          <w:lang w:eastAsia="en-US" w:bidi="pl-PL"/>
        </w:rPr>
        <w:br/>
      </w:r>
      <w:r>
        <w:rPr>
          <w:rFonts w:ascii="Lato" w:eastAsiaTheme="minorHAnsi" w:hAnsi="Lato" w:cs="Lato-Regular"/>
          <w:bCs/>
          <w:iCs/>
          <w:spacing w:val="4"/>
          <w:sz w:val="22"/>
          <w:szCs w:val="22"/>
          <w:lang w:eastAsia="en-US" w:bidi="pl-PL"/>
        </w:rPr>
        <w:t xml:space="preserve">a nie jako </w:t>
      </w:r>
      <w:r w:rsidR="003124ED">
        <w:rPr>
          <w:rFonts w:ascii="Lato" w:eastAsiaTheme="minorHAnsi" w:hAnsi="Lato" w:cs="Lato-Regular"/>
          <w:bCs/>
          <w:iCs/>
          <w:spacing w:val="4"/>
          <w:sz w:val="22"/>
          <w:szCs w:val="22"/>
          <w:lang w:eastAsia="en-US" w:bidi="pl-PL"/>
        </w:rPr>
        <w:t xml:space="preserve">jeden </w:t>
      </w:r>
      <w:r w:rsidR="003124ED" w:rsidRPr="003124ED">
        <w:rPr>
          <w:rFonts w:ascii="Lato" w:eastAsiaTheme="minorHAnsi" w:hAnsi="Lato" w:cs="Lato-Regular"/>
          <w:bCs/>
          <w:iCs/>
          <w:spacing w:val="4"/>
          <w:sz w:val="22"/>
          <w:szCs w:val="22"/>
          <w:lang w:eastAsia="en-US" w:bidi="pl-PL"/>
        </w:rPr>
        <w:t>z elementów decyzji organu I instancji</w:t>
      </w:r>
      <w:r w:rsidR="003124ED">
        <w:rPr>
          <w:rFonts w:ascii="Lato" w:eastAsiaTheme="minorHAnsi" w:hAnsi="Lato" w:cs="Lato-Regular"/>
          <w:bCs/>
          <w:iCs/>
          <w:spacing w:val="4"/>
          <w:sz w:val="22"/>
          <w:szCs w:val="22"/>
          <w:lang w:eastAsia="en-US" w:bidi="pl-PL"/>
        </w:rPr>
        <w:t>.</w:t>
      </w:r>
    </w:p>
    <w:p w14:paraId="7E09F825" w14:textId="3C7F9F00" w:rsidR="0009014A" w:rsidRPr="008356B2" w:rsidRDefault="0009014A" w:rsidP="0009014A">
      <w:pPr>
        <w:spacing w:after="120" w:line="240" w:lineRule="exact"/>
        <w:jc w:val="both"/>
        <w:rPr>
          <w:rFonts w:ascii="Lato" w:hAnsi="Lato" w:cs="Arial"/>
          <w:bCs/>
          <w:iCs/>
          <w:spacing w:val="4"/>
          <w:sz w:val="22"/>
          <w:szCs w:val="22"/>
          <w:lang w:bidi="pl-PL"/>
        </w:rPr>
      </w:pPr>
      <w:r w:rsidRPr="008356B2">
        <w:rPr>
          <w:rFonts w:ascii="Lato" w:hAnsi="Lato" w:cs="Arial"/>
          <w:bCs/>
          <w:iCs/>
          <w:spacing w:val="4"/>
          <w:sz w:val="22"/>
          <w:szCs w:val="22"/>
          <w:lang w:bidi="pl-PL"/>
        </w:rPr>
        <w:t>Na uwzględnienie nie zasługują zarzuty Pani A</w:t>
      </w:r>
      <w:r w:rsidR="00387D48">
        <w:rPr>
          <w:rFonts w:ascii="Lato" w:hAnsi="Lato" w:cs="Arial"/>
          <w:bCs/>
          <w:iCs/>
          <w:spacing w:val="4"/>
          <w:sz w:val="22"/>
          <w:szCs w:val="22"/>
          <w:lang w:bidi="pl-PL"/>
        </w:rPr>
        <w:t>.</w:t>
      </w:r>
      <w:r w:rsidRPr="008356B2">
        <w:rPr>
          <w:rFonts w:ascii="Lato" w:hAnsi="Lato" w:cs="Arial"/>
          <w:bCs/>
          <w:iCs/>
          <w:spacing w:val="4"/>
          <w:sz w:val="22"/>
          <w:szCs w:val="22"/>
          <w:lang w:bidi="pl-PL"/>
        </w:rPr>
        <w:t xml:space="preserve"> B</w:t>
      </w:r>
      <w:r w:rsidR="00387D48">
        <w:rPr>
          <w:rFonts w:ascii="Lato" w:hAnsi="Lato" w:cs="Arial"/>
          <w:bCs/>
          <w:iCs/>
          <w:spacing w:val="4"/>
          <w:sz w:val="22"/>
          <w:szCs w:val="22"/>
          <w:lang w:bidi="pl-PL"/>
        </w:rPr>
        <w:t>.</w:t>
      </w:r>
      <w:r w:rsidRPr="008356B2">
        <w:rPr>
          <w:rFonts w:ascii="Lato" w:hAnsi="Lato" w:cs="Arial"/>
          <w:bCs/>
          <w:iCs/>
          <w:spacing w:val="4"/>
          <w:sz w:val="22"/>
          <w:szCs w:val="22"/>
          <w:lang w:bidi="pl-PL"/>
        </w:rPr>
        <w:t xml:space="preserve"> dotyczące tego, że:</w:t>
      </w:r>
    </w:p>
    <w:p w14:paraId="5F81A78A" w14:textId="3222CA24" w:rsidR="0009014A" w:rsidRPr="0009014A" w:rsidRDefault="0009014A">
      <w:pPr>
        <w:numPr>
          <w:ilvl w:val="0"/>
          <w:numId w:val="41"/>
        </w:numPr>
        <w:spacing w:after="12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decyzja lokalizacyjna została wydana, mimo że we wniosku nie wskazano wszystkich nieruchomości z terenu objętego lokalizacją Inwestycji na co zwracał uwagę Wójt Gminy </w:t>
      </w:r>
      <w:r w:rsidR="00FF4DA6">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p>
    <w:p w14:paraId="0C053BF7" w14:textId="77777777" w:rsidR="0009014A" w:rsidRPr="0009014A" w:rsidRDefault="0009014A">
      <w:pPr>
        <w:numPr>
          <w:ilvl w:val="0"/>
          <w:numId w:val="41"/>
        </w:numPr>
        <w:spacing w:after="240" w:line="240" w:lineRule="exact"/>
        <w:ind w:left="357" w:hanging="357"/>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występują uzasadnione obawy, że wykaz nieruchomości do których inwestor uzyskał prawa przed złożeniem wniosku o wydanie decyzji lokalizacyjnej nie został rzetelnie zaktualizowany.</w:t>
      </w:r>
    </w:p>
    <w:p w14:paraId="3FDA3C9C"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Mając na uwadze charakter ww. zarzutów, przypomnieć należy, iż w przypadku wszelkich inwestycji liniowych, w tym związanych z budową CPK, zakres chronionego interesu prawnego stron jest zasadniczo determinowany tym, na ile inwestycja oddziałuje na ich prawa rzeczowe, wynikające zwłaszcza z własności nieruchomości lub prawa użytkowania wieczystego. Skarżąca może wykazywać naruszenie własnego interesu prawnego wyłącznie w odniesieniu do działki nr 173, z obrębu 0022 Skrzelew, stanowiącej jej własność i wymienionej w odwołaniu, a nie w odniesieniu do działek stanowiących własność innych osób/podmiotów.</w:t>
      </w:r>
      <w:r w:rsidRPr="0009014A">
        <w:t xml:space="preserve"> </w:t>
      </w:r>
      <w:r w:rsidRPr="0009014A">
        <w:rPr>
          <w:rFonts w:ascii="Lato" w:hAnsi="Lato" w:cs="Arial"/>
          <w:bCs/>
          <w:iCs/>
          <w:color w:val="000000"/>
          <w:spacing w:val="4"/>
          <w:sz w:val="22"/>
          <w:szCs w:val="22"/>
          <w:lang w:bidi="pl-PL"/>
        </w:rPr>
        <w:t>Jest to bowiem poza interesem prawnym skarżącej, wyznaczanym przysługującym prawem własności do działki objętej zakresem decyzji Wojewody Mazowieckiego, i w konsekwencji tego, rzeczone zarzuty stanowią niedopuszczalną w postępowaniu administracyjnym skargę publiczną</w:t>
      </w:r>
      <w:r w:rsidRPr="0009014A">
        <w:t xml:space="preserve"> </w:t>
      </w:r>
      <w:r w:rsidRPr="0009014A">
        <w:rPr>
          <w:rFonts w:ascii="Lato" w:hAnsi="Lato" w:cs="Arial"/>
          <w:bCs/>
          <w:iCs/>
          <w:color w:val="000000"/>
          <w:spacing w:val="4"/>
          <w:sz w:val="22"/>
          <w:szCs w:val="22"/>
          <w:lang w:bidi="pl-PL"/>
        </w:rPr>
        <w:t xml:space="preserve">(actio popularis). Działka skarżącej nr 173, z obrębu 0022 Skrzelew została wymieniona we właściwych jednostkach redakcyjnych Wojewody Mazowieckiego i w załączniku graficznym do tej decyzji, jako w całości wywłaszczana pod Inwestycję. Niezależnie od tego, Minister analizując akt sprawy nie stwierdził uchybień wskazywanych przez skarżącą. </w:t>
      </w:r>
    </w:p>
    <w:p w14:paraId="32540A42" w14:textId="4C1A1BEB"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 powyższych względów, skarżąca nie ma także interesu prawnego do podnoszenia zarzutów dotyczących tego, iż w decyzji Wojewody Mazowieckiego nie wskazano czasokresu ustanowienia ograniczeń w sposobie korzystania z nieruchomości, bowiem jej działka nie jest objęta dyspozycją pkt X decyzji Wojewody Mazowieckiego. Niezależnie od tego, Minister w niniejszej decyzji zajął stanowisko odnośnie podobnego zarzutu sformułowanego w odwołaniu Państwa K</w:t>
      </w:r>
      <w:r w:rsidR="00CC2993">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spółki </w:t>
      </w:r>
      <w:r w:rsidR="00CC2993">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Odnośnie zarzutów skarżącej dotyczących niewłaściwie zatwierdzonego Planu Generalnego Lotniska </w:t>
      </w:r>
      <w:r w:rsidR="00CC2993">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i wydania decyzji lokalizacyjnej pomimo braku prawomocnej decyzji o środowiskowych uwarunkowaniach, Minister podtrzymuje argumentację zawartą wcześniej w niniejszej decyzji odnośnie tożsamych zarzutów Państwa K</w:t>
      </w:r>
      <w:r w:rsidR="00CC2993">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spółki </w:t>
      </w:r>
      <w:r w:rsidR="00CC2993">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p>
    <w:p w14:paraId="5D1A5ACB" w14:textId="378DD0E3"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Na uwzględnienie nie zasługuje zarzut Pana P</w:t>
      </w:r>
      <w:r w:rsidR="0033309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G</w:t>
      </w:r>
      <w:r w:rsidR="0033309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naruszenia art. 72 ust. 1 pkt 24 w zw. z art. 71 ust. 2 pkt 1 ustawy o udostępnianiu informacji o środowisku i jego ochronie, poprzez jego niezastosowanie do ustalonego w sprawie stanu faktycznego </w:t>
      </w:r>
      <w:r w:rsidR="00333097">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i wydanie zaskarżonej decyzji lokalizacyjnej, pomimo, że inwestor składając wniosek </w:t>
      </w:r>
      <w:r w:rsidR="00333097">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o wydanie decyzji lokalizacyjnej nie dysponował prawomocną decyzją o środowiskowych uwarunkowaniach. W zakresie tego zarzutu Minister podtrzymuje argumentację zawartą wcześniej w niniejszej decyzji odnośnie tożsamego w swej istocie zarzutu odwołania Państwa K</w:t>
      </w:r>
      <w:r w:rsidR="0033309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spółki </w:t>
      </w:r>
      <w:r w:rsidR="0033309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p>
    <w:p w14:paraId="571A0F43" w14:textId="06C1076A" w:rsidR="0009014A" w:rsidRPr="0009014A" w:rsidRDefault="0009014A" w:rsidP="0009014A">
      <w:pPr>
        <w:spacing w:after="12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lastRenderedPageBreak/>
        <w:t>Za  niezasadne należy uznać zarzuty Pana P</w:t>
      </w:r>
      <w:r w:rsidR="003D4F4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G</w:t>
      </w:r>
      <w:r w:rsidR="003D4F4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dotyczące naruszenia:</w:t>
      </w:r>
    </w:p>
    <w:p w14:paraId="1DC85E4D" w14:textId="652B9192" w:rsidR="0009014A" w:rsidRPr="0009014A" w:rsidRDefault="0009014A">
      <w:pPr>
        <w:numPr>
          <w:ilvl w:val="0"/>
          <w:numId w:val="42"/>
        </w:numPr>
        <w:spacing w:after="12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art. 80 kpa. w zw. z art. 77 § 1 kpa i w zw. z art. 7 kpa poprzez brak rozpatrzenia sprawy w oparciu o całokształt zgromadzonego w sprawie materiału dowodowego </w:t>
      </w:r>
      <w:r w:rsidRPr="0009014A">
        <w:rPr>
          <w:rFonts w:ascii="Lato" w:hAnsi="Lato" w:cs="Arial"/>
          <w:bCs/>
          <w:iCs/>
          <w:color w:val="000000"/>
          <w:spacing w:val="4"/>
          <w:sz w:val="22"/>
          <w:szCs w:val="22"/>
          <w:lang w:bidi="pl-PL"/>
        </w:rPr>
        <w:br/>
        <w:t>i dokonanie dowolnej, zamiast swobodnej oceny zgromadzonego w sprawie materiału dowodowego, nie kierując się przy tym słusznym interesem obywatela - odwołującego P</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G</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który jako rolnik indywidualny prowadzi gospodarstwo rolne </w:t>
      </w:r>
      <w:r w:rsidR="00AE3FC5">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o powierzchni oscylującej w granicach 100 ha i dla którego to gospodarstwa rolnego priorytetowe znaczenia ma należąca do odwołującego działka nr 109, z obrębu 0005 Buszyce przewidziana według treści zaskarżonej decyzji lokalizacyjnej do częściowego podziału na cele Inwestycji, a na której to działce znajdują się naniesienia budowlane, w tym budynek mieszkalny bez których to naniesień odwołujący napotka znaczną uciążliwość, jeśli chodzi o dalsze prowadzenie gospodarstwa rolnego, które w wyniku Inwestycji zmniejszy się do 50 ha. </w:t>
      </w:r>
      <w:r w:rsidRPr="0009014A">
        <w:rPr>
          <w:rFonts w:ascii="Lato" w:hAnsi="Lato" w:cs="Arial"/>
          <w:bCs/>
          <w:iCs/>
          <w:color w:val="000000"/>
          <w:spacing w:val="4"/>
          <w:sz w:val="22"/>
          <w:szCs w:val="22"/>
          <w:lang w:bidi="pl-PL"/>
        </w:rPr>
        <w:br/>
        <w:t>W konsekwencji - zdaniem skarżącego - wskazana wyżej działka powinna zostać wyłączona spod obszaru objętego liniami rozgraniczenia Inwestycji, względnie linie rozgraniczające teren Inwestycji powinny zostać przeprowadzone jak najdalej granicy wskazanej wyżej działki przy jednoczesnym zachowaniu wskazanych naniesień budowlanych bez których prowadzenie gospodarstwa rolnego może stać się praktycznie niemożliwe,</w:t>
      </w:r>
    </w:p>
    <w:p w14:paraId="2AD66519" w14:textId="77777777" w:rsidR="0009014A" w:rsidRPr="0009014A" w:rsidRDefault="0009014A">
      <w:pPr>
        <w:numPr>
          <w:ilvl w:val="0"/>
          <w:numId w:val="42"/>
        </w:numPr>
        <w:spacing w:after="240" w:line="240" w:lineRule="exact"/>
        <w:ind w:left="357" w:hanging="357"/>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art. 8 kpa poprzez nie przyczynienie się przez organ administracji publicznej do starannego i zgodnego z przepisami prawa prowadzenia postępowania mającego zagwarantować równość wobec prawa oraz podważenie zasady dotyczącej pogłębiania zaufania obywatela do organów państwa.</w:t>
      </w:r>
    </w:p>
    <w:p w14:paraId="7DF1419A" w14:textId="58E42349"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hAnsi="Lato"/>
          <w:spacing w:val="4"/>
          <w:sz w:val="22"/>
          <w:szCs w:val="22"/>
        </w:rPr>
        <w:t xml:space="preserve">W niniejszej decyzji zostały już przedstawione specyficzne uwarunkowania dotyczące wydania decyzji o ustaleniu lokalizacji inwestycji w zakresie CPK, z powołaniem się na liczne orzecznictwo sądowoadministracyjne dotyczące innych tzw. „specustaw”, potwierdzające prawidłowość przyjętego stanowiska. Przypomnieć należy, że stosując przepisy ustawy CPK organ wydający decyzję o ustaleniu lokalizacji inwestycji w zakresie CPK nie jest upoważniony do wyznaczania i korygowania zakresu Inwestycji. Organ rozpoznający wniosek o wydanie decyzji o ustaleniu lokalizacji inwestycji w zakresie CPK dokonuje więc jedynie jego sprawdzenia, czy spełnia on ustawowe wymogi, tzn. jest kompletny. Natomiast już wybór najbardziej korzystnych rozwiązań lokalizacyjnych </w:t>
      </w:r>
      <w:r w:rsidRPr="0009014A">
        <w:rPr>
          <w:rFonts w:ascii="Lato" w:hAnsi="Lato"/>
          <w:spacing w:val="4"/>
          <w:sz w:val="22"/>
          <w:szCs w:val="22"/>
        </w:rPr>
        <w:br/>
        <w:t xml:space="preserve">i następnie techniczno-wykonawczych Inwestycji należy do inwestora. Poza tym, z uwagi na to, że żaden przepis prawa materialnego nie zobowiązuje inwestora do przedstawienia różnych wariantów (rozwiązań alternatywnych) przebiegu planowanej Inwestycji, organ ten nie może żądać od inwestora - wnioskodawcy wskazania takich wariantów </w:t>
      </w:r>
      <w:r w:rsidR="0081776A">
        <w:rPr>
          <w:rFonts w:ascii="Lato" w:hAnsi="Lato"/>
          <w:spacing w:val="4"/>
          <w:sz w:val="22"/>
          <w:szCs w:val="22"/>
        </w:rPr>
        <w:t>-</w:t>
      </w:r>
      <w:r w:rsidRPr="0009014A">
        <w:rPr>
          <w:rFonts w:ascii="Lato" w:hAnsi="Lato"/>
          <w:spacing w:val="4"/>
          <w:sz w:val="22"/>
          <w:szCs w:val="22"/>
        </w:rPr>
        <w:t xml:space="preserve"> ani </w:t>
      </w:r>
      <w:r w:rsidRPr="0009014A">
        <w:rPr>
          <w:rFonts w:ascii="Lato" w:hAnsi="Lato"/>
          <w:spacing w:val="4"/>
          <w:sz w:val="22"/>
          <w:szCs w:val="22"/>
        </w:rPr>
        <w:br/>
        <w:t>z urzędu, ani na żądanie strony postępowania.</w:t>
      </w:r>
      <w:r w:rsidRPr="0009014A">
        <w:rPr>
          <w:rFonts w:ascii="Lato" w:eastAsia="Calibri" w:hAnsi="Lato"/>
          <w:bCs/>
          <w:iCs/>
          <w:spacing w:val="4"/>
          <w:sz w:val="22"/>
          <w:szCs w:val="22"/>
          <w:lang w:eastAsia="en-US" w:bidi="pl-PL"/>
        </w:rPr>
        <w:t xml:space="preserve"> </w:t>
      </w:r>
      <w:r w:rsidRPr="0009014A">
        <w:rPr>
          <w:rFonts w:ascii="Lato" w:hAnsi="Lato"/>
          <w:bCs/>
          <w:iCs/>
          <w:spacing w:val="4"/>
          <w:sz w:val="22"/>
          <w:szCs w:val="22"/>
          <w:lang w:bidi="pl-PL"/>
        </w:rPr>
        <w:t>Niezadowolenie właścicieli działek objętych Inwestycją nie stanowi podstawy do żądania przez organ od inwestora zmiany przebiegu Inwestycji. Oczekiwania, postulaty i życzenia co do określonego przebiegu inwestycji – nie mające prawnego osadzenia – są bezskuteczne.</w:t>
      </w:r>
      <w:r w:rsidRPr="0009014A">
        <w:rPr>
          <w:rFonts w:ascii="Lato" w:hAnsi="Lato"/>
          <w:spacing w:val="4"/>
          <w:sz w:val="22"/>
          <w:szCs w:val="22"/>
        </w:rPr>
        <w:t xml:space="preserve"> </w:t>
      </w:r>
      <w:r w:rsidRPr="0009014A">
        <w:rPr>
          <w:rFonts w:ascii="Lato" w:hAnsi="Lato"/>
          <w:bCs/>
          <w:iCs/>
          <w:spacing w:val="4"/>
          <w:sz w:val="22"/>
          <w:szCs w:val="22"/>
          <w:lang w:bidi="pl-PL"/>
        </w:rPr>
        <w:t>Co więcej, jak już to nadmieniono wcześniej w niniejszej decyzji, organ wydający decyzję o ustaleniu lokalizacji inwestycji w zakresie CPK nie jest także kompetentny do oceny przesłanek ekonomicznych oraz społecznych powstającej inwestycji, w jej kształcie określonym przez inwestora.</w:t>
      </w:r>
    </w:p>
    <w:p w14:paraId="2B6EA2C3"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spacing w:val="4"/>
          <w:sz w:val="22"/>
          <w:szCs w:val="22"/>
        </w:rPr>
        <w:t xml:space="preserve">Ponadto, jak już to wyjaśnione wcześniej w niniejszej decyzji, </w:t>
      </w:r>
      <w:r w:rsidRPr="0009014A">
        <w:rPr>
          <w:rFonts w:ascii="Lato" w:hAnsi="Lato" w:cs="Arial"/>
          <w:bCs/>
          <w:iCs/>
          <w:color w:val="000000"/>
          <w:spacing w:val="4"/>
          <w:sz w:val="22"/>
          <w:szCs w:val="22"/>
          <w:lang w:bidi="pl-PL"/>
        </w:rPr>
        <w:t xml:space="preserve">reguła wynikająca z art. 7 kpa nakazująca załatwienie sprawy w sposób uwzględniający interes społeczny i słuszny interes obywateli nie mogła doprowadzić do wyłączenia stosowania przepisów ustawy CPK. To, że skarżący nie zgadza się z lokalizacją Inwestycji na jego nieruchomości nie oznacza, że doszło także do naruszenia zasady zaufania (art. 8 kpa). Sama tylko okoliczność, że Wojewoda Mazowiecki negatywnie dla skarżącego rozstrzygnął sprawę nie wystarcza do uznania, że naruszono art. 8 kpa. Niezadowolenie skarżącego </w:t>
      </w:r>
      <w:r w:rsidRPr="0009014A">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lastRenderedPageBreak/>
        <w:t xml:space="preserve">z wydanego przez organ administracji rozstrzygnięcia nie może być utożsamiane </w:t>
      </w:r>
      <w:r w:rsidRPr="0009014A">
        <w:rPr>
          <w:rFonts w:ascii="Lato" w:hAnsi="Lato" w:cs="Arial"/>
          <w:bCs/>
          <w:iCs/>
          <w:color w:val="000000"/>
          <w:spacing w:val="4"/>
          <w:sz w:val="22"/>
          <w:szCs w:val="22"/>
          <w:lang w:bidi="pl-PL"/>
        </w:rPr>
        <w:br/>
        <w:t xml:space="preserve">z naruszeniem wynikającego z art. 8 kpa obowiązku prowadzenia postępowania </w:t>
      </w:r>
      <w:r w:rsidRPr="0009014A">
        <w:rPr>
          <w:rFonts w:ascii="Lato" w:hAnsi="Lato" w:cs="Arial"/>
          <w:bCs/>
          <w:iCs/>
          <w:color w:val="000000"/>
          <w:spacing w:val="4"/>
          <w:sz w:val="22"/>
          <w:szCs w:val="22"/>
          <w:lang w:bidi="pl-PL"/>
        </w:rPr>
        <w:br/>
        <w:t xml:space="preserve">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oczekują strony postępowania. </w:t>
      </w:r>
    </w:p>
    <w:p w14:paraId="4E66E962"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Niewątpliwie własność podlega szczególnej ochronie, gwarantowanej w ustawie zasadniczej, jednak ochrona ta ustępuje niekiedy wartościom wyżej cenionym przez ustawodawcę. Za taką wartość, która powinna być w sposób szczególny uwzględniana, ustawodawca przyjął „cel publiczny”. Jak już wskazano uprzednio w niniejszej decyzji, zgodnie z art. 3 ust. 1 ustawy CPK realizacja Inwestycji i Inwestycji Towarzyszących stanowi cel publiczny w rozumieniu przepisów ugn. Tym samym zagwarantowanie </w:t>
      </w:r>
      <w:r w:rsidRPr="0009014A">
        <w:rPr>
          <w:rFonts w:ascii="Lato" w:hAnsi="Lato" w:cs="Arial"/>
          <w:bCs/>
          <w:iCs/>
          <w:color w:val="000000"/>
          <w:spacing w:val="4"/>
          <w:sz w:val="22"/>
          <w:szCs w:val="22"/>
          <w:lang w:bidi="pl-PL"/>
        </w:rPr>
        <w:br/>
        <w:t xml:space="preserve">w Konstytucji RP prawnej ochrony prawa własności oznacza, że nie jest ono nienaruszalne i absolutne. Konstytucja RP przewiduje sytuacje tego rodzaju i dlatego nie wyklucza i nie zakazuje dokonywania wywłaszczenia mienia lub ograniczenia w sposobie korzystania z niego (por. wyrok Wojewódzkiego Sądu Administracyjnego w Warszawie </w:t>
      </w:r>
      <w:r w:rsidRPr="0009014A">
        <w:rPr>
          <w:rFonts w:ascii="Lato" w:hAnsi="Lato" w:cs="Arial"/>
          <w:bCs/>
          <w:iCs/>
          <w:color w:val="000000"/>
          <w:spacing w:val="4"/>
          <w:sz w:val="22"/>
          <w:szCs w:val="22"/>
          <w:lang w:bidi="pl-PL"/>
        </w:rPr>
        <w:br/>
        <w:t xml:space="preserve">z dnia 20 listopada 2019 r., sygn. akt IV SA/Wa 1432/19, opubl. Centralna Baza Orzeczeń Sądów Administracyjnych). </w:t>
      </w:r>
    </w:p>
    <w:p w14:paraId="5D142692"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W piśmie z dnia 9 lipca 2025 r., znak: LZS.41.46.2025, inwestor wyjaśnił, że ww. działka skarżącego nr 109 jest objęta linią rozgraniczającą w północnej części, wraz z obszarem zabudowy obej</w:t>
      </w:r>
      <w:r w:rsidRPr="0009014A">
        <w:rPr>
          <w:rFonts w:ascii="Lato" w:hAnsi="Lato" w:cs="Arial"/>
          <w:bCs/>
          <w:iCs/>
          <w:color w:val="000000"/>
          <w:spacing w:val="4"/>
          <w:sz w:val="22"/>
          <w:szCs w:val="22"/>
          <w:lang w:bidi="pl-PL"/>
        </w:rPr>
        <w:softHyphen/>
        <w:t>mującej budynek mieszkalny i budynki gospodarcze. Nie jest możliwa zmiana przebiegu linii rozgraniczającej z uwagi na projektowaną infrastrukturę lotniskową. Teren zabudowy jest przecięty projekto</w:t>
      </w:r>
      <w:r w:rsidRPr="0009014A">
        <w:rPr>
          <w:rFonts w:ascii="Lato" w:hAnsi="Lato" w:cs="Arial"/>
          <w:bCs/>
          <w:iCs/>
          <w:color w:val="000000"/>
          <w:spacing w:val="4"/>
          <w:sz w:val="22"/>
          <w:szCs w:val="22"/>
          <w:lang w:bidi="pl-PL"/>
        </w:rPr>
        <w:softHyphen/>
        <w:t xml:space="preserve">wanym ogrodzeniem lotniska oraz ciągiem pieszo-rowerowym, biegnącym wzdłuż ogrodzenia. Inwestor wskazał również, że istniejący budynek mieszkalny znajduje się ok. 30 m od krawędzi drogi startowej, </w:t>
      </w:r>
      <w:r w:rsidRPr="0009014A">
        <w:rPr>
          <w:rFonts w:ascii="Lato" w:hAnsi="Lato" w:cs="Arial"/>
          <w:bCs/>
          <w:iCs/>
          <w:color w:val="000000"/>
          <w:spacing w:val="4"/>
          <w:sz w:val="22"/>
          <w:szCs w:val="22"/>
          <w:lang w:bidi="pl-PL"/>
        </w:rPr>
        <w:br/>
        <w:t xml:space="preserve">w strefie ponad normatywnego oddziaływania hałasu lotniczego i naziemnego. Nie można zatem uznać, że przyjęty w art. 3 ust. 1 ustawy CPK cel publiczny nie uzasadnia ingerencji w prawo własności w zakresie zaakceptowanym przez organ I instancji. Zajęcie działki skarżącego, z konsekwencjami w zakresie podziału nieruchomości, pozbawienia własności części nieruchomości, nastąpiło w związku z lokalizacją przedmiotowej inwestycji w zakresie CPK, a jednocześnie skutki z tym związane są rekompensowane </w:t>
      </w:r>
      <w:r w:rsidRPr="0009014A">
        <w:rPr>
          <w:rFonts w:ascii="Lato" w:hAnsi="Lato" w:cs="Arial"/>
          <w:bCs/>
          <w:iCs/>
          <w:color w:val="000000"/>
          <w:spacing w:val="4"/>
          <w:sz w:val="22"/>
          <w:szCs w:val="22"/>
          <w:lang w:bidi="pl-PL"/>
        </w:rPr>
        <w:br/>
        <w:t xml:space="preserve">w formie odszkodowania (ustalonego w odrębnym postępowaniu administracyjnym). Nie została również skarżącemu zamknięta droga do wykupu części nieruchomości, która po zatwierdzonym podziale nie nadaje się do prawidłowego wykorzystania </w:t>
      </w:r>
      <w:r w:rsidRPr="0009014A">
        <w:rPr>
          <w:rFonts w:ascii="Lato" w:hAnsi="Lato" w:cs="Arial"/>
          <w:bCs/>
          <w:iCs/>
          <w:color w:val="000000"/>
          <w:spacing w:val="4"/>
          <w:sz w:val="22"/>
          <w:szCs w:val="22"/>
          <w:lang w:bidi="pl-PL"/>
        </w:rPr>
        <w:br/>
        <w:t>na dotychczasowe cele, co przewidziane jest w art. 48 ust. 3 i 4 ustawy CPK. Zatem, pomimo wywłaszczenia części własności, dochodzi do równoważenia strat i szkód związanych z prowadzonym postępowaniem.</w:t>
      </w:r>
    </w:p>
    <w:p w14:paraId="6918A44D"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Jednocześnie wyjaśnić należy, że w postępowaniu w sprawie wydania decyzji o ustaleniu lokalizacji inwestycji w zakresie CPK, zarówno Wojewoda Mazowiecki, jak i Minister, badają zgodność z prawem wniosku inwestora, nie zaś zagadnień dotyczących ewentualnych negatywnych następstw dla podmiotów objętych tą decyzją. Przepisy ustawy CPK nie wymagają oceny wniosku inwestora przez pryzmat możliwości korzystania z nieruchomości objętej lokalizacją Inwestycji w dotychczasowym zakresie lub w zakresie planowanym przez właściciela. Dla decyzji o ustaleniu lokalizacji inwestycji w zakresie CPK dotychczasowe lub planowane przeznaczenie nieruchomości nie ma istotnego znaczenia i nie podważa prawidłowości decyzji. Może mieć jednak znaczenie dla obiektywnej możliwości dalszego korzystania z nieruchomości i ewentualnego roszczenia odszkodowawczego przysługującego zgodnie z ww. art. 48 ust. 3 i 4 ustawy CPK. Zgodnie z tymi przepisami, wywłaszczeniem może być objęta cała nieruchomość lub jej część. Jeżeli wywłaszczeniem objęta jest część nieruchomości, a pozostała część nieruchomości nie nadaje się do wykorzystywania w dotychczasowy sposób albo zgodnie </w:t>
      </w:r>
      <w:r w:rsidRPr="0009014A">
        <w:rPr>
          <w:rFonts w:ascii="Lato" w:hAnsi="Lato" w:cs="Arial"/>
          <w:bCs/>
          <w:iCs/>
          <w:color w:val="000000"/>
          <w:spacing w:val="4"/>
          <w:sz w:val="22"/>
          <w:szCs w:val="22"/>
          <w:lang w:bidi="pl-PL"/>
        </w:rPr>
        <w:lastRenderedPageBreak/>
        <w:t xml:space="preserve">z dotychczasowym przeznaczeniem, na żądanie właściciela lub użytkownika wieczystego inwestor nabywa pozostałą część, w drodze umowy, na rzecz Spółki Celowej (ust. 3). </w:t>
      </w:r>
      <w:r w:rsidRPr="0009014A">
        <w:rPr>
          <w:rFonts w:ascii="Lato" w:hAnsi="Lato" w:cs="Arial"/>
          <w:bCs/>
          <w:iCs/>
          <w:color w:val="000000"/>
          <w:spacing w:val="4"/>
          <w:sz w:val="22"/>
          <w:szCs w:val="22"/>
          <w:lang w:bidi="pl-PL"/>
        </w:rPr>
        <w:br/>
        <w:t xml:space="preserve">W ustawie CPK doprecyzowano, że przez wykorzystanie w dotychczasowy sposób należy rozumieć wykorzystanie nieruchomości w jej faktycznym stanie zagospodarowania lub dokonanie zmiany sposobu zagospodarowania nieruchomości zgodnej z ostatecznym pozwoleniem na budowę (ust. 4). </w:t>
      </w:r>
    </w:p>
    <w:p w14:paraId="71640213"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Ustawodawca w ww. przepisie zabezpieczył interesy właścicieli nieruchomości, które jedynie w części niezbędne są do realizacji Inwestycji, a pozostała część nieruchomości na skutek podziału nie nadaje się do prawidłowego wykorzystywania na dotychczasowe cele. Wykup pozostałej po podziale części nieruchomości odbywa się poza postępowaniem administracyjnym w sprawie wydania decyzji o ustaleniu lokalizacji inwestycji w zakresie CPK i nie podlega załatwieniu w drodze decyzji administracyjnej. Jest to roszczenie cywilnoprawne, którego w razie sporu strona może dochodzić przed sądem powszechnym. Potwierdza to ugruntowane orzecznictwo sądowoadministracyjne dotyczące tożsamego w swej istocie art. 13 ust. 3 specustawy drogowej (vide: wyrok Naczelnego Sądu Administracyjnego z dnia 8 listopada 2011 r., sygn. akt I OSK 1932/10, wyroki Wojewódzkiego Sądu Administracyjnego w Warszawie z dnia 12 kwietnia </w:t>
      </w:r>
      <w:r w:rsidRPr="0009014A">
        <w:rPr>
          <w:rFonts w:ascii="Lato" w:hAnsi="Lato" w:cs="Arial"/>
          <w:bCs/>
          <w:iCs/>
          <w:color w:val="000000"/>
          <w:spacing w:val="4"/>
          <w:sz w:val="22"/>
          <w:szCs w:val="22"/>
          <w:lang w:bidi="pl-PL"/>
        </w:rPr>
        <w:br/>
        <w:t>2018 r., sygn. akt VII SA/Wa 2920/17, z dnia 17 września 2014 r., sygn. akt VII SA/Wa 935/14, z dnia 29 marca 2012 r., sygn. akt I SA/Wa 2289/11, opubl. Centralna Baza Orzeczeń Sądów Administracyjnych).</w:t>
      </w:r>
    </w:p>
    <w:p w14:paraId="24B08685"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Brak jest również przekonujących podstaw, aby Wojewodzie Mazowieckiemu zarzucić naruszenie zasady równości wobec prawa, skoro wydając zaskarżoną decyzję organ kierował się treścią przepisów prawa materialnego (ustawy CPK), mających w sprawie zastosowanie. W podobnej sytuacji, dotyczącej realizacji inwestycji drogowych na podstawie specustawy drogowej, Trybunał Konstytucyjny, wyrokiem z dnia 16 października 2012 r. wydanym w sprawie sygn. akt K 4/10, uznał za zgodne z Konstytucją RP przyjęte rozwiązania prawne, w zasadzie w głównym trzonie analogiczne do przyjętych w ustawie CPK. Należy przy tym zauważyć, że przepisy stanowiące podstawę zaskarżonej decyzji nie naruszają konstytucyjnej zasady równości obywateli, gdyż jednakowo traktują wszystkich właścicieli gruntów, na których ma zostać zlokalizowana Inwestycja. Jeśli regulacje prawne są jednakowe dla wszystkich w danej sytuacji, to działania administracji oparte na tych przepisach są legalne. Skoro nie stanowi naruszenia praw obywateli uchwalenie przepisów zawierających takie wyjątkowe, surowe regulacje, to nie można twierdzić, że stosowanie ich przez organy administracji zgodnie z ich brzmieniem prowadzi do naruszenia prawa. Zatem, choć ustalenie lokalizacji przedmiotowej inwestycji na części działki skarżącego nr 109, z obrębu 0005 Buszyce - w odczuciu skarżącego - narusza jego interes prawny, dzieje się to w zgodzie </w:t>
      </w:r>
      <w:r w:rsidRPr="0009014A">
        <w:rPr>
          <w:rFonts w:ascii="Lato" w:hAnsi="Lato" w:cs="Arial"/>
          <w:bCs/>
          <w:iCs/>
          <w:color w:val="000000"/>
          <w:spacing w:val="4"/>
          <w:sz w:val="22"/>
          <w:szCs w:val="22"/>
          <w:lang w:bidi="pl-PL"/>
        </w:rPr>
        <w:br/>
        <w:t>z obowiązującym prawem.</w:t>
      </w:r>
    </w:p>
    <w:p w14:paraId="23255A49" w14:textId="6E4A5336"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Na uwzględnienie nie zasługują zarzuty Pana A</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M</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dotyczące wywłaszczenia w decyzji Wojewody Mazowieckiego nieruchomości na rzecz spółki prawa handlowego – CPK Sp. z o.o. Minister podtrzymuje argumentację zawartą już w niniejszej decyzji dotyczącą tożsamych w swoje istocie zarzutów Pana P</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J</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M</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A</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K</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J</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E</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R</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T</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T</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S</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T</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W</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M</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G</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K</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M</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Pana K</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O</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M</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Pana W</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9C7E4F">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Pani J</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A</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T</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Pana M</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J</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Pana K</w:t>
      </w:r>
      <w:r w:rsidR="009C7E4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 Podniesione przez odwołującego kwestie dotyczące roli Spółki Celowej (CPK Sp. z o.o.) są bezprzedmiotowe, bowiem ustawodawca wyraźnie w przepisach ustawy CPK wskazał jak od strony prawno-organizacyjnej ma być realizowana Inwestycja czy Inwestycja Towarzysząca w rozumieniu tego aktu prawnego.</w:t>
      </w:r>
    </w:p>
    <w:p w14:paraId="6B055E4F"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Odnośnie podnoszonych przez skarżącego kwestii dotyczących ustalania sposobu odszkodowania i wycen nieruchomości, wyjaśnić należy, że kwestie związane </w:t>
      </w:r>
      <w:r w:rsidRPr="0009014A">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lastRenderedPageBreak/>
        <w:t xml:space="preserve">z ustaleniem wysokości i wypłatą odszkodowania, mimo iż w pewnym stopniu </w:t>
      </w:r>
      <w:r w:rsidRPr="0009014A">
        <w:rPr>
          <w:rFonts w:ascii="Lato" w:hAnsi="Lato" w:cs="Arial"/>
          <w:bCs/>
          <w:iCs/>
          <w:color w:val="000000"/>
          <w:spacing w:val="4"/>
          <w:sz w:val="22"/>
          <w:szCs w:val="22"/>
          <w:lang w:bidi="pl-PL"/>
        </w:rPr>
        <w:br/>
        <w:t xml:space="preserve">są związane z decyzją o ustaleniu lokalizacji inwestycji w zakresie CPK stanowią oddzielne byty, podlegające odrębnym trybom zaskarżenia. Wysokość odszkodowania jest ustalana decyzją wojewody w odrębnym postępowaniu administracyjnym. </w:t>
      </w:r>
      <w:bookmarkStart w:id="11" w:name="_Hlk187499518"/>
      <w:r w:rsidRPr="0009014A">
        <w:rPr>
          <w:rFonts w:ascii="Lato" w:hAnsi="Lato" w:cs="Arial"/>
          <w:bCs/>
          <w:iCs/>
          <w:color w:val="000000"/>
          <w:spacing w:val="4"/>
          <w:sz w:val="22"/>
          <w:szCs w:val="22"/>
          <w:lang w:bidi="pl-PL"/>
        </w:rPr>
        <w:t>Kwestie te pozostają zatem poza zakresem rozważań w niniejszej sprawie</w:t>
      </w:r>
      <w:bookmarkEnd w:id="11"/>
      <w:r w:rsidRPr="0009014A">
        <w:rPr>
          <w:rFonts w:ascii="Lato" w:hAnsi="Lato" w:cs="Arial"/>
          <w:bCs/>
          <w:iCs/>
          <w:color w:val="000000"/>
          <w:spacing w:val="4"/>
          <w:sz w:val="22"/>
          <w:szCs w:val="22"/>
          <w:lang w:bidi="pl-PL"/>
        </w:rPr>
        <w:t xml:space="preserve">, bowiem w decyzji </w:t>
      </w:r>
      <w:r w:rsidRPr="0009014A">
        <w:rPr>
          <w:rFonts w:ascii="Lato" w:hAnsi="Lato" w:cs="Arial"/>
          <w:bCs/>
          <w:iCs/>
          <w:color w:val="000000"/>
          <w:spacing w:val="4"/>
          <w:sz w:val="22"/>
          <w:szCs w:val="22"/>
          <w:lang w:bidi="pl-PL"/>
        </w:rPr>
        <w:br/>
        <w:t xml:space="preserve">o ustaleniu lokalizacji inwestycji w zakresie CPK nie orzeka się o odszkodowaniu </w:t>
      </w:r>
      <w:r w:rsidRPr="0009014A">
        <w:rPr>
          <w:rFonts w:ascii="Lato" w:hAnsi="Lato" w:cs="Arial"/>
          <w:bCs/>
          <w:iCs/>
          <w:color w:val="000000"/>
          <w:spacing w:val="4"/>
          <w:sz w:val="22"/>
          <w:szCs w:val="22"/>
          <w:lang w:bidi="pl-PL"/>
        </w:rPr>
        <w:br/>
        <w:t>za przejęte pod Inwestycję nieruchomości lub ich części. Przedmiotem postępowania przed Wojewodą Mazowieckim było ustalenie lokalizacji inwestycji w zakresie CPK, a nie ustalenie odszkodowania za nieruchomości przejmowane na ten cel. Zatem rolą organu orzekającego w sprawie ustalenia lokalizacji inwestycji w zakresie CPK nie jest wypowiadanie się w kwestii sposobu wycen nieruchomości przy określaniu wysokości należnego odszkodowania.</w:t>
      </w:r>
    </w:p>
    <w:p w14:paraId="47FFFAF4" w14:textId="020C7043"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Za niezasadny należy uznać zarzut Pana A</w:t>
      </w:r>
      <w:r w:rsidR="00615E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M</w:t>
      </w:r>
      <w:r w:rsidR="00615E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złamania zasady informowania wynikającej z art. 9 kpa poprzez niepoinformowanie o przebiegu toczącego się postępowania o wydanie decyzji o ustaleniu lokalizacji inwestycji w zakresie CPK, jak </w:t>
      </w:r>
      <w:r w:rsidR="00615E6A">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i zarzut dotyczący naruszenia art. 10 § 1 kpa poprzez załamanie zasady czynnego udziału strony w postępowaniu administracyjnym. </w:t>
      </w:r>
    </w:p>
    <w:p w14:paraId="424B3F07" w14:textId="1873EB2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Jak już to zostało szerzej wyjaśnione w niniejszej decyzji </w:t>
      </w:r>
      <w:r w:rsidR="00E07B42">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przy rozpatrywaniu zarzutów odwołania Państwa K</w:t>
      </w:r>
      <w:r w:rsidR="00E07B42">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spółki </w:t>
      </w:r>
      <w:r w:rsidR="00E07B42">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że konsekwencją szczególnego charakteru przepisów ustawy CPK jest to, że przepisy ustawy CPK w istotny sposób ograniczają uprawnienia materialne i procesowe podmiotów administrowanych w stosunku do ogólnej regulacji kodeksu postępowania administracyjnego w postaci m.in. zasady informowania wyrażonej w art. 9 kpa i zasady czynnego udziału strony w postępowaniu (art. 10 kpa). Przejawem uproszczenia i przyspieszenia procedur związanych z prowadzeniem postępowania w sprawie wydania decyzji o ustaleniu lokalizacji inwestycji w zakresie CPK jest tryb zawiadamiania o wszczęciu postępowania i o wydaniu decyzji lokalizacyjnej. Zgodnie z art. 88 ust. 1-4 ustawy CPK, organ doręcza zawiadomienie </w:t>
      </w:r>
      <w:r w:rsidR="00E07B42">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o wszczęciu postępowania oraz pisma w toku postępowania kierowane do wszystkich stron wnioskodawcy, właścicielom oraz użytkownikom wieczystym nieruchomości objętych wnioskiem o wydanie tej decyzji; pozostałym stronom - w drodze obwieszczenia (ust. 1). Zawiadomienie, o którym mowa w ust. 1, zawiera oznaczenie terenu inwestycji objętego wnioskiem o wydanie decyzji, według katastru nieruchomości oraz informację o sposobie, w jaki strony postępowania mogą zapoznać się z aktami sprawy (ust. 2). W przypadku gdy obwieszczenia dokonywane są w różnych terminach, za termin dokonania obwieszczenia uznaje się termin właściwy dla najpóźniej dokonanego obwieszczenia (ust. 3). Przepisu art. 49a kpa nie stosuje się (ust. 4). Zgodnie z art. 90 ust. 1 ustawy CPK, obwieszczenia dokonuje się w urzędzie obsługującym organ prowadzący postępowanie, w urzędach gmin właściwych ze względu na lokalizację inwestycji, w Biuletynie Informacji Publicznej tego urzędu i tych gmin oraz w prasie lokalnej i na stronie internetowej Pełnomocnik Rządu ds. Centralnego Portu Komunikacyjnego.</w:t>
      </w:r>
    </w:p>
    <w:p w14:paraId="5BBDC7F5" w14:textId="081FBDEA"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Jak już to zostało wyjaśnione w części sprawozdawczej niniejszej decyzji, Wojewoda Mazowiecki pismem z dnia 3 czerwca 2024 r., znak: WIR-I.746.1.44.2023.DM/AC, WIR-I.747.6.28.2023.DM/AC, zawiadomił wnioskodawcę, właścicieli oraz użytkowników wieczystym nieruchomości objętych wnioskiem o wszczęciu postępowania w sprawie wydania decyzji o ustaleniu lokalizacji przedmiotowej inwestycji. Pozostałe strony postępowania zostały poinformowane o powyższym w drodze obwieszczenia, a to oznacza, że informacja ta była powszechnie dostępna i miał do nich dostęp każdy. </w:t>
      </w:r>
      <w:r w:rsidRPr="0009014A">
        <w:rPr>
          <w:rFonts w:ascii="Lato" w:hAnsi="Lato" w:cs="Arial"/>
          <w:bCs/>
          <w:iCs/>
          <w:color w:val="000000"/>
          <w:spacing w:val="4"/>
          <w:sz w:val="22"/>
          <w:szCs w:val="22"/>
          <w:lang w:bidi="pl-PL"/>
        </w:rPr>
        <w:br/>
        <w:t xml:space="preserve">W zawiadomieniu i obwieszczeniu oznaczono teren inwestycji objęty wnioskiem </w:t>
      </w:r>
      <w:r w:rsidRPr="0009014A">
        <w:rPr>
          <w:rFonts w:ascii="Lato" w:hAnsi="Lato" w:cs="Arial"/>
          <w:bCs/>
          <w:iCs/>
          <w:color w:val="000000"/>
          <w:spacing w:val="4"/>
          <w:sz w:val="22"/>
          <w:szCs w:val="22"/>
          <w:lang w:bidi="pl-PL"/>
        </w:rPr>
        <w:br/>
        <w:t xml:space="preserve">o wydanie decyzji, według katastru nieruchomości oraz zamieszczono informację </w:t>
      </w:r>
      <w:r w:rsidRPr="0009014A">
        <w:rPr>
          <w:rFonts w:ascii="Lato" w:hAnsi="Lato" w:cs="Arial"/>
          <w:bCs/>
          <w:iCs/>
          <w:color w:val="000000"/>
          <w:spacing w:val="4"/>
          <w:sz w:val="22"/>
          <w:szCs w:val="22"/>
          <w:lang w:bidi="pl-PL"/>
        </w:rPr>
        <w:br/>
        <w:t xml:space="preserve">o sposobie, w jaki strony postępowania mogą zapoznać się z aktami sprawy. Jak wynika </w:t>
      </w:r>
      <w:r w:rsidRPr="0009014A">
        <w:rPr>
          <w:rFonts w:ascii="Lato" w:hAnsi="Lato" w:cs="Arial"/>
          <w:bCs/>
          <w:iCs/>
          <w:color w:val="000000"/>
          <w:spacing w:val="4"/>
          <w:sz w:val="22"/>
          <w:szCs w:val="22"/>
          <w:lang w:bidi="pl-PL"/>
        </w:rPr>
        <w:lastRenderedPageBreak/>
        <w:t>z akt sprawy organu I instancji, przesyłkę w której wysłano do Pana A</w:t>
      </w:r>
      <w:r w:rsidR="00772DAC">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M</w:t>
      </w:r>
      <w:r w:rsidR="00772DAC">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ww. pismo Wojewody Mazowieckiego z dnia 3 czerwca 2024 r. informujące o wszczęciu postępowania w sprawie wydania decyzji o ustaleniu lokalizacji inwestycji w zakresie CPK, awizowano w dniu 11 czerwca 2024 r., następnie powtórnie awizowano </w:t>
      </w:r>
      <w:r w:rsidRPr="0009014A">
        <w:rPr>
          <w:rFonts w:ascii="Lato" w:hAnsi="Lato" w:cs="Arial"/>
          <w:bCs/>
          <w:iCs/>
          <w:color w:val="000000"/>
          <w:spacing w:val="4"/>
          <w:sz w:val="22"/>
          <w:szCs w:val="22"/>
          <w:lang w:bidi="pl-PL"/>
        </w:rPr>
        <w:br/>
        <w:t xml:space="preserve">w dniu 19 czerwca 2024 r., natomiast w dniu 26 czerwca 2024 r., wobec nie podjęcia przesyłki w terminie, przesyłkę zwrócono do Mazowieckiego Urzędu Wojewódzkiego </w:t>
      </w:r>
      <w:r w:rsidRPr="0009014A">
        <w:rPr>
          <w:rFonts w:ascii="Lato" w:hAnsi="Lato" w:cs="Arial"/>
          <w:bCs/>
          <w:iCs/>
          <w:color w:val="000000"/>
          <w:spacing w:val="4"/>
          <w:sz w:val="22"/>
          <w:szCs w:val="22"/>
          <w:lang w:bidi="pl-PL"/>
        </w:rPr>
        <w:br/>
        <w:t xml:space="preserve">w Warszawie. Uznać zatem należy, iż zgodnie z art. 44 § 4 </w:t>
      </w:r>
      <w:r w:rsidRPr="0009014A">
        <w:rPr>
          <w:rFonts w:ascii="Lato" w:hAnsi="Lato" w:cs="Arial"/>
          <w:bCs/>
          <w:color w:val="000000"/>
          <w:spacing w:val="4"/>
          <w:sz w:val="22"/>
          <w:szCs w:val="22"/>
          <w:lang w:bidi="pl-PL"/>
        </w:rPr>
        <w:t>kpa</w:t>
      </w:r>
      <w:r w:rsidRPr="0009014A">
        <w:rPr>
          <w:rFonts w:ascii="Lato" w:hAnsi="Lato" w:cs="Arial"/>
          <w:bCs/>
          <w:iCs/>
          <w:color w:val="000000"/>
          <w:spacing w:val="4"/>
          <w:sz w:val="22"/>
          <w:szCs w:val="22"/>
          <w:lang w:bidi="pl-PL"/>
        </w:rPr>
        <w:t xml:space="preserve">, takie doręczenie uważa się za dokonane. W konsekwencji stwierdzić należy, że skarżący został prawidłowo poinformowany przez organ I instancji o wszczęciu postępowania lokalizacyjnego i miał możliwość zapoznania się z aktami sprawy oraz przedstawienia stanowiska w trakcie trwania postępowania. </w:t>
      </w:r>
    </w:p>
    <w:p w14:paraId="1AACE8BC" w14:textId="0872BA52"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Następnie zauważyć należy, o czym była także już mowa w niniejszej decyzji przy rozpatrywaniu zarzutów odwołania Państwa K</w:t>
      </w:r>
      <w:r w:rsidR="00340B40">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spółki </w:t>
      </w:r>
      <w:r w:rsidR="00340B40">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że podnoszenie zarzutu naruszenia art. 10 kpa (jak czyni to skarżący) w sprawie ustalenia lokalizacji inwestycji </w:t>
      </w:r>
      <w:r w:rsidR="00340B40">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zakresie CPK musi być szczególnie dobrze przemyślane i uzasadnione, bowiem z art. 88 ust. 2 ustawy CPK nie wynika, aby ustawodawca przewidział uprawnienie do wypowiadania się przez uczestników postępowania co do zebranych materiałów </w:t>
      </w:r>
      <w:r w:rsidR="00340B40">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postępowaniu lokalizacyjnym.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iż uchybienie to miało istotny wpływ na wynik sprawy, daje podstawy do przyjęcia, że doszło do naruszenia art. 10 kpa. To do strony stawiającej zarzut należy więc wykazanie istnienia związku przyczynowego między naruszeniem przepisów postępowania, </w:t>
      </w:r>
      <w:r w:rsidR="00340B40">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a wynikiem sprawy. Natomiast skarżący nie wskazał, jakich czynności procesowych nie mógł dokonać, które mogłyby doprowadzić do odmiennego rozstrzygnięcia sprawy dotyczącej ustalenia lokalizacji przedmiotowej inwestycji na jego nieruchomościach. Ponadto wskazać należy, iż skarżący nie złożył również na etapie postępowania odwoławczego wniosków dowodowych, które mogłyby doprowadzić do innych ustaleń faktycznych w przedmiotowej sprawie odnośnie jego nieruchomości, niż te przyjęte </w:t>
      </w:r>
      <w:r w:rsidR="00340B40">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w decyzji Wojewody Mazowieckiego.</w:t>
      </w:r>
    </w:p>
    <w:p w14:paraId="766928E5" w14:textId="29D2AD39"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Za niezasadny należy uznać zarzut Pana A</w:t>
      </w:r>
      <w:r w:rsidR="00415AA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M</w:t>
      </w:r>
      <w:r w:rsidR="00415AA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tego, że Wojewoda Mazowiecki nie zastosował zasady przekonywania wyrażonej w art. 11 kpa. Wojewoda Mazowiecki uzasadnił zaskarżoną decyzję, podając jej podstawę prawną oraz argumenty przemawiające za słusznością podjętego rozstrzygnięcia, zaś brak przekonania strony co do prawidłowości podjętej decyzji nie oznacza naruszenia zasady wyrażonej w art. 11 kpa, gdyż skarżący ma prawo do własnego subiektywnego przekonania o zasadności swoich zarzutów, zaś przekonanie to nie musi mieć odzwierciedlenia w obowiązujących przepisach prawnych. Należy zaznaczyć, że w uzasadnieniu decyzji Wojewody Mazowieckiego organ I instancji szeroko wyjaśnił i uzasadnił podjęte rozstrzygnięcie </w:t>
      </w:r>
      <w:r w:rsidRPr="0009014A">
        <w:rPr>
          <w:rFonts w:ascii="Lato" w:hAnsi="Lato" w:cs="Arial"/>
          <w:bCs/>
          <w:iCs/>
          <w:color w:val="000000"/>
          <w:spacing w:val="4"/>
          <w:sz w:val="22"/>
          <w:szCs w:val="22"/>
          <w:lang w:bidi="pl-PL"/>
        </w:rPr>
        <w:br/>
        <w:t xml:space="preserve">w sprawie. Jak już to zostało wyjaśnione w niniejsze decyzji (przy </w:t>
      </w:r>
      <w:r w:rsidR="00150E6D">
        <w:rPr>
          <w:rFonts w:ascii="Lato" w:hAnsi="Lato" w:cs="Arial"/>
          <w:bCs/>
          <w:iCs/>
          <w:color w:val="000000"/>
          <w:spacing w:val="4"/>
          <w:sz w:val="22"/>
          <w:szCs w:val="22"/>
          <w:lang w:bidi="pl-PL"/>
        </w:rPr>
        <w:t xml:space="preserve">omawianiu </w:t>
      </w:r>
      <w:r w:rsidRPr="0009014A">
        <w:rPr>
          <w:rFonts w:ascii="Lato" w:hAnsi="Lato" w:cs="Arial"/>
          <w:bCs/>
          <w:iCs/>
          <w:color w:val="000000"/>
          <w:spacing w:val="4"/>
          <w:sz w:val="22"/>
          <w:szCs w:val="22"/>
          <w:lang w:bidi="pl-PL"/>
        </w:rPr>
        <w:t>systemowej charakteryst</w:t>
      </w:r>
      <w:r w:rsidR="00150E6D">
        <w:rPr>
          <w:rFonts w:ascii="Lato" w:hAnsi="Lato" w:cs="Arial"/>
          <w:bCs/>
          <w:iCs/>
          <w:color w:val="000000"/>
          <w:spacing w:val="4"/>
          <w:sz w:val="22"/>
          <w:szCs w:val="22"/>
          <w:lang w:bidi="pl-PL"/>
        </w:rPr>
        <w:t>ki</w:t>
      </w:r>
      <w:r w:rsidRPr="0009014A">
        <w:rPr>
          <w:rFonts w:ascii="Lato" w:hAnsi="Lato" w:cs="Arial"/>
          <w:bCs/>
          <w:iCs/>
          <w:color w:val="000000"/>
          <w:spacing w:val="4"/>
          <w:sz w:val="22"/>
          <w:szCs w:val="22"/>
          <w:lang w:bidi="pl-PL"/>
        </w:rPr>
        <w:t xml:space="preserve"> decyzji lokalizacyjnej wydawanej na podstawie przepisów ustawy CPK), że związany charakter decyzji o ustaleniu lokalizacji inwestycji w zakresie CPK oznacza, że w przypadku spełnienia przewidzianych prawem przesłanek właściwy organ ma bezwzględny obowiązek wydania pozytywnego rozstrzygnięcia, tj. udzielenia zgody na lokalizację inwestycję. Nie może uzależniać wydania decyzji od jakichkolwiek innych świadczeń i warunków nie przewidzianych przepisami. </w:t>
      </w:r>
    </w:p>
    <w:p w14:paraId="3B52C6AA" w14:textId="6914AD7E" w:rsidR="0009014A" w:rsidRPr="0009014A" w:rsidRDefault="0009014A" w:rsidP="0009014A">
      <w:pPr>
        <w:spacing w:after="240" w:line="240" w:lineRule="exact"/>
        <w:jc w:val="both"/>
        <w:rPr>
          <w:rFonts w:ascii="Lato" w:eastAsiaTheme="minorHAnsi" w:hAnsi="Lato" w:cs="Arial"/>
          <w:bCs/>
          <w:iCs/>
          <w:spacing w:val="4"/>
          <w:sz w:val="22"/>
          <w:szCs w:val="22"/>
          <w:lang w:eastAsia="en-US" w:bidi="pl-PL"/>
        </w:rPr>
      </w:pPr>
      <w:r w:rsidRPr="0009014A">
        <w:rPr>
          <w:rFonts w:ascii="Lato" w:hAnsi="Lato" w:cs="Arial"/>
          <w:bCs/>
          <w:iCs/>
          <w:color w:val="000000"/>
          <w:spacing w:val="4"/>
          <w:sz w:val="22"/>
          <w:szCs w:val="22"/>
          <w:lang w:bidi="pl-PL"/>
        </w:rPr>
        <w:t xml:space="preserve">Organ I instancji prowadził postępowanie zgodnie z obowiązującymi przepisami, rozstrzygnięcie zapadłe przed organem I instancji nie wykracza poza uprawnienie do działania organu wynikające z obowiązujących przepisów prawa, zasadność i konieczność ustalenia lokalizacji dla Inwestycji wynika z wniosku inwestora, </w:t>
      </w:r>
      <w:r w:rsidRPr="0009014A">
        <w:rPr>
          <w:rFonts w:ascii="Lato" w:hAnsi="Lato" w:cs="Arial"/>
          <w:bCs/>
          <w:color w:val="000000"/>
          <w:spacing w:val="4"/>
          <w:sz w:val="22"/>
          <w:szCs w:val="22"/>
          <w:lang w:bidi="pl-PL"/>
        </w:rPr>
        <w:t>co</w:t>
      </w:r>
      <w:r w:rsidRPr="0009014A">
        <w:rPr>
          <w:rFonts w:ascii="Lato" w:hAnsi="Lato" w:cs="Arial"/>
          <w:bCs/>
          <w:i/>
          <w:iCs/>
          <w:color w:val="000000"/>
          <w:spacing w:val="4"/>
          <w:sz w:val="22"/>
          <w:szCs w:val="22"/>
          <w:lang w:bidi="pl-PL"/>
        </w:rPr>
        <w:t xml:space="preserve"> </w:t>
      </w:r>
      <w:r w:rsidRPr="0009014A">
        <w:rPr>
          <w:rFonts w:ascii="Lato" w:hAnsi="Lato" w:cs="Arial"/>
          <w:bCs/>
          <w:color w:val="000000"/>
          <w:spacing w:val="4"/>
          <w:sz w:val="22"/>
          <w:szCs w:val="22"/>
          <w:lang w:bidi="pl-PL"/>
        </w:rPr>
        <w:t xml:space="preserve">skutkuje brakiem </w:t>
      </w:r>
      <w:r w:rsidRPr="0009014A">
        <w:rPr>
          <w:rFonts w:ascii="Lato" w:hAnsi="Lato" w:cs="Arial"/>
          <w:bCs/>
          <w:color w:val="000000"/>
          <w:spacing w:val="4"/>
          <w:sz w:val="22"/>
          <w:szCs w:val="22"/>
          <w:lang w:bidi="pl-PL"/>
        </w:rPr>
        <w:lastRenderedPageBreak/>
        <w:t>podnoszonego przez skarżącego naruszenia art. 8 kpa</w:t>
      </w:r>
      <w:r w:rsidRPr="0009014A">
        <w:rPr>
          <w:rFonts w:ascii="Lato" w:hAnsi="Lato" w:cs="Arial"/>
          <w:bCs/>
          <w:i/>
          <w:iCs/>
          <w:color w:val="000000"/>
          <w:spacing w:val="4"/>
          <w:sz w:val="22"/>
          <w:szCs w:val="22"/>
          <w:lang w:bidi="pl-PL"/>
        </w:rPr>
        <w:t>.</w:t>
      </w:r>
      <w:r w:rsidRPr="0009014A">
        <w:rPr>
          <w:rFonts w:ascii="Lato" w:hAnsi="Lato" w:cs="Arial"/>
          <w:bCs/>
          <w:iCs/>
          <w:color w:val="000000"/>
          <w:spacing w:val="4"/>
          <w:sz w:val="22"/>
          <w:szCs w:val="22"/>
          <w:lang w:bidi="pl-PL"/>
        </w:rPr>
        <w:t xml:space="preserve"> Ustawa CPK przyjęła bardzo szybki i „bezdyskusyjny” tryb postępowania wywłaszczeniowego. Jak stwierdził Trybunał Konstytucyjny w wyroku z dnia 16 października 2012 r., sygn. akt K 4/10 [dotyczącym specustawy drogowej, która uznawana jest za fundament dla innych specustaw infrastrukturalnych</w:t>
      </w:r>
      <w:r w:rsidR="00150E6D">
        <w:rPr>
          <w:rFonts w:ascii="Lato" w:hAnsi="Lato" w:cs="Arial"/>
          <w:bCs/>
          <w:iCs/>
          <w:color w:val="000000"/>
          <w:spacing w:val="4"/>
          <w:sz w:val="22"/>
          <w:szCs w:val="22"/>
          <w:lang w:bidi="pl-PL"/>
        </w:rPr>
        <w:t xml:space="preserve"> </w:t>
      </w:r>
      <w:r w:rsidRPr="0009014A">
        <w:rPr>
          <w:rFonts w:ascii="Lato" w:hAnsi="Lato" w:cs="Arial"/>
          <w:bCs/>
          <w:iCs/>
          <w:color w:val="000000"/>
          <w:spacing w:val="4"/>
          <w:sz w:val="22"/>
          <w:szCs w:val="22"/>
          <w:lang w:bidi="pl-PL"/>
        </w:rPr>
        <w:t>w Polsce], radykalne skrócenie i uproszczenie procedury wywłaszczeniowej jest niezbędne, gdyż konieczność działania organów według innych reguł „paraliżowałaby prowadzenie inwestycji drogowych”. Stwierdzenie to ma uniwersalny wymiar, niezależnie od przedmiotu postępowania, z uwagi na jedność interpretacji w ramach spójnego systemu prawa, a zatem dotyczy również ustawy CPK</w:t>
      </w:r>
      <w:r w:rsidRPr="0009014A">
        <w:rPr>
          <w:rFonts w:ascii="Lato" w:eastAsiaTheme="minorHAnsi" w:hAnsi="Lato" w:cs="Arial"/>
          <w:bCs/>
          <w:iCs/>
          <w:spacing w:val="4"/>
          <w:sz w:val="22"/>
          <w:szCs w:val="22"/>
          <w:lang w:eastAsia="en-US" w:bidi="pl-PL"/>
        </w:rPr>
        <w:t xml:space="preserve">. </w:t>
      </w:r>
      <w:r w:rsidRPr="0009014A">
        <w:rPr>
          <w:rFonts w:ascii="Lato" w:hAnsi="Lato" w:cs="Arial"/>
          <w:bCs/>
          <w:iCs/>
          <w:color w:val="000000"/>
          <w:spacing w:val="4"/>
          <w:sz w:val="22"/>
          <w:szCs w:val="22"/>
          <w:lang w:bidi="pl-PL"/>
        </w:rPr>
        <w:t>Inaczej mówiąc, w odniesieniu do przepisów ustawy CPK (podobnie jak w przypadku innych aktów prawnych określanych mianem „specustaw”), stosuje się rzymską paremię:</w:t>
      </w:r>
      <w:r w:rsidRPr="0009014A">
        <w:rPr>
          <w:rFonts w:ascii="Lato" w:hAnsi="Lato" w:cs="Arial"/>
          <w:bCs/>
          <w:i/>
          <w:iCs/>
          <w:color w:val="000000"/>
          <w:spacing w:val="4"/>
          <w:sz w:val="22"/>
          <w:szCs w:val="22"/>
          <w:lang w:bidi="pl-PL"/>
        </w:rPr>
        <w:t xml:space="preserve"> </w:t>
      </w:r>
      <w:r w:rsidRPr="0009014A">
        <w:rPr>
          <w:rFonts w:ascii="Lato" w:hAnsi="Lato" w:cs="Arial"/>
          <w:bCs/>
          <w:iCs/>
          <w:color w:val="000000"/>
          <w:spacing w:val="4"/>
          <w:sz w:val="22"/>
          <w:szCs w:val="22"/>
          <w:lang w:bidi="pl-PL"/>
        </w:rPr>
        <w:t>dura lex, sed lex („surowe prawo, ale jednak prawo”).</w:t>
      </w:r>
    </w:p>
    <w:p w14:paraId="719C29C4" w14:textId="2D672DB6" w:rsidR="0009014A" w:rsidRPr="0009014A" w:rsidRDefault="0009014A" w:rsidP="0009014A">
      <w:pPr>
        <w:spacing w:after="12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Na uwzględnienie nie zasługują zarzuty Pana Ł</w:t>
      </w:r>
      <w:r w:rsidR="00CA5AE4">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w:t>
      </w:r>
      <w:r w:rsidR="00CA5AE4">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Pani K</w:t>
      </w:r>
      <w:r w:rsidR="00CA5AE4">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w:t>
      </w:r>
      <w:r w:rsidR="00CA5AE4">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dotyczące naruszenia:</w:t>
      </w:r>
    </w:p>
    <w:p w14:paraId="0EFB4562" w14:textId="77777777" w:rsidR="0009014A" w:rsidRPr="0009014A" w:rsidRDefault="0009014A">
      <w:pPr>
        <w:numPr>
          <w:ilvl w:val="0"/>
          <w:numId w:val="43"/>
        </w:numPr>
        <w:spacing w:after="12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art. 1 ust. 2 pkt 7 oraz art. 1 ust. 3 ustawy z dnia 27 marca 2003 r. o planowaniu </w:t>
      </w:r>
      <w:r w:rsidRPr="0009014A">
        <w:rPr>
          <w:rFonts w:ascii="Lato" w:hAnsi="Lato" w:cs="Arial"/>
          <w:bCs/>
          <w:iCs/>
          <w:color w:val="000000"/>
          <w:spacing w:val="4"/>
          <w:sz w:val="22"/>
          <w:szCs w:val="22"/>
          <w:lang w:bidi="pl-PL"/>
        </w:rPr>
        <w:br/>
        <w:t>i zagospodarowaniu przestrzennym (t.j. Dz.U. z 2024 r. poz. 1130, z późn.zm.), zwanej dalej „ustawą o planowaniu i zagospodarowaniu przestrzennym”, przez nieposzanowanie w procesie ustalania lokalizacji inwestycji w zakresie CPK prawa własności działek nr 23, nr 28, nr 26/2, nr 73, z obrębu 0011 Maurycew, przekroczenie władztwa administracyjnego i nieprawidłowe wyważenie interesów prywatnych i interesu publicznego,</w:t>
      </w:r>
    </w:p>
    <w:p w14:paraId="58A179C5" w14:textId="77777777" w:rsidR="0009014A" w:rsidRPr="0009014A" w:rsidRDefault="0009014A">
      <w:pPr>
        <w:numPr>
          <w:ilvl w:val="0"/>
          <w:numId w:val="43"/>
        </w:numPr>
        <w:spacing w:after="240" w:line="240" w:lineRule="exact"/>
        <w:ind w:left="357" w:hanging="357"/>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art. 31 ust. 3 Konstytucji RP w zw. z art. 64 ust. 2 i 3 Konstytucji RP przez nałożenie niekoniecznych ograniczeń w korzystaniu z konstytucyjnie chronionego prawa własności ww. działek nr 23, nr 28, nr 26/2, nr 73, a w zasadzie przez niekonieczne pozbawienie prawa własności do tych działek, jak również przez nierówną ochronę prawa własności i nieuzasadnione zróżnicowanie jej udzielania niektórym właścicielom nieruchomości (nieobjętym decyzją lokalizacyjną), a innym właścicielom (objętym decyzją lokalizacyjną) odbieranie tej ochrony.</w:t>
      </w:r>
    </w:p>
    <w:p w14:paraId="45C96B1C"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Na wstępie wyjaśnić należy, że tryb i zasady wydawania decyzji o ustaleniu lokalizacji inwestycji w zakresie CPK zostały kompleksowo uregulowane na gruncie ustawy CPK. Ani Rozdział 3 ustawy CPK pn.: „Decyzja o ustaleniu lokalizacji inwestycji w zakresie CPK”, ani Dział I ustawy CPK pn.: „Przepisy ogólne” nie zawierają odesłania do stosowania przepisów ustawy o planowaniu i zagospodarowaniu przestrzennym przy wydawaniu decyzji o ustaleniu lokalizacji inwestycji w zakresie CPK. Zgodnie z art. 3 pkt 2 ustawy CPK, w sprawach nieuregulowanych tą ustawą, stosuje się odpowiednio przepisy ustawy Prawo budowlane, ugn oraz kpa. Przepis ten nie wymienia ustawy </w:t>
      </w:r>
      <w:r w:rsidRPr="0009014A">
        <w:rPr>
          <w:rFonts w:ascii="Lato" w:hAnsi="Lato" w:cs="Arial"/>
          <w:bCs/>
          <w:iCs/>
          <w:color w:val="000000"/>
          <w:spacing w:val="4"/>
          <w:sz w:val="22"/>
          <w:szCs w:val="22"/>
          <w:lang w:bidi="pl-PL"/>
        </w:rPr>
        <w:br/>
        <w:t xml:space="preserve">o planowaniu i zagospodarowaniu przestrzennym. Co więcej, zgodnie z art. 38 ust. 3 ustawy CPK, lokalizacji Inwestycji można dokonać wbrew ustaleniom miejscowego planu zagospodarowania przestrzennego. W takim przypadku ustaleń tego planu niezgodnych z ustaleniami decyzji o ustaleniu lokalizacji inwestycji w zakresie CPK nie stosuje się. </w:t>
      </w:r>
      <w:r w:rsidRPr="0009014A">
        <w:rPr>
          <w:rFonts w:ascii="Lato" w:hAnsi="Lato" w:cs="Arial"/>
          <w:bCs/>
          <w:iCs/>
          <w:color w:val="000000"/>
          <w:spacing w:val="4"/>
          <w:sz w:val="22"/>
          <w:szCs w:val="22"/>
          <w:lang w:bidi="pl-PL"/>
        </w:rPr>
        <w:br/>
        <w:t xml:space="preserve">W konsekwencji powyższego, wszelkie zasady wynikające z ustawy o planowaniu </w:t>
      </w:r>
      <w:r w:rsidRPr="0009014A">
        <w:rPr>
          <w:rFonts w:ascii="Lato" w:hAnsi="Lato" w:cs="Arial"/>
          <w:bCs/>
          <w:iCs/>
          <w:color w:val="000000"/>
          <w:spacing w:val="4"/>
          <w:sz w:val="22"/>
          <w:szCs w:val="22"/>
          <w:lang w:bidi="pl-PL"/>
        </w:rPr>
        <w:br/>
        <w:t xml:space="preserve">i zagospodarowaniu przestrzennym nie mają zastosowania do spraw z zakresu wydania decyzji o ustaleniu lokalizacji inwestycji w zakresie CPK, co uwalnia od typowych procedur, które mogłyby uniemożliwiać i paraliżować podejmowanie decyzji w zakresie lokalizacji inwestycji w zakresie CPK i pozwoleń budowlanych tego dotyczących. Oznacza to niedopuszczalność dokonywania oceny wniosku inwestora i decyzji </w:t>
      </w:r>
      <w:r w:rsidRPr="0009014A">
        <w:rPr>
          <w:rFonts w:ascii="Lato" w:hAnsi="Lato" w:cs="Arial"/>
          <w:bCs/>
          <w:iCs/>
          <w:color w:val="000000"/>
          <w:spacing w:val="4"/>
          <w:sz w:val="22"/>
          <w:szCs w:val="22"/>
          <w:lang w:bidi="pl-PL"/>
        </w:rPr>
        <w:br/>
        <w:t>o ustaleniu lokalizacji inwestycji w zakresie CPK przez pryzmat przepisów o planowaniu i zagospodarowaniu przestrzennym.</w:t>
      </w:r>
    </w:p>
    <w:p w14:paraId="5B1EE444"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Następnie wskazać należy, że wywłaszczenie jakie jest związane z realizacją decyzji </w:t>
      </w:r>
      <w:r w:rsidRPr="0009014A">
        <w:rPr>
          <w:rFonts w:ascii="Lato" w:hAnsi="Lato" w:cs="Arial"/>
          <w:bCs/>
          <w:iCs/>
          <w:color w:val="000000"/>
          <w:spacing w:val="4"/>
          <w:sz w:val="22"/>
          <w:szCs w:val="22"/>
          <w:lang w:bidi="pl-PL"/>
        </w:rPr>
        <w:br/>
        <w:t xml:space="preserve">o ustaleniu lokalizacji inwestycji w zakresie CPK, jest dopuszczalne w świetle unormowań Konstytucji RP (art. 21 ust. 2, art. 31 ust. 3 i art. 64 ust. 3). Wynika z nich, że z jednej </w:t>
      </w:r>
      <w:r w:rsidRPr="0009014A">
        <w:rPr>
          <w:rFonts w:ascii="Lato" w:hAnsi="Lato" w:cs="Arial"/>
          <w:bCs/>
          <w:iCs/>
          <w:color w:val="000000"/>
          <w:spacing w:val="4"/>
          <w:sz w:val="22"/>
          <w:szCs w:val="22"/>
          <w:lang w:bidi="pl-PL"/>
        </w:rPr>
        <w:lastRenderedPageBreak/>
        <w:t xml:space="preserve">strony, prawo własności podlega ochronie; z drugiej zaś - że może doznawać ograniczeń, ale tylko w przewidziany prawem sposób. Przede wszystkim prawny mechanizm ingerencji władzy publicznej w prawo własności został obwarowany możliwością ustanowienia ograniczeń prawa własności wyłącznie ustawowo. Do formalnych przesłanek należą jeszcze: możliwość wprowadzenia ograniczeń, ale tylko w zakresie niezbędnym oraz w sposób, który nie narusza istoty prawa własności. Ponadto </w:t>
      </w:r>
      <w:r w:rsidRPr="0009014A">
        <w:rPr>
          <w:rFonts w:ascii="Lato" w:hAnsi="Lato" w:cs="Arial"/>
          <w:bCs/>
          <w:iCs/>
          <w:color w:val="000000"/>
          <w:spacing w:val="4"/>
          <w:sz w:val="22"/>
          <w:szCs w:val="22"/>
          <w:lang w:bidi="pl-PL"/>
        </w:rPr>
        <w:br/>
        <w:t xml:space="preserve">w Konstytucji RP przewidziano także przesłanki materialnoprawne, do których zalicza się bezpieczeństwo państwa, porządek publiczny, ochronę środowiska, zdrowie i moralność publiczną oraz wolności i prawa innych osób. We wskazanym kontekście ustawa CPK realizuje postanowienia Konstytucji RP; wywłaszczenie następuje bowiem w oparciu </w:t>
      </w:r>
      <w:r w:rsidRPr="0009014A">
        <w:rPr>
          <w:rFonts w:ascii="Lato" w:hAnsi="Lato" w:cs="Arial"/>
          <w:bCs/>
          <w:iCs/>
          <w:color w:val="000000"/>
          <w:spacing w:val="4"/>
          <w:sz w:val="22"/>
          <w:szCs w:val="22"/>
          <w:lang w:bidi="pl-PL"/>
        </w:rPr>
        <w:br/>
        <w:t>o ustawę, tj. art. 48 ust. 1 ustawy CPK, za odszkodowaniem. Pomimo odjęcia własności, dochodzi w ten sposób do równoważenia strat i szkód związanych z prowadzonym postępowaniem. Wywłaszczenie należących do skarżących działek spełnia, zdaniem Ministra, także wyrażoną w art. 31 ust. 3 Konstytucji RP zasadę proporcjonalności. Zostało bowiem dokonane na cel publiczny, bowiem w myśl art. 3 ust. 1 ustawy CPK, realizacja Inwestycji i Inwestycji Towarzyszących zdefiniowanych w tej ustawie stanowi cel publiczny w rozumieniu przepisów ugn.</w:t>
      </w:r>
    </w:p>
    <w:p w14:paraId="4B27EF67"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Wywłaszczenie skarżących z prawa własności ww. działek w celu umożliwienia budowy Inwestycji - Centralnego Portu Komunikacyjnego, to jest jednej z największych </w:t>
      </w:r>
      <w:r w:rsidRPr="0009014A">
        <w:rPr>
          <w:rFonts w:ascii="Lato" w:hAnsi="Lato" w:cs="Arial"/>
          <w:bCs/>
          <w:iCs/>
          <w:color w:val="000000"/>
          <w:spacing w:val="4"/>
          <w:sz w:val="22"/>
          <w:szCs w:val="22"/>
          <w:lang w:bidi="pl-PL"/>
        </w:rPr>
        <w:br/>
        <w:t xml:space="preserve">i najbardziej złożonych inwestycji infrastrukturalnych w historii Polski i realizowanej </w:t>
      </w:r>
      <w:r w:rsidRPr="0009014A">
        <w:rPr>
          <w:rFonts w:ascii="Lato" w:hAnsi="Lato" w:cs="Arial"/>
          <w:bCs/>
          <w:iCs/>
          <w:color w:val="000000"/>
          <w:spacing w:val="4"/>
          <w:sz w:val="22"/>
          <w:szCs w:val="22"/>
          <w:lang w:bidi="pl-PL"/>
        </w:rPr>
        <w:br/>
        <w:t>w interesie publicznym, w sposób oczywisty nie narusza zasady proporcjonalności wynikającej z art. 31 ust. 3 Konstytucji RP. W orzecznictwie Naczelnego Sądu Administracyjnego dotyczącym specustawy drogowej i ustawy o transporcie kolejowym, ugruntował się jednolity pogląd,</w:t>
      </w:r>
      <w:r w:rsidRPr="0009014A">
        <w:rPr>
          <w:rFonts w:ascii="Lato" w:hAnsi="Lato"/>
          <w:spacing w:val="4"/>
          <w:sz w:val="22"/>
          <w:szCs w:val="22"/>
        </w:rPr>
        <w:t xml:space="preserve"> </w:t>
      </w:r>
      <w:r w:rsidRPr="0009014A">
        <w:rPr>
          <w:rFonts w:ascii="Lato" w:hAnsi="Lato" w:cs="Arial"/>
          <w:bCs/>
          <w:iCs/>
          <w:color w:val="000000"/>
          <w:spacing w:val="4"/>
          <w:sz w:val="22"/>
          <w:szCs w:val="22"/>
          <w:lang w:bidi="pl-PL"/>
        </w:rPr>
        <w:t>że przy realizacji systemu dróg/kolei służących poprawie bezpieczeństwa, komunikacji, transportu nie dochodzi do naruszenia proporcji między interesem publicznym, a ingerencją w sferę praw i wolności, które na mocy ustawy są rekompensowane stosownym odszkodowaniem (por. np. wyroki Naczelnego Sądu Administracyjnego z dnia 5 września 2024 r., sygn. akt II OSK 970/24, z dnia 30 czerwca 2017 r., sygn. akt II OSK 762/17, z dnia 11 stycznia 2023 r., sygn. akt II OSK 2348/22, z dnia 5 marca 2024 r.</w:t>
      </w:r>
      <w:r w:rsidRPr="0009014A">
        <w:rPr>
          <w:rFonts w:ascii="Lato" w:hAnsi="Lato"/>
          <w:spacing w:val="4"/>
          <w:sz w:val="22"/>
          <w:szCs w:val="22"/>
        </w:rPr>
        <w:t xml:space="preserve"> sygn. akt </w:t>
      </w:r>
      <w:r w:rsidRPr="0009014A">
        <w:rPr>
          <w:rFonts w:ascii="Lato" w:hAnsi="Lato" w:cs="Arial"/>
          <w:bCs/>
          <w:iCs/>
          <w:color w:val="000000"/>
          <w:spacing w:val="4"/>
          <w:sz w:val="22"/>
          <w:szCs w:val="22"/>
          <w:lang w:bidi="pl-PL"/>
        </w:rPr>
        <w:t>II OSK 2405/23, z dnia 8 kwietnia 2024 r., sygn. akt II OSK 246/25, opubl. Centralna Baza Orzeczeń Sądów Administracyjnych). Stanowisko to na zasadzie analogi znajduje również zastosowanie do decyzji o ustaleniu lokalizacji inwestycji w zakresie CPK. Przyznanie prymatu interesowi publicznemu nad interesem partykularnym skarżących było więc w tej sprawie uzasadnione.</w:t>
      </w:r>
    </w:p>
    <w:p w14:paraId="56180F12"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Z akt sprawy, w tym wyjaśnień inwestora wynika, że ingerencja w prawo własności, związana z lokalizacją Inwestycji objętej decyzją Wojewody Mazowieckiego, ograniczona została wyłącznie do zakresu niezbędnego dla jej przeprowadzenia. Inwestor dokonał wyboru najkorzystniejszych rozwiązań odnoszących się do planowanego przedsięwzięcia, planowane wywłaszczenie działek będących własnością odwołujących jest konieczne zarówno dla realizacji Inwestycji, jak i jej prawidłowego funkcjonowania. Brak jest zatem podstaw do przyjęcia, że ingerencja w prawo własności odwołujących się ma charakter nadmierny, nieusprawiedliwiony bądź narusza zasadę proporcjonalności. W tej sytuacji nie można podzielić zarzutu naruszenia art. 31 ust. 3 Konstytucji RP, albowiem ograniczenie własności skarżących nastąpiło na podstawie ustawy, dla realizacji konkretnego celu publicznego, w sposób proporcjonalny do potrzeb </w:t>
      </w:r>
      <w:r w:rsidRPr="0009014A">
        <w:rPr>
          <w:rFonts w:ascii="Lato" w:hAnsi="Lato" w:cs="Arial"/>
          <w:bCs/>
          <w:iCs/>
          <w:color w:val="000000"/>
          <w:spacing w:val="4"/>
          <w:sz w:val="22"/>
          <w:szCs w:val="22"/>
          <w:lang w:bidi="pl-PL"/>
        </w:rPr>
        <w:br/>
        <w:t>i niewykraczający poza prawnie uzasadnioną niezbędność. Co równie istotne (i warto raz jeszcze wskazać), odebranie dotychczasowemu właścicielowi praw do przejmowanych nieruchomości, łączy się bezpośrednio z przyznaniem ekwiwalentu w postaci roszczenia o odszkodowanie, realizowanego przez organ administracji z urzędu w odrębnej decyzji.</w:t>
      </w:r>
    </w:p>
    <w:p w14:paraId="7406F868"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W sytuacjach kolizji interesu publicznego i indywidualnego, pomimo że prawo własności jest chronione przez Konstytucję RP (art. 21 ust. 1), prymat przyznany zostaje interesowi </w:t>
      </w:r>
      <w:r w:rsidRPr="0009014A">
        <w:rPr>
          <w:rFonts w:ascii="Lato" w:hAnsi="Lato" w:cs="Arial"/>
          <w:bCs/>
          <w:iCs/>
          <w:color w:val="000000"/>
          <w:spacing w:val="4"/>
          <w:sz w:val="22"/>
          <w:szCs w:val="22"/>
          <w:lang w:bidi="pl-PL"/>
        </w:rPr>
        <w:lastRenderedPageBreak/>
        <w:t xml:space="preserve">publicznemu. Ustawodawca uchwalając ustawę CPK znacznie zwiększył uprawnienia Spółki Celowej (inwestora – CPK Sp. z o.o.) i zdecydowanie ograniczył uprawnienia właścicieli nieruchomości znajdujących się w obszarze oddziaływania inwestycji </w:t>
      </w:r>
      <w:r w:rsidRPr="0009014A">
        <w:rPr>
          <w:rFonts w:ascii="Lato" w:hAnsi="Lato" w:cs="Arial"/>
          <w:bCs/>
          <w:iCs/>
          <w:color w:val="000000"/>
          <w:spacing w:val="4"/>
          <w:sz w:val="22"/>
          <w:szCs w:val="22"/>
          <w:lang w:bidi="pl-PL"/>
        </w:rPr>
        <w:br/>
        <w:t xml:space="preserve">w zakresie określonym przepisami ustawy CPK, dążąc do zrealizowania celu publicznego zdefiniowanego w tej ustawie. Regulacja ta, co należy wyraźnie zaznaczyć, mieści się </w:t>
      </w:r>
      <w:r w:rsidRPr="0009014A">
        <w:rPr>
          <w:rFonts w:ascii="Lato" w:hAnsi="Lato" w:cs="Arial"/>
          <w:bCs/>
          <w:iCs/>
          <w:color w:val="000000"/>
          <w:spacing w:val="4"/>
          <w:sz w:val="22"/>
          <w:szCs w:val="22"/>
          <w:lang w:bidi="pl-PL"/>
        </w:rPr>
        <w:br/>
        <w:t>w granicach ograniczeń w zakresie korzystania z konstytucyjnych wolności i praw określonych w art. 31 ust. 3 Konstytucji RP (por. wyrok Naczelnego Sądu Administracyjnego z dnia 5 lutego 2020 r. sygn. akt II OSK 3586/19,</w:t>
      </w:r>
      <w:r w:rsidRPr="0009014A">
        <w:rPr>
          <w:rFonts w:ascii="Lato" w:hAnsi="Lato"/>
          <w:spacing w:val="4"/>
          <w:sz w:val="22"/>
          <w:szCs w:val="22"/>
        </w:rPr>
        <w:t xml:space="preserve"> </w:t>
      </w:r>
      <w:r w:rsidRPr="0009014A">
        <w:rPr>
          <w:rFonts w:ascii="Lato" w:hAnsi="Lato" w:cs="Arial"/>
          <w:bCs/>
          <w:iCs/>
          <w:color w:val="000000"/>
          <w:spacing w:val="4"/>
          <w:sz w:val="22"/>
          <w:szCs w:val="22"/>
          <w:lang w:bidi="pl-PL"/>
        </w:rPr>
        <w:t>opubl. Centralna Baza Orzeczeń Sądów Administracyjnych, odnoszący się co prawda do tzw. specustawy drogowej, ale pogląd w nim wyrażony znajduje zastosowanie również w odniesieniu do ustawy CPK).</w:t>
      </w:r>
      <w:r w:rsidRPr="0009014A">
        <w:rPr>
          <w:rFonts w:ascii="Lato" w:hAnsi="Lato"/>
          <w:spacing w:val="4"/>
          <w:sz w:val="22"/>
          <w:szCs w:val="22"/>
        </w:rPr>
        <w:t xml:space="preserve"> </w:t>
      </w:r>
      <w:r w:rsidRPr="0009014A">
        <w:rPr>
          <w:rFonts w:ascii="Lato" w:hAnsi="Lato" w:cs="Arial"/>
          <w:bCs/>
          <w:iCs/>
          <w:color w:val="000000"/>
          <w:spacing w:val="4"/>
          <w:sz w:val="22"/>
          <w:szCs w:val="22"/>
          <w:lang w:bidi="pl-PL"/>
        </w:rPr>
        <w:t>A zatem, ustawa CPK dopuszcza ingerencję w prawo własności i czyni to w zgodzie z przepisami Konstytucji RP. Już sama istota inwestycji w zakresie CPK wiąże się z ingerencją w prawa innych podmiotów, objętych decyzją o ustaleniu lokalizacji inwestycji w zakresie CPK. Zakres tej ingerencji może być różny i jest warunkowany dążeniem inwestora do wprowadzenia możliwie najmniej uciążliwych ograniczeń. Siłą rzeczy inwestycja w zakresie CPK ma swoje granice przestrzenne, w związku z czym istnieć będzie zbiór nieruchomości znajdujących się w jej bezpośrednim sąsiedztwie, ale nieobjętych decyzją o ustaleniu lokalizacji inwestycji w zakresie CPK. Ten nieunikniony stan rzeczy nie świadczy o wadliwości decyzji lokalizacyjnej organu I instancji czy też naruszeniu zasady równości wobec prawa.</w:t>
      </w:r>
    </w:p>
    <w:p w14:paraId="4A74A9F0" w14:textId="7A354E3C"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Na uwzględnienie nie zasługuje zarzut Pana Ł</w:t>
      </w:r>
      <w:r w:rsidR="00F4789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w:t>
      </w:r>
      <w:r w:rsidR="00F4789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Pani K</w:t>
      </w:r>
      <w:r w:rsidR="00F4789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w:t>
      </w:r>
      <w:r w:rsidR="00F4789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naruszenia art. 22 Konstytucji RP przez ograniczenie Panu Ł</w:t>
      </w:r>
      <w:r w:rsidR="00F4789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w:t>
      </w:r>
      <w:r w:rsidR="00F4789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wolności działalności gospodarczej prowadzonej od 2009 roku początkowo w formie jednoosobowej działalności gospodarczej, następnie w roku 2024 przekształconej w spółkę z o.o. na działce nr 28 oraz </w:t>
      </w:r>
      <w:r w:rsidR="00040A3A">
        <w:rPr>
          <w:rFonts w:ascii="Lato" w:hAnsi="Lato" w:cs="Arial"/>
          <w:bCs/>
          <w:iCs/>
          <w:color w:val="000000"/>
          <w:spacing w:val="4"/>
          <w:sz w:val="22"/>
          <w:szCs w:val="22"/>
          <w:lang w:bidi="pl-PL"/>
        </w:rPr>
        <w:t>nr</w:t>
      </w:r>
      <w:r w:rsidRPr="0009014A">
        <w:rPr>
          <w:rFonts w:ascii="Lato" w:hAnsi="Lato" w:cs="Arial"/>
          <w:bCs/>
          <w:iCs/>
          <w:color w:val="000000"/>
          <w:spacing w:val="4"/>
          <w:sz w:val="22"/>
          <w:szCs w:val="22"/>
          <w:lang w:bidi="pl-PL"/>
        </w:rPr>
        <w:t xml:space="preserve"> 26/2 w drodze decyzji lokalizacyjnej, a nie w drodze ustawy.</w:t>
      </w:r>
    </w:p>
    <w:p w14:paraId="78A83546" w14:textId="1C40E3B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Swoboda działalności gospodarczej stanowi tzw. publiczne prawo podmiotowe </w:t>
      </w:r>
      <w:r w:rsidRPr="0009014A">
        <w:rPr>
          <w:rFonts w:ascii="Lato" w:hAnsi="Lato" w:cs="Arial"/>
          <w:bCs/>
          <w:iCs/>
          <w:color w:val="000000"/>
          <w:spacing w:val="4"/>
          <w:sz w:val="22"/>
          <w:szCs w:val="22"/>
          <w:lang w:bidi="pl-PL"/>
        </w:rPr>
        <w:br/>
        <w:t xml:space="preserve">o charakterze negatywnym, któremu odpowiada ogólny obowiązek państwa nienaruszania swobody działania beneficjentów tego prawa w sferze działalności gospodarczej. Wolność gospodarcza jest konstrukcją danego porządku prawnego </w:t>
      </w:r>
      <w:r w:rsidRPr="0009014A">
        <w:rPr>
          <w:rFonts w:ascii="Lato" w:hAnsi="Lato" w:cs="Arial"/>
          <w:bCs/>
          <w:iCs/>
          <w:color w:val="000000"/>
          <w:spacing w:val="4"/>
          <w:sz w:val="22"/>
          <w:szCs w:val="22"/>
          <w:lang w:bidi="pl-PL"/>
        </w:rPr>
        <w:br/>
        <w:t xml:space="preserve">i oznacza domniemanie swobody podejmowania i prowadzenia działalności przez przedsiębiorców, jeżeli (i dopóki) co innego nie wynika z przepisów ustawowych. Decyzja o ustaleniu lokalizacji inwestycji w zakresie CPK, podobnie jak inne decyzje lokalizacyjne/zezwoleniowe wydawane na podstawie przepisów specjalnych </w:t>
      </w:r>
      <w:r w:rsidRPr="0009014A">
        <w:rPr>
          <w:rFonts w:ascii="Lato" w:hAnsi="Lato" w:cs="Arial"/>
          <w:bCs/>
          <w:iCs/>
          <w:color w:val="000000"/>
          <w:spacing w:val="4"/>
          <w:sz w:val="22"/>
          <w:szCs w:val="22"/>
          <w:lang w:bidi="pl-PL"/>
        </w:rPr>
        <w:br/>
        <w:t>(specustaw) nie ogranicza żadną miarą swobody działalności gospodarczej (por. wyrok Wojewódzkiego Sądu Administracyjnego w Warszawie z dnia 2 marca 2023 r., sygn. akt VII SA/Wa 1802/21; podobnie Naczelny Sąd Administracyjny w wyroku  z dnia  4 lipca 2023 r., sygn. akt II OSK 503/23, opubl. Centralna Baza Orzeczeń Sądów Administracyjnych). Uwzględnienie przez organ I instancji zarówno zasad rządzących postępowaniem prowadzonym w trybie ustawy CPK, jak i niewątpliwej istotności planowanej Inwestycji dla interesu publicznego nie pozwala na uznanie, że naruszona została przez Wojewodę Mazowieckiego swoboda działalności gospodarczej Pana Ł</w:t>
      </w:r>
      <w:r w:rsidR="009E563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 Wywłaszczenie nieruchomości i konieczność przeniesienia działalności gospodarczej </w:t>
      </w:r>
      <w:r w:rsidR="009E5638">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inne miejsce jest niewątpliwie dla skarżącego dużą niedogodnością, jednakże jest to konieczne, by zrealizować Inwestycję. Złagodzeniu skutków tej sytuacji służy prawo do uzyskania odszkodowania za wywłaszczoną własność. </w:t>
      </w:r>
    </w:p>
    <w:p w14:paraId="6810BD82" w14:textId="204DF95E"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Za niezasadny należy uznać zarzut Pana D</w:t>
      </w:r>
      <w:r w:rsidR="00A34E8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T</w:t>
      </w:r>
      <w:r w:rsidR="00A34E8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tego, że linia rozgraniczająca znajduje się zbyt blisko budynku mieszkalnego usytuowanego na działce nr 39/2, </w:t>
      </w:r>
      <w:r w:rsidR="00A34E85">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z obrębu 0018 Cyganka, co jest niezgodne z prawem budowlanym. Zdaniem skarżącego, inwestor nie uwzględnił usytuowania domu mieszkalnego (zobrazowanego na załącznikach mapowych do odwołania) w planie lokalizacyjnym.</w:t>
      </w:r>
    </w:p>
    <w:p w14:paraId="65430076"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lastRenderedPageBreak/>
        <w:t xml:space="preserve">W pierwszej kolejności przypomnieć należy, że umiejscowienie decyzji lokalizacyjnej </w:t>
      </w:r>
      <w:r w:rsidRPr="0009014A">
        <w:rPr>
          <w:rFonts w:ascii="Lato" w:hAnsi="Lato" w:cs="Arial"/>
          <w:bCs/>
          <w:iCs/>
          <w:color w:val="000000"/>
          <w:spacing w:val="4"/>
          <w:sz w:val="22"/>
          <w:szCs w:val="22"/>
          <w:lang w:bidi="pl-PL"/>
        </w:rPr>
        <w:br/>
        <w:t>w procesie inwestycyjnym wskazuje na to, iż ma ona charakter wstępny - określa dopuszczalność zamierzenia inwestycyjnego w wyznaczonej przez inwestora lokalizacji, a także podaje ogólne warunki i zasady, którym inwestycja powinna odpowiadać.</w:t>
      </w:r>
      <w:r w:rsidRPr="0009014A">
        <w:rPr>
          <w:rFonts w:ascii="Lato" w:hAnsi="Lato" w:cs="Arial"/>
          <w:bCs/>
          <w:iCs/>
          <w:spacing w:val="4"/>
          <w:sz w:val="22"/>
          <w:szCs w:val="22"/>
          <w:lang w:bidi="pl-PL"/>
        </w:rPr>
        <w:t xml:space="preserve"> </w:t>
      </w:r>
      <w:r w:rsidRPr="0009014A">
        <w:rPr>
          <w:rFonts w:ascii="Lato" w:hAnsi="Lato" w:cs="Arial"/>
          <w:bCs/>
          <w:iCs/>
          <w:color w:val="000000"/>
          <w:spacing w:val="4"/>
          <w:sz w:val="22"/>
          <w:szCs w:val="22"/>
          <w:lang w:bidi="pl-PL"/>
        </w:rPr>
        <w:t xml:space="preserve">Na etapie postępowania w przedmiocie ustalenia lokalizacji inwestycji w zakresie CPK kognicja organów orzekających jest ograniczona i nie może być rozciągana </w:t>
      </w:r>
      <w:r w:rsidRPr="0009014A">
        <w:rPr>
          <w:rFonts w:ascii="Lato" w:hAnsi="Lato" w:cs="Arial"/>
          <w:bCs/>
          <w:iCs/>
          <w:color w:val="000000"/>
          <w:spacing w:val="4"/>
          <w:sz w:val="22"/>
          <w:szCs w:val="22"/>
          <w:lang w:bidi="pl-PL"/>
        </w:rPr>
        <w:br/>
        <w:t>na okoliczności będące przedmiotem badania organów administracji architektoniczno-budowlanej. Oceny warunków techniczno-budowlanych dokonują w odrębnym postępowaniu organy administracji architektoniczno-budowlanej na podstawie przedstawionego przez inwestora projektu budowlanego, zawierającego rozwiązania techniczne realizacji inwestycji, sporządzonego przez osoby posiadające wiedzę specjalistyczną i stosowne uprawnienia.</w:t>
      </w:r>
    </w:p>
    <w:p w14:paraId="56759FB5" w14:textId="6D42983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Niezależnie od tego, inwestor wyjaśnił, że linia rozgraniczająca została poprowadzona poprawnie i nie narusza istniejącego budynku mieszkalnego, zachowane są wystarczające odległości, zgodne z obowiązującymi przepisami. Inwestor wskazał, że przedmiotowy obiekt budowlany nie został zinwentaryzowany powykonawczo i nie znajduje się na mapie ewidencyjnej prowadzonej w starostwie powiatowym. Na załączniku graficznym nr 64 do decyzji Wojewody Mazowieckiego (mapa w skali 1:1000 przedstawiająca projektowany obszar Inwestycji) zamieszczono adnotacje, iż do jego opracowania wykorzystano mapy ewidencyjne i mapy zasadnicze udostępnione na podstawie licencji przez właściwe starostwa powiatowe. Naczelny Sąd Administracyjny w wyroku z dnia </w:t>
      </w:r>
      <w:r w:rsidR="009526BA">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9 stycznia 2018 r., sygn. akt II OSK 2563/17, odnoszącym się do specustawy drogowej, ale pogląd w nim wyrażony znajduje zastosowanie również w odniesieniu do ustawy CPK, podkreślił, że „Organ prowadzący postępowanie o zezwolenie na realizację inwestycji drogowej (...) był związany treścią dokumentów istniejących w państwowym zasobie geodezyjnym i kartograficznym.”.</w:t>
      </w:r>
      <w:r w:rsidR="009E3F57">
        <w:rPr>
          <w:rFonts w:ascii="Lato" w:hAnsi="Lato" w:cs="Arial"/>
          <w:bCs/>
          <w:iCs/>
          <w:color w:val="000000"/>
          <w:spacing w:val="4"/>
          <w:sz w:val="22"/>
          <w:szCs w:val="22"/>
          <w:lang w:bidi="pl-PL"/>
        </w:rPr>
        <w:t xml:space="preserve"> </w:t>
      </w:r>
      <w:r w:rsidRPr="0009014A">
        <w:rPr>
          <w:rFonts w:ascii="Lato" w:hAnsi="Lato" w:cs="Arial"/>
          <w:bCs/>
          <w:iCs/>
          <w:color w:val="000000"/>
          <w:spacing w:val="4"/>
          <w:sz w:val="22"/>
          <w:szCs w:val="22"/>
          <w:lang w:bidi="pl-PL"/>
        </w:rPr>
        <w:t>Podobne stanowisko zajął Naczelny Sąd Administracyjny w wyroku z dnia 14 maja 2021 r., sygn. akt II OSK 383/21.</w:t>
      </w:r>
    </w:p>
    <w:p w14:paraId="4486806C" w14:textId="7FF2E10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Odnośnie zarzutu skarżącego, że działka nr 39/2, która powstaje po podziale działki </w:t>
      </w:r>
      <w:r w:rsidRPr="0009014A">
        <w:rPr>
          <w:rFonts w:ascii="Lato" w:hAnsi="Lato" w:cs="Arial"/>
          <w:bCs/>
          <w:iCs/>
          <w:color w:val="000000"/>
          <w:spacing w:val="4"/>
          <w:sz w:val="22"/>
          <w:szCs w:val="22"/>
          <w:lang w:bidi="pl-PL"/>
        </w:rPr>
        <w:br/>
        <w:t xml:space="preserve">nr 39 i zostaje przy właścicielu, nie nadaje się do dotychczasowego użytkowania, wyjaśnić należy, że zgodnie z art. 48 ust. 3 i 4 ustawy CPK, jeżeli wywłaszczeniem objęta jest część nieruchomości, a pozostała część nieruchomości nie nadaje się do wykorzystywania w dotychczasowy sposób albo zgodnie z dotychczasowym przeznaczeniem, na żądanie właściciela lub użytkownika wieczystego inwestor nabywa pozostałą część, w drodze umowy, na rzecz Spółki Celowej. Przez wykorzystanie </w:t>
      </w:r>
      <w:r w:rsidRPr="0009014A">
        <w:rPr>
          <w:rFonts w:ascii="Lato" w:hAnsi="Lato" w:cs="Arial"/>
          <w:bCs/>
          <w:iCs/>
          <w:color w:val="000000"/>
          <w:spacing w:val="4"/>
          <w:sz w:val="22"/>
          <w:szCs w:val="22"/>
          <w:lang w:bidi="pl-PL"/>
        </w:rPr>
        <w:br/>
        <w:t>w dotychczasowy sposób należy rozumieć wykorzystanie nieruchomości w jej faktycznym stanie zagospodarowania lub dokonanie zmiany sposobu zagospodarowania nieruchomości zgodnej z ostatecznym pozwoleniem na budowę. Powyższa kwestia stanowi zatem odrębne od postępowania administracyjnego w sprawie ustalenia lokalizacji inwestycji w zakresie CPK zagadnienie, które może być przedmiotem rozpatrzenia przez inwestora na ewentualny wniosek właściciela. Sprawa nabycia pozostałej części nieruchomości stanowi roszczenie cywilnoprawne. Szerzej była o tym mowa przy rozpatrywaniu odwołania Pana P</w:t>
      </w:r>
      <w:r w:rsidR="00297D2B">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G.</w:t>
      </w:r>
      <w:r w:rsidR="009E3F57">
        <w:rPr>
          <w:rFonts w:ascii="Lato" w:hAnsi="Lato" w:cs="Arial"/>
          <w:bCs/>
          <w:iCs/>
          <w:color w:val="000000"/>
          <w:spacing w:val="4"/>
          <w:sz w:val="22"/>
          <w:szCs w:val="22"/>
          <w:lang w:bidi="pl-PL"/>
        </w:rPr>
        <w:t xml:space="preserve"> </w:t>
      </w:r>
      <w:r w:rsidRPr="0009014A">
        <w:rPr>
          <w:rFonts w:ascii="Lato" w:hAnsi="Lato" w:cs="Arial"/>
          <w:bCs/>
          <w:iCs/>
          <w:color w:val="000000"/>
          <w:spacing w:val="4"/>
          <w:sz w:val="22"/>
          <w:szCs w:val="22"/>
          <w:lang w:bidi="pl-PL"/>
        </w:rPr>
        <w:t>Jednocześnie wyjaśnić przy tym należy, iż w pkt I niniejszej decyzji dla działki nr 39/2 (pozostającej własnością skarżącego po zatwierdzonym podziale działki nr 39) Minister zapewnił dostęp do drogi publicznej (droga powiatowa nr 3834W), poprzez ustanowienie służebności przejazdu i przechodu.</w:t>
      </w:r>
    </w:p>
    <w:p w14:paraId="76F97D62"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O wadliwości decyzji Wojewody Mazowieckiego nie świadczy następujące stanowisko skarżącego cyt.: „Żaden, z przedstawionych przez pracowników CPK projektów (zał. 1; zał.2; zał.3), nie wskazuje na to, aby linia rozgraniczająca ingerowała w tak dużym stopniu w działkę nr 39. Ponadto, żaden z pracowników CPK nie jest w stanie uzasadnić powodu tak dużej ingerencji we wspomnianą działkę 39. Nasuwa się wniosek, iż Spółka CPK, </w:t>
      </w:r>
      <w:r w:rsidRPr="0009014A">
        <w:rPr>
          <w:rFonts w:ascii="Lato" w:hAnsi="Lato" w:cs="Arial"/>
          <w:bCs/>
          <w:iCs/>
          <w:color w:val="000000"/>
          <w:spacing w:val="4"/>
          <w:sz w:val="22"/>
          <w:szCs w:val="22"/>
          <w:lang w:bidi="pl-PL"/>
        </w:rPr>
        <w:lastRenderedPageBreak/>
        <w:t>posługując się uprawnieniami Wojewody do wywłaszczenia, dąży do zawłaszczenia jak największego terenu.”.</w:t>
      </w:r>
    </w:p>
    <w:p w14:paraId="5C4C03BF" w14:textId="18AE3D69"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Zgodnie z przepisami ustawy CPK, to inwestor – CPK Sp. z o.o.</w:t>
      </w:r>
      <w:r w:rsidRPr="0009014A">
        <w:rPr>
          <w:rFonts w:ascii="Lato" w:hAnsi="Lato"/>
          <w:spacing w:val="4"/>
          <w:sz w:val="22"/>
          <w:szCs w:val="22"/>
        </w:rPr>
        <w:t xml:space="preserve"> </w:t>
      </w:r>
      <w:r w:rsidRPr="0009014A">
        <w:rPr>
          <w:rFonts w:ascii="Lato" w:hAnsi="Lato" w:cs="Arial"/>
          <w:bCs/>
          <w:iCs/>
          <w:color w:val="000000"/>
          <w:spacing w:val="4"/>
          <w:sz w:val="22"/>
          <w:szCs w:val="22"/>
          <w:lang w:bidi="pl-PL"/>
        </w:rPr>
        <w:t xml:space="preserve">kształtuje projekt Inwestycji i wskazuje we wniosku o lokalizację teren niezbędny dla planowanych obiektów budowlanych. O kreacyjnej roli inwestora w ustaleniu przebiegu Inwestycji była już mowa szerzej w niniejszej decyzji (zarówno w części wyjaśniającej charakterystykę decyzji lokalizacyjnej wydanej na podstawie ustawy CPK, jak i przy rozpatrywaniu zarzutów innych odwołań). We wniosku lokalizacyjnym, mając na względzie terytorialny zasięg planowanej Inwestycji, inwestor określił </w:t>
      </w:r>
      <w:r w:rsidRPr="0009014A">
        <w:rPr>
          <w:rFonts w:ascii="Lato" w:hAnsi="Lato" w:cs="Arial"/>
          <w:iCs/>
          <w:color w:val="000000"/>
          <w:spacing w:val="4"/>
          <w:sz w:val="22"/>
          <w:szCs w:val="22"/>
          <w:lang w:bidi="pl-PL"/>
        </w:rPr>
        <w:t>linie rozgraniczające teren Inwestycji</w:t>
      </w:r>
      <w:r w:rsidRPr="0009014A">
        <w:rPr>
          <w:rFonts w:ascii="Lato" w:hAnsi="Lato" w:cs="Arial"/>
          <w:bCs/>
          <w:iCs/>
          <w:color w:val="000000"/>
          <w:spacing w:val="4"/>
          <w:sz w:val="22"/>
          <w:szCs w:val="22"/>
          <w:lang w:bidi="pl-PL"/>
        </w:rPr>
        <w:t xml:space="preserve">, co bezpośrednio wyznacza obszar, na którym inwestor planuje obiekty budowlane, jak również  przedłożył wykaz nieruchomości lub ich części podlegających wywłaszczeniu. W toku procedury odwoławczej inwestor wyjaśnił, </w:t>
      </w:r>
      <w:r w:rsidR="009E3F57">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że przekazane skarżącemu przez pracowników CPK Sp. z o.o. materiały są założeniami koncepcyjnymi dla komponentu drogo</w:t>
      </w:r>
      <w:r w:rsidRPr="0009014A">
        <w:rPr>
          <w:rFonts w:ascii="Lato" w:hAnsi="Lato" w:cs="Arial"/>
          <w:bCs/>
          <w:iCs/>
          <w:color w:val="000000"/>
          <w:spacing w:val="4"/>
          <w:sz w:val="22"/>
          <w:szCs w:val="22"/>
          <w:lang w:bidi="pl-PL"/>
        </w:rPr>
        <w:softHyphen/>
        <w:t xml:space="preserve">wego, a w sąsiedztwie znajduje się też komponent kolejowy, w ramach, którego będzie realizowana infrastruktura kolejowa jak i drogowa. Inwestor wyjaśnił, iż wskazując we wniosku lokalizacyjnym teren w liniach rozgraniczających wskazał na teren niezbędny do realizacji przedmiotowej Inwestycji. Brak jest zatem podstaw do przyjęcia, że ingerencja w prawo własności odwołującego ma charakter nadmierny czy nieuzasadniony. </w:t>
      </w:r>
    </w:p>
    <w:p w14:paraId="6B38ACFF" w14:textId="131343EA"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Jednocześnie wyjaśnić należy (o czym zresztą już była mowa przy rozpatrywaniu podobnego zarzutu Pani J</w:t>
      </w:r>
      <w:r w:rsidR="007F288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7F288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Pana M</w:t>
      </w:r>
      <w:r w:rsidR="007F288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7F288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że zgodnie z treścią art. 43 ust. 1 pkt 1 ustawy CPK, do wniosku o wydanie decyzji o ustaleniu lokalizacji inwestycji w zakresie CPK załącza się mapę w odpowiedniej skali przedstawiającą „projektowany obszar Inwestycji, z zaznaczeniem terenu niezbędnego dla obiektów budowlanych”, a nie mapę przedstawiającą jakie konkretne obiekty budowlane będą realizowane na zaznaczonym terenie. Mapa wyznacza obszar, na którym inwestor planuje budowę Inwestycji, bez konieczności szczegółowego rozrysowania poszczególnych obiektów czy infrastruktury na tym etapie. Ustawa CPK rozdziela etap lokalizacyjny od etapu pozwolenia na budowę, tworząc dwuetapowy proces inwestycyjny. W pierwszym etapie wydawana jest decyzja o ustaleniu lokalizacji inwestycji, a dopiero w kolejnym – pozwolenie na budowę. Istotą decyzji o ustaleniu lokalizacji inwestycji nie jest dokładne skonkretyzowanie prowadzonych robót budowlanych na danym terenie. To jeszcze jest de facto etap planistyczny</w:t>
      </w:r>
      <w:r w:rsidRPr="0009014A">
        <w:rPr>
          <w:rFonts w:ascii="Lato" w:hAnsi="Lato" w:cs="Arial"/>
          <w:bCs/>
          <w:iCs/>
          <w:spacing w:val="4"/>
          <w:sz w:val="22"/>
          <w:szCs w:val="22"/>
          <w:lang w:bidi="pl-PL"/>
        </w:rPr>
        <w:t xml:space="preserve">, którego celem jest wyznaczenie terenu pod budowę Inwestycji, a nie uszczegóławianie planu zagospodarowania poszczególnych obiektów na tym etapie. </w:t>
      </w:r>
      <w:r w:rsidRPr="0009014A">
        <w:rPr>
          <w:rFonts w:ascii="Lato" w:hAnsi="Lato" w:cs="Arial"/>
          <w:bCs/>
          <w:iCs/>
          <w:color w:val="000000"/>
          <w:spacing w:val="4"/>
          <w:sz w:val="22"/>
          <w:szCs w:val="22"/>
          <w:lang w:bidi="pl-PL"/>
        </w:rPr>
        <w:t xml:space="preserve">Dopiero w toku prowadzonego postępowania w przedmiocie pozwolenia na budowę </w:t>
      </w:r>
      <w:r w:rsidR="007F288D">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(a więc na dalszym etapie procesu inwestycyjnego) zostaną określone precyzyjne rozwiązania techniczne, materiałowe i konstrukcyjne dla prowadzenia robót w ustalonym obszarze. </w:t>
      </w:r>
    </w:p>
    <w:p w14:paraId="7851A114" w14:textId="4C3F00AA" w:rsidR="0009014A" w:rsidRPr="0009014A" w:rsidRDefault="0009014A" w:rsidP="0009014A">
      <w:pPr>
        <w:spacing w:after="240" w:line="240" w:lineRule="exact"/>
        <w:jc w:val="both"/>
        <w:rPr>
          <w:rFonts w:ascii="Lato" w:hAnsi="Lato" w:cs="Arial"/>
          <w:bCs/>
          <w:iCs/>
          <w:spacing w:val="4"/>
          <w:sz w:val="22"/>
          <w:szCs w:val="22"/>
          <w:lang w:bidi="pl-PL"/>
        </w:rPr>
      </w:pPr>
      <w:r w:rsidRPr="0009014A">
        <w:rPr>
          <w:rFonts w:ascii="Lato" w:hAnsi="Lato" w:cs="Arial"/>
          <w:bCs/>
          <w:iCs/>
          <w:color w:val="000000"/>
          <w:spacing w:val="4"/>
          <w:sz w:val="22"/>
          <w:szCs w:val="22"/>
          <w:lang w:bidi="pl-PL"/>
        </w:rPr>
        <w:t>O wadliwości decyzji Wojewody Mazowieckiego nie świadczy zarzut Pana D</w:t>
      </w:r>
      <w:r w:rsidR="004175CE">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T</w:t>
      </w:r>
      <w:r w:rsidR="004175CE">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iż ww. działka nr 39 w planie zagospodarowania przestrzennego gminy </w:t>
      </w:r>
      <w:r w:rsidR="00FF4DA6">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jest przeznczona pod działalność usługowo-mieszkaniową, a podział tej działki w sposób jaki proponuje inwestor przekreśli możliwość uzyskiwania dochodów.</w:t>
      </w:r>
    </w:p>
    <w:p w14:paraId="6E9D7293" w14:textId="4E62106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Wyjaśnić należy, iż zgodnie z art. 38 ust. 3 i 4 ustawy CPK, lokalizacji Inwestycji można dokonać wbrew ustaleniom miejscowego planu zagospodarowania przestrzennego. </w:t>
      </w:r>
      <w:r w:rsidRPr="0009014A">
        <w:rPr>
          <w:rFonts w:ascii="Lato" w:hAnsi="Lato" w:cs="Arial"/>
          <w:bCs/>
          <w:iCs/>
          <w:color w:val="000000"/>
          <w:spacing w:val="4"/>
          <w:sz w:val="22"/>
          <w:szCs w:val="22"/>
          <w:lang w:bidi="pl-PL"/>
        </w:rPr>
        <w:br/>
        <w:t xml:space="preserve">W takim przypadku ustaleń tego planu niezgodnych z ustaleniami decyzji o ustaleniu lokalizacji inwestycji w zakresie CPK nie stosuje się. Rada gminy uchyla miejscowy plan zagospodarowania przestrzennego w całości lub w części w zakresie, w jakim jest on niezgodny z ustaleniami ostatecznej decyzji, o której mowa w ust. 1, dotyczącymi obszaru znajdującego się w liniach rozgraniczających teren Inwestycji, albo obejmuje obszar, </w:t>
      </w:r>
      <w:r w:rsidRPr="0009014A">
        <w:rPr>
          <w:rFonts w:ascii="Lato" w:hAnsi="Lato" w:cs="Arial"/>
          <w:bCs/>
          <w:iCs/>
          <w:color w:val="000000"/>
          <w:spacing w:val="4"/>
          <w:sz w:val="22"/>
          <w:szCs w:val="22"/>
          <w:lang w:bidi="pl-PL"/>
        </w:rPr>
        <w:br/>
        <w:t xml:space="preserve">na którym ta decyzja ustanowiła teren zamknięty. Nadto, jak już to wyjaśniono powyżej </w:t>
      </w:r>
      <w:r w:rsidRPr="0009014A">
        <w:rPr>
          <w:rFonts w:ascii="Lato" w:hAnsi="Lato" w:cs="Arial"/>
          <w:bCs/>
          <w:iCs/>
          <w:color w:val="000000"/>
          <w:spacing w:val="4"/>
          <w:sz w:val="22"/>
          <w:szCs w:val="22"/>
          <w:lang w:bidi="pl-PL"/>
        </w:rPr>
        <w:lastRenderedPageBreak/>
        <w:t xml:space="preserve">w niniejszej decyzji, organy administracji publicznej właściwe do wydania decyzji </w:t>
      </w:r>
      <w:r w:rsidRPr="0009014A">
        <w:rPr>
          <w:rFonts w:ascii="Lato" w:hAnsi="Lato" w:cs="Arial"/>
          <w:bCs/>
          <w:iCs/>
          <w:color w:val="000000"/>
          <w:spacing w:val="4"/>
          <w:sz w:val="22"/>
          <w:szCs w:val="22"/>
          <w:lang w:bidi="pl-PL"/>
        </w:rPr>
        <w:br/>
        <w:t>o ustaleniu lokalizacji  inwestycji w zakresie CPK w postępowaniu lokalizacyjnym badają zgodność wniosku inwestora z prawem powszechnie obowiązującym, nie zaś zagadnień dotyczących ewentualnych negatywnych następstw dla podmiotów objętych tą decyzją, bowiem organy te nie są kompetentne do oceny przesłanek ekonomicznych, oraz społecznych powstającej inwestycji, w jej kształcie określonym przez inwestora.</w:t>
      </w:r>
    </w:p>
    <w:p w14:paraId="29416A6A" w14:textId="79D200DA"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Jak już to zostało zasygnalizowane w niniejszej decyzji, oczywiste i nieuniknione jest, </w:t>
      </w:r>
      <w:r w:rsidRPr="0009014A">
        <w:rPr>
          <w:rFonts w:ascii="Lato" w:hAnsi="Lato" w:cs="Arial"/>
          <w:bCs/>
          <w:iCs/>
          <w:color w:val="000000"/>
          <w:spacing w:val="4"/>
          <w:sz w:val="22"/>
          <w:szCs w:val="22"/>
          <w:lang w:bidi="pl-PL"/>
        </w:rPr>
        <w:br/>
        <w:t xml:space="preserve">że każda realizacja inwestycji liniowej, a więc przebiegającej obok, albo na szeregu działkach prowadzi do wywłaszczenia nieruchomości, bądź ich części lub powoduje inne, często znaczne, uciążliwości dla właścicieli nieruchomości znajdujących się w obszarze jej oddziaływania. Nie chodzi jednakże o wszelkie utrudnienia, jakie może przynieść planowane przedsięwzięcie, a jedynie o takie, które mogą dotyczyć naruszeń interesów prawnych, a nie interesów faktycznych. Nie ma bowiem podstaw prawnych ku temu, </w:t>
      </w:r>
      <w:r w:rsidRPr="0009014A">
        <w:rPr>
          <w:rFonts w:ascii="Lato" w:hAnsi="Lato" w:cs="Arial"/>
          <w:bCs/>
          <w:iCs/>
          <w:color w:val="000000"/>
          <w:spacing w:val="4"/>
          <w:sz w:val="22"/>
          <w:szCs w:val="22"/>
          <w:lang w:bidi="pl-PL"/>
        </w:rPr>
        <w:br/>
        <w:t xml:space="preserve">aby w postępowaniu lokalizacyjnym badać wpływ planowanej inwestycji na komfort użytkowania części nieruchomości pozostającej po zatwierdzonym podziale przy dotychczasowym właścicielu. Brak jest bowiem stosownych przepisów uprawniających organ do takich czynności, jak również uzależniających rozstrzygnięcie od tego rodzaju okoliczności. Dodać również należy, że właściciel nieruchomości nie ma zagwarantowanego przepisami prawa określonego status quo, czy też pewnej gwarancji niezmienności otoczenia. Nie stanowią przedmiotu kontroli organu II instancji zagadnienia dotyczące ubytków wartości nieruchomości prywatnych. Roszczenia w tym przedmiocie rozstrzyga się w odrębnym postępowaniu w przedmiocie ustalenia odszkodowania za wywłaszczoną nieruchomość. Nie została skarżącemu zamknięta droga do wykupu części nieruchomości, która utraciła możliwość wykorzystywania </w:t>
      </w:r>
      <w:r w:rsidRPr="0009014A">
        <w:rPr>
          <w:rFonts w:ascii="Lato" w:hAnsi="Lato" w:cs="Arial"/>
          <w:bCs/>
          <w:iCs/>
          <w:color w:val="000000"/>
          <w:spacing w:val="4"/>
          <w:sz w:val="22"/>
          <w:szCs w:val="22"/>
          <w:lang w:bidi="pl-PL"/>
        </w:rPr>
        <w:br/>
        <w:t xml:space="preserve">w dotychczasowy sposób albo zgodnie z dotychczasowym przeznaczeniem, </w:t>
      </w:r>
      <w:r w:rsidR="00A614ED">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co przewidziane jest w ww. art. 48 ust. 3 ustawy CPK. </w:t>
      </w:r>
    </w:p>
    <w:p w14:paraId="4D9C2578" w14:textId="004CA0F2"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Na uwzględnienie nie zasługuje zarzut skarżącego dotyczący naruszenia art. 113 ust. 1 ugn poprzez wywłaszczenie w decyzji Wojewody Mazowieckiego nieruchomości na rzecz spółki prawa handlowego – CPK Sp. z.o.o. Minister podtrzymuje argumentację zawartą już w niniejszej decyzji dotycząca tożsamego w swej istocie zarzutu Pana P</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J</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M</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A</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K</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J</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E</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R</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T</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T</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Pana S</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T</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W</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Pani M</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G</w:t>
      </w:r>
      <w:r w:rsidR="007B59BD">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Pana K</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M</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Pana K</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O</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Pana M</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Pana W</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Pani J</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Pana A</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T</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Pana M</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J</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r w:rsidRPr="0009014A">
        <w:rPr>
          <w:rFonts w:ascii="Lato" w:eastAsia="Calibri" w:hAnsi="Lato" w:cs="Arial"/>
          <w:spacing w:val="4"/>
          <w:sz w:val="22"/>
          <w:szCs w:val="22"/>
        </w:rPr>
        <w:t xml:space="preserve"> </w:t>
      </w:r>
      <w:r w:rsidRPr="0009014A">
        <w:rPr>
          <w:rFonts w:ascii="Lato" w:hAnsi="Lato" w:cs="Arial"/>
          <w:bCs/>
          <w:iCs/>
          <w:color w:val="000000"/>
          <w:spacing w:val="4"/>
          <w:sz w:val="22"/>
          <w:szCs w:val="22"/>
          <w:lang w:bidi="pl-PL"/>
        </w:rPr>
        <w:t>Pana K</w:t>
      </w:r>
      <w:r w:rsidR="00AE3FC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S. </w:t>
      </w:r>
    </w:p>
    <w:p w14:paraId="7A5658F0" w14:textId="45B79FFD" w:rsidR="0009014A" w:rsidRPr="0009014A" w:rsidRDefault="0009014A" w:rsidP="0009014A">
      <w:pPr>
        <w:spacing w:after="120" w:line="240" w:lineRule="exact"/>
        <w:jc w:val="both"/>
        <w:rPr>
          <w:rFonts w:ascii="Lato" w:hAnsi="Lato" w:cs="Arial"/>
          <w:bCs/>
          <w:iCs/>
          <w:color w:val="000000"/>
          <w:spacing w:val="4"/>
          <w:sz w:val="22"/>
          <w:szCs w:val="22"/>
          <w:lang w:bidi="pl-PL"/>
        </w:rPr>
      </w:pPr>
      <w:r w:rsidRPr="007B5A47">
        <w:rPr>
          <w:rFonts w:ascii="Lato" w:hAnsi="Lato" w:cs="Arial"/>
          <w:bCs/>
          <w:iCs/>
          <w:color w:val="000000"/>
          <w:spacing w:val="4"/>
          <w:sz w:val="22"/>
          <w:szCs w:val="22"/>
          <w:lang w:bidi="pl-PL"/>
        </w:rPr>
        <w:t xml:space="preserve">Za niezasadne należy uznać zarzuty Gminy </w:t>
      </w:r>
      <w:r w:rsidR="00AE3FC5">
        <w:rPr>
          <w:rFonts w:ascii="Lato" w:hAnsi="Lato" w:cs="Arial"/>
          <w:bCs/>
          <w:iCs/>
          <w:color w:val="000000"/>
          <w:spacing w:val="4"/>
          <w:sz w:val="22"/>
          <w:szCs w:val="22"/>
          <w:lang w:bidi="pl-PL"/>
        </w:rPr>
        <w:t>(…)</w:t>
      </w:r>
      <w:r w:rsidRPr="007B5A47">
        <w:rPr>
          <w:rFonts w:ascii="Lato" w:hAnsi="Lato" w:cs="Arial"/>
          <w:bCs/>
          <w:iCs/>
          <w:color w:val="000000"/>
          <w:spacing w:val="4"/>
          <w:sz w:val="22"/>
          <w:szCs w:val="22"/>
          <w:lang w:bidi="pl-PL"/>
        </w:rPr>
        <w:t xml:space="preserve"> dotyczące naruszenia:</w:t>
      </w:r>
    </w:p>
    <w:p w14:paraId="5D9EE20D" w14:textId="77777777" w:rsidR="0009014A" w:rsidRPr="0009014A" w:rsidRDefault="0009014A">
      <w:pPr>
        <w:numPr>
          <w:ilvl w:val="0"/>
          <w:numId w:val="44"/>
        </w:numPr>
        <w:spacing w:after="12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art. 7 kpa w związku z art. 7b kpa poprzez brak niezbędnego wyjaśnienia </w:t>
      </w:r>
      <w:r w:rsidRPr="0009014A">
        <w:rPr>
          <w:rFonts w:ascii="Lato" w:hAnsi="Lato" w:cs="Arial"/>
          <w:bCs/>
          <w:iCs/>
          <w:color w:val="000000"/>
          <w:spacing w:val="4"/>
          <w:sz w:val="22"/>
          <w:szCs w:val="22"/>
          <w:lang w:bidi="pl-PL"/>
        </w:rPr>
        <w:br/>
        <w:t>w zaskarżonej decyzji celów jej wydania dla inwestycji w zakresie Centralnego Portu Komunikacyjnego oraz wyjaśnienia przyczyn wyboru wybranego wariantu oraz miejsca jej realizacji albowiem decyzja została przygotowana w formie zestawienia geodezyjnego terenu, który ma zostać zajęty na potrzeby jej realizacji,</w:t>
      </w:r>
    </w:p>
    <w:p w14:paraId="3352F819" w14:textId="23DB9EA2" w:rsidR="0009014A" w:rsidRPr="0009014A" w:rsidRDefault="0009014A">
      <w:pPr>
        <w:numPr>
          <w:ilvl w:val="0"/>
          <w:numId w:val="44"/>
        </w:numPr>
        <w:spacing w:after="240" w:line="240" w:lineRule="exact"/>
        <w:ind w:left="357" w:hanging="357"/>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art. 7 kpa w związku z art. 107 § 3 kpa poprzez brak istotnych ustaleń faktycznych </w:t>
      </w:r>
      <w:r w:rsidRPr="0009014A">
        <w:rPr>
          <w:rFonts w:ascii="Lato" w:hAnsi="Lato" w:cs="Arial"/>
          <w:bCs/>
          <w:iCs/>
          <w:color w:val="000000"/>
          <w:spacing w:val="4"/>
          <w:sz w:val="22"/>
          <w:szCs w:val="22"/>
          <w:lang w:bidi="pl-PL"/>
        </w:rPr>
        <w:br/>
        <w:t xml:space="preserve">w zakresie niezbędnego wyjaśnienia lokalizacji inwestycji na terenach Gminy </w:t>
      </w:r>
      <w:r w:rsidR="004B1D5B">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p>
    <w:p w14:paraId="110495BA" w14:textId="7262409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Mając na uwadze charakter ww. zarzutów, na wstępie wyjaśnić należy, że jednostkom samorządu terytorialnego przysługują procesowe formy kwestionowania wydanych rozstrzygnięć administracyjnych dotyczących ustalenia lokalizacji inwestycji/zezwolenia na realizację inwestycji (np. odwołanie), ale tylko w stosunku do tych ustaleń, które będą naruszały interes prawny tych jednostek, wynikający z przysługiwania prawa własności do nieruchomości objętych lokalizacją inwestycji. Sam fakt reprezentowania interesu publicznego lub społecznego społeczności lokalnej nie uprawnia Gminy </w:t>
      </w:r>
      <w:r w:rsidR="00156FDB">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 kwestionowania decyzji Wojewody Mazowieckiego dotyczącej inwestycji liniowej </w:t>
      </w:r>
      <w:r w:rsidRPr="0009014A">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lastRenderedPageBreak/>
        <w:t xml:space="preserve">w dalszej części niż ta, która wiąże się z przysługującym Gminie </w:t>
      </w:r>
      <w:r w:rsidR="003A2F36">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prawem własności do nieruchomości objętych tą decyzją (por. M. Wolanin, Ustawa </w:t>
      </w:r>
      <w:r w:rsidRPr="0009014A">
        <w:rPr>
          <w:rFonts w:ascii="Lato" w:hAnsi="Lato" w:cs="Arial"/>
          <w:bCs/>
          <w:iCs/>
          <w:color w:val="000000"/>
          <w:spacing w:val="4"/>
          <w:sz w:val="22"/>
          <w:szCs w:val="22"/>
          <w:lang w:bidi="pl-PL"/>
        </w:rPr>
        <w:br/>
        <w:t>o szczególnych zasadach przygotowania i realizacji inwestycji w zakresie dróg publicznych. Komentarz 2. wydanie, C.H. Beck Warszawa 2010, str. 93 – 94, wyrok Wojewódzkiego Sądu Administracyjnego w Warszawie z dnia 24 stycznia 2025 r., sygn. akt VII SA/Wa 2967/24, Legalis nr 3179312).</w:t>
      </w:r>
    </w:p>
    <w:p w14:paraId="77F0AE59" w14:textId="3E789ADD" w:rsidR="0009014A" w:rsidRPr="0009014A" w:rsidRDefault="0009014A" w:rsidP="0009014A">
      <w:pPr>
        <w:spacing w:after="240" w:line="240" w:lineRule="exact"/>
        <w:jc w:val="both"/>
        <w:rPr>
          <w:rFonts w:ascii="Lato" w:eastAsiaTheme="minorHAnsi" w:hAnsi="Lato" w:cstheme="minorBidi"/>
          <w:bCs/>
          <w:iCs/>
          <w:spacing w:val="4"/>
          <w:sz w:val="22"/>
          <w:szCs w:val="22"/>
          <w:lang w:eastAsia="en-US" w:bidi="pl-PL"/>
        </w:rPr>
      </w:pPr>
      <w:r w:rsidRPr="0009014A">
        <w:rPr>
          <w:rFonts w:ascii="Lato" w:hAnsi="Lato" w:cs="Arial"/>
          <w:bCs/>
          <w:iCs/>
          <w:color w:val="000000"/>
          <w:spacing w:val="4"/>
          <w:sz w:val="22"/>
          <w:szCs w:val="22"/>
          <w:lang w:bidi="pl-PL"/>
        </w:rPr>
        <w:t xml:space="preserve">Następnie wyjaśnić należy, iż wariant ustalenia lokalizacji przedmiotowej Inwestycji </w:t>
      </w:r>
      <w:r w:rsidRPr="0009014A">
        <w:rPr>
          <w:rFonts w:ascii="Lato" w:hAnsi="Lato" w:cs="Arial"/>
          <w:bCs/>
          <w:iCs/>
          <w:color w:val="000000"/>
          <w:spacing w:val="4"/>
          <w:sz w:val="22"/>
          <w:szCs w:val="22"/>
          <w:lang w:bidi="pl-PL"/>
        </w:rPr>
        <w:br/>
        <w:t xml:space="preserve">na terenie Gminy </w:t>
      </w:r>
      <w:r w:rsidR="003A2F36">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t>
      </w:r>
      <w:r w:rsidRPr="0009014A">
        <w:rPr>
          <w:rFonts w:ascii="Lato" w:eastAsia="Calibri" w:hAnsi="Lato"/>
          <w:bCs/>
          <w:iCs/>
          <w:spacing w:val="4"/>
          <w:sz w:val="22"/>
          <w:szCs w:val="22"/>
          <w:lang w:eastAsia="en-US" w:bidi="pl-PL"/>
        </w:rPr>
        <w:t xml:space="preserve">determinuje decyzja o środowiskowych uwarunkowaniach, </w:t>
      </w:r>
      <w:r w:rsidRPr="0009014A">
        <w:rPr>
          <w:rFonts w:ascii="Lato" w:eastAsia="Calibri" w:hAnsi="Lato"/>
          <w:bCs/>
          <w:iCs/>
          <w:spacing w:val="4"/>
          <w:sz w:val="22"/>
          <w:szCs w:val="22"/>
          <w:lang w:eastAsia="en-US" w:bidi="pl-PL"/>
        </w:rPr>
        <w:br/>
        <w:t xml:space="preserve">a więc kwestia ta była przedmiotem odrębnego postępowania w sprawie wydania decyzji o środowiskowych uwarunkowaniach, która, stosownie do art. 86 pkt 2 ustawy </w:t>
      </w:r>
      <w:r w:rsidRPr="0009014A">
        <w:rPr>
          <w:rFonts w:ascii="Lato" w:eastAsia="Calibri" w:hAnsi="Lato"/>
          <w:bCs/>
          <w:iCs/>
          <w:spacing w:val="4"/>
          <w:sz w:val="22"/>
          <w:szCs w:val="22"/>
          <w:lang w:eastAsia="en-US" w:bidi="pl-PL"/>
        </w:rPr>
        <w:br/>
        <w:t>o udostępnianiu informacji o środowisku i jego ochronie, wiąże organ wydający decyzję o ustaleniu lokalizacji inwestycji w zakresie CPK</w:t>
      </w:r>
      <w:r w:rsidRPr="0009014A">
        <w:rPr>
          <w:rFonts w:ascii="Lato" w:eastAsiaTheme="minorHAnsi" w:hAnsi="Lato" w:cstheme="minorBidi"/>
          <w:spacing w:val="4"/>
          <w:sz w:val="22"/>
          <w:szCs w:val="22"/>
          <w:lang w:eastAsia="en-US"/>
        </w:rPr>
        <w:t>.</w:t>
      </w:r>
      <w:r w:rsidRPr="0009014A">
        <w:rPr>
          <w:rFonts w:ascii="Lato" w:eastAsia="Calibri" w:hAnsi="Lato"/>
          <w:bCs/>
          <w:iCs/>
          <w:spacing w:val="4"/>
          <w:sz w:val="22"/>
          <w:szCs w:val="22"/>
          <w:lang w:eastAsia="en-US" w:bidi="pl-PL"/>
        </w:rPr>
        <w:t xml:space="preserve"> W postępowaniu o wydanie decyzji </w:t>
      </w:r>
      <w:r w:rsidRPr="0009014A">
        <w:rPr>
          <w:rFonts w:ascii="Lato" w:eastAsia="Calibri" w:hAnsi="Lato"/>
          <w:bCs/>
          <w:iCs/>
          <w:spacing w:val="4"/>
          <w:sz w:val="22"/>
          <w:szCs w:val="22"/>
          <w:lang w:eastAsia="en-US" w:bidi="pl-PL"/>
        </w:rPr>
        <w:br/>
        <w:t xml:space="preserve">o ustaleniu lokalizacji inwestycji w zakresie CPK nie można dokonywać analizy prawidłowości decyzji środowiskowej i oceny dokumentacji stanowiącej podstawę wydania tej decyzji, nie można zatem ponownie rozważać kwestii wariantu ustalenia lokalizacji Inwestycji, a do tego zmierza argumentacja Gminy </w:t>
      </w:r>
      <w:r w:rsidR="00D963B5">
        <w:rPr>
          <w:rFonts w:ascii="Lato" w:eastAsia="Calibri" w:hAnsi="Lato"/>
          <w:bCs/>
          <w:iCs/>
          <w:spacing w:val="4"/>
          <w:sz w:val="22"/>
          <w:szCs w:val="22"/>
          <w:lang w:eastAsia="en-US" w:bidi="pl-PL"/>
        </w:rPr>
        <w:t>(…)</w:t>
      </w:r>
      <w:r w:rsidRPr="0009014A">
        <w:rPr>
          <w:rFonts w:ascii="Lato" w:eastAsia="Calibri" w:hAnsi="Lato"/>
          <w:bCs/>
          <w:iCs/>
          <w:spacing w:val="4"/>
          <w:sz w:val="22"/>
          <w:szCs w:val="22"/>
          <w:lang w:eastAsia="en-US" w:bidi="pl-PL"/>
        </w:rPr>
        <w:t xml:space="preserve">. Potwierdza </w:t>
      </w:r>
      <w:r w:rsidRPr="0009014A">
        <w:rPr>
          <w:rFonts w:ascii="Lato" w:eastAsia="Calibri" w:hAnsi="Lato"/>
          <w:bCs/>
          <w:iCs/>
          <w:spacing w:val="4"/>
          <w:sz w:val="22"/>
          <w:szCs w:val="22"/>
          <w:lang w:eastAsia="en-US" w:bidi="pl-PL"/>
        </w:rPr>
        <w:br/>
        <w:t xml:space="preserve">to utrwalone orzecznictwo sądowoadministracyjne dotyczące decyzji o zezwoleniu </w:t>
      </w:r>
      <w:r w:rsidRPr="0009014A">
        <w:rPr>
          <w:rFonts w:ascii="Lato" w:eastAsia="Calibri" w:hAnsi="Lato"/>
          <w:bCs/>
          <w:iCs/>
          <w:spacing w:val="4"/>
          <w:sz w:val="22"/>
          <w:szCs w:val="22"/>
          <w:lang w:eastAsia="en-US" w:bidi="pl-PL"/>
        </w:rPr>
        <w:br/>
        <w:t xml:space="preserve">na realizację inwestycji drogowej wydawanej na podstawie specustawy drogowej </w:t>
      </w:r>
      <w:r w:rsidRPr="0009014A">
        <w:rPr>
          <w:rFonts w:ascii="Lato" w:eastAsia="Calibri" w:hAnsi="Lato"/>
          <w:bCs/>
          <w:iCs/>
          <w:spacing w:val="4"/>
          <w:sz w:val="22"/>
          <w:szCs w:val="22"/>
          <w:lang w:eastAsia="en-US" w:bidi="pl-PL"/>
        </w:rPr>
        <w:br/>
      </w:r>
      <w:r w:rsidRPr="0009014A">
        <w:rPr>
          <w:rFonts w:ascii="Lato" w:eastAsiaTheme="minorHAnsi" w:hAnsi="Lato" w:cstheme="minorBidi"/>
          <w:bCs/>
          <w:iCs/>
          <w:spacing w:val="4"/>
          <w:sz w:val="22"/>
          <w:szCs w:val="22"/>
          <w:lang w:eastAsia="en-US" w:bidi="pl-PL"/>
        </w:rPr>
        <w:t xml:space="preserve">(por. wyroki Naczelnego Sądu Administracyjnego z dnia 8 kwietnia 2025 r., sygn. akt </w:t>
      </w:r>
      <w:r w:rsidRPr="0009014A">
        <w:rPr>
          <w:rFonts w:ascii="Lato" w:eastAsiaTheme="minorHAnsi" w:hAnsi="Lato" w:cstheme="minorBidi"/>
          <w:bCs/>
          <w:iCs/>
          <w:spacing w:val="4"/>
          <w:sz w:val="22"/>
          <w:szCs w:val="22"/>
          <w:lang w:eastAsia="en-US" w:bidi="pl-PL"/>
        </w:rPr>
        <w:br/>
        <w:t xml:space="preserve">II OSK 246/25, z dnia 14 maja 2021 r., sygn. akt II OSK 383/21, z dnia 30 września </w:t>
      </w:r>
      <w:r w:rsidRPr="0009014A">
        <w:rPr>
          <w:rFonts w:ascii="Lato" w:eastAsiaTheme="minorHAnsi" w:hAnsi="Lato" w:cstheme="minorBidi"/>
          <w:bCs/>
          <w:iCs/>
          <w:spacing w:val="4"/>
          <w:sz w:val="22"/>
          <w:szCs w:val="22"/>
          <w:lang w:eastAsia="en-US" w:bidi="pl-PL"/>
        </w:rPr>
        <w:br/>
        <w:t xml:space="preserve">2021 r., sygn. akt II OSK 193/21, z dnia 11 października 2011 r., sygn. akt II OSK 1688/11, wyrok Wojewódzkiego Sądu Administracyjnego w Warszawie z dnia </w:t>
      </w:r>
      <w:r w:rsidRPr="0009014A">
        <w:rPr>
          <w:rFonts w:ascii="Lato" w:eastAsiaTheme="minorHAnsi" w:hAnsi="Lato" w:cstheme="minorBidi"/>
          <w:bCs/>
          <w:iCs/>
          <w:spacing w:val="4"/>
          <w:sz w:val="22"/>
          <w:szCs w:val="22"/>
          <w:lang w:eastAsia="en-US" w:bidi="pl-PL"/>
        </w:rPr>
        <w:br/>
        <w:t xml:space="preserve">25 października 2013 r., sygn. akt VII SA/Wa 1587/13, opubl. Centralna Baza Orzeczeń Sądów Administracyjnych). Zatem na etapie wydania decyzji o ustaleniu lokalizacji inwestycji w zakresie CPK, zarówno Wojewoda  Mazowiecki, jak i Minister nie posiadają kompetencji do badania alternatywnych wariantów ustalenia lokalizacji przedmiotowej Inwestycji. </w:t>
      </w:r>
    </w:p>
    <w:p w14:paraId="675D8BDC" w14:textId="5AAFB552" w:rsidR="0009014A" w:rsidRPr="0009014A" w:rsidRDefault="0009014A" w:rsidP="0009014A">
      <w:pPr>
        <w:spacing w:after="240" w:line="240" w:lineRule="exact"/>
        <w:jc w:val="both"/>
        <w:rPr>
          <w:rFonts w:ascii="Lato" w:eastAsiaTheme="minorHAnsi" w:hAnsi="Lato" w:cstheme="minorBidi"/>
          <w:bCs/>
          <w:iCs/>
          <w:spacing w:val="4"/>
          <w:sz w:val="22"/>
          <w:szCs w:val="22"/>
          <w:lang w:eastAsia="en-US" w:bidi="pl-PL"/>
        </w:rPr>
      </w:pPr>
      <w:r w:rsidRPr="0009014A">
        <w:rPr>
          <w:rFonts w:ascii="Lato" w:eastAsiaTheme="minorHAnsi" w:hAnsi="Lato" w:cstheme="minorBidi"/>
          <w:bCs/>
          <w:iCs/>
          <w:spacing w:val="4"/>
          <w:sz w:val="22"/>
          <w:szCs w:val="22"/>
          <w:lang w:eastAsia="en-US" w:bidi="pl-PL"/>
        </w:rPr>
        <w:t>Organ I instancji w uzasadnieniu zaskarżonej decyzji (str. 155-156, str. 174-175, str. 202)</w:t>
      </w:r>
      <w:r w:rsidRPr="0009014A">
        <w:rPr>
          <w:rFonts w:ascii="Calibri" w:eastAsiaTheme="minorHAnsi" w:hAnsi="Calibri" w:cs="Calibri"/>
          <w:color w:val="000000"/>
          <w:sz w:val="22"/>
          <w:szCs w:val="22"/>
          <w:lang w:eastAsia="en-US"/>
        </w:rPr>
        <w:t xml:space="preserve"> </w:t>
      </w:r>
      <w:r w:rsidRPr="0009014A">
        <w:rPr>
          <w:rFonts w:ascii="Lato" w:eastAsiaTheme="minorHAnsi" w:hAnsi="Lato" w:cstheme="minorBidi"/>
          <w:bCs/>
          <w:iCs/>
          <w:spacing w:val="4"/>
          <w:sz w:val="22"/>
          <w:szCs w:val="22"/>
          <w:lang w:eastAsia="en-US" w:bidi="pl-PL"/>
        </w:rPr>
        <w:t>wskaz</w:t>
      </w:r>
      <w:r w:rsidR="009A0D69">
        <w:rPr>
          <w:rFonts w:ascii="Lato" w:eastAsiaTheme="minorHAnsi" w:hAnsi="Lato" w:cstheme="minorBidi"/>
          <w:bCs/>
          <w:iCs/>
          <w:spacing w:val="4"/>
          <w:sz w:val="22"/>
          <w:szCs w:val="22"/>
          <w:lang w:eastAsia="en-US" w:bidi="pl-PL"/>
        </w:rPr>
        <w:t>ał</w:t>
      </w:r>
      <w:r w:rsidRPr="0009014A">
        <w:rPr>
          <w:rFonts w:ascii="Lato" w:eastAsiaTheme="minorHAnsi" w:hAnsi="Lato" w:cstheme="minorBidi"/>
          <w:bCs/>
          <w:iCs/>
          <w:spacing w:val="4"/>
          <w:sz w:val="22"/>
          <w:szCs w:val="22"/>
          <w:lang w:eastAsia="en-US" w:bidi="pl-PL"/>
        </w:rPr>
        <w:t xml:space="preserve"> w jakim zakresie ocenia wniosek i rozstrzyga sprawę. Analizując zajęte w tym zakresie stanowisko Wojewody Mazowieckiego, stwierdzić należy, iż nie ma ono cech dowolności, lecz ma swoje oparcie w obowiązujących przepisach i orzecznictwie sądowoadministracyjnym dotyczącym tzw. specustaw infrastrukturalnych (zresztą powołanym w uzasadnieniu decyzji organu I instancji). Słusznie Wojewoda Mazowiecki zwrócił uwagę na ograniczony (tj. ściśle formalny) zakres swojej kognicji przy rozpoznaniu wniosku inwestora o wydanie decyzji o ustaleniu lokalizacji inwestycji </w:t>
      </w:r>
      <w:r w:rsidRPr="0009014A">
        <w:rPr>
          <w:rFonts w:ascii="Lato" w:eastAsiaTheme="minorHAnsi" w:hAnsi="Lato" w:cstheme="minorBidi"/>
          <w:bCs/>
          <w:iCs/>
          <w:spacing w:val="4"/>
          <w:sz w:val="22"/>
          <w:szCs w:val="22"/>
          <w:lang w:eastAsia="en-US" w:bidi="pl-PL"/>
        </w:rPr>
        <w:br/>
        <w:t xml:space="preserve">w zakresie CPK przejawiający się w braku możliwości modyfikacji wniosku inwestora, ani też korygowania przebiegu linii rozgraniczających, jeśli koncepcja inwestora pozostaje </w:t>
      </w:r>
      <w:r w:rsidRPr="0009014A">
        <w:rPr>
          <w:rFonts w:ascii="Lato" w:eastAsiaTheme="minorHAnsi" w:hAnsi="Lato" w:cstheme="minorBidi"/>
          <w:bCs/>
          <w:iCs/>
          <w:spacing w:val="4"/>
          <w:sz w:val="22"/>
          <w:szCs w:val="22"/>
          <w:lang w:eastAsia="en-US" w:bidi="pl-PL"/>
        </w:rPr>
        <w:br/>
        <w:t xml:space="preserve">w zgodzie z przepisami powszechnie obowiązującego prawa. Zatem, jak trafnie to uzasadnił organ I instancji, przy wydaniu decyzji lokalizacyjnej był związany wnioskiem </w:t>
      </w:r>
      <w:r w:rsidRPr="0009014A">
        <w:rPr>
          <w:rFonts w:ascii="Lato" w:eastAsiaTheme="minorHAnsi" w:hAnsi="Lato" w:cstheme="minorBidi"/>
          <w:bCs/>
          <w:iCs/>
          <w:spacing w:val="4"/>
          <w:sz w:val="22"/>
          <w:szCs w:val="22"/>
          <w:lang w:eastAsia="en-US" w:bidi="pl-PL"/>
        </w:rPr>
        <w:br/>
        <w:t xml:space="preserve">o ustalenie lokalizacji inwestycji w tym znaczeniu, że nie był uprawniony wydać decyzji, która określałaby przebieg inwestycji inaczej, niż domagał się tego we wniosku wnioskodawca. W konsekwencji, Wojewoda Mazowiecki prawidłowo zwrócił uwagę na związany charakter decyzji o ustaleniu lokalizacji inwestycji w zakresie CPK, kładąc zasadniczy akcent na kreacyjną rolę inwestora w ustaleniu przebiegu inwestycji. Wojewoda Mazowiecki w świetle przepisów ustawy CPK był zatem jedynie zobowiązany do oceny legalności lokalizacji Inwestycji w danym miejscu i nie miał kompetencji do oceny jej celowości, racjonalności, czy też słuszności ewentualnej realizacji inwestycji celu publicznego w inny sposób. Stanowisko Wojewody Mazowieckiego w tym zakresie jest zbieżne ze stanowiskiem Ministra obszernie już wyjaśnionym w niniejszej decyzji. Nie ma zatem potrzeby tej argumentacji ponownie przytaczać. Fakt, że Gmina </w:t>
      </w:r>
      <w:r w:rsidR="001B31B5">
        <w:rPr>
          <w:rFonts w:ascii="Lato" w:eastAsiaTheme="minorHAnsi" w:hAnsi="Lato" w:cstheme="minorBidi"/>
          <w:bCs/>
          <w:iCs/>
          <w:spacing w:val="4"/>
          <w:sz w:val="22"/>
          <w:szCs w:val="22"/>
          <w:lang w:eastAsia="en-US" w:bidi="pl-PL"/>
        </w:rPr>
        <w:t>(…)</w:t>
      </w:r>
      <w:r w:rsidRPr="0009014A">
        <w:rPr>
          <w:rFonts w:ascii="Lato" w:eastAsiaTheme="minorHAnsi" w:hAnsi="Lato" w:cstheme="minorBidi"/>
          <w:bCs/>
          <w:iCs/>
          <w:spacing w:val="4"/>
          <w:sz w:val="22"/>
          <w:szCs w:val="22"/>
          <w:lang w:eastAsia="en-US" w:bidi="pl-PL"/>
        </w:rPr>
        <w:t xml:space="preserve"> nie zgadza się z przyjętym przez organ sposobem rozstrzygnięcia sprawy, nie oznacza, że rozstrzygnięcie zapadło w oparciu o wadliwie ustalony stan faktyczny lub prawny.</w:t>
      </w:r>
    </w:p>
    <w:p w14:paraId="0ACB56C2" w14:textId="39F26B5C" w:rsidR="0009014A" w:rsidRPr="0009014A" w:rsidRDefault="0009014A" w:rsidP="0009014A">
      <w:pPr>
        <w:spacing w:after="240" w:line="240" w:lineRule="exact"/>
        <w:jc w:val="both"/>
        <w:rPr>
          <w:rFonts w:ascii="Lato" w:eastAsiaTheme="minorHAnsi" w:hAnsi="Lato" w:cstheme="minorBidi"/>
          <w:bCs/>
          <w:spacing w:val="4"/>
          <w:sz w:val="22"/>
          <w:szCs w:val="22"/>
          <w:lang w:eastAsia="en-US" w:bidi="pl-PL"/>
        </w:rPr>
      </w:pPr>
      <w:r w:rsidRPr="0009014A">
        <w:rPr>
          <w:rFonts w:ascii="Lato" w:eastAsiaTheme="minorHAnsi" w:hAnsi="Lato" w:cstheme="minorBidi"/>
          <w:bCs/>
          <w:iCs/>
          <w:spacing w:val="4"/>
          <w:sz w:val="22"/>
          <w:szCs w:val="22"/>
          <w:lang w:eastAsia="en-US" w:bidi="pl-PL"/>
        </w:rPr>
        <w:lastRenderedPageBreak/>
        <w:t xml:space="preserve">Na uwzględnienie nie zasługuje zarzut Gminy </w:t>
      </w:r>
      <w:r w:rsidR="001B31B5">
        <w:rPr>
          <w:rFonts w:ascii="Lato" w:eastAsiaTheme="minorHAnsi" w:hAnsi="Lato" w:cstheme="minorBidi"/>
          <w:bCs/>
          <w:iCs/>
          <w:spacing w:val="4"/>
          <w:sz w:val="22"/>
          <w:szCs w:val="22"/>
          <w:lang w:eastAsia="en-US" w:bidi="pl-PL"/>
        </w:rPr>
        <w:t>(…)</w:t>
      </w:r>
      <w:r w:rsidRPr="0009014A">
        <w:rPr>
          <w:rFonts w:ascii="Lato" w:eastAsiaTheme="minorHAnsi" w:hAnsi="Lato" w:cstheme="minorBidi"/>
          <w:bCs/>
          <w:iCs/>
          <w:spacing w:val="4"/>
          <w:sz w:val="22"/>
          <w:szCs w:val="22"/>
          <w:lang w:eastAsia="en-US" w:bidi="pl-PL"/>
        </w:rPr>
        <w:t xml:space="preserve">, że Wojewoda Mazowiecki </w:t>
      </w:r>
      <w:r w:rsidRPr="0009014A">
        <w:rPr>
          <w:rFonts w:ascii="Lato" w:eastAsiaTheme="minorHAnsi" w:hAnsi="Lato" w:cstheme="minorBidi"/>
          <w:bCs/>
          <w:spacing w:val="4"/>
          <w:sz w:val="22"/>
          <w:szCs w:val="22"/>
          <w:lang w:eastAsia="en-US" w:bidi="pl-PL"/>
        </w:rPr>
        <w:t xml:space="preserve">nie tylko nie współdziałał w zakresie dokładnego wyjaśnienia stanu faktycznego z Gminą </w:t>
      </w:r>
      <w:r w:rsidR="001B31B5">
        <w:rPr>
          <w:rFonts w:ascii="Lato" w:eastAsiaTheme="minorHAnsi" w:hAnsi="Lato" w:cstheme="minorBidi"/>
          <w:bCs/>
          <w:spacing w:val="4"/>
          <w:sz w:val="22"/>
          <w:szCs w:val="22"/>
          <w:lang w:eastAsia="en-US" w:bidi="pl-PL"/>
        </w:rPr>
        <w:t>(…)</w:t>
      </w:r>
      <w:r w:rsidRPr="0009014A">
        <w:rPr>
          <w:rFonts w:ascii="Lato" w:eastAsiaTheme="minorHAnsi" w:hAnsi="Lato" w:cstheme="minorBidi"/>
          <w:bCs/>
          <w:spacing w:val="4"/>
          <w:sz w:val="22"/>
          <w:szCs w:val="22"/>
          <w:lang w:eastAsia="en-US" w:bidi="pl-PL"/>
        </w:rPr>
        <w:t xml:space="preserve">, ale także nie miał na względzie słusznego interesu mieszkańców Gminy </w:t>
      </w:r>
      <w:r w:rsidR="001B31B5">
        <w:rPr>
          <w:rFonts w:ascii="Lato" w:eastAsiaTheme="minorHAnsi" w:hAnsi="Lato" w:cstheme="minorBidi"/>
          <w:bCs/>
          <w:spacing w:val="4"/>
          <w:sz w:val="22"/>
          <w:szCs w:val="22"/>
          <w:lang w:eastAsia="en-US" w:bidi="pl-PL"/>
        </w:rPr>
        <w:t>(…)</w:t>
      </w:r>
      <w:r w:rsidRPr="0009014A">
        <w:rPr>
          <w:rFonts w:ascii="Lato" w:eastAsiaTheme="minorHAnsi" w:hAnsi="Lato" w:cstheme="minorBidi"/>
          <w:bCs/>
          <w:spacing w:val="4"/>
          <w:sz w:val="22"/>
          <w:szCs w:val="22"/>
          <w:lang w:eastAsia="en-US" w:bidi="pl-PL"/>
        </w:rPr>
        <w:t>.</w:t>
      </w:r>
    </w:p>
    <w:p w14:paraId="35CC102B" w14:textId="77777777" w:rsidR="0009014A" w:rsidRPr="0009014A" w:rsidRDefault="0009014A" w:rsidP="0009014A">
      <w:pPr>
        <w:spacing w:after="240" w:line="240" w:lineRule="exact"/>
        <w:jc w:val="both"/>
        <w:rPr>
          <w:rFonts w:ascii="Lato" w:eastAsiaTheme="minorHAnsi" w:hAnsi="Lato" w:cstheme="minorBidi"/>
          <w:bCs/>
          <w:spacing w:val="4"/>
          <w:sz w:val="22"/>
          <w:szCs w:val="22"/>
          <w:lang w:eastAsia="en-US" w:bidi="pl-PL"/>
        </w:rPr>
      </w:pPr>
      <w:r w:rsidRPr="0009014A">
        <w:rPr>
          <w:rFonts w:ascii="Lato" w:eastAsiaTheme="minorHAnsi" w:hAnsi="Lato" w:cstheme="minorBidi"/>
          <w:bCs/>
          <w:iCs/>
          <w:spacing w:val="4"/>
          <w:sz w:val="22"/>
          <w:szCs w:val="22"/>
          <w:lang w:eastAsia="en-US" w:bidi="pl-PL"/>
        </w:rPr>
        <w:t xml:space="preserve">Postępowanie w sprawie ustalenia lokalizacji inwestycji w zakresie CPK jest postępowaniem prowadzonym na podstawie przepisów szczególnych ustawy CPK  </w:t>
      </w:r>
      <w:r w:rsidRPr="0009014A">
        <w:rPr>
          <w:rFonts w:ascii="Lato" w:eastAsiaTheme="minorHAnsi" w:hAnsi="Lato" w:cstheme="minorBidi"/>
          <w:bCs/>
          <w:iCs/>
          <w:spacing w:val="4"/>
          <w:sz w:val="22"/>
          <w:szCs w:val="22"/>
          <w:lang w:eastAsia="en-US" w:bidi="pl-PL"/>
        </w:rPr>
        <w:br/>
        <w:t xml:space="preserve">i przedmiot tego postępowania ma wyraźne określone ustawą ramy i organ, zgodnie </w:t>
      </w:r>
      <w:r w:rsidRPr="0009014A">
        <w:rPr>
          <w:rFonts w:ascii="Lato" w:eastAsiaTheme="minorHAnsi" w:hAnsi="Lato" w:cstheme="minorBidi"/>
          <w:bCs/>
          <w:iCs/>
          <w:spacing w:val="4"/>
          <w:sz w:val="22"/>
          <w:szCs w:val="22"/>
          <w:lang w:eastAsia="en-US" w:bidi="pl-PL"/>
        </w:rPr>
        <w:br/>
        <w:t>z wolą ustawodawcy, jedynie w tych ramach uprawniony jest do wydawania rozstrzygnięcia.</w:t>
      </w:r>
      <w:r w:rsidRPr="0009014A">
        <w:rPr>
          <w:rFonts w:ascii="Lato" w:eastAsiaTheme="minorHAnsi" w:hAnsi="Lato" w:cstheme="minorBidi"/>
          <w:bCs/>
          <w:spacing w:val="4"/>
          <w:sz w:val="22"/>
          <w:szCs w:val="22"/>
          <w:lang w:eastAsia="en-US" w:bidi="pl-PL"/>
        </w:rPr>
        <w:t xml:space="preserve"> </w:t>
      </w:r>
      <w:r w:rsidRPr="0009014A">
        <w:rPr>
          <w:rFonts w:ascii="Lato" w:eastAsiaTheme="minorHAnsi" w:hAnsi="Lato" w:cstheme="minorBidi"/>
          <w:bCs/>
          <w:iCs/>
          <w:spacing w:val="4"/>
          <w:sz w:val="22"/>
          <w:szCs w:val="22"/>
          <w:lang w:eastAsia="en-US" w:bidi="pl-PL"/>
        </w:rPr>
        <w:t>Ustawa CPK ma na celu uproszczenie i przyspieszenie procesu inwestycyjnego i z tego powodu do decyzji lokalizacyjnej wydawanej na jej podstawie nie stosuje się standardowych procedur planistycznych samorządów.</w:t>
      </w:r>
      <w:r w:rsidRPr="0009014A">
        <w:rPr>
          <w:rFonts w:ascii="Lato" w:eastAsiaTheme="minorHAnsi" w:hAnsi="Lato" w:cstheme="minorBidi"/>
          <w:bCs/>
          <w:spacing w:val="4"/>
          <w:sz w:val="22"/>
          <w:szCs w:val="22"/>
          <w:lang w:eastAsia="en-US" w:bidi="pl-PL"/>
        </w:rPr>
        <w:t xml:space="preserve"> Wyjaśnić należy,</w:t>
      </w:r>
      <w:r w:rsidRPr="0009014A">
        <w:rPr>
          <w:rFonts w:ascii="Lato" w:eastAsiaTheme="minorHAnsi" w:hAnsi="Lato" w:cstheme="minorBidi"/>
          <w:bCs/>
          <w:spacing w:val="4"/>
          <w:sz w:val="22"/>
          <w:szCs w:val="22"/>
          <w:lang w:eastAsia="en-US" w:bidi="pl-PL"/>
        </w:rPr>
        <w:br/>
        <w:t xml:space="preserve">iż </w:t>
      </w:r>
      <w:r w:rsidRPr="0009014A">
        <w:rPr>
          <w:rFonts w:ascii="Lato" w:eastAsiaTheme="minorHAnsi" w:hAnsi="Lato" w:cstheme="minorBidi"/>
          <w:bCs/>
          <w:iCs/>
          <w:spacing w:val="4"/>
          <w:sz w:val="22"/>
          <w:szCs w:val="22"/>
          <w:lang w:eastAsia="en-US" w:bidi="pl-PL"/>
        </w:rPr>
        <w:t xml:space="preserve">przepisy ustawy CPK nie nakładały na Wojewodę Mazowieckiego obowiązku uzyskania społecznej akceptacji dla wydania pozytywnej dla inwestora decyzji </w:t>
      </w:r>
      <w:r w:rsidRPr="0009014A">
        <w:rPr>
          <w:rFonts w:ascii="Lato" w:eastAsiaTheme="minorHAnsi" w:hAnsi="Lato" w:cstheme="minorBidi"/>
          <w:bCs/>
          <w:iCs/>
          <w:spacing w:val="4"/>
          <w:sz w:val="22"/>
          <w:szCs w:val="22"/>
          <w:lang w:eastAsia="en-US" w:bidi="pl-PL"/>
        </w:rPr>
        <w:br/>
        <w:t xml:space="preserve">o ustaleniu lokalizacji inwestycji w zakresie CPK, ani współdziałania z organami jednostek samorządu terytorialnego przy ustaleniu kształtu Inwestycji. Przepisy ustawy CPK nie przewidują konsultacji społecznych czy zgody mieszkańców na etapie wydawania samej decyzji lokalizacyjnej. Proces wydania decyzji o ustaleniu lokalizacji inwestycji w zakresie CPK opiera się na analizie wniosku lokalizacyjnego inwestora (CPK Sp. z o.o.), a nie na plebiscycie społecznym. </w:t>
      </w:r>
      <w:r w:rsidRPr="0009014A">
        <w:rPr>
          <w:rFonts w:ascii="Lato" w:eastAsiaTheme="minorHAnsi" w:hAnsi="Lato" w:cstheme="minorBidi"/>
          <w:bCs/>
          <w:spacing w:val="4"/>
          <w:sz w:val="22"/>
          <w:szCs w:val="22"/>
          <w:lang w:eastAsia="en-US" w:bidi="pl-PL"/>
        </w:rPr>
        <w:t xml:space="preserve">Natomiast </w:t>
      </w:r>
      <w:r w:rsidRPr="0009014A">
        <w:rPr>
          <w:rFonts w:ascii="Lato" w:eastAsiaTheme="minorHAnsi" w:hAnsi="Lato" w:cstheme="minorBidi"/>
          <w:bCs/>
          <w:iCs/>
          <w:spacing w:val="4"/>
          <w:sz w:val="22"/>
          <w:szCs w:val="22"/>
          <w:lang w:eastAsia="en-US" w:bidi="pl-PL"/>
        </w:rPr>
        <w:t xml:space="preserve">nie można uzależnić wydania decyzji o ustaleniu lokalizacji inwestycji w zakresie CPK od spełnienia świadczeń lub warunków nieprzewidzianych obowiązującymi przepisami. </w:t>
      </w:r>
    </w:p>
    <w:p w14:paraId="1FD037A2" w14:textId="4CAF736F"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eastAsiaTheme="minorHAnsi" w:hAnsi="Lato" w:cstheme="minorBidi"/>
          <w:bCs/>
          <w:iCs/>
          <w:spacing w:val="4"/>
          <w:sz w:val="22"/>
          <w:szCs w:val="22"/>
          <w:lang w:eastAsia="en-US" w:bidi="pl-PL"/>
        </w:rPr>
        <w:t xml:space="preserve">O wadliwości decyzji Wojewody Mazowieckiego nie świadczy powołane w uzasadnieniu odwołania stanowisko skarżącej Gminy o następującej treści cyt.: </w:t>
      </w:r>
      <w:r w:rsidRPr="0009014A">
        <w:rPr>
          <w:rFonts w:ascii="Lato" w:hAnsi="Lato"/>
          <w:spacing w:val="4"/>
          <w:sz w:val="22"/>
          <w:szCs w:val="22"/>
        </w:rPr>
        <w:t xml:space="preserve">„Z treści decyzji nie wynika kluczowa okoliczność, tj. rozstrzygnięcie wątpliwości, dlaczego i na jakiej podstawie prawnej zrezygnowano z rozbudowy istniejących lotnisk zlokalizowanych </w:t>
      </w:r>
      <w:r w:rsidRPr="0009014A">
        <w:rPr>
          <w:rFonts w:ascii="Lato" w:hAnsi="Lato"/>
          <w:spacing w:val="4"/>
          <w:sz w:val="22"/>
          <w:szCs w:val="22"/>
        </w:rPr>
        <w:br/>
        <w:t>w pobliżu aglomeracji warszawskiej (np. M</w:t>
      </w:r>
      <w:r w:rsidR="00E55A54">
        <w:rPr>
          <w:rFonts w:ascii="Lato" w:hAnsi="Lato"/>
          <w:spacing w:val="4"/>
          <w:sz w:val="22"/>
          <w:szCs w:val="22"/>
        </w:rPr>
        <w:t>.</w:t>
      </w:r>
      <w:r w:rsidRPr="0009014A">
        <w:rPr>
          <w:rFonts w:ascii="Lato" w:hAnsi="Lato"/>
          <w:spacing w:val="4"/>
          <w:sz w:val="22"/>
          <w:szCs w:val="22"/>
        </w:rPr>
        <w:t>, R</w:t>
      </w:r>
      <w:r w:rsidR="00E55A54">
        <w:rPr>
          <w:rFonts w:ascii="Lato" w:hAnsi="Lato"/>
          <w:spacing w:val="4"/>
          <w:sz w:val="22"/>
          <w:szCs w:val="22"/>
        </w:rPr>
        <w:t>.</w:t>
      </w:r>
      <w:r w:rsidRPr="0009014A">
        <w:rPr>
          <w:rFonts w:ascii="Lato" w:hAnsi="Lato"/>
          <w:spacing w:val="4"/>
          <w:sz w:val="22"/>
          <w:szCs w:val="22"/>
        </w:rPr>
        <w:t>, Ł</w:t>
      </w:r>
      <w:r w:rsidR="00E55A54">
        <w:rPr>
          <w:rFonts w:ascii="Lato" w:hAnsi="Lato"/>
          <w:spacing w:val="4"/>
          <w:sz w:val="22"/>
          <w:szCs w:val="22"/>
        </w:rPr>
        <w:t>.</w:t>
      </w:r>
      <w:r w:rsidRPr="0009014A">
        <w:rPr>
          <w:rFonts w:ascii="Lato" w:hAnsi="Lato"/>
          <w:spacing w:val="4"/>
          <w:sz w:val="22"/>
          <w:szCs w:val="22"/>
        </w:rPr>
        <w:t xml:space="preserve">), na rzecz lokalizacji, która ingeruje </w:t>
      </w:r>
      <w:r w:rsidR="00E55A54">
        <w:rPr>
          <w:rFonts w:ascii="Lato" w:hAnsi="Lato"/>
          <w:spacing w:val="4"/>
          <w:sz w:val="22"/>
          <w:szCs w:val="22"/>
        </w:rPr>
        <w:br/>
      </w:r>
      <w:r w:rsidRPr="0009014A">
        <w:rPr>
          <w:rFonts w:ascii="Lato" w:hAnsi="Lato"/>
          <w:spacing w:val="4"/>
          <w:sz w:val="22"/>
          <w:szCs w:val="22"/>
        </w:rPr>
        <w:t xml:space="preserve">w dotychczasową przestrzeń lokalną, specyfikę społeczną oraz infrastrukturę lokalną </w:t>
      </w:r>
      <w:r w:rsidR="00E55A54">
        <w:rPr>
          <w:rFonts w:ascii="Lato" w:hAnsi="Lato"/>
          <w:spacing w:val="4"/>
          <w:sz w:val="22"/>
          <w:szCs w:val="22"/>
        </w:rPr>
        <w:br/>
      </w:r>
      <w:r w:rsidRPr="0009014A">
        <w:rPr>
          <w:rFonts w:ascii="Lato" w:hAnsi="Lato"/>
          <w:spacing w:val="4"/>
          <w:sz w:val="22"/>
          <w:szCs w:val="22"/>
        </w:rPr>
        <w:t xml:space="preserve">w sposób, który niszczy ją bezpowrotnie.” Organ nie jest zobowiązany do rozważenia </w:t>
      </w:r>
      <w:r w:rsidR="00E55A54">
        <w:rPr>
          <w:rFonts w:ascii="Lato" w:hAnsi="Lato"/>
          <w:spacing w:val="4"/>
          <w:sz w:val="22"/>
          <w:szCs w:val="22"/>
        </w:rPr>
        <w:br/>
      </w:r>
      <w:r w:rsidRPr="0009014A">
        <w:rPr>
          <w:rFonts w:ascii="Lato" w:hAnsi="Lato"/>
          <w:spacing w:val="4"/>
          <w:sz w:val="22"/>
          <w:szCs w:val="22"/>
        </w:rPr>
        <w:t xml:space="preserve">i oceny wszystkich możliwych wariantów lokalizacji inwestycji. Organ nie prowadzi analizy wariantowej, ponieważ nie stanowi to przedmiotu postępowania lokalizacyjnego – to inwestor decyduje o zakresie Inwestycji i wniosku lokalizacyjnego. Nie istnieje żaden przepis prawa, który nakładałby na organ obowiązek uzasadnienia, dlaczego zaakceptował dany wariant inwestycji oraz dlaczego zrezygnowano </w:t>
      </w:r>
      <w:r w:rsidR="009526BA">
        <w:rPr>
          <w:rFonts w:ascii="Lato" w:hAnsi="Lato"/>
          <w:spacing w:val="4"/>
          <w:sz w:val="22"/>
          <w:szCs w:val="22"/>
        </w:rPr>
        <w:br/>
      </w:r>
      <w:r w:rsidRPr="0009014A">
        <w:rPr>
          <w:rFonts w:ascii="Lato" w:hAnsi="Lato"/>
          <w:spacing w:val="4"/>
          <w:sz w:val="22"/>
          <w:szCs w:val="22"/>
        </w:rPr>
        <w:t xml:space="preserve">z rozbudowy istniejących w województwie mazowieckim lotnisk. </w:t>
      </w:r>
      <w:r w:rsidRPr="0009014A">
        <w:rPr>
          <w:rFonts w:ascii="Lato" w:hAnsi="Lato"/>
          <w:bCs/>
          <w:iCs/>
          <w:spacing w:val="4"/>
          <w:sz w:val="22"/>
          <w:szCs w:val="22"/>
          <w:lang w:bidi="pl-PL"/>
        </w:rPr>
        <w:t>Organ administracji nie może oceniać racjonalności, czy też słuszności przyjętych we wniosku rozwiązań, gdyż postępowanie w sprawie ustalenia lokalizacji inwestycji w zakresie CPK toczy się na wniosek inwestora (Spółki Celowej), którym to wnioskiem organ jest związany.</w:t>
      </w:r>
      <w:r w:rsidRPr="0009014A">
        <w:rPr>
          <w:rFonts w:ascii="Lato" w:eastAsiaTheme="minorHAnsi" w:hAnsi="Lato" w:cs="Arial"/>
          <w:bCs/>
          <w:iCs/>
          <w:spacing w:val="4"/>
          <w:sz w:val="22"/>
          <w:szCs w:val="22"/>
          <w:lang w:eastAsia="en-US" w:bidi="pl-PL"/>
        </w:rPr>
        <w:t xml:space="preserve"> Wypada przypomnieć, że w ugruntowanym orzecznictwie sądów administracyjnych (powołanym już w niniejszej decyzji) prezentowane jest jednolite stanowisko, że </w:t>
      </w:r>
      <w:r w:rsidRPr="0009014A">
        <w:rPr>
          <w:rFonts w:ascii="Lato" w:hAnsi="Lato"/>
          <w:bCs/>
          <w:iCs/>
          <w:spacing w:val="4"/>
          <w:sz w:val="22"/>
          <w:szCs w:val="22"/>
          <w:lang w:bidi="pl-PL"/>
        </w:rPr>
        <w:t xml:space="preserve">to inwestor, jako podmiot wyspecjalizowany w danej dziedzinie, posiadający odpowiednią wiedzę, decyduje o słuszności i racjonalności realizacji danego przedsięwzięcia. Podobnie, jednolite jest przyjęte w orzecznictwie stanowisko, według którego, nie może być przedmiotem badania organu wydającego decyzję o zezwoleniu na realizację inwestycji/decyzję o ustaleniu lokalizacji inwestycji uzasadnienie gospodarcze (celowościowe) projektowanej inwestycji, czy też społeczno-gospodarcze podstawy inwestycji. </w:t>
      </w:r>
    </w:p>
    <w:p w14:paraId="11F3006B" w14:textId="690FBF0A" w:rsidR="0009014A" w:rsidRPr="0009014A" w:rsidRDefault="0009014A" w:rsidP="0009014A">
      <w:pPr>
        <w:spacing w:after="120" w:line="240" w:lineRule="exact"/>
        <w:jc w:val="both"/>
        <w:rPr>
          <w:rFonts w:ascii="Lato" w:hAnsi="Lato"/>
          <w:bCs/>
          <w:iCs/>
          <w:spacing w:val="4"/>
          <w:sz w:val="22"/>
          <w:szCs w:val="22"/>
          <w:lang w:bidi="pl-PL"/>
        </w:rPr>
      </w:pPr>
      <w:r w:rsidRPr="0009014A">
        <w:rPr>
          <w:rFonts w:ascii="Lato" w:hAnsi="Lato"/>
          <w:bCs/>
          <w:iCs/>
          <w:spacing w:val="4"/>
          <w:sz w:val="22"/>
          <w:szCs w:val="22"/>
          <w:lang w:bidi="pl-PL"/>
        </w:rPr>
        <w:t xml:space="preserve">Na uwzględnienie nie zasługują zarzuty Gminy </w:t>
      </w:r>
      <w:r w:rsidR="00CA3210">
        <w:rPr>
          <w:rFonts w:ascii="Lato" w:hAnsi="Lato"/>
          <w:bCs/>
          <w:iCs/>
          <w:spacing w:val="4"/>
          <w:sz w:val="22"/>
          <w:szCs w:val="22"/>
          <w:lang w:bidi="pl-PL"/>
        </w:rPr>
        <w:t>(…)</w:t>
      </w:r>
      <w:r w:rsidRPr="0009014A">
        <w:rPr>
          <w:rFonts w:ascii="Lato" w:hAnsi="Lato"/>
          <w:bCs/>
          <w:iCs/>
          <w:spacing w:val="4"/>
          <w:sz w:val="22"/>
          <w:szCs w:val="22"/>
          <w:lang w:bidi="pl-PL"/>
        </w:rPr>
        <w:t xml:space="preserve"> dotyczące naruszenia:</w:t>
      </w:r>
    </w:p>
    <w:p w14:paraId="3263D60C" w14:textId="68E2D368" w:rsidR="0009014A" w:rsidRPr="0009014A" w:rsidRDefault="0009014A">
      <w:pPr>
        <w:numPr>
          <w:ilvl w:val="0"/>
          <w:numId w:val="44"/>
        </w:numPr>
        <w:spacing w:after="120" w:line="240" w:lineRule="exact"/>
        <w:jc w:val="both"/>
        <w:rPr>
          <w:rFonts w:ascii="Lato" w:hAnsi="Lato"/>
          <w:bCs/>
          <w:iCs/>
          <w:spacing w:val="4"/>
          <w:sz w:val="22"/>
          <w:szCs w:val="22"/>
          <w:lang w:bidi="pl-PL"/>
        </w:rPr>
      </w:pPr>
      <w:r w:rsidRPr="0009014A">
        <w:rPr>
          <w:rFonts w:ascii="Lato" w:hAnsi="Lato"/>
          <w:bCs/>
          <w:iCs/>
          <w:spacing w:val="4"/>
          <w:sz w:val="22"/>
          <w:szCs w:val="22"/>
          <w:lang w:bidi="pl-PL"/>
        </w:rPr>
        <w:t xml:space="preserve">art. 9 kpa poprzez brak rozstrzygnięcia istotnych kwestii dotyczących ingerencji założeń wynikających z decyzji lokalizacyjnej w infrastrukturę zabezpieczającą potrzeby lokalne społeczności Gminy </w:t>
      </w:r>
      <w:r w:rsidR="00CA3210">
        <w:rPr>
          <w:rFonts w:ascii="Lato" w:hAnsi="Lato"/>
          <w:bCs/>
          <w:iCs/>
          <w:spacing w:val="4"/>
          <w:sz w:val="22"/>
          <w:szCs w:val="22"/>
          <w:lang w:bidi="pl-PL"/>
        </w:rPr>
        <w:t>(…)</w:t>
      </w:r>
      <w:r w:rsidRPr="0009014A">
        <w:rPr>
          <w:rFonts w:ascii="Lato" w:hAnsi="Lato"/>
          <w:bCs/>
          <w:iCs/>
          <w:spacing w:val="4"/>
          <w:sz w:val="22"/>
          <w:szCs w:val="22"/>
          <w:lang w:bidi="pl-PL"/>
        </w:rPr>
        <w:t xml:space="preserve"> np. poprzez brak postanowień dotyczących określenia ingerencji w układ dróg lokalnych, gminną sieć wodociągową </w:t>
      </w:r>
      <w:r w:rsidR="00CA3210">
        <w:rPr>
          <w:rFonts w:ascii="Lato" w:hAnsi="Lato"/>
          <w:bCs/>
          <w:iCs/>
          <w:spacing w:val="4"/>
          <w:sz w:val="22"/>
          <w:szCs w:val="22"/>
          <w:lang w:bidi="pl-PL"/>
        </w:rPr>
        <w:br/>
      </w:r>
      <w:r w:rsidRPr="0009014A">
        <w:rPr>
          <w:rFonts w:ascii="Lato" w:hAnsi="Lato"/>
          <w:bCs/>
          <w:iCs/>
          <w:spacing w:val="4"/>
          <w:sz w:val="22"/>
          <w:szCs w:val="22"/>
          <w:lang w:bidi="pl-PL"/>
        </w:rPr>
        <w:t>i kanalizacyjną,</w:t>
      </w:r>
    </w:p>
    <w:p w14:paraId="3B1767A5" w14:textId="5C0C25F8" w:rsidR="0009014A" w:rsidRPr="0009014A" w:rsidRDefault="0009014A">
      <w:pPr>
        <w:numPr>
          <w:ilvl w:val="0"/>
          <w:numId w:val="44"/>
        </w:numPr>
        <w:spacing w:after="240" w:line="240" w:lineRule="exact"/>
        <w:ind w:left="357" w:hanging="357"/>
        <w:jc w:val="both"/>
        <w:rPr>
          <w:rFonts w:ascii="Lato" w:hAnsi="Lato"/>
          <w:bCs/>
          <w:iCs/>
          <w:spacing w:val="4"/>
          <w:sz w:val="22"/>
          <w:szCs w:val="22"/>
          <w:lang w:bidi="pl-PL"/>
        </w:rPr>
      </w:pPr>
      <w:r w:rsidRPr="0009014A">
        <w:rPr>
          <w:rFonts w:ascii="Lato" w:hAnsi="Lato"/>
          <w:bCs/>
          <w:iCs/>
          <w:spacing w:val="4"/>
          <w:sz w:val="22"/>
          <w:szCs w:val="22"/>
          <w:lang w:bidi="pl-PL"/>
        </w:rPr>
        <w:lastRenderedPageBreak/>
        <w:t xml:space="preserve">art. 10 kpa, poprzez brak zapewnienia Gminie </w:t>
      </w:r>
      <w:r w:rsidR="00860B1D">
        <w:rPr>
          <w:rFonts w:ascii="Lato" w:hAnsi="Lato"/>
          <w:bCs/>
          <w:iCs/>
          <w:spacing w:val="4"/>
          <w:sz w:val="22"/>
          <w:szCs w:val="22"/>
          <w:lang w:bidi="pl-PL"/>
        </w:rPr>
        <w:t>(…)</w:t>
      </w:r>
      <w:r w:rsidRPr="0009014A">
        <w:rPr>
          <w:rFonts w:ascii="Lato" w:hAnsi="Lato"/>
          <w:bCs/>
          <w:iCs/>
          <w:spacing w:val="4"/>
          <w:sz w:val="22"/>
          <w:szCs w:val="22"/>
          <w:lang w:bidi="pl-PL"/>
        </w:rPr>
        <w:t xml:space="preserve"> wypowiedzenia się w sprawie wniosku inwestora o wydanie decyzji lokalizacyjnej oraz zgłaszanych do niego zastrzeżeń innych stron postępowania, a po jej wydaniu utrudnianie gminie dostępu do wydanej decyzji.</w:t>
      </w:r>
    </w:p>
    <w:p w14:paraId="0BF00441" w14:textId="17878212"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hAnsi="Lato"/>
          <w:spacing w:val="4"/>
          <w:sz w:val="22"/>
          <w:szCs w:val="22"/>
        </w:rPr>
        <w:t xml:space="preserve">Zgodnie z art. 40 ust. 2 pkt 3 ustawy CPK, decyzja o ustaleniu lokalizacji inwestycji </w:t>
      </w:r>
      <w:r w:rsidRPr="0009014A">
        <w:rPr>
          <w:rFonts w:ascii="Lato" w:hAnsi="Lato"/>
          <w:spacing w:val="4"/>
          <w:sz w:val="22"/>
          <w:szCs w:val="22"/>
        </w:rPr>
        <w:br/>
        <w:t>w zakresie CPK określa wymagania dotyczące powiązania Inwestycji z drogami publicznymi, liniami kolejowymi oraz sieciami, w tym w zależności od potrzeb obszary albo punkty lokalizacji połączeń z tymi drogami, liniami kolejowymi oraz sieciami. Jak już była o tym mowa w niniejszej decyzji (przy rozpatrywaniu zarzutów Państwa K</w:t>
      </w:r>
      <w:r w:rsidR="00FF4DA6">
        <w:rPr>
          <w:rFonts w:ascii="Lato" w:hAnsi="Lato"/>
          <w:spacing w:val="4"/>
          <w:sz w:val="22"/>
          <w:szCs w:val="22"/>
        </w:rPr>
        <w:t>.</w:t>
      </w:r>
      <w:r w:rsidRPr="0009014A">
        <w:rPr>
          <w:rFonts w:ascii="Lato" w:hAnsi="Lato"/>
          <w:spacing w:val="4"/>
          <w:sz w:val="22"/>
          <w:szCs w:val="22"/>
        </w:rPr>
        <w:t xml:space="preserve"> </w:t>
      </w:r>
      <w:r w:rsidR="00FF4DA6">
        <w:rPr>
          <w:rFonts w:ascii="Lato" w:hAnsi="Lato"/>
          <w:spacing w:val="4"/>
          <w:sz w:val="22"/>
          <w:szCs w:val="22"/>
        </w:rPr>
        <w:br/>
      </w:r>
      <w:r w:rsidRPr="0009014A">
        <w:rPr>
          <w:rFonts w:ascii="Lato" w:hAnsi="Lato"/>
          <w:spacing w:val="4"/>
          <w:sz w:val="22"/>
          <w:szCs w:val="22"/>
        </w:rPr>
        <w:t>i skarżącej spółki)</w:t>
      </w:r>
      <w:r w:rsidRPr="0009014A">
        <w:rPr>
          <w:rFonts w:ascii="Lato" w:hAnsi="Lato" w:cs="Arial"/>
          <w:bCs/>
          <w:iCs/>
          <w:color w:val="000000"/>
          <w:spacing w:val="4"/>
          <w:sz w:val="22"/>
          <w:szCs w:val="22"/>
          <w:lang w:bidi="pl-PL"/>
        </w:rPr>
        <w:t xml:space="preserve">, </w:t>
      </w:r>
      <w:r w:rsidRPr="0009014A">
        <w:rPr>
          <w:rFonts w:ascii="Lato" w:hAnsi="Lato"/>
          <w:bCs/>
          <w:iCs/>
          <w:spacing w:val="4"/>
          <w:sz w:val="22"/>
          <w:szCs w:val="22"/>
          <w:lang w:bidi="pl-PL"/>
        </w:rPr>
        <w:t>w pkt II decyzji Wojewody Mazowieckiego pn. „Charakterystyka Inwestycji” (str. 76-88 zaskarżonej decyzji) Wojewoda Mazowiecki określił wymagania wynikające z art. 40 ust. 2 pkt 3 ustawy CPK, zamieszczającym obszerny opis w tym zakresie. Jednocześnie w pkt III decyzji Woje</w:t>
      </w:r>
      <w:r w:rsidRPr="0009014A">
        <w:rPr>
          <w:rFonts w:ascii="Lato" w:hAnsi="Lato"/>
          <w:bCs/>
          <w:iCs/>
          <w:spacing w:val="4"/>
          <w:sz w:val="22"/>
          <w:szCs w:val="22"/>
          <w:lang w:bidi="pl-PL"/>
        </w:rPr>
        <w:softHyphen/>
        <w:t xml:space="preserve">wody Mazowieckiego (formalnie zatytułowanym „Wymagania dotyczące powiązania Inwestycji z drogami publicznymi, liniami kolejowymi oraz sieciami, w tym w zależności od potrzeb obszary albo punkty lokalizacji połączeń z tymi drogami, liniami kolejowymi oraz sieciami”), </w:t>
      </w:r>
      <w:r w:rsidRPr="0009014A">
        <w:rPr>
          <w:rFonts w:ascii="Lato" w:hAnsi="Lato"/>
          <w:bCs/>
          <w:iCs/>
          <w:spacing w:val="4"/>
          <w:sz w:val="22"/>
          <w:szCs w:val="22"/>
          <w:lang w:bidi="pl-PL"/>
        </w:rPr>
        <w:br/>
        <w:t xml:space="preserve">po korekcie zapisu dokonanej w niniejszej decyzji przez organ odwoławczy, zawarto odniesienie do pkt II decyzji organu I instancji, który uszczegóławia te powiązania. Rzeczone powiązania, w ocenie Ministra, zostały w decyzji Wojewody Mazowieckiego określono prawidłowo, w sposób właściwy dla etapu lokalizacji </w:t>
      </w:r>
      <w:r w:rsidR="00063525">
        <w:rPr>
          <w:rFonts w:ascii="Lato" w:hAnsi="Lato"/>
          <w:bCs/>
          <w:iCs/>
          <w:spacing w:val="4"/>
          <w:sz w:val="22"/>
          <w:szCs w:val="22"/>
          <w:lang w:bidi="pl-PL"/>
        </w:rPr>
        <w:t>I</w:t>
      </w:r>
      <w:r w:rsidRPr="0009014A">
        <w:rPr>
          <w:rFonts w:ascii="Lato" w:hAnsi="Lato"/>
          <w:bCs/>
          <w:iCs/>
          <w:spacing w:val="4"/>
          <w:sz w:val="22"/>
          <w:szCs w:val="22"/>
          <w:lang w:bidi="pl-PL"/>
        </w:rPr>
        <w:t>nwestycji, a więc etapu wstępnego na drodze do realizacji przedmiotowej Inwestycji. Natomiast szczegółowe rozwiązania techniczne w zakresie planowanej Inwestycji będą przedmiotem postępowania w sprawie uzyskania pozwolenia na budowę.</w:t>
      </w:r>
    </w:p>
    <w:p w14:paraId="11DFE6E4" w14:textId="69C84FC8" w:rsidR="0009014A" w:rsidRPr="0009014A" w:rsidRDefault="0009014A" w:rsidP="0009014A">
      <w:pPr>
        <w:spacing w:after="240" w:line="240" w:lineRule="exact"/>
        <w:jc w:val="both"/>
        <w:rPr>
          <w:rFonts w:ascii="Lato" w:eastAsiaTheme="minorHAnsi" w:hAnsi="Lato" w:cstheme="minorBidi"/>
          <w:bCs/>
          <w:iCs/>
          <w:spacing w:val="4"/>
          <w:sz w:val="22"/>
          <w:szCs w:val="22"/>
          <w:lang w:eastAsia="en-US" w:bidi="pl-PL"/>
        </w:rPr>
      </w:pPr>
      <w:r w:rsidRPr="0009014A">
        <w:rPr>
          <w:rFonts w:ascii="Lato" w:eastAsiaTheme="minorHAnsi" w:hAnsi="Lato" w:cstheme="minorBidi"/>
          <w:bCs/>
          <w:iCs/>
          <w:spacing w:val="4"/>
          <w:sz w:val="22"/>
          <w:szCs w:val="22"/>
          <w:lang w:eastAsia="en-US" w:bidi="pl-PL"/>
        </w:rPr>
        <w:t xml:space="preserve">Błędne jest stanowisko skarżącej Gminy dotyczące wydania decyzji Wojewody Mazowieckiego bez wiedzy oraz uczestnictwa Gminy </w:t>
      </w:r>
      <w:r w:rsidR="006B2F54">
        <w:rPr>
          <w:rFonts w:ascii="Lato" w:eastAsiaTheme="minorHAnsi" w:hAnsi="Lato" w:cstheme="minorBidi"/>
          <w:bCs/>
          <w:iCs/>
          <w:spacing w:val="4"/>
          <w:sz w:val="22"/>
          <w:szCs w:val="22"/>
          <w:lang w:eastAsia="en-US" w:bidi="pl-PL"/>
        </w:rPr>
        <w:t>(…)</w:t>
      </w:r>
      <w:r w:rsidRPr="0009014A">
        <w:rPr>
          <w:rFonts w:ascii="Lato" w:eastAsiaTheme="minorHAnsi" w:hAnsi="Lato" w:cstheme="minorBidi"/>
          <w:bCs/>
          <w:iCs/>
          <w:spacing w:val="4"/>
          <w:sz w:val="22"/>
          <w:szCs w:val="22"/>
          <w:lang w:eastAsia="en-US" w:bidi="pl-PL"/>
        </w:rPr>
        <w:t xml:space="preserve"> w postępowaniu administracyjnym poprzedzającym jej wydanie. Gmina </w:t>
      </w:r>
      <w:r w:rsidR="006B2F54">
        <w:rPr>
          <w:rFonts w:ascii="Lato" w:eastAsiaTheme="minorHAnsi" w:hAnsi="Lato" w:cstheme="minorBidi"/>
          <w:bCs/>
          <w:iCs/>
          <w:spacing w:val="4"/>
          <w:sz w:val="22"/>
          <w:szCs w:val="22"/>
          <w:lang w:eastAsia="en-US" w:bidi="pl-PL"/>
        </w:rPr>
        <w:t>(…)</w:t>
      </w:r>
      <w:r w:rsidRPr="0009014A">
        <w:rPr>
          <w:rFonts w:ascii="Lato" w:eastAsiaTheme="minorHAnsi" w:hAnsi="Lato" w:cstheme="minorBidi"/>
          <w:bCs/>
          <w:iCs/>
          <w:spacing w:val="4"/>
          <w:sz w:val="22"/>
          <w:szCs w:val="22"/>
          <w:lang w:eastAsia="en-US" w:bidi="pl-PL"/>
        </w:rPr>
        <w:t xml:space="preserve"> o wszczęciu przez Wojewodę Mazowieckiego postępowania w sprawie wydania decyzji o ustaleniu lokalizacji przedmiotowej inwestycji w zakresie CPK została poinformowana zarówno </w:t>
      </w:r>
      <w:r w:rsidRPr="0009014A">
        <w:rPr>
          <w:rFonts w:ascii="Lato" w:eastAsiaTheme="minorHAnsi" w:hAnsi="Lato" w:cstheme="minorBidi"/>
          <w:bCs/>
          <w:iCs/>
          <w:spacing w:val="4"/>
          <w:sz w:val="22"/>
          <w:szCs w:val="22"/>
          <w:lang w:eastAsia="en-US" w:bidi="pl-PL"/>
        </w:rPr>
        <w:br/>
        <w:t xml:space="preserve">w drodze indywidualnego zawiadomienia z dnia 3 czerwca 2024 r., znak: WIR-I.746.1.44.2023.DM/AC, WIR-I.747.6.28.2023.DM/AC (jako właściciel nieruchomości objętych zakresem </w:t>
      </w:r>
      <w:r w:rsidR="00063525">
        <w:rPr>
          <w:rFonts w:ascii="Lato" w:eastAsiaTheme="minorHAnsi" w:hAnsi="Lato" w:cstheme="minorBidi"/>
          <w:bCs/>
          <w:iCs/>
          <w:spacing w:val="4"/>
          <w:sz w:val="22"/>
          <w:szCs w:val="22"/>
          <w:lang w:eastAsia="en-US" w:bidi="pl-PL"/>
        </w:rPr>
        <w:t>I</w:t>
      </w:r>
      <w:r w:rsidRPr="0009014A">
        <w:rPr>
          <w:rFonts w:ascii="Lato" w:eastAsiaTheme="minorHAnsi" w:hAnsi="Lato" w:cstheme="minorBidi"/>
          <w:bCs/>
          <w:iCs/>
          <w:spacing w:val="4"/>
          <w:sz w:val="22"/>
          <w:szCs w:val="22"/>
          <w:lang w:eastAsia="en-US" w:bidi="pl-PL"/>
        </w:rPr>
        <w:t xml:space="preserve">nwestycji). Ze znajdującego się w aktach sprawy zwrotnego potwierdza odbioru wynika, że ww. zawiadomienie z dnia 3 czerwca 2024 r. wpłynęło do Urzędu Gminy </w:t>
      </w:r>
      <w:r w:rsidR="006B2F54">
        <w:rPr>
          <w:rFonts w:ascii="Lato" w:eastAsiaTheme="minorHAnsi" w:hAnsi="Lato" w:cstheme="minorBidi"/>
          <w:bCs/>
          <w:iCs/>
          <w:spacing w:val="4"/>
          <w:sz w:val="22"/>
          <w:szCs w:val="22"/>
          <w:lang w:eastAsia="en-US" w:bidi="pl-PL"/>
        </w:rPr>
        <w:t>(…)</w:t>
      </w:r>
      <w:r w:rsidRPr="0009014A">
        <w:rPr>
          <w:rFonts w:ascii="Lato" w:eastAsiaTheme="minorHAnsi" w:hAnsi="Lato" w:cstheme="minorBidi"/>
          <w:bCs/>
          <w:iCs/>
          <w:spacing w:val="4"/>
          <w:sz w:val="22"/>
          <w:szCs w:val="22"/>
          <w:lang w:eastAsia="en-US" w:bidi="pl-PL"/>
        </w:rPr>
        <w:t xml:space="preserve"> w dniu 11 czerwca 2024 r. Ponadto w Urzędzie Gminy </w:t>
      </w:r>
      <w:r w:rsidR="006B2F54">
        <w:rPr>
          <w:rFonts w:ascii="Lato" w:eastAsiaTheme="minorHAnsi" w:hAnsi="Lato" w:cstheme="minorBidi"/>
          <w:bCs/>
          <w:iCs/>
          <w:spacing w:val="4"/>
          <w:sz w:val="22"/>
          <w:szCs w:val="22"/>
          <w:lang w:eastAsia="en-US" w:bidi="pl-PL"/>
        </w:rPr>
        <w:t>(…)</w:t>
      </w:r>
      <w:r w:rsidRPr="0009014A">
        <w:rPr>
          <w:rFonts w:ascii="Lato" w:eastAsiaTheme="minorHAnsi" w:hAnsi="Lato" w:cstheme="minorBidi"/>
          <w:bCs/>
          <w:iCs/>
          <w:spacing w:val="4"/>
          <w:sz w:val="22"/>
          <w:szCs w:val="22"/>
          <w:lang w:eastAsia="en-US" w:bidi="pl-PL"/>
        </w:rPr>
        <w:t xml:space="preserve"> było publikowane obwieszczenie Wojewody Mazowieckiego informujące o wszczęciu postępowania lokalizacyjnego. </w:t>
      </w:r>
    </w:p>
    <w:p w14:paraId="55A971EC" w14:textId="04B7A862"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eastAsiaTheme="minorHAnsi" w:hAnsi="Lato" w:cstheme="minorBidi"/>
          <w:bCs/>
          <w:iCs/>
          <w:spacing w:val="4"/>
          <w:sz w:val="22"/>
          <w:szCs w:val="22"/>
          <w:lang w:eastAsia="en-US" w:bidi="pl-PL"/>
        </w:rPr>
        <w:t xml:space="preserve">Odnośnie zaś podnoszonego przez Gminę </w:t>
      </w:r>
      <w:r w:rsidR="00FE0821">
        <w:rPr>
          <w:rFonts w:ascii="Lato" w:eastAsiaTheme="minorHAnsi" w:hAnsi="Lato" w:cstheme="minorBidi"/>
          <w:bCs/>
          <w:iCs/>
          <w:spacing w:val="4"/>
          <w:sz w:val="22"/>
          <w:szCs w:val="22"/>
          <w:lang w:eastAsia="en-US" w:bidi="pl-PL"/>
        </w:rPr>
        <w:t>(…)</w:t>
      </w:r>
      <w:r w:rsidRPr="0009014A">
        <w:rPr>
          <w:rFonts w:ascii="Lato" w:eastAsiaTheme="minorHAnsi" w:hAnsi="Lato" w:cstheme="minorBidi"/>
          <w:bCs/>
          <w:iCs/>
          <w:spacing w:val="4"/>
          <w:sz w:val="22"/>
          <w:szCs w:val="22"/>
          <w:lang w:eastAsia="en-US" w:bidi="pl-PL"/>
        </w:rPr>
        <w:t xml:space="preserve"> zarzutu dotyczącego naruszenia </w:t>
      </w:r>
      <w:r w:rsidRPr="0009014A">
        <w:rPr>
          <w:rFonts w:ascii="Lato" w:eastAsiaTheme="minorHAnsi" w:hAnsi="Lato" w:cstheme="minorBidi"/>
          <w:bCs/>
          <w:iCs/>
          <w:spacing w:val="4"/>
          <w:sz w:val="22"/>
          <w:szCs w:val="22"/>
          <w:lang w:eastAsia="en-US" w:bidi="pl-PL"/>
        </w:rPr>
        <w:br/>
        <w:t>art. 10 kpa, Minister podtrzymuje w tym zakresie argumentację powołaną już w niniejszej decyzji odnośnie tożsamego zarzutu Państwa K</w:t>
      </w:r>
      <w:r w:rsidR="00FE0821">
        <w:rPr>
          <w:rFonts w:ascii="Lato" w:eastAsiaTheme="minorHAnsi" w:hAnsi="Lato" w:cstheme="minorBidi"/>
          <w:bCs/>
          <w:iCs/>
          <w:spacing w:val="4"/>
          <w:sz w:val="22"/>
          <w:szCs w:val="22"/>
          <w:lang w:eastAsia="en-US" w:bidi="pl-PL"/>
        </w:rPr>
        <w:t>.</w:t>
      </w:r>
      <w:r w:rsidRPr="0009014A">
        <w:rPr>
          <w:rFonts w:ascii="Lato" w:eastAsiaTheme="minorHAnsi" w:hAnsi="Lato" w:cstheme="minorBidi"/>
          <w:bCs/>
          <w:iCs/>
          <w:spacing w:val="4"/>
          <w:sz w:val="22"/>
          <w:szCs w:val="22"/>
          <w:lang w:eastAsia="en-US" w:bidi="pl-PL"/>
        </w:rPr>
        <w:t xml:space="preserve"> i spółki </w:t>
      </w:r>
      <w:r w:rsidR="00FE0821">
        <w:rPr>
          <w:rFonts w:ascii="Lato" w:eastAsiaTheme="minorHAnsi" w:hAnsi="Lato" w:cstheme="minorBidi"/>
          <w:bCs/>
          <w:iCs/>
          <w:spacing w:val="4"/>
          <w:sz w:val="22"/>
          <w:szCs w:val="22"/>
          <w:lang w:eastAsia="en-US" w:bidi="pl-PL"/>
        </w:rPr>
        <w:t>(…)</w:t>
      </w:r>
      <w:r w:rsidRPr="0009014A">
        <w:rPr>
          <w:rFonts w:ascii="Lato" w:eastAsiaTheme="minorHAnsi" w:hAnsi="Lato" w:cstheme="minorBidi"/>
          <w:bCs/>
          <w:iCs/>
          <w:spacing w:val="4"/>
          <w:sz w:val="22"/>
          <w:szCs w:val="22"/>
          <w:lang w:eastAsia="en-US" w:bidi="pl-PL"/>
        </w:rPr>
        <w:t xml:space="preserve">. Gmina </w:t>
      </w:r>
      <w:r w:rsidR="00FE0821">
        <w:rPr>
          <w:rFonts w:ascii="Lato" w:eastAsiaTheme="minorHAnsi" w:hAnsi="Lato" w:cstheme="minorBidi"/>
          <w:bCs/>
          <w:iCs/>
          <w:spacing w:val="4"/>
          <w:sz w:val="22"/>
          <w:szCs w:val="22"/>
          <w:lang w:eastAsia="en-US" w:bidi="pl-PL"/>
        </w:rPr>
        <w:t>(…)</w:t>
      </w:r>
      <w:r w:rsidRPr="0009014A">
        <w:rPr>
          <w:rFonts w:ascii="Lato" w:eastAsiaTheme="minorHAnsi" w:hAnsi="Lato" w:cstheme="minorBidi"/>
          <w:bCs/>
          <w:iCs/>
          <w:spacing w:val="4"/>
          <w:sz w:val="22"/>
          <w:szCs w:val="22"/>
          <w:lang w:eastAsia="en-US" w:bidi="pl-PL"/>
        </w:rPr>
        <w:t xml:space="preserve"> poza ogólnym stwierdzeniem, że „</w:t>
      </w:r>
      <w:r w:rsidRPr="0009014A">
        <w:rPr>
          <w:rFonts w:ascii="Lato" w:eastAsia="Calibri" w:hAnsi="Lato"/>
          <w:bCs/>
          <w:iCs/>
          <w:spacing w:val="4"/>
          <w:sz w:val="22"/>
          <w:szCs w:val="22"/>
          <w:lang w:eastAsia="en-US" w:bidi="pl-PL"/>
        </w:rPr>
        <w:t xml:space="preserve">w przypadku możliwości wypowiedzenia się w sprawie przed wydaniem decyzji, wniosłaby szereg wniosków i uwag argumentujących brak spełnienia wielu kluczowych warunków umożliwiających wydanie decyzji ostatecznej, jak chociażby błędne podanej działki nr 78, w decyzji o nr 5/SPEC/2025”, </w:t>
      </w:r>
      <w:r w:rsidRPr="0009014A">
        <w:rPr>
          <w:rFonts w:ascii="Lato" w:hAnsi="Lato" w:cs="Arial"/>
          <w:bCs/>
          <w:iCs/>
          <w:color w:val="000000"/>
          <w:spacing w:val="4"/>
          <w:sz w:val="22"/>
          <w:szCs w:val="22"/>
          <w:lang w:bidi="pl-PL"/>
        </w:rPr>
        <w:t xml:space="preserve">nie wskazała, jakich konkretnych czynności procesowych nie mogła dokonać, które mogłyby doprowadzić do odmiennego rozstrzygnięcia sprawy dotyczącej ustalenia lokalizacji przedmiotowej Inwestycji na jej nieruchomościach. Takich wniosków dowodowych skarżąca Gmina nie wniosła również na etapie postępowania odwoławczego. Gmina </w:t>
      </w:r>
      <w:r w:rsidR="00D002A4">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nie wskazała </w:t>
      </w:r>
      <w:r w:rsidR="00D002A4">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w jakich czynnościach w ramach postępowania pierwszoinstancyjnego miałaby wziąć udział lub udziału w jakich czynnościach procesowych została pozbawiona, nie wskazała żadnych okoliczności, które mają istotne znaczenie dla rozstrzygnięcia sprawy, a których nie wyjaśniono. Twierdzenie „o braku spełnienia wielu kluczowych warunków umożliwiających wydanie decyzji” jest całkowicie pozbawione uzasadnienia.</w:t>
      </w:r>
    </w:p>
    <w:p w14:paraId="6084544F" w14:textId="5E79B0F4"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lastRenderedPageBreak/>
        <w:t xml:space="preserve">Odnośnie ww. działki nr 78, to zauważyć należy, iż Gmina </w:t>
      </w:r>
      <w:r w:rsidR="00730BC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nie wskazała obrębu, </w:t>
      </w:r>
      <w:r w:rsidR="00730BC8">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którym przedmiotowa działka się znajduje, uniemożliwiając jego identyfikację. Natomiast zauważyć należy, że na obszarze objętym decyzją Wojewody Mazowieckiego znajdują się trzy działki o numerze 78, będące na terenie gminy </w:t>
      </w:r>
      <w:r w:rsidR="00730BC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Dwie z nich są </w:t>
      </w:r>
      <w:r w:rsidR="00730BC8">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całości objęte linią rozgraniczającą i znajdują się we własności CPK oraz jedna podlegająca podziałowi i wywłaszczeniu w części. Wszystkie te działki zostały poprawnie podane w decyzji we właściwych tabelach (tabela nr 2 – wykaz działek będących własnością CPK Sp. z o.o. objętych w całości linią rozgraniczającą teren Inwestycji oraz tabela nr 6 - wykaz nieruchomości podlegających podziałowi, wraz ze wskazaniem części nieruchomości wchodzących i nie wchodzących w obszar linii rozgraniczających Inwestycji). Ponadto Gmina </w:t>
      </w:r>
      <w:r w:rsidR="00730BC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nie uzasadniła w jakich okolicznościach upatruje wadliwości decyzji Wojewody Mazowieckiego w zakresie dotyczącym błędnego podania ww. działki nr 78 w tej decyzji. Z tego powodu, w piśmie z dnia 13 czerwca 2025 r., znak: DLI-II.7620.7.2025.KR.25, organ odwoławczy wezwał Gminę </w:t>
      </w:r>
      <w:r w:rsidR="00730BC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 uzasadnienia rzeczonego zarzutu. Pomimo skutecznego doręczania ww. pisma z dnia 13 czerwca </w:t>
      </w:r>
      <w:r w:rsidRPr="0009014A">
        <w:rPr>
          <w:rFonts w:ascii="Lato" w:hAnsi="Lato" w:cs="Arial"/>
          <w:bCs/>
          <w:iCs/>
          <w:color w:val="000000"/>
          <w:spacing w:val="4"/>
          <w:sz w:val="22"/>
          <w:szCs w:val="22"/>
          <w:lang w:bidi="pl-PL"/>
        </w:rPr>
        <w:br/>
        <w:t xml:space="preserve">2025 r., znak: DLI-II.7620.7.2025.KR.25, do Urzędu Gminy </w:t>
      </w:r>
      <w:r w:rsidR="00730BC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 dniu 18 czerwca </w:t>
      </w:r>
      <w:r w:rsidR="00730BC8">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2025 r.), Gmina </w:t>
      </w:r>
      <w:r w:rsidR="00730BC8">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nie udzieliła odpowiedzi. </w:t>
      </w:r>
    </w:p>
    <w:p w14:paraId="4FA331EA" w14:textId="6A89A186"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W aktach sprawy brak jest dowodów potwierdzających słuszność zarzutu Gminy </w:t>
      </w:r>
      <w:r w:rsidR="008A159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że po wydaniu zaskarżonej decyzji Wojewoda Mazowiecki utrudnił gminie dostępu do wydanej decyzji. Nie ma racji skarżąca Gmina twierdząc, iż decyzja Wojewody Mazowieckiego powinna być doręczona Wójtowi Gminy </w:t>
      </w:r>
      <w:r w:rsidR="008A159F">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bezpośrednio na podstawie art. 45 ustawy CPK. Przepis art. 45 ustawy CPK wskazuje, że „ostateczna decyzja o ustaleniu lokalizacji inwestycji w zakresie CPK w przypadkach, o których mowa w art. 38 ust. 2 oraz art. 40 ust. 3, doręczana jest również wójtowi (burmistrzowi, prezydentowi miasta).” Należy zauważyć, że przepis ten wyraźnie wskazuje na dodatkowy obowiązek przekazania wójtowi (burmistrzowi, prezydentowi miasta) ostatecznej decyzji o ustaleniu lokalizacji inwestycji w zakresie CPK, a decyzja Wojewody Mazowieckiego nie była ostateczna, z powodu wniesienia od niej odwołań. </w:t>
      </w:r>
    </w:p>
    <w:p w14:paraId="42BEC855" w14:textId="57FDC0CE"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Na uwzględnienie nie zasługuje zarzut Gminy </w:t>
      </w:r>
      <w:r w:rsidR="0013732C">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naruszenia art. 97 § 1 pkt 4 kpa poprzez brak zawieszenia postępowania do czasu rozpatrzenia odwołania Gminy </w:t>
      </w:r>
      <w:r w:rsidR="0013732C">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od decyzji o środowiskowych uwarunkowaniach RDOŚ oraz skargi Gminy </w:t>
      </w:r>
      <w:r w:rsidR="0013732C">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na pismo Ministra Infrastruktury z dnia 7 czerwca 2023 r. w sprawie zatwierdzenia Planu Generalnego Lotniska - Port Solidarność na lata 2022 – 2060. </w:t>
      </w:r>
      <w:r w:rsidRPr="0009014A">
        <w:rPr>
          <w:rFonts w:ascii="Lato" w:hAnsi="Lato" w:cs="Arial"/>
          <w:bCs/>
          <w:iCs/>
          <w:color w:val="000000"/>
          <w:spacing w:val="4"/>
          <w:sz w:val="22"/>
          <w:szCs w:val="22"/>
          <w:lang w:bidi="pl-PL"/>
        </w:rPr>
        <w:br/>
        <w:t xml:space="preserve">W zakresie tego zarzutu, Minister podtrzymuje argumentację zawartą wcześniej </w:t>
      </w:r>
      <w:r w:rsidRPr="0009014A">
        <w:rPr>
          <w:rFonts w:ascii="Lato" w:hAnsi="Lato" w:cs="Arial"/>
          <w:bCs/>
          <w:iCs/>
          <w:color w:val="000000"/>
          <w:spacing w:val="4"/>
          <w:sz w:val="22"/>
          <w:szCs w:val="22"/>
          <w:lang w:bidi="pl-PL"/>
        </w:rPr>
        <w:br/>
        <w:t>w niniejszej decyzji odnośnie tożsamego zarzutu odwołania Państwa K</w:t>
      </w:r>
      <w:r w:rsidR="0013732C">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spółki </w:t>
      </w:r>
      <w:r w:rsidR="0013732C">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w:t>
      </w:r>
    </w:p>
    <w:p w14:paraId="2C18350E" w14:textId="28A8F985"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Za niezasadny należy uznać zarzut Pani E</w:t>
      </w:r>
      <w:r w:rsidR="00B90A36">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M</w:t>
      </w:r>
      <w:r w:rsidR="00B90A36">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Pana G</w:t>
      </w:r>
      <w:r w:rsidR="00B90A36">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M</w:t>
      </w:r>
      <w:r w:rsidR="00B90A36">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naruszenia art. 7 kpa, art. 77 § 1 kpa, art. 80 kpa poprzez dokonanie błędnych ustaleń stanu faktycznego oraz nieprawidłową ocenę materiału dowodowego przez organ I Instancji, skutkującą niesłusznym, dowolnym oraz bezpodstawnym przyjęciem, iż zasadnym jest ograniczenie sposobu korzystania z działek nr 2/1, nr 2/2, nr 2/3, z obrębu 0032 SHRO Strugi, </w:t>
      </w:r>
      <w:r w:rsidR="00B90A36">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o którym mowa w art. 40 ust. 2 pkt 10 ustawy CPK, podczas gdy przedmiotowe grunty są niezbędne do prowadzenia działalności rolniczej, zaś w przyszłości grunty te mogły by być wykorzystywane pod zabudowę usługową, co powoduje, iż ograniczenie sposób korzystania z przedmiotowych nieruchomości jest niezasadne i w żaden sposób konieczne do budowy Inwestycji, czego</w:t>
      </w:r>
      <w:r w:rsidR="00063525">
        <w:rPr>
          <w:rFonts w:ascii="Lato" w:hAnsi="Lato" w:cs="Arial"/>
          <w:bCs/>
          <w:iCs/>
          <w:color w:val="000000"/>
          <w:spacing w:val="4"/>
          <w:sz w:val="22"/>
          <w:szCs w:val="22"/>
          <w:lang w:bidi="pl-PL"/>
        </w:rPr>
        <w:t xml:space="preserve"> - w ocenie skarżących - </w:t>
      </w:r>
      <w:r w:rsidRPr="0009014A">
        <w:rPr>
          <w:rFonts w:ascii="Lato" w:hAnsi="Lato" w:cs="Arial"/>
          <w:bCs/>
          <w:iCs/>
          <w:color w:val="000000"/>
          <w:spacing w:val="4"/>
          <w:sz w:val="22"/>
          <w:szCs w:val="22"/>
          <w:lang w:bidi="pl-PL"/>
        </w:rPr>
        <w:t>organ I Instancji nie wziął pod uwagę.</w:t>
      </w:r>
    </w:p>
    <w:p w14:paraId="37B81B33" w14:textId="59B8335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W sprawie o ustalenie lokalizacji inwestycji w zakresie CPK (uregulowanej w drodze przepisów szczególnych ustawy CPK) stan faktyczny sprawy  - a więc w zakresie hipotezy art. 7, art. 77 § 1 i art. 80 kpa - wytycza wniosek inwestora i określona przez niego Inwestycja. Z analizy akt sprawy wynika, że z wymienionych w odwołaniu działek, jedynie </w:t>
      </w:r>
      <w:r w:rsidRPr="0009014A">
        <w:rPr>
          <w:rFonts w:ascii="Lato" w:hAnsi="Lato" w:cs="Arial"/>
          <w:bCs/>
          <w:iCs/>
          <w:color w:val="000000"/>
          <w:spacing w:val="4"/>
          <w:sz w:val="22"/>
          <w:szCs w:val="22"/>
          <w:lang w:bidi="pl-PL"/>
        </w:rPr>
        <w:lastRenderedPageBreak/>
        <w:t xml:space="preserve">dwie działki, tj. działki nr 2/2 i nr 2/3 są objęte decyzją Wojewody Mazowieckiego. Natomiast działka nr 2/1 nie znajduje się w obszarze linii rozgraniczającej teren Inwestycji ani w linii ograniczenia korzystania z nieruchomości. Na działkach nr 2/2 </w:t>
      </w:r>
      <w:r w:rsidRPr="0009014A">
        <w:rPr>
          <w:rFonts w:ascii="Lato" w:hAnsi="Lato" w:cs="Arial"/>
          <w:bCs/>
          <w:iCs/>
          <w:color w:val="000000"/>
          <w:spacing w:val="4"/>
          <w:sz w:val="22"/>
          <w:szCs w:val="22"/>
          <w:lang w:bidi="pl-PL"/>
        </w:rPr>
        <w:br/>
        <w:t xml:space="preserve">i nr 2/3, w części po podziale o numerach odpowiednio 2/9 i 2/11, zostało ustanowione, </w:t>
      </w:r>
      <w:r w:rsidRPr="0009014A">
        <w:rPr>
          <w:rFonts w:ascii="Lato" w:hAnsi="Lato" w:cs="Arial"/>
          <w:bCs/>
          <w:iCs/>
          <w:color w:val="000000"/>
          <w:spacing w:val="4"/>
          <w:sz w:val="22"/>
          <w:szCs w:val="22"/>
          <w:lang w:bidi="pl-PL"/>
        </w:rPr>
        <w:br/>
        <w:t xml:space="preserve">za odszkodowaniem, ograniczenie w korzystaniu z nieruchomości, na podstawie art. 53 ust. 1 w zw. z art. 40 ust. 2 pkt 10 ustawy CPK. Szczegółowo kwestia ograniczeń </w:t>
      </w:r>
      <w:r w:rsidRPr="0009014A">
        <w:rPr>
          <w:rFonts w:ascii="Lato" w:hAnsi="Lato" w:cs="Arial"/>
          <w:bCs/>
          <w:iCs/>
          <w:color w:val="000000"/>
          <w:spacing w:val="4"/>
          <w:sz w:val="22"/>
          <w:szCs w:val="22"/>
          <w:lang w:bidi="pl-PL"/>
        </w:rPr>
        <w:br/>
        <w:t xml:space="preserve">w korzystaniu z nieruchomości ustanawianych w decyzji lokalizacyjnej na podstawie </w:t>
      </w:r>
      <w:r w:rsidR="00063525">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art. 53 ust. 1 w zw. z art. 40 ust. 2 pkt 10 ustawy CPK, została już omówiona w niniejsze</w:t>
      </w:r>
      <w:r w:rsidR="00063525">
        <w:rPr>
          <w:rFonts w:ascii="Lato" w:hAnsi="Lato" w:cs="Arial"/>
          <w:bCs/>
          <w:iCs/>
          <w:color w:val="000000"/>
          <w:spacing w:val="4"/>
          <w:sz w:val="22"/>
          <w:szCs w:val="22"/>
          <w:lang w:bidi="pl-PL"/>
        </w:rPr>
        <w:t>j</w:t>
      </w:r>
      <w:r w:rsidRPr="0009014A">
        <w:rPr>
          <w:rFonts w:ascii="Lato" w:hAnsi="Lato" w:cs="Arial"/>
          <w:bCs/>
          <w:iCs/>
          <w:color w:val="000000"/>
          <w:spacing w:val="4"/>
          <w:sz w:val="22"/>
          <w:szCs w:val="22"/>
          <w:lang w:bidi="pl-PL"/>
        </w:rPr>
        <w:t xml:space="preserve"> decyzji przy rozpatrywaniu zarzutów Państwa K</w:t>
      </w:r>
      <w:r w:rsidR="008B24F1">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spółki </w:t>
      </w:r>
      <w:r w:rsidR="008B24F1">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t>
      </w:r>
      <w:r w:rsidR="00063525">
        <w:rPr>
          <w:rFonts w:ascii="Lato" w:hAnsi="Lato" w:cs="Arial"/>
          <w:bCs/>
          <w:iCs/>
          <w:color w:val="000000"/>
          <w:spacing w:val="4"/>
          <w:sz w:val="22"/>
          <w:szCs w:val="22"/>
          <w:lang w:bidi="pl-PL"/>
        </w:rPr>
        <w:t xml:space="preserve">w zakresie </w:t>
      </w:r>
      <w:r w:rsidRPr="0009014A">
        <w:rPr>
          <w:rFonts w:ascii="Lato" w:hAnsi="Lato" w:cs="Arial"/>
          <w:bCs/>
          <w:iCs/>
          <w:color w:val="000000"/>
          <w:spacing w:val="4"/>
          <w:sz w:val="22"/>
          <w:szCs w:val="22"/>
          <w:lang w:bidi="pl-PL"/>
        </w:rPr>
        <w:t xml:space="preserve">odpowiedzi na zarzut dotyczący naruszenia art. 40 ust. 2 pkt 10 ustawy CPK. Nie ma potrzeby zatem tej argumentacji powielać. </w:t>
      </w:r>
    </w:p>
    <w:p w14:paraId="2CF84773" w14:textId="4243DEBF"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Z zapisów tabeli nr 8 znajdującej się w pkt X na str. 136 decyzji Wojewody Mazowieckiego</w:t>
      </w:r>
      <w:r w:rsidR="003F51F4">
        <w:rPr>
          <w:rFonts w:ascii="Lato" w:hAnsi="Lato" w:cs="Arial"/>
          <w:bCs/>
          <w:iCs/>
          <w:color w:val="000000"/>
          <w:spacing w:val="4"/>
          <w:sz w:val="22"/>
          <w:szCs w:val="22"/>
          <w:lang w:bidi="pl-PL"/>
        </w:rPr>
        <w:t xml:space="preserve">, jak również wyjaśnień inwestora złożonych odnośnie odwołania skarżących, </w:t>
      </w:r>
      <w:r w:rsidRPr="0009014A">
        <w:rPr>
          <w:rFonts w:ascii="Lato" w:hAnsi="Lato" w:cs="Arial"/>
          <w:bCs/>
          <w:iCs/>
          <w:color w:val="000000"/>
          <w:spacing w:val="4"/>
          <w:sz w:val="22"/>
          <w:szCs w:val="22"/>
          <w:lang w:bidi="pl-PL"/>
        </w:rPr>
        <w:t>wynika, że działka nr 2/9 (powstała z podziału ww. działki nr 2/2) została ogranicz</w:t>
      </w:r>
      <w:r w:rsidR="003F51F4">
        <w:rPr>
          <w:rFonts w:ascii="Lato" w:hAnsi="Lato" w:cs="Arial"/>
          <w:bCs/>
          <w:iCs/>
          <w:color w:val="000000"/>
          <w:spacing w:val="4"/>
          <w:sz w:val="22"/>
          <w:szCs w:val="22"/>
          <w:lang w:bidi="pl-PL"/>
        </w:rPr>
        <w:t>o</w:t>
      </w:r>
      <w:r w:rsidRPr="0009014A">
        <w:rPr>
          <w:rFonts w:ascii="Lato" w:hAnsi="Lato" w:cs="Arial"/>
          <w:bCs/>
          <w:iCs/>
          <w:color w:val="000000"/>
          <w:spacing w:val="4"/>
          <w:sz w:val="22"/>
          <w:szCs w:val="22"/>
          <w:lang w:bidi="pl-PL"/>
        </w:rPr>
        <w:t xml:space="preserve">na w korzystaniu z nieruchomości na granicy z rzeką Pisią w celu związanym </w:t>
      </w:r>
      <w:r w:rsidRPr="0009014A">
        <w:rPr>
          <w:rFonts w:ascii="Lato" w:hAnsi="Lato" w:cs="Arial"/>
          <w:bCs/>
          <w:iCs/>
          <w:color w:val="000000"/>
          <w:spacing w:val="4"/>
          <w:sz w:val="22"/>
          <w:szCs w:val="22"/>
          <w:lang w:bidi="pl-PL"/>
        </w:rPr>
        <w:br/>
        <w:t xml:space="preserve">z prowadzeniem bieżących prac utrzymaniowych i konserwacyjnych koryta </w:t>
      </w:r>
      <w:r w:rsidR="003F51F4">
        <w:rPr>
          <w:rFonts w:ascii="Lato" w:hAnsi="Lato" w:cs="Arial"/>
          <w:bCs/>
          <w:iCs/>
          <w:color w:val="000000"/>
          <w:spacing w:val="4"/>
          <w:sz w:val="22"/>
          <w:szCs w:val="22"/>
          <w:lang w:bidi="pl-PL"/>
        </w:rPr>
        <w:t xml:space="preserve">rzeki </w:t>
      </w:r>
      <w:r w:rsidRPr="0009014A">
        <w:rPr>
          <w:rFonts w:ascii="Lato" w:hAnsi="Lato" w:cs="Arial"/>
          <w:bCs/>
          <w:iCs/>
          <w:color w:val="000000"/>
          <w:spacing w:val="4"/>
          <w:sz w:val="22"/>
          <w:szCs w:val="22"/>
          <w:lang w:bidi="pl-PL"/>
        </w:rPr>
        <w:t xml:space="preserve">Pisi </w:t>
      </w:r>
      <w:r w:rsidRPr="0009014A">
        <w:rPr>
          <w:rFonts w:ascii="Lato" w:hAnsi="Lato" w:cs="Arial"/>
          <w:bCs/>
          <w:iCs/>
          <w:color w:val="000000"/>
          <w:spacing w:val="4"/>
          <w:sz w:val="22"/>
          <w:szCs w:val="22"/>
          <w:lang w:bidi="pl-PL"/>
        </w:rPr>
        <w:br/>
        <w:t xml:space="preserve">w zasięgu oddziaływania projektowanego wylotu rowu PG-31 oraz projektowanych zrzutów z terenu lotniska w celu zapewnienia swobodnego przepływu wód oraz bezpiecznego przeprowadzenia wód powodziowych korytem rzeki. Natomiast na działce nr 2/11 (powstałej z podziału działki nr 2/3) zostało ustanowione ograniczenie </w:t>
      </w:r>
      <w:r w:rsidR="003F51F4">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korzystaniu z nieruchomości przy granicy z drogą powiatową, które związane jest przebudową infrastruktury kolidującej z rowem, tj. sieci telekomunikacyjnej, sieci wodociągowej, melioracyjnej oraz fragmentu odwodnienia drogi powiatowej DP3828 (projektowane przepięcie istniejącego rowu przydrożnego ø400 mm do rowu PG-31) oraz przebudową zjazdu z drogi powiatowej. Zajęcie i ograniczenie w korzystaniu </w:t>
      </w:r>
      <w:r w:rsidR="003F51F4">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z działek wskazanych powyżej zgodnie z decyzją Wojewody Mazowieckiego jest zasadne i niezbędne na cele realizacji przedmiotowej Inwestycji oraz mieści się w zakresie dopuszczalnych ograniczeń w korzystaniu z nieruchomości  możliwych do ustanowienia na podstawie art. 53 ust. 1 w zw. z art. 40 ust. 2 pkt 10 ustawy CPK. </w:t>
      </w:r>
    </w:p>
    <w:p w14:paraId="4BD9CB09"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W konsekwencji, w sprawie brak jest podstaw do podważania decyzji Wojewody Mazowieckiego z powołaniem się przez skarżących na ochronę prawa własności.</w:t>
      </w:r>
      <w:r w:rsidRPr="0009014A">
        <w:rPr>
          <w:rFonts w:ascii="Lato" w:eastAsiaTheme="minorHAnsi" w:hAnsi="Lato" w:cs="Arial"/>
          <w:bCs/>
          <w:iCs/>
          <w:spacing w:val="4"/>
          <w:sz w:val="22"/>
          <w:szCs w:val="22"/>
          <w:lang w:eastAsia="en-US" w:bidi="pl-PL"/>
        </w:rPr>
        <w:t xml:space="preserve"> </w:t>
      </w:r>
      <w:r w:rsidRPr="0009014A">
        <w:rPr>
          <w:rFonts w:ascii="Lato" w:hAnsi="Lato" w:cs="Arial"/>
          <w:bCs/>
          <w:iCs/>
          <w:color w:val="000000"/>
          <w:spacing w:val="4"/>
          <w:sz w:val="22"/>
          <w:szCs w:val="22"/>
          <w:lang w:bidi="pl-PL"/>
        </w:rPr>
        <w:t xml:space="preserve">Konstytucja RP w art. 64 ust. 3 dopuszcza możliwość ograniczenia prawa własności </w:t>
      </w:r>
      <w:r w:rsidRPr="0009014A">
        <w:rPr>
          <w:rFonts w:ascii="Lato" w:hAnsi="Lato" w:cs="Arial"/>
          <w:bCs/>
          <w:iCs/>
          <w:color w:val="000000"/>
          <w:spacing w:val="4"/>
          <w:sz w:val="22"/>
          <w:szCs w:val="22"/>
          <w:lang w:bidi="pl-PL"/>
        </w:rPr>
        <w:br/>
        <w:t xml:space="preserve">w drodze ustawy i w zakresie, w jakim nie narusza istoty prawa własności </w:t>
      </w:r>
      <w:r w:rsidRPr="0009014A">
        <w:rPr>
          <w:rFonts w:ascii="Lato" w:hAnsi="Lato" w:cs="Arial"/>
          <w:bCs/>
          <w:iCs/>
          <w:color w:val="000000"/>
          <w:spacing w:val="4"/>
          <w:sz w:val="22"/>
          <w:szCs w:val="22"/>
          <w:lang w:bidi="pl-PL"/>
        </w:rPr>
        <w:br/>
        <w:t>(art. 64 ust. 3 Konstytucji RP). Zaskarżoną decyzję</w:t>
      </w:r>
      <w:r w:rsidRPr="0009014A">
        <w:rPr>
          <w:rFonts w:ascii="Lato" w:hAnsi="Lato" w:cs="Arial"/>
          <w:bCs/>
          <w:i/>
          <w:iCs/>
          <w:color w:val="000000"/>
          <w:spacing w:val="4"/>
          <w:sz w:val="22"/>
          <w:szCs w:val="22"/>
          <w:lang w:bidi="pl-PL"/>
        </w:rPr>
        <w:t xml:space="preserve"> </w:t>
      </w:r>
      <w:r w:rsidRPr="0009014A">
        <w:rPr>
          <w:rFonts w:ascii="Lato" w:hAnsi="Lato" w:cs="Arial"/>
          <w:bCs/>
          <w:iCs/>
          <w:color w:val="000000"/>
          <w:spacing w:val="4"/>
          <w:sz w:val="22"/>
          <w:szCs w:val="22"/>
          <w:lang w:bidi="pl-PL"/>
        </w:rPr>
        <w:t xml:space="preserve">wydano na podstawie przepisu ustawy </w:t>
      </w:r>
      <w:r w:rsidRPr="0009014A">
        <w:rPr>
          <w:rFonts w:ascii="Lato" w:hAnsi="Lato" w:cs="Arial"/>
          <w:bCs/>
          <w:iCs/>
          <w:color w:val="000000"/>
          <w:spacing w:val="4"/>
          <w:sz w:val="22"/>
          <w:szCs w:val="22"/>
          <w:lang w:bidi="pl-PL"/>
        </w:rPr>
        <w:br/>
        <w:t xml:space="preserve">– ustawy CPK. W ocenie Ministra ograniczenie prawa własności skarżących nastąpiło </w:t>
      </w:r>
      <w:r w:rsidRPr="0009014A">
        <w:rPr>
          <w:rFonts w:ascii="Lato" w:hAnsi="Lato" w:cs="Arial"/>
          <w:bCs/>
          <w:iCs/>
          <w:color w:val="000000"/>
          <w:spacing w:val="4"/>
          <w:sz w:val="22"/>
          <w:szCs w:val="22"/>
          <w:lang w:bidi="pl-PL"/>
        </w:rPr>
        <w:br/>
        <w:t xml:space="preserve">w zakresie, w jakim nie narusza istoty prawa własności, gdyż teren ww. nieruchomości skarżących nie został ograniczony w wymiarze większym, niż jest to wymagane. </w:t>
      </w:r>
      <w:r w:rsidRPr="0009014A">
        <w:rPr>
          <w:rFonts w:ascii="Lato" w:hAnsi="Lato" w:cs="Arial"/>
          <w:bCs/>
          <w:iCs/>
          <w:color w:val="000000"/>
          <w:spacing w:val="4"/>
          <w:sz w:val="22"/>
          <w:szCs w:val="22"/>
          <w:lang w:bidi="pl-PL"/>
        </w:rPr>
        <w:br/>
        <w:t xml:space="preserve">Z załącznika graficznego nr 54 do decyzji Wojewody Mazowieckiego wynika, iż zakres ograniczenia w korzystaniu z ww. działek nie obejmuje całych tych działek, a wyłącznie ich niewielkie fragmenty (zlokalizowane bezpośrednio przy rzece Pisi i drodze powiatowej). </w:t>
      </w:r>
    </w:p>
    <w:p w14:paraId="75F9D62C" w14:textId="0000104C" w:rsidR="003F51F4" w:rsidRPr="00216712" w:rsidRDefault="0009014A" w:rsidP="0009014A">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9014A">
        <w:rPr>
          <w:rFonts w:ascii="Lato" w:eastAsiaTheme="minorHAnsi" w:hAnsi="Lato" w:cs="Arial"/>
          <w:iCs/>
          <w:spacing w:val="4"/>
          <w:sz w:val="22"/>
          <w:szCs w:val="22"/>
          <w:lang w:eastAsia="en-US"/>
        </w:rPr>
        <w:t>O wadliwości decyzji Wojewody Mazowieckiego nie świadczą zarzuty Państwa M</w:t>
      </w:r>
      <w:r w:rsidR="00443540">
        <w:rPr>
          <w:rFonts w:ascii="Lato" w:eastAsiaTheme="minorHAnsi" w:hAnsi="Lato" w:cs="Arial"/>
          <w:iCs/>
          <w:spacing w:val="4"/>
          <w:sz w:val="22"/>
          <w:szCs w:val="22"/>
          <w:lang w:eastAsia="en-US"/>
        </w:rPr>
        <w:t>.</w:t>
      </w:r>
      <w:r w:rsidRPr="0009014A">
        <w:rPr>
          <w:rFonts w:ascii="Lato" w:eastAsiaTheme="minorHAnsi" w:hAnsi="Lato" w:cs="Arial"/>
          <w:iCs/>
          <w:spacing w:val="4"/>
          <w:sz w:val="22"/>
          <w:szCs w:val="22"/>
          <w:lang w:eastAsia="en-US"/>
        </w:rPr>
        <w:t xml:space="preserve">  dotyczące tego, iż ograniczenie w korzystaniu z części ich nieruchomości spowoduje utrudnienia w korzystaniu z nieruchomości (rolnicze wykorzystanie) i brak możliwości ich planowanego przeznaczenia.</w:t>
      </w:r>
      <w:r w:rsidR="00216712">
        <w:rPr>
          <w:rFonts w:ascii="Lato" w:eastAsiaTheme="minorHAnsi" w:hAnsi="Lato" w:cs="Arial"/>
          <w:iCs/>
          <w:spacing w:val="4"/>
          <w:sz w:val="22"/>
          <w:szCs w:val="22"/>
          <w:lang w:eastAsia="en-US"/>
        </w:rPr>
        <w:t xml:space="preserve"> </w:t>
      </w:r>
      <w:r w:rsidRPr="0009014A">
        <w:rPr>
          <w:rFonts w:ascii="Lato" w:eastAsiaTheme="minorHAnsi" w:hAnsi="Lato" w:cs="Arial"/>
          <w:iCs/>
          <w:spacing w:val="4"/>
          <w:sz w:val="22"/>
          <w:szCs w:val="22"/>
          <w:lang w:eastAsia="en-US"/>
        </w:rPr>
        <w:t xml:space="preserve">Wyjaśnić bowiem należy, iż </w:t>
      </w:r>
      <w:r w:rsidRPr="0009014A">
        <w:rPr>
          <w:rFonts w:ascii="Lato" w:eastAsiaTheme="minorHAnsi" w:hAnsi="Lato" w:cs="Arial"/>
          <w:bCs/>
          <w:iCs/>
          <w:spacing w:val="4"/>
          <w:sz w:val="22"/>
          <w:szCs w:val="22"/>
          <w:lang w:eastAsia="en-US"/>
        </w:rPr>
        <w:t xml:space="preserve">rzeczone </w:t>
      </w:r>
      <w:r w:rsidRPr="0009014A">
        <w:rPr>
          <w:rFonts w:ascii="Lato" w:eastAsiaTheme="minorHAnsi" w:hAnsi="Lato" w:cs="Arial"/>
          <w:bCs/>
          <w:iCs/>
          <w:spacing w:val="4"/>
          <w:sz w:val="22"/>
          <w:szCs w:val="22"/>
          <w:lang w:eastAsia="en-US" w:bidi="pl-PL"/>
        </w:rPr>
        <w:t xml:space="preserve">kwestie nie są przedmiotem rozważań organów administracji właściwych w sprawie wydania decyzji </w:t>
      </w:r>
      <w:r w:rsidRPr="0009014A">
        <w:rPr>
          <w:rFonts w:ascii="Lato" w:eastAsiaTheme="minorHAnsi" w:hAnsi="Lato" w:cs="Arial"/>
          <w:bCs/>
          <w:iCs/>
          <w:spacing w:val="4"/>
          <w:sz w:val="22"/>
          <w:szCs w:val="22"/>
          <w:lang w:eastAsia="en-US" w:bidi="pl-PL"/>
        </w:rPr>
        <w:br/>
        <w:t xml:space="preserve">o ustaleniu lokalizacji inwestycji w zakresie CPK. </w:t>
      </w:r>
      <w:r w:rsidR="00216712" w:rsidRPr="00216712">
        <w:rPr>
          <w:rFonts w:ascii="Lato" w:eastAsiaTheme="minorHAnsi" w:hAnsi="Lato" w:cs="Arial"/>
          <w:bCs/>
          <w:iCs/>
          <w:spacing w:val="4"/>
          <w:sz w:val="22"/>
          <w:szCs w:val="22"/>
          <w:lang w:eastAsia="en-US" w:bidi="pl-PL"/>
        </w:rPr>
        <w:t>Zgodnie z art. 56 ust. 1 ustawy CPK, niezwłocznie po wykonaniu prac, o których mowa w art. 53 i art. 55, na inwestorze ciąży obowiązek przywrócenia nieruchomości do stanu poprzedniego</w:t>
      </w:r>
      <w:r w:rsidR="00216712">
        <w:rPr>
          <w:rFonts w:ascii="Lato" w:eastAsiaTheme="minorHAnsi" w:hAnsi="Lato" w:cs="Arial"/>
          <w:bCs/>
          <w:iCs/>
          <w:spacing w:val="4"/>
          <w:sz w:val="22"/>
          <w:szCs w:val="22"/>
          <w:lang w:eastAsia="en-US" w:bidi="pl-PL"/>
        </w:rPr>
        <w:t xml:space="preserve">. </w:t>
      </w:r>
      <w:r w:rsidRPr="0009014A">
        <w:rPr>
          <w:rFonts w:ascii="Lato" w:eastAsiaTheme="minorHAnsi" w:hAnsi="Lato" w:cs="Arial"/>
          <w:iCs/>
          <w:spacing w:val="4"/>
          <w:sz w:val="22"/>
          <w:szCs w:val="22"/>
          <w:lang w:eastAsia="en-US" w:bidi="pl-PL"/>
        </w:rPr>
        <w:t xml:space="preserve">Możliwość dokonania oceny czy ograniczenie w korzystaniu z gruntów skarżących pociąga za sobą skutki </w:t>
      </w:r>
      <w:r w:rsidR="00216712">
        <w:rPr>
          <w:rFonts w:ascii="Lato" w:eastAsiaTheme="minorHAnsi" w:hAnsi="Lato" w:cs="Arial"/>
          <w:iCs/>
          <w:spacing w:val="4"/>
          <w:sz w:val="22"/>
          <w:szCs w:val="22"/>
          <w:lang w:eastAsia="en-US" w:bidi="pl-PL"/>
        </w:rPr>
        <w:br/>
      </w:r>
      <w:r w:rsidRPr="0009014A">
        <w:rPr>
          <w:rFonts w:ascii="Lato" w:eastAsiaTheme="minorHAnsi" w:hAnsi="Lato" w:cs="Arial"/>
          <w:iCs/>
          <w:spacing w:val="4"/>
          <w:sz w:val="22"/>
          <w:szCs w:val="22"/>
          <w:lang w:eastAsia="en-US" w:bidi="pl-PL"/>
        </w:rPr>
        <w:t xml:space="preserve">w postaci braku możliwości dalszego prawidłowego korzystania z nieruchomości </w:t>
      </w:r>
      <w:r w:rsidR="00216712">
        <w:rPr>
          <w:rFonts w:ascii="Lato" w:eastAsiaTheme="minorHAnsi" w:hAnsi="Lato" w:cs="Arial"/>
          <w:iCs/>
          <w:spacing w:val="4"/>
          <w:sz w:val="22"/>
          <w:szCs w:val="22"/>
          <w:lang w:eastAsia="en-US" w:bidi="pl-PL"/>
        </w:rPr>
        <w:br/>
      </w:r>
      <w:r w:rsidRPr="0009014A">
        <w:rPr>
          <w:rFonts w:ascii="Lato" w:eastAsiaTheme="minorHAnsi" w:hAnsi="Lato" w:cs="Arial"/>
          <w:iCs/>
          <w:spacing w:val="4"/>
          <w:sz w:val="22"/>
          <w:szCs w:val="22"/>
          <w:lang w:eastAsia="en-US" w:bidi="pl-PL"/>
        </w:rPr>
        <w:lastRenderedPageBreak/>
        <w:t>w sposób dotychczasowy albo w sposób zgodny z jej dotychczasowym przeznaczeniem, będzie możliwe dopiero po zrealizowaniu Inwestycji.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w:t>
      </w:r>
      <w:r w:rsidR="00216712" w:rsidRPr="00216712">
        <w:rPr>
          <w:rFonts w:ascii="Lato" w:eastAsiaTheme="minorHAnsi" w:hAnsi="Lato" w:cs="Arial"/>
          <w:iCs/>
          <w:spacing w:val="4"/>
          <w:sz w:val="22"/>
          <w:szCs w:val="22"/>
          <w:lang w:eastAsia="en-US" w:bidi="pl-PL"/>
        </w:rPr>
        <w:t xml:space="preserve">. </w:t>
      </w:r>
      <w:r w:rsidRPr="0009014A">
        <w:rPr>
          <w:rFonts w:ascii="Lato" w:eastAsiaTheme="minorHAnsi" w:hAnsi="Lato" w:cs="Arial"/>
          <w:iCs/>
          <w:spacing w:val="4"/>
          <w:sz w:val="22"/>
          <w:szCs w:val="22"/>
          <w:lang w:eastAsia="en-US" w:bidi="pl-PL"/>
        </w:rPr>
        <w:t xml:space="preserve">Skutki ograniczenia w korzystaniu z nieruchomości oceniane są jednak w odrębnych postępowaniach, w tym przewidzianym w </w:t>
      </w:r>
      <w:r w:rsidRPr="0009014A">
        <w:rPr>
          <w:rFonts w:ascii="Lato" w:eastAsiaTheme="minorHAnsi" w:hAnsi="Lato" w:cs="Arial"/>
          <w:spacing w:val="4"/>
          <w:sz w:val="22"/>
          <w:szCs w:val="22"/>
          <w:lang w:eastAsia="en-US" w:bidi="pl-PL"/>
        </w:rPr>
        <w:t xml:space="preserve">ustawie CPK </w:t>
      </w:r>
      <w:r w:rsidRPr="0009014A">
        <w:rPr>
          <w:rFonts w:ascii="Lato" w:eastAsiaTheme="minorHAnsi" w:hAnsi="Lato" w:cs="Arial"/>
          <w:iCs/>
          <w:spacing w:val="4"/>
          <w:sz w:val="22"/>
          <w:szCs w:val="22"/>
          <w:lang w:eastAsia="en-US" w:bidi="pl-PL"/>
        </w:rPr>
        <w:t xml:space="preserve">- postępowaniu odszkodowawczym, a nie w decyzji o ustaleniu lokalizacji inwestycji w zakresie CPK. </w:t>
      </w:r>
    </w:p>
    <w:p w14:paraId="5B656E6B" w14:textId="618B9A52" w:rsidR="0009014A" w:rsidRPr="0009014A" w:rsidRDefault="0009014A" w:rsidP="0009014A">
      <w:pPr>
        <w:tabs>
          <w:tab w:val="left" w:pos="2977"/>
        </w:tabs>
        <w:spacing w:after="240" w:line="240" w:lineRule="exact"/>
        <w:jc w:val="both"/>
        <w:outlineLvl w:val="0"/>
        <w:rPr>
          <w:rFonts w:ascii="Lato" w:eastAsiaTheme="minorHAnsi" w:hAnsi="Lato" w:cs="Arial"/>
          <w:iCs/>
          <w:spacing w:val="4"/>
          <w:sz w:val="22"/>
          <w:szCs w:val="22"/>
          <w:lang w:eastAsia="en-US" w:bidi="pl-PL"/>
        </w:rPr>
      </w:pPr>
      <w:bookmarkStart w:id="12" w:name="_Hlk181643346"/>
      <w:r w:rsidRPr="0009014A">
        <w:rPr>
          <w:rFonts w:ascii="Lato" w:eastAsiaTheme="minorHAnsi" w:hAnsi="Lato" w:cs="Arial"/>
          <w:iCs/>
          <w:spacing w:val="4"/>
          <w:sz w:val="22"/>
          <w:szCs w:val="22"/>
          <w:lang w:eastAsia="en-US" w:bidi="pl-PL"/>
        </w:rPr>
        <w:t>Dla decyzji o ustaleniu lokalizacji inwestycji w zakresie CPK dotychczasowe lub planowane przeznaczenie nieruchomości nie ma żadnego znaczenia i nie podważa prawidłowości decyzji.</w:t>
      </w:r>
      <w:bookmarkEnd w:id="12"/>
      <w:r w:rsidRPr="0009014A">
        <w:rPr>
          <w:rFonts w:ascii="Lato" w:eastAsiaTheme="minorHAnsi" w:hAnsi="Lato" w:cs="Arial"/>
          <w:iCs/>
          <w:spacing w:val="4"/>
          <w:sz w:val="22"/>
          <w:szCs w:val="22"/>
          <w:lang w:eastAsia="en-US" w:bidi="pl-PL"/>
        </w:rPr>
        <w:t xml:space="preserve"> Może mieć jednak znaczenie dla obiektywnej możliwości dalszego korzystania z nieruchomości i ewentualnego roszczenia odszkodowawczego przysługującego zgodnie z art. 56 ust. 2 ustawy CPK. Zgodnie z tym przepisem, jeżeli </w:t>
      </w:r>
      <w:r w:rsidR="00216712">
        <w:rPr>
          <w:rFonts w:ascii="Lato" w:eastAsiaTheme="minorHAnsi" w:hAnsi="Lato" w:cs="Arial"/>
          <w:iCs/>
          <w:spacing w:val="4"/>
          <w:sz w:val="22"/>
          <w:szCs w:val="22"/>
          <w:lang w:eastAsia="en-US" w:bidi="pl-PL"/>
        </w:rPr>
        <w:br/>
      </w:r>
      <w:r w:rsidRPr="0009014A">
        <w:rPr>
          <w:rFonts w:ascii="Lato" w:eastAsiaTheme="minorHAnsi" w:hAnsi="Lato" w:cs="Arial"/>
          <w:iCs/>
          <w:spacing w:val="4"/>
          <w:sz w:val="22"/>
          <w:szCs w:val="22"/>
          <w:lang w:eastAsia="en-US" w:bidi="pl-PL"/>
        </w:rPr>
        <w:t xml:space="preserve">w wyniku realizacji inwestycji nieruchomość nie nadaje się do wykorzystania </w:t>
      </w:r>
      <w:r w:rsidRPr="0009014A">
        <w:rPr>
          <w:rFonts w:ascii="Lato" w:eastAsiaTheme="minorHAnsi" w:hAnsi="Lato" w:cs="Arial"/>
          <w:iCs/>
          <w:spacing w:val="4"/>
          <w:sz w:val="22"/>
          <w:szCs w:val="22"/>
          <w:lang w:eastAsia="en-US" w:bidi="pl-PL"/>
        </w:rPr>
        <w:br/>
        <w:t>w dotychczasowy sposób albo zgodnie z dotychczasowym przeznaczeniem, właściciel lub użytkownik wieczysty może żądać, aby Spółka Celowa nabyła od niego własność albo użytkowanie wieczyste nieruchomości. Przepis art. 48 ust. 4 ustawy CPK stosuje się odpowiednio</w:t>
      </w:r>
      <w:r w:rsidRPr="0009014A">
        <w:rPr>
          <w:rFonts w:ascii="Lato" w:hAnsi="Lato" w:cs="Arial"/>
          <w:bCs/>
          <w:iCs/>
          <w:color w:val="000000"/>
          <w:spacing w:val="4"/>
          <w:sz w:val="22"/>
          <w:szCs w:val="22"/>
          <w:lang w:bidi="pl-PL"/>
        </w:rPr>
        <w:t>.</w:t>
      </w:r>
      <w:r w:rsidRPr="0009014A">
        <w:rPr>
          <w:rFonts w:ascii="Lato" w:eastAsiaTheme="minorHAnsi" w:hAnsi="Lato" w:cs="Arial"/>
          <w:iCs/>
          <w:spacing w:val="4"/>
          <w:sz w:val="22"/>
          <w:szCs w:val="22"/>
          <w:lang w:eastAsia="en-US"/>
        </w:rPr>
        <w:t xml:space="preserve"> </w:t>
      </w:r>
      <w:r w:rsidRPr="0009014A">
        <w:rPr>
          <w:rFonts w:ascii="Lato" w:hAnsi="Lato" w:cs="Arial"/>
          <w:bCs/>
          <w:iCs/>
          <w:color w:val="000000"/>
          <w:spacing w:val="4"/>
          <w:sz w:val="22"/>
          <w:szCs w:val="22"/>
          <w:lang w:bidi="pl-PL"/>
        </w:rPr>
        <w:t xml:space="preserve">Roszczenie o wykup nieruchomości, w sytuacji uregulowanej </w:t>
      </w:r>
      <w:r w:rsidRPr="0009014A">
        <w:rPr>
          <w:rFonts w:ascii="Lato" w:hAnsi="Lato" w:cs="Arial"/>
          <w:bCs/>
          <w:iCs/>
          <w:color w:val="000000"/>
          <w:spacing w:val="4"/>
          <w:sz w:val="22"/>
          <w:szCs w:val="22"/>
          <w:lang w:bidi="pl-PL"/>
        </w:rPr>
        <w:br/>
        <w:t xml:space="preserve">ww. przepisem art. 56 ust. 2 ustawy CPK ma charakter cywilnoprawny i jest realizowane w drodze umowy, a nie w drodze decyzji administracyjnej. W sytuacji więc, gdy nie doszło do zawarcia umowy zainteresowany może wystąpić do sądu powszechnego </w:t>
      </w:r>
      <w:r w:rsidRPr="0009014A">
        <w:rPr>
          <w:rFonts w:ascii="Lato" w:hAnsi="Lato" w:cs="Arial"/>
          <w:bCs/>
          <w:iCs/>
          <w:color w:val="000000"/>
          <w:spacing w:val="4"/>
          <w:sz w:val="22"/>
          <w:szCs w:val="22"/>
          <w:lang w:bidi="pl-PL"/>
        </w:rPr>
        <w:br/>
        <w:t xml:space="preserve">z roszczeniem o wydanie wyroku zastępującego oświadczenie woli. </w:t>
      </w:r>
    </w:p>
    <w:p w14:paraId="5D49D45D" w14:textId="3F985DB2" w:rsidR="0009014A" w:rsidRPr="0009014A" w:rsidRDefault="0009014A" w:rsidP="0009014A">
      <w:pPr>
        <w:tabs>
          <w:tab w:val="left" w:pos="2977"/>
        </w:tabs>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Na uwzględnienie nie zasługują zarzuty Pani B</w:t>
      </w:r>
      <w:r w:rsidR="00C40B10">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C40B10">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Pana S</w:t>
      </w:r>
      <w:r w:rsidR="00C40B10">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B</w:t>
      </w:r>
      <w:r w:rsidR="00C40B10">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dotyczące naruszenia:</w:t>
      </w:r>
    </w:p>
    <w:p w14:paraId="7464D749" w14:textId="77777777" w:rsidR="0009014A" w:rsidRPr="0009014A" w:rsidRDefault="0009014A">
      <w:pPr>
        <w:numPr>
          <w:ilvl w:val="0"/>
          <w:numId w:val="45"/>
        </w:numPr>
        <w:tabs>
          <w:tab w:val="left" w:pos="2977"/>
        </w:tabs>
        <w:spacing w:after="12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art. 21 Konstytucji RP oraz art. 6 ust. 1 Konwencji o ochronie praw człowieka </w:t>
      </w:r>
      <w:r w:rsidRPr="0009014A">
        <w:rPr>
          <w:rFonts w:ascii="Lato" w:hAnsi="Lato" w:cs="Arial"/>
          <w:bCs/>
          <w:iCs/>
          <w:color w:val="000000"/>
          <w:spacing w:val="4"/>
          <w:sz w:val="22"/>
          <w:szCs w:val="22"/>
          <w:lang w:bidi="pl-PL"/>
        </w:rPr>
        <w:br/>
        <w:t>i podstawowych wolności sporządzonej w Rzymie dnia 4 listopada 1950 r. poprzez ich niezastosowane podczas gdy inwestycja w zakresie Centralnego Portu Komunikacyjnego prowadzi do wywłaszczenia nieruchomości prywatnych, a wydana decyzja nie zapewnia adekwatnych mechanizmów ochrony własności oraz sprawiedliwego odszkodowania,</w:t>
      </w:r>
    </w:p>
    <w:p w14:paraId="5BA4141D" w14:textId="3CBAE82B" w:rsidR="0009014A" w:rsidRPr="0009014A" w:rsidRDefault="0009014A">
      <w:pPr>
        <w:numPr>
          <w:ilvl w:val="0"/>
          <w:numId w:val="45"/>
        </w:numPr>
        <w:tabs>
          <w:tab w:val="left" w:pos="2977"/>
        </w:tabs>
        <w:spacing w:after="240" w:line="240" w:lineRule="exact"/>
        <w:ind w:left="357" w:hanging="357"/>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art. 112 i art. 124 ugn poprzez brak zbadania przez Wojewodę Mazowieckiego, czy ingerencja w cudze prawo własności nie jest nadmierna oraz czy wynika </w:t>
      </w:r>
      <w:r w:rsidR="00216712">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z racjonalnego przebiegu inwestycji.</w:t>
      </w:r>
    </w:p>
    <w:p w14:paraId="663150DB" w14:textId="77777777" w:rsidR="008E4D4E" w:rsidRDefault="0009014A" w:rsidP="0009014A">
      <w:pPr>
        <w:tabs>
          <w:tab w:val="left" w:pos="2977"/>
        </w:tabs>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W sprawach ustalenia lokalizacji inwestycji w zakresie CPK na tle konstytucyjnych praw i ochrony tych praw, do podważenia legalności decyzji o ustaleniu lokalizacji inwestycji w zakresie CPK nie wystarczy samo wskazanie faktu, że dana inwestycja ingeruje </w:t>
      </w:r>
      <w:r w:rsidRPr="0009014A">
        <w:rPr>
          <w:rFonts w:ascii="Lato" w:hAnsi="Lato" w:cs="Arial"/>
          <w:bCs/>
          <w:iCs/>
          <w:color w:val="000000"/>
          <w:spacing w:val="4"/>
          <w:sz w:val="22"/>
          <w:szCs w:val="22"/>
          <w:lang w:bidi="pl-PL"/>
        </w:rPr>
        <w:br/>
        <w:t xml:space="preserve">w prawo własności, które to prawo w ogólności może mieć postać np. słusznego interesu obywatela, ponieważ przewidziana w ustawie CPK możliwość wywłaszczenia </w:t>
      </w:r>
      <w:r w:rsidRPr="0009014A">
        <w:rPr>
          <w:rFonts w:ascii="Lato" w:hAnsi="Lato" w:cs="Arial"/>
          <w:bCs/>
          <w:iCs/>
          <w:color w:val="000000"/>
          <w:spacing w:val="4"/>
          <w:sz w:val="22"/>
          <w:szCs w:val="22"/>
          <w:lang w:bidi="pl-PL"/>
        </w:rPr>
        <w:br/>
        <w:t xml:space="preserve">i ograniczenia wpisuje się w przewidzianą w Konstytucji RP dopuszczalność ingerencji władzy publicznej w prawo własności (patrz: art. 21 ust. 2, art. 31 ust. 3 i art. 64 ust. 3 Konstytucji RP). Nie jest to nic nadzwyczajnego w demokratycznym państwie prawnym, jeżeli są ku temu spełnione wszystkie konstytucyjne przesłanki, jak ma to miejsce </w:t>
      </w:r>
      <w:r w:rsidRPr="0009014A">
        <w:rPr>
          <w:rFonts w:ascii="Lato" w:hAnsi="Lato" w:cs="Arial"/>
          <w:bCs/>
          <w:iCs/>
          <w:color w:val="000000"/>
          <w:spacing w:val="4"/>
          <w:sz w:val="22"/>
          <w:szCs w:val="22"/>
          <w:lang w:bidi="pl-PL"/>
        </w:rPr>
        <w:br/>
        <w:t xml:space="preserve">w przypadku inwestycji realizowanych na podstawie ustawy CPK. Tym samym wbrew stanowisku skarżących przysługujące im prawo własności do działki nr 106, z obrębu 0011 Maurycew, nie stanowi „prawa nieskończonego” (ius infinitum), tzn. wartości absolutnej, niepodlegającej żadnym ograniczeniom. Potwierdza to także art. 1 Protokołu nr 1 do Konwencji o ochronie praw człowieka i podstawowych wolności, sporządzony </w:t>
      </w:r>
      <w:r w:rsidRPr="0009014A">
        <w:rPr>
          <w:rFonts w:ascii="Lato" w:hAnsi="Lato" w:cs="Arial"/>
          <w:bCs/>
          <w:iCs/>
          <w:color w:val="000000"/>
          <w:spacing w:val="4"/>
          <w:sz w:val="22"/>
          <w:szCs w:val="22"/>
          <w:lang w:bidi="pl-PL"/>
        </w:rPr>
        <w:br/>
        <w:t>w Paryżu dnia 20 marca 1952 r.</w:t>
      </w:r>
      <w:r w:rsidRPr="0009014A">
        <w:t xml:space="preserve"> </w:t>
      </w:r>
      <w:r w:rsidRPr="0009014A">
        <w:rPr>
          <w:rFonts w:ascii="Lato" w:hAnsi="Lato" w:cs="Arial"/>
          <w:bCs/>
          <w:iCs/>
          <w:color w:val="000000"/>
          <w:spacing w:val="4"/>
          <w:sz w:val="22"/>
          <w:szCs w:val="22"/>
          <w:lang w:bidi="pl-PL"/>
        </w:rPr>
        <w:t xml:space="preserve">Dyspozycja tego przepisu wyraźnie bowiem wskazuje, że jeżeli wymaga tego interes publiczny, to pozbawienie własności (wynikające z ustawy i zgodne z przepisami prawa międzynarodowego), jest dopuszczalne. Strony Konwencji wyraźnie też uznały, że postanowienia Protokołu nie mogą naruszać prawa państwa do </w:t>
      </w:r>
      <w:r w:rsidRPr="0009014A">
        <w:rPr>
          <w:rFonts w:ascii="Lato" w:hAnsi="Lato" w:cs="Arial"/>
          <w:bCs/>
          <w:iCs/>
          <w:color w:val="000000"/>
          <w:spacing w:val="4"/>
          <w:sz w:val="22"/>
          <w:szCs w:val="22"/>
          <w:lang w:bidi="pl-PL"/>
        </w:rPr>
        <w:lastRenderedPageBreak/>
        <w:t xml:space="preserve">stosowania takich ustaw, jakie uzna za konieczne do uregulowania sposobu korzystania z własności zgodnie z interesem powszechnym. </w:t>
      </w:r>
    </w:p>
    <w:p w14:paraId="40A47B78" w14:textId="21EAFFD0" w:rsidR="0009014A" w:rsidRPr="0009014A" w:rsidRDefault="0009014A" w:rsidP="0009014A">
      <w:pPr>
        <w:tabs>
          <w:tab w:val="left" w:pos="2977"/>
        </w:tabs>
        <w:spacing w:after="240" w:line="240" w:lineRule="exact"/>
        <w:jc w:val="both"/>
        <w:outlineLvl w:val="0"/>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 xml:space="preserve">Tak też jest w wypadku sprawy o ustalenie lokalizacji inwestycji w zakresie CPK. Własność ww. nieruchomości została skarżącym odjęta na realizację celu publicznego – w sposób i na zasadach określonych w ustawie. Jak już to zaznaczono uprzednio, w myśl art. 3 ust. 1 ustawy CPK realizacja Inwestycji i Inwestycji Towarzyszących stanowi cel publiczny w rozumieniu przepisów ugn. Wywłaszczenie skarżących z nieruchomości nie jest arbitralnym odjęciem ich własności, lecz ma związek z koniecznością realizacji przedmiotowej inwestycji w zakresie CPK. Odebranie dotychczasowemu właścicielowi praw do przejmowanych nieruchomości, łączy się bezpośrednio z przyznaniem ekwiwalentu w postaci roszczenia o odszkodowanie, realizowanego przez organ administracji z urzędu w odrębnej decyzji. W sytuacjach kolizji interesu publicznego </w:t>
      </w:r>
      <w:r w:rsidR="008E4D4E">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i indywidualnego, pomimo że prawo własności jest chronione przez Konstytucję RP </w:t>
      </w:r>
      <w:r w:rsidR="008E4D4E">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(art. 21 ust. 1), prymat przyznany zostaje interesowi publicznemu. Natomiast powołany przez skarżących art. 6 ust. 1 Konwencji o ochronie praw człowieka i podstawowych wolności, reguluje prawo do rzetelnego procesu sądowego. Zatem przepis ten </w:t>
      </w:r>
      <w:r w:rsidR="003047D7">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w oczywisty sposób nie mógł być naruszony przez decyzję Wojewody Mazowieckiego wydaną w trybie administracyjnym, a nie sądowym. </w:t>
      </w:r>
    </w:p>
    <w:p w14:paraId="012189C2" w14:textId="77777777" w:rsidR="0009014A" w:rsidRPr="0009014A" w:rsidRDefault="0009014A" w:rsidP="0009014A">
      <w:pPr>
        <w:tabs>
          <w:tab w:val="left" w:pos="2977"/>
        </w:tabs>
        <w:spacing w:after="240" w:line="240" w:lineRule="exact"/>
        <w:jc w:val="both"/>
        <w:rPr>
          <w:rFonts w:ascii="Lato" w:hAnsi="Lato"/>
          <w:spacing w:val="4"/>
          <w:sz w:val="22"/>
          <w:szCs w:val="22"/>
        </w:rPr>
      </w:pPr>
      <w:r w:rsidRPr="0009014A">
        <w:rPr>
          <w:rFonts w:ascii="Lato" w:hAnsi="Lato" w:cs="Arial"/>
          <w:bCs/>
          <w:iCs/>
          <w:spacing w:val="4"/>
          <w:sz w:val="22"/>
          <w:szCs w:val="22"/>
          <w:lang w:bidi="pl-PL"/>
        </w:rPr>
        <w:t xml:space="preserve">Następnie wyjaśnić należy, że w sprawie nie miał zastosowania przepis art. 112 </w:t>
      </w:r>
      <w:r w:rsidRPr="0009014A">
        <w:rPr>
          <w:rFonts w:ascii="Lato" w:hAnsi="Lato" w:cs="Arial"/>
          <w:bCs/>
          <w:spacing w:val="4"/>
          <w:sz w:val="22"/>
          <w:szCs w:val="22"/>
          <w:lang w:bidi="pl-PL"/>
        </w:rPr>
        <w:t>ugn</w:t>
      </w:r>
      <w:r w:rsidRPr="0009014A">
        <w:rPr>
          <w:rFonts w:ascii="Lato" w:hAnsi="Lato" w:cs="Arial"/>
          <w:bCs/>
          <w:iCs/>
          <w:spacing w:val="4"/>
          <w:sz w:val="22"/>
          <w:szCs w:val="22"/>
          <w:lang w:bidi="pl-PL"/>
        </w:rPr>
        <w:t xml:space="preserve"> </w:t>
      </w:r>
      <w:r w:rsidRPr="0009014A">
        <w:rPr>
          <w:rFonts w:ascii="Lato" w:hAnsi="Lato" w:cs="Arial"/>
          <w:bCs/>
          <w:iCs/>
          <w:spacing w:val="4"/>
          <w:sz w:val="22"/>
          <w:szCs w:val="22"/>
          <w:lang w:bidi="pl-PL"/>
        </w:rPr>
        <w:br/>
        <w:t>z uwagi na odrębną regulację w tym zakresie zawartą w ustawie CPK</w:t>
      </w:r>
      <w:r w:rsidRPr="0009014A">
        <w:rPr>
          <w:rFonts w:ascii="Lato" w:hAnsi="Lato" w:cs="Arial"/>
          <w:bCs/>
          <w:spacing w:val="4"/>
          <w:sz w:val="22"/>
          <w:szCs w:val="22"/>
          <w:lang w:bidi="pl-PL"/>
        </w:rPr>
        <w:t>.</w:t>
      </w:r>
      <w:r w:rsidRPr="0009014A">
        <w:rPr>
          <w:rFonts w:ascii="Lato" w:hAnsi="Lato"/>
          <w:bCs/>
          <w:spacing w:val="4"/>
          <w:sz w:val="22"/>
          <w:szCs w:val="22"/>
        </w:rPr>
        <w:t xml:space="preserve"> Przepis art. 3 ust 2 tej ustawy zawiera odesłanie do ugn w sprawach nieuregulowanych w ustawie CPK. Natomiast przepisy ustawy CPK zawarte w rozdziale 3 tej ustawy pn.: „Decyzja </w:t>
      </w:r>
      <w:r w:rsidRPr="0009014A">
        <w:rPr>
          <w:rFonts w:ascii="Lato" w:hAnsi="Lato"/>
          <w:bCs/>
          <w:spacing w:val="4"/>
          <w:sz w:val="22"/>
          <w:szCs w:val="22"/>
        </w:rPr>
        <w:br/>
        <w:t xml:space="preserve">o ustaleniu lokalizacji inwestycji w zakresie CPK” i w rozdziale 4 pn.: „Nabycie praw do nieruchomości” </w:t>
      </w:r>
      <w:r w:rsidRPr="0009014A">
        <w:rPr>
          <w:rFonts w:ascii="Lato" w:hAnsi="Lato"/>
          <w:spacing w:val="4"/>
          <w:sz w:val="22"/>
          <w:szCs w:val="22"/>
        </w:rPr>
        <w:t xml:space="preserve">zawierają przepisy dotyczące nabywania nieruchomości pod lokalizację Inwestycji (zdefiniowanej w art. 2 pkt 3 ustawy CPK). Przepisy zawarte w tych rozdziałach są konsekwencją uwzględnienia wniosku o ustalenie lokalizacji inwestycji </w:t>
      </w:r>
      <w:r w:rsidRPr="0009014A">
        <w:rPr>
          <w:rFonts w:ascii="Lato" w:hAnsi="Lato"/>
          <w:spacing w:val="4"/>
          <w:sz w:val="22"/>
          <w:szCs w:val="22"/>
        </w:rPr>
        <w:br/>
        <w:t xml:space="preserve">w zakresie CPK i dotyczą m.in. podziału nieruchomości oraz wywłaszczenia nieruchomości. W myśl art. 40 ust. 2 pkt 9 ustawy CPK, decyzja o ustaleniu lokalizacji inwestycji w zakresie CPK zawiera wykaz nieruchomości lub ich części, podlegających wywłaszczeniu. W myśl art. 48 ust. 1 ustawy CPK, nieruchomości określone w decyzji </w:t>
      </w:r>
      <w:r w:rsidRPr="0009014A">
        <w:rPr>
          <w:rFonts w:ascii="Lato" w:hAnsi="Lato"/>
          <w:spacing w:val="4"/>
          <w:sz w:val="22"/>
          <w:szCs w:val="22"/>
        </w:rPr>
        <w:br/>
        <w:t xml:space="preserve">o ustaleniu lokalizacji inwestycji w zakresie CPK, zgodnie z art. 40 ust. 2 pkt 9, stają się własnością Spółki Celowej za odszkodowaniem. Przepisów art. 113 ust. 1 i 2 ugn nie stosuje się. Z kolei zgodnie z art. 50 ust. 1 ustawy CPK, przejście prawa własności </w:t>
      </w:r>
      <w:r w:rsidRPr="0009014A">
        <w:rPr>
          <w:rFonts w:ascii="Lato" w:hAnsi="Lato"/>
          <w:spacing w:val="4"/>
          <w:sz w:val="22"/>
          <w:szCs w:val="22"/>
        </w:rPr>
        <w:br/>
        <w:t>na rzecz Spółki Celowej następuje z dniem, w którym decyzja o ustaleniu lokalizacji inwestycji w zakresie CPK stała się ostateczna. Jedynie art. 52a pkt 1 i pkt 2 ustawy CPK, stanowi o tym, do zwrotu nieruchomości uznanej za zbędną na cel określony w decyzji, o której mowa w art. 48 ust. 1, stosuje się przepisy art. 136-142 ugn, z tym że zwrotu nieruchomości dokonuje się z Zasobu (zdefiniowanego w art. 2 pkt 13 ustawy CPK);</w:t>
      </w:r>
      <w:r w:rsidRPr="0009014A">
        <w:rPr>
          <w:spacing w:val="4"/>
        </w:rPr>
        <w:t xml:space="preserve"> </w:t>
      </w:r>
      <w:r w:rsidRPr="0009014A">
        <w:rPr>
          <w:rFonts w:ascii="Lato" w:hAnsi="Lato"/>
          <w:spacing w:val="4"/>
          <w:sz w:val="22"/>
          <w:szCs w:val="22"/>
        </w:rPr>
        <w:t xml:space="preserve">ilekroć jest mowa o właściwym organie albo Skarbie Państwa, należy przez to rozumieć Spółkę Celową. </w:t>
      </w:r>
    </w:p>
    <w:p w14:paraId="7EAE7ECF" w14:textId="77777777" w:rsidR="0009014A" w:rsidRPr="0009014A" w:rsidRDefault="0009014A" w:rsidP="0009014A">
      <w:pPr>
        <w:tabs>
          <w:tab w:val="left" w:pos="2977"/>
        </w:tabs>
        <w:spacing w:after="240" w:line="240" w:lineRule="exact"/>
        <w:jc w:val="both"/>
        <w:rPr>
          <w:rFonts w:ascii="Lato" w:hAnsi="Lato"/>
          <w:spacing w:val="4"/>
          <w:sz w:val="22"/>
          <w:szCs w:val="22"/>
        </w:rPr>
      </w:pPr>
      <w:r w:rsidRPr="0009014A">
        <w:rPr>
          <w:rFonts w:ascii="Lato" w:hAnsi="Lato"/>
          <w:spacing w:val="4"/>
          <w:sz w:val="22"/>
          <w:szCs w:val="22"/>
        </w:rPr>
        <w:t xml:space="preserve">Wyznaczenie nieruchomości przeznaczonych pod lokalizację inwestycji w zakresie CPK następuje zatem, zgodnie z wolą ustawodawcy, na etapie stosowania przez organ przepisów ustawy CPK. Przepisy ustawy CPK reguluje nabywanie nieruchomości pod Inwestycje, a zatem regulacja z art. 112 ugn, w tym ust. 3 tego przepisu, nie będzie miała zastosowania w sprawach dotyczących decyzji o ustaleniu lokalizacji inwestycji </w:t>
      </w:r>
      <w:r w:rsidRPr="0009014A">
        <w:rPr>
          <w:rFonts w:ascii="Lato" w:hAnsi="Lato"/>
          <w:spacing w:val="4"/>
          <w:sz w:val="22"/>
          <w:szCs w:val="22"/>
        </w:rPr>
        <w:br/>
        <w:t xml:space="preserve">w zakresie CPK. A zatem, z woli ustawodawcy sprawy dotyczące ustalenia lokalizacji inwestycji w zakresie CPK są regulowane przepisami ustawy CPK i jedynie w sytuacjach braku uregulowań w ustawie CPK stosuje się odpowiednio przepisy ugn. Organy nie są więc m.in. zobowiązane do badania, czy cel publiczny może być zrealizowany w inny sposób, jak stanowi art. 112 ust. 3 ugn. Tako samo przepisy ustawy CPK zawierają własne unormowania dotyczące ustanowienia administracyjnoprawnego ograniczenia sposobu </w:t>
      </w:r>
      <w:r w:rsidRPr="0009014A">
        <w:rPr>
          <w:rFonts w:ascii="Lato" w:hAnsi="Lato"/>
          <w:spacing w:val="4"/>
          <w:sz w:val="22"/>
          <w:szCs w:val="22"/>
        </w:rPr>
        <w:lastRenderedPageBreak/>
        <w:t>korzystania z nieruchomości w stosunku do generalnego rozwiązania dotyczącego tej kwestii zawartego w art. 124 ugn.</w:t>
      </w:r>
    </w:p>
    <w:p w14:paraId="0743D945" w14:textId="77777777" w:rsidR="0009014A" w:rsidRPr="0009014A" w:rsidRDefault="0009014A" w:rsidP="0009014A">
      <w:pPr>
        <w:tabs>
          <w:tab w:val="left" w:pos="2977"/>
        </w:tabs>
        <w:spacing w:after="240" w:line="240" w:lineRule="exact"/>
        <w:jc w:val="both"/>
        <w:rPr>
          <w:rFonts w:ascii="Lato" w:hAnsi="Lato"/>
          <w:spacing w:val="4"/>
          <w:sz w:val="22"/>
          <w:szCs w:val="22"/>
        </w:rPr>
      </w:pPr>
      <w:r w:rsidRPr="0009014A">
        <w:rPr>
          <w:rFonts w:ascii="Lato" w:hAnsi="Lato"/>
          <w:bCs/>
          <w:iCs/>
          <w:spacing w:val="4"/>
          <w:sz w:val="22"/>
          <w:szCs w:val="22"/>
          <w:lang w:bidi="pl-PL"/>
        </w:rPr>
        <w:t xml:space="preserve">W tym miejscu warto zauważyć, iż Trybunał Konstytucyjny postanowieniem z dnia </w:t>
      </w:r>
      <w:r w:rsidRPr="0009014A">
        <w:rPr>
          <w:rFonts w:ascii="Lato" w:hAnsi="Lato"/>
          <w:bCs/>
          <w:iCs/>
          <w:spacing w:val="4"/>
          <w:sz w:val="22"/>
          <w:szCs w:val="22"/>
          <w:lang w:bidi="pl-PL"/>
        </w:rPr>
        <w:br/>
        <w:t xml:space="preserve">13 stycznia 2015 r., sygn. akt SK 17/13, umorzył postępowanie ze skargi konstytucyjnej </w:t>
      </w:r>
      <w:r w:rsidRPr="0009014A">
        <w:rPr>
          <w:rFonts w:ascii="Lato" w:hAnsi="Lato"/>
          <w:bCs/>
          <w:iCs/>
          <w:spacing w:val="4"/>
          <w:sz w:val="22"/>
          <w:szCs w:val="22"/>
          <w:lang w:bidi="pl-PL"/>
        </w:rPr>
        <w:br/>
        <w:t xml:space="preserve">o zbadanie zgodności: 1) art. 1, art. 11a ust. 1, art. 11f ust. 1, art. 12 i art. 23 ustawy </w:t>
      </w:r>
      <w:r w:rsidRPr="0009014A">
        <w:rPr>
          <w:rFonts w:ascii="Lato" w:hAnsi="Lato"/>
          <w:bCs/>
          <w:iCs/>
          <w:spacing w:val="4"/>
          <w:sz w:val="22"/>
          <w:szCs w:val="22"/>
          <w:lang w:bidi="pl-PL"/>
        </w:rPr>
        <w:br/>
        <w:t xml:space="preserve">z dnia 10 kwietnia 2003 r. o szczególnych zasadach przygotowania i realizacji inwestycji w zakresie dróg publicznych (Dz.U. z 2008 r. Nr 193, poz. 1194, ze zm.) w zakresie, </w:t>
      </w:r>
      <w:r w:rsidRPr="0009014A">
        <w:rPr>
          <w:rFonts w:ascii="Lato" w:hAnsi="Lato"/>
          <w:bCs/>
          <w:iCs/>
          <w:spacing w:val="4"/>
          <w:sz w:val="22"/>
          <w:szCs w:val="22"/>
          <w:lang w:bidi="pl-PL"/>
        </w:rPr>
        <w:br/>
        <w:t xml:space="preserve">w jakim ustawodawca nie uregulował przesłanki materialnoprawnej "niezbędności danej nieruchomości na realizację inwestycji celu publicznego" dającej organom administracji publicznej instrument do kontroli wniosku inwestora inwestycji drogowej w zakresie lokalizacji przedmiotowej inwestycji, a co za tym idzie niezbędności wywłaszczenia danej nieruchomości dla realizacji celu publicznego, z art. 2, art. 20, art. 21 ust. 1 i 2, art. 31 ust. 3 oraz art. 64 ust. 1 i 3 Konstytucji RP; 2) art. 23 ustawy powołanej w punkcie </w:t>
      </w:r>
      <w:r w:rsidRPr="0009014A">
        <w:rPr>
          <w:rFonts w:ascii="Lato" w:hAnsi="Lato"/>
          <w:bCs/>
          <w:iCs/>
          <w:spacing w:val="4"/>
          <w:sz w:val="22"/>
          <w:szCs w:val="22"/>
          <w:lang w:bidi="pl-PL"/>
        </w:rPr>
        <w:br/>
        <w:t xml:space="preserve">1 w zakresie, w jakim regulacja tego przepisu oraz przyjmowana na jego gruncie interpretacja prowadzi do uznania, że w postępowaniu administracyjnym w przedmiocie wydania decyzji zezwalającej na realizację inwestycji drogowej nie stosuje się art. 112 ust. 3 ugn (przesłanki niezbędności nieruchomości dla realizacji inwestycji drogowej), </w:t>
      </w:r>
      <w:r w:rsidRPr="0009014A">
        <w:rPr>
          <w:rFonts w:ascii="Lato" w:hAnsi="Lato"/>
          <w:bCs/>
          <w:iCs/>
          <w:spacing w:val="4"/>
          <w:sz w:val="22"/>
          <w:szCs w:val="22"/>
          <w:lang w:bidi="pl-PL"/>
        </w:rPr>
        <w:br/>
        <w:t xml:space="preserve">z art. 2, art. 20, art. 21 ust. 2, art. 31 ust. 3 oraz art. 64 ust. 1 i 3 Konstytucji; 3) art. 1, art. 11a ust. 1 i art. 11f ust. 1 ustawy powołanej w punkcie 1 w zakresie, w jakim wykładnia wymienionych przepisów prowadzi do uznania, że wojewoda w postępowaniu administracyjnym, w przedmiocie wydania decyzji o zezwoleniu na realizację inwestycji drogowej, jest związany wnioskiem inwestora w ten sposób, że poza jego oceną pozostaje kwestia zasadności przyjętych rozwiązań co do lokalizacji inwestycji drogowej oraz, że analiza przebiegu inwestycji powinna być dokonywana nie w postępowaniu </w:t>
      </w:r>
      <w:r w:rsidRPr="0009014A">
        <w:rPr>
          <w:rFonts w:ascii="Lato" w:hAnsi="Lato"/>
          <w:bCs/>
          <w:iCs/>
          <w:spacing w:val="4"/>
          <w:sz w:val="22"/>
          <w:szCs w:val="22"/>
          <w:lang w:bidi="pl-PL"/>
        </w:rPr>
        <w:br/>
        <w:t xml:space="preserve">w przedmiocie wydania decyzji o zezwoleniu na realizację inwestycji drogowej, ale </w:t>
      </w:r>
      <w:r w:rsidRPr="0009014A">
        <w:rPr>
          <w:rFonts w:ascii="Lato" w:hAnsi="Lato"/>
          <w:bCs/>
          <w:iCs/>
          <w:spacing w:val="4"/>
          <w:sz w:val="22"/>
          <w:szCs w:val="22"/>
          <w:lang w:bidi="pl-PL"/>
        </w:rPr>
        <w:br/>
        <w:t>w postępowaniu w przedmiocie wydania decyzji o środowiskowych uwarunkowaniach przedsięwzięcia, z art. 2, art. 21 ust. 2, art. 31 ust. 3 oraz art. 64 ust. 1 i 3 Konstytucji RP.</w:t>
      </w:r>
    </w:p>
    <w:p w14:paraId="50F2D3B4" w14:textId="77777777"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hAnsi="Lato"/>
          <w:bCs/>
          <w:iCs/>
          <w:spacing w:val="4"/>
          <w:sz w:val="22"/>
          <w:szCs w:val="22"/>
          <w:lang w:bidi="pl-PL"/>
        </w:rPr>
        <w:t xml:space="preserve">W ocenie Trybunału: „ustawa o inwestycjach drogowych [specustawa drogowa] zawiera szereg unormowań szczególnych co do przygotowania i prowadzenia inwestycji. Trybunał podkreślił, że podstawowe normy dotyczące wywłaszczeń są nadal zawarte </w:t>
      </w:r>
      <w:r w:rsidRPr="0009014A">
        <w:rPr>
          <w:rFonts w:ascii="Lato" w:hAnsi="Lato"/>
          <w:bCs/>
          <w:iCs/>
          <w:spacing w:val="4"/>
          <w:sz w:val="22"/>
          <w:szCs w:val="22"/>
          <w:lang w:bidi="pl-PL"/>
        </w:rPr>
        <w:br/>
        <w:t xml:space="preserve">w ustawie o gospodarce [ugn]. Zasady uzyskiwania nieruchomości określone w tej ustawie dotyczą obszernego katalogu celów publicznych, których podstawowe rodzaje zostały określone w art. 6 ustawy o gospodarce. Budowa dróg publicznych wszelkich kategorii jest jednym z kilkunastu celów publicznych, do których należy także m.in. budowa linii kolejowych, lotnisk, czy zapewnienie obiektów ochrony zdrowia, przedszkoli, szkół czy domów opieki społecznej. W tym kontekście wątpliwości Trybunału nie budzi to, że ustawa o inwestycjach drogowych zawiera odrębne regulacje prawne dotyczące pozyskiwania nieruchomości na realizację jednego z uznanych celów publicznych. Aby zapewnić odpowiednie tempo realizacji inwestycji drogowych, które stanowią istotny element infrastruktury państwa, ustawodawca zdecydował się na wprowadzenie regulacji szczególnych, zawierających rozwiązania odrębne”. Trybunał Konstytucyjny podkreślił, że regulacje służące przyspieszeniu budowy dróg były już przedmiotem oceny konstytucyjności. W wyroku Trybunału z dnia 6 czerwca 2006 r. </w:t>
      </w:r>
      <w:r w:rsidRPr="0009014A">
        <w:rPr>
          <w:rFonts w:ascii="Lato" w:hAnsi="Lato"/>
          <w:bCs/>
          <w:iCs/>
          <w:spacing w:val="4"/>
          <w:sz w:val="22"/>
          <w:szCs w:val="22"/>
          <w:lang w:bidi="pl-PL"/>
        </w:rPr>
        <w:br/>
        <w:t xml:space="preserve">o sygn. </w:t>
      </w:r>
      <w:bookmarkStart w:id="13" w:name="orz.65086330"/>
      <w:r w:rsidRPr="0009014A">
        <w:rPr>
          <w:rFonts w:ascii="Lato" w:hAnsi="Lato"/>
          <w:bCs/>
          <w:iCs/>
          <w:spacing w:val="4"/>
          <w:sz w:val="22"/>
          <w:szCs w:val="22"/>
          <w:lang w:bidi="pl-PL"/>
        </w:rPr>
        <w:fldChar w:fldCharType="begin"/>
      </w:r>
      <w:r w:rsidRPr="0009014A">
        <w:rPr>
          <w:rFonts w:ascii="Lato" w:hAnsi="Lato"/>
          <w:bCs/>
          <w:iCs/>
          <w:spacing w:val="4"/>
          <w:sz w:val="22"/>
          <w:szCs w:val="22"/>
          <w:lang w:bidi="pl-PL"/>
        </w:rPr>
        <w:instrText>HYPERLINK "https://sip.legalis.pl/document-view.seam?documentId=mrswglrwguydqnrtgmya&amp;refSource=hypdec"</w:instrText>
      </w:r>
      <w:r w:rsidRPr="0009014A">
        <w:rPr>
          <w:rFonts w:ascii="Lato" w:hAnsi="Lato"/>
          <w:bCs/>
          <w:iCs/>
          <w:spacing w:val="4"/>
          <w:sz w:val="22"/>
          <w:szCs w:val="22"/>
          <w:lang w:bidi="pl-PL"/>
        </w:rPr>
      </w:r>
      <w:r w:rsidRPr="0009014A">
        <w:rPr>
          <w:rFonts w:ascii="Lato" w:hAnsi="Lato"/>
          <w:bCs/>
          <w:iCs/>
          <w:spacing w:val="4"/>
          <w:sz w:val="22"/>
          <w:szCs w:val="22"/>
          <w:lang w:bidi="pl-PL"/>
        </w:rPr>
        <w:fldChar w:fldCharType="separate"/>
      </w:r>
      <w:r w:rsidRPr="0009014A">
        <w:rPr>
          <w:rFonts w:ascii="Lato" w:hAnsi="Lato"/>
          <w:bCs/>
          <w:iCs/>
          <w:spacing w:val="4"/>
          <w:sz w:val="22"/>
          <w:szCs w:val="22"/>
          <w:lang w:bidi="pl-PL"/>
        </w:rPr>
        <w:t>K 23/05</w:t>
      </w:r>
      <w:r w:rsidRPr="0009014A">
        <w:rPr>
          <w:rFonts w:ascii="Lato" w:hAnsi="Lato"/>
          <w:bCs/>
          <w:iCs/>
          <w:spacing w:val="4"/>
          <w:sz w:val="22"/>
          <w:szCs w:val="22"/>
          <w:lang w:bidi="pl-PL"/>
        </w:rPr>
        <w:fldChar w:fldCharType="end"/>
      </w:r>
      <w:bookmarkEnd w:id="13"/>
      <w:r w:rsidRPr="0009014A">
        <w:rPr>
          <w:rFonts w:ascii="Lato" w:hAnsi="Lato"/>
          <w:bCs/>
          <w:iCs/>
          <w:spacing w:val="4"/>
          <w:sz w:val="22"/>
          <w:szCs w:val="22"/>
          <w:lang w:bidi="pl-PL"/>
        </w:rPr>
        <w:t xml:space="preserve"> (OTK ZU nr 6/A/2006, poz. 62), stwierdzono m.in.: „ze względu (…) na priorytetowy interes publiczny, jakim jest niewątpliwie poprawa infrastruktury drogowej w Polsce, i konieczność racjonalnego wykorzystania unijnych środków finansowych, możliwe są odstępstwa, a nawet wyłączenia stosowania niektórych ustaw w związku </w:t>
      </w:r>
      <w:r w:rsidRPr="0009014A">
        <w:rPr>
          <w:rFonts w:ascii="Lato" w:hAnsi="Lato"/>
          <w:bCs/>
          <w:iCs/>
          <w:spacing w:val="4"/>
          <w:sz w:val="22"/>
          <w:szCs w:val="22"/>
          <w:lang w:bidi="pl-PL"/>
        </w:rPr>
        <w:br/>
        <w:t>z realizacją inwestycji drogowych. Ustawodawca korzysta w tym zakresie z szerokiej swobody, ograniczonej jedynie zasadami konstytucyjnymi”.</w:t>
      </w:r>
    </w:p>
    <w:p w14:paraId="0EB07D9B" w14:textId="77777777" w:rsidR="0009014A" w:rsidRPr="0009014A" w:rsidRDefault="0009014A" w:rsidP="0009014A">
      <w:pPr>
        <w:spacing w:after="240" w:line="240" w:lineRule="exact"/>
        <w:jc w:val="both"/>
        <w:rPr>
          <w:rFonts w:ascii="Lato" w:hAnsi="Lato" w:cs="Arial"/>
          <w:bCs/>
          <w:iCs/>
          <w:color w:val="000000"/>
          <w:spacing w:val="4"/>
          <w:sz w:val="22"/>
          <w:szCs w:val="22"/>
          <w:lang w:bidi="pl-PL"/>
        </w:rPr>
      </w:pPr>
      <w:r w:rsidRPr="0009014A">
        <w:rPr>
          <w:rFonts w:ascii="Lato" w:hAnsi="Lato"/>
          <w:bCs/>
          <w:iCs/>
          <w:spacing w:val="4"/>
          <w:sz w:val="22"/>
          <w:szCs w:val="22"/>
          <w:lang w:bidi="pl-PL"/>
        </w:rPr>
        <w:t xml:space="preserve">Powyższe poglądy na zasadzie analogi mają również zastosowanie do decyzji o ustaleniu lokalizacji inwestycji w zakresie CPK wydawanej na podstawie ustawy CPK (tj. aktu </w:t>
      </w:r>
      <w:r w:rsidRPr="0009014A">
        <w:rPr>
          <w:rFonts w:ascii="Lato" w:hAnsi="Lato"/>
          <w:bCs/>
          <w:iCs/>
          <w:spacing w:val="4"/>
          <w:sz w:val="22"/>
          <w:szCs w:val="22"/>
          <w:lang w:bidi="pl-PL"/>
        </w:rPr>
        <w:lastRenderedPageBreak/>
        <w:t xml:space="preserve">prawnego wzorowanego na wielu rozwiązaniach przyjętych w specustawie drogowej). </w:t>
      </w:r>
      <w:r w:rsidRPr="0009014A">
        <w:rPr>
          <w:rFonts w:ascii="Lato" w:hAnsi="Lato" w:cs="Arial"/>
          <w:bCs/>
          <w:iCs/>
          <w:color w:val="000000"/>
          <w:spacing w:val="4"/>
          <w:sz w:val="22"/>
          <w:szCs w:val="22"/>
          <w:lang w:bidi="pl-PL"/>
        </w:rPr>
        <w:t xml:space="preserve">Wprowadzenie regulacji prawnej polegającej m.in. na uproszczeniu postępowania </w:t>
      </w:r>
      <w:r w:rsidRPr="0009014A">
        <w:rPr>
          <w:rFonts w:ascii="Lato" w:hAnsi="Lato" w:cs="Arial"/>
          <w:bCs/>
          <w:iCs/>
          <w:color w:val="000000"/>
          <w:spacing w:val="4"/>
          <w:sz w:val="22"/>
          <w:szCs w:val="22"/>
          <w:lang w:bidi="pl-PL"/>
        </w:rPr>
        <w:br/>
        <w:t xml:space="preserve">w sprawie nabywania nieruchomości położonych na terenach przeznaczonych na budowę inwestycji w zakresie CPK, w tym rezygnacja z indywidualnej oceny niezbędności lokalizacji Inwestycji na każdej nieruchomości, jest zamierzoną decyzją ustawodawcy wpisaną w ratio legis ustawy CPK. </w:t>
      </w:r>
    </w:p>
    <w:p w14:paraId="23CF554A" w14:textId="77777777"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eastAsiaTheme="minorHAnsi" w:hAnsi="Lato" w:cs="Calibri"/>
          <w:color w:val="000000"/>
          <w:spacing w:val="4"/>
          <w:sz w:val="22"/>
          <w:szCs w:val="22"/>
          <w:lang w:eastAsia="en-US"/>
        </w:rPr>
        <w:t xml:space="preserve">Odnosząc się do kwestii oceny, czy proponowany przez inwestora przebieg Inwestycji jest uzasadniony, usprawiedliwiony zamierzonym celem i racjonalny, a przede wszystkim czy ogranicza bądź uniemożliwia korzystanie z nieruchomości należących do osób trzecich w optymalnym, najmniej uciążliwym w realiach sprawy stopniu, należy wskazać, że zakres zajęcia terenu wskazano zgodnie z wnioskiem inwestora (Spółki Celowej) i jest on uzasadniony potrzebą realizacji Inwestycji stanowiącej cel publiczny w rozumieniu art. 3 ust. 1 ustawy CPK. Organ właściwy do wydania decyzji o ustaleniu lokalizacji inwestycji w zakresie CPK dokonuje jedynie sprawdzenia, czy wniosek inwestora spełnia ustawowe wymogi, a pozytywna ocena w tym zakresie nakłada obowiązek wydania decyzji </w:t>
      </w:r>
      <w:r w:rsidRPr="0009014A">
        <w:rPr>
          <w:rFonts w:ascii="Lato" w:eastAsiaTheme="minorHAnsi" w:hAnsi="Lato" w:cs="Calibri"/>
          <w:color w:val="000000"/>
          <w:spacing w:val="4"/>
          <w:sz w:val="22"/>
          <w:szCs w:val="22"/>
          <w:lang w:eastAsia="en-US"/>
        </w:rPr>
        <w:br/>
        <w:t xml:space="preserve">o ustaleniu lokalizacji inwestycji w zakresie CPK. Poza tym organ orzekający o ustaleniu lokalizacji inwestycji w zakresie CPK nie posiada kompetencji do oceny racjonalności, słuszności czy celowości przyjętych przez inwestora rozwiązań. Należy ponadto zwrócić uwagę na ugruntowany w orzecznictwie pogląd na temat relacji interesu prawnego jednostki i interesu publicznego, który ma także w pełni odniesienie do sytuacji powstałej na mocy decyzji wydanej na podstawie przepisów ustawy CPK: „Oceniając czy decyzja lokalizacyjna w sposób prawidłowy zapewnia poszanowanie uzasadnionych interesów osób trzecich należy zatem mieć na względzie, że inwestor realizujący inwestycję drogową działa w interesie publicznym, który ma prymat nad interesem prawnym jednostki, o ile nie narusza jej interesu prawnego w sposób niezgodny z prawem” </w:t>
      </w:r>
      <w:r w:rsidRPr="0009014A">
        <w:rPr>
          <w:rFonts w:ascii="Lato" w:eastAsiaTheme="minorHAnsi" w:hAnsi="Lato" w:cs="Calibri"/>
          <w:color w:val="000000"/>
          <w:spacing w:val="4"/>
          <w:sz w:val="22"/>
          <w:szCs w:val="22"/>
          <w:lang w:eastAsia="en-US"/>
        </w:rPr>
        <w:br/>
        <w:t xml:space="preserve">(por. np. wyrok Naczelnego Sądu Administracyjnego z dnia 26 lipca 2013 r., sygn. akt </w:t>
      </w:r>
      <w:r w:rsidRPr="0009014A">
        <w:rPr>
          <w:rFonts w:ascii="Lato" w:eastAsiaTheme="minorHAnsi" w:hAnsi="Lato" w:cs="Calibri"/>
          <w:color w:val="000000"/>
          <w:spacing w:val="4"/>
          <w:sz w:val="22"/>
          <w:szCs w:val="22"/>
          <w:lang w:eastAsia="en-US"/>
        </w:rPr>
        <w:br/>
        <w:t xml:space="preserve">II OSK 762/13, opubl. Centralna Baza Orzeczeń Sądów Administracyjnych). </w:t>
      </w:r>
    </w:p>
    <w:p w14:paraId="6407B147" w14:textId="7536B64B" w:rsidR="0009014A" w:rsidRPr="0009014A" w:rsidRDefault="0009014A" w:rsidP="0009014A">
      <w:pPr>
        <w:autoSpaceDE w:val="0"/>
        <w:autoSpaceDN w:val="0"/>
        <w:adjustRightInd w:val="0"/>
        <w:spacing w:after="120" w:line="240" w:lineRule="exact"/>
        <w:jc w:val="both"/>
        <w:rPr>
          <w:rFonts w:ascii="Lato" w:eastAsiaTheme="minorHAnsi" w:hAnsi="Lato" w:cs="Calibri"/>
          <w:iCs/>
          <w:color w:val="000000"/>
          <w:spacing w:val="4"/>
          <w:sz w:val="22"/>
          <w:szCs w:val="22"/>
          <w:lang w:eastAsia="en-US" w:bidi="pl-PL"/>
        </w:rPr>
      </w:pPr>
      <w:r w:rsidRPr="0009014A">
        <w:rPr>
          <w:rFonts w:ascii="Lato" w:eastAsiaTheme="minorHAnsi" w:hAnsi="Lato" w:cs="Calibri"/>
          <w:color w:val="000000"/>
          <w:spacing w:val="4"/>
          <w:sz w:val="22"/>
          <w:szCs w:val="22"/>
          <w:lang w:eastAsia="en-US"/>
        </w:rPr>
        <w:t xml:space="preserve">Za niezasadne należy uznać zarzuty </w:t>
      </w:r>
      <w:r w:rsidRPr="0009014A">
        <w:rPr>
          <w:rFonts w:ascii="Lato" w:eastAsiaTheme="minorHAnsi" w:hAnsi="Lato" w:cs="Calibri"/>
          <w:iCs/>
          <w:color w:val="000000"/>
          <w:spacing w:val="4"/>
          <w:sz w:val="22"/>
          <w:szCs w:val="22"/>
          <w:lang w:eastAsia="en-US" w:bidi="pl-PL"/>
        </w:rPr>
        <w:t>Pani B</w:t>
      </w:r>
      <w:r w:rsidR="00C40B10">
        <w:rPr>
          <w:rFonts w:ascii="Lato" w:eastAsiaTheme="minorHAnsi" w:hAnsi="Lato" w:cs="Calibri"/>
          <w:iCs/>
          <w:color w:val="000000"/>
          <w:spacing w:val="4"/>
          <w:sz w:val="22"/>
          <w:szCs w:val="22"/>
          <w:lang w:eastAsia="en-US" w:bidi="pl-PL"/>
        </w:rPr>
        <w:t>.</w:t>
      </w:r>
      <w:r w:rsidRPr="0009014A">
        <w:rPr>
          <w:rFonts w:ascii="Lato" w:eastAsiaTheme="minorHAnsi" w:hAnsi="Lato" w:cs="Calibri"/>
          <w:iCs/>
          <w:color w:val="000000"/>
          <w:spacing w:val="4"/>
          <w:sz w:val="22"/>
          <w:szCs w:val="22"/>
          <w:lang w:eastAsia="en-US" w:bidi="pl-PL"/>
        </w:rPr>
        <w:t xml:space="preserve"> B</w:t>
      </w:r>
      <w:r w:rsidR="00C40B10">
        <w:rPr>
          <w:rFonts w:ascii="Lato" w:eastAsiaTheme="minorHAnsi" w:hAnsi="Lato" w:cs="Calibri"/>
          <w:iCs/>
          <w:color w:val="000000"/>
          <w:spacing w:val="4"/>
          <w:sz w:val="22"/>
          <w:szCs w:val="22"/>
          <w:lang w:eastAsia="en-US" w:bidi="pl-PL"/>
        </w:rPr>
        <w:t>.</w:t>
      </w:r>
      <w:r w:rsidRPr="0009014A">
        <w:rPr>
          <w:rFonts w:ascii="Lato" w:eastAsiaTheme="minorHAnsi" w:hAnsi="Lato" w:cs="Calibri"/>
          <w:iCs/>
          <w:color w:val="000000"/>
          <w:spacing w:val="4"/>
          <w:sz w:val="22"/>
          <w:szCs w:val="22"/>
          <w:lang w:eastAsia="en-US" w:bidi="pl-PL"/>
        </w:rPr>
        <w:t xml:space="preserve"> i Pana S</w:t>
      </w:r>
      <w:r w:rsidR="00C40B10">
        <w:rPr>
          <w:rFonts w:ascii="Lato" w:eastAsiaTheme="minorHAnsi" w:hAnsi="Lato" w:cs="Calibri"/>
          <w:iCs/>
          <w:color w:val="000000"/>
          <w:spacing w:val="4"/>
          <w:sz w:val="22"/>
          <w:szCs w:val="22"/>
          <w:lang w:eastAsia="en-US" w:bidi="pl-PL"/>
        </w:rPr>
        <w:t>.</w:t>
      </w:r>
      <w:r w:rsidRPr="0009014A">
        <w:rPr>
          <w:rFonts w:ascii="Lato" w:eastAsiaTheme="minorHAnsi" w:hAnsi="Lato" w:cs="Calibri"/>
          <w:iCs/>
          <w:color w:val="000000"/>
          <w:spacing w:val="4"/>
          <w:sz w:val="22"/>
          <w:szCs w:val="22"/>
          <w:lang w:eastAsia="en-US" w:bidi="pl-PL"/>
        </w:rPr>
        <w:t xml:space="preserve"> B</w:t>
      </w:r>
      <w:r w:rsidR="00C40B10">
        <w:rPr>
          <w:rFonts w:ascii="Lato" w:eastAsiaTheme="minorHAnsi" w:hAnsi="Lato" w:cs="Calibri"/>
          <w:iCs/>
          <w:color w:val="000000"/>
          <w:spacing w:val="4"/>
          <w:sz w:val="22"/>
          <w:szCs w:val="22"/>
          <w:lang w:eastAsia="en-US" w:bidi="pl-PL"/>
        </w:rPr>
        <w:t>.</w:t>
      </w:r>
      <w:r w:rsidRPr="0009014A">
        <w:rPr>
          <w:rFonts w:ascii="Lato" w:eastAsiaTheme="minorHAnsi" w:hAnsi="Lato" w:cs="Calibri"/>
          <w:iCs/>
          <w:color w:val="000000"/>
          <w:spacing w:val="4"/>
          <w:sz w:val="22"/>
          <w:szCs w:val="22"/>
          <w:lang w:eastAsia="en-US" w:bidi="pl-PL"/>
        </w:rPr>
        <w:t xml:space="preserve"> dotyczące naruszenia:</w:t>
      </w:r>
    </w:p>
    <w:p w14:paraId="1628CFE1" w14:textId="77777777" w:rsidR="0009014A" w:rsidRPr="0009014A" w:rsidRDefault="0009014A">
      <w:pPr>
        <w:numPr>
          <w:ilvl w:val="0"/>
          <w:numId w:val="46"/>
        </w:numPr>
        <w:autoSpaceDE w:val="0"/>
        <w:autoSpaceDN w:val="0"/>
        <w:adjustRightInd w:val="0"/>
        <w:spacing w:after="120" w:line="240" w:lineRule="exact"/>
        <w:jc w:val="both"/>
        <w:rPr>
          <w:rFonts w:ascii="Lato" w:eastAsiaTheme="minorHAnsi" w:hAnsi="Lato" w:cs="Calibri"/>
          <w:iCs/>
          <w:color w:val="000000"/>
          <w:spacing w:val="4"/>
          <w:sz w:val="22"/>
          <w:szCs w:val="22"/>
          <w:lang w:eastAsia="en-US" w:bidi="pl-PL"/>
        </w:rPr>
      </w:pPr>
      <w:r w:rsidRPr="0009014A">
        <w:rPr>
          <w:rFonts w:ascii="Lato" w:hAnsi="Lato"/>
          <w:color w:val="000000"/>
          <w:spacing w:val="4"/>
          <w:sz w:val="22"/>
          <w:szCs w:val="22"/>
        </w:rPr>
        <w:t xml:space="preserve">art. 53 ust. 3 pkt 1 ustawy o planowaniu i zagospodarowaniu przestrzennym poprzez niedokonanie analizy warunków i zasad zagospodarowania terenu oraz jego zabudowy, wynikających z przepisów odrębnych, a także stanu faktycznego </w:t>
      </w:r>
      <w:r w:rsidRPr="0009014A">
        <w:rPr>
          <w:rFonts w:ascii="Lato" w:hAnsi="Lato"/>
          <w:color w:val="000000"/>
          <w:spacing w:val="4"/>
          <w:sz w:val="22"/>
          <w:szCs w:val="22"/>
        </w:rPr>
        <w:br/>
        <w:t>i prawnego terenu, na którym przewiduje się realizację inwestycji,</w:t>
      </w:r>
    </w:p>
    <w:p w14:paraId="36BBB179" w14:textId="77777777" w:rsidR="0009014A" w:rsidRPr="0009014A" w:rsidRDefault="0009014A">
      <w:pPr>
        <w:numPr>
          <w:ilvl w:val="0"/>
          <w:numId w:val="46"/>
        </w:numPr>
        <w:autoSpaceDE w:val="0"/>
        <w:autoSpaceDN w:val="0"/>
        <w:adjustRightInd w:val="0"/>
        <w:spacing w:after="240" w:line="240" w:lineRule="exact"/>
        <w:ind w:left="357" w:hanging="357"/>
        <w:jc w:val="both"/>
        <w:rPr>
          <w:rFonts w:ascii="Lato" w:eastAsiaTheme="minorHAnsi" w:hAnsi="Lato" w:cs="Calibri"/>
          <w:iCs/>
          <w:color w:val="000000"/>
          <w:spacing w:val="4"/>
          <w:sz w:val="22"/>
          <w:szCs w:val="22"/>
          <w:lang w:eastAsia="en-US" w:bidi="pl-PL"/>
        </w:rPr>
      </w:pPr>
      <w:r w:rsidRPr="0009014A">
        <w:rPr>
          <w:rFonts w:ascii="Lato" w:hAnsi="Lato"/>
          <w:color w:val="000000"/>
          <w:spacing w:val="4"/>
          <w:sz w:val="22"/>
          <w:szCs w:val="22"/>
        </w:rPr>
        <w:t xml:space="preserve">art. 52 ust. 2 pkt 1 ustawy o planowaniu i zagospodarowaniu przestrzennym poprzez brak określenia planowanego sposobu zagospodarowania terenu oraz charakterystyki zabudowy i zagospodarowania terenu, w tym przeznaczenia </w:t>
      </w:r>
      <w:r w:rsidRPr="0009014A">
        <w:rPr>
          <w:rFonts w:ascii="Lato" w:hAnsi="Lato"/>
          <w:color w:val="000000"/>
          <w:spacing w:val="4"/>
          <w:sz w:val="22"/>
          <w:szCs w:val="22"/>
        </w:rPr>
        <w:br/>
        <w:t>i gabarytów projektowanych obiektów budowlanych oraz powierzchni terenu podlegającej przekształceniu, przedstawionych w formie opisowej i graficznej, a także określenia charakterystycznych parametrów technicznych inwestycji oraz danych charakteryzujących jej wpływ na środowisko.</w:t>
      </w:r>
    </w:p>
    <w:p w14:paraId="5994346A" w14:textId="77777777" w:rsidR="0009014A" w:rsidRPr="0009014A" w:rsidRDefault="0009014A" w:rsidP="0009014A">
      <w:pPr>
        <w:spacing w:after="240" w:line="240" w:lineRule="exact"/>
        <w:jc w:val="both"/>
        <w:rPr>
          <w:rFonts w:ascii="Lato" w:eastAsia="Calibri" w:hAnsi="Lato" w:cs="Arial"/>
          <w:bCs/>
          <w:iCs/>
          <w:spacing w:val="4"/>
          <w:sz w:val="22"/>
          <w:szCs w:val="22"/>
          <w:lang w:bidi="pl-PL"/>
        </w:rPr>
      </w:pPr>
      <w:r w:rsidRPr="0009014A">
        <w:rPr>
          <w:rFonts w:ascii="Lato" w:eastAsia="Calibri" w:hAnsi="Lato" w:cs="Arial"/>
          <w:bCs/>
          <w:iCs/>
          <w:spacing w:val="4"/>
          <w:sz w:val="22"/>
          <w:szCs w:val="22"/>
          <w:lang w:bidi="pl-PL"/>
        </w:rPr>
        <w:t xml:space="preserve">Zauważyć należy, iż wskazane przez skarżących przepisy dotyczą decyzji o ustaleniu lokalizacji inwestycji celu publicznego wydawanej na podstawie przepisów ogólnych ustawy o planowaniu i zagospodarowaniu przestrzennym. Natomiast przedmiotem kontroli w niniejszej sprawie jest decyzja wydana na podstawie przepisów zawartych ustawie CPK, która to ustawa - jak już to zresztą obszernie wyjaśniono w niniejszej decyzji - należy do grupy szczególnych regulacji prawnych. Tryb i zasady wydawania decyzji o ustaleniu lokalizacji inwestycji w zakresie CPK zostały kompleksowo uregulowane na gruncie ustawy CPK. Ani rozdział 3 pn.: „Decyzja o ustaleniu lokalizacji inwestycji w zakresie CPK”, ani dział I pn.: „Przepisy ogólne” ustawy CPK nie zawierają odesłania do stosowania przepisów ustawy o planowaniu i zagospodarowaniu przestrzennym przy wydawaniu decyzji o ustaleniu lokalizacji inwestycji w zakresie CPK. </w:t>
      </w:r>
      <w:r w:rsidRPr="0009014A">
        <w:rPr>
          <w:rFonts w:ascii="Lato" w:eastAsia="Calibri" w:hAnsi="Lato" w:cs="Arial"/>
          <w:bCs/>
          <w:iCs/>
          <w:spacing w:val="4"/>
          <w:sz w:val="22"/>
          <w:szCs w:val="22"/>
          <w:lang w:bidi="pl-PL"/>
        </w:rPr>
        <w:lastRenderedPageBreak/>
        <w:t>Zgodnie z art. 3 pkt 2 ustawy CPK, w sprawach nieuregulowanych tą ustawą, stosuje się odpowiednio przepisy ustawy Prawo budowlane, ugn oraz kpa. Przepis ten nie wymienia ustawy o planowaniu i zagospodarowaniu przestrzennym.</w:t>
      </w:r>
      <w:r w:rsidRPr="0009014A">
        <w:rPr>
          <w:rFonts w:ascii="Lato" w:eastAsia="Calibri" w:hAnsi="Lato" w:cs="Arial"/>
          <w:bCs/>
          <w:iCs/>
          <w:spacing w:val="4"/>
          <w:sz w:val="22"/>
          <w:szCs w:val="22"/>
          <w:lang w:eastAsia="en-US" w:bidi="pl-PL"/>
        </w:rPr>
        <w:t xml:space="preserve"> </w:t>
      </w:r>
      <w:r w:rsidRPr="0009014A">
        <w:rPr>
          <w:rFonts w:ascii="Lato" w:eastAsia="Calibri" w:hAnsi="Lato" w:cs="Arial"/>
          <w:bCs/>
          <w:iCs/>
          <w:spacing w:val="4"/>
          <w:sz w:val="22"/>
          <w:szCs w:val="22"/>
          <w:lang w:bidi="pl-PL"/>
        </w:rPr>
        <w:t xml:space="preserve">Jeżeli zatem inwestor występuje z wnioskiem o wydanie decyzji o ustaleniu lokalizacji inwestycji w zakresie CPK, to organy właściwe w sprawie wydawania tego rodzaju decyzji nie dokonują oceny zamierzenia inwestycyjnego przez pryzmat przepisów ustawy o planowaniu </w:t>
      </w:r>
      <w:r w:rsidRPr="0009014A">
        <w:rPr>
          <w:rFonts w:ascii="Lato" w:eastAsia="Calibri" w:hAnsi="Lato" w:cs="Arial"/>
          <w:bCs/>
          <w:iCs/>
          <w:spacing w:val="4"/>
          <w:sz w:val="22"/>
          <w:szCs w:val="22"/>
          <w:lang w:bidi="pl-PL"/>
        </w:rPr>
        <w:br/>
        <w:t>i zagospodarowaniu przestrzennym.</w:t>
      </w:r>
      <w:r w:rsidRPr="0009014A">
        <w:rPr>
          <w:rFonts w:ascii="Calibri" w:eastAsiaTheme="minorHAnsi" w:hAnsi="Calibri" w:cs="Calibri"/>
          <w:color w:val="000000"/>
          <w:sz w:val="22"/>
          <w:szCs w:val="22"/>
          <w:lang w:eastAsia="en-US"/>
        </w:rPr>
        <w:t xml:space="preserve"> </w:t>
      </w:r>
      <w:r w:rsidRPr="0009014A">
        <w:rPr>
          <w:rFonts w:ascii="Lato" w:eastAsia="Calibri" w:hAnsi="Lato" w:cs="Arial"/>
          <w:bCs/>
          <w:iCs/>
          <w:spacing w:val="4"/>
          <w:sz w:val="22"/>
          <w:szCs w:val="22"/>
          <w:lang w:bidi="pl-PL"/>
        </w:rPr>
        <w:t xml:space="preserve">Lokalizacja Inwestycji na nieruchomości skarżących została ustalona zgodnie z przepisami ustawy CPK. Działka skarżących została wywłaszczona w decyzji Wojewody Mazowieckiego na potrzeby lokalizacji Inwestycji zdefiniowanej w art. 2 pkt 3 ustawy CPK. </w:t>
      </w:r>
    </w:p>
    <w:p w14:paraId="25ABAEF6" w14:textId="16C25B57" w:rsidR="0009014A" w:rsidRPr="0009014A" w:rsidRDefault="0009014A" w:rsidP="0009014A">
      <w:pPr>
        <w:spacing w:after="120" w:line="240" w:lineRule="exact"/>
        <w:jc w:val="both"/>
        <w:rPr>
          <w:rFonts w:ascii="Lato" w:eastAsia="Calibri" w:hAnsi="Lato" w:cs="Arial"/>
          <w:bCs/>
          <w:iCs/>
          <w:spacing w:val="4"/>
          <w:sz w:val="22"/>
          <w:szCs w:val="22"/>
          <w:lang w:bidi="pl-PL"/>
        </w:rPr>
      </w:pPr>
      <w:r w:rsidRPr="0009014A">
        <w:rPr>
          <w:rFonts w:ascii="Lato" w:eastAsia="Calibri" w:hAnsi="Lato" w:cs="Arial"/>
          <w:bCs/>
          <w:iCs/>
          <w:spacing w:val="4"/>
          <w:sz w:val="22"/>
          <w:szCs w:val="22"/>
          <w:lang w:bidi="pl-PL"/>
        </w:rPr>
        <w:t>Za niezasadne należy uznać zarzuty Pani B</w:t>
      </w:r>
      <w:r w:rsidR="001E01C3">
        <w:rPr>
          <w:rFonts w:ascii="Lato" w:eastAsia="Calibri" w:hAnsi="Lato" w:cs="Arial"/>
          <w:bCs/>
          <w:iCs/>
          <w:spacing w:val="4"/>
          <w:sz w:val="22"/>
          <w:szCs w:val="22"/>
          <w:lang w:bidi="pl-PL"/>
        </w:rPr>
        <w:t>.</w:t>
      </w:r>
      <w:r w:rsidRPr="0009014A">
        <w:rPr>
          <w:rFonts w:ascii="Lato" w:eastAsia="Calibri" w:hAnsi="Lato" w:cs="Arial"/>
          <w:bCs/>
          <w:iCs/>
          <w:spacing w:val="4"/>
          <w:sz w:val="22"/>
          <w:szCs w:val="22"/>
          <w:lang w:bidi="pl-PL"/>
        </w:rPr>
        <w:t xml:space="preserve"> B</w:t>
      </w:r>
      <w:r w:rsidR="001E01C3">
        <w:rPr>
          <w:rFonts w:ascii="Lato" w:eastAsia="Calibri" w:hAnsi="Lato" w:cs="Arial"/>
          <w:bCs/>
          <w:iCs/>
          <w:spacing w:val="4"/>
          <w:sz w:val="22"/>
          <w:szCs w:val="22"/>
          <w:lang w:bidi="pl-PL"/>
        </w:rPr>
        <w:t>.</w:t>
      </w:r>
      <w:r w:rsidRPr="0009014A">
        <w:rPr>
          <w:rFonts w:ascii="Lato" w:eastAsia="Calibri" w:hAnsi="Lato" w:cs="Arial"/>
          <w:bCs/>
          <w:iCs/>
          <w:spacing w:val="4"/>
          <w:sz w:val="22"/>
          <w:szCs w:val="22"/>
          <w:lang w:bidi="pl-PL"/>
        </w:rPr>
        <w:t xml:space="preserve"> i Pana S</w:t>
      </w:r>
      <w:r w:rsidR="001E01C3">
        <w:rPr>
          <w:rFonts w:ascii="Lato" w:eastAsia="Calibri" w:hAnsi="Lato" w:cs="Arial"/>
          <w:bCs/>
          <w:iCs/>
          <w:spacing w:val="4"/>
          <w:sz w:val="22"/>
          <w:szCs w:val="22"/>
          <w:lang w:bidi="pl-PL"/>
        </w:rPr>
        <w:t>.</w:t>
      </w:r>
      <w:r w:rsidRPr="0009014A">
        <w:rPr>
          <w:rFonts w:ascii="Lato" w:eastAsia="Calibri" w:hAnsi="Lato" w:cs="Arial"/>
          <w:bCs/>
          <w:iCs/>
          <w:spacing w:val="4"/>
          <w:sz w:val="22"/>
          <w:szCs w:val="22"/>
          <w:lang w:bidi="pl-PL"/>
        </w:rPr>
        <w:t xml:space="preserve"> B</w:t>
      </w:r>
      <w:r w:rsidR="001E01C3">
        <w:rPr>
          <w:rFonts w:ascii="Lato" w:eastAsia="Calibri" w:hAnsi="Lato" w:cs="Arial"/>
          <w:bCs/>
          <w:iCs/>
          <w:spacing w:val="4"/>
          <w:sz w:val="22"/>
          <w:szCs w:val="22"/>
          <w:lang w:bidi="pl-PL"/>
        </w:rPr>
        <w:t>.</w:t>
      </w:r>
      <w:r w:rsidRPr="0009014A">
        <w:rPr>
          <w:rFonts w:ascii="Lato" w:eastAsia="Calibri" w:hAnsi="Lato" w:cs="Arial"/>
          <w:bCs/>
          <w:iCs/>
          <w:spacing w:val="4"/>
          <w:sz w:val="22"/>
          <w:szCs w:val="22"/>
          <w:lang w:bidi="pl-PL"/>
        </w:rPr>
        <w:t xml:space="preserve"> dotyczące naruszenia:</w:t>
      </w:r>
    </w:p>
    <w:p w14:paraId="4663CEC9" w14:textId="77777777" w:rsidR="0009014A" w:rsidRPr="0009014A" w:rsidRDefault="0009014A">
      <w:pPr>
        <w:numPr>
          <w:ilvl w:val="0"/>
          <w:numId w:val="47"/>
        </w:numPr>
        <w:spacing w:after="120" w:line="240" w:lineRule="exact"/>
        <w:jc w:val="both"/>
        <w:rPr>
          <w:rFonts w:ascii="Lato" w:eastAsia="Calibri" w:hAnsi="Lato" w:cs="Arial"/>
          <w:bCs/>
          <w:iCs/>
          <w:spacing w:val="4"/>
          <w:sz w:val="22"/>
          <w:szCs w:val="22"/>
          <w:lang w:bidi="pl-PL"/>
        </w:rPr>
      </w:pPr>
      <w:r w:rsidRPr="0009014A">
        <w:rPr>
          <w:rFonts w:ascii="Lato" w:eastAsia="Calibri" w:hAnsi="Lato" w:cs="Arial"/>
          <w:bCs/>
          <w:iCs/>
          <w:spacing w:val="4"/>
          <w:sz w:val="22"/>
          <w:szCs w:val="22"/>
          <w:lang w:bidi="pl-PL"/>
        </w:rPr>
        <w:t>art. 7 kpa i art. 77 § 1 kpa poprzez brak wyczerpującego rozpatrzenia materiału dowodowego zebranego w sprawie, nie uwzględnienie wszystkich faktów i nie przypisanie im odpowiedniego znaczenia; nie ustalenie, czy dla realizacji przedmiotowej inwestycji niezbędna jest jej lokalizacja na terenie nieruchomości skarżących,</w:t>
      </w:r>
    </w:p>
    <w:p w14:paraId="7E00D06E" w14:textId="77777777" w:rsidR="0009014A" w:rsidRPr="0009014A" w:rsidRDefault="0009014A">
      <w:pPr>
        <w:numPr>
          <w:ilvl w:val="0"/>
          <w:numId w:val="47"/>
        </w:numPr>
        <w:spacing w:after="120" w:line="240" w:lineRule="exact"/>
        <w:jc w:val="both"/>
        <w:rPr>
          <w:rFonts w:ascii="Lato" w:eastAsia="Calibri" w:hAnsi="Lato" w:cs="Arial"/>
          <w:bCs/>
          <w:iCs/>
          <w:spacing w:val="4"/>
          <w:sz w:val="22"/>
          <w:szCs w:val="22"/>
          <w:lang w:bidi="pl-PL"/>
        </w:rPr>
      </w:pPr>
      <w:r w:rsidRPr="0009014A">
        <w:rPr>
          <w:rFonts w:ascii="Lato" w:eastAsia="Calibri" w:hAnsi="Lato" w:cs="Arial"/>
          <w:bCs/>
          <w:iCs/>
          <w:spacing w:val="4"/>
          <w:sz w:val="22"/>
          <w:szCs w:val="22"/>
          <w:lang w:bidi="pl-PL"/>
        </w:rPr>
        <w:t>art. 8 kpa poprzez prowadzenie sprawy w sposób niebudzący zaufania uczestników postępowania do władzy publicznej w związku z brakiem wyjaśnień oraz wskazania stronom obowiązujących przepisów oraz brak ustosunkowania się do zgłoszonych twierdzeń i wniosków stron, a także nieuwzględnienie i nieustosunkowanie się do ich interesów,</w:t>
      </w:r>
    </w:p>
    <w:p w14:paraId="0048FCE2" w14:textId="7BDDE334" w:rsidR="0009014A" w:rsidRPr="0009014A" w:rsidRDefault="0009014A">
      <w:pPr>
        <w:numPr>
          <w:ilvl w:val="0"/>
          <w:numId w:val="47"/>
        </w:numPr>
        <w:spacing w:after="120" w:line="240" w:lineRule="exact"/>
        <w:jc w:val="both"/>
        <w:rPr>
          <w:rFonts w:ascii="Lato" w:eastAsia="Calibri" w:hAnsi="Lato" w:cs="Arial"/>
          <w:bCs/>
          <w:iCs/>
          <w:spacing w:val="4"/>
          <w:sz w:val="22"/>
          <w:szCs w:val="22"/>
          <w:lang w:bidi="pl-PL"/>
        </w:rPr>
      </w:pPr>
      <w:r w:rsidRPr="0009014A">
        <w:rPr>
          <w:rFonts w:ascii="Lato" w:eastAsia="Calibri" w:hAnsi="Lato" w:cs="Arial"/>
          <w:bCs/>
          <w:iCs/>
          <w:spacing w:val="4"/>
          <w:sz w:val="22"/>
          <w:szCs w:val="22"/>
          <w:lang w:bidi="pl-PL"/>
        </w:rPr>
        <w:t xml:space="preserve">art. 9 kpa poprzez brak poinformowania stron o okolicznościach faktycznych </w:t>
      </w:r>
      <w:r w:rsidR="007253C7">
        <w:rPr>
          <w:rFonts w:ascii="Lato" w:eastAsia="Calibri" w:hAnsi="Lato" w:cs="Arial"/>
          <w:bCs/>
          <w:iCs/>
          <w:spacing w:val="4"/>
          <w:sz w:val="22"/>
          <w:szCs w:val="22"/>
          <w:lang w:bidi="pl-PL"/>
        </w:rPr>
        <w:br/>
      </w:r>
      <w:r w:rsidRPr="0009014A">
        <w:rPr>
          <w:rFonts w:ascii="Lato" w:eastAsia="Calibri" w:hAnsi="Lato" w:cs="Arial"/>
          <w:bCs/>
          <w:iCs/>
          <w:spacing w:val="4"/>
          <w:sz w:val="22"/>
          <w:szCs w:val="22"/>
          <w:lang w:bidi="pl-PL"/>
        </w:rPr>
        <w:t>i prawnych mogących mieć znaczenie w postępowaniu,</w:t>
      </w:r>
    </w:p>
    <w:p w14:paraId="0B1A1364" w14:textId="1476A6CF" w:rsidR="0009014A" w:rsidRPr="0009014A" w:rsidRDefault="0009014A">
      <w:pPr>
        <w:numPr>
          <w:ilvl w:val="0"/>
          <w:numId w:val="47"/>
        </w:numPr>
        <w:spacing w:after="120" w:line="240" w:lineRule="exact"/>
        <w:jc w:val="both"/>
        <w:rPr>
          <w:rFonts w:ascii="Lato" w:eastAsia="Calibri" w:hAnsi="Lato" w:cs="Arial"/>
          <w:bCs/>
          <w:iCs/>
          <w:spacing w:val="4"/>
          <w:sz w:val="22"/>
          <w:szCs w:val="22"/>
          <w:lang w:bidi="pl-PL"/>
        </w:rPr>
      </w:pPr>
      <w:r w:rsidRPr="0009014A">
        <w:rPr>
          <w:rFonts w:ascii="Lato" w:eastAsia="Calibri" w:hAnsi="Lato" w:cs="Arial"/>
          <w:bCs/>
          <w:iCs/>
          <w:spacing w:val="4"/>
          <w:sz w:val="22"/>
          <w:szCs w:val="22"/>
          <w:lang w:bidi="pl-PL"/>
        </w:rPr>
        <w:t xml:space="preserve">art. 10 kpa i art. 81 kpa poprzez niezapewnienie stronom czynnego udziału </w:t>
      </w:r>
      <w:r w:rsidR="007253C7">
        <w:rPr>
          <w:rFonts w:ascii="Lato" w:eastAsia="Calibri" w:hAnsi="Lato" w:cs="Arial"/>
          <w:bCs/>
          <w:iCs/>
          <w:spacing w:val="4"/>
          <w:sz w:val="22"/>
          <w:szCs w:val="22"/>
          <w:lang w:bidi="pl-PL"/>
        </w:rPr>
        <w:br/>
      </w:r>
      <w:r w:rsidRPr="0009014A">
        <w:rPr>
          <w:rFonts w:ascii="Lato" w:eastAsia="Calibri" w:hAnsi="Lato" w:cs="Arial"/>
          <w:bCs/>
          <w:iCs/>
          <w:spacing w:val="4"/>
          <w:sz w:val="22"/>
          <w:szCs w:val="22"/>
          <w:lang w:bidi="pl-PL"/>
        </w:rPr>
        <w:t>w postępowaniu, w tym uniemożliwienie stronom wypowiedzenia się co do materiałów, na których oparto rozstrzygnięcie,</w:t>
      </w:r>
    </w:p>
    <w:p w14:paraId="02669A08" w14:textId="780413A6" w:rsidR="0009014A" w:rsidRPr="0009014A" w:rsidRDefault="0009014A">
      <w:pPr>
        <w:numPr>
          <w:ilvl w:val="0"/>
          <w:numId w:val="47"/>
        </w:numPr>
        <w:spacing w:after="120" w:line="240" w:lineRule="exact"/>
        <w:jc w:val="both"/>
        <w:rPr>
          <w:rFonts w:ascii="Lato" w:eastAsia="Calibri" w:hAnsi="Lato" w:cs="Arial"/>
          <w:bCs/>
          <w:iCs/>
          <w:spacing w:val="4"/>
          <w:sz w:val="22"/>
          <w:szCs w:val="22"/>
          <w:lang w:bidi="pl-PL"/>
        </w:rPr>
      </w:pPr>
      <w:r w:rsidRPr="0009014A">
        <w:rPr>
          <w:rFonts w:ascii="Lato" w:eastAsia="Calibri" w:hAnsi="Lato" w:cs="Arial"/>
          <w:bCs/>
          <w:iCs/>
          <w:spacing w:val="4"/>
          <w:sz w:val="22"/>
          <w:szCs w:val="22"/>
          <w:lang w:bidi="pl-PL"/>
        </w:rPr>
        <w:t>art. 11 kpa i „art. 18 E.K.D.A.” poprzez brak wyjaśnienia i uargumentowania zasadności przesłanek, którymi organ kierował się przy postępowaniu, niewyjaśnienie przesłanek uznania za niezbędne usytuowania przedmiotowej inwestycji na należącej do skarżących nieruchomości</w:t>
      </w:r>
      <w:r w:rsidR="007253C7">
        <w:rPr>
          <w:rFonts w:ascii="Lato" w:eastAsia="Calibri" w:hAnsi="Lato" w:cs="Arial"/>
          <w:bCs/>
          <w:iCs/>
          <w:spacing w:val="4"/>
          <w:sz w:val="22"/>
          <w:szCs w:val="22"/>
          <w:lang w:bidi="pl-PL"/>
        </w:rPr>
        <w:t>,</w:t>
      </w:r>
    </w:p>
    <w:p w14:paraId="352FD753" w14:textId="77777777" w:rsidR="0009014A" w:rsidRPr="0009014A" w:rsidRDefault="0009014A">
      <w:pPr>
        <w:numPr>
          <w:ilvl w:val="0"/>
          <w:numId w:val="47"/>
        </w:numPr>
        <w:spacing w:after="120" w:line="240" w:lineRule="exact"/>
        <w:jc w:val="both"/>
        <w:rPr>
          <w:rFonts w:ascii="Lato" w:eastAsia="Calibri" w:hAnsi="Lato" w:cs="Arial"/>
          <w:bCs/>
          <w:iCs/>
          <w:spacing w:val="4"/>
          <w:sz w:val="22"/>
          <w:szCs w:val="22"/>
          <w:lang w:bidi="pl-PL"/>
        </w:rPr>
      </w:pPr>
      <w:r w:rsidRPr="0009014A">
        <w:rPr>
          <w:rFonts w:ascii="Lato" w:eastAsia="Calibri" w:hAnsi="Lato" w:cs="Arial"/>
          <w:bCs/>
          <w:iCs/>
          <w:spacing w:val="4"/>
          <w:sz w:val="22"/>
          <w:szCs w:val="22"/>
          <w:lang w:bidi="pl-PL"/>
        </w:rPr>
        <w:t>art. 80 kpa poprzez uznanie, że zebrane dowody w sprawie pozwalają na przyjęcie, że zachodzą okoliczności uzasadniające wydanie decyzji ustalającej lokalizację inwestycji w zakresie CPK,</w:t>
      </w:r>
    </w:p>
    <w:p w14:paraId="07645F1B" w14:textId="77777777" w:rsidR="0009014A" w:rsidRPr="0009014A" w:rsidRDefault="0009014A">
      <w:pPr>
        <w:numPr>
          <w:ilvl w:val="0"/>
          <w:numId w:val="47"/>
        </w:numPr>
        <w:spacing w:after="240" w:line="240" w:lineRule="exact"/>
        <w:ind w:left="357" w:hanging="357"/>
        <w:jc w:val="both"/>
        <w:rPr>
          <w:rFonts w:ascii="Lato" w:eastAsia="Calibri" w:hAnsi="Lato" w:cs="Arial"/>
          <w:bCs/>
          <w:iCs/>
          <w:spacing w:val="4"/>
          <w:sz w:val="22"/>
          <w:szCs w:val="22"/>
          <w:lang w:bidi="pl-PL"/>
        </w:rPr>
      </w:pPr>
      <w:r w:rsidRPr="0009014A">
        <w:rPr>
          <w:rFonts w:ascii="Lato" w:eastAsia="Calibri" w:hAnsi="Lato" w:cs="Arial"/>
          <w:bCs/>
          <w:iCs/>
          <w:spacing w:val="4"/>
          <w:sz w:val="22"/>
          <w:szCs w:val="22"/>
          <w:lang w:bidi="pl-PL"/>
        </w:rPr>
        <w:t xml:space="preserve">art. 107 § 3 kpa poprzez lakoniczne i niezrozumiałe uzasadnienie decyzji, </w:t>
      </w:r>
      <w:r w:rsidRPr="0009014A">
        <w:rPr>
          <w:rFonts w:ascii="Lato" w:eastAsia="Calibri" w:hAnsi="Lato" w:cs="Arial"/>
          <w:bCs/>
          <w:iCs/>
          <w:spacing w:val="4"/>
          <w:sz w:val="22"/>
          <w:szCs w:val="22"/>
          <w:lang w:bidi="pl-PL"/>
        </w:rPr>
        <w:br/>
        <w:t xml:space="preserve">w szczególności niewskazanie faktów, które organ uznał za udowodnione i dowodów, na których się oparł, a także brak w uzasadnieniu skarżonej decyzji wyjaśnienia przyczyn, dla których organ administracji uznał za niezbędne usytuowanie przedmiotowego zamierzenia inwestycyjnego na nieruchomości skarżących. </w:t>
      </w:r>
    </w:p>
    <w:p w14:paraId="30A14B21" w14:textId="77777777" w:rsidR="0009014A" w:rsidRPr="0009014A" w:rsidRDefault="0009014A" w:rsidP="0009014A">
      <w:pPr>
        <w:spacing w:after="240" w:line="240" w:lineRule="exact"/>
        <w:ind w:left="-142"/>
        <w:jc w:val="both"/>
        <w:rPr>
          <w:rFonts w:ascii="Lato" w:eastAsiaTheme="minorHAnsi" w:hAnsi="Lato" w:cs="Arial"/>
          <w:bCs/>
          <w:iCs/>
          <w:spacing w:val="4"/>
          <w:sz w:val="22"/>
          <w:szCs w:val="22"/>
          <w:lang w:eastAsia="en-US" w:bidi="pl-PL"/>
        </w:rPr>
      </w:pPr>
      <w:r w:rsidRPr="0009014A">
        <w:rPr>
          <w:rFonts w:ascii="Lato" w:hAnsi="Lato" w:cs="Arial"/>
          <w:bCs/>
          <w:iCs/>
          <w:spacing w:val="4"/>
          <w:sz w:val="22"/>
          <w:szCs w:val="22"/>
          <w:lang w:bidi="pl-PL"/>
        </w:rPr>
        <w:t xml:space="preserve">Organ I instancji przeprowadził postępowanie w sprawie wydania decyzji Wojewody Mazowieckiego – w zakresie interesu prawnego skarżących – w sposób zgodny z art. 7 kpa, art. 8 kpa, art. 9 kpa, art. 11 kpa, art. 77 kpa, art. 80 kpa oraz art. 107 § 3 kpa, prawidłowo ustalając lokalizację Inwestycji na ich nieruchomości. Materiał dowodowy zgromadzony w sprawie był wystarczający do wydania rozstrzygnięcia odnośnie ustalenia lokalizacji przedmiotowej Inwestycji na nieruchomości skarżących i dokonując jego oceny Wojewoda Mazowiecki nie naruszył zasady swobodnej oceny dowodów. W toku postępowania przed organem I instancji do czasu wydania decyzji Wojewody Mazowieckiego skarżący (pomimo, iż zostali prawidłowo zawiadomieni przez organ </w:t>
      </w:r>
      <w:r w:rsidRPr="0009014A">
        <w:rPr>
          <w:rFonts w:ascii="Lato" w:hAnsi="Lato" w:cs="Arial"/>
          <w:bCs/>
          <w:iCs/>
          <w:spacing w:val="4"/>
          <w:sz w:val="22"/>
          <w:szCs w:val="22"/>
          <w:lang w:bidi="pl-PL"/>
        </w:rPr>
        <w:br/>
        <w:t>I instancji o wszczęciu postępowania) nie wnosili zastrzeżeń względem Inwestycji, co do których Wojewoda Mazowiecki musiałby się odnieść w uzasadnieniu decyzji.</w:t>
      </w:r>
      <w:r w:rsidRPr="0009014A">
        <w:rPr>
          <w:rFonts w:ascii="Lato" w:eastAsiaTheme="minorHAnsi" w:hAnsi="Lato" w:cs="Arial"/>
          <w:bCs/>
          <w:iCs/>
          <w:spacing w:val="4"/>
          <w:sz w:val="22"/>
          <w:szCs w:val="22"/>
          <w:lang w:eastAsia="en-US" w:bidi="pl-PL"/>
        </w:rPr>
        <w:t xml:space="preserve"> Zatem – </w:t>
      </w:r>
      <w:r w:rsidRPr="0009014A">
        <w:rPr>
          <w:rFonts w:ascii="Lato" w:eastAsiaTheme="minorHAnsi" w:hAnsi="Lato" w:cs="Arial"/>
          <w:bCs/>
          <w:iCs/>
          <w:spacing w:val="4"/>
          <w:sz w:val="22"/>
          <w:szCs w:val="22"/>
          <w:lang w:eastAsia="en-US" w:bidi="pl-PL"/>
        </w:rPr>
        <w:lastRenderedPageBreak/>
        <w:t xml:space="preserve">wbrew błędnemu stanowisku skarżących – organ I instancji zapewnił im czynny udziału </w:t>
      </w:r>
      <w:r w:rsidRPr="0009014A">
        <w:rPr>
          <w:rFonts w:ascii="Lato" w:eastAsiaTheme="minorHAnsi" w:hAnsi="Lato" w:cs="Arial"/>
          <w:bCs/>
          <w:iCs/>
          <w:spacing w:val="4"/>
          <w:sz w:val="22"/>
          <w:szCs w:val="22"/>
          <w:lang w:eastAsia="en-US" w:bidi="pl-PL"/>
        </w:rPr>
        <w:br/>
        <w:t xml:space="preserve">w postępowaniu. Uzyskanie przez stronę informacji o wszczęciu postępowania administracyjnego w określonej sprawie umożliwia stronie podjęcie stosownych działań </w:t>
      </w:r>
      <w:r w:rsidRPr="0009014A">
        <w:rPr>
          <w:rFonts w:ascii="Lato" w:eastAsiaTheme="minorHAnsi" w:hAnsi="Lato" w:cs="Arial"/>
          <w:bCs/>
          <w:iCs/>
          <w:spacing w:val="4"/>
          <w:sz w:val="22"/>
          <w:szCs w:val="22"/>
          <w:lang w:eastAsia="en-US" w:bidi="pl-PL"/>
        </w:rPr>
        <w:br/>
        <w:t>w danej sprawie i pozwala na zadbanie o należytą ochronę własnych interesów prawnych.</w:t>
      </w:r>
    </w:p>
    <w:p w14:paraId="36CBECEF" w14:textId="3A52D84B" w:rsidR="0009014A" w:rsidRPr="0009014A" w:rsidRDefault="0009014A" w:rsidP="0009014A">
      <w:pPr>
        <w:spacing w:after="240" w:line="240" w:lineRule="exact"/>
        <w:ind w:left="-142"/>
        <w:jc w:val="both"/>
        <w:rPr>
          <w:rFonts w:ascii="Lato" w:hAnsi="Lato" w:cs="Arial"/>
          <w:bCs/>
          <w:iCs/>
          <w:spacing w:val="4"/>
          <w:sz w:val="22"/>
          <w:szCs w:val="22"/>
          <w:lang w:bidi="pl-PL"/>
        </w:rPr>
      </w:pPr>
      <w:r w:rsidRPr="0009014A">
        <w:rPr>
          <w:rFonts w:ascii="Lato" w:eastAsiaTheme="minorHAnsi" w:hAnsi="Lato" w:cs="Arial"/>
          <w:bCs/>
          <w:iCs/>
          <w:spacing w:val="4"/>
          <w:sz w:val="22"/>
          <w:szCs w:val="22"/>
          <w:lang w:eastAsia="en-US" w:bidi="pl-PL"/>
        </w:rPr>
        <w:t xml:space="preserve">W ocenie Ministra, </w:t>
      </w:r>
      <w:r w:rsidRPr="0009014A">
        <w:rPr>
          <w:rFonts w:ascii="Lato" w:hAnsi="Lato" w:cs="Arial"/>
          <w:bCs/>
          <w:iCs/>
          <w:spacing w:val="4"/>
          <w:sz w:val="22"/>
          <w:szCs w:val="22"/>
          <w:lang w:bidi="pl-PL"/>
        </w:rPr>
        <w:t xml:space="preserve">uzasadnienie zaskarżonej decyzji w wystarczający sposób wskazuje </w:t>
      </w:r>
      <w:r w:rsidRPr="0009014A">
        <w:rPr>
          <w:rFonts w:ascii="Lato" w:hAnsi="Lato" w:cs="Arial"/>
          <w:bCs/>
          <w:iCs/>
          <w:spacing w:val="4"/>
          <w:sz w:val="22"/>
          <w:szCs w:val="22"/>
          <w:lang w:bidi="pl-PL"/>
        </w:rPr>
        <w:br/>
        <w:t xml:space="preserve">na tok rozumowania organu I instancji przyjęty przy rozpoznawaniu sprawy i pozwala na poznanie argumentów, którymi organ I instancji kierował się wydając zaskarżoną decyzję. Uzasadnienie zaskarżonej decyzji, w ocenie Ministra, zostało zatem skonstruowane </w:t>
      </w:r>
      <w:r w:rsidRPr="0009014A">
        <w:rPr>
          <w:rFonts w:ascii="Lato" w:hAnsi="Lato" w:cs="Arial"/>
          <w:bCs/>
          <w:iCs/>
          <w:spacing w:val="4"/>
          <w:sz w:val="22"/>
          <w:szCs w:val="22"/>
          <w:lang w:bidi="pl-PL"/>
        </w:rPr>
        <w:br/>
        <w:t xml:space="preserve">w sposób umożliwiający realizację zasady przekonywania, o której mowa w art. 11 kpa. Zaznaczyć trzeba, iż zasada przekonywania sprowadza się do wyjaśnienia stronie, </w:t>
      </w:r>
      <w:r w:rsidRPr="0009014A">
        <w:rPr>
          <w:rFonts w:ascii="Lato" w:hAnsi="Lato" w:cs="Arial"/>
          <w:bCs/>
          <w:iCs/>
          <w:spacing w:val="4"/>
          <w:sz w:val="22"/>
          <w:szCs w:val="22"/>
          <w:lang w:bidi="pl-PL"/>
        </w:rPr>
        <w:br/>
        <w:t xml:space="preserve">że adresowana do niej decyzja wynika z racjonalnych przesłanek i jest oparta o przepisy obowiązującego prawa, to znaczy, że w istniejącym stanie prawnym i faktycznym wydanie innej decyzji było niemożliwe. Zasada ta nie wymaga od organu osiągnięcia rezultatu, </w:t>
      </w:r>
      <w:r w:rsidR="002637F0">
        <w:rPr>
          <w:rFonts w:ascii="Lato" w:hAnsi="Lato" w:cs="Arial"/>
          <w:bCs/>
          <w:iCs/>
          <w:spacing w:val="4"/>
          <w:sz w:val="22"/>
          <w:szCs w:val="22"/>
          <w:lang w:bidi="pl-PL"/>
        </w:rPr>
        <w:br/>
      </w:r>
      <w:r w:rsidRPr="0009014A">
        <w:rPr>
          <w:rFonts w:ascii="Lato" w:hAnsi="Lato" w:cs="Arial"/>
          <w:bCs/>
          <w:iCs/>
          <w:spacing w:val="4"/>
          <w:sz w:val="22"/>
          <w:szCs w:val="22"/>
          <w:lang w:bidi="pl-PL"/>
        </w:rPr>
        <w:t xml:space="preserve">to znaczy faktycznego przekonania strony do prawidłowości podjętej decyzji (vide: wyrok Wojewódzkiego Sądu Administracyjnego w Łodzi z dnia 2 października 2013 r., sygn. akt II SA/Łd 631/13). Okoliczność, że skarżący nie zostali przekonani co do przyjętego </w:t>
      </w:r>
      <w:r w:rsidRPr="0009014A">
        <w:rPr>
          <w:rFonts w:ascii="Lato" w:hAnsi="Lato" w:cs="Arial"/>
          <w:bCs/>
          <w:iCs/>
          <w:spacing w:val="4"/>
          <w:sz w:val="22"/>
          <w:szCs w:val="22"/>
          <w:lang w:bidi="pl-PL"/>
        </w:rPr>
        <w:br/>
        <w:t>w sprawie rozstrzygnięcia, nie oznacza naruszenia przepisów prawa. Państwo B</w:t>
      </w:r>
      <w:r w:rsidR="00FF4DA6">
        <w:rPr>
          <w:rFonts w:ascii="Lato" w:hAnsi="Lato" w:cs="Arial"/>
          <w:bCs/>
          <w:iCs/>
          <w:spacing w:val="4"/>
          <w:sz w:val="22"/>
          <w:szCs w:val="22"/>
          <w:lang w:bidi="pl-PL"/>
        </w:rPr>
        <w:t>.</w:t>
      </w:r>
      <w:r w:rsidRPr="0009014A">
        <w:rPr>
          <w:rFonts w:ascii="Lato" w:hAnsi="Lato" w:cs="Arial"/>
          <w:bCs/>
          <w:iCs/>
          <w:spacing w:val="4"/>
          <w:sz w:val="22"/>
          <w:szCs w:val="22"/>
          <w:lang w:bidi="pl-PL"/>
        </w:rPr>
        <w:t xml:space="preserve"> (podobnie jak i inni skarżący) mają bowiem prawo do własnego subiektywnego przekonania </w:t>
      </w:r>
      <w:r w:rsidR="00FF4DA6">
        <w:rPr>
          <w:rFonts w:ascii="Lato" w:hAnsi="Lato" w:cs="Arial"/>
          <w:bCs/>
          <w:iCs/>
          <w:spacing w:val="4"/>
          <w:sz w:val="22"/>
          <w:szCs w:val="22"/>
          <w:lang w:bidi="pl-PL"/>
        </w:rPr>
        <w:br/>
      </w:r>
      <w:r w:rsidRPr="0009014A">
        <w:rPr>
          <w:rFonts w:ascii="Lato" w:hAnsi="Lato" w:cs="Arial"/>
          <w:bCs/>
          <w:iCs/>
          <w:spacing w:val="4"/>
          <w:sz w:val="22"/>
          <w:szCs w:val="22"/>
          <w:lang w:bidi="pl-PL"/>
        </w:rPr>
        <w:t xml:space="preserve">o zasadności ich zarzutów, zaś przekonanie to nie musi mieć odzwierciedlenia </w:t>
      </w:r>
      <w:r w:rsidRPr="0009014A">
        <w:rPr>
          <w:rFonts w:ascii="Lato" w:hAnsi="Lato" w:cs="Arial"/>
          <w:bCs/>
          <w:iCs/>
          <w:spacing w:val="4"/>
          <w:sz w:val="22"/>
          <w:szCs w:val="22"/>
          <w:lang w:bidi="pl-PL"/>
        </w:rPr>
        <w:br/>
        <w:t>w obowiązujących przepisach prawnych. Niezadowolenie skarżących z wydanego przez organ administracji rozstrzygnięcia nie może być utożsamiane z naruszeniem wynikającego z art. 8 kpa obowiązku prowadzenia postępowania w sposób budzący zaufanie jego uczestników do władzy publicznej. Zasada zaufania nie oznacza, że organ administracji ma wydawać rozstrzygnięcia oczekiwane przez stronę i tylko wówczas wymóg ten będzie zachowany, gdy organy administracji będą wydawać rozstrzygnięcia, których oczekuje strona postępowania.</w:t>
      </w:r>
    </w:p>
    <w:p w14:paraId="484D4C4A" w14:textId="09BA94B9" w:rsidR="0009014A" w:rsidRPr="0009014A" w:rsidRDefault="0009014A" w:rsidP="0009014A">
      <w:pPr>
        <w:spacing w:after="240" w:line="240" w:lineRule="exact"/>
        <w:ind w:left="-142"/>
        <w:jc w:val="both"/>
        <w:rPr>
          <w:rFonts w:ascii="Lato" w:hAnsi="Lato" w:cs="Arial"/>
          <w:bCs/>
          <w:iCs/>
          <w:spacing w:val="4"/>
          <w:sz w:val="22"/>
          <w:szCs w:val="22"/>
          <w:lang w:bidi="pl-PL"/>
        </w:rPr>
      </w:pPr>
      <w:r w:rsidRPr="0009014A">
        <w:rPr>
          <w:rFonts w:ascii="Lato" w:eastAsiaTheme="minorHAnsi" w:hAnsi="Lato" w:cs="Arial"/>
          <w:bCs/>
          <w:iCs/>
          <w:spacing w:val="4"/>
          <w:sz w:val="22"/>
          <w:szCs w:val="22"/>
          <w:lang w:eastAsia="en-US" w:bidi="pl-PL"/>
        </w:rPr>
        <w:t xml:space="preserve">Odnośnie zarzutu naruszenia </w:t>
      </w:r>
      <w:r w:rsidRPr="0009014A">
        <w:rPr>
          <w:rFonts w:ascii="Lato" w:eastAsia="Calibri" w:hAnsi="Lato" w:cs="Arial"/>
          <w:bCs/>
          <w:iCs/>
          <w:spacing w:val="4"/>
          <w:sz w:val="22"/>
          <w:szCs w:val="22"/>
          <w:lang w:bidi="pl-PL"/>
        </w:rPr>
        <w:t xml:space="preserve">art. 10 kpa i art. 81 kpa, </w:t>
      </w:r>
      <w:r w:rsidRPr="0009014A">
        <w:rPr>
          <w:rFonts w:ascii="Lato" w:hAnsi="Lato" w:cs="Arial"/>
          <w:bCs/>
          <w:iCs/>
          <w:spacing w:val="4"/>
          <w:sz w:val="22"/>
          <w:szCs w:val="22"/>
          <w:lang w:bidi="pl-PL"/>
        </w:rPr>
        <w:t>Minister podtrzymuje w tym zakresie argumentację powołaną już w niniejszej decyzji odnośnie tożsamego w swej istocie zarzutu Państwa K</w:t>
      </w:r>
      <w:r w:rsidR="001E01C3">
        <w:rPr>
          <w:rFonts w:ascii="Lato" w:hAnsi="Lato" w:cs="Arial"/>
          <w:bCs/>
          <w:iCs/>
          <w:spacing w:val="4"/>
          <w:sz w:val="22"/>
          <w:szCs w:val="22"/>
          <w:lang w:bidi="pl-PL"/>
        </w:rPr>
        <w:t>.</w:t>
      </w:r>
      <w:r w:rsidRPr="0009014A">
        <w:rPr>
          <w:rFonts w:ascii="Lato" w:hAnsi="Lato" w:cs="Arial"/>
          <w:bCs/>
          <w:iCs/>
          <w:spacing w:val="4"/>
          <w:sz w:val="22"/>
          <w:szCs w:val="22"/>
          <w:lang w:bidi="pl-PL"/>
        </w:rPr>
        <w:t xml:space="preserve"> i spółki </w:t>
      </w:r>
      <w:r w:rsidR="001E01C3">
        <w:rPr>
          <w:rFonts w:ascii="Lato" w:hAnsi="Lato" w:cs="Arial"/>
          <w:bCs/>
          <w:iCs/>
          <w:spacing w:val="4"/>
          <w:sz w:val="22"/>
          <w:szCs w:val="22"/>
          <w:lang w:bidi="pl-PL"/>
        </w:rPr>
        <w:t>(…)</w:t>
      </w:r>
      <w:r w:rsidRPr="0009014A">
        <w:rPr>
          <w:rFonts w:ascii="Lato" w:hAnsi="Lato" w:cs="Arial"/>
          <w:bCs/>
          <w:iCs/>
          <w:spacing w:val="4"/>
          <w:sz w:val="22"/>
          <w:szCs w:val="22"/>
          <w:lang w:bidi="pl-PL"/>
        </w:rPr>
        <w:t>. Państwo B</w:t>
      </w:r>
      <w:r w:rsidR="001E01C3">
        <w:rPr>
          <w:rFonts w:ascii="Lato" w:hAnsi="Lato" w:cs="Arial"/>
          <w:bCs/>
          <w:iCs/>
          <w:spacing w:val="4"/>
          <w:sz w:val="22"/>
          <w:szCs w:val="22"/>
          <w:lang w:bidi="pl-PL"/>
        </w:rPr>
        <w:t>.</w:t>
      </w:r>
      <w:r w:rsidRPr="0009014A">
        <w:rPr>
          <w:rFonts w:ascii="Lato" w:hAnsi="Lato" w:cs="Arial"/>
          <w:bCs/>
          <w:iCs/>
          <w:spacing w:val="4"/>
          <w:sz w:val="22"/>
          <w:szCs w:val="22"/>
          <w:lang w:bidi="pl-PL"/>
        </w:rPr>
        <w:t xml:space="preserve"> poza ogólnym stwierdzeniem „uniemożliwienia stronom wypowiedzenia się co do materiałów, na których oparto rozstrzygnięcie”, nie wskazali, jakich konkretnych czynności procesowych nie mogli dokonać, które mogłyby doprowadzić do odmiennego rozstrzygnięcia sprawy dotyczącej ustalenia lokalizacji przedmiotowej Inwestycji na ich nieruchomości. Takich wniosków dowodowych skarżący nie wnieśli również na etapie postępowania odwoławczego. Natomiast to do strony stawiającej tego rodzaju zarzut należy wykazanie istnienia związku przyczynowego między naruszeniem przepisów postępowania, a wynikiem sprawy. Strona powinna wykazać, że niezawiadomienie jej przed wydaniem decyzji o zebraniu materiału dowodowego </w:t>
      </w:r>
      <w:r w:rsidR="001E01C3">
        <w:rPr>
          <w:rFonts w:ascii="Lato" w:hAnsi="Lato" w:cs="Arial"/>
          <w:bCs/>
          <w:iCs/>
          <w:spacing w:val="4"/>
          <w:sz w:val="22"/>
          <w:szCs w:val="22"/>
          <w:lang w:bidi="pl-PL"/>
        </w:rPr>
        <w:br/>
      </w:r>
      <w:r w:rsidRPr="0009014A">
        <w:rPr>
          <w:rFonts w:ascii="Lato" w:hAnsi="Lato" w:cs="Arial"/>
          <w:bCs/>
          <w:iCs/>
          <w:spacing w:val="4"/>
          <w:sz w:val="22"/>
          <w:szCs w:val="22"/>
          <w:lang w:bidi="pl-PL"/>
        </w:rPr>
        <w:t>i możliwości składania wniosków dowodowych uniemożliwiło jej dokonanie w danym postępowaniu konkretnej</w:t>
      </w:r>
      <w:r w:rsidR="007253C7">
        <w:rPr>
          <w:rFonts w:ascii="Lato" w:hAnsi="Lato" w:cs="Arial"/>
          <w:bCs/>
          <w:iCs/>
          <w:spacing w:val="4"/>
          <w:sz w:val="22"/>
          <w:szCs w:val="22"/>
          <w:lang w:bidi="pl-PL"/>
        </w:rPr>
        <w:t xml:space="preserve"> i ważkiej</w:t>
      </w:r>
      <w:r w:rsidRPr="0009014A">
        <w:rPr>
          <w:rFonts w:ascii="Lato" w:hAnsi="Lato" w:cs="Arial"/>
          <w:bCs/>
          <w:iCs/>
          <w:spacing w:val="4"/>
          <w:sz w:val="22"/>
          <w:szCs w:val="22"/>
          <w:lang w:bidi="pl-PL"/>
        </w:rPr>
        <w:t xml:space="preserve"> </w:t>
      </w:r>
      <w:r w:rsidR="007253C7">
        <w:rPr>
          <w:rFonts w:ascii="Lato" w:hAnsi="Lato" w:cs="Arial"/>
          <w:bCs/>
          <w:iCs/>
          <w:spacing w:val="4"/>
          <w:sz w:val="22"/>
          <w:szCs w:val="22"/>
          <w:lang w:bidi="pl-PL"/>
        </w:rPr>
        <w:t xml:space="preserve">dla sprawy </w:t>
      </w:r>
      <w:r w:rsidRPr="0009014A">
        <w:rPr>
          <w:rFonts w:ascii="Lato" w:hAnsi="Lato" w:cs="Arial"/>
          <w:bCs/>
          <w:iCs/>
          <w:spacing w:val="4"/>
          <w:sz w:val="22"/>
          <w:szCs w:val="22"/>
          <w:lang w:bidi="pl-PL"/>
        </w:rPr>
        <w:t xml:space="preserve">czynności procesowej. Tego skarżący </w:t>
      </w:r>
      <w:r w:rsidR="001E01C3">
        <w:rPr>
          <w:rFonts w:ascii="Lato" w:hAnsi="Lato" w:cs="Arial"/>
          <w:bCs/>
          <w:iCs/>
          <w:spacing w:val="4"/>
          <w:sz w:val="22"/>
          <w:szCs w:val="22"/>
          <w:lang w:bidi="pl-PL"/>
        </w:rPr>
        <w:br/>
      </w:r>
      <w:r w:rsidRPr="0009014A">
        <w:rPr>
          <w:rFonts w:ascii="Lato" w:hAnsi="Lato" w:cs="Arial"/>
          <w:bCs/>
          <w:iCs/>
          <w:spacing w:val="4"/>
          <w:sz w:val="22"/>
          <w:szCs w:val="22"/>
          <w:lang w:bidi="pl-PL"/>
        </w:rPr>
        <w:t xml:space="preserve">w niniejszej sprawie nie uczynili. </w:t>
      </w:r>
    </w:p>
    <w:p w14:paraId="096A10D7" w14:textId="75051EE7" w:rsidR="0009014A" w:rsidRPr="0009014A" w:rsidRDefault="0009014A" w:rsidP="002637F0">
      <w:pPr>
        <w:spacing w:after="240" w:line="240" w:lineRule="exact"/>
        <w:ind w:left="-142"/>
        <w:jc w:val="both"/>
        <w:rPr>
          <w:rFonts w:ascii="Lato" w:eastAsia="Calibri" w:hAnsi="Lato" w:cs="Arial"/>
          <w:bCs/>
          <w:iCs/>
          <w:spacing w:val="4"/>
          <w:sz w:val="22"/>
          <w:szCs w:val="22"/>
          <w:lang w:bidi="pl-PL"/>
        </w:rPr>
      </w:pPr>
      <w:r w:rsidRPr="0009014A">
        <w:rPr>
          <w:rFonts w:ascii="Lato" w:hAnsi="Lato" w:cs="Arial"/>
          <w:bCs/>
          <w:iCs/>
          <w:spacing w:val="4"/>
          <w:sz w:val="22"/>
          <w:szCs w:val="22"/>
          <w:lang w:bidi="pl-PL"/>
        </w:rPr>
        <w:t xml:space="preserve">Za niezasadny należy uznać zarzut </w:t>
      </w:r>
      <w:r w:rsidRPr="0009014A">
        <w:rPr>
          <w:rFonts w:ascii="Lato" w:eastAsia="Calibri" w:hAnsi="Lato" w:cs="Arial"/>
          <w:spacing w:val="4"/>
          <w:sz w:val="22"/>
          <w:szCs w:val="22"/>
        </w:rPr>
        <w:t>Pana S</w:t>
      </w:r>
      <w:r w:rsidR="00161AD2">
        <w:rPr>
          <w:rFonts w:ascii="Lato" w:eastAsia="Calibri" w:hAnsi="Lato" w:cs="Arial"/>
          <w:spacing w:val="4"/>
          <w:sz w:val="22"/>
          <w:szCs w:val="22"/>
        </w:rPr>
        <w:t>.</w:t>
      </w:r>
      <w:r w:rsidRPr="0009014A">
        <w:rPr>
          <w:rFonts w:ascii="Lato" w:eastAsia="Calibri" w:hAnsi="Lato" w:cs="Arial"/>
          <w:spacing w:val="4"/>
          <w:sz w:val="22"/>
          <w:szCs w:val="22"/>
        </w:rPr>
        <w:t xml:space="preserve"> J</w:t>
      </w:r>
      <w:r w:rsidR="00161AD2">
        <w:rPr>
          <w:rFonts w:ascii="Lato" w:eastAsia="Calibri" w:hAnsi="Lato" w:cs="Arial"/>
          <w:spacing w:val="4"/>
          <w:sz w:val="22"/>
          <w:szCs w:val="22"/>
        </w:rPr>
        <w:t>.</w:t>
      </w:r>
      <w:r w:rsidRPr="0009014A">
        <w:rPr>
          <w:rFonts w:ascii="Lato" w:eastAsia="Calibri" w:hAnsi="Lato" w:cs="Arial"/>
          <w:spacing w:val="4"/>
          <w:sz w:val="22"/>
          <w:szCs w:val="22"/>
        </w:rPr>
        <w:t xml:space="preserve"> i Pani B</w:t>
      </w:r>
      <w:r w:rsidR="00161AD2">
        <w:rPr>
          <w:rFonts w:ascii="Lato" w:eastAsia="Calibri" w:hAnsi="Lato" w:cs="Arial"/>
          <w:spacing w:val="4"/>
          <w:sz w:val="22"/>
          <w:szCs w:val="22"/>
        </w:rPr>
        <w:t>.</w:t>
      </w:r>
      <w:r w:rsidRPr="0009014A">
        <w:rPr>
          <w:rFonts w:ascii="Lato" w:eastAsia="Calibri" w:hAnsi="Lato" w:cs="Arial"/>
          <w:spacing w:val="4"/>
          <w:sz w:val="22"/>
          <w:szCs w:val="22"/>
        </w:rPr>
        <w:t xml:space="preserve"> J</w:t>
      </w:r>
      <w:r w:rsidR="00161AD2">
        <w:rPr>
          <w:rFonts w:ascii="Lato" w:eastAsia="Calibri" w:hAnsi="Lato" w:cs="Arial"/>
          <w:spacing w:val="4"/>
          <w:sz w:val="22"/>
          <w:szCs w:val="22"/>
        </w:rPr>
        <w:t>.</w:t>
      </w:r>
      <w:r w:rsidRPr="0009014A">
        <w:rPr>
          <w:rFonts w:ascii="Lato" w:eastAsia="Calibri" w:hAnsi="Lato" w:cs="Arial"/>
          <w:spacing w:val="4"/>
          <w:sz w:val="22"/>
          <w:szCs w:val="22"/>
        </w:rPr>
        <w:t xml:space="preserve"> dotyczący naruszenia </w:t>
      </w:r>
      <w:r w:rsidRPr="0009014A">
        <w:rPr>
          <w:rFonts w:ascii="Lato" w:eastAsia="Calibri" w:hAnsi="Lato" w:cs="Arial"/>
          <w:bCs/>
          <w:iCs/>
          <w:spacing w:val="4"/>
          <w:sz w:val="22"/>
          <w:szCs w:val="22"/>
          <w:lang w:bidi="pl-PL"/>
        </w:rPr>
        <w:t>art. 107 § 1 pkt 7 kpa w zw. z art. 9 kpa zw. z art. 3 ust. 2 ustawy CPK poprzez sporządzenie pouczenia w sposób wadliwy, tj. bez wskazania organu II stopnia</w:t>
      </w:r>
      <w:r w:rsidR="002637F0">
        <w:rPr>
          <w:rFonts w:ascii="Lato" w:eastAsia="Calibri" w:hAnsi="Lato" w:cs="Arial"/>
          <w:bCs/>
          <w:iCs/>
          <w:spacing w:val="4"/>
          <w:sz w:val="22"/>
          <w:szCs w:val="22"/>
          <w:lang w:bidi="pl-PL"/>
        </w:rPr>
        <w:t xml:space="preserve"> </w:t>
      </w:r>
      <w:r w:rsidRPr="0009014A">
        <w:rPr>
          <w:rFonts w:ascii="Lato" w:eastAsia="Calibri" w:hAnsi="Lato" w:cs="Arial"/>
          <w:bCs/>
          <w:iCs/>
          <w:spacing w:val="4"/>
          <w:sz w:val="22"/>
          <w:szCs w:val="22"/>
          <w:lang w:bidi="pl-PL"/>
        </w:rPr>
        <w:t xml:space="preserve">do którego należy wnieść odwołanie i sposobu wnoszenia tego odwołania. </w:t>
      </w:r>
      <w:r w:rsidR="002637F0">
        <w:rPr>
          <w:rFonts w:ascii="Lato" w:eastAsia="Calibri" w:hAnsi="Lato" w:cs="Arial"/>
          <w:bCs/>
          <w:iCs/>
          <w:spacing w:val="4"/>
          <w:sz w:val="22"/>
          <w:szCs w:val="22"/>
          <w:lang w:bidi="pl-PL"/>
        </w:rPr>
        <w:t xml:space="preserve"> </w:t>
      </w:r>
      <w:r w:rsidRPr="0009014A">
        <w:rPr>
          <w:rFonts w:ascii="Lato" w:eastAsia="Calibri" w:hAnsi="Lato" w:cs="Arial"/>
          <w:bCs/>
          <w:iCs/>
          <w:spacing w:val="4"/>
          <w:sz w:val="22"/>
          <w:szCs w:val="22"/>
          <w:lang w:bidi="pl-PL"/>
        </w:rPr>
        <w:t xml:space="preserve">Wyjaśnić należy, że na str. 202 decyzji Wojewody Mazowieckiego </w:t>
      </w:r>
      <w:r w:rsidRPr="0009014A">
        <w:rPr>
          <w:rFonts w:ascii="Lato" w:eastAsiaTheme="minorHAnsi" w:hAnsi="Lato" w:cs="Calibri"/>
          <w:color w:val="000000"/>
          <w:spacing w:val="4"/>
          <w:sz w:val="22"/>
          <w:szCs w:val="22"/>
          <w:lang w:eastAsia="en-US"/>
        </w:rPr>
        <w:t xml:space="preserve">znajduje się pouczenie o treści: „Od niniejszej decyzji przysługuje stronom prawo wniesienia odwołania do Ministra Rozwoju i Technologii, za pośrednictwem Wojewody Mazowieckiego (…)”. Jak wynika z treści odwołania, skarżący odwołanie skierowali do Ministra Rozwoju i Technologii za pośrednictwem Wojewody Mazowieckiego, a w więc zgodnie z pouczeniem zawartym w zaskarżonej decyzji. </w:t>
      </w:r>
    </w:p>
    <w:p w14:paraId="48EB639A" w14:textId="00CB45D2" w:rsidR="0009014A" w:rsidRPr="0009014A" w:rsidRDefault="0009014A" w:rsidP="002637F0">
      <w:pPr>
        <w:spacing w:after="240" w:line="240" w:lineRule="exact"/>
        <w:ind w:left="-142"/>
        <w:jc w:val="both"/>
        <w:rPr>
          <w:rFonts w:ascii="Lato" w:eastAsiaTheme="minorHAnsi" w:hAnsi="Lato" w:cs="Calibri"/>
          <w:color w:val="000000"/>
          <w:spacing w:val="4"/>
          <w:sz w:val="22"/>
          <w:szCs w:val="22"/>
          <w:lang w:eastAsia="en-US"/>
        </w:rPr>
      </w:pPr>
      <w:r w:rsidRPr="0009014A">
        <w:rPr>
          <w:rFonts w:ascii="Lato" w:eastAsiaTheme="minorHAnsi" w:hAnsi="Lato" w:cs="Calibri"/>
          <w:bCs/>
          <w:iCs/>
          <w:color w:val="000000"/>
          <w:spacing w:val="4"/>
          <w:sz w:val="22"/>
          <w:szCs w:val="22"/>
          <w:lang w:eastAsia="en-US" w:bidi="pl-PL"/>
        </w:rPr>
        <w:lastRenderedPageBreak/>
        <w:t xml:space="preserve">Za niezasadny należy uznać zarzut </w:t>
      </w:r>
      <w:r w:rsidRPr="0009014A">
        <w:rPr>
          <w:rFonts w:ascii="Lato" w:eastAsiaTheme="minorHAnsi" w:hAnsi="Lato" w:cs="Calibri"/>
          <w:color w:val="000000"/>
          <w:spacing w:val="4"/>
          <w:sz w:val="22"/>
          <w:szCs w:val="22"/>
          <w:lang w:eastAsia="en-US"/>
        </w:rPr>
        <w:t>Pana S</w:t>
      </w:r>
      <w:r w:rsidR="0096354B">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 xml:space="preserve"> J</w:t>
      </w:r>
      <w:r w:rsidR="0096354B">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 xml:space="preserve"> i Pani B</w:t>
      </w:r>
      <w:r w:rsidR="0096354B">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 xml:space="preserve"> J</w:t>
      </w:r>
      <w:r w:rsidR="0096354B">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 xml:space="preserve"> dotyczący naruszenia</w:t>
      </w:r>
      <w:r w:rsidRPr="0009014A">
        <w:rPr>
          <w:rFonts w:ascii="Arial" w:hAnsi="Arial" w:cs="Arial"/>
          <w:color w:val="000000"/>
          <w:spacing w:val="4"/>
          <w:sz w:val="20"/>
          <w:szCs w:val="20"/>
        </w:rPr>
        <w:t xml:space="preserve"> </w:t>
      </w:r>
      <w:r w:rsidRPr="0009014A">
        <w:rPr>
          <w:rFonts w:ascii="Lato" w:eastAsiaTheme="minorHAnsi" w:hAnsi="Lato" w:cs="Calibri"/>
          <w:color w:val="000000"/>
          <w:spacing w:val="4"/>
          <w:sz w:val="22"/>
          <w:szCs w:val="22"/>
          <w:lang w:eastAsia="en-US"/>
        </w:rPr>
        <w:t xml:space="preserve">art. 40 ust. 2 ustawy CPK poprzez sporządzenie decyzji w sposób wadliwy, albowiem bez wskazania elementów obligatoryjnych, o których mowa w tym przepisie. Odwołujący nie wskazali, które konkretne elementy wymienione w art. 40 ust. 2 ustawy CPK miałyby nie zostać zawarte w decyzji Wojewody Mazowieckiego. Zarzut ten ma zatem charakter ogólnikowy i nieprecyzyjny, co uniemożliwia jego skuteczną weryfikację i ocenę pod kątem merytorycznym. Natomiast, w ocenie Ministra, </w:t>
      </w:r>
      <w:r w:rsidRPr="0009014A">
        <w:rPr>
          <w:rFonts w:ascii="Lato" w:eastAsia="Calibri" w:hAnsi="Lato" w:cs="Arial"/>
          <w:bCs/>
          <w:iCs/>
          <w:spacing w:val="4"/>
          <w:sz w:val="22"/>
          <w:szCs w:val="22"/>
          <w:lang w:bidi="pl-PL"/>
        </w:rPr>
        <w:t xml:space="preserve">kontrolowana decyzja Wojewody Mazowieckiego czyni zadość wymogom przedstawionym w art. 40 ust. 2 ustawy CPK, uwzględniając konieczność korekty niektórych jej zapisów dokonanych przez Ministra, co zostało już wytłumaczone w niniejszej decyzji. </w:t>
      </w:r>
    </w:p>
    <w:p w14:paraId="0958D953" w14:textId="02354733" w:rsidR="0009014A" w:rsidRPr="0009014A" w:rsidRDefault="0009014A" w:rsidP="0009014A">
      <w:pPr>
        <w:spacing w:after="240" w:line="240" w:lineRule="exact"/>
        <w:ind w:left="-142"/>
        <w:jc w:val="both"/>
        <w:rPr>
          <w:rFonts w:ascii="Lato" w:eastAsiaTheme="minorHAnsi" w:hAnsi="Lato" w:cs="Calibri"/>
          <w:color w:val="000000"/>
          <w:spacing w:val="4"/>
          <w:sz w:val="22"/>
          <w:szCs w:val="22"/>
          <w:lang w:eastAsia="en-US"/>
        </w:rPr>
      </w:pPr>
      <w:r w:rsidRPr="0009014A">
        <w:rPr>
          <w:rFonts w:ascii="Lato" w:eastAsia="Calibri" w:hAnsi="Lato" w:cs="Arial"/>
          <w:bCs/>
          <w:iCs/>
          <w:spacing w:val="4"/>
          <w:sz w:val="22"/>
          <w:szCs w:val="22"/>
          <w:lang w:bidi="pl-PL"/>
        </w:rPr>
        <w:t>Na uwzględnienie nie zasługuje zarzut Pana S</w:t>
      </w:r>
      <w:r w:rsidR="009048D7">
        <w:rPr>
          <w:rFonts w:ascii="Lato" w:eastAsia="Calibri" w:hAnsi="Lato" w:cs="Arial"/>
          <w:bCs/>
          <w:iCs/>
          <w:spacing w:val="4"/>
          <w:sz w:val="22"/>
          <w:szCs w:val="22"/>
          <w:lang w:bidi="pl-PL"/>
        </w:rPr>
        <w:t>.</w:t>
      </w:r>
      <w:r w:rsidRPr="0009014A">
        <w:rPr>
          <w:rFonts w:ascii="Lato" w:eastAsia="Calibri" w:hAnsi="Lato" w:cs="Arial"/>
          <w:bCs/>
          <w:iCs/>
          <w:spacing w:val="4"/>
          <w:sz w:val="22"/>
          <w:szCs w:val="22"/>
          <w:lang w:bidi="pl-PL"/>
        </w:rPr>
        <w:t xml:space="preserve"> J</w:t>
      </w:r>
      <w:r w:rsidR="009048D7">
        <w:rPr>
          <w:rFonts w:ascii="Lato" w:eastAsia="Calibri" w:hAnsi="Lato" w:cs="Arial"/>
          <w:bCs/>
          <w:iCs/>
          <w:spacing w:val="4"/>
          <w:sz w:val="22"/>
          <w:szCs w:val="22"/>
          <w:lang w:bidi="pl-PL"/>
        </w:rPr>
        <w:t>.</w:t>
      </w:r>
      <w:r w:rsidRPr="0009014A">
        <w:rPr>
          <w:rFonts w:ascii="Lato" w:eastAsia="Calibri" w:hAnsi="Lato" w:cs="Arial"/>
          <w:bCs/>
          <w:iCs/>
          <w:spacing w:val="4"/>
          <w:sz w:val="22"/>
          <w:szCs w:val="22"/>
          <w:lang w:bidi="pl-PL"/>
        </w:rPr>
        <w:t xml:space="preserve"> i Pani B</w:t>
      </w:r>
      <w:r w:rsidR="009048D7">
        <w:rPr>
          <w:rFonts w:ascii="Lato" w:eastAsia="Calibri" w:hAnsi="Lato" w:cs="Arial"/>
          <w:bCs/>
          <w:iCs/>
          <w:spacing w:val="4"/>
          <w:sz w:val="22"/>
          <w:szCs w:val="22"/>
          <w:lang w:bidi="pl-PL"/>
        </w:rPr>
        <w:t>.</w:t>
      </w:r>
      <w:r w:rsidRPr="0009014A">
        <w:rPr>
          <w:rFonts w:ascii="Lato" w:eastAsia="Calibri" w:hAnsi="Lato" w:cs="Arial"/>
          <w:bCs/>
          <w:iCs/>
          <w:spacing w:val="4"/>
          <w:sz w:val="22"/>
          <w:szCs w:val="22"/>
          <w:lang w:bidi="pl-PL"/>
        </w:rPr>
        <w:t xml:space="preserve"> J</w:t>
      </w:r>
      <w:r w:rsidR="009048D7">
        <w:rPr>
          <w:rFonts w:ascii="Lato" w:eastAsia="Calibri" w:hAnsi="Lato" w:cs="Arial"/>
          <w:bCs/>
          <w:iCs/>
          <w:spacing w:val="4"/>
          <w:sz w:val="22"/>
          <w:szCs w:val="22"/>
          <w:lang w:bidi="pl-PL"/>
        </w:rPr>
        <w:t>.</w:t>
      </w:r>
      <w:r w:rsidRPr="0009014A">
        <w:rPr>
          <w:rFonts w:ascii="Lato" w:eastAsia="Calibri" w:hAnsi="Lato" w:cs="Arial"/>
          <w:bCs/>
          <w:iCs/>
          <w:spacing w:val="4"/>
          <w:sz w:val="22"/>
          <w:szCs w:val="22"/>
          <w:lang w:bidi="pl-PL"/>
        </w:rPr>
        <w:t xml:space="preserve"> dotyczący naruszenia </w:t>
      </w:r>
      <w:r w:rsidRPr="0009014A">
        <w:rPr>
          <w:rFonts w:ascii="Lato" w:eastAsiaTheme="minorHAnsi" w:hAnsi="Lato" w:cs="Calibri"/>
          <w:color w:val="000000"/>
          <w:spacing w:val="4"/>
          <w:sz w:val="22"/>
          <w:szCs w:val="22"/>
          <w:lang w:eastAsia="en-US"/>
        </w:rPr>
        <w:t xml:space="preserve">art. 118 ust. 1 w zw. z art. 118 ust. 2 w zw. z art. 3 ust. 1 w zw. z art. 3 ust. 2 ustawy CPK w zw. </w:t>
      </w:r>
      <w:r w:rsidR="009048D7">
        <w:rPr>
          <w:rFonts w:ascii="Lato" w:eastAsiaTheme="minorHAnsi" w:hAnsi="Lato" w:cs="Calibri"/>
          <w:color w:val="000000"/>
          <w:spacing w:val="4"/>
          <w:sz w:val="22"/>
          <w:szCs w:val="22"/>
          <w:lang w:eastAsia="en-US"/>
        </w:rPr>
        <w:br/>
      </w:r>
      <w:r w:rsidRPr="0009014A">
        <w:rPr>
          <w:rFonts w:ascii="Lato" w:eastAsiaTheme="minorHAnsi" w:hAnsi="Lato" w:cs="Calibri"/>
          <w:color w:val="000000"/>
          <w:spacing w:val="4"/>
          <w:sz w:val="22"/>
          <w:szCs w:val="22"/>
          <w:lang w:eastAsia="en-US"/>
        </w:rPr>
        <w:t xml:space="preserve">z art. 119 ust. 1 ugn poprzez ich niewłaściwe zastosowanie i niewyjaśnienie w decyzji na jaki cel publiczny mają zostać wywłaszczone ich nieruchomości, podczas gdy decyzja </w:t>
      </w:r>
      <w:r w:rsidR="009048D7">
        <w:rPr>
          <w:rFonts w:ascii="Lato" w:eastAsiaTheme="minorHAnsi" w:hAnsi="Lato" w:cs="Calibri"/>
          <w:color w:val="000000"/>
          <w:spacing w:val="4"/>
          <w:sz w:val="22"/>
          <w:szCs w:val="22"/>
          <w:lang w:eastAsia="en-US"/>
        </w:rPr>
        <w:br/>
      </w:r>
      <w:r w:rsidRPr="0009014A">
        <w:rPr>
          <w:rFonts w:ascii="Lato" w:eastAsiaTheme="minorHAnsi" w:hAnsi="Lato" w:cs="Calibri"/>
          <w:color w:val="000000"/>
          <w:spacing w:val="4"/>
          <w:sz w:val="22"/>
          <w:szCs w:val="22"/>
          <w:lang w:eastAsia="en-US"/>
        </w:rPr>
        <w:t xml:space="preserve">o wywłaszczeniu winna wskazywać na jaki konkretnie cel publiczny ma zostać wywłaszczona nieruchomość i nie może ona ograniczać się do wskazania celu, którym jest „Inwestycja Towarzysząca”, skoro pod jej pojęciem kryje się szeroki katalog innych inwestycji, a tym samym </w:t>
      </w:r>
      <w:r w:rsidR="002637F0">
        <w:rPr>
          <w:rFonts w:ascii="Lato" w:eastAsiaTheme="minorHAnsi" w:hAnsi="Lato" w:cs="Calibri"/>
          <w:color w:val="000000"/>
          <w:spacing w:val="4"/>
          <w:sz w:val="22"/>
          <w:szCs w:val="22"/>
          <w:lang w:eastAsia="en-US"/>
        </w:rPr>
        <w:t xml:space="preserve"> - w ocenie skarżących - </w:t>
      </w:r>
      <w:r w:rsidRPr="0009014A">
        <w:rPr>
          <w:rFonts w:ascii="Lato" w:eastAsiaTheme="minorHAnsi" w:hAnsi="Lato" w:cs="Calibri"/>
          <w:color w:val="000000"/>
          <w:spacing w:val="4"/>
          <w:sz w:val="22"/>
          <w:szCs w:val="22"/>
          <w:lang w:eastAsia="en-US"/>
        </w:rPr>
        <w:t>nie sposób ustalić, czy wywłaszczone nieruchomości są konieczne dla realizacji inwestycji.</w:t>
      </w:r>
    </w:p>
    <w:p w14:paraId="3095F87B" w14:textId="43560175" w:rsidR="0009014A" w:rsidRPr="0009014A" w:rsidRDefault="0009014A" w:rsidP="0009014A">
      <w:pPr>
        <w:spacing w:after="240" w:line="240" w:lineRule="exact"/>
        <w:ind w:left="-142"/>
        <w:jc w:val="both"/>
        <w:rPr>
          <w:rFonts w:ascii="Lato" w:eastAsiaTheme="minorHAnsi" w:hAnsi="Lato" w:cs="Calibri"/>
          <w:color w:val="000000"/>
          <w:spacing w:val="4"/>
          <w:sz w:val="22"/>
          <w:szCs w:val="22"/>
          <w:lang w:eastAsia="en-US"/>
        </w:rPr>
      </w:pPr>
      <w:r w:rsidRPr="0009014A">
        <w:rPr>
          <w:rFonts w:ascii="Lato" w:eastAsiaTheme="minorHAnsi" w:hAnsi="Lato" w:cs="Calibri"/>
          <w:color w:val="000000"/>
          <w:spacing w:val="4"/>
          <w:sz w:val="22"/>
          <w:szCs w:val="22"/>
          <w:lang w:eastAsia="en-US"/>
        </w:rPr>
        <w:t xml:space="preserve">Zgodnie z art. 40 ust. 2 pkt 9 ustawy CPK decyzja o ustaleniu lokalizacji inwestycji </w:t>
      </w:r>
      <w:r w:rsidRPr="0009014A">
        <w:rPr>
          <w:rFonts w:ascii="Lato" w:eastAsiaTheme="minorHAnsi" w:hAnsi="Lato" w:cs="Calibri"/>
          <w:color w:val="000000"/>
          <w:spacing w:val="4"/>
          <w:sz w:val="22"/>
          <w:szCs w:val="22"/>
          <w:lang w:eastAsia="en-US"/>
        </w:rPr>
        <w:br/>
        <w:t xml:space="preserve">w zakresie CPK zawiera wykaz nieruchomości lub ich części, podlegających wywłaszczeniu. Podstawą wywłaszczenia jest decyzja o ustaleniu lokalizacji Inwestycji, która określa obszar przeznaczony pod </w:t>
      </w:r>
      <w:r w:rsidR="002637F0">
        <w:rPr>
          <w:rFonts w:ascii="Lato" w:eastAsiaTheme="minorHAnsi" w:hAnsi="Lato" w:cs="Calibri"/>
          <w:color w:val="000000"/>
          <w:spacing w:val="4"/>
          <w:sz w:val="22"/>
          <w:szCs w:val="22"/>
          <w:lang w:eastAsia="en-US"/>
        </w:rPr>
        <w:t>I</w:t>
      </w:r>
      <w:r w:rsidRPr="0009014A">
        <w:rPr>
          <w:rFonts w:ascii="Lato" w:eastAsiaTheme="minorHAnsi" w:hAnsi="Lato" w:cs="Calibri"/>
          <w:color w:val="000000"/>
          <w:spacing w:val="4"/>
          <w:sz w:val="22"/>
          <w:szCs w:val="22"/>
          <w:lang w:eastAsia="en-US"/>
        </w:rPr>
        <w:t>nwestycję. Ustawa CPK nie wymaga wskazania na jaki cel dokładnie zostają one wywłaszczane. Nieruchomości wskazane w odwołaniu objęte są wywłaszczeniem związanym z realizacją Inwestycji zdefiniowanej w art. 2 pkt 3 ustawy CPK, stanowiącej w myśl art. 3 ust. 1 ustawy CPK, cel publiczny w rozumieniu ugn. W związku z tym, do tych nieruchomości nie stosuje się przepisów art. 118 i art. 119 ustawy CPK, które dotyczą Inwestycji Towarzyszących, które to pojęcie zostało zdefiniowane w art. 2 pkt 4 ustawy CPK. O kwestii, że decyzja Wojewody Mazowieckiego ustaliła lokalizację Inwestycji w rozumieniu art. 2 pkt 3 ustawy CPK, była szerzej już mowa w niniejszej decyzji przy rozpatrywaniu odwołania Państwa K</w:t>
      </w:r>
      <w:r w:rsidR="004755B7">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 xml:space="preserve"> i skarżącej spółki </w:t>
      </w:r>
      <w:r w:rsidR="004755B7">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 xml:space="preserve">. </w:t>
      </w:r>
    </w:p>
    <w:p w14:paraId="046A4A6C" w14:textId="0C520918" w:rsidR="0009014A" w:rsidRPr="0009014A" w:rsidRDefault="0009014A" w:rsidP="0009014A">
      <w:pPr>
        <w:spacing w:after="240" w:line="240" w:lineRule="exact"/>
        <w:ind w:left="-142"/>
        <w:jc w:val="both"/>
        <w:rPr>
          <w:rFonts w:ascii="Lato" w:eastAsiaTheme="minorHAnsi" w:hAnsi="Lato" w:cs="Calibri"/>
          <w:color w:val="000000"/>
          <w:spacing w:val="4"/>
          <w:sz w:val="22"/>
          <w:szCs w:val="22"/>
          <w:lang w:eastAsia="en-US"/>
        </w:rPr>
      </w:pPr>
      <w:r w:rsidRPr="0009014A">
        <w:rPr>
          <w:rFonts w:ascii="Lato" w:eastAsiaTheme="minorHAnsi" w:hAnsi="Lato" w:cs="Calibri"/>
          <w:color w:val="000000"/>
          <w:spacing w:val="4"/>
          <w:sz w:val="22"/>
          <w:szCs w:val="22"/>
          <w:lang w:eastAsia="en-US"/>
        </w:rPr>
        <w:t xml:space="preserve">Brak jest podstaw do przyjęcia, że ingerencja w prawo własności skarżących ma charakter nadmierny czy nieuzasadniony. W niniejszej decyzji zostało już wyjaśnione obszernie, </w:t>
      </w:r>
      <w:r w:rsidRPr="0009014A">
        <w:rPr>
          <w:rFonts w:ascii="Lato" w:eastAsiaTheme="minorHAnsi" w:hAnsi="Lato" w:cs="Calibri"/>
          <w:color w:val="000000"/>
          <w:spacing w:val="4"/>
          <w:sz w:val="22"/>
          <w:szCs w:val="22"/>
          <w:lang w:eastAsia="en-US"/>
        </w:rPr>
        <w:br/>
        <w:t xml:space="preserve">że zgodnie z przepisami ustawy CPK, to inwestor – CPK Sp. z o.o. kształtuje projekt Inwestycji. Wniosek lokalizacyjny inwestora zawierał mapy z projektowanym obszarem, charakterystykę Inwestycji, mapy zawierające projekty podziału nieruchomości </w:t>
      </w:r>
      <w:r w:rsidRPr="0009014A">
        <w:rPr>
          <w:rFonts w:ascii="Lato" w:eastAsiaTheme="minorHAnsi" w:hAnsi="Lato" w:cs="Calibri"/>
          <w:color w:val="000000"/>
          <w:spacing w:val="4"/>
          <w:sz w:val="22"/>
          <w:szCs w:val="22"/>
          <w:lang w:eastAsia="en-US"/>
        </w:rPr>
        <w:br/>
        <w:t>(w przypadku konieczności podziału nieruchomości pod Inwestycję) oraz oznaczenie nieruchomości do wywłaszczenia. Wprowadzenie uproszczonych procedur nabywania nieruchomości pod lokalizacji Inwestycji, w tym rezygnacja z indywidualnej oceny niezbędności lokalizacji dla każdej działki, stanowi zamierzoną decyzję ustawodawcy, wpisaną w ratio legis ustawy CPK.</w:t>
      </w:r>
      <w:r w:rsidRPr="0009014A">
        <w:rPr>
          <w:rFonts w:ascii="Lato" w:hAnsi="Lato"/>
          <w:spacing w:val="4"/>
          <w:sz w:val="22"/>
          <w:szCs w:val="22"/>
        </w:rPr>
        <w:t xml:space="preserve"> Przepisy ustawy CPK </w:t>
      </w:r>
      <w:r w:rsidRPr="0009014A">
        <w:rPr>
          <w:rFonts w:ascii="Lato" w:eastAsiaTheme="minorHAnsi" w:hAnsi="Lato" w:cs="Calibri"/>
          <w:color w:val="000000"/>
          <w:spacing w:val="4"/>
          <w:sz w:val="22"/>
          <w:szCs w:val="22"/>
          <w:lang w:eastAsia="en-US"/>
        </w:rPr>
        <w:t xml:space="preserve">przewidują szczególne zasady gospodarowania nieruchomościami, nabywania ich, co zastępuje standardowe, bardziej złożone postępowania administracyjne. We wniosku lokalizacyjnym, mając na względzie terytorialny zasięg planowanej Inwestycji, inwestor określił linie rozgraniczające teren </w:t>
      </w:r>
      <w:r w:rsidR="002348FB">
        <w:rPr>
          <w:rFonts w:ascii="Lato" w:eastAsiaTheme="minorHAnsi" w:hAnsi="Lato" w:cs="Calibri"/>
          <w:color w:val="000000"/>
          <w:spacing w:val="4"/>
          <w:sz w:val="22"/>
          <w:szCs w:val="22"/>
          <w:lang w:eastAsia="en-US"/>
        </w:rPr>
        <w:t>I</w:t>
      </w:r>
      <w:r w:rsidRPr="0009014A">
        <w:rPr>
          <w:rFonts w:ascii="Lato" w:eastAsiaTheme="minorHAnsi" w:hAnsi="Lato" w:cs="Calibri"/>
          <w:color w:val="000000"/>
          <w:spacing w:val="4"/>
          <w:sz w:val="22"/>
          <w:szCs w:val="22"/>
          <w:lang w:eastAsia="en-US"/>
        </w:rPr>
        <w:t xml:space="preserve">nwestycji, co bezpośrednio wyznacza obszar, na którym inwestor planuje obiekty budowlane, jak również  przedłożył wykaz nieruchomości lub ich części podlegających wywłaszczeniu. Jednocześnie, jak już również wyjaśniano to szerzej w niniejszej decyzji (przy </w:t>
      </w:r>
      <w:r w:rsidRPr="0009014A">
        <w:rPr>
          <w:rFonts w:ascii="Lato" w:eastAsiaTheme="minorHAnsi" w:hAnsi="Lato" w:cs="Calibri"/>
          <w:bCs/>
          <w:iCs/>
          <w:color w:val="000000"/>
          <w:spacing w:val="4"/>
          <w:sz w:val="22"/>
          <w:szCs w:val="22"/>
          <w:lang w:eastAsia="en-US" w:bidi="pl-PL"/>
        </w:rPr>
        <w:t>odpowiedzi na zarzut Pani J</w:t>
      </w:r>
      <w:r w:rsidR="005E30F8">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K</w:t>
      </w:r>
      <w:r w:rsidR="005E30F8">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i Pana M</w:t>
      </w:r>
      <w:r w:rsidR="005E30F8">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K</w:t>
      </w:r>
      <w:r w:rsidR="005E30F8">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dotyczący naruszenia art. 7 kpa, odwołanie Pana D</w:t>
      </w:r>
      <w:r w:rsidR="005E30F8">
        <w:rPr>
          <w:rFonts w:ascii="Lato" w:eastAsiaTheme="minorHAnsi" w:hAnsi="Lato" w:cs="Calibri"/>
          <w:bCs/>
          <w:iCs/>
          <w:color w:val="000000"/>
          <w:spacing w:val="4"/>
          <w:sz w:val="22"/>
          <w:szCs w:val="22"/>
          <w:lang w:eastAsia="en-US" w:bidi="pl-PL"/>
        </w:rPr>
        <w:t xml:space="preserve">. </w:t>
      </w:r>
      <w:r w:rsidRPr="0009014A">
        <w:rPr>
          <w:rFonts w:ascii="Lato" w:eastAsiaTheme="minorHAnsi" w:hAnsi="Lato" w:cs="Calibri"/>
          <w:bCs/>
          <w:iCs/>
          <w:color w:val="000000"/>
          <w:spacing w:val="4"/>
          <w:sz w:val="22"/>
          <w:szCs w:val="22"/>
          <w:lang w:eastAsia="en-US" w:bidi="pl-PL"/>
        </w:rPr>
        <w:t>T</w:t>
      </w:r>
      <w:r w:rsidR="005E30F8">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w:t>
      </w:r>
      <w:r w:rsidRPr="0009014A">
        <w:rPr>
          <w:rFonts w:ascii="Lato" w:eastAsiaTheme="minorHAnsi" w:hAnsi="Lato" w:cs="Calibri"/>
          <w:color w:val="000000"/>
          <w:spacing w:val="4"/>
          <w:sz w:val="22"/>
          <w:szCs w:val="22"/>
          <w:lang w:eastAsia="en-US"/>
        </w:rPr>
        <w:t xml:space="preserve">, zgodnie z treścią art. 43 ust. 1 pkt 1 ustawy CPK, do wniosku </w:t>
      </w:r>
      <w:r w:rsidR="005E30F8">
        <w:rPr>
          <w:rFonts w:ascii="Lato" w:eastAsiaTheme="minorHAnsi" w:hAnsi="Lato" w:cs="Calibri"/>
          <w:color w:val="000000"/>
          <w:spacing w:val="4"/>
          <w:sz w:val="22"/>
          <w:szCs w:val="22"/>
          <w:lang w:eastAsia="en-US"/>
        </w:rPr>
        <w:br/>
      </w:r>
      <w:r w:rsidRPr="0009014A">
        <w:rPr>
          <w:rFonts w:ascii="Lato" w:eastAsiaTheme="minorHAnsi" w:hAnsi="Lato" w:cs="Calibri"/>
          <w:color w:val="000000"/>
          <w:spacing w:val="4"/>
          <w:sz w:val="22"/>
          <w:szCs w:val="22"/>
          <w:lang w:eastAsia="en-US"/>
        </w:rPr>
        <w:t xml:space="preserve">o wydanie decyzji o ustaleniu lokalizacji inwestycji w zakresie CPK załącza się mapę przedstawiającą „projektowany obszar Inwestycji, z zaznaczeniem terenu niezbędnego dla </w:t>
      </w:r>
      <w:r w:rsidRPr="0009014A">
        <w:rPr>
          <w:rFonts w:ascii="Lato" w:eastAsiaTheme="minorHAnsi" w:hAnsi="Lato" w:cs="Calibri"/>
          <w:color w:val="000000"/>
          <w:spacing w:val="4"/>
          <w:sz w:val="22"/>
          <w:szCs w:val="22"/>
          <w:lang w:eastAsia="en-US"/>
        </w:rPr>
        <w:lastRenderedPageBreak/>
        <w:t xml:space="preserve">obiektów budowlanych”, a nie mapę przedstawiającą jakie konkretne obiekty budowlane będą realizowane na terenie objętym linią rozgraniczającą Inwestycji. Istotą decyzji </w:t>
      </w:r>
      <w:r w:rsidR="00160B21">
        <w:rPr>
          <w:rFonts w:ascii="Lato" w:eastAsiaTheme="minorHAnsi" w:hAnsi="Lato" w:cs="Calibri"/>
          <w:color w:val="000000"/>
          <w:spacing w:val="4"/>
          <w:sz w:val="22"/>
          <w:szCs w:val="22"/>
          <w:lang w:eastAsia="en-US"/>
        </w:rPr>
        <w:br/>
      </w:r>
      <w:r w:rsidRPr="0009014A">
        <w:rPr>
          <w:rFonts w:ascii="Lato" w:eastAsiaTheme="minorHAnsi" w:hAnsi="Lato" w:cs="Calibri"/>
          <w:color w:val="000000"/>
          <w:spacing w:val="4"/>
          <w:sz w:val="22"/>
          <w:szCs w:val="22"/>
          <w:lang w:eastAsia="en-US"/>
        </w:rPr>
        <w:t>o ustaleniu lokalizacji inwestycji nie jest bowiem dokładne skonkretyzowanie prowadzonych robót budowlanych na danym terenie. Decyzja o ustaleniu lokalizacji inwestycji w zakresie CPK nie jest tożsama z pozwoleniem na budowę i stanowi etap poprzedzający faktyczne roboty budowlane.</w:t>
      </w:r>
    </w:p>
    <w:p w14:paraId="7CB5CC80" w14:textId="5E360182" w:rsidR="0009014A" w:rsidRPr="0009014A" w:rsidRDefault="0009014A" w:rsidP="0009014A">
      <w:pPr>
        <w:spacing w:after="240" w:line="240" w:lineRule="exact"/>
        <w:ind w:left="-142"/>
        <w:jc w:val="both"/>
        <w:rPr>
          <w:rFonts w:ascii="Lato" w:hAnsi="Lato"/>
          <w:spacing w:val="4"/>
          <w:sz w:val="22"/>
          <w:szCs w:val="22"/>
        </w:rPr>
      </w:pPr>
      <w:r w:rsidRPr="0009014A">
        <w:rPr>
          <w:rFonts w:ascii="Lato" w:hAnsi="Lato"/>
          <w:spacing w:val="4"/>
          <w:sz w:val="22"/>
          <w:szCs w:val="22"/>
        </w:rPr>
        <w:t xml:space="preserve">Przywołać można w tym miejscu wyrok Naczelnego Sądu Administracyjnego z dnia </w:t>
      </w:r>
      <w:r w:rsidRPr="0009014A">
        <w:rPr>
          <w:rFonts w:ascii="Lato" w:hAnsi="Lato"/>
          <w:spacing w:val="4"/>
          <w:sz w:val="22"/>
          <w:szCs w:val="22"/>
        </w:rPr>
        <w:br/>
        <w:t xml:space="preserve">14 stycznia 2025 r., sygn. akt II OSK 2407/24 (opubl. Centralna Baza Orzeczeń Sądów Administracyjnych), odnoszący się co prawda do specustawy drogowej, ale pogląd </w:t>
      </w:r>
      <w:r w:rsidRPr="0009014A">
        <w:rPr>
          <w:rFonts w:ascii="Lato" w:hAnsi="Lato"/>
          <w:spacing w:val="4"/>
          <w:sz w:val="22"/>
          <w:szCs w:val="22"/>
        </w:rPr>
        <w:br/>
        <w:t xml:space="preserve">w nim wyrażony znajduje zastosowanie również w odniesieniu do ustawy CPK. Naczelny Sąd Administracyjny wskazał w uzasadnieniu ww. orzeczenie, że: „(…) prawo własności nie jest prawem absolutnym i może doznawać ograniczeń, a co więcej nawet – wywłaszczeniu, o ile zostały spełnione przez normodawcę przesłanki konstytucyjne zawarte w art. 21 ust. 2, art. 31 ust. 3 i art. 64 ust. 3 Konstytucji RP. A mianowicie, wywłaszczenie jest dopuszczalne jedynie wówczas, gdy jest dokonywane na cele publiczne i za słusznym odszkodowaniem oraz ograniczenia w zakresie korzystania z konstytucyjnych wolności </w:t>
      </w:r>
      <w:r w:rsidRPr="0009014A">
        <w:rPr>
          <w:rFonts w:ascii="Lato" w:hAnsi="Lato"/>
          <w:spacing w:val="4"/>
          <w:sz w:val="22"/>
          <w:szCs w:val="22"/>
        </w:rPr>
        <w:br/>
        <w:t xml:space="preserve">i praw (w tym prawa własności) mogą być ustanawiane tylko w ustawie i tylko wtedy, gdy są konieczne w demokratycznym państwie dla jego bezpieczeństwa lub porządku publicznego. Otóż specustawa drogowa zawiera właśnie wszystkie ww. elementy warunkujące dopuszczalną prawem ingerencję władzy publicznej w prawo własności. Już chociażby z art. 6 pkt 1 u.g.n. wynika, że budowa dróg jest celem publicznym; </w:t>
      </w:r>
      <w:r w:rsidR="00160B21">
        <w:rPr>
          <w:rFonts w:ascii="Lato" w:hAnsi="Lato"/>
          <w:spacing w:val="4"/>
          <w:sz w:val="22"/>
          <w:szCs w:val="22"/>
        </w:rPr>
        <w:br/>
      </w:r>
      <w:r w:rsidRPr="0009014A">
        <w:rPr>
          <w:rFonts w:ascii="Lato" w:hAnsi="Lato"/>
          <w:spacing w:val="4"/>
          <w:sz w:val="22"/>
          <w:szCs w:val="22"/>
        </w:rPr>
        <w:t xml:space="preserve">a w specustawie przewidziano mechanizm odszkodowawczy za nieruchomość wywłaszczoną pod realizację inwestycji drogowej (inwestycja celu publicznego); co też potwierdza, że ograniczenie prawa własności zostało przewidziane w ustawie. Są to zatem wszystkie wymagane przesłanki, które warunkują możliwość dopuszczalnej prawem ingerencji władzy publicznej w prawo własności. W dorobku myśli prawniczej nie wymyślono innego lepszego mechanizmu, który by zezwalał na taką ingerencję organów władzy publicznej w prawo własności. Względem istnienia interesu publicznego, co wiąże się z istnieniem celu publicznego, kwestie proporcji ingerencji w prawo własności nie odgrywają decydującej roli. Stąd wymóg rekompensaty za utraconą (wywłaszczoną) nieruchomość, a nawet roszczenie o wykup pozostałej części nieruchomości, zostały przewidziane w specustawie. Jednak te uprawnienia i roszczenia skarżących mogą być realizowane w odrębnych postępowaniach niż wydanie decyzji ZRID.”. </w:t>
      </w:r>
    </w:p>
    <w:p w14:paraId="65733E56" w14:textId="090C60FC" w:rsidR="0009014A" w:rsidRPr="0009014A" w:rsidRDefault="0009014A" w:rsidP="0009014A">
      <w:pPr>
        <w:spacing w:after="240" w:line="240" w:lineRule="exact"/>
        <w:ind w:left="-142"/>
        <w:jc w:val="both"/>
        <w:rPr>
          <w:rFonts w:ascii="Lato" w:eastAsiaTheme="minorHAnsi" w:hAnsi="Lato" w:cs="Calibri"/>
          <w:color w:val="000000"/>
          <w:spacing w:val="4"/>
          <w:sz w:val="22"/>
          <w:szCs w:val="22"/>
          <w:lang w:eastAsia="en-US"/>
        </w:rPr>
      </w:pPr>
      <w:r w:rsidRPr="0009014A">
        <w:rPr>
          <w:rFonts w:ascii="Lato" w:hAnsi="Lato"/>
          <w:spacing w:val="4"/>
          <w:sz w:val="22"/>
          <w:szCs w:val="22"/>
        </w:rPr>
        <w:t>Na uwzględnienie nie zasługuje zarzut Pana Z</w:t>
      </w:r>
      <w:r w:rsidR="00A30347">
        <w:rPr>
          <w:rFonts w:ascii="Lato" w:hAnsi="Lato"/>
          <w:spacing w:val="4"/>
          <w:sz w:val="22"/>
          <w:szCs w:val="22"/>
        </w:rPr>
        <w:t>.</w:t>
      </w:r>
      <w:r w:rsidRPr="0009014A">
        <w:rPr>
          <w:rFonts w:ascii="Lato" w:hAnsi="Lato"/>
          <w:spacing w:val="4"/>
          <w:sz w:val="22"/>
          <w:szCs w:val="22"/>
        </w:rPr>
        <w:t xml:space="preserve"> J</w:t>
      </w:r>
      <w:r w:rsidR="00A30347">
        <w:rPr>
          <w:rFonts w:ascii="Lato" w:hAnsi="Lato"/>
          <w:spacing w:val="4"/>
          <w:sz w:val="22"/>
          <w:szCs w:val="22"/>
        </w:rPr>
        <w:t>.</w:t>
      </w:r>
      <w:r w:rsidRPr="0009014A">
        <w:rPr>
          <w:rFonts w:ascii="Lato" w:hAnsi="Lato"/>
          <w:spacing w:val="4"/>
          <w:sz w:val="22"/>
          <w:szCs w:val="22"/>
        </w:rPr>
        <w:t xml:space="preserve"> K</w:t>
      </w:r>
      <w:r w:rsidR="00A30347">
        <w:rPr>
          <w:rFonts w:ascii="Lato" w:hAnsi="Lato"/>
          <w:spacing w:val="4"/>
          <w:sz w:val="22"/>
          <w:szCs w:val="22"/>
        </w:rPr>
        <w:t>.</w:t>
      </w:r>
      <w:r w:rsidRPr="0009014A">
        <w:rPr>
          <w:rFonts w:ascii="Lato" w:hAnsi="Lato"/>
          <w:spacing w:val="4"/>
          <w:sz w:val="22"/>
          <w:szCs w:val="22"/>
        </w:rPr>
        <w:t xml:space="preserve"> dotyczący braku „</w:t>
      </w:r>
      <w:r w:rsidRPr="0009014A">
        <w:rPr>
          <w:rFonts w:ascii="Lato" w:eastAsiaTheme="minorHAnsi" w:hAnsi="Lato" w:cs="Calibri"/>
          <w:color w:val="000000"/>
          <w:spacing w:val="4"/>
          <w:sz w:val="22"/>
          <w:szCs w:val="22"/>
          <w:lang w:eastAsia="en-US"/>
        </w:rPr>
        <w:t>udzieleni</w:t>
      </w:r>
      <w:r w:rsidR="002348FB">
        <w:rPr>
          <w:rFonts w:ascii="Lato" w:eastAsiaTheme="minorHAnsi" w:hAnsi="Lato" w:cs="Calibri"/>
          <w:color w:val="000000"/>
          <w:spacing w:val="4"/>
          <w:sz w:val="22"/>
          <w:szCs w:val="22"/>
          <w:lang w:eastAsia="en-US"/>
        </w:rPr>
        <w:t>a</w:t>
      </w:r>
      <w:r w:rsidRPr="0009014A">
        <w:rPr>
          <w:rFonts w:ascii="Lato" w:eastAsiaTheme="minorHAnsi" w:hAnsi="Lato" w:cs="Calibri"/>
          <w:color w:val="000000"/>
          <w:spacing w:val="4"/>
          <w:sz w:val="22"/>
          <w:szCs w:val="22"/>
          <w:lang w:eastAsia="en-US"/>
        </w:rPr>
        <w:t xml:space="preserve"> dokładnych informacji na temat przeznaczenia inwestycyjnego działki 183 Obręb Elżbietów 0003 oraz działek: 36, 59, 6, 67/1, 85 Obręb Maurycew 0011 pod konkretne cele inwestycyjne.”.</w:t>
      </w:r>
    </w:p>
    <w:p w14:paraId="112B628E" w14:textId="352D0DA7" w:rsidR="0009014A" w:rsidRPr="0009014A" w:rsidRDefault="0009014A" w:rsidP="0009014A">
      <w:pPr>
        <w:spacing w:after="240" w:line="240" w:lineRule="exact"/>
        <w:ind w:left="-142"/>
        <w:jc w:val="both"/>
        <w:rPr>
          <w:rFonts w:ascii="Lato" w:hAnsi="Lato" w:cs="Arial"/>
          <w:bCs/>
          <w:iCs/>
          <w:color w:val="000000"/>
          <w:spacing w:val="4"/>
          <w:sz w:val="22"/>
          <w:szCs w:val="22"/>
          <w:lang w:bidi="pl-PL"/>
        </w:rPr>
      </w:pPr>
      <w:r w:rsidRPr="0009014A">
        <w:rPr>
          <w:rFonts w:ascii="Lato" w:eastAsiaTheme="minorHAnsi" w:hAnsi="Lato" w:cs="Calibri"/>
          <w:color w:val="000000"/>
          <w:spacing w:val="4"/>
          <w:sz w:val="22"/>
          <w:szCs w:val="22"/>
          <w:lang w:eastAsia="en-US"/>
        </w:rPr>
        <w:t xml:space="preserve">Przedmiotem postępowania administracyjnego jest zgodnie z art. 38 ust. 1 ustawy CPK ustalenie lokalizacji Inwestycji. Definicja Inwestycji została zawarta w art. 2 pkt 3 ustawy CPK. W niniejszej decyzji przy odpowiedzi </w:t>
      </w:r>
      <w:r w:rsidRPr="0009014A">
        <w:rPr>
          <w:rFonts w:ascii="Lato" w:hAnsi="Lato" w:cs="Arial"/>
          <w:bCs/>
          <w:iCs/>
          <w:color w:val="000000"/>
          <w:spacing w:val="4"/>
          <w:sz w:val="22"/>
          <w:szCs w:val="22"/>
        </w:rPr>
        <w:t>na zarzuty Państwa K</w:t>
      </w:r>
      <w:r w:rsidR="00A30347">
        <w:rPr>
          <w:rFonts w:ascii="Lato" w:hAnsi="Lato" w:cs="Arial"/>
          <w:bCs/>
          <w:iCs/>
          <w:color w:val="000000"/>
          <w:spacing w:val="4"/>
          <w:sz w:val="22"/>
          <w:szCs w:val="22"/>
        </w:rPr>
        <w:t>.</w:t>
      </w:r>
      <w:r w:rsidRPr="0009014A">
        <w:rPr>
          <w:rFonts w:ascii="Lato" w:hAnsi="Lato" w:cs="Arial"/>
          <w:bCs/>
          <w:iCs/>
          <w:color w:val="000000"/>
          <w:spacing w:val="4"/>
          <w:sz w:val="22"/>
          <w:szCs w:val="22"/>
        </w:rPr>
        <w:t xml:space="preserve"> i skarżącej spółki </w:t>
      </w:r>
      <w:r w:rsidR="00A3034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zostało uargumentowane, że decyzja Wojewody Mazowieckiego ustanowiła lokalizację „Inwestycji” w znaczeniu jakie temu pojęciu nadaje art. 2 pkt 3 ustawy CPK, a zatem </w:t>
      </w:r>
      <w:r w:rsidR="00A30347">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w zakresie przedmiotowo mieszczącym się w ustawie CPK. W niniejszej decyzji (przy odpowiedzi na zarzut Pani J</w:t>
      </w:r>
      <w:r w:rsidR="00A3034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A3034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i Pana M</w:t>
      </w:r>
      <w:r w:rsidR="00A3034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A3034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dotyczący naruszenia art. 7 kpa, odwołanie Pana D</w:t>
      </w:r>
      <w:r w:rsidR="00A30347">
        <w:rPr>
          <w:rFonts w:ascii="Lato" w:hAnsi="Lato" w:cs="Arial"/>
          <w:bCs/>
          <w:iCs/>
          <w:color w:val="000000"/>
          <w:spacing w:val="4"/>
          <w:sz w:val="22"/>
          <w:szCs w:val="22"/>
          <w:lang w:bidi="pl-PL"/>
        </w:rPr>
        <w:t xml:space="preserve">. </w:t>
      </w:r>
      <w:r w:rsidRPr="0009014A">
        <w:rPr>
          <w:rFonts w:ascii="Lato" w:hAnsi="Lato" w:cs="Arial"/>
          <w:bCs/>
          <w:iCs/>
          <w:color w:val="000000"/>
          <w:spacing w:val="4"/>
          <w:sz w:val="22"/>
          <w:szCs w:val="22"/>
          <w:lang w:bidi="pl-PL"/>
        </w:rPr>
        <w:t>T</w:t>
      </w:r>
      <w:r w:rsidR="00A3034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odwołanie Państwa J</w:t>
      </w:r>
      <w:r w:rsidR="00A30347">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została wyjaśniona istota decyzji o ustaleniu lokalizacji inwestycji w zakresie CPK w zakresie wskazania obszaru niezbędnego dla obiektów budowlanych. Do wniosku o wydanie decyzji o ustaleniu lokalizacji przedmiotowej inwestycji w zakresie CPK inwestor załączył wszystkie wymagane przepisami ustawy CPK załączniki, w tym charakterystykę Inwestycji. Strona z aktami postępowania miała prawo się zapoznać w toku postępowania. Skarżący został bowiem właściwie poinformowany przez Wojewodę Mazowieckiego o wszczęciu postępowania w sprawie wydania decyzji </w:t>
      </w:r>
      <w:r w:rsidR="00A30347">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lastRenderedPageBreak/>
        <w:t xml:space="preserve">o ustaleniu lokalizacji inwestycji w zakresie CPK. W zawiadomieniu z dnia 3 czerwca </w:t>
      </w:r>
      <w:r w:rsidR="00175DF4">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2024 r. i dokonanym obwieszczeniu zawarto oznaczenie terenu inwestycji objętego wnioskiem o wydanie decyzji, według katastru nieruchomości oraz informację o sposobie, w jaki strony postępowania mogą zapoznać się z aktami sprawy. A zatem skarżącemu została zapewniona możliwość wzięcia czynnego udziału w postępowaniu, w tym zapoznania się ze zgromadzonym materiałem dowodowym. Z akt sprawy zakończonej wydaniem decyzji Wojewody Mazowieckiego wynika, iż przez cały okres trwania postępowania pierwszoinstancyjneg, skarżący nie wnosił uwag względem Inwestycji i nie zapoznawał się z aktami sprawy. </w:t>
      </w:r>
    </w:p>
    <w:p w14:paraId="487097FC" w14:textId="101389A6" w:rsidR="0009014A" w:rsidRPr="0009014A" w:rsidRDefault="0009014A" w:rsidP="0009014A">
      <w:pPr>
        <w:spacing w:after="240" w:line="240" w:lineRule="exact"/>
        <w:ind w:left="-142"/>
        <w:jc w:val="both"/>
        <w:rPr>
          <w:rFonts w:ascii="Lato" w:eastAsiaTheme="minorHAnsi" w:hAnsi="Lato" w:cs="Calibri"/>
          <w:color w:val="000000"/>
          <w:spacing w:val="4"/>
          <w:sz w:val="22"/>
          <w:szCs w:val="22"/>
          <w:lang w:eastAsia="en-US"/>
        </w:rPr>
      </w:pPr>
      <w:r w:rsidRPr="0009014A">
        <w:rPr>
          <w:rFonts w:ascii="Lato" w:hAnsi="Lato" w:cs="Arial"/>
          <w:bCs/>
          <w:iCs/>
          <w:color w:val="000000"/>
          <w:spacing w:val="4"/>
          <w:sz w:val="22"/>
          <w:szCs w:val="22"/>
          <w:lang w:bidi="pl-PL"/>
        </w:rPr>
        <w:t>Odnośnie stwierdzenia Pana Z</w:t>
      </w:r>
      <w:r w:rsidR="00AA34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J</w:t>
      </w:r>
      <w:r w:rsidR="00AA34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K</w:t>
      </w:r>
      <w:r w:rsidR="00AA346A">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xml:space="preserve">, </w:t>
      </w:r>
      <w:r w:rsidRPr="0009014A">
        <w:rPr>
          <w:rFonts w:ascii="Lato" w:eastAsiaTheme="minorHAnsi" w:hAnsi="Lato" w:cs="Calibri"/>
          <w:color w:val="000000"/>
          <w:spacing w:val="4"/>
          <w:sz w:val="22"/>
          <w:szCs w:val="22"/>
          <w:lang w:eastAsia="en-US"/>
        </w:rPr>
        <w:t>że</w:t>
      </w:r>
      <w:r w:rsidR="002348FB">
        <w:rPr>
          <w:rFonts w:ascii="Lato" w:eastAsiaTheme="minorHAnsi" w:hAnsi="Lato" w:cs="Calibri"/>
          <w:color w:val="000000"/>
          <w:spacing w:val="4"/>
          <w:sz w:val="22"/>
          <w:szCs w:val="22"/>
          <w:lang w:eastAsia="en-US"/>
        </w:rPr>
        <w:t xml:space="preserve"> </w:t>
      </w:r>
      <w:r w:rsidRPr="0009014A">
        <w:rPr>
          <w:rFonts w:ascii="Lato" w:eastAsiaTheme="minorHAnsi" w:hAnsi="Lato" w:cs="Calibri"/>
          <w:color w:val="000000"/>
          <w:spacing w:val="4"/>
          <w:sz w:val="22"/>
          <w:szCs w:val="22"/>
          <w:lang w:eastAsia="en-US"/>
        </w:rPr>
        <w:t>„na terenie moich działek zamieszkują w dużej liczbie chronione gatunki ptaków, np.: sikora bogatka, myszołów zwyczajny, jastrząb gołębiarz. Sezonowo przebywają tutaj nietoperze. Na tym obszarze swoje korytarze migracyjne mają także dzikie kaczki, gęsi i żurawie.” i zarzutu skarżącego, że Inwestycja doprowadzi do „ogromnego zanieczyszczenie środowiska”, przypomnieć należy, że kwestie związane z oddziaływaniem Inwestycji na środowisko (w tym przyrodę)</w:t>
      </w:r>
      <w:r w:rsidRPr="0009014A">
        <w:rPr>
          <w:rFonts w:ascii="Lato" w:eastAsiaTheme="minorHAnsi" w:hAnsi="Lato" w:cs="Calibri"/>
          <w:bCs/>
          <w:iCs/>
          <w:color w:val="000000"/>
          <w:spacing w:val="4"/>
          <w:sz w:val="22"/>
          <w:szCs w:val="22"/>
          <w:lang w:eastAsia="en-US" w:bidi="pl-PL"/>
        </w:rPr>
        <w:t xml:space="preserve"> </w:t>
      </w:r>
      <w:r w:rsidRPr="0009014A">
        <w:rPr>
          <w:rFonts w:ascii="Lato" w:eastAsiaTheme="minorHAnsi" w:hAnsi="Lato" w:cs="Calibri"/>
          <w:color w:val="000000"/>
          <w:spacing w:val="4"/>
          <w:sz w:val="22"/>
          <w:szCs w:val="22"/>
          <w:lang w:eastAsia="en-US"/>
        </w:rPr>
        <w:t xml:space="preserve">podlegały ocenie w odrębnym od niniejszego postępowaniu w sprawie wydania decyzji </w:t>
      </w:r>
      <w:r w:rsidRPr="0009014A">
        <w:rPr>
          <w:rFonts w:ascii="Lato" w:eastAsiaTheme="minorHAnsi" w:hAnsi="Lato" w:cs="Calibri"/>
          <w:color w:val="000000"/>
          <w:spacing w:val="4"/>
          <w:sz w:val="22"/>
          <w:szCs w:val="22"/>
          <w:lang w:eastAsia="en-US"/>
        </w:rPr>
        <w:br/>
        <w:t>o środowiskowych uwarunkowaniach i to dokonywanej</w:t>
      </w:r>
      <w:r w:rsidRPr="0009014A">
        <w:rPr>
          <w:rFonts w:ascii="Lato" w:eastAsiaTheme="minorHAnsi" w:hAnsi="Lato" w:cs="Calibri"/>
          <w:bCs/>
          <w:iCs/>
          <w:color w:val="000000"/>
          <w:spacing w:val="4"/>
          <w:sz w:val="22"/>
          <w:szCs w:val="22"/>
          <w:lang w:eastAsia="en-US" w:bidi="pl-PL"/>
        </w:rPr>
        <w:t xml:space="preserve"> </w:t>
      </w:r>
      <w:r w:rsidRPr="0009014A">
        <w:rPr>
          <w:rFonts w:ascii="Lato" w:eastAsiaTheme="minorHAnsi" w:hAnsi="Lato" w:cs="Calibri"/>
          <w:color w:val="000000"/>
          <w:spacing w:val="4"/>
          <w:sz w:val="22"/>
          <w:szCs w:val="22"/>
          <w:lang w:eastAsia="en-US"/>
        </w:rPr>
        <w:t xml:space="preserve">przez organy wyspecjalizowane </w:t>
      </w:r>
      <w:r w:rsidRPr="0009014A">
        <w:rPr>
          <w:rFonts w:ascii="Lato" w:eastAsiaTheme="minorHAnsi" w:hAnsi="Lato" w:cs="Calibri"/>
          <w:color w:val="000000"/>
          <w:spacing w:val="4"/>
          <w:sz w:val="22"/>
          <w:szCs w:val="22"/>
          <w:lang w:eastAsia="en-US"/>
        </w:rPr>
        <w:br/>
        <w:t xml:space="preserve">w zakresie środowiskowym. </w:t>
      </w:r>
      <w:r w:rsidRPr="0009014A">
        <w:rPr>
          <w:rFonts w:ascii="Lato" w:eastAsiaTheme="minorHAnsi" w:hAnsi="Lato" w:cs="Calibri"/>
          <w:bCs/>
          <w:iCs/>
          <w:color w:val="000000"/>
          <w:spacing w:val="4"/>
          <w:sz w:val="22"/>
          <w:szCs w:val="22"/>
          <w:lang w:eastAsia="en-US" w:bidi="pl-PL"/>
        </w:rPr>
        <w:t>To w postępowaniu środowiskowym prowadzonym przez organy środowiskowe (RDOŚ w Warszawie i GDOŚ) analizowano i oceniano m.in. bezpośredni i pośredni wpływ przedsięwzięcia na środowisko, zdrowie i warunki życia ludzi, jak i możliwości oraz sposoby zapobiegania i zmniejszania negatywnego oddziaływania przedsięwzięcia na środowisko</w:t>
      </w:r>
      <w:r w:rsidRPr="0009014A">
        <w:rPr>
          <w:rFonts w:ascii="Lato" w:eastAsiaTheme="minorHAnsi" w:hAnsi="Lato" w:cs="Calibri"/>
          <w:color w:val="000000"/>
          <w:spacing w:val="4"/>
          <w:sz w:val="22"/>
          <w:szCs w:val="22"/>
          <w:lang w:eastAsia="en-US"/>
        </w:rPr>
        <w:t>. Ani Wojewoda Mazowiecki, ani</w:t>
      </w:r>
      <w:r w:rsidRPr="0009014A">
        <w:rPr>
          <w:rFonts w:ascii="Lato" w:eastAsiaTheme="minorHAnsi" w:hAnsi="Lato" w:cs="Calibri"/>
          <w:bCs/>
          <w:iCs/>
          <w:color w:val="000000"/>
          <w:spacing w:val="4"/>
          <w:sz w:val="22"/>
          <w:szCs w:val="22"/>
          <w:lang w:eastAsia="en-US" w:bidi="pl-PL"/>
        </w:rPr>
        <w:t xml:space="preserve"> </w:t>
      </w:r>
      <w:r w:rsidRPr="0009014A">
        <w:rPr>
          <w:rFonts w:ascii="Lato" w:eastAsiaTheme="minorHAnsi" w:hAnsi="Lato" w:cs="Calibri"/>
          <w:color w:val="000000"/>
          <w:spacing w:val="4"/>
          <w:sz w:val="22"/>
          <w:szCs w:val="22"/>
          <w:lang w:eastAsia="en-US"/>
        </w:rPr>
        <w:t>Minister nie rozstrzygają w postępowaniu o ustalenie lokalizacji inwestycji w zakresie CPK co do kwestii, będących</w:t>
      </w:r>
      <w:r w:rsidRPr="0009014A">
        <w:rPr>
          <w:rFonts w:ascii="Lato" w:eastAsiaTheme="minorHAnsi" w:hAnsi="Lato" w:cs="Calibri"/>
          <w:bCs/>
          <w:iCs/>
          <w:color w:val="000000"/>
          <w:spacing w:val="4"/>
          <w:sz w:val="22"/>
          <w:szCs w:val="22"/>
          <w:lang w:eastAsia="en-US" w:bidi="pl-PL"/>
        </w:rPr>
        <w:t xml:space="preserve"> </w:t>
      </w:r>
      <w:r w:rsidRPr="0009014A">
        <w:rPr>
          <w:rFonts w:ascii="Lato" w:eastAsiaTheme="minorHAnsi" w:hAnsi="Lato" w:cs="Calibri"/>
          <w:color w:val="000000"/>
          <w:spacing w:val="4"/>
          <w:sz w:val="22"/>
          <w:szCs w:val="22"/>
          <w:lang w:eastAsia="en-US"/>
        </w:rPr>
        <w:t xml:space="preserve">przedmiotem postępowania środowiskowego. </w:t>
      </w:r>
    </w:p>
    <w:p w14:paraId="22837371" w14:textId="48317D43" w:rsidR="0009014A" w:rsidRPr="0009014A" w:rsidRDefault="0009014A" w:rsidP="0009014A">
      <w:pPr>
        <w:spacing w:after="240" w:line="240" w:lineRule="exact"/>
        <w:ind w:left="-142"/>
        <w:jc w:val="both"/>
        <w:rPr>
          <w:rFonts w:ascii="Lato" w:eastAsiaTheme="minorHAnsi" w:hAnsi="Lato" w:cs="Calibri"/>
          <w:color w:val="000000"/>
          <w:spacing w:val="4"/>
          <w:sz w:val="22"/>
          <w:szCs w:val="22"/>
          <w:lang w:eastAsia="en-US"/>
        </w:rPr>
      </w:pPr>
      <w:r w:rsidRPr="0009014A">
        <w:rPr>
          <w:rFonts w:ascii="Lato" w:eastAsiaTheme="minorHAnsi" w:hAnsi="Lato" w:cs="Calibri"/>
          <w:bCs/>
          <w:iCs/>
          <w:color w:val="000000"/>
          <w:spacing w:val="4"/>
          <w:sz w:val="22"/>
          <w:szCs w:val="22"/>
          <w:lang w:eastAsia="en-US" w:bidi="pl-PL"/>
        </w:rPr>
        <w:t>Na uwzględnienie nie zasługuje zarzut Pana Z</w:t>
      </w:r>
      <w:r w:rsidR="001830A4">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J</w:t>
      </w:r>
      <w:r w:rsidR="001830A4">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K</w:t>
      </w:r>
      <w:r w:rsidR="001830A4">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dotyczący tego, że przedmiotowa </w:t>
      </w:r>
      <w:r w:rsidRPr="0009014A">
        <w:rPr>
          <w:rFonts w:ascii="Lato" w:eastAsiaTheme="minorHAnsi" w:hAnsi="Lato" w:cs="Calibri"/>
          <w:color w:val="000000"/>
          <w:spacing w:val="4"/>
          <w:sz w:val="22"/>
          <w:szCs w:val="22"/>
          <w:lang w:eastAsia="en-US"/>
        </w:rPr>
        <w:t>inwestycja nie jest uzasadniona ekonomicznie, ponieważ w sąsiedztwie Centralnego Portu Komunikacyjnego będzie działało lotnisko O</w:t>
      </w:r>
      <w:r w:rsidR="00777BAB">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 xml:space="preserve"> i M</w:t>
      </w:r>
      <w:r w:rsidR="00777BAB">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 xml:space="preserve">, co w konsekwencji przyniesie duże straty ekonomiczne. Odnośnie tego zarzutu Minister podtrzymuje stanowisko zajęte już </w:t>
      </w:r>
      <w:r w:rsidR="00777BAB">
        <w:rPr>
          <w:rFonts w:ascii="Lato" w:eastAsiaTheme="minorHAnsi" w:hAnsi="Lato" w:cs="Calibri"/>
          <w:color w:val="000000"/>
          <w:spacing w:val="4"/>
          <w:sz w:val="22"/>
          <w:szCs w:val="22"/>
          <w:lang w:eastAsia="en-US"/>
        </w:rPr>
        <w:br/>
      </w:r>
      <w:r w:rsidRPr="0009014A">
        <w:rPr>
          <w:rFonts w:ascii="Lato" w:eastAsiaTheme="minorHAnsi" w:hAnsi="Lato" w:cs="Calibri"/>
          <w:color w:val="000000"/>
          <w:spacing w:val="4"/>
          <w:sz w:val="22"/>
          <w:szCs w:val="22"/>
          <w:lang w:eastAsia="en-US"/>
        </w:rPr>
        <w:t xml:space="preserve">w niniejszej decyzji dotyczące tożsamego w istocie zarzutu Gminy </w:t>
      </w:r>
      <w:r w:rsidR="001830A4">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 xml:space="preserve">.  </w:t>
      </w:r>
    </w:p>
    <w:p w14:paraId="27F0882D" w14:textId="7545E999" w:rsidR="0009014A" w:rsidRPr="0032051E" w:rsidRDefault="0009014A" w:rsidP="0009014A">
      <w:pPr>
        <w:spacing w:after="240" w:line="240" w:lineRule="exact"/>
        <w:ind w:left="-142"/>
        <w:jc w:val="both"/>
        <w:rPr>
          <w:rFonts w:ascii="Lato" w:eastAsiaTheme="minorHAnsi" w:hAnsi="Lato" w:cs="Calibri"/>
          <w:spacing w:val="4"/>
          <w:sz w:val="22"/>
          <w:szCs w:val="22"/>
          <w:lang w:eastAsia="en-US"/>
        </w:rPr>
      </w:pPr>
      <w:r w:rsidRPr="0032051E">
        <w:rPr>
          <w:rFonts w:ascii="Lato" w:eastAsiaTheme="minorHAnsi" w:hAnsi="Lato" w:cs="Calibri"/>
          <w:spacing w:val="4"/>
          <w:sz w:val="22"/>
          <w:szCs w:val="22"/>
          <w:lang w:eastAsia="en-US"/>
        </w:rPr>
        <w:t>Na uwzględnienie nie zasługuje zarzut Pani E</w:t>
      </w:r>
      <w:r w:rsidR="001830A4">
        <w:rPr>
          <w:rFonts w:ascii="Lato" w:eastAsiaTheme="minorHAnsi" w:hAnsi="Lato" w:cs="Calibri"/>
          <w:spacing w:val="4"/>
          <w:sz w:val="22"/>
          <w:szCs w:val="22"/>
          <w:lang w:eastAsia="en-US"/>
        </w:rPr>
        <w:t>.</w:t>
      </w:r>
      <w:r w:rsidRPr="0032051E">
        <w:rPr>
          <w:rFonts w:ascii="Lato" w:eastAsiaTheme="minorHAnsi" w:hAnsi="Lato" w:cs="Calibri"/>
          <w:spacing w:val="4"/>
          <w:sz w:val="22"/>
          <w:szCs w:val="22"/>
          <w:lang w:eastAsia="en-US"/>
        </w:rPr>
        <w:t xml:space="preserve"> L</w:t>
      </w:r>
      <w:r w:rsidR="001830A4">
        <w:rPr>
          <w:rFonts w:ascii="Lato" w:eastAsiaTheme="minorHAnsi" w:hAnsi="Lato" w:cs="Calibri"/>
          <w:spacing w:val="4"/>
          <w:sz w:val="22"/>
          <w:szCs w:val="22"/>
          <w:lang w:eastAsia="en-US"/>
        </w:rPr>
        <w:t>.</w:t>
      </w:r>
      <w:r w:rsidRPr="0032051E">
        <w:rPr>
          <w:rFonts w:ascii="Lato" w:eastAsiaTheme="minorHAnsi" w:hAnsi="Lato" w:cs="Calibri"/>
          <w:spacing w:val="4"/>
          <w:sz w:val="22"/>
          <w:szCs w:val="22"/>
          <w:lang w:eastAsia="en-US"/>
        </w:rPr>
        <w:t xml:space="preserve"> i Pana J</w:t>
      </w:r>
      <w:r w:rsidR="001830A4">
        <w:rPr>
          <w:rFonts w:ascii="Lato" w:eastAsiaTheme="minorHAnsi" w:hAnsi="Lato" w:cs="Calibri"/>
          <w:spacing w:val="4"/>
          <w:sz w:val="22"/>
          <w:szCs w:val="22"/>
          <w:lang w:eastAsia="en-US"/>
        </w:rPr>
        <w:t>.</w:t>
      </w:r>
      <w:r w:rsidRPr="0032051E">
        <w:rPr>
          <w:rFonts w:ascii="Lato" w:eastAsiaTheme="minorHAnsi" w:hAnsi="Lato" w:cs="Calibri"/>
          <w:spacing w:val="4"/>
          <w:sz w:val="22"/>
          <w:szCs w:val="22"/>
          <w:lang w:eastAsia="en-US"/>
        </w:rPr>
        <w:t xml:space="preserve"> L</w:t>
      </w:r>
      <w:r w:rsidR="001830A4">
        <w:rPr>
          <w:rFonts w:ascii="Lato" w:eastAsiaTheme="minorHAnsi" w:hAnsi="Lato" w:cs="Calibri"/>
          <w:spacing w:val="4"/>
          <w:sz w:val="22"/>
          <w:szCs w:val="22"/>
          <w:lang w:eastAsia="en-US"/>
        </w:rPr>
        <w:t>.</w:t>
      </w:r>
      <w:r w:rsidRPr="0032051E">
        <w:rPr>
          <w:rFonts w:ascii="Lato" w:eastAsiaTheme="minorHAnsi" w:hAnsi="Lato" w:cs="Calibri"/>
          <w:spacing w:val="4"/>
          <w:sz w:val="22"/>
          <w:szCs w:val="22"/>
          <w:lang w:eastAsia="en-US"/>
        </w:rPr>
        <w:t xml:space="preserve"> o wyłączenie z wywłaszczenia nieruchomości nr 104/2, z obrębu 0011 Maurycew. </w:t>
      </w:r>
    </w:p>
    <w:p w14:paraId="51A4DCD2" w14:textId="77777777" w:rsidR="0009014A" w:rsidRPr="0009014A" w:rsidRDefault="0009014A" w:rsidP="0009014A">
      <w:pPr>
        <w:spacing w:after="240" w:line="240" w:lineRule="exact"/>
        <w:ind w:left="-142"/>
        <w:jc w:val="both"/>
        <w:rPr>
          <w:rFonts w:ascii="Lato" w:eastAsiaTheme="minorHAnsi" w:hAnsi="Lato" w:cs="Calibri"/>
          <w:bCs/>
          <w:iCs/>
          <w:color w:val="000000"/>
          <w:spacing w:val="4"/>
          <w:sz w:val="22"/>
          <w:szCs w:val="22"/>
          <w:lang w:eastAsia="en-US" w:bidi="pl-PL"/>
        </w:rPr>
      </w:pPr>
      <w:r w:rsidRPr="0009014A">
        <w:rPr>
          <w:rFonts w:ascii="Lato" w:eastAsiaTheme="minorHAnsi" w:hAnsi="Lato" w:cs="Calibri"/>
          <w:color w:val="000000"/>
          <w:spacing w:val="4"/>
          <w:sz w:val="22"/>
          <w:szCs w:val="22"/>
          <w:lang w:eastAsia="en-US"/>
        </w:rPr>
        <w:t xml:space="preserve">W we wniosku inwestora i w decyzji Wojewody Mazowieckiego ww. nieruchomość </w:t>
      </w:r>
      <w:r w:rsidRPr="0009014A">
        <w:rPr>
          <w:rFonts w:ascii="Lato" w:eastAsiaTheme="minorHAnsi" w:hAnsi="Lato" w:cs="Calibri"/>
          <w:color w:val="000000"/>
          <w:spacing w:val="4"/>
          <w:sz w:val="22"/>
          <w:szCs w:val="22"/>
          <w:lang w:eastAsia="en-US"/>
        </w:rPr>
        <w:br/>
        <w:t xml:space="preserve">nr 104/2 została przeznczona w całości do wywłaszczenia pod Inwestycję. Inwestor - jako kreator i wnioskodawca przedmiotowej Inwestycji - wskazał, że nie ma możliwości wyłączenia przedmiotowej nieruchomości z obszaru Inwestycji. Obszar nieruchomości został objęty linią rozgraniczającą teren Inwestycji w całości. Potwierdza to analiza załącznika graficznego nr 32 do decyzji Wojewody Mazowieckiego, gdzie działka skarżących została w całości objęta linią rozgraniczającą teren Inwestycji. Przepisy ustawy CPK nie wymagają uzyskania zgody właściciela </w:t>
      </w:r>
      <w:r w:rsidRPr="0009014A">
        <w:rPr>
          <w:rFonts w:ascii="Lato" w:eastAsiaTheme="minorHAnsi" w:hAnsi="Lato" w:cs="Calibri"/>
          <w:bCs/>
          <w:iCs/>
          <w:color w:val="000000"/>
          <w:spacing w:val="4"/>
          <w:sz w:val="22"/>
          <w:szCs w:val="22"/>
          <w:lang w:eastAsia="en-US" w:bidi="pl-PL"/>
        </w:rPr>
        <w:t>na lokalizację Inwestycji na jego nieruchomości w koncepcji przyjętej przez inwestora i zatwierdzonej w decyzji lokalizacyjnej, ani obwarowanie utraty własności jakimiś warunkami stawianymi przez właściciela nieruchomości. W niniejszej decyzji została już wyjaśniona systemowa charakterystyka decyzji o ustaleniu lokalizacji inwestycji w zakresie CPK i zaprezentowaną argumentację Minister podtrzymuje odnośnie również odwołania skarżących.</w:t>
      </w:r>
    </w:p>
    <w:p w14:paraId="3CB84027" w14:textId="2F962ED4" w:rsidR="0009014A" w:rsidRPr="0009014A" w:rsidRDefault="0009014A" w:rsidP="0009014A">
      <w:pPr>
        <w:spacing w:after="240" w:line="240" w:lineRule="exact"/>
        <w:ind w:left="-142"/>
        <w:jc w:val="both"/>
        <w:rPr>
          <w:rFonts w:ascii="Lato" w:eastAsiaTheme="minorHAnsi" w:hAnsi="Lato" w:cs="Arial"/>
          <w:bCs/>
          <w:iCs/>
          <w:spacing w:val="4"/>
          <w:sz w:val="22"/>
          <w:szCs w:val="22"/>
          <w:lang w:eastAsia="en-US" w:bidi="pl-PL"/>
        </w:rPr>
      </w:pPr>
      <w:r w:rsidRPr="0009014A">
        <w:rPr>
          <w:rFonts w:ascii="Lato" w:eastAsiaTheme="minorHAnsi" w:hAnsi="Lato" w:cs="Calibri"/>
          <w:bCs/>
          <w:iCs/>
          <w:color w:val="000000"/>
          <w:spacing w:val="4"/>
          <w:sz w:val="22"/>
          <w:szCs w:val="22"/>
          <w:lang w:eastAsia="en-US" w:bidi="pl-PL"/>
        </w:rPr>
        <w:t xml:space="preserve">Odnosząc się do poruszonej przez odwołujących kwestii dotyczącej postępowania </w:t>
      </w:r>
      <w:r w:rsidRPr="0009014A">
        <w:rPr>
          <w:rFonts w:ascii="Lato" w:eastAsiaTheme="minorHAnsi" w:hAnsi="Lato" w:cs="Calibri"/>
          <w:bCs/>
          <w:iCs/>
          <w:color w:val="000000"/>
          <w:spacing w:val="4"/>
          <w:sz w:val="22"/>
          <w:szCs w:val="22"/>
          <w:lang w:eastAsia="en-US" w:bidi="pl-PL"/>
        </w:rPr>
        <w:br/>
        <w:t xml:space="preserve">o ustalenie granicy działki, inwestor poinformował, że sąsiednia działka drogowa nr 50 była objęta pracami geodezyjnymi zlecanymi przez inwestora związanymi z opracowaniem dokumentacji dotyczącej podziału nieruchomości, zatem w konsekwencji wprowadzono zmiany przebiegu granicy drogi w ewidencji gruntów i budynków. W trakcie prac </w:t>
      </w:r>
      <w:r w:rsidRPr="0009014A">
        <w:rPr>
          <w:rFonts w:ascii="Lato" w:eastAsiaTheme="minorHAnsi" w:hAnsi="Lato" w:cs="Calibri"/>
          <w:bCs/>
          <w:iCs/>
          <w:color w:val="000000"/>
          <w:spacing w:val="4"/>
          <w:sz w:val="22"/>
          <w:szCs w:val="22"/>
          <w:lang w:eastAsia="en-US" w:bidi="pl-PL"/>
        </w:rPr>
        <w:lastRenderedPageBreak/>
        <w:t xml:space="preserve">geodezyjnych było przeprowadzone okazanie granic właścicielom sąsiednich działek, których powiadomiono </w:t>
      </w:r>
      <w:r w:rsidRPr="0009014A">
        <w:rPr>
          <w:rFonts w:ascii="Lato" w:eastAsiaTheme="minorHAnsi" w:hAnsi="Lato" w:cs="Calibri"/>
          <w:color w:val="000000"/>
          <w:spacing w:val="4"/>
          <w:sz w:val="22"/>
          <w:szCs w:val="22"/>
          <w:lang w:eastAsia="en-US"/>
        </w:rPr>
        <w:t xml:space="preserve">pisemnie o prowadzonych czynnościach. Inwestor wyjaśnił, </w:t>
      </w:r>
      <w:r w:rsidRPr="0009014A">
        <w:rPr>
          <w:rFonts w:ascii="Lato" w:eastAsiaTheme="minorHAnsi" w:hAnsi="Lato" w:cs="Calibri"/>
          <w:color w:val="000000"/>
          <w:spacing w:val="4"/>
          <w:sz w:val="22"/>
          <w:szCs w:val="22"/>
          <w:lang w:eastAsia="en-US"/>
        </w:rPr>
        <w:br/>
        <w:t xml:space="preserve">że przeprowadzenie czynności zostało udokumentowane protokołem granicznym, który geodeci okazywali uczestnikom czynności geodezyjnych w terenie. Inwestor wskazał, że czynności geodezyjne miały na celu określenie stanu faktycznego granic zgodne </w:t>
      </w:r>
      <w:r w:rsidRPr="0009014A">
        <w:rPr>
          <w:rFonts w:ascii="Lato" w:eastAsiaTheme="minorHAnsi" w:hAnsi="Lato" w:cs="Calibri"/>
          <w:color w:val="000000"/>
          <w:spacing w:val="4"/>
          <w:sz w:val="22"/>
          <w:szCs w:val="22"/>
          <w:lang w:eastAsia="en-US"/>
        </w:rPr>
        <w:br/>
        <w:t xml:space="preserve">z istniejącą dokumentacją i m.in. faktycznym położeniem punktów granicznych. Wspomniane w odwołaniu nasadzenia mogły się zatem znaleźć w obszarze drogi publicznej, poza granicami przedmiotowej działki nr 104/2. Jak już to zostało szerzej wyjaśnione w niniejszej decyzji </w:t>
      </w:r>
      <w:r w:rsidR="00643B66">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przy rozpatrywaniu zarzutów odwołania Państwa K</w:t>
      </w:r>
      <w:r w:rsidR="00643B66">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 xml:space="preserve"> </w:t>
      </w:r>
      <w:r w:rsidR="00643B66">
        <w:rPr>
          <w:rFonts w:ascii="Lato" w:eastAsiaTheme="minorHAnsi" w:hAnsi="Lato" w:cs="Calibri"/>
          <w:color w:val="000000"/>
          <w:spacing w:val="4"/>
          <w:sz w:val="22"/>
          <w:szCs w:val="22"/>
          <w:lang w:eastAsia="en-US"/>
        </w:rPr>
        <w:br/>
      </w:r>
      <w:r w:rsidRPr="0009014A">
        <w:rPr>
          <w:rFonts w:ascii="Lato" w:eastAsiaTheme="minorHAnsi" w:hAnsi="Lato" w:cs="Calibri"/>
          <w:color w:val="000000"/>
          <w:spacing w:val="4"/>
          <w:sz w:val="22"/>
          <w:szCs w:val="22"/>
          <w:lang w:eastAsia="en-US"/>
        </w:rPr>
        <w:t xml:space="preserve">i spółki </w:t>
      </w:r>
      <w:r w:rsidR="00643B66">
        <w:rPr>
          <w:rFonts w:ascii="Lato" w:eastAsiaTheme="minorHAnsi" w:hAnsi="Lato" w:cs="Calibri"/>
          <w:color w:val="000000"/>
          <w:spacing w:val="4"/>
          <w:sz w:val="22"/>
          <w:szCs w:val="22"/>
          <w:lang w:eastAsia="en-US"/>
        </w:rPr>
        <w:t>(…)]</w:t>
      </w:r>
      <w:r w:rsidRPr="0009014A">
        <w:rPr>
          <w:rFonts w:ascii="Lato" w:eastAsiaTheme="minorHAnsi" w:hAnsi="Lato" w:cs="Calibri"/>
          <w:color w:val="000000"/>
          <w:spacing w:val="4"/>
          <w:sz w:val="22"/>
          <w:szCs w:val="22"/>
          <w:lang w:eastAsia="en-US"/>
        </w:rPr>
        <w:t xml:space="preserve">, </w:t>
      </w:r>
      <w:r w:rsidRPr="0009014A">
        <w:rPr>
          <w:rFonts w:ascii="Lato" w:eastAsiaTheme="minorHAnsi" w:hAnsi="Lato" w:cs="Calibri"/>
          <w:iCs/>
          <w:color w:val="000000"/>
          <w:spacing w:val="4"/>
          <w:sz w:val="22"/>
          <w:szCs w:val="22"/>
          <w:lang w:eastAsia="en-US"/>
        </w:rPr>
        <w:t>organ wydający decyzję o ustaleniu lokalizacji inwestycji w zakresie CPK nie wykonuje samodzielnie czynności i nie sporządza samodzielnie dokumentacji geodezyjnej, tylko korzysta z dołączonej do wniosku o wydanie decyzji dokumentacji geodezyjnej przygotowanej przez uprawnione podmioty.</w:t>
      </w:r>
      <w:r w:rsidRPr="0009014A">
        <w:rPr>
          <w:rFonts w:ascii="Lato" w:eastAsiaTheme="minorHAnsi" w:hAnsi="Lato" w:cs="Arial"/>
          <w:bCs/>
          <w:iCs/>
          <w:spacing w:val="4"/>
          <w:sz w:val="22"/>
          <w:szCs w:val="22"/>
          <w:lang w:eastAsia="en-US" w:bidi="pl-PL"/>
        </w:rPr>
        <w:t xml:space="preserve"> Dokumentacja geodezyjna przyjęta do państwowego zasobu, opatrzona klauzulą o weryfikacji, stanowi wiążący dowód dla organów orzekających w sprawie o ustalenie lokalizacji inwestycji w zakresie CPK. Organ właściwy do wydania decyzji o ustaleniu lokalizacji inwestycji w zakresie CPK nie posiada kompetencji do merytorycznego kwestionowania danych sprawdzonych i potwierdzonych przez służby geodezyjne.</w:t>
      </w:r>
    </w:p>
    <w:p w14:paraId="0381E62C" w14:textId="435E71BD" w:rsidR="0009014A" w:rsidRPr="0009014A" w:rsidRDefault="0009014A" w:rsidP="0009014A">
      <w:pPr>
        <w:spacing w:after="240" w:line="240" w:lineRule="exact"/>
        <w:ind w:left="-142"/>
        <w:jc w:val="both"/>
        <w:rPr>
          <w:rFonts w:ascii="Lato" w:eastAsiaTheme="minorHAnsi" w:hAnsi="Lato" w:cs="Calibri"/>
          <w:bCs/>
          <w:iCs/>
          <w:spacing w:val="4"/>
          <w:sz w:val="22"/>
          <w:szCs w:val="22"/>
          <w:lang w:eastAsia="en-US" w:bidi="pl-PL"/>
        </w:rPr>
      </w:pPr>
      <w:r w:rsidRPr="0009014A">
        <w:rPr>
          <w:rFonts w:ascii="Lato" w:eastAsiaTheme="minorHAnsi" w:hAnsi="Lato" w:cs="Calibri"/>
          <w:bCs/>
          <w:iCs/>
          <w:spacing w:val="4"/>
          <w:sz w:val="22"/>
          <w:szCs w:val="22"/>
          <w:lang w:eastAsia="en-US" w:bidi="pl-PL"/>
        </w:rPr>
        <w:t>Za niezasadny należy uznać zarzut Pana K</w:t>
      </w:r>
      <w:r w:rsidR="007D54F2">
        <w:rPr>
          <w:rFonts w:ascii="Lato" w:eastAsiaTheme="minorHAnsi" w:hAnsi="Lato" w:cs="Calibri"/>
          <w:bCs/>
          <w:iCs/>
          <w:spacing w:val="4"/>
          <w:sz w:val="22"/>
          <w:szCs w:val="22"/>
          <w:lang w:eastAsia="en-US" w:bidi="pl-PL"/>
        </w:rPr>
        <w:t>.</w:t>
      </w:r>
      <w:r w:rsidRPr="0009014A">
        <w:rPr>
          <w:rFonts w:ascii="Lato" w:eastAsiaTheme="minorHAnsi" w:hAnsi="Lato" w:cs="Calibri"/>
          <w:bCs/>
          <w:iCs/>
          <w:spacing w:val="4"/>
          <w:sz w:val="22"/>
          <w:szCs w:val="22"/>
          <w:lang w:eastAsia="en-US" w:bidi="pl-PL"/>
        </w:rPr>
        <w:t xml:space="preserve"> T</w:t>
      </w:r>
      <w:r w:rsidR="007D54F2">
        <w:rPr>
          <w:rFonts w:ascii="Lato" w:eastAsiaTheme="minorHAnsi" w:hAnsi="Lato" w:cs="Calibri"/>
          <w:bCs/>
          <w:iCs/>
          <w:spacing w:val="4"/>
          <w:sz w:val="22"/>
          <w:szCs w:val="22"/>
          <w:lang w:eastAsia="en-US" w:bidi="pl-PL"/>
        </w:rPr>
        <w:t>.</w:t>
      </w:r>
      <w:r w:rsidRPr="0009014A">
        <w:rPr>
          <w:rFonts w:ascii="Lato" w:eastAsiaTheme="minorHAnsi" w:hAnsi="Lato" w:cs="Calibri"/>
          <w:bCs/>
          <w:iCs/>
          <w:spacing w:val="4"/>
          <w:sz w:val="22"/>
          <w:szCs w:val="22"/>
          <w:lang w:eastAsia="en-US" w:bidi="pl-PL"/>
        </w:rPr>
        <w:t>, Pana E</w:t>
      </w:r>
      <w:r w:rsidR="007D54F2">
        <w:rPr>
          <w:rFonts w:ascii="Lato" w:eastAsiaTheme="minorHAnsi" w:hAnsi="Lato" w:cs="Calibri"/>
          <w:bCs/>
          <w:iCs/>
          <w:spacing w:val="4"/>
          <w:sz w:val="22"/>
          <w:szCs w:val="22"/>
          <w:lang w:eastAsia="en-US" w:bidi="pl-PL"/>
        </w:rPr>
        <w:t>.</w:t>
      </w:r>
      <w:r w:rsidRPr="0009014A">
        <w:rPr>
          <w:rFonts w:ascii="Lato" w:eastAsiaTheme="minorHAnsi" w:hAnsi="Lato" w:cs="Calibri"/>
          <w:bCs/>
          <w:iCs/>
          <w:spacing w:val="4"/>
          <w:sz w:val="22"/>
          <w:szCs w:val="22"/>
          <w:lang w:eastAsia="en-US" w:bidi="pl-PL"/>
        </w:rPr>
        <w:t xml:space="preserve"> T</w:t>
      </w:r>
      <w:r w:rsidR="007D54F2">
        <w:rPr>
          <w:rFonts w:ascii="Lato" w:eastAsiaTheme="minorHAnsi" w:hAnsi="Lato" w:cs="Calibri"/>
          <w:bCs/>
          <w:iCs/>
          <w:spacing w:val="4"/>
          <w:sz w:val="22"/>
          <w:szCs w:val="22"/>
          <w:lang w:eastAsia="en-US" w:bidi="pl-PL"/>
        </w:rPr>
        <w:t>.</w:t>
      </w:r>
      <w:r w:rsidRPr="0009014A">
        <w:rPr>
          <w:rFonts w:ascii="Lato" w:eastAsiaTheme="minorHAnsi" w:hAnsi="Lato" w:cs="Calibri"/>
          <w:bCs/>
          <w:iCs/>
          <w:spacing w:val="4"/>
          <w:sz w:val="22"/>
          <w:szCs w:val="22"/>
          <w:lang w:eastAsia="en-US" w:bidi="pl-PL"/>
        </w:rPr>
        <w:t xml:space="preserve"> i Pani K</w:t>
      </w:r>
      <w:r w:rsidR="007D54F2">
        <w:rPr>
          <w:rFonts w:ascii="Lato" w:eastAsiaTheme="minorHAnsi" w:hAnsi="Lato" w:cs="Calibri"/>
          <w:bCs/>
          <w:iCs/>
          <w:spacing w:val="4"/>
          <w:sz w:val="22"/>
          <w:szCs w:val="22"/>
          <w:lang w:eastAsia="en-US" w:bidi="pl-PL"/>
        </w:rPr>
        <w:t>.</w:t>
      </w:r>
      <w:r w:rsidRPr="0009014A">
        <w:rPr>
          <w:rFonts w:ascii="Lato" w:eastAsiaTheme="minorHAnsi" w:hAnsi="Lato" w:cs="Calibri"/>
          <w:bCs/>
          <w:iCs/>
          <w:spacing w:val="4"/>
          <w:sz w:val="22"/>
          <w:szCs w:val="22"/>
          <w:lang w:eastAsia="en-US" w:bidi="pl-PL"/>
        </w:rPr>
        <w:t xml:space="preserve"> T</w:t>
      </w:r>
      <w:r w:rsidR="007D54F2">
        <w:rPr>
          <w:rFonts w:ascii="Lato" w:eastAsiaTheme="minorHAnsi" w:hAnsi="Lato" w:cs="Calibri"/>
          <w:bCs/>
          <w:iCs/>
          <w:spacing w:val="4"/>
          <w:sz w:val="22"/>
          <w:szCs w:val="22"/>
          <w:lang w:eastAsia="en-US" w:bidi="pl-PL"/>
        </w:rPr>
        <w:t>.</w:t>
      </w:r>
      <w:r w:rsidRPr="0009014A">
        <w:rPr>
          <w:rFonts w:ascii="Lato" w:eastAsiaTheme="minorHAnsi" w:hAnsi="Lato" w:cs="Calibri"/>
          <w:bCs/>
          <w:iCs/>
          <w:spacing w:val="4"/>
          <w:sz w:val="22"/>
          <w:szCs w:val="22"/>
          <w:lang w:eastAsia="en-US" w:bidi="pl-PL"/>
        </w:rPr>
        <w:t xml:space="preserve"> dotyczący braku konsultacji społecznych. </w:t>
      </w:r>
    </w:p>
    <w:p w14:paraId="2967DCD5" w14:textId="77777777" w:rsidR="0009014A" w:rsidRPr="0009014A" w:rsidRDefault="0009014A" w:rsidP="0009014A">
      <w:pPr>
        <w:spacing w:after="240" w:line="240" w:lineRule="exact"/>
        <w:ind w:left="-142"/>
        <w:jc w:val="both"/>
        <w:rPr>
          <w:rFonts w:ascii="Lato" w:eastAsiaTheme="minorHAnsi" w:hAnsi="Lato" w:cstheme="minorBidi"/>
          <w:bCs/>
          <w:iCs/>
          <w:spacing w:val="4"/>
          <w:sz w:val="22"/>
          <w:szCs w:val="22"/>
          <w:lang w:eastAsia="en-US" w:bidi="pl-PL"/>
        </w:rPr>
      </w:pPr>
      <w:r w:rsidRPr="0009014A">
        <w:rPr>
          <w:rFonts w:ascii="Lato" w:eastAsiaTheme="minorHAnsi" w:hAnsi="Lato" w:cs="Calibri"/>
          <w:bCs/>
          <w:iCs/>
          <w:spacing w:val="4"/>
          <w:sz w:val="22"/>
          <w:szCs w:val="22"/>
          <w:lang w:eastAsia="en-US" w:bidi="pl-PL"/>
        </w:rPr>
        <w:t xml:space="preserve">Jak już to zostało wyjaśnione wcześniej w niniejszej decyzji, </w:t>
      </w:r>
      <w:r w:rsidRPr="0009014A">
        <w:rPr>
          <w:rFonts w:ascii="Lato" w:eastAsiaTheme="minorHAnsi" w:hAnsi="Lato" w:cs="Calibri"/>
          <w:spacing w:val="4"/>
          <w:sz w:val="22"/>
          <w:szCs w:val="22"/>
          <w:lang w:eastAsia="en-US"/>
        </w:rPr>
        <w:t>zarzut dotyczący braku konsultacji społecznych w kontekście procedury ustalenia lokalizacji inwestycji w zakresie CPK jest bezzasadny, ponieważ żaden przepis, w szczególności ustawy CPK, nie nakłada wymogu przeprowadzenia konsultacji społecznych w toku postępowania lokalizacyjnego.</w:t>
      </w:r>
      <w:r w:rsidRPr="0009014A">
        <w:rPr>
          <w:rFonts w:ascii="Lato" w:eastAsiaTheme="minorHAnsi" w:hAnsi="Lato" w:cstheme="minorBidi"/>
          <w:bCs/>
          <w:iCs/>
          <w:spacing w:val="4"/>
          <w:sz w:val="22"/>
          <w:szCs w:val="22"/>
          <w:lang w:eastAsia="en-US" w:bidi="pl-PL"/>
        </w:rPr>
        <w:t xml:space="preserve"> W tym miejscu zwrócić należy uwagę na uzasadnienie do rządowego projektu ustawy </w:t>
      </w:r>
      <w:r w:rsidRPr="0009014A">
        <w:rPr>
          <w:rFonts w:ascii="Lato" w:eastAsiaTheme="minorHAnsi" w:hAnsi="Lato" w:cstheme="minorBidi"/>
          <w:bCs/>
          <w:iCs/>
          <w:spacing w:val="4"/>
          <w:sz w:val="22"/>
          <w:szCs w:val="22"/>
          <w:lang w:eastAsia="en-US" w:bidi="pl-PL"/>
        </w:rPr>
        <w:br/>
        <w:t xml:space="preserve">o usprawnieniu procesu inwestycyjnego Centralnego Portu Komunikacyjnego (druk sejmowy nr 2400, Sejm IX kadencji, </w:t>
      </w:r>
      <w:hyperlink r:id="rId17" w:history="1">
        <w:r w:rsidRPr="0009014A">
          <w:rPr>
            <w:rFonts w:ascii="Lato" w:eastAsiaTheme="minorHAnsi" w:hAnsi="Lato" w:cstheme="minorBidi"/>
            <w:bCs/>
            <w:iCs/>
            <w:spacing w:val="4"/>
            <w:sz w:val="22"/>
            <w:szCs w:val="22"/>
            <w:lang w:eastAsia="en-US" w:bidi="pl-PL"/>
          </w:rPr>
          <w:t>www.sejm.gov.pl</w:t>
        </w:r>
      </w:hyperlink>
      <w:r w:rsidRPr="0009014A">
        <w:rPr>
          <w:rFonts w:ascii="Lato" w:eastAsiaTheme="minorHAnsi" w:hAnsi="Lato" w:cstheme="minorBidi"/>
          <w:bCs/>
          <w:iCs/>
          <w:spacing w:val="4"/>
          <w:sz w:val="22"/>
          <w:szCs w:val="22"/>
          <w:lang w:eastAsia="en-US" w:bidi="pl-PL"/>
        </w:rPr>
        <w:t>), bowiem ustawa z dnia 22 lipca 2022 r. o usprawnieniu procesu inwestycyjnego Centralnego Portu Komunikacyjnego (Dz.U. z 2022 r. poz. 1846), uchyliła art. 42 ustawy CPK stanowiący o konsultacjach społecznych przed złożeniem wniosku o wydanie decyzji o ustaleniu lokalizacji inwestycji w zakresie CPK. Jako argumentację za rezygnacją z konsultacji społecznych</w:t>
      </w:r>
      <w:r w:rsidRPr="0009014A">
        <w:rPr>
          <w:rFonts w:ascii="Lato" w:eastAsiaTheme="minorHAnsi" w:hAnsi="Lato" w:cstheme="minorBidi"/>
          <w:b/>
          <w:bCs/>
          <w:iCs/>
          <w:spacing w:val="4"/>
          <w:sz w:val="22"/>
          <w:szCs w:val="22"/>
          <w:lang w:eastAsia="en-US" w:bidi="pl-PL"/>
        </w:rPr>
        <w:t xml:space="preserve"> </w:t>
      </w:r>
      <w:r w:rsidRPr="0009014A">
        <w:rPr>
          <w:rFonts w:ascii="Lato" w:eastAsiaTheme="minorHAnsi" w:hAnsi="Lato" w:cstheme="minorBidi"/>
          <w:bCs/>
          <w:iCs/>
          <w:spacing w:val="4"/>
          <w:sz w:val="22"/>
          <w:szCs w:val="22"/>
          <w:lang w:eastAsia="en-US" w:bidi="pl-PL"/>
        </w:rPr>
        <w:t>na tym etapie postępowania w uzasadnieniu do rządowego projektu ww. ustawy powołano następujące okoliczności: „Z uwagi na związany charakter decyzji lokalizacyjnej oraz fakt prowadzenia szerokich konsultacji społecznych na innych etapach przygotowania inwestycji CPK (bieżący dialog społeczny, Strategiczne Studium Lokalizacyjne, decyzja o środowiskowych uwarunkowaniach) proponuje się rezygnację z dodatkowych obligatoryjnych konsultacji społecznych na etapie decyzji lokalizacyjnej.”.</w:t>
      </w:r>
    </w:p>
    <w:p w14:paraId="108FAFB9" w14:textId="77777777" w:rsidR="0009014A" w:rsidRPr="0009014A" w:rsidRDefault="0009014A" w:rsidP="0009014A">
      <w:pPr>
        <w:spacing w:after="240" w:line="240" w:lineRule="exact"/>
        <w:ind w:left="-142"/>
        <w:jc w:val="both"/>
        <w:rPr>
          <w:rFonts w:ascii="Lato" w:eastAsiaTheme="minorHAnsi" w:hAnsi="Lato" w:cs="Calibri"/>
          <w:bCs/>
          <w:iCs/>
          <w:color w:val="000000"/>
          <w:spacing w:val="4"/>
          <w:sz w:val="22"/>
          <w:szCs w:val="22"/>
          <w:lang w:eastAsia="en-US" w:bidi="pl-PL"/>
        </w:rPr>
      </w:pPr>
      <w:r w:rsidRPr="0009014A">
        <w:rPr>
          <w:rFonts w:ascii="Lato" w:eastAsiaTheme="minorHAnsi" w:hAnsi="Lato" w:cs="Calibri"/>
          <w:bCs/>
          <w:iCs/>
          <w:color w:val="000000"/>
          <w:spacing w:val="4"/>
          <w:sz w:val="22"/>
          <w:szCs w:val="22"/>
          <w:lang w:eastAsia="en-US" w:bidi="pl-PL"/>
        </w:rPr>
        <w:t xml:space="preserve">Obowiązujące przepisy ustawy CPK nie zobowiązują zatem inwestora do poprzedzenia wystąpienia z wnioskiem o wydanie decyzji o ustaleniu lokalizacji inwestycji w zakresie CPK przeprowadzeniem uzgodnień, czy też konsultacji, które miałyby na celu ustalenie przebiegu projektowanej Inwestycji z właścicielami nieruchomości objętych Inwestycją. Oznacza to, że strona nie może skutecznie zarzucać wadliwości decyzji o ustaleniu lokalizacji inwestycji w zakresie CPK z powodu braku ich przeprowadzenia, czy też niewłaściwej organizacji. Prawidłowość tego stanowiska potwierdza ugruntowane orzecznictwo sądowoadministracyjne dotyczące decyzji o zezwoleniu na realizację inwestycji drogowej wydawanej na podstawie specustawy drogowej (vide: wyroki Naczelnego Sądu Administracyjnego z dnia 21 września 2012 r., sygn. akt II OSK 1614/12, oraz z dnia 17 grudnia 2015 r., sygn. akt II OSK 2501/15; a także wyrok Wojewódzkiego Sądu Administracyjnego w Warszawie z dnia 20 marca 2012 r., sygn. akt VII SA/Wa 2632/11, opubl. Centralna Baza Orzeczeń Sądów Administracyjnych). Na uwagę zasługuje również fakt, że konsultacje społeczne były prowadzone na wcześniejszym etapie procesu </w:t>
      </w:r>
      <w:r w:rsidRPr="0009014A">
        <w:rPr>
          <w:rFonts w:ascii="Lato" w:eastAsiaTheme="minorHAnsi" w:hAnsi="Lato" w:cs="Calibri"/>
          <w:bCs/>
          <w:iCs/>
          <w:color w:val="000000"/>
          <w:spacing w:val="4"/>
          <w:sz w:val="22"/>
          <w:szCs w:val="22"/>
          <w:lang w:eastAsia="en-US" w:bidi="pl-PL"/>
        </w:rPr>
        <w:lastRenderedPageBreak/>
        <w:t xml:space="preserve">inwestycyjnego, tj. w toku postępowania prowadzonego w sprawie wydania decyzji </w:t>
      </w:r>
      <w:r w:rsidRPr="0009014A">
        <w:rPr>
          <w:rFonts w:ascii="Lato" w:eastAsiaTheme="minorHAnsi" w:hAnsi="Lato" w:cs="Calibri"/>
          <w:bCs/>
          <w:iCs/>
          <w:color w:val="000000"/>
          <w:spacing w:val="4"/>
          <w:sz w:val="22"/>
          <w:szCs w:val="22"/>
          <w:lang w:eastAsia="en-US" w:bidi="pl-PL"/>
        </w:rPr>
        <w:br/>
        <w:t xml:space="preserve">o środowiskowych uwarunkowaniach. </w:t>
      </w:r>
    </w:p>
    <w:p w14:paraId="48B1BB42" w14:textId="04626145" w:rsidR="008356B2" w:rsidRDefault="0009014A" w:rsidP="00612FB2">
      <w:pPr>
        <w:spacing w:after="240" w:line="240" w:lineRule="exact"/>
        <w:ind w:left="-142"/>
        <w:jc w:val="both"/>
        <w:rPr>
          <w:rFonts w:ascii="Lato" w:eastAsiaTheme="minorHAnsi" w:hAnsi="Lato" w:cs="Calibri"/>
          <w:bCs/>
          <w:iCs/>
          <w:color w:val="000000"/>
          <w:spacing w:val="4"/>
          <w:sz w:val="22"/>
          <w:szCs w:val="22"/>
          <w:lang w:eastAsia="en-US" w:bidi="pl-PL"/>
        </w:rPr>
      </w:pPr>
      <w:r w:rsidRPr="0009014A">
        <w:rPr>
          <w:rFonts w:ascii="Lato" w:eastAsiaTheme="minorHAnsi" w:hAnsi="Lato" w:cs="Calibri"/>
          <w:bCs/>
          <w:iCs/>
          <w:color w:val="000000"/>
          <w:spacing w:val="4"/>
          <w:sz w:val="22"/>
          <w:szCs w:val="22"/>
          <w:lang w:eastAsia="en-US" w:bidi="pl-PL"/>
        </w:rPr>
        <w:t>Odnośnie zarzutu Pana K</w:t>
      </w:r>
      <w:r w:rsidR="00530629">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T</w:t>
      </w:r>
      <w:r w:rsidR="00530629">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dotyczącego naruszenia art. 10 § 1 kpa, Minister podtrzymuje w tym zakresie argumentację powołaną już w niniejszej decyzji odnośnie tożsamego </w:t>
      </w:r>
      <w:r w:rsidR="00530629">
        <w:rPr>
          <w:rFonts w:ascii="Lato" w:eastAsiaTheme="minorHAnsi" w:hAnsi="Lato" w:cs="Calibri"/>
          <w:bCs/>
          <w:iCs/>
          <w:color w:val="000000"/>
          <w:spacing w:val="4"/>
          <w:sz w:val="22"/>
          <w:szCs w:val="22"/>
          <w:lang w:eastAsia="en-US" w:bidi="pl-PL"/>
        </w:rPr>
        <w:br/>
      </w:r>
      <w:r w:rsidRPr="0009014A">
        <w:rPr>
          <w:rFonts w:ascii="Lato" w:eastAsiaTheme="minorHAnsi" w:hAnsi="Lato" w:cs="Calibri"/>
          <w:bCs/>
          <w:iCs/>
          <w:color w:val="000000"/>
          <w:spacing w:val="4"/>
          <w:sz w:val="22"/>
          <w:szCs w:val="22"/>
          <w:lang w:eastAsia="en-US" w:bidi="pl-PL"/>
        </w:rPr>
        <w:t xml:space="preserve">w </w:t>
      </w:r>
      <w:r w:rsidR="00612FB2" w:rsidRPr="0009014A">
        <w:rPr>
          <w:rFonts w:ascii="Lato" w:eastAsiaTheme="minorHAnsi" w:hAnsi="Lato" w:cs="Calibri"/>
          <w:bCs/>
          <w:iCs/>
          <w:color w:val="000000"/>
          <w:spacing w:val="4"/>
          <w:sz w:val="22"/>
          <w:szCs w:val="22"/>
          <w:lang w:eastAsia="en-US" w:bidi="pl-PL"/>
        </w:rPr>
        <w:t>swej</w:t>
      </w:r>
      <w:r w:rsidRPr="0009014A">
        <w:rPr>
          <w:rFonts w:ascii="Lato" w:eastAsiaTheme="minorHAnsi" w:hAnsi="Lato" w:cs="Calibri"/>
          <w:bCs/>
          <w:iCs/>
          <w:color w:val="000000"/>
          <w:spacing w:val="4"/>
          <w:sz w:val="22"/>
          <w:szCs w:val="22"/>
          <w:lang w:eastAsia="en-US" w:bidi="pl-PL"/>
        </w:rPr>
        <w:t xml:space="preserve"> istocie zarzutu Państwa K</w:t>
      </w:r>
      <w:r w:rsidR="00530629">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i spółki </w:t>
      </w:r>
      <w:r w:rsidR="00530629">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Przypomnieć należy, że dla skuteczności zarzutu pozbawienia strony możliwości czynnego udziału w toczącym się postępowaniu administracyjnym koniecznym jest wykazanie, że zarzucane uchybienie uniemożliwiło stronie przeprowadzenie konkretnych czynności procesowych i nie mogło być konwalidowane na późniejszych etapach tego postępowania, jak również, że naruszenie to miało istotny wpływ na wynik sprawy. To do strony stawiającej zarzut należy więc wykazanie istnienia związku przyczynowego między naruszeniem przepisów postępowania, a wynikiem sprawy. To zatem strona stawiająca zarzut naruszenia art. 10 § 1 kpa, powinna wykazać, iż uchybienie to miało istotny wpływ na wynik sprawy, tzn. że uniemożliwiło jej dokonanie konkretnych czynności procesowych, mogących mieć znaczenie dla rozstrzygnięcia sprawy.</w:t>
      </w:r>
      <w:r w:rsidR="00612FB2">
        <w:rPr>
          <w:rFonts w:ascii="Lato" w:eastAsiaTheme="minorHAnsi" w:hAnsi="Lato" w:cs="Calibri"/>
          <w:bCs/>
          <w:iCs/>
          <w:color w:val="000000"/>
          <w:spacing w:val="4"/>
          <w:sz w:val="22"/>
          <w:szCs w:val="22"/>
          <w:lang w:eastAsia="en-US" w:bidi="pl-PL"/>
        </w:rPr>
        <w:t xml:space="preserve"> </w:t>
      </w:r>
      <w:r w:rsidRPr="0009014A">
        <w:rPr>
          <w:rFonts w:ascii="Lato" w:eastAsiaTheme="minorHAnsi" w:hAnsi="Lato" w:cs="Calibri"/>
          <w:bCs/>
          <w:iCs/>
          <w:color w:val="000000"/>
          <w:spacing w:val="4"/>
          <w:sz w:val="22"/>
          <w:szCs w:val="22"/>
          <w:lang w:eastAsia="en-US" w:bidi="pl-PL"/>
        </w:rPr>
        <w:t xml:space="preserve">Skarżący podnosząc ten zarzut nie wskazał, jakich konkretnych czynności procesowych nie mógł dokonać, które mogłyby doprowadzić do odmiennego rozstrzygnięcia sprawy dotyczącej ustalenia lokalizacji przedmiotowej Inwestycji na jego nieruchomości. Takich argumentów skarżący nie przedstawił również na etapie postępowania odwoławczego. Skarżący mógł odnieść się do materiału dowodowego w toku postępowania odwoławczego, mógł też złożyć niezbędne wnioski, </w:t>
      </w:r>
      <w:r w:rsidR="00530629">
        <w:rPr>
          <w:rFonts w:ascii="Lato" w:eastAsiaTheme="minorHAnsi" w:hAnsi="Lato" w:cs="Calibri"/>
          <w:bCs/>
          <w:iCs/>
          <w:color w:val="000000"/>
          <w:spacing w:val="4"/>
          <w:sz w:val="22"/>
          <w:szCs w:val="22"/>
          <w:lang w:eastAsia="en-US" w:bidi="pl-PL"/>
        </w:rPr>
        <w:br/>
      </w:r>
      <w:r w:rsidRPr="0009014A">
        <w:rPr>
          <w:rFonts w:ascii="Lato" w:eastAsiaTheme="minorHAnsi" w:hAnsi="Lato" w:cs="Calibri"/>
          <w:bCs/>
          <w:iCs/>
          <w:color w:val="000000"/>
          <w:spacing w:val="4"/>
          <w:sz w:val="22"/>
          <w:szCs w:val="22"/>
          <w:lang w:eastAsia="en-US" w:bidi="pl-PL"/>
        </w:rPr>
        <w:t>a argumenty przez niego podniesione został</w:t>
      </w:r>
      <w:r w:rsidR="00612FB2">
        <w:rPr>
          <w:rFonts w:ascii="Lato" w:eastAsiaTheme="minorHAnsi" w:hAnsi="Lato" w:cs="Calibri"/>
          <w:bCs/>
          <w:iCs/>
          <w:color w:val="000000"/>
          <w:spacing w:val="4"/>
          <w:sz w:val="22"/>
          <w:szCs w:val="22"/>
          <w:lang w:eastAsia="en-US" w:bidi="pl-PL"/>
        </w:rPr>
        <w:t>b</w:t>
      </w:r>
      <w:r w:rsidRPr="0009014A">
        <w:rPr>
          <w:rFonts w:ascii="Lato" w:eastAsiaTheme="minorHAnsi" w:hAnsi="Lato" w:cs="Calibri"/>
          <w:bCs/>
          <w:iCs/>
          <w:color w:val="000000"/>
          <w:spacing w:val="4"/>
          <w:sz w:val="22"/>
          <w:szCs w:val="22"/>
          <w:lang w:eastAsia="en-US" w:bidi="pl-PL"/>
        </w:rPr>
        <w:t xml:space="preserve">y ocenione na etapie postępowania przed organem II instancji. </w:t>
      </w:r>
    </w:p>
    <w:p w14:paraId="1FC4C408" w14:textId="59EFF01B" w:rsidR="0009014A" w:rsidRPr="0009014A" w:rsidRDefault="0009014A" w:rsidP="00612FB2">
      <w:pPr>
        <w:spacing w:after="240" w:line="240" w:lineRule="exact"/>
        <w:ind w:left="-142"/>
        <w:jc w:val="both"/>
        <w:rPr>
          <w:rFonts w:ascii="Lato" w:eastAsiaTheme="minorHAnsi" w:hAnsi="Lato" w:cs="Calibri"/>
          <w:bCs/>
          <w:iCs/>
          <w:color w:val="000000"/>
          <w:spacing w:val="4"/>
          <w:sz w:val="22"/>
          <w:szCs w:val="22"/>
          <w:lang w:eastAsia="en-US" w:bidi="pl-PL"/>
        </w:rPr>
      </w:pPr>
      <w:r w:rsidRPr="0009014A">
        <w:rPr>
          <w:rFonts w:ascii="Lato" w:eastAsiaTheme="minorHAnsi" w:hAnsi="Lato" w:cs="Calibri"/>
          <w:bCs/>
          <w:iCs/>
          <w:color w:val="000000"/>
          <w:spacing w:val="4"/>
          <w:sz w:val="22"/>
          <w:szCs w:val="22"/>
          <w:lang w:eastAsia="en-US" w:bidi="pl-PL"/>
        </w:rPr>
        <w:t xml:space="preserve">Jak już to bowiem wyjaśniono w niniejszej decyzji, z chwilą zainicjowania postępowania przed organem drugiej instancji na skutek wniesienia środka odwoławczego, powstaje obowiązek traktowania postępowania odwoławczego jako powtórzenia rozpatrywania </w:t>
      </w:r>
      <w:r w:rsidR="008356B2">
        <w:rPr>
          <w:rFonts w:ascii="Lato" w:eastAsiaTheme="minorHAnsi" w:hAnsi="Lato" w:cs="Calibri"/>
          <w:bCs/>
          <w:iCs/>
          <w:color w:val="000000"/>
          <w:spacing w:val="4"/>
          <w:sz w:val="22"/>
          <w:szCs w:val="22"/>
          <w:lang w:eastAsia="en-US" w:bidi="pl-PL"/>
        </w:rPr>
        <w:br/>
      </w:r>
      <w:r w:rsidRPr="0009014A">
        <w:rPr>
          <w:rFonts w:ascii="Lato" w:eastAsiaTheme="minorHAnsi" w:hAnsi="Lato" w:cs="Calibri"/>
          <w:bCs/>
          <w:iCs/>
          <w:color w:val="000000"/>
          <w:spacing w:val="4"/>
          <w:sz w:val="22"/>
          <w:szCs w:val="22"/>
          <w:lang w:eastAsia="en-US" w:bidi="pl-PL"/>
        </w:rPr>
        <w:t xml:space="preserve">i rozstrzygania tej samej sprawy. Rozstrzygnięcie organu drugiej instancji jest takim samym aktem stosowania prawa, jak rozstrzygnięcie organu pierwszej instancji, a działanie organu drugiej instancji nie ma charakteru kontrolnego, ale jest działaniem merytorycznym, równoważnym działaniu organu pierwszej instancji. Skarżący oprócz odwołania, nie złożył innych wniosków dowodowych na etapie postępowania odwoławczego, w tym po udostępnieniu mu przez organ odwoławczy kopii stanowiska inwestora odnośnie jego odwołania (przy piśmie z dnia 13 czerwca 2025 r., znak: DLI-II.7620.7.2025.KR.22), jak </w:t>
      </w:r>
      <w:r w:rsidR="008356B2">
        <w:rPr>
          <w:rFonts w:ascii="Lato" w:eastAsiaTheme="minorHAnsi" w:hAnsi="Lato" w:cs="Calibri"/>
          <w:bCs/>
          <w:iCs/>
          <w:color w:val="000000"/>
          <w:spacing w:val="4"/>
          <w:sz w:val="22"/>
          <w:szCs w:val="22"/>
          <w:lang w:eastAsia="en-US" w:bidi="pl-PL"/>
        </w:rPr>
        <w:br/>
      </w:r>
      <w:r w:rsidRPr="0009014A">
        <w:rPr>
          <w:rFonts w:ascii="Lato" w:eastAsiaTheme="minorHAnsi" w:hAnsi="Lato" w:cs="Calibri"/>
          <w:bCs/>
          <w:iCs/>
          <w:color w:val="000000"/>
          <w:spacing w:val="4"/>
          <w:sz w:val="22"/>
          <w:szCs w:val="22"/>
          <w:lang w:eastAsia="en-US" w:bidi="pl-PL"/>
        </w:rPr>
        <w:t>i po wystosowaniu przez organ odwoławczy w marcu 2026 r. zawiadomienia z art. 10 kpa (pismo z dnia 2 marca 2026 r., znak: DLI-II.7620.7.2025.KR/AZ.51). W obu tych pismach (które kierowane były również do Pana E</w:t>
      </w:r>
      <w:r w:rsidR="00C47569">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T</w:t>
      </w:r>
      <w:r w:rsidR="00C47569">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i do Pani K</w:t>
      </w:r>
      <w:r w:rsidR="00C47569">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T</w:t>
      </w:r>
      <w:r w:rsidR="00C47569">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jak i pozostałych odwołujących) poinformowano również o możliwości zapoznania się ze zgromadzonym w sprawie materiałem dowodowym (aktami sprawy). </w:t>
      </w:r>
    </w:p>
    <w:p w14:paraId="5AA12DB6" w14:textId="65C9E7C1" w:rsidR="0009014A" w:rsidRPr="0009014A" w:rsidRDefault="0009014A" w:rsidP="0009014A">
      <w:pPr>
        <w:spacing w:after="240" w:line="240" w:lineRule="exact"/>
        <w:ind w:left="-142"/>
        <w:jc w:val="both"/>
        <w:rPr>
          <w:rFonts w:ascii="Lato" w:eastAsiaTheme="minorHAnsi" w:hAnsi="Lato" w:cs="Calibri"/>
          <w:bCs/>
          <w:iCs/>
          <w:color w:val="000000"/>
          <w:spacing w:val="4"/>
          <w:sz w:val="22"/>
          <w:szCs w:val="22"/>
          <w:lang w:eastAsia="en-US" w:bidi="pl-PL"/>
        </w:rPr>
      </w:pPr>
      <w:r w:rsidRPr="0009014A">
        <w:rPr>
          <w:rFonts w:ascii="Lato" w:eastAsiaTheme="minorHAnsi" w:hAnsi="Lato" w:cs="Calibri"/>
          <w:bCs/>
          <w:iCs/>
          <w:color w:val="000000"/>
          <w:spacing w:val="4"/>
          <w:sz w:val="22"/>
          <w:szCs w:val="22"/>
          <w:lang w:eastAsia="en-US" w:bidi="pl-PL"/>
        </w:rPr>
        <w:t>Nie mają racji Pan K</w:t>
      </w:r>
      <w:r w:rsidR="006F3F95">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T</w:t>
      </w:r>
      <w:r w:rsidR="006F3F95">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Pan E</w:t>
      </w:r>
      <w:r w:rsidR="006F3F95">
        <w:rPr>
          <w:rFonts w:ascii="Lato" w:eastAsiaTheme="minorHAnsi" w:hAnsi="Lato" w:cs="Calibri"/>
          <w:bCs/>
          <w:iCs/>
          <w:color w:val="000000"/>
          <w:spacing w:val="4"/>
          <w:sz w:val="22"/>
          <w:szCs w:val="22"/>
          <w:lang w:eastAsia="en-US" w:bidi="pl-PL"/>
        </w:rPr>
        <w:t xml:space="preserve">. </w:t>
      </w:r>
      <w:r w:rsidRPr="0009014A">
        <w:rPr>
          <w:rFonts w:ascii="Lato" w:eastAsiaTheme="minorHAnsi" w:hAnsi="Lato" w:cs="Calibri"/>
          <w:bCs/>
          <w:iCs/>
          <w:color w:val="000000"/>
          <w:spacing w:val="4"/>
          <w:sz w:val="22"/>
          <w:szCs w:val="22"/>
          <w:lang w:eastAsia="en-US" w:bidi="pl-PL"/>
        </w:rPr>
        <w:t>T</w:t>
      </w:r>
      <w:r w:rsidR="006F3F95">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i Pani K</w:t>
      </w:r>
      <w:r w:rsidR="006F3F95">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T</w:t>
      </w:r>
      <w:r w:rsidR="006F3F95">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podnosząc, iż oni i inni mieszkańcy mieli ograniczony dostęp do informacji związanych z lokalizacją Inwestycji. Zauważyć bowiem należy, iż o wszczęciu postępowania w sprawie wydania decyzji o ustaleniu lokalizacji inwestycji w zakresie CPK, Wojewoda Mazowiecki poinformował nie tylko w drodze indywidualnego zawiadomienia z dnia 3 czerwca 2024 r., ale także w drodze publicznego obwieszczenia z tego samego dnia. W dokonanym obwieszczeniu (zamieszczonym Mazowieckim Urzędzie Wojewódzkim, w urzędach gmin właściwych ze względu na lokalizację Inwestycji, w Biuletynie Informacji Publicznej Mazowieckiego Urzędu Wojewódzkiego i tych gmin oraz w prasie lokalnej i na stronie internetowej Pełnomocnik</w:t>
      </w:r>
      <w:r w:rsidR="00612FB2">
        <w:rPr>
          <w:rFonts w:ascii="Lato" w:eastAsiaTheme="minorHAnsi" w:hAnsi="Lato" w:cs="Calibri"/>
          <w:bCs/>
          <w:iCs/>
          <w:color w:val="000000"/>
          <w:spacing w:val="4"/>
          <w:sz w:val="22"/>
          <w:szCs w:val="22"/>
          <w:lang w:eastAsia="en-US" w:bidi="pl-PL"/>
        </w:rPr>
        <w:t>a</w:t>
      </w:r>
      <w:r w:rsidRPr="0009014A">
        <w:rPr>
          <w:rFonts w:ascii="Lato" w:eastAsiaTheme="minorHAnsi" w:hAnsi="Lato" w:cs="Calibri"/>
          <w:bCs/>
          <w:iCs/>
          <w:color w:val="000000"/>
          <w:spacing w:val="4"/>
          <w:sz w:val="22"/>
          <w:szCs w:val="22"/>
          <w:lang w:eastAsia="en-US" w:bidi="pl-PL"/>
        </w:rPr>
        <w:t xml:space="preserve"> Rządu ds. Centralnego Portu Komunikacyjnego), zawarto oznaczenie terenu inwestycji objętego wnioskiem o wydanie decyzji lokalizacyjnej, według katastru nieruchomości oraz informację o sposobie, w jaki strony postępowania mogą zapoznać się z aktami sprawy </w:t>
      </w:r>
      <w:r w:rsidR="006F3F95">
        <w:rPr>
          <w:rFonts w:ascii="Lato" w:eastAsiaTheme="minorHAnsi" w:hAnsi="Lato" w:cs="Calibri"/>
          <w:bCs/>
          <w:iCs/>
          <w:color w:val="000000"/>
          <w:spacing w:val="4"/>
          <w:sz w:val="22"/>
          <w:szCs w:val="22"/>
          <w:lang w:eastAsia="en-US" w:bidi="pl-PL"/>
        </w:rPr>
        <w:br/>
      </w:r>
      <w:r w:rsidRPr="0009014A">
        <w:rPr>
          <w:rFonts w:ascii="Lato" w:eastAsiaTheme="minorHAnsi" w:hAnsi="Lato" w:cs="Calibri"/>
          <w:bCs/>
          <w:iCs/>
          <w:color w:val="000000"/>
          <w:spacing w:val="4"/>
          <w:sz w:val="22"/>
          <w:szCs w:val="22"/>
          <w:lang w:eastAsia="en-US" w:bidi="pl-PL"/>
        </w:rPr>
        <w:t xml:space="preserve">w skład których wchodził wniosek lokalizacyjny inwestora zawierający m.in. mapy </w:t>
      </w:r>
      <w:r w:rsidR="006F3F95">
        <w:rPr>
          <w:rFonts w:ascii="Lato" w:eastAsiaTheme="minorHAnsi" w:hAnsi="Lato" w:cs="Calibri"/>
          <w:bCs/>
          <w:iCs/>
          <w:color w:val="000000"/>
          <w:spacing w:val="4"/>
          <w:sz w:val="22"/>
          <w:szCs w:val="22"/>
          <w:lang w:eastAsia="en-US" w:bidi="pl-PL"/>
        </w:rPr>
        <w:br/>
      </w:r>
      <w:r w:rsidRPr="0009014A">
        <w:rPr>
          <w:rFonts w:ascii="Lato" w:eastAsiaTheme="minorHAnsi" w:hAnsi="Lato" w:cs="Calibri"/>
          <w:bCs/>
          <w:iCs/>
          <w:color w:val="000000"/>
          <w:spacing w:val="4"/>
          <w:sz w:val="22"/>
          <w:szCs w:val="22"/>
          <w:lang w:eastAsia="en-US" w:bidi="pl-PL"/>
        </w:rPr>
        <w:t xml:space="preserve">z projektowanym obszarem Inwestycji, charakterystykę Inwestycji, mapy zawierające </w:t>
      </w:r>
      <w:r w:rsidRPr="0009014A">
        <w:rPr>
          <w:rFonts w:ascii="Lato" w:eastAsiaTheme="minorHAnsi" w:hAnsi="Lato" w:cs="Calibri"/>
          <w:bCs/>
          <w:iCs/>
          <w:color w:val="000000"/>
          <w:spacing w:val="4"/>
          <w:sz w:val="22"/>
          <w:szCs w:val="22"/>
          <w:lang w:eastAsia="en-US" w:bidi="pl-PL"/>
        </w:rPr>
        <w:lastRenderedPageBreak/>
        <w:t xml:space="preserve">projekty podziału nieruchomości oraz oznaczenie nieruchomości do wywłaszczenia. Dokonane </w:t>
      </w:r>
      <w:r w:rsidRPr="0009014A">
        <w:rPr>
          <w:rFonts w:ascii="Lato" w:eastAsiaTheme="minorHAnsi" w:hAnsi="Lato" w:cs="Calibri"/>
          <w:bCs/>
          <w:iCs/>
          <w:color w:val="000000"/>
          <w:spacing w:val="4"/>
          <w:sz w:val="22"/>
          <w:szCs w:val="22"/>
          <w:lang w:val="x-none" w:eastAsia="en-US" w:bidi="pl-PL"/>
        </w:rPr>
        <w:t xml:space="preserve">obwieszczenie miało ten skutek, że </w:t>
      </w:r>
      <w:r w:rsidRPr="0009014A">
        <w:rPr>
          <w:rFonts w:ascii="Lato" w:eastAsiaTheme="minorHAnsi" w:hAnsi="Lato" w:cs="Calibri"/>
          <w:bCs/>
          <w:iCs/>
          <w:color w:val="000000"/>
          <w:spacing w:val="4"/>
          <w:sz w:val="22"/>
          <w:szCs w:val="22"/>
          <w:lang w:eastAsia="en-US" w:bidi="pl-PL"/>
        </w:rPr>
        <w:t xml:space="preserve">informacja o wszczęciu postępowania </w:t>
      </w:r>
      <w:r w:rsidR="0042312A">
        <w:rPr>
          <w:rFonts w:ascii="Lato" w:eastAsiaTheme="minorHAnsi" w:hAnsi="Lato" w:cs="Calibri"/>
          <w:bCs/>
          <w:iCs/>
          <w:color w:val="000000"/>
          <w:spacing w:val="4"/>
          <w:sz w:val="22"/>
          <w:szCs w:val="22"/>
          <w:lang w:eastAsia="en-US" w:bidi="pl-PL"/>
        </w:rPr>
        <w:br/>
      </w:r>
      <w:r w:rsidRPr="0009014A">
        <w:rPr>
          <w:rFonts w:ascii="Lato" w:eastAsiaTheme="minorHAnsi" w:hAnsi="Lato" w:cs="Calibri"/>
          <w:bCs/>
          <w:iCs/>
          <w:color w:val="000000"/>
          <w:spacing w:val="4"/>
          <w:sz w:val="22"/>
          <w:szCs w:val="22"/>
          <w:lang w:eastAsia="en-US" w:bidi="pl-PL"/>
        </w:rPr>
        <w:t xml:space="preserve">w sprawie wydania decyzji o ustaleniu lokalizacji inwestycji w zakresie CPK była powszechnie dostępna i miał do nich dostęp każdy </w:t>
      </w:r>
      <w:r w:rsidRPr="0009014A">
        <w:rPr>
          <w:rFonts w:ascii="Lato" w:eastAsiaTheme="minorHAnsi" w:hAnsi="Lato" w:cs="Calibri"/>
          <w:bCs/>
          <w:iCs/>
          <w:color w:val="000000"/>
          <w:spacing w:val="4"/>
          <w:sz w:val="22"/>
          <w:szCs w:val="22"/>
          <w:lang w:val="x-none" w:eastAsia="en-US" w:bidi="pl-PL"/>
        </w:rPr>
        <w:t>zainteresowany</w:t>
      </w:r>
      <w:r w:rsidRPr="0009014A">
        <w:rPr>
          <w:rFonts w:ascii="Lato" w:eastAsiaTheme="minorHAnsi" w:hAnsi="Lato" w:cs="Calibri"/>
          <w:bCs/>
          <w:iCs/>
          <w:color w:val="000000"/>
          <w:spacing w:val="4"/>
          <w:sz w:val="22"/>
          <w:szCs w:val="22"/>
          <w:lang w:eastAsia="en-US" w:bidi="pl-PL"/>
        </w:rPr>
        <w:t>, co umożliwiło ewentualny czynny w nim udział. Jest to rozwiązanie procesowe służące prowadzeniu postępowań administracyjnych, w których występuje duża liczba podmiotów. Z istoty tego unormowania wynika, że na skutek jego zastosowania mogą do postępowania zgłosić się wszystkie osoby, uważające iż posiadają interes prawny w sprawie o wydanie decyzji dotyczącej ustalenia lokalizacji inwestycji w zakresie CPK.  </w:t>
      </w:r>
    </w:p>
    <w:p w14:paraId="746391E8" w14:textId="38F1929D" w:rsidR="0009014A" w:rsidRPr="0009014A" w:rsidRDefault="0009014A" w:rsidP="0009014A">
      <w:pPr>
        <w:spacing w:after="240" w:line="240" w:lineRule="exact"/>
        <w:ind w:left="-142"/>
        <w:jc w:val="both"/>
        <w:rPr>
          <w:rFonts w:ascii="Lato" w:eastAsiaTheme="minorHAnsi" w:hAnsi="Lato" w:cs="Calibri"/>
          <w:bCs/>
          <w:iCs/>
          <w:color w:val="000000"/>
          <w:spacing w:val="4"/>
          <w:sz w:val="22"/>
          <w:szCs w:val="22"/>
          <w:lang w:eastAsia="en-US" w:bidi="pl-PL"/>
        </w:rPr>
      </w:pPr>
      <w:r w:rsidRPr="0009014A">
        <w:rPr>
          <w:rFonts w:ascii="Lato" w:eastAsiaTheme="minorHAnsi" w:hAnsi="Lato" w:cs="Calibri"/>
          <w:bCs/>
          <w:iCs/>
          <w:color w:val="000000"/>
          <w:spacing w:val="4"/>
          <w:sz w:val="22"/>
          <w:szCs w:val="22"/>
          <w:lang w:eastAsia="en-US" w:bidi="pl-PL"/>
        </w:rPr>
        <w:t>W świetle powyższego, wbrew zarzutom Pana K</w:t>
      </w:r>
      <w:r w:rsidR="0042312A">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T</w:t>
      </w:r>
      <w:r w:rsidR="0042312A">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w:t>
      </w:r>
      <w:r w:rsidRPr="0009014A">
        <w:rPr>
          <w:rFonts w:ascii="Lato" w:eastAsia="Calibri" w:hAnsi="Lato" w:cs="Arial"/>
          <w:spacing w:val="4"/>
          <w:sz w:val="22"/>
          <w:szCs w:val="22"/>
        </w:rPr>
        <w:t xml:space="preserve"> </w:t>
      </w:r>
      <w:r w:rsidRPr="0009014A">
        <w:rPr>
          <w:rFonts w:ascii="Lato" w:eastAsiaTheme="minorHAnsi" w:hAnsi="Lato" w:cs="Calibri"/>
          <w:bCs/>
          <w:iCs/>
          <w:color w:val="000000"/>
          <w:spacing w:val="4"/>
          <w:sz w:val="22"/>
          <w:szCs w:val="22"/>
          <w:lang w:eastAsia="en-US" w:bidi="pl-PL"/>
        </w:rPr>
        <w:t>Pana E</w:t>
      </w:r>
      <w:r w:rsidR="0042312A">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T</w:t>
      </w:r>
      <w:r w:rsidR="0042312A">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i Pani K</w:t>
      </w:r>
      <w:r w:rsidR="0042312A">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T</w:t>
      </w:r>
      <w:r w:rsidR="0042312A">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w sprawie nie doszło do naruszenia art. 7 (zasada praworządności) i art. 61 Konstytucji RP (prawo obywateli do informacji o działalności organów władzy publicznej). </w:t>
      </w:r>
    </w:p>
    <w:p w14:paraId="219E23E8" w14:textId="6E93DCB3" w:rsidR="0009014A" w:rsidRPr="0009014A" w:rsidRDefault="0009014A" w:rsidP="00612FB2">
      <w:pPr>
        <w:spacing w:after="240" w:line="240" w:lineRule="exact"/>
        <w:ind w:left="-142"/>
        <w:jc w:val="both"/>
        <w:rPr>
          <w:rFonts w:ascii="Lato" w:eastAsiaTheme="minorHAnsi" w:hAnsi="Lato" w:cs="Calibri"/>
          <w:bCs/>
          <w:iCs/>
          <w:color w:val="000000"/>
          <w:spacing w:val="4"/>
          <w:sz w:val="22"/>
          <w:szCs w:val="22"/>
          <w:lang w:eastAsia="en-US" w:bidi="pl-PL"/>
        </w:rPr>
      </w:pPr>
      <w:r w:rsidRPr="0009014A">
        <w:rPr>
          <w:rFonts w:ascii="Lato" w:eastAsiaTheme="minorHAnsi" w:hAnsi="Lato" w:cs="Calibri"/>
          <w:bCs/>
          <w:iCs/>
          <w:color w:val="000000"/>
          <w:spacing w:val="4"/>
          <w:sz w:val="22"/>
          <w:szCs w:val="22"/>
          <w:lang w:eastAsia="en-US" w:bidi="pl-PL"/>
        </w:rPr>
        <w:t>Na uwzględnienie nie zasługują zarzuty Pana K</w:t>
      </w:r>
      <w:r w:rsidR="00C156BB">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T</w:t>
      </w:r>
      <w:r w:rsidR="00C156BB">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dotyczące utrudnień w swobodnym dojeździe do działki nr 38/2 (po podziale działka nr 38/4 pozostająca przy dotychczasowym właścicielu), z obrębu 0018 Cyganka, co może wpłynąć na prowadzenie działalności gospodarczej. Jak już to zostało wcześniej szerzej wyjaśnione w niniejszej decyzji </w:t>
      </w:r>
      <w:r w:rsidR="00C156BB">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przy odpowiedzi na zarzuty Państwa K</w:t>
      </w:r>
      <w:r w:rsidR="00C156BB">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i skarżącej spółki </w:t>
      </w:r>
      <w:r w:rsidR="00C156BB">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w utrwalonym orzecznictwie sądowoadministracyjnym przyjęto się, że pojęcie dostępu do drogi publicznej należy rozumieć możliwie jak najszerzej. Brak jest bowiem przepisu prawa, który nakazywałby zapewnienie określonego charakteru dostępu do drogi publicznej, ewentualnie dostępu do określonej kategorii dróg publicznych, bądź projektowanie dostępu zgodnie z żądaniem osoby zainteresowanej (por. m.in. wyroki Naczelnego Sądu Administracyjnego z dnia 19 lipca 2016 r., sygn. akt II OSK 1373/16, z dnia 15 października 2015 r., sygn. akt II OSK 1785/15, z dnia 26 lipca 2013 r., sygn. akt II OSK 762/13, opubl. Centralna Baza Orzeczeń Sądów Administracyjnych).</w:t>
      </w:r>
      <w:r w:rsidRPr="0009014A">
        <w:rPr>
          <w:rFonts w:ascii="Lato" w:eastAsiaTheme="minorHAnsi" w:hAnsi="Lato" w:cs="Arial"/>
          <w:bCs/>
          <w:iCs/>
          <w:spacing w:val="4"/>
          <w:sz w:val="22"/>
          <w:szCs w:val="22"/>
          <w:lang w:eastAsia="en-US" w:bidi="pl-PL"/>
        </w:rPr>
        <w:t xml:space="preserve"> </w:t>
      </w:r>
      <w:r w:rsidRPr="0009014A">
        <w:rPr>
          <w:rFonts w:ascii="Lato" w:eastAsiaTheme="minorHAnsi" w:hAnsi="Lato" w:cs="Calibri"/>
          <w:bCs/>
          <w:iCs/>
          <w:color w:val="000000"/>
          <w:spacing w:val="4"/>
          <w:sz w:val="22"/>
          <w:szCs w:val="22"/>
          <w:lang w:eastAsia="en-US" w:bidi="pl-PL"/>
        </w:rPr>
        <w:t xml:space="preserve">W wyroku z dnia 19 lipca 2016 r., sygn. akt II OSK 1373/16, Naczelny Sąd Administracyjny stwierdził, iż kwestia zmiany lokalizacji zjazdu z drogi publicznej nie świadczy o wywołaniu zaskarżoną decyzją prawnych uciążliwości, do jakich odwołuje się prawo budowlane, ponieważ tego rodzaju zagadnienie nie wiąże się z naruszeniem istoty prawa własności. Ze zmiany lokalizacji zjazdu nie wynika prawne ograniczenie wykonywanej dotychczas działalności gospodarczej. </w:t>
      </w:r>
    </w:p>
    <w:p w14:paraId="4AD433C7" w14:textId="4F09B705" w:rsidR="0009014A" w:rsidRPr="0009014A" w:rsidRDefault="0009014A" w:rsidP="0009014A">
      <w:pPr>
        <w:spacing w:after="240" w:line="240" w:lineRule="exact"/>
        <w:ind w:left="-142"/>
        <w:jc w:val="both"/>
        <w:rPr>
          <w:rFonts w:ascii="Lato" w:eastAsiaTheme="minorHAnsi" w:hAnsi="Lato" w:cs="Calibri"/>
          <w:bCs/>
          <w:iCs/>
          <w:color w:val="000000"/>
          <w:spacing w:val="4"/>
          <w:sz w:val="22"/>
          <w:szCs w:val="22"/>
          <w:lang w:eastAsia="en-US" w:bidi="pl-PL"/>
        </w:rPr>
      </w:pPr>
      <w:r w:rsidRPr="0009014A">
        <w:rPr>
          <w:rFonts w:ascii="Lato" w:eastAsiaTheme="minorHAnsi" w:hAnsi="Lato" w:cs="Calibri"/>
          <w:bCs/>
          <w:iCs/>
          <w:color w:val="000000"/>
          <w:spacing w:val="4"/>
          <w:sz w:val="22"/>
          <w:szCs w:val="22"/>
          <w:lang w:eastAsia="en-US" w:bidi="pl-PL"/>
        </w:rPr>
        <w:t>Działka nr 38/4 (powstała z podziału działki nr 38/2), z obrębu 0018 Cyganka będzie miała zapewniony dostęp do drogi publicznej (droga powiatowa przy której obecnie jest położona działka nr 38/2)</w:t>
      </w:r>
      <w:r w:rsidRPr="0009014A">
        <w:rPr>
          <w:rFonts w:ascii="Lato" w:hAnsi="Lato" w:cs="Arial"/>
          <w:color w:val="000000"/>
          <w:spacing w:val="4"/>
          <w:sz w:val="22"/>
          <w:szCs w:val="22"/>
        </w:rPr>
        <w:t xml:space="preserve"> </w:t>
      </w:r>
      <w:r w:rsidRPr="0009014A">
        <w:rPr>
          <w:rFonts w:ascii="Lato" w:eastAsiaTheme="minorHAnsi" w:hAnsi="Lato" w:cs="Calibri"/>
          <w:bCs/>
          <w:iCs/>
          <w:color w:val="000000"/>
          <w:spacing w:val="4"/>
          <w:sz w:val="22"/>
          <w:szCs w:val="22"/>
          <w:lang w:eastAsia="en-US" w:bidi="pl-PL"/>
        </w:rPr>
        <w:t xml:space="preserve">przez drogę wewnętrzną wybudowaną przez inwestora ramach Inwestycji na działkach które stanowią już własność inwestora – CPK Sp. z o.o. lub staną się jego własnością z dniem, w którym decyzja o </w:t>
      </w:r>
      <w:r w:rsidRPr="00D42E62">
        <w:rPr>
          <w:rFonts w:ascii="Lato" w:eastAsiaTheme="minorHAnsi" w:hAnsi="Lato" w:cs="Calibri"/>
          <w:bCs/>
          <w:iCs/>
          <w:spacing w:val="4"/>
          <w:sz w:val="22"/>
          <w:szCs w:val="22"/>
          <w:lang w:eastAsia="en-US" w:bidi="pl-PL"/>
        </w:rPr>
        <w:t xml:space="preserve">ustaleniu </w:t>
      </w:r>
      <w:r w:rsidRPr="0009014A">
        <w:rPr>
          <w:rFonts w:ascii="Lato" w:eastAsiaTheme="minorHAnsi" w:hAnsi="Lato" w:cs="Calibri"/>
          <w:bCs/>
          <w:iCs/>
          <w:color w:val="000000"/>
          <w:spacing w:val="4"/>
          <w:sz w:val="22"/>
          <w:szCs w:val="22"/>
          <w:lang w:eastAsia="en-US" w:bidi="pl-PL"/>
        </w:rPr>
        <w:t xml:space="preserve">lokalizacji inwestycji </w:t>
      </w:r>
      <w:r w:rsidRPr="0009014A">
        <w:rPr>
          <w:rFonts w:ascii="Lato" w:eastAsiaTheme="minorHAnsi" w:hAnsi="Lato" w:cs="Calibri"/>
          <w:bCs/>
          <w:iCs/>
          <w:color w:val="000000"/>
          <w:spacing w:val="4"/>
          <w:sz w:val="22"/>
          <w:szCs w:val="22"/>
          <w:lang w:eastAsia="en-US" w:bidi="pl-PL"/>
        </w:rPr>
        <w:br/>
        <w:t>w zakresie CPK stanie się ostateczna. W celu zapewnienia prawnego dostępu do drogi publicznej dla działki skarżącego - w pkt I niniejszej decyzji - Minister ustanowił służebność przejazdu i przechodu po ww. drodze wewnętrznej. Służebność drogi koniecznej jest jednym z prawnych sposobów zapewnienia dostępu do drogi publicznej dla nieruchomości. O kwestii konieczności ustanowienia w niniejszej decyzji służebności przechodu i przejazdu była już mowa szerzej przy rozpatrywaniu zarzutów Pana K</w:t>
      </w:r>
      <w:r w:rsidR="00C46B18">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O</w:t>
      </w:r>
      <w:r w:rsidR="00C46B18">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Państwa K</w:t>
      </w:r>
      <w:r w:rsidR="00C46B18">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i skarżącej spółki. </w:t>
      </w:r>
    </w:p>
    <w:p w14:paraId="461E33DE" w14:textId="23026659" w:rsidR="0009014A" w:rsidRPr="00D42E62" w:rsidRDefault="0009014A" w:rsidP="009526BA">
      <w:pPr>
        <w:spacing w:after="240" w:line="240" w:lineRule="exact"/>
        <w:ind w:left="-142"/>
        <w:jc w:val="both"/>
        <w:rPr>
          <w:rFonts w:ascii="Lato" w:eastAsiaTheme="minorHAnsi" w:hAnsi="Lato" w:cs="Calibri"/>
          <w:bCs/>
          <w:iCs/>
          <w:color w:val="000000"/>
          <w:spacing w:val="4"/>
          <w:sz w:val="22"/>
          <w:szCs w:val="22"/>
          <w:lang w:eastAsia="en-US" w:bidi="pl-PL"/>
        </w:rPr>
      </w:pPr>
      <w:r w:rsidRPr="0009014A">
        <w:rPr>
          <w:rFonts w:ascii="Lato" w:eastAsiaTheme="minorHAnsi" w:hAnsi="Lato" w:cs="Calibri"/>
          <w:bCs/>
          <w:iCs/>
          <w:color w:val="000000"/>
          <w:spacing w:val="4"/>
          <w:sz w:val="22"/>
          <w:szCs w:val="22"/>
          <w:lang w:eastAsia="en-US" w:bidi="pl-PL"/>
        </w:rPr>
        <w:t xml:space="preserve">Skarżący podnosząc przedmiotowy zarzut powołuje się jedynie na interes subiektywny, upatrując go w pogorszeniu warunków korzystania z jego nieruchomości w kontekście prowadzonej działalności gospodarczej. Uznanie że ochronie przewidzianej w art. 40 ust. 2 pkt 7 ustawy CPK podlegać winien interes faktyczny osób trzecich, mogło by prowadzić do paraliżu Inwestycji związanych z lokalizacją CPK, nie zaś do zapewnienia poszanowania praw które są zagrożone w związku z planowana Inwestycją. Nieuniknione jest to, że decyzja o ustaleniu lokalizacji inwestycji w zakresie CPK może stwarzać określone </w:t>
      </w:r>
      <w:r w:rsidRPr="0009014A">
        <w:rPr>
          <w:rFonts w:ascii="Lato" w:eastAsiaTheme="minorHAnsi" w:hAnsi="Lato" w:cs="Calibri"/>
          <w:bCs/>
          <w:iCs/>
          <w:color w:val="000000"/>
          <w:spacing w:val="4"/>
          <w:sz w:val="22"/>
          <w:szCs w:val="22"/>
          <w:lang w:eastAsia="en-US" w:bidi="pl-PL"/>
        </w:rPr>
        <w:lastRenderedPageBreak/>
        <w:t xml:space="preserve">uciążliwości dla właścicieli nieruchomości objętych jej zakresem, bowiem z samej istoty tego rodzaju przedsięwzięcia wynika ingerencja w prawa przysługujące właścicielom </w:t>
      </w:r>
      <w:r w:rsidRPr="0009014A">
        <w:rPr>
          <w:rFonts w:ascii="Lato" w:eastAsiaTheme="minorHAnsi" w:hAnsi="Lato" w:cs="Calibri"/>
          <w:bCs/>
          <w:iCs/>
          <w:color w:val="000000"/>
          <w:spacing w:val="4"/>
          <w:sz w:val="22"/>
          <w:szCs w:val="22"/>
          <w:lang w:eastAsia="en-US" w:bidi="pl-PL"/>
        </w:rPr>
        <w:br/>
        <w:t xml:space="preserve">w stosunku do nieruchomości objętych projektowaną Inwestycją, z której to ingerencji </w:t>
      </w:r>
      <w:r w:rsidRPr="0009014A">
        <w:rPr>
          <w:rFonts w:ascii="Lato" w:eastAsiaTheme="minorHAnsi" w:hAnsi="Lato" w:cs="Calibri"/>
          <w:bCs/>
          <w:iCs/>
          <w:color w:val="000000"/>
          <w:spacing w:val="4"/>
          <w:sz w:val="22"/>
          <w:szCs w:val="22"/>
          <w:lang w:eastAsia="en-US" w:bidi="pl-PL"/>
        </w:rPr>
        <w:br/>
        <w:t xml:space="preserve">z kolei wynikać mogą utrudnienia dla podmiotów dotychczas wykorzystujących daną nieruchomość w określony sposób. Jednakże przypomnieć należy, że </w:t>
      </w:r>
      <w:r w:rsidRPr="0009014A">
        <w:rPr>
          <w:rFonts w:ascii="Lato" w:hAnsi="Lato" w:cs="Arial"/>
          <w:bCs/>
          <w:spacing w:val="4"/>
          <w:sz w:val="22"/>
          <w:szCs w:val="22"/>
          <w:lang w:bidi="pl-PL"/>
        </w:rPr>
        <w:t xml:space="preserve">w postępowaniu </w:t>
      </w:r>
      <w:r w:rsidR="009526BA">
        <w:rPr>
          <w:rFonts w:ascii="Lato" w:hAnsi="Lato" w:cs="Arial"/>
          <w:bCs/>
          <w:spacing w:val="4"/>
          <w:sz w:val="22"/>
          <w:szCs w:val="22"/>
          <w:lang w:bidi="pl-PL"/>
        </w:rPr>
        <w:br/>
      </w:r>
      <w:r w:rsidRPr="0009014A">
        <w:rPr>
          <w:rFonts w:ascii="Lato" w:hAnsi="Lato" w:cs="Arial"/>
          <w:bCs/>
          <w:spacing w:val="4"/>
          <w:sz w:val="22"/>
          <w:szCs w:val="22"/>
          <w:lang w:bidi="pl-PL"/>
        </w:rPr>
        <w:t xml:space="preserve">w sprawie wydania decyzji o </w:t>
      </w:r>
      <w:r w:rsidRPr="0009014A">
        <w:rPr>
          <w:rFonts w:ascii="Lato" w:hAnsi="Lato" w:cs="Arial"/>
          <w:spacing w:val="4"/>
          <w:sz w:val="22"/>
          <w:szCs w:val="22"/>
          <w:lang w:eastAsia="en-US"/>
        </w:rPr>
        <w:t>ustaleniu lokalizacji inwestycji w zakresie CPK,</w:t>
      </w:r>
      <w:r w:rsidRPr="0009014A">
        <w:rPr>
          <w:rFonts w:ascii="Lato" w:hAnsi="Lato" w:cs="Arial"/>
          <w:bCs/>
          <w:spacing w:val="4"/>
          <w:sz w:val="22"/>
          <w:szCs w:val="22"/>
          <w:lang w:bidi="pl-PL"/>
        </w:rPr>
        <w:t xml:space="preserve"> zarówno Wojewoda Mazowiecki, jak i </w:t>
      </w:r>
      <w:r w:rsidRPr="0009014A">
        <w:rPr>
          <w:rFonts w:ascii="Lato" w:hAnsi="Lato" w:cs="Arial"/>
          <w:bCs/>
          <w:iCs/>
          <w:spacing w:val="4"/>
          <w:sz w:val="22"/>
          <w:szCs w:val="22"/>
          <w:lang w:bidi="pl-PL"/>
        </w:rPr>
        <w:t>Minister</w:t>
      </w:r>
      <w:r w:rsidRPr="0009014A">
        <w:rPr>
          <w:rFonts w:ascii="Lato" w:hAnsi="Lato" w:cs="Arial"/>
          <w:bCs/>
          <w:spacing w:val="4"/>
          <w:sz w:val="22"/>
          <w:szCs w:val="22"/>
          <w:lang w:bidi="pl-PL"/>
        </w:rPr>
        <w:t xml:space="preserve">, badają zgodność z prawem wniosku </w:t>
      </w:r>
      <w:r w:rsidRPr="0009014A">
        <w:rPr>
          <w:rFonts w:ascii="Lato" w:hAnsi="Lato" w:cs="Arial"/>
          <w:bCs/>
          <w:iCs/>
          <w:spacing w:val="4"/>
          <w:sz w:val="22"/>
          <w:szCs w:val="22"/>
          <w:lang w:bidi="pl-PL"/>
        </w:rPr>
        <w:t>inwestora</w:t>
      </w:r>
      <w:r w:rsidRPr="0009014A">
        <w:rPr>
          <w:rFonts w:ascii="Lato" w:hAnsi="Lato" w:cs="Arial"/>
          <w:bCs/>
          <w:spacing w:val="4"/>
          <w:sz w:val="22"/>
          <w:szCs w:val="22"/>
          <w:lang w:bidi="pl-PL"/>
        </w:rPr>
        <w:t xml:space="preserve">, nie zaś zagadnień dotyczących ewentualnych negatywnych następstw dla podmiotów objętych tą decyzją, bowiem organy te </w:t>
      </w:r>
      <w:r w:rsidRPr="0009014A">
        <w:rPr>
          <w:rFonts w:ascii="Lato" w:hAnsi="Lato"/>
          <w:bCs/>
          <w:spacing w:val="4"/>
          <w:sz w:val="22"/>
          <w:szCs w:val="22"/>
          <w:lang w:bidi="pl-PL"/>
        </w:rPr>
        <w:t xml:space="preserve">nie są kompetentne do oceny przesłanek ekonomicznych oraz społecznych powstającej Inwestycji, w jej kształcie określonym przez inwestora. Przedmiotem orzekania zarówno przez Wojewodę Mazowieckiego, jak </w:t>
      </w:r>
      <w:r w:rsidR="009526BA">
        <w:rPr>
          <w:rFonts w:ascii="Lato" w:hAnsi="Lato"/>
          <w:bCs/>
          <w:spacing w:val="4"/>
          <w:sz w:val="22"/>
          <w:szCs w:val="22"/>
          <w:lang w:bidi="pl-PL"/>
        </w:rPr>
        <w:br/>
      </w:r>
      <w:r w:rsidRPr="0009014A">
        <w:rPr>
          <w:rFonts w:ascii="Lato" w:hAnsi="Lato"/>
          <w:bCs/>
          <w:spacing w:val="4"/>
          <w:sz w:val="22"/>
          <w:szCs w:val="22"/>
          <w:lang w:bidi="pl-PL"/>
        </w:rPr>
        <w:t xml:space="preserve">i </w:t>
      </w:r>
      <w:r w:rsidRPr="0009014A">
        <w:rPr>
          <w:rFonts w:ascii="Lato" w:hAnsi="Lato"/>
          <w:bCs/>
          <w:iCs/>
          <w:spacing w:val="4"/>
          <w:sz w:val="22"/>
          <w:szCs w:val="22"/>
          <w:lang w:bidi="pl-PL"/>
        </w:rPr>
        <w:t>Ministra</w:t>
      </w:r>
      <w:r w:rsidRPr="0009014A">
        <w:rPr>
          <w:rFonts w:ascii="Lato" w:hAnsi="Lato"/>
          <w:bCs/>
          <w:spacing w:val="4"/>
          <w:sz w:val="22"/>
          <w:szCs w:val="22"/>
          <w:lang w:bidi="pl-PL"/>
        </w:rPr>
        <w:t xml:space="preserve">, nie jest także prognozowanie wielkości ewentualnych strat w majątku skarżącego, jako czynnika decydującego o wyborze przez </w:t>
      </w:r>
      <w:r w:rsidRPr="0009014A">
        <w:rPr>
          <w:rFonts w:ascii="Lato" w:hAnsi="Lato"/>
          <w:bCs/>
          <w:iCs/>
          <w:spacing w:val="4"/>
          <w:sz w:val="22"/>
          <w:szCs w:val="22"/>
          <w:lang w:bidi="pl-PL"/>
        </w:rPr>
        <w:t>inwestora</w:t>
      </w:r>
      <w:r w:rsidRPr="0009014A">
        <w:rPr>
          <w:rFonts w:ascii="Lato" w:hAnsi="Lato"/>
          <w:bCs/>
          <w:spacing w:val="4"/>
          <w:sz w:val="22"/>
          <w:szCs w:val="22"/>
          <w:lang w:bidi="pl-PL"/>
        </w:rPr>
        <w:t xml:space="preserve"> konkretnych rozwiązań lokalizacyjnych i w tym zakresie podnoszone przez skarżącego zarzuty pozostają bez wpływu na kształt podjętego rozstrzygnięcia. </w:t>
      </w:r>
      <w:r w:rsidRPr="0009014A">
        <w:rPr>
          <w:rFonts w:ascii="Lato" w:hAnsi="Lato"/>
          <w:bCs/>
          <w:iCs/>
          <w:spacing w:val="4"/>
          <w:sz w:val="22"/>
          <w:szCs w:val="22"/>
          <w:lang w:bidi="pl-PL"/>
        </w:rPr>
        <w:t xml:space="preserve">Wynika z tego, iż kwestia rentowności dalszego prowadzenia działalności gospodarczej przez skarżącego nie jest przedmiotem oceny w postępowaniu dotyczącym decyzji o ustaleniu lokalizacji inwestycji w zakresie CPK </w:t>
      </w:r>
      <w:r w:rsidRPr="0009014A">
        <w:rPr>
          <w:rFonts w:ascii="Lato" w:hAnsi="Lato"/>
          <w:bCs/>
          <w:spacing w:val="4"/>
          <w:sz w:val="22"/>
          <w:szCs w:val="22"/>
          <w:lang w:bidi="pl-PL"/>
        </w:rPr>
        <w:t xml:space="preserve">(por. </w:t>
      </w:r>
      <w:r w:rsidRPr="0009014A">
        <w:rPr>
          <w:rFonts w:ascii="Lato" w:hAnsi="Lato"/>
          <w:bCs/>
          <w:iCs/>
          <w:spacing w:val="4"/>
          <w:sz w:val="22"/>
          <w:szCs w:val="22"/>
          <w:lang w:bidi="pl-PL"/>
        </w:rPr>
        <w:t xml:space="preserve">wyroki Wojewódzkiego Sądu Administracyjnego w Warszawie z dnia 28 czerwca 2017 r., sygn. akt IV SA/Wa 611/17, z dnia 9 czerwca 2017 r., sygn. akt IV SA/Wa 785/17, i z dnia 2 sierpnia 2023 r., sygn. akt VII SA/Wa 826/23, wydane </w:t>
      </w:r>
      <w:r w:rsidR="009526BA">
        <w:rPr>
          <w:rFonts w:ascii="Lato" w:hAnsi="Lato"/>
          <w:bCs/>
          <w:iCs/>
          <w:spacing w:val="4"/>
          <w:sz w:val="22"/>
          <w:szCs w:val="22"/>
          <w:lang w:bidi="pl-PL"/>
        </w:rPr>
        <w:br/>
      </w:r>
      <w:r w:rsidRPr="0009014A">
        <w:rPr>
          <w:rFonts w:ascii="Lato" w:hAnsi="Lato"/>
          <w:bCs/>
          <w:iCs/>
          <w:spacing w:val="4"/>
          <w:sz w:val="22"/>
          <w:szCs w:val="22"/>
          <w:lang w:bidi="pl-PL"/>
        </w:rPr>
        <w:t>w sprawach rozpatrywanych na podstawie ustawy o transporcie kolejowym i specustawy drogowej, opubl. Centralna Baza Orzeczeń Sądów Administracyjnych)</w:t>
      </w:r>
      <w:r w:rsidRPr="0009014A">
        <w:rPr>
          <w:rFonts w:ascii="Lato" w:hAnsi="Lato"/>
          <w:bCs/>
          <w:spacing w:val="4"/>
          <w:sz w:val="22"/>
          <w:szCs w:val="22"/>
          <w:lang w:bidi="pl-PL"/>
        </w:rPr>
        <w:t xml:space="preserve">. </w:t>
      </w:r>
    </w:p>
    <w:p w14:paraId="0FB8B2FA" w14:textId="492A20F8" w:rsidR="0009014A" w:rsidRPr="0009014A" w:rsidRDefault="0009014A" w:rsidP="0009014A">
      <w:pPr>
        <w:spacing w:after="240" w:line="240" w:lineRule="exact"/>
        <w:ind w:left="-142"/>
        <w:jc w:val="both"/>
        <w:rPr>
          <w:rFonts w:ascii="Lato" w:hAnsi="Lato"/>
          <w:bCs/>
          <w:iCs/>
          <w:spacing w:val="4"/>
          <w:sz w:val="22"/>
          <w:szCs w:val="22"/>
          <w:lang w:bidi="pl-PL"/>
        </w:rPr>
      </w:pPr>
      <w:r w:rsidRPr="0009014A">
        <w:rPr>
          <w:rFonts w:ascii="Lato" w:hAnsi="Lato"/>
          <w:bCs/>
          <w:iCs/>
          <w:spacing w:val="4"/>
          <w:sz w:val="22"/>
          <w:szCs w:val="22"/>
          <w:lang w:bidi="pl-PL"/>
        </w:rPr>
        <w:t xml:space="preserve">Nie stanowią również przedmiotu kontroli organu II instancji zagadnienia dotyczące zmniejszenia wartości nieruchomości prywatnych. Roszczenia w tym przedmiocie rozstrzyga się w odrębnym postępowaniu w przedmiocie ustalenia odszkodowania </w:t>
      </w:r>
      <w:r w:rsidR="00D42E62">
        <w:rPr>
          <w:rFonts w:ascii="Lato" w:hAnsi="Lato"/>
          <w:bCs/>
          <w:iCs/>
          <w:spacing w:val="4"/>
          <w:sz w:val="22"/>
          <w:szCs w:val="22"/>
          <w:lang w:bidi="pl-PL"/>
        </w:rPr>
        <w:br/>
      </w:r>
      <w:r w:rsidRPr="0009014A">
        <w:rPr>
          <w:rFonts w:ascii="Lato" w:hAnsi="Lato"/>
          <w:bCs/>
          <w:iCs/>
          <w:spacing w:val="4"/>
          <w:sz w:val="22"/>
          <w:szCs w:val="22"/>
          <w:lang w:bidi="pl-PL"/>
        </w:rPr>
        <w:t>za wywłaszczoną nieruchomość.</w:t>
      </w:r>
      <w:r w:rsidRPr="0009014A">
        <w:rPr>
          <w:rFonts w:ascii="Lato" w:hAnsi="Lato" w:cs="Arial"/>
          <w:bCs/>
          <w:iCs/>
          <w:color w:val="000000"/>
          <w:spacing w:val="4"/>
          <w:sz w:val="22"/>
          <w:szCs w:val="22"/>
          <w:lang w:bidi="pl-PL"/>
        </w:rPr>
        <w:t xml:space="preserve"> </w:t>
      </w:r>
      <w:r w:rsidRPr="0009014A">
        <w:rPr>
          <w:rFonts w:ascii="Lato" w:hAnsi="Lato"/>
          <w:bCs/>
          <w:iCs/>
          <w:spacing w:val="4"/>
          <w:sz w:val="22"/>
          <w:szCs w:val="22"/>
          <w:lang w:bidi="pl-PL"/>
        </w:rPr>
        <w:t xml:space="preserve">Nie została również skarżącemu zamknięta droga </w:t>
      </w:r>
      <w:r w:rsidR="00D42E62">
        <w:rPr>
          <w:rFonts w:ascii="Lato" w:hAnsi="Lato"/>
          <w:bCs/>
          <w:iCs/>
          <w:spacing w:val="4"/>
          <w:sz w:val="22"/>
          <w:szCs w:val="22"/>
          <w:lang w:bidi="pl-PL"/>
        </w:rPr>
        <w:br/>
      </w:r>
      <w:r w:rsidRPr="0009014A">
        <w:rPr>
          <w:rFonts w:ascii="Lato" w:hAnsi="Lato"/>
          <w:bCs/>
          <w:iCs/>
          <w:spacing w:val="4"/>
          <w:sz w:val="22"/>
          <w:szCs w:val="22"/>
          <w:lang w:bidi="pl-PL"/>
        </w:rPr>
        <w:t xml:space="preserve">do wykupu części nieruchomości, która nie nadaje się do wykorzystywania </w:t>
      </w:r>
      <w:r w:rsidR="00D42E62">
        <w:rPr>
          <w:rFonts w:ascii="Lato" w:hAnsi="Lato"/>
          <w:bCs/>
          <w:iCs/>
          <w:spacing w:val="4"/>
          <w:sz w:val="22"/>
          <w:szCs w:val="22"/>
          <w:lang w:bidi="pl-PL"/>
        </w:rPr>
        <w:br/>
      </w:r>
      <w:r w:rsidRPr="0009014A">
        <w:rPr>
          <w:rFonts w:ascii="Lato" w:hAnsi="Lato"/>
          <w:bCs/>
          <w:iCs/>
          <w:spacing w:val="4"/>
          <w:sz w:val="22"/>
          <w:szCs w:val="22"/>
          <w:lang w:bidi="pl-PL"/>
        </w:rPr>
        <w:t xml:space="preserve">w dotychczasowy sposób albo zgodnie z dotychczasowym przeznaczeniem, </w:t>
      </w:r>
      <w:r w:rsidR="00D42E62">
        <w:rPr>
          <w:rFonts w:ascii="Lato" w:hAnsi="Lato"/>
          <w:bCs/>
          <w:iCs/>
          <w:spacing w:val="4"/>
          <w:sz w:val="22"/>
          <w:szCs w:val="22"/>
          <w:lang w:bidi="pl-PL"/>
        </w:rPr>
        <w:br/>
      </w:r>
      <w:r w:rsidRPr="0009014A">
        <w:rPr>
          <w:rFonts w:ascii="Lato" w:hAnsi="Lato"/>
          <w:bCs/>
          <w:iCs/>
          <w:spacing w:val="4"/>
          <w:sz w:val="22"/>
          <w:szCs w:val="22"/>
          <w:lang w:bidi="pl-PL"/>
        </w:rPr>
        <w:t xml:space="preserve">co przewidziane jest w art. 48 ust. 3 ustawy CPK (o treści tego artykułu była już mowa wcześniej w niniejszej decyzji przy rozpatrywaniu zarzutów innych odwołań). Zatem, pomimo odjęcia własności, dochodzi do równoważenia strat i szkód związanych </w:t>
      </w:r>
      <w:r w:rsidR="00D42E62">
        <w:rPr>
          <w:rFonts w:ascii="Lato" w:hAnsi="Lato"/>
          <w:bCs/>
          <w:iCs/>
          <w:spacing w:val="4"/>
          <w:sz w:val="22"/>
          <w:szCs w:val="22"/>
          <w:lang w:bidi="pl-PL"/>
        </w:rPr>
        <w:br/>
      </w:r>
      <w:r w:rsidRPr="0009014A">
        <w:rPr>
          <w:rFonts w:ascii="Lato" w:hAnsi="Lato"/>
          <w:bCs/>
          <w:iCs/>
          <w:spacing w:val="4"/>
          <w:sz w:val="22"/>
          <w:szCs w:val="22"/>
          <w:lang w:bidi="pl-PL"/>
        </w:rPr>
        <w:t>z prowadzonym postępowaniem. W konsekwencji, ingerencja w prawo własności (interes publiczny – budowa Inwestycji w zakresie CPK) nie jest drastyczna w sposób nieproporcjonalny, ponieważ prawo przewiduje mechanizmy rekompensaty, w tym możliwość zbycia nieużytecznej części nieruchomości na rzecz inwestora.</w:t>
      </w:r>
    </w:p>
    <w:p w14:paraId="72C13956" w14:textId="09886135" w:rsidR="0009014A" w:rsidRPr="0009014A" w:rsidRDefault="0009014A" w:rsidP="009526BA">
      <w:pPr>
        <w:spacing w:after="240" w:line="240" w:lineRule="exact"/>
        <w:ind w:left="-142"/>
        <w:jc w:val="both"/>
        <w:rPr>
          <w:rFonts w:ascii="Lato" w:hAnsi="Lato"/>
          <w:bCs/>
          <w:iCs/>
          <w:spacing w:val="4"/>
          <w:sz w:val="22"/>
          <w:szCs w:val="22"/>
          <w:lang w:bidi="pl-PL"/>
        </w:rPr>
      </w:pPr>
      <w:r w:rsidRPr="0009014A">
        <w:rPr>
          <w:rFonts w:ascii="Lato" w:hAnsi="Lato"/>
          <w:bCs/>
          <w:iCs/>
          <w:spacing w:val="4"/>
          <w:sz w:val="22"/>
          <w:szCs w:val="22"/>
          <w:lang w:bidi="pl-PL"/>
        </w:rPr>
        <w:t>Na uwzględnienie nie zasługują zarzuty Pana K</w:t>
      </w:r>
      <w:r w:rsidR="002653DF">
        <w:rPr>
          <w:rFonts w:ascii="Lato" w:hAnsi="Lato"/>
          <w:bCs/>
          <w:iCs/>
          <w:spacing w:val="4"/>
          <w:sz w:val="22"/>
          <w:szCs w:val="22"/>
          <w:lang w:bidi="pl-PL"/>
        </w:rPr>
        <w:t>.</w:t>
      </w:r>
      <w:r w:rsidRPr="0009014A">
        <w:rPr>
          <w:rFonts w:ascii="Lato" w:hAnsi="Lato"/>
          <w:bCs/>
          <w:iCs/>
          <w:spacing w:val="4"/>
          <w:sz w:val="22"/>
          <w:szCs w:val="22"/>
          <w:lang w:bidi="pl-PL"/>
        </w:rPr>
        <w:t xml:space="preserve"> T</w:t>
      </w:r>
      <w:r w:rsidR="002653DF">
        <w:rPr>
          <w:rFonts w:ascii="Lato" w:hAnsi="Lato"/>
          <w:bCs/>
          <w:iCs/>
          <w:spacing w:val="4"/>
          <w:sz w:val="22"/>
          <w:szCs w:val="22"/>
          <w:lang w:bidi="pl-PL"/>
        </w:rPr>
        <w:t>.</w:t>
      </w:r>
      <w:r w:rsidRPr="0009014A">
        <w:rPr>
          <w:rFonts w:ascii="Lato" w:hAnsi="Lato"/>
          <w:bCs/>
          <w:iCs/>
          <w:spacing w:val="4"/>
          <w:sz w:val="22"/>
          <w:szCs w:val="22"/>
          <w:lang w:bidi="pl-PL"/>
        </w:rPr>
        <w:t>, Pana E</w:t>
      </w:r>
      <w:r w:rsidR="002653DF">
        <w:rPr>
          <w:rFonts w:ascii="Lato" w:hAnsi="Lato"/>
          <w:bCs/>
          <w:iCs/>
          <w:spacing w:val="4"/>
          <w:sz w:val="22"/>
          <w:szCs w:val="22"/>
          <w:lang w:bidi="pl-PL"/>
        </w:rPr>
        <w:t>.</w:t>
      </w:r>
      <w:r w:rsidRPr="0009014A">
        <w:rPr>
          <w:rFonts w:ascii="Lato" w:hAnsi="Lato"/>
          <w:bCs/>
          <w:iCs/>
          <w:spacing w:val="4"/>
          <w:sz w:val="22"/>
          <w:szCs w:val="22"/>
          <w:lang w:bidi="pl-PL"/>
        </w:rPr>
        <w:t xml:space="preserve"> T</w:t>
      </w:r>
      <w:r w:rsidR="002653DF">
        <w:rPr>
          <w:rFonts w:ascii="Lato" w:hAnsi="Lato"/>
          <w:bCs/>
          <w:iCs/>
          <w:spacing w:val="4"/>
          <w:sz w:val="22"/>
          <w:szCs w:val="22"/>
          <w:lang w:bidi="pl-PL"/>
        </w:rPr>
        <w:t>.</w:t>
      </w:r>
      <w:r w:rsidRPr="0009014A">
        <w:rPr>
          <w:rFonts w:ascii="Lato" w:hAnsi="Lato"/>
          <w:bCs/>
          <w:iCs/>
          <w:spacing w:val="4"/>
          <w:sz w:val="22"/>
          <w:szCs w:val="22"/>
          <w:lang w:bidi="pl-PL"/>
        </w:rPr>
        <w:t xml:space="preserve"> i Pani K</w:t>
      </w:r>
      <w:r w:rsidR="002653DF">
        <w:rPr>
          <w:rFonts w:ascii="Lato" w:hAnsi="Lato"/>
          <w:bCs/>
          <w:iCs/>
          <w:spacing w:val="4"/>
          <w:sz w:val="22"/>
          <w:szCs w:val="22"/>
          <w:lang w:bidi="pl-PL"/>
        </w:rPr>
        <w:t>.</w:t>
      </w:r>
      <w:r w:rsidRPr="0009014A">
        <w:rPr>
          <w:rFonts w:ascii="Lato" w:hAnsi="Lato"/>
          <w:bCs/>
          <w:iCs/>
          <w:spacing w:val="4"/>
          <w:sz w:val="22"/>
          <w:szCs w:val="22"/>
          <w:lang w:bidi="pl-PL"/>
        </w:rPr>
        <w:t xml:space="preserve"> T</w:t>
      </w:r>
      <w:r w:rsidR="002653DF">
        <w:rPr>
          <w:rFonts w:ascii="Lato" w:hAnsi="Lato"/>
          <w:bCs/>
          <w:iCs/>
          <w:spacing w:val="4"/>
          <w:sz w:val="22"/>
          <w:szCs w:val="22"/>
          <w:lang w:bidi="pl-PL"/>
        </w:rPr>
        <w:t>.</w:t>
      </w:r>
      <w:r w:rsidRPr="0009014A">
        <w:rPr>
          <w:rFonts w:ascii="Lato" w:hAnsi="Lato"/>
          <w:bCs/>
          <w:iCs/>
          <w:spacing w:val="4"/>
          <w:sz w:val="22"/>
          <w:szCs w:val="22"/>
          <w:lang w:bidi="pl-PL"/>
        </w:rPr>
        <w:t xml:space="preserve"> dotyczące bezpieczeństwa mieszkańców w związku projektowanym rondem i drogą w bliskości zabudowy mieszkaniowej, jak również zarzut dotyczący braku rozwiązań alternatywnych planowanej lokalizacji drogi oraz rond, co - w przekonaniu skarżących - pozwoliłoby na uniknięcie podziału działki Pana K</w:t>
      </w:r>
      <w:r w:rsidR="002653DF">
        <w:rPr>
          <w:rFonts w:ascii="Lato" w:hAnsi="Lato"/>
          <w:bCs/>
          <w:iCs/>
          <w:spacing w:val="4"/>
          <w:sz w:val="22"/>
          <w:szCs w:val="22"/>
          <w:lang w:bidi="pl-PL"/>
        </w:rPr>
        <w:t xml:space="preserve">. </w:t>
      </w:r>
      <w:r w:rsidRPr="0009014A">
        <w:rPr>
          <w:rFonts w:ascii="Lato" w:hAnsi="Lato"/>
          <w:bCs/>
          <w:iCs/>
          <w:spacing w:val="4"/>
          <w:sz w:val="22"/>
          <w:szCs w:val="22"/>
          <w:lang w:bidi="pl-PL"/>
        </w:rPr>
        <w:t>T</w:t>
      </w:r>
      <w:r w:rsidR="002653DF">
        <w:rPr>
          <w:rFonts w:ascii="Lato" w:hAnsi="Lato"/>
          <w:bCs/>
          <w:iCs/>
          <w:spacing w:val="4"/>
          <w:sz w:val="22"/>
          <w:szCs w:val="22"/>
          <w:lang w:bidi="pl-PL"/>
        </w:rPr>
        <w:t>.</w:t>
      </w:r>
      <w:r w:rsidRPr="0009014A">
        <w:rPr>
          <w:rFonts w:ascii="Lato" w:hAnsi="Lato"/>
          <w:bCs/>
          <w:iCs/>
          <w:spacing w:val="4"/>
          <w:sz w:val="22"/>
          <w:szCs w:val="22"/>
          <w:lang w:bidi="pl-PL"/>
        </w:rPr>
        <w:t xml:space="preserve"> nr 38/2, z obrębu 0018 Cyganka i wywłaszczenia </w:t>
      </w:r>
      <w:r w:rsidR="002653DF">
        <w:rPr>
          <w:rFonts w:ascii="Lato" w:hAnsi="Lato"/>
          <w:bCs/>
          <w:iCs/>
          <w:spacing w:val="4"/>
          <w:sz w:val="22"/>
          <w:szCs w:val="22"/>
          <w:lang w:bidi="pl-PL"/>
        </w:rPr>
        <w:br/>
      </w:r>
      <w:r w:rsidRPr="0009014A">
        <w:rPr>
          <w:rFonts w:ascii="Lato" w:hAnsi="Lato"/>
          <w:bCs/>
          <w:iCs/>
          <w:spacing w:val="4"/>
          <w:sz w:val="22"/>
          <w:szCs w:val="22"/>
          <w:lang w:bidi="pl-PL"/>
        </w:rPr>
        <w:t>w całości pod inwestycję działki Państwa K</w:t>
      </w:r>
      <w:r w:rsidR="002653DF">
        <w:rPr>
          <w:rFonts w:ascii="Lato" w:hAnsi="Lato"/>
          <w:bCs/>
          <w:iCs/>
          <w:spacing w:val="4"/>
          <w:sz w:val="22"/>
          <w:szCs w:val="22"/>
          <w:lang w:bidi="pl-PL"/>
        </w:rPr>
        <w:t>.</w:t>
      </w:r>
      <w:r w:rsidRPr="0009014A">
        <w:rPr>
          <w:rFonts w:ascii="Lato" w:hAnsi="Lato"/>
          <w:bCs/>
          <w:iCs/>
          <w:spacing w:val="4"/>
          <w:sz w:val="22"/>
          <w:szCs w:val="22"/>
          <w:lang w:bidi="pl-PL"/>
        </w:rPr>
        <w:t xml:space="preserve"> i E</w:t>
      </w:r>
      <w:r w:rsidR="002653DF">
        <w:rPr>
          <w:rFonts w:ascii="Lato" w:hAnsi="Lato"/>
          <w:bCs/>
          <w:iCs/>
          <w:spacing w:val="4"/>
          <w:sz w:val="22"/>
          <w:szCs w:val="22"/>
          <w:lang w:bidi="pl-PL"/>
        </w:rPr>
        <w:t>.</w:t>
      </w:r>
      <w:r w:rsidRPr="0009014A">
        <w:rPr>
          <w:rFonts w:ascii="Lato" w:hAnsi="Lato"/>
          <w:bCs/>
          <w:iCs/>
          <w:spacing w:val="4"/>
          <w:sz w:val="22"/>
          <w:szCs w:val="22"/>
          <w:lang w:bidi="pl-PL"/>
        </w:rPr>
        <w:t xml:space="preserve"> T</w:t>
      </w:r>
      <w:r w:rsidR="002653DF">
        <w:rPr>
          <w:rFonts w:ascii="Lato" w:hAnsi="Lato"/>
          <w:bCs/>
          <w:iCs/>
          <w:spacing w:val="4"/>
          <w:sz w:val="22"/>
          <w:szCs w:val="22"/>
          <w:lang w:bidi="pl-PL"/>
        </w:rPr>
        <w:t>.</w:t>
      </w:r>
      <w:r w:rsidRPr="0009014A">
        <w:rPr>
          <w:rFonts w:ascii="Lato" w:hAnsi="Lato"/>
          <w:bCs/>
          <w:iCs/>
          <w:spacing w:val="4"/>
          <w:sz w:val="22"/>
          <w:szCs w:val="22"/>
          <w:lang w:bidi="pl-PL"/>
        </w:rPr>
        <w:t xml:space="preserve"> nr 38/1, z obrębu 0018 Cyganka.</w:t>
      </w:r>
      <w:r w:rsidR="00AE01F9">
        <w:rPr>
          <w:rFonts w:ascii="Lato" w:hAnsi="Lato"/>
          <w:bCs/>
          <w:iCs/>
          <w:spacing w:val="4"/>
          <w:sz w:val="22"/>
          <w:szCs w:val="22"/>
          <w:lang w:bidi="pl-PL"/>
        </w:rPr>
        <w:t xml:space="preserve"> </w:t>
      </w:r>
      <w:r w:rsidRPr="0009014A">
        <w:rPr>
          <w:rFonts w:ascii="Lato" w:hAnsi="Lato"/>
          <w:bCs/>
          <w:iCs/>
          <w:spacing w:val="4"/>
          <w:sz w:val="22"/>
          <w:szCs w:val="22"/>
          <w:lang w:bidi="pl-PL"/>
        </w:rPr>
        <w:t>Odnosząc się do tych zarzutów, w pierwszej kolejności przypomnieć należy, że niniejsza sprawa dotyczy jedynie ustalenia lokalizacji przedmiotowej Inwestycji, a zatem takie okoliczności, jak ewentualna ocena zagrożeń czy inne obawy zgłaszane przez skarżących na tym etapie postępowania nie są rozważane i to w zakresie oczekiwanym przez strony. Następnie wskazać należy (a precyzyjnie rzecz ujmując, ponownie zasygnalizować, albowiem była już o tym mowa wcześniej w niniejszej</w:t>
      </w:r>
      <w:r w:rsidR="00AE01F9">
        <w:rPr>
          <w:rFonts w:ascii="Lato" w:hAnsi="Lato"/>
          <w:bCs/>
          <w:iCs/>
          <w:spacing w:val="4"/>
          <w:sz w:val="22"/>
          <w:szCs w:val="22"/>
          <w:lang w:bidi="pl-PL"/>
        </w:rPr>
        <w:t xml:space="preserve"> decyzji</w:t>
      </w:r>
      <w:r w:rsidRPr="0009014A">
        <w:rPr>
          <w:rFonts w:ascii="Lato" w:hAnsi="Lato"/>
          <w:bCs/>
          <w:iCs/>
          <w:spacing w:val="4"/>
          <w:sz w:val="22"/>
          <w:szCs w:val="22"/>
          <w:lang w:bidi="pl-PL"/>
        </w:rPr>
        <w:t xml:space="preserve">), że decyzja lokalizacyjna nie rozstrzyga w przedmiocie szczegółowych rozwiązań projektowych, ani nie odnosi się do przyszłej realizacji inwestycji. Decyzja o ustaleniu lokalizacji inwestycji w zakresie CPK wyznacza teren (obszar) niezbędny dla realizacji obiektów budowlanych wchodzących </w:t>
      </w:r>
      <w:r w:rsidR="002653DF">
        <w:rPr>
          <w:rFonts w:ascii="Lato" w:hAnsi="Lato"/>
          <w:bCs/>
          <w:iCs/>
          <w:spacing w:val="4"/>
          <w:sz w:val="22"/>
          <w:szCs w:val="22"/>
          <w:lang w:bidi="pl-PL"/>
        </w:rPr>
        <w:br/>
      </w:r>
      <w:r w:rsidRPr="0009014A">
        <w:rPr>
          <w:rFonts w:ascii="Lato" w:hAnsi="Lato"/>
          <w:bCs/>
          <w:iCs/>
          <w:spacing w:val="4"/>
          <w:sz w:val="22"/>
          <w:szCs w:val="22"/>
          <w:lang w:bidi="pl-PL"/>
        </w:rPr>
        <w:t>w skład poszczególnych komponentów przedmiotowej Inwestycji (tj. lotniskowego, drogowego, kolejowego), a nie stanowi o tym jakie konkretne rozwiązania techniczno-</w:t>
      </w:r>
      <w:r w:rsidRPr="0009014A">
        <w:rPr>
          <w:rFonts w:ascii="Lato" w:hAnsi="Lato"/>
          <w:bCs/>
          <w:iCs/>
          <w:spacing w:val="4"/>
          <w:sz w:val="22"/>
          <w:szCs w:val="22"/>
          <w:lang w:bidi="pl-PL"/>
        </w:rPr>
        <w:lastRenderedPageBreak/>
        <w:t xml:space="preserve">wykonawcze powstaną na tym obszarze. Te kwestie są rozstrzygane na późniejszym etapie, czyli w </w:t>
      </w:r>
      <w:r w:rsidRPr="0009014A">
        <w:rPr>
          <w:rFonts w:ascii="Lato" w:hAnsi="Lato"/>
          <w:iCs/>
          <w:spacing w:val="4"/>
          <w:sz w:val="22"/>
          <w:szCs w:val="22"/>
          <w:lang w:bidi="pl-PL"/>
        </w:rPr>
        <w:t>pozwoleniu na budowę</w:t>
      </w:r>
      <w:r w:rsidRPr="0009014A">
        <w:rPr>
          <w:rFonts w:ascii="Lato" w:hAnsi="Lato"/>
          <w:bCs/>
          <w:iCs/>
          <w:spacing w:val="4"/>
          <w:sz w:val="22"/>
          <w:szCs w:val="22"/>
          <w:lang w:bidi="pl-PL"/>
        </w:rPr>
        <w:t xml:space="preserve">. </w:t>
      </w:r>
    </w:p>
    <w:p w14:paraId="79C18389" w14:textId="77777777" w:rsidR="0009014A" w:rsidRPr="0009014A" w:rsidRDefault="0009014A" w:rsidP="0009014A">
      <w:pPr>
        <w:spacing w:after="240" w:line="240" w:lineRule="exact"/>
        <w:ind w:left="-142"/>
        <w:jc w:val="both"/>
        <w:rPr>
          <w:rFonts w:ascii="Lato" w:eastAsiaTheme="minorHAnsi" w:hAnsi="Lato" w:cs="Calibri"/>
          <w:bCs/>
          <w:iCs/>
          <w:color w:val="000000"/>
          <w:spacing w:val="4"/>
          <w:sz w:val="22"/>
          <w:szCs w:val="22"/>
          <w:lang w:eastAsia="en-US" w:bidi="pl-PL"/>
        </w:rPr>
      </w:pPr>
      <w:r w:rsidRPr="0009014A">
        <w:rPr>
          <w:rFonts w:ascii="Lato" w:eastAsia="MS Mincho" w:hAnsi="Lato" w:cs="Arial"/>
          <w:bCs/>
          <w:color w:val="000000"/>
          <w:spacing w:val="4"/>
          <w:sz w:val="22"/>
          <w:szCs w:val="22"/>
          <w:lang w:eastAsia="en-US" w:bidi="pl-PL"/>
        </w:rPr>
        <w:t xml:space="preserve">Skarżący podnosząc rzeczony zarzut domagają się przeprowadzenia rzeczonej Inwestycji </w:t>
      </w:r>
      <w:r w:rsidRPr="0009014A">
        <w:rPr>
          <w:rFonts w:ascii="Lato" w:eastAsia="MS Mincho" w:hAnsi="Lato" w:cs="Arial"/>
          <w:bCs/>
          <w:color w:val="000000"/>
          <w:spacing w:val="4"/>
          <w:sz w:val="22"/>
          <w:szCs w:val="22"/>
          <w:lang w:eastAsia="en-US" w:bidi="pl-PL"/>
        </w:rPr>
        <w:br/>
        <w:t>w sposób alternatywny, tj. zgodny z ich oczekiwaniami. Jednakże tego rodzaju zarzuty -  aczkolwiek zrozumiałe faktycznie - nie upoważniają prawnie ani organu I instancji ani organu II instancji do korekty ustalenia lokalizacji Inwestycji we własnym zakresie lub nakazania takowej inwestorowi. Jak już to wyjaśniono w niniejszej decyzji, przepisy ustawy CPK nie zobowiązują inwestora do przedstawienia różnych wariantów przebiegu planowanej Inwestycji i nie ma on obowiązku uwzględniać oczekiwań stron postępowania</w:t>
      </w:r>
      <w:r w:rsidRPr="0009014A">
        <w:rPr>
          <w:rFonts w:ascii="Lato" w:eastAsia="MS Mincho" w:hAnsi="Lato" w:cs="Arial"/>
          <w:bCs/>
          <w:iCs/>
          <w:color w:val="000000"/>
          <w:spacing w:val="4"/>
          <w:sz w:val="22"/>
          <w:szCs w:val="22"/>
          <w:lang w:eastAsia="en-US" w:bidi="pl-PL"/>
        </w:rPr>
        <w:t>.</w:t>
      </w:r>
      <w:r w:rsidRPr="0009014A">
        <w:rPr>
          <w:rFonts w:ascii="Lato" w:eastAsia="MS Mincho" w:hAnsi="Lato" w:cs="Arial"/>
          <w:bCs/>
          <w:color w:val="000000"/>
          <w:spacing w:val="4"/>
          <w:sz w:val="22"/>
          <w:szCs w:val="22"/>
          <w:lang w:eastAsia="en-US" w:bidi="pl-PL"/>
        </w:rPr>
        <w:t xml:space="preserve"> Stanowisko to potwierdza niekwestionowany dorobek powołanego już w niniejszej decyzji orzecznictwa sądów administracyjnych dotyczącego innych specustaw infrastrukturalnych. Ze wskazanego orzecznictwa wynika, iż badanie zasadności ingerencji w prawo własności i badanie zasadności określonego przebiegu inwestycji, ogranicza się do kontroli zgodności z przepisami wariantu przedstawionego przez wnioskodawcę bez prawa do dokonywania zmian w przedstawionej przez inwestora koncepcji przebiegu inwestycji</w:t>
      </w:r>
      <w:r w:rsidRPr="0009014A">
        <w:rPr>
          <w:rFonts w:ascii="Lato" w:eastAsiaTheme="minorHAnsi" w:hAnsi="Lato" w:cs="Arial"/>
          <w:bCs/>
          <w:iCs/>
          <w:spacing w:val="4"/>
          <w:sz w:val="22"/>
          <w:szCs w:val="22"/>
          <w:lang w:eastAsia="en-US" w:bidi="pl-PL"/>
        </w:rPr>
        <w:t xml:space="preserve">. </w:t>
      </w:r>
      <w:r w:rsidRPr="0009014A">
        <w:rPr>
          <w:rFonts w:ascii="Lato" w:eastAsiaTheme="minorHAnsi" w:hAnsi="Lato" w:cs="Calibri"/>
          <w:bCs/>
          <w:iCs/>
          <w:color w:val="000000"/>
          <w:spacing w:val="4"/>
          <w:sz w:val="22"/>
          <w:szCs w:val="22"/>
          <w:lang w:eastAsia="en-US" w:bidi="pl-PL"/>
        </w:rPr>
        <w:t>Proces inwestycyjny nie polega na tym, że to osoby trzecie (właściciele gruntów), a nie inwestor, decydują o możliwości lokalizacji inwestycji, jej miejscu i rodzaju, a do tego w zasadzie sprowadzałoby się uznanie zarzutów skarżących. Nie można dopuścić do sytuacji, w której uprawnienia właściciela nieruchomości całkowicie ograniczają uprawnienia inwestora.</w:t>
      </w:r>
      <w:r w:rsidRPr="0009014A">
        <w:rPr>
          <w:rFonts w:ascii="Lato" w:eastAsia="MS Mincho" w:hAnsi="Lato" w:cs="Arial"/>
          <w:bCs/>
          <w:color w:val="000000"/>
          <w:spacing w:val="4"/>
          <w:sz w:val="22"/>
          <w:szCs w:val="22"/>
          <w:lang w:eastAsia="en-US" w:bidi="pl-PL"/>
        </w:rPr>
        <w:t xml:space="preserve"> </w:t>
      </w:r>
      <w:r w:rsidRPr="0009014A">
        <w:rPr>
          <w:rFonts w:ascii="Lato" w:eastAsiaTheme="minorHAnsi" w:hAnsi="Lato" w:cs="Calibri"/>
          <w:bCs/>
          <w:iCs/>
          <w:color w:val="000000"/>
          <w:spacing w:val="4"/>
          <w:sz w:val="22"/>
          <w:szCs w:val="22"/>
          <w:lang w:eastAsia="en-US" w:bidi="pl-PL"/>
        </w:rPr>
        <w:t xml:space="preserve">Przedmiotem orzekania w sprawie ustalenia lokalizacji inwestycji w zakresie CPK jest zatem Inwestycja w kształcie wskazanym we wniosku, a nie poszukiwanie rozwiązań alternatywnych w celu uwzględnienia interesów jednej lub kilku ze stron postępowania. </w:t>
      </w:r>
    </w:p>
    <w:p w14:paraId="0FE0232C" w14:textId="52EDC7BD" w:rsidR="0009014A" w:rsidRPr="0009014A" w:rsidRDefault="0009014A" w:rsidP="0009014A">
      <w:pPr>
        <w:spacing w:after="240" w:line="240" w:lineRule="exact"/>
        <w:ind w:left="-142"/>
        <w:jc w:val="both"/>
        <w:rPr>
          <w:rFonts w:ascii="Lato" w:eastAsia="Calibri" w:hAnsi="Lato"/>
          <w:bCs/>
          <w:iCs/>
          <w:spacing w:val="4"/>
          <w:sz w:val="22"/>
          <w:szCs w:val="22"/>
          <w:lang w:eastAsia="en-US" w:bidi="pl-PL"/>
        </w:rPr>
      </w:pPr>
      <w:r w:rsidRPr="0009014A">
        <w:rPr>
          <w:rFonts w:ascii="Lato" w:eastAsiaTheme="minorHAnsi" w:hAnsi="Lato" w:cs="Calibri"/>
          <w:bCs/>
          <w:iCs/>
          <w:color w:val="000000"/>
          <w:spacing w:val="4"/>
          <w:sz w:val="22"/>
          <w:szCs w:val="22"/>
          <w:lang w:eastAsia="en-US" w:bidi="pl-PL"/>
        </w:rPr>
        <w:t xml:space="preserve">Zauważyć również należy, że </w:t>
      </w:r>
      <w:r w:rsidRPr="0009014A">
        <w:rPr>
          <w:rFonts w:ascii="Lato" w:eastAsia="MS Mincho" w:hAnsi="Lato" w:cs="Arial"/>
          <w:bCs/>
          <w:color w:val="000000"/>
          <w:spacing w:val="4"/>
          <w:sz w:val="22"/>
          <w:szCs w:val="22"/>
          <w:lang w:eastAsia="en-US" w:bidi="pl-PL"/>
        </w:rPr>
        <w:t xml:space="preserve">analizy różnych wariantów przedsięwzięcia zostały przeprowadzone na etapie postępowania w sprawie wydania decyzji o środowiskowych uwarunkowanych. Analizami objęto różne warianty przebiegu dróg, linii kolejowych </w:t>
      </w:r>
      <w:r w:rsidRPr="0009014A">
        <w:rPr>
          <w:rFonts w:ascii="Lato" w:eastAsia="MS Mincho" w:hAnsi="Lato" w:cs="Arial"/>
          <w:bCs/>
          <w:color w:val="000000"/>
          <w:spacing w:val="4"/>
          <w:sz w:val="22"/>
          <w:szCs w:val="22"/>
          <w:lang w:eastAsia="en-US" w:bidi="pl-PL"/>
        </w:rPr>
        <w:br/>
        <w:t xml:space="preserve">i lokalizacji lotniska oraz ich wpływ na środowisko oraz lokalną społeczność. Ewentualne uwagi i zastrzeżenia co do skutków środowiskowych realizacji przedmiotowej Inwestycji, w tym proponowanego wariantu przebiegu Inwestycji, strony mogły zgłaszać w toku postępowania środowiskowego. </w:t>
      </w:r>
      <w:r w:rsidRPr="0009014A">
        <w:rPr>
          <w:rFonts w:ascii="Lato" w:eastAsia="Calibri" w:hAnsi="Lato"/>
          <w:bCs/>
          <w:iCs/>
          <w:spacing w:val="4"/>
          <w:sz w:val="22"/>
          <w:szCs w:val="22"/>
          <w:lang w:eastAsia="en-US" w:bidi="pl-PL"/>
        </w:rPr>
        <w:t xml:space="preserve">W postępowaniu o wydanie decyzji o ustaleniu lokalizacji inwestycji w zakresie CPK nie można dokonywać analizy prawidłowości decyzji środowiskowej i oceny dokumentacji stanowiącej podstawę wydania tej decyzji, nie można zatem ponownie rozważać kwestii wariantu ustalenia lokalizacji Inwestycji, a do tego zmierza argumentacja skarżących. Potwierdza to utrwalone orzecznictwo sądowoadministracyjne powołane przy rozpatrywaniu odwołania Gminy </w:t>
      </w:r>
      <w:r w:rsidR="00776519">
        <w:rPr>
          <w:rFonts w:ascii="Lato" w:eastAsia="Calibri" w:hAnsi="Lato"/>
          <w:bCs/>
          <w:iCs/>
          <w:spacing w:val="4"/>
          <w:sz w:val="22"/>
          <w:szCs w:val="22"/>
          <w:lang w:eastAsia="en-US" w:bidi="pl-PL"/>
        </w:rPr>
        <w:t>(…)</w:t>
      </w:r>
      <w:r w:rsidRPr="0009014A">
        <w:rPr>
          <w:rFonts w:ascii="Lato" w:eastAsia="Calibri" w:hAnsi="Lato"/>
          <w:bCs/>
          <w:iCs/>
          <w:spacing w:val="4"/>
          <w:sz w:val="22"/>
          <w:szCs w:val="22"/>
          <w:lang w:eastAsia="en-US" w:bidi="pl-PL"/>
        </w:rPr>
        <w:t xml:space="preserve">. </w:t>
      </w:r>
    </w:p>
    <w:p w14:paraId="24B200F7" w14:textId="7FDF8447" w:rsidR="0009014A" w:rsidRPr="0009014A" w:rsidRDefault="0009014A" w:rsidP="0009014A">
      <w:pPr>
        <w:spacing w:after="240" w:line="240" w:lineRule="exact"/>
        <w:ind w:left="-142"/>
        <w:jc w:val="both"/>
        <w:rPr>
          <w:rFonts w:ascii="Lato" w:eastAsia="Calibri" w:hAnsi="Lato"/>
          <w:bCs/>
          <w:iCs/>
          <w:spacing w:val="4"/>
          <w:sz w:val="22"/>
          <w:szCs w:val="22"/>
          <w:lang w:eastAsia="en-US" w:bidi="pl-PL"/>
        </w:rPr>
      </w:pPr>
      <w:r w:rsidRPr="0009014A">
        <w:rPr>
          <w:rFonts w:ascii="Lato" w:eastAsia="Calibri" w:hAnsi="Lato"/>
          <w:bCs/>
          <w:iCs/>
          <w:spacing w:val="4"/>
          <w:sz w:val="22"/>
          <w:szCs w:val="22"/>
          <w:lang w:eastAsia="en-US" w:bidi="pl-PL"/>
        </w:rPr>
        <w:t>Na uwzględnienie nie zasługuje zarzut</w:t>
      </w:r>
      <w:r w:rsidRPr="0009014A">
        <w:rPr>
          <w:rFonts w:ascii="Lato" w:eastAsia="Calibri" w:hAnsi="Lato" w:cs="Arial"/>
          <w:spacing w:val="4"/>
          <w:sz w:val="22"/>
          <w:szCs w:val="22"/>
        </w:rPr>
        <w:t xml:space="preserve"> </w:t>
      </w:r>
      <w:r w:rsidRPr="0009014A">
        <w:rPr>
          <w:rFonts w:ascii="Lato" w:eastAsia="Calibri" w:hAnsi="Lato"/>
          <w:bCs/>
          <w:iCs/>
          <w:spacing w:val="4"/>
          <w:sz w:val="22"/>
          <w:szCs w:val="22"/>
          <w:lang w:eastAsia="en-US" w:bidi="pl-PL"/>
        </w:rPr>
        <w:t>Pana E</w:t>
      </w:r>
      <w:r w:rsidR="00E51D65">
        <w:rPr>
          <w:rFonts w:ascii="Lato" w:eastAsia="Calibri" w:hAnsi="Lato"/>
          <w:bCs/>
          <w:iCs/>
          <w:spacing w:val="4"/>
          <w:sz w:val="22"/>
          <w:szCs w:val="22"/>
          <w:lang w:eastAsia="en-US" w:bidi="pl-PL"/>
        </w:rPr>
        <w:t>.</w:t>
      </w:r>
      <w:r w:rsidRPr="0009014A">
        <w:rPr>
          <w:rFonts w:ascii="Lato" w:eastAsia="Calibri" w:hAnsi="Lato"/>
          <w:bCs/>
          <w:iCs/>
          <w:spacing w:val="4"/>
          <w:sz w:val="22"/>
          <w:szCs w:val="22"/>
          <w:lang w:eastAsia="en-US" w:bidi="pl-PL"/>
        </w:rPr>
        <w:t xml:space="preserve"> T</w:t>
      </w:r>
      <w:r w:rsidR="00E51D65">
        <w:rPr>
          <w:rFonts w:ascii="Lato" w:eastAsia="Calibri" w:hAnsi="Lato"/>
          <w:bCs/>
          <w:iCs/>
          <w:spacing w:val="4"/>
          <w:sz w:val="22"/>
          <w:szCs w:val="22"/>
          <w:lang w:eastAsia="en-US" w:bidi="pl-PL"/>
        </w:rPr>
        <w:t>.</w:t>
      </w:r>
      <w:r w:rsidRPr="0009014A">
        <w:rPr>
          <w:rFonts w:ascii="Lato" w:eastAsia="Calibri" w:hAnsi="Lato"/>
          <w:bCs/>
          <w:iCs/>
          <w:spacing w:val="4"/>
          <w:sz w:val="22"/>
          <w:szCs w:val="22"/>
          <w:lang w:eastAsia="en-US" w:bidi="pl-PL"/>
        </w:rPr>
        <w:t xml:space="preserve"> i Pani K</w:t>
      </w:r>
      <w:r w:rsidR="00E51D65">
        <w:rPr>
          <w:rFonts w:ascii="Lato" w:eastAsia="Calibri" w:hAnsi="Lato"/>
          <w:bCs/>
          <w:iCs/>
          <w:spacing w:val="4"/>
          <w:sz w:val="22"/>
          <w:szCs w:val="22"/>
          <w:lang w:eastAsia="en-US" w:bidi="pl-PL"/>
        </w:rPr>
        <w:t>.</w:t>
      </w:r>
      <w:r w:rsidRPr="0009014A">
        <w:rPr>
          <w:rFonts w:ascii="Lato" w:eastAsia="Calibri" w:hAnsi="Lato"/>
          <w:bCs/>
          <w:iCs/>
          <w:spacing w:val="4"/>
          <w:sz w:val="22"/>
          <w:szCs w:val="22"/>
          <w:lang w:eastAsia="en-US" w:bidi="pl-PL"/>
        </w:rPr>
        <w:t xml:space="preserve"> T</w:t>
      </w:r>
      <w:r w:rsidR="00E51D65">
        <w:rPr>
          <w:rFonts w:ascii="Lato" w:eastAsia="Calibri" w:hAnsi="Lato"/>
          <w:bCs/>
          <w:iCs/>
          <w:spacing w:val="4"/>
          <w:sz w:val="22"/>
          <w:szCs w:val="22"/>
          <w:lang w:eastAsia="en-US" w:bidi="pl-PL"/>
        </w:rPr>
        <w:t>.</w:t>
      </w:r>
      <w:r w:rsidRPr="0009014A">
        <w:rPr>
          <w:rFonts w:ascii="Lato" w:eastAsia="Calibri" w:hAnsi="Lato"/>
          <w:bCs/>
          <w:iCs/>
          <w:spacing w:val="4"/>
          <w:sz w:val="22"/>
          <w:szCs w:val="22"/>
          <w:lang w:eastAsia="en-US" w:bidi="pl-PL"/>
        </w:rPr>
        <w:t xml:space="preserve"> dotyczący tego, że wywłaszczenie w całości pod Inwestycję zabudowanej budynkiem mieszkalnym działki </w:t>
      </w:r>
      <w:r w:rsidR="00E51D65">
        <w:rPr>
          <w:rFonts w:ascii="Lato" w:eastAsia="Calibri" w:hAnsi="Lato"/>
          <w:bCs/>
          <w:iCs/>
          <w:spacing w:val="4"/>
          <w:sz w:val="22"/>
          <w:szCs w:val="22"/>
          <w:lang w:eastAsia="en-US" w:bidi="pl-PL"/>
        </w:rPr>
        <w:br/>
      </w:r>
      <w:r w:rsidRPr="0009014A">
        <w:rPr>
          <w:rFonts w:ascii="Lato" w:eastAsia="Calibri" w:hAnsi="Lato"/>
          <w:bCs/>
          <w:iCs/>
          <w:spacing w:val="4"/>
          <w:sz w:val="22"/>
          <w:szCs w:val="22"/>
          <w:lang w:eastAsia="en-US" w:bidi="pl-PL"/>
        </w:rPr>
        <w:t xml:space="preserve">nr 38/1, z obrębu 0018 Cyganka, stanowi naruszenie art. 21 Konstytucji RP. </w:t>
      </w:r>
    </w:p>
    <w:p w14:paraId="5BDBBD20" w14:textId="77777777" w:rsidR="0009014A" w:rsidRPr="0009014A" w:rsidRDefault="0009014A" w:rsidP="0009014A">
      <w:pPr>
        <w:spacing w:after="240" w:line="240" w:lineRule="exact"/>
        <w:ind w:left="-142"/>
        <w:jc w:val="both"/>
        <w:rPr>
          <w:rFonts w:ascii="Lato" w:hAnsi="Lato" w:cs="Arial"/>
          <w:bCs/>
          <w:iCs/>
          <w:color w:val="000000"/>
          <w:spacing w:val="4"/>
          <w:sz w:val="22"/>
          <w:szCs w:val="22"/>
          <w:lang w:bidi="pl-PL"/>
        </w:rPr>
      </w:pPr>
      <w:r w:rsidRPr="0009014A">
        <w:rPr>
          <w:rFonts w:ascii="Lato" w:eastAsia="Calibri" w:hAnsi="Lato"/>
          <w:bCs/>
          <w:iCs/>
          <w:spacing w:val="4"/>
          <w:sz w:val="22"/>
          <w:szCs w:val="22"/>
          <w:lang w:eastAsia="en-US" w:bidi="pl-PL"/>
        </w:rPr>
        <w:t xml:space="preserve">Po wtóre wskazać należy, że prawo własności nie jest prawem absolutnym. W pewnych przypadkach może być ono ograniczane, a w pewnych przypadkach właściciel może być tego prawa pozbawiony. Realizacja wywłaszczenia nieruchomości skarżących na cel Inwestycji dla której lokalizację ustaliła decyzja Wojewody Mazowieckiego zawiera się wprost w normie art. 21 Konstytucji RP. Z art. 21 Konstytucji RP wynika, że wywłaszczenie, może nastąpić jedynie, gdy jest dokonywane dla realizacji celu publicznego i za słusznym odszkodowaniem. W przypadku decyzji o ustaleniu lokalizacji inwestycji </w:t>
      </w:r>
      <w:r w:rsidRPr="0009014A">
        <w:rPr>
          <w:rFonts w:ascii="Lato" w:eastAsia="Calibri" w:hAnsi="Lato"/>
          <w:bCs/>
          <w:iCs/>
          <w:spacing w:val="4"/>
          <w:sz w:val="22"/>
          <w:szCs w:val="22"/>
          <w:lang w:eastAsia="en-US" w:bidi="pl-PL"/>
        </w:rPr>
        <w:br/>
        <w:t xml:space="preserve">w zakresie CPK wszystkie te warunki są spełnione, bowiem Inwestycja została uznana za cel publiczny (por. art. 3 ust. 1 ustawy CPK), a każdemu właścicielowi przysługuje prawo do uzyskania odszkodowania na zasadach określonych w ustawie CPK, które jest realizowane z urzędu w odrębnej decyzji odszkodowawczej wydawanej przez Wojewodę Mazowieckiego. </w:t>
      </w:r>
      <w:r w:rsidRPr="0009014A">
        <w:rPr>
          <w:rFonts w:ascii="Lato" w:hAnsi="Lato" w:cs="Arial"/>
          <w:bCs/>
          <w:iCs/>
          <w:color w:val="000000"/>
          <w:spacing w:val="4"/>
          <w:sz w:val="22"/>
          <w:szCs w:val="22"/>
          <w:lang w:bidi="pl-PL"/>
        </w:rPr>
        <w:t xml:space="preserve">Wywłaszczenie skarżących z prawa własności ww. działki w celu </w:t>
      </w:r>
      <w:r w:rsidRPr="0009014A">
        <w:rPr>
          <w:rFonts w:ascii="Lato" w:hAnsi="Lato" w:cs="Arial"/>
          <w:bCs/>
          <w:iCs/>
          <w:color w:val="000000"/>
          <w:spacing w:val="4"/>
          <w:sz w:val="22"/>
          <w:szCs w:val="22"/>
          <w:lang w:bidi="pl-PL"/>
        </w:rPr>
        <w:lastRenderedPageBreak/>
        <w:t xml:space="preserve">umożliwienia budowy przedmiotowej Inwestycji, to jest jednego z największych </w:t>
      </w:r>
      <w:r w:rsidRPr="0009014A">
        <w:rPr>
          <w:rFonts w:ascii="Lato" w:hAnsi="Lato" w:cs="Arial"/>
          <w:bCs/>
          <w:iCs/>
          <w:color w:val="000000"/>
          <w:spacing w:val="4"/>
          <w:sz w:val="22"/>
          <w:szCs w:val="22"/>
          <w:lang w:bidi="pl-PL"/>
        </w:rPr>
        <w:br/>
        <w:t>i najbardziej złożonych projektów infrastrukturalnych w historii Polski, który poza zapewnieniem rozwoju gospodarczego będzie miał wpływ na zwiększenie bezpieczeństwa infrastrukturalnego Rzeczypospolitej Polskiej, co stanowi o niewątpliwej istotności planowanej Inwestycji dla interesu publicznego, w sposób oczywisty nie narusza zasady proporcjonalności wynikającej z art. 31 ust. 3 Konstytucji RP. Przyznanie prymatu interesowi publicznemu nad interesem partykularnym skarżących jest więc w tej sprawie uzasadnione.</w:t>
      </w:r>
    </w:p>
    <w:p w14:paraId="17F353B6" w14:textId="5C60DE36" w:rsidR="0009014A" w:rsidRPr="0009014A" w:rsidRDefault="0009014A" w:rsidP="0009014A">
      <w:pPr>
        <w:spacing w:after="240" w:line="240" w:lineRule="exact"/>
        <w:ind w:left="-142"/>
        <w:jc w:val="both"/>
        <w:rPr>
          <w:rFonts w:ascii="Lato" w:hAnsi="Lato" w:cs="Arial"/>
          <w:bCs/>
          <w:iCs/>
          <w:color w:val="000000"/>
          <w:spacing w:val="4"/>
          <w:sz w:val="22"/>
          <w:szCs w:val="22"/>
          <w:lang w:bidi="pl-PL"/>
        </w:rPr>
      </w:pPr>
      <w:r w:rsidRPr="0009014A">
        <w:rPr>
          <w:rFonts w:ascii="Lato" w:hAnsi="Lato" w:cs="Arial"/>
          <w:bCs/>
          <w:iCs/>
          <w:color w:val="000000"/>
          <w:spacing w:val="4"/>
          <w:sz w:val="22"/>
          <w:szCs w:val="22"/>
          <w:lang w:bidi="pl-PL"/>
        </w:rPr>
        <w:t>Jak już to zaznaczono przy odwołaniu Państwa S</w:t>
      </w:r>
      <w:r w:rsidR="00E51D65">
        <w:rPr>
          <w:rFonts w:ascii="Lato" w:hAnsi="Lato" w:cs="Arial"/>
          <w:bCs/>
          <w:iCs/>
          <w:color w:val="000000"/>
          <w:spacing w:val="4"/>
          <w:sz w:val="22"/>
          <w:szCs w:val="22"/>
          <w:lang w:bidi="pl-PL"/>
        </w:rPr>
        <w:t>.</w:t>
      </w:r>
      <w:r w:rsidRPr="0009014A">
        <w:rPr>
          <w:rFonts w:ascii="Lato" w:hAnsi="Lato" w:cs="Arial"/>
          <w:bCs/>
          <w:iCs/>
          <w:color w:val="000000"/>
          <w:spacing w:val="4"/>
          <w:sz w:val="22"/>
          <w:szCs w:val="22"/>
          <w:lang w:bidi="pl-PL"/>
        </w:rPr>
        <w:t>, w orzecznictwie Naczelnego Sądu Administracyjnego dotyczącym specustawy drogowej i ustawy o transporcie kolejowym, ugruntował się jednolity pogląd,</w:t>
      </w:r>
      <w:r w:rsidRPr="0009014A">
        <w:rPr>
          <w:rFonts w:ascii="Lato" w:hAnsi="Lato"/>
          <w:spacing w:val="4"/>
          <w:sz w:val="22"/>
          <w:szCs w:val="22"/>
        </w:rPr>
        <w:t xml:space="preserve"> </w:t>
      </w:r>
      <w:r w:rsidRPr="0009014A">
        <w:rPr>
          <w:rFonts w:ascii="Lato" w:hAnsi="Lato" w:cs="Arial"/>
          <w:bCs/>
          <w:iCs/>
          <w:color w:val="000000"/>
          <w:spacing w:val="4"/>
          <w:sz w:val="22"/>
          <w:szCs w:val="22"/>
          <w:lang w:bidi="pl-PL"/>
        </w:rPr>
        <w:t xml:space="preserve">że przy realizacji systemu dróg/kolei służących poprawie bezpieczeństwa, komunikacji, transportu nie dochodzi do naruszenia proporcji między interesem publicznym, a ingerencją w sferę praw i wolności, które na mocy ustawy są rekompensowane stosownym odszkodowaniem. Z kolei jak podkreślono w wyroku Wojewódzkiego Sądu Administracyjnego w Warszawie z dnia 7 lipca 2010 r., sygn. akt  IV SA/Wa 1326/09 (dotyczącym specustawy drogowej) obywatel ma nie tylko prawa, ale również obowiązki wobec Państwa i społeczeństwa. Człowiek, który żyje </w:t>
      </w:r>
      <w:r w:rsidRPr="0009014A">
        <w:rPr>
          <w:rFonts w:ascii="Lato" w:hAnsi="Lato" w:cs="Arial"/>
          <w:bCs/>
          <w:iCs/>
          <w:color w:val="000000"/>
          <w:spacing w:val="4"/>
          <w:sz w:val="22"/>
          <w:szCs w:val="22"/>
          <w:lang w:bidi="pl-PL"/>
        </w:rPr>
        <w:br/>
        <w:t>w społeczeństwie musi mieć na względzie nie tylko własny interes i potrzeby, ale także interes i potrzeby ogółu obywateli. Konieczność uwzględnienia interesu ogółu obywateli powoduje, że ograniczeniu może podlegać prawo własności.</w:t>
      </w:r>
      <w:r w:rsidRPr="0009014A">
        <w:rPr>
          <w:rFonts w:ascii="Lato" w:hAnsi="Lato"/>
          <w:spacing w:val="4"/>
          <w:sz w:val="22"/>
          <w:szCs w:val="22"/>
        </w:rPr>
        <w:t xml:space="preserve"> Potwierdza to także treść art. 82 </w:t>
      </w:r>
      <w:r w:rsidRPr="0009014A">
        <w:rPr>
          <w:rFonts w:ascii="Lato" w:hAnsi="Lato" w:cs="Arial"/>
          <w:bCs/>
          <w:iCs/>
          <w:color w:val="000000"/>
          <w:spacing w:val="4"/>
          <w:sz w:val="22"/>
          <w:szCs w:val="22"/>
          <w:lang w:bidi="pl-PL"/>
        </w:rPr>
        <w:t xml:space="preserve">Konstytucji RP stanowiącego o tym, że obowiązkiem obywatela polskiego jest troska </w:t>
      </w:r>
      <w:r w:rsidRPr="0009014A">
        <w:rPr>
          <w:rFonts w:ascii="Lato" w:hAnsi="Lato" w:cs="Arial"/>
          <w:bCs/>
          <w:iCs/>
          <w:color w:val="000000"/>
          <w:spacing w:val="4"/>
          <w:sz w:val="22"/>
          <w:szCs w:val="22"/>
          <w:lang w:bidi="pl-PL"/>
        </w:rPr>
        <w:br/>
        <w:t xml:space="preserve">o dobro wspólne. Jest to jedna z fundamentalnych zasad ustrojowych, oznaczająca dbanie o interes społeczny, a nie tylko prywatny. </w:t>
      </w:r>
    </w:p>
    <w:p w14:paraId="49D4F7A7" w14:textId="1812ACC1" w:rsidR="0009014A" w:rsidRPr="0009014A" w:rsidRDefault="0009014A" w:rsidP="00AE01F9">
      <w:pPr>
        <w:spacing w:after="240" w:line="240" w:lineRule="exact"/>
        <w:ind w:left="-142"/>
        <w:jc w:val="both"/>
        <w:rPr>
          <w:rFonts w:ascii="Lato" w:hAnsi="Lato" w:cs="Arial"/>
          <w:bCs/>
          <w:iCs/>
          <w:spacing w:val="4"/>
          <w:sz w:val="22"/>
          <w:szCs w:val="22"/>
          <w:lang w:bidi="pl-PL"/>
        </w:rPr>
      </w:pPr>
      <w:r w:rsidRPr="0009014A">
        <w:rPr>
          <w:rFonts w:ascii="Lato" w:hAnsi="Lato" w:cs="Arial"/>
          <w:bCs/>
          <w:iCs/>
          <w:spacing w:val="4"/>
          <w:sz w:val="22"/>
          <w:szCs w:val="22"/>
          <w:lang w:bidi="pl-PL"/>
        </w:rPr>
        <w:t>W świetle powyższej argumentacji, nie można się zgodzić ze stanowiskiem Pana E</w:t>
      </w:r>
      <w:r w:rsidR="00E51D65">
        <w:rPr>
          <w:rFonts w:ascii="Lato" w:hAnsi="Lato" w:cs="Arial"/>
          <w:bCs/>
          <w:iCs/>
          <w:spacing w:val="4"/>
          <w:sz w:val="22"/>
          <w:szCs w:val="22"/>
          <w:lang w:bidi="pl-PL"/>
        </w:rPr>
        <w:t>.</w:t>
      </w:r>
      <w:r w:rsidRPr="0009014A">
        <w:rPr>
          <w:rFonts w:ascii="Lato" w:hAnsi="Lato" w:cs="Arial"/>
          <w:bCs/>
          <w:iCs/>
          <w:spacing w:val="4"/>
          <w:sz w:val="22"/>
          <w:szCs w:val="22"/>
          <w:lang w:bidi="pl-PL"/>
        </w:rPr>
        <w:t xml:space="preserve"> T</w:t>
      </w:r>
      <w:r w:rsidR="00E51D65">
        <w:rPr>
          <w:rFonts w:ascii="Lato" w:hAnsi="Lato" w:cs="Arial"/>
          <w:bCs/>
          <w:iCs/>
          <w:spacing w:val="4"/>
          <w:sz w:val="22"/>
          <w:szCs w:val="22"/>
          <w:lang w:bidi="pl-PL"/>
        </w:rPr>
        <w:t>.</w:t>
      </w:r>
      <w:r w:rsidRPr="0009014A">
        <w:rPr>
          <w:rFonts w:ascii="Lato" w:hAnsi="Lato" w:cs="Arial"/>
          <w:bCs/>
          <w:iCs/>
          <w:spacing w:val="4"/>
          <w:sz w:val="22"/>
          <w:szCs w:val="22"/>
          <w:lang w:bidi="pl-PL"/>
        </w:rPr>
        <w:t xml:space="preserve"> i Pani K</w:t>
      </w:r>
      <w:r w:rsidR="00E51D65">
        <w:rPr>
          <w:rFonts w:ascii="Lato" w:hAnsi="Lato" w:cs="Arial"/>
          <w:bCs/>
          <w:iCs/>
          <w:spacing w:val="4"/>
          <w:sz w:val="22"/>
          <w:szCs w:val="22"/>
          <w:lang w:bidi="pl-PL"/>
        </w:rPr>
        <w:t>.</w:t>
      </w:r>
      <w:r w:rsidRPr="0009014A">
        <w:rPr>
          <w:rFonts w:ascii="Lato" w:hAnsi="Lato" w:cs="Arial"/>
          <w:bCs/>
          <w:iCs/>
          <w:spacing w:val="4"/>
          <w:sz w:val="22"/>
          <w:szCs w:val="22"/>
          <w:lang w:bidi="pl-PL"/>
        </w:rPr>
        <w:t xml:space="preserve"> T</w:t>
      </w:r>
      <w:r w:rsidR="00E51D65">
        <w:rPr>
          <w:rFonts w:ascii="Lato" w:hAnsi="Lato" w:cs="Arial"/>
          <w:bCs/>
          <w:iCs/>
          <w:spacing w:val="4"/>
          <w:sz w:val="22"/>
          <w:szCs w:val="22"/>
          <w:lang w:bidi="pl-PL"/>
        </w:rPr>
        <w:t>.</w:t>
      </w:r>
      <w:r w:rsidRPr="0009014A">
        <w:rPr>
          <w:rFonts w:ascii="Lato" w:hAnsi="Lato" w:cs="Arial"/>
          <w:bCs/>
          <w:iCs/>
          <w:spacing w:val="4"/>
          <w:sz w:val="22"/>
          <w:szCs w:val="22"/>
          <w:lang w:bidi="pl-PL"/>
        </w:rPr>
        <w:t xml:space="preserve">, że wywłaszczenie ich nieruchomości zabudowanej pod rzeczoną Inwestycję </w:t>
      </w:r>
      <w:r w:rsidR="00E51D65">
        <w:rPr>
          <w:rFonts w:ascii="Lato" w:hAnsi="Lato" w:cs="Arial"/>
          <w:bCs/>
          <w:iCs/>
          <w:spacing w:val="4"/>
          <w:sz w:val="22"/>
          <w:szCs w:val="22"/>
          <w:lang w:bidi="pl-PL"/>
        </w:rPr>
        <w:br/>
      </w:r>
      <w:r w:rsidRPr="0009014A">
        <w:rPr>
          <w:rFonts w:ascii="Lato" w:hAnsi="Lato" w:cs="Arial"/>
          <w:bCs/>
          <w:iCs/>
          <w:spacing w:val="4"/>
          <w:sz w:val="22"/>
          <w:szCs w:val="22"/>
          <w:lang w:bidi="pl-PL"/>
        </w:rPr>
        <w:t xml:space="preserve">i konieczność zmiany miejsca zamieszkania stanowi naruszenie </w:t>
      </w:r>
      <w:r w:rsidRPr="0009014A">
        <w:rPr>
          <w:rFonts w:ascii="Lato" w:hAnsi="Lato" w:cs="Arial"/>
          <w:bCs/>
          <w:iCs/>
          <w:color w:val="000000"/>
          <w:spacing w:val="4"/>
          <w:sz w:val="22"/>
          <w:szCs w:val="22"/>
          <w:lang w:bidi="pl-PL"/>
        </w:rPr>
        <w:t xml:space="preserve">art. 68 Konstytucji RP statuującego prawo do ochrony zdrowia. Co więcej, kwestia oceny wpływu Inwestycji na środowisko i ludzi stanowi zasadniczo przedmiot postępowania w sprawie wydania decyzji o środowiskowych uwarunkowaniach przedsięwzięcia. W ramach uzyskiwania </w:t>
      </w:r>
      <w:r w:rsidRPr="0009014A">
        <w:rPr>
          <w:rFonts w:ascii="Lato" w:hAnsi="Lato" w:cs="Arial"/>
          <w:bCs/>
          <w:color w:val="000000"/>
          <w:spacing w:val="4"/>
          <w:sz w:val="22"/>
          <w:szCs w:val="22"/>
          <w:lang w:bidi="pl-PL"/>
        </w:rPr>
        <w:t xml:space="preserve">decyzji </w:t>
      </w:r>
      <w:r w:rsidR="00E51D65">
        <w:rPr>
          <w:rFonts w:ascii="Lato" w:hAnsi="Lato" w:cs="Arial"/>
          <w:bCs/>
          <w:color w:val="000000"/>
          <w:spacing w:val="4"/>
          <w:sz w:val="22"/>
          <w:szCs w:val="22"/>
          <w:lang w:bidi="pl-PL"/>
        </w:rPr>
        <w:br/>
      </w:r>
      <w:r w:rsidRPr="0009014A">
        <w:rPr>
          <w:rFonts w:ascii="Lato" w:hAnsi="Lato" w:cs="Arial"/>
          <w:bCs/>
          <w:color w:val="000000"/>
          <w:spacing w:val="4"/>
          <w:sz w:val="22"/>
          <w:szCs w:val="22"/>
          <w:lang w:bidi="pl-PL"/>
        </w:rPr>
        <w:t>o środowiskowych uwarunkowaniach</w:t>
      </w:r>
      <w:r w:rsidRPr="0009014A">
        <w:rPr>
          <w:rFonts w:ascii="Lato" w:hAnsi="Lato" w:cs="Arial"/>
          <w:bCs/>
          <w:iCs/>
          <w:color w:val="000000"/>
          <w:spacing w:val="4"/>
          <w:sz w:val="22"/>
          <w:szCs w:val="22"/>
          <w:lang w:bidi="pl-PL"/>
        </w:rPr>
        <w:t xml:space="preserve"> analizowany był wpływy Inwestycji na środowisko </w:t>
      </w:r>
      <w:r w:rsidR="00E51D65">
        <w:rPr>
          <w:rFonts w:ascii="Lato" w:hAnsi="Lato" w:cs="Arial"/>
          <w:bCs/>
          <w:iCs/>
          <w:color w:val="000000"/>
          <w:spacing w:val="4"/>
          <w:sz w:val="22"/>
          <w:szCs w:val="22"/>
          <w:lang w:bidi="pl-PL"/>
        </w:rPr>
        <w:br/>
      </w:r>
      <w:r w:rsidRPr="0009014A">
        <w:rPr>
          <w:rFonts w:ascii="Lato" w:hAnsi="Lato" w:cs="Arial"/>
          <w:bCs/>
          <w:iCs/>
          <w:color w:val="000000"/>
          <w:spacing w:val="4"/>
          <w:sz w:val="22"/>
          <w:szCs w:val="22"/>
          <w:lang w:bidi="pl-PL"/>
        </w:rPr>
        <w:t xml:space="preserve">i ludzi. W rzeczonym postępowaniu środowiskowym poddano analizie wszystkie oddziaływania, które niesie ze sobą realizacja przedmiotowej Inwestycji. </w:t>
      </w:r>
      <w:r w:rsidRPr="0009014A">
        <w:rPr>
          <w:rFonts w:ascii="Lato" w:hAnsi="Lato" w:cs="Arial"/>
          <w:bCs/>
          <w:iCs/>
          <w:spacing w:val="4"/>
          <w:sz w:val="22"/>
          <w:szCs w:val="22"/>
          <w:lang w:bidi="pl-PL"/>
        </w:rPr>
        <w:t xml:space="preserve">Celem wywłaszczenia nie jest destabilizacja życia mieszkańców, lecz realizacja dobra wspólnego, które ma służyć wszystkim obywatelom długofalowo. Wywłaszczenie nieruchomości </w:t>
      </w:r>
      <w:r w:rsidR="00E51D65">
        <w:rPr>
          <w:rFonts w:ascii="Lato" w:hAnsi="Lato" w:cs="Arial"/>
          <w:bCs/>
          <w:iCs/>
          <w:spacing w:val="4"/>
          <w:sz w:val="22"/>
          <w:szCs w:val="22"/>
          <w:lang w:bidi="pl-PL"/>
        </w:rPr>
        <w:br/>
      </w:r>
      <w:r w:rsidRPr="0009014A">
        <w:rPr>
          <w:rFonts w:ascii="Lato" w:hAnsi="Lato" w:cs="Arial"/>
          <w:bCs/>
          <w:iCs/>
          <w:spacing w:val="4"/>
          <w:sz w:val="22"/>
          <w:szCs w:val="22"/>
          <w:lang w:bidi="pl-PL"/>
        </w:rPr>
        <w:t xml:space="preserve">i w konsekwencji zburzenie budynku mieszkalnego jest niewątpliwie dla skarżących niebagatelną niedogodnością, jednakże jest to konieczne, by zrealizować Inwestycję </w:t>
      </w:r>
      <w:r w:rsidR="00E51D65">
        <w:rPr>
          <w:rFonts w:ascii="Lato" w:hAnsi="Lato" w:cs="Arial"/>
          <w:bCs/>
          <w:iCs/>
          <w:spacing w:val="4"/>
          <w:sz w:val="22"/>
          <w:szCs w:val="22"/>
          <w:lang w:bidi="pl-PL"/>
        </w:rPr>
        <w:br/>
      </w:r>
      <w:r w:rsidRPr="0009014A">
        <w:rPr>
          <w:rFonts w:ascii="Lato" w:hAnsi="Lato" w:cs="Arial"/>
          <w:bCs/>
          <w:iCs/>
          <w:spacing w:val="4"/>
          <w:sz w:val="22"/>
          <w:szCs w:val="22"/>
          <w:lang w:bidi="pl-PL"/>
        </w:rPr>
        <w:t>o wyjątkowo istotnym znaczeniu publicznym i gospodarczym. Złagodzeniu skutków tej sytuacji służy prawo do uzyskania odszkodowania. Realizacja inwestycji celu publicznego odbywa się z uwzględnieniem przepisów prawa mających na celu ochronę osób wywłaszczanych</w:t>
      </w:r>
      <w:r w:rsidR="00E975C8">
        <w:rPr>
          <w:rFonts w:ascii="Lato" w:hAnsi="Lato" w:cs="Arial"/>
          <w:bCs/>
          <w:iCs/>
          <w:spacing w:val="4"/>
          <w:sz w:val="22"/>
          <w:szCs w:val="22"/>
          <w:lang w:bidi="pl-PL"/>
        </w:rPr>
        <w:t xml:space="preserve"> </w:t>
      </w:r>
      <w:r w:rsidRPr="0009014A">
        <w:rPr>
          <w:rFonts w:ascii="Lato" w:hAnsi="Lato" w:cs="Arial"/>
          <w:bCs/>
          <w:iCs/>
          <w:spacing w:val="4"/>
          <w:sz w:val="22"/>
          <w:szCs w:val="22"/>
          <w:lang w:bidi="pl-PL"/>
        </w:rPr>
        <w:t xml:space="preserve">m.in. poprzez zapewnienie im słusznego odszkodowania (obejmującego wartość nieruchomości oraz dodatkowe elementy rekompensujące utratę miejsca zamieszkania). Nie można przy tym pominąć, iż nowelizacja ustawy CPK dokonana ustawą z dnia 24 września 2025 r. o zmianie ustawy o Centralnym Porcie Komunikacyjnym (Dz.U. z 2025 r. poz. 1531), zapewnia niespotykany dotychczas w polskich specustawach inwestycyjnych poziom gwarancji praw podmiotów podlegających wywłaszczeniu </w:t>
      </w:r>
      <w:r w:rsidR="00E51D65">
        <w:rPr>
          <w:rFonts w:ascii="Lato" w:hAnsi="Lato" w:cs="Arial"/>
          <w:bCs/>
          <w:iCs/>
          <w:spacing w:val="4"/>
          <w:sz w:val="22"/>
          <w:szCs w:val="22"/>
          <w:lang w:bidi="pl-PL"/>
        </w:rPr>
        <w:br/>
      </w:r>
      <w:r w:rsidRPr="0009014A">
        <w:rPr>
          <w:rFonts w:ascii="Lato" w:hAnsi="Lato" w:cs="Arial"/>
          <w:bCs/>
          <w:iCs/>
          <w:spacing w:val="4"/>
          <w:sz w:val="22"/>
          <w:szCs w:val="22"/>
          <w:lang w:bidi="pl-PL"/>
        </w:rPr>
        <w:t>w kwestiach odszkodowawczych za wywłaszczoną nieruchomość (por. uzasadnienie do rządowego projektu ustawy o zmianie ustawy o Centralnym Porcie Komunikacyjnym, druk sejmowy nr 1637, Sejm X kadencji, www.sejm.gov.pl).</w:t>
      </w:r>
    </w:p>
    <w:p w14:paraId="0A2DAA32" w14:textId="77777777" w:rsidR="0009014A" w:rsidRPr="0009014A" w:rsidRDefault="0009014A" w:rsidP="0009014A">
      <w:pPr>
        <w:spacing w:after="240" w:line="240" w:lineRule="exact"/>
        <w:ind w:left="-142"/>
        <w:jc w:val="both"/>
        <w:rPr>
          <w:rFonts w:ascii="Lato" w:hAnsi="Lato" w:cs="Arial"/>
          <w:bCs/>
          <w:iCs/>
          <w:spacing w:val="4"/>
          <w:sz w:val="22"/>
          <w:szCs w:val="22"/>
          <w:lang w:bidi="pl-PL"/>
        </w:rPr>
      </w:pPr>
      <w:r w:rsidRPr="0009014A">
        <w:rPr>
          <w:rFonts w:ascii="Lato" w:hAnsi="Lato" w:cs="Arial"/>
          <w:bCs/>
          <w:iCs/>
          <w:spacing w:val="4"/>
          <w:sz w:val="22"/>
          <w:szCs w:val="22"/>
          <w:lang w:bidi="pl-PL"/>
        </w:rPr>
        <w:t xml:space="preserve">Dostrzec trzeba, że skarżący domagają się utrzymania swojego status quo w zakresie możliwości zamieszkiwania w dotychczasowym miejscu i w tym kontekście ich sprzeciw jest oczywistym i naturalnym odruchem ochrony sposobu wykonywania dotychczasowego </w:t>
      </w:r>
      <w:r w:rsidRPr="0009014A">
        <w:rPr>
          <w:rFonts w:ascii="Lato" w:hAnsi="Lato" w:cs="Arial"/>
          <w:bCs/>
          <w:iCs/>
          <w:spacing w:val="4"/>
          <w:sz w:val="22"/>
          <w:szCs w:val="22"/>
          <w:lang w:bidi="pl-PL"/>
        </w:rPr>
        <w:lastRenderedPageBreak/>
        <w:t xml:space="preserve">prawa własności nieruchomości. Jednakże ustalenie lokalizacji przedmiotowej Inwestycji o bezprecedensowej skali w historii Polski jest nierozerwalnie związane z ingerencją </w:t>
      </w:r>
      <w:r w:rsidRPr="0009014A">
        <w:rPr>
          <w:rFonts w:ascii="Lato" w:hAnsi="Lato" w:cs="Arial"/>
          <w:bCs/>
          <w:iCs/>
          <w:spacing w:val="4"/>
          <w:sz w:val="22"/>
          <w:szCs w:val="22"/>
          <w:lang w:bidi="pl-PL"/>
        </w:rPr>
        <w:br/>
        <w:t xml:space="preserve">w uprawnienia różnych podmiotów i wielu przypadkach dochodzi do sprzecznych </w:t>
      </w:r>
      <w:r w:rsidRPr="0009014A">
        <w:rPr>
          <w:rFonts w:ascii="Lato" w:hAnsi="Lato" w:cs="Arial"/>
          <w:bCs/>
          <w:iCs/>
          <w:spacing w:val="4"/>
          <w:sz w:val="22"/>
          <w:szCs w:val="22"/>
          <w:lang w:bidi="pl-PL"/>
        </w:rPr>
        <w:br/>
        <w:t xml:space="preserve">i trudnych do pogodzenia interesów, z jednej strony inwestora, a z drugiej strony osób lub podmiotów których prawa lub interesy mogą być przez to zagrożone lub naruszone. Jak już to wyjaśniano w niniejszej decyzji, rozwój urbanizacyjny skutkuje zwiększającym się ograniczaniem indywidualnych praw właścicielskich na rzecz konieczności rozwoju infrastruktury publicznej lub społecznej użyteczności w ramach społecznej funkcji prawa własności. </w:t>
      </w:r>
      <w:r w:rsidRPr="0009014A">
        <w:rPr>
          <w:rFonts w:ascii="Lato" w:eastAsia="Calibri" w:hAnsi="Lato"/>
          <w:bCs/>
          <w:iCs/>
          <w:spacing w:val="4"/>
          <w:sz w:val="22"/>
          <w:szCs w:val="22"/>
          <w:lang w:eastAsia="en-US" w:bidi="pl-PL"/>
        </w:rPr>
        <w:t xml:space="preserve">Poza ochroną prawną wynikającą z norm prawa, pozostają natomiast protesty obywateli lub innych podmiotów wyrażające ich osobiste zapatrywania, oczekiwania, postulaty i życzenia co do określonego przebiegu inwestycji. Protesty społeczne, czy osobiste opinie mieszkańców co do tego, jak Inwestycja powinna wyglądać (lub że w ogóle nie powinna powstać w danym miejscu), nie stanowią prawnej przeszkody dla wydania decyzji o ustaleniu lokalizacji inwestycji w zakresie CPK, o ile zachodzą prawne przesłanki do jej wydania, co ma miejsce w niniejszej sprawie. Przypomnieć w tym miejscu również wypada, że organ wydający decyzję o ustaleniu lokalizacji inwestycji w zakresie CPK nie jest kompetentny do oceny przesłanek społecznych powstającej Inwestycji, w jej kształcie określonym przez inwestora. </w:t>
      </w:r>
    </w:p>
    <w:p w14:paraId="14E7028E" w14:textId="4817AF56" w:rsidR="0009014A" w:rsidRPr="0009014A" w:rsidRDefault="0009014A" w:rsidP="0009014A">
      <w:pPr>
        <w:spacing w:after="120" w:line="240" w:lineRule="exact"/>
        <w:ind w:left="-142"/>
        <w:jc w:val="both"/>
        <w:rPr>
          <w:rFonts w:ascii="Lato" w:eastAsia="Calibri" w:hAnsi="Lato"/>
          <w:bCs/>
          <w:iCs/>
          <w:spacing w:val="4"/>
          <w:sz w:val="22"/>
          <w:szCs w:val="22"/>
          <w:lang w:eastAsia="en-US" w:bidi="pl-PL"/>
        </w:rPr>
      </w:pPr>
      <w:r w:rsidRPr="0009014A">
        <w:rPr>
          <w:rFonts w:ascii="Lato" w:eastAsia="Calibri" w:hAnsi="Lato"/>
          <w:bCs/>
          <w:iCs/>
          <w:spacing w:val="4"/>
          <w:sz w:val="22"/>
          <w:szCs w:val="22"/>
          <w:lang w:eastAsia="en-US" w:bidi="pl-PL"/>
        </w:rPr>
        <w:t>Za niezasadne należy uznać zarzuty Pani E</w:t>
      </w:r>
      <w:r w:rsidR="00E51D65">
        <w:rPr>
          <w:rFonts w:ascii="Lato" w:eastAsia="Calibri" w:hAnsi="Lato"/>
          <w:bCs/>
          <w:iCs/>
          <w:spacing w:val="4"/>
          <w:sz w:val="22"/>
          <w:szCs w:val="22"/>
          <w:lang w:eastAsia="en-US" w:bidi="pl-PL"/>
        </w:rPr>
        <w:t>.</w:t>
      </w:r>
      <w:r w:rsidRPr="0009014A">
        <w:rPr>
          <w:rFonts w:ascii="Lato" w:eastAsia="Calibri" w:hAnsi="Lato"/>
          <w:bCs/>
          <w:iCs/>
          <w:spacing w:val="4"/>
          <w:sz w:val="22"/>
          <w:szCs w:val="22"/>
          <w:lang w:eastAsia="en-US" w:bidi="pl-PL"/>
        </w:rPr>
        <w:t xml:space="preserve"> L</w:t>
      </w:r>
      <w:r w:rsidR="00E51D65">
        <w:rPr>
          <w:rFonts w:ascii="Lato" w:eastAsia="Calibri" w:hAnsi="Lato"/>
          <w:bCs/>
          <w:iCs/>
          <w:spacing w:val="4"/>
          <w:sz w:val="22"/>
          <w:szCs w:val="22"/>
          <w:lang w:eastAsia="en-US" w:bidi="pl-PL"/>
        </w:rPr>
        <w:t>.</w:t>
      </w:r>
      <w:r w:rsidRPr="0009014A">
        <w:rPr>
          <w:rFonts w:ascii="Lato" w:eastAsia="Calibri" w:hAnsi="Lato"/>
          <w:bCs/>
          <w:iCs/>
          <w:spacing w:val="4"/>
          <w:sz w:val="22"/>
          <w:szCs w:val="22"/>
          <w:lang w:eastAsia="en-US" w:bidi="pl-PL"/>
        </w:rPr>
        <w:t xml:space="preserve"> i Pana K</w:t>
      </w:r>
      <w:r w:rsidR="00E51D65">
        <w:rPr>
          <w:rFonts w:ascii="Lato" w:eastAsia="Calibri" w:hAnsi="Lato"/>
          <w:bCs/>
          <w:iCs/>
          <w:spacing w:val="4"/>
          <w:sz w:val="22"/>
          <w:szCs w:val="22"/>
          <w:lang w:eastAsia="en-US" w:bidi="pl-PL"/>
        </w:rPr>
        <w:t>.</w:t>
      </w:r>
      <w:r w:rsidRPr="0009014A">
        <w:rPr>
          <w:rFonts w:ascii="Lato" w:eastAsia="Calibri" w:hAnsi="Lato"/>
          <w:bCs/>
          <w:iCs/>
          <w:spacing w:val="4"/>
          <w:sz w:val="22"/>
          <w:szCs w:val="22"/>
          <w:lang w:eastAsia="en-US" w:bidi="pl-PL"/>
        </w:rPr>
        <w:t xml:space="preserve"> L</w:t>
      </w:r>
      <w:r w:rsidR="00E51D65">
        <w:rPr>
          <w:rFonts w:ascii="Lato" w:eastAsia="Calibri" w:hAnsi="Lato"/>
          <w:bCs/>
          <w:iCs/>
          <w:spacing w:val="4"/>
          <w:sz w:val="22"/>
          <w:szCs w:val="22"/>
          <w:lang w:eastAsia="en-US" w:bidi="pl-PL"/>
        </w:rPr>
        <w:t>.</w:t>
      </w:r>
      <w:r w:rsidRPr="0009014A">
        <w:rPr>
          <w:rFonts w:ascii="Lato" w:eastAsia="Calibri" w:hAnsi="Lato"/>
          <w:bCs/>
          <w:iCs/>
          <w:spacing w:val="4"/>
          <w:sz w:val="22"/>
          <w:szCs w:val="22"/>
          <w:lang w:eastAsia="en-US" w:bidi="pl-PL"/>
        </w:rPr>
        <w:t xml:space="preserve"> dotyczące naruszenia:</w:t>
      </w:r>
    </w:p>
    <w:p w14:paraId="7D59B283" w14:textId="77777777" w:rsidR="0009014A" w:rsidRPr="0009014A" w:rsidRDefault="0009014A">
      <w:pPr>
        <w:numPr>
          <w:ilvl w:val="0"/>
          <w:numId w:val="48"/>
        </w:numPr>
        <w:spacing w:after="120" w:line="240" w:lineRule="exact"/>
        <w:jc w:val="both"/>
        <w:rPr>
          <w:rFonts w:ascii="Lato" w:eastAsia="Calibri" w:hAnsi="Lato"/>
          <w:bCs/>
          <w:iCs/>
          <w:spacing w:val="4"/>
          <w:sz w:val="22"/>
          <w:szCs w:val="22"/>
          <w:lang w:eastAsia="en-US" w:bidi="pl-PL"/>
        </w:rPr>
      </w:pPr>
      <w:r w:rsidRPr="0009014A">
        <w:rPr>
          <w:rFonts w:ascii="Lato" w:eastAsia="Calibri" w:hAnsi="Lato"/>
          <w:bCs/>
          <w:iCs/>
          <w:spacing w:val="4"/>
          <w:sz w:val="22"/>
          <w:szCs w:val="22"/>
          <w:lang w:eastAsia="en-US" w:bidi="pl-PL"/>
        </w:rPr>
        <w:t>art. 10 § 1 kpa w zw. z art. 77 § 1 kpa i art. 81 kpa poprzez oparcie zaskarżonej decyzji na ustaleniach faktycznych, które z uwagi na brak wypowiedzenia się przez skarżącego (pozbawionego w istocie prawa do czynnego udziału w postępowaniu), co do treści tych ustaleń oraz poprzedzających je dowodów, w ogóle nie mogą być uznane za udowodnione, ergo nie mogą stanowić podstawy faktycznej zaskarżonej decyzji,</w:t>
      </w:r>
    </w:p>
    <w:p w14:paraId="75223CE1" w14:textId="77777777" w:rsidR="0009014A" w:rsidRPr="0009014A" w:rsidRDefault="0009014A">
      <w:pPr>
        <w:numPr>
          <w:ilvl w:val="0"/>
          <w:numId w:val="48"/>
        </w:numPr>
        <w:spacing w:after="120" w:line="240" w:lineRule="exact"/>
        <w:jc w:val="both"/>
        <w:rPr>
          <w:rFonts w:ascii="Lato" w:eastAsia="Calibri" w:hAnsi="Lato"/>
          <w:bCs/>
          <w:iCs/>
          <w:spacing w:val="4"/>
          <w:sz w:val="22"/>
          <w:szCs w:val="22"/>
          <w:lang w:eastAsia="en-US" w:bidi="pl-PL"/>
        </w:rPr>
      </w:pPr>
      <w:r w:rsidRPr="0009014A">
        <w:rPr>
          <w:rFonts w:ascii="Lato" w:eastAsia="Calibri" w:hAnsi="Lato"/>
          <w:bCs/>
          <w:iCs/>
          <w:spacing w:val="4"/>
          <w:sz w:val="22"/>
          <w:szCs w:val="22"/>
          <w:lang w:eastAsia="en-US" w:bidi="pl-PL"/>
        </w:rPr>
        <w:t xml:space="preserve">art. 107 § 3 kpa poprzez brak precyzyjnego wyjaśnienia podstawy faktycznej </w:t>
      </w:r>
      <w:r w:rsidRPr="0009014A">
        <w:rPr>
          <w:rFonts w:ascii="Lato" w:eastAsia="Calibri" w:hAnsi="Lato"/>
          <w:bCs/>
          <w:iCs/>
          <w:spacing w:val="4"/>
          <w:sz w:val="22"/>
          <w:szCs w:val="22"/>
          <w:lang w:eastAsia="en-US" w:bidi="pl-PL"/>
        </w:rPr>
        <w:br/>
        <w:t xml:space="preserve">i prawnej tej decyzji w zakresie lokalizacji inwestycji w obrębie Skrzelew, Strumiany Górne, Szymanów, Strumiany Dolne, co uniemożliwia właściwe zapoznanie się </w:t>
      </w:r>
      <w:r w:rsidRPr="0009014A">
        <w:rPr>
          <w:rFonts w:ascii="Lato" w:eastAsia="Calibri" w:hAnsi="Lato"/>
          <w:bCs/>
          <w:iCs/>
          <w:spacing w:val="4"/>
          <w:sz w:val="22"/>
          <w:szCs w:val="22"/>
          <w:lang w:eastAsia="en-US" w:bidi="pl-PL"/>
        </w:rPr>
        <w:br/>
        <w:t>z motywami działania organu, zrozumienie tych motywów, a w rezultacie ustosunkowanie się do nich w rzeczowy i wyczerpujący sposób,</w:t>
      </w:r>
    </w:p>
    <w:p w14:paraId="3D867627" w14:textId="77777777" w:rsidR="0009014A" w:rsidRPr="0009014A" w:rsidRDefault="0009014A">
      <w:pPr>
        <w:numPr>
          <w:ilvl w:val="0"/>
          <w:numId w:val="48"/>
        </w:numPr>
        <w:spacing w:after="240" w:line="240" w:lineRule="exact"/>
        <w:ind w:left="357" w:hanging="357"/>
        <w:jc w:val="both"/>
        <w:rPr>
          <w:rFonts w:ascii="Lato" w:eastAsia="Calibri" w:hAnsi="Lato"/>
          <w:bCs/>
          <w:iCs/>
          <w:spacing w:val="4"/>
          <w:sz w:val="22"/>
          <w:szCs w:val="22"/>
          <w:lang w:eastAsia="en-US" w:bidi="pl-PL"/>
        </w:rPr>
      </w:pPr>
      <w:r w:rsidRPr="0009014A">
        <w:rPr>
          <w:rFonts w:ascii="Lato" w:eastAsia="Calibri" w:hAnsi="Lato"/>
          <w:bCs/>
          <w:iCs/>
          <w:spacing w:val="4"/>
          <w:sz w:val="22"/>
          <w:szCs w:val="22"/>
          <w:lang w:eastAsia="en-US" w:bidi="pl-PL"/>
        </w:rPr>
        <w:t>art. 7 kpa w zw. z art. 7b kpa i art. 8 § 1 kpa, poprzez niepodjęcie wszelkich czynności niezbędnych do dokładnego wyjaśnienia stanu faktycznego, a oparcia decyzji jedynie na zestawieniu geodezyjnym terenu, który ma zostać przejęty na potrzeby inwestycji, a w szczególności brak ustalenia okoliczności przemawiających za tym, że właśnie te tereny należące do skarżących powinny być objęte miejscem realizacji inwestycji, jak i brak wyjaśnienia samych celów wydania przedmiotowej decyzji o ustaleniu lokalizacji inwestycji w zakresie CPK, czy to ze względu na interes publiczny, interes ekonomiczny, czy też bezpieczeństwo państwa.</w:t>
      </w:r>
    </w:p>
    <w:p w14:paraId="6A6F9E17" w14:textId="4963EB48"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eastAsiaTheme="minorHAnsi" w:hAnsi="Lato" w:cs="Calibri"/>
          <w:bCs/>
          <w:iCs/>
          <w:color w:val="000000"/>
          <w:spacing w:val="4"/>
          <w:sz w:val="22"/>
          <w:szCs w:val="22"/>
          <w:lang w:eastAsia="en-US" w:bidi="pl-PL"/>
        </w:rPr>
        <w:t>Odnośnie zarzutu naruszenia art. 10 § 1 kpa w zw. z art. 77 § 1 kpa i art. 81 kpa, Minister podtrzymuje w tym zakresie argumentację powołaną już w niniejszej decyzji odnośnie tożsamego w swej istocie zarzutu Państwa K</w:t>
      </w:r>
      <w:r w:rsidR="005207D5">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i spółki </w:t>
      </w:r>
      <w:r w:rsidR="005207D5">
        <w:rPr>
          <w:rFonts w:ascii="Lato" w:eastAsiaTheme="minorHAnsi" w:hAnsi="Lato" w:cs="Calibri"/>
          <w:bCs/>
          <w:iCs/>
          <w:color w:val="000000"/>
          <w:spacing w:val="4"/>
          <w:sz w:val="22"/>
          <w:szCs w:val="22"/>
          <w:lang w:eastAsia="en-US" w:bidi="pl-PL"/>
        </w:rPr>
        <w:t>(…)</w:t>
      </w:r>
      <w:r w:rsidRPr="0009014A">
        <w:rPr>
          <w:rFonts w:ascii="Lato" w:eastAsiaTheme="minorHAnsi" w:hAnsi="Lato" w:cs="Calibri"/>
          <w:bCs/>
          <w:iCs/>
          <w:color w:val="000000"/>
          <w:spacing w:val="4"/>
          <w:sz w:val="22"/>
          <w:szCs w:val="22"/>
          <w:lang w:eastAsia="en-US" w:bidi="pl-PL"/>
        </w:rPr>
        <w:t xml:space="preserve">. Przypomnieć należy, że </w:t>
      </w:r>
      <w:r w:rsidR="005207D5">
        <w:rPr>
          <w:rFonts w:ascii="Lato" w:eastAsiaTheme="minorHAnsi" w:hAnsi="Lato" w:cs="Calibri"/>
          <w:bCs/>
          <w:iCs/>
          <w:color w:val="000000"/>
          <w:spacing w:val="4"/>
          <w:sz w:val="22"/>
          <w:szCs w:val="22"/>
          <w:lang w:eastAsia="en-US" w:bidi="pl-PL"/>
        </w:rPr>
        <w:br/>
      </w:r>
      <w:r w:rsidRPr="0009014A">
        <w:rPr>
          <w:rFonts w:ascii="Lato" w:eastAsiaTheme="minorHAnsi" w:hAnsi="Lato" w:cs="Calibri"/>
          <w:bCs/>
          <w:iCs/>
          <w:color w:val="000000"/>
          <w:spacing w:val="4"/>
          <w:sz w:val="22"/>
          <w:szCs w:val="22"/>
          <w:lang w:eastAsia="en-US" w:bidi="pl-PL"/>
        </w:rPr>
        <w:t xml:space="preserve">w </w:t>
      </w:r>
      <w:r w:rsidRPr="0009014A">
        <w:rPr>
          <w:rFonts w:ascii="Lato" w:hAnsi="Lato"/>
          <w:spacing w:val="4"/>
          <w:sz w:val="22"/>
          <w:szCs w:val="22"/>
        </w:rPr>
        <w:t xml:space="preserve">orzecznictwie i doktrynie podkreśla się, że zarzut naruszenia art. 10 § 1 kpa może odnieść skutek wówczas, gdy stawiająca go strona wykaże, że zarzucane uchybienie uniemożliwiło jej dokonanie konkretnych czynności procesowych. Należy przy tym podkreślić, że to na stronie stawiającej powyższy zarzut spoczywa ciężar wykazania istnienia związku przyczynowego między naruszeniem przepisów postępowania </w:t>
      </w:r>
      <w:r w:rsidR="005207D5">
        <w:rPr>
          <w:rFonts w:ascii="Lato" w:hAnsi="Lato"/>
          <w:spacing w:val="4"/>
          <w:sz w:val="22"/>
          <w:szCs w:val="22"/>
        </w:rPr>
        <w:br/>
      </w:r>
      <w:r w:rsidRPr="0009014A">
        <w:rPr>
          <w:rFonts w:ascii="Lato" w:hAnsi="Lato"/>
          <w:spacing w:val="4"/>
          <w:sz w:val="22"/>
          <w:szCs w:val="22"/>
        </w:rPr>
        <w:t xml:space="preserve">a wynikiem sprawy. </w:t>
      </w:r>
      <w:r w:rsidRPr="0009014A">
        <w:rPr>
          <w:rFonts w:ascii="Lato" w:hAnsi="Lato"/>
          <w:bCs/>
          <w:iCs/>
          <w:spacing w:val="4"/>
          <w:sz w:val="22"/>
          <w:szCs w:val="22"/>
          <w:lang w:bidi="pl-PL"/>
        </w:rPr>
        <w:t>Państwo L</w:t>
      </w:r>
      <w:r w:rsidR="005207D5">
        <w:rPr>
          <w:rFonts w:ascii="Lato" w:hAnsi="Lato"/>
          <w:bCs/>
          <w:iCs/>
          <w:spacing w:val="4"/>
          <w:sz w:val="22"/>
          <w:szCs w:val="22"/>
          <w:lang w:bidi="pl-PL"/>
        </w:rPr>
        <w:t>.</w:t>
      </w:r>
      <w:r w:rsidRPr="0009014A">
        <w:rPr>
          <w:rFonts w:ascii="Lato" w:hAnsi="Lato"/>
          <w:bCs/>
          <w:iCs/>
          <w:spacing w:val="4"/>
          <w:sz w:val="22"/>
          <w:szCs w:val="22"/>
          <w:lang w:bidi="pl-PL"/>
        </w:rPr>
        <w:t xml:space="preserve"> poza ogólnym stwierdzeniem, że</w:t>
      </w:r>
      <w:r w:rsidRPr="0009014A">
        <w:rPr>
          <w:rFonts w:ascii="Arial" w:hAnsi="Arial" w:cs="Arial"/>
          <w:color w:val="000000"/>
          <w:spacing w:val="10"/>
          <w:sz w:val="18"/>
          <w:szCs w:val="18"/>
        </w:rPr>
        <w:t xml:space="preserve"> </w:t>
      </w:r>
      <w:r w:rsidRPr="0009014A">
        <w:rPr>
          <w:rFonts w:ascii="Lato" w:hAnsi="Lato"/>
          <w:bCs/>
          <w:iCs/>
          <w:spacing w:val="4"/>
          <w:sz w:val="22"/>
          <w:szCs w:val="22"/>
          <w:lang w:bidi="pl-PL"/>
        </w:rPr>
        <w:t xml:space="preserve">gdyby zostali zawiadomieni o zakończeniu postępowania, to ich udział mógłby doprowadzić do wydania rozstrzygnięcia odmiennego niż to wydane bez ich aktywnego uczestnictwa, nie wskazali, jakich konkretnych czynności procesowych nie mogli dokonać, które mogłyby doprowadzić do odmiennego rozstrzygnięcia sprawy dotyczącej ustalenia lokalizacji </w:t>
      </w:r>
      <w:r w:rsidRPr="0009014A">
        <w:rPr>
          <w:rFonts w:ascii="Lato" w:hAnsi="Lato"/>
          <w:bCs/>
          <w:iCs/>
          <w:spacing w:val="4"/>
          <w:sz w:val="22"/>
          <w:szCs w:val="22"/>
          <w:lang w:bidi="pl-PL"/>
        </w:rPr>
        <w:lastRenderedPageBreak/>
        <w:t xml:space="preserve">przedmiotowej inwestycji na ich nieruchomościach. Takich wniosków dowodowych skarżący nie wnieśli również na etapie postępowania odwoławczego. W toku postępowania przed organem I instancji do czasu wydania decyzji Wojewody Mazowieckiego skarżący (pomimo, iż zostali zawiadomieni przez organ I instancji </w:t>
      </w:r>
      <w:r w:rsidR="00CA3FBE">
        <w:rPr>
          <w:rFonts w:ascii="Lato" w:hAnsi="Lato"/>
          <w:bCs/>
          <w:iCs/>
          <w:spacing w:val="4"/>
          <w:sz w:val="22"/>
          <w:szCs w:val="22"/>
          <w:lang w:bidi="pl-PL"/>
        </w:rPr>
        <w:br/>
      </w:r>
      <w:r w:rsidRPr="0009014A">
        <w:rPr>
          <w:rFonts w:ascii="Lato" w:hAnsi="Lato"/>
          <w:bCs/>
          <w:iCs/>
          <w:spacing w:val="4"/>
          <w:sz w:val="22"/>
          <w:szCs w:val="22"/>
          <w:lang w:bidi="pl-PL"/>
        </w:rPr>
        <w:t>o wszczęciu postępowania w drodze pisma organu I instancji z dnia 3 czerwca 2024 r.) nie wnosili zastrzeżeń względem inwestycji, co do których Wojewoda Mazowiecki musiałby się odnieść w uzasadnieniu decyzji.</w:t>
      </w:r>
    </w:p>
    <w:p w14:paraId="720CF3DD" w14:textId="369884B6" w:rsidR="008356B2" w:rsidRDefault="0009014A" w:rsidP="0009014A">
      <w:pPr>
        <w:spacing w:after="240" w:line="240" w:lineRule="exact"/>
        <w:jc w:val="both"/>
        <w:rPr>
          <w:rFonts w:ascii="Lato" w:hAnsi="Lato"/>
          <w:bCs/>
          <w:iCs/>
          <w:spacing w:val="4"/>
          <w:sz w:val="22"/>
          <w:szCs w:val="22"/>
          <w:lang w:bidi="pl-PL"/>
        </w:rPr>
      </w:pPr>
      <w:r w:rsidRPr="0009014A">
        <w:rPr>
          <w:rFonts w:ascii="Lato" w:hAnsi="Lato"/>
          <w:bCs/>
          <w:iCs/>
          <w:spacing w:val="4"/>
          <w:sz w:val="22"/>
          <w:szCs w:val="22"/>
          <w:lang w:bidi="pl-PL"/>
        </w:rPr>
        <w:t xml:space="preserve">Jednocześnie wyjaśnić należy, iż pozostałe zarzuty odwołania są co do zasady tożsame </w:t>
      </w:r>
      <w:r w:rsidRPr="0009014A">
        <w:rPr>
          <w:rFonts w:ascii="Lato" w:hAnsi="Lato"/>
          <w:bCs/>
          <w:iCs/>
          <w:spacing w:val="4"/>
          <w:sz w:val="22"/>
          <w:szCs w:val="22"/>
          <w:lang w:bidi="pl-PL"/>
        </w:rPr>
        <w:br/>
        <w:t xml:space="preserve">z zarzutami podniesionymi w odwołaniu Gminy </w:t>
      </w:r>
      <w:r w:rsidR="00CA3FBE">
        <w:rPr>
          <w:rFonts w:ascii="Lato" w:hAnsi="Lato"/>
          <w:bCs/>
          <w:iCs/>
          <w:spacing w:val="4"/>
          <w:sz w:val="22"/>
          <w:szCs w:val="22"/>
          <w:lang w:bidi="pl-PL"/>
        </w:rPr>
        <w:t>(…)</w:t>
      </w:r>
      <w:r w:rsidRPr="0009014A">
        <w:rPr>
          <w:rFonts w:ascii="Lato" w:hAnsi="Lato"/>
          <w:bCs/>
          <w:iCs/>
          <w:spacing w:val="4"/>
          <w:sz w:val="22"/>
          <w:szCs w:val="22"/>
          <w:lang w:bidi="pl-PL"/>
        </w:rPr>
        <w:t>, co do których Minister odniósł się już w niniejszej decyzji. Przypomnieć w tym miejscu należy, iż wariant ustalenia lokalizacji przedmiotowej inwestycji determinuje decyzja o środowiskowych uwarunkowaniach</w:t>
      </w:r>
      <w:r w:rsidRPr="0009014A">
        <w:rPr>
          <w:rFonts w:ascii="Lato" w:eastAsia="Calibri" w:hAnsi="Lato"/>
          <w:bCs/>
          <w:iCs/>
          <w:spacing w:val="4"/>
          <w:sz w:val="22"/>
          <w:szCs w:val="22"/>
          <w:lang w:eastAsia="en-US" w:bidi="pl-PL"/>
        </w:rPr>
        <w:t xml:space="preserve"> </w:t>
      </w:r>
      <w:r w:rsidRPr="0009014A">
        <w:rPr>
          <w:rFonts w:ascii="Lato" w:hAnsi="Lato"/>
          <w:bCs/>
          <w:iCs/>
          <w:spacing w:val="4"/>
          <w:sz w:val="22"/>
          <w:szCs w:val="22"/>
          <w:lang w:bidi="pl-PL"/>
        </w:rPr>
        <w:t xml:space="preserve">która, stosownie do art. 86 pkt 2 ustawy o udostępnianiu informacji </w:t>
      </w:r>
      <w:r w:rsidRPr="0009014A">
        <w:rPr>
          <w:rFonts w:ascii="Lato" w:hAnsi="Lato"/>
          <w:bCs/>
          <w:iCs/>
          <w:spacing w:val="4"/>
          <w:sz w:val="22"/>
          <w:szCs w:val="22"/>
          <w:lang w:bidi="pl-PL"/>
        </w:rPr>
        <w:br/>
        <w:t xml:space="preserve">o środowisku i jego ochronie, wiąże organ wydający decyzję o ustaleniu lokalizacji inwestycji w zakresie CPK. Decyzja o środowiskowych uwarunkowaniach zgody na realizację przedsięwzięcia ma charakter </w:t>
      </w:r>
      <w:r w:rsidRPr="0009014A">
        <w:rPr>
          <w:rFonts w:ascii="Lato" w:hAnsi="Lato"/>
          <w:bCs/>
          <w:spacing w:val="4"/>
          <w:sz w:val="22"/>
          <w:szCs w:val="22"/>
          <w:lang w:bidi="pl-PL"/>
        </w:rPr>
        <w:t>sui generis</w:t>
      </w:r>
      <w:r w:rsidRPr="0009014A">
        <w:rPr>
          <w:rFonts w:ascii="Lato" w:hAnsi="Lato"/>
          <w:bCs/>
          <w:iCs/>
          <w:spacing w:val="4"/>
          <w:sz w:val="22"/>
          <w:szCs w:val="22"/>
          <w:lang w:bidi="pl-PL"/>
        </w:rPr>
        <w:t xml:space="preserve"> „rozstrzygnięcia wstępnego” względem ewentualnego przyszłego zamierzenia inwestycyjnego  i pełni ona względem niego w istocie funkcję prejudycjalną. Prawidłowość wydanej decyzji o środowiskowych uwarunkowaniach nie podlega ocenie w niniejszej sprawie. </w:t>
      </w:r>
    </w:p>
    <w:p w14:paraId="3BF1DBE4" w14:textId="2D46D073"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hAnsi="Lato"/>
          <w:bCs/>
          <w:iCs/>
          <w:spacing w:val="4"/>
          <w:sz w:val="22"/>
          <w:szCs w:val="22"/>
          <w:lang w:bidi="pl-PL"/>
        </w:rPr>
        <w:t xml:space="preserve">Wypada również przypomnieć, że w ugruntowanym już orzecznictwie sądów administracyjnych (powołanym w niniejszej decyzji) prezentowane jest jednolite stanowisko, że to inwestor, jako podmiot wyspecjalizowany w danej dziedzinie, posiadający odpowiednią wiedzę, decyduje o słuszności i racjonalności realizacji danego przedsięwzięcia. Organ nie bada zatem, czy istnieją lepsze alternatywne rozwiązania. Podobnie, jednolite jest przyjęte w orzecznictwie stanowisko, według którego, nie może być przedmiotem badania organu wydającego decyzję o zezwoleniu na realizację inwestycji/decyzję o ustaleniu lokalizacji inwestycji uzasadnienie gospodarcze (celowościowe) projektowanej inwestycji, czy też społeczno-gospodarcze podstawy inwestycji. Uzasadnienie gospodarcze lub celowościowe realizacji inwestycji należy do sfery decyzyjnej inwestora, a nie organu administracji wydającego decyzję o ustaleniu lokalizacji inwestycji w zakresie CPK. </w:t>
      </w:r>
    </w:p>
    <w:p w14:paraId="488D81C2" w14:textId="77777777"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hAnsi="Lato"/>
          <w:bCs/>
          <w:iCs/>
          <w:spacing w:val="4"/>
          <w:sz w:val="22"/>
          <w:szCs w:val="22"/>
          <w:lang w:bidi="pl-PL"/>
        </w:rPr>
        <w:t xml:space="preserve">Uzasadnienie zaskarżonej decyzji w wystarczający sposób wskazuje na tok rozumowania organu I instancji przyjęty przy rozpoznawaniu sprawy i pozwala na poznanie argumentów, którymi organ I instancji kierował się wydając zaskarżoną decyzję. Dokonując oceny zgodności z prawem wniosku inwestora organ I instancji trafnie wywiódł, że postępowanie przed nim toczyło się w trybie regulacji szczególnych, zawartych w ustawie CPK, określających lokalizację inwestycji celu publicznego, jakimi są Inwestycje i Inwestycje Towarzyszące. Te szczególne regulacje pozwalały na ograniczenie prawa własności, bowiem są to unormowania ustawowe. Organ I instancji w uzasadnieniu zaskarżonej decyzji wyjaśnił w jakim zakresie organ ocenia wniosek inwestora i rozstrzyga sprawę. Wojewoda Mazowiecki prawidłowo zwrócił uwagę na związany charakter decyzji o ustaleniu lokalizacji inwestycji w zakresie CPK, kładąc zasadniczy akcent na kreacyjną rolę inwestora w ustaleniu przebiegu inwestycji. Decyzja o ustaleniu lokalizacji inwestycji w zakresie CPK nie jest decyzją uznaniową. Jeśli wniosek inwestora spełnia wymogi prawa, organ jest zobowiązany do wydania decyzji pozytywnej. Uwzględnienie przez organ I instancji zarówno zasad rządzących postępowaniem prowadzonym w trybie ustawy CPK, jak niewątpliwej doniosłości planowanej Inwestycji dla interesu publicznego (o czym już była mowa w niniejszej decyzji), nie pozwala na uznanie, że naruszone zostały art. 7 kpa, art. 8 § 1 kpa i art. 77 </w:t>
      </w:r>
      <w:r w:rsidRPr="0009014A">
        <w:rPr>
          <w:rFonts w:ascii="Lato" w:hAnsi="Lato"/>
          <w:bCs/>
          <w:iCs/>
          <w:spacing w:val="4"/>
          <w:sz w:val="22"/>
          <w:szCs w:val="22"/>
          <w:lang w:bidi="pl-PL"/>
        </w:rPr>
        <w:br/>
        <w:t>§ 1 kpa. Przyznanie prymatu interesowi publicznemu nad interesem partykularnym skarżących było w niniejszej sprawie uzasadnione, a ochrona własności polega w takiej sytuacji na zapewnieniu wywłaszczonemu słusznego odszkodowania.</w:t>
      </w:r>
    </w:p>
    <w:p w14:paraId="77B7D7B3" w14:textId="77777777"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hAnsi="Lato"/>
          <w:bCs/>
          <w:iCs/>
          <w:spacing w:val="4"/>
          <w:sz w:val="22"/>
          <w:szCs w:val="22"/>
          <w:lang w:bidi="pl-PL"/>
        </w:rPr>
        <w:lastRenderedPageBreak/>
        <w:t xml:space="preserve">Uszło również uwadze skarżących, że w tego rodzaju sprawie (wyczerpująco regulowanej </w:t>
      </w:r>
      <w:r w:rsidRPr="0009014A">
        <w:rPr>
          <w:rFonts w:ascii="Lato" w:hAnsi="Lato"/>
          <w:bCs/>
          <w:iCs/>
          <w:spacing w:val="4"/>
          <w:sz w:val="22"/>
          <w:szCs w:val="22"/>
          <w:lang w:bidi="pl-PL"/>
        </w:rPr>
        <w:br/>
        <w:t xml:space="preserve">w drodze przepisów szczególnych ustawy CPK) stan faktyczny sprawy - a więc w zakresie hipotezy art. 7 kpa, art. 77 § 1 kpa i 80 kpa – wytycza wniosek inwestora i określona przez niego Inwestycja. Zatem dopuszczalność zastosowania przepisów prawa materialnego tj.  ustawy CPK nie może być zmodyfikowana z uwagi na słuszny interes skarżących, na co zwrócił uwagę Naczelny Sąd Administracyjny w powołanym już </w:t>
      </w:r>
      <w:r w:rsidRPr="0009014A">
        <w:rPr>
          <w:rFonts w:ascii="Lato" w:hAnsi="Lato"/>
          <w:bCs/>
          <w:iCs/>
          <w:spacing w:val="4"/>
          <w:sz w:val="22"/>
          <w:szCs w:val="22"/>
          <w:lang w:bidi="pl-PL"/>
        </w:rPr>
        <w:br/>
        <w:t xml:space="preserve">w niniejszej decyzji wyroku z dnia 14 września 2021 r., sygn. akt II OSK 1332/21, dotyczącym specustawy drogowej. Sam fakt, że decyzja jest dla stron niekorzystna lub niezgodna z ich oczekiwaniami, nie oznacza, że organ naruszył prawo, w tym zasadę wynikającą z art. 8 § 1 kpa. Subiektywne niezadowolenie strony nie stanowi podstawy do uchylenia decyzji, nie sposób bowiem przyjąć, że wymóg prowadzenia postępowania w sposób budzący zaufanie jego uczestników do władzy publicznej będzie zachowany tylko wówczas, gdy organy administracji będą wydawać rozstrzygnięcia, których oczekuje strona postępowania. Ponadto skarżący podnosząc zarzut naruszenia art. 7b kpa nie skonkretyzowali jakiego - w ich  ocenie - zabrakło w analizowanym przypadku współdziałania (tj. z jakim dokładnie innym organem administracji publicznej). </w:t>
      </w:r>
    </w:p>
    <w:p w14:paraId="2A13DAEB" w14:textId="2F783400" w:rsidR="0009014A" w:rsidRPr="0009014A" w:rsidRDefault="0009014A" w:rsidP="0009014A">
      <w:pPr>
        <w:spacing w:after="240" w:line="240" w:lineRule="exact"/>
        <w:jc w:val="both"/>
        <w:rPr>
          <w:rFonts w:ascii="Lato" w:hAnsi="Lato"/>
          <w:bCs/>
          <w:iCs/>
          <w:spacing w:val="4"/>
          <w:sz w:val="22"/>
          <w:szCs w:val="22"/>
          <w:lang w:bidi="pl-PL"/>
        </w:rPr>
      </w:pPr>
      <w:r w:rsidRPr="0009014A">
        <w:rPr>
          <w:rFonts w:ascii="Lato" w:hAnsi="Lato"/>
          <w:bCs/>
          <w:iCs/>
          <w:spacing w:val="4"/>
          <w:sz w:val="22"/>
          <w:szCs w:val="22"/>
          <w:lang w:bidi="pl-PL"/>
        </w:rPr>
        <w:t>Podsumowując, organ odwoławczy uznał, że przebieg planowanej Inwestycji został ustalony prawidłowo. Organ uznał racje przemawiające za ustaloną lokalizacją, które przedstawił inwestor</w:t>
      </w:r>
      <w:r w:rsidRPr="0009014A">
        <w:rPr>
          <w:rFonts w:ascii="Lato" w:hAnsi="Lato"/>
          <w:bCs/>
          <w:i/>
          <w:iCs/>
          <w:spacing w:val="4"/>
          <w:sz w:val="22"/>
          <w:szCs w:val="22"/>
          <w:lang w:bidi="pl-PL"/>
        </w:rPr>
        <w:t xml:space="preserve"> </w:t>
      </w:r>
      <w:r w:rsidRPr="0009014A">
        <w:rPr>
          <w:rFonts w:ascii="Lato" w:hAnsi="Lato"/>
          <w:bCs/>
          <w:iCs/>
          <w:spacing w:val="4"/>
          <w:sz w:val="22"/>
          <w:szCs w:val="22"/>
          <w:lang w:bidi="pl-PL"/>
        </w:rPr>
        <w:t xml:space="preserve">w dokumentacji przedłożonej w trakcie postępowania w sprawie wydania decyzji w przedmiocie ustalenia lokalizacji inwestycji w zakresie CPK. </w:t>
      </w:r>
    </w:p>
    <w:p w14:paraId="475F2132" w14:textId="6610B59B" w:rsidR="00C32788" w:rsidRPr="00DE5164" w:rsidRDefault="00C32788" w:rsidP="00C32788">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lang w:bidi="pl-PL"/>
        </w:rPr>
      </w:pPr>
      <w:r w:rsidRPr="00DE5164">
        <w:rPr>
          <w:rFonts w:ascii="Lato" w:eastAsia="Calibri" w:hAnsi="Lato"/>
          <w:bCs/>
          <w:spacing w:val="4"/>
          <w:sz w:val="22"/>
          <w:szCs w:val="22"/>
        </w:rPr>
        <w:t xml:space="preserve">Niniejsza decyzja jest ostateczna. </w:t>
      </w:r>
    </w:p>
    <w:p w14:paraId="27895B00" w14:textId="77777777" w:rsidR="00C32788" w:rsidRPr="00DE5164" w:rsidRDefault="00C32788" w:rsidP="00C32788">
      <w:pPr>
        <w:tabs>
          <w:tab w:val="left" w:pos="-1843"/>
          <w:tab w:val="left" w:pos="-993"/>
          <w:tab w:val="left" w:pos="4678"/>
          <w:tab w:val="left" w:pos="5387"/>
          <w:tab w:val="right" w:pos="5812"/>
        </w:tabs>
        <w:spacing w:after="240" w:line="240" w:lineRule="exact"/>
        <w:jc w:val="both"/>
        <w:outlineLvl w:val="0"/>
        <w:rPr>
          <w:rFonts w:ascii="Lato" w:eastAsia="Calibri" w:hAnsi="Lato"/>
          <w:bCs/>
          <w:spacing w:val="4"/>
          <w:sz w:val="22"/>
          <w:szCs w:val="22"/>
          <w:lang w:bidi="pl-PL"/>
        </w:rPr>
      </w:pPr>
      <w:r w:rsidRPr="00DE5164">
        <w:rPr>
          <w:rFonts w:ascii="Lato" w:eastAsia="Calibri" w:hAnsi="Lato"/>
          <w:bCs/>
          <w:spacing w:val="4"/>
          <w:sz w:val="22"/>
          <w:szCs w:val="22"/>
        </w:rPr>
        <w:t xml:space="preserve">Na decyzję, na podstawie art. 53 § 1 i art. 54 § 1 ustawy z dnia 30 sierpnia 2002 r. </w:t>
      </w:r>
      <w:r w:rsidRPr="00DE5164">
        <w:rPr>
          <w:rFonts w:ascii="Lato" w:eastAsia="Calibri" w:hAnsi="Lato"/>
          <w:bCs/>
          <w:spacing w:val="4"/>
          <w:sz w:val="22"/>
          <w:szCs w:val="22"/>
        </w:rPr>
        <w:br/>
        <w:t>– Prawo o postępowaniu przed sądami administracyjnymi (</w:t>
      </w:r>
      <w:r w:rsidRPr="00DE5164">
        <w:rPr>
          <w:rFonts w:ascii="Lato" w:eastAsia="Calibri" w:hAnsi="Lato"/>
          <w:bCs/>
          <w:spacing w:val="4"/>
          <w:sz w:val="22"/>
          <w:szCs w:val="22"/>
          <w:lang w:bidi="pl-PL"/>
        </w:rPr>
        <w:t xml:space="preserve">t.j. Dz.U. z 2026 r. poz. 143, </w:t>
      </w:r>
      <w:r w:rsidRPr="00DE5164">
        <w:rPr>
          <w:rFonts w:ascii="Lato" w:eastAsia="Calibri" w:hAnsi="Lato"/>
          <w:bCs/>
          <w:spacing w:val="4"/>
          <w:sz w:val="22"/>
          <w:szCs w:val="22"/>
          <w:lang w:bidi="pl-PL"/>
        </w:rPr>
        <w:br/>
        <w:t xml:space="preserve">z późn.zm.), </w:t>
      </w:r>
      <w:r w:rsidRPr="00DE5164">
        <w:rPr>
          <w:rFonts w:ascii="Lato" w:eastAsia="Calibri" w:hAnsi="Lato"/>
          <w:bCs/>
          <w:spacing w:val="4"/>
          <w:sz w:val="22"/>
          <w:szCs w:val="22"/>
        </w:rPr>
        <w:t xml:space="preserve">zwanej dalej „ppsa”, przysługuje skarga do Wojewódzkiego Sądu Administracyjnego w Warszawie, wnoszona za pośrednictwem Ministra Finansów </w:t>
      </w:r>
      <w:r w:rsidRPr="00DE5164">
        <w:rPr>
          <w:rFonts w:ascii="Lato" w:eastAsia="Calibri" w:hAnsi="Lato"/>
          <w:bCs/>
          <w:spacing w:val="4"/>
          <w:sz w:val="22"/>
          <w:szCs w:val="22"/>
        </w:rPr>
        <w:br/>
        <w:t>i Gospodarki, w terminie 30 dni od dnia doręczenia decyzji.</w:t>
      </w:r>
    </w:p>
    <w:p w14:paraId="5B74CEB0" w14:textId="77777777" w:rsidR="00C32788" w:rsidRPr="00380273" w:rsidRDefault="00C32788" w:rsidP="00C32788">
      <w:pPr>
        <w:tabs>
          <w:tab w:val="left" w:pos="-1843"/>
          <w:tab w:val="left" w:pos="-993"/>
          <w:tab w:val="left" w:pos="4678"/>
          <w:tab w:val="left" w:pos="5387"/>
          <w:tab w:val="right" w:pos="5812"/>
        </w:tabs>
        <w:spacing w:after="120" w:line="240" w:lineRule="exact"/>
        <w:jc w:val="both"/>
        <w:outlineLvl w:val="0"/>
        <w:rPr>
          <w:rFonts w:ascii="Lato" w:eastAsia="Calibri" w:hAnsi="Lato"/>
          <w:bCs/>
          <w:spacing w:val="4"/>
          <w:sz w:val="22"/>
          <w:szCs w:val="22"/>
        </w:rPr>
      </w:pPr>
      <w:r w:rsidRPr="00DE5164">
        <w:rPr>
          <w:rFonts w:ascii="Lato" w:eastAsia="Calibri" w:hAnsi="Lato"/>
          <w:bCs/>
          <w:spacing w:val="4"/>
          <w:sz w:val="22"/>
          <w:szCs w:val="22"/>
        </w:rPr>
        <w:t xml:space="preserve">Jednocześnie informuję, że do skargi należy załączyć dowód uiszczenia wpisu </w:t>
      </w:r>
      <w:r w:rsidRPr="00DE5164">
        <w:rPr>
          <w:rFonts w:ascii="Lato" w:eastAsia="Calibri" w:hAnsi="Lato"/>
          <w:bCs/>
          <w:spacing w:val="4"/>
          <w:sz w:val="22"/>
          <w:szCs w:val="22"/>
        </w:rPr>
        <w:br/>
        <w:t>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ppsa.</w:t>
      </w:r>
      <w:r w:rsidRPr="00380273">
        <w:rPr>
          <w:rFonts w:ascii="Lato" w:eastAsia="Calibri" w:hAnsi="Lato"/>
          <w:bCs/>
          <w:spacing w:val="4"/>
          <w:sz w:val="22"/>
          <w:szCs w:val="22"/>
        </w:rPr>
        <w:t xml:space="preserve"> </w:t>
      </w:r>
    </w:p>
    <w:p w14:paraId="2B2A1EEA" w14:textId="77777777" w:rsidR="00C32788" w:rsidRPr="0009014A" w:rsidRDefault="00C32788" w:rsidP="00C32788">
      <w:pPr>
        <w:spacing w:after="80"/>
        <w:jc w:val="both"/>
        <w:rPr>
          <w:rFonts w:ascii="Lato" w:hAnsi="Lato" w:cs="Arial"/>
          <w:b/>
          <w:spacing w:val="4"/>
          <w:sz w:val="22"/>
          <w:szCs w:val="22"/>
          <w:u w:val="single"/>
        </w:rPr>
      </w:pPr>
      <w:r w:rsidRPr="0009014A">
        <w:rPr>
          <w:rFonts w:ascii="Lato" w:hAnsi="Lato" w:cs="Arial"/>
          <w:b/>
          <w:spacing w:val="4"/>
          <w:sz w:val="22"/>
          <w:szCs w:val="22"/>
          <w:u w:val="single"/>
        </w:rPr>
        <w:t>Załączniki:</w:t>
      </w:r>
    </w:p>
    <w:p w14:paraId="09F0BCD8" w14:textId="6D60947A" w:rsidR="00C32788" w:rsidRPr="0009014A" w:rsidRDefault="00C32788" w:rsidP="00C32788">
      <w:pPr>
        <w:spacing w:after="80"/>
        <w:jc w:val="both"/>
        <w:rPr>
          <w:rFonts w:ascii="Lato" w:hAnsi="Lato" w:cs="Arial"/>
          <w:spacing w:val="4"/>
          <w:sz w:val="22"/>
          <w:szCs w:val="22"/>
        </w:rPr>
      </w:pPr>
      <w:r w:rsidRPr="0009014A">
        <w:rPr>
          <w:rFonts w:ascii="Lato" w:hAnsi="Lato" w:cs="Arial"/>
          <w:b/>
          <w:bCs/>
          <w:spacing w:val="4"/>
          <w:sz w:val="22"/>
          <w:szCs w:val="22"/>
        </w:rPr>
        <w:t>Nr 1</w:t>
      </w:r>
      <w:r w:rsidR="008F5D93" w:rsidRPr="0009014A">
        <w:rPr>
          <w:rFonts w:ascii="Lato" w:hAnsi="Lato" w:cs="Arial"/>
          <w:b/>
          <w:bCs/>
          <w:spacing w:val="4"/>
          <w:sz w:val="22"/>
          <w:szCs w:val="22"/>
        </w:rPr>
        <w:t xml:space="preserve"> </w:t>
      </w:r>
      <w:r w:rsidR="008F5D93" w:rsidRPr="0009014A">
        <w:rPr>
          <w:rFonts w:ascii="Lato" w:hAnsi="Lato" w:cs="Arial"/>
          <w:spacing w:val="4"/>
          <w:sz w:val="22"/>
          <w:szCs w:val="22"/>
        </w:rPr>
        <w:t>-</w:t>
      </w:r>
      <w:r w:rsidR="008F5D93" w:rsidRPr="0009014A">
        <w:rPr>
          <w:rFonts w:ascii="Lato" w:hAnsi="Lato" w:cs="Arial"/>
          <w:b/>
          <w:bCs/>
          <w:spacing w:val="4"/>
          <w:sz w:val="22"/>
          <w:szCs w:val="22"/>
        </w:rPr>
        <w:t xml:space="preserve"> </w:t>
      </w:r>
      <w:r w:rsidR="008F5D93" w:rsidRPr="0009014A">
        <w:rPr>
          <w:rFonts w:ascii="Lato" w:hAnsi="Lato" w:cs="Arial"/>
          <w:spacing w:val="4"/>
          <w:sz w:val="22"/>
          <w:szCs w:val="22"/>
        </w:rPr>
        <w:t xml:space="preserve">legenda do mapy w skali 1:1000 przedstawiającej projektowany obszar Inwestycji, </w:t>
      </w:r>
    </w:p>
    <w:p w14:paraId="520880D1" w14:textId="201C6569" w:rsidR="008F5D93" w:rsidRPr="0009014A" w:rsidRDefault="00D32B1B" w:rsidP="00AE01F9">
      <w:pPr>
        <w:tabs>
          <w:tab w:val="left" w:pos="426"/>
        </w:tabs>
        <w:spacing w:after="480" w:line="240" w:lineRule="exact"/>
        <w:jc w:val="both"/>
        <w:rPr>
          <w:rFonts w:ascii="Lato" w:hAnsi="Lato" w:cs="Arial"/>
          <w:bCs/>
          <w:spacing w:val="4"/>
          <w:sz w:val="22"/>
          <w:szCs w:val="22"/>
        </w:rPr>
      </w:pPr>
      <w:r w:rsidRPr="0009014A">
        <w:rPr>
          <w:rFonts w:ascii="Lato" w:hAnsi="Lato" w:cs="Arial"/>
          <w:b/>
          <w:bCs/>
          <w:spacing w:val="4"/>
          <w:sz w:val="22"/>
          <w:szCs w:val="22"/>
        </w:rPr>
        <w:t xml:space="preserve">Nr 2.1-2.14 </w:t>
      </w:r>
      <w:r w:rsidRPr="0009014A">
        <w:rPr>
          <w:rFonts w:ascii="Lato" w:hAnsi="Lato" w:cs="Arial"/>
          <w:spacing w:val="4"/>
          <w:sz w:val="22"/>
          <w:szCs w:val="22"/>
        </w:rPr>
        <w:t>-</w:t>
      </w:r>
      <w:r w:rsidRPr="0009014A">
        <w:rPr>
          <w:rFonts w:ascii="Lato" w:hAnsi="Lato" w:cs="Arial"/>
          <w:b/>
          <w:bCs/>
          <w:spacing w:val="4"/>
          <w:sz w:val="22"/>
          <w:szCs w:val="22"/>
        </w:rPr>
        <w:t xml:space="preserve"> </w:t>
      </w:r>
      <w:r w:rsidR="008F5D93" w:rsidRPr="0009014A">
        <w:rPr>
          <w:rFonts w:ascii="Lato" w:hAnsi="Lato" w:cs="Arial"/>
          <w:bCs/>
          <w:spacing w:val="4"/>
          <w:sz w:val="22"/>
          <w:szCs w:val="22"/>
        </w:rPr>
        <w:t>arkusz</w:t>
      </w:r>
      <w:r w:rsidRPr="0009014A">
        <w:rPr>
          <w:rFonts w:ascii="Lato" w:hAnsi="Lato" w:cs="Arial"/>
          <w:bCs/>
          <w:spacing w:val="4"/>
          <w:sz w:val="22"/>
          <w:szCs w:val="22"/>
        </w:rPr>
        <w:t>e</w:t>
      </w:r>
      <w:r w:rsidR="008F5D93" w:rsidRPr="0009014A">
        <w:rPr>
          <w:rFonts w:ascii="Lato" w:hAnsi="Lato" w:cs="Arial"/>
          <w:bCs/>
          <w:spacing w:val="4"/>
          <w:sz w:val="22"/>
          <w:szCs w:val="22"/>
        </w:rPr>
        <w:t xml:space="preserve"> nr 1/64, nr 2/64, nr 3/64, nr 4/64, nr 5/64, nr 6/64, nr 8/64, </w:t>
      </w:r>
      <w:r w:rsidRPr="0009014A">
        <w:rPr>
          <w:rFonts w:ascii="Lato" w:hAnsi="Lato" w:cs="Arial"/>
          <w:bCs/>
          <w:spacing w:val="4"/>
          <w:sz w:val="22"/>
          <w:szCs w:val="22"/>
        </w:rPr>
        <w:br/>
      </w:r>
      <w:r w:rsidR="008F5D93" w:rsidRPr="0009014A">
        <w:rPr>
          <w:rFonts w:ascii="Lato" w:hAnsi="Lato" w:cs="Arial"/>
          <w:bCs/>
          <w:spacing w:val="4"/>
          <w:sz w:val="22"/>
          <w:szCs w:val="22"/>
        </w:rPr>
        <w:t xml:space="preserve">nr 14/64, nr 15/64, nr 51/64, nr 57/64, nr 59/64, nr 60/64, nr 61/64 mapy przedstawiającej projektowany obszar </w:t>
      </w:r>
      <w:r w:rsidR="00CA2B91" w:rsidRPr="0009014A">
        <w:rPr>
          <w:rFonts w:ascii="Lato" w:hAnsi="Lato" w:cs="Arial"/>
          <w:bCs/>
          <w:spacing w:val="4"/>
          <w:sz w:val="22"/>
          <w:szCs w:val="22"/>
        </w:rPr>
        <w:t>I</w:t>
      </w:r>
      <w:r w:rsidR="008F5D93" w:rsidRPr="0009014A">
        <w:rPr>
          <w:rFonts w:ascii="Lato" w:hAnsi="Lato" w:cs="Arial"/>
          <w:bCs/>
          <w:spacing w:val="4"/>
          <w:sz w:val="22"/>
          <w:szCs w:val="22"/>
        </w:rPr>
        <w:t>nwestycji</w:t>
      </w:r>
      <w:r w:rsidRPr="0009014A">
        <w:rPr>
          <w:rFonts w:ascii="Lato" w:hAnsi="Lato" w:cs="Arial"/>
          <w:bCs/>
          <w:spacing w:val="4"/>
          <w:sz w:val="22"/>
          <w:szCs w:val="22"/>
        </w:rPr>
        <w:t>.</w:t>
      </w:r>
    </w:p>
    <w:p w14:paraId="6EC89281" w14:textId="77777777" w:rsidR="00646E1B" w:rsidRPr="00646E1B" w:rsidRDefault="00646E1B" w:rsidP="00646E1B">
      <w:pPr>
        <w:spacing w:after="80" w:line="240" w:lineRule="exact"/>
        <w:ind w:left="4820"/>
        <w:jc w:val="both"/>
        <w:rPr>
          <w:rFonts w:ascii="Lato" w:hAnsi="Lato" w:cs="Arial"/>
          <w:b/>
          <w:bCs/>
          <w:iCs/>
          <w:spacing w:val="4"/>
          <w:sz w:val="22"/>
          <w:szCs w:val="22"/>
        </w:rPr>
      </w:pPr>
      <w:r w:rsidRPr="00646E1B">
        <w:rPr>
          <w:rFonts w:ascii="Lato" w:hAnsi="Lato" w:cs="Arial"/>
          <w:b/>
          <w:bCs/>
          <w:iCs/>
          <w:spacing w:val="4"/>
          <w:sz w:val="22"/>
          <w:szCs w:val="22"/>
        </w:rPr>
        <w:t>Z upoważnienia</w:t>
      </w:r>
    </w:p>
    <w:p w14:paraId="1FA95A0C" w14:textId="14905F22" w:rsidR="00646E1B" w:rsidRPr="00646E1B" w:rsidRDefault="00646E1B" w:rsidP="00646E1B">
      <w:pPr>
        <w:spacing w:after="80" w:line="240" w:lineRule="exact"/>
        <w:ind w:left="4820"/>
        <w:jc w:val="both"/>
        <w:rPr>
          <w:rFonts w:ascii="Lato" w:hAnsi="Lato" w:cs="Arial"/>
          <w:bCs/>
          <w:iCs/>
          <w:spacing w:val="4"/>
          <w:sz w:val="22"/>
          <w:szCs w:val="22"/>
        </w:rPr>
      </w:pPr>
      <w:r>
        <w:rPr>
          <w:rFonts w:ascii="Lato" w:hAnsi="Lato" w:cs="Arial"/>
          <w:bCs/>
          <w:iCs/>
          <w:spacing w:val="4"/>
          <w:sz w:val="22"/>
          <w:szCs w:val="22"/>
        </w:rPr>
        <w:t>Michał Jaros</w:t>
      </w:r>
    </w:p>
    <w:p w14:paraId="3EF04983" w14:textId="40FD05AB" w:rsidR="00646E1B" w:rsidRPr="00646E1B" w:rsidRDefault="00646E1B" w:rsidP="00646E1B">
      <w:pPr>
        <w:spacing w:after="80" w:line="240" w:lineRule="exact"/>
        <w:ind w:left="4820"/>
        <w:jc w:val="both"/>
        <w:rPr>
          <w:rFonts w:ascii="Lato" w:hAnsi="Lato" w:cs="Arial"/>
          <w:bCs/>
          <w:iCs/>
          <w:spacing w:val="4"/>
          <w:sz w:val="22"/>
          <w:szCs w:val="22"/>
        </w:rPr>
      </w:pPr>
      <w:r>
        <w:rPr>
          <w:rFonts w:ascii="Lato" w:hAnsi="Lato" w:cs="Arial"/>
          <w:bCs/>
          <w:iCs/>
          <w:spacing w:val="4"/>
          <w:sz w:val="22"/>
          <w:szCs w:val="22"/>
        </w:rPr>
        <w:t>Sekretarz Stanu</w:t>
      </w:r>
    </w:p>
    <w:p w14:paraId="10CB615A" w14:textId="03999FD8" w:rsidR="00646E1B" w:rsidRPr="00646E1B" w:rsidRDefault="00646E1B" w:rsidP="00646E1B">
      <w:pPr>
        <w:spacing w:after="80" w:line="240" w:lineRule="exact"/>
        <w:ind w:left="4820"/>
        <w:jc w:val="both"/>
        <w:rPr>
          <w:rFonts w:ascii="Lato" w:hAnsi="Lato" w:cs="Arial"/>
          <w:bCs/>
          <w:iCs/>
          <w:spacing w:val="4"/>
          <w:sz w:val="22"/>
          <w:szCs w:val="22"/>
        </w:rPr>
      </w:pPr>
      <w:r>
        <w:rPr>
          <w:rFonts w:ascii="Lato" w:hAnsi="Lato" w:cs="Arial"/>
          <w:bCs/>
          <w:iCs/>
          <w:spacing w:val="4"/>
          <w:sz w:val="22"/>
          <w:szCs w:val="22"/>
        </w:rPr>
        <w:t>/ kwalifikowany podpis elektroniczny /</w:t>
      </w:r>
    </w:p>
    <w:p w14:paraId="656264DA" w14:textId="77777777" w:rsidR="00646E1B" w:rsidRPr="00646E1B" w:rsidRDefault="00646E1B" w:rsidP="00646E1B">
      <w:pPr>
        <w:spacing w:after="80" w:line="240" w:lineRule="exact"/>
        <w:ind w:left="4820"/>
        <w:jc w:val="both"/>
        <w:rPr>
          <w:rFonts w:ascii="Lato" w:hAnsi="Lato" w:cs="Arial"/>
          <w:bCs/>
          <w:iCs/>
          <w:spacing w:val="4"/>
          <w:sz w:val="22"/>
          <w:szCs w:val="22"/>
        </w:rPr>
      </w:pPr>
      <w:r w:rsidRPr="00646E1B">
        <w:rPr>
          <w:rFonts w:ascii="Lato" w:hAnsi="Lato" w:cs="Arial"/>
          <w:bCs/>
          <w:iCs/>
          <w:spacing w:val="4"/>
          <w:sz w:val="22"/>
          <w:szCs w:val="22"/>
        </w:rPr>
        <w:t>w Ministerstwie Rozwoju i Technologii</w:t>
      </w:r>
    </w:p>
    <w:p w14:paraId="17DB3F28" w14:textId="77777777" w:rsidR="00C32788" w:rsidRDefault="00C32788" w:rsidP="00C32788">
      <w:pPr>
        <w:spacing w:after="80"/>
        <w:jc w:val="both"/>
        <w:rPr>
          <w:rFonts w:ascii="Lato" w:eastAsiaTheme="minorHAnsi" w:hAnsi="Lato" w:cs="Lato"/>
          <w:b/>
          <w:bCs/>
          <w:color w:val="000000"/>
          <w:sz w:val="22"/>
          <w:szCs w:val="22"/>
          <w:lang w:eastAsia="en-US"/>
        </w:rPr>
      </w:pPr>
    </w:p>
    <w:p w14:paraId="54F52A8F" w14:textId="59075C3A" w:rsidR="00C32788" w:rsidRPr="00BF50C3" w:rsidRDefault="00C32788" w:rsidP="00DE5164">
      <w:pPr>
        <w:suppressAutoHyphens/>
        <w:spacing w:line="240" w:lineRule="exact"/>
        <w:ind w:left="360" w:hanging="76"/>
        <w:jc w:val="both"/>
        <w:rPr>
          <w:rFonts w:ascii="Lato" w:hAnsi="Lato" w:cs="Arial"/>
          <w:bCs/>
          <w:spacing w:val="4"/>
          <w:sz w:val="22"/>
          <w:szCs w:val="22"/>
        </w:rPr>
      </w:pPr>
    </w:p>
    <w:sectPr w:rsidR="00C32788" w:rsidRPr="00BF50C3" w:rsidSect="00ED3319">
      <w:headerReference w:type="default" r:id="rId18"/>
      <w:footerReference w:type="default" r:id="rId19"/>
      <w:headerReference w:type="first" r:id="rId20"/>
      <w:footerReference w:type="first" r:id="rId21"/>
      <w:pgSz w:w="11906" w:h="16838"/>
      <w:pgMar w:top="2268" w:right="1133" w:bottom="1418" w:left="1985"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07227" w14:textId="77777777" w:rsidR="00B10750" w:rsidRDefault="00B10750">
      <w:r>
        <w:separator/>
      </w:r>
    </w:p>
  </w:endnote>
  <w:endnote w:type="continuationSeparator" w:id="0">
    <w:p w14:paraId="7CC54413" w14:textId="77777777" w:rsidR="00B10750" w:rsidRDefault="00B10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C520AFC9-8E40-448E-BEDC-2472148D56C0}"/>
    <w:embedBold r:id="rId2" w:fontKey="{4BE02D67-647B-4749-81F2-4D27ACDFF321}"/>
    <w:embedItalic r:id="rId3" w:fontKey="{D2B99AEF-01BC-441A-9FFB-BED8569E2CF9}"/>
    <w:embedBoldItalic r:id="rId4" w:fontKey="{64FE9B13-4B83-496B-8C32-997BB6F6692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5" w:fontKey="{05E8C0B4-31DA-4EB9-A850-927F055AECD2}"/>
  </w:font>
  <w:font w:name="Lato">
    <w:altName w:val="Segoe UI"/>
    <w:charset w:val="00"/>
    <w:family w:val="swiss"/>
    <w:pitch w:val="variable"/>
    <w:sig w:usb0="E10002FF" w:usb1="5000ECFF" w:usb2="00000021" w:usb3="00000000" w:csb0="0000019F" w:csb1="00000000"/>
    <w:embedRegular r:id="rId6" w:fontKey="{A6A30D92-38CA-40E9-BA84-BA5B10BE9364}"/>
    <w:embedBold r:id="rId7" w:fontKey="{4D2AC613-26FA-425C-AA11-64C98779FDB6}"/>
    <w:embedItalic r:id="rId8" w:fontKey="{9900EB1C-66D5-4E19-B431-C914939C3F98}"/>
  </w:font>
  <w:font w:name="TimesNewRomanPSMT">
    <w:altName w:val="Times New Roman"/>
    <w:panose1 w:val="00000000000000000000"/>
    <w:charset w:val="EE"/>
    <w:family w:val="auto"/>
    <w:notTrueType/>
    <w:pitch w:val="default"/>
    <w:sig w:usb0="00000005" w:usb1="00000000" w:usb2="00000000" w:usb3="00000000" w:csb0="00000002" w:csb1="00000000"/>
  </w:font>
  <w:font w:name="Lao UI">
    <w:charset w:val="00"/>
    <w:family w:val="swiss"/>
    <w:pitch w:val="variable"/>
    <w:sig w:usb0="82000003" w:usb1="00000000" w:usb2="00000000" w:usb3="00000000" w:csb0="00000001" w:csb1="00000000"/>
    <w:embedBoldItalic r:id="rId9" w:fontKey="{F20F822E-EBFC-4D00-AB39-921347E3D441}"/>
  </w:font>
  <w:font w:name="Lato-Regular">
    <w:altName w:val="Lato"/>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10" w:fontKey="{509B9BC0-EABA-414A-9AE0-0EB7A7BA3765}"/>
    <w:embedBold r:id="rId11" w:fontKey="{575BA0AA-6D45-4D70-9F94-6F6BC1F93798}"/>
    <w:embedItalic r:id="rId12" w:fontKey="{F14A62A1-0C4E-48DB-BF19-A485AE86CF47}"/>
    <w:embedBoldItalic r:id="rId13" w:fontKey="{C545D57E-CAB8-4CC5-B000-36DD4CFF62BD}"/>
  </w:font>
  <w:font w:name="TimesNewRomanPS-ItalicMT">
    <w:altName w:val="Times New Roman"/>
    <w:panose1 w:val="00000000000000000000"/>
    <w:charset w:val="00"/>
    <w:family w:val="swiss"/>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sz w:val="16"/>
        <w:szCs w:val="16"/>
      </w:rPr>
      <w:id w:val="1792393698"/>
      <w:docPartObj>
        <w:docPartGallery w:val="Page Numbers (Bottom of Page)"/>
        <w:docPartUnique/>
      </w:docPartObj>
    </w:sdtPr>
    <w:sdtContent>
      <w:p w14:paraId="4A2D10CF" w14:textId="1F9B2AE5" w:rsidR="002E58B9" w:rsidRPr="00D33088" w:rsidRDefault="002E58B9">
        <w:pPr>
          <w:pStyle w:val="Stopka"/>
          <w:jc w:val="center"/>
          <w:rPr>
            <w:rFonts w:ascii="Lato" w:hAnsi="Lato"/>
            <w:sz w:val="16"/>
            <w:szCs w:val="16"/>
          </w:rPr>
        </w:pPr>
        <w:r w:rsidRPr="00D33088">
          <w:rPr>
            <w:rFonts w:ascii="Lato" w:hAnsi="Lato"/>
            <w:sz w:val="16"/>
            <w:szCs w:val="16"/>
          </w:rPr>
          <w:fldChar w:fldCharType="begin"/>
        </w:r>
        <w:r w:rsidRPr="00D33088">
          <w:rPr>
            <w:rFonts w:ascii="Lato" w:hAnsi="Lato"/>
            <w:sz w:val="16"/>
            <w:szCs w:val="16"/>
          </w:rPr>
          <w:instrText>PAGE   \* MERGEFORMAT</w:instrText>
        </w:r>
        <w:r w:rsidRPr="00D33088">
          <w:rPr>
            <w:rFonts w:ascii="Lato" w:hAnsi="Lato"/>
            <w:sz w:val="16"/>
            <w:szCs w:val="16"/>
          </w:rPr>
          <w:fldChar w:fldCharType="separate"/>
        </w:r>
        <w:r w:rsidRPr="00D33088">
          <w:rPr>
            <w:rFonts w:ascii="Lato" w:hAnsi="Lato"/>
            <w:sz w:val="16"/>
            <w:szCs w:val="16"/>
          </w:rPr>
          <w:t>2</w:t>
        </w:r>
        <w:r w:rsidRPr="00D33088">
          <w:rPr>
            <w:rFonts w:ascii="Lato" w:hAnsi="Lato"/>
            <w:sz w:val="16"/>
            <w:szCs w:val="16"/>
          </w:rPr>
          <w:fldChar w:fldCharType="end"/>
        </w:r>
        <w:r>
          <w:rPr>
            <w:rFonts w:ascii="Lato" w:hAnsi="Lato"/>
            <w:sz w:val="16"/>
            <w:szCs w:val="16"/>
          </w:rPr>
          <w:t>(</w:t>
        </w:r>
        <w:r w:rsidR="0009014A">
          <w:rPr>
            <w:rFonts w:ascii="Lato" w:hAnsi="Lato"/>
            <w:sz w:val="16"/>
            <w:szCs w:val="16"/>
          </w:rPr>
          <w:t>18</w:t>
        </w:r>
        <w:r w:rsidR="00862E88">
          <w:rPr>
            <w:rFonts w:ascii="Lato" w:hAnsi="Lato"/>
            <w:sz w:val="16"/>
            <w:szCs w:val="16"/>
          </w:rPr>
          <w:t>1</w:t>
        </w:r>
        <w:r>
          <w:rPr>
            <w:rFonts w:ascii="Lato" w:hAnsi="Lato"/>
            <w:sz w:val="16"/>
            <w:szCs w:val="16"/>
          </w:rPr>
          <w:t>)</w:t>
        </w:r>
      </w:p>
    </w:sdtContent>
  </w:sdt>
  <w:p w14:paraId="43F06B3A" w14:textId="27F05657" w:rsidR="00A82F78" w:rsidRDefault="00A82F78" w:rsidP="00D33088">
    <w:pPr>
      <w:pStyle w:val="Stopka"/>
      <w:tabs>
        <w:tab w:val="clear" w:pos="4536"/>
        <w:tab w:val="clear" w:pos="9072"/>
        <w:tab w:val="left" w:pos="5954"/>
      </w:tabs>
      <w:spacing w:line="200" w:lineRule="exact"/>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8A07" w14:textId="359972AC" w:rsidR="00A82F78" w:rsidRDefault="00A82F78">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24C51" w14:textId="77777777" w:rsidR="00B10750" w:rsidRDefault="00B10750">
      <w:r>
        <w:separator/>
      </w:r>
    </w:p>
  </w:footnote>
  <w:footnote w:type="continuationSeparator" w:id="0">
    <w:p w14:paraId="0F290529" w14:textId="77777777" w:rsidR="00B10750" w:rsidRDefault="00B10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36BD" w14:textId="77777777" w:rsidR="00A82F78" w:rsidRDefault="00A82F78">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778F" w14:textId="77777777" w:rsidR="00A82F78" w:rsidRDefault="00000000">
    <w:pPr>
      <w:pStyle w:val="Nagwek"/>
    </w:pPr>
    <w:r>
      <w:rPr>
        <w:noProof/>
      </w:rPr>
      <w:drawing>
        <wp:anchor distT="0" distB="0" distL="114300" distR="114300" simplePos="0" relativeHeight="251662336" behindDoc="0" locked="0" layoutInCell="1" allowOverlap="1" wp14:anchorId="1676A829" wp14:editId="611DED8E">
          <wp:simplePos x="0" y="0"/>
          <wp:positionH relativeFrom="column">
            <wp:posOffset>-890905</wp:posOffset>
          </wp:positionH>
          <wp:positionV relativeFrom="paragraph">
            <wp:posOffset>415925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1250593375" name="Obraz 125059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F1D71C5"/>
    <w:multiLevelType w:val="hybridMultilevel"/>
    <w:tmpl w:val="61489A3A"/>
    <w:lvl w:ilvl="0" w:tplc="1CDEB998">
      <w:start w:val="1"/>
      <w:numFmt w:val="decimal"/>
      <w:lvlText w:val="%1."/>
      <w:lvlJc w:val="left"/>
      <w:pPr>
        <w:ind w:left="36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FA7259C"/>
    <w:multiLevelType w:val="hybridMultilevel"/>
    <w:tmpl w:val="516E766E"/>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15E63B8"/>
    <w:multiLevelType w:val="hybridMultilevel"/>
    <w:tmpl w:val="E0C201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6533255"/>
    <w:multiLevelType w:val="hybridMultilevel"/>
    <w:tmpl w:val="F62C9550"/>
    <w:lvl w:ilvl="0" w:tplc="044AE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575C2F"/>
    <w:multiLevelType w:val="hybridMultilevel"/>
    <w:tmpl w:val="8FC604B4"/>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BC16133"/>
    <w:multiLevelType w:val="hybridMultilevel"/>
    <w:tmpl w:val="4288D694"/>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ED6200A"/>
    <w:multiLevelType w:val="hybridMultilevel"/>
    <w:tmpl w:val="8F90176E"/>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24440E8C"/>
    <w:multiLevelType w:val="hybridMultilevel"/>
    <w:tmpl w:val="614036AE"/>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5AE2CD3"/>
    <w:multiLevelType w:val="hybridMultilevel"/>
    <w:tmpl w:val="C1768046"/>
    <w:lvl w:ilvl="0" w:tplc="044AECAA">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0" w15:restartNumberingAfterBreak="0">
    <w:nsid w:val="28101F47"/>
    <w:multiLevelType w:val="hybridMultilevel"/>
    <w:tmpl w:val="3A009530"/>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1" w15:restartNumberingAfterBreak="0">
    <w:nsid w:val="2AD145C3"/>
    <w:multiLevelType w:val="hybridMultilevel"/>
    <w:tmpl w:val="0F7A397A"/>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1597314"/>
    <w:multiLevelType w:val="hybridMultilevel"/>
    <w:tmpl w:val="316EB444"/>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AA163B0"/>
    <w:multiLevelType w:val="hybridMultilevel"/>
    <w:tmpl w:val="C2ACE6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31707B9"/>
    <w:multiLevelType w:val="hybridMultilevel"/>
    <w:tmpl w:val="E27A1B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4A8D47FF"/>
    <w:multiLevelType w:val="hybridMultilevel"/>
    <w:tmpl w:val="82C8DC48"/>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4BBE6FE7"/>
    <w:multiLevelType w:val="hybridMultilevel"/>
    <w:tmpl w:val="9E1C2E26"/>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CAF2A60"/>
    <w:multiLevelType w:val="hybridMultilevel"/>
    <w:tmpl w:val="AE1CDE22"/>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4FFC433C"/>
    <w:multiLevelType w:val="hybridMultilevel"/>
    <w:tmpl w:val="3A82F128"/>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503D6FE9"/>
    <w:multiLevelType w:val="hybridMultilevel"/>
    <w:tmpl w:val="F4A275CC"/>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514218C5"/>
    <w:multiLevelType w:val="hybridMultilevel"/>
    <w:tmpl w:val="8722A50E"/>
    <w:lvl w:ilvl="0" w:tplc="9166695C">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1" w15:restartNumberingAfterBreak="0">
    <w:nsid w:val="53825FA7"/>
    <w:multiLevelType w:val="hybridMultilevel"/>
    <w:tmpl w:val="CC6CD4D6"/>
    <w:lvl w:ilvl="0" w:tplc="39666C9A">
      <w:start w:val="3"/>
      <w:numFmt w:val="decimal"/>
      <w:lvlText w:val="%1."/>
      <w:lvlJc w:val="left"/>
      <w:pPr>
        <w:ind w:left="2520" w:hanging="360"/>
      </w:pPr>
      <w:rPr>
        <w:rFonts w:hint="default"/>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22" w15:restartNumberingAfterBreak="0">
    <w:nsid w:val="59623CF2"/>
    <w:multiLevelType w:val="hybridMultilevel"/>
    <w:tmpl w:val="4BE6178E"/>
    <w:lvl w:ilvl="0" w:tplc="044AECA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597B004A"/>
    <w:multiLevelType w:val="hybridMultilevel"/>
    <w:tmpl w:val="F478633E"/>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4" w15:restartNumberingAfterBreak="0">
    <w:nsid w:val="5BE101EF"/>
    <w:multiLevelType w:val="hybridMultilevel"/>
    <w:tmpl w:val="AF98F7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D7F096C"/>
    <w:multiLevelType w:val="hybridMultilevel"/>
    <w:tmpl w:val="5B58D6A0"/>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5F1A428F"/>
    <w:multiLevelType w:val="hybridMultilevel"/>
    <w:tmpl w:val="729090A4"/>
    <w:lvl w:ilvl="0" w:tplc="04150017">
      <w:start w:val="1"/>
      <w:numFmt w:val="lowerLetter"/>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7" w15:restartNumberingAfterBreak="0">
    <w:nsid w:val="5F4F11A3"/>
    <w:multiLevelType w:val="hybridMultilevel"/>
    <w:tmpl w:val="C16E45CA"/>
    <w:lvl w:ilvl="0" w:tplc="044AECAA">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8" w15:restartNumberingAfterBreak="0">
    <w:nsid w:val="5F563673"/>
    <w:multiLevelType w:val="hybridMultilevel"/>
    <w:tmpl w:val="3D82146C"/>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613B5ADB"/>
    <w:multiLevelType w:val="hybridMultilevel"/>
    <w:tmpl w:val="1B9229E8"/>
    <w:lvl w:ilvl="0" w:tplc="0FF6989E">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27F5D87"/>
    <w:multiLevelType w:val="hybridMultilevel"/>
    <w:tmpl w:val="881E64B0"/>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63A21637"/>
    <w:multiLevelType w:val="hybridMultilevel"/>
    <w:tmpl w:val="490267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919304B"/>
    <w:multiLevelType w:val="hybridMultilevel"/>
    <w:tmpl w:val="FB5C7CF0"/>
    <w:lvl w:ilvl="0" w:tplc="04150017">
      <w:start w:val="1"/>
      <w:numFmt w:val="lowerLetter"/>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33" w15:restartNumberingAfterBreak="0">
    <w:nsid w:val="6AA03A02"/>
    <w:multiLevelType w:val="hybridMultilevel"/>
    <w:tmpl w:val="517ED560"/>
    <w:lvl w:ilvl="0" w:tplc="7F2C40DA">
      <w:start w:val="1"/>
      <w:numFmt w:val="decimal"/>
      <w:lvlText w:val="%1."/>
      <w:lvlJc w:val="left"/>
      <w:pPr>
        <w:tabs>
          <w:tab w:val="num" w:pos="360"/>
        </w:tabs>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F0455B"/>
    <w:multiLevelType w:val="multilevel"/>
    <w:tmpl w:val="41D279F6"/>
    <w:lvl w:ilvl="0">
      <w:start w:val="1"/>
      <w:numFmt w:val="upperRoman"/>
      <w:lvlText w:val="%1."/>
      <w:lvlJc w:val="right"/>
      <w:pPr>
        <w:ind w:left="360" w:hanging="360"/>
      </w:pPr>
      <w:rPr>
        <w:rFonts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CCC163D"/>
    <w:multiLevelType w:val="hybridMultilevel"/>
    <w:tmpl w:val="A4D4D5F0"/>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E144B2E"/>
    <w:multiLevelType w:val="hybridMultilevel"/>
    <w:tmpl w:val="F3A0D100"/>
    <w:lvl w:ilvl="0" w:tplc="916669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6E977625"/>
    <w:multiLevelType w:val="hybridMultilevel"/>
    <w:tmpl w:val="91ECA0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747217FF"/>
    <w:multiLevelType w:val="hybridMultilevel"/>
    <w:tmpl w:val="B268C0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7844719"/>
    <w:multiLevelType w:val="hybridMultilevel"/>
    <w:tmpl w:val="29C60EB6"/>
    <w:lvl w:ilvl="0" w:tplc="3DECE30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0" w15:restartNumberingAfterBreak="0">
    <w:nsid w:val="779A1188"/>
    <w:multiLevelType w:val="hybridMultilevel"/>
    <w:tmpl w:val="134A6C0C"/>
    <w:lvl w:ilvl="0" w:tplc="044AECA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15:restartNumberingAfterBreak="0">
    <w:nsid w:val="77EC7D7D"/>
    <w:multiLevelType w:val="hybridMultilevel"/>
    <w:tmpl w:val="FAE0189A"/>
    <w:lvl w:ilvl="0" w:tplc="916669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1C2AAF"/>
    <w:multiLevelType w:val="hybridMultilevel"/>
    <w:tmpl w:val="4C82A47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88309CF"/>
    <w:multiLevelType w:val="hybridMultilevel"/>
    <w:tmpl w:val="DA90539C"/>
    <w:lvl w:ilvl="0" w:tplc="7F2C40DA">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4" w15:restartNumberingAfterBreak="0">
    <w:nsid w:val="78B16FC7"/>
    <w:multiLevelType w:val="hybridMultilevel"/>
    <w:tmpl w:val="E640C7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B5E17C0"/>
    <w:multiLevelType w:val="hybridMultilevel"/>
    <w:tmpl w:val="B1E424AA"/>
    <w:lvl w:ilvl="0" w:tplc="04150017">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1804889476">
    <w:abstractNumId w:val="34"/>
  </w:num>
  <w:num w:numId="2" w16cid:durableId="853110464">
    <w:abstractNumId w:val="0"/>
  </w:num>
  <w:num w:numId="3" w16cid:durableId="1419716559">
    <w:abstractNumId w:val="42"/>
  </w:num>
  <w:num w:numId="4" w16cid:durableId="1362391177">
    <w:abstractNumId w:val="39"/>
  </w:num>
  <w:num w:numId="5" w16cid:durableId="11492323">
    <w:abstractNumId w:val="33"/>
  </w:num>
  <w:num w:numId="6" w16cid:durableId="990987671">
    <w:abstractNumId w:val="37"/>
  </w:num>
  <w:num w:numId="7" w16cid:durableId="407923132">
    <w:abstractNumId w:val="3"/>
  </w:num>
  <w:num w:numId="8" w16cid:durableId="1423257318">
    <w:abstractNumId w:val="36"/>
  </w:num>
  <w:num w:numId="9" w16cid:durableId="450904352">
    <w:abstractNumId w:val="10"/>
  </w:num>
  <w:num w:numId="10" w16cid:durableId="2013608537">
    <w:abstractNumId w:val="21"/>
  </w:num>
  <w:num w:numId="11" w16cid:durableId="656998975">
    <w:abstractNumId w:val="20"/>
  </w:num>
  <w:num w:numId="12" w16cid:durableId="1024936760">
    <w:abstractNumId w:val="41"/>
  </w:num>
  <w:num w:numId="13" w16cid:durableId="1780485972">
    <w:abstractNumId w:val="16"/>
  </w:num>
  <w:num w:numId="14" w16cid:durableId="1986623167">
    <w:abstractNumId w:val="22"/>
  </w:num>
  <w:num w:numId="15" w16cid:durableId="1569881335">
    <w:abstractNumId w:val="23"/>
  </w:num>
  <w:num w:numId="16" w16cid:durableId="1361541510">
    <w:abstractNumId w:val="18"/>
  </w:num>
  <w:num w:numId="17" w16cid:durableId="774132624">
    <w:abstractNumId w:val="45"/>
  </w:num>
  <w:num w:numId="18" w16cid:durableId="397946973">
    <w:abstractNumId w:val="9"/>
  </w:num>
  <w:num w:numId="19" w16cid:durableId="1005137024">
    <w:abstractNumId w:val="26"/>
  </w:num>
  <w:num w:numId="20" w16cid:durableId="2004581226">
    <w:abstractNumId w:val="32"/>
  </w:num>
  <w:num w:numId="21" w16cid:durableId="1456408788">
    <w:abstractNumId w:val="1"/>
  </w:num>
  <w:num w:numId="22" w16cid:durableId="655886164">
    <w:abstractNumId w:val="43"/>
  </w:num>
  <w:num w:numId="23" w16cid:durableId="1383211219">
    <w:abstractNumId w:val="38"/>
  </w:num>
  <w:num w:numId="24" w16cid:durableId="1243023469">
    <w:abstractNumId w:val="38"/>
    <w:lvlOverride w:ilvl="0">
      <w:lvl w:ilvl="0" w:tplc="0415000F">
        <w:start w:val="1"/>
        <w:numFmt w:val="decimal"/>
        <w:suff w:val="nothing"/>
        <w:lvlText w:val="%1."/>
        <w:lvlJc w:val="left"/>
        <w:pPr>
          <w:ind w:left="72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25" w16cid:durableId="1043603224">
    <w:abstractNumId w:val="38"/>
    <w:lvlOverride w:ilvl="0">
      <w:lvl w:ilvl="0" w:tplc="0415000F">
        <w:start w:val="1"/>
        <w:numFmt w:val="decimal"/>
        <w:suff w:val="nothing"/>
        <w:lvlText w:val="%1."/>
        <w:lvlJc w:val="left"/>
        <w:pPr>
          <w:ind w:left="72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26" w16cid:durableId="991325213">
    <w:abstractNumId w:val="29"/>
  </w:num>
  <w:num w:numId="27" w16cid:durableId="542524625">
    <w:abstractNumId w:val="17"/>
  </w:num>
  <w:num w:numId="28" w16cid:durableId="205795991">
    <w:abstractNumId w:val="40"/>
  </w:num>
  <w:num w:numId="29" w16cid:durableId="1835032059">
    <w:abstractNumId w:val="14"/>
  </w:num>
  <w:num w:numId="30" w16cid:durableId="1920555645">
    <w:abstractNumId w:val="8"/>
  </w:num>
  <w:num w:numId="31" w16cid:durableId="1822035770">
    <w:abstractNumId w:val="24"/>
  </w:num>
  <w:num w:numId="32" w16cid:durableId="952790897">
    <w:abstractNumId w:val="4"/>
  </w:num>
  <w:num w:numId="33" w16cid:durableId="1637758414">
    <w:abstractNumId w:val="27"/>
  </w:num>
  <w:num w:numId="34" w16cid:durableId="1843547607">
    <w:abstractNumId w:val="31"/>
  </w:num>
  <w:num w:numId="35" w16cid:durableId="888223887">
    <w:abstractNumId w:val="2"/>
  </w:num>
  <w:num w:numId="36" w16cid:durableId="1890991240">
    <w:abstractNumId w:val="44"/>
  </w:num>
  <w:num w:numId="37" w16cid:durableId="1959138138">
    <w:abstractNumId w:val="11"/>
  </w:num>
  <w:num w:numId="38" w16cid:durableId="38404267">
    <w:abstractNumId w:val="15"/>
  </w:num>
  <w:num w:numId="39" w16cid:durableId="1221476802">
    <w:abstractNumId w:val="35"/>
  </w:num>
  <w:num w:numId="40" w16cid:durableId="730690411">
    <w:abstractNumId w:val="13"/>
  </w:num>
  <w:num w:numId="41" w16cid:durableId="1175994532">
    <w:abstractNumId w:val="5"/>
  </w:num>
  <w:num w:numId="42" w16cid:durableId="139926056">
    <w:abstractNumId w:val="12"/>
  </w:num>
  <w:num w:numId="43" w16cid:durableId="1032921090">
    <w:abstractNumId w:val="7"/>
  </w:num>
  <w:num w:numId="44" w16cid:durableId="1101338951">
    <w:abstractNumId w:val="28"/>
  </w:num>
  <w:num w:numId="45" w16cid:durableId="1323461264">
    <w:abstractNumId w:val="30"/>
  </w:num>
  <w:num w:numId="46" w16cid:durableId="15733382">
    <w:abstractNumId w:val="19"/>
  </w:num>
  <w:num w:numId="47" w16cid:durableId="743793737">
    <w:abstractNumId w:val="6"/>
  </w:num>
  <w:num w:numId="48" w16cid:durableId="447630062">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C7"/>
    <w:rsid w:val="000016A6"/>
    <w:rsid w:val="00001CBB"/>
    <w:rsid w:val="00001E57"/>
    <w:rsid w:val="00002C19"/>
    <w:rsid w:val="0000338B"/>
    <w:rsid w:val="0000389F"/>
    <w:rsid w:val="00003A31"/>
    <w:rsid w:val="00004E2C"/>
    <w:rsid w:val="00004EB0"/>
    <w:rsid w:val="000058E4"/>
    <w:rsid w:val="000072E8"/>
    <w:rsid w:val="00007669"/>
    <w:rsid w:val="00010A7C"/>
    <w:rsid w:val="00010CBD"/>
    <w:rsid w:val="00010FBE"/>
    <w:rsid w:val="0001346E"/>
    <w:rsid w:val="000140C9"/>
    <w:rsid w:val="00014402"/>
    <w:rsid w:val="00015B3F"/>
    <w:rsid w:val="00016429"/>
    <w:rsid w:val="00021809"/>
    <w:rsid w:val="00023EDB"/>
    <w:rsid w:val="000247A8"/>
    <w:rsid w:val="0002525E"/>
    <w:rsid w:val="00025661"/>
    <w:rsid w:val="000259D6"/>
    <w:rsid w:val="00026F4B"/>
    <w:rsid w:val="000270C6"/>
    <w:rsid w:val="00027F30"/>
    <w:rsid w:val="000302CE"/>
    <w:rsid w:val="00030436"/>
    <w:rsid w:val="00031A10"/>
    <w:rsid w:val="00031FF3"/>
    <w:rsid w:val="000337F0"/>
    <w:rsid w:val="00034EEE"/>
    <w:rsid w:val="000359D3"/>
    <w:rsid w:val="00037026"/>
    <w:rsid w:val="00040A3A"/>
    <w:rsid w:val="00043281"/>
    <w:rsid w:val="00043C1C"/>
    <w:rsid w:val="000440FB"/>
    <w:rsid w:val="00045305"/>
    <w:rsid w:val="00046442"/>
    <w:rsid w:val="00046863"/>
    <w:rsid w:val="00046B4D"/>
    <w:rsid w:val="00050ABE"/>
    <w:rsid w:val="00051D8D"/>
    <w:rsid w:val="0005359D"/>
    <w:rsid w:val="00054874"/>
    <w:rsid w:val="00055082"/>
    <w:rsid w:val="00057AAD"/>
    <w:rsid w:val="0006001D"/>
    <w:rsid w:val="000619E9"/>
    <w:rsid w:val="000620C4"/>
    <w:rsid w:val="00063525"/>
    <w:rsid w:val="0006492A"/>
    <w:rsid w:val="00065E37"/>
    <w:rsid w:val="00070C93"/>
    <w:rsid w:val="00070D0C"/>
    <w:rsid w:val="00071081"/>
    <w:rsid w:val="0007263D"/>
    <w:rsid w:val="0007305D"/>
    <w:rsid w:val="00073500"/>
    <w:rsid w:val="00074968"/>
    <w:rsid w:val="0007497F"/>
    <w:rsid w:val="00074AC3"/>
    <w:rsid w:val="00075E69"/>
    <w:rsid w:val="00076260"/>
    <w:rsid w:val="00083C57"/>
    <w:rsid w:val="000841C5"/>
    <w:rsid w:val="00084410"/>
    <w:rsid w:val="00084DAB"/>
    <w:rsid w:val="000861E2"/>
    <w:rsid w:val="0008759D"/>
    <w:rsid w:val="0009014A"/>
    <w:rsid w:val="00090860"/>
    <w:rsid w:val="00090B79"/>
    <w:rsid w:val="00090DDB"/>
    <w:rsid w:val="00091252"/>
    <w:rsid w:val="0009267A"/>
    <w:rsid w:val="00094D4D"/>
    <w:rsid w:val="000966F5"/>
    <w:rsid w:val="000979A8"/>
    <w:rsid w:val="000A1309"/>
    <w:rsid w:val="000A3A3C"/>
    <w:rsid w:val="000A3B8D"/>
    <w:rsid w:val="000A4EF2"/>
    <w:rsid w:val="000A4FEE"/>
    <w:rsid w:val="000A56B2"/>
    <w:rsid w:val="000A6096"/>
    <w:rsid w:val="000A6EAC"/>
    <w:rsid w:val="000B01CB"/>
    <w:rsid w:val="000B02D9"/>
    <w:rsid w:val="000B4D28"/>
    <w:rsid w:val="000B7A9D"/>
    <w:rsid w:val="000C1641"/>
    <w:rsid w:val="000C2811"/>
    <w:rsid w:val="000C28DA"/>
    <w:rsid w:val="000C3B88"/>
    <w:rsid w:val="000C4F1A"/>
    <w:rsid w:val="000C5477"/>
    <w:rsid w:val="000C6599"/>
    <w:rsid w:val="000C69F8"/>
    <w:rsid w:val="000C7D7F"/>
    <w:rsid w:val="000D10A3"/>
    <w:rsid w:val="000D1DB6"/>
    <w:rsid w:val="000D2948"/>
    <w:rsid w:val="000D3119"/>
    <w:rsid w:val="000D318E"/>
    <w:rsid w:val="000D43D5"/>
    <w:rsid w:val="000D50F0"/>
    <w:rsid w:val="000D6C6B"/>
    <w:rsid w:val="000D70D8"/>
    <w:rsid w:val="000D7762"/>
    <w:rsid w:val="000D7A75"/>
    <w:rsid w:val="000E0F33"/>
    <w:rsid w:val="000E126D"/>
    <w:rsid w:val="000E19A1"/>
    <w:rsid w:val="000E5A6B"/>
    <w:rsid w:val="000F13B5"/>
    <w:rsid w:val="000F1860"/>
    <w:rsid w:val="000F3A59"/>
    <w:rsid w:val="000F516E"/>
    <w:rsid w:val="000F657B"/>
    <w:rsid w:val="000F79A1"/>
    <w:rsid w:val="000F7AF7"/>
    <w:rsid w:val="00100218"/>
    <w:rsid w:val="00100763"/>
    <w:rsid w:val="0010176B"/>
    <w:rsid w:val="00102300"/>
    <w:rsid w:val="001027DB"/>
    <w:rsid w:val="001028BB"/>
    <w:rsid w:val="0010301E"/>
    <w:rsid w:val="001039B5"/>
    <w:rsid w:val="00103FA7"/>
    <w:rsid w:val="0010437C"/>
    <w:rsid w:val="0010593B"/>
    <w:rsid w:val="0010750A"/>
    <w:rsid w:val="001105AF"/>
    <w:rsid w:val="001107D6"/>
    <w:rsid w:val="00111970"/>
    <w:rsid w:val="00111A40"/>
    <w:rsid w:val="00111A65"/>
    <w:rsid w:val="00111A6F"/>
    <w:rsid w:val="0011441C"/>
    <w:rsid w:val="0011449F"/>
    <w:rsid w:val="00114957"/>
    <w:rsid w:val="00115219"/>
    <w:rsid w:val="00115386"/>
    <w:rsid w:val="00115C1E"/>
    <w:rsid w:val="00117EB9"/>
    <w:rsid w:val="00122BB4"/>
    <w:rsid w:val="00124A94"/>
    <w:rsid w:val="001250D4"/>
    <w:rsid w:val="001255ED"/>
    <w:rsid w:val="001262C8"/>
    <w:rsid w:val="001265E2"/>
    <w:rsid w:val="0013043A"/>
    <w:rsid w:val="0013056E"/>
    <w:rsid w:val="00130D36"/>
    <w:rsid w:val="00131385"/>
    <w:rsid w:val="00132337"/>
    <w:rsid w:val="00132555"/>
    <w:rsid w:val="001339A0"/>
    <w:rsid w:val="0013732C"/>
    <w:rsid w:val="001410D2"/>
    <w:rsid w:val="001429FC"/>
    <w:rsid w:val="00145F3E"/>
    <w:rsid w:val="00147ACF"/>
    <w:rsid w:val="00147FBA"/>
    <w:rsid w:val="00150E6D"/>
    <w:rsid w:val="001520EE"/>
    <w:rsid w:val="00152755"/>
    <w:rsid w:val="001528E0"/>
    <w:rsid w:val="00155B3B"/>
    <w:rsid w:val="00156F7B"/>
    <w:rsid w:val="00156FDB"/>
    <w:rsid w:val="00157828"/>
    <w:rsid w:val="00160056"/>
    <w:rsid w:val="00160B21"/>
    <w:rsid w:val="00161117"/>
    <w:rsid w:val="00161AD2"/>
    <w:rsid w:val="00161B3D"/>
    <w:rsid w:val="0016228C"/>
    <w:rsid w:val="00162603"/>
    <w:rsid w:val="001629EF"/>
    <w:rsid w:val="0016350E"/>
    <w:rsid w:val="00164717"/>
    <w:rsid w:val="00165A51"/>
    <w:rsid w:val="00165AC6"/>
    <w:rsid w:val="00166598"/>
    <w:rsid w:val="00172F8F"/>
    <w:rsid w:val="00174035"/>
    <w:rsid w:val="00175DF4"/>
    <w:rsid w:val="00175F40"/>
    <w:rsid w:val="00176CDE"/>
    <w:rsid w:val="0017758A"/>
    <w:rsid w:val="00181372"/>
    <w:rsid w:val="00181B4F"/>
    <w:rsid w:val="001830A4"/>
    <w:rsid w:val="001840A8"/>
    <w:rsid w:val="00184706"/>
    <w:rsid w:val="00186AC7"/>
    <w:rsid w:val="00187A41"/>
    <w:rsid w:val="0019038E"/>
    <w:rsid w:val="0019230B"/>
    <w:rsid w:val="0019231F"/>
    <w:rsid w:val="001929E8"/>
    <w:rsid w:val="0019309B"/>
    <w:rsid w:val="001934B1"/>
    <w:rsid w:val="00193C8C"/>
    <w:rsid w:val="00193CC9"/>
    <w:rsid w:val="00194718"/>
    <w:rsid w:val="0019691E"/>
    <w:rsid w:val="00196E1F"/>
    <w:rsid w:val="001974A8"/>
    <w:rsid w:val="001A27EF"/>
    <w:rsid w:val="001A2C37"/>
    <w:rsid w:val="001B2A28"/>
    <w:rsid w:val="001B2A88"/>
    <w:rsid w:val="001B3049"/>
    <w:rsid w:val="001B31B5"/>
    <w:rsid w:val="001B3846"/>
    <w:rsid w:val="001B4172"/>
    <w:rsid w:val="001B489C"/>
    <w:rsid w:val="001B6968"/>
    <w:rsid w:val="001C007A"/>
    <w:rsid w:val="001C01D8"/>
    <w:rsid w:val="001C03ED"/>
    <w:rsid w:val="001C1964"/>
    <w:rsid w:val="001C1DA2"/>
    <w:rsid w:val="001C6480"/>
    <w:rsid w:val="001C71AB"/>
    <w:rsid w:val="001C7884"/>
    <w:rsid w:val="001C79D8"/>
    <w:rsid w:val="001D0030"/>
    <w:rsid w:val="001D0CA0"/>
    <w:rsid w:val="001D1F9D"/>
    <w:rsid w:val="001D234B"/>
    <w:rsid w:val="001D25BC"/>
    <w:rsid w:val="001D2CDB"/>
    <w:rsid w:val="001D3496"/>
    <w:rsid w:val="001D3922"/>
    <w:rsid w:val="001D4E39"/>
    <w:rsid w:val="001D6077"/>
    <w:rsid w:val="001D6389"/>
    <w:rsid w:val="001D643B"/>
    <w:rsid w:val="001D720A"/>
    <w:rsid w:val="001D7869"/>
    <w:rsid w:val="001D7DF6"/>
    <w:rsid w:val="001E01C3"/>
    <w:rsid w:val="001E0572"/>
    <w:rsid w:val="001E0AED"/>
    <w:rsid w:val="001E134E"/>
    <w:rsid w:val="001E1DE0"/>
    <w:rsid w:val="001E372F"/>
    <w:rsid w:val="001E46DD"/>
    <w:rsid w:val="001E55BF"/>
    <w:rsid w:val="001E55E2"/>
    <w:rsid w:val="001E682F"/>
    <w:rsid w:val="001E6CA1"/>
    <w:rsid w:val="001E793D"/>
    <w:rsid w:val="001F022C"/>
    <w:rsid w:val="001F0FCC"/>
    <w:rsid w:val="001F1036"/>
    <w:rsid w:val="001F308A"/>
    <w:rsid w:val="001F38DD"/>
    <w:rsid w:val="001F3AA5"/>
    <w:rsid w:val="001F3CD0"/>
    <w:rsid w:val="001F4C63"/>
    <w:rsid w:val="001F4D3B"/>
    <w:rsid w:val="001F513F"/>
    <w:rsid w:val="001F670E"/>
    <w:rsid w:val="00201CDA"/>
    <w:rsid w:val="002022FB"/>
    <w:rsid w:val="002025B4"/>
    <w:rsid w:val="0020283D"/>
    <w:rsid w:val="00202AE4"/>
    <w:rsid w:val="00203138"/>
    <w:rsid w:val="002036A7"/>
    <w:rsid w:val="00203F71"/>
    <w:rsid w:val="002044B4"/>
    <w:rsid w:val="00205BCC"/>
    <w:rsid w:val="00205FB5"/>
    <w:rsid w:val="0020613F"/>
    <w:rsid w:val="0020702D"/>
    <w:rsid w:val="00207594"/>
    <w:rsid w:val="00207773"/>
    <w:rsid w:val="0021090E"/>
    <w:rsid w:val="002114CE"/>
    <w:rsid w:val="00212BBD"/>
    <w:rsid w:val="00212CDC"/>
    <w:rsid w:val="002131C5"/>
    <w:rsid w:val="0021362D"/>
    <w:rsid w:val="00213727"/>
    <w:rsid w:val="002148CE"/>
    <w:rsid w:val="0021519E"/>
    <w:rsid w:val="002153B4"/>
    <w:rsid w:val="00215592"/>
    <w:rsid w:val="00216712"/>
    <w:rsid w:val="002168CB"/>
    <w:rsid w:val="00217E50"/>
    <w:rsid w:val="00220433"/>
    <w:rsid w:val="00221519"/>
    <w:rsid w:val="00221B10"/>
    <w:rsid w:val="00222C85"/>
    <w:rsid w:val="00223C1B"/>
    <w:rsid w:val="00225E17"/>
    <w:rsid w:val="002266B3"/>
    <w:rsid w:val="00227374"/>
    <w:rsid w:val="002273CB"/>
    <w:rsid w:val="00230F95"/>
    <w:rsid w:val="0023188A"/>
    <w:rsid w:val="00232812"/>
    <w:rsid w:val="002348FB"/>
    <w:rsid w:val="00237451"/>
    <w:rsid w:val="00237570"/>
    <w:rsid w:val="00237B2F"/>
    <w:rsid w:val="002421A5"/>
    <w:rsid w:val="0024227A"/>
    <w:rsid w:val="00243640"/>
    <w:rsid w:val="0024488A"/>
    <w:rsid w:val="00245493"/>
    <w:rsid w:val="002454C0"/>
    <w:rsid w:val="00246011"/>
    <w:rsid w:val="00246414"/>
    <w:rsid w:val="00246AA4"/>
    <w:rsid w:val="00252EC6"/>
    <w:rsid w:val="00257444"/>
    <w:rsid w:val="0025756C"/>
    <w:rsid w:val="00257BEC"/>
    <w:rsid w:val="002613B1"/>
    <w:rsid w:val="00262285"/>
    <w:rsid w:val="002627C6"/>
    <w:rsid w:val="002637F0"/>
    <w:rsid w:val="002653DF"/>
    <w:rsid w:val="00265B39"/>
    <w:rsid w:val="002671C0"/>
    <w:rsid w:val="00267307"/>
    <w:rsid w:val="002676C0"/>
    <w:rsid w:val="00270A3C"/>
    <w:rsid w:val="00270BAD"/>
    <w:rsid w:val="002712D2"/>
    <w:rsid w:val="00271FDA"/>
    <w:rsid w:val="00272610"/>
    <w:rsid w:val="0027441B"/>
    <w:rsid w:val="0027464D"/>
    <w:rsid w:val="002764C9"/>
    <w:rsid w:val="00280D8D"/>
    <w:rsid w:val="00281BA5"/>
    <w:rsid w:val="00281BF3"/>
    <w:rsid w:val="002834DA"/>
    <w:rsid w:val="00283900"/>
    <w:rsid w:val="00283ED0"/>
    <w:rsid w:val="002854DC"/>
    <w:rsid w:val="0028657D"/>
    <w:rsid w:val="00287EA3"/>
    <w:rsid w:val="00290BC8"/>
    <w:rsid w:val="002910C1"/>
    <w:rsid w:val="00291238"/>
    <w:rsid w:val="002914DB"/>
    <w:rsid w:val="00291D7B"/>
    <w:rsid w:val="002924F1"/>
    <w:rsid w:val="00292542"/>
    <w:rsid w:val="002946A5"/>
    <w:rsid w:val="00295498"/>
    <w:rsid w:val="002957E8"/>
    <w:rsid w:val="002965FC"/>
    <w:rsid w:val="002966AF"/>
    <w:rsid w:val="002976CB"/>
    <w:rsid w:val="00297D2B"/>
    <w:rsid w:val="002A035C"/>
    <w:rsid w:val="002A0F2E"/>
    <w:rsid w:val="002A129D"/>
    <w:rsid w:val="002A29F5"/>
    <w:rsid w:val="002A4696"/>
    <w:rsid w:val="002A608F"/>
    <w:rsid w:val="002A618F"/>
    <w:rsid w:val="002A6729"/>
    <w:rsid w:val="002A6DA4"/>
    <w:rsid w:val="002A73D6"/>
    <w:rsid w:val="002B3A6F"/>
    <w:rsid w:val="002B40D0"/>
    <w:rsid w:val="002B5803"/>
    <w:rsid w:val="002B71AC"/>
    <w:rsid w:val="002B7E91"/>
    <w:rsid w:val="002C06E3"/>
    <w:rsid w:val="002C0924"/>
    <w:rsid w:val="002C36FC"/>
    <w:rsid w:val="002C3C3B"/>
    <w:rsid w:val="002C3DE7"/>
    <w:rsid w:val="002C415F"/>
    <w:rsid w:val="002C4EA7"/>
    <w:rsid w:val="002C5879"/>
    <w:rsid w:val="002C5B1A"/>
    <w:rsid w:val="002C748C"/>
    <w:rsid w:val="002D001A"/>
    <w:rsid w:val="002D137B"/>
    <w:rsid w:val="002D1AA5"/>
    <w:rsid w:val="002D1F41"/>
    <w:rsid w:val="002D22C4"/>
    <w:rsid w:val="002D48F2"/>
    <w:rsid w:val="002D6B04"/>
    <w:rsid w:val="002D74D1"/>
    <w:rsid w:val="002D7532"/>
    <w:rsid w:val="002E11B0"/>
    <w:rsid w:val="002E2009"/>
    <w:rsid w:val="002E2916"/>
    <w:rsid w:val="002E58B9"/>
    <w:rsid w:val="002E6986"/>
    <w:rsid w:val="002E799A"/>
    <w:rsid w:val="002F0A52"/>
    <w:rsid w:val="002F0FD1"/>
    <w:rsid w:val="002F28D9"/>
    <w:rsid w:val="002F2ECA"/>
    <w:rsid w:val="002F4F53"/>
    <w:rsid w:val="002F5641"/>
    <w:rsid w:val="002F5ADD"/>
    <w:rsid w:val="002F75C3"/>
    <w:rsid w:val="00300B5A"/>
    <w:rsid w:val="00301B08"/>
    <w:rsid w:val="003031E9"/>
    <w:rsid w:val="00303E55"/>
    <w:rsid w:val="003047D7"/>
    <w:rsid w:val="0030524C"/>
    <w:rsid w:val="003062C3"/>
    <w:rsid w:val="003062D9"/>
    <w:rsid w:val="003064BE"/>
    <w:rsid w:val="0030711A"/>
    <w:rsid w:val="0030759C"/>
    <w:rsid w:val="00307B13"/>
    <w:rsid w:val="00310124"/>
    <w:rsid w:val="003110D7"/>
    <w:rsid w:val="003112CE"/>
    <w:rsid w:val="003117AC"/>
    <w:rsid w:val="003124ED"/>
    <w:rsid w:val="00312AB7"/>
    <w:rsid w:val="00313200"/>
    <w:rsid w:val="00313999"/>
    <w:rsid w:val="00314024"/>
    <w:rsid w:val="00315E14"/>
    <w:rsid w:val="003166D4"/>
    <w:rsid w:val="00316ACA"/>
    <w:rsid w:val="00316C96"/>
    <w:rsid w:val="0032051E"/>
    <w:rsid w:val="00320986"/>
    <w:rsid w:val="003217D8"/>
    <w:rsid w:val="003245EA"/>
    <w:rsid w:val="003250BE"/>
    <w:rsid w:val="0032547B"/>
    <w:rsid w:val="0032632C"/>
    <w:rsid w:val="00326DE8"/>
    <w:rsid w:val="003271F5"/>
    <w:rsid w:val="003272BD"/>
    <w:rsid w:val="00327D62"/>
    <w:rsid w:val="0033063F"/>
    <w:rsid w:val="0033092F"/>
    <w:rsid w:val="003310BA"/>
    <w:rsid w:val="0033160D"/>
    <w:rsid w:val="00333097"/>
    <w:rsid w:val="0033435D"/>
    <w:rsid w:val="00335664"/>
    <w:rsid w:val="003358A2"/>
    <w:rsid w:val="00336068"/>
    <w:rsid w:val="00336EC3"/>
    <w:rsid w:val="00337051"/>
    <w:rsid w:val="00337705"/>
    <w:rsid w:val="00340492"/>
    <w:rsid w:val="00340B40"/>
    <w:rsid w:val="00340CC3"/>
    <w:rsid w:val="00341DD4"/>
    <w:rsid w:val="00342262"/>
    <w:rsid w:val="00343210"/>
    <w:rsid w:val="00343CF6"/>
    <w:rsid w:val="00344BC6"/>
    <w:rsid w:val="003468E9"/>
    <w:rsid w:val="003475A0"/>
    <w:rsid w:val="003501D7"/>
    <w:rsid w:val="0035064E"/>
    <w:rsid w:val="00352AA5"/>
    <w:rsid w:val="003535D1"/>
    <w:rsid w:val="00356502"/>
    <w:rsid w:val="00364AAB"/>
    <w:rsid w:val="00364C73"/>
    <w:rsid w:val="003651F9"/>
    <w:rsid w:val="00367040"/>
    <w:rsid w:val="0036789C"/>
    <w:rsid w:val="00371E6D"/>
    <w:rsid w:val="00372F81"/>
    <w:rsid w:val="00373D11"/>
    <w:rsid w:val="0037475B"/>
    <w:rsid w:val="0037475E"/>
    <w:rsid w:val="00376B39"/>
    <w:rsid w:val="00377378"/>
    <w:rsid w:val="00380273"/>
    <w:rsid w:val="0038435D"/>
    <w:rsid w:val="003859F0"/>
    <w:rsid w:val="0038702B"/>
    <w:rsid w:val="00387088"/>
    <w:rsid w:val="00387B8E"/>
    <w:rsid w:val="00387C39"/>
    <w:rsid w:val="00387CD7"/>
    <w:rsid w:val="00387D48"/>
    <w:rsid w:val="00387D68"/>
    <w:rsid w:val="00391C88"/>
    <w:rsid w:val="00392F81"/>
    <w:rsid w:val="003931C6"/>
    <w:rsid w:val="00394390"/>
    <w:rsid w:val="00394A01"/>
    <w:rsid w:val="00394EF1"/>
    <w:rsid w:val="00394FDE"/>
    <w:rsid w:val="003953CD"/>
    <w:rsid w:val="003957C0"/>
    <w:rsid w:val="003979DD"/>
    <w:rsid w:val="00397AA1"/>
    <w:rsid w:val="00397BCF"/>
    <w:rsid w:val="003A0D8E"/>
    <w:rsid w:val="003A156B"/>
    <w:rsid w:val="003A2F36"/>
    <w:rsid w:val="003A3150"/>
    <w:rsid w:val="003A3B68"/>
    <w:rsid w:val="003A4DBC"/>
    <w:rsid w:val="003A5A38"/>
    <w:rsid w:val="003A7B78"/>
    <w:rsid w:val="003B259F"/>
    <w:rsid w:val="003B2B91"/>
    <w:rsid w:val="003B2E92"/>
    <w:rsid w:val="003B663E"/>
    <w:rsid w:val="003B67AB"/>
    <w:rsid w:val="003C2519"/>
    <w:rsid w:val="003C34CD"/>
    <w:rsid w:val="003C3B03"/>
    <w:rsid w:val="003C4384"/>
    <w:rsid w:val="003C462B"/>
    <w:rsid w:val="003C56F8"/>
    <w:rsid w:val="003C66B0"/>
    <w:rsid w:val="003C712E"/>
    <w:rsid w:val="003C7C84"/>
    <w:rsid w:val="003D1A62"/>
    <w:rsid w:val="003D2037"/>
    <w:rsid w:val="003D231B"/>
    <w:rsid w:val="003D261E"/>
    <w:rsid w:val="003D4D0E"/>
    <w:rsid w:val="003D4F4D"/>
    <w:rsid w:val="003D6285"/>
    <w:rsid w:val="003D7019"/>
    <w:rsid w:val="003D76CD"/>
    <w:rsid w:val="003E146E"/>
    <w:rsid w:val="003E251E"/>
    <w:rsid w:val="003E3C93"/>
    <w:rsid w:val="003E5CB8"/>
    <w:rsid w:val="003F07F9"/>
    <w:rsid w:val="003F2365"/>
    <w:rsid w:val="003F2922"/>
    <w:rsid w:val="003F2C9A"/>
    <w:rsid w:val="003F3237"/>
    <w:rsid w:val="003F3E02"/>
    <w:rsid w:val="003F494C"/>
    <w:rsid w:val="003F51F4"/>
    <w:rsid w:val="003F56AC"/>
    <w:rsid w:val="003F7B60"/>
    <w:rsid w:val="004006FA"/>
    <w:rsid w:val="004014E6"/>
    <w:rsid w:val="00402812"/>
    <w:rsid w:val="00402CAB"/>
    <w:rsid w:val="004031E3"/>
    <w:rsid w:val="00403843"/>
    <w:rsid w:val="00403AC9"/>
    <w:rsid w:val="00403FEC"/>
    <w:rsid w:val="00405661"/>
    <w:rsid w:val="00405860"/>
    <w:rsid w:val="00406962"/>
    <w:rsid w:val="0040790D"/>
    <w:rsid w:val="004110D9"/>
    <w:rsid w:val="00414CE3"/>
    <w:rsid w:val="0041563B"/>
    <w:rsid w:val="004156B7"/>
    <w:rsid w:val="00415AA8"/>
    <w:rsid w:val="004166B0"/>
    <w:rsid w:val="00417578"/>
    <w:rsid w:val="004175CE"/>
    <w:rsid w:val="00420DEE"/>
    <w:rsid w:val="004213CA"/>
    <w:rsid w:val="0042312A"/>
    <w:rsid w:val="0042340E"/>
    <w:rsid w:val="00423A42"/>
    <w:rsid w:val="0042400B"/>
    <w:rsid w:val="0042512D"/>
    <w:rsid w:val="004255CC"/>
    <w:rsid w:val="00425D7F"/>
    <w:rsid w:val="00426480"/>
    <w:rsid w:val="00426599"/>
    <w:rsid w:val="00427BE2"/>
    <w:rsid w:val="00432481"/>
    <w:rsid w:val="00433A0F"/>
    <w:rsid w:val="004354EF"/>
    <w:rsid w:val="00435575"/>
    <w:rsid w:val="004371F6"/>
    <w:rsid w:val="004409A1"/>
    <w:rsid w:val="00442A77"/>
    <w:rsid w:val="00443540"/>
    <w:rsid w:val="0044358C"/>
    <w:rsid w:val="0044375C"/>
    <w:rsid w:val="00443B00"/>
    <w:rsid w:val="00445D23"/>
    <w:rsid w:val="00445F7F"/>
    <w:rsid w:val="00446F3D"/>
    <w:rsid w:val="00451D95"/>
    <w:rsid w:val="0045301C"/>
    <w:rsid w:val="004572B7"/>
    <w:rsid w:val="00460916"/>
    <w:rsid w:val="004635A8"/>
    <w:rsid w:val="0046449C"/>
    <w:rsid w:val="00465F66"/>
    <w:rsid w:val="00467ADB"/>
    <w:rsid w:val="004706CA"/>
    <w:rsid w:val="00470DA9"/>
    <w:rsid w:val="004710D0"/>
    <w:rsid w:val="0047459E"/>
    <w:rsid w:val="00474AF3"/>
    <w:rsid w:val="004755B7"/>
    <w:rsid w:val="00475F05"/>
    <w:rsid w:val="00477ABD"/>
    <w:rsid w:val="00477D33"/>
    <w:rsid w:val="0048004D"/>
    <w:rsid w:val="00481DBD"/>
    <w:rsid w:val="00482146"/>
    <w:rsid w:val="00482CA3"/>
    <w:rsid w:val="00484D83"/>
    <w:rsid w:val="00485863"/>
    <w:rsid w:val="00486971"/>
    <w:rsid w:val="00490BF3"/>
    <w:rsid w:val="0049115F"/>
    <w:rsid w:val="00491A05"/>
    <w:rsid w:val="00491FE3"/>
    <w:rsid w:val="00492D26"/>
    <w:rsid w:val="00492F26"/>
    <w:rsid w:val="004952FD"/>
    <w:rsid w:val="004966C5"/>
    <w:rsid w:val="004972F5"/>
    <w:rsid w:val="004A07B6"/>
    <w:rsid w:val="004A0D13"/>
    <w:rsid w:val="004A535D"/>
    <w:rsid w:val="004A6C17"/>
    <w:rsid w:val="004A6E68"/>
    <w:rsid w:val="004A7392"/>
    <w:rsid w:val="004A758A"/>
    <w:rsid w:val="004A7682"/>
    <w:rsid w:val="004A7B9B"/>
    <w:rsid w:val="004B047F"/>
    <w:rsid w:val="004B0F61"/>
    <w:rsid w:val="004B10DD"/>
    <w:rsid w:val="004B1D5B"/>
    <w:rsid w:val="004B2894"/>
    <w:rsid w:val="004B6BA3"/>
    <w:rsid w:val="004C05EC"/>
    <w:rsid w:val="004C13A4"/>
    <w:rsid w:val="004C15FA"/>
    <w:rsid w:val="004C268C"/>
    <w:rsid w:val="004C3DF2"/>
    <w:rsid w:val="004C40CD"/>
    <w:rsid w:val="004C49B4"/>
    <w:rsid w:val="004C512D"/>
    <w:rsid w:val="004C56A7"/>
    <w:rsid w:val="004C6681"/>
    <w:rsid w:val="004C66E5"/>
    <w:rsid w:val="004D0446"/>
    <w:rsid w:val="004D0925"/>
    <w:rsid w:val="004D13A2"/>
    <w:rsid w:val="004D188D"/>
    <w:rsid w:val="004D553D"/>
    <w:rsid w:val="004E019B"/>
    <w:rsid w:val="004E1D0D"/>
    <w:rsid w:val="004E2541"/>
    <w:rsid w:val="004E3113"/>
    <w:rsid w:val="004E3BE4"/>
    <w:rsid w:val="004E40CD"/>
    <w:rsid w:val="004E5571"/>
    <w:rsid w:val="004E57B1"/>
    <w:rsid w:val="004E631F"/>
    <w:rsid w:val="004E70E9"/>
    <w:rsid w:val="004F06B9"/>
    <w:rsid w:val="004F1CC4"/>
    <w:rsid w:val="004F21D3"/>
    <w:rsid w:val="004F3040"/>
    <w:rsid w:val="004F38E1"/>
    <w:rsid w:val="004F4DAB"/>
    <w:rsid w:val="004F5451"/>
    <w:rsid w:val="004F5C28"/>
    <w:rsid w:val="004F6509"/>
    <w:rsid w:val="004F6F5F"/>
    <w:rsid w:val="004F7219"/>
    <w:rsid w:val="004F7FDE"/>
    <w:rsid w:val="005013FE"/>
    <w:rsid w:val="00502FA3"/>
    <w:rsid w:val="0050466F"/>
    <w:rsid w:val="0050499D"/>
    <w:rsid w:val="00504BDA"/>
    <w:rsid w:val="005051DF"/>
    <w:rsid w:val="00505B7E"/>
    <w:rsid w:val="00505F2C"/>
    <w:rsid w:val="00506511"/>
    <w:rsid w:val="00507DA4"/>
    <w:rsid w:val="00510FC4"/>
    <w:rsid w:val="005111DC"/>
    <w:rsid w:val="005120EE"/>
    <w:rsid w:val="00512F6B"/>
    <w:rsid w:val="005137EB"/>
    <w:rsid w:val="0051381D"/>
    <w:rsid w:val="00513BC7"/>
    <w:rsid w:val="0051536B"/>
    <w:rsid w:val="00515CC5"/>
    <w:rsid w:val="005207D5"/>
    <w:rsid w:val="005227A7"/>
    <w:rsid w:val="005264FE"/>
    <w:rsid w:val="005265D0"/>
    <w:rsid w:val="005269CA"/>
    <w:rsid w:val="00530629"/>
    <w:rsid w:val="00531F86"/>
    <w:rsid w:val="00532518"/>
    <w:rsid w:val="00532971"/>
    <w:rsid w:val="00533130"/>
    <w:rsid w:val="00534C46"/>
    <w:rsid w:val="00535370"/>
    <w:rsid w:val="00535604"/>
    <w:rsid w:val="0053620A"/>
    <w:rsid w:val="0053644A"/>
    <w:rsid w:val="005371DE"/>
    <w:rsid w:val="0054433D"/>
    <w:rsid w:val="00544823"/>
    <w:rsid w:val="005508C9"/>
    <w:rsid w:val="005525C8"/>
    <w:rsid w:val="0055260A"/>
    <w:rsid w:val="00552785"/>
    <w:rsid w:val="005541C7"/>
    <w:rsid w:val="00555F37"/>
    <w:rsid w:val="00557216"/>
    <w:rsid w:val="0056041C"/>
    <w:rsid w:val="00560D5F"/>
    <w:rsid w:val="00561760"/>
    <w:rsid w:val="00561B9C"/>
    <w:rsid w:val="00562755"/>
    <w:rsid w:val="00562B3B"/>
    <w:rsid w:val="00563539"/>
    <w:rsid w:val="0056464D"/>
    <w:rsid w:val="0056613C"/>
    <w:rsid w:val="00570181"/>
    <w:rsid w:val="00570B2A"/>
    <w:rsid w:val="00570B8A"/>
    <w:rsid w:val="00571EF4"/>
    <w:rsid w:val="0057414E"/>
    <w:rsid w:val="00574BB7"/>
    <w:rsid w:val="0057695C"/>
    <w:rsid w:val="005773C0"/>
    <w:rsid w:val="005823C6"/>
    <w:rsid w:val="00582DF0"/>
    <w:rsid w:val="0058311B"/>
    <w:rsid w:val="005834FE"/>
    <w:rsid w:val="0058458B"/>
    <w:rsid w:val="005847BC"/>
    <w:rsid w:val="0058539F"/>
    <w:rsid w:val="00586555"/>
    <w:rsid w:val="005865DE"/>
    <w:rsid w:val="00586F9C"/>
    <w:rsid w:val="00590775"/>
    <w:rsid w:val="00590AB8"/>
    <w:rsid w:val="0059116F"/>
    <w:rsid w:val="00591FFB"/>
    <w:rsid w:val="005923F3"/>
    <w:rsid w:val="00593B27"/>
    <w:rsid w:val="00594640"/>
    <w:rsid w:val="00594BF4"/>
    <w:rsid w:val="00596126"/>
    <w:rsid w:val="00596B47"/>
    <w:rsid w:val="00596BC8"/>
    <w:rsid w:val="00597CE0"/>
    <w:rsid w:val="005A154A"/>
    <w:rsid w:val="005A1848"/>
    <w:rsid w:val="005A26EA"/>
    <w:rsid w:val="005A51BD"/>
    <w:rsid w:val="005A63F7"/>
    <w:rsid w:val="005A6718"/>
    <w:rsid w:val="005A7551"/>
    <w:rsid w:val="005A7E4E"/>
    <w:rsid w:val="005B03FB"/>
    <w:rsid w:val="005B08FA"/>
    <w:rsid w:val="005B180C"/>
    <w:rsid w:val="005B1FD2"/>
    <w:rsid w:val="005B2F7E"/>
    <w:rsid w:val="005B34F0"/>
    <w:rsid w:val="005B3C98"/>
    <w:rsid w:val="005B695C"/>
    <w:rsid w:val="005B7E50"/>
    <w:rsid w:val="005C0352"/>
    <w:rsid w:val="005C091F"/>
    <w:rsid w:val="005C1D93"/>
    <w:rsid w:val="005C4A50"/>
    <w:rsid w:val="005C5DAF"/>
    <w:rsid w:val="005C60F6"/>
    <w:rsid w:val="005C7355"/>
    <w:rsid w:val="005D01A5"/>
    <w:rsid w:val="005D4C4F"/>
    <w:rsid w:val="005D5276"/>
    <w:rsid w:val="005D56D9"/>
    <w:rsid w:val="005D63CF"/>
    <w:rsid w:val="005D7289"/>
    <w:rsid w:val="005D7737"/>
    <w:rsid w:val="005E0253"/>
    <w:rsid w:val="005E05CF"/>
    <w:rsid w:val="005E0765"/>
    <w:rsid w:val="005E30F8"/>
    <w:rsid w:val="005E5746"/>
    <w:rsid w:val="005E6AAE"/>
    <w:rsid w:val="005E7F84"/>
    <w:rsid w:val="005F12E6"/>
    <w:rsid w:val="005F141F"/>
    <w:rsid w:val="005F2F34"/>
    <w:rsid w:val="005F5CD1"/>
    <w:rsid w:val="005F5F9A"/>
    <w:rsid w:val="005F79CC"/>
    <w:rsid w:val="006009BA"/>
    <w:rsid w:val="006023DE"/>
    <w:rsid w:val="00604471"/>
    <w:rsid w:val="00604638"/>
    <w:rsid w:val="00604F4C"/>
    <w:rsid w:val="0060749C"/>
    <w:rsid w:val="006119CC"/>
    <w:rsid w:val="00612A8C"/>
    <w:rsid w:val="00612E96"/>
    <w:rsid w:val="00612FB2"/>
    <w:rsid w:val="006131A1"/>
    <w:rsid w:val="00613DF9"/>
    <w:rsid w:val="00615E6A"/>
    <w:rsid w:val="00616930"/>
    <w:rsid w:val="0061717F"/>
    <w:rsid w:val="006207B1"/>
    <w:rsid w:val="00624E84"/>
    <w:rsid w:val="006254F3"/>
    <w:rsid w:val="006267DC"/>
    <w:rsid w:val="006277FF"/>
    <w:rsid w:val="0063175B"/>
    <w:rsid w:val="00632066"/>
    <w:rsid w:val="00632A1B"/>
    <w:rsid w:val="00632FD9"/>
    <w:rsid w:val="00633216"/>
    <w:rsid w:val="00633719"/>
    <w:rsid w:val="00634FBC"/>
    <w:rsid w:val="0063542E"/>
    <w:rsid w:val="00635700"/>
    <w:rsid w:val="00635D43"/>
    <w:rsid w:val="00640493"/>
    <w:rsid w:val="00640E1D"/>
    <w:rsid w:val="00641C22"/>
    <w:rsid w:val="006427CF"/>
    <w:rsid w:val="00642AB2"/>
    <w:rsid w:val="00642D31"/>
    <w:rsid w:val="00643B66"/>
    <w:rsid w:val="006446E0"/>
    <w:rsid w:val="006448C0"/>
    <w:rsid w:val="00646E1B"/>
    <w:rsid w:val="00647404"/>
    <w:rsid w:val="00650A3A"/>
    <w:rsid w:val="00651A33"/>
    <w:rsid w:val="00654BCA"/>
    <w:rsid w:val="00654E26"/>
    <w:rsid w:val="0065557E"/>
    <w:rsid w:val="00656EF3"/>
    <w:rsid w:val="00657603"/>
    <w:rsid w:val="006632B3"/>
    <w:rsid w:val="006635F4"/>
    <w:rsid w:val="00665F63"/>
    <w:rsid w:val="00670ADE"/>
    <w:rsid w:val="006721CC"/>
    <w:rsid w:val="00672705"/>
    <w:rsid w:val="006745F5"/>
    <w:rsid w:val="006755D5"/>
    <w:rsid w:val="006763B4"/>
    <w:rsid w:val="0067650C"/>
    <w:rsid w:val="00676826"/>
    <w:rsid w:val="00676993"/>
    <w:rsid w:val="00680EBA"/>
    <w:rsid w:val="006820CC"/>
    <w:rsid w:val="0068274A"/>
    <w:rsid w:val="006863A5"/>
    <w:rsid w:val="00686829"/>
    <w:rsid w:val="00686B05"/>
    <w:rsid w:val="00687E1D"/>
    <w:rsid w:val="00690667"/>
    <w:rsid w:val="006939DF"/>
    <w:rsid w:val="00694471"/>
    <w:rsid w:val="00694D9B"/>
    <w:rsid w:val="00695A70"/>
    <w:rsid w:val="00696885"/>
    <w:rsid w:val="00696A4D"/>
    <w:rsid w:val="006977B8"/>
    <w:rsid w:val="00697EFE"/>
    <w:rsid w:val="006A13BE"/>
    <w:rsid w:val="006A37DD"/>
    <w:rsid w:val="006A46E4"/>
    <w:rsid w:val="006A6C98"/>
    <w:rsid w:val="006A6D00"/>
    <w:rsid w:val="006B08E6"/>
    <w:rsid w:val="006B1639"/>
    <w:rsid w:val="006B16E4"/>
    <w:rsid w:val="006B2F54"/>
    <w:rsid w:val="006B3F9D"/>
    <w:rsid w:val="006B51B1"/>
    <w:rsid w:val="006B57C6"/>
    <w:rsid w:val="006B5EF2"/>
    <w:rsid w:val="006B67DE"/>
    <w:rsid w:val="006B75B7"/>
    <w:rsid w:val="006C04D4"/>
    <w:rsid w:val="006C0DD2"/>
    <w:rsid w:val="006C1F98"/>
    <w:rsid w:val="006C33C2"/>
    <w:rsid w:val="006C3832"/>
    <w:rsid w:val="006C3C01"/>
    <w:rsid w:val="006C47AA"/>
    <w:rsid w:val="006C5C76"/>
    <w:rsid w:val="006C5EC2"/>
    <w:rsid w:val="006C6E36"/>
    <w:rsid w:val="006C7924"/>
    <w:rsid w:val="006D162F"/>
    <w:rsid w:val="006D28F1"/>
    <w:rsid w:val="006D2B34"/>
    <w:rsid w:val="006D316D"/>
    <w:rsid w:val="006D57F5"/>
    <w:rsid w:val="006D6073"/>
    <w:rsid w:val="006D644F"/>
    <w:rsid w:val="006D7303"/>
    <w:rsid w:val="006D758C"/>
    <w:rsid w:val="006E00D7"/>
    <w:rsid w:val="006E0802"/>
    <w:rsid w:val="006E5E80"/>
    <w:rsid w:val="006E6A39"/>
    <w:rsid w:val="006E6B19"/>
    <w:rsid w:val="006E6EA8"/>
    <w:rsid w:val="006E77B1"/>
    <w:rsid w:val="006E77EB"/>
    <w:rsid w:val="006F0020"/>
    <w:rsid w:val="006F06FE"/>
    <w:rsid w:val="006F0872"/>
    <w:rsid w:val="006F0E55"/>
    <w:rsid w:val="006F0F95"/>
    <w:rsid w:val="006F114F"/>
    <w:rsid w:val="006F2B11"/>
    <w:rsid w:val="006F3111"/>
    <w:rsid w:val="006F3F95"/>
    <w:rsid w:val="006F4885"/>
    <w:rsid w:val="006F77EF"/>
    <w:rsid w:val="007018CE"/>
    <w:rsid w:val="007019E4"/>
    <w:rsid w:val="007025BC"/>
    <w:rsid w:val="00706251"/>
    <w:rsid w:val="0070725C"/>
    <w:rsid w:val="0070770C"/>
    <w:rsid w:val="00710DD2"/>
    <w:rsid w:val="00710E64"/>
    <w:rsid w:val="00713BC6"/>
    <w:rsid w:val="007150C2"/>
    <w:rsid w:val="0071510A"/>
    <w:rsid w:val="0071668F"/>
    <w:rsid w:val="00717372"/>
    <w:rsid w:val="00717AB7"/>
    <w:rsid w:val="00717E95"/>
    <w:rsid w:val="00720F45"/>
    <w:rsid w:val="007228A6"/>
    <w:rsid w:val="00722C48"/>
    <w:rsid w:val="0072376A"/>
    <w:rsid w:val="0072433A"/>
    <w:rsid w:val="007248EA"/>
    <w:rsid w:val="00724CE3"/>
    <w:rsid w:val="007253C0"/>
    <w:rsid w:val="007253C7"/>
    <w:rsid w:val="00726718"/>
    <w:rsid w:val="0072675F"/>
    <w:rsid w:val="0072725D"/>
    <w:rsid w:val="00727DE0"/>
    <w:rsid w:val="00730BC8"/>
    <w:rsid w:val="00732DDF"/>
    <w:rsid w:val="00734751"/>
    <w:rsid w:val="00736785"/>
    <w:rsid w:val="00736C41"/>
    <w:rsid w:val="00740F06"/>
    <w:rsid w:val="0074133F"/>
    <w:rsid w:val="00741861"/>
    <w:rsid w:val="007422D1"/>
    <w:rsid w:val="00743C99"/>
    <w:rsid w:val="007445DC"/>
    <w:rsid w:val="00744E43"/>
    <w:rsid w:val="007453E6"/>
    <w:rsid w:val="00747173"/>
    <w:rsid w:val="007478E6"/>
    <w:rsid w:val="00747929"/>
    <w:rsid w:val="007515BA"/>
    <w:rsid w:val="00752648"/>
    <w:rsid w:val="00752D28"/>
    <w:rsid w:val="00752EAD"/>
    <w:rsid w:val="007531A9"/>
    <w:rsid w:val="0075411D"/>
    <w:rsid w:val="00761EE9"/>
    <w:rsid w:val="00762EA2"/>
    <w:rsid w:val="00763063"/>
    <w:rsid w:val="00765BBD"/>
    <w:rsid w:val="00765C6A"/>
    <w:rsid w:val="0077034B"/>
    <w:rsid w:val="00770B8A"/>
    <w:rsid w:val="00771DC9"/>
    <w:rsid w:val="00772DAC"/>
    <w:rsid w:val="00773335"/>
    <w:rsid w:val="00773765"/>
    <w:rsid w:val="00773B75"/>
    <w:rsid w:val="00776183"/>
    <w:rsid w:val="00776519"/>
    <w:rsid w:val="00776712"/>
    <w:rsid w:val="00777BAB"/>
    <w:rsid w:val="00783228"/>
    <w:rsid w:val="00783B85"/>
    <w:rsid w:val="0078489C"/>
    <w:rsid w:val="00785F3B"/>
    <w:rsid w:val="00786573"/>
    <w:rsid w:val="0078698E"/>
    <w:rsid w:val="00791CBB"/>
    <w:rsid w:val="00792417"/>
    <w:rsid w:val="007927AF"/>
    <w:rsid w:val="0079382B"/>
    <w:rsid w:val="00794B13"/>
    <w:rsid w:val="00795ABD"/>
    <w:rsid w:val="00795F8A"/>
    <w:rsid w:val="0079680B"/>
    <w:rsid w:val="00796BF4"/>
    <w:rsid w:val="00796CFE"/>
    <w:rsid w:val="00797698"/>
    <w:rsid w:val="00797C32"/>
    <w:rsid w:val="007A1E2F"/>
    <w:rsid w:val="007A2AB1"/>
    <w:rsid w:val="007A2C45"/>
    <w:rsid w:val="007A2E80"/>
    <w:rsid w:val="007A35CC"/>
    <w:rsid w:val="007A377F"/>
    <w:rsid w:val="007A5373"/>
    <w:rsid w:val="007A603F"/>
    <w:rsid w:val="007A658C"/>
    <w:rsid w:val="007A6F32"/>
    <w:rsid w:val="007A754B"/>
    <w:rsid w:val="007B04A7"/>
    <w:rsid w:val="007B10C4"/>
    <w:rsid w:val="007B1342"/>
    <w:rsid w:val="007B1365"/>
    <w:rsid w:val="007B207B"/>
    <w:rsid w:val="007B2353"/>
    <w:rsid w:val="007B4B1E"/>
    <w:rsid w:val="007B4C9D"/>
    <w:rsid w:val="007B53D7"/>
    <w:rsid w:val="007B59BD"/>
    <w:rsid w:val="007B5A47"/>
    <w:rsid w:val="007B6391"/>
    <w:rsid w:val="007C0FA8"/>
    <w:rsid w:val="007C1559"/>
    <w:rsid w:val="007C2555"/>
    <w:rsid w:val="007C295E"/>
    <w:rsid w:val="007C2F98"/>
    <w:rsid w:val="007C347D"/>
    <w:rsid w:val="007C4CF9"/>
    <w:rsid w:val="007C52E1"/>
    <w:rsid w:val="007C5411"/>
    <w:rsid w:val="007C5A8F"/>
    <w:rsid w:val="007C75B2"/>
    <w:rsid w:val="007C7F29"/>
    <w:rsid w:val="007D0F3C"/>
    <w:rsid w:val="007D1175"/>
    <w:rsid w:val="007D1622"/>
    <w:rsid w:val="007D251B"/>
    <w:rsid w:val="007D38D1"/>
    <w:rsid w:val="007D4E88"/>
    <w:rsid w:val="007D54F2"/>
    <w:rsid w:val="007D6412"/>
    <w:rsid w:val="007D6A87"/>
    <w:rsid w:val="007D73A9"/>
    <w:rsid w:val="007D77D5"/>
    <w:rsid w:val="007E1CF4"/>
    <w:rsid w:val="007E3301"/>
    <w:rsid w:val="007E36FF"/>
    <w:rsid w:val="007E4A7D"/>
    <w:rsid w:val="007E4F95"/>
    <w:rsid w:val="007E50AB"/>
    <w:rsid w:val="007E655A"/>
    <w:rsid w:val="007E72AF"/>
    <w:rsid w:val="007F03DF"/>
    <w:rsid w:val="007F288D"/>
    <w:rsid w:val="007F2FB9"/>
    <w:rsid w:val="007F30A8"/>
    <w:rsid w:val="007F3C7B"/>
    <w:rsid w:val="007F3C9F"/>
    <w:rsid w:val="007F428A"/>
    <w:rsid w:val="007F4D33"/>
    <w:rsid w:val="007F6275"/>
    <w:rsid w:val="007F68DA"/>
    <w:rsid w:val="007F7131"/>
    <w:rsid w:val="00800684"/>
    <w:rsid w:val="00800D46"/>
    <w:rsid w:val="00800FD4"/>
    <w:rsid w:val="008037DB"/>
    <w:rsid w:val="00803C15"/>
    <w:rsid w:val="008046C6"/>
    <w:rsid w:val="0080512E"/>
    <w:rsid w:val="00810D4A"/>
    <w:rsid w:val="00812DD3"/>
    <w:rsid w:val="00813BB5"/>
    <w:rsid w:val="0081556A"/>
    <w:rsid w:val="008162A1"/>
    <w:rsid w:val="00816F70"/>
    <w:rsid w:val="00817192"/>
    <w:rsid w:val="0081776A"/>
    <w:rsid w:val="00820AA4"/>
    <w:rsid w:val="0082122D"/>
    <w:rsid w:val="0082129B"/>
    <w:rsid w:val="008221C7"/>
    <w:rsid w:val="00823186"/>
    <w:rsid w:val="00823AFA"/>
    <w:rsid w:val="00823C05"/>
    <w:rsid w:val="00824126"/>
    <w:rsid w:val="00824953"/>
    <w:rsid w:val="00830640"/>
    <w:rsid w:val="00830740"/>
    <w:rsid w:val="00830D33"/>
    <w:rsid w:val="00832045"/>
    <w:rsid w:val="00832E78"/>
    <w:rsid w:val="008337BE"/>
    <w:rsid w:val="008342AB"/>
    <w:rsid w:val="008356B2"/>
    <w:rsid w:val="0083623B"/>
    <w:rsid w:val="0084062A"/>
    <w:rsid w:val="0084086B"/>
    <w:rsid w:val="00840F05"/>
    <w:rsid w:val="00840F22"/>
    <w:rsid w:val="008413C9"/>
    <w:rsid w:val="008420AA"/>
    <w:rsid w:val="00843195"/>
    <w:rsid w:val="00844A7F"/>
    <w:rsid w:val="00844E04"/>
    <w:rsid w:val="00845158"/>
    <w:rsid w:val="00845682"/>
    <w:rsid w:val="0084576C"/>
    <w:rsid w:val="00850545"/>
    <w:rsid w:val="0085086F"/>
    <w:rsid w:val="00851F18"/>
    <w:rsid w:val="0085398C"/>
    <w:rsid w:val="008560B4"/>
    <w:rsid w:val="0085628A"/>
    <w:rsid w:val="00856B62"/>
    <w:rsid w:val="00857014"/>
    <w:rsid w:val="0085709A"/>
    <w:rsid w:val="00857219"/>
    <w:rsid w:val="0085726F"/>
    <w:rsid w:val="00860145"/>
    <w:rsid w:val="00860B1D"/>
    <w:rsid w:val="00860D17"/>
    <w:rsid w:val="0086134D"/>
    <w:rsid w:val="00862E88"/>
    <w:rsid w:val="00863143"/>
    <w:rsid w:val="00864E96"/>
    <w:rsid w:val="008652F5"/>
    <w:rsid w:val="00866434"/>
    <w:rsid w:val="0086716E"/>
    <w:rsid w:val="00867951"/>
    <w:rsid w:val="00871130"/>
    <w:rsid w:val="00871376"/>
    <w:rsid w:val="008729FE"/>
    <w:rsid w:val="00872D87"/>
    <w:rsid w:val="00873208"/>
    <w:rsid w:val="008742C3"/>
    <w:rsid w:val="00874B58"/>
    <w:rsid w:val="00876DFA"/>
    <w:rsid w:val="0087749E"/>
    <w:rsid w:val="0088199B"/>
    <w:rsid w:val="00883E66"/>
    <w:rsid w:val="008841CE"/>
    <w:rsid w:val="00886F6E"/>
    <w:rsid w:val="0088725A"/>
    <w:rsid w:val="00887279"/>
    <w:rsid w:val="00892E5B"/>
    <w:rsid w:val="008938DB"/>
    <w:rsid w:val="00894062"/>
    <w:rsid w:val="00894614"/>
    <w:rsid w:val="00894F9B"/>
    <w:rsid w:val="00895EF8"/>
    <w:rsid w:val="0089627F"/>
    <w:rsid w:val="00897DA3"/>
    <w:rsid w:val="008A0EE3"/>
    <w:rsid w:val="008A159F"/>
    <w:rsid w:val="008A1C30"/>
    <w:rsid w:val="008A2316"/>
    <w:rsid w:val="008A2F0C"/>
    <w:rsid w:val="008A3B88"/>
    <w:rsid w:val="008A40AF"/>
    <w:rsid w:val="008A452D"/>
    <w:rsid w:val="008A68B1"/>
    <w:rsid w:val="008A6B61"/>
    <w:rsid w:val="008A6E17"/>
    <w:rsid w:val="008A79B9"/>
    <w:rsid w:val="008B0530"/>
    <w:rsid w:val="008B24F1"/>
    <w:rsid w:val="008B2D06"/>
    <w:rsid w:val="008B3E19"/>
    <w:rsid w:val="008B3FB9"/>
    <w:rsid w:val="008B42CA"/>
    <w:rsid w:val="008B5355"/>
    <w:rsid w:val="008B5DB7"/>
    <w:rsid w:val="008B79BF"/>
    <w:rsid w:val="008B7B61"/>
    <w:rsid w:val="008C04B5"/>
    <w:rsid w:val="008C1180"/>
    <w:rsid w:val="008C3414"/>
    <w:rsid w:val="008C5EFD"/>
    <w:rsid w:val="008C7014"/>
    <w:rsid w:val="008D0041"/>
    <w:rsid w:val="008D1781"/>
    <w:rsid w:val="008D33B0"/>
    <w:rsid w:val="008D3867"/>
    <w:rsid w:val="008D4E66"/>
    <w:rsid w:val="008D57DC"/>
    <w:rsid w:val="008D5D0B"/>
    <w:rsid w:val="008D5EFB"/>
    <w:rsid w:val="008D6C4B"/>
    <w:rsid w:val="008D6F34"/>
    <w:rsid w:val="008E00F5"/>
    <w:rsid w:val="008E16F0"/>
    <w:rsid w:val="008E1FD0"/>
    <w:rsid w:val="008E2D92"/>
    <w:rsid w:val="008E473F"/>
    <w:rsid w:val="008E4D4E"/>
    <w:rsid w:val="008E4ED8"/>
    <w:rsid w:val="008E5CA5"/>
    <w:rsid w:val="008E5FCA"/>
    <w:rsid w:val="008E7189"/>
    <w:rsid w:val="008E79C2"/>
    <w:rsid w:val="008F1217"/>
    <w:rsid w:val="008F143C"/>
    <w:rsid w:val="008F14DA"/>
    <w:rsid w:val="008F21F0"/>
    <w:rsid w:val="008F2DF8"/>
    <w:rsid w:val="008F5D93"/>
    <w:rsid w:val="008F7C34"/>
    <w:rsid w:val="00900111"/>
    <w:rsid w:val="00903DAD"/>
    <w:rsid w:val="009048D7"/>
    <w:rsid w:val="00905A79"/>
    <w:rsid w:val="0090620E"/>
    <w:rsid w:val="00907044"/>
    <w:rsid w:val="00907829"/>
    <w:rsid w:val="00907E75"/>
    <w:rsid w:val="009106F2"/>
    <w:rsid w:val="00910AB5"/>
    <w:rsid w:val="0091229F"/>
    <w:rsid w:val="00912981"/>
    <w:rsid w:val="0091308A"/>
    <w:rsid w:val="0091416C"/>
    <w:rsid w:val="009142B3"/>
    <w:rsid w:val="009159DD"/>
    <w:rsid w:val="0091727F"/>
    <w:rsid w:val="00917619"/>
    <w:rsid w:val="0092096C"/>
    <w:rsid w:val="00921070"/>
    <w:rsid w:val="009216D4"/>
    <w:rsid w:val="009231FE"/>
    <w:rsid w:val="009238E2"/>
    <w:rsid w:val="0092430C"/>
    <w:rsid w:val="00924F05"/>
    <w:rsid w:val="009255CA"/>
    <w:rsid w:val="00925A47"/>
    <w:rsid w:val="00925D2E"/>
    <w:rsid w:val="00926283"/>
    <w:rsid w:val="0092698A"/>
    <w:rsid w:val="00926F4B"/>
    <w:rsid w:val="00931667"/>
    <w:rsid w:val="009338F7"/>
    <w:rsid w:val="0093444A"/>
    <w:rsid w:val="00934A78"/>
    <w:rsid w:val="00935B20"/>
    <w:rsid w:val="00935F16"/>
    <w:rsid w:val="0093694D"/>
    <w:rsid w:val="009372EF"/>
    <w:rsid w:val="00941222"/>
    <w:rsid w:val="00941683"/>
    <w:rsid w:val="00942AC6"/>
    <w:rsid w:val="009436B1"/>
    <w:rsid w:val="00944164"/>
    <w:rsid w:val="00945BDC"/>
    <w:rsid w:val="009461A8"/>
    <w:rsid w:val="00946390"/>
    <w:rsid w:val="00950157"/>
    <w:rsid w:val="009504C0"/>
    <w:rsid w:val="009526BA"/>
    <w:rsid w:val="009529E9"/>
    <w:rsid w:val="0095358E"/>
    <w:rsid w:val="009569CD"/>
    <w:rsid w:val="009570AA"/>
    <w:rsid w:val="00957490"/>
    <w:rsid w:val="00957519"/>
    <w:rsid w:val="009607B8"/>
    <w:rsid w:val="00960830"/>
    <w:rsid w:val="00960BC6"/>
    <w:rsid w:val="009623F6"/>
    <w:rsid w:val="009626C6"/>
    <w:rsid w:val="009629AB"/>
    <w:rsid w:val="0096354B"/>
    <w:rsid w:val="00963C54"/>
    <w:rsid w:val="00964AC9"/>
    <w:rsid w:val="00964D7C"/>
    <w:rsid w:val="009660E3"/>
    <w:rsid w:val="009668AF"/>
    <w:rsid w:val="00967CD6"/>
    <w:rsid w:val="0097257C"/>
    <w:rsid w:val="00972590"/>
    <w:rsid w:val="00973ADA"/>
    <w:rsid w:val="00973CF0"/>
    <w:rsid w:val="00973DB0"/>
    <w:rsid w:val="00975180"/>
    <w:rsid w:val="00975CE4"/>
    <w:rsid w:val="00976BAE"/>
    <w:rsid w:val="00977E5E"/>
    <w:rsid w:val="009816E5"/>
    <w:rsid w:val="00982B7D"/>
    <w:rsid w:val="00983042"/>
    <w:rsid w:val="00984762"/>
    <w:rsid w:val="00985935"/>
    <w:rsid w:val="00985CC5"/>
    <w:rsid w:val="00985CF6"/>
    <w:rsid w:val="00986748"/>
    <w:rsid w:val="0098780D"/>
    <w:rsid w:val="00990225"/>
    <w:rsid w:val="0099114D"/>
    <w:rsid w:val="00991CD7"/>
    <w:rsid w:val="009940EA"/>
    <w:rsid w:val="009945CE"/>
    <w:rsid w:val="00995B23"/>
    <w:rsid w:val="009961D2"/>
    <w:rsid w:val="009977BA"/>
    <w:rsid w:val="009A0D69"/>
    <w:rsid w:val="009A12CA"/>
    <w:rsid w:val="009A16E5"/>
    <w:rsid w:val="009A1B9F"/>
    <w:rsid w:val="009A478D"/>
    <w:rsid w:val="009A5D03"/>
    <w:rsid w:val="009A6117"/>
    <w:rsid w:val="009A78A6"/>
    <w:rsid w:val="009B0C00"/>
    <w:rsid w:val="009B1E80"/>
    <w:rsid w:val="009B26BC"/>
    <w:rsid w:val="009B497D"/>
    <w:rsid w:val="009B51DD"/>
    <w:rsid w:val="009B5C6B"/>
    <w:rsid w:val="009B6ECE"/>
    <w:rsid w:val="009B7968"/>
    <w:rsid w:val="009B7A69"/>
    <w:rsid w:val="009C01D9"/>
    <w:rsid w:val="009C0679"/>
    <w:rsid w:val="009C2FF5"/>
    <w:rsid w:val="009C46DB"/>
    <w:rsid w:val="009C48F0"/>
    <w:rsid w:val="009C492C"/>
    <w:rsid w:val="009C7E4F"/>
    <w:rsid w:val="009D0496"/>
    <w:rsid w:val="009D14D6"/>
    <w:rsid w:val="009D1555"/>
    <w:rsid w:val="009D222E"/>
    <w:rsid w:val="009D3BBC"/>
    <w:rsid w:val="009D3DF2"/>
    <w:rsid w:val="009D3F34"/>
    <w:rsid w:val="009D446E"/>
    <w:rsid w:val="009D47FF"/>
    <w:rsid w:val="009D76D5"/>
    <w:rsid w:val="009E0DFE"/>
    <w:rsid w:val="009E160C"/>
    <w:rsid w:val="009E2891"/>
    <w:rsid w:val="009E3A6E"/>
    <w:rsid w:val="009E3F57"/>
    <w:rsid w:val="009E48EF"/>
    <w:rsid w:val="009E5638"/>
    <w:rsid w:val="009E6F8F"/>
    <w:rsid w:val="009E7941"/>
    <w:rsid w:val="009F2ED5"/>
    <w:rsid w:val="009F315E"/>
    <w:rsid w:val="009F33FD"/>
    <w:rsid w:val="009F4544"/>
    <w:rsid w:val="009F46FE"/>
    <w:rsid w:val="009F525B"/>
    <w:rsid w:val="009F6F86"/>
    <w:rsid w:val="00A00E73"/>
    <w:rsid w:val="00A01BB5"/>
    <w:rsid w:val="00A03894"/>
    <w:rsid w:val="00A0398D"/>
    <w:rsid w:val="00A03BE6"/>
    <w:rsid w:val="00A03C23"/>
    <w:rsid w:val="00A03E86"/>
    <w:rsid w:val="00A04CD8"/>
    <w:rsid w:val="00A0627B"/>
    <w:rsid w:val="00A07514"/>
    <w:rsid w:val="00A0781E"/>
    <w:rsid w:val="00A101B0"/>
    <w:rsid w:val="00A101D3"/>
    <w:rsid w:val="00A10E5C"/>
    <w:rsid w:val="00A11254"/>
    <w:rsid w:val="00A12130"/>
    <w:rsid w:val="00A135E0"/>
    <w:rsid w:val="00A13859"/>
    <w:rsid w:val="00A16746"/>
    <w:rsid w:val="00A2072B"/>
    <w:rsid w:val="00A21362"/>
    <w:rsid w:val="00A22715"/>
    <w:rsid w:val="00A233E4"/>
    <w:rsid w:val="00A24304"/>
    <w:rsid w:val="00A2558C"/>
    <w:rsid w:val="00A26137"/>
    <w:rsid w:val="00A272B7"/>
    <w:rsid w:val="00A2781F"/>
    <w:rsid w:val="00A30347"/>
    <w:rsid w:val="00A31191"/>
    <w:rsid w:val="00A31986"/>
    <w:rsid w:val="00A31E86"/>
    <w:rsid w:val="00A32E7C"/>
    <w:rsid w:val="00A3448E"/>
    <w:rsid w:val="00A34E85"/>
    <w:rsid w:val="00A3550E"/>
    <w:rsid w:val="00A3699D"/>
    <w:rsid w:val="00A36A81"/>
    <w:rsid w:val="00A377A4"/>
    <w:rsid w:val="00A37CE0"/>
    <w:rsid w:val="00A408F7"/>
    <w:rsid w:val="00A40BDA"/>
    <w:rsid w:val="00A40BDE"/>
    <w:rsid w:val="00A41641"/>
    <w:rsid w:val="00A4164C"/>
    <w:rsid w:val="00A42F61"/>
    <w:rsid w:val="00A454C0"/>
    <w:rsid w:val="00A4580A"/>
    <w:rsid w:val="00A46908"/>
    <w:rsid w:val="00A47652"/>
    <w:rsid w:val="00A50B36"/>
    <w:rsid w:val="00A53307"/>
    <w:rsid w:val="00A54858"/>
    <w:rsid w:val="00A5732D"/>
    <w:rsid w:val="00A577E6"/>
    <w:rsid w:val="00A577ED"/>
    <w:rsid w:val="00A60539"/>
    <w:rsid w:val="00A614ED"/>
    <w:rsid w:val="00A61CEA"/>
    <w:rsid w:val="00A62450"/>
    <w:rsid w:val="00A62A86"/>
    <w:rsid w:val="00A64DC8"/>
    <w:rsid w:val="00A654DB"/>
    <w:rsid w:val="00A66985"/>
    <w:rsid w:val="00A701E0"/>
    <w:rsid w:val="00A7033E"/>
    <w:rsid w:val="00A72EDA"/>
    <w:rsid w:val="00A750A4"/>
    <w:rsid w:val="00A75BD3"/>
    <w:rsid w:val="00A76011"/>
    <w:rsid w:val="00A775EA"/>
    <w:rsid w:val="00A777A0"/>
    <w:rsid w:val="00A778B0"/>
    <w:rsid w:val="00A77F4C"/>
    <w:rsid w:val="00A804EF"/>
    <w:rsid w:val="00A81DCF"/>
    <w:rsid w:val="00A82F78"/>
    <w:rsid w:val="00A873A3"/>
    <w:rsid w:val="00A909D0"/>
    <w:rsid w:val="00A9163F"/>
    <w:rsid w:val="00A922CF"/>
    <w:rsid w:val="00A949D7"/>
    <w:rsid w:val="00A95390"/>
    <w:rsid w:val="00A96102"/>
    <w:rsid w:val="00A961C6"/>
    <w:rsid w:val="00A96F3F"/>
    <w:rsid w:val="00A97D25"/>
    <w:rsid w:val="00AA16D8"/>
    <w:rsid w:val="00AA2EBB"/>
    <w:rsid w:val="00AA30B5"/>
    <w:rsid w:val="00AA346A"/>
    <w:rsid w:val="00AA424E"/>
    <w:rsid w:val="00AA5A51"/>
    <w:rsid w:val="00AA5CE5"/>
    <w:rsid w:val="00AA6592"/>
    <w:rsid w:val="00AB08E0"/>
    <w:rsid w:val="00AB1534"/>
    <w:rsid w:val="00AB2D54"/>
    <w:rsid w:val="00AB3D8F"/>
    <w:rsid w:val="00AB3DB6"/>
    <w:rsid w:val="00AB4A49"/>
    <w:rsid w:val="00AB58AC"/>
    <w:rsid w:val="00AB771B"/>
    <w:rsid w:val="00AB788A"/>
    <w:rsid w:val="00AC096F"/>
    <w:rsid w:val="00AC1787"/>
    <w:rsid w:val="00AC1BFD"/>
    <w:rsid w:val="00AC1CAF"/>
    <w:rsid w:val="00AC2612"/>
    <w:rsid w:val="00AC4ED7"/>
    <w:rsid w:val="00AC584E"/>
    <w:rsid w:val="00AC59C0"/>
    <w:rsid w:val="00AC7DE9"/>
    <w:rsid w:val="00AD0473"/>
    <w:rsid w:val="00AD270D"/>
    <w:rsid w:val="00AD66C9"/>
    <w:rsid w:val="00AD72B9"/>
    <w:rsid w:val="00AE01F9"/>
    <w:rsid w:val="00AE0474"/>
    <w:rsid w:val="00AE1F58"/>
    <w:rsid w:val="00AE2EA1"/>
    <w:rsid w:val="00AE3FC5"/>
    <w:rsid w:val="00AE4237"/>
    <w:rsid w:val="00AE4728"/>
    <w:rsid w:val="00AE508F"/>
    <w:rsid w:val="00AE5213"/>
    <w:rsid w:val="00AE59DC"/>
    <w:rsid w:val="00AF0248"/>
    <w:rsid w:val="00AF1377"/>
    <w:rsid w:val="00AF1973"/>
    <w:rsid w:val="00AF1FD1"/>
    <w:rsid w:val="00AF230B"/>
    <w:rsid w:val="00AF2D51"/>
    <w:rsid w:val="00AF2EF7"/>
    <w:rsid w:val="00AF3403"/>
    <w:rsid w:val="00AF3A40"/>
    <w:rsid w:val="00AF4140"/>
    <w:rsid w:val="00AF5D13"/>
    <w:rsid w:val="00AF5E98"/>
    <w:rsid w:val="00AF6046"/>
    <w:rsid w:val="00AF609F"/>
    <w:rsid w:val="00AF613F"/>
    <w:rsid w:val="00AF6E47"/>
    <w:rsid w:val="00AF7A34"/>
    <w:rsid w:val="00B031A7"/>
    <w:rsid w:val="00B0371D"/>
    <w:rsid w:val="00B03A26"/>
    <w:rsid w:val="00B0642C"/>
    <w:rsid w:val="00B06801"/>
    <w:rsid w:val="00B10750"/>
    <w:rsid w:val="00B111DD"/>
    <w:rsid w:val="00B1431B"/>
    <w:rsid w:val="00B145C4"/>
    <w:rsid w:val="00B14B89"/>
    <w:rsid w:val="00B1672C"/>
    <w:rsid w:val="00B16E21"/>
    <w:rsid w:val="00B177FC"/>
    <w:rsid w:val="00B17ECF"/>
    <w:rsid w:val="00B23C88"/>
    <w:rsid w:val="00B24886"/>
    <w:rsid w:val="00B2561E"/>
    <w:rsid w:val="00B25B7C"/>
    <w:rsid w:val="00B274A9"/>
    <w:rsid w:val="00B27A2F"/>
    <w:rsid w:val="00B312B3"/>
    <w:rsid w:val="00B33029"/>
    <w:rsid w:val="00B3302B"/>
    <w:rsid w:val="00B33D5D"/>
    <w:rsid w:val="00B34B8B"/>
    <w:rsid w:val="00B3538D"/>
    <w:rsid w:val="00B35589"/>
    <w:rsid w:val="00B3587A"/>
    <w:rsid w:val="00B35CE7"/>
    <w:rsid w:val="00B3733F"/>
    <w:rsid w:val="00B3758C"/>
    <w:rsid w:val="00B37F72"/>
    <w:rsid w:val="00B40B12"/>
    <w:rsid w:val="00B41E47"/>
    <w:rsid w:val="00B42CB0"/>
    <w:rsid w:val="00B44C4A"/>
    <w:rsid w:val="00B4714E"/>
    <w:rsid w:val="00B476CC"/>
    <w:rsid w:val="00B4793E"/>
    <w:rsid w:val="00B47C07"/>
    <w:rsid w:val="00B50AAF"/>
    <w:rsid w:val="00B51776"/>
    <w:rsid w:val="00B520F5"/>
    <w:rsid w:val="00B522E9"/>
    <w:rsid w:val="00B53BDF"/>
    <w:rsid w:val="00B54B7F"/>
    <w:rsid w:val="00B56A6A"/>
    <w:rsid w:val="00B57181"/>
    <w:rsid w:val="00B57D10"/>
    <w:rsid w:val="00B6056C"/>
    <w:rsid w:val="00B60BB6"/>
    <w:rsid w:val="00B60C0D"/>
    <w:rsid w:val="00B61A6A"/>
    <w:rsid w:val="00B62EDE"/>
    <w:rsid w:val="00B6306C"/>
    <w:rsid w:val="00B63167"/>
    <w:rsid w:val="00B63355"/>
    <w:rsid w:val="00B63E55"/>
    <w:rsid w:val="00B63E68"/>
    <w:rsid w:val="00B64157"/>
    <w:rsid w:val="00B66490"/>
    <w:rsid w:val="00B66F59"/>
    <w:rsid w:val="00B671AC"/>
    <w:rsid w:val="00B672DF"/>
    <w:rsid w:val="00B67DAD"/>
    <w:rsid w:val="00B67DEF"/>
    <w:rsid w:val="00B67E67"/>
    <w:rsid w:val="00B70E19"/>
    <w:rsid w:val="00B7111B"/>
    <w:rsid w:val="00B73402"/>
    <w:rsid w:val="00B74CEA"/>
    <w:rsid w:val="00B75CC1"/>
    <w:rsid w:val="00B77395"/>
    <w:rsid w:val="00B77874"/>
    <w:rsid w:val="00B8166E"/>
    <w:rsid w:val="00B81C10"/>
    <w:rsid w:val="00B83F73"/>
    <w:rsid w:val="00B84200"/>
    <w:rsid w:val="00B849AE"/>
    <w:rsid w:val="00B8507D"/>
    <w:rsid w:val="00B85F56"/>
    <w:rsid w:val="00B863AB"/>
    <w:rsid w:val="00B86B8C"/>
    <w:rsid w:val="00B90A36"/>
    <w:rsid w:val="00B90DD0"/>
    <w:rsid w:val="00B91099"/>
    <w:rsid w:val="00B912EA"/>
    <w:rsid w:val="00B915DE"/>
    <w:rsid w:val="00B91C28"/>
    <w:rsid w:val="00B91FFA"/>
    <w:rsid w:val="00B92B80"/>
    <w:rsid w:val="00B9307D"/>
    <w:rsid w:val="00B939A6"/>
    <w:rsid w:val="00B94079"/>
    <w:rsid w:val="00B955AA"/>
    <w:rsid w:val="00B96381"/>
    <w:rsid w:val="00B96D42"/>
    <w:rsid w:val="00B96DE9"/>
    <w:rsid w:val="00B970A8"/>
    <w:rsid w:val="00B97677"/>
    <w:rsid w:val="00BA1221"/>
    <w:rsid w:val="00BA1471"/>
    <w:rsid w:val="00BA33D3"/>
    <w:rsid w:val="00BA4B6F"/>
    <w:rsid w:val="00BA60AC"/>
    <w:rsid w:val="00BA6475"/>
    <w:rsid w:val="00BA6F54"/>
    <w:rsid w:val="00BA78AB"/>
    <w:rsid w:val="00BB09D5"/>
    <w:rsid w:val="00BB0C74"/>
    <w:rsid w:val="00BB2E51"/>
    <w:rsid w:val="00BB335A"/>
    <w:rsid w:val="00BB4B3E"/>
    <w:rsid w:val="00BB5186"/>
    <w:rsid w:val="00BB7086"/>
    <w:rsid w:val="00BB71B9"/>
    <w:rsid w:val="00BC156B"/>
    <w:rsid w:val="00BC258D"/>
    <w:rsid w:val="00BC5525"/>
    <w:rsid w:val="00BC5AFC"/>
    <w:rsid w:val="00BC617B"/>
    <w:rsid w:val="00BC638D"/>
    <w:rsid w:val="00BC7A60"/>
    <w:rsid w:val="00BD043D"/>
    <w:rsid w:val="00BD0E81"/>
    <w:rsid w:val="00BD11C3"/>
    <w:rsid w:val="00BD1585"/>
    <w:rsid w:val="00BD17DD"/>
    <w:rsid w:val="00BD27AD"/>
    <w:rsid w:val="00BD4EC8"/>
    <w:rsid w:val="00BE05F0"/>
    <w:rsid w:val="00BE32FF"/>
    <w:rsid w:val="00BE38DD"/>
    <w:rsid w:val="00BE4012"/>
    <w:rsid w:val="00BE4EA0"/>
    <w:rsid w:val="00BE7A4F"/>
    <w:rsid w:val="00BF09F1"/>
    <w:rsid w:val="00BF0DEB"/>
    <w:rsid w:val="00BF1463"/>
    <w:rsid w:val="00BF1A14"/>
    <w:rsid w:val="00BF40D9"/>
    <w:rsid w:val="00BF47DD"/>
    <w:rsid w:val="00BF5078"/>
    <w:rsid w:val="00BF50C3"/>
    <w:rsid w:val="00BF50DE"/>
    <w:rsid w:val="00BF6EFA"/>
    <w:rsid w:val="00C01036"/>
    <w:rsid w:val="00C012EB"/>
    <w:rsid w:val="00C03AE3"/>
    <w:rsid w:val="00C0489B"/>
    <w:rsid w:val="00C04FE7"/>
    <w:rsid w:val="00C05A60"/>
    <w:rsid w:val="00C05AA7"/>
    <w:rsid w:val="00C06426"/>
    <w:rsid w:val="00C074DD"/>
    <w:rsid w:val="00C07DF4"/>
    <w:rsid w:val="00C07E15"/>
    <w:rsid w:val="00C10F0C"/>
    <w:rsid w:val="00C11A81"/>
    <w:rsid w:val="00C12EDB"/>
    <w:rsid w:val="00C147C3"/>
    <w:rsid w:val="00C156BB"/>
    <w:rsid w:val="00C1630E"/>
    <w:rsid w:val="00C17661"/>
    <w:rsid w:val="00C17DCB"/>
    <w:rsid w:val="00C2049E"/>
    <w:rsid w:val="00C204C1"/>
    <w:rsid w:val="00C22DBF"/>
    <w:rsid w:val="00C26259"/>
    <w:rsid w:val="00C27582"/>
    <w:rsid w:val="00C3075A"/>
    <w:rsid w:val="00C31A26"/>
    <w:rsid w:val="00C32788"/>
    <w:rsid w:val="00C35714"/>
    <w:rsid w:val="00C358AA"/>
    <w:rsid w:val="00C35B1D"/>
    <w:rsid w:val="00C3741E"/>
    <w:rsid w:val="00C3780B"/>
    <w:rsid w:val="00C401CC"/>
    <w:rsid w:val="00C40B10"/>
    <w:rsid w:val="00C40D94"/>
    <w:rsid w:val="00C4138E"/>
    <w:rsid w:val="00C4161F"/>
    <w:rsid w:val="00C4163F"/>
    <w:rsid w:val="00C417BC"/>
    <w:rsid w:val="00C417ED"/>
    <w:rsid w:val="00C4229B"/>
    <w:rsid w:val="00C42C52"/>
    <w:rsid w:val="00C42F5E"/>
    <w:rsid w:val="00C436B9"/>
    <w:rsid w:val="00C45159"/>
    <w:rsid w:val="00C461DB"/>
    <w:rsid w:val="00C462E4"/>
    <w:rsid w:val="00C46B18"/>
    <w:rsid w:val="00C47569"/>
    <w:rsid w:val="00C47820"/>
    <w:rsid w:val="00C47AD7"/>
    <w:rsid w:val="00C47D14"/>
    <w:rsid w:val="00C47F3B"/>
    <w:rsid w:val="00C501C9"/>
    <w:rsid w:val="00C5025E"/>
    <w:rsid w:val="00C508B1"/>
    <w:rsid w:val="00C51554"/>
    <w:rsid w:val="00C5386A"/>
    <w:rsid w:val="00C54396"/>
    <w:rsid w:val="00C554B3"/>
    <w:rsid w:val="00C568A5"/>
    <w:rsid w:val="00C60222"/>
    <w:rsid w:val="00C61C5C"/>
    <w:rsid w:val="00C63CDA"/>
    <w:rsid w:val="00C642AC"/>
    <w:rsid w:val="00C64370"/>
    <w:rsid w:val="00C65DE6"/>
    <w:rsid w:val="00C679F2"/>
    <w:rsid w:val="00C70D95"/>
    <w:rsid w:val="00C72595"/>
    <w:rsid w:val="00C72EEC"/>
    <w:rsid w:val="00C739B7"/>
    <w:rsid w:val="00C74DAA"/>
    <w:rsid w:val="00C761FD"/>
    <w:rsid w:val="00C77DCE"/>
    <w:rsid w:val="00C80A29"/>
    <w:rsid w:val="00C810F5"/>
    <w:rsid w:val="00C82F48"/>
    <w:rsid w:val="00C84170"/>
    <w:rsid w:val="00C84369"/>
    <w:rsid w:val="00C8566D"/>
    <w:rsid w:val="00C87B5C"/>
    <w:rsid w:val="00C87EB7"/>
    <w:rsid w:val="00C9000E"/>
    <w:rsid w:val="00C9414A"/>
    <w:rsid w:val="00C94F85"/>
    <w:rsid w:val="00C950A7"/>
    <w:rsid w:val="00C95A01"/>
    <w:rsid w:val="00C96738"/>
    <w:rsid w:val="00C96C2B"/>
    <w:rsid w:val="00CA05FE"/>
    <w:rsid w:val="00CA2B91"/>
    <w:rsid w:val="00CA3210"/>
    <w:rsid w:val="00CA36B3"/>
    <w:rsid w:val="00CA3B48"/>
    <w:rsid w:val="00CA3FBE"/>
    <w:rsid w:val="00CA4B56"/>
    <w:rsid w:val="00CA5AE4"/>
    <w:rsid w:val="00CB0BF8"/>
    <w:rsid w:val="00CB2EE3"/>
    <w:rsid w:val="00CB58B5"/>
    <w:rsid w:val="00CB6910"/>
    <w:rsid w:val="00CB6E82"/>
    <w:rsid w:val="00CB714C"/>
    <w:rsid w:val="00CC06F6"/>
    <w:rsid w:val="00CC09AE"/>
    <w:rsid w:val="00CC16CC"/>
    <w:rsid w:val="00CC234C"/>
    <w:rsid w:val="00CC2993"/>
    <w:rsid w:val="00CC431E"/>
    <w:rsid w:val="00CC5557"/>
    <w:rsid w:val="00CC5DC0"/>
    <w:rsid w:val="00CC62BA"/>
    <w:rsid w:val="00CC6B19"/>
    <w:rsid w:val="00CC77B4"/>
    <w:rsid w:val="00CD04FE"/>
    <w:rsid w:val="00CD0584"/>
    <w:rsid w:val="00CD1383"/>
    <w:rsid w:val="00CD1436"/>
    <w:rsid w:val="00CD25FB"/>
    <w:rsid w:val="00CD4F68"/>
    <w:rsid w:val="00CD5D16"/>
    <w:rsid w:val="00CD63BE"/>
    <w:rsid w:val="00CD713A"/>
    <w:rsid w:val="00CD7FC8"/>
    <w:rsid w:val="00CE00B8"/>
    <w:rsid w:val="00CE10BA"/>
    <w:rsid w:val="00CE178B"/>
    <w:rsid w:val="00CE65EC"/>
    <w:rsid w:val="00CF1C15"/>
    <w:rsid w:val="00CF2B78"/>
    <w:rsid w:val="00CF5AF8"/>
    <w:rsid w:val="00CF716D"/>
    <w:rsid w:val="00D002A4"/>
    <w:rsid w:val="00D009F7"/>
    <w:rsid w:val="00D0198E"/>
    <w:rsid w:val="00D02117"/>
    <w:rsid w:val="00D035B7"/>
    <w:rsid w:val="00D03B3D"/>
    <w:rsid w:val="00D071EF"/>
    <w:rsid w:val="00D104C0"/>
    <w:rsid w:val="00D1254A"/>
    <w:rsid w:val="00D12939"/>
    <w:rsid w:val="00D13F91"/>
    <w:rsid w:val="00D145F6"/>
    <w:rsid w:val="00D151A6"/>
    <w:rsid w:val="00D1615B"/>
    <w:rsid w:val="00D17403"/>
    <w:rsid w:val="00D215DF"/>
    <w:rsid w:val="00D22219"/>
    <w:rsid w:val="00D22506"/>
    <w:rsid w:val="00D23936"/>
    <w:rsid w:val="00D2433E"/>
    <w:rsid w:val="00D24505"/>
    <w:rsid w:val="00D25D01"/>
    <w:rsid w:val="00D26A27"/>
    <w:rsid w:val="00D26E40"/>
    <w:rsid w:val="00D27617"/>
    <w:rsid w:val="00D27F20"/>
    <w:rsid w:val="00D31280"/>
    <w:rsid w:val="00D316C0"/>
    <w:rsid w:val="00D321CE"/>
    <w:rsid w:val="00D32B1B"/>
    <w:rsid w:val="00D32F33"/>
    <w:rsid w:val="00D3306E"/>
    <w:rsid w:val="00D33088"/>
    <w:rsid w:val="00D3366F"/>
    <w:rsid w:val="00D33E60"/>
    <w:rsid w:val="00D3413B"/>
    <w:rsid w:val="00D36398"/>
    <w:rsid w:val="00D407E6"/>
    <w:rsid w:val="00D40B02"/>
    <w:rsid w:val="00D41776"/>
    <w:rsid w:val="00D41C91"/>
    <w:rsid w:val="00D41F94"/>
    <w:rsid w:val="00D42382"/>
    <w:rsid w:val="00D42CD4"/>
    <w:rsid w:val="00D42E62"/>
    <w:rsid w:val="00D434FE"/>
    <w:rsid w:val="00D466DD"/>
    <w:rsid w:val="00D4685A"/>
    <w:rsid w:val="00D4764C"/>
    <w:rsid w:val="00D47773"/>
    <w:rsid w:val="00D50AF5"/>
    <w:rsid w:val="00D50C42"/>
    <w:rsid w:val="00D51AC6"/>
    <w:rsid w:val="00D533D7"/>
    <w:rsid w:val="00D53410"/>
    <w:rsid w:val="00D54BA7"/>
    <w:rsid w:val="00D55192"/>
    <w:rsid w:val="00D554D4"/>
    <w:rsid w:val="00D573AC"/>
    <w:rsid w:val="00D57D46"/>
    <w:rsid w:val="00D60E09"/>
    <w:rsid w:val="00D6128E"/>
    <w:rsid w:val="00D61B87"/>
    <w:rsid w:val="00D641C1"/>
    <w:rsid w:val="00D65CB4"/>
    <w:rsid w:val="00D679CE"/>
    <w:rsid w:val="00D7036B"/>
    <w:rsid w:val="00D72519"/>
    <w:rsid w:val="00D7315F"/>
    <w:rsid w:val="00D732BA"/>
    <w:rsid w:val="00D73591"/>
    <w:rsid w:val="00D74F84"/>
    <w:rsid w:val="00D76ED4"/>
    <w:rsid w:val="00D77307"/>
    <w:rsid w:val="00D776A2"/>
    <w:rsid w:val="00D778D1"/>
    <w:rsid w:val="00D77A65"/>
    <w:rsid w:val="00D77DAC"/>
    <w:rsid w:val="00D801EB"/>
    <w:rsid w:val="00D80A9F"/>
    <w:rsid w:val="00D817CA"/>
    <w:rsid w:val="00D828B9"/>
    <w:rsid w:val="00D83199"/>
    <w:rsid w:val="00D8396E"/>
    <w:rsid w:val="00D84CE2"/>
    <w:rsid w:val="00D86CF7"/>
    <w:rsid w:val="00D8741D"/>
    <w:rsid w:val="00D8785D"/>
    <w:rsid w:val="00D90CE1"/>
    <w:rsid w:val="00D91D10"/>
    <w:rsid w:val="00D93169"/>
    <w:rsid w:val="00D95210"/>
    <w:rsid w:val="00D95B9F"/>
    <w:rsid w:val="00D963B5"/>
    <w:rsid w:val="00D96F38"/>
    <w:rsid w:val="00D972C5"/>
    <w:rsid w:val="00DA0346"/>
    <w:rsid w:val="00DA1581"/>
    <w:rsid w:val="00DA15D9"/>
    <w:rsid w:val="00DA332C"/>
    <w:rsid w:val="00DA3380"/>
    <w:rsid w:val="00DA37E1"/>
    <w:rsid w:val="00DA4271"/>
    <w:rsid w:val="00DA4CD4"/>
    <w:rsid w:val="00DA5615"/>
    <w:rsid w:val="00DA59C4"/>
    <w:rsid w:val="00DA5BBB"/>
    <w:rsid w:val="00DA77F5"/>
    <w:rsid w:val="00DB0D88"/>
    <w:rsid w:val="00DB1F25"/>
    <w:rsid w:val="00DB4457"/>
    <w:rsid w:val="00DB6347"/>
    <w:rsid w:val="00DB7D7D"/>
    <w:rsid w:val="00DC14B2"/>
    <w:rsid w:val="00DC199B"/>
    <w:rsid w:val="00DC3AEC"/>
    <w:rsid w:val="00DC3BED"/>
    <w:rsid w:val="00DC3ED4"/>
    <w:rsid w:val="00DC447E"/>
    <w:rsid w:val="00DD003A"/>
    <w:rsid w:val="00DD0423"/>
    <w:rsid w:val="00DD0837"/>
    <w:rsid w:val="00DD0D65"/>
    <w:rsid w:val="00DD0DD8"/>
    <w:rsid w:val="00DD17B2"/>
    <w:rsid w:val="00DD231C"/>
    <w:rsid w:val="00DD24A6"/>
    <w:rsid w:val="00DD29C2"/>
    <w:rsid w:val="00DD3365"/>
    <w:rsid w:val="00DD40FC"/>
    <w:rsid w:val="00DD556D"/>
    <w:rsid w:val="00DD60CE"/>
    <w:rsid w:val="00DD66F7"/>
    <w:rsid w:val="00DD69EE"/>
    <w:rsid w:val="00DD6CF1"/>
    <w:rsid w:val="00DE248E"/>
    <w:rsid w:val="00DE2BEC"/>
    <w:rsid w:val="00DE3ADA"/>
    <w:rsid w:val="00DE4A08"/>
    <w:rsid w:val="00DE4C39"/>
    <w:rsid w:val="00DE5164"/>
    <w:rsid w:val="00DE62AC"/>
    <w:rsid w:val="00DF098C"/>
    <w:rsid w:val="00DF0B38"/>
    <w:rsid w:val="00DF0CF7"/>
    <w:rsid w:val="00DF207D"/>
    <w:rsid w:val="00DF2208"/>
    <w:rsid w:val="00DF34A5"/>
    <w:rsid w:val="00DF67E4"/>
    <w:rsid w:val="00E00DC5"/>
    <w:rsid w:val="00E00F2E"/>
    <w:rsid w:val="00E02D9F"/>
    <w:rsid w:val="00E04571"/>
    <w:rsid w:val="00E04B4A"/>
    <w:rsid w:val="00E05941"/>
    <w:rsid w:val="00E061ED"/>
    <w:rsid w:val="00E06833"/>
    <w:rsid w:val="00E06B08"/>
    <w:rsid w:val="00E07B42"/>
    <w:rsid w:val="00E07FC0"/>
    <w:rsid w:val="00E113C0"/>
    <w:rsid w:val="00E12B22"/>
    <w:rsid w:val="00E13E01"/>
    <w:rsid w:val="00E151DF"/>
    <w:rsid w:val="00E15C29"/>
    <w:rsid w:val="00E16469"/>
    <w:rsid w:val="00E16B21"/>
    <w:rsid w:val="00E17693"/>
    <w:rsid w:val="00E17B7A"/>
    <w:rsid w:val="00E17D68"/>
    <w:rsid w:val="00E2079A"/>
    <w:rsid w:val="00E22A19"/>
    <w:rsid w:val="00E22D50"/>
    <w:rsid w:val="00E23793"/>
    <w:rsid w:val="00E24A63"/>
    <w:rsid w:val="00E25758"/>
    <w:rsid w:val="00E26D2D"/>
    <w:rsid w:val="00E27C8A"/>
    <w:rsid w:val="00E30A0F"/>
    <w:rsid w:val="00E30F67"/>
    <w:rsid w:val="00E321D2"/>
    <w:rsid w:val="00E330B8"/>
    <w:rsid w:val="00E33194"/>
    <w:rsid w:val="00E3347A"/>
    <w:rsid w:val="00E34A2F"/>
    <w:rsid w:val="00E35072"/>
    <w:rsid w:val="00E35D21"/>
    <w:rsid w:val="00E3672F"/>
    <w:rsid w:val="00E36BB1"/>
    <w:rsid w:val="00E37338"/>
    <w:rsid w:val="00E4378B"/>
    <w:rsid w:val="00E43969"/>
    <w:rsid w:val="00E44103"/>
    <w:rsid w:val="00E441F8"/>
    <w:rsid w:val="00E44DE7"/>
    <w:rsid w:val="00E4515B"/>
    <w:rsid w:val="00E4681D"/>
    <w:rsid w:val="00E47964"/>
    <w:rsid w:val="00E51CB3"/>
    <w:rsid w:val="00E51D65"/>
    <w:rsid w:val="00E523E7"/>
    <w:rsid w:val="00E535D3"/>
    <w:rsid w:val="00E545B5"/>
    <w:rsid w:val="00E554BF"/>
    <w:rsid w:val="00E55A54"/>
    <w:rsid w:val="00E55AA7"/>
    <w:rsid w:val="00E56AC3"/>
    <w:rsid w:val="00E61C75"/>
    <w:rsid w:val="00E62255"/>
    <w:rsid w:val="00E64611"/>
    <w:rsid w:val="00E65D97"/>
    <w:rsid w:val="00E66C90"/>
    <w:rsid w:val="00E674E3"/>
    <w:rsid w:val="00E7025F"/>
    <w:rsid w:val="00E7044F"/>
    <w:rsid w:val="00E73B94"/>
    <w:rsid w:val="00E744D4"/>
    <w:rsid w:val="00E751FC"/>
    <w:rsid w:val="00E77D1E"/>
    <w:rsid w:val="00E80DE0"/>
    <w:rsid w:val="00E815BF"/>
    <w:rsid w:val="00E82F00"/>
    <w:rsid w:val="00E83F44"/>
    <w:rsid w:val="00E842A7"/>
    <w:rsid w:val="00E85184"/>
    <w:rsid w:val="00E87315"/>
    <w:rsid w:val="00E91725"/>
    <w:rsid w:val="00E960D8"/>
    <w:rsid w:val="00E975C8"/>
    <w:rsid w:val="00EA0C18"/>
    <w:rsid w:val="00EA0F8D"/>
    <w:rsid w:val="00EA0FFC"/>
    <w:rsid w:val="00EA1303"/>
    <w:rsid w:val="00EA1E6D"/>
    <w:rsid w:val="00EA2DC2"/>
    <w:rsid w:val="00EA31DA"/>
    <w:rsid w:val="00EA553D"/>
    <w:rsid w:val="00EA6127"/>
    <w:rsid w:val="00EA61AB"/>
    <w:rsid w:val="00EB08A8"/>
    <w:rsid w:val="00EB0F8E"/>
    <w:rsid w:val="00EB273A"/>
    <w:rsid w:val="00EB2F96"/>
    <w:rsid w:val="00EB3ED7"/>
    <w:rsid w:val="00EB514C"/>
    <w:rsid w:val="00EB5472"/>
    <w:rsid w:val="00EB65B7"/>
    <w:rsid w:val="00EB6848"/>
    <w:rsid w:val="00EB6D76"/>
    <w:rsid w:val="00EB7517"/>
    <w:rsid w:val="00EB7F85"/>
    <w:rsid w:val="00EC0484"/>
    <w:rsid w:val="00EC3AAD"/>
    <w:rsid w:val="00EC56F4"/>
    <w:rsid w:val="00EC6EE3"/>
    <w:rsid w:val="00EC734F"/>
    <w:rsid w:val="00ED10AC"/>
    <w:rsid w:val="00ED2413"/>
    <w:rsid w:val="00ED2A13"/>
    <w:rsid w:val="00ED3319"/>
    <w:rsid w:val="00ED54BD"/>
    <w:rsid w:val="00ED6D8D"/>
    <w:rsid w:val="00EE09FB"/>
    <w:rsid w:val="00EE1623"/>
    <w:rsid w:val="00EE32B4"/>
    <w:rsid w:val="00EE356A"/>
    <w:rsid w:val="00EE4796"/>
    <w:rsid w:val="00EE5C5B"/>
    <w:rsid w:val="00EE72E3"/>
    <w:rsid w:val="00EE7D4C"/>
    <w:rsid w:val="00EF150A"/>
    <w:rsid w:val="00EF1AFD"/>
    <w:rsid w:val="00EF2FF3"/>
    <w:rsid w:val="00EF52AC"/>
    <w:rsid w:val="00EF5BEE"/>
    <w:rsid w:val="00EF7981"/>
    <w:rsid w:val="00F01591"/>
    <w:rsid w:val="00F01765"/>
    <w:rsid w:val="00F03AE6"/>
    <w:rsid w:val="00F04838"/>
    <w:rsid w:val="00F04A00"/>
    <w:rsid w:val="00F05A6F"/>
    <w:rsid w:val="00F060C4"/>
    <w:rsid w:val="00F0615A"/>
    <w:rsid w:val="00F061BB"/>
    <w:rsid w:val="00F06489"/>
    <w:rsid w:val="00F06A65"/>
    <w:rsid w:val="00F11EE2"/>
    <w:rsid w:val="00F1239D"/>
    <w:rsid w:val="00F12FC3"/>
    <w:rsid w:val="00F13136"/>
    <w:rsid w:val="00F16D88"/>
    <w:rsid w:val="00F17F15"/>
    <w:rsid w:val="00F201D6"/>
    <w:rsid w:val="00F20C6C"/>
    <w:rsid w:val="00F215CC"/>
    <w:rsid w:val="00F21B80"/>
    <w:rsid w:val="00F22BC7"/>
    <w:rsid w:val="00F2444C"/>
    <w:rsid w:val="00F25165"/>
    <w:rsid w:val="00F25660"/>
    <w:rsid w:val="00F26AD1"/>
    <w:rsid w:val="00F26AF7"/>
    <w:rsid w:val="00F270BF"/>
    <w:rsid w:val="00F271DB"/>
    <w:rsid w:val="00F27E9B"/>
    <w:rsid w:val="00F30D80"/>
    <w:rsid w:val="00F31E07"/>
    <w:rsid w:val="00F32205"/>
    <w:rsid w:val="00F37BBC"/>
    <w:rsid w:val="00F37D96"/>
    <w:rsid w:val="00F40707"/>
    <w:rsid w:val="00F40BF6"/>
    <w:rsid w:val="00F40D14"/>
    <w:rsid w:val="00F42CC9"/>
    <w:rsid w:val="00F438A9"/>
    <w:rsid w:val="00F44F6D"/>
    <w:rsid w:val="00F45C0A"/>
    <w:rsid w:val="00F45D2B"/>
    <w:rsid w:val="00F4685C"/>
    <w:rsid w:val="00F46D4F"/>
    <w:rsid w:val="00F47121"/>
    <w:rsid w:val="00F47295"/>
    <w:rsid w:val="00F47898"/>
    <w:rsid w:val="00F519AB"/>
    <w:rsid w:val="00F53623"/>
    <w:rsid w:val="00F53C88"/>
    <w:rsid w:val="00F55F2C"/>
    <w:rsid w:val="00F578F4"/>
    <w:rsid w:val="00F60840"/>
    <w:rsid w:val="00F60C2C"/>
    <w:rsid w:val="00F61ACE"/>
    <w:rsid w:val="00F62E93"/>
    <w:rsid w:val="00F6379D"/>
    <w:rsid w:val="00F63F30"/>
    <w:rsid w:val="00F64103"/>
    <w:rsid w:val="00F6494D"/>
    <w:rsid w:val="00F650A5"/>
    <w:rsid w:val="00F665AC"/>
    <w:rsid w:val="00F66AD0"/>
    <w:rsid w:val="00F676C6"/>
    <w:rsid w:val="00F67D3F"/>
    <w:rsid w:val="00F70622"/>
    <w:rsid w:val="00F71824"/>
    <w:rsid w:val="00F71E60"/>
    <w:rsid w:val="00F73377"/>
    <w:rsid w:val="00F74263"/>
    <w:rsid w:val="00F76388"/>
    <w:rsid w:val="00F76865"/>
    <w:rsid w:val="00F76931"/>
    <w:rsid w:val="00F82399"/>
    <w:rsid w:val="00F82554"/>
    <w:rsid w:val="00F82655"/>
    <w:rsid w:val="00F83A56"/>
    <w:rsid w:val="00F8475A"/>
    <w:rsid w:val="00F84FF2"/>
    <w:rsid w:val="00F86D9A"/>
    <w:rsid w:val="00F87429"/>
    <w:rsid w:val="00F87DF5"/>
    <w:rsid w:val="00F9023C"/>
    <w:rsid w:val="00F9097C"/>
    <w:rsid w:val="00F92000"/>
    <w:rsid w:val="00F926E9"/>
    <w:rsid w:val="00F9452F"/>
    <w:rsid w:val="00F95DA1"/>
    <w:rsid w:val="00F96B69"/>
    <w:rsid w:val="00FA17D4"/>
    <w:rsid w:val="00FA226E"/>
    <w:rsid w:val="00FA2F3A"/>
    <w:rsid w:val="00FA395D"/>
    <w:rsid w:val="00FA4A0D"/>
    <w:rsid w:val="00FA6345"/>
    <w:rsid w:val="00FA6AA5"/>
    <w:rsid w:val="00FA6FAB"/>
    <w:rsid w:val="00FA7CA7"/>
    <w:rsid w:val="00FB06FC"/>
    <w:rsid w:val="00FB2E50"/>
    <w:rsid w:val="00FB4FAB"/>
    <w:rsid w:val="00FC02A5"/>
    <w:rsid w:val="00FC02F4"/>
    <w:rsid w:val="00FC0C26"/>
    <w:rsid w:val="00FC1B74"/>
    <w:rsid w:val="00FC2DEA"/>
    <w:rsid w:val="00FC3716"/>
    <w:rsid w:val="00FC3EB3"/>
    <w:rsid w:val="00FC4D56"/>
    <w:rsid w:val="00FC60E1"/>
    <w:rsid w:val="00FC60FF"/>
    <w:rsid w:val="00FC6BEA"/>
    <w:rsid w:val="00FC7FBC"/>
    <w:rsid w:val="00FD0ECD"/>
    <w:rsid w:val="00FD0FE0"/>
    <w:rsid w:val="00FD1784"/>
    <w:rsid w:val="00FD1D74"/>
    <w:rsid w:val="00FD538E"/>
    <w:rsid w:val="00FD58F6"/>
    <w:rsid w:val="00FD5999"/>
    <w:rsid w:val="00FD7369"/>
    <w:rsid w:val="00FE0821"/>
    <w:rsid w:val="00FE1E5E"/>
    <w:rsid w:val="00FE2DFE"/>
    <w:rsid w:val="00FE329D"/>
    <w:rsid w:val="00FE7748"/>
    <w:rsid w:val="00FF2058"/>
    <w:rsid w:val="00FF2329"/>
    <w:rsid w:val="00FF3D11"/>
    <w:rsid w:val="00FF4CB8"/>
    <w:rsid w:val="00FF4DA6"/>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2C634"/>
  <w15:docId w15:val="{400A5373-F9F7-457C-9A6C-A2EC276CB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E34A2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C3D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09014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09014A"/>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 w:type="paragraph" w:styleId="Poprawka">
    <w:name w:val="Revision"/>
    <w:hidden/>
    <w:uiPriority w:val="99"/>
    <w:semiHidden/>
    <w:rsid w:val="003B2B91"/>
    <w:pPr>
      <w:spacing w:after="0" w:line="240" w:lineRule="auto"/>
    </w:pPr>
  </w:style>
  <w:style w:type="character" w:styleId="Odwoaniedokomentarza">
    <w:name w:val="annotation reference"/>
    <w:basedOn w:val="Domylnaczcionkaakapitu"/>
    <w:uiPriority w:val="99"/>
    <w:semiHidden/>
    <w:unhideWhenUsed/>
    <w:rsid w:val="003B2B91"/>
    <w:rPr>
      <w:sz w:val="16"/>
      <w:szCs w:val="16"/>
    </w:rPr>
  </w:style>
  <w:style w:type="paragraph" w:styleId="Tekstkomentarza">
    <w:name w:val="annotation text"/>
    <w:basedOn w:val="Normalny"/>
    <w:link w:val="TekstkomentarzaZnak"/>
    <w:uiPriority w:val="99"/>
    <w:unhideWhenUsed/>
    <w:rsid w:val="003B2B91"/>
    <w:rPr>
      <w:sz w:val="20"/>
      <w:szCs w:val="20"/>
    </w:rPr>
  </w:style>
  <w:style w:type="character" w:customStyle="1" w:styleId="TekstkomentarzaZnak">
    <w:name w:val="Tekst komentarza Znak"/>
    <w:basedOn w:val="Domylnaczcionkaakapitu"/>
    <w:link w:val="Tekstkomentarza"/>
    <w:uiPriority w:val="99"/>
    <w:rsid w:val="003B2B91"/>
    <w:rPr>
      <w:sz w:val="20"/>
      <w:szCs w:val="20"/>
    </w:rPr>
  </w:style>
  <w:style w:type="paragraph" w:styleId="Tematkomentarza">
    <w:name w:val="annotation subject"/>
    <w:basedOn w:val="Tekstkomentarza"/>
    <w:next w:val="Tekstkomentarza"/>
    <w:link w:val="TematkomentarzaZnak"/>
    <w:uiPriority w:val="99"/>
    <w:semiHidden/>
    <w:unhideWhenUsed/>
    <w:rsid w:val="003B2B91"/>
    <w:rPr>
      <w:b/>
      <w:bCs/>
    </w:rPr>
  </w:style>
  <w:style w:type="character" w:customStyle="1" w:styleId="TematkomentarzaZnak">
    <w:name w:val="Temat komentarza Znak"/>
    <w:basedOn w:val="TekstkomentarzaZnak"/>
    <w:link w:val="Tematkomentarza"/>
    <w:uiPriority w:val="99"/>
    <w:semiHidden/>
    <w:rsid w:val="003B2B91"/>
    <w:rPr>
      <w:b/>
      <w:bCs/>
      <w:sz w:val="20"/>
      <w:szCs w:val="20"/>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B2B91"/>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E58B9"/>
  </w:style>
  <w:style w:type="character" w:styleId="Nierozpoznanawzmianka">
    <w:name w:val="Unresolved Mention"/>
    <w:basedOn w:val="Domylnaczcionkaakapitu"/>
    <w:uiPriority w:val="99"/>
    <w:rsid w:val="00E842A7"/>
    <w:rPr>
      <w:color w:val="605E5C"/>
      <w:shd w:val="clear" w:color="auto" w:fill="E1DFDD"/>
    </w:rPr>
  </w:style>
  <w:style w:type="character" w:customStyle="1" w:styleId="Nagwek1Znak">
    <w:name w:val="Nagłówek 1 Znak"/>
    <w:basedOn w:val="Domylnaczcionkaakapitu"/>
    <w:link w:val="Nagwek1"/>
    <w:uiPriority w:val="9"/>
    <w:rsid w:val="004C3DF2"/>
    <w:rPr>
      <w:rFonts w:asciiTheme="majorHAnsi" w:eastAsiaTheme="majorEastAsia" w:hAnsiTheme="majorHAnsi" w:cstheme="majorBidi"/>
      <w:color w:val="2E74B5" w:themeColor="accent1" w:themeShade="BF"/>
      <w:sz w:val="32"/>
      <w:szCs w:val="32"/>
    </w:rPr>
  </w:style>
  <w:style w:type="paragraph" w:styleId="NormalnyWeb">
    <w:name w:val="Normal (Web)"/>
    <w:basedOn w:val="Normalny"/>
    <w:uiPriority w:val="99"/>
    <w:semiHidden/>
    <w:unhideWhenUsed/>
    <w:rsid w:val="00F84FF2"/>
  </w:style>
  <w:style w:type="paragraph" w:styleId="Tekstprzypisukocowego">
    <w:name w:val="endnote text"/>
    <w:basedOn w:val="Normalny"/>
    <w:link w:val="TekstprzypisukocowegoZnak"/>
    <w:uiPriority w:val="99"/>
    <w:semiHidden/>
    <w:unhideWhenUsed/>
    <w:rsid w:val="00202AE4"/>
    <w:rPr>
      <w:sz w:val="20"/>
      <w:szCs w:val="20"/>
    </w:rPr>
  </w:style>
  <w:style w:type="character" w:customStyle="1" w:styleId="TekstprzypisukocowegoZnak">
    <w:name w:val="Tekst przypisu końcowego Znak"/>
    <w:basedOn w:val="Domylnaczcionkaakapitu"/>
    <w:link w:val="Tekstprzypisukocowego"/>
    <w:uiPriority w:val="99"/>
    <w:semiHidden/>
    <w:rsid w:val="00202AE4"/>
    <w:rPr>
      <w:sz w:val="20"/>
      <w:szCs w:val="20"/>
    </w:rPr>
  </w:style>
  <w:style w:type="character" w:styleId="Odwoanieprzypisukocowego">
    <w:name w:val="endnote reference"/>
    <w:basedOn w:val="Domylnaczcionkaakapitu"/>
    <w:uiPriority w:val="99"/>
    <w:semiHidden/>
    <w:unhideWhenUsed/>
    <w:rsid w:val="00202AE4"/>
    <w:rPr>
      <w:vertAlign w:val="superscript"/>
    </w:rPr>
  </w:style>
  <w:style w:type="paragraph" w:customStyle="1" w:styleId="Default">
    <w:name w:val="Default"/>
    <w:rsid w:val="00E2079A"/>
    <w:pPr>
      <w:autoSpaceDE w:val="0"/>
      <w:autoSpaceDN w:val="0"/>
      <w:adjustRightInd w:val="0"/>
      <w:spacing w:after="0" w:line="240" w:lineRule="auto"/>
    </w:pPr>
    <w:rPr>
      <w:rFonts w:ascii="Arial" w:hAnsi="Arial" w:cs="Arial"/>
      <w:color w:val="000000"/>
      <w:sz w:val="24"/>
      <w:szCs w:val="24"/>
    </w:rPr>
  </w:style>
  <w:style w:type="paragraph" w:styleId="Bezodstpw">
    <w:name w:val="No Spacing"/>
    <w:uiPriority w:val="1"/>
    <w:qFormat/>
    <w:rsid w:val="00A12130"/>
    <w:pPr>
      <w:spacing w:after="0" w:line="240" w:lineRule="auto"/>
    </w:pPr>
    <w:rPr>
      <w:rFonts w:ascii="Calibri" w:eastAsia="Calibri" w:hAnsi="Calibri" w:cs="Times New Roman"/>
    </w:rPr>
  </w:style>
  <w:style w:type="paragraph" w:styleId="Tekstpodstawowy2">
    <w:name w:val="Body Text 2"/>
    <w:basedOn w:val="Normalny"/>
    <w:link w:val="Tekstpodstawowy2Znak"/>
    <w:unhideWhenUsed/>
    <w:rsid w:val="00A12130"/>
    <w:pPr>
      <w:spacing w:after="120" w:line="480" w:lineRule="auto"/>
    </w:pPr>
  </w:style>
  <w:style w:type="character" w:customStyle="1" w:styleId="Tekstpodstawowy2Znak">
    <w:name w:val="Tekst podstawowy 2 Znak"/>
    <w:basedOn w:val="Domylnaczcionkaakapitu"/>
    <w:link w:val="Tekstpodstawowy2"/>
    <w:rsid w:val="00A12130"/>
    <w:rPr>
      <w:rFonts w:ascii="Times New Roman" w:eastAsia="Times New Roman" w:hAnsi="Times New Roman" w:cs="Times New Roman"/>
      <w:sz w:val="24"/>
      <w:szCs w:val="24"/>
      <w:lang w:eastAsia="pl-PL"/>
    </w:rPr>
  </w:style>
  <w:style w:type="character" w:customStyle="1" w:styleId="info-list-value-uzasadnienie">
    <w:name w:val="info-list-value-uzasadnienie"/>
    <w:rsid w:val="00A12130"/>
  </w:style>
  <w:style w:type="character" w:customStyle="1" w:styleId="Teksttreci">
    <w:name w:val="Tekst treści_"/>
    <w:basedOn w:val="Domylnaczcionkaakapitu"/>
    <w:link w:val="Teksttreci0"/>
    <w:uiPriority w:val="99"/>
    <w:rsid w:val="00A12130"/>
    <w:rPr>
      <w:sz w:val="23"/>
      <w:szCs w:val="23"/>
      <w:shd w:val="clear" w:color="auto" w:fill="FFFFFF"/>
    </w:rPr>
  </w:style>
  <w:style w:type="paragraph" w:customStyle="1" w:styleId="Teksttreci0">
    <w:name w:val="Tekst treści"/>
    <w:basedOn w:val="Normalny"/>
    <w:link w:val="Teksttreci"/>
    <w:uiPriority w:val="99"/>
    <w:rsid w:val="00A12130"/>
    <w:pPr>
      <w:shd w:val="clear" w:color="auto" w:fill="FFFFFF"/>
      <w:spacing w:before="60" w:after="60" w:line="0" w:lineRule="atLeast"/>
      <w:ind w:hanging="460"/>
    </w:pPr>
    <w:rPr>
      <w:rFonts w:asciiTheme="minorHAnsi" w:eastAsiaTheme="minorHAnsi" w:hAnsiTheme="minorHAnsi" w:cstheme="minorBidi"/>
      <w:sz w:val="23"/>
      <w:szCs w:val="23"/>
      <w:lang w:eastAsia="en-US"/>
    </w:rPr>
  </w:style>
  <w:style w:type="character" w:customStyle="1" w:styleId="Teksttreci2">
    <w:name w:val="Tekst treści (2)_"/>
    <w:link w:val="Teksttreci20"/>
    <w:rsid w:val="00A12130"/>
    <w:rPr>
      <w:b/>
      <w:bCs/>
      <w:shd w:val="clear" w:color="auto" w:fill="FFFFFF"/>
    </w:rPr>
  </w:style>
  <w:style w:type="paragraph" w:customStyle="1" w:styleId="Teksttreci20">
    <w:name w:val="Tekst treści (2)"/>
    <w:basedOn w:val="Normalny"/>
    <w:link w:val="Teksttreci2"/>
    <w:rsid w:val="00A12130"/>
    <w:pPr>
      <w:widowControl w:val="0"/>
      <w:shd w:val="clear" w:color="auto" w:fill="FFFFFF"/>
      <w:spacing w:after="60" w:line="0" w:lineRule="atLeast"/>
      <w:jc w:val="center"/>
    </w:pPr>
    <w:rPr>
      <w:rFonts w:asciiTheme="minorHAnsi" w:eastAsiaTheme="minorHAnsi" w:hAnsiTheme="minorHAnsi" w:cstheme="minorBidi"/>
      <w:b/>
      <w:bCs/>
      <w:sz w:val="22"/>
      <w:szCs w:val="22"/>
      <w:lang w:eastAsia="en-US"/>
    </w:rPr>
  </w:style>
  <w:style w:type="paragraph" w:customStyle="1" w:styleId="Teksttreci1">
    <w:name w:val="Tekst treści1"/>
    <w:basedOn w:val="Normalny"/>
    <w:uiPriority w:val="99"/>
    <w:rsid w:val="00A12130"/>
    <w:pPr>
      <w:widowControl w:val="0"/>
      <w:shd w:val="clear" w:color="auto" w:fill="FFFFFF"/>
      <w:spacing w:line="240" w:lineRule="exact"/>
    </w:pPr>
    <w:rPr>
      <w:rFonts w:ascii="Arial" w:hAnsi="Arial" w:cs="Arial"/>
      <w:sz w:val="20"/>
      <w:szCs w:val="20"/>
    </w:rPr>
  </w:style>
  <w:style w:type="character" w:styleId="Pogrubienie">
    <w:name w:val="Strong"/>
    <w:basedOn w:val="Domylnaczcionkaakapitu"/>
    <w:uiPriority w:val="22"/>
    <w:qFormat/>
    <w:rsid w:val="00A12130"/>
    <w:rPr>
      <w:b/>
      <w:bCs/>
    </w:rPr>
  </w:style>
  <w:style w:type="character" w:customStyle="1" w:styleId="Nagwek2Znak">
    <w:name w:val="Nagłówek 2 Znak"/>
    <w:basedOn w:val="Domylnaczcionkaakapitu"/>
    <w:link w:val="Nagwek2"/>
    <w:uiPriority w:val="9"/>
    <w:rsid w:val="0009014A"/>
    <w:rPr>
      <w:rFonts w:asciiTheme="majorHAnsi" w:eastAsiaTheme="majorEastAsia" w:hAnsiTheme="majorHAnsi" w:cstheme="majorBidi"/>
      <w:color w:val="2E74B5" w:themeColor="accent1" w:themeShade="BF"/>
      <w:sz w:val="26"/>
      <w:szCs w:val="26"/>
      <w:lang w:eastAsia="pl-PL"/>
    </w:rPr>
  </w:style>
  <w:style w:type="character" w:customStyle="1" w:styleId="Nagwek3Znak">
    <w:name w:val="Nagłówek 3 Znak"/>
    <w:basedOn w:val="Domylnaczcionkaakapitu"/>
    <w:link w:val="Nagwek3"/>
    <w:uiPriority w:val="9"/>
    <w:semiHidden/>
    <w:rsid w:val="0009014A"/>
    <w:rPr>
      <w:rFonts w:asciiTheme="majorHAnsi" w:eastAsiaTheme="majorEastAsia" w:hAnsiTheme="majorHAnsi" w:cstheme="majorBidi"/>
      <w:color w:val="1F4D78" w:themeColor="accent1" w:themeShade="7F"/>
      <w:sz w:val="24"/>
      <w:szCs w:val="24"/>
      <w:lang w:eastAsia="pl-PL"/>
    </w:rPr>
  </w:style>
  <w:style w:type="character" w:customStyle="1" w:styleId="warheader">
    <w:name w:val="war_header"/>
    <w:basedOn w:val="Domylnaczcionkaakapitu"/>
    <w:rsid w:val="0009014A"/>
  </w:style>
  <w:style w:type="character" w:styleId="UyteHipercze">
    <w:name w:val="FollowedHyperlink"/>
    <w:basedOn w:val="Domylnaczcionkaakapitu"/>
    <w:uiPriority w:val="99"/>
    <w:semiHidden/>
    <w:unhideWhenUsed/>
    <w:rsid w:val="0009014A"/>
    <w:rPr>
      <w:color w:val="954F72" w:themeColor="followedHyperlink"/>
      <w:u w:val="single"/>
    </w:rPr>
  </w:style>
  <w:style w:type="character" w:customStyle="1" w:styleId="Teksttreci3">
    <w:name w:val="Tekst treści (3)_"/>
    <w:basedOn w:val="Domylnaczcionkaakapitu"/>
    <w:link w:val="Teksttreci31"/>
    <w:uiPriority w:val="99"/>
    <w:rsid w:val="0009014A"/>
    <w:rPr>
      <w:rFonts w:ascii="Arial" w:hAnsi="Arial" w:cs="Arial"/>
      <w:i/>
      <w:iCs/>
      <w:sz w:val="18"/>
      <w:szCs w:val="18"/>
      <w:shd w:val="clear" w:color="auto" w:fill="FFFFFF"/>
    </w:rPr>
  </w:style>
  <w:style w:type="character" w:customStyle="1" w:styleId="Teksttreci3Bezkursywy4">
    <w:name w:val="Tekst treści (3) + Bez kursywy4"/>
    <w:basedOn w:val="Teksttreci3"/>
    <w:uiPriority w:val="99"/>
    <w:rsid w:val="0009014A"/>
    <w:rPr>
      <w:rFonts w:ascii="Arial" w:hAnsi="Arial" w:cs="Arial"/>
      <w:i w:val="0"/>
      <w:iCs w:val="0"/>
      <w:sz w:val="18"/>
      <w:szCs w:val="18"/>
      <w:shd w:val="clear" w:color="auto" w:fill="FFFFFF"/>
    </w:rPr>
  </w:style>
  <w:style w:type="character" w:customStyle="1" w:styleId="Teksttreci3Bezkursywy3">
    <w:name w:val="Tekst treści (3) + Bez kursywy3"/>
    <w:basedOn w:val="Teksttreci3"/>
    <w:uiPriority w:val="99"/>
    <w:rsid w:val="0009014A"/>
    <w:rPr>
      <w:rFonts w:ascii="Arial" w:hAnsi="Arial" w:cs="Arial"/>
      <w:i w:val="0"/>
      <w:iCs w:val="0"/>
      <w:sz w:val="18"/>
      <w:szCs w:val="18"/>
      <w:shd w:val="clear" w:color="auto" w:fill="FFFFFF"/>
    </w:rPr>
  </w:style>
  <w:style w:type="character" w:customStyle="1" w:styleId="TeksttreciPogrubienie4">
    <w:name w:val="Tekst treści + Pogrubienie4"/>
    <w:basedOn w:val="Teksttreci"/>
    <w:uiPriority w:val="99"/>
    <w:rsid w:val="0009014A"/>
    <w:rPr>
      <w:rFonts w:ascii="Arial" w:hAnsi="Arial" w:cs="Arial"/>
      <w:b/>
      <w:bCs/>
      <w:sz w:val="18"/>
      <w:szCs w:val="18"/>
      <w:u w:val="none"/>
      <w:shd w:val="clear" w:color="auto" w:fill="FFFFFF"/>
    </w:rPr>
  </w:style>
  <w:style w:type="paragraph" w:customStyle="1" w:styleId="Teksttreci31">
    <w:name w:val="Tekst treści (3)1"/>
    <w:basedOn w:val="Normalny"/>
    <w:link w:val="Teksttreci3"/>
    <w:uiPriority w:val="99"/>
    <w:rsid w:val="0009014A"/>
    <w:pPr>
      <w:widowControl w:val="0"/>
      <w:shd w:val="clear" w:color="auto" w:fill="FFFFFF"/>
      <w:spacing w:before="300" w:line="350" w:lineRule="exact"/>
      <w:ind w:hanging="360"/>
    </w:pPr>
    <w:rPr>
      <w:rFonts w:ascii="Arial" w:eastAsiaTheme="minorHAnsi" w:hAnsi="Arial" w:cs="Arial"/>
      <w:i/>
      <w:iC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sgq4tinboobqxalrrgezdonjs&amp;refSource=hyp" TargetMode="External"/><Relationship Id="rId13" Type="http://schemas.openxmlformats.org/officeDocument/2006/relationships/hyperlink" Target="https://www.google.com/search?client=firefox-b-d&amp;channel=entpr&amp;q=Trybuna%C5%82+Konstytucyjny&amp;ved=2ahUKEwiZusXb4uKTAxU2UVUIHTL9NmsQgK4QegQIARAB"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ip.legalis.pl/document-view.seam?documentId=mrswglrtgy4dcmztge2do&amp;refSource=hyp" TargetMode="External"/><Relationship Id="rId17" Type="http://schemas.openxmlformats.org/officeDocument/2006/relationships/hyperlink" Target="http://www.sejm.gov.pl" TargetMode="External"/><Relationship Id="rId2" Type="http://schemas.openxmlformats.org/officeDocument/2006/relationships/numbering" Target="numbering.xml"/><Relationship Id="rId16" Type="http://schemas.openxmlformats.org/officeDocument/2006/relationships/hyperlink" Target="https://sip.legalis.pl/document-view.seam?documentId=mfrxilrtg4ytemzzge2diltqmfyc4nbtge4doobxga&amp;refSource=hyp"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emzzge2diltqmfyc4nbtge4dqmzsga&amp;refSource=hyp" TargetMode="External"/><Relationship Id="rId5" Type="http://schemas.openxmlformats.org/officeDocument/2006/relationships/webSettings" Target="webSettings.xml"/><Relationship Id="rId15" Type="http://schemas.openxmlformats.org/officeDocument/2006/relationships/hyperlink" Target="https://sip.legalis.pl/document-view.seam?documentId=mfrxilrtg4ytemzzge2diltqmfyc4nbtge4doobxga&amp;refSource=hyp" TargetMode="External"/><Relationship Id="rId23" Type="http://schemas.openxmlformats.org/officeDocument/2006/relationships/theme" Target="theme/theme1.xml"/><Relationship Id="rId10" Type="http://schemas.openxmlformats.org/officeDocument/2006/relationships/hyperlink" Target="https://www.sejm.gov.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ip.legalis.pl/document-view.seam?documentId=mfrxilrtg4ytemzzge2diltqmfyc4nbtge4doobwg4&amp;refSource=hyp" TargetMode="External"/><Relationship Id="rId14" Type="http://schemas.openxmlformats.org/officeDocument/2006/relationships/hyperlink" Target="https://www.sejm.gov.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181</Pages>
  <Words>86938</Words>
  <Characters>521630</Characters>
  <Application>Microsoft Office Word</Application>
  <DocSecurity>0</DocSecurity>
  <Lines>4346</Lines>
  <Paragraphs>1214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607354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126</cp:revision>
  <cp:lastPrinted>2025-12-05T09:40:00Z</cp:lastPrinted>
  <dcterms:created xsi:type="dcterms:W3CDTF">2026-05-11T08:02:00Z</dcterms:created>
  <dcterms:modified xsi:type="dcterms:W3CDTF">2026-05-26T05:35:00Z</dcterms:modified>
</cp:coreProperties>
</file>